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9A9DF" w14:textId="77777777" w:rsidR="00422DCC" w:rsidRPr="00422DCC" w:rsidRDefault="00422DCC" w:rsidP="00422DCC">
      <w:pPr>
        <w:tabs>
          <w:tab w:val="left" w:pos="2342"/>
          <w:tab w:val="center" w:pos="4513"/>
        </w:tabs>
        <w:spacing w:after="0" w:line="240" w:lineRule="auto"/>
        <w:ind w:left="0"/>
        <w:jc w:val="center"/>
        <w:outlineLvl w:val="0"/>
        <w:rPr>
          <w:rFonts w:eastAsia="Times New Roman" w:cs="Arial"/>
          <w:b/>
          <w:noProof/>
          <w:szCs w:val="24"/>
          <w:lang w:val="en-ZA" w:eastAsia="en-ZA"/>
        </w:rPr>
      </w:pPr>
      <w:bookmarkStart w:id="0" w:name="_GoBack"/>
      <w:bookmarkEnd w:id="0"/>
      <w:r w:rsidRPr="00422DCC">
        <w:rPr>
          <w:rFonts w:eastAsia="Times New Roman" w:cs="Arial"/>
          <w:b/>
          <w:noProof/>
          <w:szCs w:val="24"/>
          <w:lang w:val="en-ZA" w:eastAsia="en-ZA"/>
        </w:rPr>
        <w:t>REPUBLIC OF SOUTH AFRICA</w:t>
      </w:r>
    </w:p>
    <w:p w14:paraId="0846ADFA" w14:textId="77777777" w:rsidR="00422DCC" w:rsidRPr="00422DCC" w:rsidRDefault="00422DCC" w:rsidP="00422DCC">
      <w:pPr>
        <w:tabs>
          <w:tab w:val="left" w:pos="2342"/>
          <w:tab w:val="center" w:pos="4513"/>
        </w:tabs>
        <w:spacing w:after="0" w:line="240" w:lineRule="auto"/>
        <w:ind w:left="0"/>
        <w:jc w:val="center"/>
        <w:outlineLvl w:val="0"/>
        <w:rPr>
          <w:rFonts w:eastAsia="Times New Roman" w:cs="Arial"/>
          <w:b/>
          <w:noProof/>
          <w:szCs w:val="24"/>
          <w:lang w:val="en-ZA" w:eastAsia="en-ZA"/>
        </w:rPr>
      </w:pPr>
    </w:p>
    <w:p w14:paraId="1A8CFAC2" w14:textId="77777777" w:rsidR="00422DCC" w:rsidRPr="00422DCC" w:rsidRDefault="00422DCC" w:rsidP="00422DCC">
      <w:pPr>
        <w:tabs>
          <w:tab w:val="left" w:pos="2342"/>
          <w:tab w:val="center" w:pos="4513"/>
        </w:tabs>
        <w:spacing w:after="0" w:line="240" w:lineRule="auto"/>
        <w:ind w:left="0"/>
        <w:jc w:val="center"/>
        <w:outlineLvl w:val="0"/>
        <w:rPr>
          <w:rFonts w:eastAsia="Times New Roman" w:cs="Arial"/>
          <w:szCs w:val="24"/>
          <w:lang w:val="en-ZA"/>
        </w:rPr>
      </w:pPr>
      <w:r w:rsidRPr="00422DCC">
        <w:rPr>
          <w:rFonts w:eastAsia="Times New Roman" w:cs="Arial"/>
          <w:noProof/>
          <w:szCs w:val="24"/>
          <w:lang w:val="en-US"/>
        </w:rPr>
        <w:drawing>
          <wp:inline distT="0" distB="0" distL="0" distR="0" wp14:anchorId="4DAFB8C6" wp14:editId="695066E8">
            <wp:extent cx="1350645" cy="1350645"/>
            <wp:effectExtent l="0" t="0" r="1905" b="190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2D7C9B07" w14:textId="77777777" w:rsidR="00422DCC" w:rsidRPr="00422DCC" w:rsidRDefault="00422DCC" w:rsidP="00422DCC">
      <w:pPr>
        <w:spacing w:after="0" w:line="240" w:lineRule="auto"/>
        <w:ind w:left="0"/>
        <w:jc w:val="center"/>
        <w:outlineLvl w:val="0"/>
        <w:rPr>
          <w:rFonts w:eastAsia="Times New Roman" w:cs="Arial"/>
          <w:b/>
          <w:szCs w:val="24"/>
          <w:lang w:val="en-ZA"/>
        </w:rPr>
      </w:pPr>
    </w:p>
    <w:p w14:paraId="20541803" w14:textId="77777777" w:rsidR="00422DCC" w:rsidRPr="00422DCC" w:rsidRDefault="00422DCC" w:rsidP="00422DCC">
      <w:pPr>
        <w:spacing w:after="0" w:line="240" w:lineRule="auto"/>
        <w:ind w:left="0"/>
        <w:jc w:val="center"/>
        <w:outlineLvl w:val="0"/>
        <w:rPr>
          <w:rFonts w:eastAsia="Times New Roman" w:cs="Arial"/>
          <w:b/>
          <w:szCs w:val="24"/>
          <w:lang w:val="en-ZA"/>
        </w:rPr>
      </w:pPr>
      <w:r w:rsidRPr="00422DCC">
        <w:rPr>
          <w:rFonts w:eastAsia="Times New Roman" w:cs="Arial"/>
          <w:b/>
          <w:szCs w:val="24"/>
          <w:lang w:val="en-ZA"/>
        </w:rPr>
        <w:t>IN THE HIGH COURT OF SOUTH AFRICA</w:t>
      </w:r>
    </w:p>
    <w:p w14:paraId="5529F4F8" w14:textId="77777777" w:rsidR="00422DCC" w:rsidRPr="00422DCC" w:rsidRDefault="00422DCC" w:rsidP="00422DCC">
      <w:pPr>
        <w:spacing w:after="0" w:line="240" w:lineRule="auto"/>
        <w:ind w:left="0"/>
        <w:jc w:val="center"/>
        <w:outlineLvl w:val="0"/>
        <w:rPr>
          <w:rFonts w:eastAsia="Times New Roman" w:cs="Arial"/>
          <w:b/>
          <w:szCs w:val="24"/>
          <w:lang w:val="en-ZA"/>
        </w:rPr>
      </w:pPr>
      <w:r w:rsidRPr="00422DCC">
        <w:rPr>
          <w:rFonts w:eastAsia="Times New Roman" w:cs="Arial"/>
          <w:b/>
          <w:szCs w:val="24"/>
          <w:lang w:val="en-ZA"/>
        </w:rPr>
        <w:t>GAUTENG DIVISION, JOHANNESBURG</w:t>
      </w:r>
    </w:p>
    <w:p w14:paraId="45A7ABAE" w14:textId="77777777" w:rsidR="00422DCC" w:rsidRPr="00422DCC" w:rsidRDefault="00422DCC" w:rsidP="00422DCC">
      <w:pPr>
        <w:spacing w:after="0" w:line="240" w:lineRule="auto"/>
        <w:ind w:left="0"/>
        <w:rPr>
          <w:rFonts w:eastAsia="Times New Roman" w:cs="Arial"/>
          <w:szCs w:val="24"/>
          <w:lang w:val="en-ZA"/>
        </w:rPr>
      </w:pPr>
    </w:p>
    <w:p w14:paraId="4C720708" w14:textId="77777777" w:rsidR="00422DCC" w:rsidRPr="00422DCC" w:rsidRDefault="00422DCC" w:rsidP="00422DCC">
      <w:pPr>
        <w:spacing w:after="0" w:line="240" w:lineRule="auto"/>
        <w:ind w:left="0"/>
        <w:rPr>
          <w:rFonts w:eastAsia="Times New Roman" w:cs="Arial"/>
          <w:szCs w:val="24"/>
          <w:lang w:val="en-ZA"/>
        </w:rPr>
      </w:pPr>
    </w:p>
    <w:p w14:paraId="4D84890F" w14:textId="0A7481EA" w:rsidR="00422DCC" w:rsidRPr="00422DCC" w:rsidRDefault="00422DCC" w:rsidP="00422DCC">
      <w:pPr>
        <w:tabs>
          <w:tab w:val="right" w:pos="9029"/>
        </w:tabs>
        <w:spacing w:after="0" w:line="240" w:lineRule="auto"/>
        <w:ind w:left="0"/>
        <w:rPr>
          <w:rFonts w:eastAsia="Times New Roman" w:cs="Arial"/>
          <w:bCs/>
          <w:szCs w:val="24"/>
          <w:lang w:val="en-ZA"/>
        </w:rPr>
      </w:pPr>
      <w:r w:rsidRPr="00422DCC">
        <w:rPr>
          <w:rFonts w:eastAsia="Times New Roman" w:cs="Arial"/>
          <w:szCs w:val="24"/>
          <w:lang w:val="en-ZA"/>
        </w:rPr>
        <w:tab/>
      </w:r>
      <w:r w:rsidRPr="00422DCC">
        <w:rPr>
          <w:rFonts w:eastAsia="Times New Roman" w:cs="Arial"/>
          <w:bCs/>
          <w:szCs w:val="24"/>
          <w:lang w:val="en-ZA"/>
        </w:rPr>
        <w:t xml:space="preserve">Case Number: </w:t>
      </w:r>
      <w:r w:rsidR="002A276A">
        <w:rPr>
          <w:rFonts w:eastAsia="Times New Roman" w:cs="Arial"/>
          <w:bCs/>
          <w:szCs w:val="24"/>
          <w:lang w:val="en-ZA"/>
        </w:rPr>
        <w:t>55273/</w:t>
      </w:r>
      <w:r w:rsidRPr="00422DCC">
        <w:rPr>
          <w:rFonts w:eastAsia="Times New Roman" w:cs="Arial"/>
          <w:bCs/>
          <w:szCs w:val="24"/>
          <w:lang w:val="en-ZA"/>
        </w:rPr>
        <w:t>202</w:t>
      </w:r>
      <w:r w:rsidR="002A276A">
        <w:rPr>
          <w:rFonts w:eastAsia="Times New Roman" w:cs="Arial"/>
          <w:bCs/>
          <w:szCs w:val="24"/>
          <w:lang w:val="en-ZA"/>
        </w:rPr>
        <w:t>1</w:t>
      </w:r>
    </w:p>
    <w:p w14:paraId="708AE567" w14:textId="77777777" w:rsidR="00422DCC" w:rsidRPr="00422DCC" w:rsidRDefault="00422DCC" w:rsidP="00422DCC">
      <w:pPr>
        <w:tabs>
          <w:tab w:val="right" w:pos="9029"/>
        </w:tabs>
        <w:spacing w:after="0" w:line="240" w:lineRule="auto"/>
        <w:ind w:left="0"/>
        <w:rPr>
          <w:rFonts w:eastAsia="Times New Roman" w:cs="Arial"/>
          <w:szCs w:val="24"/>
          <w:lang w:val="en-ZA"/>
        </w:rPr>
      </w:pPr>
      <w:r w:rsidRPr="00422DCC">
        <w:rPr>
          <w:rFonts w:cs="Arial"/>
          <w:noProof/>
          <w:szCs w:val="24"/>
          <w:lang w:val="en-US"/>
        </w:rPr>
        <mc:AlternateContent>
          <mc:Choice Requires="wps">
            <w:drawing>
              <wp:anchor distT="0" distB="0" distL="114300" distR="114300" simplePos="0" relativeHeight="251659264" behindDoc="0" locked="0" layoutInCell="1" allowOverlap="1" wp14:anchorId="4C88D076" wp14:editId="37B21436">
                <wp:simplePos x="0" y="0"/>
                <wp:positionH relativeFrom="margin">
                  <wp:align>left</wp:align>
                </wp:positionH>
                <wp:positionV relativeFrom="paragraph">
                  <wp:posOffset>23495</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4A662AFF" w14:textId="4FB73FCB" w:rsidR="00B95DE9" w:rsidRPr="008E6535" w:rsidRDefault="00B95DE9" w:rsidP="00422DCC">
                            <w:pPr>
                              <w:numPr>
                                <w:ilvl w:val="0"/>
                                <w:numId w:val="3"/>
                              </w:numPr>
                              <w:spacing w:after="0" w:line="240" w:lineRule="auto"/>
                              <w:jc w:val="left"/>
                              <w:rPr>
                                <w:rFonts w:cs="Arial"/>
                                <w:sz w:val="18"/>
                                <w:szCs w:val="18"/>
                              </w:rPr>
                            </w:pPr>
                            <w:r w:rsidRPr="008E6535">
                              <w:rPr>
                                <w:rFonts w:cs="Arial"/>
                                <w:sz w:val="18"/>
                                <w:szCs w:val="18"/>
                              </w:rPr>
                              <w:t>REPORTABLE: NO</w:t>
                            </w:r>
                          </w:p>
                          <w:p w14:paraId="4C8C5104" w14:textId="225F9EDF" w:rsidR="00B95DE9" w:rsidRPr="008E6535" w:rsidRDefault="00B95DE9" w:rsidP="00422DCC">
                            <w:pPr>
                              <w:numPr>
                                <w:ilvl w:val="0"/>
                                <w:numId w:val="3"/>
                              </w:numPr>
                              <w:spacing w:after="0" w:line="240" w:lineRule="auto"/>
                              <w:jc w:val="left"/>
                              <w:rPr>
                                <w:rFonts w:cs="Arial"/>
                                <w:sz w:val="18"/>
                                <w:szCs w:val="18"/>
                              </w:rPr>
                            </w:pPr>
                            <w:r w:rsidRPr="008E6535">
                              <w:rPr>
                                <w:rFonts w:cs="Arial"/>
                                <w:sz w:val="18"/>
                                <w:szCs w:val="18"/>
                              </w:rPr>
                              <w:t>OF INTEREST TO OTHER JUDGES: NO</w:t>
                            </w:r>
                          </w:p>
                          <w:p w14:paraId="48F85747" w14:textId="574AA697" w:rsidR="00B95DE9" w:rsidRPr="008E6535" w:rsidRDefault="00B95DE9" w:rsidP="008E6535">
                            <w:pPr>
                              <w:numPr>
                                <w:ilvl w:val="0"/>
                                <w:numId w:val="3"/>
                              </w:numPr>
                              <w:spacing w:after="0" w:line="240" w:lineRule="auto"/>
                              <w:jc w:val="left"/>
                              <w:rPr>
                                <w:rFonts w:cs="Arial"/>
                                <w:sz w:val="18"/>
                                <w:szCs w:val="18"/>
                              </w:rPr>
                            </w:pPr>
                            <w:r w:rsidRPr="008E6535">
                              <w:rPr>
                                <w:rFonts w:cs="Arial"/>
                                <w:sz w:val="18"/>
                                <w:szCs w:val="18"/>
                              </w:rPr>
                              <w:t xml:space="preserve">REVISED: </w:t>
                            </w:r>
                            <w:r w:rsidR="00A32357" w:rsidRPr="008E6535">
                              <w:rPr>
                                <w:rFonts w:cs="Arial"/>
                                <w:sz w:val="18"/>
                                <w:szCs w:val="18"/>
                              </w:rPr>
                              <w:t>YES</w:t>
                            </w:r>
                          </w:p>
                          <w:p w14:paraId="15B7AD43" w14:textId="77777777" w:rsidR="008E6535" w:rsidRPr="00422DCC" w:rsidRDefault="008E6535" w:rsidP="00422DCC">
                            <w:pPr>
                              <w:pStyle w:val="JudgmentNumbered"/>
                              <w:numPr>
                                <w:ilvl w:val="0"/>
                                <w:numId w:val="0"/>
                              </w:numPr>
                              <w:spacing w:after="0"/>
                              <w:ind w:left="567"/>
                            </w:pPr>
                          </w:p>
                          <w:p w14:paraId="2EE5D385" w14:textId="63199F09" w:rsidR="00B95DE9" w:rsidRPr="00C344A5" w:rsidRDefault="00B95DE9" w:rsidP="008E6535">
                            <w:pPr>
                              <w:spacing w:after="0" w:line="240" w:lineRule="auto"/>
                              <w:rPr>
                                <w:rFonts w:cs="Arial"/>
                                <w:b/>
                                <w:sz w:val="18"/>
                                <w:szCs w:val="20"/>
                              </w:rPr>
                            </w:pPr>
                            <w:r>
                              <w:rPr>
                                <w:rFonts w:cs="Arial"/>
                                <w:b/>
                                <w:sz w:val="18"/>
                                <w:szCs w:val="20"/>
                              </w:rPr>
                              <w:t>0</w:t>
                            </w:r>
                            <w:r w:rsidR="005667EF">
                              <w:rPr>
                                <w:rFonts w:cs="Arial"/>
                                <w:b/>
                                <w:sz w:val="18"/>
                                <w:szCs w:val="20"/>
                              </w:rPr>
                              <w:t>2</w:t>
                            </w:r>
                            <w:r>
                              <w:rPr>
                                <w:rFonts w:cs="Arial"/>
                                <w:b/>
                                <w:sz w:val="18"/>
                                <w:szCs w:val="20"/>
                              </w:rPr>
                              <w:t>/06/2023</w:t>
                            </w:r>
                            <w:r w:rsidRPr="00C344A5">
                              <w:rPr>
                                <w:rFonts w:cs="Arial"/>
                                <w:b/>
                                <w:sz w:val="18"/>
                                <w:szCs w:val="20"/>
                              </w:rPr>
                              <w:tab/>
                            </w:r>
                            <w:r>
                              <w:rPr>
                                <w:rFonts w:cs="Arial"/>
                                <w:b/>
                                <w:sz w:val="18"/>
                                <w:szCs w:val="20"/>
                              </w:rPr>
                              <w:tab/>
                            </w:r>
                            <w:r w:rsidRPr="00C344A5">
                              <w:rPr>
                                <w:rFonts w:cs="Arial"/>
                                <w:b/>
                                <w:sz w:val="18"/>
                                <w:szCs w:val="20"/>
                              </w:rPr>
                              <w:t>__________________</w:t>
                            </w:r>
                          </w:p>
                          <w:p w14:paraId="41F058C1" w14:textId="1024204B" w:rsidR="00B95DE9" w:rsidRPr="00C344A5" w:rsidRDefault="00B95DE9" w:rsidP="008E6535">
                            <w:pPr>
                              <w:spacing w:before="240" w:after="0"/>
                              <w:rPr>
                                <w:rFonts w:cs="Arial"/>
                                <w:sz w:val="18"/>
                                <w:szCs w:val="20"/>
                              </w:rPr>
                            </w:pPr>
                            <w:r w:rsidRPr="00C344A5">
                              <w:rPr>
                                <w:rFonts w:cs="Arial"/>
                                <w:sz w:val="18"/>
                                <w:szCs w:val="20"/>
                              </w:rPr>
                              <w:t>DATE</w:t>
                            </w:r>
                            <w:r w:rsidR="00CE03A5">
                              <w:rPr>
                                <w:rFonts w:cs="Arial"/>
                                <w:sz w:val="18"/>
                                <w:szCs w:val="20"/>
                              </w:rPr>
                              <w:tab/>
                            </w:r>
                            <w:r w:rsidR="00CE03A5">
                              <w:rPr>
                                <w:rFonts w:cs="Arial"/>
                                <w:sz w:val="18"/>
                                <w:szCs w:val="20"/>
                              </w:rPr>
                              <w:tab/>
                            </w:r>
                            <w:r w:rsidR="00CE03A5">
                              <w:rPr>
                                <w:rFonts w:cs="Arial"/>
                                <w:sz w:val="18"/>
                                <w:szCs w:val="20"/>
                              </w:rPr>
                              <w:tab/>
                              <w:t xml:space="preserve">     </w:t>
                            </w:r>
                            <w:r w:rsidRPr="00C344A5">
                              <w:rPr>
                                <w:rFonts w:cs="Arial"/>
                                <w:sz w:val="18"/>
                                <w:szCs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http://schemas.microsoft.com/office/drawing/2014/chartex">
            <w:pict>
              <v:shapetype w14:anchorId="4C88D076" id="_x0000_t202" coordsize="21600,21600" o:spt="202" path="m,l,21600r21600,l21600,xe">
                <v:stroke joinstyle="miter"/>
                <v:path gradientshapeok="t" o:connecttype="rect"/>
              </v:shapetype>
              <v:shape id="Text Box 2" o:spid="_x0000_s1026" type="#_x0000_t202" style="position:absolute;left:0;text-align:left;margin-left:0;margin-top:1.85pt;width:261pt;height:1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">
                <v:textbox>
                  <w:txbxContent>
                    <w:p w14:paraId="4A662AFF" w14:textId="4FB73FCB" w:rsidR="00B95DE9" w:rsidRPr="008E6535" w:rsidRDefault="00B95DE9" w:rsidP="00422DCC">
                      <w:pPr>
                        <w:numPr>
                          <w:ilvl w:val="0"/>
                          <w:numId w:val="3"/>
                        </w:numPr>
                        <w:spacing w:after="0" w:line="240" w:lineRule="auto"/>
                        <w:jc w:val="left"/>
                        <w:rPr>
                          <w:rFonts w:cs="Arial"/>
                          <w:sz w:val="18"/>
                          <w:szCs w:val="18"/>
                        </w:rPr>
                      </w:pPr>
                      <w:r w:rsidRPr="008E6535">
                        <w:rPr>
                          <w:rFonts w:cs="Arial"/>
                          <w:sz w:val="18"/>
                          <w:szCs w:val="18"/>
                        </w:rPr>
                        <w:t>REPORTABLE: NO</w:t>
                      </w:r>
                    </w:p>
                    <w:p w14:paraId="4C8C5104" w14:textId="225F9EDF" w:rsidR="00B95DE9" w:rsidRPr="008E6535" w:rsidRDefault="00B95DE9" w:rsidP="00422DCC">
                      <w:pPr>
                        <w:numPr>
                          <w:ilvl w:val="0"/>
                          <w:numId w:val="3"/>
                        </w:numPr>
                        <w:spacing w:after="0" w:line="240" w:lineRule="auto"/>
                        <w:jc w:val="left"/>
                        <w:rPr>
                          <w:rFonts w:cs="Arial"/>
                          <w:sz w:val="18"/>
                          <w:szCs w:val="18"/>
                        </w:rPr>
                      </w:pPr>
                      <w:r w:rsidRPr="008E6535">
                        <w:rPr>
                          <w:rFonts w:cs="Arial"/>
                          <w:sz w:val="18"/>
                          <w:szCs w:val="18"/>
                        </w:rPr>
                        <w:t>OF INTEREST TO OTHER JUDGES: NO</w:t>
                      </w:r>
                    </w:p>
                    <w:p w14:paraId="48F85747" w14:textId="574AA697" w:rsidR="00B95DE9" w:rsidRPr="008E6535" w:rsidRDefault="00B95DE9" w:rsidP="008E6535">
                      <w:pPr>
                        <w:numPr>
                          <w:ilvl w:val="0"/>
                          <w:numId w:val="3"/>
                        </w:numPr>
                        <w:spacing w:after="0" w:line="240" w:lineRule="auto"/>
                        <w:jc w:val="left"/>
                        <w:rPr>
                          <w:rFonts w:cs="Arial"/>
                          <w:sz w:val="18"/>
                          <w:szCs w:val="18"/>
                        </w:rPr>
                      </w:pPr>
                      <w:r w:rsidRPr="008E6535">
                        <w:rPr>
                          <w:rFonts w:cs="Arial"/>
                          <w:sz w:val="18"/>
                          <w:szCs w:val="18"/>
                        </w:rPr>
                        <w:t xml:space="preserve">REVISED: </w:t>
                      </w:r>
                      <w:r w:rsidR="00A32357" w:rsidRPr="008E6535">
                        <w:rPr>
                          <w:rFonts w:cs="Arial"/>
                          <w:sz w:val="18"/>
                          <w:szCs w:val="18"/>
                        </w:rPr>
                        <w:t>YES</w:t>
                      </w:r>
                    </w:p>
                    <w:p w14:paraId="15B7AD43" w14:textId="77777777" w:rsidR="008E6535" w:rsidRPr="00422DCC" w:rsidRDefault="008E6535" w:rsidP="00422DCC">
                      <w:pPr>
                        <w:pStyle w:val="JudgmentNumbered"/>
                        <w:numPr>
                          <w:ilvl w:val="0"/>
                          <w:numId w:val="0"/>
                        </w:numPr>
                        <w:spacing w:after="0"/>
                        <w:ind w:left="567"/>
                      </w:pPr>
                    </w:p>
                    <w:p w14:paraId="2EE5D385" w14:textId="63199F09" w:rsidR="00B95DE9" w:rsidRPr="00C344A5" w:rsidRDefault="00B95DE9" w:rsidP="008E6535">
                      <w:pPr>
                        <w:spacing w:after="0" w:line="240" w:lineRule="auto"/>
                        <w:rPr>
                          <w:rFonts w:cs="Arial"/>
                          <w:b/>
                          <w:sz w:val="18"/>
                          <w:szCs w:val="20"/>
                        </w:rPr>
                      </w:pPr>
                      <w:r>
                        <w:rPr>
                          <w:rFonts w:cs="Arial"/>
                          <w:b/>
                          <w:sz w:val="18"/>
                          <w:szCs w:val="20"/>
                        </w:rPr>
                        <w:t>0</w:t>
                      </w:r>
                      <w:r w:rsidR="005667EF">
                        <w:rPr>
                          <w:rFonts w:cs="Arial"/>
                          <w:b/>
                          <w:sz w:val="18"/>
                          <w:szCs w:val="20"/>
                        </w:rPr>
                        <w:t>2</w:t>
                      </w:r>
                      <w:r>
                        <w:rPr>
                          <w:rFonts w:cs="Arial"/>
                          <w:b/>
                          <w:sz w:val="18"/>
                          <w:szCs w:val="20"/>
                        </w:rPr>
                        <w:t>/06/2023</w:t>
                      </w:r>
                      <w:r w:rsidRPr="00C344A5">
                        <w:rPr>
                          <w:rFonts w:cs="Arial"/>
                          <w:b/>
                          <w:sz w:val="18"/>
                          <w:szCs w:val="20"/>
                        </w:rPr>
                        <w:tab/>
                      </w:r>
                      <w:r>
                        <w:rPr>
                          <w:rFonts w:cs="Arial"/>
                          <w:b/>
                          <w:sz w:val="18"/>
                          <w:szCs w:val="20"/>
                        </w:rPr>
                        <w:tab/>
                      </w:r>
                      <w:r w:rsidRPr="00C344A5">
                        <w:rPr>
                          <w:rFonts w:cs="Arial"/>
                          <w:b/>
                          <w:sz w:val="18"/>
                          <w:szCs w:val="20"/>
                        </w:rPr>
                        <w:t>__________________</w:t>
                      </w:r>
                    </w:p>
                    <w:p w14:paraId="41F058C1" w14:textId="1024204B" w:rsidR="00B95DE9" w:rsidRPr="00C344A5" w:rsidRDefault="00B95DE9" w:rsidP="008E6535">
                      <w:pPr>
                        <w:spacing w:before="240" w:after="0"/>
                        <w:rPr>
                          <w:rFonts w:cs="Arial"/>
                          <w:sz w:val="18"/>
                          <w:szCs w:val="20"/>
                        </w:rPr>
                      </w:pPr>
                      <w:r w:rsidRPr="00C344A5">
                        <w:rPr>
                          <w:rFonts w:cs="Arial"/>
                          <w:sz w:val="18"/>
                          <w:szCs w:val="20"/>
                        </w:rPr>
                        <w:t>DATE</w:t>
                      </w:r>
                      <w:r w:rsidR="00CE03A5">
                        <w:rPr>
                          <w:rFonts w:cs="Arial"/>
                          <w:sz w:val="18"/>
                          <w:szCs w:val="20"/>
                        </w:rPr>
                        <w:tab/>
                      </w:r>
                      <w:r w:rsidR="00CE03A5">
                        <w:rPr>
                          <w:rFonts w:cs="Arial"/>
                          <w:sz w:val="18"/>
                          <w:szCs w:val="20"/>
                        </w:rPr>
                        <w:tab/>
                      </w:r>
                      <w:r w:rsidR="00CE03A5">
                        <w:rPr>
                          <w:rFonts w:cs="Arial"/>
                          <w:sz w:val="18"/>
                          <w:szCs w:val="20"/>
                        </w:rPr>
                        <w:tab/>
                        <w:t xml:space="preserve">     </w:t>
                      </w:r>
                      <w:r w:rsidRPr="00C344A5">
                        <w:rPr>
                          <w:rFonts w:cs="Arial"/>
                          <w:sz w:val="18"/>
                          <w:szCs w:val="20"/>
                        </w:rPr>
                        <w:t>SIGNATURE</w:t>
                      </w:r>
                    </w:p>
                  </w:txbxContent>
                </v:textbox>
                <w10:wrap anchorx="margin"/>
              </v:shape>
            </w:pict>
          </mc:Fallback>
        </mc:AlternateContent>
      </w:r>
    </w:p>
    <w:p w14:paraId="1B8FA245" w14:textId="77777777" w:rsidR="00422DCC" w:rsidRPr="00422DCC" w:rsidRDefault="00422DCC" w:rsidP="00422DCC">
      <w:pPr>
        <w:tabs>
          <w:tab w:val="left" w:pos="8998"/>
        </w:tabs>
        <w:spacing w:after="0" w:line="240" w:lineRule="auto"/>
        <w:ind w:left="0"/>
        <w:rPr>
          <w:rFonts w:eastAsia="Times New Roman" w:cs="Arial"/>
          <w:szCs w:val="24"/>
          <w:lang w:val="en-ZA"/>
        </w:rPr>
      </w:pPr>
    </w:p>
    <w:p w14:paraId="705102A9" w14:textId="77777777" w:rsidR="00422DCC" w:rsidRPr="00422DCC" w:rsidRDefault="00422DCC" w:rsidP="00422DCC">
      <w:pPr>
        <w:tabs>
          <w:tab w:val="left" w:pos="8998"/>
        </w:tabs>
        <w:spacing w:after="0" w:line="240" w:lineRule="auto"/>
        <w:ind w:left="0"/>
        <w:rPr>
          <w:rFonts w:eastAsia="Times New Roman" w:cs="Arial"/>
          <w:szCs w:val="24"/>
          <w:lang w:val="en-ZA"/>
        </w:rPr>
      </w:pPr>
    </w:p>
    <w:p w14:paraId="6EE0062D" w14:textId="77777777" w:rsidR="00422DCC" w:rsidRPr="00422DCC" w:rsidRDefault="00422DCC" w:rsidP="00422DCC">
      <w:pPr>
        <w:tabs>
          <w:tab w:val="left" w:pos="8998"/>
        </w:tabs>
        <w:spacing w:after="0" w:line="240" w:lineRule="auto"/>
        <w:ind w:left="0"/>
        <w:rPr>
          <w:rFonts w:eastAsia="Times New Roman" w:cs="Arial"/>
          <w:szCs w:val="24"/>
          <w:lang w:val="en-ZA"/>
        </w:rPr>
      </w:pPr>
      <w:r w:rsidRPr="00422DCC">
        <w:rPr>
          <w:rFonts w:eastAsia="Times New Roman" w:cs="Arial"/>
          <w:szCs w:val="24"/>
          <w:lang w:val="en-ZA"/>
        </w:rPr>
        <w:t>In the matter between:</w:t>
      </w:r>
    </w:p>
    <w:p w14:paraId="2359E50F" w14:textId="77777777" w:rsidR="00422DCC" w:rsidRPr="00422DCC" w:rsidRDefault="00422DCC" w:rsidP="00422DCC">
      <w:pPr>
        <w:tabs>
          <w:tab w:val="right" w:pos="9029"/>
        </w:tabs>
        <w:spacing w:after="0" w:line="240" w:lineRule="auto"/>
        <w:ind w:left="0"/>
        <w:rPr>
          <w:rFonts w:eastAsia="Times New Roman" w:cs="Arial"/>
          <w:szCs w:val="24"/>
          <w:lang w:val="en-ZA"/>
        </w:rPr>
      </w:pPr>
    </w:p>
    <w:p w14:paraId="4AB53BE7" w14:textId="77777777" w:rsidR="00422DCC" w:rsidRPr="00422DCC" w:rsidRDefault="00422DCC" w:rsidP="00422DCC">
      <w:pPr>
        <w:tabs>
          <w:tab w:val="right" w:pos="9029"/>
        </w:tabs>
        <w:spacing w:after="0" w:line="240" w:lineRule="auto"/>
        <w:ind w:left="0"/>
        <w:rPr>
          <w:rFonts w:eastAsia="Times New Roman" w:cs="Arial"/>
          <w:szCs w:val="24"/>
          <w:lang w:val="en-ZA"/>
        </w:rPr>
      </w:pPr>
    </w:p>
    <w:p w14:paraId="25C7E363"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006B17F9"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2783581E"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74D83443" w14:textId="77777777" w:rsidR="00422DCC" w:rsidRPr="00422DCC" w:rsidRDefault="00422DCC" w:rsidP="00422DCC">
      <w:pPr>
        <w:tabs>
          <w:tab w:val="right" w:pos="9029"/>
        </w:tabs>
        <w:spacing w:after="0" w:line="240" w:lineRule="auto"/>
        <w:ind w:left="0"/>
        <w:contextualSpacing/>
        <w:rPr>
          <w:rFonts w:eastAsia="Times New Roman" w:cs="Arial"/>
          <w:szCs w:val="24"/>
          <w:lang w:val="en-ZA"/>
        </w:rPr>
      </w:pPr>
      <w:r w:rsidRPr="00422DCC">
        <w:rPr>
          <w:rFonts w:eastAsia="Times New Roman" w:cs="Arial"/>
          <w:szCs w:val="24"/>
          <w:lang w:val="en-ZA"/>
        </w:rPr>
        <w:t>In the matter between:</w:t>
      </w:r>
    </w:p>
    <w:p w14:paraId="2559F0FB"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067E8802"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3F345865" w14:textId="4C7354F5" w:rsidR="00422DCC" w:rsidRPr="00422DCC" w:rsidRDefault="002A276A" w:rsidP="00422DCC">
      <w:pPr>
        <w:tabs>
          <w:tab w:val="right" w:pos="9029"/>
        </w:tabs>
        <w:spacing w:after="0" w:line="240" w:lineRule="auto"/>
        <w:ind w:left="0"/>
        <w:contextualSpacing/>
        <w:rPr>
          <w:rFonts w:eastAsia="Times New Roman" w:cs="Arial"/>
          <w:szCs w:val="24"/>
          <w:lang w:val="en-ZA"/>
        </w:rPr>
      </w:pPr>
      <w:r>
        <w:rPr>
          <w:rFonts w:eastAsia="Times New Roman" w:cs="Arial"/>
          <w:b/>
          <w:bCs/>
          <w:kern w:val="28"/>
          <w:szCs w:val="24"/>
          <w:lang w:eastAsia="en-GB"/>
        </w:rPr>
        <w:t>MOMOCO INTERNATIONAL LIMITED</w:t>
      </w:r>
      <w:r w:rsidR="00422DCC" w:rsidRPr="00422DCC">
        <w:rPr>
          <w:rFonts w:eastAsia="Times New Roman" w:cs="Arial"/>
          <w:b/>
          <w:szCs w:val="24"/>
          <w:lang w:val="en-ZA"/>
        </w:rPr>
        <w:tab/>
      </w:r>
      <w:r w:rsidR="00422DCC" w:rsidRPr="00422DCC">
        <w:rPr>
          <w:rFonts w:eastAsia="Times New Roman" w:cs="Arial"/>
          <w:szCs w:val="24"/>
          <w:lang w:val="en-ZA"/>
        </w:rPr>
        <w:t>A</w:t>
      </w:r>
      <w:r w:rsidRPr="00422DCC">
        <w:rPr>
          <w:rFonts w:eastAsia="Times New Roman" w:cs="Arial"/>
          <w:szCs w:val="24"/>
          <w:lang w:val="en-ZA"/>
        </w:rPr>
        <w:t>PPLICANT</w:t>
      </w:r>
    </w:p>
    <w:p w14:paraId="562FDFD9" w14:textId="77777777" w:rsidR="00422DCC" w:rsidRPr="00422DCC" w:rsidRDefault="00422DCC" w:rsidP="00422DCC">
      <w:pPr>
        <w:tabs>
          <w:tab w:val="right" w:pos="9029"/>
        </w:tabs>
        <w:spacing w:after="0" w:line="240" w:lineRule="auto"/>
        <w:ind w:left="0"/>
        <w:contextualSpacing/>
        <w:rPr>
          <w:rFonts w:eastAsia="Times New Roman" w:cs="Arial"/>
          <w:szCs w:val="24"/>
          <w:lang w:val="en-ZA"/>
        </w:rPr>
      </w:pPr>
    </w:p>
    <w:p w14:paraId="05AB7AC7" w14:textId="77777777" w:rsidR="00422DCC" w:rsidRPr="00422DCC" w:rsidRDefault="00422DCC" w:rsidP="00422DCC">
      <w:pPr>
        <w:tabs>
          <w:tab w:val="right" w:pos="9029"/>
        </w:tabs>
        <w:spacing w:after="0" w:line="240" w:lineRule="auto"/>
        <w:ind w:left="0"/>
        <w:contextualSpacing/>
        <w:rPr>
          <w:rFonts w:eastAsia="Times New Roman" w:cs="Arial"/>
          <w:szCs w:val="24"/>
          <w:lang w:val="en-ZA"/>
        </w:rPr>
      </w:pPr>
      <w:r w:rsidRPr="00422DCC">
        <w:rPr>
          <w:rFonts w:eastAsia="Times New Roman" w:cs="Arial"/>
          <w:szCs w:val="24"/>
          <w:lang w:val="en-ZA"/>
        </w:rPr>
        <w:t>AND</w:t>
      </w:r>
    </w:p>
    <w:p w14:paraId="1E91C9D6" w14:textId="77777777" w:rsidR="00422DCC" w:rsidRPr="00422DCC" w:rsidRDefault="00422DCC" w:rsidP="00422DCC">
      <w:pPr>
        <w:tabs>
          <w:tab w:val="right" w:pos="9029"/>
        </w:tabs>
        <w:spacing w:after="0" w:line="240" w:lineRule="auto"/>
        <w:ind w:left="0"/>
        <w:contextualSpacing/>
        <w:rPr>
          <w:rFonts w:eastAsia="Times New Roman" w:cs="Arial"/>
          <w:szCs w:val="24"/>
          <w:lang w:val="en-ZA"/>
        </w:rPr>
      </w:pPr>
    </w:p>
    <w:p w14:paraId="676A551B" w14:textId="77777777" w:rsidR="002A276A" w:rsidRDefault="002A276A" w:rsidP="00422DCC">
      <w:pPr>
        <w:tabs>
          <w:tab w:val="right" w:pos="9029"/>
        </w:tabs>
        <w:spacing w:after="0" w:line="240" w:lineRule="auto"/>
        <w:ind w:left="0"/>
        <w:contextualSpacing/>
        <w:rPr>
          <w:rFonts w:cs="Arial"/>
          <w:b/>
          <w:szCs w:val="24"/>
          <w:lang w:val="en-ZA"/>
        </w:rPr>
      </w:pPr>
      <w:r>
        <w:rPr>
          <w:rFonts w:cs="Arial"/>
          <w:b/>
          <w:szCs w:val="24"/>
          <w:lang w:val="en-ZA"/>
        </w:rPr>
        <w:t>GFE-MIR ALLOYS AND MINERALS SA</w:t>
      </w:r>
    </w:p>
    <w:p w14:paraId="387577E3" w14:textId="71A691C0" w:rsidR="00422DCC" w:rsidRPr="00422DCC" w:rsidRDefault="002A276A" w:rsidP="00422DCC">
      <w:pPr>
        <w:tabs>
          <w:tab w:val="right" w:pos="9029"/>
        </w:tabs>
        <w:spacing w:after="0" w:line="240" w:lineRule="auto"/>
        <w:ind w:left="0"/>
        <w:contextualSpacing/>
        <w:rPr>
          <w:rFonts w:eastAsia="Times New Roman" w:cs="Arial"/>
          <w:szCs w:val="24"/>
          <w:lang w:val="en-ZA"/>
        </w:rPr>
      </w:pPr>
      <w:r>
        <w:rPr>
          <w:rFonts w:cs="Arial"/>
          <w:b/>
          <w:szCs w:val="24"/>
          <w:lang w:val="en-ZA"/>
        </w:rPr>
        <w:t>(PTY) LTD</w:t>
      </w:r>
      <w:r w:rsidR="00422DCC" w:rsidRPr="00422DCC">
        <w:rPr>
          <w:rFonts w:cs="Arial"/>
          <w:b/>
          <w:szCs w:val="24"/>
          <w:lang w:val="en-ZA"/>
        </w:rPr>
        <w:tab/>
      </w:r>
      <w:r w:rsidR="00422DCC" w:rsidRPr="00422DCC">
        <w:rPr>
          <w:rFonts w:eastAsia="Times New Roman" w:cs="Arial"/>
          <w:szCs w:val="24"/>
          <w:lang w:val="en-ZA"/>
        </w:rPr>
        <w:t>R</w:t>
      </w:r>
      <w:r w:rsidRPr="00422DCC">
        <w:rPr>
          <w:rFonts w:eastAsia="Times New Roman" w:cs="Arial"/>
          <w:szCs w:val="24"/>
          <w:lang w:val="en-ZA"/>
        </w:rPr>
        <w:t>ESPONDENT</w:t>
      </w:r>
    </w:p>
    <w:p w14:paraId="78E08B01" w14:textId="77777777" w:rsidR="002A276A" w:rsidRDefault="002A276A" w:rsidP="00422DCC">
      <w:pPr>
        <w:tabs>
          <w:tab w:val="right" w:pos="9029"/>
        </w:tabs>
        <w:spacing w:after="0" w:line="240" w:lineRule="auto"/>
        <w:ind w:left="0"/>
        <w:contextualSpacing/>
        <w:rPr>
          <w:rFonts w:cs="Arial"/>
          <w:b/>
          <w:szCs w:val="24"/>
          <w:lang w:val="en-ZA"/>
        </w:rPr>
      </w:pPr>
    </w:p>
    <w:p w14:paraId="383B155F" w14:textId="309A04C4" w:rsidR="00422DCC" w:rsidRPr="002A276A" w:rsidRDefault="00422DCC" w:rsidP="00422DCC">
      <w:pPr>
        <w:tabs>
          <w:tab w:val="right" w:pos="9029"/>
        </w:tabs>
        <w:spacing w:after="0" w:line="240" w:lineRule="auto"/>
        <w:ind w:left="0"/>
        <w:contextualSpacing/>
        <w:rPr>
          <w:rFonts w:cs="Arial"/>
          <w:szCs w:val="24"/>
          <w:lang w:val="en-ZA"/>
        </w:rPr>
      </w:pPr>
      <w:r w:rsidRPr="002A276A">
        <w:rPr>
          <w:rFonts w:cs="Arial"/>
          <w:szCs w:val="24"/>
          <w:lang w:val="en-ZA"/>
        </w:rPr>
        <w:tab/>
      </w:r>
    </w:p>
    <w:p w14:paraId="1083EC1D" w14:textId="5BE2BEF6" w:rsidR="00430570" w:rsidRDefault="005262E3" w:rsidP="00B43C8A">
      <w:pPr>
        <w:spacing w:after="200" w:line="276" w:lineRule="auto"/>
        <w:ind w:left="0"/>
        <w:contextualSpacing/>
        <w:rPr>
          <w:rFonts w:eastAsia="Times New Roman" w:cs="Arial"/>
          <w:szCs w:val="24"/>
          <w:lang w:eastAsia="en-GB"/>
        </w:rPr>
      </w:pPr>
      <w:r w:rsidRPr="00523BE8">
        <w:rPr>
          <w:rFonts w:cs="Arial"/>
          <w:b/>
          <w:bCs/>
        </w:rPr>
        <w:t xml:space="preserve">Neutral citation: </w:t>
      </w:r>
      <w:r w:rsidR="002A276A">
        <w:rPr>
          <w:rFonts w:eastAsia="Times New Roman" w:cs="Arial"/>
          <w:i/>
          <w:iCs/>
          <w:szCs w:val="24"/>
          <w:lang w:eastAsia="en-GB"/>
        </w:rPr>
        <w:t xml:space="preserve">Momoco International Limited v GFE-MIR Alloys and Minerals SA (Pty) Ltd </w:t>
      </w:r>
      <w:r w:rsidR="002A276A" w:rsidRPr="007845D2">
        <w:rPr>
          <w:rFonts w:eastAsia="Times New Roman" w:cs="Arial"/>
          <w:szCs w:val="24"/>
          <w:lang w:eastAsia="en-GB"/>
        </w:rPr>
        <w:t>(Case No:</w:t>
      </w:r>
      <w:r w:rsidR="002A276A" w:rsidRPr="007845D2">
        <w:rPr>
          <w:rFonts w:eastAsia="Times New Roman" w:cs="Arial"/>
          <w:szCs w:val="24"/>
        </w:rPr>
        <w:t xml:space="preserve"> </w:t>
      </w:r>
      <w:r w:rsidR="002A276A">
        <w:rPr>
          <w:rFonts w:eastAsia="Times New Roman" w:cs="Arial"/>
          <w:szCs w:val="24"/>
        </w:rPr>
        <w:t>55273/2021</w:t>
      </w:r>
      <w:r w:rsidR="002A276A">
        <w:rPr>
          <w:rFonts w:eastAsia="Times New Roman" w:cs="Arial"/>
          <w:szCs w:val="24"/>
          <w:lang w:eastAsia="en-GB"/>
        </w:rPr>
        <w:t>) [2023] ZAGPJHC</w:t>
      </w:r>
      <w:r w:rsidR="00D92AE4">
        <w:rPr>
          <w:rFonts w:eastAsia="Times New Roman" w:cs="Arial"/>
          <w:szCs w:val="24"/>
          <w:lang w:eastAsia="en-GB"/>
        </w:rPr>
        <w:t xml:space="preserve"> </w:t>
      </w:r>
      <w:r w:rsidR="00B43C8A">
        <w:rPr>
          <w:rFonts w:eastAsia="Times New Roman" w:cs="Arial"/>
          <w:szCs w:val="24"/>
          <w:lang w:eastAsia="en-GB"/>
        </w:rPr>
        <w:t>620</w:t>
      </w:r>
      <w:r w:rsidR="00C5031F">
        <w:rPr>
          <w:rFonts w:eastAsia="Times New Roman" w:cs="Arial"/>
          <w:szCs w:val="24"/>
          <w:lang w:eastAsia="en-GB"/>
        </w:rPr>
        <w:t xml:space="preserve"> (2 June 2023)</w:t>
      </w:r>
    </w:p>
    <w:p w14:paraId="619451C8" w14:textId="4E93A092" w:rsidR="0091178F" w:rsidRDefault="0091178F" w:rsidP="00B43C8A">
      <w:pPr>
        <w:spacing w:after="200" w:line="276" w:lineRule="auto"/>
        <w:ind w:left="0"/>
        <w:contextualSpacing/>
        <w:rPr>
          <w:rFonts w:eastAsia="Times New Roman" w:cs="Arial"/>
          <w:szCs w:val="24"/>
          <w:lang w:eastAsia="en-GB"/>
        </w:rPr>
      </w:pPr>
      <w:r>
        <w:rPr>
          <w:rFonts w:eastAsia="Times New Roman" w:cs="Arial"/>
          <w:szCs w:val="24"/>
          <w:lang w:eastAsia="en-GB"/>
        </w:rPr>
        <w:t xml:space="preserve"> </w:t>
      </w:r>
    </w:p>
    <w:p w14:paraId="4407300A" w14:textId="676B22B1" w:rsidR="0091178F" w:rsidRDefault="0091178F" w:rsidP="00B43C8A">
      <w:pPr>
        <w:spacing w:after="200" w:line="276" w:lineRule="auto"/>
        <w:ind w:left="0"/>
        <w:contextualSpacing/>
        <w:rPr>
          <w:rFonts w:eastAsia="Calibri" w:cs="Arial"/>
          <w:bCs/>
          <w:i/>
        </w:rPr>
      </w:pPr>
      <w:r w:rsidRPr="001947E9">
        <w:rPr>
          <w:rFonts w:eastAsia="Calibri" w:cs="Arial"/>
          <w:bCs/>
          <w:i/>
        </w:rPr>
        <w:t xml:space="preserve">This judgment was handed down electronically by circulation to the parties’ representatives via e-mail, by being uploaded to CaseLines and by release to SAFLII. The date and time for hand- down is deemed to be 10h00 on </w:t>
      </w:r>
      <w:r w:rsidR="009C1265">
        <w:rPr>
          <w:rFonts w:eastAsia="Calibri" w:cs="Arial"/>
          <w:bCs/>
          <w:i/>
        </w:rPr>
        <w:t>2</w:t>
      </w:r>
      <w:r w:rsidRPr="001947E9">
        <w:rPr>
          <w:rFonts w:eastAsia="Calibri" w:cs="Arial"/>
          <w:bCs/>
          <w:i/>
        </w:rPr>
        <w:t xml:space="preserve"> June 2023</w:t>
      </w:r>
      <w:r>
        <w:rPr>
          <w:rFonts w:eastAsia="Calibri" w:cs="Arial"/>
          <w:bCs/>
          <w:i/>
        </w:rPr>
        <w:t>.</w:t>
      </w:r>
    </w:p>
    <w:p w14:paraId="3EB95798" w14:textId="62CAD4DC" w:rsidR="0091178F" w:rsidRPr="0091178F" w:rsidRDefault="0091178F" w:rsidP="00B43C8A">
      <w:pPr>
        <w:pBdr>
          <w:bottom w:val="single" w:sz="12" w:space="1" w:color="auto"/>
        </w:pBdr>
        <w:spacing w:after="0" w:line="276" w:lineRule="auto"/>
        <w:ind w:left="0"/>
        <w:rPr>
          <w:rFonts w:eastAsia="Times New Roman" w:cs="Arial"/>
          <w:szCs w:val="24"/>
          <w:lang w:eastAsia="en-GB"/>
        </w:rPr>
      </w:pPr>
    </w:p>
    <w:p w14:paraId="36B6CBD6" w14:textId="35DBBE29" w:rsidR="005F2B52" w:rsidRDefault="00D21754" w:rsidP="00430570">
      <w:pPr>
        <w:pBdr>
          <w:bottom w:val="single" w:sz="12" w:space="1" w:color="auto"/>
        </w:pBdr>
        <w:spacing w:after="0" w:line="276" w:lineRule="auto"/>
        <w:ind w:left="0"/>
        <w:rPr>
          <w:lang w:val="en-US"/>
        </w:rPr>
      </w:pPr>
      <w:r>
        <w:rPr>
          <w:rFonts w:cs="Arial"/>
          <w:bCs/>
          <w:szCs w:val="24"/>
          <w:lang w:val="en-ZA"/>
        </w:rPr>
        <w:t>Summar</w:t>
      </w:r>
      <w:r w:rsidR="003E74AB">
        <w:rPr>
          <w:rFonts w:cs="Arial"/>
          <w:bCs/>
          <w:szCs w:val="24"/>
          <w:lang w:val="en-ZA"/>
        </w:rPr>
        <w:t xml:space="preserve">y: </w:t>
      </w:r>
      <w:r w:rsidR="002C0ABC" w:rsidRPr="00C82B0C">
        <w:rPr>
          <w:lang w:val="en-US"/>
        </w:rPr>
        <w:t xml:space="preserve">the recognition and enforcement </w:t>
      </w:r>
      <w:r w:rsidR="00FA202A" w:rsidRPr="00C82B0C">
        <w:rPr>
          <w:lang w:val="en-US"/>
        </w:rPr>
        <w:t xml:space="preserve">of </w:t>
      </w:r>
      <w:r w:rsidR="00FA202A">
        <w:rPr>
          <w:lang w:val="en-US"/>
        </w:rPr>
        <w:t>a</w:t>
      </w:r>
      <w:r w:rsidR="002C0ABC">
        <w:rPr>
          <w:lang w:val="en-US"/>
        </w:rPr>
        <w:t xml:space="preserve"> </w:t>
      </w:r>
      <w:r w:rsidR="002C0ABC" w:rsidRPr="00C82B0C">
        <w:rPr>
          <w:lang w:val="en-US"/>
        </w:rPr>
        <w:t xml:space="preserve">foreign arbitral award section </w:t>
      </w:r>
      <w:r w:rsidR="002C0ABC">
        <w:rPr>
          <w:lang w:val="en-US"/>
        </w:rPr>
        <w:t>i</w:t>
      </w:r>
      <w:r w:rsidR="00AB03AF">
        <w:rPr>
          <w:lang w:val="en-US"/>
        </w:rPr>
        <w:t xml:space="preserve">n </w:t>
      </w:r>
      <w:r w:rsidR="002C0ABC">
        <w:rPr>
          <w:lang w:val="en-US"/>
        </w:rPr>
        <w:t>t</w:t>
      </w:r>
      <w:r w:rsidR="00AB03AF">
        <w:rPr>
          <w:lang w:val="en-US"/>
        </w:rPr>
        <w:t>erms o</w:t>
      </w:r>
      <w:r w:rsidR="007C48F6">
        <w:rPr>
          <w:lang w:val="en-US"/>
        </w:rPr>
        <w:t>f</w:t>
      </w:r>
      <w:r w:rsidR="00AB03AF">
        <w:rPr>
          <w:lang w:val="en-US"/>
        </w:rPr>
        <w:t xml:space="preserve"> section 16</w:t>
      </w:r>
      <w:r w:rsidR="00C718D1">
        <w:rPr>
          <w:lang w:val="en-US"/>
        </w:rPr>
        <w:t xml:space="preserve"> r/w section 18</w:t>
      </w:r>
      <w:r w:rsidR="0023589D">
        <w:rPr>
          <w:lang w:val="en-US"/>
        </w:rPr>
        <w:t xml:space="preserve"> (</w:t>
      </w:r>
      <w:r w:rsidR="00C718D1">
        <w:rPr>
          <w:lang w:val="en-US"/>
        </w:rPr>
        <w:t>1</w:t>
      </w:r>
      <w:r w:rsidR="0023589D">
        <w:rPr>
          <w:lang w:val="en-US"/>
        </w:rPr>
        <w:t xml:space="preserve">) </w:t>
      </w:r>
      <w:r w:rsidR="00C718D1">
        <w:rPr>
          <w:lang w:val="en-US"/>
        </w:rPr>
        <w:t>(a</w:t>
      </w:r>
      <w:r w:rsidR="0023589D">
        <w:rPr>
          <w:lang w:val="en-US"/>
        </w:rPr>
        <w:t>) (ii</w:t>
      </w:r>
      <w:r w:rsidR="00CD439C">
        <w:rPr>
          <w:lang w:val="en-US"/>
        </w:rPr>
        <w:t>) of</w:t>
      </w:r>
      <w:r w:rsidR="00922991">
        <w:rPr>
          <w:lang w:val="en-US"/>
        </w:rPr>
        <w:t xml:space="preserve"> the</w:t>
      </w:r>
      <w:r w:rsidR="00922991" w:rsidRPr="00A9100A">
        <w:rPr>
          <w:lang w:val="en-US"/>
        </w:rPr>
        <w:t xml:space="preserve"> International Arbitration Act</w:t>
      </w:r>
      <w:r w:rsidR="00922991">
        <w:rPr>
          <w:lang w:val="en-US"/>
        </w:rPr>
        <w:t xml:space="preserve"> </w:t>
      </w:r>
      <w:r w:rsidR="00935B78">
        <w:rPr>
          <w:lang w:val="en-US"/>
        </w:rPr>
        <w:t>15 of 2017</w:t>
      </w:r>
      <w:r w:rsidR="000903C9">
        <w:rPr>
          <w:lang w:val="en-US"/>
        </w:rPr>
        <w:t xml:space="preserve">- </w:t>
      </w:r>
    </w:p>
    <w:p w14:paraId="1DB6B05A" w14:textId="77777777" w:rsidR="005F2B52" w:rsidRPr="0021593A" w:rsidRDefault="005F2B52" w:rsidP="00430570">
      <w:pPr>
        <w:pBdr>
          <w:bottom w:val="single" w:sz="12" w:space="1" w:color="auto"/>
        </w:pBdr>
        <w:spacing w:after="0" w:line="276" w:lineRule="auto"/>
        <w:ind w:left="0"/>
        <w:rPr>
          <w:lang w:val="en-US"/>
        </w:rPr>
      </w:pPr>
      <w:r>
        <w:rPr>
          <w:lang w:val="en-US"/>
        </w:rPr>
        <w:t xml:space="preserve">public policy </w:t>
      </w:r>
    </w:p>
    <w:p w14:paraId="6B2B308F" w14:textId="65303D2E" w:rsidR="00FD0778" w:rsidRPr="00FD0778" w:rsidRDefault="005F2B52" w:rsidP="00430570">
      <w:pPr>
        <w:pBdr>
          <w:bottom w:val="single" w:sz="12" w:space="1" w:color="auto"/>
        </w:pBdr>
        <w:spacing w:after="0" w:line="276" w:lineRule="auto"/>
        <w:ind w:left="0"/>
        <w:rPr>
          <w:lang w:val="en-US"/>
        </w:rPr>
      </w:pPr>
      <w:r>
        <w:rPr>
          <w:lang w:val="en-US"/>
        </w:rPr>
        <w:t>Held:</w:t>
      </w:r>
      <w:r w:rsidR="005C791C">
        <w:rPr>
          <w:lang w:val="en-US"/>
        </w:rPr>
        <w:t xml:space="preserve"> </w:t>
      </w:r>
      <w:r w:rsidR="004339D5" w:rsidRPr="00C82B0C">
        <w:rPr>
          <w:lang w:val="en-US"/>
        </w:rPr>
        <w:t xml:space="preserve">the recognition and enforcement of </w:t>
      </w:r>
      <w:r w:rsidR="000762FC">
        <w:rPr>
          <w:lang w:val="en-US"/>
        </w:rPr>
        <w:t>such</w:t>
      </w:r>
      <w:r w:rsidR="004339D5">
        <w:rPr>
          <w:lang w:val="en-US"/>
        </w:rPr>
        <w:t xml:space="preserve"> </w:t>
      </w:r>
      <w:r w:rsidR="004339D5" w:rsidRPr="00C82B0C">
        <w:rPr>
          <w:lang w:val="en-US"/>
        </w:rPr>
        <w:t>foreign arbitral awards</w:t>
      </w:r>
      <w:r w:rsidR="005C791C">
        <w:rPr>
          <w:lang w:val="en-US"/>
        </w:rPr>
        <w:t xml:space="preserve"> not contrary to public polic</w:t>
      </w:r>
      <w:r w:rsidR="009F3329">
        <w:rPr>
          <w:lang w:val="en-US"/>
        </w:rPr>
        <w:t>y</w:t>
      </w:r>
      <w:r w:rsidR="00FD0778">
        <w:rPr>
          <w:lang w:val="en-US"/>
        </w:rPr>
        <w:t xml:space="preserve"> of the Republic</w:t>
      </w:r>
    </w:p>
    <w:p w14:paraId="41A95576" w14:textId="77777777" w:rsidR="00B018C3" w:rsidRDefault="00B018C3" w:rsidP="00B43C8A">
      <w:pPr>
        <w:pBdr>
          <w:bottom w:val="single" w:sz="12" w:space="1" w:color="auto"/>
        </w:pBdr>
        <w:spacing w:after="0" w:line="276" w:lineRule="auto"/>
        <w:ind w:left="0"/>
        <w:jc w:val="left"/>
        <w:rPr>
          <w:lang w:val="en-US"/>
        </w:rPr>
      </w:pPr>
    </w:p>
    <w:p w14:paraId="40169746" w14:textId="787E5456" w:rsidR="00BE2FDA" w:rsidRPr="00BE2FDA" w:rsidRDefault="00505AFB" w:rsidP="000812A5">
      <w:pPr>
        <w:pBdr>
          <w:bottom w:val="single" w:sz="12" w:space="1" w:color="auto"/>
        </w:pBdr>
        <w:spacing w:after="0"/>
        <w:ind w:left="0"/>
        <w:jc w:val="left"/>
        <w:rPr>
          <w:lang w:val="en-US"/>
        </w:rPr>
      </w:pPr>
      <w:r>
        <w:rPr>
          <w:lang w:val="en-US"/>
        </w:rPr>
        <w:t xml:space="preserve">Order: </w:t>
      </w:r>
      <w:r w:rsidR="007032DC">
        <w:rPr>
          <w:lang w:val="en-US"/>
        </w:rPr>
        <w:t>Para 40 of this judgment.</w:t>
      </w:r>
    </w:p>
    <w:p w14:paraId="797CF5B1" w14:textId="77777777" w:rsidR="007B7F59" w:rsidRPr="007B7F59" w:rsidRDefault="007B7F59" w:rsidP="007B7F59">
      <w:pPr>
        <w:spacing w:after="0" w:line="240" w:lineRule="auto"/>
        <w:ind w:left="1440" w:hanging="1440"/>
        <w:jc w:val="left"/>
        <w:rPr>
          <w:rFonts w:cs="Arial"/>
          <w:b/>
          <w:szCs w:val="24"/>
        </w:rPr>
      </w:pPr>
    </w:p>
    <w:p w14:paraId="49EA7DB0" w14:textId="77777777"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5663E65F" w14:textId="6E6D4776" w:rsidR="007E3224" w:rsidRPr="00A34F0A" w:rsidRDefault="002A276A" w:rsidP="007E3224">
      <w:pPr>
        <w:spacing w:after="0" w:line="240" w:lineRule="auto"/>
        <w:ind w:left="0"/>
        <w:jc w:val="left"/>
        <w:rPr>
          <w:rFonts w:cs="Arial"/>
          <w:b/>
          <w:bCs/>
          <w:szCs w:val="24"/>
        </w:rPr>
      </w:pPr>
      <w:r>
        <w:rPr>
          <w:rFonts w:cs="Arial"/>
          <w:b/>
          <w:bCs/>
          <w:szCs w:val="24"/>
        </w:rPr>
        <w:t>MUDAU</w:t>
      </w:r>
      <w:r w:rsidR="00642E81">
        <w:rPr>
          <w:rFonts w:cs="Arial"/>
          <w:b/>
          <w:bCs/>
          <w:szCs w:val="24"/>
        </w:rPr>
        <w:t>,</w:t>
      </w:r>
      <w:r w:rsidR="00C01821">
        <w:rPr>
          <w:rFonts w:cs="Arial"/>
          <w:b/>
          <w:bCs/>
          <w:szCs w:val="24"/>
        </w:rPr>
        <w:t xml:space="preserve"> J</w:t>
      </w:r>
      <w:r w:rsidR="003660B3">
        <w:rPr>
          <w:rFonts w:cs="Arial"/>
          <w:b/>
          <w:bCs/>
          <w:szCs w:val="24"/>
        </w:rPr>
        <w:t>:</w:t>
      </w:r>
    </w:p>
    <w:p w14:paraId="5EE237CD" w14:textId="3F2FC482" w:rsidR="00C80925" w:rsidRPr="00073D81" w:rsidRDefault="00C80925" w:rsidP="002A276A">
      <w:pPr>
        <w:pStyle w:val="JudgmentNumbered"/>
        <w:numPr>
          <w:ilvl w:val="0"/>
          <w:numId w:val="0"/>
        </w:numPr>
        <w:spacing w:line="240" w:lineRule="auto"/>
      </w:pPr>
    </w:p>
    <w:p w14:paraId="67072146" w14:textId="2C40F131" w:rsidR="00642E81" w:rsidRPr="00642E81" w:rsidRDefault="00642E81" w:rsidP="000D0AD1">
      <w:pPr>
        <w:pStyle w:val="JudgmentNumbered"/>
      </w:pPr>
      <w:r w:rsidRPr="00E74E2E">
        <w:rPr>
          <w:szCs w:val="24"/>
          <w:lang w:val="en-US"/>
        </w:rPr>
        <w:t xml:space="preserve">This is an application for the recognition and enforcement of a foreign </w:t>
      </w:r>
      <w:r w:rsidRPr="004C673C">
        <w:rPr>
          <w:szCs w:val="24"/>
          <w:lang w:val="en-US"/>
        </w:rPr>
        <w:t>arbitra</w:t>
      </w:r>
      <w:r w:rsidR="004C673C">
        <w:rPr>
          <w:szCs w:val="24"/>
          <w:lang w:val="en-US"/>
        </w:rPr>
        <w:t>tion</w:t>
      </w:r>
      <w:r w:rsidRPr="00E74E2E">
        <w:rPr>
          <w:szCs w:val="24"/>
          <w:lang w:val="en-US"/>
        </w:rPr>
        <w:t xml:space="preserve"> award. The application arises out of an award made on </w:t>
      </w:r>
      <w:r w:rsidRPr="00AD61A5">
        <w:rPr>
          <w:szCs w:val="24"/>
          <w:lang w:val="en-US"/>
        </w:rPr>
        <w:t>12 June 202</w:t>
      </w:r>
      <w:r>
        <w:rPr>
          <w:szCs w:val="24"/>
          <w:lang w:val="en-US"/>
        </w:rPr>
        <w:t>0</w:t>
      </w:r>
      <w:r w:rsidRPr="00AD61A5">
        <w:rPr>
          <w:szCs w:val="24"/>
          <w:lang w:val="en-US"/>
        </w:rPr>
        <w:t xml:space="preserve">, in arbitration proceedings between the </w:t>
      </w:r>
      <w:r>
        <w:rPr>
          <w:szCs w:val="24"/>
          <w:lang w:val="en-US"/>
        </w:rPr>
        <w:t>a</w:t>
      </w:r>
      <w:r w:rsidRPr="00AD61A5">
        <w:rPr>
          <w:szCs w:val="24"/>
          <w:lang w:val="en-US"/>
        </w:rPr>
        <w:t>pplicant</w:t>
      </w:r>
      <w:r>
        <w:rPr>
          <w:szCs w:val="24"/>
          <w:lang w:val="en-US"/>
        </w:rPr>
        <w:t xml:space="preserve">, </w:t>
      </w:r>
      <w:r w:rsidRPr="00AD61A5">
        <w:rPr>
          <w:szCs w:val="24"/>
          <w:lang w:val="en-US"/>
        </w:rPr>
        <w:t>Momoco International Limited</w:t>
      </w:r>
      <w:r>
        <w:rPr>
          <w:szCs w:val="24"/>
          <w:lang w:val="en-US"/>
        </w:rPr>
        <w:t xml:space="preserve"> (</w:t>
      </w:r>
      <w:r w:rsidRPr="00AD61A5">
        <w:rPr>
          <w:szCs w:val="24"/>
          <w:lang w:val="en-US"/>
        </w:rPr>
        <w:t>Momoco</w:t>
      </w:r>
      <w:r>
        <w:rPr>
          <w:szCs w:val="24"/>
          <w:lang w:val="en-US"/>
        </w:rPr>
        <w:t>)</w:t>
      </w:r>
      <w:r w:rsidRPr="00AD61A5">
        <w:rPr>
          <w:szCs w:val="24"/>
          <w:lang w:val="en-US"/>
        </w:rPr>
        <w:t xml:space="preserve"> and the </w:t>
      </w:r>
      <w:r>
        <w:rPr>
          <w:szCs w:val="24"/>
          <w:lang w:val="en-US"/>
        </w:rPr>
        <w:t>r</w:t>
      </w:r>
      <w:r w:rsidRPr="00AD61A5">
        <w:rPr>
          <w:szCs w:val="24"/>
          <w:lang w:val="en-US"/>
        </w:rPr>
        <w:t>espondent</w:t>
      </w:r>
      <w:r>
        <w:rPr>
          <w:szCs w:val="24"/>
          <w:lang w:val="en-US"/>
        </w:rPr>
        <w:t>,</w:t>
      </w:r>
      <w:r w:rsidRPr="00E74E2E">
        <w:rPr>
          <w:szCs w:val="24"/>
          <w:lang w:val="en-US"/>
        </w:rPr>
        <w:t xml:space="preserve"> </w:t>
      </w:r>
      <w:r w:rsidRPr="00AD61A5">
        <w:rPr>
          <w:szCs w:val="24"/>
          <w:lang w:val="en-US"/>
        </w:rPr>
        <w:t xml:space="preserve">GFE-MIR Alloys </w:t>
      </w:r>
      <w:r>
        <w:rPr>
          <w:szCs w:val="24"/>
          <w:lang w:val="en-US"/>
        </w:rPr>
        <w:t>a</w:t>
      </w:r>
      <w:r w:rsidRPr="00AD61A5">
        <w:rPr>
          <w:szCs w:val="24"/>
          <w:lang w:val="en-US"/>
        </w:rPr>
        <w:t>nd Minerals S</w:t>
      </w:r>
      <w:r>
        <w:rPr>
          <w:szCs w:val="24"/>
          <w:lang w:val="en-US"/>
        </w:rPr>
        <w:t>A</w:t>
      </w:r>
      <w:r w:rsidRPr="00AD61A5">
        <w:rPr>
          <w:szCs w:val="24"/>
          <w:lang w:val="en-US"/>
        </w:rPr>
        <w:t xml:space="preserve"> (Pty) Limited</w:t>
      </w:r>
      <w:r>
        <w:rPr>
          <w:szCs w:val="24"/>
          <w:lang w:val="en-US"/>
        </w:rPr>
        <w:t xml:space="preserve"> (</w:t>
      </w:r>
      <w:r w:rsidRPr="00DE1FD1">
        <w:rPr>
          <w:szCs w:val="24"/>
          <w:lang w:val="en-US"/>
        </w:rPr>
        <w:t>GFE</w:t>
      </w:r>
      <w:r>
        <w:rPr>
          <w:szCs w:val="24"/>
          <w:lang w:val="en-US"/>
        </w:rPr>
        <w:t>),</w:t>
      </w:r>
      <w:r w:rsidRPr="00AD61A5">
        <w:rPr>
          <w:szCs w:val="24"/>
          <w:lang w:val="en-US"/>
        </w:rPr>
        <w:t xml:space="preserve"> held </w:t>
      </w:r>
      <w:r w:rsidR="00BC6439">
        <w:rPr>
          <w:szCs w:val="24"/>
          <w:lang w:val="en-US"/>
        </w:rPr>
        <w:t>in</w:t>
      </w:r>
      <w:r w:rsidRPr="00AD61A5">
        <w:rPr>
          <w:szCs w:val="24"/>
          <w:lang w:val="en-US"/>
        </w:rPr>
        <w:t xml:space="preserve"> Beijing, People</w:t>
      </w:r>
      <w:r w:rsidR="00560FD8">
        <w:rPr>
          <w:szCs w:val="24"/>
          <w:lang w:val="en-US"/>
        </w:rPr>
        <w:t>’</w:t>
      </w:r>
      <w:r w:rsidRPr="00AD61A5">
        <w:rPr>
          <w:szCs w:val="24"/>
          <w:lang w:val="en-US"/>
        </w:rPr>
        <w:t>s Republic of China</w:t>
      </w:r>
      <w:r>
        <w:rPr>
          <w:szCs w:val="24"/>
          <w:lang w:val="en-US"/>
        </w:rPr>
        <w:t xml:space="preserve">. GFE </w:t>
      </w:r>
      <w:r w:rsidRPr="00C06191">
        <w:rPr>
          <w:szCs w:val="24"/>
          <w:lang w:val="en-US"/>
        </w:rPr>
        <w:t>resists the application.</w:t>
      </w:r>
      <w:r w:rsidRPr="006613E6">
        <w:rPr>
          <w:szCs w:val="24"/>
          <w:lang w:val="en-US"/>
        </w:rPr>
        <w:t xml:space="preserve"> </w:t>
      </w:r>
      <w:r>
        <w:rPr>
          <w:szCs w:val="24"/>
          <w:lang w:val="en-US"/>
        </w:rPr>
        <w:t>In</w:t>
      </w:r>
      <w:r w:rsidRPr="00366F95">
        <w:rPr>
          <w:szCs w:val="24"/>
          <w:lang w:val="en-US"/>
        </w:rPr>
        <w:t xml:space="preserve"> terms of the award, </w:t>
      </w:r>
      <w:r>
        <w:rPr>
          <w:szCs w:val="24"/>
          <w:lang w:val="en-US"/>
        </w:rPr>
        <w:t xml:space="preserve">GFE </w:t>
      </w:r>
      <w:r w:rsidRPr="00366F95">
        <w:rPr>
          <w:szCs w:val="24"/>
          <w:lang w:val="en-US"/>
        </w:rPr>
        <w:t>was ordered to</w:t>
      </w:r>
      <w:r>
        <w:rPr>
          <w:szCs w:val="24"/>
          <w:lang w:val="en-US"/>
        </w:rPr>
        <w:t>:</w:t>
      </w:r>
    </w:p>
    <w:p w14:paraId="06AB650B" w14:textId="3E4C5659" w:rsidR="00C80925" w:rsidRPr="00642E81" w:rsidRDefault="00642E81" w:rsidP="00642E81">
      <w:pPr>
        <w:pStyle w:val="JudgmentNumbered"/>
        <w:numPr>
          <w:ilvl w:val="1"/>
          <w:numId w:val="4"/>
        </w:numPr>
      </w:pPr>
      <w:r w:rsidRPr="00642E81">
        <w:rPr>
          <w:rFonts w:eastAsia="Times New Roman"/>
          <w:color w:val="000000"/>
          <w:szCs w:val="24"/>
          <w:lang w:val="en-US" w:eastAsia="en-GB"/>
        </w:rPr>
        <w:t>pay the applicant $ 1</w:t>
      </w:r>
      <w:r w:rsidR="004C3457">
        <w:rPr>
          <w:rFonts w:eastAsia="Times New Roman"/>
          <w:color w:val="000000"/>
          <w:szCs w:val="24"/>
          <w:lang w:val="en-US" w:eastAsia="en-GB"/>
        </w:rPr>
        <w:t xml:space="preserve"> </w:t>
      </w:r>
      <w:r w:rsidRPr="00642E81">
        <w:rPr>
          <w:rFonts w:eastAsia="Times New Roman"/>
          <w:color w:val="000000"/>
          <w:szCs w:val="24"/>
          <w:lang w:val="en-US" w:eastAsia="en-GB"/>
        </w:rPr>
        <w:t>088</w:t>
      </w:r>
      <w:r w:rsidR="004C3457">
        <w:rPr>
          <w:rFonts w:eastAsia="Times New Roman"/>
          <w:color w:val="000000"/>
          <w:szCs w:val="24"/>
          <w:lang w:val="en-US" w:eastAsia="en-GB"/>
        </w:rPr>
        <w:t xml:space="preserve"> </w:t>
      </w:r>
      <w:r w:rsidRPr="00642E81">
        <w:rPr>
          <w:rFonts w:eastAsia="Times New Roman"/>
          <w:color w:val="000000"/>
          <w:szCs w:val="24"/>
          <w:lang w:val="en-US" w:eastAsia="en-GB"/>
        </w:rPr>
        <w:t>488.63 together with interest from 27 January 2014 until 26 November 2018 at a rate of 3.00%</w:t>
      </w:r>
      <w:r w:rsidR="002C2644">
        <w:rPr>
          <w:rFonts w:eastAsia="Times New Roman"/>
          <w:color w:val="000000"/>
          <w:szCs w:val="24"/>
          <w:lang w:val="en-US" w:eastAsia="en-GB"/>
        </w:rPr>
        <w:t>;</w:t>
      </w:r>
    </w:p>
    <w:p w14:paraId="4323E2CF" w14:textId="47C63B85" w:rsidR="00642E81" w:rsidRPr="00642E81" w:rsidRDefault="00642E81" w:rsidP="00642E81">
      <w:pPr>
        <w:pStyle w:val="JudgmentNumbered"/>
        <w:numPr>
          <w:ilvl w:val="1"/>
          <w:numId w:val="4"/>
        </w:numPr>
      </w:pPr>
      <w:r w:rsidRPr="00642E81">
        <w:rPr>
          <w:lang w:val="en-US"/>
        </w:rPr>
        <w:t>compensate the applicant for its attorney fees of $</w:t>
      </w:r>
      <w:r w:rsidR="004C3457">
        <w:rPr>
          <w:lang w:val="en-US"/>
        </w:rPr>
        <w:t xml:space="preserve"> </w:t>
      </w:r>
      <w:r w:rsidRPr="00642E81">
        <w:rPr>
          <w:lang w:val="en-US"/>
        </w:rPr>
        <w:t>65</w:t>
      </w:r>
      <w:r w:rsidR="00500164">
        <w:rPr>
          <w:lang w:val="en-US"/>
        </w:rPr>
        <w:t xml:space="preserve"> </w:t>
      </w:r>
      <w:r w:rsidRPr="00642E81">
        <w:rPr>
          <w:lang w:val="en-US"/>
        </w:rPr>
        <w:t>500</w:t>
      </w:r>
      <w:r w:rsidR="002C2644">
        <w:rPr>
          <w:lang w:val="en-US"/>
        </w:rPr>
        <w:t>;</w:t>
      </w:r>
    </w:p>
    <w:p w14:paraId="5551F768" w14:textId="1AE63E5A" w:rsidR="00642E81" w:rsidRPr="00642E81" w:rsidRDefault="00642E81" w:rsidP="00642E81">
      <w:pPr>
        <w:pStyle w:val="JudgmentNumbered"/>
        <w:numPr>
          <w:ilvl w:val="1"/>
          <w:numId w:val="4"/>
        </w:numPr>
      </w:pPr>
      <w:r w:rsidRPr="00642E81">
        <w:rPr>
          <w:lang w:val="en-US"/>
        </w:rPr>
        <w:t>pay the arbitration fee of RMB</w:t>
      </w:r>
      <w:r w:rsidR="004C3457">
        <w:rPr>
          <w:lang w:val="en-US"/>
        </w:rPr>
        <w:t xml:space="preserve"> </w:t>
      </w:r>
      <w:r w:rsidRPr="00642E81">
        <w:rPr>
          <w:lang w:val="en-US"/>
        </w:rPr>
        <w:t>236</w:t>
      </w:r>
      <w:r w:rsidR="00500164">
        <w:rPr>
          <w:lang w:val="en-US"/>
        </w:rPr>
        <w:t xml:space="preserve"> </w:t>
      </w:r>
      <w:r w:rsidRPr="00642E81">
        <w:rPr>
          <w:lang w:val="en-US"/>
        </w:rPr>
        <w:t>521 in full</w:t>
      </w:r>
      <w:r>
        <w:rPr>
          <w:lang w:val="en-US"/>
        </w:rPr>
        <w:t xml:space="preserve">; </w:t>
      </w:r>
      <w:r w:rsidR="00A9100A">
        <w:rPr>
          <w:lang w:val="en-US"/>
        </w:rPr>
        <w:t>and</w:t>
      </w:r>
    </w:p>
    <w:p w14:paraId="37DDFFDE" w14:textId="348E18C9" w:rsidR="00533FA8" w:rsidRDefault="00642E81" w:rsidP="00642E81">
      <w:pPr>
        <w:pStyle w:val="JudgmentNumbered"/>
        <w:numPr>
          <w:ilvl w:val="1"/>
          <w:numId w:val="4"/>
        </w:numPr>
      </w:pPr>
      <w:r w:rsidRPr="00642E81">
        <w:rPr>
          <w:lang w:val="en-US"/>
        </w:rPr>
        <w:t>pay the arbitration fees for the counterclaim in the amount of $</w:t>
      </w:r>
      <w:r w:rsidR="0048739E">
        <w:rPr>
          <w:lang w:val="en-US"/>
        </w:rPr>
        <w:t xml:space="preserve"> </w:t>
      </w:r>
      <w:r w:rsidRPr="00642E81">
        <w:rPr>
          <w:lang w:val="en-US"/>
        </w:rPr>
        <w:t>21</w:t>
      </w:r>
      <w:r w:rsidR="00D34CCE">
        <w:rPr>
          <w:lang w:val="en-US"/>
        </w:rPr>
        <w:t xml:space="preserve"> </w:t>
      </w:r>
      <w:r w:rsidRPr="00642E81">
        <w:rPr>
          <w:lang w:val="en-US"/>
        </w:rPr>
        <w:t>776.3</w:t>
      </w:r>
      <w:r>
        <w:rPr>
          <w:lang w:val="en-US"/>
        </w:rPr>
        <w:t>.</w:t>
      </w:r>
    </w:p>
    <w:p w14:paraId="03631CC8" w14:textId="0A6486E2" w:rsidR="00CC7583" w:rsidRPr="00CC7583" w:rsidRDefault="00642E81" w:rsidP="00596BC8">
      <w:pPr>
        <w:pStyle w:val="JudgmentNumbered"/>
        <w:numPr>
          <w:ilvl w:val="0"/>
          <w:numId w:val="0"/>
        </w:numPr>
        <w:ind w:left="567"/>
        <w:rPr>
          <w:i/>
          <w:iCs/>
        </w:rPr>
      </w:pPr>
      <w:r>
        <w:rPr>
          <w:i/>
          <w:iCs/>
        </w:rPr>
        <w:t xml:space="preserve">The </w:t>
      </w:r>
      <w:r w:rsidR="008D20F2" w:rsidRPr="00CC7583">
        <w:rPr>
          <w:i/>
          <w:iCs/>
        </w:rPr>
        <w:t>p</w:t>
      </w:r>
      <w:r w:rsidR="00CC7583" w:rsidRPr="00CC7583">
        <w:rPr>
          <w:i/>
          <w:iCs/>
        </w:rPr>
        <w:t xml:space="preserve">arties </w:t>
      </w:r>
    </w:p>
    <w:p w14:paraId="2996035D" w14:textId="3BBEA40C" w:rsidR="00EA068B" w:rsidRPr="00596BC8" w:rsidRDefault="00A9100A" w:rsidP="006F63BB">
      <w:pPr>
        <w:pStyle w:val="JudgmentNumbered"/>
      </w:pPr>
      <w:r w:rsidRPr="00A9100A">
        <w:rPr>
          <w:lang w:val="en-US"/>
        </w:rPr>
        <w:t xml:space="preserve">Momoco is a </w:t>
      </w:r>
      <w:r w:rsidRPr="00916D3F">
        <w:rPr>
          <w:lang w:val="en-US"/>
        </w:rPr>
        <w:t>British</w:t>
      </w:r>
      <w:r w:rsidRPr="00A9100A">
        <w:rPr>
          <w:lang w:val="en-US"/>
        </w:rPr>
        <w:t xml:space="preserve"> incorporated company, duly registered and incorporated in terms of the laws of England and Wales, </w:t>
      </w:r>
      <w:r w:rsidRPr="00E34D3B">
        <w:rPr>
          <w:lang w:val="en-US"/>
        </w:rPr>
        <w:t>United Kingdom</w:t>
      </w:r>
      <w:r w:rsidRPr="00A9100A">
        <w:rPr>
          <w:lang w:val="en-US"/>
        </w:rPr>
        <w:t>. Momoco was the claimant in the arbitration proceedings. GFE is a South African company, duly registered and incorporated in terms of the laws of the Republic of South Africa.</w:t>
      </w:r>
    </w:p>
    <w:p w14:paraId="574B77E1" w14:textId="3E8C5B44" w:rsidR="005F55BB" w:rsidRDefault="00A9100A" w:rsidP="006F63BB">
      <w:pPr>
        <w:pStyle w:val="JudgmentNumbered"/>
      </w:pPr>
      <w:r w:rsidRPr="00A9100A">
        <w:rPr>
          <w:lang w:val="en-US"/>
        </w:rPr>
        <w:t xml:space="preserve"> The arbitration was an international arbitration as contemplated by Article 1(3) of the Model Law</w:t>
      </w:r>
      <w:r w:rsidRPr="00A9100A">
        <w:rPr>
          <w:vertAlign w:val="superscript"/>
          <w:lang w:val="en-US"/>
        </w:rPr>
        <w:footnoteReference w:id="1"/>
      </w:r>
      <w:r w:rsidRPr="00A9100A">
        <w:rPr>
          <w:lang w:val="en-US"/>
        </w:rPr>
        <w:t xml:space="preserve"> because at the time of the conclusion of the arbitration agreement, the parties had their places of business in different countries</w:t>
      </w:r>
      <w:r w:rsidR="00367BE2">
        <w:t xml:space="preserve">. </w:t>
      </w:r>
    </w:p>
    <w:p w14:paraId="280D0488" w14:textId="128161D8" w:rsidR="006F63BB" w:rsidRPr="006F63BB" w:rsidRDefault="00671FAD" w:rsidP="00E21876">
      <w:pPr>
        <w:pStyle w:val="JudgmentNumbered"/>
        <w:numPr>
          <w:ilvl w:val="0"/>
          <w:numId w:val="0"/>
        </w:numPr>
        <w:ind w:left="567"/>
        <w:rPr>
          <w:i/>
          <w:iCs/>
        </w:rPr>
      </w:pPr>
      <w:r>
        <w:rPr>
          <w:i/>
          <w:iCs/>
        </w:rPr>
        <w:lastRenderedPageBreak/>
        <w:t xml:space="preserve">Factual </w:t>
      </w:r>
      <w:r w:rsidR="006F63BB" w:rsidRPr="006F63BB">
        <w:rPr>
          <w:i/>
          <w:iCs/>
        </w:rPr>
        <w:t xml:space="preserve">Background </w:t>
      </w:r>
    </w:p>
    <w:p w14:paraId="5604036A" w14:textId="03ADF193" w:rsidR="00872DE1" w:rsidRDefault="00A9100A" w:rsidP="00FF4BA3">
      <w:pPr>
        <w:pStyle w:val="JudgmentNumbered"/>
      </w:pPr>
      <w:r w:rsidRPr="00A9100A">
        <w:rPr>
          <w:lang w:val="en-US"/>
        </w:rPr>
        <w:t>The background facts leading to the arbitration proceedings, which form the basis of this application are largely common cause between the parties and clearly set out in Momoco’s founding affidavit. The applicant is an international trading entity that imports and exports various goods. The respondent speciali</w:t>
      </w:r>
      <w:r w:rsidR="009D7076">
        <w:rPr>
          <w:lang w:val="en-US"/>
        </w:rPr>
        <w:t>s</w:t>
      </w:r>
      <w:r w:rsidRPr="00A9100A">
        <w:rPr>
          <w:lang w:val="en-US"/>
        </w:rPr>
        <w:t>es in the manufacture and marketing of alloys and associated products for the steel, foundry and light metals industries. During the period 2011 to 2014, the applicant concluded numerous sale agreements with the respondent in terms of which the respondent ordered and the applicant supplied cored wire (either 9mm or 13mm) to the respondent for an agreed price</w:t>
      </w:r>
      <w:r w:rsidR="00872DE1">
        <w:t>.</w:t>
      </w:r>
    </w:p>
    <w:p w14:paraId="59C6CB0E" w14:textId="0B04152B" w:rsidR="00FF4BA3" w:rsidRDefault="00A9100A" w:rsidP="00FF4BA3">
      <w:pPr>
        <w:pStyle w:val="JudgmentNumbered"/>
      </w:pPr>
      <w:r w:rsidRPr="00A9100A">
        <w:rPr>
          <w:lang w:val="en-US"/>
        </w:rPr>
        <w:t xml:space="preserve">In each instance, the </w:t>
      </w:r>
      <w:r w:rsidRPr="00C01C06">
        <w:rPr>
          <w:lang w:val="en-US"/>
        </w:rPr>
        <w:t>agreement</w:t>
      </w:r>
      <w:r w:rsidR="00C01C06">
        <w:rPr>
          <w:lang w:val="en-US"/>
        </w:rPr>
        <w:t>s</w:t>
      </w:r>
      <w:r w:rsidRPr="00A9100A">
        <w:rPr>
          <w:lang w:val="en-US"/>
        </w:rPr>
        <w:t xml:space="preserve"> w</w:t>
      </w:r>
      <w:r w:rsidR="00C01C06">
        <w:rPr>
          <w:lang w:val="en-US"/>
        </w:rPr>
        <w:t>ere</w:t>
      </w:r>
      <w:r w:rsidRPr="00A9100A">
        <w:rPr>
          <w:lang w:val="en-US"/>
        </w:rPr>
        <w:t xml:space="preserve"> concluded by the respondent sending an order to the applicant for a specified amount of cored wire. The order was on a prescribed order form and was sent by email. A written agreement was thus concluded on the terms set out in each sales confirmation in the following manner</w:t>
      </w:r>
      <w:r w:rsidR="006A03BA">
        <w:rPr>
          <w:lang w:val="en-US"/>
        </w:rPr>
        <w:t>:</w:t>
      </w:r>
      <w:r w:rsidRPr="00A9100A">
        <w:rPr>
          <w:lang w:val="en-US"/>
        </w:rPr>
        <w:t xml:space="preserve"> </w:t>
      </w:r>
      <w:r w:rsidR="00727D48">
        <w:rPr>
          <w:lang w:val="en-US"/>
        </w:rPr>
        <w:t>t</w:t>
      </w:r>
      <w:r w:rsidRPr="00A9100A">
        <w:rPr>
          <w:lang w:val="en-US"/>
        </w:rPr>
        <w:t>he applicant accepted the order and communicated the acceptance to the respondent</w:t>
      </w:r>
      <w:r w:rsidR="00263A7D">
        <w:rPr>
          <w:lang w:val="en-US"/>
        </w:rPr>
        <w:t xml:space="preserve"> by sending a </w:t>
      </w:r>
      <w:r w:rsidR="00263A7D" w:rsidRPr="00A9100A">
        <w:rPr>
          <w:lang w:val="en-US"/>
        </w:rPr>
        <w:t>duly signed</w:t>
      </w:r>
      <w:r w:rsidRPr="00A9100A">
        <w:rPr>
          <w:lang w:val="en-US"/>
        </w:rPr>
        <w:t xml:space="preserve"> sales confirmation</w:t>
      </w:r>
      <w:r w:rsidR="00923E03">
        <w:rPr>
          <w:lang w:val="en-US"/>
        </w:rPr>
        <w:t xml:space="preserve"> </w:t>
      </w:r>
      <w:r w:rsidR="00263A7D">
        <w:rPr>
          <w:lang w:val="en-US"/>
        </w:rPr>
        <w:t>via</w:t>
      </w:r>
      <w:r w:rsidRPr="00A9100A">
        <w:rPr>
          <w:lang w:val="en-US"/>
        </w:rPr>
        <w:t xml:space="preserve"> email</w:t>
      </w:r>
      <w:r w:rsidR="00263A7D">
        <w:rPr>
          <w:lang w:val="en-US"/>
        </w:rPr>
        <w:t>.</w:t>
      </w:r>
      <w:r w:rsidRPr="00A9100A">
        <w:rPr>
          <w:lang w:val="en-US"/>
        </w:rPr>
        <w:t xml:space="preserve">  The respondent </w:t>
      </w:r>
      <w:r w:rsidR="001B05CF">
        <w:rPr>
          <w:lang w:val="en-US"/>
        </w:rPr>
        <w:t xml:space="preserve">then </w:t>
      </w:r>
      <w:r w:rsidRPr="00A9100A">
        <w:rPr>
          <w:lang w:val="en-US"/>
        </w:rPr>
        <w:t>signed the sales confirmation form and sent it back to the applicant by email</w:t>
      </w:r>
      <w:r w:rsidR="0081374B" w:rsidRPr="0081374B">
        <w:t>.</w:t>
      </w:r>
    </w:p>
    <w:p w14:paraId="64512059" w14:textId="36ACC499" w:rsidR="006A7D0D" w:rsidRDefault="00A9100A" w:rsidP="006A7D0D">
      <w:pPr>
        <w:pStyle w:val="JudgmentNumbered"/>
      </w:pPr>
      <w:r w:rsidRPr="00A9100A">
        <w:rPr>
          <w:lang w:val="en-US"/>
        </w:rPr>
        <w:t>The applicant delivered the cored wire to the respondent by sea freight in accordance with the sale agreements. However, the respondent failed to make payment of the agreed purchase considerations in terms of the sale agreements. Despite demand, the respondent has refused to pay the purchase considerations due to the applicant. There is no dispute that the respondent ha</w:t>
      </w:r>
      <w:r w:rsidR="001A5D55">
        <w:rPr>
          <w:lang w:val="en-US"/>
        </w:rPr>
        <w:t>s</w:t>
      </w:r>
      <w:r w:rsidRPr="00A9100A">
        <w:rPr>
          <w:lang w:val="en-US"/>
        </w:rPr>
        <w:t xml:space="preserve"> breached the supply agreements by failing to settle the outstanding amount for the sales concluded in terms of the 16 sales confirmation. Consequently, a dispute arose between the applicant and the respondent</w:t>
      </w:r>
      <w:r w:rsidR="00FF4BA3">
        <w:t>.</w:t>
      </w:r>
      <w:r w:rsidR="00912ECF">
        <w:t xml:space="preserve"> </w:t>
      </w:r>
    </w:p>
    <w:p w14:paraId="017C708A" w14:textId="7DE345B0" w:rsidR="004154E3" w:rsidRDefault="00A9100A" w:rsidP="006A7D0D">
      <w:pPr>
        <w:pStyle w:val="JudgmentNumbered"/>
      </w:pPr>
      <w:r w:rsidRPr="00A9100A">
        <w:rPr>
          <w:lang w:val="en-US"/>
        </w:rPr>
        <w:t>It is common cause that the relief the applicant seeks is primarily premised on the recognition and enforcement provisions of the International Arbitration Act,</w:t>
      </w:r>
      <w:r w:rsidR="001A5D55">
        <w:rPr>
          <w:rStyle w:val="FootnoteReference"/>
          <w:lang w:val="en-US"/>
        </w:rPr>
        <w:footnoteReference w:id="2"/>
      </w:r>
      <w:r w:rsidRPr="00A9100A">
        <w:rPr>
          <w:lang w:val="en-US"/>
        </w:rPr>
        <w:t xml:space="preserve"> </w:t>
      </w:r>
      <w:r w:rsidR="001A5D55">
        <w:rPr>
          <w:lang w:val="en-US"/>
        </w:rPr>
        <w:t>(</w:t>
      </w:r>
      <w:r w:rsidRPr="00A9100A">
        <w:rPr>
          <w:lang w:val="en-US"/>
        </w:rPr>
        <w:t xml:space="preserve">the Act) which provides for the incorporation of the UNCITRAL Model Law and </w:t>
      </w:r>
      <w:r w:rsidRPr="00A9100A">
        <w:rPr>
          <w:lang w:val="en-US"/>
        </w:rPr>
        <w:lastRenderedPageBreak/>
        <w:t>the</w:t>
      </w:r>
      <w:r w:rsidR="001A5D55">
        <w:rPr>
          <w:lang w:val="en-US"/>
        </w:rPr>
        <w:t xml:space="preserve"> </w:t>
      </w:r>
      <w:r w:rsidRPr="00A9100A">
        <w:rPr>
          <w:lang w:val="en-US"/>
        </w:rPr>
        <w:t>New York Convention</w:t>
      </w:r>
      <w:r w:rsidR="001A5D55">
        <w:rPr>
          <w:rStyle w:val="FootnoteReference"/>
          <w:lang w:val="en-US"/>
        </w:rPr>
        <w:footnoteReference w:id="3"/>
      </w:r>
      <w:r w:rsidRPr="00A9100A">
        <w:rPr>
          <w:lang w:val="en-US"/>
        </w:rPr>
        <w:t xml:space="preserve"> and gives effect to the obligations of the Republic of South Africa under the New York Convention. The Model Law, in its amended form, is attached to the International Arbitration Act as Schedule 1 and forms part of South African domestic law</w:t>
      </w:r>
      <w:r w:rsidR="006F2A33">
        <w:t>.</w:t>
      </w:r>
    </w:p>
    <w:p w14:paraId="41DB6747" w14:textId="32CA7C05" w:rsidR="00BC3F42" w:rsidRDefault="00A9100A" w:rsidP="00DB690B">
      <w:pPr>
        <w:pStyle w:val="JudgmentNumbered"/>
      </w:pPr>
      <w:r w:rsidRPr="00A9100A">
        <w:rPr>
          <w:lang w:val="en-US"/>
        </w:rPr>
        <w:t>The parties concluded written arbitration agreements and agreed that the applicable law would be the laws of the People's Republic of China. Clause 9 of the various agreements is an arbitration agreement as defined in the Model Law, which is common cause between the parties</w:t>
      </w:r>
      <w:r w:rsidR="00BC3F42" w:rsidRPr="006A7D0D">
        <w:t>.</w:t>
      </w:r>
    </w:p>
    <w:p w14:paraId="3B495BE7" w14:textId="0FCFB1C9" w:rsidR="006A7D0D" w:rsidRDefault="00A9100A" w:rsidP="00780D8D">
      <w:pPr>
        <w:pStyle w:val="JudgmentNumbered"/>
      </w:pPr>
      <w:r w:rsidRPr="00A9100A">
        <w:rPr>
          <w:lang w:val="en-US"/>
        </w:rPr>
        <w:t xml:space="preserve">Clause 9 of each of the sales confirmation </w:t>
      </w:r>
      <w:r w:rsidR="00876C6F">
        <w:rPr>
          <w:lang w:val="en-US"/>
        </w:rPr>
        <w:t xml:space="preserve">provides for </w:t>
      </w:r>
      <w:r w:rsidRPr="00A9100A">
        <w:rPr>
          <w:lang w:val="en-US"/>
        </w:rPr>
        <w:t>dispute</w:t>
      </w:r>
      <w:r w:rsidR="00876C6F">
        <w:rPr>
          <w:lang w:val="en-US"/>
        </w:rPr>
        <w:t xml:space="preserve"> resolution</w:t>
      </w:r>
      <w:r w:rsidRPr="00A9100A">
        <w:rPr>
          <w:lang w:val="en-US"/>
        </w:rPr>
        <w:t xml:space="preserve"> </w:t>
      </w:r>
      <w:r w:rsidR="00876C6F">
        <w:rPr>
          <w:lang w:val="en-US"/>
        </w:rPr>
        <w:t xml:space="preserve">mechanisms </w:t>
      </w:r>
      <w:r w:rsidRPr="00A9100A">
        <w:rPr>
          <w:lang w:val="en-US"/>
        </w:rPr>
        <w:t>between the parties</w:t>
      </w:r>
      <w:r w:rsidR="00731E92">
        <w:rPr>
          <w:lang w:val="en-US"/>
        </w:rPr>
        <w:t>. Disputes include issues relating to</w:t>
      </w:r>
      <w:r w:rsidRPr="00A9100A">
        <w:rPr>
          <w:lang w:val="en-US"/>
        </w:rPr>
        <w:t xml:space="preserve"> interpretation, the parties' respective rights or obligations, breach, or any matter arising out of the agreement</w:t>
      </w:r>
      <w:r w:rsidR="00EF2312">
        <w:rPr>
          <w:lang w:val="en-US"/>
        </w:rPr>
        <w:t>. In terms of</w:t>
      </w:r>
      <w:r w:rsidRPr="00A9100A">
        <w:rPr>
          <w:lang w:val="en-US"/>
        </w:rPr>
        <w:t xml:space="preserve"> </w:t>
      </w:r>
      <w:r w:rsidR="008145FD">
        <w:rPr>
          <w:lang w:val="en-US"/>
        </w:rPr>
        <w:t>the clause</w:t>
      </w:r>
      <w:r w:rsidR="00EF2312">
        <w:rPr>
          <w:lang w:val="en-US"/>
        </w:rPr>
        <w:t>,</w:t>
      </w:r>
      <w:r w:rsidRPr="00A9100A">
        <w:rPr>
          <w:lang w:val="en-US"/>
        </w:rPr>
        <w:t xml:space="preserve"> all disputes shall be settled amicably through friendly negotiation failing which</w:t>
      </w:r>
      <w:r w:rsidR="0036307D">
        <w:rPr>
          <w:lang w:val="en-US"/>
        </w:rPr>
        <w:t>,</w:t>
      </w:r>
      <w:r w:rsidRPr="00A9100A">
        <w:rPr>
          <w:lang w:val="en-US"/>
        </w:rPr>
        <w:t xml:space="preserve"> the dispute shall then be submitted to</w:t>
      </w:r>
      <w:r w:rsidR="0036307D">
        <w:rPr>
          <w:lang w:val="en-US"/>
        </w:rPr>
        <w:t xml:space="preserve"> the</w:t>
      </w:r>
      <w:r w:rsidRPr="00A9100A">
        <w:rPr>
          <w:lang w:val="en-US"/>
        </w:rPr>
        <w:t xml:space="preserve"> China International Economic and Trade Arbitrations Commission</w:t>
      </w:r>
      <w:r w:rsidR="00EA3303">
        <w:rPr>
          <w:lang w:val="en-US"/>
        </w:rPr>
        <w:t xml:space="preserve"> (CIETAC)</w:t>
      </w:r>
      <w:r w:rsidRPr="00A9100A">
        <w:rPr>
          <w:lang w:val="en-US"/>
        </w:rPr>
        <w:t xml:space="preserve">, for arbitration in accordance with its rules. It was agreed that Chinese law shall be applicable, and that </w:t>
      </w:r>
      <w:r w:rsidR="007510C8">
        <w:rPr>
          <w:lang w:val="en-US"/>
        </w:rPr>
        <w:t xml:space="preserve">an </w:t>
      </w:r>
      <w:r w:rsidRPr="00A9100A">
        <w:rPr>
          <w:lang w:val="en-US"/>
        </w:rPr>
        <w:t>arbitral award is final and binding upon both parties.  By agreeing to arbitration, parties waived their rights</w:t>
      </w:r>
      <w:r w:rsidRPr="00A9100A">
        <w:rPr>
          <w:i/>
          <w:iCs/>
          <w:lang w:val="en-US"/>
        </w:rPr>
        <w:t> pro tanto</w:t>
      </w:r>
      <w:r w:rsidR="00690FE2">
        <w:rPr>
          <w:i/>
          <w:iCs/>
          <w:lang w:val="en-US"/>
        </w:rPr>
        <w:t>.</w:t>
      </w:r>
      <w:r w:rsidRPr="00596BC8">
        <w:rPr>
          <w:iCs/>
          <w:vertAlign w:val="superscript"/>
          <w:lang w:val="en-US"/>
        </w:rPr>
        <w:footnoteReference w:id="4"/>
      </w:r>
      <w:r w:rsidRPr="00A9100A">
        <w:rPr>
          <w:lang w:val="en-US"/>
        </w:rPr>
        <w:t xml:space="preserve">  In due course, the respondent failed to pay the applicant the agreed contract price in terms of the sale agreements and consequently, a dispute arose between the parties arising from the execution of each of the sale agreements. Attempts to resolve the dispute amicably were unsuccessful</w:t>
      </w:r>
      <w:r w:rsidR="00C82B0C">
        <w:t>.</w:t>
      </w:r>
      <w:r w:rsidR="00111181">
        <w:t xml:space="preserve"> </w:t>
      </w:r>
    </w:p>
    <w:p w14:paraId="742BDD29" w14:textId="7798B87E" w:rsidR="00A05CF7" w:rsidRDefault="00C82B0C" w:rsidP="00C06705">
      <w:pPr>
        <w:pStyle w:val="JudgmentNumbered"/>
      </w:pPr>
      <w:r w:rsidRPr="00C82B0C">
        <w:rPr>
          <w:lang w:val="en-US"/>
        </w:rPr>
        <w:t xml:space="preserve">Consequently, on 10 November 2017, the applicant submitted the dispute to arbitration to CIETAC. The applicant subsequently amended its specific claims to be that the respondent make payment of the remaining 16 sales confirmations. On 15 May 2018, the </w:t>
      </w:r>
      <w:r w:rsidR="00CC744D" w:rsidRPr="00C82B0C">
        <w:rPr>
          <w:lang w:val="en-US"/>
        </w:rPr>
        <w:t xml:space="preserve">CIETAC </w:t>
      </w:r>
      <w:r w:rsidRPr="00C82B0C">
        <w:rPr>
          <w:lang w:val="en-US"/>
        </w:rPr>
        <w:t>Court of Arbitration served the arbitration notice, the arbitration rules, and register of arbitrators of CIETAC on both parties respectively by express mail and delivered the arbitration application and related evidentiary materials submitted by the applicant to the respondent. Article 25</w:t>
      </w:r>
      <w:r w:rsidR="00247599">
        <w:rPr>
          <w:lang w:val="en-US"/>
        </w:rPr>
        <w:t> </w:t>
      </w:r>
      <w:r w:rsidRPr="00C82B0C">
        <w:rPr>
          <w:lang w:val="en-US"/>
        </w:rPr>
        <w:t xml:space="preserve">(2) </w:t>
      </w:r>
      <w:r w:rsidRPr="00C82B0C">
        <w:rPr>
          <w:lang w:val="en-US"/>
        </w:rPr>
        <w:lastRenderedPageBreak/>
        <w:t>of the rules provides</w:t>
      </w:r>
      <w:r w:rsidR="00BE2F56">
        <w:rPr>
          <w:lang w:val="en-US"/>
        </w:rPr>
        <w:t xml:space="preserve"> </w:t>
      </w:r>
      <w:r w:rsidR="00C06705">
        <w:rPr>
          <w:lang w:val="en-US"/>
        </w:rPr>
        <w:t>–</w:t>
      </w:r>
      <w:r w:rsidRPr="00C06705">
        <w:rPr>
          <w:lang w:val="en-US"/>
        </w:rPr>
        <w:t xml:space="preserve"> </w:t>
      </w:r>
      <w:r w:rsidR="00F276AF" w:rsidRPr="00B3666F">
        <w:rPr>
          <w:lang w:val="en-US"/>
        </w:rPr>
        <w:t>“</w:t>
      </w:r>
      <w:r w:rsidR="00247599" w:rsidRPr="00C25F8F">
        <w:rPr>
          <w:lang w:val="en-US"/>
        </w:rPr>
        <w:t>u</w:t>
      </w:r>
      <w:r w:rsidRPr="00C25F8F">
        <w:rPr>
          <w:lang w:val="en-US"/>
        </w:rPr>
        <w:t>nless otherwise agreed by the parties or provided by these Rules, the arbitral tribunal shall be composed of three arbitrators</w:t>
      </w:r>
      <w:r>
        <w:t>”</w:t>
      </w:r>
      <w:r w:rsidR="00F276AF">
        <w:t>.</w:t>
      </w:r>
    </w:p>
    <w:p w14:paraId="54F88E7C" w14:textId="1BD539FE" w:rsidR="00B40E94" w:rsidRPr="00F93726" w:rsidRDefault="00C82B0C" w:rsidP="00DD385F">
      <w:pPr>
        <w:pStyle w:val="JudgmentNumbered"/>
      </w:pPr>
      <w:r w:rsidRPr="00C82B0C">
        <w:rPr>
          <w:lang w:val="en-US"/>
        </w:rPr>
        <w:t>GFE appointed Mr Lu Song to act as arbitrator. Momoco did not appoint anyone to act as arbitrator and accordingly, in terms of article 27</w:t>
      </w:r>
      <w:r w:rsidR="00247599">
        <w:rPr>
          <w:lang w:val="en-US"/>
        </w:rPr>
        <w:t> </w:t>
      </w:r>
      <w:r w:rsidRPr="00C82B0C">
        <w:rPr>
          <w:lang w:val="en-US"/>
        </w:rPr>
        <w:t>(1) of the CIETAC rules, the chairman of CIETAC appointed Mr Tsang Tao to act as arbitrator. The parties did not jointly appoint the third and presiding arbitrator and accordingly, in terms of article 27</w:t>
      </w:r>
      <w:r w:rsidR="00C06705">
        <w:rPr>
          <w:lang w:val="en-US"/>
        </w:rPr>
        <w:t> </w:t>
      </w:r>
      <w:r w:rsidRPr="00C82B0C">
        <w:rPr>
          <w:lang w:val="en-US"/>
        </w:rPr>
        <w:t>(4) the chairman of CIETAC appointed Mr Song Dihuang to act in that capacity. There is no dispute that the arbitral panel was duly and lawfully appointed. In sum, the arbitrators had to</w:t>
      </w:r>
      <w:r w:rsidR="00DD385F">
        <w:rPr>
          <w:lang w:val="en-US"/>
        </w:rPr>
        <w:t xml:space="preserve"> –</w:t>
      </w:r>
      <w:r w:rsidRPr="00DD385F">
        <w:rPr>
          <w:lang w:val="en-US"/>
        </w:rPr>
        <w:t xml:space="preserve"> (i) interpret the agreement; (ii) by applying Chinese law; (iii) in the light of its terms; and (iv) all the admissible evidence</w:t>
      </w:r>
      <w:r w:rsidR="003001A2" w:rsidRPr="003001A2">
        <w:t>.</w:t>
      </w:r>
    </w:p>
    <w:p w14:paraId="68117BFC" w14:textId="4A3D7D02" w:rsidR="00645597" w:rsidRDefault="00C82B0C" w:rsidP="008D25AD">
      <w:pPr>
        <w:pStyle w:val="JudgmentNumbered"/>
      </w:pPr>
      <w:r w:rsidRPr="00C82B0C">
        <w:rPr>
          <w:lang w:val="en-US"/>
        </w:rPr>
        <w:t xml:space="preserve">On 15 January 2019, the arbitration was heard. </w:t>
      </w:r>
      <w:r w:rsidR="00D56A27" w:rsidRPr="00C82B0C">
        <w:rPr>
          <w:lang w:val="en-US"/>
        </w:rPr>
        <w:t xml:space="preserve">Both parties were represented </w:t>
      </w:r>
      <w:r w:rsidRPr="00C82B0C">
        <w:rPr>
          <w:lang w:val="en-US"/>
        </w:rPr>
        <w:t>in the proceedings. Subsequently, on 12 June 2020, the arbitral award was granted and served on both parties. The arbitral award is final as contemplated in clause 9 of the agreements. However, despite knowing the outcome of the arbitration and the award, the respondent has not complied with the award. The respondent resists to pay in accordance with the arbitral award for reasons dealt with below</w:t>
      </w:r>
      <w:r w:rsidR="00BD4240">
        <w:t>.</w:t>
      </w:r>
    </w:p>
    <w:p w14:paraId="44F71952" w14:textId="0DC44253" w:rsidR="00C82B0C" w:rsidRDefault="00C82B0C" w:rsidP="008D25AD">
      <w:pPr>
        <w:pStyle w:val="JudgmentNumbered"/>
      </w:pPr>
      <w:r w:rsidRPr="00C82B0C">
        <w:rPr>
          <w:lang w:val="en-US"/>
        </w:rPr>
        <w:t xml:space="preserve">In this case, GFE </w:t>
      </w:r>
      <w:r w:rsidR="007A0C9D">
        <w:rPr>
          <w:lang w:val="en-US"/>
        </w:rPr>
        <w:t>neither</w:t>
      </w:r>
      <w:r w:rsidRPr="00C82B0C">
        <w:rPr>
          <w:lang w:val="en-US"/>
        </w:rPr>
        <w:t xml:space="preserve"> challenge</w:t>
      </w:r>
      <w:r w:rsidR="007A0C9D">
        <w:rPr>
          <w:lang w:val="en-US"/>
        </w:rPr>
        <w:t>s</w:t>
      </w:r>
      <w:r w:rsidRPr="00C82B0C">
        <w:rPr>
          <w:lang w:val="en-US"/>
        </w:rPr>
        <w:t xml:space="preserve"> the lawfulness of the establishment of the arbitral tribunal, </w:t>
      </w:r>
      <w:r w:rsidR="007A0C9D">
        <w:rPr>
          <w:lang w:val="en-US"/>
        </w:rPr>
        <w:t xml:space="preserve">nor </w:t>
      </w:r>
      <w:r w:rsidRPr="00C82B0C">
        <w:rPr>
          <w:lang w:val="en-US"/>
        </w:rPr>
        <w:t>the fairness of the proceedings before it</w:t>
      </w:r>
      <w:r w:rsidR="00533FC2">
        <w:rPr>
          <w:lang w:val="en-US"/>
        </w:rPr>
        <w:t>,</w:t>
      </w:r>
      <w:r w:rsidRPr="00C82B0C">
        <w:rPr>
          <w:lang w:val="en-US"/>
        </w:rPr>
        <w:t xml:space="preserve"> </w:t>
      </w:r>
      <w:r w:rsidR="00533FC2">
        <w:rPr>
          <w:lang w:val="en-US"/>
        </w:rPr>
        <w:t>n</w:t>
      </w:r>
      <w:r w:rsidRPr="00C82B0C">
        <w:rPr>
          <w:lang w:val="en-US"/>
        </w:rPr>
        <w:t xml:space="preserve">or the lawfulness or validity of the grant of the award. </w:t>
      </w:r>
      <w:r w:rsidR="000419E9">
        <w:rPr>
          <w:lang w:val="en-US"/>
        </w:rPr>
        <w:t xml:space="preserve">Further, </w:t>
      </w:r>
      <w:r w:rsidRPr="00C82B0C">
        <w:rPr>
          <w:lang w:val="en-US"/>
        </w:rPr>
        <w:t xml:space="preserve">the respondent </w:t>
      </w:r>
      <w:r w:rsidR="000419E9">
        <w:rPr>
          <w:lang w:val="en-US"/>
        </w:rPr>
        <w:t xml:space="preserve">does not </w:t>
      </w:r>
      <w:r w:rsidRPr="00C82B0C">
        <w:rPr>
          <w:lang w:val="en-US"/>
        </w:rPr>
        <w:t>dispute that the arbitral award constitutes a "foreign arbitral award” as defined in section 14</w:t>
      </w:r>
      <w:r w:rsidR="000419E9">
        <w:rPr>
          <w:lang w:val="en-US"/>
        </w:rPr>
        <w:t> </w:t>
      </w:r>
      <w:r w:rsidRPr="00C82B0C">
        <w:rPr>
          <w:lang w:val="en-US"/>
        </w:rPr>
        <w:t xml:space="preserve">(d) of the Act because it was </w:t>
      </w:r>
      <w:r w:rsidR="00916D3F">
        <w:rPr>
          <w:lang w:val="en-US"/>
        </w:rPr>
        <w:t>given</w:t>
      </w:r>
      <w:r w:rsidRPr="00C82B0C">
        <w:rPr>
          <w:lang w:val="en-US"/>
        </w:rPr>
        <w:t xml:space="preserve"> in the People's Republic of China</w:t>
      </w:r>
      <w:r>
        <w:rPr>
          <w:lang w:val="en-US"/>
        </w:rPr>
        <w:t>.</w:t>
      </w:r>
    </w:p>
    <w:p w14:paraId="66B65133" w14:textId="75AA7D8C" w:rsidR="00645597" w:rsidRPr="007D2E79" w:rsidRDefault="00C82B0C" w:rsidP="00592839">
      <w:pPr>
        <w:pStyle w:val="JudgmentNumbered"/>
        <w:numPr>
          <w:ilvl w:val="0"/>
          <w:numId w:val="0"/>
        </w:numPr>
        <w:ind w:firstLine="567"/>
        <w:rPr>
          <w:i/>
          <w:iCs/>
        </w:rPr>
      </w:pPr>
      <w:r>
        <w:rPr>
          <w:i/>
          <w:iCs/>
        </w:rPr>
        <w:t>The defence</w:t>
      </w:r>
    </w:p>
    <w:p w14:paraId="21F92A7A" w14:textId="16C34353" w:rsidR="00645597" w:rsidRDefault="00C82B0C" w:rsidP="008D25AD">
      <w:pPr>
        <w:pStyle w:val="JudgmentNumbered"/>
      </w:pPr>
      <w:r w:rsidRPr="00C82B0C">
        <w:rPr>
          <w:lang w:val="en-US"/>
        </w:rPr>
        <w:t xml:space="preserve">GFE alleges that Momoco is a dormant entity, which does not trade, nor owns any significant assets. In its answering affidavit, GFE points out that at the instruction of Momoco, the purchase price for the cored wire was required to be paid to a bank account outside the United Kingdom. GFE alleges that the deponent to Momoco’s founding affidavit, Ma, “the owner, and controller of the applicant had disappeared and only reappeared during October 2015” when he </w:t>
      </w:r>
      <w:r w:rsidRPr="00C82B0C">
        <w:rPr>
          <w:lang w:val="en-US"/>
        </w:rPr>
        <w:lastRenderedPageBreak/>
        <w:t>demanded payment of the outstanding invoices from the respondent and the group of companies</w:t>
      </w:r>
      <w:r w:rsidR="00C16938">
        <w:t>.</w:t>
      </w:r>
    </w:p>
    <w:p w14:paraId="2E7F99B2" w14:textId="5B1C5397" w:rsidR="000D49C4" w:rsidRDefault="00C82B0C" w:rsidP="008D25AD">
      <w:pPr>
        <w:pStyle w:val="JudgmentNumbered"/>
      </w:pPr>
      <w:r w:rsidRPr="00C82B0C">
        <w:rPr>
          <w:lang w:val="en-US"/>
        </w:rPr>
        <w:t>Essentially, the defence is that the applicant is guilty of tax evasion in that it has failed to declare the income generated from its sales of copper wire to the respondent to the United Kingdom tax authorities. GFE contend</w:t>
      </w:r>
      <w:r w:rsidR="00525A95">
        <w:rPr>
          <w:lang w:val="en-US"/>
        </w:rPr>
        <w:t>s</w:t>
      </w:r>
      <w:r w:rsidRPr="00C82B0C">
        <w:rPr>
          <w:lang w:val="en-US"/>
        </w:rPr>
        <w:t xml:space="preserve"> that there is a real risk that </w:t>
      </w:r>
      <w:r w:rsidR="00955AD8">
        <w:rPr>
          <w:lang w:val="en-US"/>
        </w:rPr>
        <w:t xml:space="preserve">if </w:t>
      </w:r>
      <w:r w:rsidRPr="00C82B0C">
        <w:rPr>
          <w:lang w:val="en-US"/>
        </w:rPr>
        <w:t xml:space="preserve">were to be ordered to make payment in the future to Momoco outside the </w:t>
      </w:r>
      <w:r w:rsidRPr="00903742">
        <w:rPr>
          <w:lang w:val="en-US"/>
        </w:rPr>
        <w:t>U</w:t>
      </w:r>
      <w:r w:rsidR="00033C9C" w:rsidRPr="00E145AC">
        <w:rPr>
          <w:lang w:val="en-US"/>
        </w:rPr>
        <w:t xml:space="preserve">nited </w:t>
      </w:r>
      <w:r w:rsidRPr="00903742">
        <w:rPr>
          <w:lang w:val="en-US"/>
        </w:rPr>
        <w:t>K</w:t>
      </w:r>
      <w:r w:rsidR="00033C9C">
        <w:rPr>
          <w:lang w:val="en-US"/>
        </w:rPr>
        <w:t>ingdom</w:t>
      </w:r>
      <w:r w:rsidRPr="00C82B0C">
        <w:rPr>
          <w:lang w:val="en-US"/>
        </w:rPr>
        <w:t>, and into Momoco’s bank account in Hong Kong, then such payment would be viewed as an offence under the regulations to the UK Criminal Finance Act, 2017 referred to as the Corporate Criminal Offence (CCO) Regulations</w:t>
      </w:r>
      <w:r w:rsidR="000E5A5D">
        <w:rPr>
          <w:lang w:val="en-US"/>
        </w:rPr>
        <w:t>. This would result in it being seen as</w:t>
      </w:r>
      <w:r w:rsidRPr="00C82B0C">
        <w:rPr>
          <w:lang w:val="en-US"/>
        </w:rPr>
        <w:t xml:space="preserve"> aiding and abetting the applicant to evade tax in the U</w:t>
      </w:r>
      <w:r w:rsidR="00033C9C">
        <w:rPr>
          <w:lang w:val="en-US"/>
        </w:rPr>
        <w:t xml:space="preserve">nited </w:t>
      </w:r>
      <w:r w:rsidRPr="00C82B0C">
        <w:rPr>
          <w:lang w:val="en-US"/>
        </w:rPr>
        <w:t>K</w:t>
      </w:r>
      <w:r w:rsidR="00033C9C">
        <w:rPr>
          <w:lang w:val="en-US"/>
        </w:rPr>
        <w:t>ingdom</w:t>
      </w:r>
      <w:r w:rsidRPr="00C82B0C">
        <w:rPr>
          <w:lang w:val="en-US"/>
        </w:rPr>
        <w:t>. The respondent also argue</w:t>
      </w:r>
      <w:r w:rsidR="00942D2B">
        <w:rPr>
          <w:lang w:val="en-US"/>
        </w:rPr>
        <w:t>s</w:t>
      </w:r>
      <w:r w:rsidRPr="00C82B0C">
        <w:rPr>
          <w:lang w:val="en-US"/>
        </w:rPr>
        <w:t xml:space="preserve"> that the enforcement of the award would involve it in a breach under the Prevention of Organised Crime Act</w:t>
      </w:r>
      <w:r w:rsidRPr="00C82B0C">
        <w:rPr>
          <w:vertAlign w:val="superscript"/>
          <w:lang w:val="en-US"/>
        </w:rPr>
        <w:footnoteReference w:id="5"/>
      </w:r>
      <w:r w:rsidRPr="00C82B0C">
        <w:rPr>
          <w:lang w:val="en-US"/>
        </w:rPr>
        <w:t xml:space="preserve"> (POCA)</w:t>
      </w:r>
      <w:r>
        <w:rPr>
          <w:lang w:val="en-US"/>
        </w:rPr>
        <w:t>.</w:t>
      </w:r>
    </w:p>
    <w:p w14:paraId="3EA249A8" w14:textId="2F209703" w:rsidR="00645597" w:rsidRDefault="00C82B0C" w:rsidP="008D25AD">
      <w:pPr>
        <w:pStyle w:val="JudgmentNumbered"/>
      </w:pPr>
      <w:r w:rsidRPr="00C82B0C">
        <w:rPr>
          <w:lang w:val="en-US"/>
        </w:rPr>
        <w:t xml:space="preserve">GFE also alleges that there are individuals it claims are involved in the applicant's operation who "were fined for customs fraud" and that it has reported the applicant for "suspected of tax evasion" to the customs authorities in the United Kingdom. However, </w:t>
      </w:r>
      <w:r w:rsidR="00FF425C">
        <w:rPr>
          <w:lang w:val="en-US"/>
        </w:rPr>
        <w:t>t</w:t>
      </w:r>
      <w:r w:rsidRPr="00C82B0C">
        <w:rPr>
          <w:lang w:val="en-US"/>
        </w:rPr>
        <w:t xml:space="preserve">he Supreme Court of Appeal cautioned in </w:t>
      </w:r>
      <w:r w:rsidRPr="00596BC8">
        <w:rPr>
          <w:i/>
          <w:lang w:val="en-US"/>
        </w:rPr>
        <w:t>Knoop NNO v Gupta (Tayob Intervening)</w:t>
      </w:r>
      <w:r w:rsidRPr="00C82B0C">
        <w:rPr>
          <w:vertAlign w:val="superscript"/>
          <w:lang w:val="en-US"/>
        </w:rPr>
        <w:footnoteReference w:id="6"/>
      </w:r>
      <w:r w:rsidRPr="00C82B0C">
        <w:rPr>
          <w:lang w:val="en-US"/>
        </w:rPr>
        <w:t xml:space="preserve"> that </w:t>
      </w:r>
      <w:r w:rsidR="00B3666F">
        <w:rPr>
          <w:lang w:val="en-US"/>
        </w:rPr>
        <w:t>“</w:t>
      </w:r>
      <w:r w:rsidR="001302B6">
        <w:rPr>
          <w:lang w:val="en-US"/>
        </w:rPr>
        <w:t>[</w:t>
      </w:r>
      <w:r w:rsidRPr="00C82B0C">
        <w:rPr>
          <w:lang w:val="en-US"/>
        </w:rPr>
        <w:t>t]he drawing of inferences from the facts must be based on proven facts and not matters of speculation</w:t>
      </w:r>
      <w:r>
        <w:t>”</w:t>
      </w:r>
      <w:r w:rsidR="00B3666F">
        <w:t>.</w:t>
      </w:r>
      <w:r w:rsidR="00B3666F">
        <w:rPr>
          <w:rStyle w:val="FootnoteReference"/>
        </w:rPr>
        <w:footnoteReference w:id="7"/>
      </w:r>
    </w:p>
    <w:p w14:paraId="10CB4058" w14:textId="2FA4855D" w:rsidR="00645597" w:rsidRPr="00C82B0C" w:rsidRDefault="00C82B0C" w:rsidP="008D25AD">
      <w:pPr>
        <w:pStyle w:val="JudgmentNumbered"/>
      </w:pPr>
      <w:r w:rsidRPr="00C82B0C">
        <w:rPr>
          <w:lang w:val="en-US"/>
        </w:rPr>
        <w:t xml:space="preserve">GFE’s position to date remains the same. Until such time as the applicant can demonstrate to it that it is not evading tax, and that there is no substantial risk of GFE being prosecuted based on complicity, it will not pay. Section 1 of POCA relied upon defines </w:t>
      </w:r>
      <w:r w:rsidR="002D5B39">
        <w:rPr>
          <w:lang w:val="en-US"/>
        </w:rPr>
        <w:t>“</w:t>
      </w:r>
      <w:r w:rsidRPr="004769EE">
        <w:rPr>
          <w:lang w:val="en-US"/>
        </w:rPr>
        <w:t>unlawful activity</w:t>
      </w:r>
      <w:r w:rsidR="002D5B39">
        <w:rPr>
          <w:lang w:val="en-US"/>
        </w:rPr>
        <w:t>”</w:t>
      </w:r>
      <w:r w:rsidRPr="00C82B0C">
        <w:rPr>
          <w:lang w:val="en-US"/>
        </w:rPr>
        <w:t xml:space="preserve"> as </w:t>
      </w:r>
      <w:r w:rsidR="002D5B39">
        <w:rPr>
          <w:lang w:val="en-US"/>
        </w:rPr>
        <w:t>“</w:t>
      </w:r>
      <w:r w:rsidRPr="00C82B0C">
        <w:rPr>
          <w:lang w:val="en-US"/>
        </w:rPr>
        <w:t>any conduct which constitutes a crime or which contravenes any law whether such conduct occurred before or after the commencement of th</w:t>
      </w:r>
      <w:r w:rsidR="004769EE">
        <w:rPr>
          <w:lang w:val="en-US"/>
        </w:rPr>
        <w:t>[</w:t>
      </w:r>
      <w:r w:rsidRPr="00C82B0C">
        <w:rPr>
          <w:lang w:val="en-US"/>
        </w:rPr>
        <w:t>e</w:t>
      </w:r>
      <w:r w:rsidR="004769EE">
        <w:rPr>
          <w:lang w:val="en-US"/>
        </w:rPr>
        <w:t>]</w:t>
      </w:r>
      <w:r w:rsidRPr="00C82B0C">
        <w:rPr>
          <w:lang w:val="en-US"/>
        </w:rPr>
        <w:t xml:space="preserve"> Act and whether such conduct occurred in the Republic or elsewhere</w:t>
      </w:r>
      <w:r w:rsidR="002D5B39">
        <w:rPr>
          <w:lang w:val="en-US"/>
        </w:rPr>
        <w:t>”</w:t>
      </w:r>
      <w:r w:rsidRPr="00C82B0C">
        <w:rPr>
          <w:lang w:val="en-US"/>
        </w:rPr>
        <w:t>.</w:t>
      </w:r>
    </w:p>
    <w:p w14:paraId="197EF772" w14:textId="527B00B2" w:rsidR="00C82B0C" w:rsidRPr="00596BC8" w:rsidRDefault="00C82B0C" w:rsidP="00596BC8">
      <w:pPr>
        <w:pStyle w:val="JudgmentNumbered"/>
        <w:numPr>
          <w:ilvl w:val="0"/>
          <w:numId w:val="0"/>
        </w:numPr>
        <w:ind w:firstLine="567"/>
        <w:rPr>
          <w:i/>
        </w:rPr>
      </w:pPr>
      <w:r w:rsidRPr="00596BC8">
        <w:rPr>
          <w:i/>
          <w:lang w:val="en-US"/>
        </w:rPr>
        <w:t>Statutory framework</w:t>
      </w:r>
    </w:p>
    <w:p w14:paraId="15AEF63C" w14:textId="2EF6951D" w:rsidR="001D3257" w:rsidRPr="001D3257" w:rsidRDefault="00C82B0C" w:rsidP="008D25AD">
      <w:pPr>
        <w:pStyle w:val="JudgmentNumbered"/>
      </w:pPr>
      <w:r w:rsidRPr="00C82B0C">
        <w:rPr>
          <w:lang w:val="en-US"/>
        </w:rPr>
        <w:lastRenderedPageBreak/>
        <w:t xml:space="preserve">Section 6 (Chapter 2) of the Act provides that “[t]he Model Law applies in the Republic subject to the provisions of this Act”. </w:t>
      </w:r>
      <w:r w:rsidR="00D078E4">
        <w:rPr>
          <w:lang w:val="en-US"/>
        </w:rPr>
        <w:t>On international arbitration agreements, t</w:t>
      </w:r>
      <w:r w:rsidR="003807B7">
        <w:rPr>
          <w:lang w:val="en-US"/>
        </w:rPr>
        <w:t xml:space="preserve">he transitional provisions </w:t>
      </w:r>
      <w:r w:rsidR="00D078E4">
        <w:rPr>
          <w:lang w:val="en-US"/>
        </w:rPr>
        <w:t>(</w:t>
      </w:r>
      <w:r w:rsidR="00D078E4" w:rsidRPr="00C82B0C">
        <w:rPr>
          <w:lang w:val="en-US"/>
        </w:rPr>
        <w:t>section 20(1)</w:t>
      </w:r>
      <w:r w:rsidR="00D078E4">
        <w:rPr>
          <w:lang w:val="en-US"/>
        </w:rPr>
        <w:t xml:space="preserve">) </w:t>
      </w:r>
      <w:r w:rsidR="003807B7">
        <w:rPr>
          <w:lang w:val="en-US"/>
        </w:rPr>
        <w:t xml:space="preserve">of the Act </w:t>
      </w:r>
      <w:r w:rsidRPr="00C82B0C">
        <w:rPr>
          <w:lang w:val="en-US"/>
        </w:rPr>
        <w:t>provides that</w:t>
      </w:r>
      <w:r w:rsidR="004D52C7">
        <w:rPr>
          <w:lang w:val="en-US"/>
        </w:rPr>
        <w:t xml:space="preserve"> -</w:t>
      </w:r>
      <w:r w:rsidRPr="00C82B0C">
        <w:rPr>
          <w:lang w:val="en-US"/>
        </w:rPr>
        <w:t xml:space="preserve"> </w:t>
      </w:r>
    </w:p>
    <w:p w14:paraId="483DA766" w14:textId="0B64A374" w:rsidR="00645597" w:rsidRDefault="00C82B0C" w:rsidP="00596BC8">
      <w:pPr>
        <w:pStyle w:val="JudgmentNumbered"/>
        <w:numPr>
          <w:ilvl w:val="0"/>
          <w:numId w:val="0"/>
        </w:numPr>
        <w:ind w:left="1134"/>
      </w:pPr>
      <w:r w:rsidRPr="00C82B0C">
        <w:rPr>
          <w:lang w:val="en-US"/>
        </w:rPr>
        <w:t>“</w:t>
      </w:r>
      <w:r w:rsidRPr="00596BC8">
        <w:rPr>
          <w:sz w:val="22"/>
          <w:lang w:val="en-US"/>
        </w:rPr>
        <w:t>Chapter 2 of this Act applies to international commercial arbitration agreements whether they entered into force before or after the commencement of Chapter 2 of this Act and to every arbitration under such an agreement, but this section does not apply to arbitral proceedings which commenced before Chapter 2 of this Act came into force</w:t>
      </w:r>
      <w:r w:rsidR="00705397">
        <w:t>.</w:t>
      </w:r>
      <w:r w:rsidR="001D3257">
        <w:t>”</w:t>
      </w:r>
    </w:p>
    <w:p w14:paraId="21DC121F" w14:textId="070718B4" w:rsidR="00DC3366" w:rsidRDefault="00BA3AA9" w:rsidP="008D25AD">
      <w:pPr>
        <w:pStyle w:val="JudgmentNumbered"/>
      </w:pPr>
      <w:r>
        <w:rPr>
          <w:lang w:val="en-US"/>
        </w:rPr>
        <w:t xml:space="preserve">On </w:t>
      </w:r>
      <w:r w:rsidRPr="00C82B0C">
        <w:rPr>
          <w:lang w:val="en-US"/>
        </w:rPr>
        <w:t>the recognition and enforcement of foreign arbitral awards s</w:t>
      </w:r>
      <w:r w:rsidR="00C82B0C" w:rsidRPr="00C82B0C">
        <w:rPr>
          <w:lang w:val="en-US"/>
        </w:rPr>
        <w:t>ection 16 of the Act provides as follows</w:t>
      </w:r>
      <w:r w:rsidR="004D52C7">
        <w:rPr>
          <w:lang w:val="en-US"/>
        </w:rPr>
        <w:t xml:space="preserve"> -</w:t>
      </w:r>
    </w:p>
    <w:p w14:paraId="10C627CB" w14:textId="364B683D" w:rsidR="00FE7C32" w:rsidRPr="00303EF1" w:rsidRDefault="00FE7C32" w:rsidP="007D2E79">
      <w:pPr>
        <w:pStyle w:val="JudgmentNumbered"/>
        <w:numPr>
          <w:ilvl w:val="0"/>
          <w:numId w:val="0"/>
        </w:numPr>
        <w:spacing w:line="240" w:lineRule="auto"/>
        <w:ind w:left="1080"/>
        <w:rPr>
          <w:sz w:val="22"/>
        </w:rPr>
      </w:pPr>
      <w:r>
        <w:t>“</w:t>
      </w:r>
      <w:r w:rsidR="00296F81" w:rsidRPr="007D2E79">
        <w:rPr>
          <w:sz w:val="22"/>
        </w:rPr>
        <w:t>(1)</w:t>
      </w:r>
      <w:r w:rsidR="001A4F3D" w:rsidRPr="007D2E79">
        <w:rPr>
          <w:sz w:val="22"/>
        </w:rPr>
        <w:t xml:space="preserve"> </w:t>
      </w:r>
      <w:r w:rsidR="00C82B0C" w:rsidRPr="00596BC8">
        <w:rPr>
          <w:iCs/>
          <w:sz w:val="22"/>
          <w:lang w:val="en-US"/>
        </w:rPr>
        <w:t>Subject to section 18 an arbitration agreement and a foreign arbitral award must be recognised and enforced in the Republic as required by the Convention, subject to this Chapter</w:t>
      </w:r>
      <w:r w:rsidR="00C82B0C" w:rsidRPr="00303EF1">
        <w:rPr>
          <w:sz w:val="22"/>
        </w:rPr>
        <w:t>.</w:t>
      </w:r>
    </w:p>
    <w:p w14:paraId="15D972D3" w14:textId="77777777" w:rsidR="00B35EE9" w:rsidRPr="00303EF1" w:rsidRDefault="00DD3B43" w:rsidP="007D2E79">
      <w:pPr>
        <w:pStyle w:val="JudgmentNumbered"/>
        <w:numPr>
          <w:ilvl w:val="0"/>
          <w:numId w:val="0"/>
        </w:numPr>
        <w:spacing w:line="240" w:lineRule="auto"/>
        <w:ind w:left="1080"/>
      </w:pPr>
      <w:r w:rsidRPr="00303EF1">
        <w:rPr>
          <w:sz w:val="22"/>
        </w:rPr>
        <w:t>(2)</w:t>
      </w:r>
      <w:r w:rsidRPr="00303EF1">
        <w:rPr>
          <w:sz w:val="22"/>
        </w:rPr>
        <w:tab/>
      </w:r>
      <w:r w:rsidR="00B35EE9" w:rsidRPr="00596BC8">
        <w:rPr>
          <w:iCs/>
          <w:sz w:val="22"/>
          <w:lang w:val="en-US"/>
        </w:rPr>
        <w:t>A foreign arbitral award is binding between the parties to that foreign arbitral award, and may be relied upon by those parties by way of defence, set-off or otherwise in any legal proceedings</w:t>
      </w:r>
      <w:r w:rsidRPr="00303EF1">
        <w:t>.</w:t>
      </w:r>
    </w:p>
    <w:p w14:paraId="5AD4A654" w14:textId="77777777" w:rsidR="00B35EE9" w:rsidRPr="00596BC8" w:rsidRDefault="00B35EE9" w:rsidP="007D2E79">
      <w:pPr>
        <w:pStyle w:val="JudgmentNumbered"/>
        <w:numPr>
          <w:ilvl w:val="0"/>
          <w:numId w:val="0"/>
        </w:numPr>
        <w:spacing w:line="240" w:lineRule="auto"/>
        <w:ind w:left="1080"/>
        <w:rPr>
          <w:iCs/>
          <w:sz w:val="22"/>
          <w:lang w:val="en-US"/>
        </w:rPr>
      </w:pPr>
      <w:r w:rsidRPr="00303EF1">
        <w:rPr>
          <w:sz w:val="22"/>
        </w:rPr>
        <w:t>(</w:t>
      </w:r>
      <w:r w:rsidRPr="00C76400">
        <w:rPr>
          <w:sz w:val="22"/>
        </w:rPr>
        <w:t xml:space="preserve">3) </w:t>
      </w:r>
      <w:r w:rsidRPr="00596BC8">
        <w:rPr>
          <w:iCs/>
          <w:sz w:val="22"/>
          <w:lang w:val="en-US"/>
        </w:rPr>
        <w:t>A foreign arbitral award must, on application, be made an order of court and may then be enforced in the same manner as any judgment or order of court, subject to the provisions of this section and sections 17 and 18.</w:t>
      </w:r>
    </w:p>
    <w:p w14:paraId="613B7425" w14:textId="3DFA45EF" w:rsidR="00DD3B43" w:rsidRPr="00596BC8" w:rsidRDefault="00B35EE9" w:rsidP="00B35EE9">
      <w:pPr>
        <w:pStyle w:val="JudgmentNumbered"/>
        <w:numPr>
          <w:ilvl w:val="0"/>
          <w:numId w:val="0"/>
        </w:numPr>
        <w:spacing w:line="240" w:lineRule="auto"/>
        <w:ind w:left="1080"/>
        <w:rPr>
          <w:sz w:val="22"/>
        </w:rPr>
      </w:pPr>
      <w:r w:rsidRPr="00596BC8">
        <w:rPr>
          <w:sz w:val="22"/>
        </w:rPr>
        <w:t xml:space="preserve">(4) </w:t>
      </w:r>
      <w:r w:rsidRPr="00596BC8">
        <w:rPr>
          <w:iCs/>
          <w:sz w:val="22"/>
          <w:lang w:val="en-US"/>
        </w:rPr>
        <w:t>Article 8 of the Model Law applies, with the necessary changes, to arbitration agreements referred to in subsection (1)</w:t>
      </w:r>
      <w:r w:rsidRPr="00596BC8">
        <w:rPr>
          <w:i/>
          <w:iCs/>
          <w:sz w:val="22"/>
          <w:lang w:val="en-US"/>
        </w:rPr>
        <w:t>.</w:t>
      </w:r>
      <w:r w:rsidR="00DD3B43" w:rsidRPr="00596BC8">
        <w:rPr>
          <w:sz w:val="22"/>
        </w:rPr>
        <w:t>”</w:t>
      </w:r>
      <w:r w:rsidR="000D5B56" w:rsidRPr="00596BC8">
        <w:rPr>
          <w:sz w:val="22"/>
        </w:rPr>
        <w:t xml:space="preserve"> </w:t>
      </w:r>
    </w:p>
    <w:p w14:paraId="758E6E39" w14:textId="5D9D148B" w:rsidR="00645597" w:rsidRDefault="00C304DE" w:rsidP="008D25AD">
      <w:pPr>
        <w:pStyle w:val="JudgmentNumbered"/>
      </w:pPr>
      <w:r w:rsidRPr="00C304DE">
        <w:rPr>
          <w:lang w:val="en-US"/>
        </w:rPr>
        <w:t xml:space="preserve">Section 17 of the Act makes provision that a party seeking enforcement of a foreign arbitral award must produce the original foreign arbitral award and the original arbitration agreement in terms of which the award was made, both authenticated for use in the </w:t>
      </w:r>
      <w:r w:rsidR="00C76400">
        <w:rPr>
          <w:lang w:val="en-US"/>
        </w:rPr>
        <w:t>h</w:t>
      </w:r>
      <w:r w:rsidRPr="00C304DE">
        <w:rPr>
          <w:lang w:val="en-US"/>
        </w:rPr>
        <w:t xml:space="preserve">igh </w:t>
      </w:r>
      <w:r w:rsidR="00C76400">
        <w:rPr>
          <w:lang w:val="en-US"/>
        </w:rPr>
        <w:t>c</w:t>
      </w:r>
      <w:r w:rsidRPr="00C304DE">
        <w:rPr>
          <w:lang w:val="en-US"/>
        </w:rPr>
        <w:t>ourt, or certified copies of the award and the agreement and sworn translations of those documents. In this matter certified copies of the original sale confirmations, incorporating the arbitration agreements are attached to the applicant's founding affidavit as annexures FA3 to FA32. A copy of the original and authenticated award is also attached to the applicant's founding affidavit as FA1</w:t>
      </w:r>
      <w:r w:rsidR="00700D42">
        <w:rPr>
          <w:lang w:val="en-US"/>
        </w:rPr>
        <w:t xml:space="preserve"> </w:t>
      </w:r>
      <w:r w:rsidRPr="00C304DE">
        <w:rPr>
          <w:lang w:val="en-US"/>
        </w:rPr>
        <w:t>as well as a sworn translation thereof, which is attached as FA2. The authenticity of the arbitral award or the arbitration agreements is not in issue</w:t>
      </w:r>
      <w:r>
        <w:rPr>
          <w:lang w:val="en-US"/>
        </w:rPr>
        <w:t>.</w:t>
      </w:r>
    </w:p>
    <w:p w14:paraId="2BEDBABE" w14:textId="41015B28" w:rsidR="00645597" w:rsidRDefault="00C304DE" w:rsidP="008D25AD">
      <w:pPr>
        <w:pStyle w:val="JudgmentNumbered"/>
      </w:pPr>
      <w:r w:rsidRPr="00C304DE">
        <w:rPr>
          <w:lang w:val="en-US"/>
        </w:rPr>
        <w:lastRenderedPageBreak/>
        <w:t xml:space="preserve">Section 14 </w:t>
      </w:r>
      <w:r w:rsidR="004D52C7">
        <w:rPr>
          <w:lang w:val="en-US"/>
        </w:rPr>
        <w:t>of the Act</w:t>
      </w:r>
      <w:r w:rsidRPr="00C304DE">
        <w:rPr>
          <w:lang w:val="en-US"/>
        </w:rPr>
        <w:t xml:space="preserve"> defines </w:t>
      </w:r>
      <w:r w:rsidR="00F93CCE">
        <w:rPr>
          <w:lang w:val="en-US"/>
        </w:rPr>
        <w:t>a</w:t>
      </w:r>
      <w:r w:rsidRPr="00C304DE">
        <w:rPr>
          <w:lang w:val="en-US"/>
        </w:rPr>
        <w:t xml:space="preserve"> court as </w:t>
      </w:r>
      <w:r w:rsidR="00F93CCE">
        <w:rPr>
          <w:lang w:val="en-US"/>
        </w:rPr>
        <w:t>“</w:t>
      </w:r>
      <w:r w:rsidRPr="00C304DE">
        <w:rPr>
          <w:lang w:val="en-US"/>
        </w:rPr>
        <w:t>any Division of the High Court referred to in section 6(1) of the Superior Courts Act, 2013 (Act No. 10 of 2013), or any local seat thereof</w:t>
      </w:r>
      <w:r w:rsidR="00F93CCE">
        <w:rPr>
          <w:lang w:val="en-US"/>
        </w:rPr>
        <w:t>…</w:t>
      </w:r>
      <w:r w:rsidRPr="00C304DE">
        <w:rPr>
          <w:lang w:val="en-US"/>
        </w:rPr>
        <w:t xml:space="preserve">”. Article 35 of the Model Law provides that: </w:t>
      </w:r>
      <w:r w:rsidR="00F54AC5">
        <w:rPr>
          <w:lang w:val="en-US"/>
        </w:rPr>
        <w:t>“</w:t>
      </w:r>
      <w:r w:rsidRPr="00C304DE">
        <w:rPr>
          <w:lang w:val="en-US"/>
        </w:rPr>
        <w:t>An arbitral award, irrespective of the country in which it was made, shall be recognised as binding and, upon application in writing to the competent court, shall be enforced subject to the provisions of this article and of article 36.</w:t>
      </w:r>
      <w:r>
        <w:rPr>
          <w:lang w:val="en-US"/>
        </w:rPr>
        <w:t>”</w:t>
      </w:r>
    </w:p>
    <w:p w14:paraId="2E02A54D" w14:textId="2C7F5678" w:rsidR="005C2026" w:rsidRPr="005C2026" w:rsidRDefault="00C304DE" w:rsidP="008D25AD">
      <w:pPr>
        <w:pStyle w:val="JudgmentNumbered"/>
      </w:pPr>
      <w:r w:rsidRPr="00C304DE">
        <w:rPr>
          <w:lang w:val="en-US"/>
        </w:rPr>
        <w:t>Section 18 of the Act set out the grounds upon which a party opposing an application for enforcing a foreign arbitral award may rely in the following terms</w:t>
      </w:r>
      <w:r w:rsidR="005C2026">
        <w:rPr>
          <w:lang w:val="en-US"/>
        </w:rPr>
        <w:t xml:space="preserve"> -</w:t>
      </w:r>
      <w:r w:rsidRPr="00C304DE">
        <w:rPr>
          <w:lang w:val="en-US"/>
        </w:rPr>
        <w:t xml:space="preserve"> </w:t>
      </w:r>
    </w:p>
    <w:p w14:paraId="01AA7369" w14:textId="4CEFFE7B" w:rsidR="00A7333B" w:rsidRPr="005C2026" w:rsidRDefault="00C304DE" w:rsidP="00A67932">
      <w:pPr>
        <w:pStyle w:val="JudgmentNumbered"/>
        <w:numPr>
          <w:ilvl w:val="0"/>
          <w:numId w:val="0"/>
        </w:numPr>
        <w:ind w:left="567" w:firstLine="153"/>
        <w:rPr>
          <w:sz w:val="22"/>
        </w:rPr>
      </w:pPr>
      <w:r w:rsidRPr="005C2026">
        <w:rPr>
          <w:i/>
          <w:iCs/>
          <w:sz w:val="22"/>
          <w:lang w:val="en-US"/>
        </w:rPr>
        <w:t>“</w:t>
      </w:r>
      <w:r w:rsidRPr="00596BC8">
        <w:rPr>
          <w:iCs/>
          <w:sz w:val="22"/>
          <w:lang w:val="en-US"/>
        </w:rPr>
        <w:t>(1) A court may only refuse to recognise or enforce a foreign arbitral award if-</w:t>
      </w:r>
    </w:p>
    <w:p w14:paraId="4337F431" w14:textId="4329EC96" w:rsidR="00C304DE" w:rsidRPr="00596BC8" w:rsidRDefault="00C304DE" w:rsidP="00596BC8">
      <w:pPr>
        <w:pStyle w:val="ListParagraph"/>
        <w:spacing w:after="0"/>
        <w:rPr>
          <w:rFonts w:cs="Arial"/>
          <w:iCs/>
          <w:kern w:val="2"/>
          <w:sz w:val="22"/>
          <w14:ligatures w14:val="standardContextual"/>
        </w:rPr>
      </w:pPr>
      <w:r w:rsidRPr="00596BC8">
        <w:rPr>
          <w:rFonts w:cs="Arial"/>
          <w:iCs/>
          <w:kern w:val="2"/>
          <w:szCs w:val="24"/>
          <w14:ligatures w14:val="standardContextual"/>
        </w:rPr>
        <w:t> </w:t>
      </w:r>
      <w:r w:rsidRPr="00596BC8">
        <w:rPr>
          <w:rFonts w:cs="Arial"/>
          <w:iCs/>
          <w:kern w:val="2"/>
          <w:sz w:val="22"/>
          <w14:ligatures w14:val="standardContextual"/>
        </w:rPr>
        <w:t>  </w:t>
      </w:r>
      <w:bookmarkStart w:id="1" w:name="0-0-0-177557"/>
      <w:bookmarkEnd w:id="1"/>
      <w:r w:rsidR="005C2026">
        <w:rPr>
          <w:rFonts w:cs="Arial"/>
          <w:iCs/>
          <w:kern w:val="2"/>
          <w:sz w:val="22"/>
          <w14:ligatures w14:val="standardContextual"/>
        </w:rPr>
        <w:tab/>
      </w:r>
      <w:r w:rsidRPr="00596BC8">
        <w:rPr>
          <w:rFonts w:cs="Arial"/>
          <w:iCs/>
          <w:kern w:val="2"/>
          <w:sz w:val="22"/>
          <w14:ligatures w14:val="standardContextual"/>
        </w:rPr>
        <w:t>(a)   the court finds that-</w:t>
      </w:r>
    </w:p>
    <w:p w14:paraId="549FCCCC" w14:textId="210AAA1F" w:rsidR="00C304DE" w:rsidRPr="00596BC8" w:rsidRDefault="007D4F7F" w:rsidP="00596BC8">
      <w:pPr>
        <w:spacing w:after="0"/>
        <w:ind w:left="2160"/>
        <w:rPr>
          <w:rFonts w:cs="Arial"/>
          <w:iCs/>
          <w:kern w:val="2"/>
          <w:sz w:val="22"/>
          <w14:ligatures w14:val="standardContextual"/>
        </w:rPr>
      </w:pPr>
      <w:bookmarkStart w:id="2" w:name="0-0-0-177559"/>
      <w:bookmarkEnd w:id="2"/>
      <w:r>
        <w:rPr>
          <w:rFonts w:cs="Arial"/>
          <w:iCs/>
          <w:kern w:val="2"/>
          <w:sz w:val="22"/>
          <w14:ligatures w14:val="standardContextual"/>
        </w:rPr>
        <w:t>“…</w:t>
      </w:r>
    </w:p>
    <w:p w14:paraId="11809583" w14:textId="503C893D" w:rsidR="00C304DE" w:rsidRPr="00596BC8" w:rsidRDefault="00C304DE" w:rsidP="00596BC8">
      <w:pPr>
        <w:pStyle w:val="ListParagraph"/>
        <w:spacing w:after="0"/>
        <w:ind w:left="2160"/>
        <w:rPr>
          <w:rFonts w:cs="Arial"/>
          <w:iCs/>
          <w:kern w:val="2"/>
          <w:sz w:val="22"/>
          <w14:ligatures w14:val="standardContextual"/>
        </w:rPr>
      </w:pPr>
      <w:r w:rsidRPr="00596BC8">
        <w:rPr>
          <w:rFonts w:cs="Arial"/>
          <w:iCs/>
          <w:kern w:val="2"/>
          <w:sz w:val="22"/>
          <w14:ligatures w14:val="standardContextual"/>
        </w:rPr>
        <w:t>(ii)   the recognition or enforcement of the award is contrary to the public policy of the Republic</w:t>
      </w:r>
      <w:r w:rsidR="007D4F7F">
        <w:rPr>
          <w:rFonts w:cs="Arial"/>
          <w:iCs/>
          <w:kern w:val="2"/>
          <w:sz w:val="22"/>
          <w14:ligatures w14:val="standardContextual"/>
        </w:rPr>
        <w:t xml:space="preserve">”. </w:t>
      </w:r>
    </w:p>
    <w:p w14:paraId="169F463A" w14:textId="73B280E5" w:rsidR="00B62DC2" w:rsidRDefault="00C304DE" w:rsidP="008D25AD">
      <w:pPr>
        <w:pStyle w:val="JudgmentNumbered"/>
      </w:pPr>
      <w:bookmarkStart w:id="3" w:name="0-0-0-177563"/>
      <w:bookmarkEnd w:id="3"/>
      <w:r w:rsidRPr="00C304DE">
        <w:rPr>
          <w:lang w:val="en-US"/>
        </w:rPr>
        <w:t>GFE assails the application and opposes it on a limited ground</w:t>
      </w:r>
      <w:r w:rsidR="00D7269E">
        <w:rPr>
          <w:lang w:val="en-US"/>
        </w:rPr>
        <w:t>, that is,</w:t>
      </w:r>
      <w:r w:rsidRPr="00C304DE">
        <w:rPr>
          <w:lang w:val="en-US"/>
        </w:rPr>
        <w:t xml:space="preserve"> section 18(1)(a)(ii). GFE contend that this court is precluded from making the award an order of court if the recognition or enforcement is contrary to the public policy of the Republic. Counsel for GFE submitted that the court should refuse to make the award an order of court so that the order does not contravene the law relating to schemes evading income tax on the basis that it is public policy that companies must fully declare their trading affairs to the authorities</w:t>
      </w:r>
      <w:r>
        <w:rPr>
          <w:lang w:val="en-US"/>
        </w:rPr>
        <w:t>.</w:t>
      </w:r>
    </w:p>
    <w:p w14:paraId="4FB8F524" w14:textId="082628F9" w:rsidR="00B62DC2" w:rsidRDefault="003374AE" w:rsidP="008D25AD">
      <w:pPr>
        <w:pStyle w:val="JudgmentNumbered"/>
      </w:pPr>
      <w:r w:rsidRPr="003374AE">
        <w:rPr>
          <w:lang w:val="en-US"/>
        </w:rPr>
        <w:t>According to GFE, after Momoco launched this application, GFE obtained an expert accountants’ report from Smith and Williamson dated 11 March 2022, in which they opined that there is no sufficient evidence to support the conclusion that Momoco was engaging in a reportable tax scheme as might be understood by U</w:t>
      </w:r>
      <w:r w:rsidR="008A28FA">
        <w:rPr>
          <w:lang w:val="en-US"/>
        </w:rPr>
        <w:t xml:space="preserve">nited </w:t>
      </w:r>
      <w:r w:rsidRPr="003374AE">
        <w:rPr>
          <w:lang w:val="en-US"/>
        </w:rPr>
        <w:t>K</w:t>
      </w:r>
      <w:r w:rsidR="008A28FA">
        <w:rPr>
          <w:lang w:val="en-US"/>
        </w:rPr>
        <w:t>ingdom</w:t>
      </w:r>
      <w:r w:rsidRPr="003374AE">
        <w:rPr>
          <w:lang w:val="en-US"/>
        </w:rPr>
        <w:t xml:space="preserve"> law, although Momoco ha</w:t>
      </w:r>
      <w:r w:rsidR="00B12620">
        <w:rPr>
          <w:lang w:val="en-US"/>
        </w:rPr>
        <w:t>d</w:t>
      </w:r>
      <w:r w:rsidRPr="003374AE">
        <w:rPr>
          <w:lang w:val="en-US"/>
        </w:rPr>
        <w:t xml:space="preserve"> failed to file appropriate accounts which have implications for its tax compliance status. With this advice</w:t>
      </w:r>
      <w:r w:rsidR="00B12620">
        <w:rPr>
          <w:lang w:val="en-US"/>
        </w:rPr>
        <w:t>,</w:t>
      </w:r>
      <w:r w:rsidRPr="003374AE">
        <w:rPr>
          <w:lang w:val="en-US"/>
        </w:rPr>
        <w:t xml:space="preserve"> on GFE's own version, there is no finding of any tax evasion by Momoco. The </w:t>
      </w:r>
      <w:r w:rsidR="00B12620">
        <w:rPr>
          <w:lang w:val="en-US"/>
        </w:rPr>
        <w:t>“</w:t>
      </w:r>
      <w:r w:rsidRPr="003374AE">
        <w:rPr>
          <w:lang w:val="en-US"/>
        </w:rPr>
        <w:t>tax evasion</w:t>
      </w:r>
      <w:r w:rsidR="00B12620">
        <w:rPr>
          <w:lang w:val="en-US"/>
        </w:rPr>
        <w:t>”</w:t>
      </w:r>
      <w:r w:rsidRPr="003374AE">
        <w:rPr>
          <w:lang w:val="en-US"/>
        </w:rPr>
        <w:t xml:space="preserve"> defence was raised and considered by the arbitral panel but found to be irrelevant to the dispute.</w:t>
      </w:r>
    </w:p>
    <w:p w14:paraId="0BF9F074" w14:textId="0936F9CA" w:rsidR="00716671" w:rsidRDefault="003374AE" w:rsidP="00716671">
      <w:pPr>
        <w:pStyle w:val="JudgmentNumbered"/>
      </w:pPr>
      <w:r w:rsidRPr="003374AE">
        <w:rPr>
          <w:lang w:val="en-US"/>
        </w:rPr>
        <w:t xml:space="preserve">In </w:t>
      </w:r>
      <w:r w:rsidR="00EF2675">
        <w:rPr>
          <w:lang w:val="en-US"/>
        </w:rPr>
        <w:t>i</w:t>
      </w:r>
      <w:r w:rsidRPr="003374AE">
        <w:rPr>
          <w:lang w:val="en-US"/>
        </w:rPr>
        <w:t>t</w:t>
      </w:r>
      <w:r w:rsidR="00EF2675">
        <w:rPr>
          <w:lang w:val="en-US"/>
        </w:rPr>
        <w:t>s</w:t>
      </w:r>
      <w:r w:rsidRPr="003374AE">
        <w:rPr>
          <w:lang w:val="en-US"/>
        </w:rPr>
        <w:t xml:space="preserve"> Preamble, POCA makes </w:t>
      </w:r>
      <w:r w:rsidR="0076537B" w:rsidRPr="003374AE">
        <w:rPr>
          <w:lang w:val="en-US"/>
        </w:rPr>
        <w:t xml:space="preserve">plain </w:t>
      </w:r>
      <w:r w:rsidR="003A4E49" w:rsidRPr="003374AE">
        <w:rPr>
          <w:lang w:val="en-US"/>
        </w:rPr>
        <w:t>that the</w:t>
      </w:r>
      <w:r w:rsidRPr="003374AE">
        <w:rPr>
          <w:lang w:val="en-US"/>
        </w:rPr>
        <w:t xml:space="preserve"> rapid growth of organised crime, money laundering and criminal gang activities nationally and internationally </w:t>
      </w:r>
      <w:r w:rsidR="00926312">
        <w:rPr>
          <w:lang w:val="en-US"/>
        </w:rPr>
        <w:t xml:space="preserve">is </w:t>
      </w:r>
      <w:r w:rsidRPr="003374AE">
        <w:rPr>
          <w:lang w:val="en-US"/>
        </w:rPr>
        <w:t xml:space="preserve">an </w:t>
      </w:r>
      <w:r w:rsidRPr="003374AE">
        <w:rPr>
          <w:lang w:val="en-US"/>
        </w:rPr>
        <w:lastRenderedPageBreak/>
        <w:t>international security threat</w:t>
      </w:r>
      <w:r w:rsidR="005130C0">
        <w:rPr>
          <w:lang w:val="en-US"/>
        </w:rPr>
        <w:t>.</w:t>
      </w:r>
      <w:r w:rsidRPr="003374AE">
        <w:rPr>
          <w:lang w:val="en-US"/>
        </w:rPr>
        <w:t xml:space="preserve"> </w:t>
      </w:r>
      <w:r w:rsidR="005130C0">
        <w:rPr>
          <w:lang w:val="en-US"/>
        </w:rPr>
        <w:t>It recognises further</w:t>
      </w:r>
      <w:r w:rsidRPr="003374AE">
        <w:rPr>
          <w:lang w:val="en-US"/>
        </w:rPr>
        <w:t xml:space="preserve"> that “organised crime, money laundering and criminal gang activities infringe on the rights of the people as enshrined in the Bill of Rights”. POCA was enacted inter alia “to introduce measures to combat organised crime, money laundering and criminal gang activities; to prohibit certain activities relating to racketeering activities; to provide for the prohibition of money laundering and </w:t>
      </w:r>
      <w:r w:rsidR="00465363">
        <w:rPr>
          <w:lang w:val="en-US"/>
        </w:rPr>
        <w:t>[to create]</w:t>
      </w:r>
      <w:r w:rsidRPr="003374AE">
        <w:rPr>
          <w:lang w:val="en-US"/>
        </w:rPr>
        <w:t xml:space="preserve"> an obligation to report certain information; to criminalise certain activities associated with gangs; to provide for the recovery of the proceeds of unlawful activity; for the civil forfeiture of criminal property that has been used to commit an offence…”. Sections 4-8 of POCA deal with offences relating to proceeds of unlawful activities</w:t>
      </w:r>
      <w:r>
        <w:rPr>
          <w:lang w:val="en-US"/>
        </w:rPr>
        <w:t>.</w:t>
      </w:r>
    </w:p>
    <w:p w14:paraId="047327C4" w14:textId="699CCD68" w:rsidR="00D0527C" w:rsidRPr="00D0527C" w:rsidRDefault="003374AE" w:rsidP="00716671">
      <w:pPr>
        <w:pStyle w:val="JudgmentNumbered"/>
      </w:pPr>
      <w:r w:rsidRPr="003374AE">
        <w:rPr>
          <w:lang w:val="en-US"/>
        </w:rPr>
        <w:t>Section 5 of POCA that GFE relies upon provides that</w:t>
      </w:r>
      <w:r w:rsidR="00B95DE9">
        <w:rPr>
          <w:lang w:val="en-US"/>
        </w:rPr>
        <w:t xml:space="preserve"> -</w:t>
      </w:r>
    </w:p>
    <w:p w14:paraId="63B5F59A" w14:textId="6D9A5A88" w:rsidR="00716671" w:rsidRPr="00B95DE9" w:rsidRDefault="003374AE" w:rsidP="00D0527C">
      <w:pPr>
        <w:pStyle w:val="JudgmentNumbered"/>
        <w:numPr>
          <w:ilvl w:val="0"/>
          <w:numId w:val="0"/>
        </w:numPr>
        <w:ind w:left="709"/>
      </w:pPr>
      <w:r w:rsidRPr="00D0527C">
        <w:rPr>
          <w:sz w:val="22"/>
          <w:lang w:val="en-US"/>
        </w:rPr>
        <w:t>“</w:t>
      </w:r>
      <w:r w:rsidRPr="00D0527C">
        <w:rPr>
          <w:iCs/>
          <w:sz w:val="22"/>
          <w:lang w:val="en-US"/>
        </w:rPr>
        <w:t>Any person who knows or ought reasonably to have known that another person has obtained the proceeds of unlawful activities, and who enters into any agreement with anyone or engages in any arrangement or transaction whereby</w:t>
      </w:r>
      <w:r w:rsidRPr="00596BC8">
        <w:rPr>
          <w:iCs/>
          <w:lang w:val="en-US"/>
        </w:rPr>
        <w:t>-</w:t>
      </w:r>
    </w:p>
    <w:p w14:paraId="00AE9781" w14:textId="77777777" w:rsidR="00092271" w:rsidRPr="00596BC8" w:rsidRDefault="00716671" w:rsidP="00092271">
      <w:pPr>
        <w:pStyle w:val="JudgmentNumbered"/>
        <w:numPr>
          <w:ilvl w:val="0"/>
          <w:numId w:val="0"/>
        </w:numPr>
        <w:ind w:left="1440"/>
        <w:rPr>
          <w:iCs/>
          <w:sz w:val="22"/>
          <w:lang w:val="en-ZA"/>
        </w:rPr>
      </w:pPr>
      <w:r w:rsidRPr="00B95DE9">
        <w:rPr>
          <w:sz w:val="22"/>
        </w:rPr>
        <w:t>“</w:t>
      </w:r>
      <w:r w:rsidR="00092271" w:rsidRPr="00596BC8">
        <w:rPr>
          <w:iCs/>
          <w:sz w:val="22"/>
          <w:lang w:val="en-ZA"/>
        </w:rPr>
        <w:t>(a)   the retention or the control by or on behalf of the said other person of the proceeds of unlawful activities is facilitated; or</w:t>
      </w:r>
    </w:p>
    <w:p w14:paraId="784BE388" w14:textId="77777777" w:rsidR="00D0527C" w:rsidRDefault="00092271" w:rsidP="00092271">
      <w:pPr>
        <w:pStyle w:val="JudgmentNumbered"/>
        <w:numPr>
          <w:ilvl w:val="0"/>
          <w:numId w:val="0"/>
        </w:numPr>
        <w:ind w:left="1440"/>
        <w:rPr>
          <w:iCs/>
          <w:sz w:val="22"/>
          <w:lang w:val="en-US"/>
        </w:rPr>
      </w:pPr>
      <w:r w:rsidRPr="00596BC8">
        <w:rPr>
          <w:iCs/>
          <w:sz w:val="22"/>
          <w:lang w:val="en-US"/>
        </w:rPr>
        <w:t xml:space="preserve">   (b)   the said proceeds of unlawful activities are used to make funds available to the said other person or to acquire property on his or her behalf or to benefit him or her in any other way, </w:t>
      </w:r>
    </w:p>
    <w:p w14:paraId="52CA70E3" w14:textId="20B5C4CE" w:rsidR="00716671" w:rsidRPr="00B95DE9" w:rsidRDefault="00092271" w:rsidP="00092271">
      <w:pPr>
        <w:pStyle w:val="JudgmentNumbered"/>
        <w:numPr>
          <w:ilvl w:val="0"/>
          <w:numId w:val="0"/>
        </w:numPr>
        <w:ind w:left="1440"/>
        <w:rPr>
          <w:sz w:val="22"/>
        </w:rPr>
      </w:pPr>
      <w:r w:rsidRPr="00596BC8">
        <w:rPr>
          <w:iCs/>
          <w:sz w:val="22"/>
          <w:lang w:val="en-US"/>
        </w:rPr>
        <w:t>shall be guilty of an offence</w:t>
      </w:r>
      <w:r w:rsidR="00716671" w:rsidRPr="00B95DE9">
        <w:rPr>
          <w:sz w:val="22"/>
        </w:rPr>
        <w:t>.”</w:t>
      </w:r>
    </w:p>
    <w:p w14:paraId="3DA4E7DE" w14:textId="594EF5DE" w:rsidR="00716671" w:rsidRDefault="00092271" w:rsidP="00716671">
      <w:pPr>
        <w:pStyle w:val="JudgmentNumbered"/>
      </w:pPr>
      <w:r w:rsidRPr="00092271">
        <w:rPr>
          <w:lang w:val="en-US"/>
        </w:rPr>
        <w:t xml:space="preserve">At the risk of repetition, in the present case, there is no illegality in relation to the underlying agreement or the award. None was suggested. Nor is there any suggestion that the main transaction agreement with an arbitration clause was concluded with the intention of committing an illegal act requiring public policy considerations. </w:t>
      </w:r>
      <w:r w:rsidR="00B72572">
        <w:rPr>
          <w:lang w:val="en-US"/>
        </w:rPr>
        <w:t>On the application of international law, s</w:t>
      </w:r>
      <w:r w:rsidRPr="00092271">
        <w:rPr>
          <w:lang w:val="en-US"/>
        </w:rPr>
        <w:t>ection 233 of the Constitution of the Republic of South Africa Act</w:t>
      </w:r>
      <w:r w:rsidR="00B95DE9">
        <w:rPr>
          <w:lang w:val="en-US"/>
        </w:rPr>
        <w:t>, 1996</w:t>
      </w:r>
      <w:r w:rsidRPr="00092271">
        <w:rPr>
          <w:lang w:val="en-US"/>
        </w:rPr>
        <w:t xml:space="preserve"> makes plain that </w:t>
      </w:r>
      <w:r w:rsidR="00B72572">
        <w:rPr>
          <w:iCs/>
          <w:lang w:val="en-US"/>
        </w:rPr>
        <w:t>“</w:t>
      </w:r>
      <w:r w:rsidR="005A3483">
        <w:rPr>
          <w:iCs/>
          <w:lang w:val="en-US"/>
        </w:rPr>
        <w:t>[</w:t>
      </w:r>
      <w:r w:rsidRPr="00596BC8">
        <w:rPr>
          <w:iCs/>
          <w:lang w:val="en-US"/>
        </w:rPr>
        <w:t>w</w:t>
      </w:r>
      <w:r w:rsidR="005A3483">
        <w:rPr>
          <w:iCs/>
          <w:lang w:val="en-US"/>
        </w:rPr>
        <w:t>]</w:t>
      </w:r>
      <w:r w:rsidRPr="00596BC8">
        <w:rPr>
          <w:iCs/>
          <w:lang w:val="en-US"/>
        </w:rPr>
        <w:t>hen interpreting any legislation, every court must prefer any reasonable interpretation of the legislation that is consistent with international law over any alternative interpretation that is inconsistent with international law</w:t>
      </w:r>
      <w:r w:rsidR="00F2298B">
        <w:rPr>
          <w:iCs/>
          <w:lang w:val="en-US"/>
        </w:rPr>
        <w:t>”</w:t>
      </w:r>
      <w:r w:rsidRPr="00092271">
        <w:rPr>
          <w:lang w:val="en-US"/>
        </w:rPr>
        <w:t xml:space="preserve">. On the contrary, compliance with an order of this court enforcing the arbitral award cannot constitute an unlawful activity as defined in section 1 of POCA. Accordingly, I find </w:t>
      </w:r>
      <w:r w:rsidRPr="00092271">
        <w:rPr>
          <w:lang w:val="en-US"/>
        </w:rPr>
        <w:lastRenderedPageBreak/>
        <w:t>that reliance on POCA by GFE is misplaced and has no bearing</w:t>
      </w:r>
      <w:r w:rsidR="005547E0">
        <w:rPr>
          <w:lang w:val="en-US"/>
        </w:rPr>
        <w:t>,</w:t>
      </w:r>
      <w:r w:rsidRPr="00092271">
        <w:rPr>
          <w:lang w:val="en-US"/>
        </w:rPr>
        <w:t xml:space="preserve"> regard being had to the facts as the underlying agreement is commercial in nature, which is recognised in international law</w:t>
      </w:r>
      <w:r>
        <w:rPr>
          <w:lang w:val="en-US"/>
        </w:rPr>
        <w:t>.</w:t>
      </w:r>
    </w:p>
    <w:p w14:paraId="421106EE" w14:textId="6619CC9B" w:rsidR="00716671" w:rsidRDefault="00092271" w:rsidP="00716671">
      <w:pPr>
        <w:pStyle w:val="JudgmentNumbered"/>
      </w:pPr>
      <w:r w:rsidRPr="00092271">
        <w:rPr>
          <w:lang w:val="en-US"/>
        </w:rPr>
        <w:t>The only source of an arbitrator's power is the arbitration agreement between the parties</w:t>
      </w:r>
      <w:r w:rsidR="00A36E15">
        <w:rPr>
          <w:lang w:val="en-US"/>
        </w:rPr>
        <w:t>.</w:t>
      </w:r>
      <w:r w:rsidRPr="00092271">
        <w:rPr>
          <w:vertAlign w:val="superscript"/>
          <w:lang w:val="en-US"/>
        </w:rPr>
        <w:footnoteReference w:id="8"/>
      </w:r>
      <w:r w:rsidRPr="00092271">
        <w:rPr>
          <w:lang w:val="en-US"/>
        </w:rPr>
        <w:t xml:space="preserve"> As </w:t>
      </w:r>
      <w:r w:rsidR="00043CD0" w:rsidRPr="00092271">
        <w:rPr>
          <w:lang w:val="en-US"/>
        </w:rPr>
        <w:t>Momoco</w:t>
      </w:r>
      <w:r w:rsidR="00043CD0">
        <w:rPr>
          <w:lang w:val="en-US"/>
        </w:rPr>
        <w:t>’s</w:t>
      </w:r>
      <w:r w:rsidR="00043CD0" w:rsidRPr="00092271">
        <w:rPr>
          <w:lang w:val="en-US"/>
        </w:rPr>
        <w:t xml:space="preserve"> </w:t>
      </w:r>
      <w:r w:rsidRPr="00092271">
        <w:rPr>
          <w:lang w:val="en-US"/>
        </w:rPr>
        <w:t>counsel also submitted</w:t>
      </w:r>
      <w:r w:rsidR="00043CD0">
        <w:rPr>
          <w:lang w:val="en-US"/>
        </w:rPr>
        <w:t>,</w:t>
      </w:r>
      <w:r w:rsidRPr="00092271">
        <w:rPr>
          <w:lang w:val="en-US"/>
        </w:rPr>
        <w:t xml:space="preserve"> with which I agree, the tax issue has no bearing on the legality of the agreement, the underlying causa for the award or the arbitral award itself. If there have been contraventions abroad, that is a matter for those authorities but not for this </w:t>
      </w:r>
      <w:r w:rsidR="00E21BE4" w:rsidRPr="00092271">
        <w:rPr>
          <w:lang w:val="en-US"/>
        </w:rPr>
        <w:t>c</w:t>
      </w:r>
      <w:r w:rsidRPr="00092271">
        <w:rPr>
          <w:lang w:val="en-US"/>
        </w:rPr>
        <w:t xml:space="preserve">ourt. In </w:t>
      </w:r>
      <w:r w:rsidRPr="00596BC8">
        <w:rPr>
          <w:i/>
          <w:lang w:val="en-US"/>
        </w:rPr>
        <w:t>Seton Co v Silveroak Industries Ltd</w:t>
      </w:r>
      <w:r w:rsidR="00650B4E">
        <w:rPr>
          <w:i/>
          <w:lang w:val="en-US"/>
        </w:rPr>
        <w:t>,</w:t>
      </w:r>
      <w:r w:rsidRPr="00092271">
        <w:rPr>
          <w:vertAlign w:val="superscript"/>
          <w:lang w:val="en-US"/>
        </w:rPr>
        <w:footnoteReference w:id="9"/>
      </w:r>
      <w:r w:rsidRPr="00092271">
        <w:rPr>
          <w:lang w:val="en-US"/>
        </w:rPr>
        <w:t xml:space="preserve"> </w:t>
      </w:r>
      <w:r w:rsidR="00650B4E">
        <w:rPr>
          <w:lang w:val="en-US"/>
        </w:rPr>
        <w:t>i</w:t>
      </w:r>
      <w:r w:rsidRPr="00092271">
        <w:rPr>
          <w:lang w:val="en-US"/>
        </w:rPr>
        <w:t>t</w:t>
      </w:r>
      <w:r w:rsidR="00650B4E">
        <w:rPr>
          <w:lang w:val="en-US"/>
        </w:rPr>
        <w:t xml:space="preserve"> was</w:t>
      </w:r>
      <w:r w:rsidRPr="00092271">
        <w:rPr>
          <w:lang w:val="en-US"/>
        </w:rPr>
        <w:t xml:space="preserve"> held that a court is not entitled to refuse recognition of foreign arbitral awards on ground</w:t>
      </w:r>
      <w:r w:rsidR="00905F74">
        <w:rPr>
          <w:lang w:val="en-US"/>
        </w:rPr>
        <w:t>s</w:t>
      </w:r>
      <w:r w:rsidRPr="00092271">
        <w:rPr>
          <w:lang w:val="en-US"/>
        </w:rPr>
        <w:t xml:space="preserve"> of fraud in circumstances where the party resisting the recognition of the award has not exhausted the remedies available to it in a foreign jurisdiction or proper forum</w:t>
      </w:r>
      <w:r w:rsidR="00EF7952">
        <w:t>.</w:t>
      </w:r>
    </w:p>
    <w:p w14:paraId="440FAB8D" w14:textId="1035DFBF" w:rsidR="00EF7952" w:rsidRDefault="00092271" w:rsidP="00716671">
      <w:pPr>
        <w:pStyle w:val="JudgmentNumbered"/>
      </w:pPr>
      <w:r w:rsidRPr="00092271">
        <w:rPr>
          <w:lang w:val="en-US"/>
        </w:rPr>
        <w:t xml:space="preserve">As Vieyra J concluded in </w:t>
      </w:r>
      <w:r w:rsidRPr="00596BC8">
        <w:rPr>
          <w:i/>
          <w:lang w:val="en-US"/>
        </w:rPr>
        <w:t>Commissioner of Taxes Federation Rhodesia v McFarland</w:t>
      </w:r>
      <w:r w:rsidRPr="00092271">
        <w:rPr>
          <w:vertAlign w:val="superscript"/>
          <w:lang w:val="en-US"/>
        </w:rPr>
        <w:footnoteReference w:id="10"/>
      </w:r>
      <w:r w:rsidRPr="00092271">
        <w:rPr>
          <w:lang w:val="en-US"/>
        </w:rPr>
        <w:t xml:space="preserve">, the </w:t>
      </w:r>
      <w:r w:rsidR="00522FAE" w:rsidRPr="00092271">
        <w:rPr>
          <w:lang w:val="en-US"/>
        </w:rPr>
        <w:t>c</w:t>
      </w:r>
      <w:r w:rsidRPr="00092271">
        <w:rPr>
          <w:lang w:val="en-US"/>
        </w:rPr>
        <w:t xml:space="preserve">ourts of the Republic have no jurisdiction to entertain legal proceedings involving the enforcement of the revenue laws of another </w:t>
      </w:r>
      <w:r w:rsidR="008176B3" w:rsidRPr="00092271">
        <w:rPr>
          <w:lang w:val="en-US"/>
        </w:rPr>
        <w:t>s</w:t>
      </w:r>
      <w:r w:rsidRPr="00092271">
        <w:rPr>
          <w:lang w:val="en-US"/>
        </w:rPr>
        <w:t>tate, and that “</w:t>
      </w:r>
      <w:r w:rsidR="00F61638">
        <w:rPr>
          <w:lang w:val="en-US"/>
        </w:rPr>
        <w:t>[</w:t>
      </w:r>
      <w:r w:rsidRPr="00092271">
        <w:rPr>
          <w:lang w:val="en-US"/>
        </w:rPr>
        <w:t>t</w:t>
      </w:r>
      <w:r w:rsidR="00F61638">
        <w:rPr>
          <w:lang w:val="en-US"/>
        </w:rPr>
        <w:t>]</w:t>
      </w:r>
      <w:r w:rsidRPr="00092271">
        <w:rPr>
          <w:lang w:val="en-US"/>
        </w:rPr>
        <w:t>he imposition of a tax creates a duty that is not to be likened to any other debt. The fiscal power is an attribute of sovereignty”.</w:t>
      </w:r>
      <w:r w:rsidR="00F61638">
        <w:rPr>
          <w:rStyle w:val="FootnoteReference"/>
          <w:lang w:val="en-US"/>
        </w:rPr>
        <w:footnoteReference w:id="11"/>
      </w:r>
      <w:r w:rsidRPr="00092271">
        <w:rPr>
          <w:lang w:val="en-US"/>
        </w:rPr>
        <w:t xml:space="preserve"> As counsel for Momoco submitted, as I also find, whether the applicant complied with the relevant provisions of the </w:t>
      </w:r>
      <w:r w:rsidR="007969FF">
        <w:rPr>
          <w:lang w:val="en-US"/>
        </w:rPr>
        <w:t xml:space="preserve">legislation in the </w:t>
      </w:r>
      <w:r w:rsidR="004E11B0" w:rsidRPr="00092271">
        <w:rPr>
          <w:lang w:val="en-US"/>
        </w:rPr>
        <w:t>U</w:t>
      </w:r>
      <w:r w:rsidR="007969FF">
        <w:rPr>
          <w:lang w:val="en-US"/>
        </w:rPr>
        <w:t xml:space="preserve">nited </w:t>
      </w:r>
      <w:r w:rsidR="004E11B0" w:rsidRPr="00092271">
        <w:rPr>
          <w:lang w:val="en-US"/>
        </w:rPr>
        <w:t>K</w:t>
      </w:r>
      <w:r w:rsidR="007969FF">
        <w:rPr>
          <w:lang w:val="en-US"/>
        </w:rPr>
        <w:t>ingdom like the</w:t>
      </w:r>
      <w:r w:rsidR="004E11B0" w:rsidRPr="00092271">
        <w:rPr>
          <w:lang w:val="en-US"/>
        </w:rPr>
        <w:t xml:space="preserve"> </w:t>
      </w:r>
      <w:r w:rsidRPr="00092271">
        <w:rPr>
          <w:lang w:val="en-US"/>
        </w:rPr>
        <w:t>Companies Act, 2006 , the Finance Act, 2004 or is guilty of a breach of the Criminal Finance Act, 2017  are matters for the United Kingdom authorities to investigate and address. GFE concedes as much</w:t>
      </w:r>
      <w:r>
        <w:rPr>
          <w:lang w:val="en-US"/>
        </w:rPr>
        <w:t>.</w:t>
      </w:r>
    </w:p>
    <w:p w14:paraId="78A9F309" w14:textId="19771897" w:rsidR="002B34F6" w:rsidRDefault="00092271" w:rsidP="00716671">
      <w:pPr>
        <w:pStyle w:val="JudgmentNumbered"/>
      </w:pPr>
      <w:r w:rsidRPr="00092271">
        <w:rPr>
          <w:lang w:val="en-US"/>
        </w:rPr>
        <w:t>GFE is a party to an international arbitration agreement in which the parties choose the substantive law which is to apply, the place where a tribunal is to sit, who the arbitrator is to be</w:t>
      </w:r>
      <w:r w:rsidR="0075591D">
        <w:rPr>
          <w:lang w:val="en-US"/>
        </w:rPr>
        <w:t>,</w:t>
      </w:r>
      <w:r w:rsidRPr="00092271">
        <w:rPr>
          <w:lang w:val="en-US"/>
        </w:rPr>
        <w:t xml:space="preserve"> as well as the applicable procedural law</w:t>
      </w:r>
      <w:r w:rsidR="0075591D">
        <w:rPr>
          <w:lang w:val="en-US"/>
        </w:rPr>
        <w:t>.</w:t>
      </w:r>
      <w:r w:rsidR="0075591D">
        <w:rPr>
          <w:rStyle w:val="FootnoteReference"/>
          <w:lang w:val="en-US"/>
        </w:rPr>
        <w:footnoteReference w:id="12"/>
      </w:r>
      <w:r w:rsidRPr="00092271">
        <w:rPr>
          <w:lang w:val="en-US"/>
        </w:rPr>
        <w:t xml:space="preserve"> The right of parties to arbitrate their disputes before a tribunal of their own choosing has </w:t>
      </w:r>
      <w:r w:rsidRPr="00092271">
        <w:rPr>
          <w:lang w:val="en-US"/>
        </w:rPr>
        <w:lastRenderedPageBreak/>
        <w:t>long been part of our common law</w:t>
      </w:r>
      <w:r w:rsidR="002534D0">
        <w:rPr>
          <w:lang w:val="en-US"/>
        </w:rPr>
        <w:t>.</w:t>
      </w:r>
      <w:r w:rsidRPr="00092271">
        <w:rPr>
          <w:vertAlign w:val="superscript"/>
          <w:lang w:val="en-US"/>
        </w:rPr>
        <w:footnoteReference w:id="13"/>
      </w:r>
      <w:r w:rsidRPr="00092271">
        <w:rPr>
          <w:lang w:val="en-US"/>
        </w:rPr>
        <w:t xml:space="preserve"> It is a firmly established principle of the law of arbitration that awards are final</w:t>
      </w:r>
      <w:r w:rsidR="003907E6">
        <w:rPr>
          <w:lang w:val="en-US"/>
        </w:rPr>
        <w:t>.</w:t>
      </w:r>
      <w:r w:rsidRPr="00092271">
        <w:rPr>
          <w:vertAlign w:val="superscript"/>
          <w:lang w:val="en-US"/>
        </w:rPr>
        <w:footnoteReference w:id="14"/>
      </w:r>
      <w:r w:rsidRPr="00092271">
        <w:rPr>
          <w:lang w:val="en-US"/>
        </w:rPr>
        <w:t xml:space="preserve"> It is only in exceptional, recognised instances that courts will not give effect to arbitral awards. Failure to pay for goods purchased and delivered several years ago is nothing but breach of contract</w:t>
      </w:r>
      <w:r w:rsidR="002B34F6">
        <w:t>.</w:t>
      </w:r>
    </w:p>
    <w:p w14:paraId="65948FB3" w14:textId="48AC33B4" w:rsidR="00716671" w:rsidRDefault="00092271" w:rsidP="00716671">
      <w:pPr>
        <w:pStyle w:val="JudgmentNumbered"/>
      </w:pPr>
      <w:r w:rsidRPr="00092271">
        <w:rPr>
          <w:lang w:val="en-US"/>
        </w:rPr>
        <w:t xml:space="preserve">Generally, public policy requires contracting parties to honour obligations that have been freely and voluntarily undertaken. As the Constitutional Court reminds us in </w:t>
      </w:r>
      <w:r w:rsidRPr="00596BC8">
        <w:rPr>
          <w:i/>
          <w:lang w:val="en-US"/>
        </w:rPr>
        <w:t xml:space="preserve">Beadica 231 CC and Others </w:t>
      </w:r>
      <w:r w:rsidR="00D8078F" w:rsidRPr="00596BC8">
        <w:rPr>
          <w:i/>
          <w:lang w:val="en-US"/>
        </w:rPr>
        <w:t>v</w:t>
      </w:r>
      <w:r w:rsidRPr="00596BC8">
        <w:rPr>
          <w:i/>
          <w:lang w:val="en-US"/>
        </w:rPr>
        <w:t xml:space="preserve"> Trustees, Oregon Trust And Others</w:t>
      </w:r>
      <w:r w:rsidRPr="00092271">
        <w:rPr>
          <w:vertAlign w:val="superscript"/>
          <w:lang w:val="en-US"/>
        </w:rPr>
        <w:footnoteReference w:id="15"/>
      </w:r>
      <w:r w:rsidRPr="00092271">
        <w:rPr>
          <w:lang w:val="en-US"/>
        </w:rPr>
        <w:t xml:space="preserve"> that “public policy demands that contracts freely and consciously entered into must be honoured</w:t>
      </w:r>
      <w:bookmarkStart w:id="4" w:name="0-0-0-86859"/>
      <w:bookmarkEnd w:id="4"/>
      <w:r w:rsidR="00B17AB6">
        <w:rPr>
          <w:lang w:val="en-US"/>
        </w:rPr>
        <w:t>”</w:t>
      </w:r>
      <w:r w:rsidRPr="00092271">
        <w:rPr>
          <w:lang w:val="en-US"/>
        </w:rPr>
        <w:t>.</w:t>
      </w:r>
      <w:r w:rsidR="00B17AB6">
        <w:rPr>
          <w:rStyle w:val="FootnoteReference"/>
          <w:lang w:val="en-US"/>
        </w:rPr>
        <w:footnoteReference w:id="16"/>
      </w:r>
      <w:r w:rsidRPr="00092271">
        <w:rPr>
          <w:lang w:val="en-US"/>
        </w:rPr>
        <w:t xml:space="preserve"> Furthermore, </w:t>
      </w:r>
      <w:r w:rsidR="008D339C" w:rsidRPr="00092271">
        <w:rPr>
          <w:lang w:val="en-US"/>
        </w:rPr>
        <w:t>the principle of </w:t>
      </w:r>
      <w:r w:rsidR="008D339C" w:rsidRPr="00236AC7">
        <w:rPr>
          <w:i/>
          <w:lang w:val="en-US"/>
        </w:rPr>
        <w:t>pacta sunt servanda</w:t>
      </w:r>
      <w:r w:rsidR="008D339C">
        <w:rPr>
          <w:lang w:val="en-US"/>
        </w:rPr>
        <w:t> gives effect to the “</w:t>
      </w:r>
      <w:r w:rsidR="008D339C" w:rsidRPr="00092271">
        <w:rPr>
          <w:lang w:val="en-US"/>
        </w:rPr>
        <w:t>central constitutional values of freedom and dignity</w:t>
      </w:r>
      <w:r w:rsidR="008D339C">
        <w:rPr>
          <w:lang w:val="en-US"/>
        </w:rPr>
        <w:t>”.</w:t>
      </w:r>
      <w:r w:rsidR="008D339C">
        <w:rPr>
          <w:rStyle w:val="FootnoteReference"/>
          <w:lang w:val="en-US"/>
        </w:rPr>
        <w:footnoteReference w:id="17"/>
      </w:r>
      <w:r w:rsidRPr="00092271">
        <w:rPr>
          <w:lang w:val="en-US"/>
        </w:rPr>
        <w:t> </w:t>
      </w:r>
      <w:bookmarkStart w:id="5" w:name="0-0-0-86863"/>
      <w:bookmarkEnd w:id="5"/>
      <w:r w:rsidRPr="00092271">
        <w:rPr>
          <w:lang w:val="en-US"/>
        </w:rPr>
        <w:t xml:space="preserve">  In sum, courts recognise that generally, public policy requires that contracting parties honour obligations that have been freely and voluntarily undertaken. In </w:t>
      </w:r>
      <w:r w:rsidRPr="00596BC8">
        <w:rPr>
          <w:i/>
          <w:lang w:val="en-US"/>
        </w:rPr>
        <w:t>Telcordia Technologies</w:t>
      </w:r>
      <w:r w:rsidR="002D2B76">
        <w:rPr>
          <w:i/>
          <w:lang w:val="en-US"/>
        </w:rPr>
        <w:t>,</w:t>
      </w:r>
      <w:r w:rsidRPr="00092271">
        <w:rPr>
          <w:vertAlign w:val="superscript"/>
          <w:lang w:val="en-US"/>
        </w:rPr>
        <w:footnoteReference w:id="18"/>
      </w:r>
      <w:r w:rsidRPr="00092271">
        <w:rPr>
          <w:lang w:val="en-US"/>
        </w:rPr>
        <w:t xml:space="preserve"> the Supreme Court of Appeal (per Harms JA) stressed the need, when consider</w:t>
      </w:r>
      <w:r w:rsidR="00DC26C9">
        <w:rPr>
          <w:lang w:val="en-US"/>
        </w:rPr>
        <w:t>ing</w:t>
      </w:r>
      <w:r w:rsidRPr="00092271">
        <w:rPr>
          <w:lang w:val="en-US"/>
        </w:rPr>
        <w:t xml:space="preserve"> the confirmation of arbitral awards, for adherence to the principle of party autonomy, requiring a high degree of deference to arbitral decisions, which is a worldwide tradition</w:t>
      </w:r>
      <w:r w:rsidR="00040D10">
        <w:t>.</w:t>
      </w:r>
    </w:p>
    <w:p w14:paraId="6B33BBA9" w14:textId="135AA0B1" w:rsidR="00231DCE" w:rsidRDefault="00092271" w:rsidP="00716671">
      <w:pPr>
        <w:pStyle w:val="JudgmentNumbered"/>
      </w:pPr>
      <w:r w:rsidRPr="00092271">
        <w:rPr>
          <w:lang w:val="en-US"/>
        </w:rPr>
        <w:t>The defence put up is dilatory. The award made is not in conflict with or deviat</w:t>
      </w:r>
      <w:r w:rsidR="00B540A7">
        <w:rPr>
          <w:lang w:val="en-US"/>
        </w:rPr>
        <w:t>ing</w:t>
      </w:r>
      <w:r w:rsidRPr="00092271">
        <w:rPr>
          <w:lang w:val="en-US"/>
        </w:rPr>
        <w:t xml:space="preserve"> from the terms of the various sale</w:t>
      </w:r>
      <w:r w:rsidR="00B540A7">
        <w:rPr>
          <w:lang w:val="en-US"/>
        </w:rPr>
        <w:t xml:space="preserve"> confirmations</w:t>
      </w:r>
      <w:r w:rsidRPr="00092271">
        <w:rPr>
          <w:lang w:val="en-US"/>
        </w:rPr>
        <w:t>. It is crucial to economic development; the necessity to do simple justice between individuals</w:t>
      </w:r>
      <w:r w:rsidRPr="00092271">
        <w:rPr>
          <w:vertAlign w:val="superscript"/>
          <w:lang w:val="en-US"/>
        </w:rPr>
        <w:footnoteReference w:id="19"/>
      </w:r>
      <w:r w:rsidRPr="00092271">
        <w:rPr>
          <w:lang w:val="en-US"/>
        </w:rPr>
        <w:t xml:space="preserve"> and commercial transactions generally that individuals be able to trust that all contracting parties w</w:t>
      </w:r>
      <w:r w:rsidR="004A0170">
        <w:rPr>
          <w:lang w:val="en-US"/>
        </w:rPr>
        <w:t>ill</w:t>
      </w:r>
      <w:r w:rsidRPr="00092271">
        <w:rPr>
          <w:lang w:val="en-US"/>
        </w:rPr>
        <w:t xml:space="preserve"> be bound by obligations willingly assumed. Accordingly, GFE failed to establish any basis either as a matter of fact or law to substantiate the contention that enforc</w:t>
      </w:r>
      <w:r w:rsidR="00CD709D">
        <w:rPr>
          <w:lang w:val="en-US"/>
        </w:rPr>
        <w:t>ing</w:t>
      </w:r>
      <w:r w:rsidRPr="00092271">
        <w:rPr>
          <w:lang w:val="en-US"/>
        </w:rPr>
        <w:t xml:space="preserve"> the arbitral award </w:t>
      </w:r>
      <w:r w:rsidR="00CD709D">
        <w:rPr>
          <w:lang w:val="en-US"/>
        </w:rPr>
        <w:t>will be</w:t>
      </w:r>
      <w:r w:rsidRPr="00092271">
        <w:rPr>
          <w:lang w:val="en-US"/>
        </w:rPr>
        <w:t xml:space="preserve"> against public policy</w:t>
      </w:r>
      <w:r>
        <w:rPr>
          <w:lang w:val="en-US"/>
        </w:rPr>
        <w:t>.</w:t>
      </w:r>
    </w:p>
    <w:p w14:paraId="58FC04B9" w14:textId="6617F42D" w:rsidR="00382FE6" w:rsidRPr="00596BC8" w:rsidRDefault="00092271" w:rsidP="00716671">
      <w:pPr>
        <w:pStyle w:val="JudgmentNumbered"/>
      </w:pPr>
      <w:r w:rsidRPr="00092271">
        <w:rPr>
          <w:lang w:val="en-US"/>
        </w:rPr>
        <w:t xml:space="preserve">In sum, on a proper reading of the Act, the refusal to pay for the goods purchased purportedly in terms of section 18(1)(a)(ii) following the award is not just </w:t>
      </w:r>
      <w:r w:rsidRPr="00092271">
        <w:rPr>
          <w:lang w:val="en-US"/>
        </w:rPr>
        <w:lastRenderedPageBreak/>
        <w:t>unreasonable, but contrary to public policy in itself. It follows then that the applicant must succeed.</w:t>
      </w:r>
    </w:p>
    <w:p w14:paraId="341A5D73" w14:textId="0598A091" w:rsidR="00716671" w:rsidRDefault="00092271" w:rsidP="00716671">
      <w:pPr>
        <w:pStyle w:val="JudgmentNumbered"/>
      </w:pPr>
      <w:r w:rsidRPr="00092271">
        <w:rPr>
          <w:lang w:val="en-US"/>
        </w:rPr>
        <w:t xml:space="preserve">I turn now to consider the question of costs. As for costs associated with the main application, there is no reason why I should not follow the normal rule of awarding the costs in accordance with the result. Counsel in each of the applications asked for an order in </w:t>
      </w:r>
      <w:r w:rsidR="008168A2">
        <w:rPr>
          <w:lang w:val="en-US"/>
        </w:rPr>
        <w:t>their</w:t>
      </w:r>
      <w:r w:rsidRPr="00092271">
        <w:rPr>
          <w:lang w:val="en-US"/>
        </w:rPr>
        <w:t xml:space="preserve"> favour with costs and that the costs of two counsel be allowed</w:t>
      </w:r>
      <w:r w:rsidR="00B5480A">
        <w:t>.</w:t>
      </w:r>
    </w:p>
    <w:p w14:paraId="7F4DF299" w14:textId="0F089188" w:rsidR="00D418E1" w:rsidRPr="00273D5A" w:rsidRDefault="00D418E1" w:rsidP="00273D5A">
      <w:pPr>
        <w:pStyle w:val="JudgmentNumbered"/>
        <w:numPr>
          <w:ilvl w:val="0"/>
          <w:numId w:val="0"/>
        </w:numPr>
        <w:ind w:firstLine="567"/>
        <w:rPr>
          <w:i/>
        </w:rPr>
      </w:pPr>
      <w:r w:rsidRPr="00273D5A">
        <w:rPr>
          <w:i/>
        </w:rPr>
        <w:t xml:space="preserve">Reserved costs </w:t>
      </w:r>
    </w:p>
    <w:p w14:paraId="13272ED5" w14:textId="0C927061" w:rsidR="00B5480A" w:rsidRDefault="00D418E1" w:rsidP="00716671">
      <w:pPr>
        <w:pStyle w:val="JudgmentNumbered"/>
      </w:pPr>
      <w:r w:rsidRPr="00D418E1">
        <w:rPr>
          <w:lang w:val="en-US"/>
        </w:rPr>
        <w:t xml:space="preserve">On 1 March 2023, Motha AJ removed this application and reserved the question of costs. The matter was not ripe for hearing. The relevant chronology is as </w:t>
      </w:r>
      <w:r w:rsidR="00F85A31" w:rsidRPr="00D418E1">
        <w:rPr>
          <w:lang w:val="en-US"/>
        </w:rPr>
        <w:t>follows</w:t>
      </w:r>
      <w:r w:rsidR="00F85A31">
        <w:rPr>
          <w:lang w:val="en-US"/>
        </w:rPr>
        <w:t xml:space="preserve">. </w:t>
      </w:r>
      <w:r w:rsidR="00F85A31" w:rsidRPr="00D418E1">
        <w:rPr>
          <w:lang w:val="en-US"/>
        </w:rPr>
        <w:t>On</w:t>
      </w:r>
      <w:r w:rsidRPr="00D418E1">
        <w:rPr>
          <w:lang w:val="en-US"/>
        </w:rPr>
        <w:t xml:space="preserve"> 26 September 2022, the Taxing Master set security for costs in the amount of R350 000.00 in favour of GFE and provided his </w:t>
      </w:r>
      <w:r w:rsidRPr="00B53577">
        <w:rPr>
          <w:i/>
          <w:lang w:val="en-US"/>
        </w:rPr>
        <w:t>allocatur</w:t>
      </w:r>
      <w:r w:rsidRPr="00D418E1">
        <w:rPr>
          <w:lang w:val="en-US"/>
        </w:rPr>
        <w:t xml:space="preserve"> in that regard. On 7 November 2022, security for costs was provided by Momoco. Subsequently, on 5 December 2022, GFE demanded an increase in the security in the sum of R3 023 000.00 on</w:t>
      </w:r>
      <w:r w:rsidR="001013DF">
        <w:rPr>
          <w:lang w:val="en-US"/>
        </w:rPr>
        <w:t>,</w:t>
      </w:r>
      <w:r w:rsidRPr="00D418E1">
        <w:rPr>
          <w:lang w:val="en-US"/>
        </w:rPr>
        <w:t xml:space="preserve"> inter alia</w:t>
      </w:r>
      <w:r w:rsidR="001013DF">
        <w:rPr>
          <w:lang w:val="en-US"/>
        </w:rPr>
        <w:t>,</w:t>
      </w:r>
      <w:r w:rsidRPr="00D418E1">
        <w:rPr>
          <w:lang w:val="en-US"/>
        </w:rPr>
        <w:t xml:space="preserve"> the ground that the amount of R350 000.00 was no longer adequate</w:t>
      </w:r>
      <w:r w:rsidR="00B5480A">
        <w:t>.</w:t>
      </w:r>
    </w:p>
    <w:p w14:paraId="47BDADAF" w14:textId="48348ED9" w:rsidR="00B5480A" w:rsidRDefault="00D418E1" w:rsidP="00716671">
      <w:pPr>
        <w:pStyle w:val="JudgmentNumbered"/>
      </w:pPr>
      <w:r w:rsidRPr="00D418E1">
        <w:rPr>
          <w:lang w:val="en-US"/>
        </w:rPr>
        <w:t>In response</w:t>
      </w:r>
      <w:r w:rsidR="00750590">
        <w:rPr>
          <w:lang w:val="en-US"/>
        </w:rPr>
        <w:t>,</w:t>
      </w:r>
      <w:r w:rsidRPr="00D418E1">
        <w:rPr>
          <w:lang w:val="en-US"/>
        </w:rPr>
        <w:t xml:space="preserve"> on 20 December 2022, Momoco delivered a notice in terms of Rule 30A disputing GFE's entitlement to additional security and contended that the latter's notice was irregular and did not comply with the </w:t>
      </w:r>
      <w:r w:rsidR="004F378D" w:rsidRPr="00D418E1">
        <w:rPr>
          <w:lang w:val="en-US"/>
        </w:rPr>
        <w:t>r</w:t>
      </w:r>
      <w:r w:rsidRPr="00D418E1">
        <w:rPr>
          <w:lang w:val="en-US"/>
        </w:rPr>
        <w:t xml:space="preserve">ules of </w:t>
      </w:r>
      <w:r w:rsidR="004F378D" w:rsidRPr="00D418E1">
        <w:rPr>
          <w:lang w:val="en-US"/>
        </w:rPr>
        <w:t>c</w:t>
      </w:r>
      <w:r w:rsidRPr="00D418E1">
        <w:rPr>
          <w:lang w:val="en-US"/>
        </w:rPr>
        <w:t xml:space="preserve">ourt. On 13 February 2023, the Taxing Master informed the parties that a taxation date had been allocated for 27 February 2023. In response to the set down, Momoco served a new notice in terms of Rule 30A on GFE. Due to Momoco's second notice and the Rule </w:t>
      </w:r>
      <w:r w:rsidR="006A24C8">
        <w:rPr>
          <w:lang w:val="en-US"/>
        </w:rPr>
        <w:t>30/</w:t>
      </w:r>
      <w:r w:rsidRPr="00D418E1">
        <w:rPr>
          <w:lang w:val="en-US"/>
        </w:rPr>
        <w:t xml:space="preserve">30A application, the taxation did not proceed and was postponed </w:t>
      </w:r>
      <w:r w:rsidRPr="00596BC8">
        <w:rPr>
          <w:i/>
          <w:lang w:val="en-US"/>
        </w:rPr>
        <w:t>sine die</w:t>
      </w:r>
      <w:r w:rsidRPr="00D418E1">
        <w:rPr>
          <w:lang w:val="en-US"/>
        </w:rPr>
        <w:t>, on the basis that Momoco's complaint was required to be resolved first</w:t>
      </w:r>
      <w:r w:rsidR="00EF18D4">
        <w:t>.</w:t>
      </w:r>
    </w:p>
    <w:p w14:paraId="570104CB" w14:textId="1BD0CBE4" w:rsidR="00792952" w:rsidRDefault="00D418E1" w:rsidP="00EF18D4">
      <w:pPr>
        <w:pStyle w:val="JudgmentNumbered"/>
      </w:pPr>
      <w:r w:rsidRPr="00D418E1">
        <w:rPr>
          <w:lang w:val="en-US"/>
        </w:rPr>
        <w:t xml:space="preserve">It is common cause that prior to the launching of the Rule 30/30A application, </w:t>
      </w:r>
      <w:r w:rsidR="004D2EFE" w:rsidRPr="00D418E1">
        <w:rPr>
          <w:lang w:val="en-US"/>
        </w:rPr>
        <w:t>on 14th and 16th of February 2023 respectively</w:t>
      </w:r>
      <w:r w:rsidR="004D2EFE">
        <w:rPr>
          <w:lang w:val="en-US"/>
        </w:rPr>
        <w:t>,</w:t>
      </w:r>
      <w:r w:rsidR="004D2EFE" w:rsidRPr="00D418E1" w:rsidDel="00D75306">
        <w:rPr>
          <w:lang w:val="en-US"/>
        </w:rPr>
        <w:t xml:space="preserve"> </w:t>
      </w:r>
      <w:r w:rsidRPr="00D418E1">
        <w:rPr>
          <w:lang w:val="en-US"/>
        </w:rPr>
        <w:t>GFE's attorney of record wrote to Momoco's attorney of record and inter alia</w:t>
      </w:r>
      <w:r w:rsidR="004D2EFE">
        <w:rPr>
          <w:lang w:val="en-US"/>
        </w:rPr>
        <w:t>,</w:t>
      </w:r>
      <w:r w:rsidRPr="00D418E1">
        <w:rPr>
          <w:lang w:val="en-US"/>
        </w:rPr>
        <w:t xml:space="preserve"> requested that the main application be removed from the roll, as the issue concerning the additional security for costs required resol</w:t>
      </w:r>
      <w:r w:rsidR="004D2EFE">
        <w:rPr>
          <w:lang w:val="en-US"/>
        </w:rPr>
        <w:t>ution</w:t>
      </w:r>
      <w:r w:rsidRPr="00D418E1">
        <w:rPr>
          <w:lang w:val="en-US"/>
        </w:rPr>
        <w:t xml:space="preserve"> first. It is common cause that </w:t>
      </w:r>
      <w:r w:rsidR="004961F7">
        <w:rPr>
          <w:lang w:val="en-US"/>
        </w:rPr>
        <w:t>o</w:t>
      </w:r>
      <w:r w:rsidRPr="00D418E1">
        <w:rPr>
          <w:lang w:val="en-US"/>
        </w:rPr>
        <w:t xml:space="preserve">n 17 February 2023, and as a direct response to the aforementioned, Momoco's attorney of record wrote to the Taxing Master, advising the latter that the assessment of security for costs was </w:t>
      </w:r>
      <w:r w:rsidRPr="00D418E1">
        <w:rPr>
          <w:lang w:val="en-US"/>
        </w:rPr>
        <w:lastRenderedPageBreak/>
        <w:t>premature and irregular</w:t>
      </w:r>
      <w:r w:rsidR="00684F8E">
        <w:rPr>
          <w:lang w:val="en-US"/>
        </w:rPr>
        <w:t>,</w:t>
      </w:r>
      <w:r w:rsidRPr="00D418E1">
        <w:rPr>
          <w:lang w:val="en-US"/>
        </w:rPr>
        <w:t xml:space="preserve"> and furthermore requested that the matter be removed from the taxation roll on 27 February 2023</w:t>
      </w:r>
      <w:r w:rsidR="00EF18D4">
        <w:t>.</w:t>
      </w:r>
    </w:p>
    <w:p w14:paraId="648860C2" w14:textId="658C66CD" w:rsidR="00C377E2" w:rsidRDefault="00D418E1" w:rsidP="008D25AD">
      <w:pPr>
        <w:pStyle w:val="JudgmentNumbered"/>
      </w:pPr>
      <w:r w:rsidRPr="00D418E1">
        <w:rPr>
          <w:lang w:val="en-US"/>
        </w:rPr>
        <w:t xml:space="preserve">On 1 March 2023 and at the hearing of the main application, counsel for Momoco abandoned </w:t>
      </w:r>
      <w:r w:rsidR="000558D3">
        <w:rPr>
          <w:lang w:val="en-US"/>
        </w:rPr>
        <w:t xml:space="preserve">the </w:t>
      </w:r>
      <w:r w:rsidRPr="00D418E1">
        <w:rPr>
          <w:lang w:val="en-US"/>
        </w:rPr>
        <w:t>Rule 30/30A application. Motha AJ deprecated Momoco’s conduct and found it as “very opportunistic and completely unacceptable” as the issue of taxation could have been heard</w:t>
      </w:r>
      <w:r w:rsidR="00BB6841">
        <w:rPr>
          <w:lang w:val="en-US"/>
        </w:rPr>
        <w:t xml:space="preserve"> on the date as previously set</w:t>
      </w:r>
      <w:r w:rsidR="000B6413">
        <w:rPr>
          <w:lang w:val="en-US"/>
        </w:rPr>
        <w:t xml:space="preserve"> for that purpose</w:t>
      </w:r>
      <w:r w:rsidRPr="00D418E1">
        <w:rPr>
          <w:lang w:val="en-US"/>
        </w:rPr>
        <w:t>, and the main application could have been proceeded with on 1 March 2023</w:t>
      </w:r>
      <w:r>
        <w:rPr>
          <w:lang w:val="en-US"/>
        </w:rPr>
        <w:t>.</w:t>
      </w:r>
    </w:p>
    <w:p w14:paraId="0CF3F79B" w14:textId="197C5F8E" w:rsidR="00C377E2" w:rsidRDefault="00DF522F" w:rsidP="008D25AD">
      <w:pPr>
        <w:pStyle w:val="JudgmentNumbered"/>
      </w:pPr>
      <w:r>
        <w:rPr>
          <w:lang w:val="en-US"/>
        </w:rPr>
        <w:t>I</w:t>
      </w:r>
      <w:r w:rsidR="001D415E" w:rsidRPr="001D415E">
        <w:rPr>
          <w:lang w:val="en-US"/>
        </w:rPr>
        <w:t>t is common cause that on 24 April 2023, Momoco offered additional security for costs in the amount of R700 000.00, which DFE accepted.</w:t>
      </w:r>
      <w:r w:rsidR="0086036F" w:rsidRPr="0086036F">
        <w:t xml:space="preserve"> </w:t>
      </w:r>
      <w:r w:rsidR="0086036F" w:rsidRPr="0086036F">
        <w:rPr>
          <w:lang w:val="en-US"/>
        </w:rPr>
        <w:t>It is</w:t>
      </w:r>
      <w:r w:rsidR="0086036F">
        <w:rPr>
          <w:lang w:val="en-US"/>
        </w:rPr>
        <w:t xml:space="preserve"> also</w:t>
      </w:r>
      <w:r w:rsidR="0086036F" w:rsidRPr="0086036F">
        <w:rPr>
          <w:lang w:val="en-US"/>
        </w:rPr>
        <w:t xml:space="preserve"> common cause that the respondent </w:t>
      </w:r>
      <w:r w:rsidR="0086036F">
        <w:rPr>
          <w:lang w:val="en-US"/>
        </w:rPr>
        <w:t>was</w:t>
      </w:r>
      <w:r w:rsidR="0086036F" w:rsidRPr="0086036F">
        <w:rPr>
          <w:lang w:val="en-US"/>
        </w:rPr>
        <w:t xml:space="preserve"> entitled to security for costs and the registrar </w:t>
      </w:r>
      <w:r w:rsidR="002E11E7">
        <w:rPr>
          <w:lang w:val="en-US"/>
        </w:rPr>
        <w:t xml:space="preserve">could </w:t>
      </w:r>
      <w:r w:rsidR="0086036F" w:rsidRPr="0086036F">
        <w:rPr>
          <w:lang w:val="en-US"/>
        </w:rPr>
        <w:t>increase same in terms of rule 47(6).</w:t>
      </w:r>
      <w:r w:rsidR="001D415E" w:rsidRPr="001D415E">
        <w:rPr>
          <w:lang w:val="en-US"/>
        </w:rPr>
        <w:t xml:space="preserve"> Momoco’s Rule 30 and/or Rule 30A application</w:t>
      </w:r>
      <w:r w:rsidR="00C078B0">
        <w:rPr>
          <w:lang w:val="en-US"/>
        </w:rPr>
        <w:t>,</w:t>
      </w:r>
      <w:r w:rsidR="001D415E" w:rsidRPr="001D415E">
        <w:rPr>
          <w:lang w:val="en-US"/>
        </w:rPr>
        <w:t xml:space="preserve"> being interlocutory in nature, of necessity </w:t>
      </w:r>
      <w:r w:rsidR="00C078B0">
        <w:rPr>
          <w:lang w:val="en-US"/>
        </w:rPr>
        <w:t xml:space="preserve">was </w:t>
      </w:r>
      <w:r w:rsidR="001D415E" w:rsidRPr="001D415E">
        <w:rPr>
          <w:lang w:val="en-US"/>
        </w:rPr>
        <w:t>required to be disposed of first, before the main application could proceed. It is of no surprise therefore that on 1 March 2023, Momoco indicated to the court that it was abandoning the application. By then</w:t>
      </w:r>
      <w:r w:rsidR="00C078B0">
        <w:rPr>
          <w:lang w:val="en-US"/>
        </w:rPr>
        <w:t>,</w:t>
      </w:r>
      <w:r w:rsidR="001D415E" w:rsidRPr="001D415E">
        <w:rPr>
          <w:lang w:val="en-US"/>
        </w:rPr>
        <w:t xml:space="preserve"> Momoco had already scuppered the hearing before the </w:t>
      </w:r>
      <w:r w:rsidR="00C078B0">
        <w:rPr>
          <w:lang w:val="en-US"/>
        </w:rPr>
        <w:t>T</w:t>
      </w:r>
      <w:r w:rsidR="001D415E" w:rsidRPr="001D415E">
        <w:rPr>
          <w:lang w:val="en-US"/>
        </w:rPr>
        <w:t xml:space="preserve">axing </w:t>
      </w:r>
      <w:r w:rsidR="00C078B0">
        <w:rPr>
          <w:lang w:val="en-US"/>
        </w:rPr>
        <w:t>M</w:t>
      </w:r>
      <w:r w:rsidR="001D415E" w:rsidRPr="001D415E">
        <w:rPr>
          <w:lang w:val="en-US"/>
        </w:rPr>
        <w:t>aster for additional security on 27 February 2023. The damage and inconvenience to DFE was already done. DFE is entitled to reserved costs</w:t>
      </w:r>
      <w:r w:rsidR="00C377E2">
        <w:t>.</w:t>
      </w:r>
    </w:p>
    <w:p w14:paraId="49BF986A" w14:textId="575638BA" w:rsidR="008D25AD" w:rsidRDefault="001947E9" w:rsidP="008D25AD">
      <w:pPr>
        <w:pStyle w:val="JudgmentNumbered"/>
      </w:pPr>
      <w:r>
        <w:t>Order</w:t>
      </w:r>
    </w:p>
    <w:p w14:paraId="68D1F1AC" w14:textId="1E78A91D" w:rsidR="00B40E94" w:rsidRDefault="001947E9" w:rsidP="001947E9">
      <w:pPr>
        <w:pStyle w:val="JudgmentNumbered"/>
        <w:numPr>
          <w:ilvl w:val="1"/>
          <w:numId w:val="4"/>
        </w:numPr>
      </w:pPr>
      <w:r w:rsidRPr="001947E9">
        <w:rPr>
          <w:lang w:val="en-US"/>
        </w:rPr>
        <w:t>It is declared that the arbitral award by the China International Economic and Trade Arbitration Commission (</w:t>
      </w:r>
      <w:r w:rsidR="008D6006">
        <w:rPr>
          <w:lang w:val="en-US"/>
        </w:rPr>
        <w:t xml:space="preserve">handed down in </w:t>
      </w:r>
      <w:r w:rsidRPr="001947E9">
        <w:rPr>
          <w:lang w:val="en-US"/>
        </w:rPr>
        <w:t xml:space="preserve">Beijing, Peoples Republic of China) in the matter between Momoco International Limited and GFE-MIR Alloys and Minerals SA (Pty) Limited dated 12 June 2020, is made an order of </w:t>
      </w:r>
      <w:r w:rsidR="005E3FC0" w:rsidRPr="001947E9">
        <w:rPr>
          <w:lang w:val="en-US"/>
        </w:rPr>
        <w:t>c</w:t>
      </w:r>
      <w:r w:rsidRPr="001947E9">
        <w:rPr>
          <w:lang w:val="en-US"/>
        </w:rPr>
        <w:t>ourt</w:t>
      </w:r>
      <w:r w:rsidR="00AE7890">
        <w:rPr>
          <w:lang w:val="en-ZA"/>
        </w:rPr>
        <w:t>.</w:t>
      </w:r>
      <w:r w:rsidR="00AE7890" w:rsidRPr="006830AF">
        <w:t xml:space="preserve"> </w:t>
      </w:r>
    </w:p>
    <w:p w14:paraId="038FBF47" w14:textId="22AC40DD" w:rsidR="001947E9" w:rsidRPr="00D311B2" w:rsidRDefault="001947E9" w:rsidP="001947E9">
      <w:pPr>
        <w:pStyle w:val="JudgmentNumbered"/>
        <w:numPr>
          <w:ilvl w:val="1"/>
          <w:numId w:val="4"/>
        </w:numPr>
      </w:pPr>
      <w:r w:rsidRPr="001947E9">
        <w:rPr>
          <w:lang w:val="en-US"/>
        </w:rPr>
        <w:t>The respondent is directed to pay the applicant's costs, including the costs of two counsel</w:t>
      </w:r>
      <w:r>
        <w:rPr>
          <w:lang w:val="en-US"/>
        </w:rPr>
        <w:t>.</w:t>
      </w:r>
    </w:p>
    <w:p w14:paraId="7F28138D" w14:textId="195C1C69" w:rsidR="00D311B2" w:rsidRPr="006830AF" w:rsidRDefault="00DB623B" w:rsidP="001947E9">
      <w:pPr>
        <w:pStyle w:val="JudgmentNumbered"/>
        <w:numPr>
          <w:ilvl w:val="1"/>
          <w:numId w:val="4"/>
        </w:numPr>
      </w:pPr>
      <w:r>
        <w:rPr>
          <w:lang w:val="en-US"/>
        </w:rPr>
        <w:t xml:space="preserve">The respondent, </w:t>
      </w:r>
      <w:r w:rsidR="007D5AD3" w:rsidRPr="001947E9">
        <w:rPr>
          <w:lang w:val="en-US"/>
        </w:rPr>
        <w:t>GFE-MIR Alloys and Minerals SA (Pty) Limited</w:t>
      </w:r>
      <w:r w:rsidR="007D5AD3">
        <w:rPr>
          <w:lang w:val="en-US"/>
        </w:rPr>
        <w:t xml:space="preserve"> is </w:t>
      </w:r>
      <w:r w:rsidR="00FF29F4">
        <w:rPr>
          <w:lang w:val="en-US"/>
        </w:rPr>
        <w:t>entitled to the reserved</w:t>
      </w:r>
      <w:r>
        <w:rPr>
          <w:lang w:val="en-US"/>
        </w:rPr>
        <w:t xml:space="preserve"> costs</w:t>
      </w:r>
      <w:r w:rsidR="004042E5" w:rsidRPr="004042E5">
        <w:t xml:space="preserve"> </w:t>
      </w:r>
      <w:r w:rsidR="004042E5" w:rsidRPr="004042E5">
        <w:rPr>
          <w:lang w:val="en-US"/>
        </w:rPr>
        <w:t xml:space="preserve">of the removal of the main application, which costs </w:t>
      </w:r>
      <w:r w:rsidR="004042E5" w:rsidRPr="004042E5">
        <w:rPr>
          <w:lang w:val="en-US"/>
        </w:rPr>
        <w:lastRenderedPageBreak/>
        <w:t>shall include the costs associated with the withdrawal of the Rule 30/30A application</w:t>
      </w:r>
      <w:r w:rsidR="00046021" w:rsidRPr="00046021">
        <w:rPr>
          <w:lang w:val="en-US"/>
        </w:rPr>
        <w:t xml:space="preserve"> </w:t>
      </w:r>
      <w:r w:rsidR="00046021" w:rsidRPr="004042E5">
        <w:rPr>
          <w:lang w:val="en-US"/>
        </w:rPr>
        <w:t>on 1 March 2023</w:t>
      </w:r>
      <w:r w:rsidR="00046021">
        <w:rPr>
          <w:lang w:val="en-US"/>
        </w:rPr>
        <w:t>.</w:t>
      </w:r>
    </w:p>
    <w:p w14:paraId="37B592E9" w14:textId="77777777" w:rsidR="000145DF" w:rsidRDefault="000145DF" w:rsidP="000145DF">
      <w:pPr>
        <w:pStyle w:val="JudgmentNumbered"/>
        <w:numPr>
          <w:ilvl w:val="0"/>
          <w:numId w:val="0"/>
        </w:numPr>
        <w:ind w:left="567" w:hanging="567"/>
      </w:pPr>
    </w:p>
    <w:p w14:paraId="4C8E45D9" w14:textId="77777777" w:rsidR="002B448C" w:rsidRDefault="002B448C" w:rsidP="00596BC8">
      <w:pPr>
        <w:pStyle w:val="JudgmentNumbered"/>
        <w:keepNext/>
        <w:numPr>
          <w:ilvl w:val="0"/>
          <w:numId w:val="0"/>
        </w:numPr>
        <w:spacing w:after="0"/>
        <w:ind w:left="567" w:hanging="567"/>
        <w:jc w:val="right"/>
      </w:pPr>
      <w:r>
        <w:t>___________</w:t>
      </w:r>
      <w:r w:rsidR="00EB01DA">
        <w:t>__</w:t>
      </w:r>
      <w:r>
        <w:t>______________</w:t>
      </w:r>
    </w:p>
    <w:p w14:paraId="091A7106" w14:textId="5B130F8E" w:rsidR="002B448C" w:rsidRDefault="00FE13EA" w:rsidP="00EB01DA">
      <w:pPr>
        <w:pStyle w:val="JudgmentNumbered"/>
        <w:numPr>
          <w:ilvl w:val="0"/>
          <w:numId w:val="0"/>
        </w:numPr>
        <w:spacing w:after="0"/>
        <w:ind w:left="567" w:hanging="567"/>
        <w:jc w:val="right"/>
        <w:rPr>
          <w:b/>
        </w:rPr>
      </w:pPr>
      <w:r>
        <w:rPr>
          <w:b/>
        </w:rPr>
        <w:t>T</w:t>
      </w:r>
      <w:r w:rsidR="002D798E" w:rsidRPr="00370805">
        <w:rPr>
          <w:b/>
        </w:rPr>
        <w:t xml:space="preserve"> </w:t>
      </w:r>
      <w:r>
        <w:rPr>
          <w:b/>
        </w:rPr>
        <w:t>P</w:t>
      </w:r>
      <w:r w:rsidR="002D798E" w:rsidRPr="00370805">
        <w:rPr>
          <w:b/>
        </w:rPr>
        <w:t xml:space="preserve"> </w:t>
      </w:r>
      <w:r>
        <w:rPr>
          <w:b/>
        </w:rPr>
        <w:t>Mudau</w:t>
      </w:r>
    </w:p>
    <w:p w14:paraId="566EA8D4" w14:textId="77777777" w:rsidR="002B448C" w:rsidRDefault="002B448C" w:rsidP="00EB01DA">
      <w:pPr>
        <w:pStyle w:val="JudgmentNumbered"/>
        <w:numPr>
          <w:ilvl w:val="0"/>
          <w:numId w:val="0"/>
        </w:numPr>
        <w:spacing w:after="0"/>
        <w:ind w:left="567" w:hanging="567"/>
        <w:jc w:val="right"/>
        <w:rPr>
          <w:b/>
        </w:rPr>
      </w:pPr>
      <w:r>
        <w:rPr>
          <w:b/>
        </w:rPr>
        <w:t>JUDGE OF THE HIGH COURT</w:t>
      </w:r>
    </w:p>
    <w:p w14:paraId="6E4FA8F3" w14:textId="182F817D" w:rsidR="00EB01DA" w:rsidRDefault="002B448C" w:rsidP="00EB01DA">
      <w:pPr>
        <w:pStyle w:val="JudgmentNumbered"/>
        <w:numPr>
          <w:ilvl w:val="0"/>
          <w:numId w:val="0"/>
        </w:numPr>
        <w:spacing w:after="0"/>
        <w:ind w:left="567" w:hanging="567"/>
        <w:jc w:val="right"/>
        <w:rPr>
          <w:b/>
        </w:rPr>
      </w:pPr>
      <w:r>
        <w:rPr>
          <w:b/>
        </w:rPr>
        <w:t>JOHANNESBURG</w:t>
      </w:r>
    </w:p>
    <w:p w14:paraId="71875819" w14:textId="0ED079C6" w:rsidR="002D798E" w:rsidRDefault="002D798E" w:rsidP="00EB01DA">
      <w:pPr>
        <w:pStyle w:val="JudgmentNumbered"/>
        <w:numPr>
          <w:ilvl w:val="0"/>
          <w:numId w:val="0"/>
        </w:numPr>
        <w:spacing w:after="0"/>
        <w:ind w:left="567" w:hanging="567"/>
        <w:jc w:val="right"/>
        <w:rPr>
          <w:b/>
        </w:rPr>
      </w:pPr>
    </w:p>
    <w:p w14:paraId="6EDC4C29" w14:textId="452D7F0A" w:rsidR="002D798E" w:rsidRDefault="002D798E" w:rsidP="00EB01DA">
      <w:pPr>
        <w:pStyle w:val="JudgmentNumbered"/>
        <w:numPr>
          <w:ilvl w:val="0"/>
          <w:numId w:val="0"/>
        </w:numPr>
        <w:spacing w:after="0"/>
        <w:ind w:left="567" w:hanging="567"/>
        <w:jc w:val="right"/>
        <w:rPr>
          <w:b/>
        </w:rPr>
      </w:pPr>
    </w:p>
    <w:p w14:paraId="6F718542" w14:textId="5D501E94" w:rsidR="002D798E" w:rsidRDefault="002D798E" w:rsidP="002D798E">
      <w:pPr>
        <w:pStyle w:val="JudgmentNumbered"/>
        <w:numPr>
          <w:ilvl w:val="0"/>
          <w:numId w:val="0"/>
        </w:numPr>
        <w:spacing w:after="0"/>
        <w:ind w:left="567" w:hanging="567"/>
        <w:jc w:val="right"/>
        <w:rPr>
          <w:b/>
        </w:rPr>
      </w:pPr>
    </w:p>
    <w:p w14:paraId="674264B8" w14:textId="712B379A" w:rsidR="001947E9" w:rsidRDefault="001947E9" w:rsidP="001947E9">
      <w:pPr>
        <w:pStyle w:val="JudgmentNumbered"/>
        <w:numPr>
          <w:ilvl w:val="0"/>
          <w:numId w:val="0"/>
        </w:numPr>
        <w:ind w:left="567" w:hanging="567"/>
      </w:pPr>
    </w:p>
    <w:p w14:paraId="5C154CFE" w14:textId="77777777" w:rsidR="009C1265" w:rsidRDefault="009C1265" w:rsidP="001947E9">
      <w:pPr>
        <w:pStyle w:val="JudgmentNumbered"/>
        <w:numPr>
          <w:ilvl w:val="0"/>
          <w:numId w:val="0"/>
        </w:numPr>
        <w:ind w:left="567" w:hanging="567"/>
      </w:pPr>
    </w:p>
    <w:p w14:paraId="4984C5A4" w14:textId="77777777" w:rsidR="009C1265" w:rsidRDefault="009C1265" w:rsidP="001947E9">
      <w:pPr>
        <w:pStyle w:val="JudgmentNumbered"/>
        <w:numPr>
          <w:ilvl w:val="0"/>
          <w:numId w:val="0"/>
        </w:numPr>
        <w:ind w:left="567" w:hanging="567"/>
      </w:pPr>
    </w:p>
    <w:p w14:paraId="3F7F0173" w14:textId="77777777" w:rsidR="009C1265" w:rsidRDefault="009C1265" w:rsidP="001947E9">
      <w:pPr>
        <w:pStyle w:val="JudgmentNumbered"/>
        <w:numPr>
          <w:ilvl w:val="0"/>
          <w:numId w:val="0"/>
        </w:numPr>
        <w:ind w:left="567" w:hanging="567"/>
      </w:pPr>
    </w:p>
    <w:p w14:paraId="48269A45" w14:textId="77777777" w:rsidR="009C1265" w:rsidRDefault="009C1265" w:rsidP="001947E9">
      <w:pPr>
        <w:pStyle w:val="JudgmentNumbered"/>
        <w:numPr>
          <w:ilvl w:val="0"/>
          <w:numId w:val="0"/>
        </w:numPr>
        <w:ind w:left="567" w:hanging="567"/>
      </w:pPr>
    </w:p>
    <w:p w14:paraId="71523DB7" w14:textId="77777777" w:rsidR="009C1265" w:rsidRDefault="009C1265" w:rsidP="001947E9">
      <w:pPr>
        <w:pStyle w:val="JudgmentNumbered"/>
        <w:numPr>
          <w:ilvl w:val="0"/>
          <w:numId w:val="0"/>
        </w:numPr>
        <w:ind w:left="567" w:hanging="567"/>
      </w:pPr>
    </w:p>
    <w:p w14:paraId="2B9056DF" w14:textId="77777777" w:rsidR="009C1265" w:rsidRDefault="009C1265" w:rsidP="001947E9">
      <w:pPr>
        <w:pStyle w:val="JudgmentNumbered"/>
        <w:numPr>
          <w:ilvl w:val="0"/>
          <w:numId w:val="0"/>
        </w:numPr>
        <w:ind w:left="567" w:hanging="567"/>
      </w:pPr>
    </w:p>
    <w:p w14:paraId="4736333F" w14:textId="77777777" w:rsidR="009C1265" w:rsidRDefault="009C1265" w:rsidP="001947E9">
      <w:pPr>
        <w:pStyle w:val="JudgmentNumbered"/>
        <w:numPr>
          <w:ilvl w:val="0"/>
          <w:numId w:val="0"/>
        </w:numPr>
        <w:ind w:left="567" w:hanging="567"/>
      </w:pPr>
    </w:p>
    <w:p w14:paraId="3B55DF89" w14:textId="77777777" w:rsidR="009C1265" w:rsidRDefault="009C1265" w:rsidP="001947E9">
      <w:pPr>
        <w:pStyle w:val="JudgmentNumbered"/>
        <w:numPr>
          <w:ilvl w:val="0"/>
          <w:numId w:val="0"/>
        </w:numPr>
        <w:ind w:left="567" w:hanging="567"/>
      </w:pPr>
    </w:p>
    <w:p w14:paraId="48158235" w14:textId="77777777" w:rsidR="009C1265" w:rsidRDefault="009C1265" w:rsidP="001947E9">
      <w:pPr>
        <w:pStyle w:val="JudgmentNumbered"/>
        <w:numPr>
          <w:ilvl w:val="0"/>
          <w:numId w:val="0"/>
        </w:numPr>
        <w:ind w:left="567" w:hanging="567"/>
      </w:pPr>
    </w:p>
    <w:p w14:paraId="05DA62F2" w14:textId="77777777" w:rsidR="00131AD3" w:rsidRDefault="00131AD3" w:rsidP="001947E9">
      <w:pPr>
        <w:pStyle w:val="JudgmentNumbered"/>
        <w:numPr>
          <w:ilvl w:val="0"/>
          <w:numId w:val="0"/>
        </w:numPr>
        <w:ind w:left="567" w:hanging="567"/>
      </w:pPr>
    </w:p>
    <w:p w14:paraId="2F3B73B4" w14:textId="77777777" w:rsidR="00131AD3" w:rsidRDefault="00131AD3" w:rsidP="001947E9">
      <w:pPr>
        <w:pStyle w:val="JudgmentNumbered"/>
        <w:numPr>
          <w:ilvl w:val="0"/>
          <w:numId w:val="0"/>
        </w:numPr>
        <w:ind w:left="567" w:hanging="567"/>
      </w:pPr>
    </w:p>
    <w:p w14:paraId="259C5BD4" w14:textId="77777777" w:rsidR="00131AD3" w:rsidRDefault="00131AD3" w:rsidP="001947E9">
      <w:pPr>
        <w:pStyle w:val="JudgmentNumbered"/>
        <w:numPr>
          <w:ilvl w:val="0"/>
          <w:numId w:val="0"/>
        </w:numPr>
        <w:ind w:left="567" w:hanging="567"/>
      </w:pPr>
    </w:p>
    <w:p w14:paraId="70FE1373" w14:textId="77777777" w:rsidR="00131AD3" w:rsidRDefault="00131AD3" w:rsidP="001947E9">
      <w:pPr>
        <w:pStyle w:val="JudgmentNumbered"/>
        <w:numPr>
          <w:ilvl w:val="0"/>
          <w:numId w:val="0"/>
        </w:numPr>
        <w:ind w:left="567" w:hanging="567"/>
      </w:pPr>
    </w:p>
    <w:p w14:paraId="5CD871AD" w14:textId="77777777" w:rsidR="00D251BD" w:rsidRDefault="00D251BD" w:rsidP="001947E9">
      <w:pPr>
        <w:spacing w:after="0" w:line="240" w:lineRule="auto"/>
        <w:ind w:left="0"/>
        <w:rPr>
          <w:rFonts w:eastAsia="Times New Roman" w:cs="Arial"/>
          <w:szCs w:val="24"/>
          <w:lang w:eastAsia="en-GB"/>
        </w:rPr>
      </w:pPr>
    </w:p>
    <w:p w14:paraId="242BB250" w14:textId="77777777" w:rsidR="00D251BD" w:rsidRDefault="00D251BD" w:rsidP="001947E9">
      <w:pPr>
        <w:spacing w:after="0" w:line="240" w:lineRule="auto"/>
        <w:ind w:left="0"/>
        <w:rPr>
          <w:rFonts w:eastAsia="Times New Roman" w:cs="Arial"/>
          <w:szCs w:val="24"/>
          <w:lang w:eastAsia="en-GB"/>
        </w:rPr>
      </w:pPr>
    </w:p>
    <w:p w14:paraId="3F51C9F9" w14:textId="77777777" w:rsidR="00D251BD" w:rsidRDefault="00D251BD" w:rsidP="001947E9">
      <w:pPr>
        <w:spacing w:after="0" w:line="240" w:lineRule="auto"/>
        <w:ind w:left="0"/>
        <w:rPr>
          <w:rFonts w:eastAsia="Times New Roman" w:cs="Arial"/>
          <w:szCs w:val="24"/>
          <w:lang w:eastAsia="en-GB"/>
        </w:rPr>
      </w:pPr>
    </w:p>
    <w:p w14:paraId="31B940C7" w14:textId="77777777" w:rsidR="00D251BD" w:rsidRDefault="00D251BD" w:rsidP="001947E9">
      <w:pPr>
        <w:spacing w:after="0" w:line="240" w:lineRule="auto"/>
        <w:ind w:left="0"/>
        <w:rPr>
          <w:rFonts w:eastAsia="Times New Roman" w:cs="Arial"/>
          <w:szCs w:val="24"/>
          <w:lang w:eastAsia="en-GB"/>
        </w:rPr>
      </w:pPr>
    </w:p>
    <w:p w14:paraId="3F81B821" w14:textId="77777777" w:rsidR="00D251BD" w:rsidRDefault="00D251BD" w:rsidP="001947E9">
      <w:pPr>
        <w:spacing w:after="0" w:line="240" w:lineRule="auto"/>
        <w:ind w:left="0"/>
        <w:rPr>
          <w:rFonts w:eastAsia="Times New Roman" w:cs="Arial"/>
          <w:szCs w:val="24"/>
          <w:lang w:eastAsia="en-GB"/>
        </w:rPr>
      </w:pPr>
    </w:p>
    <w:p w14:paraId="4CE00C9A" w14:textId="77777777" w:rsidR="00D251BD" w:rsidRDefault="00D251BD" w:rsidP="001947E9">
      <w:pPr>
        <w:spacing w:after="0" w:line="240" w:lineRule="auto"/>
        <w:ind w:left="0"/>
        <w:rPr>
          <w:rFonts w:eastAsia="Times New Roman" w:cs="Arial"/>
          <w:szCs w:val="24"/>
          <w:lang w:eastAsia="en-GB"/>
        </w:rPr>
      </w:pPr>
    </w:p>
    <w:p w14:paraId="3F1783F5" w14:textId="335B33D4" w:rsidR="001947E9" w:rsidRPr="001947E9" w:rsidRDefault="001947E9" w:rsidP="001947E9">
      <w:pPr>
        <w:spacing w:after="0" w:line="240" w:lineRule="auto"/>
        <w:ind w:left="0"/>
        <w:rPr>
          <w:rFonts w:eastAsia="Times New Roman" w:cs="Arial"/>
          <w:szCs w:val="24"/>
          <w:lang w:eastAsia="en-GB"/>
        </w:rPr>
      </w:pPr>
      <w:r w:rsidRPr="001947E9">
        <w:rPr>
          <w:rFonts w:eastAsia="Times New Roman" w:cs="Arial"/>
          <w:szCs w:val="24"/>
          <w:lang w:eastAsia="en-GB"/>
        </w:rPr>
        <w:t xml:space="preserve">Date of Hearing: </w:t>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t xml:space="preserve"> 2 May 2023</w:t>
      </w:r>
    </w:p>
    <w:p w14:paraId="042E1CD5" w14:textId="77777777" w:rsidR="001947E9" w:rsidRPr="001947E9" w:rsidRDefault="001947E9" w:rsidP="001947E9">
      <w:pPr>
        <w:spacing w:after="0" w:line="240" w:lineRule="auto"/>
        <w:ind w:left="0"/>
        <w:rPr>
          <w:rFonts w:eastAsia="Times New Roman" w:cs="Arial"/>
          <w:szCs w:val="24"/>
          <w:lang w:eastAsia="en-GB"/>
        </w:rPr>
      </w:pPr>
    </w:p>
    <w:p w14:paraId="7814CE26" w14:textId="69A4D23D" w:rsidR="001947E9" w:rsidRPr="001947E9" w:rsidRDefault="001947E9" w:rsidP="001947E9">
      <w:pPr>
        <w:spacing w:after="0" w:line="240" w:lineRule="auto"/>
        <w:ind w:left="0"/>
        <w:rPr>
          <w:rFonts w:eastAsia="Times New Roman" w:cs="Arial"/>
          <w:szCs w:val="24"/>
          <w:lang w:eastAsia="en-GB"/>
        </w:rPr>
      </w:pPr>
      <w:r w:rsidRPr="001947E9">
        <w:rPr>
          <w:rFonts w:eastAsia="Times New Roman" w:cs="Arial"/>
          <w:szCs w:val="24"/>
          <w:lang w:eastAsia="en-GB"/>
        </w:rPr>
        <w:t>Date of Judgment:</w:t>
      </w:r>
      <w:r w:rsidRPr="001947E9">
        <w:rPr>
          <w:rFonts w:eastAsia="Times New Roman" w:cs="Arial"/>
          <w:szCs w:val="24"/>
          <w:lang w:eastAsia="en-GB"/>
        </w:rPr>
        <w:tab/>
      </w:r>
      <w:r w:rsidRPr="001947E9">
        <w:rPr>
          <w:rFonts w:eastAsia="Times New Roman" w:cs="Arial"/>
          <w:szCs w:val="24"/>
          <w:lang w:eastAsia="en-GB"/>
        </w:rPr>
        <w:tab/>
        <w:t xml:space="preserve">           </w:t>
      </w:r>
      <w:r w:rsidR="00131AD3">
        <w:rPr>
          <w:rFonts w:eastAsia="Times New Roman" w:cs="Arial"/>
          <w:szCs w:val="24"/>
          <w:lang w:eastAsia="en-GB"/>
        </w:rPr>
        <w:t>2</w:t>
      </w:r>
      <w:r w:rsidRPr="001947E9">
        <w:rPr>
          <w:rFonts w:eastAsia="Times New Roman" w:cs="Arial"/>
          <w:szCs w:val="24"/>
          <w:lang w:eastAsia="en-GB"/>
        </w:rPr>
        <w:t xml:space="preserve"> June 2023</w:t>
      </w:r>
      <w:r w:rsidRPr="001947E9">
        <w:rPr>
          <w:rFonts w:eastAsia="Times New Roman" w:cs="Arial"/>
          <w:szCs w:val="24"/>
          <w:lang w:eastAsia="en-GB"/>
        </w:rPr>
        <w:tab/>
      </w:r>
    </w:p>
    <w:p w14:paraId="51357F8A" w14:textId="77777777" w:rsidR="001947E9" w:rsidRPr="001947E9" w:rsidRDefault="001947E9" w:rsidP="001947E9">
      <w:pPr>
        <w:spacing w:after="0" w:line="240" w:lineRule="auto"/>
        <w:ind w:left="0"/>
        <w:rPr>
          <w:rFonts w:eastAsia="Times New Roman" w:cs="Arial"/>
          <w:szCs w:val="24"/>
          <w:lang w:eastAsia="en-GB"/>
        </w:rPr>
      </w:pPr>
    </w:p>
    <w:p w14:paraId="0C6AB52A" w14:textId="77777777" w:rsidR="001947E9" w:rsidRPr="001947E9" w:rsidRDefault="001947E9" w:rsidP="001947E9">
      <w:pPr>
        <w:spacing w:after="0" w:line="240" w:lineRule="auto"/>
        <w:ind w:left="0"/>
        <w:rPr>
          <w:rFonts w:eastAsia="Times New Roman" w:cs="Arial"/>
          <w:szCs w:val="24"/>
          <w:lang w:eastAsia="en-GB"/>
        </w:rPr>
      </w:pPr>
      <w:r w:rsidRPr="001947E9">
        <w:rPr>
          <w:rFonts w:eastAsia="Times New Roman" w:cs="Arial"/>
          <w:szCs w:val="24"/>
          <w:lang w:eastAsia="en-GB"/>
        </w:rPr>
        <w:t>APPEARANCES</w:t>
      </w:r>
    </w:p>
    <w:p w14:paraId="74B4D28A" w14:textId="77777777" w:rsidR="001947E9" w:rsidRPr="001947E9" w:rsidRDefault="001947E9" w:rsidP="001947E9">
      <w:pPr>
        <w:spacing w:after="0" w:line="240" w:lineRule="auto"/>
        <w:ind w:left="0"/>
        <w:rPr>
          <w:rFonts w:eastAsia="Times New Roman" w:cs="Arial"/>
          <w:szCs w:val="24"/>
          <w:lang w:eastAsia="en-GB"/>
        </w:rPr>
      </w:pPr>
    </w:p>
    <w:p w14:paraId="57FDE082" w14:textId="77777777" w:rsidR="001947E9" w:rsidRPr="001947E9" w:rsidRDefault="001947E9" w:rsidP="001947E9">
      <w:pPr>
        <w:spacing w:after="0" w:line="240" w:lineRule="auto"/>
        <w:ind w:left="0"/>
        <w:rPr>
          <w:rFonts w:cs="Arial"/>
          <w:szCs w:val="24"/>
          <w:lang w:val="en-US"/>
        </w:rPr>
      </w:pPr>
      <w:r w:rsidRPr="001947E9">
        <w:rPr>
          <w:rFonts w:eastAsia="Times New Roman" w:cs="Arial"/>
          <w:szCs w:val="24"/>
          <w:lang w:eastAsia="en-GB"/>
        </w:rPr>
        <w:t>For the Applicants:</w:t>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Pr="001947E9">
        <w:rPr>
          <w:rFonts w:cs="Arial"/>
          <w:szCs w:val="24"/>
          <w:lang w:val="en-US"/>
        </w:rPr>
        <w:t>Adv. D Fine SC. and Adv. M Salukazana</w:t>
      </w:r>
    </w:p>
    <w:p w14:paraId="419AB61D" w14:textId="77777777" w:rsidR="001947E9" w:rsidRPr="001947E9" w:rsidRDefault="001947E9" w:rsidP="001947E9">
      <w:pPr>
        <w:spacing w:after="0" w:line="240" w:lineRule="auto"/>
        <w:ind w:left="0"/>
        <w:rPr>
          <w:rFonts w:eastAsia="Times New Roman" w:cs="Arial"/>
          <w:szCs w:val="24"/>
          <w:lang w:eastAsia="en-GB"/>
        </w:rPr>
      </w:pPr>
    </w:p>
    <w:p w14:paraId="67495D09" w14:textId="77777777" w:rsidR="001947E9" w:rsidRPr="001947E9" w:rsidRDefault="001947E9" w:rsidP="001947E9">
      <w:pPr>
        <w:spacing w:after="0" w:line="240" w:lineRule="auto"/>
        <w:ind w:left="0"/>
        <w:rPr>
          <w:rFonts w:eastAsia="Times New Roman" w:cs="Arial"/>
          <w:szCs w:val="24"/>
          <w:lang w:eastAsia="en-GB"/>
        </w:rPr>
      </w:pPr>
      <w:r w:rsidRPr="001947E9">
        <w:rPr>
          <w:rFonts w:eastAsia="Times New Roman" w:cs="Arial"/>
          <w:szCs w:val="24"/>
          <w:lang w:eastAsia="en-GB"/>
        </w:rPr>
        <w:t>Instructed by:</w:t>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t>Edward Nathan Sonnenbergs Inc.</w:t>
      </w:r>
    </w:p>
    <w:p w14:paraId="04830EB2" w14:textId="77777777" w:rsidR="001947E9" w:rsidRPr="001947E9" w:rsidRDefault="001947E9" w:rsidP="001947E9">
      <w:pPr>
        <w:spacing w:after="0" w:line="240" w:lineRule="auto"/>
        <w:ind w:left="0"/>
        <w:rPr>
          <w:rFonts w:eastAsia="Times New Roman" w:cs="Arial"/>
          <w:szCs w:val="24"/>
          <w:lang w:eastAsia="en-GB"/>
        </w:rPr>
      </w:pP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p>
    <w:p w14:paraId="32D76FC6" w14:textId="77777777" w:rsidR="001947E9" w:rsidRPr="001947E9" w:rsidRDefault="001947E9" w:rsidP="001947E9">
      <w:pPr>
        <w:spacing w:after="0" w:line="240" w:lineRule="auto"/>
        <w:ind w:left="0"/>
        <w:rPr>
          <w:rFonts w:eastAsia="Times New Roman" w:cs="Arial"/>
          <w:szCs w:val="24"/>
          <w:lang w:eastAsia="en-GB"/>
        </w:rPr>
      </w:pPr>
      <w:r w:rsidRPr="001947E9">
        <w:rPr>
          <w:rFonts w:eastAsia="Times New Roman" w:cs="Arial"/>
          <w:szCs w:val="24"/>
          <w:lang w:eastAsia="en-GB"/>
        </w:rPr>
        <w:t>For the Respondents:</w:t>
      </w:r>
      <w:r w:rsidRPr="001947E9">
        <w:rPr>
          <w:rFonts w:eastAsia="Times New Roman" w:cs="Arial"/>
          <w:szCs w:val="24"/>
          <w:lang w:eastAsia="en-GB"/>
        </w:rPr>
        <w:tab/>
      </w:r>
      <w:r w:rsidRPr="001947E9">
        <w:rPr>
          <w:rFonts w:eastAsia="Times New Roman" w:cs="Arial"/>
          <w:szCs w:val="24"/>
          <w:lang w:eastAsia="en-GB"/>
        </w:rPr>
        <w:tab/>
        <w:t>Adv. H Van Eeden SC and Adv. H.J Fischer</w:t>
      </w:r>
    </w:p>
    <w:p w14:paraId="0DE7BFBF" w14:textId="77777777" w:rsidR="001947E9" w:rsidRPr="001947E9" w:rsidRDefault="001947E9" w:rsidP="001947E9">
      <w:pPr>
        <w:spacing w:after="0" w:line="240" w:lineRule="auto"/>
        <w:ind w:left="0"/>
        <w:rPr>
          <w:rFonts w:eastAsia="Times New Roman" w:cs="Arial"/>
          <w:szCs w:val="24"/>
          <w:lang w:eastAsia="en-GB"/>
        </w:rPr>
      </w:pP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p>
    <w:p w14:paraId="0EB3BA70" w14:textId="77777777" w:rsidR="001947E9" w:rsidRPr="001947E9" w:rsidRDefault="001947E9" w:rsidP="001947E9">
      <w:pPr>
        <w:spacing w:after="0" w:line="240" w:lineRule="auto"/>
        <w:ind w:left="0"/>
        <w:rPr>
          <w:rFonts w:eastAsia="Times New Roman" w:cs="Arial"/>
          <w:szCs w:val="24"/>
          <w:lang w:eastAsia="en-GB"/>
        </w:rPr>
      </w:pPr>
      <w:r w:rsidRPr="001947E9">
        <w:rPr>
          <w:rFonts w:eastAsia="Times New Roman" w:cs="Arial"/>
          <w:szCs w:val="24"/>
          <w:lang w:eastAsia="en-GB"/>
        </w:rPr>
        <w:t>Instructed by:</w:t>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t>Spellas Lengert Kubler Braun Inc.</w:t>
      </w:r>
    </w:p>
    <w:p w14:paraId="2201039C" w14:textId="77777777" w:rsidR="001947E9" w:rsidRPr="001947E9" w:rsidRDefault="001947E9" w:rsidP="001947E9">
      <w:pPr>
        <w:pStyle w:val="JudgmentNumbered"/>
        <w:numPr>
          <w:ilvl w:val="0"/>
          <w:numId w:val="0"/>
        </w:numPr>
        <w:ind w:left="567" w:hanging="567"/>
      </w:pPr>
    </w:p>
    <w:p w14:paraId="6F253070" w14:textId="7D2BA738" w:rsidR="00B524A5" w:rsidRDefault="00B524A5" w:rsidP="00B524A5">
      <w:pPr>
        <w:pStyle w:val="JudgmentNumbered"/>
        <w:numPr>
          <w:ilvl w:val="0"/>
          <w:numId w:val="0"/>
        </w:numPr>
        <w:ind w:left="567" w:hanging="567"/>
      </w:pPr>
    </w:p>
    <w:p w14:paraId="0EBB123F" w14:textId="345DE40C" w:rsidR="00B524A5" w:rsidRDefault="00B524A5" w:rsidP="00B524A5">
      <w:pPr>
        <w:pStyle w:val="JudgmentNumbered"/>
        <w:numPr>
          <w:ilvl w:val="0"/>
          <w:numId w:val="0"/>
        </w:numPr>
        <w:ind w:left="567" w:hanging="567"/>
      </w:pPr>
    </w:p>
    <w:p w14:paraId="657B49FD" w14:textId="053FF00D" w:rsidR="002B448C" w:rsidRPr="003673B7" w:rsidRDefault="002B448C" w:rsidP="00EB01DA">
      <w:pPr>
        <w:spacing w:after="0" w:line="240" w:lineRule="auto"/>
        <w:ind w:left="0"/>
        <w:rPr>
          <w:rFonts w:cs="Arial"/>
          <w:b/>
          <w:szCs w:val="24"/>
        </w:rPr>
      </w:pPr>
    </w:p>
    <w:sectPr w:rsidR="002B448C" w:rsidRPr="003673B7" w:rsidSect="00FE13EA">
      <w:footerReference w:type="default" r:id="rId13"/>
      <w:type w:val="continuous"/>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3E01F" w14:textId="77777777" w:rsidR="00117AF8" w:rsidRDefault="00117AF8" w:rsidP="00E469E1">
      <w:pPr>
        <w:spacing w:after="0" w:line="240" w:lineRule="auto"/>
      </w:pPr>
      <w:r>
        <w:separator/>
      </w:r>
    </w:p>
  </w:endnote>
  <w:endnote w:type="continuationSeparator" w:id="0">
    <w:p w14:paraId="5F072626" w14:textId="77777777" w:rsidR="00117AF8" w:rsidRDefault="00117AF8" w:rsidP="00E4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94832"/>
      <w:docPartObj>
        <w:docPartGallery w:val="Page Numbers (Bottom of Page)"/>
        <w:docPartUnique/>
      </w:docPartObj>
    </w:sdtPr>
    <w:sdtEndPr>
      <w:rPr>
        <w:noProof/>
      </w:rPr>
    </w:sdtEndPr>
    <w:sdtContent>
      <w:p w14:paraId="29B6EC59" w14:textId="3A5C13D3" w:rsidR="00B95DE9" w:rsidRDefault="00B95DE9" w:rsidP="00E469E1">
        <w:pPr>
          <w:pStyle w:val="Footer"/>
          <w:jc w:val="right"/>
        </w:pPr>
        <w:r>
          <w:fldChar w:fldCharType="begin"/>
        </w:r>
        <w:r>
          <w:instrText xml:space="preserve"> PAGE   \* MERGEFORMAT </w:instrText>
        </w:r>
        <w:r>
          <w:fldChar w:fldCharType="separate"/>
        </w:r>
        <w:r w:rsidR="00315E02">
          <w:rPr>
            <w:noProof/>
          </w:rPr>
          <w:t>3</w:t>
        </w:r>
        <w:r>
          <w:rPr>
            <w:noProof/>
          </w:rPr>
          <w:fldChar w:fldCharType="end"/>
        </w:r>
      </w:p>
    </w:sdtContent>
  </w:sdt>
  <w:p w14:paraId="6995C8F4" w14:textId="77777777" w:rsidR="00B95DE9" w:rsidRDefault="00B95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6951B" w14:textId="77777777" w:rsidR="00117AF8" w:rsidRDefault="00117AF8" w:rsidP="00E469E1">
      <w:pPr>
        <w:spacing w:after="0" w:line="240" w:lineRule="auto"/>
      </w:pPr>
      <w:r>
        <w:separator/>
      </w:r>
    </w:p>
  </w:footnote>
  <w:footnote w:type="continuationSeparator" w:id="0">
    <w:p w14:paraId="7D26D38F" w14:textId="77777777" w:rsidR="00117AF8" w:rsidRDefault="00117AF8" w:rsidP="00E469E1">
      <w:pPr>
        <w:spacing w:after="0" w:line="240" w:lineRule="auto"/>
      </w:pPr>
      <w:r>
        <w:continuationSeparator/>
      </w:r>
    </w:p>
  </w:footnote>
  <w:footnote w:id="1">
    <w:p w14:paraId="7D606015" w14:textId="04324B30" w:rsidR="00B95DE9" w:rsidRPr="00667680" w:rsidRDefault="00B95DE9" w:rsidP="00A9100A">
      <w:pPr>
        <w:pStyle w:val="FootnoteText"/>
        <w:rPr>
          <w:rFonts w:cs="Arial"/>
        </w:rPr>
      </w:pPr>
      <w:r>
        <w:rPr>
          <w:rStyle w:val="FootnoteReference"/>
        </w:rPr>
        <w:footnoteRef/>
      </w:r>
      <w:r>
        <w:t xml:space="preserve"> </w:t>
      </w:r>
      <w:r>
        <w:rPr>
          <w:rFonts w:cs="Arial"/>
          <w:color w:val="000000"/>
        </w:rPr>
        <w:t>T</w:t>
      </w:r>
      <w:r w:rsidRPr="00667680">
        <w:rPr>
          <w:rFonts w:cs="Arial"/>
          <w:color w:val="000000"/>
        </w:rPr>
        <w:t>he UNCITRAL Model Law on International Commercial Arbitration adopted by the United Nations Commission on International Trade Law on 21 June 1985, as amended by the said Commission on 7 July 2006 and as ad</w:t>
      </w:r>
      <w:r>
        <w:rPr>
          <w:rFonts w:cs="Arial"/>
          <w:color w:val="000000"/>
        </w:rPr>
        <w:t>o</w:t>
      </w:r>
      <w:r w:rsidRPr="00667680">
        <w:rPr>
          <w:rFonts w:cs="Arial"/>
          <w:color w:val="000000"/>
        </w:rPr>
        <w:t>pted in Schedule 1</w:t>
      </w:r>
      <w:r>
        <w:rPr>
          <w:rFonts w:cs="Arial"/>
          <w:color w:val="000000"/>
        </w:rPr>
        <w:t xml:space="preserve"> of Act 15 of 2017.</w:t>
      </w:r>
    </w:p>
  </w:footnote>
  <w:footnote w:id="2">
    <w:p w14:paraId="31475293" w14:textId="5784EEC2" w:rsidR="00B95DE9" w:rsidRPr="00596BC8" w:rsidRDefault="00B95DE9">
      <w:pPr>
        <w:pStyle w:val="FootnoteText"/>
        <w:rPr>
          <w:lang w:val="en-ZA"/>
        </w:rPr>
      </w:pPr>
      <w:r>
        <w:rPr>
          <w:rStyle w:val="FootnoteReference"/>
        </w:rPr>
        <w:footnoteRef/>
      </w:r>
      <w:r>
        <w:t xml:space="preserve"> </w:t>
      </w:r>
      <w:r>
        <w:rPr>
          <w:lang w:val="en-ZA"/>
        </w:rPr>
        <w:t>15 of 2017.</w:t>
      </w:r>
    </w:p>
  </w:footnote>
  <w:footnote w:id="3">
    <w:p w14:paraId="65A417B5" w14:textId="6A64D5BD" w:rsidR="00B95DE9" w:rsidRPr="00002D88" w:rsidRDefault="00B95DE9" w:rsidP="001A5D55">
      <w:pPr>
        <w:pStyle w:val="FootnoteText"/>
        <w:rPr>
          <w:lang w:val="en-ZA"/>
        </w:rPr>
      </w:pPr>
      <w:r>
        <w:rPr>
          <w:rStyle w:val="FootnoteReference"/>
        </w:rPr>
        <w:footnoteRef/>
      </w:r>
      <w:r>
        <w:t xml:space="preserve"> </w:t>
      </w:r>
      <w:r>
        <w:rPr>
          <w:lang w:val="en-US"/>
        </w:rPr>
        <w:t xml:space="preserve">Convention on the Recognition and Enforcement of Foreign Arbitral Awards, 10 June 1958 </w:t>
      </w:r>
      <w:r w:rsidRPr="00183FEB">
        <w:rPr>
          <w:lang w:val="en-US"/>
        </w:rPr>
        <w:t>published in 3</w:t>
      </w:r>
      <w:r>
        <w:rPr>
          <w:lang w:val="en-US"/>
        </w:rPr>
        <w:t>30 U.N.T.S. 38 (1959), No. 4739.</w:t>
      </w:r>
    </w:p>
  </w:footnote>
  <w:footnote w:id="4">
    <w:p w14:paraId="11A91EEC" w14:textId="70901529" w:rsidR="00B95DE9" w:rsidRPr="00D0640A" w:rsidRDefault="00B95DE9" w:rsidP="00A9100A">
      <w:pPr>
        <w:pStyle w:val="FootnoteText"/>
        <w:ind w:left="284"/>
      </w:pPr>
      <w:r>
        <w:rPr>
          <w:rStyle w:val="FootnoteReference"/>
        </w:rPr>
        <w:footnoteRef/>
      </w:r>
      <w:r>
        <w:t xml:space="preserve"> </w:t>
      </w:r>
      <w:r w:rsidRPr="00596BC8">
        <w:rPr>
          <w:rFonts w:cs="Arial"/>
          <w:i/>
        </w:rPr>
        <w:t>Telcordia Technologies Inc. v Telkom SA Ltd</w:t>
      </w:r>
      <w:r w:rsidRPr="00596BC8">
        <w:rPr>
          <w:rFonts w:cs="Arial"/>
        </w:rPr>
        <w:t xml:space="preserve"> </w:t>
      </w:r>
      <w:r w:rsidRPr="0027692B">
        <w:rPr>
          <w:rFonts w:cs="Arial"/>
        </w:rPr>
        <w:t>[2006] ZASCA 112;</w:t>
      </w:r>
      <w:r>
        <w:rPr>
          <w:rFonts w:cs="Arial"/>
        </w:rPr>
        <w:t xml:space="preserve"> </w:t>
      </w:r>
      <w:r w:rsidRPr="00596BC8">
        <w:rPr>
          <w:rFonts w:cs="Arial"/>
        </w:rPr>
        <w:t xml:space="preserve">2007 (3) SA 266 (SCA) </w:t>
      </w:r>
      <w:r>
        <w:rPr>
          <w:rFonts w:cs="Arial"/>
        </w:rPr>
        <w:t xml:space="preserve">at </w:t>
      </w:r>
      <w:r w:rsidRPr="00596BC8">
        <w:rPr>
          <w:rFonts w:cs="Arial"/>
        </w:rPr>
        <w:t>para 48</w:t>
      </w:r>
      <w:r>
        <w:rPr>
          <w:rFonts w:cs="Arial"/>
        </w:rPr>
        <w:t>.</w:t>
      </w:r>
    </w:p>
  </w:footnote>
  <w:footnote w:id="5">
    <w:p w14:paraId="0EA648C1" w14:textId="187B2E55" w:rsidR="00B95DE9" w:rsidRPr="002749DB" w:rsidRDefault="00B95DE9" w:rsidP="00C82B0C">
      <w:pPr>
        <w:pStyle w:val="FootnoteText"/>
      </w:pPr>
      <w:r>
        <w:rPr>
          <w:rStyle w:val="FootnoteReference"/>
        </w:rPr>
        <w:footnoteRef/>
      </w:r>
      <w:r>
        <w:t xml:space="preserve"> </w:t>
      </w:r>
      <w:r w:rsidRPr="002749DB">
        <w:rPr>
          <w:rFonts w:cs="Arial"/>
        </w:rPr>
        <w:t>121 of 1998</w:t>
      </w:r>
      <w:r>
        <w:rPr>
          <w:rFonts w:cs="Arial"/>
        </w:rPr>
        <w:t>.</w:t>
      </w:r>
    </w:p>
  </w:footnote>
  <w:footnote w:id="6">
    <w:p w14:paraId="18B831AD" w14:textId="35D90067" w:rsidR="00B95DE9" w:rsidRPr="002749DB" w:rsidRDefault="00B95DE9" w:rsidP="00C82B0C">
      <w:pPr>
        <w:pStyle w:val="FootnoteText"/>
      </w:pPr>
      <w:r w:rsidRPr="002749DB">
        <w:rPr>
          <w:rStyle w:val="FootnoteReference"/>
        </w:rPr>
        <w:footnoteRef/>
      </w:r>
      <w:r w:rsidRPr="002749DB">
        <w:t xml:space="preserve"> </w:t>
      </w:r>
      <w:r w:rsidRPr="002749DB">
        <w:rPr>
          <w:rFonts w:cs="Arial"/>
        </w:rPr>
        <w:t>2021 (3) SA 88 (SCA)</w:t>
      </w:r>
      <w:r>
        <w:rPr>
          <w:rFonts w:cs="Arial"/>
        </w:rPr>
        <w:t>.</w:t>
      </w:r>
    </w:p>
  </w:footnote>
  <w:footnote w:id="7">
    <w:p w14:paraId="77F650CA" w14:textId="0B5A3979" w:rsidR="00B95DE9" w:rsidRPr="00596BC8" w:rsidRDefault="00B95DE9">
      <w:pPr>
        <w:pStyle w:val="FootnoteText"/>
        <w:rPr>
          <w:lang w:val="en-ZA"/>
        </w:rPr>
      </w:pPr>
      <w:r>
        <w:rPr>
          <w:rStyle w:val="FootnoteReference"/>
        </w:rPr>
        <w:footnoteRef/>
      </w:r>
      <w:r>
        <w:t xml:space="preserve"> Id at para 19.</w:t>
      </w:r>
    </w:p>
  </w:footnote>
  <w:footnote w:id="8">
    <w:p w14:paraId="7F64A6CF" w14:textId="1789F01A" w:rsidR="00B95DE9" w:rsidRPr="00883A81" w:rsidRDefault="00B95DE9" w:rsidP="00092271">
      <w:pPr>
        <w:pStyle w:val="FootnoteText"/>
      </w:pPr>
      <w:r>
        <w:rPr>
          <w:rStyle w:val="FootnoteReference"/>
        </w:rPr>
        <w:footnoteRef/>
      </w:r>
      <w:r>
        <w:t xml:space="preserve"> </w:t>
      </w:r>
      <w:r w:rsidRPr="00596BC8">
        <w:rPr>
          <w:rFonts w:cs="Arial"/>
          <w:i/>
        </w:rPr>
        <w:t>Hos+Med Medical Aid Scheme v</w:t>
      </w:r>
      <w:r w:rsidR="00A36E15" w:rsidRPr="00596BC8">
        <w:rPr>
          <w:rFonts w:cs="Arial"/>
          <w:i/>
        </w:rPr>
        <w:t xml:space="preserve"> </w:t>
      </w:r>
      <w:r w:rsidRPr="00596BC8">
        <w:rPr>
          <w:rFonts w:cs="Arial"/>
          <w:i/>
        </w:rPr>
        <w:t>Thebe Ya Bophelo Healthcare Marketing &amp; Consulting (Pty) Ltd and Others</w:t>
      </w:r>
      <w:r w:rsidRPr="00883A81">
        <w:rPr>
          <w:rFonts w:cs="Arial"/>
        </w:rPr>
        <w:t xml:space="preserve"> </w:t>
      </w:r>
      <w:r w:rsidR="00A36E15" w:rsidRPr="00A36E15">
        <w:rPr>
          <w:rFonts w:cs="Arial"/>
        </w:rPr>
        <w:t xml:space="preserve">[2007] ZASCA 163; </w:t>
      </w:r>
      <w:r w:rsidRPr="00883A81">
        <w:rPr>
          <w:rFonts w:cs="Arial"/>
        </w:rPr>
        <w:t>2008 (2) S</w:t>
      </w:r>
      <w:r>
        <w:rPr>
          <w:rFonts w:cs="Arial"/>
        </w:rPr>
        <w:t>A</w:t>
      </w:r>
      <w:r w:rsidRPr="00883A81">
        <w:rPr>
          <w:rFonts w:cs="Arial"/>
        </w:rPr>
        <w:t xml:space="preserve"> 608 (S</w:t>
      </w:r>
      <w:r>
        <w:rPr>
          <w:rFonts w:cs="Arial"/>
        </w:rPr>
        <w:t>CA) at</w:t>
      </w:r>
      <w:r w:rsidRPr="00883A81">
        <w:rPr>
          <w:rFonts w:cs="Arial"/>
        </w:rPr>
        <w:t xml:space="preserve"> </w:t>
      </w:r>
      <w:r>
        <w:rPr>
          <w:rFonts w:cs="Arial"/>
        </w:rPr>
        <w:t>p</w:t>
      </w:r>
      <w:r w:rsidRPr="00883A81">
        <w:rPr>
          <w:rFonts w:cs="Arial"/>
        </w:rPr>
        <w:t>ara</w:t>
      </w:r>
      <w:r>
        <w:rPr>
          <w:rFonts w:cs="Arial"/>
        </w:rPr>
        <w:t xml:space="preserve"> </w:t>
      </w:r>
      <w:r w:rsidRPr="00883A81">
        <w:rPr>
          <w:rFonts w:cs="Arial"/>
        </w:rPr>
        <w:t>30</w:t>
      </w:r>
      <w:r>
        <w:rPr>
          <w:rFonts w:cs="Arial"/>
        </w:rPr>
        <w:t>.</w:t>
      </w:r>
    </w:p>
  </w:footnote>
  <w:footnote w:id="9">
    <w:p w14:paraId="536044B7" w14:textId="629A79FB" w:rsidR="00B95DE9" w:rsidRPr="0001156F" w:rsidRDefault="00B95DE9" w:rsidP="00092271">
      <w:pPr>
        <w:pStyle w:val="FootnoteText"/>
      </w:pPr>
      <w:r>
        <w:rPr>
          <w:rStyle w:val="FootnoteReference"/>
        </w:rPr>
        <w:footnoteRef/>
      </w:r>
      <w:r>
        <w:t xml:space="preserve"> </w:t>
      </w:r>
      <w:hyperlink r:id="rId1" w:tgtFrame="main" w:history="1">
        <w:r w:rsidRPr="0001156F">
          <w:rPr>
            <w:rFonts w:cs="Arial"/>
          </w:rPr>
          <w:t>2000 (2) SA 215 (T)</w:t>
        </w:r>
      </w:hyperlink>
      <w:r w:rsidR="00650B4E">
        <w:rPr>
          <w:rFonts w:cs="Arial"/>
        </w:rPr>
        <w:t>.</w:t>
      </w:r>
    </w:p>
  </w:footnote>
  <w:footnote w:id="10">
    <w:p w14:paraId="513011B4" w14:textId="11DDFF92" w:rsidR="00B95DE9" w:rsidRPr="005E7BFB" w:rsidRDefault="00B95DE9" w:rsidP="00092271">
      <w:pPr>
        <w:pStyle w:val="FootnoteText"/>
        <w:rPr>
          <w:rFonts w:cs="Arial"/>
        </w:rPr>
      </w:pPr>
      <w:r>
        <w:rPr>
          <w:rStyle w:val="FootnoteReference"/>
        </w:rPr>
        <w:footnoteRef/>
      </w:r>
      <w:r>
        <w:t xml:space="preserve"> </w:t>
      </w:r>
      <w:r w:rsidRPr="000879E5">
        <w:rPr>
          <w:rFonts w:cs="Arial"/>
        </w:rPr>
        <w:t>1965 (1) SA 470 (W).</w:t>
      </w:r>
    </w:p>
  </w:footnote>
  <w:footnote w:id="11">
    <w:p w14:paraId="4A4A86B9" w14:textId="54E48A96" w:rsidR="00F61638" w:rsidRPr="00596BC8" w:rsidRDefault="00F61638">
      <w:pPr>
        <w:pStyle w:val="FootnoteText"/>
        <w:rPr>
          <w:lang w:val="en-ZA"/>
        </w:rPr>
      </w:pPr>
      <w:r>
        <w:rPr>
          <w:rStyle w:val="FootnoteReference"/>
        </w:rPr>
        <w:footnoteRef/>
      </w:r>
      <w:r>
        <w:t xml:space="preserve"> </w:t>
      </w:r>
      <w:r>
        <w:rPr>
          <w:lang w:val="en-ZA"/>
        </w:rPr>
        <w:t>Id at 473H.</w:t>
      </w:r>
    </w:p>
  </w:footnote>
  <w:footnote w:id="12">
    <w:p w14:paraId="746E3E8E" w14:textId="50D9D90B" w:rsidR="0075591D" w:rsidRPr="00596BC8" w:rsidRDefault="0075591D">
      <w:pPr>
        <w:pStyle w:val="FootnoteText"/>
        <w:rPr>
          <w:lang w:val="en-ZA"/>
        </w:rPr>
      </w:pPr>
      <w:r>
        <w:rPr>
          <w:rStyle w:val="FootnoteReference"/>
        </w:rPr>
        <w:footnoteRef/>
      </w:r>
      <w:r>
        <w:t xml:space="preserve"> </w:t>
      </w:r>
      <w:r w:rsidRPr="00596BC8">
        <w:rPr>
          <w:i/>
        </w:rPr>
        <w:t>Seton Co</w:t>
      </w:r>
      <w:r>
        <w:t xml:space="preserve"> n 11 above at 229.</w:t>
      </w:r>
    </w:p>
  </w:footnote>
  <w:footnote w:id="13">
    <w:p w14:paraId="05ADA399" w14:textId="328422A0" w:rsidR="00B95DE9" w:rsidRPr="007C1A8F" w:rsidRDefault="00B95DE9" w:rsidP="00092271">
      <w:pPr>
        <w:pStyle w:val="FootnoteText"/>
      </w:pPr>
      <w:r>
        <w:rPr>
          <w:rStyle w:val="FootnoteReference"/>
        </w:rPr>
        <w:footnoteRef/>
      </w:r>
      <w:r>
        <w:t xml:space="preserve"> </w:t>
      </w:r>
      <w:r w:rsidRPr="00596BC8">
        <w:rPr>
          <w:rFonts w:cs="Arial"/>
          <w:i/>
        </w:rPr>
        <w:t>Benjamin v Sobac South African Building and Construction (Pty) Ltd </w:t>
      </w:r>
      <w:hyperlink r:id="rId2" w:tgtFrame="main" w:history="1">
        <w:r w:rsidRPr="007C1A8F">
          <w:rPr>
            <w:rFonts w:cs="Arial"/>
          </w:rPr>
          <w:t>1989 (4) SA 940 (C)</w:t>
        </w:r>
      </w:hyperlink>
      <w:r w:rsidRPr="007C1A8F">
        <w:rPr>
          <w:rFonts w:cs="Arial"/>
        </w:rPr>
        <w:t> at 967</w:t>
      </w:r>
      <w:r w:rsidR="005F547D">
        <w:rPr>
          <w:rFonts w:cs="Arial"/>
        </w:rPr>
        <w:t>.</w:t>
      </w:r>
    </w:p>
  </w:footnote>
  <w:footnote w:id="14">
    <w:p w14:paraId="7169E46B" w14:textId="2C0D77AB" w:rsidR="00B95DE9" w:rsidRPr="007C1A8F" w:rsidRDefault="00B95DE9" w:rsidP="00092271">
      <w:pPr>
        <w:pStyle w:val="FootnoteText"/>
      </w:pPr>
      <w:r>
        <w:rPr>
          <w:rStyle w:val="FootnoteReference"/>
        </w:rPr>
        <w:footnoteRef/>
      </w:r>
      <w:r>
        <w:t xml:space="preserve"> S</w:t>
      </w:r>
      <w:r w:rsidRPr="007C1A8F">
        <w:rPr>
          <w:rFonts w:cs="Arial"/>
        </w:rPr>
        <w:t xml:space="preserve">ee </w:t>
      </w:r>
      <w:r w:rsidRPr="00596BC8">
        <w:rPr>
          <w:rFonts w:cs="Arial"/>
          <w:i/>
          <w:kern w:val="2"/>
          <w14:ligatures w14:val="standardContextual"/>
        </w:rPr>
        <w:t>Seton Co</w:t>
      </w:r>
      <w:r w:rsidRPr="007C1A8F">
        <w:rPr>
          <w:rFonts w:cs="Arial"/>
          <w:kern w:val="2"/>
          <w14:ligatures w14:val="standardContextual"/>
        </w:rPr>
        <w:t xml:space="preserve"> </w:t>
      </w:r>
      <w:r w:rsidR="00B530A6">
        <w:rPr>
          <w:rFonts w:cs="Arial"/>
          <w:kern w:val="2"/>
          <w14:ligatures w14:val="standardContextual"/>
        </w:rPr>
        <w:t>n 11 above; see also</w:t>
      </w:r>
      <w:r w:rsidRPr="007C1A8F">
        <w:rPr>
          <w:rFonts w:cs="Arial"/>
        </w:rPr>
        <w:t xml:space="preserve"> </w:t>
      </w:r>
      <w:r w:rsidRPr="007C1A8F">
        <w:rPr>
          <w:rFonts w:cs="Arial"/>
          <w:i/>
          <w:iCs/>
          <w:color w:val="000000"/>
        </w:rPr>
        <w:t>Kollberg v Cape Town Municipality</w:t>
      </w:r>
      <w:r w:rsidRPr="007C1A8F">
        <w:rPr>
          <w:rFonts w:cs="Arial"/>
          <w:color w:val="000000"/>
        </w:rPr>
        <w:t> </w:t>
      </w:r>
      <w:r w:rsidR="00EF2540" w:rsidRPr="00596BC8">
        <w:rPr>
          <w:rFonts w:cs="Arial"/>
        </w:rPr>
        <w:t>1967 (3) SA 472 (A)</w:t>
      </w:r>
      <w:r w:rsidRPr="007C1A8F">
        <w:rPr>
          <w:rFonts w:cs="Arial"/>
          <w:color w:val="000000"/>
        </w:rPr>
        <w:t> at 481F</w:t>
      </w:r>
      <w:r w:rsidR="00EF2540">
        <w:rPr>
          <w:rFonts w:cs="Arial"/>
          <w:color w:val="000000"/>
        </w:rPr>
        <w:t>.</w:t>
      </w:r>
    </w:p>
  </w:footnote>
  <w:footnote w:id="15">
    <w:p w14:paraId="104A6B2A" w14:textId="7CCEA736" w:rsidR="00B95DE9" w:rsidRPr="007005C0" w:rsidRDefault="00B95DE9" w:rsidP="00092271">
      <w:pPr>
        <w:pStyle w:val="FootnoteText"/>
      </w:pPr>
      <w:r>
        <w:rPr>
          <w:rStyle w:val="FootnoteReference"/>
        </w:rPr>
        <w:footnoteRef/>
      </w:r>
      <w:r>
        <w:t xml:space="preserve"> </w:t>
      </w:r>
      <w:r w:rsidR="00DD207D" w:rsidRPr="00DD207D">
        <w:t xml:space="preserve">[2020] ZACC 13; </w:t>
      </w:r>
      <w:r w:rsidRPr="007005C0">
        <w:rPr>
          <w:rFonts w:cs="Arial"/>
          <w:color w:val="000000"/>
        </w:rPr>
        <w:t>2020 (5) S</w:t>
      </w:r>
      <w:r w:rsidR="00DD207D">
        <w:rPr>
          <w:rFonts w:cs="Arial"/>
          <w:color w:val="000000"/>
        </w:rPr>
        <w:t>A</w:t>
      </w:r>
      <w:r w:rsidRPr="007005C0">
        <w:rPr>
          <w:rFonts w:cs="Arial"/>
          <w:color w:val="000000"/>
        </w:rPr>
        <w:t xml:space="preserve"> 247 (CC)</w:t>
      </w:r>
      <w:r w:rsidR="00DD207D">
        <w:rPr>
          <w:rFonts w:cs="Arial"/>
          <w:color w:val="000000"/>
        </w:rPr>
        <w:t xml:space="preserve">; </w:t>
      </w:r>
      <w:r w:rsidR="00DD207D" w:rsidRPr="00DD207D">
        <w:rPr>
          <w:rFonts w:cs="Arial"/>
          <w:color w:val="000000"/>
        </w:rPr>
        <w:t>2020 (9) BCLR 1098 (CC)</w:t>
      </w:r>
      <w:r w:rsidR="00B17AB6">
        <w:rPr>
          <w:rFonts w:cs="Arial"/>
          <w:color w:val="000000"/>
        </w:rPr>
        <w:t>.</w:t>
      </w:r>
    </w:p>
  </w:footnote>
  <w:footnote w:id="16">
    <w:p w14:paraId="1747AA59" w14:textId="27BE64FB" w:rsidR="00B17AB6" w:rsidRPr="00596BC8" w:rsidRDefault="00B17AB6">
      <w:pPr>
        <w:pStyle w:val="FootnoteText"/>
        <w:rPr>
          <w:lang w:val="en-ZA"/>
        </w:rPr>
      </w:pPr>
      <w:r>
        <w:rPr>
          <w:rStyle w:val="FootnoteReference"/>
        </w:rPr>
        <w:footnoteRef/>
      </w:r>
      <w:r>
        <w:t xml:space="preserve"> </w:t>
      </w:r>
      <w:r>
        <w:rPr>
          <w:lang w:val="en-ZA"/>
        </w:rPr>
        <w:t xml:space="preserve">Id at para 83. </w:t>
      </w:r>
    </w:p>
  </w:footnote>
  <w:footnote w:id="17">
    <w:p w14:paraId="58E8D908" w14:textId="13154814" w:rsidR="008D339C" w:rsidRPr="00596BC8" w:rsidRDefault="008D339C">
      <w:pPr>
        <w:pStyle w:val="FootnoteText"/>
        <w:rPr>
          <w:lang w:val="en-ZA"/>
        </w:rPr>
      </w:pPr>
      <w:r>
        <w:rPr>
          <w:rStyle w:val="FootnoteReference"/>
        </w:rPr>
        <w:footnoteRef/>
      </w:r>
      <w:r>
        <w:t xml:space="preserve"> </w:t>
      </w:r>
      <w:r>
        <w:rPr>
          <w:lang w:val="en-ZA"/>
        </w:rPr>
        <w:t>Id.</w:t>
      </w:r>
    </w:p>
  </w:footnote>
  <w:footnote w:id="18">
    <w:p w14:paraId="11FDE947" w14:textId="1EF1B915" w:rsidR="00B95DE9" w:rsidRPr="00D276DA" w:rsidRDefault="00B95DE9" w:rsidP="00092271">
      <w:pPr>
        <w:pStyle w:val="FootnoteText"/>
        <w:rPr>
          <w:rFonts w:cs="Arial"/>
        </w:rPr>
      </w:pPr>
      <w:r>
        <w:rPr>
          <w:rStyle w:val="FootnoteReference"/>
        </w:rPr>
        <w:footnoteRef/>
      </w:r>
      <w:r>
        <w:t xml:space="preserve"> </w:t>
      </w:r>
      <w:r>
        <w:rPr>
          <w:rFonts w:cs="Arial"/>
        </w:rPr>
        <w:t xml:space="preserve"> </w:t>
      </w:r>
      <w:r w:rsidR="008746BF" w:rsidRPr="00596BC8">
        <w:rPr>
          <w:rFonts w:cs="Arial"/>
          <w:i/>
        </w:rPr>
        <w:t>Telcordia Technologies</w:t>
      </w:r>
      <w:r w:rsidR="008746BF">
        <w:rPr>
          <w:rFonts w:cs="Arial"/>
        </w:rPr>
        <w:t xml:space="preserve"> n 4</w:t>
      </w:r>
      <w:r>
        <w:rPr>
          <w:rFonts w:cs="Arial"/>
        </w:rPr>
        <w:t xml:space="preserve"> above at para 4.</w:t>
      </w:r>
    </w:p>
  </w:footnote>
  <w:footnote w:id="19">
    <w:p w14:paraId="4A8F82D3" w14:textId="7DB5C93B" w:rsidR="00B95DE9" w:rsidRPr="00954DE3" w:rsidRDefault="00B95DE9" w:rsidP="00092271">
      <w:pPr>
        <w:pStyle w:val="FootnoteText"/>
      </w:pPr>
      <w:r>
        <w:rPr>
          <w:rStyle w:val="FootnoteReference"/>
        </w:rPr>
        <w:footnoteRef/>
      </w:r>
      <w:r>
        <w:t xml:space="preserve"> </w:t>
      </w:r>
      <w:r w:rsidRPr="00954DE3">
        <w:rPr>
          <w:rFonts w:cs="Arial"/>
          <w:i/>
          <w:iCs/>
          <w:color w:val="000000"/>
        </w:rPr>
        <w:t>Barkhuizen v Napier</w:t>
      </w:r>
      <w:r w:rsidR="00B540A7" w:rsidRPr="00B540A7">
        <w:t xml:space="preserve"> </w:t>
      </w:r>
      <w:r w:rsidR="00B540A7" w:rsidRPr="007A7D7A">
        <w:rPr>
          <w:rStyle w:val="Hyperlink"/>
          <w:rFonts w:cs="Arial"/>
          <w:color w:val="auto"/>
          <w:u w:val="none"/>
        </w:rPr>
        <w:t>[2007] ZACC 5;</w:t>
      </w:r>
      <w:r w:rsidR="00B540A7" w:rsidRPr="00705ABA">
        <w:rPr>
          <w:rStyle w:val="Hyperlink"/>
          <w:rFonts w:cs="Arial"/>
          <w:color w:val="auto"/>
          <w:u w:val="none"/>
        </w:rPr>
        <w:t xml:space="preserve"> </w:t>
      </w:r>
      <w:r w:rsidR="00176E81" w:rsidRPr="00596BC8">
        <w:rPr>
          <w:rFonts w:cs="Arial"/>
        </w:rPr>
        <w:t>2007 (5) SA 323 (CC)</w:t>
      </w:r>
      <w:r w:rsidR="00B540A7">
        <w:rPr>
          <w:rFonts w:cs="Arial"/>
        </w:rPr>
        <w:t xml:space="preserve">; </w:t>
      </w:r>
      <w:r w:rsidR="00B540A7" w:rsidRPr="00B540A7">
        <w:rPr>
          <w:rFonts w:cs="Arial"/>
        </w:rPr>
        <w:t>2007 (7) BCLR 691 (CC)</w:t>
      </w:r>
      <w:r>
        <w:rPr>
          <w:rFonts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A58F8"/>
    <w:multiLevelType w:val="hybridMultilevel"/>
    <w:tmpl w:val="EA64938E"/>
    <w:lvl w:ilvl="0" w:tplc="1C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6477E20"/>
    <w:multiLevelType w:val="hybridMultilevel"/>
    <w:tmpl w:val="3BC692B2"/>
    <w:lvl w:ilvl="0" w:tplc="213684F2">
      <w:start w:val="1"/>
      <w:numFmt w:val="lowerLetter"/>
      <w:lvlText w:val="(%1)"/>
      <w:lvlJc w:val="left"/>
      <w:pPr>
        <w:ind w:left="1778"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nsid w:val="0862377A"/>
    <w:multiLevelType w:val="hybridMultilevel"/>
    <w:tmpl w:val="226AB856"/>
    <w:lvl w:ilvl="0" w:tplc="23DE4DEE">
      <w:start w:val="2"/>
      <w:numFmt w:val="lowerLetter"/>
      <w:lvlText w:val="%1."/>
      <w:lvlJc w:val="left"/>
      <w:pPr>
        <w:ind w:left="1800" w:hanging="360"/>
      </w:pPr>
      <w:rPr>
        <w:rFonts w:hint="default"/>
      </w:rPr>
    </w:lvl>
    <w:lvl w:ilvl="1" w:tplc="1C090019" w:tentative="1">
      <w:start w:val="1"/>
      <w:numFmt w:val="lowerLetter"/>
      <w:lvlText w:val="%2."/>
      <w:lvlJc w:val="left"/>
      <w:pPr>
        <w:ind w:left="2313" w:hanging="360"/>
      </w:pPr>
    </w:lvl>
    <w:lvl w:ilvl="2" w:tplc="1C09001B" w:tentative="1">
      <w:start w:val="1"/>
      <w:numFmt w:val="lowerRoman"/>
      <w:lvlText w:val="%3."/>
      <w:lvlJc w:val="right"/>
      <w:pPr>
        <w:ind w:left="3033" w:hanging="180"/>
      </w:pPr>
    </w:lvl>
    <w:lvl w:ilvl="3" w:tplc="1C09000F" w:tentative="1">
      <w:start w:val="1"/>
      <w:numFmt w:val="decimal"/>
      <w:lvlText w:val="%4."/>
      <w:lvlJc w:val="left"/>
      <w:pPr>
        <w:ind w:left="3753" w:hanging="360"/>
      </w:pPr>
    </w:lvl>
    <w:lvl w:ilvl="4" w:tplc="1C090019" w:tentative="1">
      <w:start w:val="1"/>
      <w:numFmt w:val="lowerLetter"/>
      <w:lvlText w:val="%5."/>
      <w:lvlJc w:val="left"/>
      <w:pPr>
        <w:ind w:left="4473" w:hanging="360"/>
      </w:pPr>
    </w:lvl>
    <w:lvl w:ilvl="5" w:tplc="1C09001B" w:tentative="1">
      <w:start w:val="1"/>
      <w:numFmt w:val="lowerRoman"/>
      <w:lvlText w:val="%6."/>
      <w:lvlJc w:val="right"/>
      <w:pPr>
        <w:ind w:left="5193" w:hanging="180"/>
      </w:pPr>
    </w:lvl>
    <w:lvl w:ilvl="6" w:tplc="1C09000F" w:tentative="1">
      <w:start w:val="1"/>
      <w:numFmt w:val="decimal"/>
      <w:lvlText w:val="%7."/>
      <w:lvlJc w:val="left"/>
      <w:pPr>
        <w:ind w:left="5913" w:hanging="360"/>
      </w:pPr>
    </w:lvl>
    <w:lvl w:ilvl="7" w:tplc="1C090019" w:tentative="1">
      <w:start w:val="1"/>
      <w:numFmt w:val="lowerLetter"/>
      <w:lvlText w:val="%8."/>
      <w:lvlJc w:val="left"/>
      <w:pPr>
        <w:ind w:left="6633" w:hanging="360"/>
      </w:pPr>
    </w:lvl>
    <w:lvl w:ilvl="8" w:tplc="1C09001B" w:tentative="1">
      <w:start w:val="1"/>
      <w:numFmt w:val="lowerRoman"/>
      <w:lvlText w:val="%9."/>
      <w:lvlJc w:val="right"/>
      <w:pPr>
        <w:ind w:left="7353" w:hanging="180"/>
      </w:pPr>
    </w:lvl>
  </w:abstractNum>
  <w:abstractNum w:abstractNumId="3">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0B9C2237"/>
    <w:multiLevelType w:val="hybridMultilevel"/>
    <w:tmpl w:val="AA66B1E4"/>
    <w:lvl w:ilvl="0" w:tplc="4B5EAC90">
      <w:start w:val="1"/>
      <w:numFmt w:val="lowerLetter"/>
      <w:lvlText w:val="(%1)"/>
      <w:lvlJc w:val="left"/>
      <w:pPr>
        <w:ind w:left="1087" w:hanging="360"/>
      </w:pPr>
      <w:rPr>
        <w:rFonts w:hint="default"/>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5">
    <w:nsid w:val="16601645"/>
    <w:multiLevelType w:val="hybridMultilevel"/>
    <w:tmpl w:val="160AFBCE"/>
    <w:lvl w:ilvl="0" w:tplc="C7942934">
      <w:start w:val="2"/>
      <w:numFmt w:val="lowerLetter"/>
      <w:lvlText w:val="(%1)"/>
      <w:lvlJc w:val="left"/>
      <w:pPr>
        <w:ind w:left="1495" w:hanging="360"/>
      </w:pPr>
      <w:rPr>
        <w:rFonts w:hint="default"/>
        <w:i w:val="0"/>
        <w:iCs/>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6">
    <w:nsid w:val="1AEA364C"/>
    <w:multiLevelType w:val="hybridMultilevel"/>
    <w:tmpl w:val="B5D2A8B8"/>
    <w:lvl w:ilvl="0" w:tplc="213684F2">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8">
    <w:nsid w:val="25501463"/>
    <w:multiLevelType w:val="hybridMultilevel"/>
    <w:tmpl w:val="02827C8E"/>
    <w:lvl w:ilvl="0" w:tplc="2F64870A">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nsid w:val="2CCD6F14"/>
    <w:multiLevelType w:val="hybridMultilevel"/>
    <w:tmpl w:val="7F54371A"/>
    <w:lvl w:ilvl="0" w:tplc="65CE2400">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0">
    <w:nsid w:val="3062690F"/>
    <w:multiLevelType w:val="hybridMultilevel"/>
    <w:tmpl w:val="198C623E"/>
    <w:lvl w:ilvl="0" w:tplc="8FB2297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nsid w:val="40CF77C8"/>
    <w:multiLevelType w:val="hybridMultilevel"/>
    <w:tmpl w:val="2462345A"/>
    <w:lvl w:ilvl="0" w:tplc="9DF2B28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43060D9F"/>
    <w:multiLevelType w:val="hybridMultilevel"/>
    <w:tmpl w:val="CA50E7C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4">
    <w:nsid w:val="55B015C7"/>
    <w:multiLevelType w:val="hybridMultilevel"/>
    <w:tmpl w:val="033200D2"/>
    <w:lvl w:ilvl="0" w:tplc="60BA2A96">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nsid w:val="697C1A36"/>
    <w:multiLevelType w:val="hybridMultilevel"/>
    <w:tmpl w:val="2F24F616"/>
    <w:lvl w:ilvl="0" w:tplc="4FD054D0">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6">
    <w:nsid w:val="697E51E1"/>
    <w:multiLevelType w:val="hybridMultilevel"/>
    <w:tmpl w:val="D916BF82"/>
    <w:lvl w:ilvl="0" w:tplc="213684F2">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nsid w:val="6B8F2BF0"/>
    <w:multiLevelType w:val="hybridMultilevel"/>
    <w:tmpl w:val="8812A772"/>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8">
    <w:nsid w:val="6C0C6876"/>
    <w:multiLevelType w:val="hybridMultilevel"/>
    <w:tmpl w:val="FD88D452"/>
    <w:lvl w:ilvl="0" w:tplc="0DD4DD80">
      <w:start w:val="1"/>
      <w:numFmt w:val="lowerLetter"/>
      <w:lvlText w:val="(%1)"/>
      <w:lvlJc w:val="left"/>
      <w:pPr>
        <w:ind w:left="1647" w:hanging="36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19">
    <w:nsid w:val="6E0325AD"/>
    <w:multiLevelType w:val="hybridMultilevel"/>
    <w:tmpl w:val="6BCE26AE"/>
    <w:lvl w:ilvl="0" w:tplc="CEFC1BDE">
      <w:start w:val="1"/>
      <w:numFmt w:val="lowerLetter"/>
      <w:lvlText w:val="(%1)"/>
      <w:lvlJc w:val="left"/>
      <w:pPr>
        <w:ind w:left="2877" w:hanging="870"/>
      </w:pPr>
      <w:rPr>
        <w:rFonts w:hint="default"/>
      </w:rPr>
    </w:lvl>
    <w:lvl w:ilvl="1" w:tplc="1C090019" w:tentative="1">
      <w:start w:val="1"/>
      <w:numFmt w:val="lowerLetter"/>
      <w:lvlText w:val="%2."/>
      <w:lvlJc w:val="left"/>
      <w:pPr>
        <w:ind w:left="3087" w:hanging="360"/>
      </w:pPr>
    </w:lvl>
    <w:lvl w:ilvl="2" w:tplc="1C09001B" w:tentative="1">
      <w:start w:val="1"/>
      <w:numFmt w:val="lowerRoman"/>
      <w:lvlText w:val="%3."/>
      <w:lvlJc w:val="right"/>
      <w:pPr>
        <w:ind w:left="3807" w:hanging="180"/>
      </w:pPr>
    </w:lvl>
    <w:lvl w:ilvl="3" w:tplc="1C09000F" w:tentative="1">
      <w:start w:val="1"/>
      <w:numFmt w:val="decimal"/>
      <w:lvlText w:val="%4."/>
      <w:lvlJc w:val="left"/>
      <w:pPr>
        <w:ind w:left="4527" w:hanging="360"/>
      </w:pPr>
    </w:lvl>
    <w:lvl w:ilvl="4" w:tplc="1C090019" w:tentative="1">
      <w:start w:val="1"/>
      <w:numFmt w:val="lowerLetter"/>
      <w:lvlText w:val="%5."/>
      <w:lvlJc w:val="left"/>
      <w:pPr>
        <w:ind w:left="5247" w:hanging="360"/>
      </w:pPr>
    </w:lvl>
    <w:lvl w:ilvl="5" w:tplc="1C09001B" w:tentative="1">
      <w:start w:val="1"/>
      <w:numFmt w:val="lowerRoman"/>
      <w:lvlText w:val="%6."/>
      <w:lvlJc w:val="right"/>
      <w:pPr>
        <w:ind w:left="5967" w:hanging="180"/>
      </w:pPr>
    </w:lvl>
    <w:lvl w:ilvl="6" w:tplc="1C09000F" w:tentative="1">
      <w:start w:val="1"/>
      <w:numFmt w:val="decimal"/>
      <w:lvlText w:val="%7."/>
      <w:lvlJc w:val="left"/>
      <w:pPr>
        <w:ind w:left="6687" w:hanging="360"/>
      </w:pPr>
    </w:lvl>
    <w:lvl w:ilvl="7" w:tplc="1C090019" w:tentative="1">
      <w:start w:val="1"/>
      <w:numFmt w:val="lowerLetter"/>
      <w:lvlText w:val="%8."/>
      <w:lvlJc w:val="left"/>
      <w:pPr>
        <w:ind w:left="7407" w:hanging="360"/>
      </w:pPr>
    </w:lvl>
    <w:lvl w:ilvl="8" w:tplc="1C09001B" w:tentative="1">
      <w:start w:val="1"/>
      <w:numFmt w:val="lowerRoman"/>
      <w:lvlText w:val="%9."/>
      <w:lvlJc w:val="right"/>
      <w:pPr>
        <w:ind w:left="8127" w:hanging="180"/>
      </w:pPr>
    </w:lvl>
  </w:abstractNum>
  <w:abstractNum w:abstractNumId="20">
    <w:nsid w:val="794C2EA5"/>
    <w:multiLevelType w:val="hybridMultilevel"/>
    <w:tmpl w:val="3774ADF4"/>
    <w:lvl w:ilvl="0" w:tplc="F334C90C">
      <w:start w:val="1"/>
      <w:numFmt w:val="lowerLetter"/>
      <w:lvlText w:val="(%1)"/>
      <w:lvlJc w:val="left"/>
      <w:pPr>
        <w:ind w:left="1080" w:hanging="36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7"/>
  </w:num>
  <w:num w:numId="2">
    <w:abstractNumId w:val="11"/>
  </w:num>
  <w:num w:numId="3">
    <w:abstractNumId w:val="3"/>
  </w:num>
  <w:num w:numId="4">
    <w:abstractNumId w:val="7"/>
  </w:num>
  <w:num w:numId="5">
    <w:abstractNumId w:val="5"/>
  </w:num>
  <w:num w:numId="6">
    <w:abstractNumId w:val="16"/>
  </w:num>
  <w:num w:numId="7">
    <w:abstractNumId w:val="14"/>
  </w:num>
  <w:num w:numId="8">
    <w:abstractNumId w:val="15"/>
  </w:num>
  <w:num w:numId="9">
    <w:abstractNumId w:val="2"/>
  </w:num>
  <w:num w:numId="10">
    <w:abstractNumId w:val="12"/>
  </w:num>
  <w:num w:numId="11">
    <w:abstractNumId w:val="4"/>
  </w:num>
  <w:num w:numId="12">
    <w:abstractNumId w:val="6"/>
  </w:num>
  <w:num w:numId="13">
    <w:abstractNumId w:val="1"/>
  </w:num>
  <w:num w:numId="14">
    <w:abstractNumId w:val="9"/>
  </w:num>
  <w:num w:numId="15">
    <w:abstractNumId w:val="10"/>
  </w:num>
  <w:num w:numId="16">
    <w:abstractNumId w:val="13"/>
  </w:num>
  <w:num w:numId="17">
    <w:abstractNumId w:val="17"/>
  </w:num>
  <w:num w:numId="18">
    <w:abstractNumId w:val="8"/>
  </w:num>
  <w:num w:numId="19">
    <w:abstractNumId w:val="18"/>
  </w:num>
  <w:num w:numId="20">
    <w:abstractNumId w:val="19"/>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1BB"/>
    <w:rsid w:val="00000A69"/>
    <w:rsid w:val="00000B6A"/>
    <w:rsid w:val="000014C7"/>
    <w:rsid w:val="00003539"/>
    <w:rsid w:val="0000712C"/>
    <w:rsid w:val="0001002E"/>
    <w:rsid w:val="000119FD"/>
    <w:rsid w:val="00011BB0"/>
    <w:rsid w:val="000145DF"/>
    <w:rsid w:val="00014920"/>
    <w:rsid w:val="000170D0"/>
    <w:rsid w:val="00021CA6"/>
    <w:rsid w:val="00022F64"/>
    <w:rsid w:val="00025337"/>
    <w:rsid w:val="000263EB"/>
    <w:rsid w:val="0002650C"/>
    <w:rsid w:val="00027370"/>
    <w:rsid w:val="00030122"/>
    <w:rsid w:val="0003082A"/>
    <w:rsid w:val="00031AE7"/>
    <w:rsid w:val="00031D50"/>
    <w:rsid w:val="00032888"/>
    <w:rsid w:val="00032F92"/>
    <w:rsid w:val="00033C9C"/>
    <w:rsid w:val="0004013B"/>
    <w:rsid w:val="00040D10"/>
    <w:rsid w:val="0004147C"/>
    <w:rsid w:val="000419E9"/>
    <w:rsid w:val="00041FC7"/>
    <w:rsid w:val="00042584"/>
    <w:rsid w:val="000436B7"/>
    <w:rsid w:val="00043CD0"/>
    <w:rsid w:val="00044122"/>
    <w:rsid w:val="00045102"/>
    <w:rsid w:val="00046021"/>
    <w:rsid w:val="00053EC4"/>
    <w:rsid w:val="000551EA"/>
    <w:rsid w:val="000558D3"/>
    <w:rsid w:val="00056C1E"/>
    <w:rsid w:val="00057CCA"/>
    <w:rsid w:val="00061B2A"/>
    <w:rsid w:val="00061DFF"/>
    <w:rsid w:val="00062482"/>
    <w:rsid w:val="00062EC4"/>
    <w:rsid w:val="00063233"/>
    <w:rsid w:val="000649DF"/>
    <w:rsid w:val="00066348"/>
    <w:rsid w:val="00072A53"/>
    <w:rsid w:val="00073D81"/>
    <w:rsid w:val="0007543A"/>
    <w:rsid w:val="00076208"/>
    <w:rsid w:val="000762FC"/>
    <w:rsid w:val="00080B4F"/>
    <w:rsid w:val="000812A5"/>
    <w:rsid w:val="000824EE"/>
    <w:rsid w:val="00084000"/>
    <w:rsid w:val="00085EF4"/>
    <w:rsid w:val="000877CC"/>
    <w:rsid w:val="000879CF"/>
    <w:rsid w:val="000903C9"/>
    <w:rsid w:val="00092271"/>
    <w:rsid w:val="00095057"/>
    <w:rsid w:val="000962DF"/>
    <w:rsid w:val="00096FD9"/>
    <w:rsid w:val="000A1489"/>
    <w:rsid w:val="000A4EBA"/>
    <w:rsid w:val="000A7C5D"/>
    <w:rsid w:val="000B12C1"/>
    <w:rsid w:val="000B140F"/>
    <w:rsid w:val="000B3169"/>
    <w:rsid w:val="000B4A7D"/>
    <w:rsid w:val="000B585F"/>
    <w:rsid w:val="000B5ADD"/>
    <w:rsid w:val="000B6413"/>
    <w:rsid w:val="000B75F9"/>
    <w:rsid w:val="000C5F3E"/>
    <w:rsid w:val="000C6EAA"/>
    <w:rsid w:val="000D0AD1"/>
    <w:rsid w:val="000D1928"/>
    <w:rsid w:val="000D49C4"/>
    <w:rsid w:val="000D5B56"/>
    <w:rsid w:val="000D5B61"/>
    <w:rsid w:val="000D6FF7"/>
    <w:rsid w:val="000D7901"/>
    <w:rsid w:val="000E14BB"/>
    <w:rsid w:val="000E28CD"/>
    <w:rsid w:val="000E3A53"/>
    <w:rsid w:val="000E4E29"/>
    <w:rsid w:val="000E5A5D"/>
    <w:rsid w:val="000E6167"/>
    <w:rsid w:val="000E6321"/>
    <w:rsid w:val="000E6ED6"/>
    <w:rsid w:val="000F2A38"/>
    <w:rsid w:val="0010016D"/>
    <w:rsid w:val="001013DF"/>
    <w:rsid w:val="001018C5"/>
    <w:rsid w:val="00102A7B"/>
    <w:rsid w:val="00103361"/>
    <w:rsid w:val="001039F2"/>
    <w:rsid w:val="001044E2"/>
    <w:rsid w:val="001107DE"/>
    <w:rsid w:val="00111181"/>
    <w:rsid w:val="0011398A"/>
    <w:rsid w:val="00115502"/>
    <w:rsid w:val="00117AF8"/>
    <w:rsid w:val="00121BC9"/>
    <w:rsid w:val="0012592E"/>
    <w:rsid w:val="00125DEE"/>
    <w:rsid w:val="0012628F"/>
    <w:rsid w:val="00127E2B"/>
    <w:rsid w:val="001302B6"/>
    <w:rsid w:val="00130DC9"/>
    <w:rsid w:val="001319A7"/>
    <w:rsid w:val="00131AD3"/>
    <w:rsid w:val="0013203A"/>
    <w:rsid w:val="00134324"/>
    <w:rsid w:val="0013552C"/>
    <w:rsid w:val="0013554F"/>
    <w:rsid w:val="00140843"/>
    <w:rsid w:val="00140AB0"/>
    <w:rsid w:val="00142114"/>
    <w:rsid w:val="001438B7"/>
    <w:rsid w:val="00144AA0"/>
    <w:rsid w:val="00150593"/>
    <w:rsid w:val="001527A9"/>
    <w:rsid w:val="001529D3"/>
    <w:rsid w:val="00152A6E"/>
    <w:rsid w:val="001539CC"/>
    <w:rsid w:val="001550E7"/>
    <w:rsid w:val="00160CAB"/>
    <w:rsid w:val="00162E3D"/>
    <w:rsid w:val="00163FF6"/>
    <w:rsid w:val="00164E02"/>
    <w:rsid w:val="00165AF6"/>
    <w:rsid w:val="0016682C"/>
    <w:rsid w:val="001706F7"/>
    <w:rsid w:val="00171FD2"/>
    <w:rsid w:val="001732F3"/>
    <w:rsid w:val="0017525B"/>
    <w:rsid w:val="00176E81"/>
    <w:rsid w:val="00181267"/>
    <w:rsid w:val="00183FEB"/>
    <w:rsid w:val="00184F7A"/>
    <w:rsid w:val="001861CA"/>
    <w:rsid w:val="00186FB4"/>
    <w:rsid w:val="001915FB"/>
    <w:rsid w:val="00191B3E"/>
    <w:rsid w:val="00192D65"/>
    <w:rsid w:val="0019333F"/>
    <w:rsid w:val="001947E9"/>
    <w:rsid w:val="001968B7"/>
    <w:rsid w:val="001972F3"/>
    <w:rsid w:val="001A08DE"/>
    <w:rsid w:val="001A0BE6"/>
    <w:rsid w:val="001A361E"/>
    <w:rsid w:val="001A4F3D"/>
    <w:rsid w:val="001A5497"/>
    <w:rsid w:val="001A5D55"/>
    <w:rsid w:val="001B05CF"/>
    <w:rsid w:val="001B2358"/>
    <w:rsid w:val="001B2515"/>
    <w:rsid w:val="001B3E9C"/>
    <w:rsid w:val="001B4809"/>
    <w:rsid w:val="001B4891"/>
    <w:rsid w:val="001B5D30"/>
    <w:rsid w:val="001B78CF"/>
    <w:rsid w:val="001C0616"/>
    <w:rsid w:val="001C3576"/>
    <w:rsid w:val="001C3BDD"/>
    <w:rsid w:val="001C5042"/>
    <w:rsid w:val="001C6D55"/>
    <w:rsid w:val="001C7C68"/>
    <w:rsid w:val="001D03CA"/>
    <w:rsid w:val="001D12EF"/>
    <w:rsid w:val="001D14E9"/>
    <w:rsid w:val="001D1AC5"/>
    <w:rsid w:val="001D3257"/>
    <w:rsid w:val="001D415E"/>
    <w:rsid w:val="001D44E4"/>
    <w:rsid w:val="001D4965"/>
    <w:rsid w:val="001E0F5B"/>
    <w:rsid w:val="001E4D97"/>
    <w:rsid w:val="001E6321"/>
    <w:rsid w:val="001E6F64"/>
    <w:rsid w:val="001F1E42"/>
    <w:rsid w:val="001F27D5"/>
    <w:rsid w:val="001F78EB"/>
    <w:rsid w:val="0020166F"/>
    <w:rsid w:val="00203181"/>
    <w:rsid w:val="00203202"/>
    <w:rsid w:val="00204244"/>
    <w:rsid w:val="002046AE"/>
    <w:rsid w:val="002048D3"/>
    <w:rsid w:val="00207632"/>
    <w:rsid w:val="002106FB"/>
    <w:rsid w:val="0021172E"/>
    <w:rsid w:val="00211C28"/>
    <w:rsid w:val="002139FF"/>
    <w:rsid w:val="00214055"/>
    <w:rsid w:val="002149C5"/>
    <w:rsid w:val="0021593A"/>
    <w:rsid w:val="00216260"/>
    <w:rsid w:val="002165F6"/>
    <w:rsid w:val="00217923"/>
    <w:rsid w:val="00217A4D"/>
    <w:rsid w:val="002230AA"/>
    <w:rsid w:val="00223885"/>
    <w:rsid w:val="00230974"/>
    <w:rsid w:val="00230BD7"/>
    <w:rsid w:val="002318B6"/>
    <w:rsid w:val="00231DCE"/>
    <w:rsid w:val="0023295C"/>
    <w:rsid w:val="0023589D"/>
    <w:rsid w:val="002372CB"/>
    <w:rsid w:val="00240AA0"/>
    <w:rsid w:val="00243D40"/>
    <w:rsid w:val="00243F0C"/>
    <w:rsid w:val="00244246"/>
    <w:rsid w:val="0024601F"/>
    <w:rsid w:val="00247599"/>
    <w:rsid w:val="00247A37"/>
    <w:rsid w:val="00247D67"/>
    <w:rsid w:val="00250410"/>
    <w:rsid w:val="002504F2"/>
    <w:rsid w:val="00250D83"/>
    <w:rsid w:val="002534D0"/>
    <w:rsid w:val="002539B7"/>
    <w:rsid w:val="0025586B"/>
    <w:rsid w:val="00261F9A"/>
    <w:rsid w:val="00263A7D"/>
    <w:rsid w:val="0026415A"/>
    <w:rsid w:val="002654CC"/>
    <w:rsid w:val="002677DC"/>
    <w:rsid w:val="00270117"/>
    <w:rsid w:val="00273D5A"/>
    <w:rsid w:val="00273F3E"/>
    <w:rsid w:val="00275C91"/>
    <w:rsid w:val="0027625A"/>
    <w:rsid w:val="0027659D"/>
    <w:rsid w:val="00276848"/>
    <w:rsid w:val="0027692B"/>
    <w:rsid w:val="00280214"/>
    <w:rsid w:val="0028042D"/>
    <w:rsid w:val="00281A30"/>
    <w:rsid w:val="002824F5"/>
    <w:rsid w:val="002833C6"/>
    <w:rsid w:val="00283DDB"/>
    <w:rsid w:val="0028622F"/>
    <w:rsid w:val="0028725B"/>
    <w:rsid w:val="002873D3"/>
    <w:rsid w:val="002876C7"/>
    <w:rsid w:val="0028793B"/>
    <w:rsid w:val="00287A0B"/>
    <w:rsid w:val="002903B8"/>
    <w:rsid w:val="00291484"/>
    <w:rsid w:val="00295690"/>
    <w:rsid w:val="00295B87"/>
    <w:rsid w:val="00296C20"/>
    <w:rsid w:val="00296F81"/>
    <w:rsid w:val="002A0BB1"/>
    <w:rsid w:val="002A1BFD"/>
    <w:rsid w:val="002A1FCC"/>
    <w:rsid w:val="002A276A"/>
    <w:rsid w:val="002A3A5F"/>
    <w:rsid w:val="002A6DFD"/>
    <w:rsid w:val="002B17F6"/>
    <w:rsid w:val="002B2A9F"/>
    <w:rsid w:val="002B2B7E"/>
    <w:rsid w:val="002B34F6"/>
    <w:rsid w:val="002B3C46"/>
    <w:rsid w:val="002B41C4"/>
    <w:rsid w:val="002B448C"/>
    <w:rsid w:val="002B5183"/>
    <w:rsid w:val="002B5F5C"/>
    <w:rsid w:val="002B6CD7"/>
    <w:rsid w:val="002B7302"/>
    <w:rsid w:val="002C0ABC"/>
    <w:rsid w:val="002C2644"/>
    <w:rsid w:val="002C27C2"/>
    <w:rsid w:val="002C34C4"/>
    <w:rsid w:val="002D0ACB"/>
    <w:rsid w:val="002D1765"/>
    <w:rsid w:val="002D1ACF"/>
    <w:rsid w:val="002D1BC8"/>
    <w:rsid w:val="002D2B76"/>
    <w:rsid w:val="002D4191"/>
    <w:rsid w:val="002D5B39"/>
    <w:rsid w:val="002D798E"/>
    <w:rsid w:val="002E11E7"/>
    <w:rsid w:val="002E5240"/>
    <w:rsid w:val="002E58E2"/>
    <w:rsid w:val="002E5EDB"/>
    <w:rsid w:val="002E7BBB"/>
    <w:rsid w:val="002F0159"/>
    <w:rsid w:val="002F0583"/>
    <w:rsid w:val="002F10BE"/>
    <w:rsid w:val="002F4935"/>
    <w:rsid w:val="002F5C7B"/>
    <w:rsid w:val="002F741E"/>
    <w:rsid w:val="003001A2"/>
    <w:rsid w:val="00303EF1"/>
    <w:rsid w:val="00304C8E"/>
    <w:rsid w:val="00305904"/>
    <w:rsid w:val="003063A0"/>
    <w:rsid w:val="0031153E"/>
    <w:rsid w:val="00312079"/>
    <w:rsid w:val="00312ED9"/>
    <w:rsid w:val="00313CE9"/>
    <w:rsid w:val="00314C15"/>
    <w:rsid w:val="00315E02"/>
    <w:rsid w:val="00317D1C"/>
    <w:rsid w:val="003201B7"/>
    <w:rsid w:val="003224A3"/>
    <w:rsid w:val="00323DAA"/>
    <w:rsid w:val="0032473E"/>
    <w:rsid w:val="00330856"/>
    <w:rsid w:val="00330CC1"/>
    <w:rsid w:val="00331755"/>
    <w:rsid w:val="00334062"/>
    <w:rsid w:val="003364F3"/>
    <w:rsid w:val="00336F4F"/>
    <w:rsid w:val="003374AE"/>
    <w:rsid w:val="003379C4"/>
    <w:rsid w:val="00342379"/>
    <w:rsid w:val="0034585F"/>
    <w:rsid w:val="003463F0"/>
    <w:rsid w:val="00353AF7"/>
    <w:rsid w:val="003552C8"/>
    <w:rsid w:val="00355E18"/>
    <w:rsid w:val="00357B7C"/>
    <w:rsid w:val="00361A68"/>
    <w:rsid w:val="00362845"/>
    <w:rsid w:val="0036307D"/>
    <w:rsid w:val="00363295"/>
    <w:rsid w:val="003634FF"/>
    <w:rsid w:val="00364294"/>
    <w:rsid w:val="003642F9"/>
    <w:rsid w:val="0036535F"/>
    <w:rsid w:val="003660B3"/>
    <w:rsid w:val="003673B7"/>
    <w:rsid w:val="00367BE2"/>
    <w:rsid w:val="00367DCB"/>
    <w:rsid w:val="00370805"/>
    <w:rsid w:val="0037675A"/>
    <w:rsid w:val="003807B7"/>
    <w:rsid w:val="00382FE6"/>
    <w:rsid w:val="003843DF"/>
    <w:rsid w:val="003845BA"/>
    <w:rsid w:val="0038487F"/>
    <w:rsid w:val="003907E6"/>
    <w:rsid w:val="00397ED4"/>
    <w:rsid w:val="003A0975"/>
    <w:rsid w:val="003A1490"/>
    <w:rsid w:val="003A1A3A"/>
    <w:rsid w:val="003A20AC"/>
    <w:rsid w:val="003A37BF"/>
    <w:rsid w:val="003A4E49"/>
    <w:rsid w:val="003A6A62"/>
    <w:rsid w:val="003A6CE1"/>
    <w:rsid w:val="003A7706"/>
    <w:rsid w:val="003B0BEA"/>
    <w:rsid w:val="003B2B78"/>
    <w:rsid w:val="003B5071"/>
    <w:rsid w:val="003B71B4"/>
    <w:rsid w:val="003B71CE"/>
    <w:rsid w:val="003B76C4"/>
    <w:rsid w:val="003B7A0C"/>
    <w:rsid w:val="003C0380"/>
    <w:rsid w:val="003C0490"/>
    <w:rsid w:val="003C0D91"/>
    <w:rsid w:val="003C2FC7"/>
    <w:rsid w:val="003C31F0"/>
    <w:rsid w:val="003C3821"/>
    <w:rsid w:val="003C3A33"/>
    <w:rsid w:val="003C3C9A"/>
    <w:rsid w:val="003C564C"/>
    <w:rsid w:val="003D0322"/>
    <w:rsid w:val="003D0688"/>
    <w:rsid w:val="003D09C0"/>
    <w:rsid w:val="003D0B9D"/>
    <w:rsid w:val="003D19D8"/>
    <w:rsid w:val="003D47E2"/>
    <w:rsid w:val="003D5E74"/>
    <w:rsid w:val="003E0A7B"/>
    <w:rsid w:val="003E17CE"/>
    <w:rsid w:val="003E2257"/>
    <w:rsid w:val="003E248C"/>
    <w:rsid w:val="003E367B"/>
    <w:rsid w:val="003E3DD9"/>
    <w:rsid w:val="003E3DF4"/>
    <w:rsid w:val="003E43B5"/>
    <w:rsid w:val="003E46BF"/>
    <w:rsid w:val="003E74AB"/>
    <w:rsid w:val="003F11DE"/>
    <w:rsid w:val="003F24F9"/>
    <w:rsid w:val="003F5100"/>
    <w:rsid w:val="003F6289"/>
    <w:rsid w:val="003F66CD"/>
    <w:rsid w:val="00401549"/>
    <w:rsid w:val="004015E3"/>
    <w:rsid w:val="00401858"/>
    <w:rsid w:val="00403701"/>
    <w:rsid w:val="0040407B"/>
    <w:rsid w:val="004042E5"/>
    <w:rsid w:val="00405436"/>
    <w:rsid w:val="00405FA3"/>
    <w:rsid w:val="0040666E"/>
    <w:rsid w:val="00407C11"/>
    <w:rsid w:val="0041184C"/>
    <w:rsid w:val="00413EBA"/>
    <w:rsid w:val="0041483D"/>
    <w:rsid w:val="004154E3"/>
    <w:rsid w:val="0041556E"/>
    <w:rsid w:val="00417AC5"/>
    <w:rsid w:val="00420A45"/>
    <w:rsid w:val="00422DCC"/>
    <w:rsid w:val="00423925"/>
    <w:rsid w:val="0042667D"/>
    <w:rsid w:val="0042735D"/>
    <w:rsid w:val="00430570"/>
    <w:rsid w:val="004339D5"/>
    <w:rsid w:val="00434A79"/>
    <w:rsid w:val="0043554D"/>
    <w:rsid w:val="0043570B"/>
    <w:rsid w:val="00435DBB"/>
    <w:rsid w:val="004404FF"/>
    <w:rsid w:val="00442CCC"/>
    <w:rsid w:val="00442ECA"/>
    <w:rsid w:val="00444F17"/>
    <w:rsid w:val="004456A2"/>
    <w:rsid w:val="004460AC"/>
    <w:rsid w:val="00450AB9"/>
    <w:rsid w:val="00452109"/>
    <w:rsid w:val="00452C12"/>
    <w:rsid w:val="0045378E"/>
    <w:rsid w:val="00455426"/>
    <w:rsid w:val="00455E18"/>
    <w:rsid w:val="00456956"/>
    <w:rsid w:val="00461171"/>
    <w:rsid w:val="0046398D"/>
    <w:rsid w:val="004640D4"/>
    <w:rsid w:val="0046421F"/>
    <w:rsid w:val="00465363"/>
    <w:rsid w:val="004719CA"/>
    <w:rsid w:val="004749B0"/>
    <w:rsid w:val="00474A02"/>
    <w:rsid w:val="004750E4"/>
    <w:rsid w:val="00475F22"/>
    <w:rsid w:val="004764A6"/>
    <w:rsid w:val="0047655D"/>
    <w:rsid w:val="004769EE"/>
    <w:rsid w:val="00476C98"/>
    <w:rsid w:val="004778FF"/>
    <w:rsid w:val="00477928"/>
    <w:rsid w:val="00480A59"/>
    <w:rsid w:val="00481A51"/>
    <w:rsid w:val="00482CE1"/>
    <w:rsid w:val="0048739E"/>
    <w:rsid w:val="00490984"/>
    <w:rsid w:val="00490DC7"/>
    <w:rsid w:val="00494F77"/>
    <w:rsid w:val="004951D1"/>
    <w:rsid w:val="004961F7"/>
    <w:rsid w:val="00497377"/>
    <w:rsid w:val="004A0170"/>
    <w:rsid w:val="004A2AE4"/>
    <w:rsid w:val="004A312A"/>
    <w:rsid w:val="004A5EED"/>
    <w:rsid w:val="004A60D1"/>
    <w:rsid w:val="004A6FF5"/>
    <w:rsid w:val="004B230C"/>
    <w:rsid w:val="004B467F"/>
    <w:rsid w:val="004C03C6"/>
    <w:rsid w:val="004C171A"/>
    <w:rsid w:val="004C3457"/>
    <w:rsid w:val="004C34BF"/>
    <w:rsid w:val="004C50C0"/>
    <w:rsid w:val="004C5344"/>
    <w:rsid w:val="004C6094"/>
    <w:rsid w:val="004C61EC"/>
    <w:rsid w:val="004C6350"/>
    <w:rsid w:val="004C673C"/>
    <w:rsid w:val="004D11A3"/>
    <w:rsid w:val="004D1239"/>
    <w:rsid w:val="004D126B"/>
    <w:rsid w:val="004D2EFE"/>
    <w:rsid w:val="004D374C"/>
    <w:rsid w:val="004D406A"/>
    <w:rsid w:val="004D52C7"/>
    <w:rsid w:val="004E06FE"/>
    <w:rsid w:val="004E11B0"/>
    <w:rsid w:val="004E2031"/>
    <w:rsid w:val="004E211E"/>
    <w:rsid w:val="004E5E24"/>
    <w:rsid w:val="004F01E4"/>
    <w:rsid w:val="004F03BB"/>
    <w:rsid w:val="004F136B"/>
    <w:rsid w:val="004F378D"/>
    <w:rsid w:val="004F4C71"/>
    <w:rsid w:val="00500164"/>
    <w:rsid w:val="00500D27"/>
    <w:rsid w:val="005024D8"/>
    <w:rsid w:val="005039A2"/>
    <w:rsid w:val="0050409B"/>
    <w:rsid w:val="00505340"/>
    <w:rsid w:val="00505AFB"/>
    <w:rsid w:val="00506C8E"/>
    <w:rsid w:val="00506ECD"/>
    <w:rsid w:val="00510490"/>
    <w:rsid w:val="0051138E"/>
    <w:rsid w:val="00512360"/>
    <w:rsid w:val="005130C0"/>
    <w:rsid w:val="005154A3"/>
    <w:rsid w:val="00515A91"/>
    <w:rsid w:val="005167EE"/>
    <w:rsid w:val="00522918"/>
    <w:rsid w:val="00522FAE"/>
    <w:rsid w:val="005230F8"/>
    <w:rsid w:val="00523403"/>
    <w:rsid w:val="00523FFC"/>
    <w:rsid w:val="00524B8C"/>
    <w:rsid w:val="00524BCB"/>
    <w:rsid w:val="00525A95"/>
    <w:rsid w:val="005262E3"/>
    <w:rsid w:val="0052649F"/>
    <w:rsid w:val="005264EC"/>
    <w:rsid w:val="00527215"/>
    <w:rsid w:val="0053048F"/>
    <w:rsid w:val="00533D5A"/>
    <w:rsid w:val="00533FA8"/>
    <w:rsid w:val="00533FC2"/>
    <w:rsid w:val="005357A7"/>
    <w:rsid w:val="00537A0E"/>
    <w:rsid w:val="00537AD3"/>
    <w:rsid w:val="0054052D"/>
    <w:rsid w:val="00542C33"/>
    <w:rsid w:val="0054427C"/>
    <w:rsid w:val="00545572"/>
    <w:rsid w:val="0054729B"/>
    <w:rsid w:val="005503B7"/>
    <w:rsid w:val="00550FD7"/>
    <w:rsid w:val="005514BC"/>
    <w:rsid w:val="005517D2"/>
    <w:rsid w:val="005527DE"/>
    <w:rsid w:val="005547E0"/>
    <w:rsid w:val="00554A56"/>
    <w:rsid w:val="005558FE"/>
    <w:rsid w:val="00557735"/>
    <w:rsid w:val="00560FD8"/>
    <w:rsid w:val="0056620B"/>
    <w:rsid w:val="005667EF"/>
    <w:rsid w:val="00567120"/>
    <w:rsid w:val="00570F7E"/>
    <w:rsid w:val="00572933"/>
    <w:rsid w:val="00574316"/>
    <w:rsid w:val="00577B47"/>
    <w:rsid w:val="00583BB6"/>
    <w:rsid w:val="00586861"/>
    <w:rsid w:val="00586BE6"/>
    <w:rsid w:val="00587342"/>
    <w:rsid w:val="00587B4E"/>
    <w:rsid w:val="00587F8C"/>
    <w:rsid w:val="005926CD"/>
    <w:rsid w:val="00592839"/>
    <w:rsid w:val="00592ED5"/>
    <w:rsid w:val="005933D5"/>
    <w:rsid w:val="005959FC"/>
    <w:rsid w:val="005963DE"/>
    <w:rsid w:val="00596BC8"/>
    <w:rsid w:val="00597996"/>
    <w:rsid w:val="005A15F7"/>
    <w:rsid w:val="005A22D7"/>
    <w:rsid w:val="005A2AEC"/>
    <w:rsid w:val="005A2CC6"/>
    <w:rsid w:val="005A3483"/>
    <w:rsid w:val="005A419A"/>
    <w:rsid w:val="005A46D6"/>
    <w:rsid w:val="005A6DFD"/>
    <w:rsid w:val="005B27D5"/>
    <w:rsid w:val="005B30A9"/>
    <w:rsid w:val="005B457E"/>
    <w:rsid w:val="005B52CB"/>
    <w:rsid w:val="005B7566"/>
    <w:rsid w:val="005B7AD2"/>
    <w:rsid w:val="005C1503"/>
    <w:rsid w:val="005C2026"/>
    <w:rsid w:val="005C434D"/>
    <w:rsid w:val="005C451C"/>
    <w:rsid w:val="005C520B"/>
    <w:rsid w:val="005C6209"/>
    <w:rsid w:val="005C764B"/>
    <w:rsid w:val="005C791C"/>
    <w:rsid w:val="005D019B"/>
    <w:rsid w:val="005D1EDA"/>
    <w:rsid w:val="005D3ED8"/>
    <w:rsid w:val="005D486D"/>
    <w:rsid w:val="005D4ADA"/>
    <w:rsid w:val="005D5250"/>
    <w:rsid w:val="005D5B59"/>
    <w:rsid w:val="005D7FD3"/>
    <w:rsid w:val="005E0F3F"/>
    <w:rsid w:val="005E106C"/>
    <w:rsid w:val="005E1D8B"/>
    <w:rsid w:val="005E224C"/>
    <w:rsid w:val="005E3406"/>
    <w:rsid w:val="005E370B"/>
    <w:rsid w:val="005E3FC0"/>
    <w:rsid w:val="005E495D"/>
    <w:rsid w:val="005E583C"/>
    <w:rsid w:val="005F0916"/>
    <w:rsid w:val="005F1B23"/>
    <w:rsid w:val="005F2A9B"/>
    <w:rsid w:val="005F2B52"/>
    <w:rsid w:val="005F2C77"/>
    <w:rsid w:val="005F3C55"/>
    <w:rsid w:val="005F547D"/>
    <w:rsid w:val="005F55BB"/>
    <w:rsid w:val="0060381C"/>
    <w:rsid w:val="00604B7D"/>
    <w:rsid w:val="0060771F"/>
    <w:rsid w:val="0062162D"/>
    <w:rsid w:val="006226F2"/>
    <w:rsid w:val="00622FAE"/>
    <w:rsid w:val="0062317D"/>
    <w:rsid w:val="00623BB8"/>
    <w:rsid w:val="00624D47"/>
    <w:rsid w:val="0062545F"/>
    <w:rsid w:val="00627F62"/>
    <w:rsid w:val="006332D4"/>
    <w:rsid w:val="0063392A"/>
    <w:rsid w:val="00642E81"/>
    <w:rsid w:val="00643C51"/>
    <w:rsid w:val="00645117"/>
    <w:rsid w:val="00645597"/>
    <w:rsid w:val="00645B6E"/>
    <w:rsid w:val="00646DC1"/>
    <w:rsid w:val="00647B1D"/>
    <w:rsid w:val="00650B4E"/>
    <w:rsid w:val="0065184D"/>
    <w:rsid w:val="0065186D"/>
    <w:rsid w:val="00655261"/>
    <w:rsid w:val="00655B25"/>
    <w:rsid w:val="006565E1"/>
    <w:rsid w:val="00662397"/>
    <w:rsid w:val="00663021"/>
    <w:rsid w:val="006642BA"/>
    <w:rsid w:val="006642F0"/>
    <w:rsid w:val="00666BA6"/>
    <w:rsid w:val="006704B5"/>
    <w:rsid w:val="00671FAD"/>
    <w:rsid w:val="00672696"/>
    <w:rsid w:val="00673757"/>
    <w:rsid w:val="0067398D"/>
    <w:rsid w:val="006767F1"/>
    <w:rsid w:val="00676850"/>
    <w:rsid w:val="0067713A"/>
    <w:rsid w:val="00680109"/>
    <w:rsid w:val="006830AF"/>
    <w:rsid w:val="00684708"/>
    <w:rsid w:val="00684F8E"/>
    <w:rsid w:val="00690330"/>
    <w:rsid w:val="006907B0"/>
    <w:rsid w:val="00690CA6"/>
    <w:rsid w:val="00690FE2"/>
    <w:rsid w:val="00693D07"/>
    <w:rsid w:val="006940D3"/>
    <w:rsid w:val="00694A7A"/>
    <w:rsid w:val="00694C98"/>
    <w:rsid w:val="00696BA9"/>
    <w:rsid w:val="00696E7E"/>
    <w:rsid w:val="006A03BA"/>
    <w:rsid w:val="006A16E9"/>
    <w:rsid w:val="006A24C8"/>
    <w:rsid w:val="006A2FBB"/>
    <w:rsid w:val="006A360F"/>
    <w:rsid w:val="006A3C45"/>
    <w:rsid w:val="006A405A"/>
    <w:rsid w:val="006A7B63"/>
    <w:rsid w:val="006A7D0D"/>
    <w:rsid w:val="006B0D2E"/>
    <w:rsid w:val="006B5706"/>
    <w:rsid w:val="006C1435"/>
    <w:rsid w:val="006C1A34"/>
    <w:rsid w:val="006C33E5"/>
    <w:rsid w:val="006C49EB"/>
    <w:rsid w:val="006C4A5F"/>
    <w:rsid w:val="006C5A6F"/>
    <w:rsid w:val="006C6503"/>
    <w:rsid w:val="006D0993"/>
    <w:rsid w:val="006D1ACF"/>
    <w:rsid w:val="006D253B"/>
    <w:rsid w:val="006D55BA"/>
    <w:rsid w:val="006D7410"/>
    <w:rsid w:val="006D7464"/>
    <w:rsid w:val="006D75AD"/>
    <w:rsid w:val="006E00FE"/>
    <w:rsid w:val="006E10F9"/>
    <w:rsid w:val="006E1C68"/>
    <w:rsid w:val="006E2013"/>
    <w:rsid w:val="006E2716"/>
    <w:rsid w:val="006E3BE1"/>
    <w:rsid w:val="006E67BD"/>
    <w:rsid w:val="006E7C08"/>
    <w:rsid w:val="006E7C11"/>
    <w:rsid w:val="006F2A33"/>
    <w:rsid w:val="006F2CA1"/>
    <w:rsid w:val="006F63BB"/>
    <w:rsid w:val="006F7D55"/>
    <w:rsid w:val="00700D42"/>
    <w:rsid w:val="007032DC"/>
    <w:rsid w:val="00703FAD"/>
    <w:rsid w:val="00705397"/>
    <w:rsid w:val="00705ABA"/>
    <w:rsid w:val="00706544"/>
    <w:rsid w:val="00711A18"/>
    <w:rsid w:val="00713978"/>
    <w:rsid w:val="00713B65"/>
    <w:rsid w:val="00714499"/>
    <w:rsid w:val="00714B71"/>
    <w:rsid w:val="00716671"/>
    <w:rsid w:val="00716B0F"/>
    <w:rsid w:val="00716C6A"/>
    <w:rsid w:val="00720B6E"/>
    <w:rsid w:val="0072165F"/>
    <w:rsid w:val="00723333"/>
    <w:rsid w:val="00723F13"/>
    <w:rsid w:val="00724418"/>
    <w:rsid w:val="00726485"/>
    <w:rsid w:val="007267E2"/>
    <w:rsid w:val="00727D48"/>
    <w:rsid w:val="00730606"/>
    <w:rsid w:val="00731E92"/>
    <w:rsid w:val="00733D2B"/>
    <w:rsid w:val="00733FCC"/>
    <w:rsid w:val="00734152"/>
    <w:rsid w:val="00735377"/>
    <w:rsid w:val="007355F6"/>
    <w:rsid w:val="00735931"/>
    <w:rsid w:val="00737052"/>
    <w:rsid w:val="00741411"/>
    <w:rsid w:val="007414E1"/>
    <w:rsid w:val="0074219B"/>
    <w:rsid w:val="00743DEB"/>
    <w:rsid w:val="00743F5F"/>
    <w:rsid w:val="00745E47"/>
    <w:rsid w:val="00746F96"/>
    <w:rsid w:val="00747FDF"/>
    <w:rsid w:val="00750590"/>
    <w:rsid w:val="007510C8"/>
    <w:rsid w:val="00751A29"/>
    <w:rsid w:val="00752E71"/>
    <w:rsid w:val="00753EDB"/>
    <w:rsid w:val="00754D63"/>
    <w:rsid w:val="007550E4"/>
    <w:rsid w:val="00755605"/>
    <w:rsid w:val="0075591D"/>
    <w:rsid w:val="007565D4"/>
    <w:rsid w:val="00757CF5"/>
    <w:rsid w:val="00762B89"/>
    <w:rsid w:val="007646FB"/>
    <w:rsid w:val="00764983"/>
    <w:rsid w:val="00764D52"/>
    <w:rsid w:val="0076537B"/>
    <w:rsid w:val="00765A4C"/>
    <w:rsid w:val="007705D8"/>
    <w:rsid w:val="00772538"/>
    <w:rsid w:val="0077768A"/>
    <w:rsid w:val="00780384"/>
    <w:rsid w:val="00780D8D"/>
    <w:rsid w:val="00783D72"/>
    <w:rsid w:val="00790D50"/>
    <w:rsid w:val="007911A1"/>
    <w:rsid w:val="00792952"/>
    <w:rsid w:val="00794A62"/>
    <w:rsid w:val="00794DCB"/>
    <w:rsid w:val="00796972"/>
    <w:rsid w:val="007969FF"/>
    <w:rsid w:val="007A0C9D"/>
    <w:rsid w:val="007A5BB5"/>
    <w:rsid w:val="007A6355"/>
    <w:rsid w:val="007A681C"/>
    <w:rsid w:val="007A7D7A"/>
    <w:rsid w:val="007B17BB"/>
    <w:rsid w:val="007B1BB2"/>
    <w:rsid w:val="007B1F1D"/>
    <w:rsid w:val="007B2611"/>
    <w:rsid w:val="007B2D41"/>
    <w:rsid w:val="007B4C24"/>
    <w:rsid w:val="007B4D55"/>
    <w:rsid w:val="007B5175"/>
    <w:rsid w:val="007B5E16"/>
    <w:rsid w:val="007B7F59"/>
    <w:rsid w:val="007C1AB7"/>
    <w:rsid w:val="007C2C91"/>
    <w:rsid w:val="007C3EAD"/>
    <w:rsid w:val="007C4156"/>
    <w:rsid w:val="007C48F6"/>
    <w:rsid w:val="007C5161"/>
    <w:rsid w:val="007C7C01"/>
    <w:rsid w:val="007D0068"/>
    <w:rsid w:val="007D14BE"/>
    <w:rsid w:val="007D194B"/>
    <w:rsid w:val="007D2067"/>
    <w:rsid w:val="007D232C"/>
    <w:rsid w:val="007D2E79"/>
    <w:rsid w:val="007D36EF"/>
    <w:rsid w:val="007D3F30"/>
    <w:rsid w:val="007D4701"/>
    <w:rsid w:val="007D4F7F"/>
    <w:rsid w:val="007D512D"/>
    <w:rsid w:val="007D5AD3"/>
    <w:rsid w:val="007D647B"/>
    <w:rsid w:val="007E0E75"/>
    <w:rsid w:val="007E3224"/>
    <w:rsid w:val="007E3E92"/>
    <w:rsid w:val="007E49D1"/>
    <w:rsid w:val="007E4CD9"/>
    <w:rsid w:val="007E5CFB"/>
    <w:rsid w:val="007E7349"/>
    <w:rsid w:val="007E75EC"/>
    <w:rsid w:val="007E7BE5"/>
    <w:rsid w:val="007F0E83"/>
    <w:rsid w:val="007F14D6"/>
    <w:rsid w:val="007F24AB"/>
    <w:rsid w:val="007F78C9"/>
    <w:rsid w:val="007F7BA1"/>
    <w:rsid w:val="00800523"/>
    <w:rsid w:val="00802BDD"/>
    <w:rsid w:val="0080346C"/>
    <w:rsid w:val="00803612"/>
    <w:rsid w:val="0080573A"/>
    <w:rsid w:val="00805BDC"/>
    <w:rsid w:val="00806314"/>
    <w:rsid w:val="00806751"/>
    <w:rsid w:val="008101EE"/>
    <w:rsid w:val="00810910"/>
    <w:rsid w:val="0081374B"/>
    <w:rsid w:val="008145FD"/>
    <w:rsid w:val="008168A2"/>
    <w:rsid w:val="00816AB3"/>
    <w:rsid w:val="008176B3"/>
    <w:rsid w:val="00817EA4"/>
    <w:rsid w:val="00820393"/>
    <w:rsid w:val="00824C2F"/>
    <w:rsid w:val="008257D9"/>
    <w:rsid w:val="00825B41"/>
    <w:rsid w:val="00835BF8"/>
    <w:rsid w:val="00837581"/>
    <w:rsid w:val="00840749"/>
    <w:rsid w:val="00841007"/>
    <w:rsid w:val="00841BA2"/>
    <w:rsid w:val="008431E2"/>
    <w:rsid w:val="00843BA0"/>
    <w:rsid w:val="00844674"/>
    <w:rsid w:val="00844727"/>
    <w:rsid w:val="00847F32"/>
    <w:rsid w:val="00851AFA"/>
    <w:rsid w:val="00852A0C"/>
    <w:rsid w:val="00852B49"/>
    <w:rsid w:val="0085316D"/>
    <w:rsid w:val="00853334"/>
    <w:rsid w:val="00853C53"/>
    <w:rsid w:val="00857739"/>
    <w:rsid w:val="0086036F"/>
    <w:rsid w:val="00864A00"/>
    <w:rsid w:val="00864A58"/>
    <w:rsid w:val="00864A90"/>
    <w:rsid w:val="008660A4"/>
    <w:rsid w:val="00872956"/>
    <w:rsid w:val="00872DE1"/>
    <w:rsid w:val="00873002"/>
    <w:rsid w:val="008735BD"/>
    <w:rsid w:val="0087383B"/>
    <w:rsid w:val="0087403B"/>
    <w:rsid w:val="008746BF"/>
    <w:rsid w:val="00875ADD"/>
    <w:rsid w:val="00876C6F"/>
    <w:rsid w:val="008807A0"/>
    <w:rsid w:val="0088184F"/>
    <w:rsid w:val="00881EAB"/>
    <w:rsid w:val="0088205E"/>
    <w:rsid w:val="00883078"/>
    <w:rsid w:val="00883486"/>
    <w:rsid w:val="00884088"/>
    <w:rsid w:val="00885303"/>
    <w:rsid w:val="00886039"/>
    <w:rsid w:val="00887C8F"/>
    <w:rsid w:val="00890136"/>
    <w:rsid w:val="008930D1"/>
    <w:rsid w:val="008973B9"/>
    <w:rsid w:val="00897797"/>
    <w:rsid w:val="008A28FA"/>
    <w:rsid w:val="008A2F29"/>
    <w:rsid w:val="008A504A"/>
    <w:rsid w:val="008A52C5"/>
    <w:rsid w:val="008A5956"/>
    <w:rsid w:val="008A5C44"/>
    <w:rsid w:val="008A727B"/>
    <w:rsid w:val="008A7FD6"/>
    <w:rsid w:val="008B3FC5"/>
    <w:rsid w:val="008B590F"/>
    <w:rsid w:val="008B6A51"/>
    <w:rsid w:val="008B747F"/>
    <w:rsid w:val="008C06C2"/>
    <w:rsid w:val="008C2B02"/>
    <w:rsid w:val="008D1DFB"/>
    <w:rsid w:val="008D20F2"/>
    <w:rsid w:val="008D25AD"/>
    <w:rsid w:val="008D2AB8"/>
    <w:rsid w:val="008D326D"/>
    <w:rsid w:val="008D339C"/>
    <w:rsid w:val="008D4DF8"/>
    <w:rsid w:val="008D541C"/>
    <w:rsid w:val="008D6006"/>
    <w:rsid w:val="008E1526"/>
    <w:rsid w:val="008E16E0"/>
    <w:rsid w:val="008E385C"/>
    <w:rsid w:val="008E3EBC"/>
    <w:rsid w:val="008E4B4E"/>
    <w:rsid w:val="008E5C17"/>
    <w:rsid w:val="008E5FB2"/>
    <w:rsid w:val="008E6535"/>
    <w:rsid w:val="008E7246"/>
    <w:rsid w:val="008F0AFE"/>
    <w:rsid w:val="008F3075"/>
    <w:rsid w:val="008F3EC0"/>
    <w:rsid w:val="008F5C28"/>
    <w:rsid w:val="008F6D33"/>
    <w:rsid w:val="008F7422"/>
    <w:rsid w:val="008F79D1"/>
    <w:rsid w:val="00900F6A"/>
    <w:rsid w:val="009019E0"/>
    <w:rsid w:val="00901D4F"/>
    <w:rsid w:val="00903316"/>
    <w:rsid w:val="00903742"/>
    <w:rsid w:val="0090442F"/>
    <w:rsid w:val="00905F74"/>
    <w:rsid w:val="00906254"/>
    <w:rsid w:val="00906B67"/>
    <w:rsid w:val="00907298"/>
    <w:rsid w:val="00907F48"/>
    <w:rsid w:val="009111D7"/>
    <w:rsid w:val="0091178F"/>
    <w:rsid w:val="00911B0B"/>
    <w:rsid w:val="00912BE8"/>
    <w:rsid w:val="00912ECF"/>
    <w:rsid w:val="00913B58"/>
    <w:rsid w:val="0091412E"/>
    <w:rsid w:val="00914E34"/>
    <w:rsid w:val="009157D2"/>
    <w:rsid w:val="00916D3F"/>
    <w:rsid w:val="00922991"/>
    <w:rsid w:val="00923B50"/>
    <w:rsid w:val="00923E03"/>
    <w:rsid w:val="00925303"/>
    <w:rsid w:val="00926312"/>
    <w:rsid w:val="009263FA"/>
    <w:rsid w:val="0092648D"/>
    <w:rsid w:val="0093015E"/>
    <w:rsid w:val="009301CA"/>
    <w:rsid w:val="00931984"/>
    <w:rsid w:val="009351B1"/>
    <w:rsid w:val="00935B78"/>
    <w:rsid w:val="00940123"/>
    <w:rsid w:val="00942D2B"/>
    <w:rsid w:val="00943F93"/>
    <w:rsid w:val="00944543"/>
    <w:rsid w:val="00944C25"/>
    <w:rsid w:val="00944F3B"/>
    <w:rsid w:val="009459EA"/>
    <w:rsid w:val="00947B14"/>
    <w:rsid w:val="00950D6A"/>
    <w:rsid w:val="00951C28"/>
    <w:rsid w:val="00953D9C"/>
    <w:rsid w:val="009546FE"/>
    <w:rsid w:val="00955AD8"/>
    <w:rsid w:val="009560AE"/>
    <w:rsid w:val="009603BC"/>
    <w:rsid w:val="00960B51"/>
    <w:rsid w:val="00960C24"/>
    <w:rsid w:val="0096143B"/>
    <w:rsid w:val="00962E94"/>
    <w:rsid w:val="00962FC4"/>
    <w:rsid w:val="009655D0"/>
    <w:rsid w:val="009721E5"/>
    <w:rsid w:val="00972B15"/>
    <w:rsid w:val="0097309E"/>
    <w:rsid w:val="00974FCE"/>
    <w:rsid w:val="00977165"/>
    <w:rsid w:val="00980A19"/>
    <w:rsid w:val="00982DEF"/>
    <w:rsid w:val="009834FA"/>
    <w:rsid w:val="00983538"/>
    <w:rsid w:val="00983960"/>
    <w:rsid w:val="009865D5"/>
    <w:rsid w:val="00986FC8"/>
    <w:rsid w:val="009907F2"/>
    <w:rsid w:val="00990941"/>
    <w:rsid w:val="00991577"/>
    <w:rsid w:val="00991B6F"/>
    <w:rsid w:val="009920C3"/>
    <w:rsid w:val="00994B4F"/>
    <w:rsid w:val="0099555D"/>
    <w:rsid w:val="009963E2"/>
    <w:rsid w:val="009A4AC4"/>
    <w:rsid w:val="009A6EA0"/>
    <w:rsid w:val="009B424A"/>
    <w:rsid w:val="009B4E6E"/>
    <w:rsid w:val="009B60AD"/>
    <w:rsid w:val="009C08C0"/>
    <w:rsid w:val="009C1265"/>
    <w:rsid w:val="009C129E"/>
    <w:rsid w:val="009C1CF7"/>
    <w:rsid w:val="009C21C1"/>
    <w:rsid w:val="009C493D"/>
    <w:rsid w:val="009C601C"/>
    <w:rsid w:val="009C6404"/>
    <w:rsid w:val="009D153F"/>
    <w:rsid w:val="009D16D5"/>
    <w:rsid w:val="009D24A0"/>
    <w:rsid w:val="009D2CD0"/>
    <w:rsid w:val="009D39DF"/>
    <w:rsid w:val="009D3A2A"/>
    <w:rsid w:val="009D598F"/>
    <w:rsid w:val="009D7076"/>
    <w:rsid w:val="009D7D04"/>
    <w:rsid w:val="009E006D"/>
    <w:rsid w:val="009E287A"/>
    <w:rsid w:val="009E3968"/>
    <w:rsid w:val="009E3B90"/>
    <w:rsid w:val="009E4268"/>
    <w:rsid w:val="009E4AC4"/>
    <w:rsid w:val="009E5AAE"/>
    <w:rsid w:val="009E7F7A"/>
    <w:rsid w:val="009F0899"/>
    <w:rsid w:val="009F121A"/>
    <w:rsid w:val="009F32A0"/>
    <w:rsid w:val="009F3329"/>
    <w:rsid w:val="009F510D"/>
    <w:rsid w:val="009F6B95"/>
    <w:rsid w:val="00A002E2"/>
    <w:rsid w:val="00A03274"/>
    <w:rsid w:val="00A05501"/>
    <w:rsid w:val="00A05CF7"/>
    <w:rsid w:val="00A076E2"/>
    <w:rsid w:val="00A11ABC"/>
    <w:rsid w:val="00A12B2A"/>
    <w:rsid w:val="00A149AD"/>
    <w:rsid w:val="00A16016"/>
    <w:rsid w:val="00A164E0"/>
    <w:rsid w:val="00A16F6A"/>
    <w:rsid w:val="00A20A3F"/>
    <w:rsid w:val="00A2185D"/>
    <w:rsid w:val="00A22ED6"/>
    <w:rsid w:val="00A24B3F"/>
    <w:rsid w:val="00A25862"/>
    <w:rsid w:val="00A261E6"/>
    <w:rsid w:val="00A305AB"/>
    <w:rsid w:val="00A30A34"/>
    <w:rsid w:val="00A30D96"/>
    <w:rsid w:val="00A31304"/>
    <w:rsid w:val="00A32357"/>
    <w:rsid w:val="00A32DB9"/>
    <w:rsid w:val="00A3321D"/>
    <w:rsid w:val="00A3467B"/>
    <w:rsid w:val="00A34F0A"/>
    <w:rsid w:val="00A350F8"/>
    <w:rsid w:val="00A36E15"/>
    <w:rsid w:val="00A37ABE"/>
    <w:rsid w:val="00A42C91"/>
    <w:rsid w:val="00A43665"/>
    <w:rsid w:val="00A44638"/>
    <w:rsid w:val="00A456A1"/>
    <w:rsid w:val="00A50B84"/>
    <w:rsid w:val="00A511F2"/>
    <w:rsid w:val="00A513FF"/>
    <w:rsid w:val="00A51708"/>
    <w:rsid w:val="00A5207B"/>
    <w:rsid w:val="00A52086"/>
    <w:rsid w:val="00A546C5"/>
    <w:rsid w:val="00A55A4B"/>
    <w:rsid w:val="00A575FB"/>
    <w:rsid w:val="00A61335"/>
    <w:rsid w:val="00A63A59"/>
    <w:rsid w:val="00A63A8A"/>
    <w:rsid w:val="00A64749"/>
    <w:rsid w:val="00A664B9"/>
    <w:rsid w:val="00A66E96"/>
    <w:rsid w:val="00A671BB"/>
    <w:rsid w:val="00A67932"/>
    <w:rsid w:val="00A701B1"/>
    <w:rsid w:val="00A70745"/>
    <w:rsid w:val="00A70B35"/>
    <w:rsid w:val="00A71F18"/>
    <w:rsid w:val="00A73309"/>
    <w:rsid w:val="00A7333B"/>
    <w:rsid w:val="00A77A80"/>
    <w:rsid w:val="00A837CF"/>
    <w:rsid w:val="00A83A79"/>
    <w:rsid w:val="00A8500A"/>
    <w:rsid w:val="00A85777"/>
    <w:rsid w:val="00A9100A"/>
    <w:rsid w:val="00A9176F"/>
    <w:rsid w:val="00A91B8A"/>
    <w:rsid w:val="00AA2712"/>
    <w:rsid w:val="00AA33AA"/>
    <w:rsid w:val="00AA3436"/>
    <w:rsid w:val="00AA7700"/>
    <w:rsid w:val="00AA775A"/>
    <w:rsid w:val="00AA7963"/>
    <w:rsid w:val="00AB03AF"/>
    <w:rsid w:val="00AB0F64"/>
    <w:rsid w:val="00AB33D6"/>
    <w:rsid w:val="00AB50E7"/>
    <w:rsid w:val="00AB794F"/>
    <w:rsid w:val="00AB7CC6"/>
    <w:rsid w:val="00AB7F2E"/>
    <w:rsid w:val="00AC3BD0"/>
    <w:rsid w:val="00AC4207"/>
    <w:rsid w:val="00AC5441"/>
    <w:rsid w:val="00AC564A"/>
    <w:rsid w:val="00AC5ED7"/>
    <w:rsid w:val="00AD0821"/>
    <w:rsid w:val="00AD103B"/>
    <w:rsid w:val="00AD433E"/>
    <w:rsid w:val="00AD7E0D"/>
    <w:rsid w:val="00AE573A"/>
    <w:rsid w:val="00AE62BE"/>
    <w:rsid w:val="00AE7890"/>
    <w:rsid w:val="00AF0060"/>
    <w:rsid w:val="00AF027E"/>
    <w:rsid w:val="00AF109C"/>
    <w:rsid w:val="00AF170D"/>
    <w:rsid w:val="00AF3257"/>
    <w:rsid w:val="00AF3872"/>
    <w:rsid w:val="00AF489C"/>
    <w:rsid w:val="00AF522F"/>
    <w:rsid w:val="00AF53B6"/>
    <w:rsid w:val="00AF79A3"/>
    <w:rsid w:val="00AF7AC6"/>
    <w:rsid w:val="00B004D6"/>
    <w:rsid w:val="00B00749"/>
    <w:rsid w:val="00B018C3"/>
    <w:rsid w:val="00B0275E"/>
    <w:rsid w:val="00B0643C"/>
    <w:rsid w:val="00B1081A"/>
    <w:rsid w:val="00B11DAE"/>
    <w:rsid w:val="00B12620"/>
    <w:rsid w:val="00B12FE4"/>
    <w:rsid w:val="00B13A57"/>
    <w:rsid w:val="00B14DF4"/>
    <w:rsid w:val="00B17AB6"/>
    <w:rsid w:val="00B17BF4"/>
    <w:rsid w:val="00B21D26"/>
    <w:rsid w:val="00B24008"/>
    <w:rsid w:val="00B24284"/>
    <w:rsid w:val="00B26A10"/>
    <w:rsid w:val="00B35249"/>
    <w:rsid w:val="00B35EE9"/>
    <w:rsid w:val="00B361B3"/>
    <w:rsid w:val="00B36366"/>
    <w:rsid w:val="00B3666F"/>
    <w:rsid w:val="00B370A0"/>
    <w:rsid w:val="00B376AA"/>
    <w:rsid w:val="00B40E94"/>
    <w:rsid w:val="00B42774"/>
    <w:rsid w:val="00B43C8A"/>
    <w:rsid w:val="00B50F69"/>
    <w:rsid w:val="00B524A5"/>
    <w:rsid w:val="00B530A6"/>
    <w:rsid w:val="00B53577"/>
    <w:rsid w:val="00B538E5"/>
    <w:rsid w:val="00B53932"/>
    <w:rsid w:val="00B540A7"/>
    <w:rsid w:val="00B54564"/>
    <w:rsid w:val="00B5480A"/>
    <w:rsid w:val="00B62DC2"/>
    <w:rsid w:val="00B6374C"/>
    <w:rsid w:val="00B63FB0"/>
    <w:rsid w:val="00B651A4"/>
    <w:rsid w:val="00B663BF"/>
    <w:rsid w:val="00B70335"/>
    <w:rsid w:val="00B71D88"/>
    <w:rsid w:val="00B72572"/>
    <w:rsid w:val="00B746AC"/>
    <w:rsid w:val="00B7595F"/>
    <w:rsid w:val="00B75FAB"/>
    <w:rsid w:val="00B765A4"/>
    <w:rsid w:val="00B841BF"/>
    <w:rsid w:val="00B8759F"/>
    <w:rsid w:val="00B87BD4"/>
    <w:rsid w:val="00B902B8"/>
    <w:rsid w:val="00B91D00"/>
    <w:rsid w:val="00B95DE9"/>
    <w:rsid w:val="00BA3AA9"/>
    <w:rsid w:val="00BA3C92"/>
    <w:rsid w:val="00BA5F29"/>
    <w:rsid w:val="00BA631B"/>
    <w:rsid w:val="00BA66B0"/>
    <w:rsid w:val="00BA7CC3"/>
    <w:rsid w:val="00BB0C9B"/>
    <w:rsid w:val="00BB5055"/>
    <w:rsid w:val="00BB6841"/>
    <w:rsid w:val="00BB7682"/>
    <w:rsid w:val="00BC10D1"/>
    <w:rsid w:val="00BC1232"/>
    <w:rsid w:val="00BC32F5"/>
    <w:rsid w:val="00BC3881"/>
    <w:rsid w:val="00BC3F42"/>
    <w:rsid w:val="00BC4D00"/>
    <w:rsid w:val="00BC5E75"/>
    <w:rsid w:val="00BC6439"/>
    <w:rsid w:val="00BD0585"/>
    <w:rsid w:val="00BD0828"/>
    <w:rsid w:val="00BD08C0"/>
    <w:rsid w:val="00BD2FB9"/>
    <w:rsid w:val="00BD4240"/>
    <w:rsid w:val="00BD485F"/>
    <w:rsid w:val="00BD4B5A"/>
    <w:rsid w:val="00BD7C0E"/>
    <w:rsid w:val="00BD7EC1"/>
    <w:rsid w:val="00BE09DC"/>
    <w:rsid w:val="00BE127D"/>
    <w:rsid w:val="00BE18B0"/>
    <w:rsid w:val="00BE2F56"/>
    <w:rsid w:val="00BE2FDA"/>
    <w:rsid w:val="00BE3DA8"/>
    <w:rsid w:val="00BE40D6"/>
    <w:rsid w:val="00BE40EB"/>
    <w:rsid w:val="00BE41FA"/>
    <w:rsid w:val="00BE7B32"/>
    <w:rsid w:val="00BE7BDC"/>
    <w:rsid w:val="00BF1216"/>
    <w:rsid w:val="00BF1BD2"/>
    <w:rsid w:val="00BF2EF4"/>
    <w:rsid w:val="00BF3706"/>
    <w:rsid w:val="00BF438B"/>
    <w:rsid w:val="00BF4BD1"/>
    <w:rsid w:val="00BF53C5"/>
    <w:rsid w:val="00C01821"/>
    <w:rsid w:val="00C01C06"/>
    <w:rsid w:val="00C02473"/>
    <w:rsid w:val="00C04181"/>
    <w:rsid w:val="00C04372"/>
    <w:rsid w:val="00C04A5D"/>
    <w:rsid w:val="00C0612C"/>
    <w:rsid w:val="00C06705"/>
    <w:rsid w:val="00C07798"/>
    <w:rsid w:val="00C078B0"/>
    <w:rsid w:val="00C1078F"/>
    <w:rsid w:val="00C13F9D"/>
    <w:rsid w:val="00C14706"/>
    <w:rsid w:val="00C16938"/>
    <w:rsid w:val="00C22D0F"/>
    <w:rsid w:val="00C2595D"/>
    <w:rsid w:val="00C25F8F"/>
    <w:rsid w:val="00C277D1"/>
    <w:rsid w:val="00C304DE"/>
    <w:rsid w:val="00C316DF"/>
    <w:rsid w:val="00C353E2"/>
    <w:rsid w:val="00C36B9D"/>
    <w:rsid w:val="00C377E2"/>
    <w:rsid w:val="00C42ACF"/>
    <w:rsid w:val="00C4686C"/>
    <w:rsid w:val="00C5031F"/>
    <w:rsid w:val="00C503A1"/>
    <w:rsid w:val="00C54320"/>
    <w:rsid w:val="00C54436"/>
    <w:rsid w:val="00C55A28"/>
    <w:rsid w:val="00C55BAB"/>
    <w:rsid w:val="00C560EA"/>
    <w:rsid w:val="00C56E66"/>
    <w:rsid w:val="00C6042E"/>
    <w:rsid w:val="00C62CDA"/>
    <w:rsid w:val="00C63F1B"/>
    <w:rsid w:val="00C6540D"/>
    <w:rsid w:val="00C66F30"/>
    <w:rsid w:val="00C718D1"/>
    <w:rsid w:val="00C75513"/>
    <w:rsid w:val="00C76400"/>
    <w:rsid w:val="00C7650C"/>
    <w:rsid w:val="00C7694C"/>
    <w:rsid w:val="00C77572"/>
    <w:rsid w:val="00C80514"/>
    <w:rsid w:val="00C80885"/>
    <w:rsid w:val="00C80925"/>
    <w:rsid w:val="00C80F2B"/>
    <w:rsid w:val="00C81DB9"/>
    <w:rsid w:val="00C823A1"/>
    <w:rsid w:val="00C82B0C"/>
    <w:rsid w:val="00C867DB"/>
    <w:rsid w:val="00C86C11"/>
    <w:rsid w:val="00C90296"/>
    <w:rsid w:val="00C9145A"/>
    <w:rsid w:val="00C93789"/>
    <w:rsid w:val="00C951C5"/>
    <w:rsid w:val="00CA085E"/>
    <w:rsid w:val="00CA1198"/>
    <w:rsid w:val="00CA1B8A"/>
    <w:rsid w:val="00CA52DF"/>
    <w:rsid w:val="00CB0C3E"/>
    <w:rsid w:val="00CB2B41"/>
    <w:rsid w:val="00CB2C52"/>
    <w:rsid w:val="00CB6F46"/>
    <w:rsid w:val="00CB7D7A"/>
    <w:rsid w:val="00CB7DD9"/>
    <w:rsid w:val="00CC58F2"/>
    <w:rsid w:val="00CC744D"/>
    <w:rsid w:val="00CC7583"/>
    <w:rsid w:val="00CD0B93"/>
    <w:rsid w:val="00CD1958"/>
    <w:rsid w:val="00CD265E"/>
    <w:rsid w:val="00CD439C"/>
    <w:rsid w:val="00CD7049"/>
    <w:rsid w:val="00CD709D"/>
    <w:rsid w:val="00CE03A5"/>
    <w:rsid w:val="00CE1D9D"/>
    <w:rsid w:val="00CE42FC"/>
    <w:rsid w:val="00CE670C"/>
    <w:rsid w:val="00CF10C7"/>
    <w:rsid w:val="00CF5B37"/>
    <w:rsid w:val="00D00302"/>
    <w:rsid w:val="00D0060E"/>
    <w:rsid w:val="00D00CE5"/>
    <w:rsid w:val="00D03458"/>
    <w:rsid w:val="00D050F8"/>
    <w:rsid w:val="00D0527C"/>
    <w:rsid w:val="00D0611E"/>
    <w:rsid w:val="00D078E4"/>
    <w:rsid w:val="00D12F8D"/>
    <w:rsid w:val="00D13D12"/>
    <w:rsid w:val="00D172E3"/>
    <w:rsid w:val="00D17AEB"/>
    <w:rsid w:val="00D17B0A"/>
    <w:rsid w:val="00D205E9"/>
    <w:rsid w:val="00D21754"/>
    <w:rsid w:val="00D22AC4"/>
    <w:rsid w:val="00D23F8A"/>
    <w:rsid w:val="00D24FA7"/>
    <w:rsid w:val="00D251BD"/>
    <w:rsid w:val="00D2710D"/>
    <w:rsid w:val="00D27289"/>
    <w:rsid w:val="00D311B2"/>
    <w:rsid w:val="00D32173"/>
    <w:rsid w:val="00D33524"/>
    <w:rsid w:val="00D341F9"/>
    <w:rsid w:val="00D34CCE"/>
    <w:rsid w:val="00D37155"/>
    <w:rsid w:val="00D40633"/>
    <w:rsid w:val="00D408C7"/>
    <w:rsid w:val="00D418E1"/>
    <w:rsid w:val="00D438E7"/>
    <w:rsid w:val="00D43D67"/>
    <w:rsid w:val="00D45759"/>
    <w:rsid w:val="00D51B23"/>
    <w:rsid w:val="00D51DF8"/>
    <w:rsid w:val="00D52685"/>
    <w:rsid w:val="00D55E9B"/>
    <w:rsid w:val="00D56A27"/>
    <w:rsid w:val="00D61AE6"/>
    <w:rsid w:val="00D63094"/>
    <w:rsid w:val="00D64750"/>
    <w:rsid w:val="00D656CD"/>
    <w:rsid w:val="00D669E1"/>
    <w:rsid w:val="00D7141E"/>
    <w:rsid w:val="00D7269E"/>
    <w:rsid w:val="00D73C59"/>
    <w:rsid w:val="00D74244"/>
    <w:rsid w:val="00D75306"/>
    <w:rsid w:val="00D75393"/>
    <w:rsid w:val="00D75880"/>
    <w:rsid w:val="00D8078F"/>
    <w:rsid w:val="00D81F7E"/>
    <w:rsid w:val="00D83652"/>
    <w:rsid w:val="00D84E5D"/>
    <w:rsid w:val="00D86948"/>
    <w:rsid w:val="00D87328"/>
    <w:rsid w:val="00D8746E"/>
    <w:rsid w:val="00D911FE"/>
    <w:rsid w:val="00D91A03"/>
    <w:rsid w:val="00D92AE4"/>
    <w:rsid w:val="00D92E19"/>
    <w:rsid w:val="00D9343A"/>
    <w:rsid w:val="00D93B4D"/>
    <w:rsid w:val="00D94658"/>
    <w:rsid w:val="00D95C15"/>
    <w:rsid w:val="00DA01B0"/>
    <w:rsid w:val="00DA22B2"/>
    <w:rsid w:val="00DA282F"/>
    <w:rsid w:val="00DA35E3"/>
    <w:rsid w:val="00DA395E"/>
    <w:rsid w:val="00DA640C"/>
    <w:rsid w:val="00DA6694"/>
    <w:rsid w:val="00DB00D0"/>
    <w:rsid w:val="00DB0572"/>
    <w:rsid w:val="00DB0CC7"/>
    <w:rsid w:val="00DB2AA4"/>
    <w:rsid w:val="00DB3C1E"/>
    <w:rsid w:val="00DB623B"/>
    <w:rsid w:val="00DB68CB"/>
    <w:rsid w:val="00DB690B"/>
    <w:rsid w:val="00DB7E7E"/>
    <w:rsid w:val="00DC0852"/>
    <w:rsid w:val="00DC26C9"/>
    <w:rsid w:val="00DC2D20"/>
    <w:rsid w:val="00DC3366"/>
    <w:rsid w:val="00DC40A8"/>
    <w:rsid w:val="00DC4BCB"/>
    <w:rsid w:val="00DD1027"/>
    <w:rsid w:val="00DD207D"/>
    <w:rsid w:val="00DD385F"/>
    <w:rsid w:val="00DD3B43"/>
    <w:rsid w:val="00DD4550"/>
    <w:rsid w:val="00DD62C0"/>
    <w:rsid w:val="00DE1D40"/>
    <w:rsid w:val="00DE211C"/>
    <w:rsid w:val="00DE3D2F"/>
    <w:rsid w:val="00DE6913"/>
    <w:rsid w:val="00DF01F8"/>
    <w:rsid w:val="00DF522F"/>
    <w:rsid w:val="00DF5389"/>
    <w:rsid w:val="00DF65C9"/>
    <w:rsid w:val="00DF68C4"/>
    <w:rsid w:val="00DF70EA"/>
    <w:rsid w:val="00E00D2C"/>
    <w:rsid w:val="00E020F2"/>
    <w:rsid w:val="00E0351A"/>
    <w:rsid w:val="00E037C2"/>
    <w:rsid w:val="00E05F66"/>
    <w:rsid w:val="00E07DDC"/>
    <w:rsid w:val="00E07EC8"/>
    <w:rsid w:val="00E10FD0"/>
    <w:rsid w:val="00E145AC"/>
    <w:rsid w:val="00E14A70"/>
    <w:rsid w:val="00E14DAD"/>
    <w:rsid w:val="00E14E6B"/>
    <w:rsid w:val="00E15996"/>
    <w:rsid w:val="00E16150"/>
    <w:rsid w:val="00E16299"/>
    <w:rsid w:val="00E202BE"/>
    <w:rsid w:val="00E216A0"/>
    <w:rsid w:val="00E21876"/>
    <w:rsid w:val="00E21BE4"/>
    <w:rsid w:val="00E21CFE"/>
    <w:rsid w:val="00E224F1"/>
    <w:rsid w:val="00E23596"/>
    <w:rsid w:val="00E24117"/>
    <w:rsid w:val="00E260E8"/>
    <w:rsid w:val="00E26F7F"/>
    <w:rsid w:val="00E2702E"/>
    <w:rsid w:val="00E27E26"/>
    <w:rsid w:val="00E31DA2"/>
    <w:rsid w:val="00E31DF3"/>
    <w:rsid w:val="00E34D3B"/>
    <w:rsid w:val="00E358E6"/>
    <w:rsid w:val="00E36323"/>
    <w:rsid w:val="00E40B32"/>
    <w:rsid w:val="00E43DFD"/>
    <w:rsid w:val="00E44E36"/>
    <w:rsid w:val="00E453A9"/>
    <w:rsid w:val="00E46014"/>
    <w:rsid w:val="00E469E1"/>
    <w:rsid w:val="00E60352"/>
    <w:rsid w:val="00E605CA"/>
    <w:rsid w:val="00E61710"/>
    <w:rsid w:val="00E61A65"/>
    <w:rsid w:val="00E636AD"/>
    <w:rsid w:val="00E65418"/>
    <w:rsid w:val="00E654BF"/>
    <w:rsid w:val="00E65FBE"/>
    <w:rsid w:val="00E67495"/>
    <w:rsid w:val="00E70248"/>
    <w:rsid w:val="00E70979"/>
    <w:rsid w:val="00E70CAF"/>
    <w:rsid w:val="00E75683"/>
    <w:rsid w:val="00E77100"/>
    <w:rsid w:val="00E7770F"/>
    <w:rsid w:val="00E80D04"/>
    <w:rsid w:val="00E80FAA"/>
    <w:rsid w:val="00E83CBB"/>
    <w:rsid w:val="00E847B4"/>
    <w:rsid w:val="00E86310"/>
    <w:rsid w:val="00E87CDA"/>
    <w:rsid w:val="00E95E6C"/>
    <w:rsid w:val="00E96A48"/>
    <w:rsid w:val="00EA068B"/>
    <w:rsid w:val="00EA2C49"/>
    <w:rsid w:val="00EA3303"/>
    <w:rsid w:val="00EA4EC6"/>
    <w:rsid w:val="00EA6475"/>
    <w:rsid w:val="00EA7CEF"/>
    <w:rsid w:val="00EB01DA"/>
    <w:rsid w:val="00EB2685"/>
    <w:rsid w:val="00EB3704"/>
    <w:rsid w:val="00EB4CA8"/>
    <w:rsid w:val="00EB6D52"/>
    <w:rsid w:val="00EC2C97"/>
    <w:rsid w:val="00EC34EF"/>
    <w:rsid w:val="00EC4E59"/>
    <w:rsid w:val="00EC6707"/>
    <w:rsid w:val="00EC7255"/>
    <w:rsid w:val="00EC73D1"/>
    <w:rsid w:val="00EC76D2"/>
    <w:rsid w:val="00ED0399"/>
    <w:rsid w:val="00ED1F45"/>
    <w:rsid w:val="00ED521E"/>
    <w:rsid w:val="00EE25E4"/>
    <w:rsid w:val="00EE2FDA"/>
    <w:rsid w:val="00EE327C"/>
    <w:rsid w:val="00EE3DC8"/>
    <w:rsid w:val="00EE4559"/>
    <w:rsid w:val="00EE6254"/>
    <w:rsid w:val="00EF0920"/>
    <w:rsid w:val="00EF18D4"/>
    <w:rsid w:val="00EF2312"/>
    <w:rsid w:val="00EF2540"/>
    <w:rsid w:val="00EF2675"/>
    <w:rsid w:val="00EF4DDA"/>
    <w:rsid w:val="00EF7952"/>
    <w:rsid w:val="00EF7A5F"/>
    <w:rsid w:val="00EF7C16"/>
    <w:rsid w:val="00F0272F"/>
    <w:rsid w:val="00F07178"/>
    <w:rsid w:val="00F07D4A"/>
    <w:rsid w:val="00F10144"/>
    <w:rsid w:val="00F10B6F"/>
    <w:rsid w:val="00F155D3"/>
    <w:rsid w:val="00F15A8B"/>
    <w:rsid w:val="00F1729D"/>
    <w:rsid w:val="00F20182"/>
    <w:rsid w:val="00F21EF0"/>
    <w:rsid w:val="00F2298B"/>
    <w:rsid w:val="00F239A9"/>
    <w:rsid w:val="00F24877"/>
    <w:rsid w:val="00F26014"/>
    <w:rsid w:val="00F26C6D"/>
    <w:rsid w:val="00F276AF"/>
    <w:rsid w:val="00F30630"/>
    <w:rsid w:val="00F30B88"/>
    <w:rsid w:val="00F321A0"/>
    <w:rsid w:val="00F333E8"/>
    <w:rsid w:val="00F36754"/>
    <w:rsid w:val="00F40258"/>
    <w:rsid w:val="00F409B9"/>
    <w:rsid w:val="00F41159"/>
    <w:rsid w:val="00F41A08"/>
    <w:rsid w:val="00F42910"/>
    <w:rsid w:val="00F43B28"/>
    <w:rsid w:val="00F51958"/>
    <w:rsid w:val="00F52E2C"/>
    <w:rsid w:val="00F54AC5"/>
    <w:rsid w:val="00F562C6"/>
    <w:rsid w:val="00F570CB"/>
    <w:rsid w:val="00F610C5"/>
    <w:rsid w:val="00F61638"/>
    <w:rsid w:val="00F61659"/>
    <w:rsid w:val="00F644DA"/>
    <w:rsid w:val="00F74DB1"/>
    <w:rsid w:val="00F75D34"/>
    <w:rsid w:val="00F843D0"/>
    <w:rsid w:val="00F8483E"/>
    <w:rsid w:val="00F85A31"/>
    <w:rsid w:val="00F86F3A"/>
    <w:rsid w:val="00F901FA"/>
    <w:rsid w:val="00F907DB"/>
    <w:rsid w:val="00F91C2E"/>
    <w:rsid w:val="00F92E39"/>
    <w:rsid w:val="00F93450"/>
    <w:rsid w:val="00F936A0"/>
    <w:rsid w:val="00F93726"/>
    <w:rsid w:val="00F93CCE"/>
    <w:rsid w:val="00F957D3"/>
    <w:rsid w:val="00F96437"/>
    <w:rsid w:val="00F9646F"/>
    <w:rsid w:val="00F9679A"/>
    <w:rsid w:val="00FA202A"/>
    <w:rsid w:val="00FA489E"/>
    <w:rsid w:val="00FA6FDA"/>
    <w:rsid w:val="00FB0E15"/>
    <w:rsid w:val="00FB2D2D"/>
    <w:rsid w:val="00FB45E5"/>
    <w:rsid w:val="00FB5EBE"/>
    <w:rsid w:val="00FB67A6"/>
    <w:rsid w:val="00FB6A2A"/>
    <w:rsid w:val="00FB7514"/>
    <w:rsid w:val="00FC00C5"/>
    <w:rsid w:val="00FC0749"/>
    <w:rsid w:val="00FC1D43"/>
    <w:rsid w:val="00FC2277"/>
    <w:rsid w:val="00FD0778"/>
    <w:rsid w:val="00FD0A3F"/>
    <w:rsid w:val="00FD3A99"/>
    <w:rsid w:val="00FD5A15"/>
    <w:rsid w:val="00FD5D63"/>
    <w:rsid w:val="00FD6316"/>
    <w:rsid w:val="00FD672B"/>
    <w:rsid w:val="00FD69F7"/>
    <w:rsid w:val="00FE07EB"/>
    <w:rsid w:val="00FE1235"/>
    <w:rsid w:val="00FE13EA"/>
    <w:rsid w:val="00FE28D5"/>
    <w:rsid w:val="00FE2DD9"/>
    <w:rsid w:val="00FE4272"/>
    <w:rsid w:val="00FE44C3"/>
    <w:rsid w:val="00FE53B8"/>
    <w:rsid w:val="00FE603C"/>
    <w:rsid w:val="00FE649E"/>
    <w:rsid w:val="00FE68C9"/>
    <w:rsid w:val="00FE7C32"/>
    <w:rsid w:val="00FF293F"/>
    <w:rsid w:val="00FF29F4"/>
    <w:rsid w:val="00FF3134"/>
    <w:rsid w:val="00FF3A1F"/>
    <w:rsid w:val="00FF4223"/>
    <w:rsid w:val="00FF425C"/>
    <w:rsid w:val="00FF4BA3"/>
    <w:rsid w:val="00FF66C1"/>
    <w:rsid w:val="00FF7B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85F6"/>
  <w15:chartTrackingRefBased/>
  <w15:docId w15:val="{E1B3FDE7-E9C2-4D66-BD50-02F77AF9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paragraph" w:styleId="Heading2">
    <w:name w:val="heading 2"/>
    <w:basedOn w:val="Normal"/>
    <w:link w:val="Heading2Char"/>
    <w:uiPriority w:val="9"/>
    <w:qFormat/>
    <w:rsid w:val="001915FB"/>
    <w:pPr>
      <w:spacing w:before="100" w:beforeAutospacing="1" w:after="100" w:afterAutospacing="1" w:line="240" w:lineRule="auto"/>
      <w:ind w:left="0"/>
      <w:jc w:val="left"/>
      <w:outlineLvl w:val="1"/>
    </w:pPr>
    <w:rPr>
      <w:rFonts w:ascii="Times New Roman" w:eastAsia="Times New Roman" w:hAnsi="Times New Roman" w:cs="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Header">
    <w:name w:val="header"/>
    <w:basedOn w:val="Normal"/>
    <w:link w:val="HeaderChar"/>
    <w:uiPriority w:val="99"/>
    <w:unhideWhenUsed/>
    <w:rsid w:val="00E46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E1"/>
    <w:rPr>
      <w:rFonts w:ascii="Arial" w:hAnsi="Arial"/>
      <w:sz w:val="24"/>
      <w:lang w:val="en-GB"/>
    </w:rPr>
  </w:style>
  <w:style w:type="paragraph" w:styleId="Footer">
    <w:name w:val="footer"/>
    <w:basedOn w:val="Normal"/>
    <w:link w:val="FooterChar"/>
    <w:uiPriority w:val="99"/>
    <w:unhideWhenUsed/>
    <w:rsid w:val="00E46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E1"/>
    <w:rPr>
      <w:rFonts w:ascii="Arial" w:hAnsi="Arial"/>
      <w:sz w:val="24"/>
      <w:lang w:val="en-GB"/>
    </w:rPr>
  </w:style>
  <w:style w:type="paragraph" w:styleId="FootnoteText">
    <w:name w:val="footnote text"/>
    <w:basedOn w:val="Normal"/>
    <w:link w:val="FootnoteTextChar"/>
    <w:uiPriority w:val="99"/>
    <w:unhideWhenUsed/>
    <w:rsid w:val="002B5183"/>
    <w:pPr>
      <w:spacing w:after="0" w:line="240" w:lineRule="auto"/>
    </w:pPr>
    <w:rPr>
      <w:sz w:val="20"/>
      <w:szCs w:val="20"/>
    </w:rPr>
  </w:style>
  <w:style w:type="character" w:customStyle="1" w:styleId="FootnoteTextChar">
    <w:name w:val="Footnote Text Char"/>
    <w:basedOn w:val="DefaultParagraphFont"/>
    <w:link w:val="FootnoteText"/>
    <w:uiPriority w:val="99"/>
    <w:rsid w:val="002B5183"/>
    <w:rPr>
      <w:rFonts w:ascii="Arial" w:hAnsi="Arial"/>
      <w:sz w:val="20"/>
      <w:szCs w:val="20"/>
      <w:lang w:val="en-GB"/>
    </w:rPr>
  </w:style>
  <w:style w:type="character" w:styleId="FootnoteReference">
    <w:name w:val="footnote reference"/>
    <w:basedOn w:val="DefaultParagraphFont"/>
    <w:uiPriority w:val="99"/>
    <w:semiHidden/>
    <w:unhideWhenUsed/>
    <w:rsid w:val="002B5183"/>
    <w:rPr>
      <w:vertAlign w:val="superscript"/>
    </w:rPr>
  </w:style>
  <w:style w:type="paragraph" w:styleId="ListParagraph">
    <w:name w:val="List Paragraph"/>
    <w:basedOn w:val="Normal"/>
    <w:uiPriority w:val="34"/>
    <w:qFormat/>
    <w:rsid w:val="003A6CE1"/>
    <w:pPr>
      <w:ind w:left="720"/>
      <w:contextualSpacing/>
    </w:pPr>
  </w:style>
  <w:style w:type="paragraph" w:styleId="NormalWeb">
    <w:name w:val="Normal (Web)"/>
    <w:basedOn w:val="Normal"/>
    <w:uiPriority w:val="99"/>
    <w:unhideWhenUsed/>
    <w:rsid w:val="00477928"/>
    <w:pPr>
      <w:spacing w:before="100" w:beforeAutospacing="1" w:after="100" w:afterAutospacing="1" w:line="240" w:lineRule="auto"/>
      <w:ind w:left="0"/>
      <w:jc w:val="left"/>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9C6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01C"/>
    <w:rPr>
      <w:rFonts w:ascii="Segoe UI" w:hAnsi="Segoe UI" w:cs="Segoe UI"/>
      <w:sz w:val="18"/>
      <w:szCs w:val="18"/>
      <w:lang w:val="en-GB"/>
    </w:rPr>
  </w:style>
  <w:style w:type="character" w:styleId="CommentReference">
    <w:name w:val="annotation reference"/>
    <w:basedOn w:val="DefaultParagraphFont"/>
    <w:uiPriority w:val="99"/>
    <w:semiHidden/>
    <w:unhideWhenUsed/>
    <w:rsid w:val="00EE25E4"/>
    <w:rPr>
      <w:sz w:val="16"/>
      <w:szCs w:val="16"/>
    </w:rPr>
  </w:style>
  <w:style w:type="paragraph" w:styleId="CommentText">
    <w:name w:val="annotation text"/>
    <w:basedOn w:val="Normal"/>
    <w:link w:val="CommentTextChar"/>
    <w:uiPriority w:val="99"/>
    <w:semiHidden/>
    <w:unhideWhenUsed/>
    <w:rsid w:val="00EE25E4"/>
    <w:pPr>
      <w:spacing w:line="240" w:lineRule="auto"/>
    </w:pPr>
    <w:rPr>
      <w:sz w:val="20"/>
      <w:szCs w:val="20"/>
    </w:rPr>
  </w:style>
  <w:style w:type="character" w:customStyle="1" w:styleId="CommentTextChar">
    <w:name w:val="Comment Text Char"/>
    <w:basedOn w:val="DefaultParagraphFont"/>
    <w:link w:val="CommentText"/>
    <w:uiPriority w:val="99"/>
    <w:semiHidden/>
    <w:rsid w:val="00EE25E4"/>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EE25E4"/>
    <w:rPr>
      <w:b/>
      <w:bCs/>
    </w:rPr>
  </w:style>
  <w:style w:type="character" w:customStyle="1" w:styleId="CommentSubjectChar">
    <w:name w:val="Comment Subject Char"/>
    <w:basedOn w:val="CommentTextChar"/>
    <w:link w:val="CommentSubject"/>
    <w:uiPriority w:val="99"/>
    <w:semiHidden/>
    <w:rsid w:val="00EE25E4"/>
    <w:rPr>
      <w:rFonts w:ascii="Arial" w:hAnsi="Arial"/>
      <w:b/>
      <w:bCs/>
      <w:sz w:val="20"/>
      <w:szCs w:val="20"/>
      <w:lang w:val="en-GB"/>
    </w:rPr>
  </w:style>
  <w:style w:type="character" w:styleId="Hyperlink">
    <w:name w:val="Hyperlink"/>
    <w:basedOn w:val="DefaultParagraphFont"/>
    <w:uiPriority w:val="99"/>
    <w:unhideWhenUsed/>
    <w:rsid w:val="00EB4CA8"/>
    <w:rPr>
      <w:color w:val="0000FF"/>
      <w:u w:val="single"/>
    </w:rPr>
  </w:style>
  <w:style w:type="character" w:customStyle="1" w:styleId="Heading2Char">
    <w:name w:val="Heading 2 Char"/>
    <w:basedOn w:val="DefaultParagraphFont"/>
    <w:link w:val="Heading2"/>
    <w:uiPriority w:val="9"/>
    <w:rsid w:val="001915FB"/>
    <w:rPr>
      <w:rFonts w:ascii="Times New Roman" w:eastAsia="Times New Roman" w:hAnsi="Times New Roman" w:cs="Times New Roman"/>
      <w:b/>
      <w:bCs/>
      <w:sz w:val="36"/>
      <w:szCs w:val="36"/>
      <w:lang w:eastAsia="en-ZA"/>
    </w:rPr>
  </w:style>
  <w:style w:type="character" w:styleId="FollowedHyperlink">
    <w:name w:val="FollowedHyperlink"/>
    <w:basedOn w:val="DefaultParagraphFont"/>
    <w:uiPriority w:val="99"/>
    <w:semiHidden/>
    <w:unhideWhenUsed/>
    <w:rsid w:val="001915FB"/>
    <w:rPr>
      <w:color w:val="954F72" w:themeColor="followedHyperlink"/>
      <w:u w:val="single"/>
    </w:rPr>
  </w:style>
  <w:style w:type="paragraph" w:customStyle="1" w:styleId="Default">
    <w:name w:val="Default"/>
    <w:rsid w:val="005262E3"/>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n-Z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0924">
      <w:bodyDiv w:val="1"/>
      <w:marLeft w:val="0"/>
      <w:marRight w:val="0"/>
      <w:marTop w:val="0"/>
      <w:marBottom w:val="0"/>
      <w:divBdr>
        <w:top w:val="none" w:sz="0" w:space="0" w:color="auto"/>
        <w:left w:val="none" w:sz="0" w:space="0" w:color="auto"/>
        <w:bottom w:val="none" w:sz="0" w:space="0" w:color="auto"/>
        <w:right w:val="none" w:sz="0" w:space="0" w:color="auto"/>
      </w:divBdr>
    </w:div>
    <w:div w:id="308478107">
      <w:bodyDiv w:val="1"/>
      <w:marLeft w:val="0"/>
      <w:marRight w:val="0"/>
      <w:marTop w:val="0"/>
      <w:marBottom w:val="0"/>
      <w:divBdr>
        <w:top w:val="none" w:sz="0" w:space="0" w:color="auto"/>
        <w:left w:val="none" w:sz="0" w:space="0" w:color="auto"/>
        <w:bottom w:val="none" w:sz="0" w:space="0" w:color="auto"/>
        <w:right w:val="none" w:sz="0" w:space="0" w:color="auto"/>
      </w:divBdr>
      <w:divsChild>
        <w:div w:id="1736316143">
          <w:marLeft w:val="0"/>
          <w:marRight w:val="0"/>
          <w:marTop w:val="0"/>
          <w:marBottom w:val="0"/>
          <w:divBdr>
            <w:top w:val="none" w:sz="0" w:space="0" w:color="auto"/>
            <w:left w:val="none" w:sz="0" w:space="0" w:color="auto"/>
            <w:bottom w:val="none" w:sz="0" w:space="0" w:color="auto"/>
            <w:right w:val="none" w:sz="0" w:space="0" w:color="auto"/>
          </w:divBdr>
          <w:divsChild>
            <w:div w:id="945231986">
              <w:marLeft w:val="0"/>
              <w:marRight w:val="0"/>
              <w:marTop w:val="0"/>
              <w:marBottom w:val="0"/>
              <w:divBdr>
                <w:top w:val="none" w:sz="0" w:space="0" w:color="auto"/>
                <w:left w:val="none" w:sz="0" w:space="0" w:color="auto"/>
                <w:bottom w:val="none" w:sz="0" w:space="0" w:color="auto"/>
                <w:right w:val="none" w:sz="0" w:space="0" w:color="auto"/>
              </w:divBdr>
              <w:divsChild>
                <w:div w:id="16130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154778">
      <w:bodyDiv w:val="1"/>
      <w:marLeft w:val="0"/>
      <w:marRight w:val="0"/>
      <w:marTop w:val="0"/>
      <w:marBottom w:val="0"/>
      <w:divBdr>
        <w:top w:val="none" w:sz="0" w:space="0" w:color="auto"/>
        <w:left w:val="none" w:sz="0" w:space="0" w:color="auto"/>
        <w:bottom w:val="none" w:sz="0" w:space="0" w:color="auto"/>
        <w:right w:val="none" w:sz="0" w:space="0" w:color="auto"/>
      </w:divBdr>
    </w:div>
    <w:div w:id="413402007">
      <w:bodyDiv w:val="1"/>
      <w:marLeft w:val="0"/>
      <w:marRight w:val="0"/>
      <w:marTop w:val="0"/>
      <w:marBottom w:val="0"/>
      <w:divBdr>
        <w:top w:val="none" w:sz="0" w:space="0" w:color="auto"/>
        <w:left w:val="none" w:sz="0" w:space="0" w:color="auto"/>
        <w:bottom w:val="none" w:sz="0" w:space="0" w:color="auto"/>
        <w:right w:val="none" w:sz="0" w:space="0" w:color="auto"/>
      </w:divBdr>
      <w:divsChild>
        <w:div w:id="308486307">
          <w:marLeft w:val="0"/>
          <w:marRight w:val="0"/>
          <w:marTop w:val="0"/>
          <w:marBottom w:val="0"/>
          <w:divBdr>
            <w:top w:val="none" w:sz="0" w:space="0" w:color="auto"/>
            <w:left w:val="none" w:sz="0" w:space="0" w:color="auto"/>
            <w:bottom w:val="none" w:sz="0" w:space="0" w:color="auto"/>
            <w:right w:val="none" w:sz="0" w:space="0" w:color="auto"/>
          </w:divBdr>
          <w:divsChild>
            <w:div w:id="1255505916">
              <w:marLeft w:val="0"/>
              <w:marRight w:val="0"/>
              <w:marTop w:val="0"/>
              <w:marBottom w:val="0"/>
              <w:divBdr>
                <w:top w:val="none" w:sz="0" w:space="0" w:color="auto"/>
                <w:left w:val="none" w:sz="0" w:space="0" w:color="auto"/>
                <w:bottom w:val="none" w:sz="0" w:space="0" w:color="auto"/>
                <w:right w:val="none" w:sz="0" w:space="0" w:color="auto"/>
              </w:divBdr>
              <w:divsChild>
                <w:div w:id="4246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2864">
      <w:bodyDiv w:val="1"/>
      <w:marLeft w:val="0"/>
      <w:marRight w:val="0"/>
      <w:marTop w:val="0"/>
      <w:marBottom w:val="0"/>
      <w:divBdr>
        <w:top w:val="none" w:sz="0" w:space="0" w:color="auto"/>
        <w:left w:val="none" w:sz="0" w:space="0" w:color="auto"/>
        <w:bottom w:val="none" w:sz="0" w:space="0" w:color="auto"/>
        <w:right w:val="none" w:sz="0" w:space="0" w:color="auto"/>
      </w:divBdr>
      <w:divsChild>
        <w:div w:id="1028142438">
          <w:marLeft w:val="0"/>
          <w:marRight w:val="0"/>
          <w:marTop w:val="0"/>
          <w:marBottom w:val="0"/>
          <w:divBdr>
            <w:top w:val="none" w:sz="0" w:space="0" w:color="auto"/>
            <w:left w:val="none" w:sz="0" w:space="0" w:color="auto"/>
            <w:bottom w:val="none" w:sz="0" w:space="0" w:color="auto"/>
            <w:right w:val="none" w:sz="0" w:space="0" w:color="auto"/>
          </w:divBdr>
          <w:divsChild>
            <w:div w:id="1448506604">
              <w:marLeft w:val="0"/>
              <w:marRight w:val="0"/>
              <w:marTop w:val="0"/>
              <w:marBottom w:val="0"/>
              <w:divBdr>
                <w:top w:val="none" w:sz="0" w:space="0" w:color="auto"/>
                <w:left w:val="none" w:sz="0" w:space="0" w:color="auto"/>
                <w:bottom w:val="none" w:sz="0" w:space="0" w:color="auto"/>
                <w:right w:val="none" w:sz="0" w:space="0" w:color="auto"/>
              </w:divBdr>
              <w:divsChild>
                <w:div w:id="8309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32125">
      <w:bodyDiv w:val="1"/>
      <w:marLeft w:val="0"/>
      <w:marRight w:val="0"/>
      <w:marTop w:val="0"/>
      <w:marBottom w:val="0"/>
      <w:divBdr>
        <w:top w:val="none" w:sz="0" w:space="0" w:color="auto"/>
        <w:left w:val="none" w:sz="0" w:space="0" w:color="auto"/>
        <w:bottom w:val="none" w:sz="0" w:space="0" w:color="auto"/>
        <w:right w:val="none" w:sz="0" w:space="0" w:color="auto"/>
      </w:divBdr>
      <w:divsChild>
        <w:div w:id="1509906870">
          <w:marLeft w:val="0"/>
          <w:marRight w:val="0"/>
          <w:marTop w:val="0"/>
          <w:marBottom w:val="0"/>
          <w:divBdr>
            <w:top w:val="none" w:sz="0" w:space="0" w:color="auto"/>
            <w:left w:val="none" w:sz="0" w:space="0" w:color="auto"/>
            <w:bottom w:val="none" w:sz="0" w:space="0" w:color="auto"/>
            <w:right w:val="none" w:sz="0" w:space="0" w:color="auto"/>
          </w:divBdr>
          <w:divsChild>
            <w:div w:id="1131292159">
              <w:marLeft w:val="0"/>
              <w:marRight w:val="0"/>
              <w:marTop w:val="0"/>
              <w:marBottom w:val="0"/>
              <w:divBdr>
                <w:top w:val="none" w:sz="0" w:space="0" w:color="auto"/>
                <w:left w:val="none" w:sz="0" w:space="0" w:color="auto"/>
                <w:bottom w:val="none" w:sz="0" w:space="0" w:color="auto"/>
                <w:right w:val="none" w:sz="0" w:space="0" w:color="auto"/>
              </w:divBdr>
              <w:divsChild>
                <w:div w:id="1622766749">
                  <w:marLeft w:val="0"/>
                  <w:marRight w:val="0"/>
                  <w:marTop w:val="0"/>
                  <w:marBottom w:val="0"/>
                  <w:divBdr>
                    <w:top w:val="none" w:sz="0" w:space="0" w:color="auto"/>
                    <w:left w:val="none" w:sz="0" w:space="0" w:color="auto"/>
                    <w:bottom w:val="none" w:sz="0" w:space="0" w:color="auto"/>
                    <w:right w:val="none" w:sz="0" w:space="0" w:color="auto"/>
                  </w:divBdr>
                </w:div>
              </w:divsChild>
            </w:div>
            <w:div w:id="1131559769">
              <w:marLeft w:val="0"/>
              <w:marRight w:val="0"/>
              <w:marTop w:val="0"/>
              <w:marBottom w:val="0"/>
              <w:divBdr>
                <w:top w:val="none" w:sz="0" w:space="0" w:color="auto"/>
                <w:left w:val="none" w:sz="0" w:space="0" w:color="auto"/>
                <w:bottom w:val="none" w:sz="0" w:space="0" w:color="auto"/>
                <w:right w:val="none" w:sz="0" w:space="0" w:color="auto"/>
              </w:divBdr>
              <w:divsChild>
                <w:div w:id="1252861359">
                  <w:marLeft w:val="0"/>
                  <w:marRight w:val="0"/>
                  <w:marTop w:val="0"/>
                  <w:marBottom w:val="0"/>
                  <w:divBdr>
                    <w:top w:val="none" w:sz="0" w:space="0" w:color="auto"/>
                    <w:left w:val="none" w:sz="0" w:space="0" w:color="auto"/>
                    <w:bottom w:val="none" w:sz="0" w:space="0" w:color="auto"/>
                    <w:right w:val="none" w:sz="0" w:space="0" w:color="auto"/>
                  </w:divBdr>
                </w:div>
              </w:divsChild>
            </w:div>
            <w:div w:id="1145246220">
              <w:marLeft w:val="0"/>
              <w:marRight w:val="0"/>
              <w:marTop w:val="0"/>
              <w:marBottom w:val="0"/>
              <w:divBdr>
                <w:top w:val="none" w:sz="0" w:space="0" w:color="auto"/>
                <w:left w:val="none" w:sz="0" w:space="0" w:color="auto"/>
                <w:bottom w:val="none" w:sz="0" w:space="0" w:color="auto"/>
                <w:right w:val="none" w:sz="0" w:space="0" w:color="auto"/>
              </w:divBdr>
              <w:divsChild>
                <w:div w:id="10521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65388">
      <w:bodyDiv w:val="1"/>
      <w:marLeft w:val="0"/>
      <w:marRight w:val="0"/>
      <w:marTop w:val="0"/>
      <w:marBottom w:val="0"/>
      <w:divBdr>
        <w:top w:val="none" w:sz="0" w:space="0" w:color="auto"/>
        <w:left w:val="none" w:sz="0" w:space="0" w:color="auto"/>
        <w:bottom w:val="none" w:sz="0" w:space="0" w:color="auto"/>
        <w:right w:val="none" w:sz="0" w:space="0" w:color="auto"/>
      </w:divBdr>
    </w:div>
    <w:div w:id="1162695484">
      <w:bodyDiv w:val="1"/>
      <w:marLeft w:val="0"/>
      <w:marRight w:val="0"/>
      <w:marTop w:val="0"/>
      <w:marBottom w:val="0"/>
      <w:divBdr>
        <w:top w:val="none" w:sz="0" w:space="0" w:color="auto"/>
        <w:left w:val="none" w:sz="0" w:space="0" w:color="auto"/>
        <w:bottom w:val="none" w:sz="0" w:space="0" w:color="auto"/>
        <w:right w:val="none" w:sz="0" w:space="0" w:color="auto"/>
      </w:divBdr>
    </w:div>
    <w:div w:id="1169294955">
      <w:bodyDiv w:val="1"/>
      <w:marLeft w:val="0"/>
      <w:marRight w:val="0"/>
      <w:marTop w:val="0"/>
      <w:marBottom w:val="0"/>
      <w:divBdr>
        <w:top w:val="none" w:sz="0" w:space="0" w:color="auto"/>
        <w:left w:val="none" w:sz="0" w:space="0" w:color="auto"/>
        <w:bottom w:val="none" w:sz="0" w:space="0" w:color="auto"/>
        <w:right w:val="none" w:sz="0" w:space="0" w:color="auto"/>
      </w:divBdr>
    </w:div>
    <w:div w:id="1278290409">
      <w:bodyDiv w:val="1"/>
      <w:marLeft w:val="0"/>
      <w:marRight w:val="0"/>
      <w:marTop w:val="0"/>
      <w:marBottom w:val="0"/>
      <w:divBdr>
        <w:top w:val="none" w:sz="0" w:space="0" w:color="auto"/>
        <w:left w:val="none" w:sz="0" w:space="0" w:color="auto"/>
        <w:bottom w:val="none" w:sz="0" w:space="0" w:color="auto"/>
        <w:right w:val="none" w:sz="0" w:space="0" w:color="auto"/>
      </w:divBdr>
    </w:div>
    <w:div w:id="1351761903">
      <w:bodyDiv w:val="1"/>
      <w:marLeft w:val="0"/>
      <w:marRight w:val="0"/>
      <w:marTop w:val="0"/>
      <w:marBottom w:val="0"/>
      <w:divBdr>
        <w:top w:val="none" w:sz="0" w:space="0" w:color="auto"/>
        <w:left w:val="none" w:sz="0" w:space="0" w:color="auto"/>
        <w:bottom w:val="none" w:sz="0" w:space="0" w:color="auto"/>
        <w:right w:val="none" w:sz="0" w:space="0" w:color="auto"/>
      </w:divBdr>
    </w:div>
    <w:div w:id="1401296250">
      <w:bodyDiv w:val="1"/>
      <w:marLeft w:val="0"/>
      <w:marRight w:val="0"/>
      <w:marTop w:val="0"/>
      <w:marBottom w:val="0"/>
      <w:divBdr>
        <w:top w:val="none" w:sz="0" w:space="0" w:color="auto"/>
        <w:left w:val="none" w:sz="0" w:space="0" w:color="auto"/>
        <w:bottom w:val="none" w:sz="0" w:space="0" w:color="auto"/>
        <w:right w:val="none" w:sz="0" w:space="0" w:color="auto"/>
      </w:divBdr>
    </w:div>
    <w:div w:id="1422606728">
      <w:bodyDiv w:val="1"/>
      <w:marLeft w:val="0"/>
      <w:marRight w:val="0"/>
      <w:marTop w:val="0"/>
      <w:marBottom w:val="0"/>
      <w:divBdr>
        <w:top w:val="none" w:sz="0" w:space="0" w:color="auto"/>
        <w:left w:val="none" w:sz="0" w:space="0" w:color="auto"/>
        <w:bottom w:val="none" w:sz="0" w:space="0" w:color="auto"/>
        <w:right w:val="none" w:sz="0" w:space="0" w:color="auto"/>
      </w:divBdr>
    </w:div>
    <w:div w:id="1474255006">
      <w:bodyDiv w:val="1"/>
      <w:marLeft w:val="0"/>
      <w:marRight w:val="0"/>
      <w:marTop w:val="0"/>
      <w:marBottom w:val="0"/>
      <w:divBdr>
        <w:top w:val="none" w:sz="0" w:space="0" w:color="auto"/>
        <w:left w:val="none" w:sz="0" w:space="0" w:color="auto"/>
        <w:bottom w:val="none" w:sz="0" w:space="0" w:color="auto"/>
        <w:right w:val="none" w:sz="0" w:space="0" w:color="auto"/>
      </w:divBdr>
      <w:divsChild>
        <w:div w:id="26221615">
          <w:marLeft w:val="0"/>
          <w:marRight w:val="0"/>
          <w:marTop w:val="0"/>
          <w:marBottom w:val="0"/>
          <w:divBdr>
            <w:top w:val="none" w:sz="0" w:space="0" w:color="auto"/>
            <w:left w:val="none" w:sz="0" w:space="0" w:color="auto"/>
            <w:bottom w:val="none" w:sz="0" w:space="0" w:color="auto"/>
            <w:right w:val="none" w:sz="0" w:space="0" w:color="auto"/>
          </w:divBdr>
          <w:divsChild>
            <w:div w:id="227040606">
              <w:marLeft w:val="0"/>
              <w:marRight w:val="0"/>
              <w:marTop w:val="0"/>
              <w:marBottom w:val="0"/>
              <w:divBdr>
                <w:top w:val="none" w:sz="0" w:space="0" w:color="auto"/>
                <w:left w:val="none" w:sz="0" w:space="0" w:color="auto"/>
                <w:bottom w:val="none" w:sz="0" w:space="0" w:color="auto"/>
                <w:right w:val="none" w:sz="0" w:space="0" w:color="auto"/>
              </w:divBdr>
              <w:divsChild>
                <w:div w:id="232282309">
                  <w:marLeft w:val="0"/>
                  <w:marRight w:val="0"/>
                  <w:marTop w:val="0"/>
                  <w:marBottom w:val="0"/>
                  <w:divBdr>
                    <w:top w:val="none" w:sz="0" w:space="0" w:color="auto"/>
                    <w:left w:val="none" w:sz="0" w:space="0" w:color="auto"/>
                    <w:bottom w:val="none" w:sz="0" w:space="0" w:color="auto"/>
                    <w:right w:val="none" w:sz="0" w:space="0" w:color="auto"/>
                  </w:divBdr>
                  <w:divsChild>
                    <w:div w:id="926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053291">
      <w:bodyDiv w:val="1"/>
      <w:marLeft w:val="0"/>
      <w:marRight w:val="0"/>
      <w:marTop w:val="0"/>
      <w:marBottom w:val="0"/>
      <w:divBdr>
        <w:top w:val="none" w:sz="0" w:space="0" w:color="auto"/>
        <w:left w:val="none" w:sz="0" w:space="0" w:color="auto"/>
        <w:bottom w:val="none" w:sz="0" w:space="0" w:color="auto"/>
        <w:right w:val="none" w:sz="0" w:space="0" w:color="auto"/>
      </w:divBdr>
      <w:divsChild>
        <w:div w:id="1425951418">
          <w:marLeft w:val="0"/>
          <w:marRight w:val="0"/>
          <w:marTop w:val="0"/>
          <w:marBottom w:val="0"/>
          <w:divBdr>
            <w:top w:val="none" w:sz="0" w:space="0" w:color="auto"/>
            <w:left w:val="none" w:sz="0" w:space="0" w:color="auto"/>
            <w:bottom w:val="none" w:sz="0" w:space="0" w:color="auto"/>
            <w:right w:val="none" w:sz="0" w:space="0" w:color="auto"/>
          </w:divBdr>
          <w:divsChild>
            <w:div w:id="1785539179">
              <w:marLeft w:val="0"/>
              <w:marRight w:val="0"/>
              <w:marTop w:val="0"/>
              <w:marBottom w:val="0"/>
              <w:divBdr>
                <w:top w:val="none" w:sz="0" w:space="0" w:color="auto"/>
                <w:left w:val="none" w:sz="0" w:space="0" w:color="auto"/>
                <w:bottom w:val="none" w:sz="0" w:space="0" w:color="auto"/>
                <w:right w:val="none" w:sz="0" w:space="0" w:color="auto"/>
              </w:divBdr>
              <w:divsChild>
                <w:div w:id="14792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5563">
      <w:bodyDiv w:val="1"/>
      <w:marLeft w:val="0"/>
      <w:marRight w:val="0"/>
      <w:marTop w:val="0"/>
      <w:marBottom w:val="0"/>
      <w:divBdr>
        <w:top w:val="none" w:sz="0" w:space="0" w:color="auto"/>
        <w:left w:val="none" w:sz="0" w:space="0" w:color="auto"/>
        <w:bottom w:val="none" w:sz="0" w:space="0" w:color="auto"/>
        <w:right w:val="none" w:sz="0" w:space="0" w:color="auto"/>
      </w:divBdr>
    </w:div>
    <w:div w:id="1877351326">
      <w:bodyDiv w:val="1"/>
      <w:marLeft w:val="0"/>
      <w:marRight w:val="0"/>
      <w:marTop w:val="0"/>
      <w:marBottom w:val="0"/>
      <w:divBdr>
        <w:top w:val="none" w:sz="0" w:space="0" w:color="auto"/>
        <w:left w:val="none" w:sz="0" w:space="0" w:color="auto"/>
        <w:bottom w:val="none" w:sz="0" w:space="0" w:color="auto"/>
        <w:right w:val="none" w:sz="0" w:space="0" w:color="auto"/>
      </w:divBdr>
    </w:div>
    <w:div w:id="2057270527">
      <w:bodyDiv w:val="1"/>
      <w:marLeft w:val="0"/>
      <w:marRight w:val="0"/>
      <w:marTop w:val="0"/>
      <w:marBottom w:val="0"/>
      <w:divBdr>
        <w:top w:val="none" w:sz="0" w:space="0" w:color="auto"/>
        <w:left w:val="none" w:sz="0" w:space="0" w:color="auto"/>
        <w:bottom w:val="none" w:sz="0" w:space="0" w:color="auto"/>
        <w:right w:val="none" w:sz="0" w:space="0" w:color="auto"/>
      </w:divBdr>
    </w:div>
    <w:div w:id="2072581897">
      <w:bodyDiv w:val="1"/>
      <w:marLeft w:val="0"/>
      <w:marRight w:val="0"/>
      <w:marTop w:val="0"/>
      <w:marBottom w:val="0"/>
      <w:divBdr>
        <w:top w:val="none" w:sz="0" w:space="0" w:color="auto"/>
        <w:left w:val="none" w:sz="0" w:space="0" w:color="auto"/>
        <w:bottom w:val="none" w:sz="0" w:space="0" w:color="auto"/>
        <w:right w:val="none" w:sz="0" w:space="0" w:color="auto"/>
      </w:divBdr>
    </w:div>
    <w:div w:id="209172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894940%27%5d&amp;xhitlist_md=target-id=0-0-0-250149" TargetMode="External"/><Relationship Id="rId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002215%27%5d&amp;xhitlist_md=target-id=0-0-0-266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90b1c44-44d9-4106-b0c7-baa4f036bf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A147B74C63AF48862A852BBD8BFAD8" ma:contentTypeVersion="8" ma:contentTypeDescription="Create a new document." ma:contentTypeScope="" ma:versionID="21bf8ae72a3f9cb43ad61a70bc0b219a">
  <xsd:schema xmlns:xsd="http://www.w3.org/2001/XMLSchema" xmlns:xs="http://www.w3.org/2001/XMLSchema" xmlns:p="http://schemas.microsoft.com/office/2006/metadata/properties" xmlns:ns3="cd479408-c78f-4467-9dfe-f92b35907738" xmlns:ns4="290b1c44-44d9-4106-b0c7-baa4f036bfdd" targetNamespace="http://schemas.microsoft.com/office/2006/metadata/properties" ma:root="true" ma:fieldsID="84101ffe12c6af75bf58ac341bc50721" ns3:_="" ns4:_="">
    <xsd:import namespace="cd479408-c78f-4467-9dfe-f92b35907738"/>
    <xsd:import namespace="290b1c44-44d9-4106-b0c7-baa4f036bf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79408-c78f-4467-9dfe-f92b359077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0b1c44-44d9-4106-b0c7-baa4f036bf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230C2-5138-45A7-ADBA-4FEA93D6858F}">
  <ds:schemaRefs>
    <ds:schemaRef ds:uri="http://schemas.microsoft.com/office/2006/metadata/properties"/>
    <ds:schemaRef ds:uri="http://schemas.microsoft.com/office/infopath/2007/PartnerControls"/>
    <ds:schemaRef ds:uri="290b1c44-44d9-4106-b0c7-baa4f036bfdd"/>
  </ds:schemaRefs>
</ds:datastoreItem>
</file>

<file path=customXml/itemProps2.xml><?xml version="1.0" encoding="utf-8"?>
<ds:datastoreItem xmlns:ds="http://schemas.openxmlformats.org/officeDocument/2006/customXml" ds:itemID="{5A69882C-3287-494C-8962-0FE395F5994F}">
  <ds:schemaRefs>
    <ds:schemaRef ds:uri="http://schemas.microsoft.com/sharepoint/v3/contenttype/forms"/>
  </ds:schemaRefs>
</ds:datastoreItem>
</file>

<file path=customXml/itemProps3.xml><?xml version="1.0" encoding="utf-8"?>
<ds:datastoreItem xmlns:ds="http://schemas.openxmlformats.org/officeDocument/2006/customXml" ds:itemID="{4D67060C-C4FC-4268-A9F9-CD0A12A4E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79408-c78f-4467-9dfe-f92b35907738"/>
    <ds:schemaRef ds:uri="290b1c44-44d9-4106-b0c7-baa4f036b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989688-4874-40B9-BEDB-42ADA3954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3845</Words>
  <Characters>21921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Mokone</cp:lastModifiedBy>
  <cp:revision>2</cp:revision>
  <cp:lastPrinted>2023-06-01T13:17:00Z</cp:lastPrinted>
  <dcterms:created xsi:type="dcterms:W3CDTF">2023-07-05T14:52:00Z</dcterms:created>
  <dcterms:modified xsi:type="dcterms:W3CDTF">2023-07-05T14:52:00Z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0x01010009A147B74C63AF48862A852BBD8BFAD8</vt:lpwstr>
  </property>
</Properties>
</file>