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6EA5" w14:textId="77777777" w:rsidR="000B56E9" w:rsidRPr="00B178EF" w:rsidRDefault="000B56E9" w:rsidP="000B56E9">
      <w:pPr>
        <w:jc w:val="center"/>
        <w:rPr>
          <w:rFonts w:ascii="Arial" w:hAnsi="Arial" w:cs="Arial"/>
          <w:b/>
        </w:rPr>
      </w:pPr>
      <w:r w:rsidRPr="00B178EF">
        <w:rPr>
          <w:rFonts w:ascii="Arial" w:hAnsi="Arial" w:cs="Arial"/>
        </w:rPr>
        <w:t xml:space="preserve">          </w:t>
      </w:r>
      <w:r w:rsidRPr="00B178EF">
        <w:rPr>
          <w:rFonts w:ascii="Arial" w:hAnsi="Arial" w:cs="Arial"/>
          <w:noProof/>
          <w:lang w:val="en-US"/>
        </w:rPr>
        <w:drawing>
          <wp:inline distT="0" distB="0" distL="0" distR="0" wp14:anchorId="01241D0B" wp14:editId="617AD50F">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B178EF">
        <w:rPr>
          <w:noProof/>
          <w:lang w:val="en-US"/>
        </w:rPr>
        <mc:AlternateContent>
          <mc:Choice Requires="wpg">
            <w:drawing>
              <wp:inline distT="0" distB="0" distL="0" distR="0" wp14:anchorId="404C84C8" wp14:editId="528EB3EA">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B72A130"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B2YYhC2gAAAAUBAAAP&#10;AAAAZHJzL2Rvd25yZXYueG1sTI9BS8NAEIXvgv9hGcGb3cRikZhNKUU9FcFWEG/T7DQJzc6G7DZJ&#10;/71TL/YyvMcb3nyTLyfXqoH60Hg2kM4SUMSltw1XBr52bw/PoEJEtth6JgNnCrAsbm9yzKwf+ZOG&#10;bayUlHDI0EAdY5dpHcqaHIaZ74glO/jeYRTbV9r2OEq5a/Vjkiy0w4blQo0drWsqj9uTM/A+4ria&#10;p6/D5nhYn392Tx/fm5SMub+bVi+gIk3xfxku+IIOhTDt/YltUK0BeST+zUuWLMTuRcxF6CLX1/TF&#10;LwAAAP//AwBQSwECLQAUAAYACAAAACEAtoM4kv4AAADhAQAAEwAAAAAAAAAAAAAAAAAAAAAAW0Nv&#10;bnRlbnRfVHlwZXNdLnhtbFBLAQItABQABgAIAAAAIQA4/SH/1gAAAJQBAAALAAAAAAAAAAAAAAAA&#10;AC8BAABfcmVscy8ucmVsc1BLAQItABQABgAIAAAAIQC4pc54OAIAAPMEAAAOAAAAAAAAAAAAAAAA&#10;AC4CAABkcnMvZTJvRG9jLnhtbFBLAQItABQABgAIAAAAIQB2YYhC2gAAAAUBAAAPAAAAAAAAAAAA&#10;AAAAAJIEAABkcnMvZG93bnJldi54bWxQSwUGAAAAAAQABADzAAAAmQU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w10:anchorlock/>
              </v:group>
            </w:pict>
          </mc:Fallback>
        </mc:AlternateContent>
      </w:r>
    </w:p>
    <w:p w14:paraId="527098C4" w14:textId="77777777" w:rsidR="000B56E9" w:rsidRPr="00B178EF" w:rsidRDefault="000B56E9" w:rsidP="000B56E9">
      <w:pPr>
        <w:jc w:val="center"/>
        <w:rPr>
          <w:rFonts w:ascii="Arial" w:hAnsi="Arial" w:cs="Arial"/>
          <w:b/>
        </w:rPr>
      </w:pPr>
      <w:r w:rsidRPr="00B178EF">
        <w:rPr>
          <w:rFonts w:ascii="Arial" w:hAnsi="Arial" w:cs="Arial"/>
          <w:b/>
        </w:rPr>
        <w:t xml:space="preserve">IN THE HIGH COURT OF SOUTH AFRICA, </w:t>
      </w:r>
    </w:p>
    <w:p w14:paraId="3698F328" w14:textId="44A17577" w:rsidR="00A3512C" w:rsidRPr="00A3512C" w:rsidRDefault="000B56E9" w:rsidP="000B56E9">
      <w:pPr>
        <w:spacing w:line="480" w:lineRule="auto"/>
        <w:ind w:left="360" w:hanging="360"/>
        <w:jc w:val="center"/>
        <w:rPr>
          <w:rFonts w:ascii="Arial" w:hAnsi="Arial" w:cs="Arial"/>
        </w:rPr>
      </w:pPr>
      <w:r w:rsidRPr="00B178EF">
        <w:rPr>
          <w:rFonts w:ascii="Arial" w:hAnsi="Arial" w:cs="Arial"/>
          <w:b/>
        </w:rPr>
        <w:t xml:space="preserve">GAUTENG DIVISION, </w:t>
      </w:r>
      <w:r>
        <w:rPr>
          <w:rFonts w:ascii="Arial" w:hAnsi="Arial" w:cs="Arial"/>
          <w:b/>
        </w:rPr>
        <w:t>JOHANNESBURG</w:t>
      </w:r>
    </w:p>
    <w:p w14:paraId="08DDFE59" w14:textId="39C1B5B5" w:rsidR="000B56E9" w:rsidRPr="007266D7" w:rsidRDefault="00A3512C" w:rsidP="007266D7">
      <w:pPr>
        <w:spacing w:line="480" w:lineRule="auto"/>
        <w:ind w:left="4680" w:firstLine="360"/>
        <w:jc w:val="center"/>
        <w:rPr>
          <w:rFonts w:ascii="Arial" w:hAnsi="Arial" w:cs="Arial"/>
        </w:rPr>
      </w:pPr>
      <w:r w:rsidRPr="00A3512C">
        <w:rPr>
          <w:rFonts w:ascii="Arial" w:hAnsi="Arial" w:cs="Arial"/>
        </w:rPr>
        <w:t>CASE NUMBER: 2022/6034</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0B56E9" w14:paraId="0C2A8B72" w14:textId="77777777" w:rsidTr="000B56E9">
        <w:trPr>
          <w:trHeight w:val="2325"/>
        </w:trPr>
        <w:tc>
          <w:tcPr>
            <w:tcW w:w="4605" w:type="dxa"/>
          </w:tcPr>
          <w:p w14:paraId="57345A05"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 xml:space="preserve">[1] </w:t>
            </w:r>
            <w:r>
              <w:rPr>
                <w:rFonts w:ascii="Century Gothic" w:hAnsi="Century Gothic"/>
                <w:bCs/>
                <w:sz w:val="18"/>
                <w:szCs w:val="18"/>
              </w:rPr>
              <w:tab/>
              <w:t>REPORTABLE: YES/</w:t>
            </w:r>
            <w:r w:rsidRPr="003408FB">
              <w:rPr>
                <w:rFonts w:ascii="Century Gothic" w:hAnsi="Century Gothic"/>
                <w:b/>
                <w:sz w:val="18"/>
                <w:szCs w:val="18"/>
              </w:rPr>
              <w:t>NO</w:t>
            </w:r>
          </w:p>
          <w:p w14:paraId="0E6E6835"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[2]</w:t>
            </w:r>
            <w:r>
              <w:rPr>
                <w:rFonts w:ascii="Century Gothic" w:hAnsi="Century Gothic"/>
                <w:bCs/>
                <w:sz w:val="18"/>
                <w:szCs w:val="18"/>
              </w:rPr>
              <w:tab/>
              <w:t>OF INTERENST TO OTHER JUDGES: YES/</w:t>
            </w:r>
            <w:r w:rsidRPr="003408FB">
              <w:rPr>
                <w:rFonts w:ascii="Century Gothic" w:hAnsi="Century Gothic"/>
                <w:b/>
                <w:sz w:val="18"/>
                <w:szCs w:val="18"/>
              </w:rPr>
              <w:t>NO</w:t>
            </w:r>
          </w:p>
          <w:p w14:paraId="3CA06C6E"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[3]</w:t>
            </w:r>
            <w:r>
              <w:rPr>
                <w:rFonts w:ascii="Century Gothic" w:hAnsi="Century Gothic"/>
                <w:bCs/>
                <w:sz w:val="18"/>
                <w:szCs w:val="18"/>
              </w:rPr>
              <w:tab/>
              <w:t xml:space="preserve">REVISED: </w:t>
            </w:r>
          </w:p>
          <w:p w14:paraId="53BA0367" w14:textId="4B04D602" w:rsidR="000B56E9" w:rsidRDefault="000B56E9" w:rsidP="000B56E9">
            <w:pPr>
              <w:spacing w:line="480" w:lineRule="auto"/>
              <w:ind w:left="90"/>
              <w:rPr>
                <w:rFonts w:ascii="Arial" w:hAnsi="Arial" w:cs="Arial"/>
              </w:rPr>
            </w:pPr>
            <w:r>
              <w:rPr>
                <w:rFonts w:ascii="Arial" w:hAnsi="Arial" w:cs="Arial"/>
              </w:rPr>
              <w:tab/>
            </w:r>
            <w:r w:rsidR="003408FB">
              <w:rPr>
                <w:rFonts w:ascii="Arial" w:hAnsi="Arial" w:cs="Arial"/>
              </w:rPr>
              <w:t>06 July 2023</w:t>
            </w:r>
            <w:r>
              <w:rPr>
                <w:rFonts w:ascii="Arial" w:hAnsi="Arial" w:cs="Arial"/>
              </w:rPr>
              <w:tab/>
            </w:r>
            <w:r>
              <w:rPr>
                <w:rFonts w:ascii="Arial" w:hAnsi="Arial" w:cs="Arial"/>
              </w:rPr>
              <w:tab/>
              <w:t>……………</w:t>
            </w:r>
          </w:p>
          <w:p w14:paraId="2098420C" w14:textId="50B4DCBB"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 xml:space="preserve">             DATE                                   SIGNATURE</w:t>
            </w:r>
          </w:p>
        </w:tc>
      </w:tr>
    </w:tbl>
    <w:p w14:paraId="6B0C9A83" w14:textId="32ED5926" w:rsidR="00A3512C" w:rsidRPr="0062413D" w:rsidRDefault="00A3512C" w:rsidP="00A3512C">
      <w:pPr>
        <w:spacing w:line="480" w:lineRule="auto"/>
        <w:rPr>
          <w:rFonts w:ascii="Arial" w:hAnsi="Arial" w:cs="Arial"/>
        </w:rPr>
      </w:pPr>
      <w:r w:rsidRPr="00A3512C">
        <w:rPr>
          <w:rFonts w:ascii="Arial" w:hAnsi="Arial" w:cs="Arial"/>
        </w:rPr>
        <w:t>In the matter between:</w:t>
      </w:r>
    </w:p>
    <w:p w14:paraId="3A87EDF7" w14:textId="77777777" w:rsidR="00A3512C" w:rsidRPr="00A3512C" w:rsidRDefault="00A3512C" w:rsidP="00A3512C">
      <w:pPr>
        <w:spacing w:line="480" w:lineRule="auto"/>
        <w:rPr>
          <w:rFonts w:ascii="Arial" w:hAnsi="Arial" w:cs="Arial"/>
          <w:b/>
          <w:bCs/>
        </w:rPr>
      </w:pPr>
      <w:r w:rsidRPr="00A3512C">
        <w:rPr>
          <w:rFonts w:ascii="Arial" w:hAnsi="Arial" w:cs="Arial"/>
          <w:b/>
          <w:bCs/>
        </w:rPr>
        <w:t xml:space="preserve">SOUTH AFRICAN SECURITISATION </w:t>
      </w:r>
    </w:p>
    <w:p w14:paraId="0B8EA66F" w14:textId="09345AD4" w:rsidR="00A3512C" w:rsidRPr="00A3512C" w:rsidRDefault="00A3512C" w:rsidP="00A3512C">
      <w:pPr>
        <w:spacing w:line="480" w:lineRule="auto"/>
        <w:rPr>
          <w:rFonts w:ascii="Arial" w:hAnsi="Arial" w:cs="Arial"/>
        </w:rPr>
      </w:pPr>
      <w:r w:rsidRPr="00A3512C">
        <w:rPr>
          <w:rFonts w:ascii="Arial" w:hAnsi="Arial" w:cs="Arial"/>
          <w:b/>
          <w:bCs/>
        </w:rPr>
        <w:t>PROGRAMME (RF) LTD</w:t>
      </w:r>
      <w:r w:rsidRPr="00A3512C">
        <w:rPr>
          <w:rFonts w:ascii="Arial" w:hAnsi="Arial" w:cs="Arial"/>
          <w:b/>
          <w:bCs/>
        </w:rPr>
        <w:tab/>
      </w:r>
      <w:r w:rsidRPr="00A3512C">
        <w:rPr>
          <w:rFonts w:ascii="Arial" w:hAnsi="Arial" w:cs="Arial"/>
        </w:rPr>
        <w:tab/>
      </w:r>
      <w:r w:rsidRPr="00A3512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3512C">
        <w:rPr>
          <w:rFonts w:ascii="Arial" w:hAnsi="Arial" w:cs="Arial"/>
        </w:rPr>
        <w:t>Plaintiff</w:t>
      </w:r>
    </w:p>
    <w:p w14:paraId="2204CA65" w14:textId="77777777" w:rsidR="00A3512C" w:rsidRPr="00A3512C" w:rsidRDefault="00A3512C" w:rsidP="00A3512C">
      <w:pPr>
        <w:spacing w:line="480" w:lineRule="auto"/>
        <w:rPr>
          <w:rFonts w:ascii="Arial" w:hAnsi="Arial" w:cs="Arial"/>
        </w:rPr>
      </w:pPr>
    </w:p>
    <w:p w14:paraId="0D457F5D" w14:textId="51DC43CC" w:rsidR="00A3512C" w:rsidRPr="00A3512C" w:rsidRDefault="00A3512C" w:rsidP="00A3512C">
      <w:pPr>
        <w:spacing w:line="480" w:lineRule="auto"/>
        <w:rPr>
          <w:rFonts w:ascii="Arial" w:hAnsi="Arial" w:cs="Arial"/>
        </w:rPr>
      </w:pPr>
      <w:r w:rsidRPr="00A3512C">
        <w:rPr>
          <w:rFonts w:ascii="Arial" w:hAnsi="Arial" w:cs="Arial"/>
        </w:rPr>
        <w:t>And</w:t>
      </w:r>
    </w:p>
    <w:p w14:paraId="162195CF" w14:textId="77777777" w:rsidR="00A3512C" w:rsidRPr="00A3512C" w:rsidRDefault="00A3512C" w:rsidP="00A3512C">
      <w:pPr>
        <w:spacing w:line="480" w:lineRule="auto"/>
        <w:rPr>
          <w:rFonts w:ascii="Arial" w:hAnsi="Arial" w:cs="Arial"/>
        </w:rPr>
      </w:pPr>
    </w:p>
    <w:p w14:paraId="4E433ECD" w14:textId="7AF54BBA" w:rsidR="00A3512C" w:rsidRPr="00A3512C" w:rsidRDefault="00A3512C" w:rsidP="00A3512C">
      <w:pPr>
        <w:pBdr>
          <w:bottom w:val="single" w:sz="12" w:space="1" w:color="auto"/>
        </w:pBdr>
        <w:spacing w:line="480" w:lineRule="auto"/>
        <w:rPr>
          <w:rFonts w:ascii="Arial" w:hAnsi="Arial" w:cs="Arial"/>
          <w:b/>
          <w:bCs/>
        </w:rPr>
      </w:pPr>
      <w:r w:rsidRPr="00A3512C">
        <w:rPr>
          <w:rFonts w:ascii="Arial" w:hAnsi="Arial" w:cs="Arial"/>
          <w:b/>
          <w:bCs/>
        </w:rPr>
        <w:t>DR LUCIC, MIRJANA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3512C">
        <w:rPr>
          <w:rFonts w:ascii="Arial" w:hAnsi="Arial" w:cs="Arial"/>
        </w:rPr>
        <w:tab/>
        <w:t>Defendant</w:t>
      </w:r>
    </w:p>
    <w:p w14:paraId="68D4586E" w14:textId="77777777" w:rsidR="00A3512C" w:rsidRPr="00A3512C" w:rsidRDefault="00A3512C" w:rsidP="00A3512C">
      <w:pPr>
        <w:spacing w:line="480" w:lineRule="auto"/>
        <w:rPr>
          <w:rFonts w:ascii="Arial" w:hAnsi="Arial" w:cs="Arial"/>
        </w:rPr>
      </w:pPr>
    </w:p>
    <w:p w14:paraId="665BFB3F" w14:textId="5681D82D" w:rsidR="00A3512C" w:rsidRPr="0062413D" w:rsidRDefault="00A3512C" w:rsidP="0062413D">
      <w:pPr>
        <w:spacing w:line="480" w:lineRule="auto"/>
        <w:jc w:val="center"/>
        <w:rPr>
          <w:rFonts w:ascii="Arial" w:hAnsi="Arial" w:cs="Arial"/>
        </w:rPr>
      </w:pPr>
      <w:r w:rsidRPr="00A3512C">
        <w:rPr>
          <w:rFonts w:ascii="Arial" w:hAnsi="Arial" w:cs="Arial"/>
        </w:rPr>
        <w:t>JUDGEMENT</w:t>
      </w:r>
      <w:r w:rsidRPr="00A3512C">
        <w:rPr>
          <w:rFonts w:ascii="Arial" w:hAnsi="Arial" w:cs="Arial"/>
        </w:rPr>
        <w:br/>
        <w:t>___________________________________________________________________</w:t>
      </w:r>
    </w:p>
    <w:p w14:paraId="446254FC" w14:textId="4C4DF926" w:rsidR="00A3512C" w:rsidRPr="00A3512C" w:rsidRDefault="00A3512C" w:rsidP="00A3512C">
      <w:pPr>
        <w:spacing w:line="480" w:lineRule="auto"/>
        <w:rPr>
          <w:rFonts w:ascii="Arial" w:hAnsi="Arial" w:cs="Arial"/>
          <w:b/>
          <w:bCs/>
        </w:rPr>
      </w:pPr>
      <w:r w:rsidRPr="00A3512C">
        <w:rPr>
          <w:rFonts w:ascii="Arial" w:hAnsi="Arial" w:cs="Arial"/>
          <w:b/>
          <w:bCs/>
        </w:rPr>
        <w:t>T LIPSHITZ AJ</w:t>
      </w:r>
    </w:p>
    <w:p w14:paraId="11D8FC26" w14:textId="77777777" w:rsidR="00A3512C" w:rsidRPr="00A3512C" w:rsidRDefault="00A3512C" w:rsidP="00A3512C">
      <w:pPr>
        <w:spacing w:line="480" w:lineRule="auto"/>
        <w:rPr>
          <w:rFonts w:ascii="Arial" w:hAnsi="Arial" w:cs="Arial"/>
          <w:b/>
          <w:bCs/>
        </w:rPr>
      </w:pPr>
    </w:p>
    <w:p w14:paraId="76C51075" w14:textId="22846D71" w:rsidR="00A3512C" w:rsidRPr="00A3512C" w:rsidRDefault="00A3512C" w:rsidP="00A3512C">
      <w:pPr>
        <w:spacing w:line="480" w:lineRule="auto"/>
        <w:rPr>
          <w:rFonts w:ascii="Arial" w:hAnsi="Arial" w:cs="Arial"/>
          <w:b/>
          <w:bCs/>
        </w:rPr>
      </w:pPr>
      <w:r>
        <w:rPr>
          <w:rFonts w:ascii="Arial" w:hAnsi="Arial" w:cs="Arial"/>
          <w:b/>
          <w:bCs/>
        </w:rPr>
        <w:t>The matter</w:t>
      </w:r>
      <w:r w:rsidRPr="00A3512C">
        <w:rPr>
          <w:rFonts w:ascii="Arial" w:hAnsi="Arial" w:cs="Arial"/>
          <w:b/>
          <w:bCs/>
        </w:rPr>
        <w:t xml:space="preserve"> was heard on 11 April 2023</w:t>
      </w:r>
    </w:p>
    <w:p w14:paraId="30C9274D" w14:textId="7E36BDF3" w:rsidR="00A3512C" w:rsidRDefault="00A3512C" w:rsidP="00A3512C">
      <w:pPr>
        <w:spacing w:line="480" w:lineRule="auto"/>
        <w:rPr>
          <w:rFonts w:ascii="Arial" w:hAnsi="Arial" w:cs="Arial"/>
          <w:b/>
          <w:bCs/>
        </w:rPr>
      </w:pPr>
      <w:r w:rsidRPr="00A3512C">
        <w:rPr>
          <w:rFonts w:ascii="Arial" w:hAnsi="Arial" w:cs="Arial"/>
          <w:b/>
          <w:bCs/>
        </w:rPr>
        <w:t xml:space="preserve">Judgment Delivered on </w:t>
      </w:r>
      <w:r w:rsidR="00F33AD2">
        <w:rPr>
          <w:rFonts w:ascii="Arial" w:hAnsi="Arial" w:cs="Arial"/>
          <w:b/>
          <w:bCs/>
        </w:rPr>
        <w:t>06</w:t>
      </w:r>
      <w:r w:rsidRPr="00A3512C">
        <w:rPr>
          <w:rFonts w:ascii="Arial" w:hAnsi="Arial" w:cs="Arial"/>
          <w:b/>
          <w:bCs/>
        </w:rPr>
        <w:t xml:space="preserve"> July 2023</w:t>
      </w:r>
    </w:p>
    <w:p w14:paraId="6E2A6564" w14:textId="77777777" w:rsidR="00A426DD" w:rsidRDefault="00A426DD" w:rsidP="00A3512C">
      <w:pPr>
        <w:spacing w:line="480" w:lineRule="auto"/>
        <w:rPr>
          <w:rFonts w:ascii="Arial" w:hAnsi="Arial" w:cs="Arial"/>
          <w:b/>
          <w:bCs/>
        </w:rPr>
      </w:pPr>
    </w:p>
    <w:p w14:paraId="3F85EF12" w14:textId="39F33093" w:rsidR="00A426DD" w:rsidRPr="00A3512C" w:rsidRDefault="00A426DD" w:rsidP="00A3512C">
      <w:pPr>
        <w:spacing w:line="480" w:lineRule="auto"/>
        <w:rPr>
          <w:rFonts w:ascii="Arial" w:hAnsi="Arial" w:cs="Arial"/>
          <w:b/>
          <w:bCs/>
        </w:rPr>
      </w:pPr>
      <w:r>
        <w:rPr>
          <w:rFonts w:ascii="Arial" w:hAnsi="Arial" w:cs="Arial"/>
          <w:b/>
          <w:bCs/>
        </w:rPr>
        <w:t>Introduction</w:t>
      </w:r>
    </w:p>
    <w:p w14:paraId="6382E88C" w14:textId="77777777" w:rsidR="00A3512C" w:rsidRDefault="00A3512C" w:rsidP="00A3512C">
      <w:pPr>
        <w:pStyle w:val="ListParagraph"/>
        <w:spacing w:line="480" w:lineRule="auto"/>
        <w:ind w:left="360"/>
        <w:jc w:val="both"/>
        <w:rPr>
          <w:rFonts w:ascii="Arial" w:hAnsi="Arial" w:cs="Arial"/>
          <w:lang w:val="en-US"/>
        </w:rPr>
      </w:pPr>
    </w:p>
    <w:p w14:paraId="47CD3611" w14:textId="26D922A5" w:rsidR="00EF3696" w:rsidRPr="00A765B0" w:rsidRDefault="00A765B0" w:rsidP="00A765B0">
      <w:pPr>
        <w:spacing w:line="480" w:lineRule="auto"/>
        <w:ind w:left="360" w:hanging="360"/>
        <w:jc w:val="both"/>
        <w:rPr>
          <w:rFonts w:ascii="Arial" w:hAnsi="Arial" w:cs="Arial"/>
          <w:lang w:val="en-US"/>
        </w:rPr>
      </w:pPr>
      <w:r>
        <w:rPr>
          <w:rFonts w:ascii="Arial" w:hAnsi="Arial" w:cs="Arial"/>
          <w:lang w:val="en-US"/>
        </w:rPr>
        <w:t>1.</w:t>
      </w:r>
      <w:r>
        <w:rPr>
          <w:rFonts w:ascii="Arial" w:hAnsi="Arial" w:cs="Arial"/>
          <w:lang w:val="en-US"/>
        </w:rPr>
        <w:tab/>
      </w:r>
      <w:r w:rsidR="00E86FD3" w:rsidRPr="00A765B0">
        <w:rPr>
          <w:rFonts w:ascii="Arial" w:hAnsi="Arial" w:cs="Arial"/>
          <w:lang w:val="en-US"/>
        </w:rPr>
        <w:t>The plaintiff is seeking summary judgment</w:t>
      </w:r>
      <w:r w:rsidR="00CA77FD" w:rsidRPr="00A765B0">
        <w:rPr>
          <w:rFonts w:ascii="Arial" w:hAnsi="Arial" w:cs="Arial"/>
          <w:lang w:val="en-US"/>
        </w:rPr>
        <w:t xml:space="preserve"> </w:t>
      </w:r>
      <w:r w:rsidR="00E86FD3" w:rsidRPr="00A765B0">
        <w:rPr>
          <w:rFonts w:ascii="Arial" w:hAnsi="Arial" w:cs="Arial"/>
          <w:lang w:val="en-US"/>
        </w:rPr>
        <w:t>against the defendant arising from a master rental agreement</w:t>
      </w:r>
      <w:r w:rsidR="00F0399D" w:rsidRPr="00A765B0">
        <w:rPr>
          <w:rFonts w:ascii="Arial" w:hAnsi="Arial" w:cs="Arial"/>
          <w:lang w:val="en-US"/>
        </w:rPr>
        <w:t xml:space="preserve"> concluded between the cedent, Sasfin Bank Limited (“Sasfin”) and the defendant on </w:t>
      </w:r>
      <w:r w:rsidR="007F21A1" w:rsidRPr="00A765B0">
        <w:rPr>
          <w:rFonts w:ascii="Arial" w:hAnsi="Arial" w:cs="Arial"/>
          <w:lang w:val="en-US"/>
        </w:rPr>
        <w:t>28 August 2018 (“the agreement”)</w:t>
      </w:r>
      <w:r w:rsidR="00E86FD3" w:rsidRPr="00A765B0">
        <w:rPr>
          <w:rFonts w:ascii="Arial" w:hAnsi="Arial" w:cs="Arial"/>
          <w:lang w:val="en-US"/>
        </w:rPr>
        <w:t>.</w:t>
      </w:r>
      <w:r w:rsidR="003E36C8" w:rsidRPr="00A765B0">
        <w:rPr>
          <w:rFonts w:ascii="Arial" w:hAnsi="Arial" w:cs="Arial"/>
          <w:lang w:val="en-US"/>
        </w:rPr>
        <w:t xml:space="preserve"> The plaintiff is seeking specific performance in terms of the master rental agreement and is claiming </w:t>
      </w:r>
      <w:r w:rsidR="00EF3696" w:rsidRPr="00A765B0">
        <w:rPr>
          <w:rFonts w:ascii="Arial" w:hAnsi="Arial" w:cs="Arial"/>
          <w:lang w:val="en-US"/>
        </w:rPr>
        <w:t xml:space="preserve">the return of the office telephonic equipment and payment in the amount of </w:t>
      </w:r>
      <w:r w:rsidR="00EF3696" w:rsidRPr="00A765B0">
        <w:rPr>
          <w:rFonts w:ascii="Arial" w:hAnsi="Arial" w:cs="Arial"/>
          <w:b/>
          <w:bCs/>
          <w:lang w:val="en-US"/>
        </w:rPr>
        <w:t>R 106 290.82</w:t>
      </w:r>
      <w:r w:rsidR="003E36C8" w:rsidRPr="00A765B0">
        <w:rPr>
          <w:rFonts w:ascii="Arial" w:hAnsi="Arial" w:cs="Arial"/>
          <w:b/>
          <w:bCs/>
          <w:lang w:val="en-US"/>
        </w:rPr>
        <w:t>,</w:t>
      </w:r>
      <w:r w:rsidR="00EF3696" w:rsidRPr="00A765B0">
        <w:rPr>
          <w:rFonts w:ascii="Arial" w:hAnsi="Arial" w:cs="Arial"/>
          <w:lang w:val="en-US"/>
        </w:rPr>
        <w:t xml:space="preserve"> together with interest thereon at the rate of 2% per annum from 13 January 2022 to date of payment and costs on a scale as between attorney and client.</w:t>
      </w:r>
      <w:r w:rsidR="007109C7" w:rsidRPr="00A765B0">
        <w:rPr>
          <w:rFonts w:ascii="Arial" w:hAnsi="Arial" w:cs="Arial"/>
          <w:lang w:val="en-US"/>
        </w:rPr>
        <w:t xml:space="preserve"> I shall refer to the parties by their nomenclatures in the main action.</w:t>
      </w:r>
    </w:p>
    <w:p w14:paraId="6323067F" w14:textId="77777777" w:rsidR="00EF3696" w:rsidRDefault="00EF3696" w:rsidP="008225AF">
      <w:pPr>
        <w:pStyle w:val="ListParagraph"/>
        <w:spacing w:line="480" w:lineRule="auto"/>
        <w:jc w:val="both"/>
        <w:rPr>
          <w:rFonts w:ascii="Arial" w:hAnsi="Arial" w:cs="Arial"/>
          <w:lang w:val="en-US"/>
        </w:rPr>
      </w:pPr>
    </w:p>
    <w:p w14:paraId="6A34EC4B" w14:textId="40FE3CE4" w:rsidR="00EF3696" w:rsidRPr="00A765B0" w:rsidRDefault="00A765B0" w:rsidP="00A765B0">
      <w:pPr>
        <w:spacing w:line="480" w:lineRule="auto"/>
        <w:ind w:left="360" w:hanging="360"/>
        <w:jc w:val="both"/>
        <w:rPr>
          <w:rFonts w:ascii="Arial" w:hAnsi="Arial" w:cs="Arial"/>
          <w:lang w:val="en-US"/>
        </w:rPr>
      </w:pPr>
      <w:r>
        <w:rPr>
          <w:rFonts w:ascii="Arial" w:hAnsi="Arial" w:cs="Arial"/>
          <w:lang w:val="en-US"/>
        </w:rPr>
        <w:t>2.</w:t>
      </w:r>
      <w:r>
        <w:rPr>
          <w:rFonts w:ascii="Arial" w:hAnsi="Arial" w:cs="Arial"/>
          <w:lang w:val="en-US"/>
        </w:rPr>
        <w:tab/>
      </w:r>
      <w:r w:rsidR="00E86FD3" w:rsidRPr="00A765B0">
        <w:rPr>
          <w:rFonts w:ascii="Arial" w:hAnsi="Arial" w:cs="Arial"/>
          <w:lang w:val="en-US"/>
        </w:rPr>
        <w:t xml:space="preserve">The defendant </w:t>
      </w:r>
      <w:r w:rsidR="00EF3696" w:rsidRPr="00A765B0">
        <w:rPr>
          <w:rFonts w:ascii="Arial" w:hAnsi="Arial" w:cs="Arial"/>
          <w:lang w:val="en-US"/>
        </w:rPr>
        <w:t xml:space="preserve">resists summary judgment on the ground that she has </w:t>
      </w:r>
      <w:r w:rsidR="00EF3696" w:rsidRPr="00A765B0">
        <w:rPr>
          <w:rFonts w:ascii="Arial" w:hAnsi="Arial" w:cs="Arial"/>
          <w:i/>
          <w:iCs/>
          <w:lang w:val="en-US"/>
        </w:rPr>
        <w:t xml:space="preserve">bona fide </w:t>
      </w:r>
      <w:r w:rsidR="00EF3696" w:rsidRPr="00A765B0">
        <w:rPr>
          <w:rFonts w:ascii="Arial" w:hAnsi="Arial" w:cs="Arial"/>
          <w:lang w:val="en-US"/>
        </w:rPr>
        <w:t>defences to the action. She has</w:t>
      </w:r>
      <w:r w:rsidR="00E86FD3" w:rsidRPr="00A765B0">
        <w:rPr>
          <w:rFonts w:ascii="Arial" w:hAnsi="Arial" w:cs="Arial"/>
          <w:lang w:val="en-US"/>
        </w:rPr>
        <w:t xml:space="preserve"> raised four defences </w:t>
      </w:r>
      <w:r w:rsidR="007F21A1" w:rsidRPr="00A765B0">
        <w:rPr>
          <w:rFonts w:ascii="Arial" w:hAnsi="Arial" w:cs="Arial"/>
          <w:lang w:val="en-US"/>
        </w:rPr>
        <w:t>in</w:t>
      </w:r>
      <w:r w:rsidR="00CA77FD" w:rsidRPr="00A765B0">
        <w:rPr>
          <w:rFonts w:ascii="Arial" w:hAnsi="Arial" w:cs="Arial"/>
          <w:lang w:val="en-US"/>
        </w:rPr>
        <w:t xml:space="preserve"> both her plea and her affidavit resisting summary judgment</w:t>
      </w:r>
      <w:r w:rsidR="00EF3696" w:rsidRPr="00A765B0">
        <w:rPr>
          <w:rFonts w:ascii="Arial" w:hAnsi="Arial" w:cs="Arial"/>
          <w:lang w:val="en-US"/>
        </w:rPr>
        <w:t xml:space="preserve">, which </w:t>
      </w:r>
      <w:r w:rsidR="00A25921" w:rsidRPr="00A765B0">
        <w:rPr>
          <w:rFonts w:ascii="Arial" w:hAnsi="Arial" w:cs="Arial"/>
          <w:lang w:val="en-US"/>
        </w:rPr>
        <w:t>includes</w:t>
      </w:r>
      <w:r w:rsidR="00EF3696" w:rsidRPr="00A765B0">
        <w:rPr>
          <w:rFonts w:ascii="Arial" w:hAnsi="Arial" w:cs="Arial"/>
          <w:lang w:val="en-US"/>
        </w:rPr>
        <w:t>:</w:t>
      </w:r>
      <w:r w:rsidR="0064346F" w:rsidRPr="00A765B0">
        <w:rPr>
          <w:rFonts w:ascii="Arial" w:hAnsi="Arial" w:cs="Arial"/>
          <w:lang w:val="en-US"/>
        </w:rPr>
        <w:t>-</w:t>
      </w:r>
    </w:p>
    <w:p w14:paraId="0B59EBAA" w14:textId="77777777" w:rsidR="00EF3696" w:rsidRPr="00EF3696" w:rsidRDefault="00EF3696" w:rsidP="008225AF">
      <w:pPr>
        <w:pStyle w:val="ListParagraph"/>
        <w:spacing w:line="480" w:lineRule="auto"/>
        <w:rPr>
          <w:rFonts w:ascii="Arial" w:hAnsi="Arial" w:cs="Arial"/>
          <w:lang w:val="en-US"/>
        </w:rPr>
      </w:pPr>
    </w:p>
    <w:p w14:paraId="173C1577" w14:textId="3A9157C6" w:rsidR="00EF3696" w:rsidRPr="00A765B0" w:rsidRDefault="00A765B0" w:rsidP="00A765B0">
      <w:pPr>
        <w:spacing w:line="480" w:lineRule="auto"/>
        <w:ind w:left="1644" w:hanging="1284"/>
        <w:jc w:val="both"/>
        <w:rPr>
          <w:rFonts w:ascii="Arial" w:hAnsi="Arial" w:cs="Arial"/>
          <w:lang w:val="en-US"/>
        </w:rPr>
      </w:pPr>
      <w:r>
        <w:rPr>
          <w:rFonts w:ascii="Arial" w:hAnsi="Arial" w:cs="Arial"/>
          <w:lang w:val="en-US"/>
        </w:rPr>
        <w:t>2.1.</w:t>
      </w:r>
      <w:r>
        <w:rPr>
          <w:rFonts w:ascii="Arial" w:hAnsi="Arial" w:cs="Arial"/>
          <w:lang w:val="en-US"/>
        </w:rPr>
        <w:tab/>
      </w:r>
      <w:r w:rsidR="00CA77FD" w:rsidRPr="00A765B0">
        <w:rPr>
          <w:rFonts w:ascii="Arial" w:hAnsi="Arial" w:cs="Arial"/>
          <w:lang w:val="en-US"/>
        </w:rPr>
        <w:t xml:space="preserve">A denial of the plaintiff’s </w:t>
      </w:r>
      <w:r w:rsidR="00CA77FD" w:rsidRPr="00A765B0">
        <w:rPr>
          <w:rFonts w:ascii="Arial" w:hAnsi="Arial" w:cs="Arial"/>
          <w:i/>
          <w:iCs/>
          <w:lang w:val="en-US"/>
        </w:rPr>
        <w:t>locus standi</w:t>
      </w:r>
      <w:r w:rsidR="00EF3696" w:rsidRPr="00A765B0">
        <w:rPr>
          <w:rFonts w:ascii="Arial" w:hAnsi="Arial" w:cs="Arial"/>
          <w:i/>
          <w:iCs/>
          <w:lang w:val="en-US"/>
        </w:rPr>
        <w:t>;</w:t>
      </w:r>
    </w:p>
    <w:p w14:paraId="58691182" w14:textId="77777777" w:rsidR="00EF3696" w:rsidRDefault="00EF3696" w:rsidP="008225AF">
      <w:pPr>
        <w:pStyle w:val="ListParagraph"/>
        <w:spacing w:line="480" w:lineRule="auto"/>
        <w:ind w:left="792"/>
        <w:jc w:val="both"/>
        <w:rPr>
          <w:rFonts w:ascii="Arial" w:hAnsi="Arial" w:cs="Arial"/>
          <w:lang w:val="en-US"/>
        </w:rPr>
      </w:pPr>
    </w:p>
    <w:p w14:paraId="19A844C9" w14:textId="3D7D2EF8" w:rsidR="00E86FD3" w:rsidRPr="00A765B0" w:rsidRDefault="00A765B0" w:rsidP="00A765B0">
      <w:pPr>
        <w:spacing w:line="480" w:lineRule="auto"/>
        <w:ind w:left="1644" w:hanging="1284"/>
        <w:jc w:val="both"/>
        <w:rPr>
          <w:rFonts w:ascii="Arial" w:hAnsi="Arial" w:cs="Arial"/>
          <w:lang w:val="en-US"/>
        </w:rPr>
      </w:pPr>
      <w:r>
        <w:rPr>
          <w:rFonts w:ascii="Arial" w:hAnsi="Arial" w:cs="Arial"/>
          <w:lang w:val="en-US"/>
        </w:rPr>
        <w:t>2.2.</w:t>
      </w:r>
      <w:r>
        <w:rPr>
          <w:rFonts w:ascii="Arial" w:hAnsi="Arial" w:cs="Arial"/>
          <w:lang w:val="en-US"/>
        </w:rPr>
        <w:tab/>
      </w:r>
      <w:r w:rsidR="00EF3696" w:rsidRPr="00A765B0">
        <w:rPr>
          <w:rFonts w:ascii="Arial" w:hAnsi="Arial" w:cs="Arial"/>
          <w:lang w:val="en-US"/>
        </w:rPr>
        <w:t xml:space="preserve">That the master rental agreement is a credit agreement as contemplated by the National Credit Act </w:t>
      </w:r>
      <w:r w:rsidR="003E36C8" w:rsidRPr="00A765B0">
        <w:rPr>
          <w:rFonts w:ascii="Arial" w:hAnsi="Arial" w:cs="Arial"/>
          <w:lang w:val="en-US"/>
        </w:rPr>
        <w:t>34 of 2005</w:t>
      </w:r>
      <w:r w:rsidR="00EF3696" w:rsidRPr="00A765B0">
        <w:rPr>
          <w:rFonts w:ascii="Arial" w:hAnsi="Arial" w:cs="Arial"/>
          <w:lang w:val="en-US"/>
        </w:rPr>
        <w:t xml:space="preserve"> (“NCA”) and that the applicant failed to comply with the provisions of the NCA</w:t>
      </w:r>
      <w:r w:rsidR="003E36C8" w:rsidRPr="00A765B0">
        <w:rPr>
          <w:rFonts w:ascii="Arial" w:hAnsi="Arial" w:cs="Arial"/>
          <w:lang w:val="en-US"/>
        </w:rPr>
        <w:t>;</w:t>
      </w:r>
    </w:p>
    <w:p w14:paraId="44121C46" w14:textId="77777777" w:rsidR="003E36C8" w:rsidRPr="003E36C8" w:rsidRDefault="003E36C8" w:rsidP="008225AF">
      <w:pPr>
        <w:pStyle w:val="ListParagraph"/>
        <w:spacing w:line="480" w:lineRule="auto"/>
        <w:rPr>
          <w:rFonts w:ascii="Arial" w:hAnsi="Arial" w:cs="Arial"/>
          <w:lang w:val="en-US"/>
        </w:rPr>
      </w:pPr>
    </w:p>
    <w:p w14:paraId="53643298" w14:textId="4D6195DD" w:rsidR="003E36C8" w:rsidRPr="00A765B0" w:rsidRDefault="00A765B0" w:rsidP="00A765B0">
      <w:pPr>
        <w:spacing w:line="480" w:lineRule="auto"/>
        <w:ind w:left="1644" w:hanging="1284"/>
        <w:jc w:val="both"/>
        <w:rPr>
          <w:rFonts w:ascii="Arial" w:hAnsi="Arial" w:cs="Arial"/>
          <w:lang w:val="en-US"/>
        </w:rPr>
      </w:pPr>
      <w:bookmarkStart w:id="0" w:name="_GoBack"/>
      <w:bookmarkEnd w:id="0"/>
      <w:r>
        <w:rPr>
          <w:rFonts w:ascii="Arial" w:hAnsi="Arial" w:cs="Arial"/>
          <w:lang w:val="en-US"/>
        </w:rPr>
        <w:t>2.3.</w:t>
      </w:r>
      <w:r>
        <w:rPr>
          <w:rFonts w:ascii="Arial" w:hAnsi="Arial" w:cs="Arial"/>
          <w:lang w:val="en-US"/>
        </w:rPr>
        <w:tab/>
      </w:r>
      <w:r w:rsidR="003E36C8" w:rsidRPr="00A765B0">
        <w:rPr>
          <w:rFonts w:ascii="Arial" w:hAnsi="Arial" w:cs="Arial"/>
          <w:lang w:val="en-US"/>
        </w:rPr>
        <w:t xml:space="preserve">That the Consumer Protection Act 68 of 2008 (“CPA”) </w:t>
      </w:r>
      <w:r w:rsidR="00A72A32" w:rsidRPr="00A765B0">
        <w:rPr>
          <w:rFonts w:ascii="Arial" w:hAnsi="Arial" w:cs="Arial"/>
          <w:lang w:val="en-US"/>
        </w:rPr>
        <w:t>applies</w:t>
      </w:r>
      <w:r w:rsidR="007F21A1" w:rsidRPr="00A765B0">
        <w:rPr>
          <w:rFonts w:ascii="Arial" w:hAnsi="Arial" w:cs="Arial"/>
          <w:lang w:val="en-US"/>
        </w:rPr>
        <w:t xml:space="preserve"> to the agreement</w:t>
      </w:r>
      <w:r w:rsidR="003E36C8" w:rsidRPr="00A765B0">
        <w:rPr>
          <w:rFonts w:ascii="Arial" w:hAnsi="Arial" w:cs="Arial"/>
          <w:lang w:val="en-US"/>
        </w:rPr>
        <w:t xml:space="preserve"> and that she exercised her right under Section 14(b)(bb) of the CPA and cancelled the agreement</w:t>
      </w:r>
      <w:r w:rsidR="007F21A1" w:rsidRPr="00A765B0">
        <w:rPr>
          <w:rFonts w:ascii="Arial" w:hAnsi="Arial" w:cs="Arial"/>
          <w:lang w:val="en-US"/>
        </w:rPr>
        <w:t xml:space="preserve">. The cancellation was effective </w:t>
      </w:r>
      <w:r w:rsidR="007F21A1" w:rsidRPr="00A765B0">
        <w:rPr>
          <w:rFonts w:ascii="Arial" w:hAnsi="Arial" w:cs="Arial"/>
          <w:lang w:val="en-US"/>
        </w:rPr>
        <w:lastRenderedPageBreak/>
        <w:t>by</w:t>
      </w:r>
      <w:r w:rsidR="0089600C" w:rsidRPr="00A765B0">
        <w:rPr>
          <w:rFonts w:ascii="Arial" w:hAnsi="Arial" w:cs="Arial"/>
          <w:lang w:val="en-US"/>
        </w:rPr>
        <w:t xml:space="preserve"> </w:t>
      </w:r>
      <w:r w:rsidR="00DD3979" w:rsidRPr="00A765B0">
        <w:rPr>
          <w:rFonts w:ascii="Arial" w:hAnsi="Arial" w:cs="Arial"/>
          <w:lang w:val="en-US"/>
        </w:rPr>
        <w:t>the latest 16 March 2021; after</w:t>
      </w:r>
      <w:r w:rsidR="0089600C" w:rsidRPr="00A765B0">
        <w:rPr>
          <w:rFonts w:ascii="Arial" w:hAnsi="Arial" w:cs="Arial"/>
          <w:lang w:val="en-US"/>
        </w:rPr>
        <w:t xml:space="preserve"> that,</w:t>
      </w:r>
      <w:r w:rsidR="007F21A1" w:rsidRPr="00A765B0">
        <w:rPr>
          <w:rFonts w:ascii="Arial" w:hAnsi="Arial" w:cs="Arial"/>
          <w:lang w:val="en-US"/>
        </w:rPr>
        <w:t xml:space="preserve"> the plaintiff would not be entitled to receive or bill for further monthly instalments. Accordingly, she cannot be found to be in breach of the agreement or in arrears</w:t>
      </w:r>
      <w:r w:rsidR="003E36C8" w:rsidRPr="00A765B0">
        <w:rPr>
          <w:rFonts w:ascii="Arial" w:hAnsi="Arial" w:cs="Arial"/>
          <w:lang w:val="en-US"/>
        </w:rPr>
        <w:t xml:space="preserve">; </w:t>
      </w:r>
    </w:p>
    <w:p w14:paraId="45F5E19C" w14:textId="77777777" w:rsidR="003E36C8" w:rsidRPr="003E36C8" w:rsidRDefault="003E36C8" w:rsidP="008225AF">
      <w:pPr>
        <w:pStyle w:val="ListParagraph"/>
        <w:spacing w:line="480" w:lineRule="auto"/>
        <w:rPr>
          <w:rFonts w:ascii="Arial" w:hAnsi="Arial" w:cs="Arial"/>
          <w:lang w:val="en-US"/>
        </w:rPr>
      </w:pPr>
    </w:p>
    <w:p w14:paraId="448882E3" w14:textId="39036C72" w:rsidR="003E36C8" w:rsidRPr="007F21A1" w:rsidRDefault="003E36C8" w:rsidP="008225AF">
      <w:pPr>
        <w:pStyle w:val="ListParagraph"/>
        <w:spacing w:line="480" w:lineRule="auto"/>
        <w:ind w:left="792"/>
        <w:jc w:val="both"/>
        <w:rPr>
          <w:rFonts w:ascii="Arial" w:hAnsi="Arial" w:cs="Arial"/>
          <w:i/>
          <w:iCs/>
          <w:lang w:val="en-US"/>
        </w:rPr>
      </w:pPr>
      <w:r w:rsidRPr="007F21A1">
        <w:rPr>
          <w:rFonts w:ascii="Arial" w:hAnsi="Arial" w:cs="Arial"/>
          <w:i/>
          <w:iCs/>
          <w:lang w:val="en-US"/>
        </w:rPr>
        <w:t>alternatively</w:t>
      </w:r>
    </w:p>
    <w:p w14:paraId="40D991BD" w14:textId="77777777" w:rsidR="003E36C8" w:rsidRPr="003E36C8" w:rsidRDefault="003E36C8" w:rsidP="008225AF">
      <w:pPr>
        <w:pStyle w:val="ListParagraph"/>
        <w:spacing w:line="480" w:lineRule="auto"/>
        <w:rPr>
          <w:rFonts w:ascii="Arial" w:hAnsi="Arial" w:cs="Arial"/>
          <w:lang w:val="en-US"/>
        </w:rPr>
      </w:pPr>
    </w:p>
    <w:p w14:paraId="423DD025" w14:textId="0422FE04" w:rsidR="00E86FD3" w:rsidRPr="00A765B0" w:rsidRDefault="00A765B0" w:rsidP="00A765B0">
      <w:pPr>
        <w:spacing w:line="480" w:lineRule="auto"/>
        <w:ind w:left="1644" w:hanging="1284"/>
        <w:jc w:val="both"/>
        <w:rPr>
          <w:rFonts w:ascii="Arial" w:hAnsi="Arial" w:cs="Arial"/>
          <w:lang w:val="en-US"/>
        </w:rPr>
      </w:pPr>
      <w:r w:rsidRPr="00A12523">
        <w:rPr>
          <w:rFonts w:ascii="Arial" w:hAnsi="Arial" w:cs="Arial"/>
          <w:lang w:val="en-US"/>
        </w:rPr>
        <w:t>2.4.</w:t>
      </w:r>
      <w:r w:rsidRPr="00A12523">
        <w:rPr>
          <w:rFonts w:ascii="Arial" w:hAnsi="Arial" w:cs="Arial"/>
          <w:lang w:val="en-US"/>
        </w:rPr>
        <w:tab/>
      </w:r>
      <w:r w:rsidR="0089600C" w:rsidRPr="00A765B0">
        <w:rPr>
          <w:rFonts w:ascii="Arial" w:hAnsi="Arial" w:cs="Arial"/>
          <w:lang w:val="en-US"/>
        </w:rPr>
        <w:t>The monetary amount claimed by the plaintiff is a penalty as envisaged by t</w:t>
      </w:r>
      <w:r w:rsidR="003E36C8" w:rsidRPr="00A765B0">
        <w:rPr>
          <w:rFonts w:ascii="Arial" w:hAnsi="Arial" w:cs="Arial"/>
          <w:lang w:val="en-US"/>
        </w:rPr>
        <w:t>he Conventional Penalties Act 15 of 1962</w:t>
      </w:r>
      <w:r w:rsidR="0089600C" w:rsidRPr="00A765B0">
        <w:rPr>
          <w:rFonts w:ascii="Arial" w:hAnsi="Arial" w:cs="Arial"/>
          <w:lang w:val="en-US"/>
        </w:rPr>
        <w:t>.</w:t>
      </w:r>
      <w:r w:rsidR="003E36C8" w:rsidRPr="00A765B0">
        <w:rPr>
          <w:rFonts w:ascii="Arial" w:hAnsi="Arial" w:cs="Arial"/>
          <w:lang w:val="en-US"/>
        </w:rPr>
        <w:t xml:space="preserve"> </w:t>
      </w:r>
      <w:r w:rsidR="0089600C" w:rsidRPr="00A765B0">
        <w:rPr>
          <w:rFonts w:ascii="Arial" w:hAnsi="Arial" w:cs="Arial"/>
          <w:lang w:val="en-US"/>
        </w:rPr>
        <w:t>T</w:t>
      </w:r>
      <w:r w:rsidR="003E36C8" w:rsidRPr="00A765B0">
        <w:rPr>
          <w:rFonts w:ascii="Arial" w:hAnsi="Arial" w:cs="Arial"/>
          <w:lang w:val="en-US"/>
        </w:rPr>
        <w:t xml:space="preserve">he </w:t>
      </w:r>
      <w:r w:rsidR="0089600C" w:rsidRPr="00A765B0">
        <w:rPr>
          <w:rFonts w:ascii="Arial" w:hAnsi="Arial" w:cs="Arial"/>
          <w:lang w:val="en-US"/>
        </w:rPr>
        <w:t xml:space="preserve">court should reduce the penalty that the plaintiff purports to charge the defendant </w:t>
      </w:r>
      <w:r w:rsidR="003E36C8" w:rsidRPr="00A765B0">
        <w:rPr>
          <w:rFonts w:ascii="Arial" w:hAnsi="Arial" w:cs="Arial"/>
          <w:lang w:val="en-US"/>
        </w:rPr>
        <w:t xml:space="preserve">to </w:t>
      </w:r>
      <w:r w:rsidR="0089600C" w:rsidRPr="00A765B0">
        <w:rPr>
          <w:rFonts w:ascii="Arial" w:hAnsi="Arial" w:cs="Arial"/>
          <w:lang w:val="en-US"/>
        </w:rPr>
        <w:t>align</w:t>
      </w:r>
      <w:r w:rsidR="003E36C8" w:rsidRPr="00A765B0">
        <w:rPr>
          <w:rFonts w:ascii="Arial" w:hAnsi="Arial" w:cs="Arial"/>
          <w:lang w:val="en-US"/>
        </w:rPr>
        <w:t xml:space="preserve"> with the principles espoused by the CPA and NPA.</w:t>
      </w:r>
    </w:p>
    <w:p w14:paraId="54D76843" w14:textId="77777777" w:rsidR="00DB4989" w:rsidRPr="00DB4989" w:rsidRDefault="00DB4989" w:rsidP="008225AF">
      <w:pPr>
        <w:spacing w:line="480" w:lineRule="auto"/>
        <w:jc w:val="both"/>
        <w:rPr>
          <w:rFonts w:ascii="Arial" w:hAnsi="Arial" w:cs="Arial"/>
        </w:rPr>
      </w:pPr>
    </w:p>
    <w:p w14:paraId="21B03C37" w14:textId="1AF50FAF" w:rsidR="007109C7" w:rsidRPr="00A765B0" w:rsidRDefault="00A765B0" w:rsidP="00A765B0">
      <w:pPr>
        <w:spacing w:line="480" w:lineRule="auto"/>
        <w:ind w:left="360" w:hanging="360"/>
        <w:jc w:val="both"/>
        <w:rPr>
          <w:rFonts w:ascii="Arial" w:hAnsi="Arial" w:cs="Arial"/>
          <w:lang w:val="en-US"/>
        </w:rPr>
      </w:pPr>
      <w:r>
        <w:rPr>
          <w:rFonts w:ascii="Arial" w:hAnsi="Arial" w:cs="Arial"/>
          <w:lang w:val="en-US"/>
        </w:rPr>
        <w:t>3.</w:t>
      </w:r>
      <w:r>
        <w:rPr>
          <w:rFonts w:ascii="Arial" w:hAnsi="Arial" w:cs="Arial"/>
          <w:lang w:val="en-US"/>
        </w:rPr>
        <w:tab/>
      </w:r>
      <w:r w:rsidR="007109C7" w:rsidRPr="00A765B0">
        <w:rPr>
          <w:rFonts w:ascii="Arial" w:hAnsi="Arial" w:cs="Arial"/>
          <w:lang w:val="en-US"/>
        </w:rPr>
        <w:t xml:space="preserve">The defendant, correctly so, </w:t>
      </w:r>
      <w:r w:rsidR="0064346F" w:rsidRPr="00A765B0">
        <w:rPr>
          <w:rFonts w:ascii="Arial" w:hAnsi="Arial" w:cs="Arial"/>
          <w:lang w:val="en-US"/>
        </w:rPr>
        <w:t>did</w:t>
      </w:r>
      <w:r w:rsidR="007109C7" w:rsidRPr="00A765B0">
        <w:rPr>
          <w:rFonts w:ascii="Arial" w:hAnsi="Arial" w:cs="Arial"/>
          <w:lang w:val="en-US"/>
        </w:rPr>
        <w:t xml:space="preserve"> not persist with the </w:t>
      </w:r>
      <w:r w:rsidR="007109C7" w:rsidRPr="00A765B0">
        <w:rPr>
          <w:rFonts w:ascii="Arial" w:hAnsi="Arial" w:cs="Arial"/>
          <w:i/>
          <w:iCs/>
          <w:lang w:val="en-US"/>
        </w:rPr>
        <w:t>locus standi</w:t>
      </w:r>
      <w:r w:rsidR="007109C7" w:rsidRPr="00A765B0">
        <w:rPr>
          <w:rFonts w:ascii="Arial" w:hAnsi="Arial" w:cs="Arial"/>
          <w:lang w:val="en-US"/>
        </w:rPr>
        <w:t xml:space="preserve"> defence </w:t>
      </w:r>
      <w:r w:rsidR="00A12523" w:rsidRPr="00A765B0">
        <w:rPr>
          <w:rFonts w:ascii="Arial" w:hAnsi="Arial" w:cs="Arial"/>
          <w:lang w:val="en-US"/>
        </w:rPr>
        <w:t>in her heads of argument or during the</w:t>
      </w:r>
      <w:r w:rsidR="007109C7" w:rsidRPr="00A765B0">
        <w:rPr>
          <w:rFonts w:ascii="Arial" w:hAnsi="Arial" w:cs="Arial"/>
          <w:lang w:val="en-US"/>
        </w:rPr>
        <w:t xml:space="preserve"> argument.</w:t>
      </w:r>
    </w:p>
    <w:p w14:paraId="7CD95C97" w14:textId="77777777" w:rsidR="00A426DD" w:rsidRDefault="00A426DD" w:rsidP="00A426DD">
      <w:pPr>
        <w:spacing w:line="480" w:lineRule="auto"/>
        <w:ind w:left="360"/>
        <w:jc w:val="both"/>
        <w:rPr>
          <w:rFonts w:ascii="Arial" w:hAnsi="Arial" w:cs="Arial"/>
          <w:lang w:val="en-US"/>
        </w:rPr>
      </w:pPr>
    </w:p>
    <w:p w14:paraId="04FADFA2" w14:textId="75F1C18A" w:rsidR="00A426DD" w:rsidRPr="00A426DD" w:rsidRDefault="00A426DD" w:rsidP="00A426DD">
      <w:pPr>
        <w:spacing w:line="480" w:lineRule="auto"/>
        <w:ind w:left="360"/>
        <w:jc w:val="both"/>
        <w:rPr>
          <w:rFonts w:ascii="Arial" w:hAnsi="Arial" w:cs="Arial"/>
          <w:b/>
          <w:bCs/>
          <w:lang w:val="en-US"/>
        </w:rPr>
      </w:pPr>
      <w:r>
        <w:rPr>
          <w:rFonts w:ascii="Arial" w:hAnsi="Arial" w:cs="Arial"/>
          <w:b/>
          <w:bCs/>
          <w:lang w:val="en-US"/>
        </w:rPr>
        <w:t xml:space="preserve">Legal </w:t>
      </w:r>
      <w:r w:rsidR="003408FB">
        <w:rPr>
          <w:rFonts w:ascii="Arial" w:hAnsi="Arial" w:cs="Arial"/>
          <w:b/>
          <w:bCs/>
          <w:lang w:val="en-US"/>
        </w:rPr>
        <w:t>Principles Re</w:t>
      </w:r>
      <w:r>
        <w:rPr>
          <w:rFonts w:ascii="Arial" w:hAnsi="Arial" w:cs="Arial"/>
          <w:b/>
          <w:bCs/>
          <w:lang w:val="en-US"/>
        </w:rPr>
        <w:t>lating to</w:t>
      </w:r>
      <w:r w:rsidRPr="00A426DD">
        <w:rPr>
          <w:rFonts w:ascii="Arial" w:hAnsi="Arial" w:cs="Arial"/>
          <w:b/>
          <w:bCs/>
          <w:lang w:val="en-US"/>
        </w:rPr>
        <w:t xml:space="preserve"> Summary Judgment</w:t>
      </w:r>
    </w:p>
    <w:p w14:paraId="4878D135" w14:textId="77777777" w:rsidR="00A426DD" w:rsidRPr="00A426DD" w:rsidRDefault="00A426DD" w:rsidP="00A426DD">
      <w:pPr>
        <w:spacing w:line="480" w:lineRule="auto"/>
        <w:ind w:left="360"/>
        <w:jc w:val="both"/>
        <w:rPr>
          <w:rFonts w:ascii="Arial" w:hAnsi="Arial" w:cs="Arial"/>
          <w:lang w:val="en-US"/>
        </w:rPr>
      </w:pPr>
    </w:p>
    <w:p w14:paraId="4708B301" w14:textId="3AC31409" w:rsidR="001F79A5" w:rsidRPr="00A765B0" w:rsidRDefault="00A765B0" w:rsidP="00A765B0">
      <w:pPr>
        <w:spacing w:line="480" w:lineRule="auto"/>
        <w:ind w:left="360" w:hanging="360"/>
        <w:jc w:val="both"/>
        <w:rPr>
          <w:rFonts w:ascii="Arial" w:hAnsi="Arial" w:cs="Arial"/>
          <w:lang w:val="en-US"/>
        </w:rPr>
      </w:pPr>
      <w:r w:rsidRPr="007109C7">
        <w:rPr>
          <w:rFonts w:ascii="Arial" w:hAnsi="Arial" w:cs="Arial"/>
          <w:lang w:val="en-US"/>
        </w:rPr>
        <w:t>4.</w:t>
      </w:r>
      <w:r w:rsidRPr="007109C7">
        <w:rPr>
          <w:rFonts w:ascii="Arial" w:hAnsi="Arial" w:cs="Arial"/>
          <w:lang w:val="en-US"/>
        </w:rPr>
        <w:tab/>
      </w:r>
      <w:r w:rsidR="00DB4989" w:rsidRPr="00A765B0">
        <w:rPr>
          <w:rFonts w:ascii="Arial" w:hAnsi="Arial" w:cs="Arial"/>
          <w:color w:val="242121"/>
          <w:shd w:val="clear" w:color="auto" w:fill="FFFFFF"/>
        </w:rPr>
        <w:t>Summary judgment has often been described as an extraordinary and drastic remedy in that if granted, “</w:t>
      </w:r>
      <w:r w:rsidR="00DB4989" w:rsidRPr="00A765B0">
        <w:rPr>
          <w:rFonts w:ascii="Arial" w:hAnsi="Arial" w:cs="Arial"/>
          <w:i/>
          <w:iCs/>
          <w:color w:val="242121"/>
          <w:shd w:val="clear" w:color="auto" w:fill="FFFFFF"/>
        </w:rPr>
        <w:t>it closes the door to a defendant and permits a judgment without a trial”.</w:t>
      </w:r>
      <w:r w:rsidR="00DB4989" w:rsidRPr="00A765B0">
        <w:rPr>
          <w:rFonts w:ascii="Arial" w:hAnsi="Arial" w:cs="Arial"/>
          <w:color w:val="242121"/>
          <w:shd w:val="clear" w:color="auto" w:fill="FFFFFF"/>
        </w:rPr>
        <w:t xml:space="preserve"> And yet</w:t>
      </w:r>
      <w:r w:rsidR="007109C7" w:rsidRPr="00A765B0">
        <w:rPr>
          <w:rFonts w:ascii="Arial" w:hAnsi="Arial" w:cs="Arial"/>
          <w:color w:val="242121"/>
          <w:shd w:val="clear" w:color="auto" w:fill="FFFFFF"/>
        </w:rPr>
        <w:t>,</w:t>
      </w:r>
      <w:r w:rsidR="00DB4989" w:rsidRPr="00A765B0">
        <w:rPr>
          <w:rFonts w:ascii="Arial" w:hAnsi="Arial" w:cs="Arial"/>
          <w:color w:val="242121"/>
          <w:shd w:val="clear" w:color="auto" w:fill="FFFFFF"/>
        </w:rPr>
        <w:t xml:space="preserve"> in reality, as the Supreme Court of Appeal pointed out in </w:t>
      </w:r>
      <w:r w:rsidR="00DB4989" w:rsidRPr="00A765B0">
        <w:rPr>
          <w:rFonts w:ascii="Arial" w:hAnsi="Arial" w:cs="Arial"/>
          <w:color w:val="000000" w:themeColor="text1"/>
          <w:shd w:val="clear" w:color="auto" w:fill="FFFFFF"/>
        </w:rPr>
        <w:t>Joob Joob Investments (Pty) Ltd v Stocks Mavundla Zek Joint Venture </w:t>
      </w:r>
      <w:hyperlink r:id="rId10" w:tooltip="View LawCiteRecord" w:history="1">
        <w:r w:rsidR="00DB4989" w:rsidRPr="00A765B0">
          <w:rPr>
            <w:rStyle w:val="Hyperlink"/>
            <w:rFonts w:ascii="Arial" w:hAnsi="Arial" w:cs="Arial"/>
            <w:color w:val="000000" w:themeColor="text1"/>
            <w:u w:val="none"/>
            <w:shd w:val="clear" w:color="auto" w:fill="FFFFFF"/>
          </w:rPr>
          <w:t>2009 (5) SA 1</w:t>
        </w:r>
      </w:hyperlink>
      <w:r w:rsidR="00DB4989" w:rsidRPr="00A765B0">
        <w:rPr>
          <w:rFonts w:ascii="Arial" w:hAnsi="Arial" w:cs="Arial"/>
          <w:color w:val="000000" w:themeColor="text1"/>
          <w:shd w:val="clear" w:color="auto" w:fill="FFFFFF"/>
        </w:rPr>
        <w:t> (SCA</w:t>
      </w:r>
      <w:r w:rsidR="00DB4989" w:rsidRPr="00A765B0">
        <w:rPr>
          <w:rFonts w:ascii="Arial" w:hAnsi="Arial" w:cs="Arial"/>
          <w:color w:val="242121"/>
          <w:shd w:val="clear" w:color="auto" w:fill="FFFFFF"/>
        </w:rPr>
        <w:t xml:space="preserve">), </w:t>
      </w:r>
      <w:r w:rsidR="00DB4989" w:rsidRPr="00A765B0">
        <w:rPr>
          <w:rFonts w:ascii="Arial" w:hAnsi="Arial" w:cs="Arial"/>
          <w:i/>
          <w:iCs/>
          <w:color w:val="242121"/>
          <w:shd w:val="clear" w:color="auto" w:fill="FFFFFF"/>
        </w:rPr>
        <w:t>“(h)</w:t>
      </w:r>
      <w:r w:rsidR="007109C7" w:rsidRPr="00A765B0">
        <w:rPr>
          <w:rFonts w:ascii="Arial" w:hAnsi="Arial" w:cs="Arial"/>
          <w:i/>
          <w:iCs/>
          <w:color w:val="242121"/>
          <w:shd w:val="clear" w:color="auto" w:fill="FFFFFF"/>
        </w:rPr>
        <w:t>having</w:t>
      </w:r>
      <w:r w:rsidR="00DB4989" w:rsidRPr="00A765B0">
        <w:rPr>
          <w:rFonts w:ascii="Arial" w:hAnsi="Arial" w:cs="Arial"/>
          <w:i/>
          <w:iCs/>
          <w:color w:val="242121"/>
          <w:shd w:val="clear" w:color="auto" w:fill="FFFFFF"/>
        </w:rPr>
        <w:t xml:space="preserve"> regard to its purpose and its proper application, summary judgment proceedings only hold terrors and are “drastic” for a defendant who has no defence.</w:t>
      </w:r>
      <w:r w:rsidR="007109C7">
        <w:rPr>
          <w:rStyle w:val="FootnoteReference"/>
          <w:rFonts w:ascii="Arial" w:hAnsi="Arial" w:cs="Arial"/>
          <w:i/>
          <w:iCs/>
          <w:color w:val="242121"/>
          <w:shd w:val="clear" w:color="auto" w:fill="FFFFFF"/>
        </w:rPr>
        <w:footnoteReference w:id="1"/>
      </w:r>
      <w:r w:rsidR="00DB4989" w:rsidRPr="00A765B0">
        <w:rPr>
          <w:rFonts w:ascii="Arial" w:hAnsi="Arial" w:cs="Arial"/>
          <w:color w:val="242121"/>
          <w:shd w:val="clear" w:color="auto" w:fill="FFFFFF"/>
        </w:rPr>
        <w:t>” The court went on to say that “</w:t>
      </w:r>
      <w:r w:rsidR="00DB4989" w:rsidRPr="00A765B0">
        <w:rPr>
          <w:rFonts w:ascii="Arial" w:hAnsi="Arial" w:cs="Arial"/>
          <w:i/>
          <w:iCs/>
          <w:color w:val="242121"/>
          <w:shd w:val="clear" w:color="auto" w:fill="FFFFFF"/>
        </w:rPr>
        <w:t xml:space="preserve">The rationale for summary judgment proceedings is impeccable. The procedure is not intended to deprive a defendant </w:t>
      </w:r>
      <w:r w:rsidR="00DB4989" w:rsidRPr="00A765B0">
        <w:rPr>
          <w:rFonts w:ascii="Arial" w:hAnsi="Arial" w:cs="Arial"/>
          <w:i/>
          <w:iCs/>
          <w:color w:val="242121"/>
          <w:shd w:val="clear" w:color="auto" w:fill="FFFFFF"/>
        </w:rPr>
        <w:lastRenderedPageBreak/>
        <w:t>with a triable issue or a sustainable defence of her/his day in court. …</w:t>
      </w:r>
      <w:r w:rsidR="007109C7">
        <w:rPr>
          <w:rStyle w:val="FootnoteReference"/>
          <w:rFonts w:ascii="Arial" w:hAnsi="Arial" w:cs="Arial"/>
          <w:i/>
          <w:iCs/>
          <w:color w:val="242121"/>
          <w:shd w:val="clear" w:color="auto" w:fill="FFFFFF"/>
        </w:rPr>
        <w:footnoteReference w:id="2"/>
      </w:r>
      <w:r w:rsidR="00DB4989" w:rsidRPr="00A765B0">
        <w:rPr>
          <w:rFonts w:ascii="Arial" w:hAnsi="Arial" w:cs="Arial"/>
          <w:i/>
          <w:iCs/>
          <w:color w:val="242121"/>
          <w:shd w:val="clear" w:color="auto" w:fill="FFFFFF"/>
        </w:rPr>
        <w:t>”</w:t>
      </w:r>
      <w:r w:rsidR="00DB4989" w:rsidRPr="00A765B0">
        <w:rPr>
          <w:rFonts w:ascii="Arial" w:hAnsi="Arial" w:cs="Arial"/>
          <w:color w:val="242121"/>
          <w:shd w:val="clear" w:color="auto" w:fill="FFFFFF"/>
        </w:rPr>
        <w:t>.</w:t>
      </w:r>
      <w:r w:rsidR="007109C7" w:rsidRPr="00A765B0">
        <w:rPr>
          <w:rFonts w:ascii="Arial" w:hAnsi="Arial" w:cs="Arial"/>
        </w:rPr>
        <w:t xml:space="preserve"> The purpose of the summary judgment procedure is to afford an innocent plaintiff who has an unanswerable case against an elusive defendant a much speedier remedy than that of waiting for the conclusion of an action. However, it must be noted that if there are triable issues of fact in any cause of action or if it is unclear whether there are such triable issues, summary judgment must be refused as to that cause of action. </w:t>
      </w:r>
    </w:p>
    <w:p w14:paraId="26228F55" w14:textId="77777777" w:rsidR="00BF00FE" w:rsidRDefault="00BF00FE" w:rsidP="008225AF">
      <w:pPr>
        <w:pStyle w:val="ListParagraph"/>
        <w:spacing w:line="480" w:lineRule="auto"/>
        <w:ind w:left="360"/>
        <w:jc w:val="both"/>
        <w:rPr>
          <w:rFonts w:ascii="Arial" w:hAnsi="Arial" w:cs="Arial"/>
          <w:lang w:val="en-US"/>
        </w:rPr>
      </w:pPr>
    </w:p>
    <w:p w14:paraId="579E4B6B" w14:textId="6F6C3B0F" w:rsidR="007109C7" w:rsidRPr="00BF00FE" w:rsidRDefault="00BF00FE" w:rsidP="008225AF">
      <w:pPr>
        <w:pStyle w:val="ListParagraph"/>
        <w:spacing w:line="480" w:lineRule="auto"/>
        <w:ind w:left="360"/>
        <w:jc w:val="both"/>
        <w:rPr>
          <w:rFonts w:ascii="Arial" w:hAnsi="Arial" w:cs="Arial"/>
          <w:b/>
          <w:bCs/>
          <w:lang w:val="en-US"/>
        </w:rPr>
      </w:pPr>
      <w:r w:rsidRPr="00BF00FE">
        <w:rPr>
          <w:rFonts w:ascii="Arial" w:hAnsi="Arial" w:cs="Arial"/>
          <w:b/>
          <w:bCs/>
          <w:lang w:val="en-US"/>
        </w:rPr>
        <w:t>Issues for determination</w:t>
      </w:r>
    </w:p>
    <w:p w14:paraId="12AF7019" w14:textId="77777777" w:rsidR="00BF00FE" w:rsidRPr="007109C7" w:rsidRDefault="00BF00FE" w:rsidP="008225AF">
      <w:pPr>
        <w:pStyle w:val="ListParagraph"/>
        <w:spacing w:line="480" w:lineRule="auto"/>
        <w:ind w:left="360"/>
        <w:jc w:val="both"/>
        <w:rPr>
          <w:rFonts w:ascii="Arial" w:hAnsi="Arial" w:cs="Arial"/>
          <w:lang w:val="en-US"/>
        </w:rPr>
      </w:pPr>
    </w:p>
    <w:p w14:paraId="71B5ECFB" w14:textId="1A99B289" w:rsidR="007109C7" w:rsidRPr="00A765B0" w:rsidRDefault="00A765B0" w:rsidP="00A765B0">
      <w:pPr>
        <w:spacing w:line="480" w:lineRule="auto"/>
        <w:ind w:left="360" w:hanging="360"/>
        <w:jc w:val="both"/>
        <w:rPr>
          <w:rFonts w:ascii="Arial" w:hAnsi="Arial" w:cs="Arial"/>
          <w:lang w:val="en-US"/>
        </w:rPr>
      </w:pPr>
      <w:r w:rsidRPr="007109C7">
        <w:rPr>
          <w:rFonts w:ascii="Arial" w:hAnsi="Arial" w:cs="Arial"/>
          <w:lang w:val="en-US"/>
        </w:rPr>
        <w:t>5.</w:t>
      </w:r>
      <w:r w:rsidRPr="007109C7">
        <w:rPr>
          <w:rFonts w:ascii="Arial" w:hAnsi="Arial" w:cs="Arial"/>
          <w:lang w:val="en-US"/>
        </w:rPr>
        <w:tab/>
      </w:r>
      <w:r w:rsidR="007109C7" w:rsidRPr="00A765B0">
        <w:rPr>
          <w:rFonts w:ascii="Arial" w:hAnsi="Arial" w:cs="Arial"/>
          <w:color w:val="242121"/>
          <w:shd w:val="clear" w:color="auto" w:fill="FFFFFF"/>
        </w:rPr>
        <w:t>The issue for determination is whether the defendant</w:t>
      </w:r>
      <w:r w:rsidR="0064346F" w:rsidRPr="00A765B0">
        <w:rPr>
          <w:rFonts w:ascii="Arial" w:hAnsi="Arial" w:cs="Arial"/>
          <w:color w:val="242121"/>
          <w:shd w:val="clear" w:color="auto" w:fill="FFFFFF"/>
        </w:rPr>
        <w:t xml:space="preserve"> has disclosed a </w:t>
      </w:r>
      <w:r w:rsidR="0064346F" w:rsidRPr="00A765B0">
        <w:rPr>
          <w:rFonts w:ascii="Arial" w:hAnsi="Arial" w:cs="Arial"/>
          <w:i/>
          <w:iCs/>
          <w:color w:val="242121"/>
          <w:shd w:val="clear" w:color="auto" w:fill="FFFFFF"/>
        </w:rPr>
        <w:t>bona fide</w:t>
      </w:r>
      <w:r w:rsidR="0064346F" w:rsidRPr="00A765B0">
        <w:rPr>
          <w:rFonts w:ascii="Arial" w:hAnsi="Arial" w:cs="Arial"/>
          <w:color w:val="242121"/>
          <w:shd w:val="clear" w:color="auto" w:fill="FFFFFF"/>
        </w:rPr>
        <w:t xml:space="preserve"> defence that is good in law in accordance with the peremptory provisions of Rule 32(3) of the Uniform Rules of Court.</w:t>
      </w:r>
    </w:p>
    <w:p w14:paraId="132910E5" w14:textId="77777777" w:rsidR="007109C7" w:rsidRDefault="007109C7" w:rsidP="008225AF">
      <w:pPr>
        <w:pStyle w:val="ListParagraph"/>
        <w:spacing w:line="480" w:lineRule="auto"/>
        <w:ind w:left="360"/>
        <w:jc w:val="both"/>
        <w:rPr>
          <w:rFonts w:ascii="Arial" w:hAnsi="Arial" w:cs="Arial"/>
          <w:color w:val="242121"/>
          <w:shd w:val="clear" w:color="auto" w:fill="FFFFFF"/>
        </w:rPr>
      </w:pPr>
    </w:p>
    <w:p w14:paraId="41481CA6" w14:textId="330FA24B" w:rsidR="007109C7" w:rsidRPr="0064346F" w:rsidRDefault="007109C7" w:rsidP="008225AF">
      <w:pPr>
        <w:pStyle w:val="ListParagraph"/>
        <w:spacing w:line="480" w:lineRule="auto"/>
        <w:ind w:left="360"/>
        <w:jc w:val="both"/>
        <w:rPr>
          <w:rFonts w:ascii="Arial" w:hAnsi="Arial" w:cs="Arial"/>
          <w:b/>
          <w:bCs/>
          <w:color w:val="242121"/>
          <w:shd w:val="clear" w:color="auto" w:fill="FFFFFF"/>
        </w:rPr>
      </w:pPr>
      <w:r w:rsidRPr="0064346F">
        <w:rPr>
          <w:rFonts w:ascii="Arial" w:hAnsi="Arial" w:cs="Arial"/>
          <w:b/>
          <w:bCs/>
          <w:color w:val="242121"/>
          <w:shd w:val="clear" w:color="auto" w:fill="FFFFFF"/>
        </w:rPr>
        <w:t xml:space="preserve">Plaintiff’s Claim </w:t>
      </w:r>
    </w:p>
    <w:p w14:paraId="5C61C010" w14:textId="77777777" w:rsidR="0064346F" w:rsidRPr="0064346F" w:rsidRDefault="0064346F" w:rsidP="008225AF">
      <w:pPr>
        <w:spacing w:line="480" w:lineRule="auto"/>
        <w:jc w:val="both"/>
        <w:rPr>
          <w:rFonts w:ascii="Arial" w:hAnsi="Arial" w:cs="Arial"/>
          <w:lang w:val="en-US"/>
        </w:rPr>
      </w:pPr>
    </w:p>
    <w:p w14:paraId="79703DD2" w14:textId="61FE8ABA" w:rsidR="00D5000D" w:rsidRPr="00A765B0" w:rsidRDefault="00A765B0" w:rsidP="00A765B0">
      <w:pPr>
        <w:spacing w:line="480" w:lineRule="auto"/>
        <w:ind w:left="360" w:hanging="360"/>
        <w:jc w:val="both"/>
        <w:rPr>
          <w:rFonts w:ascii="Arial" w:hAnsi="Arial" w:cs="Arial"/>
          <w:lang w:val="en-US"/>
        </w:rPr>
      </w:pPr>
      <w:r>
        <w:rPr>
          <w:rFonts w:ascii="Arial" w:hAnsi="Arial" w:cs="Arial"/>
          <w:lang w:val="en-US"/>
        </w:rPr>
        <w:t>6.</w:t>
      </w:r>
      <w:r>
        <w:rPr>
          <w:rFonts w:ascii="Arial" w:hAnsi="Arial" w:cs="Arial"/>
          <w:lang w:val="en-US"/>
        </w:rPr>
        <w:tab/>
      </w:r>
      <w:r w:rsidR="0064346F" w:rsidRPr="00A765B0">
        <w:rPr>
          <w:rFonts w:ascii="Arial" w:hAnsi="Arial" w:cs="Arial"/>
          <w:lang w:val="en-US"/>
        </w:rPr>
        <w:t xml:space="preserve">The plaintiff’s claim is based on a </w:t>
      </w:r>
      <w:r w:rsidR="00AC59F9" w:rsidRPr="00A765B0">
        <w:rPr>
          <w:rFonts w:ascii="Arial" w:hAnsi="Arial" w:cs="Arial"/>
          <w:lang w:val="en-US"/>
        </w:rPr>
        <w:t>m</w:t>
      </w:r>
      <w:r w:rsidR="0064346F" w:rsidRPr="00A765B0">
        <w:rPr>
          <w:rFonts w:ascii="Arial" w:hAnsi="Arial" w:cs="Arial"/>
          <w:lang w:val="en-US"/>
        </w:rPr>
        <w:t xml:space="preserve">aster </w:t>
      </w:r>
      <w:r w:rsidR="00AC59F9" w:rsidRPr="00A765B0">
        <w:rPr>
          <w:rFonts w:ascii="Arial" w:hAnsi="Arial" w:cs="Arial"/>
          <w:lang w:val="en-US"/>
        </w:rPr>
        <w:t>r</w:t>
      </w:r>
      <w:r w:rsidR="0064346F" w:rsidRPr="00A765B0">
        <w:rPr>
          <w:rFonts w:ascii="Arial" w:hAnsi="Arial" w:cs="Arial"/>
          <w:lang w:val="en-US"/>
        </w:rPr>
        <w:t>ental agreement concluded between the cedent, namely, Sasfin Bank Ltd (“Sasfin”) and the defendant</w:t>
      </w:r>
      <w:r w:rsidR="008A37B2" w:rsidRPr="00A765B0">
        <w:rPr>
          <w:rFonts w:ascii="Arial" w:hAnsi="Arial" w:cs="Arial"/>
          <w:lang w:val="en-US"/>
        </w:rPr>
        <w:t>, a medical practitioner,</w:t>
      </w:r>
      <w:r w:rsidR="0064346F" w:rsidRPr="00A765B0">
        <w:rPr>
          <w:rFonts w:ascii="Arial" w:hAnsi="Arial" w:cs="Arial"/>
          <w:lang w:val="en-US"/>
        </w:rPr>
        <w:t xml:space="preserve"> on 28 August 2018 (“the agreement) in terms of which Sasfin financed office telephonic equipment</w:t>
      </w:r>
      <w:r w:rsidR="00A25921" w:rsidRPr="00A765B0">
        <w:rPr>
          <w:rFonts w:ascii="Arial" w:hAnsi="Arial" w:cs="Arial"/>
          <w:lang w:val="en-US"/>
        </w:rPr>
        <w:t>,</w:t>
      </w:r>
      <w:r w:rsidR="0064346F" w:rsidRPr="00A765B0">
        <w:rPr>
          <w:rFonts w:ascii="Arial" w:hAnsi="Arial" w:cs="Arial"/>
          <w:lang w:val="en-US"/>
        </w:rPr>
        <w:t xml:space="preserve"> which the defendant </w:t>
      </w:r>
      <w:r w:rsidR="009869DD" w:rsidRPr="00A765B0">
        <w:rPr>
          <w:rFonts w:ascii="Arial" w:hAnsi="Arial" w:cs="Arial"/>
          <w:lang w:val="en-US"/>
        </w:rPr>
        <w:t>would</w:t>
      </w:r>
      <w:r w:rsidR="0064346F" w:rsidRPr="00A765B0">
        <w:rPr>
          <w:rFonts w:ascii="Arial" w:hAnsi="Arial" w:cs="Arial"/>
          <w:lang w:val="en-US"/>
        </w:rPr>
        <w:t xml:space="preserve"> </w:t>
      </w:r>
      <w:r w:rsidR="009869DD" w:rsidRPr="00A765B0">
        <w:rPr>
          <w:rFonts w:ascii="Arial" w:hAnsi="Arial" w:cs="Arial"/>
          <w:lang w:val="en-US"/>
        </w:rPr>
        <w:t>rent</w:t>
      </w:r>
      <w:r w:rsidR="0064346F" w:rsidRPr="00A765B0">
        <w:rPr>
          <w:rFonts w:ascii="Arial" w:hAnsi="Arial" w:cs="Arial"/>
          <w:lang w:val="en-US"/>
        </w:rPr>
        <w:t xml:space="preserve"> for </w:t>
      </w:r>
      <w:r w:rsidR="009869DD" w:rsidRPr="00A765B0">
        <w:rPr>
          <w:rFonts w:ascii="Arial" w:hAnsi="Arial" w:cs="Arial"/>
          <w:lang w:val="en-US"/>
        </w:rPr>
        <w:t xml:space="preserve">a period of 60 months for a charge of R 2 424, 40 per month, which monthly rental charge would escalate by 15%  annually. </w:t>
      </w:r>
      <w:r w:rsidR="00A12523" w:rsidRPr="00A765B0">
        <w:rPr>
          <w:rFonts w:ascii="Arial" w:hAnsi="Arial" w:cs="Arial"/>
          <w:lang w:val="en-US"/>
        </w:rPr>
        <w:t>The monthly payment date would be on the 25</w:t>
      </w:r>
      <w:r w:rsidR="00A12523" w:rsidRPr="00A765B0">
        <w:rPr>
          <w:rFonts w:ascii="Arial" w:hAnsi="Arial" w:cs="Arial"/>
          <w:vertAlign w:val="superscript"/>
          <w:lang w:val="en-US"/>
        </w:rPr>
        <w:t>th</w:t>
      </w:r>
      <w:r w:rsidR="00A12523" w:rsidRPr="00A765B0">
        <w:rPr>
          <w:rFonts w:ascii="Arial" w:hAnsi="Arial" w:cs="Arial"/>
          <w:lang w:val="en-US"/>
        </w:rPr>
        <w:t xml:space="preserve"> of each month. </w:t>
      </w:r>
      <w:r w:rsidR="009869DD" w:rsidRPr="00A765B0">
        <w:rPr>
          <w:rFonts w:ascii="Arial" w:hAnsi="Arial" w:cs="Arial"/>
          <w:lang w:val="en-US"/>
        </w:rPr>
        <w:t>Notably, the defendant does not take ownership of the telephonic equipment at the end of the agreement</w:t>
      </w:r>
      <w:r w:rsidR="00325D0B" w:rsidRPr="00A765B0">
        <w:rPr>
          <w:rFonts w:ascii="Arial" w:hAnsi="Arial" w:cs="Arial"/>
          <w:lang w:val="en-US"/>
        </w:rPr>
        <w:t>; the</w:t>
      </w:r>
      <w:r w:rsidR="00A25921" w:rsidRPr="00A765B0">
        <w:rPr>
          <w:rFonts w:ascii="Arial" w:hAnsi="Arial" w:cs="Arial"/>
          <w:lang w:val="en-US"/>
        </w:rPr>
        <w:t xml:space="preserve"> relevance of this is that this</w:t>
      </w:r>
      <w:r w:rsidR="00965329" w:rsidRPr="00A765B0">
        <w:rPr>
          <w:rFonts w:ascii="Arial" w:hAnsi="Arial" w:cs="Arial"/>
          <w:lang w:val="en-US"/>
        </w:rPr>
        <w:t xml:space="preserve"> agreement </w:t>
      </w:r>
      <w:r w:rsidR="00965329" w:rsidRPr="00A765B0">
        <w:rPr>
          <w:rFonts w:ascii="Arial" w:hAnsi="Arial" w:cs="Arial"/>
          <w:lang w:val="en-US"/>
        </w:rPr>
        <w:lastRenderedPageBreak/>
        <w:t xml:space="preserve">is not considered a lease agreement as contemplated by the National Credit Act </w:t>
      </w:r>
      <w:r w:rsidR="0083524D" w:rsidRPr="00A765B0">
        <w:rPr>
          <w:rFonts w:ascii="Arial" w:hAnsi="Arial" w:cs="Arial"/>
          <w:lang w:val="en-US"/>
        </w:rPr>
        <w:t>34 of 2005</w:t>
      </w:r>
      <w:r w:rsidR="00F87BCB" w:rsidRPr="0083524D">
        <w:rPr>
          <w:rStyle w:val="FootnoteReference"/>
          <w:rFonts w:ascii="Arial" w:hAnsi="Arial" w:cs="Arial"/>
          <w:lang w:val="en-US"/>
        </w:rPr>
        <w:footnoteReference w:id="3"/>
      </w:r>
      <w:r w:rsidR="00A25921" w:rsidRPr="00A765B0">
        <w:rPr>
          <w:rFonts w:ascii="Arial" w:hAnsi="Arial" w:cs="Arial"/>
          <w:lang w:val="en-US"/>
        </w:rPr>
        <w:t xml:space="preserve"> </w:t>
      </w:r>
    </w:p>
    <w:p w14:paraId="7CD5ED1A" w14:textId="77777777" w:rsidR="00965329" w:rsidRPr="00965329" w:rsidRDefault="00965329" w:rsidP="008225AF">
      <w:pPr>
        <w:pStyle w:val="ListParagraph"/>
        <w:spacing w:line="480" w:lineRule="auto"/>
        <w:ind w:left="360"/>
        <w:jc w:val="both"/>
        <w:rPr>
          <w:rFonts w:ascii="Arial" w:hAnsi="Arial" w:cs="Arial"/>
          <w:lang w:val="en-US"/>
        </w:rPr>
      </w:pPr>
    </w:p>
    <w:p w14:paraId="0CB61DEA" w14:textId="623C270D" w:rsidR="00D5000D" w:rsidRPr="00A765B0" w:rsidRDefault="00A765B0" w:rsidP="00A765B0">
      <w:pPr>
        <w:spacing w:line="480" w:lineRule="auto"/>
        <w:ind w:left="360" w:hanging="360"/>
        <w:jc w:val="both"/>
        <w:rPr>
          <w:rFonts w:ascii="Arial" w:hAnsi="Arial" w:cs="Arial"/>
          <w:i/>
          <w:iCs/>
          <w:lang w:val="en-US"/>
        </w:rPr>
      </w:pPr>
      <w:r w:rsidRPr="00D5000D">
        <w:rPr>
          <w:rFonts w:ascii="Arial" w:hAnsi="Arial" w:cs="Arial"/>
          <w:i/>
          <w:iCs/>
          <w:lang w:val="en-US"/>
        </w:rPr>
        <w:t>7.</w:t>
      </w:r>
      <w:r w:rsidRPr="00D5000D">
        <w:rPr>
          <w:rFonts w:ascii="Arial" w:hAnsi="Arial" w:cs="Arial"/>
          <w:i/>
          <w:iCs/>
          <w:lang w:val="en-US"/>
        </w:rPr>
        <w:tab/>
      </w:r>
      <w:r w:rsidR="00A25921" w:rsidRPr="00A765B0">
        <w:rPr>
          <w:rFonts w:ascii="Arial" w:hAnsi="Arial" w:cs="Arial"/>
          <w:lang w:val="en-US"/>
        </w:rPr>
        <w:t>On</w:t>
      </w:r>
      <w:r w:rsidR="00D5000D" w:rsidRPr="00A765B0">
        <w:rPr>
          <w:rFonts w:ascii="Arial" w:hAnsi="Arial" w:cs="Arial"/>
          <w:lang w:val="en-US"/>
        </w:rPr>
        <w:t xml:space="preserve"> or about 18 March 2019, a written sale and transfer agreement (“the sale and Transfer Agreement”) was concluded between Sasfin and the plaintiff, in terms of which the </w:t>
      </w:r>
      <w:r w:rsidR="00AC59F9" w:rsidRPr="00A765B0">
        <w:rPr>
          <w:rFonts w:ascii="Arial" w:hAnsi="Arial" w:cs="Arial"/>
          <w:lang w:val="en-US"/>
        </w:rPr>
        <w:t>m</w:t>
      </w:r>
      <w:r w:rsidR="00D5000D" w:rsidRPr="00A765B0">
        <w:rPr>
          <w:rFonts w:ascii="Arial" w:hAnsi="Arial" w:cs="Arial"/>
          <w:lang w:val="en-US"/>
        </w:rPr>
        <w:t xml:space="preserve">aster </w:t>
      </w:r>
      <w:r w:rsidR="00AC59F9" w:rsidRPr="00A765B0">
        <w:rPr>
          <w:rFonts w:ascii="Arial" w:hAnsi="Arial" w:cs="Arial"/>
          <w:lang w:val="en-US"/>
        </w:rPr>
        <w:t>r</w:t>
      </w:r>
      <w:r w:rsidR="00D5000D" w:rsidRPr="00A765B0">
        <w:rPr>
          <w:rFonts w:ascii="Arial" w:hAnsi="Arial" w:cs="Arial"/>
          <w:lang w:val="en-US"/>
        </w:rPr>
        <w:t xml:space="preserve">ental </w:t>
      </w:r>
      <w:r w:rsidR="00AC59F9" w:rsidRPr="00A765B0">
        <w:rPr>
          <w:rFonts w:ascii="Arial" w:hAnsi="Arial" w:cs="Arial"/>
          <w:lang w:val="en-US"/>
        </w:rPr>
        <w:t>a</w:t>
      </w:r>
      <w:r w:rsidR="00D5000D" w:rsidRPr="00A765B0">
        <w:rPr>
          <w:rFonts w:ascii="Arial" w:hAnsi="Arial" w:cs="Arial"/>
          <w:lang w:val="en-US"/>
        </w:rPr>
        <w:t>greement was sold by Sasfin to the plaintiff. Of importance is clause 5.3 thereof</w:t>
      </w:r>
      <w:r w:rsidR="00A25921" w:rsidRPr="00A765B0">
        <w:rPr>
          <w:rFonts w:ascii="Arial" w:hAnsi="Arial" w:cs="Arial"/>
          <w:lang w:val="en-US"/>
        </w:rPr>
        <w:t>,</w:t>
      </w:r>
      <w:r w:rsidR="00D5000D" w:rsidRPr="00A765B0">
        <w:rPr>
          <w:rFonts w:ascii="Arial" w:hAnsi="Arial" w:cs="Arial"/>
          <w:lang w:val="en-US"/>
        </w:rPr>
        <w:t xml:space="preserve"> which reads as follows</w:t>
      </w:r>
      <w:r w:rsidR="00D5000D" w:rsidRPr="00A765B0">
        <w:rPr>
          <w:rFonts w:ascii="Arial" w:hAnsi="Arial" w:cs="Arial"/>
          <w:i/>
          <w:iCs/>
          <w:lang w:val="en-US"/>
        </w:rPr>
        <w:t>:- “With effect from the Effective Date and subject to compliance by the seller and the purchaser with their respective obligations in terms of clause 4 and this clause 5, the seller shall have ceded all its right, title and interest in and to, and delegated its obligations under each Specified Equipment Lease to the purchaser, the purchaser shall have accepted each cession and delegation and the purchaser will be the full legal owner of each Specified Equipment Lease, and will be entitled to exercise all rights in regard to each Specified Equipment Lease</w:t>
      </w:r>
      <w:r w:rsidR="00A426DD" w:rsidRPr="00A765B0">
        <w:rPr>
          <w:rFonts w:ascii="Arial" w:hAnsi="Arial" w:cs="Arial"/>
          <w:i/>
          <w:iCs/>
          <w:lang w:val="en-US"/>
        </w:rPr>
        <w:t>.</w:t>
      </w:r>
      <w:r w:rsidR="00D5000D" w:rsidRPr="00A765B0">
        <w:rPr>
          <w:rFonts w:ascii="Arial" w:hAnsi="Arial" w:cs="Arial"/>
          <w:i/>
          <w:iCs/>
          <w:lang w:val="en-US"/>
        </w:rPr>
        <w:t>”</w:t>
      </w:r>
    </w:p>
    <w:p w14:paraId="646CCFC1" w14:textId="77777777" w:rsidR="00D5000D" w:rsidRDefault="00D5000D" w:rsidP="008225AF">
      <w:pPr>
        <w:pStyle w:val="ListParagraph"/>
        <w:spacing w:line="480" w:lineRule="auto"/>
        <w:ind w:left="360"/>
        <w:jc w:val="both"/>
        <w:rPr>
          <w:rFonts w:ascii="Arial" w:hAnsi="Arial" w:cs="Arial"/>
          <w:lang w:val="en-US"/>
        </w:rPr>
      </w:pPr>
    </w:p>
    <w:p w14:paraId="7DAFB28F" w14:textId="6F44C86D" w:rsidR="00D5000D" w:rsidRPr="00A765B0" w:rsidRDefault="00A765B0" w:rsidP="00A765B0">
      <w:pPr>
        <w:spacing w:line="480" w:lineRule="auto"/>
        <w:ind w:left="360" w:hanging="360"/>
        <w:jc w:val="both"/>
        <w:rPr>
          <w:rFonts w:ascii="Arial" w:hAnsi="Arial" w:cs="Arial"/>
          <w:lang w:val="en-US"/>
        </w:rPr>
      </w:pPr>
      <w:r w:rsidRPr="00965329">
        <w:rPr>
          <w:rFonts w:ascii="Arial" w:hAnsi="Arial" w:cs="Arial"/>
          <w:lang w:val="en-US"/>
        </w:rPr>
        <w:t>8.</w:t>
      </w:r>
      <w:r w:rsidRPr="00965329">
        <w:rPr>
          <w:rFonts w:ascii="Arial" w:hAnsi="Arial" w:cs="Arial"/>
          <w:lang w:val="en-US"/>
        </w:rPr>
        <w:tab/>
      </w:r>
      <w:r w:rsidR="00D5000D" w:rsidRPr="00A765B0">
        <w:rPr>
          <w:rFonts w:ascii="Arial" w:hAnsi="Arial" w:cs="Arial"/>
          <w:lang w:val="en-US"/>
        </w:rPr>
        <w:t>The plaintiff contends that the defendant breached the agreement by failing to pay all rentals due</w:t>
      </w:r>
      <w:r w:rsidR="0089600C" w:rsidRPr="00A765B0">
        <w:rPr>
          <w:rFonts w:ascii="Arial" w:hAnsi="Arial" w:cs="Arial"/>
          <w:lang w:val="en-US"/>
        </w:rPr>
        <w:t xml:space="preserve"> to it</w:t>
      </w:r>
      <w:r w:rsidR="00D5000D" w:rsidRPr="00A765B0">
        <w:rPr>
          <w:rFonts w:ascii="Arial" w:hAnsi="Arial" w:cs="Arial"/>
          <w:lang w:val="en-US"/>
        </w:rPr>
        <w:t xml:space="preserve"> in terms of the agreement</w:t>
      </w:r>
      <w:r w:rsidR="00A25921" w:rsidRPr="00A765B0">
        <w:rPr>
          <w:rFonts w:ascii="Arial" w:hAnsi="Arial" w:cs="Arial"/>
          <w:lang w:val="en-US"/>
        </w:rPr>
        <w:t>,</w:t>
      </w:r>
      <w:r w:rsidR="00D5000D" w:rsidRPr="00A765B0">
        <w:rPr>
          <w:rFonts w:ascii="Arial" w:hAnsi="Arial" w:cs="Arial"/>
          <w:lang w:val="en-US"/>
        </w:rPr>
        <w:t xml:space="preserve"> and, as of 12 January 2022, the defendant was in arrears in the amount of </w:t>
      </w:r>
      <w:r w:rsidR="00D5000D" w:rsidRPr="00A765B0">
        <w:rPr>
          <w:rFonts w:ascii="Arial" w:hAnsi="Arial" w:cs="Arial"/>
          <w:b/>
          <w:bCs/>
          <w:lang w:val="en-US"/>
        </w:rPr>
        <w:t>R 33 084, 78.</w:t>
      </w:r>
      <w:r w:rsidR="00D5000D" w:rsidRPr="00A765B0">
        <w:rPr>
          <w:rFonts w:ascii="Arial" w:hAnsi="Arial" w:cs="Arial"/>
          <w:lang w:val="en-US"/>
        </w:rPr>
        <w:t xml:space="preserve"> </w:t>
      </w:r>
      <w:r w:rsidR="00E4575C" w:rsidRPr="00A765B0">
        <w:rPr>
          <w:rFonts w:ascii="Arial" w:hAnsi="Arial" w:cs="Arial"/>
          <w:lang w:val="en-US"/>
        </w:rPr>
        <w:t xml:space="preserve"> </w:t>
      </w:r>
      <w:r w:rsidR="00A72A32" w:rsidRPr="00A765B0">
        <w:rPr>
          <w:rFonts w:ascii="Arial" w:hAnsi="Arial" w:cs="Arial"/>
          <w:lang w:val="en-US"/>
        </w:rPr>
        <w:t>The</w:t>
      </w:r>
      <w:r w:rsidR="00E4575C" w:rsidRPr="00A765B0">
        <w:rPr>
          <w:rFonts w:ascii="Arial" w:hAnsi="Arial" w:cs="Arial"/>
          <w:lang w:val="en-US"/>
        </w:rPr>
        <w:t xml:space="preserve"> defendant</w:t>
      </w:r>
      <w:r w:rsidR="00A72A32" w:rsidRPr="00A765B0">
        <w:rPr>
          <w:rFonts w:ascii="Arial" w:hAnsi="Arial" w:cs="Arial"/>
          <w:lang w:val="en-US"/>
        </w:rPr>
        <w:t xml:space="preserve"> conceded that her</w:t>
      </w:r>
      <w:r w:rsidR="00A12523" w:rsidRPr="00A765B0">
        <w:rPr>
          <w:rFonts w:ascii="Arial" w:hAnsi="Arial" w:cs="Arial"/>
          <w:lang w:val="en-US"/>
        </w:rPr>
        <w:t xml:space="preserve"> last payment to the plaintiff was on 25 February 2021</w:t>
      </w:r>
      <w:r w:rsidR="00965329" w:rsidRPr="00A765B0">
        <w:rPr>
          <w:rFonts w:ascii="Arial" w:hAnsi="Arial" w:cs="Arial"/>
          <w:lang w:val="en-US"/>
        </w:rPr>
        <w:t xml:space="preserve">. </w:t>
      </w:r>
      <w:r w:rsidR="00E4575C" w:rsidRPr="00A765B0">
        <w:rPr>
          <w:rFonts w:ascii="Arial" w:hAnsi="Arial" w:cs="Arial"/>
          <w:lang w:val="en-US"/>
        </w:rPr>
        <w:t xml:space="preserve">The defendant, however, denies that </w:t>
      </w:r>
      <w:r w:rsidR="00965329" w:rsidRPr="00A765B0">
        <w:rPr>
          <w:rFonts w:ascii="Arial" w:hAnsi="Arial" w:cs="Arial"/>
          <w:lang w:val="en-US"/>
        </w:rPr>
        <w:t>she</w:t>
      </w:r>
      <w:r w:rsidR="00E4575C" w:rsidRPr="00A765B0">
        <w:rPr>
          <w:rFonts w:ascii="Arial" w:hAnsi="Arial" w:cs="Arial"/>
          <w:lang w:val="en-US"/>
        </w:rPr>
        <w:t xml:space="preserve"> breached the agreement or that the plaintiff was entitled to charge her </w:t>
      </w:r>
      <w:r w:rsidR="00965329" w:rsidRPr="00A765B0">
        <w:rPr>
          <w:rFonts w:ascii="Arial" w:hAnsi="Arial" w:cs="Arial"/>
          <w:lang w:val="en-US"/>
        </w:rPr>
        <w:t>rental</w:t>
      </w:r>
      <w:r w:rsidR="00E4575C" w:rsidRPr="00A765B0">
        <w:rPr>
          <w:rFonts w:ascii="Arial" w:hAnsi="Arial" w:cs="Arial"/>
          <w:lang w:val="en-US"/>
        </w:rPr>
        <w:t xml:space="preserve"> </w:t>
      </w:r>
      <w:r w:rsidR="00965329" w:rsidRPr="00A765B0">
        <w:rPr>
          <w:rFonts w:ascii="Arial" w:hAnsi="Arial" w:cs="Arial"/>
          <w:lang w:val="en-US"/>
        </w:rPr>
        <w:t xml:space="preserve">after </w:t>
      </w:r>
      <w:r w:rsidR="0089600C" w:rsidRPr="00A765B0">
        <w:rPr>
          <w:rFonts w:ascii="Arial" w:hAnsi="Arial" w:cs="Arial"/>
          <w:lang w:val="en-US"/>
        </w:rPr>
        <w:t xml:space="preserve">25 </w:t>
      </w:r>
      <w:r w:rsidR="00965329" w:rsidRPr="00A765B0">
        <w:rPr>
          <w:rFonts w:ascii="Arial" w:hAnsi="Arial" w:cs="Arial"/>
          <w:lang w:val="en-US"/>
        </w:rPr>
        <w:t xml:space="preserve">February 2021 </w:t>
      </w:r>
      <w:r w:rsidR="00325D0B" w:rsidRPr="00A765B0">
        <w:rPr>
          <w:rFonts w:ascii="Arial" w:hAnsi="Arial" w:cs="Arial"/>
          <w:lang w:val="en-US"/>
        </w:rPr>
        <w:t>due to</w:t>
      </w:r>
      <w:r w:rsidR="00E4575C" w:rsidRPr="00A765B0">
        <w:rPr>
          <w:rFonts w:ascii="Arial" w:hAnsi="Arial" w:cs="Arial"/>
          <w:lang w:val="en-US"/>
        </w:rPr>
        <w:t xml:space="preserve"> </w:t>
      </w:r>
      <w:r w:rsidR="00965329" w:rsidRPr="00A765B0">
        <w:rPr>
          <w:rFonts w:ascii="Arial" w:hAnsi="Arial" w:cs="Arial"/>
          <w:lang w:val="en-US"/>
        </w:rPr>
        <w:t xml:space="preserve">her </w:t>
      </w:r>
      <w:r w:rsidR="00E4575C" w:rsidRPr="00A765B0">
        <w:rPr>
          <w:rFonts w:ascii="Arial" w:hAnsi="Arial" w:cs="Arial"/>
          <w:lang w:val="en-US"/>
        </w:rPr>
        <w:t xml:space="preserve">alleging that she </w:t>
      </w:r>
      <w:r w:rsidR="00A72A32" w:rsidRPr="00A765B0">
        <w:rPr>
          <w:rFonts w:ascii="Arial" w:hAnsi="Arial" w:cs="Arial"/>
          <w:lang w:val="en-US"/>
        </w:rPr>
        <w:t xml:space="preserve">validly cancelled the agreement effective </w:t>
      </w:r>
      <w:r w:rsidR="0089600C" w:rsidRPr="00A765B0">
        <w:rPr>
          <w:rFonts w:ascii="Arial" w:hAnsi="Arial" w:cs="Arial"/>
          <w:lang w:val="en-US"/>
        </w:rPr>
        <w:t>16</w:t>
      </w:r>
      <w:r w:rsidR="00A72A32" w:rsidRPr="00A765B0">
        <w:rPr>
          <w:rFonts w:ascii="Arial" w:hAnsi="Arial" w:cs="Arial"/>
          <w:lang w:val="en-US"/>
        </w:rPr>
        <w:t xml:space="preserve"> March 2021</w:t>
      </w:r>
      <w:r w:rsidR="0089600C" w:rsidRPr="00A765B0">
        <w:rPr>
          <w:rFonts w:ascii="Arial" w:hAnsi="Arial" w:cs="Arial"/>
          <w:lang w:val="en-US"/>
        </w:rPr>
        <w:t>.</w:t>
      </w:r>
      <w:r w:rsidR="00FE1C55" w:rsidRPr="00A765B0">
        <w:rPr>
          <w:rFonts w:ascii="Arial" w:hAnsi="Arial" w:cs="Arial"/>
          <w:lang w:val="en-US"/>
        </w:rPr>
        <w:t xml:space="preserve"> </w:t>
      </w:r>
      <w:r w:rsidR="00E4575C" w:rsidRPr="00A765B0">
        <w:rPr>
          <w:rFonts w:ascii="Arial" w:hAnsi="Arial" w:cs="Arial"/>
          <w:lang w:val="en-US"/>
        </w:rPr>
        <w:t xml:space="preserve">This will be examined below. </w:t>
      </w:r>
    </w:p>
    <w:p w14:paraId="12EEF1C8" w14:textId="77777777" w:rsidR="00D5000D" w:rsidRPr="00D5000D" w:rsidRDefault="00D5000D" w:rsidP="008225AF">
      <w:pPr>
        <w:pStyle w:val="ListParagraph"/>
        <w:spacing w:line="480" w:lineRule="auto"/>
        <w:rPr>
          <w:rFonts w:ascii="Arial" w:hAnsi="Arial" w:cs="Arial"/>
          <w:lang w:val="en-US"/>
        </w:rPr>
      </w:pPr>
    </w:p>
    <w:p w14:paraId="1DD51763" w14:textId="1A0EF8E8" w:rsidR="00D5000D" w:rsidRPr="00A765B0" w:rsidRDefault="00A765B0" w:rsidP="00A765B0">
      <w:pPr>
        <w:spacing w:line="480" w:lineRule="auto"/>
        <w:ind w:left="360" w:hanging="360"/>
        <w:jc w:val="both"/>
        <w:rPr>
          <w:rFonts w:ascii="Arial" w:hAnsi="Arial" w:cs="Arial"/>
          <w:lang w:val="en-US"/>
        </w:rPr>
      </w:pPr>
      <w:r w:rsidRPr="00F87BCB">
        <w:rPr>
          <w:rFonts w:ascii="Arial" w:hAnsi="Arial" w:cs="Arial"/>
          <w:lang w:val="en-US"/>
        </w:rPr>
        <w:lastRenderedPageBreak/>
        <w:t>9.</w:t>
      </w:r>
      <w:r w:rsidRPr="00F87BCB">
        <w:rPr>
          <w:rFonts w:ascii="Arial" w:hAnsi="Arial" w:cs="Arial"/>
          <w:lang w:val="en-US"/>
        </w:rPr>
        <w:tab/>
      </w:r>
      <w:r w:rsidR="00F87BCB" w:rsidRPr="00A765B0">
        <w:rPr>
          <w:rFonts w:ascii="Arial" w:hAnsi="Arial" w:cs="Arial"/>
          <w:lang w:val="en-US"/>
        </w:rPr>
        <w:t>Clause 9 of the agreement</w:t>
      </w:r>
      <w:r w:rsidR="00A72A32" w:rsidRPr="00A765B0">
        <w:rPr>
          <w:rFonts w:ascii="Arial" w:hAnsi="Arial" w:cs="Arial"/>
          <w:lang w:val="en-US"/>
        </w:rPr>
        <w:t xml:space="preserve"> stipulates that</w:t>
      </w:r>
      <w:r w:rsidR="00F87BCB" w:rsidRPr="00A765B0">
        <w:rPr>
          <w:rFonts w:ascii="Arial" w:hAnsi="Arial" w:cs="Arial"/>
          <w:lang w:val="en-US"/>
        </w:rPr>
        <w:t xml:space="preserve"> s</w:t>
      </w:r>
      <w:r w:rsidR="0053016A" w:rsidRPr="00A765B0">
        <w:rPr>
          <w:rFonts w:ascii="Arial" w:hAnsi="Arial" w:cs="Arial"/>
          <w:lang w:val="en-US"/>
        </w:rPr>
        <w:t>hould the defendant</w:t>
      </w:r>
      <w:r w:rsidR="00D5000D" w:rsidRPr="00A765B0">
        <w:rPr>
          <w:rFonts w:ascii="Arial" w:hAnsi="Arial" w:cs="Arial"/>
          <w:lang w:val="en-US"/>
        </w:rPr>
        <w:t xml:space="preserve"> breac</w:t>
      </w:r>
      <w:r w:rsidR="001A4095" w:rsidRPr="00A765B0">
        <w:rPr>
          <w:rFonts w:ascii="Arial" w:hAnsi="Arial" w:cs="Arial"/>
          <w:lang w:val="en-US"/>
        </w:rPr>
        <w:t>h</w:t>
      </w:r>
      <w:r w:rsidR="00D5000D" w:rsidRPr="00A765B0">
        <w:rPr>
          <w:rFonts w:ascii="Arial" w:hAnsi="Arial" w:cs="Arial"/>
          <w:lang w:val="en-US"/>
        </w:rPr>
        <w:t xml:space="preserve"> the agreement, the plaintiff </w:t>
      </w:r>
      <w:r w:rsidR="00A72A32" w:rsidRPr="00A765B0">
        <w:rPr>
          <w:rFonts w:ascii="Arial" w:hAnsi="Arial" w:cs="Arial"/>
          <w:lang w:val="en-US"/>
        </w:rPr>
        <w:t>is</w:t>
      </w:r>
      <w:r w:rsidR="00D5000D" w:rsidRPr="00A765B0">
        <w:rPr>
          <w:rFonts w:ascii="Arial" w:hAnsi="Arial" w:cs="Arial"/>
          <w:lang w:val="en-US"/>
        </w:rPr>
        <w:t xml:space="preserve"> entitled</w:t>
      </w:r>
      <w:r w:rsidR="00A25921" w:rsidRPr="00A765B0">
        <w:rPr>
          <w:rFonts w:ascii="Arial" w:hAnsi="Arial" w:cs="Arial"/>
          <w:lang w:val="en-US"/>
        </w:rPr>
        <w:t>,</w:t>
      </w:r>
      <w:r w:rsidR="00D5000D" w:rsidRPr="00A765B0">
        <w:rPr>
          <w:rFonts w:ascii="Arial" w:hAnsi="Arial" w:cs="Arial"/>
          <w:lang w:val="en-US"/>
        </w:rPr>
        <w:t xml:space="preserve"> in terms of the Master Agreement</w:t>
      </w:r>
      <w:r w:rsidR="00A25921" w:rsidRPr="00A765B0">
        <w:rPr>
          <w:rFonts w:ascii="Arial" w:hAnsi="Arial" w:cs="Arial"/>
          <w:lang w:val="en-US"/>
        </w:rPr>
        <w:t>,</w:t>
      </w:r>
      <w:r w:rsidR="00D5000D" w:rsidRPr="00A765B0">
        <w:rPr>
          <w:rFonts w:ascii="Arial" w:hAnsi="Arial" w:cs="Arial"/>
          <w:lang w:val="en-US"/>
        </w:rPr>
        <w:t xml:space="preserve"> to </w:t>
      </w:r>
      <w:r w:rsidR="00E4575C" w:rsidRPr="00A765B0">
        <w:rPr>
          <w:rFonts w:ascii="Arial" w:hAnsi="Arial" w:cs="Arial"/>
          <w:i/>
          <w:iCs/>
          <w:lang w:val="en-US"/>
        </w:rPr>
        <w:t>inter alia</w:t>
      </w:r>
      <w:r w:rsidR="00E4575C" w:rsidRPr="00A765B0">
        <w:rPr>
          <w:rFonts w:ascii="Arial" w:hAnsi="Arial" w:cs="Arial"/>
          <w:lang w:val="en-US"/>
        </w:rPr>
        <w:t xml:space="preserve">, </w:t>
      </w:r>
      <w:r w:rsidR="00F87BCB" w:rsidRPr="00A765B0">
        <w:rPr>
          <w:rFonts w:ascii="Arial" w:hAnsi="Arial" w:cs="Arial"/>
          <w:lang w:val="en-US"/>
        </w:rPr>
        <w:t>“</w:t>
      </w:r>
      <w:r w:rsidR="00E4575C" w:rsidRPr="00A765B0">
        <w:rPr>
          <w:rFonts w:ascii="Arial" w:hAnsi="Arial" w:cs="Arial"/>
          <w:i/>
          <w:iCs/>
          <w:lang w:val="en-US"/>
        </w:rPr>
        <w:t xml:space="preserve">claim immediate payment of all amounts </w:t>
      </w:r>
      <w:r w:rsidR="00965329" w:rsidRPr="00A765B0">
        <w:rPr>
          <w:rFonts w:ascii="Arial" w:hAnsi="Arial" w:cs="Arial"/>
          <w:i/>
          <w:iCs/>
          <w:lang w:val="en-GB"/>
        </w:rPr>
        <w:t>which would have been payable in terms of the</w:t>
      </w:r>
      <w:r w:rsidR="00F87BCB" w:rsidRPr="00A765B0">
        <w:rPr>
          <w:rFonts w:ascii="Arial" w:hAnsi="Arial" w:cs="Arial"/>
          <w:i/>
          <w:iCs/>
          <w:lang w:val="en-GB"/>
        </w:rPr>
        <w:t xml:space="preserve"> Master Rental</w:t>
      </w:r>
      <w:r w:rsidR="00965329" w:rsidRPr="00A765B0">
        <w:rPr>
          <w:rFonts w:ascii="Arial" w:hAnsi="Arial" w:cs="Arial"/>
          <w:i/>
          <w:iCs/>
          <w:lang w:val="en-GB"/>
        </w:rPr>
        <w:t xml:space="preserve"> </w:t>
      </w:r>
      <w:r w:rsidR="00F87BCB" w:rsidRPr="00A765B0">
        <w:rPr>
          <w:rFonts w:ascii="Arial" w:hAnsi="Arial" w:cs="Arial"/>
          <w:i/>
          <w:iCs/>
          <w:lang w:val="en-GB"/>
        </w:rPr>
        <w:t>A</w:t>
      </w:r>
      <w:r w:rsidR="00965329" w:rsidRPr="00A765B0">
        <w:rPr>
          <w:rFonts w:ascii="Arial" w:hAnsi="Arial" w:cs="Arial"/>
          <w:i/>
          <w:iCs/>
          <w:lang w:val="en-GB"/>
        </w:rPr>
        <w:t xml:space="preserve">greement </w:t>
      </w:r>
      <w:r w:rsidR="00F87BCB" w:rsidRPr="00A765B0">
        <w:rPr>
          <w:rFonts w:ascii="Arial" w:hAnsi="Arial" w:cs="Arial"/>
          <w:i/>
          <w:iCs/>
          <w:lang w:val="en-GB"/>
        </w:rPr>
        <w:t>until the expiry of the rental stated in the equipment schedule, whether such amounts are then due for payment or not. The plaintiff is to take possession of the goods and only return them to the defendant on receipt of payment of all amounts owing to it. The defendant would not be entitled to withhold payment or make any deductions from any amount owing as a result of its loss of possession of the goods</w:t>
      </w:r>
      <w:r w:rsidR="00F87BCB" w:rsidRPr="00A765B0">
        <w:rPr>
          <w:rFonts w:ascii="Arial" w:hAnsi="Arial" w:cs="Arial"/>
          <w:lang w:val="en-GB"/>
        </w:rPr>
        <w:t>.”</w:t>
      </w:r>
    </w:p>
    <w:p w14:paraId="42D31F92" w14:textId="77777777" w:rsidR="00F87BCB" w:rsidRPr="00F87BCB" w:rsidRDefault="00F87BCB" w:rsidP="008225AF">
      <w:pPr>
        <w:pStyle w:val="ListParagraph"/>
        <w:spacing w:line="480" w:lineRule="auto"/>
        <w:rPr>
          <w:rFonts w:ascii="Arial" w:hAnsi="Arial" w:cs="Arial"/>
          <w:lang w:val="en-US"/>
        </w:rPr>
      </w:pPr>
    </w:p>
    <w:p w14:paraId="5223CF43" w14:textId="1A5DB346" w:rsidR="00F87BCB" w:rsidRPr="00A765B0" w:rsidRDefault="00A765B0" w:rsidP="00A765B0">
      <w:pPr>
        <w:spacing w:line="480" w:lineRule="auto"/>
        <w:ind w:left="360" w:hanging="360"/>
        <w:jc w:val="both"/>
        <w:rPr>
          <w:rFonts w:ascii="Arial" w:hAnsi="Arial" w:cs="Arial"/>
          <w:lang w:val="en-US"/>
        </w:rPr>
      </w:pPr>
      <w:r w:rsidRPr="0083524D">
        <w:rPr>
          <w:rFonts w:ascii="Arial" w:hAnsi="Arial" w:cs="Arial"/>
          <w:lang w:val="en-US"/>
        </w:rPr>
        <w:t>10.</w:t>
      </w:r>
      <w:r w:rsidRPr="0083524D">
        <w:rPr>
          <w:rFonts w:ascii="Arial" w:hAnsi="Arial" w:cs="Arial"/>
          <w:lang w:val="en-US"/>
        </w:rPr>
        <w:tab/>
      </w:r>
      <w:r w:rsidR="00F87BCB" w:rsidRPr="00A765B0">
        <w:rPr>
          <w:rFonts w:ascii="Arial" w:hAnsi="Arial" w:cs="Arial"/>
          <w:lang w:val="en-GB"/>
        </w:rPr>
        <w:t xml:space="preserve">This </w:t>
      </w:r>
      <w:r w:rsidR="00FE1C55" w:rsidRPr="00A765B0">
        <w:rPr>
          <w:rFonts w:ascii="Arial" w:hAnsi="Arial" w:cs="Arial"/>
          <w:lang w:val="en-GB"/>
        </w:rPr>
        <w:t>is</w:t>
      </w:r>
      <w:r w:rsidR="00F87BCB" w:rsidRPr="00A765B0">
        <w:rPr>
          <w:rFonts w:ascii="Arial" w:hAnsi="Arial" w:cs="Arial"/>
          <w:lang w:val="en-GB"/>
        </w:rPr>
        <w:t xml:space="preserve"> the remedy which the plaintiff </w:t>
      </w:r>
      <w:r w:rsidR="00AC59F9" w:rsidRPr="00A765B0">
        <w:rPr>
          <w:rFonts w:ascii="Arial" w:hAnsi="Arial" w:cs="Arial"/>
          <w:lang w:val="en-GB"/>
        </w:rPr>
        <w:t>is</w:t>
      </w:r>
      <w:r w:rsidR="00F87BCB" w:rsidRPr="00A765B0">
        <w:rPr>
          <w:rFonts w:ascii="Arial" w:hAnsi="Arial" w:cs="Arial"/>
          <w:lang w:val="en-GB"/>
        </w:rPr>
        <w:t xml:space="preserve"> seeking to enforce</w:t>
      </w:r>
      <w:r w:rsidR="00565119" w:rsidRPr="00A765B0">
        <w:rPr>
          <w:rFonts w:ascii="Arial" w:hAnsi="Arial" w:cs="Arial"/>
          <w:lang w:val="en-GB"/>
        </w:rPr>
        <w:t>.</w:t>
      </w:r>
      <w:r w:rsidR="00F87BCB" w:rsidRPr="00A765B0">
        <w:rPr>
          <w:rFonts w:ascii="Arial" w:hAnsi="Arial" w:cs="Arial"/>
          <w:lang w:val="en-GB"/>
        </w:rPr>
        <w:t xml:space="preserve"> </w:t>
      </w:r>
      <w:r w:rsidR="00565119" w:rsidRPr="00A765B0">
        <w:rPr>
          <w:rFonts w:ascii="Arial" w:hAnsi="Arial" w:cs="Arial"/>
          <w:lang w:val="en-GB"/>
        </w:rPr>
        <w:t>C</w:t>
      </w:r>
      <w:r w:rsidR="00F87BCB" w:rsidRPr="00A765B0">
        <w:rPr>
          <w:rFonts w:ascii="Arial" w:hAnsi="Arial" w:cs="Arial"/>
          <w:lang w:val="en-GB"/>
        </w:rPr>
        <w:t xml:space="preserve">ounsel for the plaintiff strenuously argued that this remedy amounts to a claim for specific performance and, accordingly, the amount claimed is not one for damages. </w:t>
      </w:r>
    </w:p>
    <w:p w14:paraId="5940CFB4" w14:textId="77777777" w:rsidR="0083524D" w:rsidRPr="0083524D" w:rsidRDefault="0083524D" w:rsidP="008225AF">
      <w:pPr>
        <w:pStyle w:val="ListParagraph"/>
        <w:spacing w:line="480" w:lineRule="auto"/>
        <w:rPr>
          <w:rFonts w:ascii="Arial" w:hAnsi="Arial" w:cs="Arial"/>
          <w:lang w:val="en-US"/>
        </w:rPr>
      </w:pPr>
    </w:p>
    <w:p w14:paraId="5AB47D89" w14:textId="0C336488" w:rsidR="0083524D" w:rsidRPr="00A765B0" w:rsidRDefault="00A765B0" w:rsidP="00A765B0">
      <w:pPr>
        <w:spacing w:line="480" w:lineRule="auto"/>
        <w:ind w:left="360" w:hanging="360"/>
        <w:jc w:val="both"/>
        <w:rPr>
          <w:rFonts w:ascii="Arial" w:hAnsi="Arial" w:cs="Arial"/>
          <w:lang w:val="en-US"/>
        </w:rPr>
      </w:pPr>
      <w:r w:rsidRPr="0083524D">
        <w:rPr>
          <w:rFonts w:ascii="Arial" w:hAnsi="Arial" w:cs="Arial"/>
          <w:lang w:val="en-US"/>
        </w:rPr>
        <w:t>11.</w:t>
      </w:r>
      <w:r w:rsidRPr="0083524D">
        <w:rPr>
          <w:rFonts w:ascii="Arial" w:hAnsi="Arial" w:cs="Arial"/>
          <w:lang w:val="en-US"/>
        </w:rPr>
        <w:tab/>
      </w:r>
      <w:r w:rsidR="0083524D" w:rsidRPr="00A765B0">
        <w:rPr>
          <w:rFonts w:ascii="Arial" w:hAnsi="Arial" w:cs="Arial"/>
          <w:lang w:val="en-GB"/>
        </w:rPr>
        <w:t xml:space="preserve">The plaintiff has annexed </w:t>
      </w:r>
      <w:r w:rsidR="00325D0B" w:rsidRPr="00A765B0">
        <w:rPr>
          <w:rFonts w:ascii="Arial" w:hAnsi="Arial" w:cs="Arial"/>
          <w:lang w:val="en-GB"/>
        </w:rPr>
        <w:t xml:space="preserve">a certificate of balance to its particulars of claim </w:t>
      </w:r>
      <w:r w:rsidR="0083524D" w:rsidRPr="00A765B0">
        <w:rPr>
          <w:rFonts w:ascii="Arial" w:hAnsi="Arial" w:cs="Arial"/>
          <w:lang w:val="en-GB"/>
        </w:rPr>
        <w:t>which calculates the amount for arrears and future rentals</w:t>
      </w:r>
      <w:r w:rsidR="00A72A32" w:rsidRPr="00A765B0">
        <w:rPr>
          <w:rFonts w:ascii="Arial" w:hAnsi="Arial" w:cs="Arial"/>
          <w:lang w:val="en-GB"/>
        </w:rPr>
        <w:t xml:space="preserve"> (for the remaining duration of the agreement period)</w:t>
      </w:r>
      <w:r w:rsidR="0083524D" w:rsidRPr="00A765B0">
        <w:rPr>
          <w:rFonts w:ascii="Arial" w:hAnsi="Arial" w:cs="Arial"/>
          <w:lang w:val="en-GB"/>
        </w:rPr>
        <w:t xml:space="preserve"> at </w:t>
      </w:r>
      <w:r w:rsidR="0083524D" w:rsidRPr="00A765B0">
        <w:rPr>
          <w:rFonts w:ascii="Arial" w:hAnsi="Arial" w:cs="Arial"/>
          <w:b/>
          <w:bCs/>
          <w:lang w:val="en-GB"/>
        </w:rPr>
        <w:t>R 106 290.82.</w:t>
      </w:r>
    </w:p>
    <w:p w14:paraId="6B42C8BF" w14:textId="77777777" w:rsidR="0083524D" w:rsidRPr="0083524D" w:rsidRDefault="0083524D" w:rsidP="008225AF">
      <w:pPr>
        <w:pStyle w:val="ListParagraph"/>
        <w:spacing w:line="480" w:lineRule="auto"/>
        <w:rPr>
          <w:rFonts w:ascii="Arial" w:hAnsi="Arial" w:cs="Arial"/>
          <w:lang w:val="en-US"/>
        </w:rPr>
      </w:pPr>
    </w:p>
    <w:p w14:paraId="39D2E909" w14:textId="54E746F1" w:rsidR="0083524D" w:rsidRPr="00A765B0" w:rsidRDefault="00A765B0" w:rsidP="00A765B0">
      <w:pPr>
        <w:spacing w:line="480" w:lineRule="auto"/>
        <w:ind w:left="360" w:hanging="360"/>
        <w:jc w:val="both"/>
        <w:rPr>
          <w:rFonts w:ascii="Arial" w:hAnsi="Arial" w:cs="Arial"/>
          <w:lang w:val="en-US"/>
        </w:rPr>
      </w:pPr>
      <w:r w:rsidRPr="001E38EB">
        <w:rPr>
          <w:rFonts w:ascii="Arial" w:hAnsi="Arial" w:cs="Arial"/>
          <w:lang w:val="en-US"/>
        </w:rPr>
        <w:t>12.</w:t>
      </w:r>
      <w:r w:rsidRPr="001E38EB">
        <w:rPr>
          <w:rFonts w:ascii="Arial" w:hAnsi="Arial" w:cs="Arial"/>
          <w:lang w:val="en-US"/>
        </w:rPr>
        <w:tab/>
      </w:r>
      <w:r w:rsidR="0083524D" w:rsidRPr="00A765B0">
        <w:rPr>
          <w:rFonts w:ascii="Arial" w:hAnsi="Arial" w:cs="Arial"/>
          <w:lang w:val="en-US"/>
        </w:rPr>
        <w:t xml:space="preserve">The plaintiff is seeking the return of its telephonic equipment, payment of </w:t>
      </w:r>
      <w:r w:rsidR="0083524D" w:rsidRPr="00A765B0">
        <w:rPr>
          <w:rFonts w:ascii="Arial" w:hAnsi="Arial" w:cs="Arial"/>
          <w:b/>
          <w:bCs/>
          <w:lang w:val="en-US"/>
        </w:rPr>
        <w:t>R106,290</w:t>
      </w:r>
      <w:r w:rsidR="001E38EB" w:rsidRPr="00A765B0">
        <w:rPr>
          <w:rFonts w:ascii="Arial" w:hAnsi="Arial" w:cs="Arial"/>
          <w:b/>
          <w:bCs/>
          <w:lang w:val="en-US"/>
        </w:rPr>
        <w:t>.</w:t>
      </w:r>
      <w:r w:rsidR="0083524D" w:rsidRPr="00A765B0">
        <w:rPr>
          <w:rFonts w:ascii="Arial" w:hAnsi="Arial" w:cs="Arial"/>
          <w:b/>
          <w:bCs/>
          <w:lang w:val="en-US"/>
        </w:rPr>
        <w:t xml:space="preserve"> 00</w:t>
      </w:r>
      <w:r w:rsidR="0083524D" w:rsidRPr="00A765B0">
        <w:rPr>
          <w:rFonts w:ascii="Arial" w:hAnsi="Arial" w:cs="Arial"/>
          <w:lang w:val="en-US"/>
        </w:rPr>
        <w:t xml:space="preserve"> and ancillary relief. In paragraph 21.2 of its particulars of claim, </w:t>
      </w:r>
      <w:r w:rsidR="0083524D" w:rsidRPr="00A765B0">
        <w:rPr>
          <w:rFonts w:ascii="Arial" w:hAnsi="Arial" w:cs="Arial"/>
          <w:lang w:val="en-GB"/>
        </w:rPr>
        <w:t>it tenders the return of the telephonic equipment to the defendant for the remainder of the initial period on full payment of the claim</w:t>
      </w:r>
      <w:r w:rsidR="00FE1C55" w:rsidRPr="00A765B0">
        <w:rPr>
          <w:rFonts w:ascii="Arial" w:hAnsi="Arial" w:cs="Arial"/>
          <w:lang w:val="en-GB"/>
        </w:rPr>
        <w:t>ed</w:t>
      </w:r>
      <w:r w:rsidR="0083524D" w:rsidRPr="00A765B0">
        <w:rPr>
          <w:rFonts w:ascii="Arial" w:hAnsi="Arial" w:cs="Arial"/>
          <w:lang w:val="en-GB"/>
        </w:rPr>
        <w:t xml:space="preserve"> amounts, including interest and costs.</w:t>
      </w:r>
    </w:p>
    <w:p w14:paraId="0E2D4D90" w14:textId="77777777" w:rsidR="001E38EB" w:rsidRDefault="001E38EB" w:rsidP="008225AF">
      <w:pPr>
        <w:spacing w:line="480" w:lineRule="auto"/>
        <w:rPr>
          <w:rFonts w:ascii="Arial" w:hAnsi="Arial" w:cs="Arial"/>
          <w:lang w:val="en-US"/>
        </w:rPr>
      </w:pPr>
    </w:p>
    <w:p w14:paraId="5055624C" w14:textId="39B4BC38" w:rsidR="001E38EB" w:rsidRPr="001E38EB" w:rsidRDefault="001E38EB" w:rsidP="008225AF">
      <w:pPr>
        <w:spacing w:line="480" w:lineRule="auto"/>
        <w:rPr>
          <w:rFonts w:ascii="Arial" w:hAnsi="Arial" w:cs="Arial"/>
          <w:b/>
          <w:bCs/>
          <w:lang w:val="en-US"/>
        </w:rPr>
      </w:pPr>
      <w:r w:rsidRPr="001E38EB">
        <w:rPr>
          <w:rFonts w:ascii="Arial" w:hAnsi="Arial" w:cs="Arial"/>
          <w:b/>
          <w:bCs/>
          <w:lang w:val="en-US"/>
        </w:rPr>
        <w:t xml:space="preserve">Defendant’s </w:t>
      </w:r>
      <w:r w:rsidR="008225AF">
        <w:rPr>
          <w:rFonts w:ascii="Arial" w:hAnsi="Arial" w:cs="Arial"/>
          <w:b/>
          <w:bCs/>
          <w:lang w:val="en-US"/>
        </w:rPr>
        <w:t>Plea</w:t>
      </w:r>
      <w:r w:rsidR="007A3AB9">
        <w:rPr>
          <w:rFonts w:ascii="Arial" w:hAnsi="Arial" w:cs="Arial"/>
          <w:b/>
          <w:bCs/>
          <w:lang w:val="en-US"/>
        </w:rPr>
        <w:t xml:space="preserve"> read with her Affidavit </w:t>
      </w:r>
      <w:r w:rsidR="003408FB">
        <w:rPr>
          <w:rFonts w:ascii="Arial" w:hAnsi="Arial" w:cs="Arial"/>
          <w:b/>
          <w:bCs/>
          <w:lang w:val="en-US"/>
        </w:rPr>
        <w:t>R</w:t>
      </w:r>
      <w:r w:rsidR="007A3AB9">
        <w:rPr>
          <w:rFonts w:ascii="Arial" w:hAnsi="Arial" w:cs="Arial"/>
          <w:b/>
          <w:bCs/>
          <w:lang w:val="en-US"/>
        </w:rPr>
        <w:t>esisting Summary Judgment</w:t>
      </w:r>
      <w:r w:rsidR="0020653A">
        <w:rPr>
          <w:rFonts w:ascii="Arial" w:hAnsi="Arial" w:cs="Arial"/>
          <w:b/>
          <w:bCs/>
          <w:lang w:val="en-US"/>
        </w:rPr>
        <w:t>.</w:t>
      </w:r>
    </w:p>
    <w:p w14:paraId="7A2F4505" w14:textId="77777777" w:rsidR="001E38EB" w:rsidRPr="001E38EB" w:rsidRDefault="001E38EB" w:rsidP="008225AF">
      <w:pPr>
        <w:spacing w:line="480" w:lineRule="auto"/>
        <w:rPr>
          <w:rFonts w:ascii="Arial" w:hAnsi="Arial" w:cs="Arial"/>
          <w:lang w:val="en-US"/>
        </w:rPr>
      </w:pPr>
    </w:p>
    <w:p w14:paraId="20E4FEF9" w14:textId="087BEB0B" w:rsidR="0020653A" w:rsidRPr="00A765B0" w:rsidRDefault="00A765B0" w:rsidP="00A765B0">
      <w:pPr>
        <w:spacing w:line="480" w:lineRule="auto"/>
        <w:ind w:left="360" w:hanging="360"/>
        <w:jc w:val="both"/>
        <w:rPr>
          <w:rFonts w:ascii="Arial" w:hAnsi="Arial" w:cs="Arial"/>
          <w:lang w:val="en-US"/>
        </w:rPr>
      </w:pPr>
      <w:r>
        <w:rPr>
          <w:rFonts w:ascii="Arial" w:hAnsi="Arial" w:cs="Arial"/>
          <w:lang w:val="en-US"/>
        </w:rPr>
        <w:t>13.</w:t>
      </w:r>
      <w:r>
        <w:rPr>
          <w:rFonts w:ascii="Arial" w:hAnsi="Arial" w:cs="Arial"/>
          <w:lang w:val="en-US"/>
        </w:rPr>
        <w:tab/>
      </w:r>
      <w:r w:rsidR="008225AF" w:rsidRPr="00A765B0">
        <w:rPr>
          <w:rFonts w:ascii="Arial" w:hAnsi="Arial" w:cs="Arial"/>
          <w:lang w:val="en-US"/>
        </w:rPr>
        <w:t xml:space="preserve">In terms of the defendant’s amended plea, which was amended after the plaintiff applied for summary judgment, the defendant admitted </w:t>
      </w:r>
      <w:r w:rsidR="00A72A32" w:rsidRPr="00A765B0">
        <w:rPr>
          <w:rFonts w:ascii="Arial" w:hAnsi="Arial" w:cs="Arial"/>
          <w:lang w:val="en-US"/>
        </w:rPr>
        <w:t xml:space="preserve">the agreement </w:t>
      </w:r>
      <w:r w:rsidR="008225AF" w:rsidRPr="00A765B0">
        <w:rPr>
          <w:rFonts w:ascii="Arial" w:hAnsi="Arial" w:cs="Arial"/>
          <w:lang w:val="en-US"/>
        </w:rPr>
        <w:t>and</w:t>
      </w:r>
      <w:r w:rsidR="00A72A32" w:rsidRPr="00A765B0">
        <w:rPr>
          <w:rFonts w:ascii="Arial" w:hAnsi="Arial" w:cs="Arial"/>
          <w:lang w:val="en-US"/>
        </w:rPr>
        <w:t xml:space="preserve"> that she</w:t>
      </w:r>
      <w:r w:rsidR="00A24AAA" w:rsidRPr="00A765B0">
        <w:rPr>
          <w:rFonts w:ascii="Arial" w:hAnsi="Arial" w:cs="Arial"/>
          <w:lang w:val="en-US"/>
        </w:rPr>
        <w:t xml:space="preserve"> </w:t>
      </w:r>
      <w:r w:rsidR="008225AF" w:rsidRPr="00A765B0">
        <w:rPr>
          <w:rFonts w:ascii="Arial" w:hAnsi="Arial" w:cs="Arial"/>
          <w:lang w:val="en-US"/>
        </w:rPr>
        <w:t xml:space="preserve">took possession of the telephonic office equipment. She further admitted that </w:t>
      </w:r>
      <w:r w:rsidR="00044A1F" w:rsidRPr="00A765B0">
        <w:rPr>
          <w:rFonts w:ascii="Arial" w:hAnsi="Arial" w:cs="Arial"/>
          <w:lang w:val="en-US"/>
        </w:rPr>
        <w:t xml:space="preserve">she </w:t>
      </w:r>
      <w:r w:rsidR="00325D0B" w:rsidRPr="00A765B0">
        <w:rPr>
          <w:rFonts w:ascii="Arial" w:hAnsi="Arial" w:cs="Arial"/>
          <w:lang w:val="en-US"/>
        </w:rPr>
        <w:t>ceased</w:t>
      </w:r>
      <w:r w:rsidR="008225AF" w:rsidRPr="00A765B0">
        <w:rPr>
          <w:rFonts w:ascii="Arial" w:hAnsi="Arial" w:cs="Arial"/>
          <w:lang w:val="en-US"/>
        </w:rPr>
        <w:t xml:space="preserve"> </w:t>
      </w:r>
      <w:r w:rsidR="00044A1F" w:rsidRPr="00A765B0">
        <w:rPr>
          <w:rFonts w:ascii="Arial" w:hAnsi="Arial" w:cs="Arial"/>
          <w:lang w:val="en-US"/>
        </w:rPr>
        <w:t>paying</w:t>
      </w:r>
      <w:r w:rsidR="008225AF" w:rsidRPr="00A765B0">
        <w:rPr>
          <w:rFonts w:ascii="Arial" w:hAnsi="Arial" w:cs="Arial"/>
          <w:lang w:val="en-US"/>
        </w:rPr>
        <w:t xml:space="preserve"> the plaintiff under the agreement </w:t>
      </w:r>
      <w:r w:rsidR="00A72A32" w:rsidRPr="00A765B0">
        <w:rPr>
          <w:rFonts w:ascii="Arial" w:hAnsi="Arial" w:cs="Arial"/>
          <w:lang w:val="en-US"/>
        </w:rPr>
        <w:t>on 25</w:t>
      </w:r>
      <w:r w:rsidR="008225AF" w:rsidRPr="00A765B0">
        <w:rPr>
          <w:rFonts w:ascii="Arial" w:hAnsi="Arial" w:cs="Arial"/>
          <w:lang w:val="en-US"/>
        </w:rPr>
        <w:t xml:space="preserve"> February 2021.</w:t>
      </w:r>
      <w:r w:rsidR="00827820" w:rsidRPr="00A765B0">
        <w:rPr>
          <w:rFonts w:ascii="Arial" w:hAnsi="Arial" w:cs="Arial"/>
          <w:lang w:val="en-US"/>
        </w:rPr>
        <w:t xml:space="preserve"> </w:t>
      </w:r>
    </w:p>
    <w:p w14:paraId="50E8076C" w14:textId="77777777" w:rsidR="0020653A" w:rsidRDefault="0020653A" w:rsidP="0020653A">
      <w:pPr>
        <w:pStyle w:val="ListParagraph"/>
        <w:spacing w:line="480" w:lineRule="auto"/>
        <w:ind w:left="360"/>
        <w:jc w:val="both"/>
        <w:rPr>
          <w:rFonts w:ascii="Arial" w:hAnsi="Arial" w:cs="Arial"/>
          <w:lang w:val="en-US"/>
        </w:rPr>
      </w:pPr>
    </w:p>
    <w:p w14:paraId="5A2AE1F0" w14:textId="096E9318" w:rsidR="008A37B2" w:rsidRPr="00A765B0" w:rsidRDefault="00A765B0" w:rsidP="00A765B0">
      <w:pPr>
        <w:spacing w:line="480" w:lineRule="auto"/>
        <w:ind w:left="360" w:hanging="360"/>
        <w:jc w:val="both"/>
        <w:rPr>
          <w:rFonts w:ascii="Arial" w:hAnsi="Arial" w:cs="Arial"/>
          <w:lang w:val="en-US"/>
        </w:rPr>
      </w:pPr>
      <w:r w:rsidRPr="008A37B2">
        <w:rPr>
          <w:rFonts w:ascii="Arial" w:hAnsi="Arial" w:cs="Arial"/>
          <w:lang w:val="en-US"/>
        </w:rPr>
        <w:t>14.</w:t>
      </w:r>
      <w:r w:rsidRPr="008A37B2">
        <w:rPr>
          <w:rFonts w:ascii="Arial" w:hAnsi="Arial" w:cs="Arial"/>
          <w:lang w:val="en-US"/>
        </w:rPr>
        <w:tab/>
      </w:r>
      <w:r w:rsidR="00827820" w:rsidRPr="00A765B0">
        <w:rPr>
          <w:rFonts w:ascii="Arial" w:hAnsi="Arial" w:cs="Arial"/>
          <w:lang w:val="en-GB"/>
        </w:rPr>
        <w:t>She pleaded, however, that the plaintiff breached the agreement by increasing and decreasing the monthly instalments at various stages during the</w:t>
      </w:r>
      <w:r w:rsidR="00325D0B" w:rsidRPr="00A765B0">
        <w:rPr>
          <w:rFonts w:ascii="Arial" w:hAnsi="Arial" w:cs="Arial"/>
          <w:lang w:val="en-GB"/>
        </w:rPr>
        <w:t xml:space="preserve"> term of the</w:t>
      </w:r>
      <w:r w:rsidR="00827820" w:rsidRPr="00A765B0">
        <w:rPr>
          <w:rFonts w:ascii="Arial" w:hAnsi="Arial" w:cs="Arial"/>
          <w:lang w:val="en-GB"/>
        </w:rPr>
        <w:t xml:space="preserve"> agreement, and it failed to charge her in accordance with the terms of the agreement. </w:t>
      </w:r>
      <w:r w:rsidR="0020653A" w:rsidRPr="00A765B0">
        <w:rPr>
          <w:rFonts w:ascii="Arial" w:hAnsi="Arial" w:cs="Arial"/>
          <w:lang w:val="en-GB"/>
        </w:rPr>
        <w:t xml:space="preserve">In her affidavit resisting summary judgment, she </w:t>
      </w:r>
      <w:r w:rsidR="00325D0B" w:rsidRPr="00A765B0">
        <w:rPr>
          <w:rFonts w:ascii="Arial" w:hAnsi="Arial" w:cs="Arial"/>
          <w:lang w:val="en-GB"/>
        </w:rPr>
        <w:t>expanded</w:t>
      </w:r>
      <w:r w:rsidR="0020653A" w:rsidRPr="00A765B0">
        <w:rPr>
          <w:rFonts w:ascii="Arial" w:hAnsi="Arial" w:cs="Arial"/>
          <w:lang w:val="en-GB"/>
        </w:rPr>
        <w:t xml:space="preserve"> on this</w:t>
      </w:r>
      <w:r w:rsidR="00044A1F" w:rsidRPr="00A765B0">
        <w:rPr>
          <w:rFonts w:ascii="Arial" w:hAnsi="Arial" w:cs="Arial"/>
          <w:lang w:val="en-GB"/>
        </w:rPr>
        <w:t>. She alleged that after she received no explanation for the unilateral increases in the monthly instalments, and in November 2020, she communicated with Sasfin that she was not satisfied with the unjustified escalations. In</w:t>
      </w:r>
      <w:r w:rsidR="00E620CC" w:rsidRPr="00A765B0">
        <w:rPr>
          <w:rFonts w:ascii="Arial" w:hAnsi="Arial" w:cs="Arial"/>
          <w:lang w:val="en-GB"/>
        </w:rPr>
        <w:t xml:space="preserve"> addition, she had discovered that the amount </w:t>
      </w:r>
      <w:r w:rsidR="00044A1F" w:rsidRPr="00A765B0">
        <w:rPr>
          <w:rFonts w:ascii="Arial" w:hAnsi="Arial" w:cs="Arial"/>
          <w:lang w:val="en-GB"/>
        </w:rPr>
        <w:t xml:space="preserve">she was paying before the escalations were exorbitant compared to her colleagues. </w:t>
      </w:r>
      <w:r w:rsidR="00A72A32" w:rsidRPr="00A765B0">
        <w:rPr>
          <w:rFonts w:ascii="Arial" w:hAnsi="Arial" w:cs="Arial"/>
          <w:lang w:val="en-GB"/>
        </w:rPr>
        <w:t xml:space="preserve">Further to the above, she alleged that </w:t>
      </w:r>
      <w:r w:rsidR="008A37B2" w:rsidRPr="00A765B0">
        <w:rPr>
          <w:rFonts w:ascii="Arial" w:hAnsi="Arial" w:cs="Arial"/>
          <w:lang w:val="en-GB"/>
        </w:rPr>
        <w:t>due to</w:t>
      </w:r>
      <w:r w:rsidR="00044A1F" w:rsidRPr="00A765B0">
        <w:rPr>
          <w:rFonts w:ascii="Arial" w:hAnsi="Arial" w:cs="Arial"/>
          <w:lang w:val="en-GB"/>
        </w:rPr>
        <w:t xml:space="preserve"> a reduction in her income due to COVID-19, she could no longer </w:t>
      </w:r>
      <w:r w:rsidR="00A72A32" w:rsidRPr="00A765B0">
        <w:rPr>
          <w:rFonts w:ascii="Arial" w:hAnsi="Arial" w:cs="Arial"/>
          <w:lang w:val="en-GB"/>
        </w:rPr>
        <w:t>afford to comply with the terms of the agreement</w:t>
      </w:r>
      <w:r w:rsidR="00E620CC" w:rsidRPr="00A765B0">
        <w:rPr>
          <w:rFonts w:ascii="Arial" w:hAnsi="Arial" w:cs="Arial"/>
          <w:lang w:val="en-GB"/>
        </w:rPr>
        <w:t>. In response</w:t>
      </w:r>
      <w:r w:rsidR="00A72A32" w:rsidRPr="00A765B0">
        <w:rPr>
          <w:rFonts w:ascii="Arial" w:hAnsi="Arial" w:cs="Arial"/>
          <w:lang w:val="en-GB"/>
        </w:rPr>
        <w:t xml:space="preserve"> to her complaints and</w:t>
      </w:r>
      <w:r w:rsidR="00E620CC" w:rsidRPr="00A765B0">
        <w:rPr>
          <w:rFonts w:ascii="Arial" w:hAnsi="Arial" w:cs="Arial"/>
          <w:lang w:val="en-GB"/>
        </w:rPr>
        <w:t xml:space="preserve"> on the 24th of November 2020, she received a written response styled settlement quotation from a company called Telelink Opticomm</w:t>
      </w:r>
      <w:r w:rsidR="00A93397" w:rsidRPr="00A765B0">
        <w:rPr>
          <w:rFonts w:ascii="Arial" w:hAnsi="Arial" w:cs="Arial"/>
          <w:lang w:val="en-GB"/>
        </w:rPr>
        <w:t xml:space="preserve"> (Pty) Ltd (“Telelink”)</w:t>
      </w:r>
      <w:r w:rsidR="00E620CC" w:rsidRPr="00A765B0">
        <w:rPr>
          <w:rFonts w:ascii="Arial" w:hAnsi="Arial" w:cs="Arial"/>
          <w:lang w:val="en-GB"/>
        </w:rPr>
        <w:t xml:space="preserve">, </w:t>
      </w:r>
      <w:r w:rsidR="00A72A32" w:rsidRPr="00A765B0">
        <w:rPr>
          <w:rFonts w:ascii="Arial" w:hAnsi="Arial" w:cs="Arial"/>
          <w:lang w:val="en-GB"/>
        </w:rPr>
        <w:t>who</w:t>
      </w:r>
      <w:r w:rsidR="00E620CC" w:rsidRPr="00A765B0">
        <w:rPr>
          <w:rFonts w:ascii="Arial" w:hAnsi="Arial" w:cs="Arial"/>
          <w:lang w:val="en-GB"/>
        </w:rPr>
        <w:t xml:space="preserve"> quoted her an amount of R 141 146. 64 to cancel the agreement. Flabbergasted by what she considered to be an exorbitant settlement quote, she </w:t>
      </w:r>
      <w:r w:rsidR="00ED4FD3" w:rsidRPr="00A765B0">
        <w:rPr>
          <w:rFonts w:ascii="Arial" w:hAnsi="Arial" w:cs="Arial"/>
          <w:lang w:val="en-GB"/>
        </w:rPr>
        <w:t xml:space="preserve">elected to </w:t>
      </w:r>
      <w:r w:rsidR="00E620CC" w:rsidRPr="00A765B0">
        <w:rPr>
          <w:rFonts w:ascii="Arial" w:hAnsi="Arial" w:cs="Arial"/>
          <w:lang w:val="en-GB"/>
        </w:rPr>
        <w:t>cancel the agreement</w:t>
      </w:r>
      <w:r w:rsidR="00ED4FD3" w:rsidRPr="00A765B0">
        <w:rPr>
          <w:rFonts w:ascii="Arial" w:hAnsi="Arial" w:cs="Arial"/>
          <w:lang w:val="en-GB"/>
        </w:rPr>
        <w:t>.</w:t>
      </w:r>
      <w:r w:rsidR="00A93397" w:rsidRPr="00A765B0">
        <w:rPr>
          <w:rFonts w:ascii="Arial" w:hAnsi="Arial" w:cs="Arial"/>
          <w:lang w:val="en-GB"/>
        </w:rPr>
        <w:t xml:space="preserve"> She further alleges that she is entitled to cancel the agreement as the agreement is subject to the provisions of the Consumer Protection Act 68 of 2008 (“CPA”), and as such, she invoked Section 14(</w:t>
      </w:r>
      <w:r w:rsidR="007829CD" w:rsidRPr="00A765B0">
        <w:rPr>
          <w:rFonts w:ascii="Arial" w:hAnsi="Arial" w:cs="Arial"/>
          <w:lang w:val="en-GB"/>
        </w:rPr>
        <w:t>2</w:t>
      </w:r>
      <w:r w:rsidR="00A93397" w:rsidRPr="00A765B0">
        <w:rPr>
          <w:rFonts w:ascii="Arial" w:hAnsi="Arial" w:cs="Arial"/>
          <w:lang w:val="en-GB"/>
        </w:rPr>
        <w:t>)</w:t>
      </w:r>
      <w:r w:rsidR="00A72A32" w:rsidRPr="00A765B0">
        <w:rPr>
          <w:rFonts w:ascii="Arial" w:hAnsi="Arial" w:cs="Arial"/>
          <w:lang w:val="en-GB"/>
        </w:rPr>
        <w:t>(b)(bb)</w:t>
      </w:r>
      <w:r w:rsidR="00A93397" w:rsidRPr="00A765B0">
        <w:rPr>
          <w:rFonts w:ascii="Arial" w:hAnsi="Arial" w:cs="Arial"/>
          <w:lang w:val="en-GB"/>
        </w:rPr>
        <w:t xml:space="preserve"> of the CPA.</w:t>
      </w:r>
      <w:r w:rsidR="007829CD" w:rsidRPr="00A765B0">
        <w:rPr>
          <w:rFonts w:ascii="Arial" w:hAnsi="Arial" w:cs="Arial"/>
          <w:lang w:val="en-GB"/>
        </w:rPr>
        <w:t xml:space="preserve"> </w:t>
      </w:r>
    </w:p>
    <w:p w14:paraId="0ED965BC" w14:textId="77777777" w:rsidR="008A37B2" w:rsidRPr="008A37B2" w:rsidRDefault="008A37B2" w:rsidP="008A37B2">
      <w:pPr>
        <w:pStyle w:val="ListParagraph"/>
        <w:spacing w:line="480" w:lineRule="auto"/>
        <w:ind w:left="360"/>
        <w:jc w:val="both"/>
        <w:rPr>
          <w:rFonts w:ascii="Arial" w:hAnsi="Arial" w:cs="Arial"/>
          <w:lang w:val="en-US"/>
        </w:rPr>
      </w:pPr>
    </w:p>
    <w:p w14:paraId="1151EA0B" w14:textId="01EA3622" w:rsidR="008C76FC" w:rsidRPr="00A765B0" w:rsidRDefault="00A765B0" w:rsidP="00A765B0">
      <w:pPr>
        <w:spacing w:line="480" w:lineRule="auto"/>
        <w:ind w:left="360" w:hanging="360"/>
        <w:jc w:val="both"/>
        <w:rPr>
          <w:rFonts w:ascii="Arial" w:hAnsi="Arial" w:cs="Arial"/>
          <w:lang w:val="en-US"/>
        </w:rPr>
      </w:pPr>
      <w:r w:rsidRPr="008A37B2">
        <w:rPr>
          <w:rFonts w:ascii="Arial" w:hAnsi="Arial" w:cs="Arial"/>
          <w:lang w:val="en-US"/>
        </w:rPr>
        <w:lastRenderedPageBreak/>
        <w:t>15.</w:t>
      </w:r>
      <w:r w:rsidRPr="008A37B2">
        <w:rPr>
          <w:rFonts w:ascii="Arial" w:hAnsi="Arial" w:cs="Arial"/>
          <w:lang w:val="en-US"/>
        </w:rPr>
        <w:tab/>
      </w:r>
      <w:r w:rsidR="007829CD" w:rsidRPr="00A765B0">
        <w:rPr>
          <w:rFonts w:ascii="Arial" w:hAnsi="Arial" w:cs="Arial"/>
          <w:lang w:val="en-GB"/>
        </w:rPr>
        <w:t xml:space="preserve">The plaintiff </w:t>
      </w:r>
      <w:r w:rsidR="008C76FC" w:rsidRPr="00A765B0">
        <w:rPr>
          <w:rFonts w:ascii="Arial" w:hAnsi="Arial" w:cs="Arial"/>
          <w:lang w:val="en-GB"/>
        </w:rPr>
        <w:t xml:space="preserve">argued that the CPA does not find application to this agreement on the basis that firstly, Sasfin is not a supplier but rather a financier of the telephonic office equipment and secondly, that Sasfin as a bank is exempted from the </w:t>
      </w:r>
      <w:r w:rsidR="00DD3979" w:rsidRPr="00A765B0">
        <w:rPr>
          <w:rFonts w:ascii="Arial" w:hAnsi="Arial" w:cs="Arial"/>
          <w:lang w:val="en-GB"/>
        </w:rPr>
        <w:t>provisions</w:t>
      </w:r>
      <w:r w:rsidR="008C76FC" w:rsidRPr="00A765B0">
        <w:rPr>
          <w:rFonts w:ascii="Arial" w:hAnsi="Arial" w:cs="Arial"/>
          <w:lang w:val="en-GB"/>
        </w:rPr>
        <w:t xml:space="preserve"> of the CPA. In the argument, counsel for the plaintiff conceded that he would not </w:t>
      </w:r>
      <w:r w:rsidR="008A37B2" w:rsidRPr="00A765B0">
        <w:rPr>
          <w:rFonts w:ascii="Arial" w:hAnsi="Arial" w:cs="Arial"/>
          <w:lang w:val="en-GB"/>
        </w:rPr>
        <w:t>persist</w:t>
      </w:r>
      <w:r w:rsidR="008C76FC" w:rsidRPr="00A765B0">
        <w:rPr>
          <w:rFonts w:ascii="Arial" w:hAnsi="Arial" w:cs="Arial"/>
          <w:lang w:val="en-GB"/>
        </w:rPr>
        <w:t xml:space="preserve"> with the second leg of his argument. From a perusal of the definitions in Section 1 of the CPA, it is patent that the definition of a </w:t>
      </w:r>
      <w:r w:rsidR="008A37B2" w:rsidRPr="00A765B0">
        <w:rPr>
          <w:rFonts w:ascii="Arial" w:hAnsi="Arial" w:cs="Arial"/>
          <w:lang w:val="en-GB"/>
        </w:rPr>
        <w:t>“</w:t>
      </w:r>
      <w:r w:rsidR="008C76FC" w:rsidRPr="00A765B0">
        <w:rPr>
          <w:rFonts w:ascii="Arial" w:hAnsi="Arial" w:cs="Arial"/>
          <w:i/>
          <w:iCs/>
          <w:lang w:val="en-GB"/>
        </w:rPr>
        <w:t>supplier</w:t>
      </w:r>
      <w:r w:rsidR="008A37B2" w:rsidRPr="00A765B0">
        <w:rPr>
          <w:rFonts w:ascii="Arial" w:hAnsi="Arial" w:cs="Arial"/>
          <w:lang w:val="en-GB"/>
        </w:rPr>
        <w:t>”</w:t>
      </w:r>
      <w:r w:rsidR="008C76FC" w:rsidRPr="00A765B0">
        <w:rPr>
          <w:rFonts w:ascii="Arial" w:hAnsi="Arial" w:cs="Arial"/>
          <w:lang w:val="en-GB"/>
        </w:rPr>
        <w:t xml:space="preserve"> is given a </w:t>
      </w:r>
      <w:r w:rsidR="008A37B2" w:rsidRPr="00A765B0">
        <w:rPr>
          <w:rFonts w:ascii="Arial" w:hAnsi="Arial" w:cs="Arial"/>
          <w:lang w:val="en-GB"/>
        </w:rPr>
        <w:t>broader</w:t>
      </w:r>
      <w:r w:rsidR="008C76FC" w:rsidRPr="00A765B0">
        <w:rPr>
          <w:rFonts w:ascii="Arial" w:hAnsi="Arial" w:cs="Arial"/>
          <w:lang w:val="en-GB"/>
        </w:rPr>
        <w:t xml:space="preserve"> meaning than a party who manufactures</w:t>
      </w:r>
      <w:r w:rsidR="00FE1C55" w:rsidRPr="00A765B0">
        <w:rPr>
          <w:rFonts w:ascii="Arial" w:hAnsi="Arial" w:cs="Arial"/>
          <w:lang w:val="en-GB"/>
        </w:rPr>
        <w:t xml:space="preserve"> and sells</w:t>
      </w:r>
      <w:r w:rsidR="008C76FC" w:rsidRPr="00A765B0">
        <w:rPr>
          <w:rFonts w:ascii="Arial" w:hAnsi="Arial" w:cs="Arial"/>
          <w:lang w:val="en-GB"/>
        </w:rPr>
        <w:t xml:space="preserve"> goods. A supplier is defined as “</w:t>
      </w:r>
      <w:r w:rsidR="008C76FC" w:rsidRPr="00A765B0">
        <w:rPr>
          <w:rFonts w:ascii="Arial" w:hAnsi="Arial" w:cs="Arial"/>
          <w:i/>
          <w:iCs/>
          <w:lang w:val="en-GB"/>
        </w:rPr>
        <w:t xml:space="preserve">a person who markets any </w:t>
      </w:r>
      <w:r w:rsidR="008A37B2" w:rsidRPr="00A765B0">
        <w:rPr>
          <w:rFonts w:ascii="Arial" w:hAnsi="Arial" w:cs="Arial"/>
          <w:i/>
          <w:iCs/>
          <w:lang w:val="en-GB"/>
        </w:rPr>
        <w:t>goods</w:t>
      </w:r>
      <w:r w:rsidR="008C76FC" w:rsidRPr="00A765B0">
        <w:rPr>
          <w:rFonts w:ascii="Arial" w:hAnsi="Arial" w:cs="Arial"/>
          <w:i/>
          <w:iCs/>
          <w:lang w:val="en-GB"/>
        </w:rPr>
        <w:t xml:space="preserve"> or services</w:t>
      </w:r>
      <w:r w:rsidR="008C76FC" w:rsidRPr="00A765B0">
        <w:rPr>
          <w:rFonts w:ascii="Arial" w:hAnsi="Arial" w:cs="Arial"/>
          <w:lang w:val="en-GB"/>
        </w:rPr>
        <w:t>”. “</w:t>
      </w:r>
      <w:r w:rsidR="008C76FC" w:rsidRPr="00A765B0">
        <w:rPr>
          <w:rFonts w:ascii="Arial" w:hAnsi="Arial" w:cs="Arial"/>
          <w:i/>
          <w:iCs/>
          <w:lang w:val="en-GB"/>
        </w:rPr>
        <w:t>Services</w:t>
      </w:r>
      <w:r w:rsidR="008C76FC" w:rsidRPr="00A765B0">
        <w:rPr>
          <w:rFonts w:ascii="Arial" w:hAnsi="Arial" w:cs="Arial"/>
          <w:lang w:val="en-GB"/>
        </w:rPr>
        <w:t xml:space="preserve">”, in turn, is defined as </w:t>
      </w:r>
      <w:r w:rsidR="008A37B2" w:rsidRPr="00A765B0">
        <w:rPr>
          <w:rFonts w:ascii="Arial" w:hAnsi="Arial" w:cs="Arial"/>
          <w:lang w:val="en-GB"/>
        </w:rPr>
        <w:t>including but also not limited to</w:t>
      </w:r>
      <w:r w:rsidR="008C76FC" w:rsidRPr="00A765B0">
        <w:rPr>
          <w:rFonts w:ascii="Arial" w:hAnsi="Arial" w:cs="Arial"/>
          <w:lang w:val="en-GB"/>
        </w:rPr>
        <w:t xml:space="preserve"> “</w:t>
      </w:r>
      <w:r w:rsidR="008A37B2" w:rsidRPr="00A765B0">
        <w:rPr>
          <w:rFonts w:ascii="Arial" w:hAnsi="Arial" w:cs="Arial"/>
          <w:i/>
          <w:iCs/>
          <w:lang w:val="en-GB"/>
        </w:rPr>
        <w:t>any banking services, or related or similar financial services</w:t>
      </w:r>
      <w:r w:rsidR="008A37B2" w:rsidRPr="00A765B0">
        <w:rPr>
          <w:rFonts w:ascii="Arial" w:hAnsi="Arial" w:cs="Arial"/>
          <w:lang w:val="en-GB"/>
        </w:rPr>
        <w:t xml:space="preserve">”. Accordingly, the plaintiff as a financier in the agreement falls within the purview of the definition of supplier under the CPA. It follows that the CPA is appliable to the agreement. This was similarly so found in the </w:t>
      </w:r>
      <w:r w:rsidR="00BF00FE" w:rsidRPr="00A765B0">
        <w:rPr>
          <w:rFonts w:ascii="Arial" w:hAnsi="Arial" w:cs="Arial"/>
          <w:lang w:val="en-GB"/>
        </w:rPr>
        <w:t>decision</w:t>
      </w:r>
      <w:r w:rsidR="008A37B2" w:rsidRPr="00A765B0">
        <w:rPr>
          <w:rFonts w:ascii="Arial" w:hAnsi="Arial" w:cs="Arial"/>
          <w:lang w:val="en-GB"/>
        </w:rPr>
        <w:t xml:space="preserve"> of South African Securitisation Programme (RF) Limited and Prelene Jaglal - </w:t>
      </w:r>
      <w:r w:rsidR="008A37B2" w:rsidRPr="00A765B0">
        <w:rPr>
          <w:rFonts w:ascii="Arial" w:hAnsi="Arial" w:cs="Arial"/>
          <w:color w:val="000000" w:themeColor="text1"/>
          <w:lang w:val="en-GB"/>
        </w:rPr>
        <w:t>Govindpershad</w:t>
      </w:r>
      <w:r w:rsidR="008A37B2" w:rsidRPr="00A765B0">
        <w:rPr>
          <w:rFonts w:ascii="Arial" w:hAnsi="Arial" w:cs="Arial"/>
          <w:color w:val="000000" w:themeColor="text1"/>
        </w:rPr>
        <w:t xml:space="preserve">  (5835/2022) [2023] ZAGPJHC 728 (26 June 2023)</w:t>
      </w:r>
      <w:r w:rsidR="0089600C" w:rsidRPr="00A765B0">
        <w:rPr>
          <w:rFonts w:ascii="Arial" w:hAnsi="Arial" w:cs="Arial"/>
          <w:color w:val="000000" w:themeColor="text1"/>
        </w:rPr>
        <w:t>,</w:t>
      </w:r>
      <w:r w:rsidR="008A37B2" w:rsidRPr="00A765B0">
        <w:rPr>
          <w:rFonts w:ascii="Arial" w:hAnsi="Arial" w:cs="Arial"/>
          <w:color w:val="000000" w:themeColor="text1"/>
        </w:rPr>
        <w:t xml:space="preserve"> </w:t>
      </w:r>
      <w:r w:rsidR="00EE42E1" w:rsidRPr="00A765B0">
        <w:rPr>
          <w:rFonts w:ascii="Arial" w:hAnsi="Arial" w:cs="Arial"/>
          <w:color w:val="000000" w:themeColor="text1"/>
        </w:rPr>
        <w:t xml:space="preserve">which is on all fours with this matter. </w:t>
      </w:r>
    </w:p>
    <w:p w14:paraId="215C41A3" w14:textId="77777777" w:rsidR="007829CD" w:rsidRPr="007829CD" w:rsidRDefault="007829CD" w:rsidP="007829CD">
      <w:pPr>
        <w:pStyle w:val="ListParagraph"/>
        <w:spacing w:line="480" w:lineRule="auto"/>
        <w:ind w:left="360"/>
        <w:jc w:val="both"/>
        <w:rPr>
          <w:rFonts w:ascii="Arial" w:hAnsi="Arial" w:cs="Arial"/>
          <w:lang w:val="en-US"/>
        </w:rPr>
      </w:pPr>
    </w:p>
    <w:p w14:paraId="6E02239B" w14:textId="19B109F7" w:rsidR="00ED4FD3" w:rsidRDefault="00ED4FD3" w:rsidP="007829CD">
      <w:pPr>
        <w:spacing w:line="480" w:lineRule="auto"/>
        <w:ind w:left="360"/>
        <w:jc w:val="both"/>
        <w:rPr>
          <w:rFonts w:ascii="Arial" w:hAnsi="Arial" w:cs="Arial"/>
          <w:b/>
          <w:bCs/>
          <w:lang w:val="en-US"/>
        </w:rPr>
      </w:pPr>
      <w:r w:rsidRPr="00ED4FD3">
        <w:rPr>
          <w:rFonts w:ascii="Arial" w:hAnsi="Arial" w:cs="Arial"/>
          <w:b/>
          <w:bCs/>
          <w:lang w:val="en-US"/>
        </w:rPr>
        <w:t>Cancellations of the agreement</w:t>
      </w:r>
    </w:p>
    <w:p w14:paraId="74D664B5" w14:textId="77777777" w:rsidR="007829CD" w:rsidRPr="007829CD" w:rsidRDefault="007829CD" w:rsidP="007829CD">
      <w:pPr>
        <w:spacing w:line="480" w:lineRule="auto"/>
        <w:ind w:left="360"/>
        <w:jc w:val="both"/>
        <w:rPr>
          <w:rFonts w:ascii="Arial" w:hAnsi="Arial" w:cs="Arial"/>
          <w:b/>
          <w:bCs/>
          <w:lang w:val="en-US"/>
        </w:rPr>
      </w:pPr>
    </w:p>
    <w:p w14:paraId="06676F5D" w14:textId="0ED9EC45" w:rsidR="007829CD" w:rsidRPr="00A765B0" w:rsidRDefault="00A765B0" w:rsidP="00A765B0">
      <w:pPr>
        <w:spacing w:line="480" w:lineRule="auto"/>
        <w:ind w:left="360" w:hanging="360"/>
        <w:jc w:val="both"/>
        <w:rPr>
          <w:rFonts w:ascii="Arial" w:hAnsi="Arial" w:cs="Arial"/>
          <w:lang w:val="en-US"/>
        </w:rPr>
      </w:pPr>
      <w:r>
        <w:rPr>
          <w:rFonts w:ascii="Arial" w:hAnsi="Arial" w:cs="Arial"/>
          <w:lang w:val="en-US"/>
        </w:rPr>
        <w:t>16.</w:t>
      </w:r>
      <w:r>
        <w:rPr>
          <w:rFonts w:ascii="Arial" w:hAnsi="Arial" w:cs="Arial"/>
          <w:lang w:val="en-US"/>
        </w:rPr>
        <w:tab/>
      </w:r>
      <w:r w:rsidR="007829CD" w:rsidRPr="00A765B0">
        <w:rPr>
          <w:rFonts w:ascii="Arial" w:hAnsi="Arial" w:cs="Arial"/>
          <w:lang w:val="en-US"/>
        </w:rPr>
        <w:t xml:space="preserve"> Section 14(2) of the CPA set out as follows:-</w:t>
      </w:r>
    </w:p>
    <w:p w14:paraId="16998FA0" w14:textId="77777777" w:rsidR="007829CD" w:rsidRPr="008A37B2" w:rsidRDefault="007829CD" w:rsidP="007829CD">
      <w:pPr>
        <w:pStyle w:val="ListParagraph"/>
        <w:spacing w:line="360" w:lineRule="auto"/>
        <w:ind w:left="360"/>
        <w:jc w:val="both"/>
        <w:rPr>
          <w:rFonts w:ascii="Arial" w:hAnsi="Arial" w:cs="Arial"/>
          <w:color w:val="000000" w:themeColor="text1"/>
          <w:lang w:val="en-US"/>
        </w:rPr>
      </w:pPr>
    </w:p>
    <w:p w14:paraId="31F4DC0F" w14:textId="77777777" w:rsidR="007829CD" w:rsidRPr="008A37B2" w:rsidRDefault="007829CD" w:rsidP="007829CD">
      <w:pPr>
        <w:shd w:val="clear" w:color="auto" w:fill="FFFFFF"/>
        <w:spacing w:line="360" w:lineRule="auto"/>
        <w:ind w:firstLine="284"/>
        <w:rPr>
          <w:rFonts w:ascii="Arial" w:eastAsia="Times New Roman" w:hAnsi="Arial" w:cs="Arial"/>
          <w:i/>
          <w:iCs/>
          <w:color w:val="000000" w:themeColor="text1"/>
          <w:lang w:eastAsia="en-GB"/>
        </w:rPr>
      </w:pPr>
      <w:r w:rsidRPr="007829CD">
        <w:rPr>
          <w:rFonts w:ascii="Arial" w:eastAsia="Times New Roman" w:hAnsi="Arial" w:cs="Arial"/>
          <w:i/>
          <w:iCs/>
          <w:color w:val="000000" w:themeColor="text1"/>
          <w:lang w:eastAsia="en-GB"/>
        </w:rPr>
        <w:t>(2) If a consumer agreement is for a fixed term-</w:t>
      </w:r>
    </w:p>
    <w:p w14:paraId="2A8EB6E1" w14:textId="77777777" w:rsidR="007829CD" w:rsidRPr="007829CD" w:rsidRDefault="007829CD" w:rsidP="007829CD">
      <w:pPr>
        <w:shd w:val="clear" w:color="auto" w:fill="FFFFFF"/>
        <w:spacing w:line="360" w:lineRule="auto"/>
        <w:ind w:firstLine="284"/>
        <w:rPr>
          <w:rFonts w:ascii="Arial" w:eastAsia="Times New Roman" w:hAnsi="Arial" w:cs="Arial"/>
          <w:i/>
          <w:iCs/>
          <w:color w:val="000000" w:themeColor="text1"/>
          <w:lang w:eastAsia="en-GB"/>
        </w:rPr>
      </w:pPr>
    </w:p>
    <w:p w14:paraId="4CC969AA" w14:textId="0DE2627A" w:rsidR="007829CD" w:rsidRPr="008A37B2" w:rsidRDefault="007829CD" w:rsidP="007829CD">
      <w:pPr>
        <w:shd w:val="clear" w:color="auto" w:fill="FFFFFF"/>
        <w:spacing w:line="360" w:lineRule="auto"/>
        <w:ind w:hanging="737"/>
        <w:rPr>
          <w:rFonts w:ascii="Arial" w:eastAsia="Times New Roman" w:hAnsi="Arial" w:cs="Arial"/>
          <w:i/>
          <w:iCs/>
          <w:color w:val="000000" w:themeColor="text1"/>
          <w:lang w:eastAsia="en-GB"/>
        </w:rPr>
      </w:pPr>
      <w:r w:rsidRPr="007829CD">
        <w:rPr>
          <w:rFonts w:ascii="Arial" w:eastAsia="Times New Roman" w:hAnsi="Arial" w:cs="Arial"/>
          <w:i/>
          <w:iCs/>
          <w:color w:val="000000" w:themeColor="text1"/>
          <w:lang w:eastAsia="en-GB"/>
        </w:rPr>
        <w:t>   </w:t>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r w:rsidRPr="007829CD">
        <w:rPr>
          <w:rFonts w:ascii="Arial" w:eastAsia="Times New Roman" w:hAnsi="Arial" w:cs="Arial"/>
          <w:i/>
          <w:iCs/>
          <w:color w:val="000000" w:themeColor="text1"/>
          <w:lang w:eastAsia="en-GB"/>
        </w:rPr>
        <w:t>(b)   despite any provision of the consumer agreement to the contrary-</w:t>
      </w:r>
    </w:p>
    <w:p w14:paraId="7501724E" w14:textId="77777777" w:rsidR="007829CD" w:rsidRPr="007829CD" w:rsidRDefault="007829CD" w:rsidP="007829CD">
      <w:pPr>
        <w:shd w:val="clear" w:color="auto" w:fill="FFFFFF"/>
        <w:spacing w:line="360" w:lineRule="auto"/>
        <w:ind w:hanging="737"/>
        <w:rPr>
          <w:rFonts w:ascii="Arial" w:eastAsia="Times New Roman" w:hAnsi="Arial" w:cs="Arial"/>
          <w:i/>
          <w:iCs/>
          <w:color w:val="000000" w:themeColor="text1"/>
          <w:lang w:eastAsia="en-GB"/>
        </w:rPr>
      </w:pPr>
    </w:p>
    <w:p w14:paraId="65E776A6" w14:textId="6F510996" w:rsidR="007829CD" w:rsidRPr="007829CD" w:rsidRDefault="007829CD" w:rsidP="007829CD">
      <w:pPr>
        <w:shd w:val="clear" w:color="auto" w:fill="FFFFFF"/>
        <w:spacing w:line="360" w:lineRule="auto"/>
        <w:ind w:hanging="794"/>
        <w:rPr>
          <w:rFonts w:ascii="Arial" w:eastAsia="Times New Roman" w:hAnsi="Arial" w:cs="Arial"/>
          <w:i/>
          <w:iCs/>
          <w:color w:val="000000" w:themeColor="text1"/>
          <w:lang w:eastAsia="en-GB"/>
        </w:rPr>
      </w:pPr>
      <w:r w:rsidRPr="007829CD">
        <w:rPr>
          <w:rFonts w:ascii="Arial" w:eastAsia="Times New Roman" w:hAnsi="Arial" w:cs="Arial"/>
          <w:i/>
          <w:iCs/>
          <w:color w:val="000000" w:themeColor="text1"/>
          <w:lang w:eastAsia="en-GB"/>
        </w:rPr>
        <w:t>    </w:t>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r w:rsidRPr="007829CD">
        <w:rPr>
          <w:rFonts w:ascii="Arial" w:eastAsia="Times New Roman" w:hAnsi="Arial" w:cs="Arial"/>
          <w:i/>
          <w:iCs/>
          <w:color w:val="000000" w:themeColor="text1"/>
          <w:lang w:eastAsia="en-GB"/>
        </w:rPr>
        <w:t> (i)   </w:t>
      </w:r>
      <w:r w:rsidRPr="008A37B2">
        <w:rPr>
          <w:rFonts w:ascii="Arial" w:eastAsia="Times New Roman" w:hAnsi="Arial" w:cs="Arial"/>
          <w:i/>
          <w:iCs/>
          <w:color w:val="000000" w:themeColor="text1"/>
          <w:lang w:eastAsia="en-GB"/>
        </w:rPr>
        <w:t>The</w:t>
      </w:r>
      <w:r w:rsidRPr="007829CD">
        <w:rPr>
          <w:rFonts w:ascii="Arial" w:eastAsia="Times New Roman" w:hAnsi="Arial" w:cs="Arial"/>
          <w:i/>
          <w:iCs/>
          <w:color w:val="000000" w:themeColor="text1"/>
          <w:lang w:eastAsia="en-GB"/>
        </w:rPr>
        <w:t> consumer may cancel that agreement-</w:t>
      </w:r>
    </w:p>
    <w:p w14:paraId="7BBF9A9D" w14:textId="602CF980" w:rsidR="007829CD" w:rsidRPr="007829CD" w:rsidRDefault="007829CD" w:rsidP="007829CD">
      <w:pPr>
        <w:shd w:val="clear" w:color="auto" w:fill="FFFFFF"/>
        <w:spacing w:line="360" w:lineRule="auto"/>
        <w:ind w:hanging="851"/>
        <w:rPr>
          <w:rFonts w:ascii="Arial" w:eastAsia="Times New Roman" w:hAnsi="Arial" w:cs="Arial"/>
          <w:i/>
          <w:iCs/>
          <w:color w:val="000000" w:themeColor="text1"/>
          <w:lang w:eastAsia="en-GB"/>
        </w:rPr>
      </w:pPr>
      <w:r w:rsidRPr="007829CD">
        <w:rPr>
          <w:rFonts w:ascii="Arial" w:eastAsia="Times New Roman" w:hAnsi="Arial" w:cs="Arial"/>
          <w:i/>
          <w:iCs/>
          <w:color w:val="000000" w:themeColor="text1"/>
          <w:lang w:eastAsia="en-GB"/>
        </w:rPr>
        <w:t>   </w:t>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r w:rsidRPr="008A37B2">
        <w:rPr>
          <w:rFonts w:ascii="Arial" w:eastAsia="Times New Roman" w:hAnsi="Arial" w:cs="Arial"/>
          <w:i/>
          <w:iCs/>
          <w:color w:val="000000" w:themeColor="text1"/>
          <w:lang w:eastAsia="en-GB"/>
        </w:rPr>
        <w:tab/>
      </w:r>
    </w:p>
    <w:p w14:paraId="1E27AE1E" w14:textId="6B94E200" w:rsidR="007829CD" w:rsidRPr="008A37B2" w:rsidRDefault="007829CD" w:rsidP="007829CD">
      <w:pPr>
        <w:shd w:val="clear" w:color="auto" w:fill="FFFFFF"/>
        <w:spacing w:line="360" w:lineRule="auto"/>
        <w:ind w:left="2160"/>
        <w:rPr>
          <w:rFonts w:ascii="Arial" w:eastAsia="Times New Roman" w:hAnsi="Arial" w:cs="Arial"/>
          <w:i/>
          <w:iCs/>
          <w:color w:val="000000" w:themeColor="text1"/>
          <w:lang w:eastAsia="en-GB"/>
        </w:rPr>
      </w:pPr>
      <w:r w:rsidRPr="007829CD">
        <w:rPr>
          <w:rFonts w:ascii="Arial" w:eastAsia="Times New Roman" w:hAnsi="Arial" w:cs="Arial"/>
          <w:i/>
          <w:iCs/>
          <w:color w:val="000000" w:themeColor="text1"/>
          <w:lang w:eastAsia="en-GB"/>
        </w:rPr>
        <w:lastRenderedPageBreak/>
        <w:t xml:space="preserve">(bb)   at any other time, by giving the </w:t>
      </w:r>
      <w:r w:rsidRPr="007829CD">
        <w:rPr>
          <w:rFonts w:ascii="Arial" w:eastAsia="Times New Roman" w:hAnsi="Arial" w:cs="Arial"/>
          <w:i/>
          <w:iCs/>
          <w:color w:val="000000" w:themeColor="text1"/>
          <w:u w:val="single"/>
          <w:lang w:eastAsia="en-GB"/>
        </w:rPr>
        <w:t xml:space="preserve">supplier </w:t>
      </w:r>
      <w:r w:rsidRPr="007829CD">
        <w:rPr>
          <w:rFonts w:ascii="Arial" w:eastAsia="Times New Roman" w:hAnsi="Arial" w:cs="Arial"/>
          <w:i/>
          <w:iCs/>
          <w:color w:val="000000" w:themeColor="text1"/>
          <w:lang w:eastAsia="en-GB"/>
        </w:rPr>
        <w:t xml:space="preserve">20 business days' </w:t>
      </w:r>
      <w:r w:rsidRPr="007829CD">
        <w:rPr>
          <w:rFonts w:ascii="Arial" w:eastAsia="Times New Roman" w:hAnsi="Arial" w:cs="Arial"/>
          <w:i/>
          <w:iCs/>
          <w:color w:val="000000" w:themeColor="text1"/>
          <w:u w:val="single"/>
          <w:lang w:eastAsia="en-GB"/>
        </w:rPr>
        <w:t>notice in writing</w:t>
      </w:r>
      <w:r w:rsidRPr="007829CD">
        <w:rPr>
          <w:rFonts w:ascii="Arial" w:eastAsia="Times New Roman" w:hAnsi="Arial" w:cs="Arial"/>
          <w:i/>
          <w:iCs/>
          <w:color w:val="000000" w:themeColor="text1"/>
          <w:lang w:eastAsia="en-GB"/>
        </w:rPr>
        <w:t xml:space="preserve"> or other recorded manner and form, subject to subsection (3) (a) and (b)</w:t>
      </w:r>
      <w:r w:rsidRPr="008A37B2">
        <w:rPr>
          <w:rFonts w:ascii="Arial" w:eastAsia="Times New Roman" w:hAnsi="Arial" w:cs="Arial"/>
          <w:i/>
          <w:iCs/>
          <w:color w:val="000000" w:themeColor="text1"/>
          <w:lang w:eastAsia="en-GB"/>
        </w:rPr>
        <w:t xml:space="preserve"> </w:t>
      </w:r>
    </w:p>
    <w:p w14:paraId="1BB8C02C" w14:textId="77777777" w:rsidR="007829CD" w:rsidRPr="007829CD" w:rsidRDefault="007829CD" w:rsidP="007829CD">
      <w:pPr>
        <w:pStyle w:val="ListParagraph"/>
        <w:spacing w:line="480" w:lineRule="auto"/>
        <w:ind w:left="360"/>
        <w:jc w:val="both"/>
        <w:rPr>
          <w:rFonts w:ascii="Arial" w:hAnsi="Arial" w:cs="Arial"/>
          <w:lang w:val="en-US"/>
        </w:rPr>
      </w:pPr>
    </w:p>
    <w:p w14:paraId="26786127" w14:textId="5DA7E5CA" w:rsidR="00565119" w:rsidRPr="00A765B0" w:rsidRDefault="00A765B0" w:rsidP="00A765B0">
      <w:pPr>
        <w:spacing w:line="480" w:lineRule="auto"/>
        <w:ind w:left="360" w:hanging="360"/>
        <w:jc w:val="both"/>
        <w:rPr>
          <w:rFonts w:ascii="Arial" w:hAnsi="Arial" w:cs="Arial"/>
          <w:lang w:val="en-US"/>
        </w:rPr>
      </w:pPr>
      <w:r>
        <w:rPr>
          <w:rFonts w:ascii="Arial" w:hAnsi="Arial" w:cs="Arial"/>
          <w:lang w:val="en-US"/>
        </w:rPr>
        <w:t>17.</w:t>
      </w:r>
      <w:r>
        <w:rPr>
          <w:rFonts w:ascii="Arial" w:hAnsi="Arial" w:cs="Arial"/>
          <w:lang w:val="en-US"/>
        </w:rPr>
        <w:tab/>
      </w:r>
      <w:r w:rsidR="007829CD" w:rsidRPr="00A765B0">
        <w:rPr>
          <w:rFonts w:ascii="Arial" w:hAnsi="Arial" w:cs="Arial"/>
          <w:lang w:val="en-US"/>
        </w:rPr>
        <w:t>Accordingly, Section 14(2)(b)</w:t>
      </w:r>
      <w:r w:rsidR="00FE1C55" w:rsidRPr="00A765B0">
        <w:rPr>
          <w:rFonts w:ascii="Arial" w:hAnsi="Arial" w:cs="Arial"/>
          <w:lang w:val="en-US"/>
        </w:rPr>
        <w:t>(bb)</w:t>
      </w:r>
      <w:r w:rsidR="007829CD" w:rsidRPr="00A765B0">
        <w:rPr>
          <w:rFonts w:ascii="Arial" w:hAnsi="Arial" w:cs="Arial"/>
          <w:lang w:val="en-US"/>
        </w:rPr>
        <w:t xml:space="preserve"> of the CPA makes it plain that a consumer can cancel </w:t>
      </w:r>
      <w:r w:rsidR="00FE1C55" w:rsidRPr="00A765B0">
        <w:rPr>
          <w:rFonts w:ascii="Arial" w:hAnsi="Arial" w:cs="Arial"/>
          <w:lang w:val="en-US"/>
        </w:rPr>
        <w:t>a fixed-term</w:t>
      </w:r>
      <w:r w:rsidR="007829CD" w:rsidRPr="00A765B0">
        <w:rPr>
          <w:rFonts w:ascii="Arial" w:hAnsi="Arial" w:cs="Arial"/>
          <w:lang w:val="en-US"/>
        </w:rPr>
        <w:t xml:space="preserve"> agreement</w:t>
      </w:r>
      <w:r w:rsidR="00FE1C55" w:rsidRPr="00A765B0">
        <w:rPr>
          <w:rFonts w:ascii="Arial" w:hAnsi="Arial" w:cs="Arial"/>
          <w:lang w:val="en-US"/>
        </w:rPr>
        <w:t xml:space="preserve"> for any reason</w:t>
      </w:r>
      <w:r w:rsidR="007829CD" w:rsidRPr="00A765B0">
        <w:rPr>
          <w:rFonts w:ascii="Arial" w:hAnsi="Arial" w:cs="Arial"/>
          <w:lang w:val="en-US"/>
        </w:rPr>
        <w:t xml:space="preserve"> but must do so in writing to the supplie</w:t>
      </w:r>
      <w:r w:rsidR="008A37B2" w:rsidRPr="00A765B0">
        <w:rPr>
          <w:rFonts w:ascii="Arial" w:hAnsi="Arial" w:cs="Arial"/>
          <w:lang w:val="en-US"/>
        </w:rPr>
        <w:t>r</w:t>
      </w:r>
      <w:r w:rsidR="007829CD" w:rsidRPr="00A765B0">
        <w:rPr>
          <w:rFonts w:ascii="Arial" w:hAnsi="Arial" w:cs="Arial"/>
          <w:lang w:val="en-US"/>
        </w:rPr>
        <w:t xml:space="preserve"> </w:t>
      </w:r>
      <w:r w:rsidR="00EE42E1" w:rsidRPr="00A765B0">
        <w:rPr>
          <w:rFonts w:ascii="Arial" w:hAnsi="Arial" w:cs="Arial"/>
          <w:lang w:val="en-US"/>
        </w:rPr>
        <w:t xml:space="preserve">and </w:t>
      </w:r>
      <w:r w:rsidR="007829CD" w:rsidRPr="00A765B0">
        <w:rPr>
          <w:rFonts w:ascii="Arial" w:hAnsi="Arial" w:cs="Arial"/>
          <w:lang w:val="en-US"/>
        </w:rPr>
        <w:t>on 20 business days’ notice.</w:t>
      </w:r>
    </w:p>
    <w:p w14:paraId="3B498195" w14:textId="77777777" w:rsidR="00565119" w:rsidRPr="00565119" w:rsidRDefault="00565119" w:rsidP="00565119">
      <w:pPr>
        <w:pStyle w:val="ListParagraph"/>
        <w:spacing w:line="480" w:lineRule="auto"/>
        <w:ind w:left="360"/>
        <w:jc w:val="both"/>
        <w:rPr>
          <w:rFonts w:ascii="Arial" w:hAnsi="Arial" w:cs="Arial"/>
          <w:lang w:val="en-US"/>
        </w:rPr>
      </w:pPr>
    </w:p>
    <w:p w14:paraId="606C4D1A" w14:textId="164CAD2F" w:rsidR="00ED4FD3" w:rsidRPr="00A765B0" w:rsidRDefault="00A765B0" w:rsidP="00A765B0">
      <w:pPr>
        <w:spacing w:line="480" w:lineRule="auto"/>
        <w:ind w:left="360" w:hanging="360"/>
        <w:jc w:val="both"/>
        <w:rPr>
          <w:rFonts w:ascii="Arial" w:hAnsi="Arial" w:cs="Arial"/>
          <w:lang w:val="en-US"/>
        </w:rPr>
      </w:pPr>
      <w:r w:rsidRPr="007829CD">
        <w:rPr>
          <w:rFonts w:ascii="Arial" w:hAnsi="Arial" w:cs="Arial"/>
          <w:lang w:val="en-US"/>
        </w:rPr>
        <w:t>18.</w:t>
      </w:r>
      <w:r w:rsidRPr="007829CD">
        <w:rPr>
          <w:rFonts w:ascii="Arial" w:hAnsi="Arial" w:cs="Arial"/>
          <w:lang w:val="en-US"/>
        </w:rPr>
        <w:tab/>
      </w:r>
      <w:r w:rsidR="00FA67F5" w:rsidRPr="00A765B0">
        <w:rPr>
          <w:rFonts w:ascii="Arial" w:hAnsi="Arial" w:cs="Arial"/>
          <w:lang w:val="en-GB"/>
        </w:rPr>
        <w:t>In</w:t>
      </w:r>
      <w:r w:rsidR="00ED4FD3" w:rsidRPr="00A765B0">
        <w:rPr>
          <w:rFonts w:ascii="Arial" w:hAnsi="Arial" w:cs="Arial"/>
          <w:lang w:val="en-GB"/>
        </w:rPr>
        <w:t xml:space="preserve"> </w:t>
      </w:r>
      <w:r w:rsidR="008A37B2" w:rsidRPr="00A765B0">
        <w:rPr>
          <w:rFonts w:ascii="Arial" w:hAnsi="Arial" w:cs="Arial"/>
          <w:lang w:val="en-GB"/>
        </w:rPr>
        <w:t>the defendant’s</w:t>
      </w:r>
      <w:r w:rsidR="00ED4FD3" w:rsidRPr="00A765B0">
        <w:rPr>
          <w:rFonts w:ascii="Arial" w:hAnsi="Arial" w:cs="Arial"/>
          <w:lang w:val="en-GB"/>
        </w:rPr>
        <w:t xml:space="preserve"> plea and her affidavit resisting summary judgment, s</w:t>
      </w:r>
      <w:r w:rsidR="00827820" w:rsidRPr="00A765B0">
        <w:rPr>
          <w:rFonts w:ascii="Arial" w:hAnsi="Arial" w:cs="Arial"/>
          <w:lang w:val="en-GB"/>
        </w:rPr>
        <w:t xml:space="preserve">he </w:t>
      </w:r>
      <w:r w:rsidR="0089600C" w:rsidRPr="00A765B0">
        <w:rPr>
          <w:rFonts w:ascii="Arial" w:hAnsi="Arial" w:cs="Arial"/>
          <w:lang w:val="en-GB"/>
        </w:rPr>
        <w:t>set</w:t>
      </w:r>
      <w:r w:rsidR="00FA67F5" w:rsidRPr="00A765B0">
        <w:rPr>
          <w:rFonts w:ascii="Arial" w:hAnsi="Arial" w:cs="Arial"/>
          <w:lang w:val="en-GB"/>
        </w:rPr>
        <w:t xml:space="preserve"> out</w:t>
      </w:r>
      <w:r w:rsidR="00827820" w:rsidRPr="00A765B0">
        <w:rPr>
          <w:rFonts w:ascii="Arial" w:hAnsi="Arial" w:cs="Arial"/>
          <w:lang w:val="en-GB"/>
        </w:rPr>
        <w:t xml:space="preserve"> that </w:t>
      </w:r>
      <w:r w:rsidR="00A24AAA" w:rsidRPr="00A765B0">
        <w:rPr>
          <w:rFonts w:ascii="Arial" w:hAnsi="Arial" w:cs="Arial"/>
          <w:lang w:val="en-US"/>
        </w:rPr>
        <w:t xml:space="preserve">she cancelled the agreement </w:t>
      </w:r>
      <w:r w:rsidR="00D41F56" w:rsidRPr="00A765B0">
        <w:rPr>
          <w:rFonts w:ascii="Arial" w:hAnsi="Arial" w:cs="Arial"/>
          <w:lang w:val="en-US"/>
        </w:rPr>
        <w:t>on t</w:t>
      </w:r>
      <w:r w:rsidR="00ED4FD3" w:rsidRPr="00A765B0">
        <w:rPr>
          <w:rFonts w:ascii="Arial" w:hAnsi="Arial" w:cs="Arial"/>
          <w:lang w:val="en-US"/>
        </w:rPr>
        <w:t>hree</w:t>
      </w:r>
      <w:r w:rsidR="00D41F56" w:rsidRPr="00A765B0">
        <w:rPr>
          <w:rFonts w:ascii="Arial" w:hAnsi="Arial" w:cs="Arial"/>
          <w:lang w:val="en-US"/>
        </w:rPr>
        <w:t xml:space="preserve"> occasions</w:t>
      </w:r>
      <w:r w:rsidR="00ED4FD3" w:rsidRPr="00A765B0">
        <w:rPr>
          <w:rFonts w:ascii="Arial" w:hAnsi="Arial" w:cs="Arial"/>
          <w:lang w:val="en-US"/>
        </w:rPr>
        <w:t>. These cancellations need to be carefully considered.</w:t>
      </w:r>
    </w:p>
    <w:p w14:paraId="1504BBA7" w14:textId="77777777" w:rsidR="00ED4FD3" w:rsidRDefault="00ED4FD3" w:rsidP="00ED4FD3">
      <w:pPr>
        <w:pStyle w:val="ListParagraph"/>
        <w:spacing w:line="480" w:lineRule="auto"/>
        <w:ind w:left="360"/>
        <w:jc w:val="both"/>
        <w:rPr>
          <w:rFonts w:ascii="Arial" w:hAnsi="Arial" w:cs="Arial"/>
          <w:lang w:val="en-US"/>
        </w:rPr>
      </w:pPr>
    </w:p>
    <w:p w14:paraId="1C358796" w14:textId="3B0221E7" w:rsidR="00EE42E1" w:rsidRPr="00A765B0" w:rsidRDefault="00A765B0" w:rsidP="00A765B0">
      <w:pPr>
        <w:spacing w:line="480" w:lineRule="auto"/>
        <w:ind w:left="360" w:hanging="360"/>
        <w:jc w:val="both"/>
        <w:rPr>
          <w:rFonts w:ascii="Arial" w:hAnsi="Arial" w:cs="Arial"/>
          <w:lang w:val="en-US"/>
        </w:rPr>
      </w:pPr>
      <w:r>
        <w:rPr>
          <w:rFonts w:ascii="Arial" w:hAnsi="Arial" w:cs="Arial"/>
          <w:lang w:val="en-US"/>
        </w:rPr>
        <w:t>19.</w:t>
      </w:r>
      <w:r>
        <w:rPr>
          <w:rFonts w:ascii="Arial" w:hAnsi="Arial" w:cs="Arial"/>
          <w:lang w:val="en-US"/>
        </w:rPr>
        <w:tab/>
      </w:r>
      <w:r w:rsidR="00ED4FD3" w:rsidRPr="00A765B0">
        <w:rPr>
          <w:rFonts w:ascii="Arial" w:hAnsi="Arial" w:cs="Arial"/>
          <w:lang w:val="en-US"/>
        </w:rPr>
        <w:t>In her pl</w:t>
      </w:r>
      <w:r w:rsidR="009C706F" w:rsidRPr="00A765B0">
        <w:rPr>
          <w:rFonts w:ascii="Arial" w:hAnsi="Arial" w:cs="Arial"/>
          <w:lang w:val="en-US"/>
        </w:rPr>
        <w:t xml:space="preserve">ea, she alleges that on 30 November 2020, and in </w:t>
      </w:r>
      <w:r w:rsidR="00FA67F5" w:rsidRPr="00A765B0">
        <w:rPr>
          <w:rFonts w:ascii="Arial" w:hAnsi="Arial" w:cs="Arial"/>
          <w:lang w:val="en-US"/>
        </w:rPr>
        <w:t>writing</w:t>
      </w:r>
      <w:r w:rsidR="009C706F" w:rsidRPr="00A765B0">
        <w:rPr>
          <w:rFonts w:ascii="Arial" w:hAnsi="Arial" w:cs="Arial"/>
          <w:lang w:val="en-US"/>
        </w:rPr>
        <w:t xml:space="preserve">, she informed </w:t>
      </w:r>
      <w:r w:rsidR="00FE1C55" w:rsidRPr="00A765B0">
        <w:rPr>
          <w:rFonts w:ascii="Arial" w:hAnsi="Arial" w:cs="Arial"/>
          <w:lang w:val="en-US"/>
        </w:rPr>
        <w:t xml:space="preserve">Sasfin </w:t>
      </w:r>
      <w:r w:rsidR="009C706F" w:rsidRPr="00A765B0">
        <w:rPr>
          <w:rFonts w:ascii="Arial" w:hAnsi="Arial" w:cs="Arial"/>
          <w:lang w:val="en-US"/>
        </w:rPr>
        <w:t xml:space="preserve">that she would </w:t>
      </w:r>
      <w:r w:rsidR="00325D0B" w:rsidRPr="00A765B0">
        <w:rPr>
          <w:rFonts w:ascii="Arial" w:hAnsi="Arial" w:cs="Arial"/>
          <w:lang w:val="en-US"/>
        </w:rPr>
        <w:t>cancel</w:t>
      </w:r>
      <w:r w:rsidR="009C706F" w:rsidRPr="00A765B0">
        <w:rPr>
          <w:rFonts w:ascii="Arial" w:hAnsi="Arial" w:cs="Arial"/>
          <w:lang w:val="en-US"/>
        </w:rPr>
        <w:t xml:space="preserve"> the agreement. This correspondence is annexed to her plea</w:t>
      </w:r>
      <w:r w:rsidR="00A93397" w:rsidRPr="00A765B0">
        <w:rPr>
          <w:rFonts w:ascii="Arial" w:hAnsi="Arial" w:cs="Arial"/>
          <w:lang w:val="en-US"/>
        </w:rPr>
        <w:t>,</w:t>
      </w:r>
      <w:r w:rsidR="009C706F" w:rsidRPr="00A765B0">
        <w:rPr>
          <w:rFonts w:ascii="Arial" w:hAnsi="Arial" w:cs="Arial"/>
          <w:lang w:val="en-US"/>
        </w:rPr>
        <w:t xml:space="preserve"> and </w:t>
      </w:r>
      <w:r w:rsidR="0049312A" w:rsidRPr="00A765B0">
        <w:rPr>
          <w:rFonts w:ascii="Arial" w:hAnsi="Arial" w:cs="Arial"/>
          <w:lang w:val="en-US"/>
        </w:rPr>
        <w:t xml:space="preserve">the following is </w:t>
      </w:r>
      <w:r w:rsidR="00325D0B" w:rsidRPr="00A765B0">
        <w:rPr>
          <w:rFonts w:ascii="Arial" w:hAnsi="Arial" w:cs="Arial"/>
          <w:lang w:val="en-US"/>
        </w:rPr>
        <w:t>important</w:t>
      </w:r>
      <w:r w:rsidR="00A93397" w:rsidRPr="00A765B0">
        <w:rPr>
          <w:rFonts w:ascii="Arial" w:hAnsi="Arial" w:cs="Arial"/>
          <w:lang w:val="en-US"/>
        </w:rPr>
        <w:t>:- the correspondence is addressed to Sasfin and Telelink</w:t>
      </w:r>
      <w:r w:rsidR="00FA67F5" w:rsidRPr="00A765B0">
        <w:rPr>
          <w:rFonts w:ascii="Arial" w:hAnsi="Arial" w:cs="Arial"/>
          <w:lang w:val="en-US"/>
        </w:rPr>
        <w:t xml:space="preserve"> and is written by her office manager, namely </w:t>
      </w:r>
      <w:r w:rsidR="00FE1C55" w:rsidRPr="00A765B0">
        <w:rPr>
          <w:rFonts w:ascii="Arial" w:hAnsi="Arial" w:cs="Arial"/>
          <w:lang w:val="en-US"/>
        </w:rPr>
        <w:t xml:space="preserve">Amore Smit. </w:t>
      </w:r>
      <w:r w:rsidR="00A93397" w:rsidRPr="00A765B0">
        <w:rPr>
          <w:rFonts w:ascii="Arial" w:hAnsi="Arial" w:cs="Arial"/>
          <w:lang w:val="en-US"/>
        </w:rPr>
        <w:t xml:space="preserve"> The </w:t>
      </w:r>
      <w:r w:rsidR="00325D0B" w:rsidRPr="00A765B0">
        <w:rPr>
          <w:rFonts w:ascii="Arial" w:hAnsi="Arial" w:cs="Arial"/>
          <w:lang w:val="en-US"/>
        </w:rPr>
        <w:t>relevant</w:t>
      </w:r>
      <w:r w:rsidR="00A93397" w:rsidRPr="00A765B0">
        <w:rPr>
          <w:rFonts w:ascii="Arial" w:hAnsi="Arial" w:cs="Arial"/>
          <w:lang w:val="en-US"/>
        </w:rPr>
        <w:t xml:space="preserve"> reference </w:t>
      </w:r>
      <w:r w:rsidR="00325D0B" w:rsidRPr="00A765B0">
        <w:rPr>
          <w:rFonts w:ascii="Arial" w:hAnsi="Arial" w:cs="Arial"/>
          <w:lang w:val="en-US"/>
        </w:rPr>
        <w:t>to</w:t>
      </w:r>
      <w:r w:rsidR="00A93397" w:rsidRPr="00A765B0">
        <w:rPr>
          <w:rFonts w:ascii="Arial" w:hAnsi="Arial" w:cs="Arial"/>
          <w:lang w:val="en-US"/>
        </w:rPr>
        <w:t xml:space="preserve"> cancellation is as follows </w:t>
      </w:r>
      <w:r w:rsidR="00A93397" w:rsidRPr="00A765B0">
        <w:rPr>
          <w:rFonts w:ascii="Arial" w:hAnsi="Arial" w:cs="Arial"/>
          <w:i/>
          <w:iCs/>
          <w:lang w:val="en-US"/>
        </w:rPr>
        <w:t xml:space="preserve">“We want this contract terminated with immediate effect”. </w:t>
      </w:r>
      <w:r w:rsidR="00A93397" w:rsidRPr="00A765B0">
        <w:rPr>
          <w:rFonts w:ascii="Arial" w:hAnsi="Arial" w:cs="Arial"/>
          <w:lang w:val="en-US"/>
        </w:rPr>
        <w:t xml:space="preserve">This </w:t>
      </w:r>
      <w:r w:rsidR="00FA67F5" w:rsidRPr="00A765B0">
        <w:rPr>
          <w:rFonts w:ascii="Arial" w:hAnsi="Arial" w:cs="Arial"/>
          <w:lang w:val="en-US"/>
        </w:rPr>
        <w:t>allegation is</w:t>
      </w:r>
      <w:r w:rsidR="00A93397" w:rsidRPr="00A765B0">
        <w:rPr>
          <w:rFonts w:ascii="Arial" w:hAnsi="Arial" w:cs="Arial"/>
          <w:lang w:val="en-US"/>
        </w:rPr>
        <w:t xml:space="preserve"> not repeated in her affidavit resisting summary judgment</w:t>
      </w:r>
      <w:r w:rsidR="00157C06" w:rsidRPr="00A765B0">
        <w:rPr>
          <w:rFonts w:ascii="Arial" w:hAnsi="Arial" w:cs="Arial"/>
          <w:lang w:val="en-US"/>
        </w:rPr>
        <w:t xml:space="preserve"> (“30 November 2020 cancellation</w:t>
      </w:r>
      <w:r w:rsidR="00EE42E1" w:rsidRPr="00A765B0">
        <w:rPr>
          <w:rFonts w:ascii="Arial" w:hAnsi="Arial" w:cs="Arial"/>
          <w:lang w:val="en-US"/>
        </w:rPr>
        <w:t xml:space="preserve"> notice</w:t>
      </w:r>
      <w:r w:rsidR="00157C06" w:rsidRPr="00A765B0">
        <w:rPr>
          <w:rFonts w:ascii="Arial" w:hAnsi="Arial" w:cs="Arial"/>
          <w:lang w:val="en-US"/>
        </w:rPr>
        <w:t>”)</w:t>
      </w:r>
      <w:r w:rsidR="007829CD" w:rsidRPr="00A765B0">
        <w:rPr>
          <w:rFonts w:ascii="Arial" w:hAnsi="Arial" w:cs="Arial"/>
          <w:lang w:val="en-US"/>
        </w:rPr>
        <w:t>.</w:t>
      </w:r>
      <w:r w:rsidR="00A93397" w:rsidRPr="00A765B0">
        <w:rPr>
          <w:rFonts w:ascii="Arial" w:hAnsi="Arial" w:cs="Arial"/>
          <w:lang w:val="en-US"/>
        </w:rPr>
        <w:t xml:space="preserve"> </w:t>
      </w:r>
    </w:p>
    <w:p w14:paraId="4C9F45EE" w14:textId="77777777" w:rsidR="00EE42E1" w:rsidRPr="00EE42E1" w:rsidRDefault="00EE42E1" w:rsidP="00EE42E1">
      <w:pPr>
        <w:pStyle w:val="ListParagraph"/>
        <w:rPr>
          <w:rFonts w:ascii="Arial" w:hAnsi="Arial" w:cs="Arial"/>
          <w:lang w:val="en-US"/>
        </w:rPr>
      </w:pPr>
    </w:p>
    <w:p w14:paraId="37CF176B" w14:textId="17FBD139" w:rsidR="00EE42E1" w:rsidRPr="00A765B0" w:rsidRDefault="00A765B0" w:rsidP="00A765B0">
      <w:pPr>
        <w:spacing w:line="480" w:lineRule="auto"/>
        <w:ind w:left="360" w:hanging="360"/>
        <w:jc w:val="both"/>
        <w:rPr>
          <w:rFonts w:ascii="Arial" w:hAnsi="Arial" w:cs="Arial"/>
          <w:lang w:val="en-US"/>
        </w:rPr>
      </w:pPr>
      <w:r>
        <w:rPr>
          <w:rFonts w:ascii="Arial" w:hAnsi="Arial" w:cs="Arial"/>
          <w:lang w:val="en-US"/>
        </w:rPr>
        <w:t>20.</w:t>
      </w:r>
      <w:r>
        <w:rPr>
          <w:rFonts w:ascii="Arial" w:hAnsi="Arial" w:cs="Arial"/>
          <w:lang w:val="en-US"/>
        </w:rPr>
        <w:tab/>
      </w:r>
      <w:r w:rsidR="00FE1C55" w:rsidRPr="00A765B0">
        <w:rPr>
          <w:rFonts w:ascii="Arial" w:hAnsi="Arial" w:cs="Arial"/>
          <w:lang w:val="en-US"/>
        </w:rPr>
        <w:t>It can be gleaned from her version that she contends that</w:t>
      </w:r>
      <w:r w:rsidR="001D1EC4" w:rsidRPr="00A765B0">
        <w:rPr>
          <w:rFonts w:ascii="Arial" w:hAnsi="Arial" w:cs="Arial"/>
          <w:lang w:val="en-US"/>
        </w:rPr>
        <w:t xml:space="preserve"> </w:t>
      </w:r>
      <w:r w:rsidR="00FE1C55" w:rsidRPr="00A765B0">
        <w:rPr>
          <w:rFonts w:ascii="Arial" w:hAnsi="Arial" w:cs="Arial"/>
          <w:lang w:val="en-US"/>
        </w:rPr>
        <w:t xml:space="preserve">she </w:t>
      </w:r>
      <w:r w:rsidR="001D1EC4" w:rsidRPr="00A765B0">
        <w:rPr>
          <w:rFonts w:ascii="Arial" w:hAnsi="Arial" w:cs="Arial"/>
          <w:lang w:val="en-US"/>
        </w:rPr>
        <w:t>continue</w:t>
      </w:r>
      <w:r w:rsidR="00AC59F9" w:rsidRPr="00A765B0">
        <w:rPr>
          <w:rFonts w:ascii="Arial" w:hAnsi="Arial" w:cs="Arial"/>
          <w:lang w:val="en-US"/>
        </w:rPr>
        <w:t>d</w:t>
      </w:r>
      <w:r w:rsidR="001D1EC4" w:rsidRPr="00A765B0">
        <w:rPr>
          <w:rFonts w:ascii="Arial" w:hAnsi="Arial" w:cs="Arial"/>
          <w:lang w:val="en-US"/>
        </w:rPr>
        <w:t xml:space="preserve"> using the telephonic office equipment and making </w:t>
      </w:r>
      <w:r w:rsidR="00EE42E1" w:rsidRPr="00A765B0">
        <w:rPr>
          <w:rFonts w:ascii="Arial" w:hAnsi="Arial" w:cs="Arial"/>
          <w:lang w:val="en-US"/>
        </w:rPr>
        <w:t>the monthly instalment payments and does not factually cancel the lease with immediate effect.</w:t>
      </w:r>
    </w:p>
    <w:p w14:paraId="1EC23D56" w14:textId="77777777" w:rsidR="00EE42E1" w:rsidRPr="00EE42E1" w:rsidRDefault="00EE42E1" w:rsidP="00EE42E1">
      <w:pPr>
        <w:pStyle w:val="ListParagraph"/>
        <w:rPr>
          <w:rFonts w:ascii="Arial" w:hAnsi="Arial" w:cs="Arial"/>
          <w:lang w:val="en-US"/>
        </w:rPr>
      </w:pPr>
    </w:p>
    <w:p w14:paraId="5F4E6BD1" w14:textId="2AAF68B5" w:rsidR="00A93397" w:rsidRPr="00A765B0" w:rsidRDefault="00A765B0" w:rsidP="00A765B0">
      <w:pPr>
        <w:spacing w:line="480" w:lineRule="auto"/>
        <w:ind w:left="360" w:hanging="360"/>
        <w:jc w:val="both"/>
        <w:rPr>
          <w:rFonts w:ascii="Arial" w:hAnsi="Arial" w:cs="Arial"/>
          <w:lang w:val="en-US"/>
        </w:rPr>
      </w:pPr>
      <w:r w:rsidRPr="00EE42E1">
        <w:rPr>
          <w:rFonts w:ascii="Arial" w:hAnsi="Arial" w:cs="Arial"/>
          <w:lang w:val="en-US"/>
        </w:rPr>
        <w:t>21.</w:t>
      </w:r>
      <w:r w:rsidRPr="00EE42E1">
        <w:rPr>
          <w:rFonts w:ascii="Arial" w:hAnsi="Arial" w:cs="Arial"/>
          <w:lang w:val="en-US"/>
        </w:rPr>
        <w:tab/>
      </w:r>
      <w:r w:rsidR="00A93397" w:rsidRPr="00A765B0">
        <w:rPr>
          <w:rFonts w:ascii="Arial" w:hAnsi="Arial" w:cs="Arial"/>
          <w:lang w:val="en-US"/>
        </w:rPr>
        <w:t xml:space="preserve">In her affidavit resisting summary judgment, she baldly alleges that she cancelled the agreement with </w:t>
      </w:r>
      <w:r w:rsidR="00FE1C55" w:rsidRPr="00A765B0">
        <w:rPr>
          <w:rFonts w:ascii="Arial" w:hAnsi="Arial" w:cs="Arial"/>
          <w:lang w:val="en-US"/>
        </w:rPr>
        <w:t>Sasfin</w:t>
      </w:r>
      <w:r w:rsidR="00A93397" w:rsidRPr="00A765B0">
        <w:rPr>
          <w:rFonts w:ascii="Arial" w:hAnsi="Arial" w:cs="Arial"/>
          <w:lang w:val="en-US"/>
        </w:rPr>
        <w:t xml:space="preserve"> </w:t>
      </w:r>
      <w:r w:rsidR="00EE42E1" w:rsidRPr="00A765B0">
        <w:rPr>
          <w:rFonts w:ascii="Arial" w:hAnsi="Arial" w:cs="Arial"/>
          <w:lang w:val="en-US"/>
        </w:rPr>
        <w:t>o</w:t>
      </w:r>
      <w:r w:rsidR="00325D0B" w:rsidRPr="00A765B0">
        <w:rPr>
          <w:rFonts w:ascii="Arial" w:hAnsi="Arial" w:cs="Arial"/>
          <w:lang w:val="en-US"/>
        </w:rPr>
        <w:t>n</w:t>
      </w:r>
      <w:r w:rsidR="00EE6E92" w:rsidRPr="00A765B0">
        <w:rPr>
          <w:rFonts w:ascii="Arial" w:hAnsi="Arial" w:cs="Arial"/>
          <w:lang w:val="en-US"/>
        </w:rPr>
        <w:t xml:space="preserve"> 16 December 2020, which decision she </w:t>
      </w:r>
      <w:r w:rsidR="00EE6E92" w:rsidRPr="00A765B0">
        <w:rPr>
          <w:rFonts w:ascii="Arial" w:hAnsi="Arial" w:cs="Arial"/>
          <w:lang w:val="en-US"/>
        </w:rPr>
        <w:lastRenderedPageBreak/>
        <w:t xml:space="preserve">communicated to </w:t>
      </w:r>
      <w:r w:rsidR="00FE1C55" w:rsidRPr="00A765B0">
        <w:rPr>
          <w:rFonts w:ascii="Arial" w:hAnsi="Arial" w:cs="Arial"/>
          <w:lang w:val="en-US"/>
        </w:rPr>
        <w:t>Sasfin</w:t>
      </w:r>
      <w:r w:rsidR="00EE6E92" w:rsidRPr="00A765B0">
        <w:rPr>
          <w:rFonts w:ascii="Arial" w:hAnsi="Arial" w:cs="Arial"/>
          <w:lang w:val="en-US"/>
        </w:rPr>
        <w:t>. She does not allege whether this communication was in writing or whether she provided 20 days’ notice</w:t>
      </w:r>
      <w:r w:rsidR="00157C06" w:rsidRPr="00A765B0">
        <w:rPr>
          <w:rFonts w:ascii="Arial" w:hAnsi="Arial" w:cs="Arial"/>
          <w:lang w:val="en-US"/>
        </w:rPr>
        <w:t xml:space="preserve"> (“16 December 2020 cancellation”)</w:t>
      </w:r>
      <w:r w:rsidR="00EE6E92" w:rsidRPr="00A765B0">
        <w:rPr>
          <w:rFonts w:ascii="Arial" w:hAnsi="Arial" w:cs="Arial"/>
          <w:lang w:val="en-US"/>
        </w:rPr>
        <w:t xml:space="preserve">. </w:t>
      </w:r>
      <w:r w:rsidR="001D1EC4" w:rsidRPr="00A765B0">
        <w:rPr>
          <w:rFonts w:ascii="Arial" w:hAnsi="Arial" w:cs="Arial"/>
          <w:lang w:val="en-US"/>
        </w:rPr>
        <w:t xml:space="preserve"> </w:t>
      </w:r>
    </w:p>
    <w:p w14:paraId="19E25ED8" w14:textId="77777777" w:rsidR="00EE6E92" w:rsidRPr="00EE6E92" w:rsidRDefault="00EE6E92" w:rsidP="00EE6E92">
      <w:pPr>
        <w:pStyle w:val="ListParagraph"/>
        <w:rPr>
          <w:rFonts w:ascii="Arial" w:hAnsi="Arial" w:cs="Arial"/>
          <w:lang w:val="en-US"/>
        </w:rPr>
      </w:pPr>
    </w:p>
    <w:p w14:paraId="3951DE99" w14:textId="480E5318" w:rsidR="00EE6E92" w:rsidRPr="00A765B0" w:rsidRDefault="00A765B0" w:rsidP="00A765B0">
      <w:pPr>
        <w:spacing w:line="480" w:lineRule="auto"/>
        <w:ind w:left="360" w:hanging="360"/>
        <w:jc w:val="both"/>
        <w:rPr>
          <w:rFonts w:ascii="Arial" w:hAnsi="Arial" w:cs="Arial"/>
          <w:lang w:val="en-US"/>
        </w:rPr>
      </w:pPr>
      <w:r w:rsidRPr="00EE42E1">
        <w:rPr>
          <w:rFonts w:ascii="Arial" w:hAnsi="Arial" w:cs="Arial"/>
          <w:lang w:val="en-US"/>
        </w:rPr>
        <w:t>22.</w:t>
      </w:r>
      <w:r w:rsidRPr="00EE42E1">
        <w:rPr>
          <w:rFonts w:ascii="Arial" w:hAnsi="Arial" w:cs="Arial"/>
          <w:lang w:val="en-US"/>
        </w:rPr>
        <w:tab/>
      </w:r>
      <w:r w:rsidR="00EE6E92" w:rsidRPr="00A765B0">
        <w:rPr>
          <w:rFonts w:ascii="Arial" w:hAnsi="Arial" w:cs="Arial"/>
          <w:lang w:val="en-US"/>
        </w:rPr>
        <w:t>Lastly, she both pleads and sets out in her affidavit resisting summary judgment that on 16 February 2021, her attorney of record addressed</w:t>
      </w:r>
      <w:r w:rsidR="00BF00FE" w:rsidRPr="00A765B0">
        <w:rPr>
          <w:rFonts w:ascii="Arial" w:hAnsi="Arial" w:cs="Arial"/>
          <w:lang w:val="en-US"/>
        </w:rPr>
        <w:t xml:space="preserve"> written</w:t>
      </w:r>
      <w:r w:rsidR="00EE6E92" w:rsidRPr="00A765B0">
        <w:rPr>
          <w:rFonts w:ascii="Arial" w:hAnsi="Arial" w:cs="Arial"/>
          <w:lang w:val="en-US"/>
        </w:rPr>
        <w:t xml:space="preserve"> correspondence to Sunlyn and Telelink wherein the following was set out:-</w:t>
      </w:r>
    </w:p>
    <w:p w14:paraId="7A2DC865" w14:textId="77777777" w:rsidR="001D1EC4" w:rsidRDefault="001D1EC4" w:rsidP="001D1EC4">
      <w:pPr>
        <w:spacing w:line="480" w:lineRule="auto"/>
        <w:rPr>
          <w:rFonts w:ascii="Arial" w:hAnsi="Arial" w:cs="Arial"/>
          <w:lang w:val="en-US"/>
        </w:rPr>
      </w:pPr>
    </w:p>
    <w:p w14:paraId="4088485B" w14:textId="431274E4" w:rsidR="001D1EC4" w:rsidRPr="001D1EC4" w:rsidRDefault="001D1EC4" w:rsidP="001D1EC4">
      <w:pPr>
        <w:spacing w:line="480" w:lineRule="auto"/>
        <w:ind w:firstLine="360"/>
        <w:rPr>
          <w:rFonts w:ascii="Arial" w:hAnsi="Arial" w:cs="Arial"/>
          <w:i/>
          <w:iCs/>
          <w:lang w:val="en-GB"/>
        </w:rPr>
      </w:pPr>
      <w:r w:rsidRPr="001D1EC4">
        <w:rPr>
          <w:rFonts w:ascii="Arial" w:hAnsi="Arial" w:cs="Arial"/>
          <w:lang w:val="en-US"/>
        </w:rPr>
        <w:t>“</w:t>
      </w:r>
      <w:r>
        <w:rPr>
          <w:rFonts w:ascii="Arial" w:hAnsi="Arial" w:cs="Arial"/>
          <w:lang w:val="en-US"/>
        </w:rPr>
        <w:tab/>
      </w:r>
      <w:r w:rsidRPr="001D1EC4">
        <w:rPr>
          <w:rFonts w:ascii="Arial" w:hAnsi="Arial" w:cs="Arial"/>
          <w:i/>
          <w:iCs/>
          <w:lang w:val="en-US"/>
        </w:rPr>
        <w:t xml:space="preserve">We </w:t>
      </w:r>
      <w:r w:rsidRPr="001D1EC4">
        <w:rPr>
          <w:rFonts w:ascii="Arial" w:hAnsi="Arial" w:cs="Arial"/>
          <w:i/>
          <w:iCs/>
          <w:lang w:val="en-GB"/>
        </w:rPr>
        <w:t xml:space="preserve">hereby inform you that our client wishes to terminate her agreement with </w:t>
      </w:r>
    </w:p>
    <w:p w14:paraId="7C6CC7E8" w14:textId="17EED5AF" w:rsidR="00EE6E92" w:rsidRPr="001D1EC4" w:rsidRDefault="001D1EC4" w:rsidP="001D1EC4">
      <w:pPr>
        <w:spacing w:line="480" w:lineRule="auto"/>
        <w:ind w:firstLine="720"/>
        <w:rPr>
          <w:rFonts w:ascii="Arial" w:hAnsi="Arial" w:cs="Arial"/>
          <w:i/>
          <w:iCs/>
          <w:lang w:val="en-GB"/>
        </w:rPr>
      </w:pPr>
      <w:r w:rsidRPr="001D1EC4">
        <w:rPr>
          <w:rFonts w:ascii="Arial" w:hAnsi="Arial" w:cs="Arial"/>
          <w:i/>
          <w:iCs/>
          <w:lang w:val="en-GB"/>
        </w:rPr>
        <w:t>you.</w:t>
      </w:r>
    </w:p>
    <w:p w14:paraId="74230FCC" w14:textId="77777777" w:rsidR="001D1EC4" w:rsidRPr="001D1EC4" w:rsidRDefault="001D1EC4" w:rsidP="001D1EC4">
      <w:pPr>
        <w:spacing w:line="480" w:lineRule="auto"/>
        <w:ind w:firstLine="720"/>
        <w:rPr>
          <w:rFonts w:ascii="Arial" w:hAnsi="Arial" w:cs="Arial"/>
          <w:i/>
          <w:iCs/>
          <w:lang w:val="en-GB"/>
        </w:rPr>
      </w:pPr>
    </w:p>
    <w:p w14:paraId="33A00655" w14:textId="30310161" w:rsidR="001D1EC4" w:rsidRPr="001D1EC4" w:rsidRDefault="001D1EC4" w:rsidP="001D1EC4">
      <w:pPr>
        <w:spacing w:line="480" w:lineRule="auto"/>
        <w:ind w:left="720"/>
        <w:rPr>
          <w:rFonts w:ascii="Arial" w:hAnsi="Arial" w:cs="Arial"/>
          <w:i/>
          <w:iCs/>
          <w:lang w:val="en-GB"/>
        </w:rPr>
      </w:pPr>
      <w:r w:rsidRPr="001D1EC4">
        <w:rPr>
          <w:rFonts w:ascii="Arial" w:hAnsi="Arial" w:cs="Arial"/>
          <w:i/>
          <w:iCs/>
          <w:lang w:val="en-GB"/>
        </w:rPr>
        <w:t>All payments made to you, in respect of the master agreement, will stop on 25 February 2021</w:t>
      </w:r>
    </w:p>
    <w:p w14:paraId="06458626" w14:textId="77777777" w:rsidR="001D1EC4" w:rsidRPr="001D1EC4" w:rsidRDefault="001D1EC4" w:rsidP="001D1EC4">
      <w:pPr>
        <w:pStyle w:val="ListParagraph"/>
        <w:spacing w:line="480" w:lineRule="auto"/>
        <w:rPr>
          <w:rFonts w:ascii="Arial" w:hAnsi="Arial" w:cs="Arial"/>
          <w:i/>
          <w:iCs/>
          <w:lang w:val="en-US"/>
        </w:rPr>
      </w:pPr>
    </w:p>
    <w:p w14:paraId="71AC6A89" w14:textId="6507732D" w:rsidR="001D1EC4" w:rsidRPr="001D1EC4" w:rsidRDefault="001D1EC4" w:rsidP="001D1EC4">
      <w:pPr>
        <w:pStyle w:val="ListParagraph"/>
        <w:spacing w:line="480" w:lineRule="auto"/>
        <w:rPr>
          <w:rFonts w:ascii="Arial" w:hAnsi="Arial" w:cs="Arial"/>
          <w:i/>
          <w:iCs/>
          <w:lang w:val="en-US"/>
        </w:rPr>
      </w:pPr>
      <w:r w:rsidRPr="001D1EC4">
        <w:rPr>
          <w:rFonts w:ascii="Arial" w:hAnsi="Arial" w:cs="Arial"/>
          <w:i/>
          <w:iCs/>
          <w:lang w:val="en-US"/>
        </w:rPr>
        <w:t>We request you to immediately uplift the leased unit from our client’s premises situated at Suit 16 Ground Floor, Parklane</w:t>
      </w:r>
      <w:r w:rsidR="00325D0B">
        <w:rPr>
          <w:rFonts w:ascii="Arial" w:hAnsi="Arial" w:cs="Arial"/>
          <w:i/>
          <w:iCs/>
          <w:lang w:val="en-US"/>
        </w:rPr>
        <w:t>.</w:t>
      </w:r>
      <w:r w:rsidRPr="001D1EC4">
        <w:rPr>
          <w:rFonts w:ascii="Arial" w:hAnsi="Arial" w:cs="Arial"/>
          <w:i/>
          <w:iCs/>
          <w:lang w:val="en-US"/>
        </w:rPr>
        <w:t>”</w:t>
      </w:r>
    </w:p>
    <w:p w14:paraId="096C7640" w14:textId="77777777" w:rsidR="00EE6E92" w:rsidRDefault="00EE6E92" w:rsidP="00EE6E92">
      <w:pPr>
        <w:pStyle w:val="ListParagraph"/>
        <w:rPr>
          <w:rFonts w:ascii="Arial" w:hAnsi="Arial" w:cs="Arial"/>
          <w:lang w:val="en-US"/>
        </w:rPr>
      </w:pPr>
    </w:p>
    <w:p w14:paraId="1A18FBC7" w14:textId="55112788" w:rsidR="001D1EC4" w:rsidRPr="001B67C7" w:rsidRDefault="00157C06" w:rsidP="00157C06">
      <w:pPr>
        <w:spacing w:line="480" w:lineRule="auto"/>
        <w:ind w:firstLine="720"/>
        <w:jc w:val="both"/>
        <w:rPr>
          <w:rFonts w:ascii="Arial" w:hAnsi="Arial" w:cs="Arial"/>
          <w:lang w:val="en-US"/>
        </w:rPr>
      </w:pPr>
      <w:r w:rsidRPr="001B67C7">
        <w:rPr>
          <w:rFonts w:ascii="Arial" w:hAnsi="Arial" w:cs="Arial"/>
          <w:lang w:val="en-US"/>
        </w:rPr>
        <w:t>(“16 February 2021 cancellation</w:t>
      </w:r>
      <w:r w:rsidR="00410FB9">
        <w:rPr>
          <w:rFonts w:ascii="Arial" w:hAnsi="Arial" w:cs="Arial"/>
          <w:lang w:val="en-US"/>
        </w:rPr>
        <w:t xml:space="preserve"> notice</w:t>
      </w:r>
      <w:r w:rsidRPr="001B67C7">
        <w:rPr>
          <w:rFonts w:ascii="Arial" w:hAnsi="Arial" w:cs="Arial"/>
          <w:lang w:val="en-US"/>
        </w:rPr>
        <w:t>”)</w:t>
      </w:r>
    </w:p>
    <w:p w14:paraId="666D866E" w14:textId="77777777" w:rsidR="00157C06" w:rsidRPr="00157C06" w:rsidRDefault="00157C06" w:rsidP="00157C06">
      <w:pPr>
        <w:spacing w:line="480" w:lineRule="auto"/>
        <w:jc w:val="both"/>
        <w:rPr>
          <w:rFonts w:ascii="Arial" w:hAnsi="Arial" w:cs="Arial"/>
          <w:lang w:val="en-US"/>
        </w:rPr>
      </w:pPr>
    </w:p>
    <w:p w14:paraId="530B95EE" w14:textId="3F3C09B7" w:rsidR="001D1EC4" w:rsidRPr="00A765B0" w:rsidRDefault="00A765B0" w:rsidP="00A765B0">
      <w:pPr>
        <w:spacing w:line="480" w:lineRule="auto"/>
        <w:ind w:left="360" w:hanging="360"/>
        <w:jc w:val="both"/>
        <w:rPr>
          <w:rFonts w:ascii="Arial" w:hAnsi="Arial" w:cs="Arial"/>
          <w:lang w:val="en-US"/>
        </w:rPr>
      </w:pPr>
      <w:r w:rsidRPr="00444977">
        <w:rPr>
          <w:rFonts w:ascii="Arial" w:hAnsi="Arial" w:cs="Arial"/>
          <w:lang w:val="en-US"/>
        </w:rPr>
        <w:t>23.</w:t>
      </w:r>
      <w:r w:rsidRPr="00444977">
        <w:rPr>
          <w:rFonts w:ascii="Arial" w:hAnsi="Arial" w:cs="Arial"/>
          <w:lang w:val="en-US"/>
        </w:rPr>
        <w:tab/>
      </w:r>
      <w:r w:rsidR="00444977" w:rsidRPr="00A765B0">
        <w:rPr>
          <w:rFonts w:ascii="Arial" w:hAnsi="Arial" w:cs="Arial"/>
          <w:lang w:val="en-US"/>
        </w:rPr>
        <w:t xml:space="preserve">The defendant explains in her affidavit resisting summary judgment that Telelink is Sasfin’s accounts department.  She does not expressly set out how she arrives at this conclusion. She further </w:t>
      </w:r>
      <w:r w:rsidR="001D1EC4" w:rsidRPr="00A765B0">
        <w:rPr>
          <w:rFonts w:ascii="Arial" w:hAnsi="Arial" w:cs="Arial"/>
          <w:lang w:val="en-US"/>
        </w:rPr>
        <w:t xml:space="preserve">does not </w:t>
      </w:r>
      <w:r w:rsidR="00325D0B" w:rsidRPr="00A765B0">
        <w:rPr>
          <w:rFonts w:ascii="Arial" w:hAnsi="Arial" w:cs="Arial"/>
          <w:lang w:val="en-US"/>
        </w:rPr>
        <w:t>explicitly</w:t>
      </w:r>
      <w:r w:rsidR="001D1EC4" w:rsidRPr="00A765B0">
        <w:rPr>
          <w:rFonts w:ascii="Arial" w:hAnsi="Arial" w:cs="Arial"/>
          <w:lang w:val="en-US"/>
        </w:rPr>
        <w:t xml:space="preserve"> explain in her affidavit resisting summary judgment her reason for addressing this correspondence to Sunlyn </w:t>
      </w:r>
      <w:r w:rsidR="00EE42E1" w:rsidRPr="00A765B0">
        <w:rPr>
          <w:rFonts w:ascii="Arial" w:hAnsi="Arial" w:cs="Arial"/>
          <w:lang w:val="en-US"/>
        </w:rPr>
        <w:t xml:space="preserve">and </w:t>
      </w:r>
      <w:r w:rsidR="001D1EC4" w:rsidRPr="00A765B0">
        <w:rPr>
          <w:rFonts w:ascii="Arial" w:hAnsi="Arial" w:cs="Arial"/>
          <w:lang w:val="en-US"/>
        </w:rPr>
        <w:t xml:space="preserve">Telelink or her </w:t>
      </w:r>
      <w:r w:rsidR="00F0494B" w:rsidRPr="00A765B0">
        <w:rPr>
          <w:rFonts w:ascii="Arial" w:hAnsi="Arial" w:cs="Arial"/>
          <w:lang w:val="en-US"/>
        </w:rPr>
        <w:t>failure</w:t>
      </w:r>
      <w:r w:rsidR="001D1EC4" w:rsidRPr="00A765B0">
        <w:rPr>
          <w:rFonts w:ascii="Arial" w:hAnsi="Arial" w:cs="Arial"/>
          <w:lang w:val="en-US"/>
        </w:rPr>
        <w:t xml:space="preserve"> to address this correspondence to </w:t>
      </w:r>
      <w:r w:rsidR="00F0494B" w:rsidRPr="00A765B0">
        <w:rPr>
          <w:rFonts w:ascii="Arial" w:hAnsi="Arial" w:cs="Arial"/>
          <w:lang w:val="en-US"/>
        </w:rPr>
        <w:t xml:space="preserve">Sasfin. </w:t>
      </w:r>
      <w:r w:rsidR="00444977" w:rsidRPr="00A765B0">
        <w:rPr>
          <w:rFonts w:ascii="Arial" w:hAnsi="Arial" w:cs="Arial"/>
          <w:lang w:val="en-US"/>
        </w:rPr>
        <w:t xml:space="preserve"> </w:t>
      </w:r>
      <w:r w:rsidR="00F0494B" w:rsidRPr="00A765B0">
        <w:rPr>
          <w:rFonts w:ascii="Arial" w:hAnsi="Arial" w:cs="Arial"/>
          <w:lang w:val="en-US"/>
        </w:rPr>
        <w:t xml:space="preserve">From a perusal of the affidavit resisting summary judgment,  she appears to have </w:t>
      </w:r>
      <w:r w:rsidR="00325D0B" w:rsidRPr="00A765B0">
        <w:rPr>
          <w:rFonts w:ascii="Arial" w:hAnsi="Arial" w:cs="Arial"/>
          <w:lang w:val="en-US"/>
        </w:rPr>
        <w:t>concluded</w:t>
      </w:r>
      <w:r w:rsidR="00444977" w:rsidRPr="00A765B0">
        <w:rPr>
          <w:rFonts w:ascii="Arial" w:hAnsi="Arial" w:cs="Arial"/>
          <w:lang w:val="en-US"/>
        </w:rPr>
        <w:t xml:space="preserve"> that Telelink is Sasfin’s accounts department </w:t>
      </w:r>
      <w:r w:rsidR="00F0494B" w:rsidRPr="00A765B0">
        <w:rPr>
          <w:rFonts w:ascii="Arial" w:hAnsi="Arial" w:cs="Arial"/>
          <w:lang w:val="en-US"/>
        </w:rPr>
        <w:t xml:space="preserve">as a direct result of Telelink responding to her requests to Sasfin to </w:t>
      </w:r>
      <w:r w:rsidR="00FC6E85" w:rsidRPr="00A765B0">
        <w:rPr>
          <w:rFonts w:ascii="Arial" w:hAnsi="Arial" w:cs="Arial"/>
          <w:lang w:val="en-US"/>
        </w:rPr>
        <w:t xml:space="preserve">cancel the agreement by way of providing </w:t>
      </w:r>
      <w:r w:rsidR="00AC59F9" w:rsidRPr="00A765B0">
        <w:rPr>
          <w:rFonts w:ascii="Arial" w:hAnsi="Arial" w:cs="Arial"/>
          <w:lang w:val="en-US"/>
        </w:rPr>
        <w:t>a</w:t>
      </w:r>
      <w:r w:rsidR="00FC6E85" w:rsidRPr="00A765B0">
        <w:rPr>
          <w:rFonts w:ascii="Arial" w:hAnsi="Arial" w:cs="Arial"/>
          <w:lang w:val="en-US"/>
        </w:rPr>
        <w:t xml:space="preserve"> settlement </w:t>
      </w:r>
      <w:r w:rsidR="00FC6E85" w:rsidRPr="00A765B0">
        <w:rPr>
          <w:rFonts w:ascii="Arial" w:hAnsi="Arial" w:cs="Arial"/>
          <w:lang w:val="en-US"/>
        </w:rPr>
        <w:lastRenderedPageBreak/>
        <w:t>quote. Sh</w:t>
      </w:r>
      <w:r w:rsidR="00157C06" w:rsidRPr="00A765B0">
        <w:rPr>
          <w:rFonts w:ascii="Arial" w:hAnsi="Arial" w:cs="Arial"/>
          <w:lang w:val="en-US"/>
        </w:rPr>
        <w:t xml:space="preserve">e further appears to have come to Sunlyn </w:t>
      </w:r>
      <w:r w:rsidR="00325D0B" w:rsidRPr="00A765B0">
        <w:rPr>
          <w:rFonts w:ascii="Arial" w:hAnsi="Arial" w:cs="Arial"/>
          <w:lang w:val="en-US"/>
        </w:rPr>
        <w:t>because she alleges</w:t>
      </w:r>
      <w:r w:rsidR="00157C06" w:rsidRPr="00A765B0">
        <w:rPr>
          <w:rFonts w:ascii="Arial" w:hAnsi="Arial" w:cs="Arial"/>
          <w:lang w:val="en-US"/>
        </w:rPr>
        <w:t xml:space="preserve"> that when she concluded the </w:t>
      </w:r>
      <w:r w:rsidR="00FE1C55" w:rsidRPr="00A765B0">
        <w:rPr>
          <w:rFonts w:ascii="Arial" w:hAnsi="Arial" w:cs="Arial"/>
          <w:lang w:val="en-US"/>
        </w:rPr>
        <w:t>m</w:t>
      </w:r>
      <w:r w:rsidR="00157C06" w:rsidRPr="00A765B0">
        <w:rPr>
          <w:rFonts w:ascii="Arial" w:hAnsi="Arial" w:cs="Arial"/>
          <w:lang w:val="en-US"/>
        </w:rPr>
        <w:t xml:space="preserve">aster </w:t>
      </w:r>
      <w:r w:rsidR="00FE1C55" w:rsidRPr="00A765B0">
        <w:rPr>
          <w:rFonts w:ascii="Arial" w:hAnsi="Arial" w:cs="Arial"/>
          <w:lang w:val="en-US"/>
        </w:rPr>
        <w:t>r</w:t>
      </w:r>
      <w:r w:rsidR="00157C06" w:rsidRPr="00A765B0">
        <w:rPr>
          <w:rFonts w:ascii="Arial" w:hAnsi="Arial" w:cs="Arial"/>
          <w:lang w:val="en-US"/>
        </w:rPr>
        <w:t>ental</w:t>
      </w:r>
      <w:r w:rsidR="00FE1C55" w:rsidRPr="00A765B0">
        <w:rPr>
          <w:rFonts w:ascii="Arial" w:hAnsi="Arial" w:cs="Arial"/>
          <w:lang w:val="en-US"/>
        </w:rPr>
        <w:t xml:space="preserve"> a</w:t>
      </w:r>
      <w:r w:rsidR="00157C06" w:rsidRPr="00A765B0">
        <w:rPr>
          <w:rFonts w:ascii="Arial" w:hAnsi="Arial" w:cs="Arial"/>
          <w:lang w:val="en-US"/>
        </w:rPr>
        <w:t xml:space="preserve">greement, </w:t>
      </w:r>
      <w:r w:rsidR="0089600C" w:rsidRPr="00A765B0">
        <w:rPr>
          <w:rFonts w:ascii="Arial" w:hAnsi="Arial" w:cs="Arial"/>
          <w:lang w:val="en-US"/>
        </w:rPr>
        <w:t>she signed two agreements; one bore  Sunlyn’s name</w:t>
      </w:r>
      <w:r w:rsidR="00FE1C55" w:rsidRPr="00A765B0">
        <w:rPr>
          <w:rFonts w:ascii="Arial" w:hAnsi="Arial" w:cs="Arial"/>
          <w:lang w:val="en-US"/>
        </w:rPr>
        <w:t>,</w:t>
      </w:r>
      <w:r w:rsidR="0089600C" w:rsidRPr="00A765B0">
        <w:rPr>
          <w:rFonts w:ascii="Arial" w:hAnsi="Arial" w:cs="Arial"/>
          <w:lang w:val="en-US"/>
        </w:rPr>
        <w:t xml:space="preserve"> and the other </w:t>
      </w:r>
      <w:r w:rsidR="00EE42E1" w:rsidRPr="00A765B0">
        <w:rPr>
          <w:rFonts w:ascii="Arial" w:hAnsi="Arial" w:cs="Arial"/>
          <w:lang w:val="en-US"/>
        </w:rPr>
        <w:t xml:space="preserve">bore </w:t>
      </w:r>
      <w:r w:rsidR="00157C06" w:rsidRPr="00A765B0">
        <w:rPr>
          <w:rFonts w:ascii="Arial" w:hAnsi="Arial" w:cs="Arial"/>
          <w:lang w:val="en-US"/>
        </w:rPr>
        <w:t>Sasfin</w:t>
      </w:r>
      <w:r w:rsidR="00EE42E1" w:rsidRPr="00A765B0">
        <w:rPr>
          <w:rFonts w:ascii="Arial" w:hAnsi="Arial" w:cs="Arial"/>
          <w:lang w:val="en-US"/>
        </w:rPr>
        <w:t>’s name</w:t>
      </w:r>
      <w:r w:rsidR="00157C06" w:rsidRPr="00A765B0">
        <w:rPr>
          <w:rFonts w:ascii="Arial" w:hAnsi="Arial" w:cs="Arial"/>
          <w:lang w:val="en-US"/>
        </w:rPr>
        <w:t xml:space="preserve">. She has annexed to her affidavit </w:t>
      </w:r>
      <w:r w:rsidR="00AC59F9" w:rsidRPr="00A765B0">
        <w:rPr>
          <w:rFonts w:ascii="Arial" w:hAnsi="Arial" w:cs="Arial"/>
          <w:lang w:val="en-US"/>
        </w:rPr>
        <w:t xml:space="preserve">resisting summary judgement </w:t>
      </w:r>
      <w:r w:rsidR="00157C06" w:rsidRPr="00A765B0">
        <w:rPr>
          <w:rFonts w:ascii="Arial" w:hAnsi="Arial" w:cs="Arial"/>
          <w:lang w:val="en-US"/>
        </w:rPr>
        <w:t>a copy of the master rental agreement, which bears Sunlyn</w:t>
      </w:r>
      <w:r w:rsidR="001B67C7" w:rsidRPr="00A765B0">
        <w:rPr>
          <w:rFonts w:ascii="Arial" w:hAnsi="Arial" w:cs="Arial"/>
          <w:lang w:val="en-US"/>
        </w:rPr>
        <w:t>’s</w:t>
      </w:r>
      <w:r w:rsidR="00157C06" w:rsidRPr="00A765B0">
        <w:rPr>
          <w:rFonts w:ascii="Arial" w:hAnsi="Arial" w:cs="Arial"/>
          <w:lang w:val="en-US"/>
        </w:rPr>
        <w:t xml:space="preserve"> name. The defendant </w:t>
      </w:r>
      <w:r w:rsidR="00044A1F" w:rsidRPr="00A765B0">
        <w:rPr>
          <w:rFonts w:ascii="Arial" w:hAnsi="Arial" w:cs="Arial"/>
          <w:lang w:val="en-US"/>
        </w:rPr>
        <w:t>states</w:t>
      </w:r>
      <w:r w:rsidR="00157C06" w:rsidRPr="00A765B0">
        <w:rPr>
          <w:rFonts w:ascii="Arial" w:hAnsi="Arial" w:cs="Arial"/>
          <w:lang w:val="en-US"/>
        </w:rPr>
        <w:t xml:space="preserve"> that she does not know how these companies are related. </w:t>
      </w:r>
    </w:p>
    <w:p w14:paraId="5EB49F90" w14:textId="77777777" w:rsidR="00157C06" w:rsidRPr="00157C06" w:rsidRDefault="00157C06" w:rsidP="00157C06">
      <w:pPr>
        <w:rPr>
          <w:rFonts w:ascii="Arial" w:hAnsi="Arial" w:cs="Arial"/>
          <w:b/>
          <w:bCs/>
          <w:lang w:val="en-US"/>
        </w:rPr>
      </w:pPr>
    </w:p>
    <w:p w14:paraId="11018FF4" w14:textId="48FF0A11" w:rsidR="00157C06" w:rsidRDefault="00157C06" w:rsidP="00157C06">
      <w:pPr>
        <w:ind w:left="360"/>
        <w:rPr>
          <w:rFonts w:ascii="Arial" w:hAnsi="Arial" w:cs="Arial"/>
          <w:b/>
          <w:bCs/>
          <w:lang w:val="en-US"/>
        </w:rPr>
      </w:pPr>
      <w:r w:rsidRPr="00157C06">
        <w:rPr>
          <w:rFonts w:ascii="Arial" w:hAnsi="Arial" w:cs="Arial"/>
          <w:b/>
          <w:bCs/>
          <w:lang w:val="en-US"/>
        </w:rPr>
        <w:t>Has the defendant validly cancelled the agreement?</w:t>
      </w:r>
    </w:p>
    <w:p w14:paraId="22DC64F1" w14:textId="77777777" w:rsidR="00B26402" w:rsidRDefault="00B26402" w:rsidP="00157C06">
      <w:pPr>
        <w:ind w:left="360"/>
        <w:rPr>
          <w:rFonts w:ascii="Arial" w:hAnsi="Arial" w:cs="Arial"/>
          <w:b/>
          <w:bCs/>
          <w:lang w:val="en-US"/>
        </w:rPr>
      </w:pPr>
    </w:p>
    <w:p w14:paraId="473229F9" w14:textId="77777777" w:rsidR="00B26402" w:rsidRDefault="00B26402" w:rsidP="00157C06">
      <w:pPr>
        <w:ind w:left="360"/>
        <w:rPr>
          <w:rFonts w:ascii="Arial" w:hAnsi="Arial" w:cs="Arial"/>
          <w:b/>
          <w:bCs/>
          <w:lang w:val="en-US"/>
        </w:rPr>
      </w:pPr>
    </w:p>
    <w:p w14:paraId="6E744F45" w14:textId="518A7187" w:rsidR="00B26402" w:rsidRDefault="00B26402" w:rsidP="00157C06">
      <w:pPr>
        <w:ind w:left="360"/>
        <w:rPr>
          <w:rFonts w:ascii="Arial" w:hAnsi="Arial" w:cs="Arial"/>
          <w:b/>
          <w:bCs/>
          <w:lang w:val="en-US"/>
        </w:rPr>
      </w:pPr>
      <w:r>
        <w:rPr>
          <w:rFonts w:ascii="Arial" w:hAnsi="Arial" w:cs="Arial"/>
          <w:b/>
          <w:bCs/>
          <w:lang w:val="en-US"/>
        </w:rPr>
        <w:t>Submissions</w:t>
      </w:r>
    </w:p>
    <w:p w14:paraId="42625602" w14:textId="77777777" w:rsidR="00B26402" w:rsidRPr="00157C06" w:rsidRDefault="00B26402" w:rsidP="00157C06">
      <w:pPr>
        <w:ind w:left="360"/>
        <w:rPr>
          <w:rFonts w:ascii="Arial" w:hAnsi="Arial" w:cs="Arial"/>
          <w:b/>
          <w:bCs/>
          <w:lang w:val="en-US"/>
        </w:rPr>
      </w:pPr>
    </w:p>
    <w:p w14:paraId="4AAF2483" w14:textId="77777777" w:rsidR="00157C06" w:rsidRDefault="00157C06" w:rsidP="00157C06">
      <w:pPr>
        <w:ind w:left="360"/>
        <w:rPr>
          <w:rFonts w:ascii="Arial" w:hAnsi="Arial" w:cs="Arial"/>
          <w:lang w:val="en-US"/>
        </w:rPr>
      </w:pPr>
    </w:p>
    <w:p w14:paraId="632B5691" w14:textId="77777777" w:rsidR="00157C06" w:rsidRPr="00157C06" w:rsidRDefault="00157C06" w:rsidP="00157C06">
      <w:pPr>
        <w:ind w:left="360"/>
        <w:rPr>
          <w:rFonts w:ascii="Arial" w:hAnsi="Arial" w:cs="Arial"/>
          <w:lang w:val="en-US"/>
        </w:rPr>
      </w:pPr>
    </w:p>
    <w:p w14:paraId="3CBAA0B9" w14:textId="015AEA46" w:rsidR="00157C06" w:rsidRPr="00A765B0" w:rsidRDefault="00A765B0" w:rsidP="00A765B0">
      <w:pPr>
        <w:spacing w:line="480" w:lineRule="auto"/>
        <w:ind w:left="360" w:hanging="360"/>
        <w:jc w:val="both"/>
        <w:rPr>
          <w:rFonts w:ascii="Arial" w:hAnsi="Arial" w:cs="Arial"/>
          <w:lang w:val="en-US"/>
        </w:rPr>
      </w:pPr>
      <w:r>
        <w:rPr>
          <w:rFonts w:ascii="Arial" w:hAnsi="Arial" w:cs="Arial"/>
          <w:lang w:val="en-US"/>
        </w:rPr>
        <w:t>24.</w:t>
      </w:r>
      <w:r>
        <w:rPr>
          <w:rFonts w:ascii="Arial" w:hAnsi="Arial" w:cs="Arial"/>
          <w:lang w:val="en-US"/>
        </w:rPr>
        <w:tab/>
      </w:r>
      <w:r w:rsidR="00157C06" w:rsidRPr="00A765B0">
        <w:rPr>
          <w:rFonts w:ascii="Arial" w:hAnsi="Arial" w:cs="Arial"/>
          <w:lang w:val="en-US"/>
        </w:rPr>
        <w:t xml:space="preserve">The central argument of the plaintiff is that </w:t>
      </w:r>
      <w:r w:rsidR="0089600C" w:rsidRPr="00A765B0">
        <w:rPr>
          <w:rFonts w:ascii="Arial" w:hAnsi="Arial" w:cs="Arial"/>
          <w:lang w:val="en-US"/>
        </w:rPr>
        <w:t>for</w:t>
      </w:r>
      <w:r w:rsidR="00E232F8" w:rsidRPr="00A765B0">
        <w:rPr>
          <w:rFonts w:ascii="Arial" w:hAnsi="Arial" w:cs="Arial"/>
          <w:lang w:val="en-US"/>
        </w:rPr>
        <w:t xml:space="preserve"> a consumer </w:t>
      </w:r>
      <w:r w:rsidR="00325D0B" w:rsidRPr="00A765B0">
        <w:rPr>
          <w:rFonts w:ascii="Arial" w:hAnsi="Arial" w:cs="Arial"/>
          <w:lang w:val="en-US"/>
        </w:rPr>
        <w:t>to</w:t>
      </w:r>
      <w:r w:rsidR="00157C06" w:rsidRPr="00A765B0">
        <w:rPr>
          <w:rFonts w:ascii="Arial" w:hAnsi="Arial" w:cs="Arial"/>
          <w:lang w:val="en-US"/>
        </w:rPr>
        <w:t xml:space="preserve"> invoke Section 14(2)(b)(bb) of the CPA</w:t>
      </w:r>
      <w:r w:rsidR="0089600C" w:rsidRPr="00A765B0">
        <w:rPr>
          <w:rFonts w:ascii="Arial" w:hAnsi="Arial" w:cs="Arial"/>
          <w:lang w:val="en-US"/>
        </w:rPr>
        <w:t>,</w:t>
      </w:r>
      <w:r w:rsidR="00044A1F" w:rsidRPr="00A765B0">
        <w:rPr>
          <w:rFonts w:ascii="Arial" w:hAnsi="Arial" w:cs="Arial"/>
          <w:lang w:val="en-US"/>
        </w:rPr>
        <w:t xml:space="preserve"> a</w:t>
      </w:r>
      <w:r w:rsidR="00157C06" w:rsidRPr="00A765B0">
        <w:rPr>
          <w:rFonts w:ascii="Arial" w:hAnsi="Arial" w:cs="Arial"/>
          <w:lang w:val="en-US"/>
        </w:rPr>
        <w:t xml:space="preserve"> consumer must </w:t>
      </w:r>
      <w:r w:rsidR="00565119" w:rsidRPr="00A765B0">
        <w:rPr>
          <w:rFonts w:ascii="Arial" w:hAnsi="Arial" w:cs="Arial"/>
          <w:lang w:val="en-US"/>
        </w:rPr>
        <w:t xml:space="preserve">expressly provide in her notice of cancellation that she is </w:t>
      </w:r>
      <w:r w:rsidR="00A16703" w:rsidRPr="00A765B0">
        <w:rPr>
          <w:rFonts w:ascii="Arial" w:hAnsi="Arial" w:cs="Arial"/>
          <w:lang w:val="en-US"/>
        </w:rPr>
        <w:t>exercising her right in terms</w:t>
      </w:r>
      <w:r w:rsidR="00565119" w:rsidRPr="00A765B0">
        <w:rPr>
          <w:rFonts w:ascii="Arial" w:hAnsi="Arial" w:cs="Arial"/>
          <w:lang w:val="en-US"/>
        </w:rPr>
        <w:t xml:space="preserve"> </w:t>
      </w:r>
      <w:r w:rsidR="00A16703" w:rsidRPr="00A765B0">
        <w:rPr>
          <w:rFonts w:ascii="Arial" w:hAnsi="Arial" w:cs="Arial"/>
          <w:lang w:val="en-US"/>
        </w:rPr>
        <w:t xml:space="preserve">of </w:t>
      </w:r>
      <w:r w:rsidR="00565119" w:rsidRPr="00A765B0">
        <w:rPr>
          <w:rFonts w:ascii="Arial" w:hAnsi="Arial" w:cs="Arial"/>
          <w:lang w:val="en-US"/>
        </w:rPr>
        <w:t>Section</w:t>
      </w:r>
      <w:r w:rsidR="00A16703" w:rsidRPr="00A765B0">
        <w:rPr>
          <w:rFonts w:ascii="Arial" w:hAnsi="Arial" w:cs="Arial"/>
          <w:lang w:val="en-US"/>
        </w:rPr>
        <w:t xml:space="preserve"> </w:t>
      </w:r>
      <w:r w:rsidR="00565119" w:rsidRPr="00A765B0">
        <w:rPr>
          <w:rFonts w:ascii="Arial" w:hAnsi="Arial" w:cs="Arial"/>
          <w:lang w:val="en-US"/>
        </w:rPr>
        <w:t>14(2)(b)(bb)</w:t>
      </w:r>
      <w:r w:rsidR="00A16703" w:rsidRPr="00A765B0">
        <w:rPr>
          <w:rFonts w:ascii="Arial" w:hAnsi="Arial" w:cs="Arial"/>
          <w:lang w:val="en-US"/>
        </w:rPr>
        <w:t xml:space="preserve"> of the CPA</w:t>
      </w:r>
      <w:r w:rsidR="00565119" w:rsidRPr="00A765B0">
        <w:rPr>
          <w:rFonts w:ascii="Arial" w:hAnsi="Arial" w:cs="Arial"/>
          <w:lang w:val="en-US"/>
        </w:rPr>
        <w:t xml:space="preserve"> and that she is providing 20 business days’ notice to the supplier. The plaintiff argues that the </w:t>
      </w:r>
      <w:r w:rsidR="00410FB9" w:rsidRPr="00A765B0">
        <w:rPr>
          <w:rFonts w:ascii="Arial" w:hAnsi="Arial" w:cs="Arial"/>
          <w:lang w:val="en-US"/>
        </w:rPr>
        <w:t>30 November</w:t>
      </w:r>
      <w:r w:rsidR="00E232F8" w:rsidRPr="00A765B0">
        <w:rPr>
          <w:rFonts w:ascii="Arial" w:hAnsi="Arial" w:cs="Arial"/>
          <w:lang w:val="en-US"/>
        </w:rPr>
        <w:t xml:space="preserve"> 2020 cancellation </w:t>
      </w:r>
      <w:r w:rsidR="00410FB9" w:rsidRPr="00A765B0">
        <w:rPr>
          <w:rFonts w:ascii="Arial" w:hAnsi="Arial" w:cs="Arial"/>
          <w:lang w:val="en-US"/>
        </w:rPr>
        <w:t xml:space="preserve">notice </w:t>
      </w:r>
      <w:r w:rsidR="00A16703" w:rsidRPr="00A765B0">
        <w:rPr>
          <w:rFonts w:ascii="Arial" w:hAnsi="Arial" w:cs="Arial"/>
          <w:lang w:val="en-US"/>
        </w:rPr>
        <w:t>does</w:t>
      </w:r>
      <w:r w:rsidR="00565119" w:rsidRPr="00A765B0">
        <w:rPr>
          <w:rFonts w:ascii="Arial" w:hAnsi="Arial" w:cs="Arial"/>
          <w:lang w:val="en-US"/>
        </w:rPr>
        <w:t xml:space="preserve"> not comply with what is required of a consumer to </w:t>
      </w:r>
      <w:r w:rsidR="00A16703" w:rsidRPr="00A765B0">
        <w:rPr>
          <w:rFonts w:ascii="Arial" w:hAnsi="Arial" w:cs="Arial"/>
          <w:lang w:val="en-US"/>
        </w:rPr>
        <w:t>trigger</w:t>
      </w:r>
      <w:r w:rsidR="00565119" w:rsidRPr="00A765B0">
        <w:rPr>
          <w:rFonts w:ascii="Arial" w:hAnsi="Arial" w:cs="Arial"/>
          <w:lang w:val="en-US"/>
        </w:rPr>
        <w:t xml:space="preserve"> Section 14(2)(b)(bb)</w:t>
      </w:r>
      <w:r w:rsidR="00A16703" w:rsidRPr="00A765B0">
        <w:rPr>
          <w:rFonts w:ascii="Arial" w:hAnsi="Arial" w:cs="Arial"/>
          <w:lang w:val="en-US"/>
        </w:rPr>
        <w:t xml:space="preserve"> of the CPA</w:t>
      </w:r>
      <w:r w:rsidR="00565119" w:rsidRPr="00A765B0">
        <w:rPr>
          <w:rFonts w:ascii="Arial" w:hAnsi="Arial" w:cs="Arial"/>
          <w:lang w:val="en-US"/>
        </w:rPr>
        <w:t xml:space="preserve"> and, in fact, expressly notified the supplier of an “</w:t>
      </w:r>
      <w:r w:rsidR="00565119" w:rsidRPr="00A765B0">
        <w:rPr>
          <w:rFonts w:ascii="Arial" w:hAnsi="Arial" w:cs="Arial"/>
          <w:i/>
          <w:iCs/>
          <w:lang w:val="en-US"/>
        </w:rPr>
        <w:t>immediate cancellation</w:t>
      </w:r>
      <w:r w:rsidR="00565119" w:rsidRPr="00A765B0">
        <w:rPr>
          <w:rFonts w:ascii="Arial" w:hAnsi="Arial" w:cs="Arial"/>
          <w:lang w:val="en-US"/>
        </w:rPr>
        <w:t>” which she was not entitled to do.  Moreover, the</w:t>
      </w:r>
      <w:r w:rsidR="00E232F8" w:rsidRPr="00A765B0">
        <w:rPr>
          <w:rFonts w:ascii="Arial" w:hAnsi="Arial" w:cs="Arial"/>
          <w:lang w:val="en-US"/>
        </w:rPr>
        <w:t xml:space="preserve"> 16 February 2021 cancellation</w:t>
      </w:r>
      <w:r w:rsidR="00410FB9" w:rsidRPr="00A765B0">
        <w:rPr>
          <w:rFonts w:ascii="Arial" w:hAnsi="Arial" w:cs="Arial"/>
          <w:lang w:val="en-US"/>
        </w:rPr>
        <w:t xml:space="preserve"> notice</w:t>
      </w:r>
      <w:r w:rsidR="00565119" w:rsidRPr="00A765B0">
        <w:rPr>
          <w:rFonts w:ascii="Arial" w:hAnsi="Arial" w:cs="Arial"/>
          <w:lang w:val="en-US"/>
        </w:rPr>
        <w:t>, similarly, was not in compliance with the requirements for Section 14(2)(b)(bb)</w:t>
      </w:r>
      <w:r w:rsidR="00AC59F9" w:rsidRPr="00A765B0">
        <w:rPr>
          <w:rFonts w:ascii="Arial" w:hAnsi="Arial" w:cs="Arial"/>
          <w:lang w:val="en-US"/>
        </w:rPr>
        <w:t xml:space="preserve"> in that it failed to expressly set out that she was exercising her right in terms of Section 14(2)(b)(bb) of the CPA</w:t>
      </w:r>
      <w:r w:rsidR="00325D0B" w:rsidRPr="00A765B0">
        <w:rPr>
          <w:rFonts w:ascii="Arial" w:hAnsi="Arial" w:cs="Arial"/>
          <w:lang w:val="en-US"/>
        </w:rPr>
        <w:t>. In</w:t>
      </w:r>
      <w:r w:rsidR="00444977" w:rsidRPr="00A765B0">
        <w:rPr>
          <w:rFonts w:ascii="Arial" w:hAnsi="Arial" w:cs="Arial"/>
          <w:lang w:val="en-US"/>
        </w:rPr>
        <w:t xml:space="preserve"> addition, </w:t>
      </w:r>
      <w:r w:rsidR="00565119" w:rsidRPr="00A765B0">
        <w:rPr>
          <w:rFonts w:ascii="Arial" w:hAnsi="Arial" w:cs="Arial"/>
          <w:lang w:val="en-US"/>
        </w:rPr>
        <w:t xml:space="preserve">counsel for the plaintiff argued that </w:t>
      </w:r>
      <w:r w:rsidR="0089600C" w:rsidRPr="00A765B0">
        <w:rPr>
          <w:rFonts w:ascii="Arial" w:hAnsi="Arial" w:cs="Arial"/>
          <w:lang w:val="en-US"/>
        </w:rPr>
        <w:t>the consumer did not communicate such notice</w:t>
      </w:r>
      <w:r w:rsidR="00E232F8" w:rsidRPr="00A765B0">
        <w:rPr>
          <w:rFonts w:ascii="Arial" w:hAnsi="Arial" w:cs="Arial"/>
          <w:lang w:val="en-US"/>
        </w:rPr>
        <w:t xml:space="preserve"> to </w:t>
      </w:r>
      <w:r w:rsidR="00565119" w:rsidRPr="00A765B0">
        <w:rPr>
          <w:rFonts w:ascii="Arial" w:hAnsi="Arial" w:cs="Arial"/>
          <w:lang w:val="en-US"/>
        </w:rPr>
        <w:t>the supplier</w:t>
      </w:r>
      <w:r w:rsidR="00E232F8" w:rsidRPr="00A765B0">
        <w:rPr>
          <w:rFonts w:ascii="Arial" w:hAnsi="Arial" w:cs="Arial"/>
          <w:lang w:val="en-US"/>
        </w:rPr>
        <w:t xml:space="preserve">, </w:t>
      </w:r>
      <w:r w:rsidR="0089600C" w:rsidRPr="00A765B0">
        <w:rPr>
          <w:rFonts w:ascii="Arial" w:hAnsi="Arial" w:cs="Arial"/>
          <w:lang w:val="en-US"/>
        </w:rPr>
        <w:t>Sasfin, but rather to third-party companies</w:t>
      </w:r>
      <w:r w:rsidR="00E232F8" w:rsidRPr="00A765B0">
        <w:rPr>
          <w:rFonts w:ascii="Arial" w:hAnsi="Arial" w:cs="Arial"/>
          <w:lang w:val="en-US"/>
        </w:rPr>
        <w:t xml:space="preserve"> </w:t>
      </w:r>
      <w:r w:rsidR="00565119" w:rsidRPr="00A765B0">
        <w:rPr>
          <w:rFonts w:ascii="Arial" w:hAnsi="Arial" w:cs="Arial"/>
          <w:lang w:val="en-US"/>
        </w:rPr>
        <w:t xml:space="preserve">unrelated to </w:t>
      </w:r>
      <w:r w:rsidR="00FE1C55" w:rsidRPr="00A765B0">
        <w:rPr>
          <w:rFonts w:ascii="Arial" w:hAnsi="Arial" w:cs="Arial"/>
          <w:lang w:val="en-US"/>
        </w:rPr>
        <w:t>Sasfin</w:t>
      </w:r>
      <w:r w:rsidR="00565119" w:rsidRPr="00A765B0">
        <w:rPr>
          <w:rFonts w:ascii="Arial" w:hAnsi="Arial" w:cs="Arial"/>
          <w:lang w:val="en-US"/>
        </w:rPr>
        <w:t>.</w:t>
      </w:r>
      <w:r w:rsidR="00444977" w:rsidRPr="00A765B0">
        <w:rPr>
          <w:rFonts w:ascii="Arial" w:hAnsi="Arial" w:cs="Arial"/>
          <w:lang w:val="en-US"/>
        </w:rPr>
        <w:t xml:space="preserve"> Thus, he continued that the purported cancellations </w:t>
      </w:r>
      <w:r w:rsidR="00044A1F" w:rsidRPr="00A765B0">
        <w:rPr>
          <w:rFonts w:ascii="Arial" w:hAnsi="Arial" w:cs="Arial"/>
          <w:lang w:val="en-US"/>
        </w:rPr>
        <w:t>were</w:t>
      </w:r>
      <w:r w:rsidR="00444977" w:rsidRPr="00A765B0">
        <w:rPr>
          <w:rFonts w:ascii="Arial" w:hAnsi="Arial" w:cs="Arial"/>
          <w:lang w:val="en-US"/>
        </w:rPr>
        <w:t xml:space="preserve"> </w:t>
      </w:r>
      <w:r w:rsidR="00325D0B" w:rsidRPr="00A765B0">
        <w:rPr>
          <w:rFonts w:ascii="Arial" w:hAnsi="Arial" w:cs="Arial"/>
          <w:lang w:val="en-US"/>
        </w:rPr>
        <w:t>null</w:t>
      </w:r>
      <w:r w:rsidR="00B26402" w:rsidRPr="00A765B0">
        <w:rPr>
          <w:rFonts w:ascii="Arial" w:hAnsi="Arial" w:cs="Arial"/>
          <w:lang w:val="en-US"/>
        </w:rPr>
        <w:t xml:space="preserve"> or the agreement was never validly cancelled.</w:t>
      </w:r>
    </w:p>
    <w:p w14:paraId="37BB8C62" w14:textId="77777777" w:rsidR="00444977" w:rsidRDefault="00444977" w:rsidP="00444977">
      <w:pPr>
        <w:pStyle w:val="ListParagraph"/>
        <w:spacing w:line="480" w:lineRule="auto"/>
        <w:ind w:left="360"/>
        <w:jc w:val="both"/>
        <w:rPr>
          <w:rFonts w:ascii="Arial" w:hAnsi="Arial" w:cs="Arial"/>
          <w:lang w:val="en-US"/>
        </w:rPr>
      </w:pPr>
    </w:p>
    <w:p w14:paraId="48B5D460" w14:textId="0AB5A9BD" w:rsidR="008758E8" w:rsidRPr="00A765B0" w:rsidRDefault="00A765B0" w:rsidP="00A765B0">
      <w:pPr>
        <w:spacing w:line="480" w:lineRule="auto"/>
        <w:ind w:left="360" w:hanging="360"/>
        <w:jc w:val="both"/>
        <w:rPr>
          <w:rFonts w:ascii="Arial" w:hAnsi="Arial" w:cs="Arial"/>
          <w:lang w:val="en-US"/>
        </w:rPr>
      </w:pPr>
      <w:r w:rsidRPr="00CF2E69">
        <w:rPr>
          <w:rFonts w:ascii="Arial" w:hAnsi="Arial" w:cs="Arial"/>
          <w:lang w:val="en-US"/>
        </w:rPr>
        <w:lastRenderedPageBreak/>
        <w:t>25.</w:t>
      </w:r>
      <w:r w:rsidRPr="00CF2E69">
        <w:rPr>
          <w:rFonts w:ascii="Arial" w:hAnsi="Arial" w:cs="Arial"/>
          <w:lang w:val="en-US"/>
        </w:rPr>
        <w:tab/>
      </w:r>
      <w:r w:rsidR="00444977" w:rsidRPr="00A765B0">
        <w:rPr>
          <w:rFonts w:ascii="Arial" w:hAnsi="Arial" w:cs="Arial"/>
          <w:lang w:val="en-US"/>
        </w:rPr>
        <w:t xml:space="preserve">The </w:t>
      </w:r>
      <w:r w:rsidR="00FE1C55" w:rsidRPr="00A765B0">
        <w:rPr>
          <w:rFonts w:ascii="Arial" w:hAnsi="Arial" w:cs="Arial"/>
          <w:lang w:val="en-US"/>
        </w:rPr>
        <w:t>defendant's</w:t>
      </w:r>
      <w:r w:rsidR="00444977" w:rsidRPr="00A765B0">
        <w:rPr>
          <w:rFonts w:ascii="Arial" w:hAnsi="Arial" w:cs="Arial"/>
          <w:lang w:val="en-US"/>
        </w:rPr>
        <w:t xml:space="preserve"> counsel argued </w:t>
      </w:r>
      <w:r w:rsidR="00325D0B" w:rsidRPr="00A765B0">
        <w:rPr>
          <w:rFonts w:ascii="Arial" w:hAnsi="Arial" w:cs="Arial"/>
          <w:lang w:val="en-US"/>
        </w:rPr>
        <w:t xml:space="preserve">that </w:t>
      </w:r>
      <w:r w:rsidR="00444977" w:rsidRPr="00A765B0">
        <w:rPr>
          <w:rFonts w:ascii="Arial" w:hAnsi="Arial" w:cs="Arial"/>
          <w:lang w:val="en-US"/>
        </w:rPr>
        <w:t xml:space="preserve">the defendant provided the plaintiff with </w:t>
      </w:r>
      <w:r w:rsidR="00FE1C55" w:rsidRPr="00A765B0">
        <w:rPr>
          <w:rFonts w:ascii="Arial" w:hAnsi="Arial" w:cs="Arial"/>
          <w:lang w:val="en-US"/>
        </w:rPr>
        <w:t>two</w:t>
      </w:r>
      <w:r w:rsidR="00444977" w:rsidRPr="00A765B0">
        <w:rPr>
          <w:rFonts w:ascii="Arial" w:hAnsi="Arial" w:cs="Arial"/>
          <w:lang w:val="en-US"/>
        </w:rPr>
        <w:t xml:space="preserve"> cancellation notice</w:t>
      </w:r>
      <w:r w:rsidR="00FE1C55" w:rsidRPr="00A765B0">
        <w:rPr>
          <w:rFonts w:ascii="Arial" w:hAnsi="Arial" w:cs="Arial"/>
          <w:lang w:val="en-US"/>
        </w:rPr>
        <w:t>s</w:t>
      </w:r>
      <w:r w:rsidR="00A426DD" w:rsidRPr="00A765B0">
        <w:rPr>
          <w:rFonts w:ascii="Arial" w:hAnsi="Arial" w:cs="Arial"/>
          <w:lang w:val="en-US"/>
        </w:rPr>
        <w:t>. Whilst</w:t>
      </w:r>
      <w:r w:rsidR="00444977" w:rsidRPr="00A765B0">
        <w:rPr>
          <w:rFonts w:ascii="Arial" w:hAnsi="Arial" w:cs="Arial"/>
          <w:lang w:val="en-US"/>
        </w:rPr>
        <w:t xml:space="preserve"> the cancellation notice</w:t>
      </w:r>
      <w:r w:rsidR="00FE1C55" w:rsidRPr="00A765B0">
        <w:rPr>
          <w:rFonts w:ascii="Arial" w:hAnsi="Arial" w:cs="Arial"/>
          <w:lang w:val="en-US"/>
        </w:rPr>
        <w:t>s</w:t>
      </w:r>
      <w:r w:rsidR="00444977" w:rsidRPr="00A765B0">
        <w:rPr>
          <w:rFonts w:ascii="Arial" w:hAnsi="Arial" w:cs="Arial"/>
          <w:lang w:val="en-US"/>
        </w:rPr>
        <w:t xml:space="preserve"> did not expressly set out that</w:t>
      </w:r>
      <w:r w:rsidR="00E232F8" w:rsidRPr="00A765B0">
        <w:rPr>
          <w:rFonts w:ascii="Arial" w:hAnsi="Arial" w:cs="Arial"/>
          <w:lang w:val="en-US"/>
        </w:rPr>
        <w:t xml:space="preserve"> she was exercising her right in terms of Section 14(2)(b)(bb) of the CPA and that</w:t>
      </w:r>
      <w:r w:rsidR="00444977" w:rsidRPr="00A765B0">
        <w:rPr>
          <w:rFonts w:ascii="Arial" w:hAnsi="Arial" w:cs="Arial"/>
          <w:lang w:val="en-US"/>
        </w:rPr>
        <w:t xml:space="preserve"> she would be giving 20 days’ notice</w:t>
      </w:r>
      <w:r w:rsidR="00DD3979" w:rsidRPr="00A765B0">
        <w:rPr>
          <w:rFonts w:ascii="Arial" w:hAnsi="Arial" w:cs="Arial"/>
          <w:lang w:val="en-US"/>
        </w:rPr>
        <w:t xml:space="preserve"> to the plaintiff</w:t>
      </w:r>
      <w:r w:rsidR="00444977" w:rsidRPr="00A765B0">
        <w:rPr>
          <w:rFonts w:ascii="Arial" w:hAnsi="Arial" w:cs="Arial"/>
          <w:lang w:val="en-US"/>
        </w:rPr>
        <w:t xml:space="preserve">, she </w:t>
      </w:r>
      <w:r w:rsidR="00444977" w:rsidRPr="00A765B0">
        <w:rPr>
          <w:rFonts w:ascii="Arial" w:hAnsi="Arial" w:cs="Arial"/>
          <w:i/>
          <w:iCs/>
          <w:lang w:val="en-US"/>
        </w:rPr>
        <w:t>de facto</w:t>
      </w:r>
      <w:r w:rsidR="00444977" w:rsidRPr="00A765B0">
        <w:rPr>
          <w:rFonts w:ascii="Arial" w:hAnsi="Arial" w:cs="Arial"/>
          <w:lang w:val="en-US"/>
        </w:rPr>
        <w:t xml:space="preserve"> provided the plaintiff with </w:t>
      </w:r>
      <w:r w:rsidR="00E232F8" w:rsidRPr="00A765B0">
        <w:rPr>
          <w:rFonts w:ascii="Arial" w:hAnsi="Arial" w:cs="Arial"/>
          <w:lang w:val="en-US"/>
        </w:rPr>
        <w:t>more than 20</w:t>
      </w:r>
      <w:r w:rsidR="00444977" w:rsidRPr="00A765B0">
        <w:rPr>
          <w:rFonts w:ascii="Arial" w:hAnsi="Arial" w:cs="Arial"/>
          <w:lang w:val="en-US"/>
        </w:rPr>
        <w:t xml:space="preserve"> days’ notice</w:t>
      </w:r>
      <w:r w:rsidR="00FE1C55" w:rsidRPr="00A765B0">
        <w:rPr>
          <w:rFonts w:ascii="Arial" w:hAnsi="Arial" w:cs="Arial"/>
          <w:lang w:val="en-US"/>
        </w:rPr>
        <w:t>, if one has</w:t>
      </w:r>
      <w:r w:rsidR="00E232F8" w:rsidRPr="00A765B0">
        <w:rPr>
          <w:rFonts w:ascii="Arial" w:hAnsi="Arial" w:cs="Arial"/>
          <w:lang w:val="en-US"/>
        </w:rPr>
        <w:t xml:space="preserve"> regard to both the </w:t>
      </w:r>
      <w:r w:rsidR="00410FB9" w:rsidRPr="00A765B0">
        <w:rPr>
          <w:rFonts w:ascii="Arial" w:hAnsi="Arial" w:cs="Arial"/>
          <w:lang w:val="en-US"/>
        </w:rPr>
        <w:t>30 November</w:t>
      </w:r>
      <w:r w:rsidR="00E232F8" w:rsidRPr="00A765B0">
        <w:rPr>
          <w:rFonts w:ascii="Arial" w:hAnsi="Arial" w:cs="Arial"/>
          <w:lang w:val="en-US"/>
        </w:rPr>
        <w:t xml:space="preserve"> 2020 cancellation</w:t>
      </w:r>
      <w:r w:rsidR="00410FB9" w:rsidRPr="00A765B0">
        <w:rPr>
          <w:rFonts w:ascii="Arial" w:hAnsi="Arial" w:cs="Arial"/>
          <w:lang w:val="en-US"/>
        </w:rPr>
        <w:t xml:space="preserve"> notice</w:t>
      </w:r>
      <w:r w:rsidR="00E232F8" w:rsidRPr="00A765B0">
        <w:rPr>
          <w:rFonts w:ascii="Arial" w:hAnsi="Arial" w:cs="Arial"/>
          <w:lang w:val="en-US"/>
        </w:rPr>
        <w:t xml:space="preserve"> and the 16 February 2021 cancellation</w:t>
      </w:r>
      <w:r w:rsidR="00410FB9" w:rsidRPr="00A765B0">
        <w:rPr>
          <w:rFonts w:ascii="Arial" w:hAnsi="Arial" w:cs="Arial"/>
          <w:lang w:val="en-US"/>
        </w:rPr>
        <w:t xml:space="preserve"> notice</w:t>
      </w:r>
      <w:r w:rsidR="00DD3979" w:rsidRPr="00A765B0">
        <w:rPr>
          <w:rFonts w:ascii="Arial" w:hAnsi="Arial" w:cs="Arial"/>
          <w:lang w:val="en-US"/>
        </w:rPr>
        <w:t xml:space="preserve"> (considering the cancellation would be effective at the latest on 16 March 2021 and next due date for payment on 25 March 2021)</w:t>
      </w:r>
      <w:r w:rsidR="00444977" w:rsidRPr="00A765B0">
        <w:rPr>
          <w:rFonts w:ascii="Arial" w:hAnsi="Arial" w:cs="Arial"/>
          <w:lang w:val="en-US"/>
        </w:rPr>
        <w:t>. He further argued that the plaintiff’s argument was formalistic</w:t>
      </w:r>
      <w:r w:rsidR="0089600C" w:rsidRPr="00A765B0">
        <w:rPr>
          <w:rFonts w:ascii="Arial" w:hAnsi="Arial" w:cs="Arial"/>
          <w:lang w:val="en-US"/>
        </w:rPr>
        <w:t>. If</w:t>
      </w:r>
      <w:r w:rsidR="00B26402" w:rsidRPr="00A765B0">
        <w:rPr>
          <w:rFonts w:ascii="Arial" w:hAnsi="Arial" w:cs="Arial"/>
          <w:lang w:val="en-US"/>
        </w:rPr>
        <w:t xml:space="preserve"> regard is had to the substance of Section 14(2)(b)(bb)</w:t>
      </w:r>
      <w:r w:rsidR="00AC59F9" w:rsidRPr="00A765B0">
        <w:rPr>
          <w:rFonts w:ascii="Arial" w:hAnsi="Arial" w:cs="Arial"/>
          <w:lang w:val="en-US"/>
        </w:rPr>
        <w:t xml:space="preserve"> of the CPA</w:t>
      </w:r>
      <w:r w:rsidR="00B26402" w:rsidRPr="00A765B0">
        <w:rPr>
          <w:rFonts w:ascii="Arial" w:hAnsi="Arial" w:cs="Arial"/>
          <w:lang w:val="en-US"/>
        </w:rPr>
        <w:t xml:space="preserve">, the defendant had complied therewith and had </w:t>
      </w:r>
      <w:r w:rsidR="00E232F8" w:rsidRPr="00A765B0">
        <w:rPr>
          <w:rFonts w:ascii="Arial" w:hAnsi="Arial" w:cs="Arial"/>
          <w:lang w:val="en-US"/>
        </w:rPr>
        <w:t xml:space="preserve">validly </w:t>
      </w:r>
      <w:r w:rsidR="00B26402" w:rsidRPr="00A765B0">
        <w:rPr>
          <w:rFonts w:ascii="Arial" w:hAnsi="Arial" w:cs="Arial"/>
          <w:lang w:val="en-US"/>
        </w:rPr>
        <w:t>cancelled the agreement</w:t>
      </w:r>
      <w:r w:rsidR="00325D0B" w:rsidRPr="00A765B0">
        <w:rPr>
          <w:rFonts w:ascii="Arial" w:hAnsi="Arial" w:cs="Arial"/>
          <w:lang w:val="en-US"/>
        </w:rPr>
        <w:t>. Accordingly</w:t>
      </w:r>
      <w:r w:rsidR="00B26402" w:rsidRPr="00A765B0">
        <w:rPr>
          <w:rFonts w:ascii="Arial" w:hAnsi="Arial" w:cs="Arial"/>
          <w:lang w:val="en-US"/>
        </w:rPr>
        <w:t xml:space="preserve">, she could not be found to be in arrears and in addition, the plaintiff is not entitled to seek specific performance on a validly cancelled agreement. The defendant’s counsel further argued that the issue of </w:t>
      </w:r>
      <w:r w:rsidR="008758E8" w:rsidRPr="00A765B0">
        <w:rPr>
          <w:rFonts w:ascii="Arial" w:hAnsi="Arial" w:cs="Arial"/>
          <w:lang w:val="en-US"/>
        </w:rPr>
        <w:t xml:space="preserve">the relationship between Sasfin and Telelink, and/or Sunlyn and whether her notification </w:t>
      </w:r>
      <w:r w:rsidR="00AC59F9" w:rsidRPr="00A765B0">
        <w:rPr>
          <w:rFonts w:ascii="Arial" w:hAnsi="Arial" w:cs="Arial"/>
          <w:lang w:val="en-US"/>
        </w:rPr>
        <w:t>conveyed</w:t>
      </w:r>
      <w:r w:rsidR="008758E8" w:rsidRPr="00A765B0">
        <w:rPr>
          <w:rFonts w:ascii="Arial" w:hAnsi="Arial" w:cs="Arial"/>
          <w:lang w:val="en-US"/>
        </w:rPr>
        <w:t xml:space="preserve"> to these third parties </w:t>
      </w:r>
      <w:r w:rsidR="00AC59F9" w:rsidRPr="00A765B0">
        <w:rPr>
          <w:rFonts w:ascii="Arial" w:hAnsi="Arial" w:cs="Arial"/>
          <w:lang w:val="en-US"/>
        </w:rPr>
        <w:t>constitutes</w:t>
      </w:r>
      <w:r w:rsidR="008758E8" w:rsidRPr="00A765B0">
        <w:rPr>
          <w:rFonts w:ascii="Arial" w:hAnsi="Arial" w:cs="Arial"/>
          <w:lang w:val="en-US"/>
        </w:rPr>
        <w:t xml:space="preserve"> </w:t>
      </w:r>
      <w:r w:rsidR="00DD3979" w:rsidRPr="00A765B0">
        <w:rPr>
          <w:rFonts w:ascii="Arial" w:hAnsi="Arial" w:cs="Arial"/>
          <w:lang w:val="en-US"/>
        </w:rPr>
        <w:t>communication of the cancellation</w:t>
      </w:r>
      <w:r w:rsidR="008758E8" w:rsidRPr="00A765B0">
        <w:rPr>
          <w:rFonts w:ascii="Arial" w:hAnsi="Arial" w:cs="Arial"/>
          <w:lang w:val="en-US"/>
        </w:rPr>
        <w:t xml:space="preserve"> on the supplier is an issue for trial, especially in light of Telelink's responding to her complaints to Sasfin with the settlement quote and the second master rental agreement bearing Sunlyn’s name.</w:t>
      </w:r>
    </w:p>
    <w:p w14:paraId="0521B0DD" w14:textId="77777777" w:rsidR="00B26402" w:rsidRPr="00B26402" w:rsidRDefault="00B26402" w:rsidP="00B26402">
      <w:pPr>
        <w:pStyle w:val="ListParagraph"/>
        <w:rPr>
          <w:rFonts w:ascii="Arial" w:hAnsi="Arial" w:cs="Arial"/>
          <w:lang w:val="en-US"/>
        </w:rPr>
      </w:pPr>
    </w:p>
    <w:p w14:paraId="64CAFB58" w14:textId="278D5E81" w:rsidR="00E232F8" w:rsidRPr="00A765B0" w:rsidRDefault="00A765B0" w:rsidP="00A765B0">
      <w:pPr>
        <w:spacing w:line="480" w:lineRule="auto"/>
        <w:ind w:left="360" w:hanging="360"/>
        <w:jc w:val="both"/>
        <w:rPr>
          <w:rFonts w:ascii="Arial" w:hAnsi="Arial" w:cs="Arial"/>
          <w:lang w:val="en-US"/>
        </w:rPr>
      </w:pPr>
      <w:r>
        <w:rPr>
          <w:rFonts w:ascii="Arial" w:hAnsi="Arial" w:cs="Arial"/>
          <w:lang w:val="en-US"/>
        </w:rPr>
        <w:t>26.</w:t>
      </w:r>
      <w:r>
        <w:rPr>
          <w:rFonts w:ascii="Arial" w:hAnsi="Arial" w:cs="Arial"/>
          <w:lang w:val="en-US"/>
        </w:rPr>
        <w:tab/>
      </w:r>
      <w:r w:rsidR="00B26402" w:rsidRPr="00A765B0">
        <w:rPr>
          <w:rFonts w:ascii="Arial" w:hAnsi="Arial" w:cs="Arial"/>
          <w:lang w:val="en-US"/>
        </w:rPr>
        <w:t>The issue for determination</w:t>
      </w:r>
      <w:r w:rsidR="008758E8" w:rsidRPr="00A765B0">
        <w:rPr>
          <w:rFonts w:ascii="Arial" w:hAnsi="Arial" w:cs="Arial"/>
          <w:lang w:val="en-US"/>
        </w:rPr>
        <w:t xml:space="preserve"> flowing from</w:t>
      </w:r>
      <w:r w:rsidR="00B26402" w:rsidRPr="00A765B0">
        <w:rPr>
          <w:rFonts w:ascii="Arial" w:hAnsi="Arial" w:cs="Arial"/>
          <w:lang w:val="en-US"/>
        </w:rPr>
        <w:t xml:space="preserve"> this argument is whether Section 14(2)(b)(bb)</w:t>
      </w:r>
      <w:r w:rsidR="00E232F8" w:rsidRPr="00A765B0">
        <w:rPr>
          <w:rFonts w:ascii="Arial" w:hAnsi="Arial" w:cs="Arial"/>
          <w:lang w:val="en-US"/>
        </w:rPr>
        <w:t xml:space="preserve"> of the CPA</w:t>
      </w:r>
      <w:r w:rsidR="00B26402" w:rsidRPr="00A765B0">
        <w:rPr>
          <w:rFonts w:ascii="Arial" w:hAnsi="Arial" w:cs="Arial"/>
          <w:lang w:val="en-US"/>
        </w:rPr>
        <w:t xml:space="preserve"> requires</w:t>
      </w:r>
      <w:r w:rsidR="00E232F8" w:rsidRPr="00A765B0">
        <w:rPr>
          <w:rFonts w:ascii="Arial" w:hAnsi="Arial" w:cs="Arial"/>
          <w:lang w:val="en-US"/>
        </w:rPr>
        <w:t>:-</w:t>
      </w:r>
    </w:p>
    <w:p w14:paraId="5A193F1A" w14:textId="77777777" w:rsidR="00E232F8" w:rsidRPr="00E232F8" w:rsidRDefault="00E232F8" w:rsidP="00E232F8">
      <w:pPr>
        <w:pStyle w:val="ListParagraph"/>
        <w:rPr>
          <w:rFonts w:ascii="Arial" w:hAnsi="Arial" w:cs="Arial"/>
          <w:lang w:val="en-US"/>
        </w:rPr>
      </w:pPr>
    </w:p>
    <w:p w14:paraId="0D6E11B0" w14:textId="452CE77E" w:rsidR="00E232F8" w:rsidRPr="00A765B0" w:rsidRDefault="00A765B0" w:rsidP="00A765B0">
      <w:pPr>
        <w:spacing w:line="480" w:lineRule="auto"/>
        <w:ind w:left="1644" w:hanging="1284"/>
        <w:jc w:val="both"/>
        <w:rPr>
          <w:rFonts w:ascii="Arial" w:hAnsi="Arial" w:cs="Arial"/>
          <w:lang w:val="en-US"/>
        </w:rPr>
      </w:pPr>
      <w:r>
        <w:rPr>
          <w:rFonts w:ascii="Arial" w:hAnsi="Arial" w:cs="Arial"/>
          <w:lang w:val="en-US"/>
        </w:rPr>
        <w:t>26.1.</w:t>
      </w:r>
      <w:r>
        <w:rPr>
          <w:rFonts w:ascii="Arial" w:hAnsi="Arial" w:cs="Arial"/>
          <w:lang w:val="en-US"/>
        </w:rPr>
        <w:tab/>
      </w:r>
      <w:r w:rsidR="00B26402" w:rsidRPr="00A765B0">
        <w:rPr>
          <w:rFonts w:ascii="Arial" w:hAnsi="Arial" w:cs="Arial"/>
          <w:lang w:val="en-US"/>
        </w:rPr>
        <w:t xml:space="preserve">the consumer to expressly provide in its notice of cancellation </w:t>
      </w:r>
      <w:r w:rsidR="00E232F8" w:rsidRPr="00A765B0">
        <w:rPr>
          <w:rFonts w:ascii="Arial" w:hAnsi="Arial" w:cs="Arial"/>
          <w:lang w:val="en-US"/>
        </w:rPr>
        <w:t xml:space="preserve">that </w:t>
      </w:r>
      <w:r w:rsidR="00B26402" w:rsidRPr="00A765B0">
        <w:rPr>
          <w:rFonts w:ascii="Arial" w:hAnsi="Arial" w:cs="Arial"/>
          <w:lang w:val="en-US"/>
        </w:rPr>
        <w:t xml:space="preserve">20 business days </w:t>
      </w:r>
      <w:r w:rsidR="00E232F8" w:rsidRPr="00A765B0">
        <w:rPr>
          <w:rFonts w:ascii="Arial" w:hAnsi="Arial" w:cs="Arial"/>
          <w:lang w:val="en-US"/>
        </w:rPr>
        <w:t xml:space="preserve">will be afforded </w:t>
      </w:r>
      <w:r w:rsidR="00B26402" w:rsidRPr="00A765B0">
        <w:rPr>
          <w:rFonts w:ascii="Arial" w:hAnsi="Arial" w:cs="Arial"/>
          <w:lang w:val="en-US"/>
        </w:rPr>
        <w:t>to the supplier</w:t>
      </w:r>
      <w:r w:rsidR="00E232F8" w:rsidRPr="00A765B0">
        <w:rPr>
          <w:rFonts w:ascii="Arial" w:hAnsi="Arial" w:cs="Arial"/>
          <w:lang w:val="en-US"/>
        </w:rPr>
        <w:t>;</w:t>
      </w:r>
      <w:r w:rsidR="00B26402" w:rsidRPr="00A765B0">
        <w:rPr>
          <w:rFonts w:ascii="Arial" w:hAnsi="Arial" w:cs="Arial"/>
          <w:lang w:val="en-US"/>
        </w:rPr>
        <w:t xml:space="preserve"> and </w:t>
      </w:r>
    </w:p>
    <w:p w14:paraId="02DEFE99" w14:textId="77777777" w:rsidR="00DD3979" w:rsidRDefault="00DD3979" w:rsidP="00DD3979">
      <w:pPr>
        <w:pStyle w:val="ListParagraph"/>
        <w:spacing w:line="480" w:lineRule="auto"/>
        <w:ind w:left="1644"/>
        <w:jc w:val="both"/>
        <w:rPr>
          <w:rFonts w:ascii="Arial" w:hAnsi="Arial" w:cs="Arial"/>
          <w:lang w:val="en-US"/>
        </w:rPr>
      </w:pPr>
    </w:p>
    <w:p w14:paraId="7EC5CBA0" w14:textId="1205817A" w:rsidR="00B26402" w:rsidRPr="00A765B0" w:rsidRDefault="00A765B0" w:rsidP="00A765B0">
      <w:pPr>
        <w:spacing w:line="480" w:lineRule="auto"/>
        <w:ind w:left="1644" w:hanging="1284"/>
        <w:jc w:val="both"/>
        <w:rPr>
          <w:rFonts w:ascii="Arial" w:hAnsi="Arial" w:cs="Arial"/>
          <w:lang w:val="en-US"/>
        </w:rPr>
      </w:pPr>
      <w:r>
        <w:rPr>
          <w:rFonts w:ascii="Arial" w:hAnsi="Arial" w:cs="Arial"/>
          <w:lang w:val="en-US"/>
        </w:rPr>
        <w:lastRenderedPageBreak/>
        <w:t>26.2.</w:t>
      </w:r>
      <w:r>
        <w:rPr>
          <w:rFonts w:ascii="Arial" w:hAnsi="Arial" w:cs="Arial"/>
          <w:lang w:val="en-US"/>
        </w:rPr>
        <w:tab/>
      </w:r>
      <w:r w:rsidR="00B26402" w:rsidRPr="00A765B0">
        <w:rPr>
          <w:rFonts w:ascii="Arial" w:hAnsi="Arial" w:cs="Arial"/>
          <w:lang w:val="en-US"/>
        </w:rPr>
        <w:t xml:space="preserve">the consumer </w:t>
      </w:r>
      <w:r w:rsidR="00E232F8" w:rsidRPr="00A765B0">
        <w:rPr>
          <w:rFonts w:ascii="Arial" w:hAnsi="Arial" w:cs="Arial"/>
          <w:lang w:val="en-US"/>
        </w:rPr>
        <w:t>to</w:t>
      </w:r>
      <w:r w:rsidR="00B26402" w:rsidRPr="00A765B0">
        <w:rPr>
          <w:rFonts w:ascii="Arial" w:hAnsi="Arial" w:cs="Arial"/>
          <w:lang w:val="en-US"/>
        </w:rPr>
        <w:t xml:space="preserve"> expressly assert that she is exercising her right in terms of Section 14(2)(b)(bb)</w:t>
      </w:r>
      <w:r w:rsidR="00E232F8" w:rsidRPr="00A765B0">
        <w:rPr>
          <w:rFonts w:ascii="Arial" w:hAnsi="Arial" w:cs="Arial"/>
          <w:lang w:val="en-US"/>
        </w:rPr>
        <w:t xml:space="preserve"> of the CPA</w:t>
      </w:r>
      <w:r w:rsidR="00B26402" w:rsidRPr="00A765B0">
        <w:rPr>
          <w:rFonts w:ascii="Arial" w:hAnsi="Arial" w:cs="Arial"/>
          <w:lang w:val="en-US"/>
        </w:rPr>
        <w:t>.</w:t>
      </w:r>
    </w:p>
    <w:p w14:paraId="40894619" w14:textId="77777777" w:rsidR="00E232F8" w:rsidRPr="003408FB" w:rsidRDefault="00E232F8" w:rsidP="003408FB">
      <w:pPr>
        <w:spacing w:line="480" w:lineRule="auto"/>
        <w:jc w:val="both"/>
        <w:rPr>
          <w:rFonts w:ascii="Arial" w:hAnsi="Arial" w:cs="Arial"/>
          <w:b/>
          <w:bCs/>
          <w:lang w:val="en-US"/>
        </w:rPr>
      </w:pPr>
    </w:p>
    <w:p w14:paraId="7687AD82" w14:textId="75CFD0C7" w:rsidR="00B26402" w:rsidRPr="00B26402" w:rsidRDefault="00B26402" w:rsidP="00B26402">
      <w:pPr>
        <w:pStyle w:val="ListParagraph"/>
        <w:spacing w:line="480" w:lineRule="auto"/>
        <w:ind w:left="360"/>
        <w:jc w:val="both"/>
        <w:rPr>
          <w:rFonts w:ascii="Arial" w:hAnsi="Arial" w:cs="Arial"/>
          <w:b/>
          <w:bCs/>
          <w:lang w:val="en-US"/>
        </w:rPr>
      </w:pPr>
      <w:r w:rsidRPr="00B26402">
        <w:rPr>
          <w:rFonts w:ascii="Arial" w:hAnsi="Arial" w:cs="Arial"/>
          <w:b/>
          <w:bCs/>
          <w:lang w:val="en-US"/>
        </w:rPr>
        <w:t>The interpretation of the Act and Section 14(2)(b)(bb)</w:t>
      </w:r>
    </w:p>
    <w:p w14:paraId="2FBF5B08" w14:textId="77777777" w:rsidR="00B26402" w:rsidRPr="00B26402" w:rsidRDefault="00B26402" w:rsidP="00B26402">
      <w:pPr>
        <w:pStyle w:val="ListParagraph"/>
        <w:rPr>
          <w:rFonts w:ascii="Arial" w:hAnsi="Arial" w:cs="Arial"/>
          <w:lang w:val="en-US"/>
        </w:rPr>
      </w:pPr>
    </w:p>
    <w:p w14:paraId="7FA3514A" w14:textId="23FA04C9" w:rsidR="008758E8" w:rsidRPr="005354CB" w:rsidRDefault="00A765B0" w:rsidP="00A765B0">
      <w:pPr>
        <w:pStyle w:val="SIUaffidavitnumbering"/>
        <w:numPr>
          <w:ilvl w:val="0"/>
          <w:numId w:val="0"/>
        </w:numPr>
        <w:spacing w:after="360" w:line="480" w:lineRule="auto"/>
        <w:ind w:left="360" w:hanging="360"/>
        <w:rPr>
          <w:rFonts w:ascii="Arial" w:hAnsi="Arial" w:cs="Arial"/>
          <w:sz w:val="24"/>
          <w:szCs w:val="24"/>
          <w:lang w:eastAsia="x-none"/>
        </w:rPr>
      </w:pPr>
      <w:r w:rsidRPr="005354CB">
        <w:rPr>
          <w:rFonts w:ascii="Arial" w:hAnsi="Arial" w:cs="Arial"/>
          <w:sz w:val="24"/>
          <w:szCs w:val="24"/>
          <w:lang w:eastAsia="x-none"/>
        </w:rPr>
        <w:t>27.</w:t>
      </w:r>
      <w:r w:rsidRPr="005354CB">
        <w:rPr>
          <w:rFonts w:ascii="Arial" w:hAnsi="Arial" w:cs="Arial"/>
          <w:sz w:val="24"/>
          <w:szCs w:val="24"/>
          <w:lang w:eastAsia="x-none"/>
        </w:rPr>
        <w:tab/>
      </w:r>
      <w:r w:rsidR="008758E8" w:rsidRPr="00C03E8C">
        <w:rPr>
          <w:rFonts w:ascii="Arial" w:hAnsi="Arial" w:cs="Arial"/>
          <w:sz w:val="24"/>
          <w:szCs w:val="24"/>
          <w:lang w:eastAsia="x-none"/>
        </w:rPr>
        <w:t xml:space="preserve">It is trite that statutory provisions must be interpreted purposively and in context.  That context includes the legislative background and the purpose for </w:t>
      </w:r>
      <w:r w:rsidR="00A426DD">
        <w:rPr>
          <w:rFonts w:ascii="Arial" w:hAnsi="Arial" w:cs="Arial"/>
          <w:sz w:val="24"/>
          <w:szCs w:val="24"/>
          <w:lang w:eastAsia="x-none"/>
        </w:rPr>
        <w:t>establishing the Act</w:t>
      </w:r>
      <w:r w:rsidR="008758E8" w:rsidRPr="00C03E8C">
        <w:rPr>
          <w:rFonts w:ascii="Arial" w:hAnsi="Arial" w:cs="Arial"/>
          <w:sz w:val="24"/>
          <w:szCs w:val="24"/>
          <w:lang w:eastAsia="x-none"/>
        </w:rPr>
        <w:t>.</w:t>
      </w:r>
      <w:r w:rsidR="008758E8" w:rsidRPr="00C03E8C">
        <w:rPr>
          <w:rStyle w:val="FootnoteReference"/>
          <w:rFonts w:ascii="Arial" w:hAnsi="Arial" w:cs="Arial"/>
          <w:sz w:val="24"/>
          <w:szCs w:val="24"/>
          <w:lang w:eastAsia="x-none"/>
        </w:rPr>
        <w:footnoteReference w:id="4"/>
      </w:r>
      <w:r w:rsidR="008758E8" w:rsidRPr="00C03E8C">
        <w:rPr>
          <w:rFonts w:ascii="Arial" w:hAnsi="Arial" w:cs="Arial"/>
          <w:sz w:val="24"/>
          <w:szCs w:val="24"/>
          <w:lang w:eastAsia="x-none"/>
        </w:rPr>
        <w:t xml:space="preserve">  </w:t>
      </w:r>
      <w:r w:rsidR="008758E8">
        <w:rPr>
          <w:rFonts w:ascii="Arial" w:hAnsi="Arial" w:cs="Arial"/>
          <w:sz w:val="24"/>
          <w:szCs w:val="24"/>
          <w:lang w:eastAsia="x-none"/>
        </w:rPr>
        <w:t>The interpretative process involves ascertaining the intention of the legislature but considers the words used in the light of all relevant and admissible context, including the circumstances in which the legislation came into being</w:t>
      </w:r>
      <w:r w:rsidR="008758E8">
        <w:rPr>
          <w:rStyle w:val="FootnoteReference"/>
          <w:rFonts w:ascii="Arial" w:hAnsi="Arial" w:cs="Arial"/>
          <w:sz w:val="24"/>
          <w:szCs w:val="24"/>
          <w:lang w:eastAsia="x-none"/>
        </w:rPr>
        <w:footnoteReference w:id="5"/>
      </w:r>
      <w:r w:rsidR="008758E8">
        <w:rPr>
          <w:rFonts w:ascii="Arial" w:hAnsi="Arial" w:cs="Arial"/>
          <w:sz w:val="24"/>
          <w:szCs w:val="24"/>
          <w:lang w:eastAsia="x-none"/>
        </w:rPr>
        <w:t>.</w:t>
      </w:r>
      <w:r w:rsidR="005354CB">
        <w:rPr>
          <w:rFonts w:ascii="Arial" w:hAnsi="Arial" w:cs="Arial"/>
          <w:sz w:val="24"/>
          <w:szCs w:val="24"/>
          <w:lang w:eastAsia="x-none"/>
        </w:rPr>
        <w:t xml:space="preserve"> It has further been held in the Endumeni decision that “</w:t>
      </w:r>
      <w:r w:rsidR="005354CB" w:rsidRPr="005354CB">
        <w:rPr>
          <w:rFonts w:ascii="Arial" w:hAnsi="Arial" w:cs="Arial"/>
          <w:i/>
          <w:iCs/>
          <w:sz w:val="24"/>
          <w:szCs w:val="24"/>
          <w:lang w:eastAsia="x-none"/>
        </w:rPr>
        <w:t>a sensible meaning is preferred to one that leads to insensible or unbusinesslike results”</w:t>
      </w:r>
      <w:r w:rsidR="00E232F8">
        <w:rPr>
          <w:rStyle w:val="FootnoteReference"/>
          <w:rFonts w:ascii="Arial" w:hAnsi="Arial" w:cs="Arial"/>
          <w:i/>
          <w:iCs/>
          <w:sz w:val="24"/>
          <w:szCs w:val="24"/>
          <w:lang w:eastAsia="x-none"/>
        </w:rPr>
        <w:footnoteReference w:id="6"/>
      </w:r>
      <w:r w:rsidR="005354CB">
        <w:rPr>
          <w:rFonts w:ascii="Arial" w:hAnsi="Arial" w:cs="Arial"/>
          <w:i/>
          <w:iCs/>
          <w:sz w:val="24"/>
          <w:szCs w:val="24"/>
          <w:lang w:eastAsia="x-none"/>
        </w:rPr>
        <w:t>.</w:t>
      </w:r>
    </w:p>
    <w:p w14:paraId="6AC0F596" w14:textId="34B52284" w:rsidR="005354CB" w:rsidRDefault="00A765B0" w:rsidP="00A765B0">
      <w:pPr>
        <w:pStyle w:val="SIUaffidavitnumbering"/>
        <w:numPr>
          <w:ilvl w:val="0"/>
          <w:numId w:val="0"/>
        </w:numPr>
        <w:spacing w:after="360" w:line="480" w:lineRule="auto"/>
        <w:ind w:left="360" w:hanging="360"/>
        <w:rPr>
          <w:rFonts w:ascii="Arial" w:hAnsi="Arial" w:cs="Arial"/>
          <w:sz w:val="24"/>
          <w:szCs w:val="24"/>
          <w:lang w:eastAsia="x-none"/>
        </w:rPr>
      </w:pPr>
      <w:r>
        <w:rPr>
          <w:rFonts w:ascii="Arial" w:hAnsi="Arial" w:cs="Arial"/>
          <w:sz w:val="24"/>
          <w:szCs w:val="24"/>
          <w:lang w:eastAsia="x-none"/>
        </w:rPr>
        <w:t>28.</w:t>
      </w:r>
      <w:r>
        <w:rPr>
          <w:rFonts w:ascii="Arial" w:hAnsi="Arial" w:cs="Arial"/>
          <w:sz w:val="24"/>
          <w:szCs w:val="24"/>
          <w:lang w:eastAsia="x-none"/>
        </w:rPr>
        <w:tab/>
      </w:r>
      <w:r w:rsidR="005354CB">
        <w:rPr>
          <w:rFonts w:ascii="Arial" w:hAnsi="Arial" w:cs="Arial"/>
          <w:sz w:val="24"/>
          <w:szCs w:val="24"/>
          <w:lang w:eastAsia="x-none"/>
        </w:rPr>
        <w:t>The Supreme Court of Appeal in Eskom Holdings Ltd V Halstead-Cleak 2017 (1) SA 333 (SCA) interpret</w:t>
      </w:r>
      <w:r w:rsidR="00E232F8">
        <w:rPr>
          <w:rFonts w:ascii="Arial" w:hAnsi="Arial" w:cs="Arial"/>
          <w:sz w:val="24"/>
          <w:szCs w:val="24"/>
          <w:lang w:eastAsia="x-none"/>
        </w:rPr>
        <w:t>ed</w:t>
      </w:r>
      <w:r w:rsidR="005354CB">
        <w:rPr>
          <w:rFonts w:ascii="Arial" w:hAnsi="Arial" w:cs="Arial"/>
          <w:sz w:val="24"/>
          <w:szCs w:val="24"/>
          <w:lang w:eastAsia="x-none"/>
        </w:rPr>
        <w:t xml:space="preserve"> the CPA with reference specifically to Section 61 of the CPA</w:t>
      </w:r>
      <w:r w:rsidR="00E232F8">
        <w:rPr>
          <w:rFonts w:ascii="Arial" w:hAnsi="Arial" w:cs="Arial"/>
          <w:sz w:val="24"/>
          <w:szCs w:val="24"/>
          <w:lang w:eastAsia="x-none"/>
        </w:rPr>
        <w:t>.</w:t>
      </w:r>
      <w:r w:rsidR="005354CB">
        <w:rPr>
          <w:rFonts w:ascii="Arial" w:hAnsi="Arial" w:cs="Arial"/>
          <w:sz w:val="24"/>
          <w:szCs w:val="24"/>
          <w:lang w:eastAsia="x-none"/>
        </w:rPr>
        <w:t xml:space="preserve"> Its expose of the CPA</w:t>
      </w:r>
      <w:r w:rsidR="00DD3979">
        <w:rPr>
          <w:rFonts w:ascii="Arial" w:hAnsi="Arial" w:cs="Arial"/>
          <w:sz w:val="24"/>
          <w:szCs w:val="24"/>
          <w:lang w:eastAsia="x-none"/>
        </w:rPr>
        <w:t>,</w:t>
      </w:r>
      <w:r w:rsidR="005354CB">
        <w:rPr>
          <w:rFonts w:ascii="Arial" w:hAnsi="Arial" w:cs="Arial"/>
          <w:sz w:val="24"/>
          <w:szCs w:val="24"/>
          <w:lang w:eastAsia="x-none"/>
        </w:rPr>
        <w:t xml:space="preserve"> and the CPA’s purpose is instructive where it was held</w:t>
      </w:r>
      <w:r w:rsidR="005354CB">
        <w:rPr>
          <w:rStyle w:val="FootnoteReference"/>
          <w:rFonts w:ascii="Arial" w:hAnsi="Arial" w:cs="Arial"/>
          <w:sz w:val="24"/>
          <w:szCs w:val="24"/>
          <w:lang w:eastAsia="x-none"/>
        </w:rPr>
        <w:footnoteReference w:id="7"/>
      </w:r>
      <w:r w:rsidR="005354CB">
        <w:rPr>
          <w:rFonts w:ascii="Arial" w:hAnsi="Arial" w:cs="Arial"/>
          <w:sz w:val="24"/>
          <w:szCs w:val="24"/>
          <w:lang w:eastAsia="x-none"/>
        </w:rPr>
        <w:t>:-</w:t>
      </w:r>
    </w:p>
    <w:p w14:paraId="1C1D3CA5" w14:textId="49AA4F55" w:rsidR="005354CB" w:rsidRDefault="005354CB" w:rsidP="005354CB">
      <w:pPr>
        <w:pStyle w:val="lrpara"/>
        <w:shd w:val="clear" w:color="auto" w:fill="FFFFFF"/>
        <w:spacing w:before="180" w:beforeAutospacing="0" w:after="0" w:afterAutospacing="0" w:line="480" w:lineRule="auto"/>
        <w:ind w:left="360"/>
        <w:jc w:val="both"/>
        <w:rPr>
          <w:rFonts w:ascii="Arial" w:hAnsi="Arial" w:cs="Arial"/>
          <w:i/>
          <w:iCs/>
          <w:color w:val="2C3E50"/>
        </w:rPr>
      </w:pPr>
      <w:r w:rsidRPr="005354CB">
        <w:rPr>
          <w:rFonts w:ascii="Arial" w:hAnsi="Arial" w:cs="Arial"/>
          <w:i/>
          <w:iCs/>
          <w:color w:val="2C3E50"/>
        </w:rPr>
        <w:t>The long title of the Act provides that it is to promote a —</w:t>
      </w:r>
    </w:p>
    <w:p w14:paraId="05A1AF76" w14:textId="77777777" w:rsidR="00E232F8" w:rsidRPr="005354CB" w:rsidRDefault="00E232F8" w:rsidP="005354CB">
      <w:pPr>
        <w:pStyle w:val="lrpara"/>
        <w:shd w:val="clear" w:color="auto" w:fill="FFFFFF"/>
        <w:spacing w:before="180" w:beforeAutospacing="0" w:after="0" w:afterAutospacing="0" w:line="480" w:lineRule="auto"/>
        <w:ind w:left="360"/>
        <w:jc w:val="both"/>
        <w:rPr>
          <w:rFonts w:ascii="Arial" w:hAnsi="Arial" w:cs="Arial"/>
          <w:i/>
          <w:iCs/>
          <w:color w:val="2C3E50"/>
        </w:rPr>
      </w:pPr>
    </w:p>
    <w:p w14:paraId="28AC40FD" w14:textId="65645C53" w:rsidR="005354CB" w:rsidRPr="005354CB" w:rsidRDefault="005354CB" w:rsidP="005354CB">
      <w:pPr>
        <w:pStyle w:val="lrquote"/>
        <w:shd w:val="clear" w:color="auto" w:fill="FFFFFF"/>
        <w:spacing w:before="90" w:beforeAutospacing="0" w:after="0" w:afterAutospacing="0" w:line="480" w:lineRule="auto"/>
        <w:ind w:left="720"/>
        <w:jc w:val="both"/>
        <w:rPr>
          <w:rFonts w:ascii="Arial" w:hAnsi="Arial" w:cs="Arial"/>
          <w:i/>
          <w:iCs/>
          <w:color w:val="2C3E50"/>
        </w:rPr>
      </w:pPr>
      <w:r w:rsidRPr="005354CB">
        <w:rPr>
          <w:rFonts w:ascii="Arial" w:hAnsi="Arial" w:cs="Arial"/>
          <w:i/>
          <w:iCs/>
          <w:color w:val="2C3E50"/>
        </w:rPr>
        <w:t xml:space="preserve">'fair, accessible and sustainable marketplace for consumer products and services and for that purpose to establish national norms and standards relating </w:t>
      </w:r>
      <w:r w:rsidRPr="005354CB">
        <w:rPr>
          <w:rFonts w:ascii="Arial" w:hAnsi="Arial" w:cs="Arial"/>
          <w:i/>
          <w:iCs/>
          <w:color w:val="2C3E50"/>
        </w:rPr>
        <w:lastRenderedPageBreak/>
        <w:t>to consumer protection, to provide for improved standards of</w:t>
      </w:r>
      <w:r>
        <w:rPr>
          <w:rFonts w:ascii="Arial" w:hAnsi="Arial" w:cs="Arial"/>
          <w:i/>
          <w:iCs/>
          <w:color w:val="2C3E50"/>
        </w:rPr>
        <w:t xml:space="preserve"> </w:t>
      </w:r>
      <w:r w:rsidRPr="005354CB">
        <w:rPr>
          <w:rFonts w:ascii="Arial" w:hAnsi="Arial" w:cs="Arial"/>
          <w:i/>
          <w:iCs/>
          <w:color w:val="2C3E50"/>
        </w:rPr>
        <w:t>consumer information, to prohibit certain unfair marketing and business practices, to promote responsible consumer behaviour, to promote a consistent legislative and enforcement framework relating to consumer transactions and agreements . . .'.</w:t>
      </w:r>
    </w:p>
    <w:p w14:paraId="7345E27A" w14:textId="00C74F80" w:rsidR="005354CB" w:rsidRDefault="005354CB" w:rsidP="005354CB">
      <w:pPr>
        <w:pStyle w:val="lrpara"/>
        <w:shd w:val="clear" w:color="auto" w:fill="FFFFFF"/>
        <w:spacing w:before="180" w:beforeAutospacing="0" w:after="0" w:afterAutospacing="0" w:line="480" w:lineRule="auto"/>
        <w:ind w:left="360"/>
        <w:jc w:val="both"/>
        <w:rPr>
          <w:rFonts w:ascii="Arial" w:hAnsi="Arial" w:cs="Arial"/>
          <w:i/>
          <w:iCs/>
          <w:color w:val="2C3E50"/>
        </w:rPr>
      </w:pPr>
      <w:r w:rsidRPr="005354CB">
        <w:rPr>
          <w:rFonts w:ascii="Arial" w:hAnsi="Arial" w:cs="Arial"/>
          <w:i/>
          <w:iCs/>
          <w:color w:val="2C3E50"/>
        </w:rPr>
        <w:t>The Green Paper discussion of the Act makes it clear that a broad  spectrum of consumers needed protection:</w:t>
      </w:r>
    </w:p>
    <w:p w14:paraId="01D467C3" w14:textId="77777777" w:rsidR="00011990" w:rsidRPr="005354CB" w:rsidRDefault="00011990" w:rsidP="005354CB">
      <w:pPr>
        <w:pStyle w:val="lrpara"/>
        <w:shd w:val="clear" w:color="auto" w:fill="FFFFFF"/>
        <w:spacing w:before="180" w:beforeAutospacing="0" w:after="0" w:afterAutospacing="0" w:line="480" w:lineRule="auto"/>
        <w:ind w:left="360"/>
        <w:jc w:val="both"/>
        <w:rPr>
          <w:rFonts w:ascii="Arial" w:hAnsi="Arial" w:cs="Arial"/>
          <w:i/>
          <w:iCs/>
          <w:color w:val="2C3E50"/>
        </w:rPr>
      </w:pPr>
    </w:p>
    <w:p w14:paraId="5B0E67D7" w14:textId="48106CE5" w:rsidR="005354CB" w:rsidRPr="005354CB" w:rsidRDefault="005354CB" w:rsidP="005354CB">
      <w:pPr>
        <w:pStyle w:val="lrquote"/>
        <w:shd w:val="clear" w:color="auto" w:fill="FFFFFF"/>
        <w:spacing w:before="90" w:beforeAutospacing="0" w:after="0" w:afterAutospacing="0" w:line="480" w:lineRule="auto"/>
        <w:ind w:left="720"/>
        <w:jc w:val="both"/>
        <w:rPr>
          <w:rFonts w:ascii="Arial" w:hAnsi="Arial" w:cs="Arial"/>
          <w:i/>
          <w:iCs/>
          <w:color w:val="2C3E50"/>
        </w:rPr>
      </w:pPr>
      <w:r w:rsidRPr="005354CB">
        <w:rPr>
          <w:rFonts w:ascii="Arial" w:hAnsi="Arial" w:cs="Arial"/>
          <w:i/>
          <w:iCs/>
          <w:color w:val="2C3E50"/>
        </w:rPr>
        <w:t>'Perhaps one of the greatest pitfalls in most consumer protection laws in South Africa, is the absence of a uniform definition of a consumer. This has resulted in a difficulty for enforcers to accurately identify individuals that the State seeks to protect. Consumers must be defined broadly as individuals who purchase goods and services, and must  include third parties who act on behalf of the consumer. . . .' </w:t>
      </w:r>
    </w:p>
    <w:p w14:paraId="60A52031" w14:textId="06FBE279" w:rsidR="005354CB" w:rsidRDefault="005354CB" w:rsidP="000471A6">
      <w:pPr>
        <w:pStyle w:val="lrpara"/>
        <w:shd w:val="clear" w:color="auto" w:fill="FFFFFF"/>
        <w:spacing w:before="180" w:beforeAutospacing="0" w:after="0" w:afterAutospacing="0" w:line="480" w:lineRule="auto"/>
        <w:jc w:val="both"/>
        <w:rPr>
          <w:rFonts w:ascii="Arial" w:hAnsi="Arial" w:cs="Arial"/>
          <w:i/>
          <w:iCs/>
          <w:color w:val="2C3E50"/>
        </w:rPr>
      </w:pPr>
      <w:r w:rsidRPr="005354CB">
        <w:rPr>
          <w:rFonts w:ascii="Arial" w:hAnsi="Arial" w:cs="Arial"/>
          <w:i/>
          <w:iCs/>
          <w:color w:val="2C3E50"/>
        </w:rPr>
        <w:t>In terms of the provisions of s 2(1), the Act must be interpreted in a manner that gives effect to the purpose of the Act as set out in s 3. That purpose is to promote and advance the social and economic welfare of consumers, in particular vulnerable consumers, in South Africa.  If there</w:t>
      </w:r>
      <w:r>
        <w:rPr>
          <w:rFonts w:ascii="Arial" w:hAnsi="Arial" w:cs="Arial"/>
          <w:i/>
          <w:iCs/>
          <w:color w:val="2C3E50"/>
        </w:rPr>
        <w:t xml:space="preserve"> </w:t>
      </w:r>
      <w:r w:rsidRPr="005354CB">
        <w:rPr>
          <w:rFonts w:ascii="Arial" w:hAnsi="Arial" w:cs="Arial"/>
          <w:i/>
          <w:iCs/>
          <w:color w:val="2C3E50"/>
        </w:rPr>
        <w:t>is an inconsistency between the Act and any other legislation</w:t>
      </w:r>
      <w:r>
        <w:rPr>
          <w:rFonts w:ascii="Arial" w:hAnsi="Arial" w:cs="Arial"/>
          <w:i/>
          <w:iCs/>
          <w:color w:val="2C3E50"/>
        </w:rPr>
        <w:t>,</w:t>
      </w:r>
      <w:r w:rsidRPr="005354CB">
        <w:rPr>
          <w:rFonts w:ascii="Arial" w:hAnsi="Arial" w:cs="Arial"/>
          <w:i/>
          <w:iCs/>
          <w:color w:val="2C3E50"/>
        </w:rPr>
        <w:t xml:space="preserve"> both Acts, to the extent that it is possible. If it is not possible,  the provisions that extend the greater protection to a consumer prevail over the alternative provisions</w:t>
      </w:r>
      <w:r>
        <w:rPr>
          <w:rFonts w:ascii="Arial" w:hAnsi="Arial" w:cs="Arial"/>
          <w:i/>
          <w:iCs/>
          <w:color w:val="2C3E50"/>
        </w:rPr>
        <w:t>.</w:t>
      </w:r>
    </w:p>
    <w:p w14:paraId="11918659" w14:textId="21103CDE" w:rsidR="005354CB" w:rsidRPr="005354CB" w:rsidRDefault="005354CB" w:rsidP="005354CB">
      <w:pPr>
        <w:pStyle w:val="lrpara"/>
        <w:shd w:val="clear" w:color="auto" w:fill="FFFFFF"/>
        <w:spacing w:before="180" w:beforeAutospacing="0" w:after="0" w:afterAutospacing="0" w:line="480" w:lineRule="auto"/>
        <w:jc w:val="both"/>
        <w:rPr>
          <w:rFonts w:ascii="Arial" w:hAnsi="Arial" w:cs="Arial"/>
          <w:i/>
          <w:iCs/>
          <w:color w:val="2C3E50"/>
        </w:rPr>
      </w:pPr>
      <w:r w:rsidRPr="005354CB">
        <w:rPr>
          <w:rFonts w:ascii="Arial" w:hAnsi="Arial" w:cs="Arial"/>
          <w:i/>
          <w:iCs/>
          <w:color w:val="2C3E50"/>
        </w:rPr>
        <w:t>From the definitions, the preamble and purpose of the Act, it is clear that the whole tenor of the Act is to protect consumers</w:t>
      </w:r>
      <w:r w:rsidR="00637450">
        <w:rPr>
          <w:rFonts w:ascii="Arial" w:hAnsi="Arial" w:cs="Arial"/>
          <w:i/>
          <w:iCs/>
          <w:color w:val="2C3E50"/>
        </w:rPr>
        <w:t>….</w:t>
      </w:r>
      <w:r w:rsidRPr="005354CB">
        <w:rPr>
          <w:rFonts w:ascii="Arial" w:hAnsi="Arial" w:cs="Arial"/>
          <w:i/>
          <w:iCs/>
          <w:color w:val="2C3E50"/>
        </w:rPr>
        <w:t xml:space="preserve"> The Act must therefore be interpreted keeping in mind that its focus is the protection of consumers.</w:t>
      </w:r>
    </w:p>
    <w:p w14:paraId="1CAA705D" w14:textId="77777777" w:rsidR="00B26402" w:rsidRDefault="00B26402" w:rsidP="00786E15">
      <w:pPr>
        <w:pStyle w:val="ListParagraph"/>
        <w:spacing w:line="480" w:lineRule="auto"/>
        <w:ind w:left="360"/>
        <w:jc w:val="both"/>
        <w:rPr>
          <w:rFonts w:ascii="Arial" w:hAnsi="Arial" w:cs="Arial"/>
          <w:lang w:val="en-US"/>
        </w:rPr>
      </w:pPr>
    </w:p>
    <w:p w14:paraId="76B2CAB4" w14:textId="7A088A78" w:rsidR="00E232F8" w:rsidRPr="00A765B0" w:rsidRDefault="00A765B0" w:rsidP="00A765B0">
      <w:pPr>
        <w:spacing w:line="480" w:lineRule="auto"/>
        <w:ind w:left="360" w:hanging="360"/>
        <w:jc w:val="both"/>
        <w:rPr>
          <w:rFonts w:ascii="Arial" w:hAnsi="Arial" w:cs="Arial"/>
          <w:lang w:val="en-US"/>
        </w:rPr>
      </w:pPr>
      <w:r w:rsidRPr="000471A6">
        <w:rPr>
          <w:rFonts w:ascii="Arial" w:hAnsi="Arial" w:cs="Arial"/>
          <w:lang w:val="en-US"/>
        </w:rPr>
        <w:lastRenderedPageBreak/>
        <w:t>29.</w:t>
      </w:r>
      <w:r w:rsidRPr="000471A6">
        <w:rPr>
          <w:rFonts w:ascii="Arial" w:hAnsi="Arial" w:cs="Arial"/>
          <w:lang w:val="en-US"/>
        </w:rPr>
        <w:tab/>
      </w:r>
      <w:r w:rsidR="00E232F8" w:rsidRPr="00A765B0">
        <w:rPr>
          <w:rFonts w:ascii="Arial" w:hAnsi="Arial" w:cs="Arial"/>
          <w:lang w:val="en-US"/>
        </w:rPr>
        <w:t xml:space="preserve">A further decision which is apposite to consider is that of Transcend Residential Property Fund (Pty) Ltd V Mati and others 2018(4) SA 515 (WCC), which dealt with the interpretation of Section 14 2(a)(ii) of the CPA wherein the Holderness AJ found as follows:- </w:t>
      </w:r>
      <w:r w:rsidR="00E232F8" w:rsidRPr="00A765B0">
        <w:rPr>
          <w:rFonts w:ascii="Arial" w:hAnsi="Arial" w:cs="Arial"/>
          <w:i/>
          <w:iCs/>
          <w:lang w:val="en-US"/>
        </w:rPr>
        <w:t>“</w:t>
      </w:r>
      <w:r w:rsidR="00E232F8" w:rsidRPr="00A765B0">
        <w:rPr>
          <w:rFonts w:ascii="Arial" w:hAnsi="Arial" w:cs="Arial"/>
          <w:i/>
          <w:iCs/>
          <w:lang w:val="en-GB"/>
        </w:rPr>
        <w:t>To my mind, this reads too much into what is required in terms of the CPA. There is no requirement, express or implied, that the consumer must be expressly notified of the fact that he has twenty business days to remedy his defect. The fact of the matter is that the letter of cancellation was only delivered after the full 20 business days had elapsed, and he, therefore, had the full statutory prescribed</w:t>
      </w:r>
      <w:r w:rsidR="00B37692" w:rsidRPr="00A765B0">
        <w:rPr>
          <w:rFonts w:ascii="Arial" w:hAnsi="Arial" w:cs="Arial"/>
          <w:i/>
          <w:iCs/>
          <w:lang w:val="en-GB"/>
        </w:rPr>
        <w:t xml:space="preserve"> period</w:t>
      </w:r>
      <w:r w:rsidR="00E232F8" w:rsidRPr="00A765B0">
        <w:rPr>
          <w:rFonts w:ascii="Arial" w:hAnsi="Arial" w:cs="Arial"/>
          <w:i/>
          <w:iCs/>
          <w:lang w:val="en-GB"/>
        </w:rPr>
        <w:t xml:space="preserve"> within to remedy his defect</w:t>
      </w:r>
      <w:r w:rsidR="00BF00FE" w:rsidRPr="00A765B0">
        <w:rPr>
          <w:rFonts w:ascii="Arial" w:hAnsi="Arial" w:cs="Arial"/>
          <w:i/>
          <w:iCs/>
          <w:lang w:val="en-GB"/>
        </w:rPr>
        <w:t xml:space="preserve"> </w:t>
      </w:r>
      <w:r w:rsidR="00E232F8" w:rsidRPr="00A765B0">
        <w:rPr>
          <w:rFonts w:ascii="Arial" w:hAnsi="Arial" w:cs="Arial"/>
          <w:i/>
          <w:iCs/>
          <w:lang w:val="en-GB"/>
        </w:rPr>
        <w:t>.... To my mind, the applicant was therefore entitled, in terms of section 14 of the CPA, to cancel the agreement, and the cancellation was accordingly valid.”</w:t>
      </w:r>
    </w:p>
    <w:p w14:paraId="52FD40D4" w14:textId="77777777" w:rsidR="00E232F8" w:rsidRDefault="00E232F8" w:rsidP="00E232F8">
      <w:pPr>
        <w:pStyle w:val="ListParagraph"/>
        <w:spacing w:line="480" w:lineRule="auto"/>
        <w:ind w:left="360"/>
        <w:jc w:val="both"/>
        <w:rPr>
          <w:rFonts w:ascii="Arial" w:hAnsi="Arial" w:cs="Arial"/>
          <w:lang w:val="en-US"/>
        </w:rPr>
      </w:pPr>
    </w:p>
    <w:p w14:paraId="4F07BC8B" w14:textId="2437EBF0" w:rsidR="00B26402" w:rsidRPr="00A765B0" w:rsidRDefault="00A765B0" w:rsidP="00A765B0">
      <w:pPr>
        <w:spacing w:line="480" w:lineRule="auto"/>
        <w:ind w:left="360" w:hanging="360"/>
        <w:jc w:val="both"/>
        <w:rPr>
          <w:rFonts w:ascii="Arial" w:hAnsi="Arial" w:cs="Arial"/>
          <w:lang w:val="en-US"/>
        </w:rPr>
      </w:pPr>
      <w:r>
        <w:rPr>
          <w:rFonts w:ascii="Arial" w:hAnsi="Arial" w:cs="Arial"/>
          <w:lang w:val="en-US"/>
        </w:rPr>
        <w:t>30.</w:t>
      </w:r>
      <w:r>
        <w:rPr>
          <w:rFonts w:ascii="Arial" w:hAnsi="Arial" w:cs="Arial"/>
          <w:lang w:val="en-US"/>
        </w:rPr>
        <w:tab/>
      </w:r>
      <w:r w:rsidR="00CD11C0" w:rsidRPr="00A765B0">
        <w:rPr>
          <w:rFonts w:ascii="Arial" w:hAnsi="Arial" w:cs="Arial"/>
          <w:lang w:val="en-US"/>
        </w:rPr>
        <w:t>Section 14(2)(b)</w:t>
      </w:r>
      <w:r w:rsidR="00637450" w:rsidRPr="00A765B0">
        <w:rPr>
          <w:rFonts w:ascii="Arial" w:hAnsi="Arial" w:cs="Arial"/>
          <w:lang w:val="en-US"/>
        </w:rPr>
        <w:t>(</w:t>
      </w:r>
      <w:r w:rsidR="00CD11C0" w:rsidRPr="00A765B0">
        <w:rPr>
          <w:rFonts w:ascii="Arial" w:hAnsi="Arial" w:cs="Arial"/>
          <w:lang w:val="en-US"/>
        </w:rPr>
        <w:t>bb)</w:t>
      </w:r>
      <w:r w:rsidR="00637450" w:rsidRPr="00A765B0">
        <w:rPr>
          <w:rFonts w:ascii="Arial" w:hAnsi="Arial" w:cs="Arial"/>
          <w:lang w:val="en-US"/>
        </w:rPr>
        <w:t xml:space="preserve"> of the CPA</w:t>
      </w:r>
      <w:r w:rsidR="00CD11C0" w:rsidRPr="00A765B0">
        <w:rPr>
          <w:rFonts w:ascii="Arial" w:hAnsi="Arial" w:cs="Arial"/>
          <w:lang w:val="en-US"/>
        </w:rPr>
        <w:t xml:space="preserve"> </w:t>
      </w:r>
      <w:r w:rsidR="00637450" w:rsidRPr="00A765B0">
        <w:rPr>
          <w:rFonts w:ascii="Arial" w:hAnsi="Arial" w:cs="Arial"/>
          <w:lang w:val="en-US"/>
        </w:rPr>
        <w:t>requires a consumer to provide written notice of cancellation</w:t>
      </w:r>
      <w:r w:rsidR="003408FB" w:rsidRPr="00A765B0">
        <w:rPr>
          <w:rFonts w:ascii="Arial" w:hAnsi="Arial" w:cs="Arial"/>
          <w:lang w:val="en-US"/>
        </w:rPr>
        <w:t xml:space="preserve"> to the supplier,</w:t>
      </w:r>
      <w:r w:rsidR="00637450" w:rsidRPr="00A765B0">
        <w:rPr>
          <w:rFonts w:ascii="Arial" w:hAnsi="Arial" w:cs="Arial"/>
          <w:lang w:val="en-US"/>
        </w:rPr>
        <w:t xml:space="preserve"> which must afford the supplier 20 business days’ notice; however,</w:t>
      </w:r>
      <w:r w:rsidR="000471A6" w:rsidRPr="00A765B0">
        <w:rPr>
          <w:rFonts w:ascii="Arial" w:hAnsi="Arial" w:cs="Arial"/>
          <w:lang w:val="en-US"/>
        </w:rPr>
        <w:t xml:space="preserve"> I do not find that it</w:t>
      </w:r>
      <w:r w:rsidR="000471A6" w:rsidRPr="00A765B0">
        <w:rPr>
          <w:rFonts w:ascii="Arial" w:hAnsi="Arial" w:cs="Arial"/>
          <w:lang w:val="en-GB"/>
        </w:rPr>
        <w:t xml:space="preserve"> is a </w:t>
      </w:r>
      <w:r w:rsidR="00637450" w:rsidRPr="00A765B0">
        <w:rPr>
          <w:rFonts w:ascii="Arial" w:hAnsi="Arial" w:cs="Arial"/>
          <w:lang w:val="en-US"/>
        </w:rPr>
        <w:t xml:space="preserve">requirement that the </w:t>
      </w:r>
      <w:r w:rsidR="00EF6CB9" w:rsidRPr="00A765B0">
        <w:rPr>
          <w:rFonts w:ascii="Arial" w:hAnsi="Arial" w:cs="Arial"/>
          <w:lang w:val="en-US"/>
        </w:rPr>
        <w:t>notification</w:t>
      </w:r>
      <w:r w:rsidR="00637450" w:rsidRPr="00A765B0">
        <w:rPr>
          <w:rFonts w:ascii="Arial" w:hAnsi="Arial" w:cs="Arial"/>
          <w:lang w:val="en-US"/>
        </w:rPr>
        <w:t xml:space="preserve"> of cancellation must expressly set this out or must expressly set out that the consumer is invoking Section 14(2)(b)(bb) of the CPA. In other words, should the consumer provide written notice of the cancellation and </w:t>
      </w:r>
      <w:r w:rsidR="00E232F8" w:rsidRPr="00A765B0">
        <w:rPr>
          <w:rFonts w:ascii="Arial" w:hAnsi="Arial" w:cs="Arial"/>
          <w:lang w:val="en-US"/>
        </w:rPr>
        <w:t xml:space="preserve">afford the supplier </w:t>
      </w:r>
      <w:r w:rsidR="00637450" w:rsidRPr="00A765B0">
        <w:rPr>
          <w:rFonts w:ascii="Arial" w:hAnsi="Arial" w:cs="Arial"/>
          <w:lang w:val="en-US"/>
        </w:rPr>
        <w:t xml:space="preserve">20 </w:t>
      </w:r>
      <w:r w:rsidR="00E232F8" w:rsidRPr="00A765B0">
        <w:rPr>
          <w:rFonts w:ascii="Arial" w:hAnsi="Arial" w:cs="Arial"/>
          <w:lang w:val="en-US"/>
        </w:rPr>
        <w:t>days’</w:t>
      </w:r>
      <w:r w:rsidR="00637450" w:rsidRPr="00A765B0">
        <w:rPr>
          <w:rFonts w:ascii="Arial" w:hAnsi="Arial" w:cs="Arial"/>
          <w:lang w:val="en-US"/>
        </w:rPr>
        <w:t xml:space="preserve"> </w:t>
      </w:r>
      <w:r w:rsidR="00E232F8" w:rsidRPr="00A765B0">
        <w:rPr>
          <w:rFonts w:ascii="Arial" w:hAnsi="Arial" w:cs="Arial"/>
          <w:lang w:val="en-US"/>
        </w:rPr>
        <w:t>notice</w:t>
      </w:r>
      <w:r w:rsidR="00637450" w:rsidRPr="00A765B0">
        <w:rPr>
          <w:rFonts w:ascii="Arial" w:hAnsi="Arial" w:cs="Arial"/>
          <w:lang w:val="en-US"/>
        </w:rPr>
        <w:t xml:space="preserve"> before the consumer acts on the cancellation, the cancellation would be effective under Section 14(2)(b)(bb)</w:t>
      </w:r>
      <w:r w:rsidR="00E232F8" w:rsidRPr="00A765B0">
        <w:rPr>
          <w:rFonts w:ascii="Arial" w:hAnsi="Arial" w:cs="Arial"/>
          <w:lang w:val="en-US"/>
        </w:rPr>
        <w:t xml:space="preserve"> of the CPA</w:t>
      </w:r>
      <w:r w:rsidR="00637450" w:rsidRPr="00A765B0">
        <w:rPr>
          <w:rFonts w:ascii="Arial" w:hAnsi="Arial" w:cs="Arial"/>
          <w:lang w:val="en-US"/>
        </w:rPr>
        <w:t xml:space="preserve">. </w:t>
      </w:r>
      <w:r w:rsidR="000471A6" w:rsidRPr="00A765B0">
        <w:rPr>
          <w:rFonts w:ascii="Arial" w:hAnsi="Arial" w:cs="Arial"/>
          <w:lang w:val="en-US"/>
        </w:rPr>
        <w:t>This is more so,</w:t>
      </w:r>
      <w:r w:rsidR="00E232F8" w:rsidRPr="00A765B0">
        <w:rPr>
          <w:rFonts w:ascii="Arial" w:hAnsi="Arial" w:cs="Arial"/>
          <w:lang w:val="en-US"/>
        </w:rPr>
        <w:t xml:space="preserve"> having regard to the Transcend Residential Property </w:t>
      </w:r>
      <w:r w:rsidR="00DD3979" w:rsidRPr="00A765B0">
        <w:rPr>
          <w:rFonts w:ascii="Arial" w:hAnsi="Arial" w:cs="Arial"/>
          <w:lang w:val="en-US"/>
        </w:rPr>
        <w:t>decision</w:t>
      </w:r>
      <w:r w:rsidR="00410FB9" w:rsidRPr="00A765B0">
        <w:rPr>
          <w:rFonts w:ascii="Arial" w:hAnsi="Arial" w:cs="Arial"/>
          <w:lang w:val="en-US"/>
        </w:rPr>
        <w:t xml:space="preserve"> referred to above,</w:t>
      </w:r>
      <w:r w:rsidR="000471A6" w:rsidRPr="00A765B0">
        <w:rPr>
          <w:rFonts w:ascii="Arial" w:hAnsi="Arial" w:cs="Arial"/>
          <w:lang w:val="en-US"/>
        </w:rPr>
        <w:t xml:space="preserve"> as Section 14(2)(b)(bb)</w:t>
      </w:r>
      <w:r w:rsidR="00E232F8" w:rsidRPr="00A765B0">
        <w:rPr>
          <w:rFonts w:ascii="Arial" w:hAnsi="Arial" w:cs="Arial"/>
          <w:lang w:val="en-US"/>
        </w:rPr>
        <w:t xml:space="preserve"> </w:t>
      </w:r>
      <w:r w:rsidR="00410FB9" w:rsidRPr="00A765B0">
        <w:rPr>
          <w:rFonts w:ascii="Arial" w:hAnsi="Arial" w:cs="Arial"/>
          <w:lang w:val="en-US"/>
        </w:rPr>
        <w:t xml:space="preserve">of the </w:t>
      </w:r>
      <w:r w:rsidR="00E232F8" w:rsidRPr="00A765B0">
        <w:rPr>
          <w:rFonts w:ascii="Arial" w:hAnsi="Arial" w:cs="Arial"/>
          <w:lang w:val="en-US"/>
        </w:rPr>
        <w:t>CPA</w:t>
      </w:r>
      <w:r w:rsidR="000471A6" w:rsidRPr="00A765B0">
        <w:rPr>
          <w:rFonts w:ascii="Arial" w:hAnsi="Arial" w:cs="Arial"/>
          <w:lang w:val="en-US"/>
        </w:rPr>
        <w:t xml:space="preserve"> makes it plain that the election to invoke the cancellation is that of the consumer</w:t>
      </w:r>
      <w:r w:rsidR="0089600C" w:rsidRPr="00A765B0">
        <w:rPr>
          <w:rFonts w:ascii="Arial" w:hAnsi="Arial" w:cs="Arial"/>
          <w:lang w:val="en-US"/>
        </w:rPr>
        <w:t>. The cancellation binds the supplier</w:t>
      </w:r>
      <w:r w:rsidR="00410FB9" w:rsidRPr="00A765B0">
        <w:rPr>
          <w:rFonts w:ascii="Arial" w:hAnsi="Arial" w:cs="Arial"/>
          <w:lang w:val="en-US"/>
        </w:rPr>
        <w:t xml:space="preserve"> after the </w:t>
      </w:r>
      <w:r w:rsidR="0089600C" w:rsidRPr="00A765B0">
        <w:rPr>
          <w:rFonts w:ascii="Arial" w:hAnsi="Arial" w:cs="Arial"/>
          <w:lang w:val="en-US"/>
        </w:rPr>
        <w:t>20-day</w:t>
      </w:r>
      <w:r w:rsidR="00410FB9" w:rsidRPr="00A765B0">
        <w:rPr>
          <w:rFonts w:ascii="Arial" w:hAnsi="Arial" w:cs="Arial"/>
          <w:lang w:val="en-US"/>
        </w:rPr>
        <w:t xml:space="preserve"> notice period</w:t>
      </w:r>
      <w:r w:rsidR="000471A6" w:rsidRPr="00A765B0">
        <w:rPr>
          <w:rFonts w:ascii="Arial" w:hAnsi="Arial" w:cs="Arial"/>
          <w:lang w:val="en-US"/>
        </w:rPr>
        <w:t>.  Accordingly, this interpretation cannot prejudice the supplier in contrast to the requirement in Section 14(2)(b)(ii)</w:t>
      </w:r>
      <w:r w:rsidR="00410FB9" w:rsidRPr="00A765B0">
        <w:rPr>
          <w:rFonts w:ascii="Arial" w:hAnsi="Arial" w:cs="Arial"/>
          <w:lang w:val="en-US"/>
        </w:rPr>
        <w:t xml:space="preserve"> of the CPA</w:t>
      </w:r>
      <w:r w:rsidR="00044A1F" w:rsidRPr="00A765B0">
        <w:rPr>
          <w:rFonts w:ascii="Arial" w:hAnsi="Arial" w:cs="Arial"/>
          <w:lang w:val="en-US"/>
        </w:rPr>
        <w:t>,</w:t>
      </w:r>
      <w:r w:rsidR="000471A6" w:rsidRPr="00A765B0">
        <w:rPr>
          <w:rFonts w:ascii="Arial" w:hAnsi="Arial" w:cs="Arial"/>
          <w:lang w:val="en-US"/>
        </w:rPr>
        <w:t xml:space="preserve"> which requires the supplier to </w:t>
      </w:r>
      <w:r w:rsidR="000471A6" w:rsidRPr="00A765B0">
        <w:rPr>
          <w:rFonts w:ascii="Arial" w:hAnsi="Arial" w:cs="Arial"/>
          <w:lang w:val="en-US"/>
        </w:rPr>
        <w:lastRenderedPageBreak/>
        <w:t xml:space="preserve">afford the consumer 20 business days to remedy its default before the cancellation can be effective. </w:t>
      </w:r>
      <w:r w:rsidR="00637450" w:rsidRPr="00A765B0">
        <w:rPr>
          <w:rFonts w:ascii="Arial" w:hAnsi="Arial" w:cs="Arial"/>
          <w:lang w:val="en-US"/>
        </w:rPr>
        <w:t xml:space="preserve">This interpretation provides the consumer with greater protection as the CPA requires </w:t>
      </w:r>
      <w:r w:rsidR="00DD3979" w:rsidRPr="00A765B0">
        <w:rPr>
          <w:rFonts w:ascii="Arial" w:hAnsi="Arial" w:cs="Arial"/>
          <w:lang w:val="en-US"/>
        </w:rPr>
        <w:t>C</w:t>
      </w:r>
      <w:r w:rsidR="00637450" w:rsidRPr="00A765B0">
        <w:rPr>
          <w:rFonts w:ascii="Arial" w:hAnsi="Arial" w:cs="Arial"/>
          <w:lang w:val="en-US"/>
        </w:rPr>
        <w:t xml:space="preserve">ourts to do. </w:t>
      </w:r>
      <w:r w:rsidR="000471A6" w:rsidRPr="00A765B0">
        <w:rPr>
          <w:rFonts w:ascii="Arial" w:hAnsi="Arial" w:cs="Arial"/>
          <w:lang w:val="en-US"/>
        </w:rPr>
        <w:t xml:space="preserve"> </w:t>
      </w:r>
    </w:p>
    <w:p w14:paraId="6FA0456C" w14:textId="77777777" w:rsidR="00BF1BA9" w:rsidRPr="00BF1BA9" w:rsidRDefault="00BF1BA9" w:rsidP="00BF1BA9">
      <w:pPr>
        <w:spacing w:line="480" w:lineRule="auto"/>
        <w:jc w:val="both"/>
        <w:rPr>
          <w:rFonts w:ascii="Arial" w:hAnsi="Arial" w:cs="Arial"/>
          <w:lang w:val="en-US"/>
        </w:rPr>
      </w:pPr>
    </w:p>
    <w:p w14:paraId="11FB21A2" w14:textId="03C36C2F" w:rsidR="000471A6" w:rsidRPr="00A765B0" w:rsidRDefault="00A765B0" w:rsidP="00A765B0">
      <w:pPr>
        <w:spacing w:line="480" w:lineRule="auto"/>
        <w:ind w:left="360" w:hanging="360"/>
        <w:jc w:val="both"/>
        <w:rPr>
          <w:rFonts w:ascii="Arial" w:hAnsi="Arial" w:cs="Arial"/>
          <w:lang w:val="en-US"/>
        </w:rPr>
      </w:pPr>
      <w:r>
        <w:rPr>
          <w:rFonts w:ascii="Arial" w:hAnsi="Arial" w:cs="Arial"/>
          <w:lang w:val="en-US"/>
        </w:rPr>
        <w:t>31.</w:t>
      </w:r>
      <w:r>
        <w:rPr>
          <w:rFonts w:ascii="Arial" w:hAnsi="Arial" w:cs="Arial"/>
          <w:lang w:val="en-US"/>
        </w:rPr>
        <w:tab/>
      </w:r>
      <w:r w:rsidR="000471A6" w:rsidRPr="00A765B0">
        <w:rPr>
          <w:rFonts w:ascii="Arial" w:hAnsi="Arial" w:cs="Arial"/>
          <w:lang w:val="en-US"/>
        </w:rPr>
        <w:t xml:space="preserve"> Accordingly, I find that </w:t>
      </w:r>
      <w:r w:rsidR="00410FB9" w:rsidRPr="00A765B0">
        <w:rPr>
          <w:rFonts w:ascii="Arial" w:hAnsi="Arial" w:cs="Arial"/>
          <w:lang w:val="en-US"/>
        </w:rPr>
        <w:t>the</w:t>
      </w:r>
      <w:r w:rsidR="000471A6" w:rsidRPr="00A765B0">
        <w:rPr>
          <w:rFonts w:ascii="Arial" w:hAnsi="Arial" w:cs="Arial"/>
          <w:lang w:val="en-US"/>
        </w:rPr>
        <w:t xml:space="preserve"> 30 November 2020</w:t>
      </w:r>
      <w:r w:rsidR="00410FB9" w:rsidRPr="00A765B0">
        <w:rPr>
          <w:rFonts w:ascii="Arial" w:hAnsi="Arial" w:cs="Arial"/>
          <w:lang w:val="en-US"/>
        </w:rPr>
        <w:t xml:space="preserve"> cancellation notice</w:t>
      </w:r>
      <w:r w:rsidR="00044A1F" w:rsidRPr="00A765B0">
        <w:rPr>
          <w:rFonts w:ascii="Arial" w:hAnsi="Arial" w:cs="Arial"/>
          <w:lang w:val="en-US"/>
        </w:rPr>
        <w:t>,</w:t>
      </w:r>
      <w:r w:rsidR="000471A6" w:rsidRPr="00A765B0">
        <w:rPr>
          <w:rFonts w:ascii="Arial" w:hAnsi="Arial" w:cs="Arial"/>
          <w:lang w:val="en-US"/>
        </w:rPr>
        <w:t xml:space="preserve"> which was addressed to SASFIN</w:t>
      </w:r>
      <w:r w:rsidR="00044A1F" w:rsidRPr="00A765B0">
        <w:rPr>
          <w:rFonts w:ascii="Arial" w:hAnsi="Arial" w:cs="Arial"/>
          <w:lang w:val="en-US"/>
        </w:rPr>
        <w:t>,</w:t>
      </w:r>
      <w:r w:rsidR="000471A6" w:rsidRPr="00A765B0">
        <w:rPr>
          <w:rFonts w:ascii="Arial" w:hAnsi="Arial" w:cs="Arial"/>
          <w:lang w:val="en-US"/>
        </w:rPr>
        <w:t xml:space="preserve"> was a valid cancellation under the CPA on the basis that </w:t>
      </w:r>
      <w:r w:rsidR="00410FB9" w:rsidRPr="00A765B0">
        <w:rPr>
          <w:rFonts w:ascii="Arial" w:hAnsi="Arial" w:cs="Arial"/>
          <w:lang w:val="en-US"/>
        </w:rPr>
        <w:t>she clearly and unequivocally notified Sasfin of her intention to cancel the agreement. W</w:t>
      </w:r>
      <w:r w:rsidR="000471A6" w:rsidRPr="00A765B0">
        <w:rPr>
          <w:rFonts w:ascii="Arial" w:hAnsi="Arial" w:cs="Arial"/>
          <w:lang w:val="en-US"/>
        </w:rPr>
        <w:t xml:space="preserve">hilst it expressly set out that the cancellation </w:t>
      </w:r>
      <w:r w:rsidR="00410FB9" w:rsidRPr="00A765B0">
        <w:rPr>
          <w:rFonts w:ascii="Arial" w:hAnsi="Arial" w:cs="Arial"/>
          <w:lang w:val="en-US"/>
        </w:rPr>
        <w:t>would be</w:t>
      </w:r>
      <w:r w:rsidR="000471A6" w:rsidRPr="00A765B0">
        <w:rPr>
          <w:rFonts w:ascii="Arial" w:hAnsi="Arial" w:cs="Arial"/>
          <w:lang w:val="en-US"/>
        </w:rPr>
        <w:t xml:space="preserve"> of immediate effect, the defendant did not act on the cancellation immediately and only ceased making payments to the plaintiff on 25 </w:t>
      </w:r>
      <w:r w:rsidR="00410FB9" w:rsidRPr="00A765B0">
        <w:rPr>
          <w:rFonts w:ascii="Arial" w:hAnsi="Arial" w:cs="Arial"/>
          <w:lang w:val="en-US"/>
        </w:rPr>
        <w:t>March</w:t>
      </w:r>
      <w:r w:rsidR="000471A6" w:rsidRPr="00A765B0">
        <w:rPr>
          <w:rFonts w:ascii="Arial" w:hAnsi="Arial" w:cs="Arial"/>
          <w:lang w:val="en-US"/>
        </w:rPr>
        <w:t xml:space="preserve"> 2021</w:t>
      </w:r>
      <w:r w:rsidR="00410FB9" w:rsidRPr="00A765B0">
        <w:rPr>
          <w:rFonts w:ascii="Arial" w:hAnsi="Arial" w:cs="Arial"/>
          <w:lang w:val="en-US"/>
        </w:rPr>
        <w:t xml:space="preserve"> (her last payment being on 25 February 2021),</w:t>
      </w:r>
      <w:r w:rsidR="000471A6" w:rsidRPr="00A765B0">
        <w:rPr>
          <w:rFonts w:ascii="Arial" w:hAnsi="Arial" w:cs="Arial"/>
          <w:lang w:val="en-US"/>
        </w:rPr>
        <w:t xml:space="preserve"> more than 20 business days from date of notification. </w:t>
      </w:r>
      <w:r w:rsidR="00410FB9" w:rsidRPr="00A765B0">
        <w:rPr>
          <w:rFonts w:ascii="Arial" w:hAnsi="Arial" w:cs="Arial"/>
          <w:lang w:val="en-US"/>
        </w:rPr>
        <w:t xml:space="preserve">Whilst the defendant did not tender the return of the </w:t>
      </w:r>
      <w:r w:rsidR="00DD3979" w:rsidRPr="00A765B0">
        <w:rPr>
          <w:rFonts w:ascii="Arial" w:hAnsi="Arial" w:cs="Arial"/>
          <w:lang w:val="en-US"/>
        </w:rPr>
        <w:t>telephonic</w:t>
      </w:r>
      <w:r w:rsidR="00410FB9" w:rsidRPr="00A765B0">
        <w:rPr>
          <w:rFonts w:ascii="Arial" w:hAnsi="Arial" w:cs="Arial"/>
          <w:lang w:val="en-US"/>
        </w:rPr>
        <w:t xml:space="preserve"> office equipment in the 30 November 2020 cancellation notice, </w:t>
      </w:r>
      <w:r w:rsidR="0089600C" w:rsidRPr="00A765B0">
        <w:rPr>
          <w:rFonts w:ascii="Arial" w:hAnsi="Arial" w:cs="Arial"/>
          <w:lang w:val="en-US"/>
        </w:rPr>
        <w:t>the defendant is not required</w:t>
      </w:r>
      <w:r w:rsidR="00410FB9" w:rsidRPr="00A765B0">
        <w:rPr>
          <w:rFonts w:ascii="Arial" w:hAnsi="Arial" w:cs="Arial"/>
          <w:lang w:val="en-US"/>
        </w:rPr>
        <w:t xml:space="preserve"> to have done so</w:t>
      </w:r>
      <w:r w:rsidR="00410FB9">
        <w:rPr>
          <w:rStyle w:val="FootnoteReference"/>
          <w:rFonts w:ascii="Arial" w:hAnsi="Arial" w:cs="Arial"/>
          <w:lang w:val="en-US"/>
        </w:rPr>
        <w:footnoteReference w:id="8"/>
      </w:r>
      <w:r w:rsidR="00410FB9" w:rsidRPr="00A765B0">
        <w:rPr>
          <w:rFonts w:ascii="Arial" w:hAnsi="Arial" w:cs="Arial"/>
          <w:lang w:val="en-US"/>
        </w:rPr>
        <w:t xml:space="preserve">. </w:t>
      </w:r>
      <w:r w:rsidR="000471A6" w:rsidRPr="00A765B0">
        <w:rPr>
          <w:rFonts w:ascii="Arial" w:hAnsi="Arial" w:cs="Arial"/>
          <w:lang w:val="en-US"/>
        </w:rPr>
        <w:t xml:space="preserve">I am mindful that the defendant did not deal with this cancellation in her affidavit resisting summary judgment and that such allegations only appear in the plea. However, I cannot close my eyes to the </w:t>
      </w:r>
      <w:r w:rsidR="00410FB9" w:rsidRPr="00A765B0">
        <w:rPr>
          <w:rFonts w:ascii="Arial" w:hAnsi="Arial" w:cs="Arial"/>
          <w:lang w:val="en-US"/>
        </w:rPr>
        <w:t>30 November 2020 cancellation notice</w:t>
      </w:r>
      <w:r w:rsidR="004F10FD" w:rsidRPr="00A765B0">
        <w:rPr>
          <w:rFonts w:ascii="Arial" w:hAnsi="Arial" w:cs="Arial"/>
          <w:lang w:val="en-US"/>
        </w:rPr>
        <w:t xml:space="preserve"> annexed to the defendant’s plea</w:t>
      </w:r>
      <w:r w:rsidR="00BF1BA9" w:rsidRPr="00A765B0">
        <w:rPr>
          <w:rFonts w:ascii="Arial" w:hAnsi="Arial" w:cs="Arial"/>
          <w:lang w:val="en-US"/>
        </w:rPr>
        <w:t>,</w:t>
      </w:r>
      <w:r w:rsidR="004F10FD" w:rsidRPr="00A765B0">
        <w:rPr>
          <w:rFonts w:ascii="Arial" w:hAnsi="Arial" w:cs="Arial"/>
          <w:lang w:val="en-US"/>
        </w:rPr>
        <w:t xml:space="preserve"> especially in the context of a summary judgment application.</w:t>
      </w:r>
    </w:p>
    <w:p w14:paraId="7D15C551" w14:textId="77777777" w:rsidR="00BF1BA9" w:rsidRPr="00BF1BA9" w:rsidRDefault="00BF1BA9" w:rsidP="00BF1BA9">
      <w:pPr>
        <w:pStyle w:val="ListParagraph"/>
        <w:rPr>
          <w:rFonts w:ascii="Arial" w:hAnsi="Arial" w:cs="Arial"/>
          <w:lang w:val="en-US"/>
        </w:rPr>
      </w:pPr>
    </w:p>
    <w:p w14:paraId="380FD0A2" w14:textId="2233E431" w:rsidR="00BF1BA9" w:rsidRPr="00A765B0" w:rsidRDefault="00A765B0" w:rsidP="00A765B0">
      <w:pPr>
        <w:spacing w:line="480" w:lineRule="auto"/>
        <w:ind w:left="360" w:hanging="360"/>
        <w:jc w:val="both"/>
        <w:rPr>
          <w:rFonts w:ascii="Arial" w:hAnsi="Arial" w:cs="Arial"/>
          <w:lang w:val="en-US"/>
        </w:rPr>
      </w:pPr>
      <w:r w:rsidRPr="00410FB9">
        <w:rPr>
          <w:rFonts w:ascii="Arial" w:hAnsi="Arial" w:cs="Arial"/>
          <w:lang w:val="en-US"/>
        </w:rPr>
        <w:t>32.</w:t>
      </w:r>
      <w:r w:rsidRPr="00410FB9">
        <w:rPr>
          <w:rFonts w:ascii="Arial" w:hAnsi="Arial" w:cs="Arial"/>
          <w:lang w:val="en-US"/>
        </w:rPr>
        <w:tab/>
      </w:r>
      <w:r w:rsidR="00BF1BA9" w:rsidRPr="00A765B0">
        <w:rPr>
          <w:rFonts w:ascii="Arial" w:hAnsi="Arial" w:cs="Arial"/>
          <w:lang w:val="en-US"/>
        </w:rPr>
        <w:t xml:space="preserve">I agree with the plaintiff’s counsel that </w:t>
      </w:r>
      <w:r w:rsidR="00044A1F" w:rsidRPr="00A765B0">
        <w:rPr>
          <w:rFonts w:ascii="Arial" w:hAnsi="Arial" w:cs="Arial"/>
          <w:lang w:val="en-US"/>
        </w:rPr>
        <w:t xml:space="preserve">a cancellation must be </w:t>
      </w:r>
      <w:r w:rsidR="0073414E" w:rsidRPr="00A765B0">
        <w:rPr>
          <w:rFonts w:ascii="Arial" w:hAnsi="Arial" w:cs="Arial"/>
          <w:lang w:val="en-US"/>
        </w:rPr>
        <w:t>communicated</w:t>
      </w:r>
      <w:r w:rsidR="00044A1F" w:rsidRPr="00A765B0">
        <w:rPr>
          <w:rFonts w:ascii="Arial" w:hAnsi="Arial" w:cs="Arial"/>
          <w:lang w:val="en-US"/>
        </w:rPr>
        <w:t xml:space="preserve"> to the supplier to be effective</w:t>
      </w:r>
      <w:r w:rsidR="00BF1BA9" w:rsidRPr="00A765B0">
        <w:rPr>
          <w:rFonts w:ascii="Arial" w:hAnsi="Arial" w:cs="Arial"/>
          <w:lang w:val="en-US"/>
        </w:rPr>
        <w:t>. This is also patent from the provisions of Section 14(2)(b)(bb) of the CPA. The defendant could not provide</w:t>
      </w:r>
      <w:r w:rsidR="00410FB9" w:rsidRPr="00A765B0">
        <w:rPr>
          <w:rFonts w:ascii="Arial" w:hAnsi="Arial" w:cs="Arial"/>
          <w:lang w:val="en-US"/>
        </w:rPr>
        <w:t>, w</w:t>
      </w:r>
      <w:r w:rsidR="00BF1BA9" w:rsidRPr="00A765B0">
        <w:rPr>
          <w:rFonts w:ascii="Arial" w:hAnsi="Arial" w:cs="Arial"/>
          <w:lang w:val="en-US"/>
        </w:rPr>
        <w:t>ith sufficient clarity</w:t>
      </w:r>
      <w:r w:rsidR="00410FB9" w:rsidRPr="00A765B0">
        <w:rPr>
          <w:rFonts w:ascii="Arial" w:hAnsi="Arial" w:cs="Arial"/>
          <w:lang w:val="en-US"/>
        </w:rPr>
        <w:t>,</w:t>
      </w:r>
      <w:r w:rsidR="00BF1BA9" w:rsidRPr="00A765B0">
        <w:rPr>
          <w:rFonts w:ascii="Arial" w:hAnsi="Arial" w:cs="Arial"/>
          <w:lang w:val="en-US"/>
        </w:rPr>
        <w:t xml:space="preserve"> what th</w:t>
      </w:r>
      <w:r w:rsidR="00410FB9" w:rsidRPr="00A765B0">
        <w:rPr>
          <w:rFonts w:ascii="Arial" w:hAnsi="Arial" w:cs="Arial"/>
          <w:lang w:val="en-US"/>
        </w:rPr>
        <w:t>e</w:t>
      </w:r>
      <w:r w:rsidR="00BF1BA9" w:rsidRPr="00A765B0">
        <w:rPr>
          <w:rFonts w:ascii="Arial" w:hAnsi="Arial" w:cs="Arial"/>
          <w:lang w:val="en-US"/>
        </w:rPr>
        <w:t xml:space="preserve"> third parties</w:t>
      </w:r>
      <w:r w:rsidR="00011990" w:rsidRPr="00A765B0">
        <w:rPr>
          <w:rFonts w:ascii="Arial" w:hAnsi="Arial" w:cs="Arial"/>
          <w:lang w:val="en-US"/>
        </w:rPr>
        <w:t>’</w:t>
      </w:r>
      <w:r w:rsidR="00BF1BA9" w:rsidRPr="00A765B0">
        <w:rPr>
          <w:rFonts w:ascii="Arial" w:hAnsi="Arial" w:cs="Arial"/>
          <w:lang w:val="en-US"/>
        </w:rPr>
        <w:t xml:space="preserve"> role</w:t>
      </w:r>
      <w:r w:rsidR="00410FB9" w:rsidRPr="00A765B0">
        <w:rPr>
          <w:rFonts w:ascii="Arial" w:hAnsi="Arial" w:cs="Arial"/>
          <w:lang w:val="en-US"/>
        </w:rPr>
        <w:t>s</w:t>
      </w:r>
      <w:r w:rsidR="00BF1BA9" w:rsidRPr="00A765B0">
        <w:rPr>
          <w:rFonts w:ascii="Arial" w:hAnsi="Arial" w:cs="Arial"/>
          <w:lang w:val="en-US"/>
        </w:rPr>
        <w:t xml:space="preserve"> </w:t>
      </w:r>
      <w:r w:rsidR="00410FB9" w:rsidRPr="00A765B0">
        <w:rPr>
          <w:rFonts w:ascii="Arial" w:hAnsi="Arial" w:cs="Arial"/>
          <w:lang w:val="en-US"/>
        </w:rPr>
        <w:t>are</w:t>
      </w:r>
      <w:r w:rsidR="00BF1BA9" w:rsidRPr="00A765B0">
        <w:rPr>
          <w:rFonts w:ascii="Arial" w:hAnsi="Arial" w:cs="Arial"/>
          <w:lang w:val="en-US"/>
        </w:rPr>
        <w:t xml:space="preserve"> in the </w:t>
      </w:r>
      <w:r w:rsidR="005621ED" w:rsidRPr="00A765B0">
        <w:rPr>
          <w:rFonts w:ascii="Arial" w:hAnsi="Arial" w:cs="Arial"/>
          <w:lang w:val="en-US"/>
        </w:rPr>
        <w:t xml:space="preserve">transaction and whether or not they are agents of </w:t>
      </w:r>
      <w:r w:rsidR="00410FB9" w:rsidRPr="00A765B0">
        <w:rPr>
          <w:rFonts w:ascii="Arial" w:hAnsi="Arial" w:cs="Arial"/>
          <w:lang w:val="en-US"/>
        </w:rPr>
        <w:t>Sasfin</w:t>
      </w:r>
      <w:r w:rsidR="005621ED" w:rsidRPr="00A765B0">
        <w:rPr>
          <w:rFonts w:ascii="Arial" w:hAnsi="Arial" w:cs="Arial"/>
          <w:lang w:val="en-US"/>
        </w:rPr>
        <w:t xml:space="preserve"> or the plaintiff</w:t>
      </w:r>
      <w:r w:rsidR="00011990" w:rsidRPr="00A765B0">
        <w:rPr>
          <w:rFonts w:ascii="Arial" w:hAnsi="Arial" w:cs="Arial"/>
          <w:lang w:val="en-US"/>
        </w:rPr>
        <w:t>;</w:t>
      </w:r>
      <w:r w:rsidR="005621ED" w:rsidRPr="00A765B0">
        <w:rPr>
          <w:rFonts w:ascii="Arial" w:hAnsi="Arial" w:cs="Arial"/>
          <w:lang w:val="en-US"/>
        </w:rPr>
        <w:t xml:space="preserve"> however, this information would be peculiarly in the </w:t>
      </w:r>
      <w:r w:rsidR="005621ED" w:rsidRPr="00A765B0">
        <w:rPr>
          <w:rFonts w:ascii="Arial" w:hAnsi="Arial" w:cs="Arial"/>
          <w:lang w:val="en-US"/>
        </w:rPr>
        <w:lastRenderedPageBreak/>
        <w:t>knowledge of the plaintiff</w:t>
      </w:r>
      <w:r w:rsidR="00011990" w:rsidRPr="00A765B0">
        <w:rPr>
          <w:rFonts w:ascii="Arial" w:hAnsi="Arial" w:cs="Arial"/>
          <w:lang w:val="en-US"/>
        </w:rPr>
        <w:t>,</w:t>
      </w:r>
      <w:r w:rsidR="005621ED" w:rsidRPr="00A765B0">
        <w:rPr>
          <w:rFonts w:ascii="Arial" w:hAnsi="Arial" w:cs="Arial"/>
          <w:lang w:val="en-US"/>
        </w:rPr>
        <w:t xml:space="preserve"> and the defendant cannot be </w:t>
      </w:r>
      <w:r w:rsidR="00044A1F" w:rsidRPr="00A765B0">
        <w:rPr>
          <w:rFonts w:ascii="Arial" w:hAnsi="Arial" w:cs="Arial"/>
          <w:lang w:val="en-US"/>
        </w:rPr>
        <w:t>criticised</w:t>
      </w:r>
      <w:r w:rsidR="005621ED" w:rsidRPr="00A765B0">
        <w:rPr>
          <w:rFonts w:ascii="Arial" w:hAnsi="Arial" w:cs="Arial"/>
          <w:lang w:val="en-US"/>
        </w:rPr>
        <w:t xml:space="preserve"> for failing to deal with this in greater particularity. </w:t>
      </w:r>
      <w:r w:rsidR="00BF1BA9" w:rsidRPr="00A765B0">
        <w:rPr>
          <w:rFonts w:ascii="Arial" w:hAnsi="Arial" w:cs="Arial"/>
          <w:lang w:val="en-US"/>
        </w:rPr>
        <w:t>Telelink’s involvement in providing a settlement quote</w:t>
      </w:r>
      <w:r w:rsidR="00410FB9" w:rsidRPr="00A765B0">
        <w:rPr>
          <w:rFonts w:ascii="Arial" w:hAnsi="Arial" w:cs="Arial"/>
          <w:lang w:val="en-US"/>
        </w:rPr>
        <w:t xml:space="preserve"> to the defendant</w:t>
      </w:r>
      <w:r w:rsidR="00BF1BA9" w:rsidRPr="00A765B0">
        <w:rPr>
          <w:rFonts w:ascii="Arial" w:hAnsi="Arial" w:cs="Arial"/>
          <w:lang w:val="en-US"/>
        </w:rPr>
        <w:t xml:space="preserve"> and Sunlyn’s </w:t>
      </w:r>
      <w:r w:rsidR="00044A1F" w:rsidRPr="00A765B0">
        <w:rPr>
          <w:rFonts w:ascii="Arial" w:hAnsi="Arial" w:cs="Arial"/>
          <w:lang w:val="en-US"/>
        </w:rPr>
        <w:t>participation in</w:t>
      </w:r>
      <w:r w:rsidR="00BF1BA9" w:rsidRPr="00A765B0">
        <w:rPr>
          <w:rFonts w:ascii="Arial" w:hAnsi="Arial" w:cs="Arial"/>
          <w:lang w:val="en-US"/>
        </w:rPr>
        <w:t xml:space="preserve"> its name appearing on a master rental agreement creates a triable issue regarding the nature of their involvement in the transaction</w:t>
      </w:r>
      <w:r w:rsidR="00744773" w:rsidRPr="00A765B0">
        <w:rPr>
          <w:rFonts w:ascii="Arial" w:hAnsi="Arial" w:cs="Arial"/>
          <w:lang w:val="en-US"/>
        </w:rPr>
        <w:t>,</w:t>
      </w:r>
      <w:r w:rsidR="00BF1BA9" w:rsidRPr="00A765B0">
        <w:rPr>
          <w:rFonts w:ascii="Arial" w:hAnsi="Arial" w:cs="Arial"/>
          <w:lang w:val="en-US"/>
        </w:rPr>
        <w:t xml:space="preserve"> and it will only be through evidence </w:t>
      </w:r>
      <w:r w:rsidR="00744773" w:rsidRPr="00A765B0">
        <w:rPr>
          <w:rFonts w:ascii="Arial" w:hAnsi="Arial" w:cs="Arial"/>
          <w:lang w:val="en-US"/>
        </w:rPr>
        <w:t>that</w:t>
      </w:r>
      <w:r w:rsidR="00BF1BA9" w:rsidRPr="00A765B0">
        <w:rPr>
          <w:rFonts w:ascii="Arial" w:hAnsi="Arial" w:cs="Arial"/>
          <w:lang w:val="en-US"/>
        </w:rPr>
        <w:t xml:space="preserve"> it </w:t>
      </w:r>
      <w:r w:rsidR="005621ED" w:rsidRPr="00A765B0">
        <w:rPr>
          <w:rFonts w:ascii="Arial" w:hAnsi="Arial" w:cs="Arial"/>
          <w:lang w:val="en-US"/>
        </w:rPr>
        <w:t xml:space="preserve">can be determined whether they are agents of </w:t>
      </w:r>
      <w:r w:rsidR="00410FB9" w:rsidRPr="00A765B0">
        <w:rPr>
          <w:rFonts w:ascii="Arial" w:hAnsi="Arial" w:cs="Arial"/>
          <w:lang w:val="en-US"/>
        </w:rPr>
        <w:t>Sasfin</w:t>
      </w:r>
      <w:r w:rsidR="005621ED" w:rsidRPr="00A765B0">
        <w:rPr>
          <w:rFonts w:ascii="Arial" w:hAnsi="Arial" w:cs="Arial"/>
          <w:lang w:val="en-US"/>
        </w:rPr>
        <w:t xml:space="preserve"> and/or the </w:t>
      </w:r>
      <w:r w:rsidR="00011990" w:rsidRPr="00A765B0">
        <w:rPr>
          <w:rFonts w:ascii="Arial" w:hAnsi="Arial" w:cs="Arial"/>
          <w:lang w:val="en-US"/>
        </w:rPr>
        <w:t>plaintiff</w:t>
      </w:r>
      <w:r w:rsidR="005621ED" w:rsidRPr="00A765B0">
        <w:rPr>
          <w:rFonts w:ascii="Arial" w:hAnsi="Arial" w:cs="Arial"/>
          <w:lang w:val="en-US"/>
        </w:rPr>
        <w:t xml:space="preserve">. </w:t>
      </w:r>
      <w:r w:rsidR="00744773" w:rsidRPr="00A765B0">
        <w:rPr>
          <w:rFonts w:ascii="Arial" w:hAnsi="Arial" w:cs="Arial"/>
          <w:lang w:val="en-US"/>
        </w:rPr>
        <w:t xml:space="preserve"> </w:t>
      </w:r>
    </w:p>
    <w:p w14:paraId="620B7649" w14:textId="77777777" w:rsidR="00744773" w:rsidRPr="00744773" w:rsidRDefault="00744773" w:rsidP="00744773">
      <w:pPr>
        <w:pStyle w:val="ListParagraph"/>
        <w:rPr>
          <w:rFonts w:ascii="Arial" w:hAnsi="Arial" w:cs="Arial"/>
          <w:lang w:val="en-US"/>
        </w:rPr>
      </w:pPr>
    </w:p>
    <w:p w14:paraId="3EAF3184" w14:textId="55D7A67C" w:rsidR="00744773" w:rsidRPr="00A765B0" w:rsidRDefault="00A765B0" w:rsidP="00A765B0">
      <w:pPr>
        <w:spacing w:line="480" w:lineRule="auto"/>
        <w:ind w:left="360" w:hanging="360"/>
        <w:jc w:val="both"/>
        <w:rPr>
          <w:rFonts w:ascii="Arial" w:hAnsi="Arial" w:cs="Arial"/>
          <w:lang w:val="en-US"/>
        </w:rPr>
      </w:pPr>
      <w:r>
        <w:rPr>
          <w:rFonts w:ascii="Arial" w:hAnsi="Arial" w:cs="Arial"/>
          <w:lang w:val="en-US"/>
        </w:rPr>
        <w:t>33.</w:t>
      </w:r>
      <w:r>
        <w:rPr>
          <w:rFonts w:ascii="Arial" w:hAnsi="Arial" w:cs="Arial"/>
          <w:lang w:val="en-US"/>
        </w:rPr>
        <w:tab/>
      </w:r>
      <w:r w:rsidR="00744773" w:rsidRPr="00A765B0">
        <w:rPr>
          <w:rFonts w:ascii="Arial" w:hAnsi="Arial" w:cs="Arial"/>
          <w:lang w:val="en-US"/>
        </w:rPr>
        <w:t xml:space="preserve">I furthermore note that the plaintiff may have a claim against the defendant under Section 14(3)(a)and (b) </w:t>
      </w:r>
      <w:r w:rsidR="00DD3979" w:rsidRPr="00A765B0">
        <w:rPr>
          <w:rFonts w:ascii="Arial" w:hAnsi="Arial" w:cs="Arial"/>
          <w:lang w:val="en-US"/>
        </w:rPr>
        <w:t xml:space="preserve">of the CPA </w:t>
      </w:r>
      <w:r w:rsidR="00744773" w:rsidRPr="00A765B0">
        <w:rPr>
          <w:rFonts w:ascii="Arial" w:hAnsi="Arial" w:cs="Arial"/>
          <w:lang w:val="en-US"/>
        </w:rPr>
        <w:t>for a reasonable cancellation penalty; however, this is not the plaintiff’s case, and accordingly, I need not deal with this.</w:t>
      </w:r>
    </w:p>
    <w:p w14:paraId="23144754" w14:textId="77777777" w:rsidR="00744773" w:rsidRPr="00744773" w:rsidRDefault="00744773" w:rsidP="00744773">
      <w:pPr>
        <w:pStyle w:val="ListParagraph"/>
        <w:rPr>
          <w:rFonts w:ascii="Arial" w:hAnsi="Arial" w:cs="Arial"/>
          <w:lang w:val="en-US"/>
        </w:rPr>
      </w:pPr>
    </w:p>
    <w:p w14:paraId="58AE1329" w14:textId="08E543F4" w:rsidR="00493B8E" w:rsidRPr="00A765B0" w:rsidRDefault="00A765B0" w:rsidP="00A765B0">
      <w:pPr>
        <w:spacing w:line="480" w:lineRule="auto"/>
        <w:ind w:left="360" w:hanging="360"/>
        <w:jc w:val="both"/>
        <w:rPr>
          <w:rFonts w:ascii="Arial" w:hAnsi="Arial" w:cs="Arial"/>
          <w:lang w:val="en-US"/>
        </w:rPr>
      </w:pPr>
      <w:r w:rsidRPr="00B37692">
        <w:rPr>
          <w:rFonts w:ascii="Arial" w:hAnsi="Arial" w:cs="Arial"/>
          <w:lang w:val="en-US"/>
        </w:rPr>
        <w:t>34.</w:t>
      </w:r>
      <w:r w:rsidRPr="00B37692">
        <w:rPr>
          <w:rFonts w:ascii="Arial" w:hAnsi="Arial" w:cs="Arial"/>
          <w:lang w:val="en-US"/>
        </w:rPr>
        <w:tab/>
      </w:r>
      <w:r w:rsidR="00744773" w:rsidRPr="00A765B0">
        <w:rPr>
          <w:rFonts w:ascii="Arial" w:hAnsi="Arial" w:cs="Arial"/>
          <w:lang w:val="en-US"/>
        </w:rPr>
        <w:t xml:space="preserve">On this defence, as raised by the defendant, I am convinced that the plaintiff has a </w:t>
      </w:r>
      <w:r w:rsidR="00744773" w:rsidRPr="00A765B0">
        <w:rPr>
          <w:rFonts w:ascii="Arial" w:hAnsi="Arial" w:cs="Arial"/>
          <w:i/>
          <w:iCs/>
          <w:lang w:val="en-US"/>
        </w:rPr>
        <w:t>bona fide</w:t>
      </w:r>
      <w:r w:rsidR="00744773" w:rsidRPr="00A765B0">
        <w:rPr>
          <w:rFonts w:ascii="Arial" w:hAnsi="Arial" w:cs="Arial"/>
          <w:lang w:val="en-US"/>
        </w:rPr>
        <w:t xml:space="preserve"> defence and a reasonable possibility that the defence that she has advanced may succeed at trial.</w:t>
      </w:r>
      <w:r w:rsidR="00495F9A" w:rsidRPr="00A765B0">
        <w:rPr>
          <w:rFonts w:ascii="Arial" w:hAnsi="Arial" w:cs="Arial"/>
          <w:lang w:val="en-US"/>
        </w:rPr>
        <w:t xml:space="preserve"> Accordingly, summary judgment must be refused.</w:t>
      </w:r>
      <w:r w:rsidR="00744773" w:rsidRPr="00A765B0">
        <w:rPr>
          <w:rFonts w:ascii="Arial" w:hAnsi="Arial" w:cs="Arial"/>
          <w:lang w:val="en-US"/>
        </w:rPr>
        <w:t xml:space="preserve"> For this reason, I intend </w:t>
      </w:r>
      <w:r w:rsidR="00044A1F" w:rsidRPr="00A765B0">
        <w:rPr>
          <w:rFonts w:ascii="Arial" w:hAnsi="Arial" w:cs="Arial"/>
          <w:lang w:val="en-US"/>
        </w:rPr>
        <w:t>only briefly to deal with the other defences raised</w:t>
      </w:r>
      <w:r w:rsidR="00744773" w:rsidRPr="00A765B0">
        <w:rPr>
          <w:rFonts w:ascii="Arial" w:hAnsi="Arial" w:cs="Arial"/>
          <w:lang w:val="en-US"/>
        </w:rPr>
        <w:t>.</w:t>
      </w:r>
    </w:p>
    <w:p w14:paraId="1443714D" w14:textId="77777777" w:rsidR="00493B8E" w:rsidRDefault="00493B8E" w:rsidP="00744773">
      <w:pPr>
        <w:pStyle w:val="ListParagraph"/>
        <w:spacing w:line="480" w:lineRule="auto"/>
        <w:ind w:left="360"/>
        <w:jc w:val="both"/>
        <w:rPr>
          <w:rFonts w:ascii="Arial" w:hAnsi="Arial" w:cs="Arial"/>
          <w:b/>
          <w:bCs/>
          <w:lang w:val="en-US"/>
        </w:rPr>
      </w:pPr>
    </w:p>
    <w:p w14:paraId="29D014C6" w14:textId="0BBD4AAC" w:rsidR="00744773" w:rsidRPr="00CF2E69" w:rsidRDefault="00B37692" w:rsidP="00744773">
      <w:pPr>
        <w:pStyle w:val="ListParagraph"/>
        <w:spacing w:line="480" w:lineRule="auto"/>
        <w:ind w:left="360"/>
        <w:jc w:val="both"/>
        <w:rPr>
          <w:rFonts w:ascii="Arial" w:hAnsi="Arial" w:cs="Arial"/>
          <w:b/>
          <w:bCs/>
          <w:lang w:val="en-US"/>
        </w:rPr>
      </w:pPr>
      <w:r>
        <w:rPr>
          <w:rFonts w:ascii="Arial" w:hAnsi="Arial" w:cs="Arial"/>
          <w:b/>
          <w:bCs/>
          <w:lang w:val="en-US"/>
        </w:rPr>
        <w:t>Conventional Penalties Act Defence</w:t>
      </w:r>
    </w:p>
    <w:p w14:paraId="0D853B7D" w14:textId="77777777" w:rsidR="00157C06" w:rsidRPr="00744773" w:rsidRDefault="00157C06" w:rsidP="00744773">
      <w:pPr>
        <w:spacing w:line="480" w:lineRule="auto"/>
        <w:jc w:val="both"/>
        <w:rPr>
          <w:rFonts w:ascii="Arial" w:hAnsi="Arial" w:cs="Arial"/>
          <w:lang w:val="en-US"/>
        </w:rPr>
      </w:pPr>
    </w:p>
    <w:p w14:paraId="2F35761C" w14:textId="3450D5AE" w:rsidR="00786E15" w:rsidRPr="00A765B0" w:rsidRDefault="00A765B0" w:rsidP="00A765B0">
      <w:pPr>
        <w:spacing w:line="480" w:lineRule="auto"/>
        <w:ind w:left="360" w:hanging="360"/>
        <w:jc w:val="both"/>
        <w:rPr>
          <w:rFonts w:ascii="Arial" w:hAnsi="Arial" w:cs="Arial"/>
          <w:lang w:val="en-US"/>
        </w:rPr>
      </w:pPr>
      <w:r w:rsidRPr="00CF2E69">
        <w:rPr>
          <w:rFonts w:ascii="Arial" w:hAnsi="Arial" w:cs="Arial"/>
          <w:lang w:val="en-US"/>
        </w:rPr>
        <w:t>35.</w:t>
      </w:r>
      <w:r w:rsidRPr="00CF2E69">
        <w:rPr>
          <w:rFonts w:ascii="Arial" w:hAnsi="Arial" w:cs="Arial"/>
          <w:lang w:val="en-US"/>
        </w:rPr>
        <w:tab/>
      </w:r>
      <w:r w:rsidR="00D41F56" w:rsidRPr="00A765B0">
        <w:rPr>
          <w:rFonts w:ascii="Arial" w:hAnsi="Arial" w:cs="Arial"/>
          <w:lang w:val="en-US"/>
        </w:rPr>
        <w:t xml:space="preserve">In the alternative to the cancellation defence, and in the event that it is found that the CPA is not applicable to the agreement,  </w:t>
      </w:r>
      <w:r w:rsidR="00CF2E69" w:rsidRPr="00A765B0">
        <w:rPr>
          <w:rFonts w:ascii="Arial" w:hAnsi="Arial" w:cs="Arial"/>
          <w:lang w:val="en-US"/>
        </w:rPr>
        <w:t>the defendant</w:t>
      </w:r>
      <w:r w:rsidR="00D41F56" w:rsidRPr="00A765B0">
        <w:rPr>
          <w:rFonts w:ascii="Arial" w:hAnsi="Arial" w:cs="Arial"/>
          <w:lang w:val="en-US"/>
        </w:rPr>
        <w:t xml:space="preserve"> pleads that the plaintiff’s monetary claim constitutes </w:t>
      </w:r>
      <w:r w:rsidR="00DD3979" w:rsidRPr="00A765B0">
        <w:rPr>
          <w:rFonts w:ascii="Arial" w:hAnsi="Arial" w:cs="Arial"/>
          <w:lang w:val="en-US"/>
        </w:rPr>
        <w:t xml:space="preserve">a penalty or </w:t>
      </w:r>
      <w:r w:rsidR="00D41F56" w:rsidRPr="00A765B0">
        <w:rPr>
          <w:rFonts w:ascii="Arial" w:hAnsi="Arial" w:cs="Arial"/>
          <w:lang w:val="en-GB"/>
        </w:rPr>
        <w:t>estimated liquidated damages</w:t>
      </w:r>
      <w:r w:rsidR="00827820" w:rsidRPr="00A765B0">
        <w:rPr>
          <w:rFonts w:ascii="Arial" w:hAnsi="Arial" w:cs="Arial"/>
          <w:lang w:val="en-GB"/>
        </w:rPr>
        <w:t xml:space="preserve"> as contemplated by Section</w:t>
      </w:r>
      <w:r w:rsidR="00D41F56" w:rsidRPr="00A765B0">
        <w:rPr>
          <w:rFonts w:ascii="Arial" w:hAnsi="Arial" w:cs="Arial"/>
          <w:lang w:val="en-GB"/>
        </w:rPr>
        <w:t xml:space="preserve"> </w:t>
      </w:r>
      <w:r w:rsidR="00827820" w:rsidRPr="00A765B0">
        <w:rPr>
          <w:rFonts w:ascii="Arial" w:hAnsi="Arial" w:cs="Arial"/>
          <w:lang w:val="en-GB"/>
        </w:rPr>
        <w:t>3</w:t>
      </w:r>
      <w:r w:rsidR="00D41F56" w:rsidRPr="00A765B0">
        <w:rPr>
          <w:rFonts w:ascii="Arial" w:hAnsi="Arial" w:cs="Arial"/>
          <w:lang w:val="en-GB"/>
        </w:rPr>
        <w:t xml:space="preserve"> of the Conventional Penalties Act 15 of 1962</w:t>
      </w:r>
      <w:r w:rsidR="00827820" w:rsidRPr="00A765B0">
        <w:rPr>
          <w:rFonts w:ascii="Arial" w:hAnsi="Arial" w:cs="Arial"/>
          <w:lang w:val="en-GB"/>
        </w:rPr>
        <w:t xml:space="preserve">, which she alleges is out of proportion to the damages suffered by the plaintiff. </w:t>
      </w:r>
      <w:r w:rsidR="00764F22" w:rsidRPr="00A765B0">
        <w:rPr>
          <w:rFonts w:ascii="Arial" w:hAnsi="Arial" w:cs="Arial"/>
          <w:lang w:val="en-GB"/>
        </w:rPr>
        <w:t xml:space="preserve"> The </w:t>
      </w:r>
      <w:r w:rsidR="005E38AB" w:rsidRPr="00A765B0">
        <w:rPr>
          <w:rFonts w:ascii="Arial" w:hAnsi="Arial" w:cs="Arial"/>
          <w:lang w:val="en-GB"/>
        </w:rPr>
        <w:t>defendant</w:t>
      </w:r>
      <w:r w:rsidR="00764F22" w:rsidRPr="00A765B0">
        <w:rPr>
          <w:rFonts w:ascii="Arial" w:hAnsi="Arial" w:cs="Arial"/>
          <w:lang w:val="en-GB"/>
        </w:rPr>
        <w:t xml:space="preserve"> does not set out </w:t>
      </w:r>
      <w:r w:rsidR="005E38AB" w:rsidRPr="00A765B0">
        <w:rPr>
          <w:rFonts w:ascii="Arial" w:hAnsi="Arial" w:cs="Arial"/>
          <w:lang w:val="en-GB"/>
        </w:rPr>
        <w:t xml:space="preserve">by what the penalty should be reduced, and the only allegations relating to the disproportionality of the penalty include in paragraph 19.2.5.1 </w:t>
      </w:r>
      <w:r w:rsidR="005E38AB" w:rsidRPr="00A765B0">
        <w:rPr>
          <w:rFonts w:ascii="Arial" w:hAnsi="Arial" w:cs="Arial"/>
          <w:i/>
          <w:iCs/>
          <w:lang w:val="en-GB"/>
        </w:rPr>
        <w:t xml:space="preserve">“The plaintiff suffered no damages due to the alleged breach by the </w:t>
      </w:r>
      <w:r w:rsidR="005E38AB" w:rsidRPr="00A765B0">
        <w:rPr>
          <w:rFonts w:ascii="Arial" w:hAnsi="Arial" w:cs="Arial"/>
          <w:i/>
          <w:iCs/>
          <w:lang w:val="en-GB"/>
        </w:rPr>
        <w:lastRenderedPageBreak/>
        <w:t>defendant</w:t>
      </w:r>
      <w:r w:rsidR="00044A1F" w:rsidRPr="00A765B0">
        <w:rPr>
          <w:rFonts w:ascii="Arial" w:hAnsi="Arial" w:cs="Arial"/>
          <w:i/>
          <w:iCs/>
          <w:lang w:val="en-GB"/>
        </w:rPr>
        <w:t>; alternatively</w:t>
      </w:r>
      <w:r w:rsidR="005E38AB" w:rsidRPr="00A765B0">
        <w:rPr>
          <w:rFonts w:ascii="Arial" w:hAnsi="Arial" w:cs="Arial"/>
          <w:i/>
          <w:iCs/>
          <w:lang w:val="en-GB"/>
        </w:rPr>
        <w:t xml:space="preserve">, the penalty clause is out of proportion to the damages suffered by the plaintiff;  and/or “ the claim as pre-estimated damages is out of proportion as all of the future instalments are claimed by the </w:t>
      </w:r>
      <w:r w:rsidR="00B37692" w:rsidRPr="00A765B0">
        <w:rPr>
          <w:rFonts w:ascii="Arial" w:hAnsi="Arial" w:cs="Arial"/>
          <w:i/>
          <w:iCs/>
          <w:lang w:val="en-GB"/>
        </w:rPr>
        <w:t>plaintiff</w:t>
      </w:r>
      <w:r w:rsidR="005E38AB" w:rsidRPr="00A765B0">
        <w:rPr>
          <w:rFonts w:ascii="Arial" w:hAnsi="Arial" w:cs="Arial"/>
          <w:i/>
          <w:iCs/>
          <w:lang w:val="en-GB"/>
        </w:rPr>
        <w:t xml:space="preserve"> of which instalments were to increase up to the alleged </w:t>
      </w:r>
      <w:r w:rsidR="00B37692" w:rsidRPr="00A765B0">
        <w:rPr>
          <w:rFonts w:ascii="Arial" w:hAnsi="Arial" w:cs="Arial"/>
          <w:i/>
          <w:iCs/>
          <w:lang w:val="en-GB"/>
        </w:rPr>
        <w:t>breach</w:t>
      </w:r>
      <w:r w:rsidR="005E38AB" w:rsidRPr="00A765B0">
        <w:rPr>
          <w:rFonts w:ascii="Arial" w:hAnsi="Arial" w:cs="Arial"/>
          <w:i/>
          <w:iCs/>
          <w:lang w:val="en-GB"/>
        </w:rPr>
        <w:t xml:space="preserve"> with 15% per annum</w:t>
      </w:r>
      <w:r w:rsidR="00044A1F" w:rsidRPr="00A765B0">
        <w:rPr>
          <w:rFonts w:ascii="Arial" w:hAnsi="Arial" w:cs="Arial"/>
          <w:i/>
          <w:iCs/>
          <w:lang w:val="en-GB"/>
        </w:rPr>
        <w:t>,</w:t>
      </w:r>
      <w:r w:rsidR="005E38AB" w:rsidRPr="00A765B0">
        <w:rPr>
          <w:rFonts w:ascii="Arial" w:hAnsi="Arial" w:cs="Arial"/>
          <w:i/>
          <w:iCs/>
          <w:lang w:val="en-GB"/>
        </w:rPr>
        <w:t xml:space="preserve"> and future instalments were to be calculated at a rate of 15% per annum; and/or</w:t>
      </w:r>
      <w:r w:rsidR="00786E15" w:rsidRPr="00A765B0">
        <w:rPr>
          <w:rFonts w:ascii="Arial" w:hAnsi="Arial" w:cs="Arial"/>
          <w:i/>
          <w:iCs/>
          <w:lang w:val="en-GB"/>
        </w:rPr>
        <w:t xml:space="preserve"> the plaintiff received instalments for the rental of the goods from inception to 31st of March 2021 with increases</w:t>
      </w:r>
      <w:r w:rsidR="00786E15" w:rsidRPr="00A765B0">
        <w:rPr>
          <w:rFonts w:ascii="Arial" w:hAnsi="Arial" w:cs="Arial"/>
          <w:lang w:val="en-GB"/>
        </w:rPr>
        <w:t>.”</w:t>
      </w:r>
    </w:p>
    <w:p w14:paraId="5A10455A" w14:textId="77777777" w:rsidR="00CF2E69" w:rsidRPr="00CF2E69" w:rsidRDefault="00CF2E69" w:rsidP="00CF2E69">
      <w:pPr>
        <w:pStyle w:val="ListParagraph"/>
        <w:spacing w:line="480" w:lineRule="auto"/>
        <w:ind w:left="360"/>
        <w:jc w:val="both"/>
        <w:rPr>
          <w:rFonts w:ascii="Arial" w:hAnsi="Arial" w:cs="Arial"/>
          <w:lang w:val="en-US"/>
        </w:rPr>
      </w:pPr>
    </w:p>
    <w:p w14:paraId="5A4DB1FD" w14:textId="33D45908" w:rsidR="00CF2E69" w:rsidRPr="00A765B0" w:rsidRDefault="00A765B0" w:rsidP="00A765B0">
      <w:pPr>
        <w:spacing w:line="480" w:lineRule="auto"/>
        <w:ind w:left="360" w:hanging="360"/>
        <w:jc w:val="both"/>
        <w:rPr>
          <w:rFonts w:ascii="Arial" w:hAnsi="Arial" w:cs="Arial"/>
          <w:lang w:val="en-US"/>
        </w:rPr>
      </w:pPr>
      <w:r w:rsidRPr="00786E15">
        <w:rPr>
          <w:rFonts w:ascii="Arial" w:hAnsi="Arial" w:cs="Arial"/>
          <w:lang w:val="en-US"/>
        </w:rPr>
        <w:t>36.</w:t>
      </w:r>
      <w:r w:rsidRPr="00786E15">
        <w:rPr>
          <w:rFonts w:ascii="Arial" w:hAnsi="Arial" w:cs="Arial"/>
          <w:lang w:val="en-US"/>
        </w:rPr>
        <w:tab/>
      </w:r>
      <w:r w:rsidR="00CF2E69" w:rsidRPr="00A765B0">
        <w:rPr>
          <w:rFonts w:ascii="Arial" w:hAnsi="Arial" w:cs="Arial"/>
          <w:lang w:val="en-GB"/>
        </w:rPr>
        <w:t xml:space="preserve">The plaintiff’s counsel correctly argued that its claim is one for specific performance, and as such, the Conventional Penalties Act finds no application. </w:t>
      </w:r>
      <w:r w:rsidR="00B37692" w:rsidRPr="00A765B0">
        <w:rPr>
          <w:rFonts w:ascii="Arial" w:hAnsi="Arial" w:cs="Arial"/>
          <w:lang w:val="en-GB"/>
        </w:rPr>
        <w:t>Even i</w:t>
      </w:r>
      <w:r w:rsidR="00CF2E69" w:rsidRPr="00A765B0">
        <w:rPr>
          <w:rFonts w:ascii="Arial" w:hAnsi="Arial" w:cs="Arial"/>
          <w:lang w:val="en-GB"/>
        </w:rPr>
        <w:t xml:space="preserve">f I am wrong in this regard, I would agree with the plaintiff’s counsel that the defendant has not </w:t>
      </w:r>
      <w:r w:rsidR="006E17B9" w:rsidRPr="00A765B0">
        <w:rPr>
          <w:rFonts w:ascii="Arial" w:hAnsi="Arial" w:cs="Arial"/>
          <w:lang w:val="en-GB"/>
        </w:rPr>
        <w:t xml:space="preserve">established </w:t>
      </w:r>
      <w:r w:rsidR="00BF596B" w:rsidRPr="00A765B0">
        <w:rPr>
          <w:rFonts w:ascii="Arial" w:hAnsi="Arial" w:cs="Arial"/>
          <w:lang w:val="en-GB"/>
        </w:rPr>
        <w:t xml:space="preserve">a sufficient basis for </w:t>
      </w:r>
      <w:r w:rsidR="00DD3979" w:rsidRPr="00A765B0">
        <w:rPr>
          <w:rFonts w:ascii="Arial" w:hAnsi="Arial" w:cs="Arial"/>
          <w:lang w:val="en-GB"/>
        </w:rPr>
        <w:t>her</w:t>
      </w:r>
      <w:r w:rsidR="00BF596B" w:rsidRPr="00A765B0">
        <w:rPr>
          <w:rFonts w:ascii="Arial" w:hAnsi="Arial" w:cs="Arial"/>
          <w:lang w:val="en-GB"/>
        </w:rPr>
        <w:t xml:space="preserve"> allegations that the penalty is disproportionate to the damages suffered by the </w:t>
      </w:r>
      <w:r w:rsidR="00DD3979" w:rsidRPr="00A765B0">
        <w:rPr>
          <w:rFonts w:ascii="Arial" w:hAnsi="Arial" w:cs="Arial"/>
          <w:lang w:val="en-GB"/>
        </w:rPr>
        <w:t>plaintiff</w:t>
      </w:r>
      <w:r w:rsidR="00BF596B" w:rsidRPr="00A765B0">
        <w:rPr>
          <w:rFonts w:ascii="Arial" w:hAnsi="Arial" w:cs="Arial"/>
          <w:lang w:val="en-GB"/>
        </w:rPr>
        <w:t xml:space="preserve"> in that she has failed to quantify the extent to which the damages should be reduced and has failed to set out sufficient facts which she will use to establish the extent of the abatement of the penalty which she will seek.</w:t>
      </w:r>
      <w:r w:rsidR="00BF596B">
        <w:rPr>
          <w:rStyle w:val="FootnoteReference"/>
          <w:rFonts w:ascii="Arial" w:hAnsi="Arial" w:cs="Arial"/>
          <w:lang w:val="en-GB"/>
        </w:rPr>
        <w:footnoteReference w:id="9"/>
      </w:r>
    </w:p>
    <w:p w14:paraId="2C155BB1" w14:textId="77777777" w:rsidR="00786E15" w:rsidRPr="00786E15" w:rsidRDefault="00786E15" w:rsidP="00786E15">
      <w:pPr>
        <w:pStyle w:val="ListParagraph"/>
        <w:spacing w:line="480" w:lineRule="auto"/>
        <w:ind w:left="360"/>
        <w:jc w:val="both"/>
        <w:rPr>
          <w:rFonts w:ascii="Arial" w:hAnsi="Arial" w:cs="Arial"/>
          <w:lang w:val="en-US"/>
        </w:rPr>
      </w:pPr>
    </w:p>
    <w:p w14:paraId="04EC2FD8" w14:textId="3D4E8965" w:rsidR="00786E15" w:rsidRPr="00A765B0" w:rsidRDefault="00A765B0" w:rsidP="00A765B0">
      <w:pPr>
        <w:spacing w:line="480" w:lineRule="auto"/>
        <w:ind w:left="360" w:hanging="360"/>
        <w:jc w:val="both"/>
        <w:rPr>
          <w:rFonts w:ascii="Arial" w:hAnsi="Arial" w:cs="Arial"/>
          <w:lang w:val="en-US"/>
        </w:rPr>
      </w:pPr>
      <w:r w:rsidRPr="00786E15">
        <w:rPr>
          <w:rFonts w:ascii="Arial" w:hAnsi="Arial" w:cs="Arial"/>
          <w:lang w:val="en-US"/>
        </w:rPr>
        <w:t>37.</w:t>
      </w:r>
      <w:r w:rsidRPr="00786E15">
        <w:rPr>
          <w:rFonts w:ascii="Arial" w:hAnsi="Arial" w:cs="Arial"/>
          <w:lang w:val="en-US"/>
        </w:rPr>
        <w:tab/>
      </w:r>
      <w:r w:rsidR="00786E15" w:rsidRPr="00A765B0">
        <w:rPr>
          <w:rFonts w:ascii="Arial" w:hAnsi="Arial" w:cs="Arial"/>
          <w:lang w:val="en-GB"/>
        </w:rPr>
        <w:t>In addition to the above, the defendant pleaded that:-</w:t>
      </w:r>
    </w:p>
    <w:p w14:paraId="73F42265" w14:textId="77777777" w:rsidR="00786E15" w:rsidRPr="00786E15" w:rsidRDefault="00786E15" w:rsidP="00786E15">
      <w:pPr>
        <w:pStyle w:val="ListParagraph"/>
        <w:rPr>
          <w:rFonts w:ascii="Arial" w:hAnsi="Arial" w:cs="Arial"/>
          <w:lang w:val="en-GB"/>
        </w:rPr>
      </w:pPr>
    </w:p>
    <w:p w14:paraId="6BF384A4" w14:textId="53F21335" w:rsidR="0073414E" w:rsidRPr="00A765B0" w:rsidRDefault="00A765B0" w:rsidP="00A765B0">
      <w:pPr>
        <w:spacing w:line="480" w:lineRule="auto"/>
        <w:ind w:left="1644" w:hanging="1284"/>
        <w:jc w:val="both"/>
        <w:rPr>
          <w:rFonts w:ascii="Arial" w:hAnsi="Arial" w:cs="Arial"/>
          <w:lang w:val="en-US"/>
        </w:rPr>
      </w:pPr>
      <w:r w:rsidRPr="0073414E">
        <w:rPr>
          <w:rFonts w:ascii="Arial" w:hAnsi="Arial" w:cs="Arial"/>
          <w:lang w:val="en-US"/>
        </w:rPr>
        <w:t>37.1.</w:t>
      </w:r>
      <w:r w:rsidRPr="0073414E">
        <w:rPr>
          <w:rFonts w:ascii="Arial" w:hAnsi="Arial" w:cs="Arial"/>
          <w:lang w:val="en-US"/>
        </w:rPr>
        <w:tab/>
      </w:r>
      <w:r w:rsidR="00786E15" w:rsidRPr="00A765B0">
        <w:rPr>
          <w:rFonts w:ascii="Arial" w:hAnsi="Arial" w:cs="Arial"/>
          <w:lang w:val="en-GB"/>
        </w:rPr>
        <w:t>the agreement is subject to the National Credit Act 13 of 2002, with which provisions the plaintiff failed to comply</w:t>
      </w:r>
      <w:r w:rsidR="00BF596B" w:rsidRPr="00A765B0">
        <w:rPr>
          <w:rFonts w:ascii="Arial" w:hAnsi="Arial" w:cs="Arial"/>
          <w:lang w:val="en-GB"/>
        </w:rPr>
        <w:t xml:space="preserve">. The NCA is not applicable to this transaction as </w:t>
      </w:r>
      <w:r w:rsidR="00E1708C" w:rsidRPr="00A765B0">
        <w:rPr>
          <w:rFonts w:ascii="Arial" w:hAnsi="Arial" w:cs="Arial"/>
          <w:lang w:val="en-GB"/>
        </w:rPr>
        <w:t>has been found</w:t>
      </w:r>
      <w:r w:rsidR="0073414E" w:rsidRPr="00A765B0">
        <w:rPr>
          <w:rFonts w:ascii="Arial" w:hAnsi="Arial" w:cs="Arial"/>
          <w:lang w:val="en-GB"/>
        </w:rPr>
        <w:t xml:space="preserve"> by the Supreme Court </w:t>
      </w:r>
      <w:r w:rsidR="0073414E" w:rsidRPr="00A765B0">
        <w:rPr>
          <w:rFonts w:ascii="Arial" w:hAnsi="Arial" w:cs="Arial"/>
          <w:lang w:val="en-GB"/>
        </w:rPr>
        <w:lastRenderedPageBreak/>
        <w:t>of Appeal</w:t>
      </w:r>
      <w:r w:rsidR="00E1708C" w:rsidRPr="00A765B0">
        <w:rPr>
          <w:rFonts w:ascii="Arial" w:hAnsi="Arial" w:cs="Arial"/>
          <w:lang w:val="en-GB"/>
        </w:rPr>
        <w:t xml:space="preserve"> in the </w:t>
      </w:r>
      <w:r w:rsidR="00DD3979" w:rsidRPr="00A765B0">
        <w:rPr>
          <w:rFonts w:ascii="Arial" w:hAnsi="Arial" w:cs="Arial"/>
          <w:lang w:val="en-GB"/>
        </w:rPr>
        <w:t>decision</w:t>
      </w:r>
      <w:r w:rsidR="00E1708C" w:rsidRPr="00A765B0">
        <w:rPr>
          <w:rFonts w:ascii="Arial" w:hAnsi="Arial" w:cs="Arial"/>
          <w:lang w:val="en-GB"/>
        </w:rPr>
        <w:t xml:space="preserve"> of Absa Technology Finance Solutions (Pty) Ltd V Michael’s Bid a House CC and Another 2013 (3) SA 426 (SCA)</w:t>
      </w:r>
      <w:r w:rsidR="00786E15" w:rsidRPr="00A765B0">
        <w:rPr>
          <w:rFonts w:ascii="Arial" w:hAnsi="Arial" w:cs="Arial"/>
          <w:lang w:val="en-GB"/>
        </w:rPr>
        <w:t xml:space="preserve">; </w:t>
      </w:r>
    </w:p>
    <w:p w14:paraId="120D780C" w14:textId="77777777" w:rsidR="0073414E" w:rsidRDefault="0073414E" w:rsidP="0073414E">
      <w:pPr>
        <w:pStyle w:val="ListParagraph"/>
        <w:spacing w:line="480" w:lineRule="auto"/>
        <w:ind w:left="1644"/>
        <w:jc w:val="both"/>
        <w:rPr>
          <w:rFonts w:ascii="Arial" w:hAnsi="Arial" w:cs="Arial"/>
          <w:lang w:val="en-GB"/>
        </w:rPr>
      </w:pPr>
    </w:p>
    <w:p w14:paraId="3CAE8D3A" w14:textId="78348634" w:rsidR="00786E15" w:rsidRPr="00786E15" w:rsidRDefault="00786E15" w:rsidP="0073414E">
      <w:pPr>
        <w:pStyle w:val="ListParagraph"/>
        <w:spacing w:line="480" w:lineRule="auto"/>
        <w:ind w:left="1644"/>
        <w:jc w:val="both"/>
        <w:rPr>
          <w:rFonts w:ascii="Arial" w:hAnsi="Arial" w:cs="Arial"/>
          <w:lang w:val="en-US"/>
        </w:rPr>
      </w:pPr>
      <w:r>
        <w:rPr>
          <w:rFonts w:ascii="Arial" w:hAnsi="Arial" w:cs="Arial"/>
          <w:lang w:val="en-GB"/>
        </w:rPr>
        <w:t>and</w:t>
      </w:r>
    </w:p>
    <w:p w14:paraId="2C15ADA5" w14:textId="77777777" w:rsidR="00786E15" w:rsidRPr="00786E15" w:rsidRDefault="00786E15" w:rsidP="00786E15">
      <w:pPr>
        <w:pStyle w:val="ListParagraph"/>
        <w:spacing w:line="480" w:lineRule="auto"/>
        <w:ind w:left="1644"/>
        <w:jc w:val="both"/>
        <w:rPr>
          <w:rFonts w:ascii="Arial" w:hAnsi="Arial" w:cs="Arial"/>
          <w:lang w:val="en-US"/>
        </w:rPr>
      </w:pPr>
    </w:p>
    <w:p w14:paraId="57102F1C" w14:textId="0FE390D2" w:rsidR="00786E15" w:rsidRPr="00A765B0" w:rsidRDefault="00A765B0" w:rsidP="00A765B0">
      <w:pPr>
        <w:spacing w:line="480" w:lineRule="auto"/>
        <w:ind w:left="1644" w:hanging="1284"/>
        <w:jc w:val="both"/>
        <w:rPr>
          <w:rFonts w:ascii="Arial" w:hAnsi="Arial" w:cs="Arial"/>
          <w:lang w:val="en-US"/>
        </w:rPr>
      </w:pPr>
      <w:r w:rsidRPr="00786E15">
        <w:rPr>
          <w:rFonts w:ascii="Arial" w:hAnsi="Arial" w:cs="Arial"/>
          <w:lang w:val="en-US"/>
        </w:rPr>
        <w:t>37.2.</w:t>
      </w:r>
      <w:r w:rsidRPr="00786E15">
        <w:rPr>
          <w:rFonts w:ascii="Arial" w:hAnsi="Arial" w:cs="Arial"/>
          <w:lang w:val="en-US"/>
        </w:rPr>
        <w:tab/>
      </w:r>
      <w:r w:rsidR="00786E15" w:rsidRPr="00A765B0">
        <w:rPr>
          <w:rFonts w:ascii="Arial" w:hAnsi="Arial" w:cs="Arial"/>
          <w:lang w:val="en-GB"/>
        </w:rPr>
        <w:t xml:space="preserve">The plaintiff lacked </w:t>
      </w:r>
      <w:r w:rsidR="00786E15" w:rsidRPr="00A765B0">
        <w:rPr>
          <w:rFonts w:ascii="Arial" w:hAnsi="Arial" w:cs="Arial"/>
          <w:i/>
          <w:iCs/>
          <w:lang w:val="en-GB"/>
        </w:rPr>
        <w:t>locus standi</w:t>
      </w:r>
      <w:r w:rsidR="00786E15" w:rsidRPr="00A765B0">
        <w:rPr>
          <w:rFonts w:ascii="Arial" w:hAnsi="Arial" w:cs="Arial"/>
          <w:lang w:val="en-GB"/>
        </w:rPr>
        <w:t xml:space="preserve"> as she had contracted with </w:t>
      </w:r>
      <w:r w:rsidR="00B37692" w:rsidRPr="00A765B0">
        <w:rPr>
          <w:rFonts w:ascii="Arial" w:hAnsi="Arial" w:cs="Arial"/>
          <w:lang w:val="en-GB"/>
        </w:rPr>
        <w:t>Sasfin</w:t>
      </w:r>
      <w:r w:rsidR="0089600C" w:rsidRPr="00A765B0">
        <w:rPr>
          <w:rFonts w:ascii="Arial" w:hAnsi="Arial" w:cs="Arial"/>
          <w:lang w:val="en-GB"/>
        </w:rPr>
        <w:t>, not</w:t>
      </w:r>
      <w:r w:rsidR="00B37692" w:rsidRPr="00A765B0">
        <w:rPr>
          <w:rFonts w:ascii="Arial" w:hAnsi="Arial" w:cs="Arial"/>
          <w:lang w:val="en-GB"/>
        </w:rPr>
        <w:t xml:space="preserve"> the plaintiff</w:t>
      </w:r>
      <w:r w:rsidR="00786E15" w:rsidRPr="00A765B0">
        <w:rPr>
          <w:rFonts w:ascii="Arial" w:hAnsi="Arial" w:cs="Arial"/>
          <w:lang w:val="en-GB"/>
        </w:rPr>
        <w:t>. As set out above, this defence was not persisted with, and accordingly, no more will be said in this regard.</w:t>
      </w:r>
    </w:p>
    <w:p w14:paraId="5831EF82" w14:textId="77777777" w:rsidR="00786E15" w:rsidRPr="00786E15" w:rsidRDefault="00786E15" w:rsidP="00786E15">
      <w:pPr>
        <w:pStyle w:val="ListParagraph"/>
        <w:spacing w:line="480" w:lineRule="auto"/>
        <w:ind w:left="360"/>
        <w:jc w:val="both"/>
        <w:rPr>
          <w:rFonts w:ascii="Arial" w:hAnsi="Arial" w:cs="Arial"/>
          <w:lang w:val="en-US"/>
        </w:rPr>
      </w:pPr>
    </w:p>
    <w:p w14:paraId="60B7B56B" w14:textId="7D76AB70" w:rsidR="00D41F56" w:rsidRPr="00A765B0" w:rsidRDefault="00A765B0" w:rsidP="00A765B0">
      <w:pPr>
        <w:spacing w:line="480" w:lineRule="auto"/>
        <w:ind w:left="360" w:hanging="360"/>
        <w:jc w:val="both"/>
        <w:rPr>
          <w:rFonts w:ascii="Arial" w:hAnsi="Arial" w:cs="Arial"/>
          <w:lang w:val="en-US"/>
        </w:rPr>
      </w:pPr>
      <w:r w:rsidRPr="00E1708C">
        <w:rPr>
          <w:rFonts w:ascii="Arial" w:hAnsi="Arial" w:cs="Arial"/>
          <w:lang w:val="en-US"/>
        </w:rPr>
        <w:t>38.</w:t>
      </w:r>
      <w:r w:rsidRPr="00E1708C">
        <w:rPr>
          <w:rFonts w:ascii="Arial" w:hAnsi="Arial" w:cs="Arial"/>
          <w:lang w:val="en-US"/>
        </w:rPr>
        <w:tab/>
      </w:r>
      <w:r w:rsidR="00786E15" w:rsidRPr="00A765B0">
        <w:rPr>
          <w:rFonts w:ascii="Arial" w:hAnsi="Arial" w:cs="Arial"/>
          <w:lang w:val="en-GB"/>
        </w:rPr>
        <w:t xml:space="preserve">The defendant brought a conditional counterclaim wherein she is seeking a declaratory order that the agreement was validly cancelled and ancillary relief, alternatively, the amount claimed by the plaintiff as pre-estimated damages be reduced to an amount the </w:t>
      </w:r>
      <w:r w:rsidR="00DD3979" w:rsidRPr="00A765B0">
        <w:rPr>
          <w:rFonts w:ascii="Arial" w:hAnsi="Arial" w:cs="Arial"/>
          <w:lang w:val="en-GB"/>
        </w:rPr>
        <w:t>C</w:t>
      </w:r>
      <w:r w:rsidR="00786E15" w:rsidRPr="00A765B0">
        <w:rPr>
          <w:rFonts w:ascii="Arial" w:hAnsi="Arial" w:cs="Arial"/>
          <w:lang w:val="en-GB"/>
        </w:rPr>
        <w:t xml:space="preserve">ourt finds reasonable in the circumstances. </w:t>
      </w:r>
      <w:r w:rsidR="00E1708C" w:rsidRPr="00A765B0">
        <w:rPr>
          <w:rFonts w:ascii="Arial" w:hAnsi="Arial" w:cs="Arial"/>
          <w:lang w:val="en-GB"/>
        </w:rPr>
        <w:t>I have already dealt with these issue</w:t>
      </w:r>
      <w:r w:rsidR="00044A1F" w:rsidRPr="00A765B0">
        <w:rPr>
          <w:rFonts w:ascii="Arial" w:hAnsi="Arial" w:cs="Arial"/>
          <w:lang w:val="en-GB"/>
        </w:rPr>
        <w:t xml:space="preserve">s, </w:t>
      </w:r>
      <w:r w:rsidR="00E1708C" w:rsidRPr="00A765B0">
        <w:rPr>
          <w:rFonts w:ascii="Arial" w:hAnsi="Arial" w:cs="Arial"/>
          <w:lang w:val="en-GB"/>
        </w:rPr>
        <w:t xml:space="preserve">as these very self-same </w:t>
      </w:r>
      <w:r w:rsidR="00044A1F" w:rsidRPr="00A765B0">
        <w:rPr>
          <w:rFonts w:ascii="Arial" w:hAnsi="Arial" w:cs="Arial"/>
          <w:lang w:val="en-GB"/>
        </w:rPr>
        <w:t>issues</w:t>
      </w:r>
      <w:r w:rsidR="00E1708C" w:rsidRPr="00A765B0">
        <w:rPr>
          <w:rFonts w:ascii="Arial" w:hAnsi="Arial" w:cs="Arial"/>
          <w:lang w:val="en-GB"/>
        </w:rPr>
        <w:t xml:space="preserve"> form part of the defendant’s defence.</w:t>
      </w:r>
    </w:p>
    <w:p w14:paraId="180FC4E1" w14:textId="77777777" w:rsidR="00E1708C" w:rsidRDefault="00E1708C" w:rsidP="00E1708C">
      <w:pPr>
        <w:pStyle w:val="ListParagraph"/>
        <w:spacing w:line="480" w:lineRule="auto"/>
        <w:ind w:left="360"/>
        <w:jc w:val="both"/>
        <w:rPr>
          <w:rFonts w:ascii="Arial" w:hAnsi="Arial" w:cs="Arial"/>
          <w:lang w:val="en-GB"/>
        </w:rPr>
      </w:pPr>
    </w:p>
    <w:p w14:paraId="25E29062" w14:textId="74A0B160" w:rsidR="00E1708C" w:rsidRPr="00E1708C" w:rsidRDefault="00B37692" w:rsidP="00E1708C">
      <w:pPr>
        <w:pStyle w:val="ListParagraph"/>
        <w:spacing w:line="480" w:lineRule="auto"/>
        <w:ind w:left="360"/>
        <w:jc w:val="both"/>
        <w:rPr>
          <w:rFonts w:ascii="Arial" w:hAnsi="Arial" w:cs="Arial"/>
          <w:b/>
          <w:bCs/>
          <w:lang w:val="en-US"/>
        </w:rPr>
      </w:pPr>
      <w:r>
        <w:rPr>
          <w:rFonts w:ascii="Arial" w:hAnsi="Arial" w:cs="Arial"/>
          <w:b/>
          <w:bCs/>
          <w:lang w:val="en-GB"/>
        </w:rPr>
        <w:t>Costs</w:t>
      </w:r>
    </w:p>
    <w:p w14:paraId="386A48C8" w14:textId="77777777" w:rsidR="005E38AB" w:rsidRPr="00E1708C" w:rsidRDefault="005E38AB" w:rsidP="00E1708C">
      <w:pPr>
        <w:rPr>
          <w:rFonts w:ascii="Arial" w:hAnsi="Arial" w:cs="Arial"/>
          <w:lang w:val="en-US"/>
        </w:rPr>
      </w:pPr>
    </w:p>
    <w:p w14:paraId="4A60CE6D" w14:textId="50F0B3EC" w:rsidR="00493B8E" w:rsidRPr="00A765B0" w:rsidRDefault="00A765B0" w:rsidP="00A765B0">
      <w:pPr>
        <w:spacing w:line="480" w:lineRule="auto"/>
        <w:ind w:left="360" w:hanging="360"/>
        <w:jc w:val="both"/>
        <w:rPr>
          <w:rFonts w:ascii="Arial" w:hAnsi="Arial" w:cs="Arial"/>
          <w:lang w:val="en-US"/>
        </w:rPr>
      </w:pPr>
      <w:r w:rsidRPr="00B37692">
        <w:rPr>
          <w:rFonts w:ascii="Arial" w:hAnsi="Arial" w:cs="Arial"/>
          <w:lang w:val="en-US"/>
        </w:rPr>
        <w:t>39.</w:t>
      </w:r>
      <w:r w:rsidRPr="00B37692">
        <w:rPr>
          <w:rFonts w:ascii="Arial" w:hAnsi="Arial" w:cs="Arial"/>
          <w:lang w:val="en-US"/>
        </w:rPr>
        <w:tab/>
      </w:r>
      <w:r w:rsidR="00E1708C" w:rsidRPr="00A765B0">
        <w:rPr>
          <w:rFonts w:ascii="Arial" w:hAnsi="Arial" w:cs="Arial"/>
          <w:lang w:val="en-US"/>
        </w:rPr>
        <w:t xml:space="preserve">The defendants sought </w:t>
      </w:r>
      <w:r w:rsidR="00BF00FE" w:rsidRPr="00A765B0">
        <w:rPr>
          <w:rFonts w:ascii="Arial" w:hAnsi="Arial" w:cs="Arial"/>
          <w:lang w:val="en-US"/>
        </w:rPr>
        <w:t xml:space="preserve">the </w:t>
      </w:r>
      <w:r w:rsidR="00E1708C" w:rsidRPr="00A765B0">
        <w:rPr>
          <w:rFonts w:ascii="Arial" w:hAnsi="Arial" w:cs="Arial"/>
          <w:lang w:val="en-US"/>
        </w:rPr>
        <w:t>costs of the summary judgment application, including the costs of two counsel</w:t>
      </w:r>
      <w:r w:rsidR="00BF00FE" w:rsidRPr="00A765B0">
        <w:rPr>
          <w:rFonts w:ascii="Arial" w:hAnsi="Arial" w:cs="Arial"/>
          <w:lang w:val="en-US"/>
        </w:rPr>
        <w:t>s</w:t>
      </w:r>
      <w:r w:rsidR="00E1708C" w:rsidRPr="00A765B0">
        <w:rPr>
          <w:rFonts w:ascii="Arial" w:hAnsi="Arial" w:cs="Arial"/>
          <w:lang w:val="en-US"/>
        </w:rPr>
        <w:t xml:space="preserve">. </w:t>
      </w:r>
      <w:r w:rsidR="00493B8E" w:rsidRPr="00A765B0">
        <w:rPr>
          <w:rFonts w:ascii="Arial" w:hAnsi="Arial" w:cs="Arial"/>
          <w:lang w:val="en-US"/>
        </w:rPr>
        <w:t xml:space="preserve">Where summary judgment is refused, </w:t>
      </w:r>
      <w:r w:rsidR="003408FB" w:rsidRPr="00A765B0">
        <w:rPr>
          <w:rFonts w:ascii="Arial" w:hAnsi="Arial" w:cs="Arial"/>
          <w:lang w:val="en-GB"/>
        </w:rPr>
        <w:t>t</w:t>
      </w:r>
      <w:r w:rsidR="00493B8E" w:rsidRPr="00A765B0">
        <w:rPr>
          <w:rFonts w:ascii="Arial" w:hAnsi="Arial" w:cs="Arial"/>
          <w:lang w:val="en-GB"/>
        </w:rPr>
        <w:t xml:space="preserve">he usual course is to </w:t>
      </w:r>
      <w:r w:rsidR="00DD3979" w:rsidRPr="00A765B0">
        <w:rPr>
          <w:rFonts w:ascii="Arial" w:hAnsi="Arial" w:cs="Arial"/>
          <w:lang w:val="en-GB"/>
        </w:rPr>
        <w:t>order costs to be in the cause of the main action</w:t>
      </w:r>
      <w:r w:rsidR="00493B8E" w:rsidRPr="00A765B0">
        <w:rPr>
          <w:rFonts w:ascii="Arial" w:hAnsi="Arial" w:cs="Arial"/>
          <w:lang w:val="en-GB"/>
        </w:rPr>
        <w:t>. I see no reason to deviate from the ‘normal’ rule.</w:t>
      </w:r>
    </w:p>
    <w:p w14:paraId="4695B792" w14:textId="77777777" w:rsidR="00B37692" w:rsidRDefault="00B37692" w:rsidP="00B37692">
      <w:pPr>
        <w:spacing w:line="480" w:lineRule="auto"/>
        <w:jc w:val="both"/>
        <w:rPr>
          <w:rFonts w:ascii="Arial" w:hAnsi="Arial" w:cs="Arial"/>
          <w:lang w:val="en-US"/>
        </w:rPr>
      </w:pPr>
    </w:p>
    <w:p w14:paraId="097F21C1" w14:textId="67514B2C" w:rsidR="00B37692" w:rsidRPr="00A765B0" w:rsidRDefault="00A765B0" w:rsidP="00A765B0">
      <w:pPr>
        <w:spacing w:line="480" w:lineRule="auto"/>
        <w:ind w:left="360" w:hanging="360"/>
        <w:jc w:val="both"/>
        <w:rPr>
          <w:rFonts w:ascii="Arial" w:hAnsi="Arial" w:cs="Arial"/>
          <w:lang w:val="en-US"/>
        </w:rPr>
      </w:pPr>
      <w:r>
        <w:rPr>
          <w:rFonts w:ascii="Arial" w:hAnsi="Arial" w:cs="Arial"/>
          <w:lang w:val="en-US"/>
        </w:rPr>
        <w:t>40.</w:t>
      </w:r>
      <w:r>
        <w:rPr>
          <w:rFonts w:ascii="Arial" w:hAnsi="Arial" w:cs="Arial"/>
          <w:lang w:val="en-US"/>
        </w:rPr>
        <w:tab/>
      </w:r>
      <w:r w:rsidR="00B37692" w:rsidRPr="00A765B0">
        <w:rPr>
          <w:rFonts w:ascii="Arial" w:hAnsi="Arial" w:cs="Arial"/>
          <w:lang w:val="en-US"/>
        </w:rPr>
        <w:t>Consequently, I make the following order:</w:t>
      </w:r>
    </w:p>
    <w:p w14:paraId="46F73010" w14:textId="77777777" w:rsidR="00B37692" w:rsidRPr="00B37692" w:rsidRDefault="00B37692" w:rsidP="00B37692">
      <w:pPr>
        <w:pStyle w:val="ListParagraph"/>
        <w:rPr>
          <w:rFonts w:ascii="Arial" w:hAnsi="Arial" w:cs="Arial"/>
          <w:lang w:val="en-US"/>
        </w:rPr>
      </w:pPr>
    </w:p>
    <w:p w14:paraId="3C954EA7" w14:textId="40B625A1" w:rsidR="00B37692" w:rsidRPr="00B37692" w:rsidRDefault="00B37692" w:rsidP="00B37692">
      <w:pPr>
        <w:pStyle w:val="ListParagraph"/>
        <w:spacing w:line="480" w:lineRule="auto"/>
        <w:ind w:left="360"/>
        <w:jc w:val="both"/>
        <w:rPr>
          <w:rFonts w:ascii="Arial" w:hAnsi="Arial" w:cs="Arial"/>
          <w:b/>
          <w:bCs/>
          <w:lang w:val="en-US"/>
        </w:rPr>
      </w:pPr>
      <w:r w:rsidRPr="00B37692">
        <w:rPr>
          <w:rFonts w:ascii="Arial" w:hAnsi="Arial" w:cs="Arial"/>
          <w:b/>
          <w:bCs/>
          <w:lang w:val="en-US"/>
        </w:rPr>
        <w:t>Order</w:t>
      </w:r>
    </w:p>
    <w:p w14:paraId="57996B74" w14:textId="77777777" w:rsidR="00B37692" w:rsidRDefault="00B37692" w:rsidP="00B37692">
      <w:pPr>
        <w:pStyle w:val="ListParagraph"/>
        <w:spacing w:line="480" w:lineRule="auto"/>
        <w:ind w:left="360"/>
        <w:jc w:val="both"/>
        <w:rPr>
          <w:rFonts w:ascii="Arial" w:hAnsi="Arial" w:cs="Arial"/>
          <w:lang w:val="en-US"/>
        </w:rPr>
      </w:pPr>
    </w:p>
    <w:p w14:paraId="55749D8C" w14:textId="6DF3A9A4" w:rsidR="00B37692" w:rsidRDefault="00B37692" w:rsidP="00A3512C">
      <w:pPr>
        <w:spacing w:line="480" w:lineRule="auto"/>
        <w:jc w:val="both"/>
        <w:rPr>
          <w:rFonts w:ascii="Arial" w:hAnsi="Arial" w:cs="Arial"/>
          <w:lang w:val="en-US"/>
        </w:rPr>
      </w:pPr>
      <w:r w:rsidRPr="00A3512C">
        <w:rPr>
          <w:rFonts w:ascii="Arial" w:hAnsi="Arial" w:cs="Arial"/>
          <w:lang w:val="en-US"/>
        </w:rPr>
        <w:t>The application for summary judgment is dismissed with costs to be in the cause</w:t>
      </w:r>
      <w:r w:rsidR="00DD3979" w:rsidRPr="00A3512C">
        <w:rPr>
          <w:rFonts w:ascii="Arial" w:hAnsi="Arial" w:cs="Arial"/>
          <w:lang w:val="en-US"/>
        </w:rPr>
        <w:t xml:space="preserve"> of the main action</w:t>
      </w:r>
      <w:r w:rsidRPr="00A3512C">
        <w:rPr>
          <w:rFonts w:ascii="Arial" w:hAnsi="Arial" w:cs="Arial"/>
          <w:lang w:val="en-US"/>
        </w:rPr>
        <w:t>.</w:t>
      </w:r>
    </w:p>
    <w:p w14:paraId="69E23FFF" w14:textId="77777777" w:rsidR="00A3512C" w:rsidRDefault="00A3512C" w:rsidP="00A3512C">
      <w:pPr>
        <w:spacing w:line="480" w:lineRule="auto"/>
        <w:jc w:val="both"/>
        <w:rPr>
          <w:rFonts w:ascii="Arial" w:hAnsi="Arial" w:cs="Arial"/>
          <w:lang w:val="en-US"/>
        </w:rPr>
      </w:pPr>
    </w:p>
    <w:p w14:paraId="413772B2" w14:textId="5E84AF2D" w:rsidR="00A3512C" w:rsidRDefault="00A3512C" w:rsidP="00A3512C">
      <w:pPr>
        <w:spacing w:line="48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_____________________</w:t>
      </w:r>
    </w:p>
    <w:p w14:paraId="58892FD0" w14:textId="51DB8E19" w:rsidR="00A3512C" w:rsidRPr="00214EC6" w:rsidRDefault="00A3512C" w:rsidP="00A3512C">
      <w:pPr>
        <w:spacing w:line="480" w:lineRule="auto"/>
        <w:jc w:val="both"/>
        <w:rPr>
          <w:rFonts w:ascii="Arial" w:hAnsi="Arial" w:cs="Arial"/>
          <w:b/>
          <w:bCs/>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214EC6">
        <w:rPr>
          <w:rFonts w:ascii="Arial" w:hAnsi="Arial" w:cs="Arial"/>
          <w:b/>
          <w:bCs/>
          <w:lang w:val="en-US"/>
        </w:rPr>
        <w:t>T Lipshitz AJ</w:t>
      </w:r>
    </w:p>
    <w:p w14:paraId="73C43F4D" w14:textId="19DA174E" w:rsidR="00A3512C" w:rsidRDefault="00A3512C" w:rsidP="00A3512C">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Acting Judge: Gauteng Division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Johannesburg</w:t>
      </w:r>
    </w:p>
    <w:p w14:paraId="0C6C46A8" w14:textId="34C7E29A" w:rsidR="00A3512C" w:rsidRDefault="00A3512C" w:rsidP="00A3512C">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(electronic signature appended)</w:t>
      </w:r>
    </w:p>
    <w:p w14:paraId="7B1254B9" w14:textId="41BAC000" w:rsidR="00D54ECF" w:rsidRPr="003408FB" w:rsidRDefault="00A3512C" w:rsidP="003408FB">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3408FB">
        <w:rPr>
          <w:rFonts w:ascii="Arial" w:hAnsi="Arial" w:cs="Arial"/>
          <w:lang w:val="en-US"/>
        </w:rPr>
        <w:t>06</w:t>
      </w:r>
      <w:r>
        <w:rPr>
          <w:rFonts w:ascii="Arial" w:hAnsi="Arial" w:cs="Arial"/>
          <w:lang w:val="en-US"/>
        </w:rPr>
        <w:t xml:space="preserve"> July 2023</w:t>
      </w:r>
    </w:p>
    <w:p w14:paraId="57C32DF7" w14:textId="77777777" w:rsidR="00D54ECF" w:rsidRDefault="00D54ECF" w:rsidP="00A3512C">
      <w:pPr>
        <w:spacing w:line="480" w:lineRule="auto"/>
        <w:jc w:val="both"/>
        <w:rPr>
          <w:rFonts w:ascii="Arial" w:hAnsi="Arial" w:cs="Arial"/>
          <w:lang w:val="en-GB"/>
        </w:rPr>
      </w:pPr>
    </w:p>
    <w:p w14:paraId="4B7F2F41" w14:textId="52FCE52F" w:rsidR="005E38AB" w:rsidRPr="00A3512C" w:rsidRDefault="00A3512C" w:rsidP="00A3512C">
      <w:pPr>
        <w:spacing w:line="480" w:lineRule="auto"/>
        <w:jc w:val="both"/>
        <w:rPr>
          <w:rFonts w:ascii="Arial" w:hAnsi="Arial" w:cs="Arial"/>
          <w:lang w:val="en-GB"/>
        </w:rPr>
      </w:pPr>
      <w:r w:rsidRPr="00A3512C">
        <w:rPr>
          <w:rFonts w:ascii="Arial" w:hAnsi="Arial" w:cs="Arial"/>
          <w:lang w:val="en-GB"/>
        </w:rPr>
        <w:t>Attorneys for the Plaintiff</w:t>
      </w:r>
    </w:p>
    <w:p w14:paraId="1EBA70FA" w14:textId="3372793B" w:rsidR="00A3512C" w:rsidRPr="00A3512C" w:rsidRDefault="00A3512C" w:rsidP="00A3512C">
      <w:pPr>
        <w:spacing w:line="480" w:lineRule="auto"/>
        <w:jc w:val="both"/>
        <w:rPr>
          <w:rFonts w:ascii="Arial" w:hAnsi="Arial" w:cs="Arial"/>
          <w:b/>
          <w:bCs/>
          <w:lang w:val="en-GB"/>
        </w:rPr>
      </w:pPr>
      <w:r w:rsidRPr="00A3512C">
        <w:rPr>
          <w:rFonts w:ascii="Arial" w:hAnsi="Arial" w:cs="Arial"/>
          <w:b/>
          <w:bCs/>
          <w:lang w:val="en-GB"/>
        </w:rPr>
        <w:t>ODBB Attorneys</w:t>
      </w:r>
    </w:p>
    <w:p w14:paraId="5832AB96" w14:textId="2DB6018E" w:rsidR="00A3512C" w:rsidRPr="00A3512C" w:rsidRDefault="00A3512C" w:rsidP="00A3512C">
      <w:pPr>
        <w:spacing w:line="480" w:lineRule="auto"/>
        <w:jc w:val="both"/>
        <w:rPr>
          <w:rFonts w:ascii="Arial" w:hAnsi="Arial" w:cs="Arial"/>
          <w:lang w:val="en-GB"/>
        </w:rPr>
      </w:pPr>
      <w:r w:rsidRPr="00A3512C">
        <w:rPr>
          <w:rFonts w:ascii="Arial" w:hAnsi="Arial" w:cs="Arial"/>
          <w:lang w:val="en-GB"/>
        </w:rPr>
        <w:t>Counsel for the Plaintiff</w:t>
      </w:r>
    </w:p>
    <w:p w14:paraId="347D04D0" w14:textId="1F68FE79" w:rsidR="00A3512C" w:rsidRPr="00A3512C" w:rsidRDefault="00A3512C" w:rsidP="00A3512C">
      <w:pPr>
        <w:spacing w:line="480" w:lineRule="auto"/>
        <w:jc w:val="both"/>
        <w:rPr>
          <w:rFonts w:ascii="Arial" w:hAnsi="Arial" w:cs="Arial"/>
          <w:b/>
          <w:bCs/>
          <w:lang w:val="en-GB"/>
        </w:rPr>
      </w:pPr>
      <w:r w:rsidRPr="00A3512C">
        <w:rPr>
          <w:rFonts w:ascii="Arial" w:hAnsi="Arial" w:cs="Arial"/>
          <w:b/>
          <w:bCs/>
          <w:lang w:val="en-GB"/>
        </w:rPr>
        <w:t>J G Botha</w:t>
      </w:r>
    </w:p>
    <w:p w14:paraId="3B5C7B09" w14:textId="77777777" w:rsidR="00A3512C" w:rsidRDefault="00A3512C" w:rsidP="00493B8E">
      <w:pPr>
        <w:pStyle w:val="ListParagraph"/>
        <w:spacing w:line="480" w:lineRule="auto"/>
        <w:ind w:left="360"/>
        <w:jc w:val="both"/>
        <w:rPr>
          <w:rFonts w:ascii="Arial" w:hAnsi="Arial" w:cs="Arial"/>
          <w:lang w:val="en-GB"/>
        </w:rPr>
      </w:pPr>
    </w:p>
    <w:p w14:paraId="31094B6D" w14:textId="4E1F8E47" w:rsidR="00A3512C" w:rsidRPr="00A3512C" w:rsidRDefault="00A3512C" w:rsidP="00A3512C">
      <w:pPr>
        <w:spacing w:line="480" w:lineRule="auto"/>
        <w:jc w:val="both"/>
        <w:rPr>
          <w:rFonts w:ascii="Arial" w:hAnsi="Arial" w:cs="Arial"/>
          <w:lang w:val="en-GB"/>
        </w:rPr>
      </w:pPr>
      <w:r w:rsidRPr="00A3512C">
        <w:rPr>
          <w:rFonts w:ascii="Arial" w:hAnsi="Arial" w:cs="Arial"/>
          <w:lang w:val="en-GB"/>
        </w:rPr>
        <w:t xml:space="preserve">Attorneys for the Defendant </w:t>
      </w:r>
    </w:p>
    <w:p w14:paraId="035F44F6" w14:textId="319878F4" w:rsidR="00A3512C" w:rsidRPr="00A3512C" w:rsidRDefault="00A3512C" w:rsidP="00A3512C">
      <w:pPr>
        <w:spacing w:line="480" w:lineRule="auto"/>
        <w:jc w:val="both"/>
        <w:rPr>
          <w:rFonts w:ascii="Arial" w:hAnsi="Arial" w:cs="Arial"/>
          <w:b/>
          <w:bCs/>
          <w:lang w:val="en-GB"/>
        </w:rPr>
      </w:pPr>
      <w:r w:rsidRPr="00A3512C">
        <w:rPr>
          <w:rFonts w:ascii="Arial" w:hAnsi="Arial" w:cs="Arial"/>
          <w:b/>
          <w:bCs/>
          <w:lang w:val="en-GB"/>
        </w:rPr>
        <w:t>Subrayan Naidoo Attorneys</w:t>
      </w:r>
    </w:p>
    <w:p w14:paraId="5679CFC4" w14:textId="677FB49E" w:rsidR="00A3512C" w:rsidRPr="00A3512C" w:rsidRDefault="00A3512C" w:rsidP="00A3512C">
      <w:pPr>
        <w:spacing w:line="480" w:lineRule="auto"/>
        <w:jc w:val="both"/>
        <w:rPr>
          <w:rFonts w:ascii="Arial" w:hAnsi="Arial" w:cs="Arial"/>
          <w:lang w:val="en-GB"/>
        </w:rPr>
      </w:pPr>
      <w:r w:rsidRPr="00A3512C">
        <w:rPr>
          <w:rFonts w:ascii="Arial" w:hAnsi="Arial" w:cs="Arial"/>
          <w:lang w:val="en-GB"/>
        </w:rPr>
        <w:t>Counsel for the Defendant</w:t>
      </w:r>
    </w:p>
    <w:p w14:paraId="3D8152D2" w14:textId="716C3AAD" w:rsidR="00A3512C" w:rsidRPr="00A3512C" w:rsidRDefault="00A3512C" w:rsidP="00A3512C">
      <w:pPr>
        <w:spacing w:line="480" w:lineRule="auto"/>
        <w:jc w:val="both"/>
        <w:rPr>
          <w:rFonts w:ascii="Arial" w:hAnsi="Arial" w:cs="Arial"/>
          <w:b/>
          <w:bCs/>
          <w:lang w:val="en-GB"/>
        </w:rPr>
      </w:pPr>
      <w:r w:rsidRPr="00A3512C">
        <w:rPr>
          <w:rFonts w:ascii="Arial" w:hAnsi="Arial" w:cs="Arial"/>
          <w:b/>
          <w:bCs/>
          <w:lang w:val="en-GB"/>
        </w:rPr>
        <w:t>A Berkowitz</w:t>
      </w:r>
    </w:p>
    <w:p w14:paraId="7840DD82" w14:textId="510F7224" w:rsidR="00A3512C" w:rsidRPr="00A3512C" w:rsidRDefault="00A3512C" w:rsidP="00A3512C">
      <w:pPr>
        <w:spacing w:line="480" w:lineRule="auto"/>
        <w:jc w:val="both"/>
        <w:rPr>
          <w:rFonts w:ascii="Arial" w:hAnsi="Arial" w:cs="Arial"/>
          <w:b/>
          <w:bCs/>
          <w:lang w:val="en-GB"/>
        </w:rPr>
      </w:pPr>
      <w:r w:rsidRPr="00A3512C">
        <w:rPr>
          <w:rFonts w:ascii="Arial" w:hAnsi="Arial" w:cs="Arial"/>
          <w:b/>
          <w:bCs/>
          <w:lang w:val="en-GB"/>
        </w:rPr>
        <w:t>V Heideman</w:t>
      </w:r>
    </w:p>
    <w:p w14:paraId="6A73DBBF" w14:textId="77777777" w:rsidR="00A3512C" w:rsidRPr="00F87BCB" w:rsidRDefault="00A3512C" w:rsidP="00493B8E">
      <w:pPr>
        <w:pStyle w:val="ListParagraph"/>
        <w:spacing w:line="480" w:lineRule="auto"/>
        <w:ind w:left="360"/>
        <w:jc w:val="both"/>
        <w:rPr>
          <w:rFonts w:ascii="Arial" w:hAnsi="Arial" w:cs="Arial"/>
          <w:lang w:val="en-US"/>
        </w:rPr>
      </w:pPr>
    </w:p>
    <w:sectPr w:rsidR="00A3512C" w:rsidRPr="00F87BCB">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22AF" w14:textId="77777777" w:rsidR="00940C78" w:rsidRDefault="00940C78" w:rsidP="007109C7">
      <w:r>
        <w:separator/>
      </w:r>
    </w:p>
  </w:endnote>
  <w:endnote w:type="continuationSeparator" w:id="0">
    <w:p w14:paraId="511B46EA" w14:textId="77777777" w:rsidR="00940C78" w:rsidRDefault="00940C78" w:rsidP="007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42CCB" w14:textId="77777777" w:rsidR="00940C78" w:rsidRDefault="00940C78" w:rsidP="007109C7">
      <w:r>
        <w:separator/>
      </w:r>
    </w:p>
  </w:footnote>
  <w:footnote w:type="continuationSeparator" w:id="0">
    <w:p w14:paraId="0180C6DB" w14:textId="77777777" w:rsidR="00940C78" w:rsidRDefault="00940C78" w:rsidP="007109C7">
      <w:r>
        <w:continuationSeparator/>
      </w:r>
    </w:p>
  </w:footnote>
  <w:footnote w:id="1">
    <w:p w14:paraId="3B6C9D61" w14:textId="7DD65FD7" w:rsidR="007109C7" w:rsidRPr="003408FB" w:rsidRDefault="007109C7">
      <w:pPr>
        <w:pStyle w:val="FootnoteText"/>
        <w:rPr>
          <w:rFonts w:ascii="Arial" w:hAnsi="Arial" w:cs="Arial"/>
          <w:lang w:val="en-US"/>
        </w:rPr>
      </w:pPr>
      <w:r w:rsidRPr="003408FB">
        <w:rPr>
          <w:rStyle w:val="FootnoteReference"/>
          <w:rFonts w:ascii="Arial" w:hAnsi="Arial" w:cs="Arial"/>
        </w:rPr>
        <w:footnoteRef/>
      </w:r>
      <w:r w:rsidRPr="003408FB">
        <w:rPr>
          <w:rFonts w:ascii="Arial" w:hAnsi="Arial" w:cs="Arial"/>
        </w:rPr>
        <w:t xml:space="preserve"> </w:t>
      </w:r>
      <w:r w:rsidRPr="003408FB">
        <w:rPr>
          <w:rFonts w:ascii="Arial" w:hAnsi="Arial" w:cs="Arial"/>
          <w:lang w:val="en-US"/>
        </w:rPr>
        <w:t>At paragraph 33</w:t>
      </w:r>
    </w:p>
  </w:footnote>
  <w:footnote w:id="2">
    <w:p w14:paraId="2BE8ED9B" w14:textId="11405FDA" w:rsidR="007109C7" w:rsidRPr="003408FB" w:rsidRDefault="007109C7">
      <w:pPr>
        <w:pStyle w:val="FootnoteText"/>
        <w:rPr>
          <w:rFonts w:ascii="Arial" w:hAnsi="Arial" w:cs="Arial"/>
          <w:lang w:val="en-US"/>
        </w:rPr>
      </w:pPr>
      <w:r w:rsidRPr="003408FB">
        <w:rPr>
          <w:rStyle w:val="FootnoteReference"/>
          <w:rFonts w:ascii="Arial" w:hAnsi="Arial" w:cs="Arial"/>
        </w:rPr>
        <w:footnoteRef/>
      </w:r>
      <w:r w:rsidRPr="003408FB">
        <w:rPr>
          <w:rFonts w:ascii="Arial" w:hAnsi="Arial" w:cs="Arial"/>
        </w:rPr>
        <w:t xml:space="preserve"> </w:t>
      </w:r>
      <w:r w:rsidRPr="003408FB">
        <w:rPr>
          <w:rFonts w:ascii="Arial" w:hAnsi="Arial" w:cs="Arial"/>
          <w:lang w:val="en-US"/>
        </w:rPr>
        <w:t>At paragraph 32</w:t>
      </w:r>
    </w:p>
  </w:footnote>
  <w:footnote w:id="3">
    <w:p w14:paraId="13C2AD46" w14:textId="56F7DDED" w:rsidR="00F87BCB" w:rsidRPr="00AC59F9" w:rsidRDefault="00F87BCB">
      <w:pPr>
        <w:pStyle w:val="FootnoteText"/>
        <w:rPr>
          <w:rFonts w:ascii="Arial" w:hAnsi="Arial" w:cs="Arial"/>
          <w:lang w:val="en-US"/>
        </w:rPr>
      </w:pPr>
      <w:r w:rsidRPr="00AC59F9">
        <w:rPr>
          <w:rStyle w:val="FootnoteReference"/>
          <w:rFonts w:ascii="Arial" w:hAnsi="Arial" w:cs="Arial"/>
        </w:rPr>
        <w:footnoteRef/>
      </w:r>
      <w:r w:rsidRPr="00AC59F9">
        <w:rPr>
          <w:rFonts w:ascii="Arial" w:hAnsi="Arial" w:cs="Arial"/>
        </w:rPr>
        <w:t xml:space="preserve"> </w:t>
      </w:r>
      <w:r w:rsidRPr="00AC59F9">
        <w:rPr>
          <w:rFonts w:ascii="Arial" w:hAnsi="Arial" w:cs="Arial"/>
          <w:lang w:val="en-US"/>
        </w:rPr>
        <w:t>Absa Technology Finance Solutions (Pty) Ltd V Michael’s Bid a House CC and Another 2013 (3) SA 426 (SCA) at paragraphs 14, 23 and 26</w:t>
      </w:r>
    </w:p>
  </w:footnote>
  <w:footnote w:id="4">
    <w:p w14:paraId="24110498" w14:textId="77777777" w:rsidR="008758E8" w:rsidRPr="00AC59F9" w:rsidRDefault="008758E8" w:rsidP="008758E8">
      <w:pPr>
        <w:pStyle w:val="FootnoteText"/>
        <w:spacing w:after="120"/>
        <w:jc w:val="both"/>
        <w:rPr>
          <w:rFonts w:ascii="Arial" w:hAnsi="Arial" w:cs="Arial"/>
          <w:color w:val="000000" w:themeColor="text1"/>
          <w:lang w:val="en-US"/>
        </w:rPr>
      </w:pPr>
      <w:r w:rsidRPr="00AC59F9">
        <w:rPr>
          <w:rStyle w:val="FootnoteReference"/>
          <w:rFonts w:ascii="Arial" w:hAnsi="Arial" w:cs="Arial"/>
          <w:color w:val="000000" w:themeColor="text1"/>
        </w:rPr>
        <w:footnoteRef/>
      </w:r>
      <w:r w:rsidRPr="00AC59F9">
        <w:rPr>
          <w:rFonts w:ascii="Arial" w:hAnsi="Arial" w:cs="Arial"/>
          <w:color w:val="000000" w:themeColor="text1"/>
        </w:rPr>
        <w:t xml:space="preserve"> </w:t>
      </w:r>
      <w:r w:rsidRPr="00AC59F9">
        <w:rPr>
          <w:rFonts w:ascii="Arial" w:hAnsi="Arial" w:cs="Arial"/>
          <w:color w:val="000000" w:themeColor="text1"/>
          <w:lang w:val="en-US"/>
        </w:rPr>
        <w:t>Natal Joint Municipal Pension Fund v Endumeni Municipality 2012 (4) SA 593 (SCA) paras 18-23;</w:t>
      </w:r>
      <w:r w:rsidRPr="00AC59F9">
        <w:rPr>
          <w:rFonts w:ascii="Arial" w:hAnsi="Arial" w:cs="Arial"/>
          <w:bCs/>
          <w:color w:val="000000" w:themeColor="text1"/>
          <w:lang w:val="en-US"/>
        </w:rPr>
        <w:t xml:space="preserve"> Cool Ideas 1186 CC v Hubbard and Another 2014 (4) SA 474 (CC) at para 28</w:t>
      </w:r>
      <w:r w:rsidRPr="00AC59F9">
        <w:rPr>
          <w:rFonts w:ascii="Arial" w:hAnsi="Arial" w:cs="Arial"/>
          <w:color w:val="000000" w:themeColor="text1"/>
          <w:lang w:val="en-US"/>
        </w:rPr>
        <w:t>.</w:t>
      </w:r>
    </w:p>
  </w:footnote>
  <w:footnote w:id="5">
    <w:p w14:paraId="0CD48F3C" w14:textId="739A94D7" w:rsidR="008758E8" w:rsidRPr="00AC59F9" w:rsidRDefault="008758E8" w:rsidP="00637450">
      <w:pPr>
        <w:pStyle w:val="fnotetext"/>
        <w:shd w:val="clear" w:color="auto" w:fill="FFFFFF"/>
        <w:spacing w:before="120" w:beforeAutospacing="0" w:after="0" w:afterAutospacing="0"/>
        <w:rPr>
          <w:rFonts w:ascii="Arial" w:hAnsi="Arial" w:cs="Arial"/>
          <w:color w:val="000000" w:themeColor="text1"/>
          <w:sz w:val="20"/>
          <w:szCs w:val="20"/>
        </w:rPr>
      </w:pPr>
      <w:r w:rsidRPr="00AC59F9">
        <w:rPr>
          <w:rStyle w:val="FootnoteReference"/>
          <w:rFonts w:ascii="Arial" w:hAnsi="Arial" w:cs="Arial"/>
          <w:sz w:val="20"/>
          <w:szCs w:val="20"/>
        </w:rPr>
        <w:footnoteRef/>
      </w:r>
      <w:r w:rsidRPr="00AC59F9">
        <w:rPr>
          <w:rFonts w:ascii="Arial" w:hAnsi="Arial" w:cs="Arial"/>
          <w:color w:val="000000" w:themeColor="text1"/>
          <w:sz w:val="20"/>
          <w:szCs w:val="20"/>
        </w:rPr>
        <w:t xml:space="preserve"> </w:t>
      </w:r>
      <w:r w:rsidRPr="00AC59F9">
        <w:rPr>
          <w:rFonts w:ascii="Arial" w:hAnsi="Arial" w:cs="Arial"/>
          <w:color w:val="000000" w:themeColor="text1"/>
          <w:sz w:val="20"/>
          <w:szCs w:val="20"/>
          <w:lang w:val="en-US"/>
        </w:rPr>
        <w:t xml:space="preserve">Natal Joint Municipal Pension Fund v Endumeni Municipality 2012 (4) SA 593 (SCA) paras; </w:t>
      </w:r>
      <w:r w:rsidRPr="00AC59F9">
        <w:rPr>
          <w:rFonts w:ascii="Arial" w:hAnsi="Arial" w:cs="Arial"/>
          <w:color w:val="2C3E50"/>
          <w:sz w:val="20"/>
          <w:szCs w:val="20"/>
        </w:rPr>
        <w:t xml:space="preserve">Novartis SA (Pty) Ltd v Maphil </w:t>
      </w:r>
      <w:r w:rsidRPr="00AC59F9">
        <w:rPr>
          <w:rFonts w:ascii="Arial" w:hAnsi="Arial" w:cs="Arial"/>
          <w:color w:val="000000" w:themeColor="text1"/>
          <w:sz w:val="20"/>
          <w:szCs w:val="20"/>
        </w:rPr>
        <w:t>Trading (Pty) Ltd </w:t>
      </w:r>
      <w:hyperlink r:id="rId1" w:history="1">
        <w:r w:rsidRPr="00AC59F9">
          <w:rPr>
            <w:rStyle w:val="Hyperlink"/>
            <w:rFonts w:ascii="Arial" w:hAnsi="Arial" w:cs="Arial"/>
            <w:color w:val="000000" w:themeColor="text1"/>
            <w:sz w:val="20"/>
            <w:szCs w:val="20"/>
            <w:u w:val="none"/>
          </w:rPr>
          <w:t>2016 (1) SA 518 (SCA)</w:t>
        </w:r>
      </w:hyperlink>
      <w:r w:rsidRPr="00AC59F9">
        <w:rPr>
          <w:rFonts w:ascii="Arial" w:hAnsi="Arial" w:cs="Arial"/>
          <w:color w:val="000000" w:themeColor="text1"/>
          <w:sz w:val="20"/>
          <w:szCs w:val="20"/>
        </w:rPr>
        <w:t> ([2015] ZASCA 111) para 27.</w:t>
      </w:r>
    </w:p>
  </w:footnote>
  <w:footnote w:id="6">
    <w:p w14:paraId="24ECE108" w14:textId="6FFB6D97" w:rsidR="00E232F8" w:rsidRPr="00AC59F9" w:rsidRDefault="00E232F8">
      <w:pPr>
        <w:pStyle w:val="FootnoteText"/>
        <w:rPr>
          <w:rFonts w:ascii="Arial" w:hAnsi="Arial" w:cs="Arial"/>
          <w:lang w:val="en-US"/>
        </w:rPr>
      </w:pPr>
      <w:r w:rsidRPr="00AC59F9">
        <w:rPr>
          <w:rStyle w:val="FootnoteReference"/>
          <w:rFonts w:ascii="Arial" w:hAnsi="Arial" w:cs="Arial"/>
        </w:rPr>
        <w:footnoteRef/>
      </w:r>
      <w:r w:rsidRPr="00AC59F9">
        <w:rPr>
          <w:rFonts w:ascii="Arial" w:hAnsi="Arial" w:cs="Arial"/>
        </w:rPr>
        <w:t xml:space="preserve"> </w:t>
      </w:r>
      <w:r w:rsidRPr="00AC59F9">
        <w:rPr>
          <w:rFonts w:ascii="Arial" w:hAnsi="Arial" w:cs="Arial"/>
          <w:color w:val="000000" w:themeColor="text1"/>
          <w:lang w:val="en-US"/>
        </w:rPr>
        <w:t>Natal Joint Municipal Pension Fund v Endumeni Municipality 2012 (4) SA 593 (SCA) paras 18</w:t>
      </w:r>
    </w:p>
  </w:footnote>
  <w:footnote w:id="7">
    <w:p w14:paraId="1C72C17F" w14:textId="324575B3" w:rsidR="005354CB" w:rsidRPr="005354CB" w:rsidRDefault="005354CB">
      <w:pPr>
        <w:pStyle w:val="FootnoteText"/>
        <w:rPr>
          <w:lang w:val="en-US"/>
        </w:rPr>
      </w:pPr>
      <w:r w:rsidRPr="00AC59F9">
        <w:rPr>
          <w:rStyle w:val="FootnoteReference"/>
          <w:rFonts w:ascii="Arial" w:hAnsi="Arial" w:cs="Arial"/>
        </w:rPr>
        <w:footnoteRef/>
      </w:r>
      <w:r w:rsidRPr="00AC59F9">
        <w:rPr>
          <w:rFonts w:ascii="Arial" w:hAnsi="Arial" w:cs="Arial"/>
        </w:rPr>
        <w:t xml:space="preserve"> </w:t>
      </w:r>
      <w:r w:rsidRPr="00AC59F9">
        <w:rPr>
          <w:rFonts w:ascii="Arial" w:hAnsi="Arial" w:cs="Arial"/>
          <w:lang w:val="en-US"/>
        </w:rPr>
        <w:t>Eskom Holdings Ltd V Halstead-Cleak 2017 (1) SA 333 (SCA) at paragraphs 10-16</w:t>
      </w:r>
    </w:p>
  </w:footnote>
  <w:footnote w:id="8">
    <w:p w14:paraId="6AAB1072" w14:textId="1B95FDE4" w:rsidR="00410FB9" w:rsidRPr="00DD3979" w:rsidRDefault="00410FB9">
      <w:pPr>
        <w:pStyle w:val="FootnoteText"/>
        <w:rPr>
          <w:rFonts w:ascii="Arial" w:hAnsi="Arial" w:cs="Arial"/>
          <w:lang w:val="en-US"/>
        </w:rPr>
      </w:pPr>
      <w:r w:rsidRPr="00DD3979">
        <w:rPr>
          <w:rStyle w:val="FootnoteReference"/>
          <w:rFonts w:ascii="Arial" w:hAnsi="Arial" w:cs="Arial"/>
        </w:rPr>
        <w:footnoteRef/>
      </w:r>
      <w:r w:rsidRPr="00DD3979">
        <w:rPr>
          <w:rFonts w:ascii="Arial" w:hAnsi="Arial" w:cs="Arial"/>
        </w:rPr>
        <w:t xml:space="preserve"> E</w:t>
      </w:r>
      <w:r w:rsidRPr="00DD3979">
        <w:rPr>
          <w:rFonts w:ascii="Arial" w:hAnsi="Arial" w:cs="Arial"/>
          <w:color w:val="000000"/>
          <w:shd w:val="clear" w:color="auto" w:fill="FFFFFF"/>
        </w:rPr>
        <w:t>xtel Industrial (Pty) Ltd v Crown Mills (Pty) Ltd </w:t>
      </w:r>
      <w:r w:rsidRPr="00DD3979">
        <w:rPr>
          <w:rFonts w:ascii="Arial" w:hAnsi="Arial" w:cs="Arial"/>
        </w:rPr>
        <w:t>1999 (2) SA 719</w:t>
      </w:r>
      <w:r w:rsidRPr="00DD3979">
        <w:rPr>
          <w:rFonts w:ascii="Arial" w:hAnsi="Arial" w:cs="Arial"/>
          <w:color w:val="000000"/>
          <w:shd w:val="clear" w:color="auto" w:fill="FFFFFF"/>
        </w:rPr>
        <w:t> (SCA) p732</w:t>
      </w:r>
    </w:p>
  </w:footnote>
  <w:footnote w:id="9">
    <w:p w14:paraId="49A29D4D" w14:textId="3A215DC5" w:rsidR="00BF596B" w:rsidRPr="00BF596B" w:rsidRDefault="00BF596B" w:rsidP="00BF596B">
      <w:pPr>
        <w:pStyle w:val="FootnoteText"/>
        <w:jc w:val="both"/>
        <w:rPr>
          <w:lang w:val="en-US"/>
        </w:rPr>
      </w:pPr>
      <w:r>
        <w:rPr>
          <w:rStyle w:val="FootnoteReference"/>
        </w:rPr>
        <w:footnoteRef/>
      </w:r>
      <w:r>
        <w:t xml:space="preserve"> </w:t>
      </w:r>
      <w:r>
        <w:rPr>
          <w:lang w:val="en-US"/>
        </w:rPr>
        <w:t>Citibank NA V South African Branch V Paul N.O and Another 2003 (4) SA 180 (T); Company Unique Finance V Johannesburg Northern Metropolitan Local Council 2011 (1) SA 440 (GSJ) and Absa Technology Finance Solutions (Pty) Ltd V Leon Hattingh t/a Corner Savings Supermarket 2009 JDR 0382 (GNP)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5674674"/>
      <w:docPartObj>
        <w:docPartGallery w:val="Page Numbers (Top of Page)"/>
        <w:docPartUnique/>
      </w:docPartObj>
    </w:sdtPr>
    <w:sdtEndPr>
      <w:rPr>
        <w:rStyle w:val="PageNumber"/>
      </w:rPr>
    </w:sdtEndPr>
    <w:sdtContent>
      <w:p w14:paraId="370429EE" w14:textId="0869BCB6" w:rsidR="00E1708C" w:rsidRDefault="00E1708C" w:rsidP="00606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CED9C" w14:textId="77777777" w:rsidR="00E1708C" w:rsidRDefault="00E1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7405942"/>
      <w:docPartObj>
        <w:docPartGallery w:val="Page Numbers (Top of Page)"/>
        <w:docPartUnique/>
      </w:docPartObj>
    </w:sdtPr>
    <w:sdtEndPr>
      <w:rPr>
        <w:rStyle w:val="PageNumber"/>
      </w:rPr>
    </w:sdtEndPr>
    <w:sdtContent>
      <w:p w14:paraId="4E76FF53" w14:textId="0EA07D77" w:rsidR="00E1708C" w:rsidRDefault="00E1708C" w:rsidP="00606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65B0">
          <w:rPr>
            <w:rStyle w:val="PageNumber"/>
            <w:noProof/>
          </w:rPr>
          <w:t>3</w:t>
        </w:r>
        <w:r>
          <w:rPr>
            <w:rStyle w:val="PageNumber"/>
          </w:rPr>
          <w:fldChar w:fldCharType="end"/>
        </w:r>
      </w:p>
    </w:sdtContent>
  </w:sdt>
  <w:p w14:paraId="52CE4697" w14:textId="77777777" w:rsidR="00E1708C" w:rsidRDefault="00E1708C">
    <w:pPr>
      <w:pStyle w:val="Header"/>
    </w:pPr>
  </w:p>
  <w:p w14:paraId="3BF3CF16" w14:textId="77777777" w:rsidR="00A3512C" w:rsidRDefault="00A35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F5A88"/>
    <w:multiLevelType w:val="multilevel"/>
    <w:tmpl w:val="D834D704"/>
    <w:lvl w:ilvl="0">
      <w:start w:val="1"/>
      <w:numFmt w:val="decimal"/>
      <w:lvlText w:val="%1."/>
      <w:lvlJc w:val="left"/>
      <w:pPr>
        <w:ind w:left="502" w:hanging="360"/>
      </w:pPr>
      <w:rPr>
        <w:rFonts w:hint="default"/>
      </w:rPr>
    </w:lvl>
    <w:lvl w:ilvl="1">
      <w:start w:val="1"/>
      <w:numFmt w:val="decimal"/>
      <w:lvlText w:val="%1.%2."/>
      <w:lvlJc w:val="left"/>
      <w:pPr>
        <w:ind w:left="1588" w:hanging="1228"/>
      </w:pPr>
      <w:rPr>
        <w:rFonts w:hint="default"/>
      </w:rPr>
    </w:lvl>
    <w:lvl w:ilvl="2">
      <w:start w:val="1"/>
      <w:numFmt w:val="decimal"/>
      <w:lvlText w:val="%1.%2.%3."/>
      <w:lvlJc w:val="left"/>
      <w:pPr>
        <w:ind w:left="2778" w:hanging="205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DA7AD3"/>
    <w:multiLevelType w:val="multilevel"/>
    <w:tmpl w:val="E0EE886A"/>
    <w:lvl w:ilvl="0">
      <w:start w:val="1"/>
      <w:numFmt w:val="decimal"/>
      <w:pStyle w:val="SIUaffidavitnumbering"/>
      <w:lvlText w:val="%1"/>
      <w:lvlJc w:val="left"/>
      <w:pPr>
        <w:tabs>
          <w:tab w:val="num" w:pos="567"/>
        </w:tabs>
        <w:ind w:left="567" w:hanging="567"/>
      </w:pPr>
      <w:rPr>
        <w:rFonts w:ascii="Arial" w:hAnsi="Arial" w:cs="Arial" w:hint="default"/>
        <w:b w:val="0"/>
        <w:i w:val="0"/>
        <w:color w:val="000000" w:themeColor="text1"/>
        <w:sz w:val="22"/>
      </w:rPr>
    </w:lvl>
    <w:lvl w:ilvl="1">
      <w:start w:val="1"/>
      <w:numFmt w:val="decimal"/>
      <w:lvlText w:val="%1.%2"/>
      <w:lvlJc w:val="left"/>
      <w:pPr>
        <w:tabs>
          <w:tab w:val="num" w:pos="1134"/>
        </w:tabs>
        <w:ind w:left="1134" w:hanging="567"/>
      </w:pPr>
      <w:rPr>
        <w:rFonts w:ascii="Arial" w:hAnsi="Arial" w:cs="Arial" w:hint="default"/>
        <w:b w:val="0"/>
        <w:i w:val="0"/>
        <w:color w:val="000000" w:themeColor="text1"/>
        <w:sz w:val="22"/>
      </w:rPr>
    </w:lvl>
    <w:lvl w:ilvl="2">
      <w:start w:val="1"/>
      <w:numFmt w:val="decimal"/>
      <w:lvlText w:val="%1.%2.%3"/>
      <w:lvlJc w:val="left"/>
      <w:pPr>
        <w:tabs>
          <w:tab w:val="num" w:pos="1985"/>
        </w:tabs>
        <w:ind w:left="1985" w:hanging="851"/>
      </w:pPr>
      <w:rPr>
        <w:rFonts w:ascii="Arial" w:hAnsi="Arial" w:cs="Arial" w:hint="default"/>
        <w:b w:val="0"/>
      </w:rPr>
    </w:lvl>
    <w:lvl w:ilvl="3">
      <w:start w:val="1"/>
      <w:numFmt w:val="decimal"/>
      <w:lvlText w:val="%1.%2.%3.%4"/>
      <w:lvlJc w:val="left"/>
      <w:pPr>
        <w:tabs>
          <w:tab w:val="num" w:pos="567"/>
        </w:tabs>
        <w:ind w:left="2835" w:hanging="567"/>
      </w:pPr>
      <w:rPr>
        <w:rFonts w:hint="default"/>
      </w:rPr>
    </w:lvl>
    <w:lvl w:ilvl="4">
      <w:start w:val="1"/>
      <w:numFmt w:val="decimal"/>
      <w:lvlText w:val="%1.%2.%3.%4.%5."/>
      <w:lvlJc w:val="left"/>
      <w:pPr>
        <w:tabs>
          <w:tab w:val="num" w:pos="567"/>
        </w:tabs>
        <w:ind w:left="3402" w:hanging="567"/>
      </w:pPr>
      <w:rPr>
        <w:rFonts w:hint="default"/>
      </w:rPr>
    </w:lvl>
    <w:lvl w:ilvl="5">
      <w:start w:val="1"/>
      <w:numFmt w:val="decimal"/>
      <w:lvlText w:val="%1.%2.%3.%4.%5.%6."/>
      <w:lvlJc w:val="left"/>
      <w:pPr>
        <w:tabs>
          <w:tab w:val="num" w:pos="567"/>
        </w:tabs>
        <w:ind w:left="3969" w:hanging="567"/>
      </w:pPr>
      <w:rPr>
        <w:rFonts w:hint="default"/>
      </w:rPr>
    </w:lvl>
    <w:lvl w:ilvl="6">
      <w:start w:val="1"/>
      <w:numFmt w:val="decimal"/>
      <w:lvlText w:val="%1.%2.%3.%4.%5.%6.%7."/>
      <w:lvlJc w:val="left"/>
      <w:pPr>
        <w:tabs>
          <w:tab w:val="num" w:pos="567"/>
        </w:tabs>
        <w:ind w:left="4536" w:hanging="567"/>
      </w:pPr>
      <w:rPr>
        <w:rFonts w:hint="default"/>
      </w:rPr>
    </w:lvl>
    <w:lvl w:ilvl="7">
      <w:start w:val="1"/>
      <w:numFmt w:val="decimal"/>
      <w:lvlText w:val="%1.%2.%3.%4.%5.%6.%7.%8."/>
      <w:lvlJc w:val="left"/>
      <w:pPr>
        <w:tabs>
          <w:tab w:val="num" w:pos="567"/>
        </w:tabs>
        <w:ind w:left="5103" w:hanging="567"/>
      </w:pPr>
      <w:rPr>
        <w:rFonts w:hint="default"/>
      </w:rPr>
    </w:lvl>
    <w:lvl w:ilvl="8">
      <w:start w:val="1"/>
      <w:numFmt w:val="decimal"/>
      <w:lvlText w:val="%1.%2.%3.%4.%5.%6.%7.%8.%9."/>
      <w:lvlJc w:val="left"/>
      <w:pPr>
        <w:tabs>
          <w:tab w:val="num" w:pos="567"/>
        </w:tabs>
        <w:ind w:left="5670" w:hanging="567"/>
      </w:pPr>
      <w:rPr>
        <w:rFonts w:hint="default"/>
      </w:rPr>
    </w:lvl>
  </w:abstractNum>
  <w:abstractNum w:abstractNumId="2">
    <w:nsid w:val="64DF1673"/>
    <w:multiLevelType w:val="multilevel"/>
    <w:tmpl w:val="F1421780"/>
    <w:lvl w:ilvl="0">
      <w:start w:val="2"/>
      <w:numFmt w:val="decimal"/>
      <w:lvlText w:val="%1"/>
      <w:lvlJc w:val="left"/>
      <w:pPr>
        <w:ind w:left="360" w:hanging="360"/>
      </w:pPr>
      <w:rPr>
        <w:rFonts w:hint="default"/>
      </w:rPr>
    </w:lvl>
    <w:lvl w:ilvl="1">
      <w:start w:val="4"/>
      <w:numFmt w:val="decimal"/>
      <w:lvlText w:val="%1.%2"/>
      <w:lvlJc w:val="left"/>
      <w:pPr>
        <w:ind w:left="2004" w:hanging="360"/>
      </w:pPr>
      <w:rPr>
        <w:rFonts w:hint="default"/>
      </w:rPr>
    </w:lvl>
    <w:lvl w:ilvl="2">
      <w:start w:val="1"/>
      <w:numFmt w:val="decimal"/>
      <w:lvlText w:val="%1.%2.%3"/>
      <w:lvlJc w:val="left"/>
      <w:pPr>
        <w:ind w:left="4008" w:hanging="720"/>
      </w:pPr>
      <w:rPr>
        <w:rFonts w:hint="default"/>
      </w:rPr>
    </w:lvl>
    <w:lvl w:ilvl="3">
      <w:start w:val="1"/>
      <w:numFmt w:val="decimal"/>
      <w:lvlText w:val="%1.%2.%3.%4"/>
      <w:lvlJc w:val="left"/>
      <w:pPr>
        <w:ind w:left="6012" w:hanging="1080"/>
      </w:pPr>
      <w:rPr>
        <w:rFonts w:hint="default"/>
      </w:rPr>
    </w:lvl>
    <w:lvl w:ilvl="4">
      <w:start w:val="1"/>
      <w:numFmt w:val="decimal"/>
      <w:lvlText w:val="%1.%2.%3.%4.%5"/>
      <w:lvlJc w:val="left"/>
      <w:pPr>
        <w:ind w:left="7656" w:hanging="1080"/>
      </w:pPr>
      <w:rPr>
        <w:rFonts w:hint="default"/>
      </w:rPr>
    </w:lvl>
    <w:lvl w:ilvl="5">
      <w:start w:val="1"/>
      <w:numFmt w:val="decimal"/>
      <w:lvlText w:val="%1.%2.%3.%4.%5.%6"/>
      <w:lvlJc w:val="left"/>
      <w:pPr>
        <w:ind w:left="9660" w:hanging="1440"/>
      </w:pPr>
      <w:rPr>
        <w:rFonts w:hint="default"/>
      </w:rPr>
    </w:lvl>
    <w:lvl w:ilvl="6">
      <w:start w:val="1"/>
      <w:numFmt w:val="decimal"/>
      <w:lvlText w:val="%1.%2.%3.%4.%5.%6.%7"/>
      <w:lvlJc w:val="left"/>
      <w:pPr>
        <w:ind w:left="11304" w:hanging="1440"/>
      </w:pPr>
      <w:rPr>
        <w:rFonts w:hint="default"/>
      </w:rPr>
    </w:lvl>
    <w:lvl w:ilvl="7">
      <w:start w:val="1"/>
      <w:numFmt w:val="decimal"/>
      <w:lvlText w:val="%1.%2.%3.%4.%5.%6.%7.%8"/>
      <w:lvlJc w:val="left"/>
      <w:pPr>
        <w:ind w:left="13308" w:hanging="1800"/>
      </w:pPr>
      <w:rPr>
        <w:rFonts w:hint="default"/>
      </w:rPr>
    </w:lvl>
    <w:lvl w:ilvl="8">
      <w:start w:val="1"/>
      <w:numFmt w:val="decimal"/>
      <w:lvlText w:val="%1.%2.%3.%4.%5.%6.%7.%8.%9"/>
      <w:lvlJc w:val="left"/>
      <w:pPr>
        <w:ind w:left="14952" w:hanging="1800"/>
      </w:pPr>
      <w:rPr>
        <w:rFonts w:hint="default"/>
      </w:rPr>
    </w:lvl>
  </w:abstractNum>
  <w:abstractNum w:abstractNumId="3">
    <w:nsid w:val="6DA22AB2"/>
    <w:multiLevelType w:val="multilevel"/>
    <w:tmpl w:val="C0A4D84E"/>
    <w:lvl w:ilvl="0">
      <w:start w:val="1"/>
      <w:numFmt w:val="decimal"/>
      <w:lvlText w:val="%1."/>
      <w:lvlJc w:val="left"/>
      <w:pPr>
        <w:ind w:left="360" w:hanging="360"/>
      </w:pPr>
      <w:rPr>
        <w:rFonts w:hint="default"/>
      </w:rPr>
    </w:lvl>
    <w:lvl w:ilvl="1">
      <w:start w:val="1"/>
      <w:numFmt w:val="decimal"/>
      <w:lvlText w:val="%1.%2."/>
      <w:lvlJc w:val="left"/>
      <w:pPr>
        <w:ind w:left="1644" w:hanging="1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E0C1C8D"/>
    <w:multiLevelType w:val="hybridMultilevel"/>
    <w:tmpl w:val="FE2EBFC2"/>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42"/>
    <w:rsid w:val="00011990"/>
    <w:rsid w:val="00033FF9"/>
    <w:rsid w:val="00044A1F"/>
    <w:rsid w:val="000471A6"/>
    <w:rsid w:val="00054736"/>
    <w:rsid w:val="000B56E9"/>
    <w:rsid w:val="000D64EE"/>
    <w:rsid w:val="00157C06"/>
    <w:rsid w:val="00180134"/>
    <w:rsid w:val="001A4095"/>
    <w:rsid w:val="001B67C7"/>
    <w:rsid w:val="001D1EC4"/>
    <w:rsid w:val="001E38EB"/>
    <w:rsid w:val="0020653A"/>
    <w:rsid w:val="00214EC6"/>
    <w:rsid w:val="002C5788"/>
    <w:rsid w:val="00315614"/>
    <w:rsid w:val="00325D0B"/>
    <w:rsid w:val="003408FB"/>
    <w:rsid w:val="003978E3"/>
    <w:rsid w:val="003E36C8"/>
    <w:rsid w:val="003F2606"/>
    <w:rsid w:val="00410FB9"/>
    <w:rsid w:val="00444977"/>
    <w:rsid w:val="0049121F"/>
    <w:rsid w:val="0049312A"/>
    <w:rsid w:val="00493B8E"/>
    <w:rsid w:val="00495F9A"/>
    <w:rsid w:val="004B3AB3"/>
    <w:rsid w:val="004F10FD"/>
    <w:rsid w:val="0053016A"/>
    <w:rsid w:val="005354CB"/>
    <w:rsid w:val="005614C4"/>
    <w:rsid w:val="005621ED"/>
    <w:rsid w:val="00565119"/>
    <w:rsid w:val="005E38AB"/>
    <w:rsid w:val="00603A34"/>
    <w:rsid w:val="0062413D"/>
    <w:rsid w:val="00637450"/>
    <w:rsid w:val="0064346F"/>
    <w:rsid w:val="006E17B9"/>
    <w:rsid w:val="007109C7"/>
    <w:rsid w:val="007266D7"/>
    <w:rsid w:val="0073414E"/>
    <w:rsid w:val="00744773"/>
    <w:rsid w:val="00764F22"/>
    <w:rsid w:val="007829CD"/>
    <w:rsid w:val="00786E15"/>
    <w:rsid w:val="007A3AB9"/>
    <w:rsid w:val="007A72C5"/>
    <w:rsid w:val="007F21A1"/>
    <w:rsid w:val="008225AF"/>
    <w:rsid w:val="008253D8"/>
    <w:rsid w:val="00827820"/>
    <w:rsid w:val="008335D9"/>
    <w:rsid w:val="0083524D"/>
    <w:rsid w:val="00841A43"/>
    <w:rsid w:val="008758E8"/>
    <w:rsid w:val="00884FC4"/>
    <w:rsid w:val="0089600C"/>
    <w:rsid w:val="008A37B2"/>
    <w:rsid w:val="008B0F97"/>
    <w:rsid w:val="008C76FC"/>
    <w:rsid w:val="00940C78"/>
    <w:rsid w:val="00965329"/>
    <w:rsid w:val="009869DD"/>
    <w:rsid w:val="009C706F"/>
    <w:rsid w:val="009D048A"/>
    <w:rsid w:val="00A12523"/>
    <w:rsid w:val="00A16703"/>
    <w:rsid w:val="00A24AAA"/>
    <w:rsid w:val="00A25921"/>
    <w:rsid w:val="00A3512C"/>
    <w:rsid w:val="00A426DD"/>
    <w:rsid w:val="00A72A32"/>
    <w:rsid w:val="00A765B0"/>
    <w:rsid w:val="00A93397"/>
    <w:rsid w:val="00AC59F9"/>
    <w:rsid w:val="00B26402"/>
    <w:rsid w:val="00B37692"/>
    <w:rsid w:val="00BF00FE"/>
    <w:rsid w:val="00BF1BA9"/>
    <w:rsid w:val="00BF596B"/>
    <w:rsid w:val="00C638BD"/>
    <w:rsid w:val="00C7677D"/>
    <w:rsid w:val="00CA77FD"/>
    <w:rsid w:val="00CD11C0"/>
    <w:rsid w:val="00CF2E69"/>
    <w:rsid w:val="00D41F56"/>
    <w:rsid w:val="00D5000D"/>
    <w:rsid w:val="00D54ECF"/>
    <w:rsid w:val="00DB4989"/>
    <w:rsid w:val="00DD3979"/>
    <w:rsid w:val="00E1708C"/>
    <w:rsid w:val="00E232F8"/>
    <w:rsid w:val="00E246E8"/>
    <w:rsid w:val="00E40362"/>
    <w:rsid w:val="00E4575C"/>
    <w:rsid w:val="00E620CC"/>
    <w:rsid w:val="00E86FD3"/>
    <w:rsid w:val="00ED4FD3"/>
    <w:rsid w:val="00EE42E1"/>
    <w:rsid w:val="00EE6E92"/>
    <w:rsid w:val="00EF3696"/>
    <w:rsid w:val="00EF6CB9"/>
    <w:rsid w:val="00F0399D"/>
    <w:rsid w:val="00F0494B"/>
    <w:rsid w:val="00F322A2"/>
    <w:rsid w:val="00F33AD2"/>
    <w:rsid w:val="00F87BCB"/>
    <w:rsid w:val="00FA67F5"/>
    <w:rsid w:val="00FC6E85"/>
    <w:rsid w:val="00FD2642"/>
    <w:rsid w:val="00FE1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6D0E"/>
  <w15:chartTrackingRefBased/>
  <w15:docId w15:val="{C0A67CA9-9C6D-D141-B8A1-18ECF02D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7B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D3"/>
    <w:pPr>
      <w:ind w:left="720"/>
      <w:contextualSpacing/>
    </w:pPr>
  </w:style>
  <w:style w:type="character" w:styleId="Hyperlink">
    <w:name w:val="Hyperlink"/>
    <w:basedOn w:val="DefaultParagraphFont"/>
    <w:uiPriority w:val="99"/>
    <w:semiHidden/>
    <w:unhideWhenUsed/>
    <w:rsid w:val="00DB4989"/>
    <w:rPr>
      <w:color w:val="0000FF"/>
      <w:u w:val="single"/>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7109C7"/>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rsid w:val="007109C7"/>
    <w:rPr>
      <w:sz w:val="20"/>
      <w:szCs w:val="20"/>
    </w:rPr>
  </w:style>
  <w:style w:type="character" w:styleId="FootnoteReference">
    <w:name w:val="footnote reference"/>
    <w:basedOn w:val="DefaultParagraphFont"/>
    <w:uiPriority w:val="99"/>
    <w:unhideWhenUsed/>
    <w:rsid w:val="007109C7"/>
    <w:rPr>
      <w:vertAlign w:val="superscript"/>
    </w:rPr>
  </w:style>
  <w:style w:type="paragraph" w:customStyle="1" w:styleId="SIUaffidavitnumbering">
    <w:name w:val="SIU affidavit numbering"/>
    <w:basedOn w:val="Normal"/>
    <w:semiHidden/>
    <w:rsid w:val="008758E8"/>
    <w:pPr>
      <w:numPr>
        <w:numId w:val="3"/>
      </w:numPr>
      <w:spacing w:before="240" w:after="240" w:line="276" w:lineRule="auto"/>
      <w:jc w:val="both"/>
    </w:pPr>
    <w:rPr>
      <w:rFonts w:ascii="Calibri" w:eastAsia="Times New Roman" w:hAnsi="Calibri" w:cs="Times New Roman"/>
      <w:sz w:val="22"/>
      <w:szCs w:val="22"/>
      <w:lang w:val="en-GB" w:bidi="en-US"/>
    </w:rPr>
  </w:style>
  <w:style w:type="paragraph" w:customStyle="1" w:styleId="fnotetext">
    <w:name w:val="fnotetext"/>
    <w:basedOn w:val="Normal"/>
    <w:rsid w:val="008758E8"/>
    <w:pPr>
      <w:spacing w:before="100" w:beforeAutospacing="1" w:after="100" w:afterAutospacing="1"/>
    </w:pPr>
    <w:rPr>
      <w:rFonts w:ascii="Times New Roman" w:eastAsia="Times New Roman" w:hAnsi="Times New Roman" w:cs="Times New Roman"/>
      <w:lang w:eastAsia="en-GB"/>
    </w:rPr>
  </w:style>
  <w:style w:type="paragraph" w:customStyle="1" w:styleId="lrpara">
    <w:name w:val="lrpara"/>
    <w:basedOn w:val="Normal"/>
    <w:rsid w:val="005354CB"/>
    <w:pPr>
      <w:spacing w:before="100" w:beforeAutospacing="1" w:after="100" w:afterAutospacing="1"/>
    </w:pPr>
    <w:rPr>
      <w:rFonts w:ascii="Times New Roman" w:eastAsia="Times New Roman" w:hAnsi="Times New Roman" w:cs="Times New Roman"/>
      <w:lang w:eastAsia="en-GB"/>
    </w:rPr>
  </w:style>
  <w:style w:type="character" w:customStyle="1" w:styleId="mc">
    <w:name w:val="mc"/>
    <w:basedOn w:val="DefaultParagraphFont"/>
    <w:rsid w:val="005354CB"/>
  </w:style>
  <w:style w:type="paragraph" w:customStyle="1" w:styleId="lrquote">
    <w:name w:val="lrquote"/>
    <w:basedOn w:val="Normal"/>
    <w:rsid w:val="005354CB"/>
    <w:pPr>
      <w:spacing w:before="100" w:beforeAutospacing="1" w:after="100" w:afterAutospacing="1"/>
    </w:pPr>
    <w:rPr>
      <w:rFonts w:ascii="Times New Roman" w:eastAsia="Times New Roman" w:hAnsi="Times New Roman" w:cs="Times New Roman"/>
      <w:lang w:eastAsia="en-GB"/>
    </w:rPr>
  </w:style>
  <w:style w:type="character" w:customStyle="1" w:styleId="footnoteanchor">
    <w:name w:val="footnoteanchor"/>
    <w:basedOn w:val="DefaultParagraphFont"/>
    <w:rsid w:val="005354CB"/>
  </w:style>
  <w:style w:type="paragraph" w:customStyle="1" w:styleId="pageno">
    <w:name w:val="pageno"/>
    <w:basedOn w:val="Normal"/>
    <w:rsid w:val="005354CB"/>
    <w:pPr>
      <w:spacing w:before="100" w:beforeAutospacing="1" w:after="100" w:afterAutospacing="1"/>
    </w:pPr>
    <w:rPr>
      <w:rFonts w:ascii="Times New Roman" w:eastAsia="Times New Roman" w:hAnsi="Times New Roman" w:cs="Times New Roman"/>
      <w:lang w:eastAsia="en-GB"/>
    </w:rPr>
  </w:style>
  <w:style w:type="paragraph" w:customStyle="1" w:styleId="lrjudgecont">
    <w:name w:val="lrjudgecont"/>
    <w:basedOn w:val="Normal"/>
    <w:rsid w:val="005354C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1708C"/>
    <w:pPr>
      <w:tabs>
        <w:tab w:val="center" w:pos="4513"/>
        <w:tab w:val="right" w:pos="9026"/>
      </w:tabs>
    </w:pPr>
  </w:style>
  <w:style w:type="character" w:customStyle="1" w:styleId="HeaderChar">
    <w:name w:val="Header Char"/>
    <w:basedOn w:val="DefaultParagraphFont"/>
    <w:link w:val="Header"/>
    <w:uiPriority w:val="99"/>
    <w:rsid w:val="00E1708C"/>
  </w:style>
  <w:style w:type="character" w:styleId="PageNumber">
    <w:name w:val="page number"/>
    <w:basedOn w:val="DefaultParagraphFont"/>
    <w:uiPriority w:val="99"/>
    <w:semiHidden/>
    <w:unhideWhenUsed/>
    <w:rsid w:val="00E1708C"/>
  </w:style>
  <w:style w:type="character" w:customStyle="1" w:styleId="Heading2Char">
    <w:name w:val="Heading 2 Char"/>
    <w:basedOn w:val="DefaultParagraphFont"/>
    <w:link w:val="Heading2"/>
    <w:uiPriority w:val="9"/>
    <w:rsid w:val="008A37B2"/>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A3512C"/>
    <w:pPr>
      <w:tabs>
        <w:tab w:val="center" w:pos="4513"/>
        <w:tab w:val="right" w:pos="9026"/>
      </w:tabs>
    </w:pPr>
  </w:style>
  <w:style w:type="character" w:customStyle="1" w:styleId="FooterChar">
    <w:name w:val="Footer Char"/>
    <w:basedOn w:val="DefaultParagraphFont"/>
    <w:link w:val="Footer"/>
    <w:uiPriority w:val="99"/>
    <w:rsid w:val="00A3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171">
      <w:bodyDiv w:val="1"/>
      <w:marLeft w:val="0"/>
      <w:marRight w:val="0"/>
      <w:marTop w:val="0"/>
      <w:marBottom w:val="0"/>
      <w:divBdr>
        <w:top w:val="none" w:sz="0" w:space="0" w:color="auto"/>
        <w:left w:val="none" w:sz="0" w:space="0" w:color="auto"/>
        <w:bottom w:val="none" w:sz="0" w:space="0" w:color="auto"/>
        <w:right w:val="none" w:sz="0" w:space="0" w:color="auto"/>
      </w:divBdr>
      <w:divsChild>
        <w:div w:id="28727678">
          <w:marLeft w:val="0"/>
          <w:marRight w:val="0"/>
          <w:marTop w:val="120"/>
          <w:marBottom w:val="0"/>
          <w:divBdr>
            <w:top w:val="none" w:sz="0" w:space="0" w:color="auto"/>
            <w:left w:val="none" w:sz="0" w:space="0" w:color="auto"/>
            <w:bottom w:val="none" w:sz="0" w:space="0" w:color="auto"/>
            <w:right w:val="none" w:sz="0" w:space="0" w:color="auto"/>
          </w:divBdr>
        </w:div>
        <w:div w:id="1494418777">
          <w:marLeft w:val="1134"/>
          <w:marRight w:val="0"/>
          <w:marTop w:val="60"/>
          <w:marBottom w:val="0"/>
          <w:divBdr>
            <w:top w:val="none" w:sz="0" w:space="0" w:color="auto"/>
            <w:left w:val="none" w:sz="0" w:space="0" w:color="auto"/>
            <w:bottom w:val="none" w:sz="0" w:space="0" w:color="auto"/>
            <w:right w:val="none" w:sz="0" w:space="0" w:color="auto"/>
          </w:divBdr>
        </w:div>
        <w:div w:id="655651944">
          <w:marLeft w:val="1134"/>
          <w:marRight w:val="0"/>
          <w:marTop w:val="60"/>
          <w:marBottom w:val="0"/>
          <w:divBdr>
            <w:top w:val="none" w:sz="0" w:space="0" w:color="auto"/>
            <w:left w:val="none" w:sz="0" w:space="0" w:color="auto"/>
            <w:bottom w:val="none" w:sz="0" w:space="0" w:color="auto"/>
            <w:right w:val="none" w:sz="0" w:space="0" w:color="auto"/>
          </w:divBdr>
        </w:div>
        <w:div w:id="1955088701">
          <w:marLeft w:val="1985"/>
          <w:marRight w:val="0"/>
          <w:marTop w:val="60"/>
          <w:marBottom w:val="0"/>
          <w:divBdr>
            <w:top w:val="none" w:sz="0" w:space="0" w:color="auto"/>
            <w:left w:val="none" w:sz="0" w:space="0" w:color="auto"/>
            <w:bottom w:val="none" w:sz="0" w:space="0" w:color="auto"/>
            <w:right w:val="none" w:sz="0" w:space="0" w:color="auto"/>
          </w:divBdr>
        </w:div>
        <w:div w:id="951982992">
          <w:marLeft w:val="2580"/>
          <w:marRight w:val="0"/>
          <w:marTop w:val="60"/>
          <w:marBottom w:val="0"/>
          <w:divBdr>
            <w:top w:val="none" w:sz="0" w:space="0" w:color="auto"/>
            <w:left w:val="none" w:sz="0" w:space="0" w:color="auto"/>
            <w:bottom w:val="none" w:sz="0" w:space="0" w:color="auto"/>
            <w:right w:val="none" w:sz="0" w:space="0" w:color="auto"/>
          </w:divBdr>
        </w:div>
        <w:div w:id="2119058392">
          <w:marLeft w:val="2580"/>
          <w:marRight w:val="0"/>
          <w:marTop w:val="60"/>
          <w:marBottom w:val="0"/>
          <w:divBdr>
            <w:top w:val="none" w:sz="0" w:space="0" w:color="auto"/>
            <w:left w:val="none" w:sz="0" w:space="0" w:color="auto"/>
            <w:bottom w:val="none" w:sz="0" w:space="0" w:color="auto"/>
            <w:right w:val="none" w:sz="0" w:space="0" w:color="auto"/>
          </w:divBdr>
        </w:div>
        <w:div w:id="1339698306">
          <w:marLeft w:val="1985"/>
          <w:marRight w:val="0"/>
          <w:marTop w:val="60"/>
          <w:marBottom w:val="0"/>
          <w:divBdr>
            <w:top w:val="none" w:sz="0" w:space="0" w:color="auto"/>
            <w:left w:val="none" w:sz="0" w:space="0" w:color="auto"/>
            <w:bottom w:val="none" w:sz="0" w:space="0" w:color="auto"/>
            <w:right w:val="none" w:sz="0" w:space="0" w:color="auto"/>
          </w:divBdr>
        </w:div>
      </w:divsChild>
    </w:div>
    <w:div w:id="980380882">
      <w:bodyDiv w:val="1"/>
      <w:marLeft w:val="0"/>
      <w:marRight w:val="0"/>
      <w:marTop w:val="0"/>
      <w:marBottom w:val="0"/>
      <w:divBdr>
        <w:top w:val="none" w:sz="0" w:space="0" w:color="auto"/>
        <w:left w:val="none" w:sz="0" w:space="0" w:color="auto"/>
        <w:bottom w:val="none" w:sz="0" w:space="0" w:color="auto"/>
        <w:right w:val="none" w:sz="0" w:space="0" w:color="auto"/>
      </w:divBdr>
    </w:div>
    <w:div w:id="1529754638">
      <w:bodyDiv w:val="1"/>
      <w:marLeft w:val="0"/>
      <w:marRight w:val="0"/>
      <w:marTop w:val="0"/>
      <w:marBottom w:val="0"/>
      <w:divBdr>
        <w:top w:val="none" w:sz="0" w:space="0" w:color="auto"/>
        <w:left w:val="none" w:sz="0" w:space="0" w:color="auto"/>
        <w:bottom w:val="none" w:sz="0" w:space="0" w:color="auto"/>
        <w:right w:val="none" w:sz="0" w:space="0" w:color="auto"/>
      </w:divBdr>
    </w:div>
    <w:div w:id="1633175490">
      <w:bodyDiv w:val="1"/>
      <w:marLeft w:val="0"/>
      <w:marRight w:val="0"/>
      <w:marTop w:val="0"/>
      <w:marBottom w:val="0"/>
      <w:divBdr>
        <w:top w:val="none" w:sz="0" w:space="0" w:color="auto"/>
        <w:left w:val="none" w:sz="0" w:space="0" w:color="auto"/>
        <w:bottom w:val="none" w:sz="0" w:space="0" w:color="auto"/>
        <w:right w:val="none" w:sz="0" w:space="0" w:color="auto"/>
      </w:divBdr>
    </w:div>
    <w:div w:id="175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lii.org/cgi-bin/LawCite?cit=2009%20%285%29%20SA%201"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2016v1SApg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E547-2483-4BB9-84E6-9E7A6FB3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Lipshitz</dc:creator>
  <cp:keywords/>
  <dc:description/>
  <cp:lastModifiedBy>Mokone</cp:lastModifiedBy>
  <cp:revision>3</cp:revision>
  <cp:lastPrinted>2023-07-06T10:50:00Z</cp:lastPrinted>
  <dcterms:created xsi:type="dcterms:W3CDTF">2023-07-06T14:37:00Z</dcterms:created>
  <dcterms:modified xsi:type="dcterms:W3CDTF">2023-07-06T14:38:00Z</dcterms:modified>
</cp:coreProperties>
</file>