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26" w:rsidRPr="00520591" w:rsidRDefault="00FD0326" w:rsidP="00FD0326">
      <w:pPr>
        <w:pStyle w:val="LegalTitle"/>
        <w:spacing w:after="0" w:line="360" w:lineRule="auto"/>
        <w:rPr>
          <w:u w:val="single"/>
        </w:rPr>
      </w:pPr>
      <w:r>
        <w:rPr>
          <w:u w:val="single"/>
        </w:rPr>
        <w:t>REPUBLIC</w:t>
      </w:r>
      <w:r w:rsidRPr="00520591">
        <w:rPr>
          <w:u w:val="single"/>
        </w:rPr>
        <w:t xml:space="preserve"> of south africa</w:t>
      </w:r>
    </w:p>
    <w:p w:rsidR="008524A5" w:rsidRDefault="00206174" w:rsidP="00945C1A">
      <w:pPr>
        <w:pStyle w:val="LegalNormal"/>
        <w:spacing w:after="120" w:line="360" w:lineRule="auto"/>
        <w:jc w:val="center"/>
      </w:pPr>
      <w:r>
        <w:t xml:space="preserve"> </w:t>
      </w:r>
      <w:r w:rsidR="00A61975" w:rsidRPr="00D0071D">
        <w:rPr>
          <w:noProof/>
          <w:color w:val="1F497D"/>
          <w:lang w:val="en-US" w:eastAsia="en-US"/>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972016">
      <w:pPr>
        <w:pStyle w:val="LegalTitle"/>
        <w:spacing w:after="0" w:line="360" w:lineRule="auto"/>
        <w:rPr>
          <w:u w:val="single"/>
        </w:rPr>
      </w:pPr>
      <w:r w:rsidRPr="00520591">
        <w:rPr>
          <w:u w:val="single"/>
        </w:rPr>
        <w:t xml:space="preserve">IN THE </w:t>
      </w:r>
      <w:r w:rsidR="00433C24">
        <w:rPr>
          <w:u w:val="single"/>
        </w:rPr>
        <w:t>HIGH</w:t>
      </w:r>
      <w:r w:rsidRPr="00520591">
        <w:rPr>
          <w:u w:val="single"/>
        </w:rPr>
        <w:t xml:space="preserve"> COURT of south africa</w:t>
      </w:r>
    </w:p>
    <w:p w:rsidR="008524A5" w:rsidRDefault="00EC035B" w:rsidP="00972016">
      <w:pPr>
        <w:pStyle w:val="LegalTitle"/>
        <w:spacing w:after="24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09981A57" wp14:editId="2B373B5F">
                <wp:simplePos x="0" y="0"/>
                <wp:positionH relativeFrom="column">
                  <wp:posOffset>-489585</wp:posOffset>
                </wp:positionH>
                <wp:positionV relativeFrom="paragraph">
                  <wp:posOffset>312420</wp:posOffset>
                </wp:positionV>
                <wp:extent cx="3619500" cy="83820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38200"/>
                        </a:xfrm>
                        <a:prstGeom prst="rect">
                          <a:avLst/>
                        </a:prstGeom>
                        <a:solidFill>
                          <a:srgbClr val="FFFFFF"/>
                        </a:solidFill>
                        <a:ln w="9525">
                          <a:solidFill>
                            <a:srgbClr val="000000"/>
                          </a:solidFill>
                          <a:miter lim="800000"/>
                          <a:headEnd/>
                          <a:tailEnd/>
                        </a:ln>
                      </wps:spPr>
                      <wps:txbx>
                        <w:txbxContent>
                          <w:p w:rsidR="00CD78D6" w:rsidRDefault="00D63A02" w:rsidP="00D63A02">
                            <w:pPr>
                              <w:tabs>
                                <w:tab w:val="left" w:pos="900"/>
                              </w:tabs>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D78D6">
                              <w:rPr>
                                <w:rFonts w:ascii="Century Gothic" w:hAnsi="Century Gothic"/>
                                <w:sz w:val="20"/>
                                <w:szCs w:val="20"/>
                              </w:rPr>
                              <w:t xml:space="preserve">REPORTABLE: </w:t>
                            </w:r>
                            <w:r w:rsidR="00CD78D6">
                              <w:rPr>
                                <w:rFonts w:ascii="Century Gothic" w:hAnsi="Century Gothic"/>
                                <w:b/>
                                <w:i/>
                                <w:sz w:val="20"/>
                                <w:szCs w:val="20"/>
                              </w:rPr>
                              <w:t>NO</w:t>
                            </w:r>
                          </w:p>
                          <w:p w:rsidR="00CD78D6" w:rsidRDefault="00D63A02" w:rsidP="00D63A02">
                            <w:pPr>
                              <w:tabs>
                                <w:tab w:val="left" w:pos="900"/>
                              </w:tabs>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CD78D6">
                              <w:rPr>
                                <w:rFonts w:ascii="Century Gothic" w:hAnsi="Century Gothic"/>
                                <w:sz w:val="20"/>
                                <w:szCs w:val="20"/>
                              </w:rPr>
                              <w:t xml:space="preserve">OF INTEREST TO OTHER JUDGES: </w:t>
                            </w:r>
                            <w:r w:rsidR="00CD78D6">
                              <w:rPr>
                                <w:rFonts w:ascii="Century Gothic" w:hAnsi="Century Gothic"/>
                                <w:b/>
                                <w:i/>
                                <w:sz w:val="20"/>
                                <w:szCs w:val="20"/>
                              </w:rPr>
                              <w:t>NO</w:t>
                            </w:r>
                          </w:p>
                          <w:p w:rsidR="00CD78D6" w:rsidRDefault="00D63A02" w:rsidP="00D63A02">
                            <w:pPr>
                              <w:tabs>
                                <w:tab w:val="left" w:pos="900"/>
                              </w:tabs>
                              <w:suppressAutoHyphens w:val="0"/>
                              <w:spacing w:after="120"/>
                              <w:ind w:left="901"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CD78D6">
                              <w:rPr>
                                <w:rFonts w:ascii="Century Gothic" w:hAnsi="Century Gothic"/>
                                <w:sz w:val="20"/>
                                <w:szCs w:val="20"/>
                              </w:rPr>
                              <w:t xml:space="preserve">REVISED: </w:t>
                            </w:r>
                            <w:r w:rsidR="00CD78D6">
                              <w:rPr>
                                <w:rFonts w:ascii="Century Gothic" w:hAnsi="Century Gothic"/>
                                <w:b/>
                                <w:i/>
                                <w:sz w:val="20"/>
                                <w:szCs w:val="20"/>
                              </w:rPr>
                              <w:t>Yes</w:t>
                            </w:r>
                            <w:r w:rsidR="00CD78D6">
                              <w:rPr>
                                <w:rFonts w:ascii="Century Gothic" w:hAnsi="Century Gothic"/>
                                <w:sz w:val="20"/>
                                <w:szCs w:val="20"/>
                              </w:rPr>
                              <w:t xml:space="preserve"> </w:t>
                            </w:r>
                          </w:p>
                          <w:p w:rsidR="00CD78D6" w:rsidRDefault="00CD78D6" w:rsidP="00EC035B">
                            <w:pPr>
                              <w:rPr>
                                <w:rFonts w:ascii="Century Gothic" w:hAnsi="Century Gothic"/>
                                <w:sz w:val="28"/>
                                <w:szCs w:val="28"/>
                              </w:rPr>
                            </w:pPr>
                            <w:r>
                              <w:rPr>
                                <w:rFonts w:ascii="Century Gothic" w:hAnsi="Century Gothic"/>
                                <w:sz w:val="22"/>
                                <w:szCs w:val="22"/>
                              </w:rPr>
                              <w:t xml:space="preserve">Date: </w:t>
                            </w:r>
                            <w:r w:rsidR="00BD421A">
                              <w:rPr>
                                <w:rFonts w:ascii="Century Gothic" w:hAnsi="Century Gothic"/>
                                <w:b/>
                                <w:i/>
                                <w:sz w:val="22"/>
                                <w:szCs w:val="22"/>
                                <w:u w:val="single"/>
                              </w:rPr>
                              <w:t>6</w:t>
                            </w:r>
                            <w:r w:rsidR="00BD421A" w:rsidRPr="00BD421A">
                              <w:rPr>
                                <w:rFonts w:ascii="Century Gothic" w:hAnsi="Century Gothic"/>
                                <w:b/>
                                <w:i/>
                                <w:sz w:val="22"/>
                                <w:szCs w:val="22"/>
                                <w:u w:val="single"/>
                                <w:vertAlign w:val="superscript"/>
                              </w:rPr>
                              <w:t>th</w:t>
                            </w:r>
                            <w:r w:rsidR="00BD421A">
                              <w:rPr>
                                <w:rFonts w:ascii="Century Gothic" w:hAnsi="Century Gothic"/>
                                <w:b/>
                                <w:i/>
                                <w:sz w:val="22"/>
                                <w:szCs w:val="22"/>
                                <w:u w:val="single"/>
                              </w:rPr>
                              <w:t xml:space="preserve"> </w:t>
                            </w:r>
                            <w:r>
                              <w:rPr>
                                <w:rFonts w:ascii="Century Gothic" w:hAnsi="Century Gothic"/>
                                <w:b/>
                                <w:i/>
                                <w:sz w:val="22"/>
                                <w:szCs w:val="22"/>
                                <w:u w:val="single"/>
                              </w:rPr>
                              <w:t>July 2023</w:t>
                            </w:r>
                            <w:r>
                              <w:rPr>
                                <w:rFonts w:ascii="Century Gothic" w:hAnsi="Century Gothic"/>
                                <w:sz w:val="22"/>
                                <w:szCs w:val="22"/>
                              </w:rPr>
                              <w:t xml:space="preserve"> Signature: ______________</w:t>
                            </w:r>
                            <w:r w:rsidR="00BD421A">
                              <w:rPr>
                                <w:rFonts w:ascii="Century Gothic" w:hAnsi="Century Gothic"/>
                                <w:sz w:val="22"/>
                                <w:szCs w:val="22"/>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81A57" id="_x0000_t202" coordsize="21600,21600" o:spt="202" path="m,l,21600r21600,l21600,xe">
                <v:stroke joinstyle="miter"/>
                <v:path gradientshapeok="t" o:connecttype="rect"/>
              </v:shapetype>
              <v:shape id="Text Box 1" o:spid="_x0000_s1026" type="#_x0000_t202" style="position:absolute;left:0;text-align:left;margin-left:-38.55pt;margin-top:24.6pt;width:2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">
                <v:textbox>
                  <w:txbxContent>
                    <w:p w:rsidR="00CD78D6" w:rsidRDefault="00D63A02" w:rsidP="00D63A02">
                      <w:pPr>
                        <w:tabs>
                          <w:tab w:val="left" w:pos="900"/>
                        </w:tabs>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D78D6">
                        <w:rPr>
                          <w:rFonts w:ascii="Century Gothic" w:hAnsi="Century Gothic"/>
                          <w:sz w:val="20"/>
                          <w:szCs w:val="20"/>
                        </w:rPr>
                        <w:t xml:space="preserve">REPORTABLE: </w:t>
                      </w:r>
                      <w:r w:rsidR="00CD78D6">
                        <w:rPr>
                          <w:rFonts w:ascii="Century Gothic" w:hAnsi="Century Gothic"/>
                          <w:b/>
                          <w:i/>
                          <w:sz w:val="20"/>
                          <w:szCs w:val="20"/>
                        </w:rPr>
                        <w:t>NO</w:t>
                      </w:r>
                    </w:p>
                    <w:p w:rsidR="00CD78D6" w:rsidRDefault="00D63A02" w:rsidP="00D63A02">
                      <w:pPr>
                        <w:tabs>
                          <w:tab w:val="left" w:pos="900"/>
                        </w:tabs>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CD78D6">
                        <w:rPr>
                          <w:rFonts w:ascii="Century Gothic" w:hAnsi="Century Gothic"/>
                          <w:sz w:val="20"/>
                          <w:szCs w:val="20"/>
                        </w:rPr>
                        <w:t xml:space="preserve">OF INTEREST TO OTHER JUDGES: </w:t>
                      </w:r>
                      <w:r w:rsidR="00CD78D6">
                        <w:rPr>
                          <w:rFonts w:ascii="Century Gothic" w:hAnsi="Century Gothic"/>
                          <w:b/>
                          <w:i/>
                          <w:sz w:val="20"/>
                          <w:szCs w:val="20"/>
                        </w:rPr>
                        <w:t>NO</w:t>
                      </w:r>
                    </w:p>
                    <w:p w:rsidR="00CD78D6" w:rsidRDefault="00D63A02" w:rsidP="00D63A02">
                      <w:pPr>
                        <w:tabs>
                          <w:tab w:val="left" w:pos="900"/>
                        </w:tabs>
                        <w:suppressAutoHyphens w:val="0"/>
                        <w:spacing w:after="120"/>
                        <w:ind w:left="901"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CD78D6">
                        <w:rPr>
                          <w:rFonts w:ascii="Century Gothic" w:hAnsi="Century Gothic"/>
                          <w:sz w:val="20"/>
                          <w:szCs w:val="20"/>
                        </w:rPr>
                        <w:t xml:space="preserve">REVISED: </w:t>
                      </w:r>
                      <w:r w:rsidR="00CD78D6">
                        <w:rPr>
                          <w:rFonts w:ascii="Century Gothic" w:hAnsi="Century Gothic"/>
                          <w:b/>
                          <w:i/>
                          <w:sz w:val="20"/>
                          <w:szCs w:val="20"/>
                        </w:rPr>
                        <w:t>Yes</w:t>
                      </w:r>
                      <w:r w:rsidR="00CD78D6">
                        <w:rPr>
                          <w:rFonts w:ascii="Century Gothic" w:hAnsi="Century Gothic"/>
                          <w:sz w:val="20"/>
                          <w:szCs w:val="20"/>
                        </w:rPr>
                        <w:t xml:space="preserve"> </w:t>
                      </w:r>
                    </w:p>
                    <w:p w:rsidR="00CD78D6" w:rsidRDefault="00CD78D6" w:rsidP="00EC035B">
                      <w:pPr>
                        <w:rPr>
                          <w:rFonts w:ascii="Century Gothic" w:hAnsi="Century Gothic"/>
                          <w:sz w:val="28"/>
                          <w:szCs w:val="28"/>
                        </w:rPr>
                      </w:pPr>
                      <w:r>
                        <w:rPr>
                          <w:rFonts w:ascii="Century Gothic" w:hAnsi="Century Gothic"/>
                          <w:sz w:val="22"/>
                          <w:szCs w:val="22"/>
                        </w:rPr>
                        <w:t xml:space="preserve">Date: </w:t>
                      </w:r>
                      <w:r w:rsidR="00BD421A">
                        <w:rPr>
                          <w:rFonts w:ascii="Century Gothic" w:hAnsi="Century Gothic"/>
                          <w:b/>
                          <w:i/>
                          <w:sz w:val="22"/>
                          <w:szCs w:val="22"/>
                          <w:u w:val="single"/>
                        </w:rPr>
                        <w:t>6</w:t>
                      </w:r>
                      <w:r w:rsidR="00BD421A" w:rsidRPr="00BD421A">
                        <w:rPr>
                          <w:rFonts w:ascii="Century Gothic" w:hAnsi="Century Gothic"/>
                          <w:b/>
                          <w:i/>
                          <w:sz w:val="22"/>
                          <w:szCs w:val="22"/>
                          <w:u w:val="single"/>
                          <w:vertAlign w:val="superscript"/>
                        </w:rPr>
                        <w:t>th</w:t>
                      </w:r>
                      <w:r w:rsidR="00BD421A">
                        <w:rPr>
                          <w:rFonts w:ascii="Century Gothic" w:hAnsi="Century Gothic"/>
                          <w:b/>
                          <w:i/>
                          <w:sz w:val="22"/>
                          <w:szCs w:val="22"/>
                          <w:u w:val="single"/>
                        </w:rPr>
                        <w:t xml:space="preserve"> </w:t>
                      </w:r>
                      <w:r>
                        <w:rPr>
                          <w:rFonts w:ascii="Century Gothic" w:hAnsi="Century Gothic"/>
                          <w:b/>
                          <w:i/>
                          <w:sz w:val="22"/>
                          <w:szCs w:val="22"/>
                          <w:u w:val="single"/>
                        </w:rPr>
                        <w:t>July 2023</w:t>
                      </w:r>
                      <w:r>
                        <w:rPr>
                          <w:rFonts w:ascii="Century Gothic" w:hAnsi="Century Gothic"/>
                          <w:sz w:val="22"/>
                          <w:szCs w:val="22"/>
                        </w:rPr>
                        <w:t xml:space="preserve"> Signature: ______________</w:t>
                      </w:r>
                      <w:r w:rsidR="00BD421A">
                        <w:rPr>
                          <w:rFonts w:ascii="Century Gothic" w:hAnsi="Century Gothic"/>
                          <w:sz w:val="22"/>
                          <w:szCs w:val="22"/>
                        </w:rPr>
                        <w:t>_____</w:t>
                      </w:r>
                    </w:p>
                  </w:txbxContent>
                </v:textbox>
              </v:shape>
            </w:pict>
          </mc:Fallback>
        </mc:AlternateContent>
      </w:r>
      <w:r w:rsidR="00091025">
        <w:rPr>
          <w:u w:val="single"/>
        </w:rPr>
        <w:t>GAUTENG DIVISION, JOHANNESBURG</w:t>
      </w:r>
    </w:p>
    <w:p w:rsidR="00EC035B" w:rsidRDefault="00EC035B" w:rsidP="00EC035B">
      <w:pPr>
        <w:pStyle w:val="LegalAnnexure"/>
        <w:spacing w:after="0" w:line="360" w:lineRule="auto"/>
        <w:jc w:val="left"/>
        <w:rPr>
          <w:u w:val="single"/>
        </w:rPr>
      </w:pPr>
    </w:p>
    <w:p w:rsidR="00EC035B" w:rsidRDefault="00EC035B" w:rsidP="00574C64">
      <w:pPr>
        <w:pStyle w:val="LegalAnnexure"/>
        <w:spacing w:after="0" w:line="360" w:lineRule="auto"/>
        <w:rPr>
          <w:u w:val="single"/>
        </w:rPr>
      </w:pPr>
    </w:p>
    <w:p w:rsidR="00EC035B" w:rsidRDefault="00EC035B" w:rsidP="00574C64">
      <w:pPr>
        <w:pStyle w:val="LegalAnnexure"/>
        <w:spacing w:after="0" w:line="360" w:lineRule="auto"/>
        <w:rPr>
          <w:u w:val="single"/>
        </w:rPr>
      </w:pPr>
    </w:p>
    <w:p w:rsidR="009314F3" w:rsidRDefault="00410D37" w:rsidP="00574C64">
      <w:pPr>
        <w:pStyle w:val="LegalAnnexure"/>
        <w:spacing w:after="0" w:line="360" w:lineRule="auto"/>
      </w:pPr>
      <w:r>
        <w:rPr>
          <w:u w:val="single"/>
        </w:rPr>
        <w:t>CASE</w:t>
      </w:r>
      <w:r w:rsidR="009314F3" w:rsidRPr="00A84826">
        <w:rPr>
          <w:u w:val="single"/>
        </w:rPr>
        <w:t xml:space="preserve"> </w:t>
      </w:r>
      <w:r w:rsidR="00972016">
        <w:rPr>
          <w:u w:val="single"/>
        </w:rPr>
        <w:t>NUMBER</w:t>
      </w:r>
      <w:r w:rsidR="009314F3" w:rsidRPr="002D4810">
        <w:rPr>
          <w:b w:val="0"/>
        </w:rPr>
        <w:t>:</w:t>
      </w:r>
      <w:r w:rsidR="00F86558" w:rsidRPr="002D4810">
        <w:rPr>
          <w:b w:val="0"/>
        </w:rPr>
        <w:t xml:space="preserve"> </w:t>
      </w:r>
      <w:r w:rsidR="00091025">
        <w:rPr>
          <w:b w:val="0"/>
        </w:rPr>
        <w:t>A5036/2022</w:t>
      </w:r>
    </w:p>
    <w:p w:rsidR="0076063C" w:rsidRDefault="0076063C" w:rsidP="00091025">
      <w:pPr>
        <w:pStyle w:val="LegalNormal"/>
        <w:spacing w:after="120" w:line="360" w:lineRule="auto"/>
        <w:jc w:val="right"/>
      </w:pPr>
      <w:r w:rsidRPr="0076063C">
        <w:rPr>
          <w:b/>
          <w:u w:val="single"/>
        </w:rPr>
        <w:t>DATE</w:t>
      </w:r>
      <w:r>
        <w:rPr>
          <w:b/>
        </w:rPr>
        <w:t xml:space="preserve">: </w:t>
      </w:r>
      <w:r w:rsidR="00BD421A">
        <w:t>6</w:t>
      </w:r>
      <w:r w:rsidR="00BD421A" w:rsidRPr="00BD421A">
        <w:rPr>
          <w:vertAlign w:val="superscript"/>
        </w:rPr>
        <w:t>th</w:t>
      </w:r>
      <w:r w:rsidR="00BD421A">
        <w:t xml:space="preserve"> </w:t>
      </w:r>
      <w:r w:rsidR="00D177E3">
        <w:t>July</w:t>
      </w:r>
      <w:r>
        <w:t xml:space="preserve"> 20</w:t>
      </w:r>
      <w:r w:rsidR="00065E50">
        <w:t>23</w:t>
      </w:r>
    </w:p>
    <w:p w:rsidR="009314F3" w:rsidRPr="00A84826" w:rsidRDefault="009314F3" w:rsidP="00091025">
      <w:pPr>
        <w:pStyle w:val="LegalNormal"/>
        <w:spacing w:after="120" w:line="360" w:lineRule="auto"/>
      </w:pPr>
      <w:r w:rsidRPr="00A84826">
        <w:t>In the matter between:</w:t>
      </w:r>
    </w:p>
    <w:p w:rsidR="00091025" w:rsidRDefault="00091025" w:rsidP="00091025">
      <w:pPr>
        <w:pStyle w:val="LegalPlainDef"/>
        <w:spacing w:after="0" w:line="240" w:lineRule="auto"/>
        <w:rPr>
          <w:b/>
        </w:rPr>
      </w:pPr>
      <w:r>
        <w:rPr>
          <w:b/>
        </w:rPr>
        <w:t xml:space="preserve">THE COMMISSIONER FOR </w:t>
      </w:r>
    </w:p>
    <w:p w:rsidR="00091025" w:rsidRDefault="00091025" w:rsidP="00091025">
      <w:pPr>
        <w:pStyle w:val="LegalPlainDef"/>
        <w:spacing w:after="120" w:line="360" w:lineRule="auto"/>
      </w:pPr>
      <w:r>
        <w:rPr>
          <w:b/>
        </w:rPr>
        <w:t>THE SOUTH AFRICAN REVENUE SERVICES</w:t>
      </w:r>
      <w:r>
        <w:rPr>
          <w:b/>
        </w:rPr>
        <w:tab/>
      </w:r>
      <w:r>
        <w:t>Appellant</w:t>
      </w:r>
    </w:p>
    <w:p w:rsidR="009314F3" w:rsidRPr="00A84826" w:rsidRDefault="009314F3" w:rsidP="00203325">
      <w:pPr>
        <w:pStyle w:val="LegalNormal"/>
        <w:spacing w:after="120" w:line="360" w:lineRule="auto"/>
      </w:pPr>
      <w:r w:rsidRPr="00A84826">
        <w:t>and</w:t>
      </w:r>
      <w:r w:rsidR="008079AD">
        <w:t xml:space="preserve"> </w:t>
      </w:r>
    </w:p>
    <w:p w:rsidR="00091025" w:rsidRDefault="0041157A" w:rsidP="00091025">
      <w:pPr>
        <w:pStyle w:val="LegalPlainDef"/>
        <w:spacing w:after="240" w:line="360" w:lineRule="auto"/>
      </w:pPr>
      <w:r>
        <w:rPr>
          <w:b/>
        </w:rPr>
        <w:t>M</w:t>
      </w:r>
      <w:r w:rsidR="00091025">
        <w:rPr>
          <w:b/>
        </w:rPr>
        <w:tab/>
      </w:r>
      <w:r w:rsidR="002232F3">
        <w:t>Respondent</w:t>
      </w:r>
    </w:p>
    <w:p w:rsidR="00AE7DC6" w:rsidRDefault="00AE7DC6" w:rsidP="00AE7DC6">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CSARS v M (A5036/2023) </w:t>
      </w:r>
      <w:r>
        <w:rPr>
          <w:rFonts w:cs="Arial"/>
          <w:b/>
          <w:lang w:val="en-ZA" w:eastAsia="en-US"/>
        </w:rPr>
        <w:t xml:space="preserve">[2023] ZAGPJHC --- </w:t>
      </w:r>
      <w:r>
        <w:rPr>
          <w:rFonts w:cs="Arial"/>
          <w:lang w:val="en-ZA" w:eastAsia="en-US"/>
        </w:rPr>
        <w:t>(</w:t>
      </w:r>
      <w:r w:rsidR="00BD421A">
        <w:rPr>
          <w:rFonts w:cs="Arial"/>
          <w:lang w:val="en-ZA" w:eastAsia="en-US"/>
        </w:rPr>
        <w:t>06</w:t>
      </w:r>
      <w:r w:rsidR="00D177E3">
        <w:rPr>
          <w:rFonts w:cs="Arial"/>
          <w:lang w:val="en-ZA" w:eastAsia="en-US"/>
        </w:rPr>
        <w:t xml:space="preserve"> July</w:t>
      </w:r>
      <w:r>
        <w:rPr>
          <w:rFonts w:cs="Arial"/>
          <w:lang w:val="en-ZA" w:eastAsia="en-US"/>
        </w:rPr>
        <w:t xml:space="preserve"> 2023)</w:t>
      </w:r>
      <w:r>
        <w:rPr>
          <w:rFonts w:cs="Arial"/>
          <w:b/>
          <w:lang w:val="en-ZA" w:eastAsia="en-US"/>
        </w:rPr>
        <w:t xml:space="preserve"> </w:t>
      </w:r>
      <w:r>
        <w:rPr>
          <w:rFonts w:cs="Arial"/>
          <w:i/>
          <w:lang w:val="en-ZA" w:eastAsia="en-US"/>
        </w:rPr>
        <w:t xml:space="preserve"> </w:t>
      </w:r>
    </w:p>
    <w:p w:rsidR="00091025" w:rsidRDefault="00091025" w:rsidP="00091025">
      <w:pPr>
        <w:suppressAutoHyphens w:val="0"/>
        <w:spacing w:line="360" w:lineRule="auto"/>
        <w:ind w:left="1440" w:hanging="1440"/>
        <w:jc w:val="both"/>
        <w:rPr>
          <w:rFonts w:cs="Arial"/>
          <w:b/>
          <w:lang w:val="en-ZA" w:eastAsia="en-US"/>
        </w:rPr>
      </w:pPr>
      <w:r>
        <w:rPr>
          <w:rFonts w:cs="Arial"/>
          <w:b/>
          <w:bCs/>
          <w:lang w:val="en-ZA" w:eastAsia="en-US"/>
        </w:rPr>
        <w:t>Coram</w:t>
      </w:r>
      <w:r>
        <w:rPr>
          <w:rFonts w:cs="Arial"/>
          <w:lang w:val="en-ZA" w:eastAsia="en-US"/>
        </w:rPr>
        <w:t>:</w:t>
      </w:r>
      <w:r>
        <w:rPr>
          <w:rFonts w:cs="Arial"/>
          <w:lang w:val="en-ZA" w:eastAsia="en-US"/>
        </w:rPr>
        <w:tab/>
        <w:t xml:space="preserve">Wepener, Adams </w:t>
      </w:r>
      <w:r w:rsidRPr="00091025">
        <w:rPr>
          <w:rFonts w:cs="Arial"/>
          <w:i/>
          <w:lang w:val="en-ZA" w:eastAsia="en-US"/>
        </w:rPr>
        <w:t>et</w:t>
      </w:r>
      <w:r>
        <w:rPr>
          <w:rFonts w:cs="Arial"/>
          <w:lang w:val="en-ZA" w:eastAsia="en-US"/>
        </w:rPr>
        <w:t xml:space="preserve"> Mahalelo JJ</w:t>
      </w:r>
    </w:p>
    <w:p w:rsidR="00423B3B" w:rsidRDefault="00423B3B" w:rsidP="00091025">
      <w:pPr>
        <w:suppressAutoHyphens w:val="0"/>
        <w:spacing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595B74">
        <w:rPr>
          <w:rFonts w:cs="Arial"/>
          <w:lang w:val="en-ZA" w:eastAsia="en-US"/>
        </w:rPr>
        <w:t>8</w:t>
      </w:r>
      <w:r w:rsidR="00EA5FBB">
        <w:rPr>
          <w:rFonts w:cs="Arial"/>
          <w:lang w:val="en-ZA" w:eastAsia="en-US"/>
        </w:rPr>
        <w:t xml:space="preserve"> </w:t>
      </w:r>
      <w:r w:rsidR="00595B74">
        <w:rPr>
          <w:rFonts w:cs="Arial"/>
          <w:lang w:val="en-ZA" w:eastAsia="en-US"/>
        </w:rPr>
        <w:t>March</w:t>
      </w:r>
      <w:r w:rsidR="00065E50">
        <w:rPr>
          <w:rFonts w:cs="Arial"/>
          <w:lang w:val="en-ZA" w:eastAsia="en-US"/>
        </w:rPr>
        <w:t xml:space="preserve"> 2023</w:t>
      </w:r>
    </w:p>
    <w:p w:rsidR="00423B3B" w:rsidRDefault="00423B3B" w:rsidP="00423B3B">
      <w:pPr>
        <w:suppressAutoHyphens w:val="0"/>
        <w:spacing w:after="12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BD421A">
        <w:rPr>
          <w:rFonts w:cs="Arial"/>
          <w:lang w:val="en-ZA" w:eastAsia="en-US"/>
        </w:rPr>
        <w:t>06</w:t>
      </w:r>
      <w:r>
        <w:rPr>
          <w:rFonts w:cs="Arial"/>
          <w:lang w:val="en-ZA" w:eastAsia="en-US"/>
        </w:rPr>
        <w:t xml:space="preserve"> </w:t>
      </w:r>
      <w:r w:rsidR="00D177E3">
        <w:rPr>
          <w:rFonts w:cs="Arial"/>
          <w:lang w:val="en-ZA" w:eastAsia="en-US"/>
        </w:rPr>
        <w:t>July</w:t>
      </w:r>
      <w:r w:rsidR="00065E50">
        <w:rPr>
          <w:rFonts w:cs="Arial"/>
          <w:lang w:val="en-ZA" w:eastAsia="en-US"/>
        </w:rPr>
        <w:t xml:space="preserve"> 2023</w:t>
      </w:r>
      <w:r>
        <w:rPr>
          <w:rFonts w:cs="Arial"/>
          <w:lang w:val="en-ZA" w:eastAsia="en-US"/>
        </w:rPr>
        <w:t xml:space="preserve"> – This judgment was handed down electronically by circulation to the parties' representatives </w:t>
      </w:r>
      <w:r w:rsidRPr="00423B3B">
        <w:rPr>
          <w:rFonts w:cs="Arial"/>
          <w:i/>
          <w:lang w:val="en-ZA" w:eastAsia="en-US"/>
        </w:rPr>
        <w:t>via</w:t>
      </w:r>
      <w:r>
        <w:rPr>
          <w:rFonts w:cs="Arial"/>
          <w:lang w:val="en-ZA" w:eastAsia="en-US"/>
        </w:rPr>
        <w:t xml:space="preserve"> email, by being uploaded to </w:t>
      </w:r>
      <w:r>
        <w:rPr>
          <w:rFonts w:cs="Arial"/>
          <w:i/>
          <w:lang w:val="en-ZA" w:eastAsia="en-US"/>
        </w:rPr>
        <w:t>CaseLines</w:t>
      </w:r>
      <w:r>
        <w:rPr>
          <w:rFonts w:cs="Arial"/>
          <w:lang w:val="en-ZA" w:eastAsia="en-US"/>
        </w:rPr>
        <w:t xml:space="preserve"> and by release to SAFLII. The date and time for h</w:t>
      </w:r>
      <w:r w:rsidR="00BD421A">
        <w:rPr>
          <w:rFonts w:cs="Arial"/>
          <w:lang w:val="en-ZA" w:eastAsia="en-US"/>
        </w:rPr>
        <w:t>and-down is deemed to be 12</w:t>
      </w:r>
      <w:r w:rsidR="00065E50">
        <w:rPr>
          <w:rFonts w:cs="Arial"/>
          <w:lang w:val="en-ZA" w:eastAsia="en-US"/>
        </w:rPr>
        <w:t>:</w:t>
      </w:r>
      <w:r w:rsidR="00BD421A">
        <w:rPr>
          <w:rFonts w:cs="Arial"/>
          <w:lang w:val="en-ZA" w:eastAsia="en-US"/>
        </w:rPr>
        <w:t>3</w:t>
      </w:r>
      <w:r>
        <w:rPr>
          <w:rFonts w:cs="Arial"/>
          <w:lang w:val="en-ZA" w:eastAsia="en-US"/>
        </w:rPr>
        <w:t xml:space="preserve">0 on </w:t>
      </w:r>
      <w:r w:rsidR="00BD421A">
        <w:rPr>
          <w:rFonts w:cs="Arial"/>
          <w:lang w:val="en-ZA" w:eastAsia="en-US"/>
        </w:rPr>
        <w:t>06</w:t>
      </w:r>
      <w:r>
        <w:rPr>
          <w:rFonts w:cs="Arial"/>
          <w:lang w:val="en-ZA" w:eastAsia="en-US"/>
        </w:rPr>
        <w:t xml:space="preserve"> </w:t>
      </w:r>
      <w:r w:rsidR="00D177E3">
        <w:rPr>
          <w:rFonts w:cs="Arial"/>
          <w:lang w:val="en-ZA" w:eastAsia="en-US"/>
        </w:rPr>
        <w:t>July</w:t>
      </w:r>
      <w:r w:rsidR="00065E50">
        <w:rPr>
          <w:rFonts w:cs="Arial"/>
          <w:lang w:val="en-ZA" w:eastAsia="en-US"/>
        </w:rPr>
        <w:t xml:space="preserve"> 2023</w:t>
      </w:r>
      <w:r>
        <w:rPr>
          <w:rFonts w:cs="Arial"/>
          <w:lang w:val="en-ZA" w:eastAsia="en-US"/>
        </w:rPr>
        <w:t>.</w:t>
      </w:r>
    </w:p>
    <w:p w:rsidR="00A35C62" w:rsidRDefault="00312CEA" w:rsidP="00825082">
      <w:pPr>
        <w:spacing w:line="360" w:lineRule="auto"/>
        <w:jc w:val="both"/>
        <w:rPr>
          <w:rFonts w:cs="Arial"/>
          <w:bCs/>
          <w:lang w:val="en-ZA" w:eastAsia="en-US"/>
        </w:rPr>
      </w:pPr>
      <w:r>
        <w:rPr>
          <w:rFonts w:cs="Arial"/>
          <w:b/>
          <w:bCs/>
          <w:lang w:val="en-ZA" w:eastAsia="en-US"/>
        </w:rPr>
        <w:lastRenderedPageBreak/>
        <w:t>Summary:</w:t>
      </w:r>
      <w:r w:rsidR="002F0A68">
        <w:rPr>
          <w:rFonts w:cs="Arial"/>
          <w:bCs/>
          <w:lang w:val="en-ZA" w:eastAsia="en-US"/>
        </w:rPr>
        <w:tab/>
      </w:r>
      <w:r w:rsidR="00A35C62">
        <w:rPr>
          <w:rFonts w:cs="Arial"/>
          <w:bCs/>
          <w:lang w:val="en-ZA" w:eastAsia="en-US"/>
        </w:rPr>
        <w:t xml:space="preserve">Appeal from the </w:t>
      </w:r>
      <w:r w:rsidR="004644DB">
        <w:rPr>
          <w:rFonts w:cs="Arial"/>
          <w:bCs/>
          <w:lang w:val="en-ZA" w:eastAsia="en-US"/>
        </w:rPr>
        <w:t>Tax Court</w:t>
      </w:r>
      <w:r w:rsidR="002F0A68">
        <w:rPr>
          <w:rFonts w:cs="Arial"/>
          <w:bCs/>
          <w:lang w:val="en-ZA" w:eastAsia="en-US"/>
        </w:rPr>
        <w:t xml:space="preserve"> – </w:t>
      </w:r>
      <w:r w:rsidR="00A35C62" w:rsidRPr="00A35C62">
        <w:rPr>
          <w:rFonts w:cs="Arial"/>
          <w:bCs/>
          <w:lang w:val="en-ZA" w:eastAsia="en-US"/>
        </w:rPr>
        <w:t xml:space="preserve">whether </w:t>
      </w:r>
      <w:r w:rsidR="00FF1CCB">
        <w:rPr>
          <w:rFonts w:cs="Arial"/>
          <w:bCs/>
          <w:lang w:val="en-ZA" w:eastAsia="en-US"/>
        </w:rPr>
        <w:t xml:space="preserve">undeclared </w:t>
      </w:r>
      <w:r w:rsidR="00A35C62">
        <w:rPr>
          <w:rFonts w:cs="Arial"/>
          <w:bCs/>
          <w:lang w:val="en-ZA" w:eastAsia="en-US"/>
        </w:rPr>
        <w:t xml:space="preserve">receipts and deposits into taxpayer’s personal bank accounts and other accruals </w:t>
      </w:r>
      <w:r w:rsidR="00A35C62" w:rsidRPr="00A35C62">
        <w:rPr>
          <w:rFonts w:cs="Arial"/>
          <w:bCs/>
          <w:lang w:val="en-ZA" w:eastAsia="en-US"/>
        </w:rPr>
        <w:t>were income or the repayment of loans</w:t>
      </w:r>
      <w:r w:rsidR="00FF1CCB">
        <w:rPr>
          <w:rFonts w:cs="Arial"/>
          <w:bCs/>
          <w:lang w:val="en-ZA" w:eastAsia="en-US"/>
        </w:rPr>
        <w:t xml:space="preserve"> – </w:t>
      </w:r>
      <w:r w:rsidR="00A35C62" w:rsidRPr="00A35C62">
        <w:rPr>
          <w:rFonts w:cs="Arial"/>
          <w:bCs/>
          <w:lang w:val="en-ZA" w:eastAsia="en-US"/>
        </w:rPr>
        <w:t>a factual issue</w:t>
      </w:r>
      <w:r w:rsidR="00FF1CCB">
        <w:rPr>
          <w:rFonts w:cs="Arial"/>
          <w:bCs/>
          <w:lang w:val="en-ZA" w:eastAsia="en-US"/>
        </w:rPr>
        <w:t>.</w:t>
      </w:r>
    </w:p>
    <w:p w:rsidR="007869EF" w:rsidRDefault="00FF1CCB" w:rsidP="00FF1CCB">
      <w:pPr>
        <w:spacing w:line="360" w:lineRule="auto"/>
        <w:jc w:val="both"/>
        <w:rPr>
          <w:rFonts w:cs="Arial"/>
          <w:bCs/>
          <w:lang w:val="en-ZA" w:eastAsia="en-US"/>
        </w:rPr>
      </w:pPr>
      <w:r>
        <w:rPr>
          <w:rFonts w:cs="Arial"/>
          <w:bCs/>
          <w:lang w:val="en-ZA" w:eastAsia="en-US"/>
        </w:rPr>
        <w:t>Definition</w:t>
      </w:r>
      <w:r w:rsidR="007869EF">
        <w:rPr>
          <w:rFonts w:cs="Arial"/>
          <w:bCs/>
          <w:lang w:val="en-ZA" w:eastAsia="en-US"/>
        </w:rPr>
        <w:t xml:space="preserve"> of</w:t>
      </w:r>
      <w:r>
        <w:rPr>
          <w:rFonts w:cs="Arial"/>
          <w:bCs/>
          <w:lang w:val="en-ZA" w:eastAsia="en-US"/>
        </w:rPr>
        <w:t xml:space="preserve"> ‘g</w:t>
      </w:r>
      <w:r w:rsidRPr="00FF1CCB">
        <w:rPr>
          <w:rFonts w:cs="Arial"/>
          <w:bCs/>
          <w:lang w:val="en-ZA" w:eastAsia="en-US"/>
        </w:rPr>
        <w:t>ross income’</w:t>
      </w:r>
      <w:r>
        <w:rPr>
          <w:rFonts w:cs="Arial"/>
          <w:bCs/>
          <w:lang w:val="en-ZA" w:eastAsia="en-US"/>
        </w:rPr>
        <w:t xml:space="preserve"> in </w:t>
      </w:r>
      <w:r w:rsidRPr="00FF1CCB">
        <w:rPr>
          <w:rFonts w:cs="Arial"/>
          <w:bCs/>
          <w:lang w:val="en-ZA" w:eastAsia="en-US"/>
        </w:rPr>
        <w:t>s 1 of the Income Tax Act</w:t>
      </w:r>
      <w:r>
        <w:rPr>
          <w:rFonts w:cs="Arial"/>
          <w:bCs/>
          <w:lang w:val="en-ZA" w:eastAsia="en-US"/>
        </w:rPr>
        <w:t xml:space="preserve"> – </w:t>
      </w:r>
      <w:r w:rsidRPr="00FF1CCB">
        <w:rPr>
          <w:rFonts w:cs="Arial"/>
          <w:bCs/>
          <w:lang w:val="en-ZA" w:eastAsia="en-US"/>
        </w:rPr>
        <w:t xml:space="preserve">the total amount, in cash or otherwise, received by or accrued to or in favour of </w:t>
      </w:r>
      <w:r>
        <w:rPr>
          <w:rFonts w:cs="Arial"/>
          <w:bCs/>
          <w:lang w:val="en-ZA" w:eastAsia="en-US"/>
        </w:rPr>
        <w:t>a</w:t>
      </w:r>
      <w:r w:rsidRPr="00FF1CCB">
        <w:rPr>
          <w:rFonts w:cs="Arial"/>
          <w:bCs/>
          <w:lang w:val="en-ZA" w:eastAsia="en-US"/>
        </w:rPr>
        <w:t xml:space="preserve"> </w:t>
      </w:r>
      <w:r>
        <w:rPr>
          <w:rFonts w:cs="Arial"/>
          <w:bCs/>
          <w:lang w:val="en-ZA" w:eastAsia="en-US"/>
        </w:rPr>
        <w:t>taxpayer</w:t>
      </w:r>
      <w:r w:rsidR="007869EF">
        <w:rPr>
          <w:rFonts w:cs="Arial"/>
          <w:bCs/>
          <w:lang w:val="en-ZA" w:eastAsia="en-US"/>
        </w:rPr>
        <w:t xml:space="preserve"> not of a capital nature</w:t>
      </w:r>
      <w:r>
        <w:rPr>
          <w:rFonts w:cs="Arial"/>
          <w:bCs/>
          <w:lang w:val="en-ZA" w:eastAsia="en-US"/>
        </w:rPr>
        <w:t xml:space="preserve"> –</w:t>
      </w:r>
      <w:r w:rsidRPr="00FF1CCB">
        <w:rPr>
          <w:rFonts w:cs="Arial"/>
          <w:bCs/>
          <w:lang w:val="en-ZA" w:eastAsia="en-US"/>
        </w:rPr>
        <w:t xml:space="preserve"> an assessment is </w:t>
      </w:r>
      <w:r>
        <w:rPr>
          <w:rFonts w:cs="Arial"/>
          <w:bCs/>
          <w:lang w:val="en-ZA" w:eastAsia="en-US"/>
        </w:rPr>
        <w:t>in respect of</w:t>
      </w:r>
      <w:r w:rsidRPr="00FF1CCB">
        <w:rPr>
          <w:rFonts w:cs="Arial"/>
          <w:bCs/>
          <w:lang w:val="en-ZA" w:eastAsia="en-US"/>
        </w:rPr>
        <w:t xml:space="preserve"> a specific amount</w:t>
      </w:r>
      <w:r>
        <w:rPr>
          <w:rFonts w:cs="Arial"/>
          <w:bCs/>
          <w:lang w:val="en-ZA" w:eastAsia="en-US"/>
        </w:rPr>
        <w:t xml:space="preserve"> – t</w:t>
      </w:r>
      <w:r w:rsidRPr="00FF1CCB">
        <w:rPr>
          <w:rFonts w:cs="Arial"/>
          <w:bCs/>
          <w:lang w:val="en-ZA" w:eastAsia="en-US"/>
        </w:rPr>
        <w:t>he</w:t>
      </w:r>
      <w:r>
        <w:rPr>
          <w:rFonts w:cs="Arial"/>
          <w:bCs/>
          <w:lang w:val="en-ZA" w:eastAsia="en-US"/>
        </w:rPr>
        <w:t xml:space="preserve"> </w:t>
      </w:r>
      <w:r w:rsidRPr="00FF1CCB">
        <w:rPr>
          <w:rFonts w:cs="Arial"/>
          <w:bCs/>
          <w:lang w:val="en-ZA" w:eastAsia="en-US"/>
        </w:rPr>
        <w:t>taxpayer is required to address every single receipt and accrual, as detailed in the finalisa</w:t>
      </w:r>
      <w:r>
        <w:rPr>
          <w:rFonts w:cs="Arial"/>
          <w:bCs/>
          <w:lang w:val="en-ZA" w:eastAsia="en-US"/>
        </w:rPr>
        <w:t xml:space="preserve">tion of audit letter – </w:t>
      </w:r>
      <w:r w:rsidRPr="00FF1CCB">
        <w:rPr>
          <w:rFonts w:cs="Arial"/>
          <w:bCs/>
          <w:lang w:val="en-ZA" w:eastAsia="en-US"/>
        </w:rPr>
        <w:t>rule</w:t>
      </w:r>
      <w:r>
        <w:rPr>
          <w:rFonts w:cs="Arial"/>
          <w:bCs/>
          <w:lang w:val="en-ZA" w:eastAsia="en-US"/>
        </w:rPr>
        <w:t xml:space="preserve"> </w:t>
      </w:r>
      <w:r w:rsidRPr="00FF1CCB">
        <w:rPr>
          <w:rFonts w:cs="Arial"/>
          <w:bCs/>
          <w:lang w:val="en-ZA" w:eastAsia="en-US"/>
        </w:rPr>
        <w:t>7 of the Rules of the Tax Court</w:t>
      </w:r>
      <w:r>
        <w:rPr>
          <w:rFonts w:cs="Arial"/>
          <w:bCs/>
          <w:lang w:val="en-ZA" w:eastAsia="en-US"/>
        </w:rPr>
        <w:t xml:space="preserve"> – </w:t>
      </w:r>
      <w:r w:rsidRPr="00FF1CCB">
        <w:rPr>
          <w:rFonts w:cs="Arial"/>
          <w:bCs/>
          <w:lang w:val="en-ZA" w:eastAsia="en-US"/>
        </w:rPr>
        <w:t>a taxpayer, in his objection</w:t>
      </w:r>
      <w:r w:rsidR="007869EF">
        <w:rPr>
          <w:rFonts w:cs="Arial"/>
          <w:bCs/>
          <w:lang w:val="en-ZA" w:eastAsia="en-US"/>
        </w:rPr>
        <w:t>,</w:t>
      </w:r>
      <w:r w:rsidRPr="00FF1CCB">
        <w:rPr>
          <w:rFonts w:cs="Arial"/>
          <w:bCs/>
          <w:lang w:val="en-ZA" w:eastAsia="en-US"/>
        </w:rPr>
        <w:t xml:space="preserve"> must specify in detail ‘the specific amount of the disputed assessment objecte</w:t>
      </w:r>
      <w:r w:rsidR="007869EF">
        <w:rPr>
          <w:rFonts w:cs="Arial"/>
          <w:bCs/>
          <w:lang w:val="en-ZA" w:eastAsia="en-US"/>
        </w:rPr>
        <w:t xml:space="preserve">d to’ – </w:t>
      </w:r>
      <w:r w:rsidRPr="00FF1CCB">
        <w:rPr>
          <w:rFonts w:cs="Arial"/>
          <w:bCs/>
          <w:lang w:val="en-ZA" w:eastAsia="en-US"/>
        </w:rPr>
        <w:t xml:space="preserve">s 102(1)(a) of the </w:t>
      </w:r>
      <w:r w:rsidR="007869EF">
        <w:rPr>
          <w:rFonts w:cs="Arial"/>
          <w:bCs/>
          <w:lang w:val="en-ZA" w:eastAsia="en-US"/>
        </w:rPr>
        <w:t xml:space="preserve">Tax Administration Act – </w:t>
      </w:r>
      <w:r w:rsidRPr="00FF1CCB">
        <w:rPr>
          <w:rFonts w:cs="Arial"/>
          <w:bCs/>
          <w:lang w:val="en-ZA" w:eastAsia="en-US"/>
        </w:rPr>
        <w:t>‘[a] taxpayer b</w:t>
      </w:r>
      <w:r w:rsidR="007869EF">
        <w:rPr>
          <w:rFonts w:cs="Arial"/>
          <w:bCs/>
          <w:lang w:val="en-ZA" w:eastAsia="en-US"/>
        </w:rPr>
        <w:t>ears the burden of proving</w:t>
      </w:r>
      <w:r w:rsidRPr="00FF1CCB">
        <w:rPr>
          <w:rFonts w:cs="Arial"/>
          <w:bCs/>
          <w:lang w:val="en-ZA" w:eastAsia="en-US"/>
        </w:rPr>
        <w:t xml:space="preserve"> that an amount, transaction, event or item </w:t>
      </w:r>
      <w:r w:rsidR="007869EF">
        <w:rPr>
          <w:rFonts w:cs="Arial"/>
          <w:bCs/>
          <w:lang w:val="en-ZA" w:eastAsia="en-US"/>
        </w:rPr>
        <w:t>is</w:t>
      </w:r>
      <w:r w:rsidRPr="00FF1CCB">
        <w:rPr>
          <w:rFonts w:cs="Arial"/>
          <w:bCs/>
          <w:lang w:val="en-ZA" w:eastAsia="en-US"/>
        </w:rPr>
        <w:t xml:space="preserve"> e</w:t>
      </w:r>
      <w:r w:rsidR="007869EF">
        <w:rPr>
          <w:rFonts w:cs="Arial"/>
          <w:bCs/>
          <w:lang w:val="en-ZA" w:eastAsia="en-US"/>
        </w:rPr>
        <w:t xml:space="preserve">xempt or otherwise not taxable’ – </w:t>
      </w:r>
    </w:p>
    <w:p w:rsidR="00825082" w:rsidRDefault="007869EF" w:rsidP="00FF1CCB">
      <w:pPr>
        <w:spacing w:line="360" w:lineRule="auto"/>
        <w:jc w:val="both"/>
        <w:rPr>
          <w:rFonts w:cs="Arial"/>
          <w:bCs/>
          <w:lang w:val="en-ZA" w:eastAsia="en-US"/>
        </w:rPr>
      </w:pPr>
      <w:r>
        <w:rPr>
          <w:rFonts w:cs="Arial"/>
          <w:bCs/>
          <w:lang w:val="en-ZA" w:eastAsia="en-US"/>
        </w:rPr>
        <w:t>Taxpayer failed to discharge the onus in most of the itemised assessed amounts.</w:t>
      </w:r>
    </w:p>
    <w:p w:rsidR="00C07E4A" w:rsidRDefault="007869EF" w:rsidP="00825082">
      <w:pPr>
        <w:spacing w:after="240" w:line="360" w:lineRule="auto"/>
        <w:jc w:val="both"/>
        <w:rPr>
          <w:rFonts w:cs="Arial"/>
          <w:bCs/>
          <w:lang w:val="en-ZA" w:eastAsia="en-US"/>
        </w:rPr>
      </w:pPr>
      <w:r>
        <w:rPr>
          <w:rFonts w:cs="Arial"/>
          <w:bCs/>
          <w:lang w:val="en-ZA" w:eastAsia="en-US"/>
        </w:rPr>
        <w:t>Appeal upheld and the order of the Tax Court set aside.</w:t>
      </w:r>
    </w:p>
    <w:p w:rsidR="00312CEA" w:rsidRDefault="00312CEA" w:rsidP="00C07E4A">
      <w:pPr>
        <w:pStyle w:val="LegalTramLines"/>
        <w:keepNext/>
        <w:spacing w:after="240"/>
      </w:pPr>
      <w:r>
        <w:t>ORDER</w:t>
      </w:r>
    </w:p>
    <w:p w:rsidR="00D6164F" w:rsidRDefault="00D63A02" w:rsidP="00D63A02">
      <w:pPr>
        <w:pStyle w:val="LegalList1"/>
        <w:spacing w:after="120" w:line="360" w:lineRule="auto"/>
        <w:ind w:left="567" w:hanging="567"/>
      </w:pPr>
      <w:r>
        <w:t>(1)</w:t>
      </w:r>
      <w:r>
        <w:tab/>
      </w:r>
      <w:r w:rsidR="00F922DD">
        <w:t>The appeal</w:t>
      </w:r>
      <w:r w:rsidR="00D6164F">
        <w:t xml:space="preserve"> of the appellant (SARS)</w:t>
      </w:r>
      <w:r w:rsidR="00F922DD">
        <w:t xml:space="preserve"> against </w:t>
      </w:r>
      <w:r w:rsidR="00D6164F">
        <w:t>the order of the Tax Court dated 16 July 2021 is upheld.</w:t>
      </w:r>
    </w:p>
    <w:p w:rsidR="00D6164F" w:rsidRDefault="00D63A02" w:rsidP="00D63A02">
      <w:pPr>
        <w:pStyle w:val="LegalList1"/>
        <w:spacing w:after="0" w:line="360" w:lineRule="auto"/>
        <w:ind w:left="567" w:hanging="567"/>
      </w:pPr>
      <w:r>
        <w:t>(2)</w:t>
      </w:r>
      <w:r>
        <w:tab/>
      </w:r>
      <w:r w:rsidR="00D6164F">
        <w:t xml:space="preserve">The order of the Tax Court of 16 July 2021 is set aside and in its place and stead is substituted the following order: - </w:t>
      </w:r>
    </w:p>
    <w:p w:rsidR="00D6164F" w:rsidRPr="00F32519" w:rsidRDefault="00F32519" w:rsidP="00F32519">
      <w:pPr>
        <w:pStyle w:val="LegalList1"/>
        <w:spacing w:after="0" w:line="360" w:lineRule="auto"/>
        <w:ind w:left="851" w:hanging="567"/>
        <w:rPr>
          <w:sz w:val="20"/>
          <w:szCs w:val="20"/>
        </w:rPr>
      </w:pPr>
      <w:r w:rsidRPr="00F32519">
        <w:rPr>
          <w:sz w:val="20"/>
          <w:szCs w:val="20"/>
        </w:rPr>
        <w:t>‘(a)</w:t>
      </w:r>
      <w:r w:rsidRPr="00F32519">
        <w:rPr>
          <w:sz w:val="20"/>
          <w:szCs w:val="20"/>
        </w:rPr>
        <w:tab/>
      </w:r>
      <w:r w:rsidR="00D6164F" w:rsidRPr="00F32519">
        <w:rPr>
          <w:sz w:val="20"/>
          <w:szCs w:val="20"/>
        </w:rPr>
        <w:t xml:space="preserve">The appeal of the appellant (the taxpayer) against the additional assessments in respect of the 2007, 2008, 2009 and 2010 tax years of assessment are dismissed; </w:t>
      </w:r>
    </w:p>
    <w:p w:rsidR="00A36FF0" w:rsidRPr="00F32519" w:rsidRDefault="00D63A02" w:rsidP="00D63A02">
      <w:pPr>
        <w:pStyle w:val="LegalList1"/>
        <w:spacing w:after="120" w:line="360" w:lineRule="auto"/>
        <w:ind w:left="851" w:hanging="567"/>
        <w:rPr>
          <w:sz w:val="20"/>
          <w:szCs w:val="20"/>
        </w:rPr>
      </w:pPr>
      <w:r w:rsidRPr="00F32519">
        <w:rPr>
          <w:sz w:val="20"/>
          <w:szCs w:val="20"/>
        </w:rPr>
        <w:t>(b)</w:t>
      </w:r>
      <w:r w:rsidRPr="00F32519">
        <w:rPr>
          <w:sz w:val="20"/>
          <w:szCs w:val="20"/>
        </w:rPr>
        <w:tab/>
      </w:r>
      <w:r w:rsidR="00A36FF0" w:rsidRPr="00F32519">
        <w:rPr>
          <w:sz w:val="20"/>
          <w:szCs w:val="20"/>
        </w:rPr>
        <w:t xml:space="preserve">SARS is ordered to alter the assessments to reflect the amounts reflected </w:t>
      </w:r>
      <w:r w:rsidR="007869EF">
        <w:rPr>
          <w:sz w:val="20"/>
          <w:szCs w:val="20"/>
        </w:rPr>
        <w:t>in</w:t>
      </w:r>
      <w:r w:rsidR="00A36FF0" w:rsidRPr="00F32519">
        <w:rPr>
          <w:sz w:val="20"/>
          <w:szCs w:val="20"/>
        </w:rPr>
        <w:t xml:space="preserve"> </w:t>
      </w:r>
      <w:r w:rsidR="005D0827" w:rsidRPr="00F32519">
        <w:rPr>
          <w:sz w:val="20"/>
          <w:szCs w:val="20"/>
        </w:rPr>
        <w:t>the following table</w:t>
      </w:r>
      <w:r w:rsidR="00A36FF0" w:rsidRPr="00F32519">
        <w:rPr>
          <w:sz w:val="20"/>
          <w:szCs w:val="20"/>
        </w:rPr>
        <w:t>;</w:t>
      </w:r>
    </w:p>
    <w:tbl>
      <w:tblPr>
        <w:tblW w:w="8499" w:type="dxa"/>
        <w:jc w:val="center"/>
        <w:tblLayout w:type="fixed"/>
        <w:tblCellMar>
          <w:left w:w="10" w:type="dxa"/>
          <w:right w:w="10" w:type="dxa"/>
        </w:tblCellMar>
        <w:tblLook w:val="0000" w:firstRow="0" w:lastRow="0" w:firstColumn="0" w:lastColumn="0" w:noHBand="0" w:noVBand="0"/>
      </w:tblPr>
      <w:tblGrid>
        <w:gridCol w:w="850"/>
        <w:gridCol w:w="1134"/>
        <w:gridCol w:w="992"/>
        <w:gridCol w:w="1571"/>
        <w:gridCol w:w="1140"/>
        <w:gridCol w:w="1276"/>
        <w:gridCol w:w="1536"/>
      </w:tblGrid>
      <w:tr w:rsidR="005D0827" w:rsidRPr="0011040F" w:rsidTr="00A7418A">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right="167"/>
              <w:jc w:val="center"/>
              <w:rPr>
                <w:rFonts w:cs="Arial"/>
                <w:b/>
                <w:sz w:val="16"/>
                <w:szCs w:val="16"/>
              </w:rPr>
            </w:pPr>
            <w:r w:rsidRPr="0011040F">
              <w:rPr>
                <w:rFonts w:cs="Arial"/>
                <w:b/>
                <w:sz w:val="16"/>
                <w:szCs w:val="16"/>
              </w:rPr>
              <w:t>YEAR</w:t>
            </w:r>
          </w:p>
        </w:tc>
        <w:tc>
          <w:tcPr>
            <w:tcW w:w="1134"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right="166"/>
              <w:jc w:val="center"/>
              <w:rPr>
                <w:rFonts w:cs="Arial"/>
                <w:b/>
                <w:sz w:val="16"/>
                <w:szCs w:val="16"/>
              </w:rPr>
            </w:pPr>
            <w:r w:rsidRPr="0011040F">
              <w:rPr>
                <w:rFonts w:cs="Arial"/>
                <w:b/>
                <w:sz w:val="16"/>
                <w:szCs w:val="16"/>
              </w:rPr>
              <w:t>Investec</w:t>
            </w:r>
          </w:p>
        </w:tc>
        <w:tc>
          <w:tcPr>
            <w:tcW w:w="992"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right="167"/>
              <w:jc w:val="center"/>
              <w:rPr>
                <w:rFonts w:cs="Arial"/>
                <w:b/>
                <w:sz w:val="16"/>
                <w:szCs w:val="16"/>
              </w:rPr>
            </w:pPr>
            <w:r w:rsidRPr="0011040F">
              <w:rPr>
                <w:rFonts w:cs="Arial"/>
                <w:b/>
                <w:sz w:val="16"/>
                <w:szCs w:val="16"/>
              </w:rPr>
              <w:t>Nedbank</w:t>
            </w:r>
          </w:p>
        </w:tc>
        <w:tc>
          <w:tcPr>
            <w:tcW w:w="1571"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left="252" w:right="108"/>
              <w:jc w:val="center"/>
              <w:rPr>
                <w:rFonts w:cs="Arial"/>
                <w:b/>
                <w:sz w:val="16"/>
                <w:szCs w:val="16"/>
              </w:rPr>
            </w:pPr>
            <w:r w:rsidRPr="0011040F">
              <w:rPr>
                <w:rFonts w:cs="Arial"/>
                <w:b/>
                <w:sz w:val="16"/>
                <w:szCs w:val="16"/>
              </w:rPr>
              <w:t>Schedule from FX Africa Foreign Exchange (Pty) Ltd</w:t>
            </w:r>
          </w:p>
        </w:tc>
        <w:tc>
          <w:tcPr>
            <w:tcW w:w="1140"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jc w:val="center"/>
              <w:rPr>
                <w:rFonts w:cs="Arial"/>
                <w:b/>
                <w:sz w:val="16"/>
                <w:szCs w:val="16"/>
              </w:rPr>
            </w:pPr>
            <w:r w:rsidRPr="0011040F">
              <w:rPr>
                <w:rFonts w:cs="Arial"/>
                <w:b/>
                <w:sz w:val="16"/>
                <w:szCs w:val="16"/>
              </w:rPr>
              <w:t>TOTAL</w:t>
            </w:r>
          </w:p>
        </w:tc>
        <w:tc>
          <w:tcPr>
            <w:tcW w:w="1276"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jc w:val="center"/>
              <w:rPr>
                <w:rFonts w:cs="Arial"/>
                <w:b/>
                <w:sz w:val="16"/>
                <w:szCs w:val="16"/>
              </w:rPr>
            </w:pPr>
            <w:r w:rsidRPr="0011040F">
              <w:rPr>
                <w:rFonts w:cs="Arial"/>
                <w:b/>
                <w:sz w:val="16"/>
                <w:szCs w:val="16"/>
              </w:rPr>
              <w:t>Revenue</w:t>
            </w:r>
            <w:r w:rsidRPr="0011040F">
              <w:rPr>
                <w:rFonts w:cs="Arial"/>
                <w:b/>
                <w:sz w:val="16"/>
                <w:szCs w:val="16"/>
              </w:rPr>
              <w:br/>
              <w:t>declared as per</w:t>
            </w:r>
            <w:r w:rsidRPr="0011040F">
              <w:rPr>
                <w:rFonts w:cs="Arial"/>
                <w:b/>
                <w:sz w:val="16"/>
                <w:szCs w:val="16"/>
              </w:rPr>
              <w:br/>
              <w:t>IT12</w:t>
            </w:r>
          </w:p>
        </w:tc>
        <w:tc>
          <w:tcPr>
            <w:tcW w:w="1536"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jc w:val="center"/>
              <w:rPr>
                <w:rFonts w:cs="Arial"/>
                <w:b/>
                <w:sz w:val="16"/>
                <w:szCs w:val="16"/>
              </w:rPr>
            </w:pPr>
            <w:r w:rsidRPr="0011040F">
              <w:rPr>
                <w:rFonts w:cs="Arial"/>
                <w:b/>
                <w:sz w:val="16"/>
                <w:szCs w:val="16"/>
              </w:rPr>
              <w:t>Amount of</w:t>
            </w:r>
            <w:r w:rsidRPr="0011040F">
              <w:rPr>
                <w:rFonts w:cs="Arial"/>
                <w:b/>
                <w:sz w:val="16"/>
                <w:szCs w:val="16"/>
              </w:rPr>
              <w:br/>
              <w:t>adjustment</w:t>
            </w:r>
          </w:p>
        </w:tc>
      </w:tr>
      <w:tr w:rsidR="005D0827" w:rsidRPr="0011040F" w:rsidTr="00A7418A">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right="77"/>
              <w:jc w:val="center"/>
              <w:rPr>
                <w:rFonts w:cs="Arial"/>
                <w:b/>
                <w:sz w:val="16"/>
                <w:szCs w:val="16"/>
              </w:rPr>
            </w:pPr>
            <w:r w:rsidRPr="0011040F">
              <w:rPr>
                <w:rFonts w:cs="Arial"/>
                <w:b/>
                <w:sz w:val="16"/>
                <w:szCs w:val="16"/>
              </w:rPr>
              <w:t>2007</w:t>
            </w:r>
          </w:p>
        </w:tc>
        <w:tc>
          <w:tcPr>
            <w:tcW w:w="1134"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right="76"/>
              <w:jc w:val="center"/>
              <w:rPr>
                <w:rFonts w:cs="Arial"/>
                <w:sz w:val="16"/>
                <w:szCs w:val="16"/>
              </w:rPr>
            </w:pPr>
            <w:r>
              <w:rPr>
                <w:rFonts w:cs="Arial"/>
                <w:sz w:val="16"/>
                <w:szCs w:val="16"/>
              </w:rPr>
              <w:t xml:space="preserve">   963 300.</w:t>
            </w:r>
            <w:r w:rsidRPr="0011040F">
              <w:rPr>
                <w:rFonts w:cs="Arial"/>
                <w:sz w:val="16"/>
                <w:szCs w:val="16"/>
              </w:rPr>
              <w:t>00</w:t>
            </w:r>
          </w:p>
        </w:tc>
        <w:tc>
          <w:tcPr>
            <w:tcW w:w="992"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35 346.00</w:t>
            </w:r>
          </w:p>
        </w:tc>
        <w:tc>
          <w:tcPr>
            <w:tcW w:w="1571"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center"/>
              <w:rPr>
                <w:rFonts w:cs="Arial"/>
                <w:sz w:val="16"/>
                <w:szCs w:val="16"/>
              </w:rPr>
            </w:pPr>
            <w:r w:rsidRPr="0011040F">
              <w:rPr>
                <w:rFonts w:cs="Arial"/>
                <w:sz w:val="16"/>
                <w:szCs w:val="16"/>
              </w:rPr>
              <w:t>39</w:t>
            </w:r>
            <w:r>
              <w:rPr>
                <w:rFonts w:cs="Arial"/>
                <w:sz w:val="16"/>
                <w:szCs w:val="16"/>
              </w:rPr>
              <w:t> </w:t>
            </w:r>
            <w:r w:rsidRPr="0011040F">
              <w:rPr>
                <w:rFonts w:cs="Arial"/>
                <w:sz w:val="16"/>
                <w:szCs w:val="16"/>
              </w:rPr>
              <w:t>378.57</w:t>
            </w:r>
          </w:p>
        </w:tc>
        <w:tc>
          <w:tcPr>
            <w:tcW w:w="1140"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1 038 024.57</w:t>
            </w:r>
          </w:p>
        </w:tc>
        <w:tc>
          <w:tcPr>
            <w:tcW w:w="1276"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455 472.00</w:t>
            </w:r>
          </w:p>
        </w:tc>
        <w:tc>
          <w:tcPr>
            <w:tcW w:w="1536"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582 552.57</w:t>
            </w:r>
          </w:p>
        </w:tc>
      </w:tr>
      <w:tr w:rsidR="005D0827" w:rsidRPr="0011040F" w:rsidTr="00A7418A">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right="77"/>
              <w:jc w:val="center"/>
              <w:rPr>
                <w:rFonts w:cs="Arial"/>
                <w:b/>
                <w:sz w:val="16"/>
                <w:szCs w:val="16"/>
              </w:rPr>
            </w:pPr>
            <w:r w:rsidRPr="0011040F">
              <w:rPr>
                <w:rFonts w:cs="Arial"/>
                <w:b/>
                <w:sz w:val="16"/>
                <w:szCs w:val="16"/>
              </w:rPr>
              <w:t>2008</w:t>
            </w:r>
          </w:p>
        </w:tc>
        <w:tc>
          <w:tcPr>
            <w:tcW w:w="1134"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right" w:pos="936"/>
              </w:tabs>
              <w:autoSpaceDE w:val="0"/>
              <w:autoSpaceDN w:val="0"/>
              <w:adjustRightInd w:val="0"/>
              <w:spacing w:before="120"/>
              <w:ind w:right="76"/>
              <w:jc w:val="center"/>
              <w:rPr>
                <w:rFonts w:cs="Arial"/>
                <w:sz w:val="16"/>
                <w:szCs w:val="16"/>
              </w:rPr>
            </w:pPr>
            <w:r w:rsidRPr="0011040F">
              <w:rPr>
                <w:rFonts w:cs="Arial"/>
                <w:sz w:val="16"/>
                <w:szCs w:val="16"/>
              </w:rPr>
              <w:t>1</w:t>
            </w:r>
            <w:r>
              <w:rPr>
                <w:rFonts w:cs="Arial"/>
                <w:sz w:val="16"/>
                <w:szCs w:val="16"/>
              </w:rPr>
              <w:t> </w:t>
            </w:r>
            <w:r w:rsidRPr="0011040F">
              <w:rPr>
                <w:rFonts w:cs="Arial"/>
                <w:sz w:val="16"/>
                <w:szCs w:val="16"/>
              </w:rPr>
              <w:t>130</w:t>
            </w:r>
            <w:r>
              <w:rPr>
                <w:rFonts w:cs="Arial"/>
                <w:sz w:val="16"/>
                <w:szCs w:val="16"/>
              </w:rPr>
              <w:t> </w:t>
            </w:r>
            <w:r w:rsidRPr="0011040F">
              <w:rPr>
                <w:rFonts w:cs="Arial"/>
                <w:sz w:val="16"/>
                <w:szCs w:val="16"/>
              </w:rPr>
              <w:t>250.00</w:t>
            </w:r>
          </w:p>
        </w:tc>
        <w:tc>
          <w:tcPr>
            <w:tcW w:w="992"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35</w:t>
            </w:r>
            <w:r>
              <w:rPr>
                <w:rFonts w:cs="Arial"/>
                <w:sz w:val="16"/>
                <w:szCs w:val="16"/>
              </w:rPr>
              <w:t> </w:t>
            </w:r>
            <w:r w:rsidRPr="0011040F">
              <w:rPr>
                <w:rFonts w:cs="Arial"/>
                <w:sz w:val="16"/>
                <w:szCs w:val="16"/>
              </w:rPr>
              <w:t>000.00</w:t>
            </w:r>
          </w:p>
        </w:tc>
        <w:tc>
          <w:tcPr>
            <w:tcW w:w="1571"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center"/>
              <w:rPr>
                <w:rFonts w:cs="Arial"/>
                <w:sz w:val="16"/>
                <w:szCs w:val="16"/>
              </w:rPr>
            </w:pPr>
            <w:r w:rsidRPr="0011040F">
              <w:rPr>
                <w:rFonts w:cs="Arial"/>
                <w:sz w:val="16"/>
                <w:szCs w:val="16"/>
              </w:rPr>
              <w:t xml:space="preserve">1 </w:t>
            </w:r>
            <w:r>
              <w:rPr>
                <w:rFonts w:cs="Arial"/>
                <w:sz w:val="16"/>
                <w:szCs w:val="16"/>
              </w:rPr>
              <w:t>348</w:t>
            </w:r>
            <w:r w:rsidRPr="0011040F">
              <w:rPr>
                <w:rFonts w:cs="Arial"/>
                <w:sz w:val="16"/>
                <w:szCs w:val="16"/>
              </w:rPr>
              <w:t xml:space="preserve"> </w:t>
            </w:r>
            <w:r>
              <w:rPr>
                <w:rFonts w:cs="Arial"/>
                <w:sz w:val="16"/>
                <w:szCs w:val="16"/>
              </w:rPr>
              <w:t>500</w:t>
            </w:r>
            <w:r w:rsidRPr="0011040F">
              <w:rPr>
                <w:rFonts w:cs="Arial"/>
                <w:sz w:val="16"/>
                <w:szCs w:val="16"/>
              </w:rPr>
              <w:t>.00</w:t>
            </w:r>
          </w:p>
        </w:tc>
        <w:tc>
          <w:tcPr>
            <w:tcW w:w="1140"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 xml:space="preserve">2 </w:t>
            </w:r>
            <w:r>
              <w:rPr>
                <w:rFonts w:cs="Arial"/>
                <w:b/>
                <w:sz w:val="16"/>
                <w:szCs w:val="16"/>
              </w:rPr>
              <w:t>513</w:t>
            </w:r>
            <w:r w:rsidRPr="0011040F">
              <w:rPr>
                <w:rFonts w:cs="Arial"/>
                <w:b/>
                <w:sz w:val="16"/>
                <w:szCs w:val="16"/>
              </w:rPr>
              <w:t xml:space="preserve"> </w:t>
            </w:r>
            <w:r>
              <w:rPr>
                <w:rFonts w:cs="Arial"/>
                <w:b/>
                <w:sz w:val="16"/>
                <w:szCs w:val="16"/>
              </w:rPr>
              <w:t>750</w:t>
            </w:r>
            <w:r w:rsidRPr="0011040F">
              <w:rPr>
                <w:rFonts w:cs="Arial"/>
                <w:b/>
                <w:sz w:val="16"/>
                <w:szCs w:val="16"/>
              </w:rPr>
              <w:t>.00</w:t>
            </w:r>
          </w:p>
        </w:tc>
        <w:tc>
          <w:tcPr>
            <w:tcW w:w="1276"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768 810.00</w:t>
            </w:r>
          </w:p>
        </w:tc>
        <w:tc>
          <w:tcPr>
            <w:tcW w:w="1536" w:type="dxa"/>
            <w:tcBorders>
              <w:top w:val="single" w:sz="5" w:space="0" w:color="auto"/>
              <w:left w:val="single" w:sz="5" w:space="0" w:color="auto"/>
              <w:bottom w:val="single" w:sz="5" w:space="0" w:color="auto"/>
              <w:right w:val="single" w:sz="5" w:space="0" w:color="auto"/>
            </w:tcBorders>
            <w:vAlign w:val="center"/>
          </w:tcPr>
          <w:p w:rsidR="005D0827" w:rsidRPr="0011040F" w:rsidRDefault="007869EF" w:rsidP="000E1BA0">
            <w:pPr>
              <w:widowControl w:val="0"/>
              <w:tabs>
                <w:tab w:val="decimal" w:pos="792"/>
              </w:tabs>
              <w:autoSpaceDE w:val="0"/>
              <w:autoSpaceDN w:val="0"/>
              <w:adjustRightInd w:val="0"/>
              <w:spacing w:before="120"/>
              <w:jc w:val="center"/>
              <w:rPr>
                <w:rFonts w:cs="Arial"/>
                <w:b/>
                <w:sz w:val="16"/>
                <w:szCs w:val="16"/>
              </w:rPr>
            </w:pPr>
            <w:r>
              <w:rPr>
                <w:rFonts w:cs="Arial"/>
                <w:b/>
                <w:sz w:val="16"/>
                <w:szCs w:val="16"/>
              </w:rPr>
              <w:t>1</w:t>
            </w:r>
            <w:r w:rsidR="005D0827" w:rsidRPr="0011040F">
              <w:rPr>
                <w:rFonts w:cs="Arial"/>
                <w:b/>
                <w:sz w:val="16"/>
                <w:szCs w:val="16"/>
              </w:rPr>
              <w:t xml:space="preserve"> </w:t>
            </w:r>
            <w:r>
              <w:rPr>
                <w:rFonts w:cs="Arial"/>
                <w:b/>
                <w:sz w:val="16"/>
                <w:szCs w:val="16"/>
              </w:rPr>
              <w:t>744</w:t>
            </w:r>
            <w:r w:rsidR="005D0827" w:rsidRPr="0011040F">
              <w:rPr>
                <w:rFonts w:cs="Arial"/>
                <w:b/>
                <w:sz w:val="16"/>
                <w:szCs w:val="16"/>
              </w:rPr>
              <w:t xml:space="preserve"> </w:t>
            </w:r>
            <w:r>
              <w:rPr>
                <w:rFonts w:cs="Arial"/>
                <w:b/>
                <w:sz w:val="16"/>
                <w:szCs w:val="16"/>
              </w:rPr>
              <w:t>940</w:t>
            </w:r>
            <w:r w:rsidR="005D0827" w:rsidRPr="0011040F">
              <w:rPr>
                <w:rFonts w:cs="Arial"/>
                <w:b/>
                <w:sz w:val="16"/>
                <w:szCs w:val="16"/>
              </w:rPr>
              <w:t>.00</w:t>
            </w:r>
          </w:p>
        </w:tc>
      </w:tr>
      <w:tr w:rsidR="005D0827" w:rsidRPr="0011040F" w:rsidTr="00A7418A">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right="77"/>
              <w:jc w:val="center"/>
              <w:rPr>
                <w:rFonts w:cs="Arial"/>
                <w:b/>
                <w:sz w:val="16"/>
                <w:szCs w:val="16"/>
              </w:rPr>
            </w:pPr>
            <w:r w:rsidRPr="0011040F">
              <w:rPr>
                <w:rFonts w:cs="Arial"/>
                <w:b/>
                <w:sz w:val="16"/>
                <w:szCs w:val="16"/>
              </w:rPr>
              <w:t>2009</w:t>
            </w:r>
          </w:p>
        </w:tc>
        <w:tc>
          <w:tcPr>
            <w:tcW w:w="1134"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both"/>
              <w:rPr>
                <w:rFonts w:cs="Arial"/>
                <w:sz w:val="16"/>
                <w:szCs w:val="16"/>
              </w:rPr>
            </w:pPr>
            <w:r>
              <w:rPr>
                <w:rFonts w:cs="Arial"/>
                <w:sz w:val="16"/>
                <w:szCs w:val="16"/>
              </w:rPr>
              <w:t>2 153 </w:t>
            </w:r>
            <w:r w:rsidRPr="0011040F">
              <w:rPr>
                <w:rFonts w:cs="Arial"/>
                <w:sz w:val="16"/>
                <w:szCs w:val="16"/>
              </w:rPr>
              <w:t>732.15</w:t>
            </w:r>
          </w:p>
        </w:tc>
        <w:tc>
          <w:tcPr>
            <w:tcW w:w="992"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25</w:t>
            </w:r>
            <w:r>
              <w:rPr>
                <w:rFonts w:cs="Arial"/>
                <w:sz w:val="16"/>
                <w:szCs w:val="16"/>
              </w:rPr>
              <w:t> </w:t>
            </w:r>
            <w:r w:rsidRPr="0011040F">
              <w:rPr>
                <w:rFonts w:cs="Arial"/>
                <w:sz w:val="16"/>
                <w:szCs w:val="16"/>
              </w:rPr>
              <w:t>600.00</w:t>
            </w:r>
          </w:p>
        </w:tc>
        <w:tc>
          <w:tcPr>
            <w:tcW w:w="1571"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center"/>
              <w:rPr>
                <w:rFonts w:cs="Arial"/>
                <w:sz w:val="16"/>
                <w:szCs w:val="16"/>
              </w:rPr>
            </w:pPr>
            <w:r>
              <w:rPr>
                <w:rFonts w:cs="Arial"/>
                <w:sz w:val="16"/>
                <w:szCs w:val="16"/>
              </w:rPr>
              <w:t>160</w:t>
            </w:r>
            <w:r w:rsidRPr="0011040F">
              <w:rPr>
                <w:rFonts w:cs="Arial"/>
                <w:sz w:val="16"/>
                <w:szCs w:val="16"/>
              </w:rPr>
              <w:t xml:space="preserve"> </w:t>
            </w:r>
            <w:r>
              <w:rPr>
                <w:rFonts w:cs="Arial"/>
                <w:sz w:val="16"/>
                <w:szCs w:val="16"/>
              </w:rPr>
              <w:t>500</w:t>
            </w:r>
            <w:r w:rsidRPr="0011040F">
              <w:rPr>
                <w:rFonts w:cs="Arial"/>
                <w:sz w:val="16"/>
                <w:szCs w:val="16"/>
              </w:rPr>
              <w:t>.00</w:t>
            </w:r>
          </w:p>
        </w:tc>
        <w:tc>
          <w:tcPr>
            <w:tcW w:w="1140"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 xml:space="preserve">2 </w:t>
            </w:r>
            <w:r>
              <w:rPr>
                <w:rFonts w:cs="Arial"/>
                <w:b/>
                <w:sz w:val="16"/>
                <w:szCs w:val="16"/>
              </w:rPr>
              <w:t>339</w:t>
            </w:r>
            <w:r w:rsidRPr="0011040F">
              <w:rPr>
                <w:rFonts w:cs="Arial"/>
                <w:b/>
                <w:sz w:val="16"/>
                <w:szCs w:val="16"/>
              </w:rPr>
              <w:t xml:space="preserve"> </w:t>
            </w:r>
            <w:r>
              <w:rPr>
                <w:rFonts w:cs="Arial"/>
                <w:b/>
                <w:sz w:val="16"/>
                <w:szCs w:val="16"/>
              </w:rPr>
              <w:t>832</w:t>
            </w:r>
            <w:r w:rsidRPr="0011040F">
              <w:rPr>
                <w:rFonts w:cs="Arial"/>
                <w:b/>
                <w:sz w:val="16"/>
                <w:szCs w:val="16"/>
              </w:rPr>
              <w:t>.15</w:t>
            </w:r>
          </w:p>
        </w:tc>
        <w:tc>
          <w:tcPr>
            <w:tcW w:w="1276"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922 839.00</w:t>
            </w:r>
          </w:p>
        </w:tc>
        <w:tc>
          <w:tcPr>
            <w:tcW w:w="1536"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1 </w:t>
            </w:r>
            <w:r w:rsidR="007869EF">
              <w:rPr>
                <w:rFonts w:cs="Arial"/>
                <w:b/>
                <w:sz w:val="16"/>
                <w:szCs w:val="16"/>
              </w:rPr>
              <w:t>416</w:t>
            </w:r>
            <w:r w:rsidRPr="0011040F">
              <w:rPr>
                <w:rFonts w:cs="Arial"/>
                <w:b/>
                <w:sz w:val="16"/>
                <w:szCs w:val="16"/>
              </w:rPr>
              <w:t xml:space="preserve"> </w:t>
            </w:r>
            <w:r w:rsidR="007869EF">
              <w:rPr>
                <w:rFonts w:cs="Arial"/>
                <w:b/>
                <w:sz w:val="16"/>
                <w:szCs w:val="16"/>
              </w:rPr>
              <w:t>993</w:t>
            </w:r>
            <w:r w:rsidRPr="0011040F">
              <w:rPr>
                <w:rFonts w:cs="Arial"/>
                <w:b/>
                <w:sz w:val="16"/>
                <w:szCs w:val="16"/>
              </w:rPr>
              <w:t>.15</w:t>
            </w:r>
          </w:p>
        </w:tc>
      </w:tr>
      <w:tr w:rsidR="005D0827" w:rsidRPr="0011040F" w:rsidTr="00A7418A">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right="77"/>
              <w:jc w:val="center"/>
              <w:rPr>
                <w:rFonts w:cs="Arial"/>
                <w:b/>
                <w:sz w:val="16"/>
                <w:szCs w:val="16"/>
              </w:rPr>
            </w:pPr>
            <w:r w:rsidRPr="0011040F">
              <w:rPr>
                <w:rFonts w:cs="Arial"/>
                <w:b/>
                <w:sz w:val="16"/>
                <w:szCs w:val="16"/>
              </w:rPr>
              <w:t>2010</w:t>
            </w:r>
          </w:p>
        </w:tc>
        <w:tc>
          <w:tcPr>
            <w:tcW w:w="1134"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both"/>
              <w:rPr>
                <w:rFonts w:cs="Arial"/>
                <w:sz w:val="16"/>
                <w:szCs w:val="16"/>
              </w:rPr>
            </w:pPr>
            <w:r w:rsidRPr="0011040F">
              <w:rPr>
                <w:rFonts w:cs="Arial"/>
                <w:sz w:val="16"/>
                <w:szCs w:val="16"/>
              </w:rPr>
              <w:t>56</w:t>
            </w:r>
            <w:r>
              <w:rPr>
                <w:rFonts w:cs="Arial"/>
                <w:sz w:val="16"/>
                <w:szCs w:val="16"/>
              </w:rPr>
              <w:t> </w:t>
            </w:r>
            <w:r w:rsidRPr="0011040F">
              <w:rPr>
                <w:rFonts w:cs="Arial"/>
                <w:sz w:val="16"/>
                <w:szCs w:val="16"/>
              </w:rPr>
              <w:t>408.05</w:t>
            </w:r>
          </w:p>
        </w:tc>
        <w:tc>
          <w:tcPr>
            <w:tcW w:w="992"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47</w:t>
            </w:r>
            <w:r>
              <w:rPr>
                <w:rFonts w:cs="Arial"/>
                <w:sz w:val="16"/>
                <w:szCs w:val="16"/>
              </w:rPr>
              <w:t> </w:t>
            </w:r>
            <w:r w:rsidRPr="0011040F">
              <w:rPr>
                <w:rFonts w:cs="Arial"/>
                <w:sz w:val="16"/>
                <w:szCs w:val="16"/>
              </w:rPr>
              <w:t>127.12</w:t>
            </w:r>
          </w:p>
        </w:tc>
        <w:tc>
          <w:tcPr>
            <w:tcW w:w="1571"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center"/>
              <w:rPr>
                <w:rFonts w:cs="Arial"/>
                <w:sz w:val="16"/>
                <w:szCs w:val="16"/>
              </w:rPr>
            </w:pPr>
            <w:r>
              <w:rPr>
                <w:rFonts w:cs="Arial"/>
                <w:sz w:val="16"/>
                <w:szCs w:val="16"/>
              </w:rPr>
              <w:t>642 608</w:t>
            </w:r>
            <w:r w:rsidRPr="0011040F">
              <w:rPr>
                <w:rFonts w:cs="Arial"/>
                <w:sz w:val="16"/>
                <w:szCs w:val="16"/>
              </w:rPr>
              <w:t>.85</w:t>
            </w:r>
          </w:p>
        </w:tc>
        <w:tc>
          <w:tcPr>
            <w:tcW w:w="1140" w:type="dxa"/>
            <w:tcBorders>
              <w:top w:val="single" w:sz="5" w:space="0" w:color="auto"/>
              <w:left w:val="single" w:sz="5" w:space="0" w:color="auto"/>
              <w:bottom w:val="single" w:sz="5" w:space="0" w:color="auto"/>
              <w:right w:val="single" w:sz="5" w:space="0" w:color="auto"/>
            </w:tcBorders>
            <w:vAlign w:val="center"/>
          </w:tcPr>
          <w:p w:rsidR="005D0827" w:rsidRPr="0011040F" w:rsidRDefault="00D903EA" w:rsidP="000E1BA0">
            <w:pPr>
              <w:widowControl w:val="0"/>
              <w:tabs>
                <w:tab w:val="decimal" w:pos="648"/>
              </w:tabs>
              <w:autoSpaceDE w:val="0"/>
              <w:autoSpaceDN w:val="0"/>
              <w:adjustRightInd w:val="0"/>
              <w:spacing w:before="120"/>
              <w:jc w:val="center"/>
              <w:rPr>
                <w:rFonts w:cs="Arial"/>
                <w:b/>
                <w:sz w:val="16"/>
                <w:szCs w:val="16"/>
              </w:rPr>
            </w:pPr>
            <w:r>
              <w:rPr>
                <w:rFonts w:cs="Arial"/>
                <w:b/>
                <w:sz w:val="16"/>
                <w:szCs w:val="16"/>
              </w:rPr>
              <w:t>2 496 815</w:t>
            </w:r>
            <w:r w:rsidR="005D0827" w:rsidRPr="0011040F">
              <w:rPr>
                <w:rFonts w:cs="Arial"/>
                <w:b/>
                <w:sz w:val="16"/>
                <w:szCs w:val="16"/>
              </w:rPr>
              <w:t>.</w:t>
            </w:r>
            <w:r w:rsidR="00985939">
              <w:rPr>
                <w:rFonts w:cs="Arial"/>
                <w:b/>
                <w:sz w:val="16"/>
                <w:szCs w:val="16"/>
              </w:rPr>
              <w:t>02</w:t>
            </w:r>
          </w:p>
        </w:tc>
        <w:tc>
          <w:tcPr>
            <w:tcW w:w="1276"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1</w:t>
            </w:r>
            <w:r w:rsidR="00E73CEC">
              <w:rPr>
                <w:rFonts w:cs="Arial"/>
                <w:sz w:val="16"/>
                <w:szCs w:val="16"/>
              </w:rPr>
              <w:t> </w:t>
            </w:r>
            <w:r w:rsidRPr="0011040F">
              <w:rPr>
                <w:rFonts w:cs="Arial"/>
                <w:sz w:val="16"/>
                <w:szCs w:val="16"/>
              </w:rPr>
              <w:t>750</w:t>
            </w:r>
            <w:r w:rsidR="00E73CEC">
              <w:rPr>
                <w:rFonts w:cs="Arial"/>
                <w:sz w:val="16"/>
                <w:szCs w:val="16"/>
              </w:rPr>
              <w:t xml:space="preserve"> </w:t>
            </w:r>
            <w:r w:rsidRPr="0011040F">
              <w:rPr>
                <w:rFonts w:cs="Arial"/>
                <w:sz w:val="16"/>
                <w:szCs w:val="16"/>
              </w:rPr>
              <w:t>671.00</w:t>
            </w:r>
          </w:p>
        </w:tc>
        <w:tc>
          <w:tcPr>
            <w:tcW w:w="1536" w:type="dxa"/>
            <w:tcBorders>
              <w:top w:val="single" w:sz="5" w:space="0" w:color="auto"/>
              <w:left w:val="single" w:sz="5" w:space="0" w:color="auto"/>
              <w:bottom w:val="single" w:sz="5" w:space="0" w:color="auto"/>
              <w:right w:val="single" w:sz="5" w:space="0" w:color="auto"/>
            </w:tcBorders>
            <w:vAlign w:val="center"/>
          </w:tcPr>
          <w:p w:rsidR="005D0827" w:rsidRPr="0011040F" w:rsidRDefault="00985939" w:rsidP="000E1BA0">
            <w:pPr>
              <w:widowControl w:val="0"/>
              <w:tabs>
                <w:tab w:val="decimal" w:pos="792"/>
              </w:tabs>
              <w:autoSpaceDE w:val="0"/>
              <w:autoSpaceDN w:val="0"/>
              <w:adjustRightInd w:val="0"/>
              <w:spacing w:before="120"/>
              <w:jc w:val="center"/>
              <w:rPr>
                <w:rFonts w:cs="Arial"/>
                <w:b/>
                <w:sz w:val="16"/>
                <w:szCs w:val="16"/>
              </w:rPr>
            </w:pPr>
            <w:r>
              <w:rPr>
                <w:rFonts w:cs="Arial"/>
                <w:b/>
                <w:sz w:val="16"/>
                <w:szCs w:val="16"/>
              </w:rPr>
              <w:t>746</w:t>
            </w:r>
            <w:r w:rsidR="005D0827" w:rsidRPr="0011040F">
              <w:rPr>
                <w:rFonts w:cs="Arial"/>
                <w:b/>
                <w:sz w:val="16"/>
                <w:szCs w:val="16"/>
              </w:rPr>
              <w:t> </w:t>
            </w:r>
            <w:r>
              <w:rPr>
                <w:rFonts w:cs="Arial"/>
                <w:b/>
                <w:sz w:val="16"/>
                <w:szCs w:val="16"/>
              </w:rPr>
              <w:t>144</w:t>
            </w:r>
            <w:r w:rsidR="005D0827" w:rsidRPr="0011040F">
              <w:rPr>
                <w:rFonts w:cs="Arial"/>
                <w:b/>
                <w:sz w:val="16"/>
                <w:szCs w:val="16"/>
              </w:rPr>
              <w:t>.</w:t>
            </w:r>
            <w:r>
              <w:rPr>
                <w:rFonts w:cs="Arial"/>
                <w:b/>
                <w:sz w:val="16"/>
                <w:szCs w:val="16"/>
              </w:rPr>
              <w:t>02</w:t>
            </w:r>
          </w:p>
        </w:tc>
      </w:tr>
      <w:tr w:rsidR="005D0827" w:rsidRPr="0011040F" w:rsidTr="00A7418A">
        <w:trPr>
          <w:jc w:val="center"/>
        </w:trPr>
        <w:tc>
          <w:tcPr>
            <w:tcW w:w="850"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D0827" w:rsidRPr="0011040F" w:rsidRDefault="005D0827" w:rsidP="000E1BA0">
            <w:pPr>
              <w:widowControl w:val="0"/>
              <w:autoSpaceDE w:val="0"/>
              <w:autoSpaceDN w:val="0"/>
              <w:adjustRightInd w:val="0"/>
              <w:spacing w:before="120"/>
              <w:jc w:val="center"/>
              <w:rPr>
                <w:rFonts w:cs="Arial"/>
                <w:b/>
                <w:sz w:val="16"/>
                <w:szCs w:val="16"/>
                <w:highlight w:val="lightGray"/>
              </w:rPr>
            </w:pPr>
          </w:p>
        </w:tc>
        <w:tc>
          <w:tcPr>
            <w:tcW w:w="1134"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both"/>
              <w:rPr>
                <w:rFonts w:cs="Arial"/>
                <w:b/>
                <w:sz w:val="16"/>
                <w:szCs w:val="16"/>
              </w:rPr>
            </w:pPr>
            <w:r w:rsidRPr="0011040F">
              <w:rPr>
                <w:rFonts w:cs="Arial"/>
                <w:b/>
                <w:sz w:val="16"/>
                <w:szCs w:val="16"/>
              </w:rPr>
              <w:t>6</w:t>
            </w:r>
            <w:r>
              <w:rPr>
                <w:rFonts w:cs="Arial"/>
                <w:b/>
                <w:sz w:val="16"/>
                <w:szCs w:val="16"/>
              </w:rPr>
              <w:t> </w:t>
            </w:r>
            <w:r w:rsidRPr="0011040F">
              <w:rPr>
                <w:rFonts w:cs="Arial"/>
                <w:b/>
                <w:sz w:val="16"/>
                <w:szCs w:val="16"/>
              </w:rPr>
              <w:t>702</w:t>
            </w:r>
            <w:r>
              <w:rPr>
                <w:rFonts w:cs="Arial"/>
                <w:b/>
                <w:sz w:val="16"/>
                <w:szCs w:val="16"/>
              </w:rPr>
              <w:t> </w:t>
            </w:r>
            <w:r w:rsidRPr="0011040F">
              <w:rPr>
                <w:rFonts w:cs="Arial"/>
                <w:b/>
                <w:sz w:val="16"/>
                <w:szCs w:val="16"/>
              </w:rPr>
              <w:t>941.79</w:t>
            </w:r>
          </w:p>
        </w:tc>
        <w:tc>
          <w:tcPr>
            <w:tcW w:w="992"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143 073.12</w:t>
            </w:r>
          </w:p>
        </w:tc>
        <w:tc>
          <w:tcPr>
            <w:tcW w:w="1571"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2 </w:t>
            </w:r>
            <w:r>
              <w:rPr>
                <w:rFonts w:cs="Arial"/>
                <w:b/>
                <w:sz w:val="16"/>
                <w:szCs w:val="16"/>
              </w:rPr>
              <w:t>190</w:t>
            </w:r>
            <w:r w:rsidRPr="0011040F">
              <w:rPr>
                <w:rFonts w:cs="Arial"/>
                <w:b/>
                <w:sz w:val="16"/>
                <w:szCs w:val="16"/>
              </w:rPr>
              <w:t xml:space="preserve"> </w:t>
            </w:r>
            <w:r>
              <w:rPr>
                <w:rFonts w:cs="Arial"/>
                <w:b/>
                <w:sz w:val="16"/>
                <w:szCs w:val="16"/>
              </w:rPr>
              <w:t>987</w:t>
            </w:r>
            <w:r w:rsidRPr="0011040F">
              <w:rPr>
                <w:rFonts w:cs="Arial"/>
                <w:b/>
                <w:sz w:val="16"/>
                <w:szCs w:val="16"/>
              </w:rPr>
              <w:t>.42</w:t>
            </w:r>
          </w:p>
        </w:tc>
        <w:tc>
          <w:tcPr>
            <w:tcW w:w="1140" w:type="dxa"/>
            <w:tcBorders>
              <w:top w:val="single" w:sz="5" w:space="0" w:color="auto"/>
              <w:left w:val="single" w:sz="5" w:space="0" w:color="auto"/>
              <w:bottom w:val="single" w:sz="5" w:space="0" w:color="auto"/>
              <w:right w:val="single" w:sz="5" w:space="0" w:color="auto"/>
            </w:tcBorders>
            <w:vAlign w:val="center"/>
          </w:tcPr>
          <w:p w:rsidR="005D0827" w:rsidRPr="0011040F" w:rsidRDefault="00E73CEC" w:rsidP="000E1BA0">
            <w:pPr>
              <w:widowControl w:val="0"/>
              <w:tabs>
                <w:tab w:val="decimal" w:pos="648"/>
              </w:tabs>
              <w:autoSpaceDE w:val="0"/>
              <w:autoSpaceDN w:val="0"/>
              <w:adjustRightInd w:val="0"/>
              <w:spacing w:before="120"/>
              <w:jc w:val="center"/>
              <w:rPr>
                <w:rFonts w:cs="Arial"/>
                <w:b/>
                <w:sz w:val="16"/>
                <w:szCs w:val="16"/>
              </w:rPr>
            </w:pPr>
            <w:r>
              <w:rPr>
                <w:rFonts w:cs="Arial"/>
                <w:b/>
                <w:sz w:val="16"/>
                <w:szCs w:val="16"/>
              </w:rPr>
              <w:t>8</w:t>
            </w:r>
            <w:r w:rsidR="005D0827" w:rsidRPr="0011040F">
              <w:rPr>
                <w:rFonts w:cs="Arial"/>
                <w:b/>
                <w:sz w:val="16"/>
                <w:szCs w:val="16"/>
              </w:rPr>
              <w:t> </w:t>
            </w:r>
            <w:r>
              <w:rPr>
                <w:rFonts w:cs="Arial"/>
                <w:b/>
                <w:sz w:val="16"/>
                <w:szCs w:val="16"/>
              </w:rPr>
              <w:t>388</w:t>
            </w:r>
            <w:r w:rsidR="005D0827" w:rsidRPr="0011040F">
              <w:rPr>
                <w:rFonts w:cs="Arial"/>
                <w:b/>
                <w:sz w:val="16"/>
                <w:szCs w:val="16"/>
              </w:rPr>
              <w:t> </w:t>
            </w:r>
            <w:r>
              <w:rPr>
                <w:rFonts w:cs="Arial"/>
                <w:b/>
                <w:sz w:val="16"/>
                <w:szCs w:val="16"/>
              </w:rPr>
              <w:t>421</w:t>
            </w:r>
            <w:r w:rsidR="005D0827" w:rsidRPr="0011040F">
              <w:rPr>
                <w:rFonts w:cs="Arial"/>
                <w:b/>
                <w:sz w:val="16"/>
                <w:szCs w:val="16"/>
              </w:rPr>
              <w:t>.</w:t>
            </w:r>
            <w:r>
              <w:rPr>
                <w:rFonts w:cs="Arial"/>
                <w:b/>
                <w:sz w:val="16"/>
                <w:szCs w:val="16"/>
              </w:rPr>
              <w:t>74</w:t>
            </w:r>
          </w:p>
        </w:tc>
        <w:tc>
          <w:tcPr>
            <w:tcW w:w="1276" w:type="dxa"/>
            <w:tcBorders>
              <w:top w:val="single" w:sz="5" w:space="0" w:color="auto"/>
              <w:left w:val="single" w:sz="5" w:space="0" w:color="auto"/>
              <w:bottom w:val="single" w:sz="5" w:space="0" w:color="auto"/>
              <w:right w:val="single" w:sz="5" w:space="0" w:color="auto"/>
            </w:tcBorders>
            <w:vAlign w:val="center"/>
          </w:tcPr>
          <w:p w:rsidR="005D0827" w:rsidRPr="0011040F" w:rsidRDefault="005D0827" w:rsidP="000E1BA0">
            <w:pPr>
              <w:widowControl w:val="0"/>
              <w:autoSpaceDE w:val="0"/>
              <w:autoSpaceDN w:val="0"/>
              <w:adjustRightInd w:val="0"/>
              <w:spacing w:before="120"/>
              <w:ind w:right="86"/>
              <w:jc w:val="right"/>
              <w:rPr>
                <w:rFonts w:cs="Arial"/>
                <w:b/>
                <w:sz w:val="16"/>
                <w:szCs w:val="16"/>
              </w:rPr>
            </w:pPr>
            <w:r w:rsidRPr="0011040F">
              <w:rPr>
                <w:rFonts w:cs="Arial"/>
                <w:b/>
                <w:sz w:val="16"/>
                <w:szCs w:val="16"/>
              </w:rPr>
              <w:t>3 897 792.00</w:t>
            </w:r>
          </w:p>
        </w:tc>
        <w:tc>
          <w:tcPr>
            <w:tcW w:w="1536" w:type="dxa"/>
            <w:tcBorders>
              <w:top w:val="single" w:sz="5" w:space="0" w:color="auto"/>
              <w:left w:val="single" w:sz="5" w:space="0" w:color="auto"/>
              <w:bottom w:val="single" w:sz="5" w:space="0" w:color="auto"/>
              <w:right w:val="single" w:sz="5" w:space="0" w:color="auto"/>
            </w:tcBorders>
            <w:vAlign w:val="center"/>
          </w:tcPr>
          <w:p w:rsidR="005D0827" w:rsidRPr="0011040F" w:rsidRDefault="00E73CEC" w:rsidP="000E1BA0">
            <w:pPr>
              <w:widowControl w:val="0"/>
              <w:tabs>
                <w:tab w:val="decimal" w:pos="792"/>
              </w:tabs>
              <w:autoSpaceDE w:val="0"/>
              <w:autoSpaceDN w:val="0"/>
              <w:adjustRightInd w:val="0"/>
              <w:spacing w:before="120"/>
              <w:jc w:val="center"/>
              <w:rPr>
                <w:rFonts w:cs="Arial"/>
                <w:b/>
                <w:sz w:val="16"/>
                <w:szCs w:val="16"/>
              </w:rPr>
            </w:pPr>
            <w:r>
              <w:rPr>
                <w:rFonts w:cs="Arial"/>
                <w:b/>
                <w:sz w:val="16"/>
                <w:szCs w:val="16"/>
              </w:rPr>
              <w:t>4</w:t>
            </w:r>
            <w:r w:rsidR="005D0827" w:rsidRPr="0011040F">
              <w:rPr>
                <w:rFonts w:cs="Arial"/>
                <w:b/>
                <w:sz w:val="16"/>
                <w:szCs w:val="16"/>
              </w:rPr>
              <w:t> </w:t>
            </w:r>
            <w:r>
              <w:rPr>
                <w:rFonts w:cs="Arial"/>
                <w:b/>
                <w:sz w:val="16"/>
                <w:szCs w:val="16"/>
              </w:rPr>
              <w:t>490</w:t>
            </w:r>
            <w:r w:rsidR="005D0827" w:rsidRPr="0011040F">
              <w:rPr>
                <w:rFonts w:cs="Arial"/>
                <w:b/>
                <w:sz w:val="16"/>
                <w:szCs w:val="16"/>
              </w:rPr>
              <w:t> </w:t>
            </w:r>
            <w:r>
              <w:rPr>
                <w:rFonts w:cs="Arial"/>
                <w:b/>
                <w:sz w:val="16"/>
                <w:szCs w:val="16"/>
              </w:rPr>
              <w:t>629</w:t>
            </w:r>
            <w:r w:rsidR="005D0827" w:rsidRPr="0011040F">
              <w:rPr>
                <w:rFonts w:cs="Arial"/>
                <w:b/>
                <w:sz w:val="16"/>
                <w:szCs w:val="16"/>
              </w:rPr>
              <w:t>.</w:t>
            </w:r>
            <w:r>
              <w:rPr>
                <w:rFonts w:cs="Arial"/>
                <w:b/>
                <w:sz w:val="16"/>
                <w:szCs w:val="16"/>
              </w:rPr>
              <w:t>74</w:t>
            </w:r>
          </w:p>
        </w:tc>
      </w:tr>
    </w:tbl>
    <w:p w:rsidR="00A36FF0" w:rsidRPr="00F32519" w:rsidRDefault="00D63A02" w:rsidP="00D63A02">
      <w:pPr>
        <w:pStyle w:val="LegalList1"/>
        <w:spacing w:before="240" w:after="0" w:line="360" w:lineRule="auto"/>
        <w:ind w:left="851" w:hanging="567"/>
        <w:rPr>
          <w:sz w:val="20"/>
          <w:szCs w:val="20"/>
        </w:rPr>
      </w:pPr>
      <w:r w:rsidRPr="00F32519">
        <w:rPr>
          <w:sz w:val="20"/>
          <w:szCs w:val="20"/>
        </w:rPr>
        <w:lastRenderedPageBreak/>
        <w:t>(c)</w:t>
      </w:r>
      <w:r w:rsidRPr="00F32519">
        <w:rPr>
          <w:sz w:val="20"/>
          <w:szCs w:val="20"/>
        </w:rPr>
        <w:tab/>
      </w:r>
      <w:r w:rsidR="00A36FF0" w:rsidRPr="00F32519">
        <w:rPr>
          <w:sz w:val="20"/>
          <w:szCs w:val="20"/>
        </w:rPr>
        <w:t>The understatement penalty imposed by SARS is confirmed as well as the interest imposed in terms of section 89quat of the Income Tax Act;</w:t>
      </w:r>
    </w:p>
    <w:p w:rsidR="00A36FF0" w:rsidRPr="00F32519" w:rsidRDefault="00D63A02" w:rsidP="00D63A02">
      <w:pPr>
        <w:pStyle w:val="LegalList1"/>
        <w:spacing w:after="120" w:line="360" w:lineRule="auto"/>
        <w:ind w:left="851" w:hanging="567"/>
        <w:rPr>
          <w:sz w:val="20"/>
          <w:szCs w:val="20"/>
        </w:rPr>
      </w:pPr>
      <w:r w:rsidRPr="00F32519">
        <w:rPr>
          <w:sz w:val="20"/>
          <w:szCs w:val="20"/>
        </w:rPr>
        <w:t>(d)</w:t>
      </w:r>
      <w:r w:rsidRPr="00F32519">
        <w:rPr>
          <w:sz w:val="20"/>
          <w:szCs w:val="20"/>
        </w:rPr>
        <w:tab/>
      </w:r>
      <w:r w:rsidR="00F32519" w:rsidRPr="00F32519">
        <w:rPr>
          <w:sz w:val="20"/>
          <w:szCs w:val="20"/>
        </w:rPr>
        <w:t>There shall be no order as to costs</w:t>
      </w:r>
      <w:r w:rsidR="00F32519">
        <w:rPr>
          <w:sz w:val="20"/>
          <w:szCs w:val="20"/>
        </w:rPr>
        <w:t>.’</w:t>
      </w:r>
    </w:p>
    <w:p w:rsidR="00F32519" w:rsidRDefault="00D63A02" w:rsidP="00D63A02">
      <w:pPr>
        <w:pStyle w:val="LegalList1"/>
        <w:spacing w:after="240" w:line="360" w:lineRule="auto"/>
        <w:ind w:left="567" w:hanging="567"/>
      </w:pPr>
      <w:r>
        <w:t>(3)</w:t>
      </w:r>
      <w:r>
        <w:tab/>
      </w:r>
      <w:r w:rsidR="00E63F0A">
        <w:t>Each party shall bear his own costs of this appeal</w:t>
      </w:r>
      <w:r w:rsidR="00F32519">
        <w:t>.</w:t>
      </w:r>
    </w:p>
    <w:p w:rsidR="009314F3" w:rsidRPr="00A84826" w:rsidRDefault="00F86558" w:rsidP="006F3861">
      <w:pPr>
        <w:pStyle w:val="LegalTramLines"/>
        <w:keepNext/>
        <w:spacing w:after="240"/>
      </w:pPr>
      <w:r>
        <w:t xml:space="preserve">JUDGMENT </w:t>
      </w:r>
    </w:p>
    <w:p w:rsidR="00D63801" w:rsidRPr="00310C25" w:rsidRDefault="001069D0" w:rsidP="005C09F4">
      <w:pPr>
        <w:pStyle w:val="LegalMAINHEADING"/>
        <w:spacing w:before="240" w:after="120" w:line="360" w:lineRule="auto"/>
      </w:pPr>
      <w:r w:rsidRPr="00310C25">
        <w:rPr>
          <w:caps w:val="0"/>
        </w:rPr>
        <w:t>Adams J</w:t>
      </w:r>
      <w:r w:rsidR="00FC2867">
        <w:rPr>
          <w:caps w:val="0"/>
        </w:rPr>
        <w:t xml:space="preserve"> (</w:t>
      </w:r>
      <w:r w:rsidR="002232F3">
        <w:rPr>
          <w:caps w:val="0"/>
        </w:rPr>
        <w:t>Wepener</w:t>
      </w:r>
      <w:r w:rsidR="00FC2867">
        <w:rPr>
          <w:caps w:val="0"/>
        </w:rPr>
        <w:t xml:space="preserve"> </w:t>
      </w:r>
      <w:r w:rsidR="00FC2867" w:rsidRPr="00FC2867">
        <w:rPr>
          <w:i/>
          <w:caps w:val="0"/>
        </w:rPr>
        <w:t>et</w:t>
      </w:r>
      <w:r w:rsidR="00FC2867">
        <w:rPr>
          <w:caps w:val="0"/>
        </w:rPr>
        <w:t xml:space="preserve"> </w:t>
      </w:r>
      <w:r w:rsidR="002232F3">
        <w:rPr>
          <w:caps w:val="0"/>
        </w:rPr>
        <w:t>Mahalelo JJ</w:t>
      </w:r>
      <w:r w:rsidR="00FC2867">
        <w:rPr>
          <w:caps w:val="0"/>
        </w:rPr>
        <w:t xml:space="preserve"> concurring)</w:t>
      </w:r>
      <w:r w:rsidR="007329C4" w:rsidRPr="00310C25">
        <w:rPr>
          <w:caps w:val="0"/>
        </w:rPr>
        <w:t>:</w:t>
      </w:r>
    </w:p>
    <w:p w:rsidR="007375CF" w:rsidRPr="007375CF" w:rsidRDefault="00D63A02" w:rsidP="00D63A02">
      <w:pPr>
        <w:pStyle w:val="LegalList1"/>
        <w:spacing w:after="120" w:line="360" w:lineRule="auto"/>
        <w:rPr>
          <w:lang w:val="en-ZA"/>
        </w:rPr>
      </w:pPr>
      <w:r w:rsidRPr="007375CF">
        <w:rPr>
          <w:lang w:val="en-ZA"/>
        </w:rPr>
        <w:t>[1</w:t>
      </w:r>
      <w:bookmarkStart w:id="0" w:name="_GoBack"/>
      <w:bookmarkEnd w:id="0"/>
      <w:r w:rsidRPr="007375CF">
        <w:rPr>
          <w:lang w:val="en-ZA"/>
        </w:rPr>
        <w:t>].</w:t>
      </w:r>
      <w:r w:rsidRPr="007375CF">
        <w:rPr>
          <w:lang w:val="en-ZA"/>
        </w:rPr>
        <w:tab/>
      </w:r>
      <w:r w:rsidR="000B14E0">
        <w:t>During the tax years of assessment 2007, 2008, 2009 and 2010, the</w:t>
      </w:r>
      <w:r w:rsidR="0068137D">
        <w:t xml:space="preserve"> respondent in this Full Court a</w:t>
      </w:r>
      <w:r w:rsidR="000B14E0">
        <w:t xml:space="preserve">ppeal (‘the taxpayer’) received </w:t>
      </w:r>
      <w:r w:rsidR="00E8506D">
        <w:t>and/</w:t>
      </w:r>
      <w:r w:rsidR="000B14E0">
        <w:t xml:space="preserve">or had accrued to him </w:t>
      </w:r>
      <w:r w:rsidR="00C64D74">
        <w:t xml:space="preserve">amounts </w:t>
      </w:r>
      <w:r w:rsidR="000B14E0">
        <w:t xml:space="preserve">in </w:t>
      </w:r>
      <w:r w:rsidR="00C64D74">
        <w:t xml:space="preserve">the </w:t>
      </w:r>
      <w:r w:rsidR="000B14E0">
        <w:t xml:space="preserve">total </w:t>
      </w:r>
      <w:r w:rsidR="00C64D74">
        <w:t xml:space="preserve">sum </w:t>
      </w:r>
      <w:r w:rsidR="000B14E0">
        <w:t>of R9 578 217.82, which, according to the appellant, the Commissioner of the South African Revenu</w:t>
      </w:r>
      <w:r w:rsidR="0068137D">
        <w:t>e Services (‘SARS’), constitute</w:t>
      </w:r>
      <w:r w:rsidR="000B14E0">
        <w:t xml:space="preserve"> his income during those years. The total income which had been declared</w:t>
      </w:r>
      <w:r w:rsidR="00C011B2">
        <w:t xml:space="preserve"> by the taxpayer</w:t>
      </w:r>
      <w:r w:rsidR="000B14E0">
        <w:t xml:space="preserve"> in respect of those tax years was the sum of R3 897</w:t>
      </w:r>
      <w:r w:rsidR="00381C71">
        <w:t xml:space="preserve"> 792. </w:t>
      </w:r>
    </w:p>
    <w:p w:rsidR="00EE6C20" w:rsidRPr="00EE6C20" w:rsidRDefault="00D63A02" w:rsidP="00D63A02">
      <w:pPr>
        <w:pStyle w:val="LegalList1"/>
        <w:spacing w:after="120" w:line="360" w:lineRule="auto"/>
        <w:rPr>
          <w:lang w:val="en-ZA"/>
        </w:rPr>
      </w:pPr>
      <w:r w:rsidRPr="00EE6C20">
        <w:rPr>
          <w:lang w:val="en-ZA"/>
        </w:rPr>
        <w:t>[2].</w:t>
      </w:r>
      <w:r w:rsidRPr="00EE6C20">
        <w:rPr>
          <w:lang w:val="en-ZA"/>
        </w:rPr>
        <w:tab/>
      </w:r>
      <w:r w:rsidR="00381C71">
        <w:t xml:space="preserve">Accordingly, on 15 May 2015, </w:t>
      </w:r>
      <w:r w:rsidR="00381C71" w:rsidRPr="00381C71">
        <w:t xml:space="preserve">SARS issued </w:t>
      </w:r>
      <w:r w:rsidR="00381C71">
        <w:t>a</w:t>
      </w:r>
      <w:r w:rsidR="00381C71" w:rsidRPr="00381C71">
        <w:t xml:space="preserve"> </w:t>
      </w:r>
      <w:r w:rsidR="00460D08" w:rsidRPr="00C011B2">
        <w:rPr>
          <w:i/>
        </w:rPr>
        <w:t>‘Finalisation of Audit’</w:t>
      </w:r>
      <w:r w:rsidR="00460D08">
        <w:t xml:space="preserve"> letter</w:t>
      </w:r>
      <w:r w:rsidR="00381C71" w:rsidRPr="00381C71">
        <w:t xml:space="preserve"> </w:t>
      </w:r>
      <w:r w:rsidR="00381C71">
        <w:t>in respect of the 2007 –</w:t>
      </w:r>
      <w:r w:rsidR="00381C71" w:rsidRPr="00381C71">
        <w:t xml:space="preserve"> 2010 years of assessment</w:t>
      </w:r>
      <w:r w:rsidR="00C011B2">
        <w:t>. In that communiqué</w:t>
      </w:r>
      <w:r w:rsidR="00A52F0F">
        <w:t>,</w:t>
      </w:r>
      <w:r w:rsidR="00C011B2">
        <w:t xml:space="preserve"> SARS advised the taxpayer </w:t>
      </w:r>
      <w:r w:rsidR="00EE6C20">
        <w:t xml:space="preserve">of its findings </w:t>
      </w:r>
      <w:r w:rsidR="00C011B2">
        <w:t xml:space="preserve">that an </w:t>
      </w:r>
      <w:r w:rsidR="00EE6C20">
        <w:t xml:space="preserve">amount </w:t>
      </w:r>
      <w:r w:rsidR="00C011B2">
        <w:t>of R5 680 425.82</w:t>
      </w:r>
      <w:r w:rsidR="00EE6C20">
        <w:t xml:space="preserve"> had been received by the taxpayer during these tax assessment years in addition to the R3 897 792, which had been declared by him as income in respect of that period. Those findings were incorporated into and schematically demonstrated by the following table:  </w:t>
      </w:r>
    </w:p>
    <w:tbl>
      <w:tblPr>
        <w:tblW w:w="8641" w:type="dxa"/>
        <w:jc w:val="center"/>
        <w:tblLayout w:type="fixed"/>
        <w:tblCellMar>
          <w:left w:w="10" w:type="dxa"/>
          <w:right w:w="10" w:type="dxa"/>
        </w:tblCellMar>
        <w:tblLook w:val="0000" w:firstRow="0" w:lastRow="0" w:firstColumn="0" w:lastColumn="0" w:noHBand="0" w:noVBand="0"/>
      </w:tblPr>
      <w:tblGrid>
        <w:gridCol w:w="987"/>
        <w:gridCol w:w="1134"/>
        <w:gridCol w:w="1145"/>
        <w:gridCol w:w="1701"/>
        <w:gridCol w:w="1140"/>
        <w:gridCol w:w="1276"/>
        <w:gridCol w:w="1258"/>
      </w:tblGrid>
      <w:tr w:rsidR="00EE6C20" w:rsidRPr="0011040F" w:rsidTr="005075C6">
        <w:trPr>
          <w:jc w:val="center"/>
        </w:trPr>
        <w:tc>
          <w:tcPr>
            <w:tcW w:w="987"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right="167"/>
              <w:jc w:val="center"/>
              <w:rPr>
                <w:rFonts w:cs="Arial"/>
                <w:b/>
                <w:sz w:val="16"/>
                <w:szCs w:val="16"/>
              </w:rPr>
            </w:pPr>
            <w:r w:rsidRPr="0011040F">
              <w:rPr>
                <w:rFonts w:cs="Arial"/>
                <w:b/>
                <w:sz w:val="16"/>
                <w:szCs w:val="16"/>
              </w:rPr>
              <w:t>YEAR</w:t>
            </w:r>
          </w:p>
        </w:tc>
        <w:tc>
          <w:tcPr>
            <w:tcW w:w="1134"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right="166"/>
              <w:jc w:val="center"/>
              <w:rPr>
                <w:rFonts w:cs="Arial"/>
                <w:b/>
                <w:sz w:val="16"/>
                <w:szCs w:val="16"/>
              </w:rPr>
            </w:pPr>
            <w:r w:rsidRPr="0011040F">
              <w:rPr>
                <w:rFonts w:cs="Arial"/>
                <w:b/>
                <w:sz w:val="16"/>
                <w:szCs w:val="16"/>
              </w:rPr>
              <w:t>Investec</w:t>
            </w:r>
          </w:p>
        </w:tc>
        <w:tc>
          <w:tcPr>
            <w:tcW w:w="1145"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right="167"/>
              <w:jc w:val="center"/>
              <w:rPr>
                <w:rFonts w:cs="Arial"/>
                <w:b/>
                <w:sz w:val="16"/>
                <w:szCs w:val="16"/>
              </w:rPr>
            </w:pPr>
            <w:r w:rsidRPr="0011040F">
              <w:rPr>
                <w:rFonts w:cs="Arial"/>
                <w:b/>
                <w:sz w:val="16"/>
                <w:szCs w:val="16"/>
              </w:rPr>
              <w:t>Nedbank</w:t>
            </w:r>
          </w:p>
        </w:tc>
        <w:tc>
          <w:tcPr>
            <w:tcW w:w="1701"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left="252" w:right="108"/>
              <w:jc w:val="center"/>
              <w:rPr>
                <w:rFonts w:cs="Arial"/>
                <w:b/>
                <w:sz w:val="16"/>
                <w:szCs w:val="16"/>
              </w:rPr>
            </w:pPr>
            <w:r w:rsidRPr="0011040F">
              <w:rPr>
                <w:rFonts w:cs="Arial"/>
                <w:b/>
                <w:sz w:val="16"/>
                <w:szCs w:val="16"/>
              </w:rPr>
              <w:t>Schedule from FX Africa Foreign Exchange (Pty) Ltd</w:t>
            </w:r>
          </w:p>
        </w:tc>
        <w:tc>
          <w:tcPr>
            <w:tcW w:w="1140"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jc w:val="center"/>
              <w:rPr>
                <w:rFonts w:cs="Arial"/>
                <w:b/>
                <w:sz w:val="16"/>
                <w:szCs w:val="16"/>
              </w:rPr>
            </w:pPr>
            <w:r w:rsidRPr="0011040F">
              <w:rPr>
                <w:rFonts w:cs="Arial"/>
                <w:b/>
                <w:sz w:val="16"/>
                <w:szCs w:val="16"/>
              </w:rPr>
              <w:t>TOTAL</w:t>
            </w:r>
          </w:p>
        </w:tc>
        <w:tc>
          <w:tcPr>
            <w:tcW w:w="1276"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jc w:val="center"/>
              <w:rPr>
                <w:rFonts w:cs="Arial"/>
                <w:b/>
                <w:sz w:val="16"/>
                <w:szCs w:val="16"/>
              </w:rPr>
            </w:pPr>
            <w:r w:rsidRPr="0011040F">
              <w:rPr>
                <w:rFonts w:cs="Arial"/>
                <w:b/>
                <w:sz w:val="16"/>
                <w:szCs w:val="16"/>
              </w:rPr>
              <w:t>Revenue</w:t>
            </w:r>
            <w:r w:rsidRPr="0011040F">
              <w:rPr>
                <w:rFonts w:cs="Arial"/>
                <w:b/>
                <w:sz w:val="16"/>
                <w:szCs w:val="16"/>
              </w:rPr>
              <w:br/>
              <w:t>declared as per</w:t>
            </w:r>
            <w:r w:rsidRPr="0011040F">
              <w:rPr>
                <w:rFonts w:cs="Arial"/>
                <w:b/>
                <w:sz w:val="16"/>
                <w:szCs w:val="16"/>
              </w:rPr>
              <w:br/>
              <w:t>IT12</w:t>
            </w:r>
          </w:p>
        </w:tc>
        <w:tc>
          <w:tcPr>
            <w:tcW w:w="1258"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jc w:val="center"/>
              <w:rPr>
                <w:rFonts w:cs="Arial"/>
                <w:b/>
                <w:sz w:val="16"/>
                <w:szCs w:val="16"/>
              </w:rPr>
            </w:pPr>
            <w:r w:rsidRPr="0011040F">
              <w:rPr>
                <w:rFonts w:cs="Arial"/>
                <w:b/>
                <w:sz w:val="16"/>
                <w:szCs w:val="16"/>
              </w:rPr>
              <w:t>Amount of</w:t>
            </w:r>
            <w:r w:rsidRPr="0011040F">
              <w:rPr>
                <w:rFonts w:cs="Arial"/>
                <w:b/>
                <w:sz w:val="16"/>
                <w:szCs w:val="16"/>
              </w:rPr>
              <w:br/>
              <w:t>adjustment</w:t>
            </w:r>
          </w:p>
        </w:tc>
      </w:tr>
      <w:tr w:rsidR="00EE6C20" w:rsidRPr="0011040F" w:rsidTr="005075C6">
        <w:trPr>
          <w:jc w:val="center"/>
        </w:trPr>
        <w:tc>
          <w:tcPr>
            <w:tcW w:w="987"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right="77"/>
              <w:jc w:val="center"/>
              <w:rPr>
                <w:rFonts w:cs="Arial"/>
                <w:b/>
                <w:sz w:val="16"/>
                <w:szCs w:val="16"/>
              </w:rPr>
            </w:pPr>
            <w:r w:rsidRPr="0011040F">
              <w:rPr>
                <w:rFonts w:cs="Arial"/>
                <w:b/>
                <w:sz w:val="16"/>
                <w:szCs w:val="16"/>
              </w:rPr>
              <w:t>2007</w:t>
            </w:r>
          </w:p>
        </w:tc>
        <w:tc>
          <w:tcPr>
            <w:tcW w:w="1134"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right="76"/>
              <w:jc w:val="center"/>
              <w:rPr>
                <w:rFonts w:cs="Arial"/>
                <w:sz w:val="16"/>
                <w:szCs w:val="16"/>
              </w:rPr>
            </w:pPr>
            <w:r>
              <w:rPr>
                <w:rFonts w:cs="Arial"/>
                <w:sz w:val="16"/>
                <w:szCs w:val="16"/>
              </w:rPr>
              <w:t xml:space="preserve">   963 300.</w:t>
            </w:r>
            <w:r w:rsidRPr="0011040F">
              <w:rPr>
                <w:rFonts w:cs="Arial"/>
                <w:sz w:val="16"/>
                <w:szCs w:val="16"/>
              </w:rPr>
              <w:t>00</w:t>
            </w:r>
          </w:p>
        </w:tc>
        <w:tc>
          <w:tcPr>
            <w:tcW w:w="1145"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35 346.00</w:t>
            </w:r>
          </w:p>
        </w:tc>
        <w:tc>
          <w:tcPr>
            <w:tcW w:w="1701"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sz w:val="16"/>
                <w:szCs w:val="16"/>
              </w:rPr>
            </w:pPr>
            <w:r w:rsidRPr="0011040F">
              <w:rPr>
                <w:rFonts w:cs="Arial"/>
                <w:sz w:val="16"/>
                <w:szCs w:val="16"/>
              </w:rPr>
              <w:t>39</w:t>
            </w:r>
            <w:r>
              <w:rPr>
                <w:rFonts w:cs="Arial"/>
                <w:sz w:val="16"/>
                <w:szCs w:val="16"/>
              </w:rPr>
              <w:t> </w:t>
            </w:r>
            <w:r w:rsidRPr="0011040F">
              <w:rPr>
                <w:rFonts w:cs="Arial"/>
                <w:sz w:val="16"/>
                <w:szCs w:val="16"/>
              </w:rPr>
              <w:t>378.57</w:t>
            </w:r>
          </w:p>
        </w:tc>
        <w:tc>
          <w:tcPr>
            <w:tcW w:w="1140"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1 038 024.57</w:t>
            </w:r>
          </w:p>
        </w:tc>
        <w:tc>
          <w:tcPr>
            <w:tcW w:w="1276"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455 472.00</w:t>
            </w:r>
          </w:p>
        </w:tc>
        <w:tc>
          <w:tcPr>
            <w:tcW w:w="1258"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582 552.57</w:t>
            </w:r>
          </w:p>
        </w:tc>
      </w:tr>
      <w:tr w:rsidR="00EE6C20" w:rsidRPr="0011040F" w:rsidTr="005075C6">
        <w:trPr>
          <w:jc w:val="center"/>
        </w:trPr>
        <w:tc>
          <w:tcPr>
            <w:tcW w:w="987"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right="77"/>
              <w:jc w:val="center"/>
              <w:rPr>
                <w:rFonts w:cs="Arial"/>
                <w:b/>
                <w:sz w:val="16"/>
                <w:szCs w:val="16"/>
              </w:rPr>
            </w:pPr>
            <w:r w:rsidRPr="0011040F">
              <w:rPr>
                <w:rFonts w:cs="Arial"/>
                <w:b/>
                <w:sz w:val="16"/>
                <w:szCs w:val="16"/>
              </w:rPr>
              <w:t>2008</w:t>
            </w:r>
          </w:p>
        </w:tc>
        <w:tc>
          <w:tcPr>
            <w:tcW w:w="1134"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right" w:pos="936"/>
              </w:tabs>
              <w:autoSpaceDE w:val="0"/>
              <w:autoSpaceDN w:val="0"/>
              <w:adjustRightInd w:val="0"/>
              <w:spacing w:before="120"/>
              <w:ind w:right="76"/>
              <w:jc w:val="center"/>
              <w:rPr>
                <w:rFonts w:cs="Arial"/>
                <w:sz w:val="16"/>
                <w:szCs w:val="16"/>
              </w:rPr>
            </w:pPr>
            <w:r w:rsidRPr="0011040F">
              <w:rPr>
                <w:rFonts w:cs="Arial"/>
                <w:sz w:val="16"/>
                <w:szCs w:val="16"/>
              </w:rPr>
              <w:t>1</w:t>
            </w:r>
            <w:r>
              <w:rPr>
                <w:rFonts w:cs="Arial"/>
                <w:sz w:val="16"/>
                <w:szCs w:val="16"/>
              </w:rPr>
              <w:t> </w:t>
            </w:r>
            <w:r w:rsidRPr="0011040F">
              <w:rPr>
                <w:rFonts w:cs="Arial"/>
                <w:sz w:val="16"/>
                <w:szCs w:val="16"/>
              </w:rPr>
              <w:t>130</w:t>
            </w:r>
            <w:r>
              <w:rPr>
                <w:rFonts w:cs="Arial"/>
                <w:sz w:val="16"/>
                <w:szCs w:val="16"/>
              </w:rPr>
              <w:t> </w:t>
            </w:r>
            <w:r w:rsidRPr="0011040F">
              <w:rPr>
                <w:rFonts w:cs="Arial"/>
                <w:sz w:val="16"/>
                <w:szCs w:val="16"/>
              </w:rPr>
              <w:t>250.00</w:t>
            </w:r>
          </w:p>
        </w:tc>
        <w:tc>
          <w:tcPr>
            <w:tcW w:w="1145"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35</w:t>
            </w:r>
            <w:r>
              <w:rPr>
                <w:rFonts w:cs="Arial"/>
                <w:sz w:val="16"/>
                <w:szCs w:val="16"/>
              </w:rPr>
              <w:t> </w:t>
            </w:r>
            <w:r w:rsidRPr="0011040F">
              <w:rPr>
                <w:rFonts w:cs="Arial"/>
                <w:sz w:val="16"/>
                <w:szCs w:val="16"/>
              </w:rPr>
              <w:t>000.00</w:t>
            </w:r>
          </w:p>
        </w:tc>
        <w:tc>
          <w:tcPr>
            <w:tcW w:w="1701"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sz w:val="16"/>
                <w:szCs w:val="16"/>
              </w:rPr>
            </w:pPr>
            <w:r w:rsidRPr="0011040F">
              <w:rPr>
                <w:rFonts w:cs="Arial"/>
                <w:sz w:val="16"/>
                <w:szCs w:val="16"/>
              </w:rPr>
              <w:t>1 663 010.00</w:t>
            </w:r>
          </w:p>
        </w:tc>
        <w:tc>
          <w:tcPr>
            <w:tcW w:w="1140"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2 828 260.00</w:t>
            </w:r>
          </w:p>
        </w:tc>
        <w:tc>
          <w:tcPr>
            <w:tcW w:w="1276"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768 810.00</w:t>
            </w:r>
          </w:p>
        </w:tc>
        <w:tc>
          <w:tcPr>
            <w:tcW w:w="1258"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2 059 450.00</w:t>
            </w:r>
          </w:p>
        </w:tc>
      </w:tr>
      <w:tr w:rsidR="00EE6C20" w:rsidRPr="0011040F" w:rsidTr="005075C6">
        <w:trPr>
          <w:jc w:val="center"/>
        </w:trPr>
        <w:tc>
          <w:tcPr>
            <w:tcW w:w="987"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right="77"/>
              <w:jc w:val="center"/>
              <w:rPr>
                <w:rFonts w:cs="Arial"/>
                <w:b/>
                <w:sz w:val="16"/>
                <w:szCs w:val="16"/>
              </w:rPr>
            </w:pPr>
            <w:r w:rsidRPr="0011040F">
              <w:rPr>
                <w:rFonts w:cs="Arial"/>
                <w:b/>
                <w:sz w:val="16"/>
                <w:szCs w:val="16"/>
              </w:rPr>
              <w:t>2009</w:t>
            </w:r>
          </w:p>
        </w:tc>
        <w:tc>
          <w:tcPr>
            <w:tcW w:w="1134"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both"/>
              <w:rPr>
                <w:rFonts w:cs="Arial"/>
                <w:sz w:val="16"/>
                <w:szCs w:val="16"/>
              </w:rPr>
            </w:pPr>
            <w:r>
              <w:rPr>
                <w:rFonts w:cs="Arial"/>
                <w:sz w:val="16"/>
                <w:szCs w:val="16"/>
              </w:rPr>
              <w:t>2 153 </w:t>
            </w:r>
            <w:r w:rsidRPr="0011040F">
              <w:rPr>
                <w:rFonts w:cs="Arial"/>
                <w:sz w:val="16"/>
                <w:szCs w:val="16"/>
              </w:rPr>
              <w:t>732.15</w:t>
            </w:r>
          </w:p>
        </w:tc>
        <w:tc>
          <w:tcPr>
            <w:tcW w:w="1145"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25</w:t>
            </w:r>
            <w:r>
              <w:rPr>
                <w:rFonts w:cs="Arial"/>
                <w:sz w:val="16"/>
                <w:szCs w:val="16"/>
              </w:rPr>
              <w:t> </w:t>
            </w:r>
            <w:r w:rsidRPr="0011040F">
              <w:rPr>
                <w:rFonts w:cs="Arial"/>
                <w:sz w:val="16"/>
                <w:szCs w:val="16"/>
              </w:rPr>
              <w:t>600.00</w:t>
            </w:r>
          </w:p>
        </w:tc>
        <w:tc>
          <w:tcPr>
            <w:tcW w:w="1701"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sz w:val="16"/>
                <w:szCs w:val="16"/>
              </w:rPr>
            </w:pPr>
            <w:r w:rsidRPr="0011040F">
              <w:rPr>
                <w:rFonts w:cs="Arial"/>
                <w:sz w:val="16"/>
                <w:szCs w:val="16"/>
              </w:rPr>
              <w:t>235 235.00</w:t>
            </w:r>
          </w:p>
        </w:tc>
        <w:tc>
          <w:tcPr>
            <w:tcW w:w="1140"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2 414 567.15</w:t>
            </w:r>
          </w:p>
        </w:tc>
        <w:tc>
          <w:tcPr>
            <w:tcW w:w="1276"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922 839.00</w:t>
            </w:r>
          </w:p>
        </w:tc>
        <w:tc>
          <w:tcPr>
            <w:tcW w:w="1258"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1 491 728.15</w:t>
            </w:r>
          </w:p>
        </w:tc>
      </w:tr>
      <w:tr w:rsidR="00EE6C20" w:rsidRPr="0011040F" w:rsidTr="005075C6">
        <w:trPr>
          <w:jc w:val="center"/>
        </w:trPr>
        <w:tc>
          <w:tcPr>
            <w:tcW w:w="987"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right="77"/>
              <w:jc w:val="center"/>
              <w:rPr>
                <w:rFonts w:cs="Arial"/>
                <w:b/>
                <w:sz w:val="16"/>
                <w:szCs w:val="16"/>
              </w:rPr>
            </w:pPr>
            <w:r w:rsidRPr="0011040F">
              <w:rPr>
                <w:rFonts w:cs="Arial"/>
                <w:b/>
                <w:sz w:val="16"/>
                <w:szCs w:val="16"/>
              </w:rPr>
              <w:t>2010</w:t>
            </w:r>
          </w:p>
        </w:tc>
        <w:tc>
          <w:tcPr>
            <w:tcW w:w="1134"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both"/>
              <w:rPr>
                <w:rFonts w:cs="Arial"/>
                <w:sz w:val="16"/>
                <w:szCs w:val="16"/>
              </w:rPr>
            </w:pPr>
            <w:r w:rsidRPr="0011040F">
              <w:rPr>
                <w:rFonts w:cs="Arial"/>
                <w:sz w:val="16"/>
                <w:szCs w:val="16"/>
              </w:rPr>
              <w:t>2</w:t>
            </w:r>
            <w:r>
              <w:rPr>
                <w:rFonts w:cs="Arial"/>
                <w:sz w:val="16"/>
                <w:szCs w:val="16"/>
              </w:rPr>
              <w:t> </w:t>
            </w:r>
            <w:r w:rsidRPr="0011040F">
              <w:rPr>
                <w:rFonts w:cs="Arial"/>
                <w:sz w:val="16"/>
                <w:szCs w:val="16"/>
              </w:rPr>
              <w:t>356</w:t>
            </w:r>
            <w:r>
              <w:rPr>
                <w:rFonts w:cs="Arial"/>
                <w:sz w:val="16"/>
                <w:szCs w:val="16"/>
              </w:rPr>
              <w:t> </w:t>
            </w:r>
            <w:r w:rsidRPr="0011040F">
              <w:rPr>
                <w:rFonts w:cs="Arial"/>
                <w:sz w:val="16"/>
                <w:szCs w:val="16"/>
              </w:rPr>
              <w:t>408.05</w:t>
            </w:r>
          </w:p>
        </w:tc>
        <w:tc>
          <w:tcPr>
            <w:tcW w:w="1145"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47</w:t>
            </w:r>
            <w:r>
              <w:rPr>
                <w:rFonts w:cs="Arial"/>
                <w:sz w:val="16"/>
                <w:szCs w:val="16"/>
              </w:rPr>
              <w:t> </w:t>
            </w:r>
            <w:r w:rsidRPr="0011040F">
              <w:rPr>
                <w:rFonts w:cs="Arial"/>
                <w:sz w:val="16"/>
                <w:szCs w:val="16"/>
              </w:rPr>
              <w:t>127.12</w:t>
            </w:r>
          </w:p>
        </w:tc>
        <w:tc>
          <w:tcPr>
            <w:tcW w:w="1701"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sz w:val="16"/>
                <w:szCs w:val="16"/>
              </w:rPr>
            </w:pPr>
            <w:r w:rsidRPr="0011040F">
              <w:rPr>
                <w:rFonts w:cs="Arial"/>
                <w:sz w:val="16"/>
                <w:szCs w:val="16"/>
              </w:rPr>
              <w:t>893</w:t>
            </w:r>
            <w:r>
              <w:rPr>
                <w:rFonts w:cs="Arial"/>
                <w:sz w:val="16"/>
                <w:szCs w:val="16"/>
              </w:rPr>
              <w:t> </w:t>
            </w:r>
            <w:r w:rsidRPr="0011040F">
              <w:rPr>
                <w:rFonts w:cs="Arial"/>
                <w:sz w:val="16"/>
                <w:szCs w:val="16"/>
              </w:rPr>
              <w:t>830.85</w:t>
            </w:r>
          </w:p>
        </w:tc>
        <w:tc>
          <w:tcPr>
            <w:tcW w:w="1140"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3 297 366.10</w:t>
            </w:r>
          </w:p>
        </w:tc>
        <w:tc>
          <w:tcPr>
            <w:tcW w:w="1276"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1750671.00</w:t>
            </w:r>
          </w:p>
        </w:tc>
        <w:tc>
          <w:tcPr>
            <w:tcW w:w="1258"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1 546 695.10</w:t>
            </w:r>
          </w:p>
        </w:tc>
      </w:tr>
      <w:tr w:rsidR="00EE6C20" w:rsidRPr="0011040F" w:rsidTr="005075C6">
        <w:trPr>
          <w:jc w:val="center"/>
        </w:trPr>
        <w:tc>
          <w:tcPr>
            <w:tcW w:w="987"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EE6C20" w:rsidRPr="0011040F" w:rsidRDefault="00EE6C20" w:rsidP="00E03B3B">
            <w:pPr>
              <w:widowControl w:val="0"/>
              <w:autoSpaceDE w:val="0"/>
              <w:autoSpaceDN w:val="0"/>
              <w:adjustRightInd w:val="0"/>
              <w:spacing w:before="120"/>
              <w:jc w:val="center"/>
              <w:rPr>
                <w:rFonts w:cs="Arial"/>
                <w:b/>
                <w:sz w:val="16"/>
                <w:szCs w:val="16"/>
                <w:highlight w:val="lightGray"/>
              </w:rPr>
            </w:pPr>
          </w:p>
        </w:tc>
        <w:tc>
          <w:tcPr>
            <w:tcW w:w="1134"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both"/>
              <w:rPr>
                <w:rFonts w:cs="Arial"/>
                <w:b/>
                <w:sz w:val="16"/>
                <w:szCs w:val="16"/>
              </w:rPr>
            </w:pPr>
            <w:r w:rsidRPr="0011040F">
              <w:rPr>
                <w:rFonts w:cs="Arial"/>
                <w:b/>
                <w:sz w:val="16"/>
                <w:szCs w:val="16"/>
              </w:rPr>
              <w:t>6</w:t>
            </w:r>
            <w:r>
              <w:rPr>
                <w:rFonts w:cs="Arial"/>
                <w:b/>
                <w:sz w:val="16"/>
                <w:szCs w:val="16"/>
              </w:rPr>
              <w:t> </w:t>
            </w:r>
            <w:r w:rsidR="003320FA">
              <w:rPr>
                <w:rFonts w:cs="Arial"/>
                <w:b/>
                <w:sz w:val="16"/>
                <w:szCs w:val="16"/>
              </w:rPr>
              <w:t>603</w:t>
            </w:r>
            <w:r>
              <w:rPr>
                <w:rFonts w:cs="Arial"/>
                <w:b/>
                <w:sz w:val="16"/>
                <w:szCs w:val="16"/>
              </w:rPr>
              <w:t> </w:t>
            </w:r>
            <w:r w:rsidR="003320FA">
              <w:rPr>
                <w:rFonts w:cs="Arial"/>
                <w:b/>
                <w:sz w:val="16"/>
                <w:szCs w:val="16"/>
              </w:rPr>
              <w:t>690</w:t>
            </w:r>
            <w:r w:rsidRPr="0011040F">
              <w:rPr>
                <w:rFonts w:cs="Arial"/>
                <w:b/>
                <w:sz w:val="16"/>
                <w:szCs w:val="16"/>
              </w:rPr>
              <w:t>.</w:t>
            </w:r>
            <w:r w:rsidR="003320FA">
              <w:rPr>
                <w:rFonts w:cs="Arial"/>
                <w:b/>
                <w:sz w:val="16"/>
                <w:szCs w:val="16"/>
              </w:rPr>
              <w:t>20</w:t>
            </w:r>
          </w:p>
        </w:tc>
        <w:tc>
          <w:tcPr>
            <w:tcW w:w="1145"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143 073.12</w:t>
            </w:r>
          </w:p>
        </w:tc>
        <w:tc>
          <w:tcPr>
            <w:tcW w:w="1701"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2 </w:t>
            </w:r>
            <w:r w:rsidR="007375CF">
              <w:rPr>
                <w:rFonts w:cs="Arial"/>
                <w:b/>
                <w:sz w:val="16"/>
                <w:szCs w:val="16"/>
              </w:rPr>
              <w:t>831</w:t>
            </w:r>
            <w:r w:rsidRPr="0011040F">
              <w:rPr>
                <w:rFonts w:cs="Arial"/>
                <w:b/>
                <w:sz w:val="16"/>
                <w:szCs w:val="16"/>
              </w:rPr>
              <w:t xml:space="preserve"> </w:t>
            </w:r>
            <w:r w:rsidR="007375CF">
              <w:rPr>
                <w:rFonts w:cs="Arial"/>
                <w:b/>
                <w:sz w:val="16"/>
                <w:szCs w:val="16"/>
              </w:rPr>
              <w:t>454</w:t>
            </w:r>
            <w:r w:rsidRPr="0011040F">
              <w:rPr>
                <w:rFonts w:cs="Arial"/>
                <w:b/>
                <w:sz w:val="16"/>
                <w:szCs w:val="16"/>
              </w:rPr>
              <w:t>.42</w:t>
            </w:r>
          </w:p>
        </w:tc>
        <w:tc>
          <w:tcPr>
            <w:tcW w:w="1140"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9 578 217.82</w:t>
            </w:r>
          </w:p>
        </w:tc>
        <w:tc>
          <w:tcPr>
            <w:tcW w:w="1276"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autoSpaceDE w:val="0"/>
              <w:autoSpaceDN w:val="0"/>
              <w:adjustRightInd w:val="0"/>
              <w:spacing w:before="120"/>
              <w:ind w:right="86"/>
              <w:jc w:val="right"/>
              <w:rPr>
                <w:rFonts w:cs="Arial"/>
                <w:b/>
                <w:sz w:val="16"/>
                <w:szCs w:val="16"/>
              </w:rPr>
            </w:pPr>
            <w:r w:rsidRPr="0011040F">
              <w:rPr>
                <w:rFonts w:cs="Arial"/>
                <w:b/>
                <w:sz w:val="16"/>
                <w:szCs w:val="16"/>
              </w:rPr>
              <w:t>3 897 792.00</w:t>
            </w:r>
          </w:p>
        </w:tc>
        <w:tc>
          <w:tcPr>
            <w:tcW w:w="1258" w:type="dxa"/>
            <w:tcBorders>
              <w:top w:val="single" w:sz="5" w:space="0" w:color="auto"/>
              <w:left w:val="single" w:sz="5" w:space="0" w:color="auto"/>
              <w:bottom w:val="single" w:sz="5" w:space="0" w:color="auto"/>
              <w:right w:val="single" w:sz="5" w:space="0" w:color="auto"/>
            </w:tcBorders>
            <w:vAlign w:val="center"/>
          </w:tcPr>
          <w:p w:rsidR="00EE6C20" w:rsidRPr="0011040F" w:rsidRDefault="00EE6C20" w:rsidP="00E03B3B">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5 680 425.82</w:t>
            </w:r>
          </w:p>
        </w:tc>
      </w:tr>
    </w:tbl>
    <w:p w:rsidR="00795211" w:rsidRDefault="00D63A02" w:rsidP="00D63A02">
      <w:pPr>
        <w:pStyle w:val="LegalList1"/>
        <w:spacing w:before="240" w:after="120" w:line="360" w:lineRule="auto"/>
        <w:rPr>
          <w:lang w:val="en-ZA"/>
        </w:rPr>
      </w:pPr>
      <w:r>
        <w:rPr>
          <w:lang w:val="en-ZA"/>
        </w:rPr>
        <w:t>[3].</w:t>
      </w:r>
      <w:r>
        <w:rPr>
          <w:lang w:val="en-ZA"/>
        </w:rPr>
        <w:tab/>
      </w:r>
      <w:r w:rsidR="009C5C4C">
        <w:rPr>
          <w:lang w:val="en-ZA"/>
        </w:rPr>
        <w:t>Pursuant to t</w:t>
      </w:r>
      <w:r w:rsidR="00423930" w:rsidRPr="00423930">
        <w:rPr>
          <w:lang w:val="en-ZA"/>
        </w:rPr>
        <w:t>he f</w:t>
      </w:r>
      <w:r w:rsidR="009C5C4C">
        <w:rPr>
          <w:lang w:val="en-ZA"/>
        </w:rPr>
        <w:t xml:space="preserve">inalisation of audit letter, </w:t>
      </w:r>
      <w:r w:rsidR="00423930" w:rsidRPr="009C5C4C">
        <w:rPr>
          <w:lang w:val="en-ZA"/>
        </w:rPr>
        <w:t>accompanie</w:t>
      </w:r>
      <w:r w:rsidR="009C5C4C">
        <w:rPr>
          <w:lang w:val="en-ZA"/>
        </w:rPr>
        <w:t xml:space="preserve">d by the additional assessments, </w:t>
      </w:r>
      <w:r w:rsidR="00423930" w:rsidRPr="009C5C4C">
        <w:rPr>
          <w:lang w:val="en-ZA"/>
        </w:rPr>
        <w:t xml:space="preserve">SARS made the </w:t>
      </w:r>
      <w:r w:rsidR="00795211">
        <w:rPr>
          <w:lang w:val="en-ZA"/>
        </w:rPr>
        <w:t xml:space="preserve">above </w:t>
      </w:r>
      <w:r w:rsidR="002A7434">
        <w:rPr>
          <w:lang w:val="en-ZA"/>
        </w:rPr>
        <w:t>consequential</w:t>
      </w:r>
      <w:r w:rsidR="00423930" w:rsidRPr="009C5C4C">
        <w:rPr>
          <w:lang w:val="en-ZA"/>
        </w:rPr>
        <w:t xml:space="preserve"> adjustments to </w:t>
      </w:r>
      <w:r w:rsidR="009C5C4C">
        <w:rPr>
          <w:lang w:val="en-ZA"/>
        </w:rPr>
        <w:t>the taxpayer’s</w:t>
      </w:r>
      <w:r w:rsidR="00423930" w:rsidRPr="009C5C4C">
        <w:rPr>
          <w:lang w:val="en-ZA"/>
        </w:rPr>
        <w:t xml:space="preserve"> taxable income and </w:t>
      </w:r>
      <w:r w:rsidR="002A7434">
        <w:rPr>
          <w:lang w:val="en-ZA"/>
        </w:rPr>
        <w:t xml:space="preserve">adjusted upward the taxpayer’s tax liability in </w:t>
      </w:r>
      <w:r w:rsidR="002A7434">
        <w:rPr>
          <w:lang w:val="en-ZA"/>
        </w:rPr>
        <w:lastRenderedPageBreak/>
        <w:t>respect of the 2007 – 2010 tax assessment years by an amount of R</w:t>
      </w:r>
      <w:r w:rsidR="00795211">
        <w:rPr>
          <w:lang w:val="en-ZA"/>
        </w:rPr>
        <w:t>3 610 053.80. Understatement penalties amounting in total to R2 134 966 were also levied, resulting in additional tax liability</w:t>
      </w:r>
      <w:r w:rsidR="00A52F0F">
        <w:rPr>
          <w:lang w:val="en-ZA"/>
        </w:rPr>
        <w:t xml:space="preserve"> by the taxpayer</w:t>
      </w:r>
      <w:r w:rsidR="00795211">
        <w:rPr>
          <w:lang w:val="en-ZA"/>
        </w:rPr>
        <w:t xml:space="preserve"> </w:t>
      </w:r>
      <w:r w:rsidR="00A52F0F">
        <w:rPr>
          <w:lang w:val="en-ZA"/>
        </w:rPr>
        <w:t>to make</w:t>
      </w:r>
      <w:r w:rsidR="00795211">
        <w:rPr>
          <w:lang w:val="en-ZA"/>
        </w:rPr>
        <w:t xml:space="preserve"> payment </w:t>
      </w:r>
      <w:r w:rsidR="00A52F0F">
        <w:rPr>
          <w:lang w:val="en-ZA"/>
        </w:rPr>
        <w:t xml:space="preserve">of the additional sum of </w:t>
      </w:r>
      <w:r w:rsidR="00795211">
        <w:rPr>
          <w:lang w:val="en-ZA"/>
        </w:rPr>
        <w:t>R5 745 019.80.</w:t>
      </w:r>
    </w:p>
    <w:p w:rsidR="003320FA" w:rsidRPr="003320FA" w:rsidRDefault="00D63A02" w:rsidP="00D63A02">
      <w:pPr>
        <w:pStyle w:val="LegalList1"/>
        <w:spacing w:after="120" w:line="360" w:lineRule="auto"/>
        <w:rPr>
          <w:lang w:val="en-ZA"/>
        </w:rPr>
      </w:pPr>
      <w:r w:rsidRPr="003320FA">
        <w:rPr>
          <w:lang w:val="en-ZA"/>
        </w:rPr>
        <w:t>[4].</w:t>
      </w:r>
      <w:r w:rsidRPr="003320FA">
        <w:rPr>
          <w:lang w:val="en-ZA"/>
        </w:rPr>
        <w:tab/>
      </w:r>
      <w:r w:rsidR="00A52F0F">
        <w:t xml:space="preserve">It is not in dispute that over the period from 01 March 2006 to 28 February 2010 the taxpayer had received from time to time payment of amounts </w:t>
      </w:r>
      <w:r w:rsidR="00277BD9">
        <w:t>totalling R9 578 217.82. The individual sums received into a particular bank account</w:t>
      </w:r>
      <w:r w:rsidR="00534CC1">
        <w:t xml:space="preserve"> (the taxpayer’s Investec or Nedbank bank account</w:t>
      </w:r>
      <w:r w:rsidR="006B186D">
        <w:t>s</w:t>
      </w:r>
      <w:r w:rsidR="00534CC1">
        <w:t>)</w:t>
      </w:r>
      <w:r w:rsidR="00277BD9">
        <w:t xml:space="preserve"> </w:t>
      </w:r>
      <w:r w:rsidR="00CD78D6">
        <w:t xml:space="preserve">or from a particular source (FX Africa Foreign Exchange (Pty) Ltd (‘FX Africa’)) </w:t>
      </w:r>
      <w:r w:rsidR="00277BD9">
        <w:t xml:space="preserve">during a particular period are listed and itemised in various schedules, the contents of which are common cause between the parties. Furthermore, by the time the evidence </w:t>
      </w:r>
      <w:r w:rsidR="006B186D">
        <w:t xml:space="preserve">was completed </w:t>
      </w:r>
      <w:r w:rsidR="00277BD9">
        <w:t>during the trial and the hearing o</w:t>
      </w:r>
      <w:r w:rsidR="00E03B3B">
        <w:t>f the taxpayer’s appeal in the Tax C</w:t>
      </w:r>
      <w:r w:rsidR="00277BD9">
        <w:t>ourt, SARS had accepted explanations given by the taxpayer for certain receipts and/or accruals</w:t>
      </w:r>
      <w:r w:rsidR="00534CC1">
        <w:t xml:space="preserve"> from FX Africa</w:t>
      </w:r>
      <w:r w:rsidR="00277BD9">
        <w:t xml:space="preserve">, which meant that those particular amounts were no longer to be included in the calculation of the taxpayer’s income for the relevant period. </w:t>
      </w:r>
    </w:p>
    <w:p w:rsidR="00E03B3B" w:rsidRPr="00E03B3B" w:rsidRDefault="00D63A02" w:rsidP="00D63A02">
      <w:pPr>
        <w:pStyle w:val="LegalList1"/>
        <w:spacing w:after="120" w:line="360" w:lineRule="auto"/>
        <w:rPr>
          <w:lang w:val="en-ZA"/>
        </w:rPr>
      </w:pPr>
      <w:r w:rsidRPr="00E03B3B">
        <w:rPr>
          <w:lang w:val="en-ZA"/>
        </w:rPr>
        <w:t>[5].</w:t>
      </w:r>
      <w:r w:rsidRPr="00E03B3B">
        <w:rPr>
          <w:lang w:val="en-ZA"/>
        </w:rPr>
        <w:tab/>
      </w:r>
      <w:r w:rsidR="00277BD9">
        <w:t>The net effect of the aforegoing is that, on th</w:t>
      </w:r>
      <w:r w:rsidR="00540B89">
        <w:t xml:space="preserve">e version of SARS, the total amount of income, as being receipts from FX Africa, are to be reduced </w:t>
      </w:r>
      <w:r w:rsidR="004079E4">
        <w:t xml:space="preserve">by R640 467 </w:t>
      </w:r>
      <w:r w:rsidR="00540B89">
        <w:t>from R2</w:t>
      </w:r>
      <w:r w:rsidR="004079E4">
        <w:t> 831 454</w:t>
      </w:r>
      <w:r w:rsidR="00540B89">
        <w:t>.</w:t>
      </w:r>
      <w:r w:rsidR="004079E4">
        <w:t>42</w:t>
      </w:r>
      <w:r w:rsidR="00540B89">
        <w:t xml:space="preserve"> to R2</w:t>
      </w:r>
      <w:r w:rsidR="004079E4">
        <w:t> </w:t>
      </w:r>
      <w:r w:rsidR="00540B89">
        <w:t>190</w:t>
      </w:r>
      <w:r w:rsidR="004079E4">
        <w:t> </w:t>
      </w:r>
      <w:r w:rsidR="00540B89">
        <w:t xml:space="preserve">987. </w:t>
      </w:r>
      <w:r w:rsidR="004079E4">
        <w:t xml:space="preserve">The same reduction </w:t>
      </w:r>
      <w:r w:rsidR="006B186D">
        <w:t>by</w:t>
      </w:r>
      <w:r w:rsidR="004079E4">
        <w:t xml:space="preserve"> the</w:t>
      </w:r>
      <w:r w:rsidR="006B186D">
        <w:t xml:space="preserve"> said</w:t>
      </w:r>
      <w:r w:rsidR="004079E4">
        <w:t xml:space="preserve"> amount </w:t>
      </w:r>
      <w:r w:rsidR="006B186D">
        <w:t xml:space="preserve">R640 467 </w:t>
      </w:r>
      <w:r w:rsidR="004079E4">
        <w:t xml:space="preserve">should </w:t>
      </w:r>
      <w:r w:rsidR="006B186D">
        <w:t xml:space="preserve">also </w:t>
      </w:r>
      <w:r w:rsidR="004079E4">
        <w:t>be applied to the total amount of the adjusted income of R9 578 217.82, resulting in a net total of R8 937 750.82</w:t>
      </w:r>
      <w:r w:rsidR="006B186D">
        <w:t xml:space="preserve"> taxable income as per the case on behalf of SARS</w:t>
      </w:r>
      <w:r w:rsidR="004079E4">
        <w:t>.</w:t>
      </w:r>
      <w:r w:rsidR="00595CC2">
        <w:t xml:space="preserve"> </w:t>
      </w:r>
    </w:p>
    <w:p w:rsidR="00540B89" w:rsidRPr="0036554E" w:rsidRDefault="00D63A02" w:rsidP="00D63A02">
      <w:pPr>
        <w:pStyle w:val="LegalList1"/>
        <w:spacing w:after="120" w:line="360" w:lineRule="auto"/>
        <w:rPr>
          <w:lang w:val="en-ZA"/>
        </w:rPr>
      </w:pPr>
      <w:r w:rsidRPr="0036554E">
        <w:rPr>
          <w:lang w:val="en-ZA"/>
        </w:rPr>
        <w:t>[6].</w:t>
      </w:r>
      <w:r w:rsidRPr="0036554E">
        <w:rPr>
          <w:lang w:val="en-ZA"/>
        </w:rPr>
        <w:tab/>
      </w:r>
      <w:r w:rsidR="00595CC2">
        <w:t>In order to demonstrate the nature, size and frequency of the receipt</w:t>
      </w:r>
      <w:r w:rsidR="00E03B3B">
        <w:t>s</w:t>
      </w:r>
      <w:r w:rsidR="00595CC2">
        <w:t xml:space="preserve">, it may be apposite to </w:t>
      </w:r>
      <w:r w:rsidR="0036554E">
        <w:t>use the 2008 receipts into the Investec account as</w:t>
      </w:r>
      <w:r w:rsidR="00595CC2">
        <w:t xml:space="preserve"> an example of one of the schedules which are under consideration in this appeal.</w:t>
      </w:r>
      <w:r w:rsidR="0036554E">
        <w:t xml:space="preserve"> That schedule is as follows: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2217"/>
        <w:gridCol w:w="4531"/>
        <w:gridCol w:w="1887"/>
      </w:tblGrid>
      <w:tr w:rsidR="0036554E" w:rsidRPr="00935A1F" w:rsidTr="004A6CDC">
        <w:trPr>
          <w:jc w:val="center"/>
        </w:trPr>
        <w:tc>
          <w:tcPr>
            <w:tcW w:w="8635" w:type="dxa"/>
            <w:gridSpan w:val="3"/>
            <w:vAlign w:val="center"/>
          </w:tcPr>
          <w:p w:rsidR="0036554E" w:rsidRPr="00935A1F" w:rsidRDefault="005075C6" w:rsidP="00E03B3B">
            <w:pPr>
              <w:keepNext/>
              <w:widowControl w:val="0"/>
              <w:tabs>
                <w:tab w:val="left" w:pos="2808"/>
                <w:tab w:val="right" w:pos="9072"/>
              </w:tabs>
              <w:autoSpaceDE w:val="0"/>
              <w:autoSpaceDN w:val="0"/>
              <w:adjustRightInd w:val="0"/>
              <w:spacing w:before="120"/>
              <w:ind w:left="547" w:right="833"/>
              <w:rPr>
                <w:rFonts w:cs="Arial"/>
                <w:b/>
                <w:sz w:val="20"/>
                <w:szCs w:val="20"/>
                <w:lang w:val="en-US"/>
              </w:rPr>
            </w:pPr>
            <w:r w:rsidRPr="00935A1F">
              <w:rPr>
                <w:rFonts w:cs="Arial"/>
                <w:b/>
                <w:sz w:val="20"/>
                <w:szCs w:val="20"/>
                <w:lang w:val="en-US"/>
              </w:rPr>
              <w:lastRenderedPageBreak/>
              <w:t>SP M</w:t>
            </w:r>
            <w:r w:rsidR="0036554E" w:rsidRPr="00935A1F">
              <w:rPr>
                <w:rFonts w:cs="Arial"/>
                <w:b/>
                <w:sz w:val="20"/>
                <w:szCs w:val="20"/>
                <w:lang w:val="en-US"/>
              </w:rPr>
              <w:tab/>
              <w:t>Investec</w:t>
            </w:r>
            <w:r w:rsidR="0036554E" w:rsidRPr="00935A1F">
              <w:rPr>
                <w:rFonts w:cs="Arial"/>
                <w:b/>
                <w:sz w:val="20"/>
                <w:szCs w:val="20"/>
                <w:lang w:val="en-US"/>
              </w:rPr>
              <w:tab/>
              <w:t>1001</w:t>
            </w:r>
            <w:r w:rsidR="00935A1F" w:rsidRPr="00935A1F">
              <w:rPr>
                <w:rFonts w:cs="Arial"/>
                <w:b/>
                <w:sz w:val="20"/>
                <w:szCs w:val="20"/>
                <w:lang w:val="en-US"/>
              </w:rPr>
              <w:t>--------</w:t>
            </w:r>
          </w:p>
        </w:tc>
      </w:tr>
      <w:tr w:rsidR="005075C6" w:rsidRPr="00935A1F" w:rsidTr="004A6CDC">
        <w:trPr>
          <w:jc w:val="center"/>
        </w:trPr>
        <w:tc>
          <w:tcPr>
            <w:tcW w:w="8635" w:type="dxa"/>
            <w:gridSpan w:val="3"/>
            <w:vAlign w:val="center"/>
          </w:tcPr>
          <w:p w:rsidR="005075C6" w:rsidRPr="00935A1F" w:rsidRDefault="005075C6" w:rsidP="00E03B3B">
            <w:pPr>
              <w:keepNext/>
              <w:widowControl w:val="0"/>
              <w:autoSpaceDE w:val="0"/>
              <w:autoSpaceDN w:val="0"/>
              <w:adjustRightInd w:val="0"/>
              <w:spacing w:before="120"/>
              <w:jc w:val="center"/>
              <w:rPr>
                <w:rFonts w:cs="Arial"/>
                <w:b/>
                <w:sz w:val="20"/>
                <w:szCs w:val="20"/>
                <w:lang w:val="en-US"/>
              </w:rPr>
            </w:pPr>
            <w:r w:rsidRPr="00935A1F">
              <w:rPr>
                <w:rFonts w:cs="Arial"/>
                <w:b/>
                <w:sz w:val="20"/>
                <w:szCs w:val="20"/>
                <w:lang w:val="en-US"/>
              </w:rPr>
              <w:t>2008</w:t>
            </w:r>
          </w:p>
        </w:tc>
      </w:tr>
      <w:tr w:rsidR="0036554E" w:rsidRPr="00935A1F" w:rsidTr="004A6CDC">
        <w:trPr>
          <w:jc w:val="center"/>
        </w:trPr>
        <w:tc>
          <w:tcPr>
            <w:tcW w:w="2217" w:type="dxa"/>
            <w:vAlign w:val="center"/>
          </w:tcPr>
          <w:p w:rsidR="0036554E" w:rsidRPr="00935A1F" w:rsidRDefault="0036554E" w:rsidP="00E03B3B">
            <w:pPr>
              <w:keepNext/>
              <w:widowControl w:val="0"/>
              <w:autoSpaceDE w:val="0"/>
              <w:autoSpaceDN w:val="0"/>
              <w:adjustRightInd w:val="0"/>
              <w:spacing w:before="120"/>
              <w:ind w:left="14"/>
              <w:jc w:val="center"/>
              <w:rPr>
                <w:rFonts w:cs="Arial"/>
                <w:b/>
                <w:sz w:val="20"/>
                <w:szCs w:val="20"/>
                <w:lang w:val="en-US"/>
              </w:rPr>
            </w:pPr>
            <w:r w:rsidRPr="00935A1F">
              <w:rPr>
                <w:rFonts w:cs="Arial"/>
                <w:b/>
                <w:sz w:val="20"/>
                <w:szCs w:val="20"/>
                <w:lang w:val="en-US"/>
              </w:rPr>
              <w:t>Date</w:t>
            </w:r>
          </w:p>
        </w:tc>
        <w:tc>
          <w:tcPr>
            <w:tcW w:w="4531" w:type="dxa"/>
            <w:vAlign w:val="center"/>
          </w:tcPr>
          <w:p w:rsidR="0036554E" w:rsidRPr="00935A1F" w:rsidRDefault="0036554E" w:rsidP="00E03B3B">
            <w:pPr>
              <w:keepNext/>
              <w:widowControl w:val="0"/>
              <w:autoSpaceDE w:val="0"/>
              <w:autoSpaceDN w:val="0"/>
              <w:adjustRightInd w:val="0"/>
              <w:spacing w:before="120"/>
              <w:ind w:left="53"/>
              <w:jc w:val="center"/>
              <w:rPr>
                <w:rFonts w:cs="Arial"/>
                <w:b/>
                <w:sz w:val="20"/>
                <w:szCs w:val="20"/>
                <w:lang w:val="en-US"/>
              </w:rPr>
            </w:pPr>
            <w:r w:rsidRPr="00935A1F">
              <w:rPr>
                <w:rFonts w:cs="Arial"/>
                <w:b/>
                <w:sz w:val="20"/>
                <w:szCs w:val="20"/>
                <w:lang w:val="en-US"/>
              </w:rPr>
              <w:t>Description</w:t>
            </w:r>
          </w:p>
        </w:tc>
        <w:tc>
          <w:tcPr>
            <w:tcW w:w="1887" w:type="dxa"/>
            <w:vAlign w:val="center"/>
          </w:tcPr>
          <w:p w:rsidR="0036554E" w:rsidRPr="00935A1F" w:rsidRDefault="0036554E" w:rsidP="00E03B3B">
            <w:pPr>
              <w:keepNext/>
              <w:widowControl w:val="0"/>
              <w:autoSpaceDE w:val="0"/>
              <w:autoSpaceDN w:val="0"/>
              <w:adjustRightInd w:val="0"/>
              <w:spacing w:before="120"/>
              <w:jc w:val="center"/>
              <w:rPr>
                <w:rFonts w:cs="Arial"/>
                <w:b/>
                <w:sz w:val="20"/>
                <w:szCs w:val="20"/>
                <w:lang w:val="en-US"/>
              </w:rPr>
            </w:pPr>
            <w:r w:rsidRPr="00935A1F">
              <w:rPr>
                <w:rFonts w:cs="Arial"/>
                <w:b/>
                <w:sz w:val="20"/>
                <w:szCs w:val="20"/>
                <w:lang w:val="en-US"/>
              </w:rPr>
              <w:t>Amount</w:t>
            </w:r>
          </w:p>
        </w:tc>
      </w:tr>
      <w:tr w:rsidR="0036554E" w:rsidRPr="00935A1F" w:rsidTr="004A6CDC">
        <w:trPr>
          <w:jc w:val="center"/>
        </w:trPr>
        <w:tc>
          <w:tcPr>
            <w:tcW w:w="2217" w:type="dxa"/>
            <w:vAlign w:val="center"/>
          </w:tcPr>
          <w:p w:rsidR="0036554E" w:rsidRPr="00935A1F" w:rsidRDefault="0036554E" w:rsidP="00E03B3B">
            <w:pPr>
              <w:keepNext/>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02/05/2007</w:t>
            </w:r>
          </w:p>
        </w:tc>
        <w:tc>
          <w:tcPr>
            <w:tcW w:w="4531" w:type="dxa"/>
            <w:vAlign w:val="center"/>
          </w:tcPr>
          <w:p w:rsidR="0036554E" w:rsidRPr="00935A1F" w:rsidRDefault="0036554E" w:rsidP="00E03B3B">
            <w:pPr>
              <w:keepNext/>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E03B3B">
            <w:pPr>
              <w:keepNext/>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40</w:t>
            </w:r>
            <w:r w:rsidR="00935A1F">
              <w:rPr>
                <w:rFonts w:cs="Arial"/>
                <w:sz w:val="16"/>
                <w:szCs w:val="16"/>
                <w:lang w:val="en-US"/>
              </w:rPr>
              <w:t> </w:t>
            </w:r>
            <w:r w:rsidRPr="00935A1F">
              <w:rPr>
                <w:rFonts w:cs="Arial"/>
                <w:sz w:val="16"/>
                <w:szCs w:val="16"/>
                <w:lang w:val="en-US"/>
              </w:rPr>
              <w:t>000.00</w:t>
            </w:r>
          </w:p>
        </w:tc>
      </w:tr>
      <w:tr w:rsidR="0036554E" w:rsidRPr="00935A1F" w:rsidTr="004A6CDC">
        <w:trPr>
          <w:jc w:val="center"/>
        </w:trPr>
        <w:tc>
          <w:tcPr>
            <w:tcW w:w="2217" w:type="dxa"/>
            <w:vAlign w:val="center"/>
          </w:tcPr>
          <w:p w:rsidR="0036554E" w:rsidRPr="00935A1F" w:rsidRDefault="0036554E" w:rsidP="00E03B3B">
            <w:pPr>
              <w:keepNext/>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12/10/2007</w:t>
            </w:r>
          </w:p>
        </w:tc>
        <w:tc>
          <w:tcPr>
            <w:tcW w:w="4531" w:type="dxa"/>
            <w:vAlign w:val="center"/>
          </w:tcPr>
          <w:p w:rsidR="0036554E" w:rsidRPr="00935A1F" w:rsidRDefault="0036554E" w:rsidP="00E03B3B">
            <w:pPr>
              <w:keepNext/>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E03B3B">
            <w:pPr>
              <w:keepNext/>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50 000.00</w:t>
            </w:r>
          </w:p>
        </w:tc>
      </w:tr>
      <w:tr w:rsidR="0036554E" w:rsidRPr="00935A1F" w:rsidTr="004A6CDC">
        <w:trPr>
          <w:jc w:val="center"/>
        </w:trPr>
        <w:tc>
          <w:tcPr>
            <w:tcW w:w="2217" w:type="dxa"/>
            <w:vAlign w:val="center"/>
          </w:tcPr>
          <w:p w:rsidR="0036554E" w:rsidRPr="00935A1F" w:rsidRDefault="0036554E" w:rsidP="00E03B3B">
            <w:pPr>
              <w:keepNext/>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16/10/2007</w:t>
            </w:r>
          </w:p>
        </w:tc>
        <w:tc>
          <w:tcPr>
            <w:tcW w:w="4531" w:type="dxa"/>
            <w:vAlign w:val="center"/>
          </w:tcPr>
          <w:p w:rsidR="0036554E" w:rsidRPr="00935A1F" w:rsidRDefault="0036554E" w:rsidP="00E03B3B">
            <w:pPr>
              <w:keepNext/>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E03B3B">
            <w:pPr>
              <w:keepNext/>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70 000.00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23/10/2007</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100 000.00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24/10/2007</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100 000.00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05/11/2007</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60</w:t>
            </w:r>
            <w:r w:rsidR="00935A1F">
              <w:rPr>
                <w:rFonts w:cs="Arial"/>
                <w:sz w:val="16"/>
                <w:szCs w:val="16"/>
                <w:lang w:val="en-US"/>
              </w:rPr>
              <w:t xml:space="preserve"> </w:t>
            </w:r>
            <w:r w:rsidRPr="00935A1F">
              <w:rPr>
                <w:rFonts w:cs="Arial"/>
                <w:sz w:val="16"/>
                <w:szCs w:val="16"/>
                <w:lang w:val="en-US"/>
              </w:rPr>
              <w:t>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jc w:val="center"/>
              <w:rPr>
                <w:rFonts w:cs="Arial"/>
                <w:sz w:val="16"/>
                <w:szCs w:val="16"/>
                <w:lang w:val="en-US"/>
              </w:rPr>
            </w:pPr>
            <w:r w:rsidRPr="00935A1F">
              <w:rPr>
                <w:rFonts w:cs="Arial"/>
                <w:sz w:val="16"/>
                <w:szCs w:val="16"/>
                <w:lang w:val="en-US"/>
              </w:rPr>
              <w:t>12/11/2007</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100</w:t>
            </w:r>
            <w:r w:rsidR="00935A1F">
              <w:rPr>
                <w:rFonts w:cs="Arial"/>
                <w:sz w:val="16"/>
                <w:szCs w:val="16"/>
                <w:lang w:val="en-US"/>
              </w:rPr>
              <w:t> </w:t>
            </w:r>
            <w:r w:rsidRPr="00935A1F">
              <w:rPr>
                <w:rFonts w:cs="Arial"/>
                <w:sz w:val="16"/>
                <w:szCs w:val="16"/>
                <w:lang w:val="en-US"/>
              </w:rPr>
              <w:t>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20/11/2007</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30</w:t>
            </w:r>
            <w:r w:rsidR="00935A1F">
              <w:rPr>
                <w:rFonts w:cs="Arial"/>
                <w:sz w:val="16"/>
                <w:szCs w:val="16"/>
                <w:lang w:val="en-US"/>
              </w:rPr>
              <w:t> </w:t>
            </w:r>
            <w:r w:rsidRPr="00935A1F">
              <w:rPr>
                <w:rFonts w:cs="Arial"/>
                <w:sz w:val="16"/>
                <w:szCs w:val="16"/>
                <w:lang w:val="en-US"/>
              </w:rPr>
              <w:t>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30/11/2007</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50</w:t>
            </w:r>
            <w:r w:rsidR="00935A1F">
              <w:rPr>
                <w:rFonts w:cs="Arial"/>
                <w:sz w:val="16"/>
                <w:szCs w:val="16"/>
                <w:lang w:val="en-US"/>
              </w:rPr>
              <w:t> </w:t>
            </w:r>
            <w:r w:rsidRPr="00935A1F">
              <w:rPr>
                <w:rFonts w:cs="Arial"/>
                <w:sz w:val="16"/>
                <w:szCs w:val="16"/>
                <w:lang w:val="en-US"/>
              </w:rPr>
              <w:t>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05/12/2007</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50</w:t>
            </w:r>
            <w:r w:rsidR="00935A1F">
              <w:rPr>
                <w:rFonts w:cs="Arial"/>
                <w:sz w:val="16"/>
                <w:szCs w:val="16"/>
                <w:lang w:val="en-US"/>
              </w:rPr>
              <w:t> </w:t>
            </w:r>
            <w:r w:rsidRPr="00935A1F">
              <w:rPr>
                <w:rFonts w:cs="Arial"/>
                <w:sz w:val="16"/>
                <w:szCs w:val="16"/>
                <w:lang w:val="en-US"/>
              </w:rPr>
              <w:t>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jc w:val="center"/>
              <w:rPr>
                <w:rFonts w:cs="Arial"/>
                <w:sz w:val="16"/>
                <w:szCs w:val="16"/>
                <w:lang w:val="en-US"/>
              </w:rPr>
            </w:pPr>
            <w:r w:rsidRPr="00935A1F">
              <w:rPr>
                <w:rFonts w:cs="Arial"/>
                <w:sz w:val="16"/>
                <w:szCs w:val="16"/>
                <w:lang w:val="en-US"/>
              </w:rPr>
              <w:t>19/12/20</w:t>
            </w:r>
            <w:r w:rsidR="005075C6" w:rsidRPr="00935A1F">
              <w:rPr>
                <w:rFonts w:cs="Arial"/>
                <w:sz w:val="16"/>
                <w:szCs w:val="16"/>
                <w:lang w:val="en-US"/>
              </w:rPr>
              <w:t>07</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ACB Credit</w:t>
            </w:r>
          </w:p>
        </w:tc>
        <w:tc>
          <w:tcPr>
            <w:tcW w:w="1887" w:type="dxa"/>
            <w:vAlign w:val="center"/>
          </w:tcPr>
          <w:p w:rsidR="0036554E" w:rsidRPr="00935A1F" w:rsidRDefault="00935A1F" w:rsidP="003320FA">
            <w:pPr>
              <w:widowControl w:val="0"/>
              <w:tabs>
                <w:tab w:val="decimal" w:pos="1512"/>
              </w:tabs>
              <w:autoSpaceDE w:val="0"/>
              <w:autoSpaceDN w:val="0"/>
              <w:adjustRightInd w:val="0"/>
              <w:spacing w:before="120"/>
              <w:ind w:right="266"/>
              <w:rPr>
                <w:rFonts w:cs="Arial"/>
                <w:sz w:val="16"/>
                <w:szCs w:val="16"/>
                <w:lang w:val="en-US"/>
              </w:rPr>
            </w:pPr>
            <w:r>
              <w:rPr>
                <w:rFonts w:cs="Arial"/>
                <w:sz w:val="16"/>
                <w:szCs w:val="16"/>
                <w:lang w:val="en-US"/>
              </w:rPr>
              <w:t>15</w:t>
            </w:r>
            <w:r w:rsidR="0036554E" w:rsidRPr="00935A1F">
              <w:rPr>
                <w:rFonts w:cs="Arial"/>
                <w:sz w:val="16"/>
                <w:szCs w:val="16"/>
                <w:lang w:val="en-US"/>
              </w:rPr>
              <w:t>3</w:t>
            </w:r>
            <w:r>
              <w:rPr>
                <w:rFonts w:cs="Arial"/>
                <w:sz w:val="16"/>
                <w:szCs w:val="16"/>
                <w:lang w:val="en-US"/>
              </w:rPr>
              <w:t> </w:t>
            </w:r>
            <w:r w:rsidR="0036554E" w:rsidRPr="00935A1F">
              <w:rPr>
                <w:rFonts w:cs="Arial"/>
                <w:sz w:val="16"/>
                <w:szCs w:val="16"/>
                <w:lang w:val="en-US"/>
              </w:rPr>
              <w:t>800.00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09/01/2008</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40</w:t>
            </w:r>
            <w:r w:rsidR="00935A1F">
              <w:rPr>
                <w:rFonts w:cs="Arial"/>
                <w:sz w:val="16"/>
                <w:szCs w:val="16"/>
                <w:lang w:val="en-US"/>
              </w:rPr>
              <w:t> </w:t>
            </w:r>
            <w:r w:rsidRPr="00935A1F">
              <w:rPr>
                <w:rFonts w:cs="Arial"/>
                <w:sz w:val="16"/>
                <w:szCs w:val="16"/>
                <w:lang w:val="en-US"/>
              </w:rPr>
              <w:t>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25/01/2008</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46 450.00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11/02/2008</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Cash Deposit</w:t>
            </w:r>
          </w:p>
        </w:tc>
        <w:tc>
          <w:tcPr>
            <w:tcW w:w="1887" w:type="dxa"/>
            <w:vAlign w:val="center"/>
          </w:tcPr>
          <w:p w:rsidR="0036554E" w:rsidRPr="00935A1F" w:rsidRDefault="0036554E" w:rsidP="003320FA">
            <w:pPr>
              <w:widowControl w:val="0"/>
              <w:tabs>
                <w:tab w:val="decimal" w:pos="1512"/>
              </w:tabs>
              <w:autoSpaceDE w:val="0"/>
              <w:autoSpaceDN w:val="0"/>
              <w:adjustRightInd w:val="0"/>
              <w:spacing w:before="120"/>
              <w:ind w:right="266"/>
              <w:rPr>
                <w:rFonts w:cs="Arial"/>
                <w:sz w:val="16"/>
                <w:szCs w:val="16"/>
                <w:lang w:val="en-US"/>
              </w:rPr>
            </w:pPr>
            <w:r w:rsidRPr="00935A1F">
              <w:rPr>
                <w:rFonts w:cs="Arial"/>
                <w:sz w:val="16"/>
                <w:szCs w:val="16"/>
                <w:lang w:val="en-US"/>
              </w:rPr>
              <w:t>90</w:t>
            </w:r>
            <w:r w:rsidR="00935A1F">
              <w:rPr>
                <w:rFonts w:cs="Arial"/>
                <w:sz w:val="16"/>
                <w:szCs w:val="16"/>
                <w:lang w:val="en-US"/>
              </w:rPr>
              <w:t> </w:t>
            </w:r>
            <w:r w:rsidRPr="00935A1F">
              <w:rPr>
                <w:rFonts w:cs="Arial"/>
                <w:sz w:val="16"/>
                <w:szCs w:val="16"/>
                <w:lang w:val="en-US"/>
              </w:rPr>
              <w:t>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ind w:left="14"/>
              <w:jc w:val="center"/>
              <w:rPr>
                <w:rFonts w:cs="Arial"/>
                <w:sz w:val="16"/>
                <w:szCs w:val="16"/>
                <w:lang w:val="en-US"/>
              </w:rPr>
            </w:pPr>
            <w:r w:rsidRPr="00935A1F">
              <w:rPr>
                <w:rFonts w:cs="Arial"/>
                <w:sz w:val="16"/>
                <w:szCs w:val="16"/>
                <w:lang w:val="en-US"/>
              </w:rPr>
              <w:t>20/02/2008</w:t>
            </w:r>
          </w:p>
        </w:tc>
        <w:tc>
          <w:tcPr>
            <w:tcW w:w="4531" w:type="dxa"/>
            <w:vAlign w:val="center"/>
          </w:tcPr>
          <w:p w:rsidR="0036554E" w:rsidRPr="00935A1F" w:rsidRDefault="0036554E" w:rsidP="003320FA">
            <w:pPr>
              <w:widowControl w:val="0"/>
              <w:autoSpaceDE w:val="0"/>
              <w:autoSpaceDN w:val="0"/>
              <w:adjustRightInd w:val="0"/>
              <w:spacing w:before="120"/>
              <w:ind w:left="53"/>
              <w:rPr>
                <w:rFonts w:cs="Arial"/>
                <w:sz w:val="16"/>
                <w:szCs w:val="16"/>
                <w:lang w:val="en-US"/>
              </w:rPr>
            </w:pPr>
            <w:r w:rsidRPr="00935A1F">
              <w:rPr>
                <w:rFonts w:cs="Arial"/>
                <w:sz w:val="16"/>
                <w:szCs w:val="16"/>
                <w:lang w:val="en-US"/>
              </w:rPr>
              <w:t>ACB Credit</w:t>
            </w:r>
          </w:p>
        </w:tc>
        <w:tc>
          <w:tcPr>
            <w:tcW w:w="1887" w:type="dxa"/>
            <w:vAlign w:val="center"/>
          </w:tcPr>
          <w:p w:rsidR="0036554E" w:rsidRPr="00935A1F" w:rsidRDefault="00935A1F" w:rsidP="003320FA">
            <w:pPr>
              <w:widowControl w:val="0"/>
              <w:tabs>
                <w:tab w:val="decimal" w:pos="1512"/>
              </w:tabs>
              <w:autoSpaceDE w:val="0"/>
              <w:autoSpaceDN w:val="0"/>
              <w:adjustRightInd w:val="0"/>
              <w:spacing w:before="120"/>
              <w:ind w:right="266"/>
              <w:rPr>
                <w:rFonts w:cs="Arial"/>
                <w:sz w:val="16"/>
                <w:szCs w:val="16"/>
                <w:lang w:val="en-US"/>
              </w:rPr>
            </w:pPr>
            <w:r>
              <w:rPr>
                <w:rFonts w:cs="Arial"/>
                <w:sz w:val="16"/>
                <w:szCs w:val="16"/>
                <w:lang w:val="en-US"/>
              </w:rPr>
              <w:t>15</w:t>
            </w:r>
            <w:r w:rsidR="0036554E" w:rsidRPr="00935A1F">
              <w:rPr>
                <w:rFonts w:cs="Arial"/>
                <w:sz w:val="16"/>
                <w:szCs w:val="16"/>
                <w:lang w:val="en-US"/>
              </w:rPr>
              <w:t>0</w:t>
            </w:r>
            <w:r>
              <w:rPr>
                <w:rFonts w:cs="Arial"/>
                <w:sz w:val="16"/>
                <w:szCs w:val="16"/>
                <w:lang w:val="en-US"/>
              </w:rPr>
              <w:t> </w:t>
            </w:r>
            <w:r w:rsidR="0036554E" w:rsidRPr="00935A1F">
              <w:rPr>
                <w:rFonts w:cs="Arial"/>
                <w:sz w:val="16"/>
                <w:szCs w:val="16"/>
                <w:lang w:val="en-US"/>
              </w:rPr>
              <w:t>000.00</w:t>
            </w:r>
          </w:p>
        </w:tc>
      </w:tr>
      <w:tr w:rsidR="0036554E" w:rsidRPr="00935A1F" w:rsidTr="004A6CDC">
        <w:trPr>
          <w:jc w:val="center"/>
        </w:trPr>
        <w:tc>
          <w:tcPr>
            <w:tcW w:w="2217" w:type="dxa"/>
            <w:vAlign w:val="center"/>
          </w:tcPr>
          <w:p w:rsidR="0036554E" w:rsidRPr="00935A1F" w:rsidRDefault="0036554E" w:rsidP="003320FA">
            <w:pPr>
              <w:widowControl w:val="0"/>
              <w:autoSpaceDE w:val="0"/>
              <w:autoSpaceDN w:val="0"/>
              <w:adjustRightInd w:val="0"/>
              <w:spacing w:before="120"/>
              <w:rPr>
                <w:rFonts w:cs="Arial"/>
                <w:sz w:val="16"/>
                <w:szCs w:val="16"/>
                <w:lang w:val="en-US"/>
              </w:rPr>
            </w:pPr>
          </w:p>
        </w:tc>
        <w:tc>
          <w:tcPr>
            <w:tcW w:w="4531" w:type="dxa"/>
            <w:vAlign w:val="center"/>
          </w:tcPr>
          <w:p w:rsidR="0036554E" w:rsidRPr="00935A1F" w:rsidRDefault="0036554E" w:rsidP="003320FA">
            <w:pPr>
              <w:widowControl w:val="0"/>
              <w:autoSpaceDE w:val="0"/>
              <w:autoSpaceDN w:val="0"/>
              <w:adjustRightInd w:val="0"/>
              <w:spacing w:before="120"/>
              <w:rPr>
                <w:rFonts w:cs="Arial"/>
                <w:sz w:val="16"/>
                <w:szCs w:val="16"/>
                <w:lang w:val="en-US"/>
              </w:rPr>
            </w:pPr>
          </w:p>
        </w:tc>
        <w:tc>
          <w:tcPr>
            <w:tcW w:w="1887" w:type="dxa"/>
            <w:vAlign w:val="center"/>
          </w:tcPr>
          <w:p w:rsidR="0036554E" w:rsidRPr="00935A1F" w:rsidRDefault="0036554E" w:rsidP="003320FA">
            <w:pPr>
              <w:widowControl w:val="0"/>
              <w:autoSpaceDE w:val="0"/>
              <w:autoSpaceDN w:val="0"/>
              <w:adjustRightInd w:val="0"/>
              <w:spacing w:before="120"/>
              <w:rPr>
                <w:rFonts w:cs="Arial"/>
                <w:sz w:val="16"/>
                <w:szCs w:val="16"/>
                <w:lang w:val="en-US"/>
              </w:rPr>
            </w:pPr>
          </w:p>
        </w:tc>
      </w:tr>
      <w:tr w:rsidR="00935A1F" w:rsidRPr="00935A1F" w:rsidTr="004A6CDC">
        <w:trPr>
          <w:jc w:val="center"/>
        </w:trPr>
        <w:tc>
          <w:tcPr>
            <w:tcW w:w="6748" w:type="dxa"/>
            <w:gridSpan w:val="2"/>
            <w:vAlign w:val="center"/>
          </w:tcPr>
          <w:p w:rsidR="00935A1F" w:rsidRPr="00935A1F" w:rsidRDefault="00935A1F" w:rsidP="003320FA">
            <w:pPr>
              <w:widowControl w:val="0"/>
              <w:autoSpaceDE w:val="0"/>
              <w:autoSpaceDN w:val="0"/>
              <w:adjustRightInd w:val="0"/>
              <w:spacing w:before="120"/>
              <w:jc w:val="center"/>
              <w:rPr>
                <w:rFonts w:cs="Arial"/>
                <w:b/>
                <w:sz w:val="16"/>
                <w:szCs w:val="16"/>
                <w:lang w:val="en-US"/>
              </w:rPr>
            </w:pPr>
            <w:r w:rsidRPr="00935A1F">
              <w:rPr>
                <w:rFonts w:cs="Arial"/>
                <w:b/>
                <w:sz w:val="16"/>
                <w:szCs w:val="16"/>
                <w:lang w:val="en-US"/>
              </w:rPr>
              <w:t>TOTAL</w:t>
            </w:r>
          </w:p>
        </w:tc>
        <w:tc>
          <w:tcPr>
            <w:tcW w:w="1887" w:type="dxa"/>
            <w:vAlign w:val="center"/>
          </w:tcPr>
          <w:p w:rsidR="00935A1F" w:rsidRPr="00D63A02" w:rsidRDefault="00D63A02" w:rsidP="00D63A02">
            <w:pPr>
              <w:widowControl w:val="0"/>
              <w:autoSpaceDE w:val="0"/>
              <w:autoSpaceDN w:val="0"/>
              <w:adjustRightInd w:val="0"/>
              <w:spacing w:before="120"/>
              <w:ind w:left="753" w:right="266" w:hanging="142"/>
              <w:rPr>
                <w:rFonts w:cs="Arial"/>
                <w:b/>
                <w:sz w:val="16"/>
                <w:szCs w:val="16"/>
                <w:lang w:val="en-US"/>
              </w:rPr>
            </w:pPr>
            <w:r w:rsidRPr="00417C26">
              <w:rPr>
                <w:rFonts w:cs="Arial"/>
                <w:b/>
                <w:sz w:val="16"/>
                <w:szCs w:val="16"/>
                <w:lang w:val="en-US"/>
              </w:rPr>
              <w:t>1</w:t>
            </w:r>
            <w:r w:rsidRPr="00417C26">
              <w:rPr>
                <w:rFonts w:cs="Arial"/>
                <w:b/>
                <w:sz w:val="16"/>
                <w:szCs w:val="16"/>
                <w:lang w:val="en-US"/>
              </w:rPr>
              <w:tab/>
            </w:r>
            <w:r w:rsidR="00935A1F" w:rsidRPr="00D63A02">
              <w:rPr>
                <w:rFonts w:cs="Arial"/>
                <w:b/>
                <w:sz w:val="16"/>
                <w:szCs w:val="16"/>
                <w:lang w:val="en-US"/>
              </w:rPr>
              <w:t>130 250.00</w:t>
            </w:r>
          </w:p>
        </w:tc>
      </w:tr>
    </w:tbl>
    <w:p w:rsidR="00417C26" w:rsidRPr="00417C26" w:rsidRDefault="00D63A02" w:rsidP="00D63A02">
      <w:pPr>
        <w:pStyle w:val="LegalList1"/>
        <w:spacing w:before="240" w:after="120" w:line="360" w:lineRule="auto"/>
        <w:rPr>
          <w:lang w:val="en-ZA"/>
        </w:rPr>
      </w:pPr>
      <w:r w:rsidRPr="00417C26">
        <w:rPr>
          <w:lang w:val="en-ZA"/>
        </w:rPr>
        <w:t>[7].</w:t>
      </w:r>
      <w:r w:rsidRPr="00417C26">
        <w:rPr>
          <w:lang w:val="en-ZA"/>
        </w:rPr>
        <w:tab/>
      </w:r>
      <w:r w:rsidR="00417C26">
        <w:rPr>
          <w:lang w:val="en-ZA"/>
        </w:rPr>
        <w:t xml:space="preserve">It bears emphasising that for each total received into a bank account for any particular </w:t>
      </w:r>
      <w:r w:rsidR="005B2F4F">
        <w:rPr>
          <w:lang w:val="en-ZA"/>
        </w:rPr>
        <w:t>year (as per the table in para 2</w:t>
      </w:r>
      <w:r w:rsidR="00417C26">
        <w:rPr>
          <w:lang w:val="en-ZA"/>
        </w:rPr>
        <w:t xml:space="preserve"> </w:t>
      </w:r>
      <w:r w:rsidR="00417C26" w:rsidRPr="00417C26">
        <w:rPr>
          <w:i/>
          <w:lang w:val="en-ZA"/>
        </w:rPr>
        <w:t>supra</w:t>
      </w:r>
      <w:r w:rsidR="00417C26">
        <w:rPr>
          <w:lang w:val="en-ZA"/>
        </w:rPr>
        <w:t xml:space="preserve">), there is a list similar to the one in the paragraph immediately above. Individual amounts, which constitute the total, are </w:t>
      </w:r>
      <w:r w:rsidR="00873391">
        <w:rPr>
          <w:lang w:val="en-ZA"/>
        </w:rPr>
        <w:t>tabularised in schedules. And, in</w:t>
      </w:r>
      <w:r w:rsidR="004079E4">
        <w:t xml:space="preserve"> sum, </w:t>
      </w:r>
      <w:r w:rsidR="00595CC2">
        <w:t>it is common cause that for the 2007, 2008, 2009 and 2010 tax years of assessment, the total amount of R8 937 750.82 was received by the taxpayer from FX Africa and into his personal bank accounts held at Investec and Nedbank.</w:t>
      </w:r>
    </w:p>
    <w:p w:rsidR="00381C71" w:rsidRPr="00417C26" w:rsidRDefault="00D63A02" w:rsidP="00D63A02">
      <w:pPr>
        <w:pStyle w:val="LegalList1"/>
        <w:spacing w:after="120" w:line="360" w:lineRule="auto"/>
        <w:rPr>
          <w:lang w:val="en-ZA"/>
        </w:rPr>
      </w:pPr>
      <w:r w:rsidRPr="00417C26">
        <w:rPr>
          <w:lang w:val="en-ZA"/>
        </w:rPr>
        <w:t>[8].</w:t>
      </w:r>
      <w:r w:rsidRPr="00417C26">
        <w:rPr>
          <w:lang w:val="en-ZA"/>
        </w:rPr>
        <w:tab/>
      </w:r>
      <w:r w:rsidR="00417C26">
        <w:t xml:space="preserve">What is not common cause </w:t>
      </w:r>
      <w:r w:rsidR="006B186D">
        <w:t>are the</w:t>
      </w:r>
      <w:r w:rsidR="00417C26">
        <w:t xml:space="preserve"> </w:t>
      </w:r>
      <w:r w:rsidR="00873391">
        <w:t xml:space="preserve">details relating to </w:t>
      </w:r>
      <w:r w:rsidR="00417C26">
        <w:t xml:space="preserve">the nature of these receipts. In other words, whether these amounts were income in the hands of the taxpayer (as alleged by SARS) or whether they were repayment of loans which the taxpayer had advanced to related third party entities, which is the case of the taxpayer. </w:t>
      </w:r>
      <w:r w:rsidR="003575C6">
        <w:t xml:space="preserve">The taxpayer </w:t>
      </w:r>
      <w:r w:rsidR="00417C26">
        <w:t xml:space="preserve">therefore </w:t>
      </w:r>
      <w:r w:rsidR="003575C6">
        <w:t xml:space="preserve">disputes </w:t>
      </w:r>
      <w:r w:rsidR="00C54A70">
        <w:t>the findings of SARS as per its finalisation of audit letter</w:t>
      </w:r>
      <w:r w:rsidR="003575C6">
        <w:t xml:space="preserve"> and contends that these </w:t>
      </w:r>
      <w:r w:rsidR="0037324F">
        <w:t>receipts or accruals represent</w:t>
      </w:r>
      <w:r w:rsidR="003575C6">
        <w:t xml:space="preserve"> repayments to him of loans which he had advanced to related third party entities.</w:t>
      </w:r>
      <w:r w:rsidR="00381C71" w:rsidRPr="00381C71">
        <w:t xml:space="preserve">  </w:t>
      </w:r>
    </w:p>
    <w:p w:rsidR="00975131" w:rsidRPr="00975131" w:rsidRDefault="00D63A02" w:rsidP="00D63A02">
      <w:pPr>
        <w:pStyle w:val="LegalList1"/>
        <w:spacing w:after="120" w:line="360" w:lineRule="auto"/>
        <w:rPr>
          <w:lang w:val="en-ZA"/>
        </w:rPr>
      </w:pPr>
      <w:r w:rsidRPr="00975131">
        <w:rPr>
          <w:lang w:val="en-ZA"/>
        </w:rPr>
        <w:t>[9].</w:t>
      </w:r>
      <w:r w:rsidRPr="00975131">
        <w:rPr>
          <w:lang w:val="en-ZA"/>
        </w:rPr>
        <w:tab/>
      </w:r>
      <w:r w:rsidR="00975131">
        <w:t>On 1 June 2015, t</w:t>
      </w:r>
      <w:r w:rsidR="003575C6">
        <w:t xml:space="preserve">he taxpayer </w:t>
      </w:r>
      <w:r w:rsidR="00975131">
        <w:t>lodged an objection</w:t>
      </w:r>
      <w:r w:rsidR="003575C6">
        <w:t xml:space="preserve"> to these additional assessments, which </w:t>
      </w:r>
      <w:r w:rsidR="00975131">
        <w:t xml:space="preserve">objection </w:t>
      </w:r>
      <w:r w:rsidR="003575C6">
        <w:t>was</w:t>
      </w:r>
      <w:r w:rsidR="00975131">
        <w:t xml:space="preserve"> disallowed by SARS as per their letter dated </w:t>
      </w:r>
      <w:r w:rsidR="00975131">
        <w:lastRenderedPageBreak/>
        <w:t xml:space="preserve">4 September 2015, in which SARS reiterated its stance that the additional </w:t>
      </w:r>
      <w:r w:rsidR="00C54A70">
        <w:t xml:space="preserve">approximately </w:t>
      </w:r>
      <w:r w:rsidR="00975131">
        <w:t>R5.7 million represents gross income in the hands of the taxpayer, which ought to have been declar</w:t>
      </w:r>
      <w:r w:rsidR="005B2F4F">
        <w:t>ed by him. On 11 September 2015</w:t>
      </w:r>
      <w:r w:rsidR="00975131">
        <w:t xml:space="preserve">, the taxpayer filed a notice of </w:t>
      </w:r>
      <w:r w:rsidR="00E1460F">
        <w:t>appeal</w:t>
      </w:r>
      <w:r w:rsidR="002A6268">
        <w:t xml:space="preserve"> </w:t>
      </w:r>
      <w:r w:rsidR="00975131">
        <w:t xml:space="preserve">in the court </w:t>
      </w:r>
      <w:r w:rsidR="00975131" w:rsidRPr="00E8506D">
        <w:rPr>
          <w:i/>
        </w:rPr>
        <w:t>a quo</w:t>
      </w:r>
      <w:r w:rsidR="00975131">
        <w:t xml:space="preserve"> (‘th</w:t>
      </w:r>
      <w:r w:rsidR="005B2F4F">
        <w:t>e Tax C</w:t>
      </w:r>
      <w:r w:rsidR="00975131">
        <w:t xml:space="preserve">ourt’) </w:t>
      </w:r>
      <w:r w:rsidR="00D7070B" w:rsidRPr="00975131">
        <w:rPr>
          <w:lang w:val="en-ZA"/>
        </w:rPr>
        <w:t>in terms of section 107 of the Tax Administratio</w:t>
      </w:r>
      <w:r w:rsidR="007F6EDD" w:rsidRPr="00975131">
        <w:rPr>
          <w:lang w:val="en-ZA"/>
        </w:rPr>
        <w:t>n Act (‘the TAA’)</w:t>
      </w:r>
      <w:r w:rsidR="007F6EDD">
        <w:rPr>
          <w:rStyle w:val="FootnoteReference"/>
          <w:lang w:val="en-ZA"/>
        </w:rPr>
        <w:footnoteReference w:id="1"/>
      </w:r>
      <w:r w:rsidR="000361F0" w:rsidRPr="00975131">
        <w:rPr>
          <w:lang w:val="en-ZA"/>
        </w:rPr>
        <w:t>,</w:t>
      </w:r>
      <w:r w:rsidR="00D7070B" w:rsidRPr="00975131">
        <w:rPr>
          <w:lang w:val="en-ZA"/>
        </w:rPr>
        <w:t xml:space="preserve"> </w:t>
      </w:r>
      <w:r w:rsidR="002A6268">
        <w:t xml:space="preserve">against the </w:t>
      </w:r>
      <w:r w:rsidR="00975131">
        <w:t xml:space="preserve">aforegoing </w:t>
      </w:r>
      <w:r w:rsidR="00E10D75">
        <w:t xml:space="preserve">additional </w:t>
      </w:r>
      <w:r w:rsidR="002A6268">
        <w:t>assessment</w:t>
      </w:r>
      <w:r w:rsidR="00975131">
        <w:t>s</w:t>
      </w:r>
      <w:r w:rsidR="007D3AC7">
        <w:t xml:space="preserve"> and against SARS’s disallowance of his objection to same. On 16</w:t>
      </w:r>
      <w:r w:rsidR="005B2F4F">
        <w:t> </w:t>
      </w:r>
      <w:r w:rsidR="007D3AC7">
        <w:t xml:space="preserve">July 2021, the tax court (per Crutchfield AJ, sitting with an Accounting member and a Commercial Member) upheld the taxpayer’s appeal with costs and set aside the additional assessments, thus accepting the taxpayer’s explanation that the amount of about R5.7 million received by him represented in the aggregate the total amounts of the loan repayments to him from third party entities.  </w:t>
      </w:r>
    </w:p>
    <w:p w:rsidR="00DD1CD8" w:rsidRDefault="00D63A02" w:rsidP="00D63A02">
      <w:pPr>
        <w:pStyle w:val="LegalList1"/>
        <w:spacing w:after="120" w:line="360" w:lineRule="auto"/>
        <w:rPr>
          <w:lang w:val="en-ZA"/>
        </w:rPr>
      </w:pPr>
      <w:r>
        <w:rPr>
          <w:lang w:val="en-ZA"/>
        </w:rPr>
        <w:t>[10].</w:t>
      </w:r>
      <w:r>
        <w:rPr>
          <w:lang w:val="en-ZA"/>
        </w:rPr>
        <w:tab/>
      </w:r>
      <w:r w:rsidR="0068137D">
        <w:rPr>
          <w:lang w:val="en-ZA"/>
        </w:rPr>
        <w:t xml:space="preserve">It is </w:t>
      </w:r>
      <w:r w:rsidR="0037324F">
        <w:rPr>
          <w:lang w:val="en-ZA"/>
        </w:rPr>
        <w:t>that judgment and order of the Tax C</w:t>
      </w:r>
      <w:r w:rsidR="0068137D">
        <w:rPr>
          <w:lang w:val="en-ZA"/>
        </w:rPr>
        <w:t>ourt which SARS appeals against to this court. In issue in the appeal is whether the above receipts by the taxpayer were income or the repayment of loans he had advanced to the payees of those amounts. This is a factual issue. The real question to be considered is whether the taxpayer has proven that the said amounts</w:t>
      </w:r>
      <w:r w:rsidR="00C54A70">
        <w:rPr>
          <w:lang w:val="en-ZA"/>
        </w:rPr>
        <w:t xml:space="preserve"> are not income. The contention</w:t>
      </w:r>
      <w:r w:rsidR="0068137D">
        <w:rPr>
          <w:lang w:val="en-ZA"/>
        </w:rPr>
        <w:t xml:space="preserve"> by SARS in this appeal, as </w:t>
      </w:r>
      <w:r w:rsidR="00C54A70">
        <w:rPr>
          <w:lang w:val="en-ZA"/>
        </w:rPr>
        <w:t>it</w:t>
      </w:r>
      <w:r w:rsidR="0068137D">
        <w:rPr>
          <w:lang w:val="en-ZA"/>
        </w:rPr>
        <w:t xml:space="preserve"> </w:t>
      </w:r>
      <w:r w:rsidR="00C54A70">
        <w:rPr>
          <w:lang w:val="en-ZA"/>
        </w:rPr>
        <w:t>was</w:t>
      </w:r>
      <w:r w:rsidR="0068137D">
        <w:rPr>
          <w:lang w:val="en-ZA"/>
        </w:rPr>
        <w:t xml:space="preserve"> in the Tax Court, </w:t>
      </w:r>
      <w:r w:rsidR="00C54A70">
        <w:rPr>
          <w:lang w:val="en-ZA"/>
        </w:rPr>
        <w:t>is</w:t>
      </w:r>
      <w:r w:rsidR="0068137D">
        <w:rPr>
          <w:lang w:val="en-ZA"/>
        </w:rPr>
        <w:t xml:space="preserve"> that</w:t>
      </w:r>
      <w:r w:rsidR="00C54A70">
        <w:rPr>
          <w:lang w:val="en-ZA"/>
        </w:rPr>
        <w:t xml:space="preserve"> the</w:t>
      </w:r>
      <w:r w:rsidR="0068137D">
        <w:rPr>
          <w:lang w:val="en-ZA"/>
        </w:rPr>
        <w:t xml:space="preserve"> </w:t>
      </w:r>
      <w:r w:rsidR="009C63B4" w:rsidRPr="0068137D">
        <w:rPr>
          <w:lang w:val="en-ZA"/>
        </w:rPr>
        <w:t>taxpayer</w:t>
      </w:r>
      <w:r w:rsidR="0068137D">
        <w:rPr>
          <w:lang w:val="en-ZA"/>
        </w:rPr>
        <w:t xml:space="preserve"> </w:t>
      </w:r>
      <w:r w:rsidR="009C63B4" w:rsidRPr="0068137D">
        <w:rPr>
          <w:lang w:val="en-ZA"/>
        </w:rPr>
        <w:t xml:space="preserve">failed to adduce evidence </w:t>
      </w:r>
      <w:r w:rsidR="00C54A70">
        <w:rPr>
          <w:lang w:val="en-ZA"/>
        </w:rPr>
        <w:t>in support of his contention that</w:t>
      </w:r>
      <w:r w:rsidR="009C63B4" w:rsidRPr="0068137D">
        <w:rPr>
          <w:lang w:val="en-ZA"/>
        </w:rPr>
        <w:t xml:space="preserve"> the specific amounts included in his gross income by SARS, should not be taxed in his hands</w:t>
      </w:r>
      <w:r w:rsidR="00DD1CD8">
        <w:rPr>
          <w:lang w:val="en-ZA"/>
        </w:rPr>
        <w:t>. Furthermore, so it is submitted by SARS, the c</w:t>
      </w:r>
      <w:r w:rsidR="009C63B4" w:rsidRPr="00DD1CD8">
        <w:rPr>
          <w:lang w:val="en-ZA"/>
        </w:rPr>
        <w:t xml:space="preserve">ourt </w:t>
      </w:r>
      <w:r w:rsidR="009C63B4" w:rsidRPr="00DD1CD8">
        <w:rPr>
          <w:i/>
          <w:lang w:val="en-ZA"/>
        </w:rPr>
        <w:t>a quo</w:t>
      </w:r>
      <w:r w:rsidR="009C63B4" w:rsidRPr="00DD1CD8">
        <w:rPr>
          <w:lang w:val="en-ZA"/>
        </w:rPr>
        <w:t xml:space="preserve"> erred in finding that the taxpayer proved that Sanderling Invest</w:t>
      </w:r>
      <w:r w:rsidR="00DD1CD8">
        <w:rPr>
          <w:lang w:val="en-ZA"/>
        </w:rPr>
        <w:t>ment Incorporated (‘Sanderling</w:t>
      </w:r>
      <w:r w:rsidR="0037324F">
        <w:rPr>
          <w:lang w:val="en-ZA"/>
        </w:rPr>
        <w:t>’</w:t>
      </w:r>
      <w:r w:rsidR="009C63B4" w:rsidRPr="00DD1CD8">
        <w:rPr>
          <w:lang w:val="en-ZA"/>
        </w:rPr>
        <w:t>) ceded its loan accounts against FX Africa to the taxpayer in term</w:t>
      </w:r>
      <w:r w:rsidR="00DD1CD8">
        <w:rPr>
          <w:lang w:val="en-ZA"/>
        </w:rPr>
        <w:t>s of an oral cession agreement. Moreover, so SARS argues, the c</w:t>
      </w:r>
      <w:r w:rsidR="009C63B4" w:rsidRPr="00DD1CD8">
        <w:rPr>
          <w:lang w:val="en-ZA"/>
        </w:rPr>
        <w:t xml:space="preserve">ourt </w:t>
      </w:r>
      <w:r w:rsidR="009C63B4" w:rsidRPr="00DD1CD8">
        <w:rPr>
          <w:i/>
          <w:lang w:val="en-ZA"/>
        </w:rPr>
        <w:t>a quo</w:t>
      </w:r>
      <w:r w:rsidR="00DD1CD8">
        <w:rPr>
          <w:lang w:val="en-ZA"/>
        </w:rPr>
        <w:t xml:space="preserve"> erred in finding that the ‘</w:t>
      </w:r>
      <w:r w:rsidR="009C63B4" w:rsidRPr="00DD1CD8">
        <w:rPr>
          <w:lang w:val="en-ZA"/>
        </w:rPr>
        <w:t xml:space="preserve">substance </w:t>
      </w:r>
      <w:r w:rsidR="00DD1CD8">
        <w:rPr>
          <w:lang w:val="en-ZA"/>
        </w:rPr>
        <w:t>over form’</w:t>
      </w:r>
      <w:r w:rsidR="009C63B4" w:rsidRPr="00DD1CD8">
        <w:rPr>
          <w:lang w:val="en-ZA"/>
        </w:rPr>
        <w:t xml:space="preserve"> </w:t>
      </w:r>
      <w:r w:rsidR="00DD1CD8">
        <w:rPr>
          <w:lang w:val="en-ZA"/>
        </w:rPr>
        <w:t>approach should find application</w:t>
      </w:r>
      <w:r w:rsidR="009C63B4" w:rsidRPr="00DD1CD8">
        <w:rPr>
          <w:lang w:val="en-ZA"/>
        </w:rPr>
        <w:t xml:space="preserve"> and that the economic substance of the loan ag</w:t>
      </w:r>
      <w:r w:rsidR="00DD1CD8">
        <w:rPr>
          <w:lang w:val="en-ZA"/>
        </w:rPr>
        <w:t>reements between Sanderling Inc</w:t>
      </w:r>
      <w:r w:rsidR="009C63B4" w:rsidRPr="00DD1CD8">
        <w:rPr>
          <w:lang w:val="en-ZA"/>
        </w:rPr>
        <w:t xml:space="preserve">, </w:t>
      </w:r>
      <w:r w:rsidR="00DD1CD8">
        <w:rPr>
          <w:lang w:val="en-ZA"/>
        </w:rPr>
        <w:t>a</w:t>
      </w:r>
      <w:r w:rsidR="009C63B4" w:rsidRPr="00DD1CD8">
        <w:rPr>
          <w:lang w:val="en-ZA"/>
        </w:rPr>
        <w:t xml:space="preserve"> Trust, FX Africa and the taxpayer ought t</w:t>
      </w:r>
      <w:r w:rsidR="00DD1CD8">
        <w:rPr>
          <w:lang w:val="en-ZA"/>
        </w:rPr>
        <w:t>o prevail over their legal form.</w:t>
      </w:r>
    </w:p>
    <w:p w:rsidR="00C54A70" w:rsidRDefault="00D63A02" w:rsidP="00D63A02">
      <w:pPr>
        <w:pStyle w:val="LegalList1"/>
        <w:spacing w:after="120" w:line="360" w:lineRule="auto"/>
        <w:rPr>
          <w:lang w:val="en-ZA"/>
        </w:rPr>
      </w:pPr>
      <w:r>
        <w:rPr>
          <w:lang w:val="en-ZA"/>
        </w:rPr>
        <w:t>[11].</w:t>
      </w:r>
      <w:r>
        <w:rPr>
          <w:lang w:val="en-ZA"/>
        </w:rPr>
        <w:tab/>
      </w:r>
      <w:r w:rsidR="00C54A70">
        <w:rPr>
          <w:lang w:val="en-ZA"/>
        </w:rPr>
        <w:t>The aforegoing issues are to be decided against the factual backd</w:t>
      </w:r>
      <w:r w:rsidR="0037324F">
        <w:rPr>
          <w:lang w:val="en-ZA"/>
        </w:rPr>
        <w:t>rop of the matter and the facts</w:t>
      </w:r>
      <w:r w:rsidR="00C54A70">
        <w:rPr>
          <w:lang w:val="en-ZA"/>
        </w:rPr>
        <w:t xml:space="preserve">, the most notable of which is that over the </w:t>
      </w:r>
      <w:r w:rsidR="00C63A94">
        <w:rPr>
          <w:lang w:val="en-ZA"/>
        </w:rPr>
        <w:t>four-year</w:t>
      </w:r>
      <w:r w:rsidR="00C54A70">
        <w:rPr>
          <w:lang w:val="en-ZA"/>
        </w:rPr>
        <w:t xml:space="preserve"> period from March 2006 to February 2010, the taxpayer received various sums of monies, totalling R8 937 750.82. </w:t>
      </w:r>
      <w:r w:rsidR="00AD5809">
        <w:rPr>
          <w:lang w:val="en-ZA"/>
        </w:rPr>
        <w:t xml:space="preserve">I also accept as a fact that as and at </w:t>
      </w:r>
      <w:r w:rsidR="00A26D19">
        <w:rPr>
          <w:lang w:val="en-ZA"/>
        </w:rPr>
        <w:lastRenderedPageBreak/>
        <w:t>28</w:t>
      </w:r>
      <w:r w:rsidR="0037324F">
        <w:rPr>
          <w:lang w:val="en-ZA"/>
        </w:rPr>
        <w:t> </w:t>
      </w:r>
      <w:r w:rsidR="00A26D19">
        <w:rPr>
          <w:lang w:val="en-ZA"/>
        </w:rPr>
        <w:t>February 20</w:t>
      </w:r>
      <w:r w:rsidR="0037324F">
        <w:rPr>
          <w:lang w:val="en-ZA"/>
        </w:rPr>
        <w:t>06 FX Africa owed to Sanderling</w:t>
      </w:r>
      <w:r w:rsidR="00A26D19">
        <w:rPr>
          <w:lang w:val="en-ZA"/>
        </w:rPr>
        <w:t xml:space="preserve"> – as per the latter’s ‘Shareholder’s Loan Account’</w:t>
      </w:r>
      <w:r w:rsidR="005B2F4F">
        <w:rPr>
          <w:lang w:val="en-ZA"/>
        </w:rPr>
        <w:t xml:space="preserve"> with FX Africa</w:t>
      </w:r>
      <w:r w:rsidR="00A26D19">
        <w:rPr>
          <w:lang w:val="en-ZA"/>
        </w:rPr>
        <w:t xml:space="preserve"> – the total amount of R6 997</w:t>
      </w:r>
      <w:r w:rsidR="004858E7">
        <w:rPr>
          <w:lang w:val="en-ZA"/>
        </w:rPr>
        <w:t xml:space="preserve"> 681. </w:t>
      </w:r>
      <w:r w:rsidR="0074597F">
        <w:rPr>
          <w:lang w:val="en-ZA"/>
        </w:rPr>
        <w:t xml:space="preserve">As and at 28 February 2007, the said loan account, as per the FX Africa’s 2007 audited financial statements, stood at R8 352 735.  </w:t>
      </w:r>
      <w:r w:rsidR="004858E7">
        <w:rPr>
          <w:lang w:val="en-ZA"/>
        </w:rPr>
        <w:t>B</w:t>
      </w:r>
      <w:r w:rsidR="00A26D19">
        <w:rPr>
          <w:lang w:val="en-ZA"/>
        </w:rPr>
        <w:t>y</w:t>
      </w:r>
      <w:r w:rsidR="004858E7">
        <w:rPr>
          <w:lang w:val="en-ZA"/>
        </w:rPr>
        <w:t xml:space="preserve"> 28 February 2010 this loan had been repaid by FX Africa. </w:t>
      </w:r>
      <w:r w:rsidR="00873391">
        <w:rPr>
          <w:lang w:val="en-ZA"/>
        </w:rPr>
        <w:t>The other relevant facts are set out in the paragraphs which follow.</w:t>
      </w:r>
    </w:p>
    <w:p w:rsidR="00873391" w:rsidRPr="00873391" w:rsidRDefault="00D63A02" w:rsidP="00D63A02">
      <w:pPr>
        <w:pStyle w:val="LegalList1"/>
        <w:spacing w:after="120" w:line="360" w:lineRule="auto"/>
        <w:rPr>
          <w:lang w:val="en-ZA"/>
        </w:rPr>
      </w:pPr>
      <w:r w:rsidRPr="00873391">
        <w:rPr>
          <w:lang w:val="en-ZA"/>
        </w:rPr>
        <w:t>[12].</w:t>
      </w:r>
      <w:r w:rsidRPr="00873391">
        <w:rPr>
          <w:lang w:val="en-ZA"/>
        </w:rPr>
        <w:tab/>
      </w:r>
      <w:r w:rsidR="00873391">
        <w:rPr>
          <w:lang w:val="en-ZA"/>
        </w:rPr>
        <w:t>It is the case of the taxpayer that i</w:t>
      </w:r>
      <w:r w:rsidR="00873391" w:rsidRPr="00873391">
        <w:rPr>
          <w:lang w:val="en-ZA"/>
        </w:rPr>
        <w:t xml:space="preserve">n January 2000, </w:t>
      </w:r>
      <w:r w:rsidR="00873391">
        <w:rPr>
          <w:lang w:val="en-ZA"/>
        </w:rPr>
        <w:t xml:space="preserve">whilst he was still </w:t>
      </w:r>
      <w:r w:rsidR="00873391" w:rsidRPr="00873391">
        <w:rPr>
          <w:lang w:val="en-ZA"/>
        </w:rPr>
        <w:t xml:space="preserve">a resident of </w:t>
      </w:r>
      <w:r w:rsidR="00873391">
        <w:rPr>
          <w:lang w:val="en-ZA"/>
        </w:rPr>
        <w:t xml:space="preserve">the Republic of </w:t>
      </w:r>
      <w:r w:rsidR="00873391" w:rsidRPr="00873391">
        <w:rPr>
          <w:lang w:val="en-ZA"/>
        </w:rPr>
        <w:t xml:space="preserve">Zimbabwe, </w:t>
      </w:r>
      <w:r w:rsidR="00873391">
        <w:rPr>
          <w:lang w:val="en-ZA"/>
        </w:rPr>
        <w:t xml:space="preserve">he </w:t>
      </w:r>
      <w:r w:rsidR="00873391" w:rsidRPr="00873391">
        <w:rPr>
          <w:lang w:val="en-ZA"/>
        </w:rPr>
        <w:t xml:space="preserve">caused to be established the </w:t>
      </w:r>
      <w:r w:rsidR="00873391">
        <w:rPr>
          <w:lang w:val="en-ZA"/>
        </w:rPr>
        <w:t>Sanderling Investment Company (‘Sanderling’</w:t>
      </w:r>
      <w:r w:rsidR="00873391" w:rsidRPr="00873391">
        <w:rPr>
          <w:lang w:val="en-ZA"/>
        </w:rPr>
        <w:t>), a company registered</w:t>
      </w:r>
      <w:r w:rsidR="00873391">
        <w:rPr>
          <w:lang w:val="en-ZA"/>
        </w:rPr>
        <w:t xml:space="preserve"> and incorporated</w:t>
      </w:r>
      <w:r w:rsidR="00873391" w:rsidRPr="00873391">
        <w:rPr>
          <w:lang w:val="en-ZA"/>
        </w:rPr>
        <w:t xml:space="preserve"> in the British Virgin Islands. The entire shareholding in</w:t>
      </w:r>
      <w:r w:rsidR="00873391">
        <w:rPr>
          <w:lang w:val="en-ZA"/>
        </w:rPr>
        <w:t xml:space="preserve"> </w:t>
      </w:r>
      <w:r w:rsidR="00873391" w:rsidRPr="00873391">
        <w:rPr>
          <w:lang w:val="en-ZA"/>
        </w:rPr>
        <w:t>Sanderling was held by the Sande</w:t>
      </w:r>
      <w:r w:rsidR="00873391">
        <w:rPr>
          <w:lang w:val="en-ZA"/>
        </w:rPr>
        <w:t xml:space="preserve">rling Trust, of which the taxpayer was </w:t>
      </w:r>
      <w:r w:rsidR="00873391" w:rsidRPr="00873391">
        <w:rPr>
          <w:lang w:val="en-ZA"/>
        </w:rPr>
        <w:t>the sole beneficiary</w:t>
      </w:r>
      <w:r w:rsidR="00873391">
        <w:rPr>
          <w:lang w:val="en-ZA"/>
        </w:rPr>
        <w:t xml:space="preserve">. </w:t>
      </w:r>
      <w:r w:rsidR="00873391" w:rsidRPr="00873391">
        <w:rPr>
          <w:lang w:val="en-ZA"/>
        </w:rPr>
        <w:t xml:space="preserve">In effect, </w:t>
      </w:r>
      <w:r w:rsidR="00873391">
        <w:rPr>
          <w:lang w:val="en-ZA"/>
        </w:rPr>
        <w:t>the taxpayer</w:t>
      </w:r>
      <w:r w:rsidR="00873391" w:rsidRPr="00873391">
        <w:rPr>
          <w:lang w:val="en-ZA"/>
        </w:rPr>
        <w:t xml:space="preserve"> was the sole beneficial owner of Sanderling.</w:t>
      </w:r>
    </w:p>
    <w:p w:rsidR="0028394F" w:rsidRDefault="00D63A02" w:rsidP="00D63A02">
      <w:pPr>
        <w:pStyle w:val="LegalList1"/>
        <w:spacing w:after="120" w:line="360" w:lineRule="auto"/>
        <w:rPr>
          <w:lang w:val="en-ZA"/>
        </w:rPr>
      </w:pPr>
      <w:r>
        <w:rPr>
          <w:lang w:val="en-ZA"/>
        </w:rPr>
        <w:t>[13].</w:t>
      </w:r>
      <w:r>
        <w:rPr>
          <w:lang w:val="en-ZA"/>
        </w:rPr>
        <w:tab/>
      </w:r>
      <w:r w:rsidR="00873391" w:rsidRPr="00873391">
        <w:rPr>
          <w:lang w:val="en-ZA"/>
        </w:rPr>
        <w:t xml:space="preserve">During the period </w:t>
      </w:r>
      <w:r w:rsidR="00873391">
        <w:rPr>
          <w:lang w:val="en-ZA"/>
        </w:rPr>
        <w:t xml:space="preserve">from </w:t>
      </w:r>
      <w:r w:rsidR="00873391" w:rsidRPr="00873391">
        <w:rPr>
          <w:lang w:val="en-ZA"/>
        </w:rPr>
        <w:t>2000 to 2002</w:t>
      </w:r>
      <w:r w:rsidR="00873391">
        <w:rPr>
          <w:lang w:val="en-ZA"/>
        </w:rPr>
        <w:t>, he</w:t>
      </w:r>
      <w:r w:rsidR="00873391" w:rsidRPr="00873391">
        <w:rPr>
          <w:lang w:val="en-ZA"/>
        </w:rPr>
        <w:t xml:space="preserve"> progressively advanced</w:t>
      </w:r>
      <w:r w:rsidR="00873391">
        <w:rPr>
          <w:lang w:val="en-ZA"/>
        </w:rPr>
        <w:t xml:space="preserve">, so the taxpayer alleges, </w:t>
      </w:r>
      <w:r w:rsidR="00873391" w:rsidRPr="00873391">
        <w:rPr>
          <w:lang w:val="en-ZA"/>
        </w:rPr>
        <w:t>various sums to the Sanderling Trust to onward advance these sums to Sanderling as interest free loans payable on demand. The total amount</w:t>
      </w:r>
      <w:r w:rsidR="0028394F">
        <w:rPr>
          <w:lang w:val="en-ZA"/>
        </w:rPr>
        <w:t xml:space="preserve"> of the sums</w:t>
      </w:r>
      <w:r w:rsidR="00873391" w:rsidRPr="00873391">
        <w:rPr>
          <w:lang w:val="en-ZA"/>
        </w:rPr>
        <w:t xml:space="preserve"> advanced by </w:t>
      </w:r>
      <w:r w:rsidR="0028394F">
        <w:rPr>
          <w:lang w:val="en-ZA"/>
        </w:rPr>
        <w:t>him</w:t>
      </w:r>
      <w:r w:rsidR="00873391" w:rsidRPr="00873391">
        <w:rPr>
          <w:lang w:val="en-ZA"/>
        </w:rPr>
        <w:t xml:space="preserve"> to the Sanderling Trust to advance</w:t>
      </w:r>
      <w:r w:rsidR="0028394F">
        <w:rPr>
          <w:lang w:val="en-ZA"/>
        </w:rPr>
        <w:t xml:space="preserve"> onward to Sanderling, so the case on behalf of the taxpayer goes, was </w:t>
      </w:r>
      <w:r w:rsidR="004858E7">
        <w:rPr>
          <w:lang w:val="en-ZA"/>
        </w:rPr>
        <w:t xml:space="preserve">the </w:t>
      </w:r>
      <w:r w:rsidR="0028394F">
        <w:rPr>
          <w:lang w:val="en-ZA"/>
        </w:rPr>
        <w:t xml:space="preserve">amount of </w:t>
      </w:r>
      <w:r w:rsidR="00873391" w:rsidRPr="00873391">
        <w:rPr>
          <w:lang w:val="en-ZA"/>
        </w:rPr>
        <w:t>US$1</w:t>
      </w:r>
      <w:r w:rsidR="0028394F">
        <w:rPr>
          <w:lang w:val="en-ZA"/>
        </w:rPr>
        <w:t> </w:t>
      </w:r>
      <w:r w:rsidR="00873391" w:rsidRPr="00873391">
        <w:rPr>
          <w:lang w:val="en-ZA"/>
        </w:rPr>
        <w:t>500</w:t>
      </w:r>
      <w:r w:rsidR="0028394F">
        <w:rPr>
          <w:lang w:val="en-ZA"/>
        </w:rPr>
        <w:t> </w:t>
      </w:r>
      <w:r w:rsidR="00873391" w:rsidRPr="00873391">
        <w:rPr>
          <w:lang w:val="en-ZA"/>
        </w:rPr>
        <w:t xml:space="preserve">000. </w:t>
      </w:r>
    </w:p>
    <w:p w:rsidR="00873391" w:rsidRPr="0028394F" w:rsidRDefault="00D63A02" w:rsidP="00D63A02">
      <w:pPr>
        <w:pStyle w:val="LegalList1"/>
        <w:spacing w:after="120" w:line="360" w:lineRule="auto"/>
        <w:rPr>
          <w:lang w:val="en-ZA"/>
        </w:rPr>
      </w:pPr>
      <w:r w:rsidRPr="0028394F">
        <w:rPr>
          <w:lang w:val="en-ZA"/>
        </w:rPr>
        <w:t>[14].</w:t>
      </w:r>
      <w:r w:rsidRPr="0028394F">
        <w:rPr>
          <w:lang w:val="en-ZA"/>
        </w:rPr>
        <w:tab/>
      </w:r>
      <w:r w:rsidR="0028394F">
        <w:rPr>
          <w:lang w:val="en-ZA"/>
        </w:rPr>
        <w:t>During the year</w:t>
      </w:r>
      <w:r w:rsidR="00873391" w:rsidRPr="00873391">
        <w:rPr>
          <w:lang w:val="en-ZA"/>
        </w:rPr>
        <w:t xml:space="preserve"> 2000, Sanderling, with the approval of the South African Reserve Bank,</w:t>
      </w:r>
      <w:r w:rsidR="0028394F">
        <w:rPr>
          <w:lang w:val="en-ZA"/>
        </w:rPr>
        <w:t xml:space="preserve"> </w:t>
      </w:r>
      <w:r w:rsidR="00873391" w:rsidRPr="0028394F">
        <w:rPr>
          <w:lang w:val="en-ZA"/>
        </w:rPr>
        <w:t xml:space="preserve">acquired a </w:t>
      </w:r>
      <w:r w:rsidR="0028394F">
        <w:rPr>
          <w:lang w:val="en-ZA"/>
        </w:rPr>
        <w:t>sixty percent majority</w:t>
      </w:r>
      <w:r w:rsidR="00873391" w:rsidRPr="0028394F">
        <w:rPr>
          <w:lang w:val="en-ZA"/>
        </w:rPr>
        <w:t xml:space="preserve"> shareholding in a company which </w:t>
      </w:r>
      <w:r w:rsidR="0028394F">
        <w:rPr>
          <w:lang w:val="en-ZA"/>
        </w:rPr>
        <w:t xml:space="preserve">subsequently </w:t>
      </w:r>
      <w:r w:rsidR="00873391" w:rsidRPr="0028394F">
        <w:rPr>
          <w:lang w:val="en-ZA"/>
        </w:rPr>
        <w:t>became FX Africa Foreign</w:t>
      </w:r>
      <w:r w:rsidR="0028394F">
        <w:rPr>
          <w:lang w:val="en-ZA"/>
        </w:rPr>
        <w:t xml:space="preserve"> </w:t>
      </w:r>
      <w:r w:rsidR="00873391" w:rsidRPr="0028394F">
        <w:rPr>
          <w:lang w:val="en-ZA"/>
        </w:rPr>
        <w:t>Exchange (Pty) Ltd</w:t>
      </w:r>
      <w:r w:rsidR="0028394F">
        <w:rPr>
          <w:lang w:val="en-ZA"/>
        </w:rPr>
        <w:t xml:space="preserve"> (‘FX Africa’)</w:t>
      </w:r>
      <w:r w:rsidR="00873391" w:rsidRPr="0028394F">
        <w:rPr>
          <w:lang w:val="en-ZA"/>
        </w:rPr>
        <w:t xml:space="preserve">. The balance of the shareholding </w:t>
      </w:r>
      <w:r w:rsidR="0028394F">
        <w:rPr>
          <w:lang w:val="en-ZA"/>
        </w:rPr>
        <w:t xml:space="preserve">in that company </w:t>
      </w:r>
      <w:r w:rsidR="00873391" w:rsidRPr="0028394F">
        <w:rPr>
          <w:lang w:val="en-ZA"/>
        </w:rPr>
        <w:t xml:space="preserve">was held by </w:t>
      </w:r>
      <w:r w:rsidR="0028394F">
        <w:rPr>
          <w:lang w:val="en-ZA"/>
        </w:rPr>
        <w:t xml:space="preserve">one </w:t>
      </w:r>
      <w:r w:rsidR="00873391" w:rsidRPr="0028394F">
        <w:rPr>
          <w:lang w:val="en-ZA"/>
        </w:rPr>
        <w:t>Simon</w:t>
      </w:r>
      <w:r w:rsidR="0028394F">
        <w:rPr>
          <w:lang w:val="en-ZA"/>
        </w:rPr>
        <w:t xml:space="preserve"> </w:t>
      </w:r>
      <w:r w:rsidR="00873391" w:rsidRPr="0028394F">
        <w:rPr>
          <w:lang w:val="en-ZA"/>
        </w:rPr>
        <w:t>David Hayes</w:t>
      </w:r>
      <w:r w:rsidR="0028394F">
        <w:rPr>
          <w:lang w:val="en-ZA"/>
        </w:rPr>
        <w:t xml:space="preserve"> (‘Mr Hayes’)</w:t>
      </w:r>
      <w:r w:rsidR="00873391" w:rsidRPr="0028394F">
        <w:rPr>
          <w:lang w:val="en-ZA"/>
        </w:rPr>
        <w:t>. The South African Reserve Bank authorisation granted FX Africa</w:t>
      </w:r>
      <w:r w:rsidR="0028394F">
        <w:rPr>
          <w:lang w:val="en-ZA"/>
        </w:rPr>
        <w:t>, of which the taxpayer was a director from 2000 to 2011,</w:t>
      </w:r>
      <w:r w:rsidR="00873391" w:rsidRPr="0028394F">
        <w:rPr>
          <w:lang w:val="en-ZA"/>
        </w:rPr>
        <w:t xml:space="preserve"> a licence to operate as a f</w:t>
      </w:r>
      <w:r w:rsidR="0028394F">
        <w:rPr>
          <w:lang w:val="en-ZA"/>
        </w:rPr>
        <w:t>oreign exchange dealer i</w:t>
      </w:r>
      <w:r w:rsidR="00873391" w:rsidRPr="0028394F">
        <w:rPr>
          <w:lang w:val="en-ZA"/>
        </w:rPr>
        <w:t>n South Africa.</w:t>
      </w:r>
      <w:r w:rsidR="0028394F">
        <w:rPr>
          <w:lang w:val="en-ZA"/>
        </w:rPr>
        <w:t xml:space="preserve"> </w:t>
      </w:r>
      <w:r w:rsidR="00873391" w:rsidRPr="0028394F">
        <w:rPr>
          <w:lang w:val="en-ZA"/>
        </w:rPr>
        <w:t>Sanderling had a number of management companies and directors during the period 2000 to 2011</w:t>
      </w:r>
      <w:r w:rsidR="0028394F">
        <w:rPr>
          <w:lang w:val="en-ZA"/>
        </w:rPr>
        <w:t xml:space="preserve">, the last of which was a company by the name of </w:t>
      </w:r>
      <w:r w:rsidR="00873391" w:rsidRPr="0028394F">
        <w:rPr>
          <w:lang w:val="en-ZA"/>
        </w:rPr>
        <w:t>Homestead Management Incorporated of Geneva, Switzerland</w:t>
      </w:r>
      <w:r w:rsidR="0028394F">
        <w:rPr>
          <w:lang w:val="en-ZA"/>
        </w:rPr>
        <w:t>, which</w:t>
      </w:r>
      <w:r w:rsidR="00873391" w:rsidRPr="0028394F">
        <w:rPr>
          <w:lang w:val="en-ZA"/>
        </w:rPr>
        <w:t xml:space="preserve"> was the director of Sanderling Investments Incorporated during the period 31 December 2010 to 29 October 2013.</w:t>
      </w:r>
    </w:p>
    <w:p w:rsidR="00873391" w:rsidRDefault="00D63A02" w:rsidP="00D63A02">
      <w:pPr>
        <w:pStyle w:val="LegalList1"/>
        <w:spacing w:after="120" w:line="360" w:lineRule="auto"/>
        <w:rPr>
          <w:lang w:val="en-ZA"/>
        </w:rPr>
      </w:pPr>
      <w:r>
        <w:rPr>
          <w:lang w:val="en-ZA"/>
        </w:rPr>
        <w:t>[15].</w:t>
      </w:r>
      <w:r>
        <w:rPr>
          <w:lang w:val="en-ZA"/>
        </w:rPr>
        <w:tab/>
      </w:r>
      <w:r w:rsidR="00873391" w:rsidRPr="00873391">
        <w:rPr>
          <w:lang w:val="en-ZA"/>
        </w:rPr>
        <w:t xml:space="preserve">By 31 October 2004, Sanderling had advanced </w:t>
      </w:r>
      <w:r w:rsidR="0028394F">
        <w:rPr>
          <w:lang w:val="en-ZA"/>
        </w:rPr>
        <w:t xml:space="preserve">to FX Africa </w:t>
      </w:r>
      <w:r w:rsidR="00873391" w:rsidRPr="00873391">
        <w:rPr>
          <w:lang w:val="en-ZA"/>
        </w:rPr>
        <w:t>the</w:t>
      </w:r>
      <w:r w:rsidR="0028394F">
        <w:rPr>
          <w:lang w:val="en-ZA"/>
        </w:rPr>
        <w:t xml:space="preserve"> total sum of US$1 073 </w:t>
      </w:r>
      <w:r w:rsidR="00873391" w:rsidRPr="00873391">
        <w:rPr>
          <w:lang w:val="en-ZA"/>
        </w:rPr>
        <w:t>591.27</w:t>
      </w:r>
      <w:r w:rsidR="0028394F">
        <w:rPr>
          <w:lang w:val="en-ZA"/>
        </w:rPr>
        <w:t xml:space="preserve">. </w:t>
      </w:r>
      <w:r w:rsidR="00873391" w:rsidRPr="0028394F">
        <w:rPr>
          <w:lang w:val="en-ZA"/>
        </w:rPr>
        <w:t xml:space="preserve">On 28 February 2006, Sanderling loaned and advanced to </w:t>
      </w:r>
      <w:r w:rsidR="00873391" w:rsidRPr="0028394F">
        <w:rPr>
          <w:lang w:val="en-ZA"/>
        </w:rPr>
        <w:lastRenderedPageBreak/>
        <w:t>FX Africa the</w:t>
      </w:r>
      <w:r w:rsidR="0028394F">
        <w:rPr>
          <w:lang w:val="en-ZA"/>
        </w:rPr>
        <w:t xml:space="preserve"> further sum of €60 </w:t>
      </w:r>
      <w:r w:rsidR="005C7DC3">
        <w:rPr>
          <w:lang w:val="en-ZA"/>
        </w:rPr>
        <w:t>000. T</w:t>
      </w:r>
      <w:r w:rsidR="00873391" w:rsidRPr="0028394F">
        <w:rPr>
          <w:lang w:val="en-ZA"/>
        </w:rPr>
        <w:t>he</w:t>
      </w:r>
      <w:r w:rsidR="005C7DC3">
        <w:rPr>
          <w:lang w:val="en-ZA"/>
        </w:rPr>
        <w:t>se</w:t>
      </w:r>
      <w:r w:rsidR="00873391" w:rsidRPr="0028394F">
        <w:rPr>
          <w:lang w:val="en-ZA"/>
        </w:rPr>
        <w:t xml:space="preserve"> intercompany loans</w:t>
      </w:r>
      <w:r w:rsidR="005C7DC3">
        <w:rPr>
          <w:lang w:val="en-ZA"/>
        </w:rPr>
        <w:t>, so it is claimed by the taxpayer,</w:t>
      </w:r>
      <w:r w:rsidR="00873391" w:rsidRPr="0028394F">
        <w:rPr>
          <w:lang w:val="en-ZA"/>
        </w:rPr>
        <w:t xml:space="preserve"> had no tax consequences.</w:t>
      </w:r>
      <w:r w:rsidR="005C7DC3">
        <w:rPr>
          <w:lang w:val="en-ZA"/>
        </w:rPr>
        <w:t xml:space="preserve"> </w:t>
      </w:r>
      <w:r w:rsidR="00873391" w:rsidRPr="005C7DC3">
        <w:rPr>
          <w:lang w:val="en-ZA"/>
        </w:rPr>
        <w:t>The</w:t>
      </w:r>
      <w:r w:rsidR="005C7DC3">
        <w:rPr>
          <w:lang w:val="en-ZA"/>
        </w:rPr>
        <w:t xml:space="preserve">y </w:t>
      </w:r>
      <w:r w:rsidR="00873391" w:rsidRPr="005C7DC3">
        <w:rPr>
          <w:lang w:val="en-ZA"/>
        </w:rPr>
        <w:t>were interest free loans</w:t>
      </w:r>
      <w:r w:rsidR="005C7DC3">
        <w:rPr>
          <w:lang w:val="en-ZA"/>
        </w:rPr>
        <w:t xml:space="preserve"> and, according to the taxpayer, b</w:t>
      </w:r>
      <w:r w:rsidR="00873391" w:rsidRPr="005C7DC3">
        <w:rPr>
          <w:lang w:val="en-ZA"/>
        </w:rPr>
        <w:t>oth</w:t>
      </w:r>
      <w:r w:rsidR="005C7DC3">
        <w:rPr>
          <w:lang w:val="en-ZA"/>
        </w:rPr>
        <w:t xml:space="preserve"> these</w:t>
      </w:r>
      <w:r w:rsidR="00873391" w:rsidRPr="005C7DC3">
        <w:rPr>
          <w:lang w:val="en-ZA"/>
        </w:rPr>
        <w:t xml:space="preserve"> loan facilities were available</w:t>
      </w:r>
      <w:r w:rsidR="005C7DC3">
        <w:rPr>
          <w:lang w:val="en-ZA"/>
        </w:rPr>
        <w:t xml:space="preserve"> to FX Africa</w:t>
      </w:r>
      <w:r w:rsidR="00873391" w:rsidRPr="005C7DC3">
        <w:rPr>
          <w:lang w:val="en-ZA"/>
        </w:rPr>
        <w:t xml:space="preserve"> until 30 September 2009 and wer</w:t>
      </w:r>
      <w:r w:rsidR="005C7DC3">
        <w:rPr>
          <w:lang w:val="en-ZA"/>
        </w:rPr>
        <w:t xml:space="preserve">e fully drawn down by FX Africa, with the result that as and at </w:t>
      </w:r>
      <w:r w:rsidR="00873391" w:rsidRPr="005C7DC3">
        <w:rPr>
          <w:lang w:val="en-ZA"/>
        </w:rPr>
        <w:t xml:space="preserve">28 February 2007, FX Africa owed to Sanderling the sum of </w:t>
      </w:r>
      <w:r w:rsidR="00873391" w:rsidRPr="00E50364">
        <w:rPr>
          <w:lang w:val="en-ZA"/>
        </w:rPr>
        <w:t>R8</w:t>
      </w:r>
      <w:r w:rsidR="005C7DC3" w:rsidRPr="00E50364">
        <w:rPr>
          <w:lang w:val="en-ZA"/>
        </w:rPr>
        <w:t> </w:t>
      </w:r>
      <w:r w:rsidR="00873391" w:rsidRPr="00E50364">
        <w:rPr>
          <w:lang w:val="en-ZA"/>
        </w:rPr>
        <w:t>3</w:t>
      </w:r>
      <w:r w:rsidR="0074597F" w:rsidRPr="00E50364">
        <w:rPr>
          <w:lang w:val="en-ZA"/>
        </w:rPr>
        <w:t>5</w:t>
      </w:r>
      <w:r w:rsidR="00873391" w:rsidRPr="00E50364">
        <w:rPr>
          <w:lang w:val="en-ZA"/>
        </w:rPr>
        <w:t>2</w:t>
      </w:r>
      <w:r w:rsidR="005C7DC3" w:rsidRPr="00E50364">
        <w:rPr>
          <w:lang w:val="en-ZA"/>
        </w:rPr>
        <w:t> </w:t>
      </w:r>
      <w:r w:rsidR="00873391" w:rsidRPr="00E50364">
        <w:rPr>
          <w:lang w:val="en-ZA"/>
        </w:rPr>
        <w:t>735.</w:t>
      </w:r>
      <w:r w:rsidR="005C7DC3" w:rsidRPr="00E50364">
        <w:rPr>
          <w:lang w:val="en-ZA"/>
        </w:rPr>
        <w:t xml:space="preserve"> </w:t>
      </w:r>
      <w:r w:rsidR="005C7DC3">
        <w:rPr>
          <w:lang w:val="en-ZA"/>
        </w:rPr>
        <w:t>The aforegoing is confirmed by the Annual Financial Statements of FX Africa for the 2007, 2008 and 2009 tax financial years.</w:t>
      </w:r>
    </w:p>
    <w:p w:rsidR="003A57C8" w:rsidRDefault="00D63A02" w:rsidP="00D63A02">
      <w:pPr>
        <w:pStyle w:val="LegalList1"/>
        <w:spacing w:after="120" w:line="360" w:lineRule="auto"/>
        <w:rPr>
          <w:lang w:val="en-ZA"/>
        </w:rPr>
      </w:pPr>
      <w:r>
        <w:rPr>
          <w:lang w:val="en-ZA"/>
        </w:rPr>
        <w:t>[16].</w:t>
      </w:r>
      <w:r>
        <w:rPr>
          <w:lang w:val="en-ZA"/>
        </w:rPr>
        <w:tab/>
      </w:r>
      <w:r w:rsidR="005C7DC3" w:rsidRPr="00282DD4">
        <w:rPr>
          <w:lang w:val="en-ZA"/>
        </w:rPr>
        <w:t>During</w:t>
      </w:r>
      <w:r w:rsidR="00873391" w:rsidRPr="00282DD4">
        <w:rPr>
          <w:lang w:val="en-ZA"/>
        </w:rPr>
        <w:t xml:space="preserve"> the course of 2007, </w:t>
      </w:r>
      <w:r w:rsidR="005C7DC3" w:rsidRPr="00282DD4">
        <w:rPr>
          <w:lang w:val="en-ZA"/>
        </w:rPr>
        <w:t xml:space="preserve">so the case of the taxpayer continues, </w:t>
      </w:r>
      <w:r w:rsidR="00873391" w:rsidRPr="00282DD4">
        <w:rPr>
          <w:lang w:val="en-ZA"/>
        </w:rPr>
        <w:t xml:space="preserve">Sanderling ceded its loan account </w:t>
      </w:r>
      <w:r w:rsidR="0037324F">
        <w:rPr>
          <w:lang w:val="en-ZA"/>
        </w:rPr>
        <w:t>with</w:t>
      </w:r>
      <w:r w:rsidR="00873391" w:rsidRPr="00282DD4">
        <w:rPr>
          <w:lang w:val="en-ZA"/>
        </w:rPr>
        <w:t xml:space="preserve"> FX Africa to </w:t>
      </w:r>
      <w:r w:rsidR="005C7DC3" w:rsidRPr="00282DD4">
        <w:rPr>
          <w:lang w:val="en-ZA"/>
        </w:rPr>
        <w:t>the taxpayer</w:t>
      </w:r>
      <w:r w:rsidR="00873391" w:rsidRPr="00282DD4">
        <w:rPr>
          <w:lang w:val="en-ZA"/>
        </w:rPr>
        <w:t xml:space="preserve"> and, consequently, </w:t>
      </w:r>
      <w:r w:rsidR="005C7DC3" w:rsidRPr="00282DD4">
        <w:rPr>
          <w:lang w:val="en-ZA"/>
        </w:rPr>
        <w:t>he</w:t>
      </w:r>
      <w:r w:rsidR="00873391" w:rsidRPr="00282DD4">
        <w:rPr>
          <w:lang w:val="en-ZA"/>
        </w:rPr>
        <w:t xml:space="preserve"> was substituted as FX Africa's creditor</w:t>
      </w:r>
      <w:r w:rsidR="005C7DC3" w:rsidRPr="00282DD4">
        <w:rPr>
          <w:lang w:val="en-ZA"/>
        </w:rPr>
        <w:t xml:space="preserve"> in respect of the debt in </w:t>
      </w:r>
      <w:r w:rsidR="008F5DF3">
        <w:rPr>
          <w:lang w:val="en-ZA"/>
        </w:rPr>
        <w:t>the sum of R8 </w:t>
      </w:r>
      <w:r w:rsidR="005C7DC3" w:rsidRPr="00282DD4">
        <w:rPr>
          <w:lang w:val="en-ZA"/>
        </w:rPr>
        <w:t>3</w:t>
      </w:r>
      <w:r w:rsidR="008F5DF3">
        <w:rPr>
          <w:lang w:val="en-ZA"/>
        </w:rPr>
        <w:t>5</w:t>
      </w:r>
      <w:r w:rsidR="005C7DC3" w:rsidRPr="00282DD4">
        <w:rPr>
          <w:lang w:val="en-ZA"/>
        </w:rPr>
        <w:t>2 </w:t>
      </w:r>
      <w:r w:rsidR="00873391" w:rsidRPr="00282DD4">
        <w:rPr>
          <w:lang w:val="en-ZA"/>
        </w:rPr>
        <w:t>735. FX Africa</w:t>
      </w:r>
      <w:r w:rsidR="003A57C8">
        <w:rPr>
          <w:lang w:val="en-ZA"/>
        </w:rPr>
        <w:t>, so it is alleged by the taxpayer,</w:t>
      </w:r>
      <w:r w:rsidR="00873391" w:rsidRPr="00282DD4">
        <w:rPr>
          <w:lang w:val="en-ZA"/>
        </w:rPr>
        <w:t xml:space="preserve"> repaid</w:t>
      </w:r>
      <w:r w:rsidR="00282DD4">
        <w:rPr>
          <w:lang w:val="en-ZA"/>
        </w:rPr>
        <w:t xml:space="preserve"> the</w:t>
      </w:r>
      <w:r w:rsidR="003A57C8">
        <w:rPr>
          <w:lang w:val="en-ZA"/>
        </w:rPr>
        <w:t xml:space="preserve"> total of the aforesaid sum lent</w:t>
      </w:r>
      <w:r w:rsidR="00282DD4">
        <w:rPr>
          <w:lang w:val="en-ZA"/>
        </w:rPr>
        <w:t xml:space="preserve"> and advanced </w:t>
      </w:r>
      <w:r w:rsidR="005C7DC3" w:rsidRPr="00282DD4">
        <w:rPr>
          <w:lang w:val="en-ZA"/>
        </w:rPr>
        <w:t xml:space="preserve">by </w:t>
      </w:r>
      <w:r w:rsidR="003A57C8">
        <w:rPr>
          <w:lang w:val="en-ZA"/>
        </w:rPr>
        <w:t xml:space="preserve">him </w:t>
      </w:r>
      <w:r w:rsidR="00873391" w:rsidRPr="00282DD4">
        <w:rPr>
          <w:lang w:val="en-ZA"/>
        </w:rPr>
        <w:t>through the Sanderling Trust to Sanderling</w:t>
      </w:r>
      <w:r w:rsidR="003A57C8">
        <w:rPr>
          <w:lang w:val="en-ZA"/>
        </w:rPr>
        <w:t xml:space="preserve"> </w:t>
      </w:r>
      <w:r w:rsidR="00873391" w:rsidRPr="00282DD4">
        <w:rPr>
          <w:lang w:val="en-ZA"/>
        </w:rPr>
        <w:t>Investments</w:t>
      </w:r>
      <w:r w:rsidR="00282DD4">
        <w:rPr>
          <w:lang w:val="en-ZA"/>
        </w:rPr>
        <w:t xml:space="preserve"> </w:t>
      </w:r>
      <w:r w:rsidR="00873391" w:rsidRPr="00282DD4">
        <w:rPr>
          <w:lang w:val="en-ZA"/>
        </w:rPr>
        <w:t>Incorporated</w:t>
      </w:r>
      <w:r w:rsidR="003A57C8">
        <w:rPr>
          <w:lang w:val="en-ZA"/>
        </w:rPr>
        <w:t xml:space="preserve"> as follows: (a) During </w:t>
      </w:r>
      <w:r w:rsidR="00873391" w:rsidRPr="003A57C8">
        <w:rPr>
          <w:lang w:val="en-ZA"/>
        </w:rPr>
        <w:t>the financial year</w:t>
      </w:r>
      <w:r w:rsidR="003A57C8">
        <w:rPr>
          <w:lang w:val="en-ZA"/>
        </w:rPr>
        <w:t xml:space="preserve"> ending on </w:t>
      </w:r>
      <w:r w:rsidR="00873391" w:rsidRPr="003A57C8">
        <w:rPr>
          <w:lang w:val="en-ZA"/>
        </w:rPr>
        <w:t>31 March 2008</w:t>
      </w:r>
      <w:r w:rsidR="003A57C8">
        <w:rPr>
          <w:lang w:val="en-ZA"/>
        </w:rPr>
        <w:t>, the sum of R1 </w:t>
      </w:r>
      <w:r w:rsidR="00873391" w:rsidRPr="003A57C8">
        <w:rPr>
          <w:lang w:val="en-ZA"/>
        </w:rPr>
        <w:t>792</w:t>
      </w:r>
      <w:r w:rsidR="003A57C8">
        <w:rPr>
          <w:lang w:val="en-ZA"/>
        </w:rPr>
        <w:t> </w:t>
      </w:r>
      <w:r w:rsidR="00873391" w:rsidRPr="003A57C8">
        <w:rPr>
          <w:lang w:val="en-ZA"/>
        </w:rPr>
        <w:t>812</w:t>
      </w:r>
      <w:r w:rsidR="00E50364">
        <w:rPr>
          <w:lang w:val="en-ZA"/>
        </w:rPr>
        <w:t>; (b</w:t>
      </w:r>
      <w:r w:rsidR="003A57C8">
        <w:rPr>
          <w:lang w:val="en-ZA"/>
        </w:rPr>
        <w:t>) During the financial year ending on 31 March 2009, the sum of R2 986 </w:t>
      </w:r>
      <w:r w:rsidR="00873391" w:rsidRPr="003A57C8">
        <w:rPr>
          <w:lang w:val="en-ZA"/>
        </w:rPr>
        <w:t>933;</w:t>
      </w:r>
      <w:r w:rsidR="003A57C8">
        <w:rPr>
          <w:lang w:val="en-ZA"/>
        </w:rPr>
        <w:t xml:space="preserve"> and (c) During the financial year ending on </w:t>
      </w:r>
      <w:r w:rsidR="00873391" w:rsidRPr="003A57C8">
        <w:rPr>
          <w:lang w:val="en-ZA"/>
        </w:rPr>
        <w:t>31 March 2010, the</w:t>
      </w:r>
      <w:r w:rsidR="003A57C8">
        <w:rPr>
          <w:lang w:val="en-ZA"/>
        </w:rPr>
        <w:t xml:space="preserve"> final sum of R3 572</w:t>
      </w:r>
      <w:r w:rsidR="001A38E6">
        <w:rPr>
          <w:lang w:val="en-ZA"/>
        </w:rPr>
        <w:t xml:space="preserve"> 990 = </w:t>
      </w:r>
      <w:r w:rsidR="001A38E6" w:rsidRPr="00E50364">
        <w:rPr>
          <w:lang w:val="en-ZA"/>
        </w:rPr>
        <w:t>R8 352</w:t>
      </w:r>
      <w:r w:rsidR="008F5DF3" w:rsidRPr="00E50364">
        <w:rPr>
          <w:lang w:val="en-ZA"/>
        </w:rPr>
        <w:t> </w:t>
      </w:r>
      <w:r w:rsidR="001A38E6" w:rsidRPr="00E50364">
        <w:rPr>
          <w:lang w:val="en-ZA"/>
        </w:rPr>
        <w:t>735.</w:t>
      </w:r>
    </w:p>
    <w:p w:rsidR="00DF678E" w:rsidRDefault="00D63A02" w:rsidP="00D63A02">
      <w:pPr>
        <w:pStyle w:val="LegalList1"/>
        <w:spacing w:after="120" w:line="360" w:lineRule="auto"/>
        <w:rPr>
          <w:lang w:val="en-ZA"/>
        </w:rPr>
      </w:pPr>
      <w:r>
        <w:rPr>
          <w:lang w:val="en-ZA"/>
        </w:rPr>
        <w:t>[17].</w:t>
      </w:r>
      <w:r>
        <w:rPr>
          <w:lang w:val="en-ZA"/>
        </w:rPr>
        <w:tab/>
      </w:r>
      <w:r w:rsidR="008F5DF3">
        <w:rPr>
          <w:lang w:val="en-ZA"/>
        </w:rPr>
        <w:t>The sum total of the evidence in support of the aforegoing averment that during the 2008, 2009 and 2010 tax years of assessment the amount of the loan of R8 352 735 was repaid by FX Africa to the taxpayer is the annual financial statements, which reflect in the balance s</w:t>
      </w:r>
      <w:r w:rsidR="0089613F">
        <w:rPr>
          <w:lang w:val="en-ZA"/>
        </w:rPr>
        <w:t>heet that at the end of the 2007, 2008, 2009 and 201</w:t>
      </w:r>
      <w:r w:rsidR="008F5DF3">
        <w:rPr>
          <w:lang w:val="en-ZA"/>
        </w:rPr>
        <w:t xml:space="preserve">0 tax years the loan account in favour of Sanderling was standing at </w:t>
      </w:r>
      <w:r w:rsidR="0089613F">
        <w:rPr>
          <w:lang w:val="en-ZA"/>
        </w:rPr>
        <w:t>R8 352 735, R6 559 923, R3 572 992 and R0.00 respectively. These figures are then interpreted to mean that during the 2008 tax year of assessment, the movement on (also read as ‘payment towards’) the Sanderling Loan Account was the sum of R1 792 812, and R2 986 933 for the 2009 tax year and R3 572 990 for the 2010 tax year, without furnishing any specific details and particulars of when these payments were made and what constituted the individual sums.</w:t>
      </w:r>
    </w:p>
    <w:p w:rsidR="00B014D7" w:rsidRDefault="00D63A02" w:rsidP="00D63A02">
      <w:pPr>
        <w:pStyle w:val="LegalList1"/>
        <w:spacing w:after="120" w:line="360" w:lineRule="auto"/>
        <w:rPr>
          <w:lang w:val="en-ZA"/>
        </w:rPr>
      </w:pPr>
      <w:r>
        <w:rPr>
          <w:lang w:val="en-ZA"/>
        </w:rPr>
        <w:t>[18].</w:t>
      </w:r>
      <w:r>
        <w:rPr>
          <w:lang w:val="en-ZA"/>
        </w:rPr>
        <w:tab/>
      </w:r>
      <w:r w:rsidR="00DF678E">
        <w:rPr>
          <w:lang w:val="en-ZA"/>
        </w:rPr>
        <w:t xml:space="preserve">It may be apposite at this juncture to deal specifically with the payments received by the taxpayer from FX Africa, as being repayments of the Sanderling Loan Account. That information is gleaned mainly from a report </w:t>
      </w:r>
      <w:r w:rsidR="00B014D7">
        <w:rPr>
          <w:lang w:val="en-ZA"/>
        </w:rPr>
        <w:t>by a firm of Chartered Accountants dated 30 June 2010</w:t>
      </w:r>
      <w:r w:rsidR="00E50364">
        <w:rPr>
          <w:lang w:val="en-ZA"/>
        </w:rPr>
        <w:t xml:space="preserve"> (‘the Neale report’)</w:t>
      </w:r>
      <w:r w:rsidR="00B014D7">
        <w:rPr>
          <w:lang w:val="en-ZA"/>
        </w:rPr>
        <w:t xml:space="preserve">, which had been </w:t>
      </w:r>
      <w:r w:rsidR="00B014D7">
        <w:rPr>
          <w:lang w:val="en-ZA"/>
        </w:rPr>
        <w:lastRenderedPageBreak/>
        <w:t xml:space="preserve">commissioned by FX Africa with a view to investigating precisely the regularity of the Sanderling Loan repayments to the taxpayer, who, as already indicated was a director of FX Africa at the relevant time. Those payments, in chronological order, were as follows: - </w:t>
      </w:r>
    </w:p>
    <w:tbl>
      <w:tblPr>
        <w:tblStyle w:val="TableGrid"/>
        <w:tblW w:w="0" w:type="auto"/>
        <w:tblInd w:w="567" w:type="dxa"/>
        <w:tblLook w:val="04A0" w:firstRow="1" w:lastRow="0" w:firstColumn="1" w:lastColumn="0" w:noHBand="0" w:noVBand="1"/>
      </w:tblPr>
      <w:tblGrid>
        <w:gridCol w:w="3007"/>
        <w:gridCol w:w="2655"/>
        <w:gridCol w:w="2263"/>
      </w:tblGrid>
      <w:tr w:rsidR="00D33CE7" w:rsidRPr="007E5934" w:rsidTr="00D33CE7">
        <w:tc>
          <w:tcPr>
            <w:tcW w:w="3007" w:type="dxa"/>
          </w:tcPr>
          <w:p w:rsidR="00D33CE7" w:rsidRPr="007E5934" w:rsidRDefault="00D33CE7" w:rsidP="00126CF9">
            <w:pPr>
              <w:rPr>
                <w:rFonts w:cs="Arial"/>
                <w:sz w:val="20"/>
                <w:szCs w:val="20"/>
              </w:rPr>
            </w:pPr>
            <w:r w:rsidRPr="007E5934">
              <w:rPr>
                <w:rFonts w:cs="Arial"/>
                <w:sz w:val="20"/>
                <w:szCs w:val="20"/>
              </w:rPr>
              <w:t>30/04/2008</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255 314</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31/05/2008</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300 000</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30/06/2008</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300 000</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31/07/2008</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300 000</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31/08/2008</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303 188</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30/09/2008</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200 047</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31/10/2008</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549 952</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30/11/2008</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350 000</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31/12/2008</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100 000</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31/01/2009</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83 409</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28/02/2009</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245 020</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r w:rsidR="0053701A">
              <w:rPr>
                <w:rFonts w:cs="Arial"/>
                <w:sz w:val="20"/>
                <w:szCs w:val="20"/>
              </w:rPr>
              <w:t xml:space="preserve"> </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01/04/2009</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300,000</w:t>
            </w:r>
          </w:p>
        </w:tc>
        <w:tc>
          <w:tcPr>
            <w:tcW w:w="2263" w:type="dxa"/>
          </w:tcPr>
          <w:p w:rsidR="00D33CE7" w:rsidRPr="007E5934" w:rsidRDefault="00D33CE7" w:rsidP="007E5934">
            <w:pPr>
              <w:jc w:val="center"/>
              <w:rPr>
                <w:rFonts w:cs="Arial"/>
                <w:sz w:val="20"/>
                <w:szCs w:val="20"/>
              </w:rPr>
            </w:pPr>
            <w:r w:rsidRPr="007E5934">
              <w:rPr>
                <w:rFonts w:cs="Arial"/>
                <w:sz w:val="20"/>
                <w:szCs w:val="20"/>
              </w:rPr>
              <w:t>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04/05/2009</w:t>
            </w:r>
            <w:r w:rsidR="00FE449F">
              <w:rPr>
                <w:rFonts w:cs="Arial"/>
                <w:sz w:val="20"/>
                <w:szCs w:val="20"/>
              </w:rPr>
              <w:t xml:space="preserve"> </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100 000</w:t>
            </w:r>
          </w:p>
        </w:tc>
        <w:tc>
          <w:tcPr>
            <w:tcW w:w="2263" w:type="dxa"/>
          </w:tcPr>
          <w:p w:rsidR="00D33CE7" w:rsidRPr="007E5934" w:rsidRDefault="00D33CE7" w:rsidP="007E5934">
            <w:pPr>
              <w:jc w:val="center"/>
              <w:rPr>
                <w:rFonts w:cs="Arial"/>
                <w:sz w:val="20"/>
                <w:szCs w:val="20"/>
              </w:rPr>
            </w:pPr>
            <w:r w:rsidRPr="007E5934">
              <w:rPr>
                <w:rFonts w:cs="Arial"/>
                <w:sz w:val="20"/>
                <w:szCs w:val="20"/>
              </w:rPr>
              <w:t>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19/05/2009</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1 000 000</w:t>
            </w:r>
          </w:p>
        </w:tc>
        <w:tc>
          <w:tcPr>
            <w:tcW w:w="2263" w:type="dxa"/>
          </w:tcPr>
          <w:p w:rsidR="00D33CE7" w:rsidRPr="007E5934" w:rsidRDefault="00D33CE7" w:rsidP="007E5934">
            <w:pPr>
              <w:jc w:val="center"/>
              <w:rPr>
                <w:rFonts w:cs="Arial"/>
                <w:sz w:val="20"/>
                <w:szCs w:val="20"/>
              </w:rPr>
            </w:pPr>
            <w:r w:rsidRPr="007E5934">
              <w:rPr>
                <w:rFonts w:cs="Arial"/>
                <w:sz w:val="20"/>
                <w:szCs w:val="20"/>
              </w:rPr>
              <w:t>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26/05/2009</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469 000</w:t>
            </w:r>
          </w:p>
        </w:tc>
        <w:tc>
          <w:tcPr>
            <w:tcW w:w="2263" w:type="dxa"/>
          </w:tcPr>
          <w:p w:rsidR="00D33CE7" w:rsidRPr="007E5934" w:rsidRDefault="00D33CE7" w:rsidP="007E5934">
            <w:pPr>
              <w:jc w:val="center"/>
              <w:rPr>
                <w:rFonts w:cs="Arial"/>
                <w:sz w:val="20"/>
                <w:szCs w:val="20"/>
              </w:rPr>
            </w:pPr>
            <w:r w:rsidRPr="007E5934">
              <w:rPr>
                <w:rFonts w:cs="Arial"/>
                <w:sz w:val="20"/>
                <w:szCs w:val="20"/>
              </w:rPr>
              <w:t>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26/05/2009</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72 227</w:t>
            </w:r>
          </w:p>
        </w:tc>
        <w:tc>
          <w:tcPr>
            <w:tcW w:w="2263" w:type="dxa"/>
          </w:tcPr>
          <w:p w:rsidR="00D33CE7" w:rsidRPr="007E5934" w:rsidRDefault="00D33CE7" w:rsidP="007E5934">
            <w:pPr>
              <w:jc w:val="center"/>
              <w:rPr>
                <w:rFonts w:cs="Arial"/>
                <w:sz w:val="20"/>
                <w:szCs w:val="20"/>
              </w:rPr>
            </w:pPr>
            <w:r w:rsidRPr="007E5934">
              <w:rPr>
                <w:rFonts w:cs="Arial"/>
                <w:sz w:val="20"/>
                <w:szCs w:val="20"/>
              </w:rPr>
              <w:t>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11/06/2009</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2 000 000</w:t>
            </w:r>
          </w:p>
        </w:tc>
        <w:tc>
          <w:tcPr>
            <w:tcW w:w="2263" w:type="dxa"/>
          </w:tcPr>
          <w:p w:rsidR="00D33CE7" w:rsidRPr="007E5934" w:rsidRDefault="00D33CE7" w:rsidP="007E5934">
            <w:pPr>
              <w:jc w:val="center"/>
              <w:rPr>
                <w:rFonts w:cs="Arial"/>
                <w:sz w:val="20"/>
                <w:szCs w:val="20"/>
              </w:rPr>
            </w:pPr>
            <w:r w:rsidRPr="007E5934">
              <w:rPr>
                <w:rFonts w:cs="Arial"/>
                <w:sz w:val="20"/>
                <w:szCs w:val="20"/>
              </w:rPr>
              <w:t>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Miscalculation?</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 xml:space="preserve">36 203 </w:t>
            </w:r>
          </w:p>
        </w:tc>
        <w:tc>
          <w:tcPr>
            <w:tcW w:w="2263" w:type="dxa"/>
          </w:tcPr>
          <w:p w:rsidR="00D33CE7" w:rsidRPr="007E5934" w:rsidRDefault="00D33CE7" w:rsidP="007E5934">
            <w:pPr>
              <w:jc w:val="center"/>
              <w:rPr>
                <w:rFonts w:cs="Arial"/>
                <w:sz w:val="20"/>
                <w:szCs w:val="20"/>
              </w:rPr>
            </w:pPr>
            <w:r w:rsidRPr="007E5934">
              <w:rPr>
                <w:rFonts w:cs="Arial"/>
                <w:sz w:val="20"/>
                <w:szCs w:val="20"/>
              </w:rPr>
              <w:t>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30/11/2009</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100 000</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28/02/2010</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250,000</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r w:rsidRPr="007E5934">
              <w:rPr>
                <w:rFonts w:cs="Arial"/>
                <w:sz w:val="20"/>
                <w:szCs w:val="20"/>
              </w:rPr>
              <w:t>31/03/2010</w:t>
            </w:r>
          </w:p>
        </w:tc>
        <w:tc>
          <w:tcPr>
            <w:tcW w:w="2655" w:type="dxa"/>
          </w:tcPr>
          <w:p w:rsidR="00D33CE7" w:rsidRPr="007E5934" w:rsidRDefault="007E5934" w:rsidP="00D33CE7">
            <w:pPr>
              <w:ind w:right="743"/>
              <w:jc w:val="right"/>
              <w:rPr>
                <w:rFonts w:cs="Arial"/>
                <w:sz w:val="20"/>
                <w:szCs w:val="20"/>
              </w:rPr>
            </w:pPr>
            <w:r w:rsidRPr="007E5934">
              <w:rPr>
                <w:rFonts w:cs="Arial"/>
                <w:sz w:val="20"/>
                <w:szCs w:val="20"/>
              </w:rPr>
              <w:t>R</w:t>
            </w:r>
            <w:r w:rsidR="00D33CE7" w:rsidRPr="007E5934">
              <w:rPr>
                <w:rFonts w:cs="Arial"/>
                <w:sz w:val="20"/>
                <w:szCs w:val="20"/>
              </w:rPr>
              <w:t>200,000</w:t>
            </w:r>
          </w:p>
        </w:tc>
        <w:tc>
          <w:tcPr>
            <w:tcW w:w="2263" w:type="dxa"/>
          </w:tcPr>
          <w:p w:rsidR="00D33CE7" w:rsidRPr="007E5934" w:rsidRDefault="00D33CE7" w:rsidP="007E5934">
            <w:pPr>
              <w:jc w:val="center"/>
              <w:rPr>
                <w:rFonts w:cs="Arial"/>
                <w:sz w:val="20"/>
                <w:szCs w:val="20"/>
              </w:rPr>
            </w:pPr>
            <w:r w:rsidRPr="007E5934">
              <w:rPr>
                <w:rFonts w:cs="Arial"/>
                <w:sz w:val="20"/>
                <w:szCs w:val="20"/>
              </w:rPr>
              <w:t>Not approved</w:t>
            </w:r>
          </w:p>
        </w:tc>
      </w:tr>
      <w:tr w:rsidR="00D33CE7" w:rsidRPr="007E5934" w:rsidTr="00D33CE7">
        <w:tc>
          <w:tcPr>
            <w:tcW w:w="3007" w:type="dxa"/>
          </w:tcPr>
          <w:p w:rsidR="00D33CE7" w:rsidRPr="007E5934" w:rsidRDefault="00D33CE7" w:rsidP="00D33CE7">
            <w:pPr>
              <w:rPr>
                <w:rFonts w:cs="Arial"/>
                <w:sz w:val="20"/>
                <w:szCs w:val="20"/>
              </w:rPr>
            </w:pPr>
          </w:p>
        </w:tc>
        <w:tc>
          <w:tcPr>
            <w:tcW w:w="2655" w:type="dxa"/>
          </w:tcPr>
          <w:p w:rsidR="00D33CE7" w:rsidRPr="007E5934" w:rsidRDefault="00D33CE7" w:rsidP="00D33CE7">
            <w:pPr>
              <w:jc w:val="right"/>
              <w:rPr>
                <w:rFonts w:cs="Arial"/>
                <w:sz w:val="20"/>
                <w:szCs w:val="20"/>
              </w:rPr>
            </w:pPr>
          </w:p>
        </w:tc>
        <w:tc>
          <w:tcPr>
            <w:tcW w:w="2263" w:type="dxa"/>
          </w:tcPr>
          <w:p w:rsidR="00D33CE7" w:rsidRPr="007E5934" w:rsidRDefault="00D33CE7" w:rsidP="007E5934">
            <w:pPr>
              <w:jc w:val="center"/>
              <w:rPr>
                <w:rFonts w:cs="Arial"/>
                <w:sz w:val="20"/>
                <w:szCs w:val="20"/>
              </w:rPr>
            </w:pPr>
          </w:p>
        </w:tc>
      </w:tr>
      <w:tr w:rsidR="00D33CE7" w:rsidRPr="007E5934" w:rsidTr="007E5934">
        <w:tc>
          <w:tcPr>
            <w:tcW w:w="3007" w:type="dxa"/>
          </w:tcPr>
          <w:p w:rsidR="00D33CE7" w:rsidRPr="007E5934" w:rsidRDefault="007E5934" w:rsidP="00D33CE7">
            <w:pPr>
              <w:rPr>
                <w:rFonts w:cs="Arial"/>
                <w:b/>
                <w:sz w:val="20"/>
                <w:szCs w:val="20"/>
              </w:rPr>
            </w:pPr>
            <w:r w:rsidRPr="007E5934">
              <w:rPr>
                <w:rFonts w:cs="Arial"/>
                <w:b/>
                <w:sz w:val="20"/>
                <w:szCs w:val="20"/>
              </w:rPr>
              <w:t xml:space="preserve">TOTAL </w:t>
            </w:r>
          </w:p>
        </w:tc>
        <w:tc>
          <w:tcPr>
            <w:tcW w:w="2655" w:type="dxa"/>
          </w:tcPr>
          <w:p w:rsidR="00D33CE7" w:rsidRPr="007E5934" w:rsidRDefault="007E5934" w:rsidP="007E5934">
            <w:pPr>
              <w:ind w:right="743"/>
              <w:jc w:val="right"/>
              <w:rPr>
                <w:rFonts w:cs="Arial"/>
                <w:b/>
                <w:sz w:val="20"/>
                <w:szCs w:val="20"/>
              </w:rPr>
            </w:pPr>
            <w:r w:rsidRPr="007E5934">
              <w:rPr>
                <w:rFonts w:cs="Arial"/>
                <w:b/>
                <w:sz w:val="20"/>
                <w:szCs w:val="20"/>
              </w:rPr>
              <w:t>R7 514 360,00</w:t>
            </w:r>
          </w:p>
        </w:tc>
        <w:tc>
          <w:tcPr>
            <w:tcW w:w="2263" w:type="dxa"/>
            <w:shd w:val="clear" w:color="auto" w:fill="D9D9D9" w:themeFill="background1" w:themeFillShade="D9"/>
          </w:tcPr>
          <w:p w:rsidR="00D33CE7" w:rsidRPr="007E5934" w:rsidRDefault="00D33CE7" w:rsidP="007E5934">
            <w:pPr>
              <w:jc w:val="center"/>
              <w:rPr>
                <w:rFonts w:cs="Arial"/>
                <w:b/>
                <w:sz w:val="20"/>
                <w:szCs w:val="20"/>
              </w:rPr>
            </w:pPr>
          </w:p>
        </w:tc>
      </w:tr>
    </w:tbl>
    <w:p w:rsidR="00D764FB" w:rsidRDefault="00D63A02" w:rsidP="00D63A02">
      <w:pPr>
        <w:pStyle w:val="LegalList1"/>
        <w:spacing w:before="240" w:after="120" w:line="360" w:lineRule="auto"/>
        <w:rPr>
          <w:lang w:val="en-ZA"/>
        </w:rPr>
      </w:pPr>
      <w:r>
        <w:rPr>
          <w:lang w:val="en-ZA"/>
        </w:rPr>
        <w:t>[19].</w:t>
      </w:r>
      <w:r>
        <w:rPr>
          <w:lang w:val="en-ZA"/>
        </w:rPr>
        <w:tab/>
      </w:r>
      <w:r w:rsidR="00E959C3">
        <w:rPr>
          <w:lang w:val="en-ZA"/>
        </w:rPr>
        <w:t xml:space="preserve">I will revert to these payments </w:t>
      </w:r>
      <w:r w:rsidR="00E50364">
        <w:rPr>
          <w:lang w:val="en-ZA"/>
        </w:rPr>
        <w:t>later on in the judgment. At this juncture it bears emphasis</w:t>
      </w:r>
      <w:r w:rsidR="00D764FB">
        <w:rPr>
          <w:lang w:val="en-ZA"/>
        </w:rPr>
        <w:t>ing</w:t>
      </w:r>
      <w:r w:rsidR="00E50364">
        <w:rPr>
          <w:lang w:val="en-ZA"/>
        </w:rPr>
        <w:t xml:space="preserve"> that these repayments are not seriously disputed by the taxpayer and it can and should therefore be accepted as common cause that </w:t>
      </w:r>
      <w:r w:rsidR="00E959C3">
        <w:rPr>
          <w:lang w:val="en-ZA"/>
        </w:rPr>
        <w:t>the taxpayer</w:t>
      </w:r>
      <w:r w:rsidR="00D764FB">
        <w:rPr>
          <w:lang w:val="en-ZA"/>
        </w:rPr>
        <w:t xml:space="preserve"> received in some form or another these payments, as repayments of the Sanderling loan account, on the dates mentioned.</w:t>
      </w:r>
    </w:p>
    <w:p w:rsidR="00873391" w:rsidRPr="005E558B" w:rsidRDefault="00D63A02" w:rsidP="00D63A02">
      <w:pPr>
        <w:pStyle w:val="LegalList1"/>
        <w:spacing w:after="120" w:line="360" w:lineRule="auto"/>
        <w:rPr>
          <w:lang w:val="en-ZA"/>
        </w:rPr>
      </w:pPr>
      <w:r w:rsidRPr="005E558B">
        <w:rPr>
          <w:lang w:val="en-ZA"/>
        </w:rPr>
        <w:t>[20].</w:t>
      </w:r>
      <w:r w:rsidRPr="005E558B">
        <w:rPr>
          <w:lang w:val="en-ZA"/>
        </w:rPr>
        <w:tab/>
      </w:r>
      <w:r w:rsidR="005E558B">
        <w:rPr>
          <w:lang w:val="en-ZA"/>
        </w:rPr>
        <w:t>As regards the list of payments received by the taxpayer</w:t>
      </w:r>
      <w:r w:rsidR="0012746D">
        <w:rPr>
          <w:lang w:val="en-ZA"/>
        </w:rPr>
        <w:t xml:space="preserve"> into his Investec Bank account (totalling R913 000 of the R963 000 total for the 2007 tax year) </w:t>
      </w:r>
      <w:r w:rsidR="005E558B">
        <w:rPr>
          <w:lang w:val="en-ZA"/>
        </w:rPr>
        <w:t>from ‘</w:t>
      </w:r>
      <w:r w:rsidR="0012746D">
        <w:rPr>
          <w:lang w:val="en-ZA"/>
        </w:rPr>
        <w:t>PHNX/</w:t>
      </w:r>
      <w:r w:rsidR="005E558B">
        <w:rPr>
          <w:lang w:val="en-ZA"/>
        </w:rPr>
        <w:t>Pad</w:t>
      </w:r>
      <w:r w:rsidR="0012746D">
        <w:rPr>
          <w:lang w:val="en-ZA"/>
        </w:rPr>
        <w:t>d</w:t>
      </w:r>
      <w:r w:rsidR="005E558B">
        <w:rPr>
          <w:lang w:val="en-ZA"/>
        </w:rPr>
        <w:t>y</w:t>
      </w:r>
      <w:r w:rsidR="0012746D">
        <w:rPr>
          <w:lang w:val="en-ZA"/>
        </w:rPr>
        <w:t>2520</w:t>
      </w:r>
      <w:r w:rsidR="005E558B">
        <w:rPr>
          <w:lang w:val="en-ZA"/>
        </w:rPr>
        <w:t>’</w:t>
      </w:r>
      <w:r w:rsidR="0012746D">
        <w:rPr>
          <w:lang w:val="en-ZA"/>
        </w:rPr>
        <w:t xml:space="preserve"> during the 2007 tax year of assessment</w:t>
      </w:r>
      <w:r w:rsidR="00873391" w:rsidRPr="00873391">
        <w:rPr>
          <w:lang w:val="en-ZA"/>
        </w:rPr>
        <w:t>,</w:t>
      </w:r>
      <w:r w:rsidR="0012746D">
        <w:rPr>
          <w:lang w:val="en-ZA"/>
        </w:rPr>
        <w:t xml:space="preserve"> the taxpayer </w:t>
      </w:r>
      <w:r w:rsidR="0012746D">
        <w:rPr>
          <w:lang w:val="en-ZA"/>
        </w:rPr>
        <w:lastRenderedPageBreak/>
        <w:t>explained that ‘Paddy Pads 2520’</w:t>
      </w:r>
      <w:r w:rsidR="00873391" w:rsidRPr="00873391">
        <w:rPr>
          <w:lang w:val="en-ZA"/>
        </w:rPr>
        <w:t xml:space="preserve"> was a business venture which traded for </w:t>
      </w:r>
      <w:r w:rsidR="0012746D">
        <w:rPr>
          <w:lang w:val="en-ZA"/>
        </w:rPr>
        <w:t>eighteen</w:t>
      </w:r>
      <w:r w:rsidR="00873391" w:rsidRPr="00873391">
        <w:rPr>
          <w:lang w:val="en-ZA"/>
        </w:rPr>
        <w:t xml:space="preserve"> months </w:t>
      </w:r>
      <w:r w:rsidR="0012746D">
        <w:rPr>
          <w:lang w:val="en-ZA"/>
        </w:rPr>
        <w:t>during</w:t>
      </w:r>
      <w:r w:rsidR="00873391" w:rsidRPr="00873391">
        <w:rPr>
          <w:lang w:val="en-ZA"/>
        </w:rPr>
        <w:t xml:space="preserve"> the period</w:t>
      </w:r>
      <w:r w:rsidR="005E558B">
        <w:rPr>
          <w:lang w:val="en-ZA"/>
        </w:rPr>
        <w:t xml:space="preserve"> </w:t>
      </w:r>
      <w:r w:rsidR="00873391" w:rsidRPr="005E558B">
        <w:rPr>
          <w:lang w:val="en-ZA"/>
        </w:rPr>
        <w:t xml:space="preserve">March 2005 to September 2006. </w:t>
      </w:r>
      <w:r w:rsidR="0012746D">
        <w:rPr>
          <w:lang w:val="en-ZA"/>
        </w:rPr>
        <w:t>He had allegedly i</w:t>
      </w:r>
      <w:r w:rsidR="00873391" w:rsidRPr="005E558B">
        <w:rPr>
          <w:lang w:val="en-ZA"/>
        </w:rPr>
        <w:t>nveste</w:t>
      </w:r>
      <w:r w:rsidR="0012746D">
        <w:rPr>
          <w:lang w:val="en-ZA"/>
        </w:rPr>
        <w:t>d the sum of approximately R910 </w:t>
      </w:r>
      <w:r w:rsidR="00873391" w:rsidRPr="005E558B">
        <w:rPr>
          <w:lang w:val="en-ZA"/>
        </w:rPr>
        <w:t xml:space="preserve">000 in </w:t>
      </w:r>
      <w:r w:rsidR="0012746D">
        <w:rPr>
          <w:lang w:val="en-ZA"/>
        </w:rPr>
        <w:t>this venture, by lending and advancing to the said entity the said sum int</w:t>
      </w:r>
      <w:r w:rsidR="00873391" w:rsidRPr="005E558B">
        <w:rPr>
          <w:lang w:val="en-ZA"/>
        </w:rPr>
        <w:t>erest free</w:t>
      </w:r>
      <w:r w:rsidR="0012746D">
        <w:rPr>
          <w:lang w:val="en-ZA"/>
        </w:rPr>
        <w:t xml:space="preserve"> and</w:t>
      </w:r>
      <w:r w:rsidR="00873391" w:rsidRPr="005E558B">
        <w:rPr>
          <w:lang w:val="en-ZA"/>
        </w:rPr>
        <w:t xml:space="preserve"> </w:t>
      </w:r>
      <w:r w:rsidR="0012746D">
        <w:rPr>
          <w:lang w:val="en-ZA"/>
        </w:rPr>
        <w:t>re</w:t>
      </w:r>
      <w:r w:rsidR="00873391" w:rsidRPr="005E558B">
        <w:rPr>
          <w:lang w:val="en-ZA"/>
        </w:rPr>
        <w:t>payable on demand.</w:t>
      </w:r>
      <w:r w:rsidR="0012746D">
        <w:rPr>
          <w:lang w:val="en-ZA"/>
        </w:rPr>
        <w:t xml:space="preserve"> It is this loan amount, which were repaid into the taxpayer’s Investec bank account by Paddy Pads 2520 from </w:t>
      </w:r>
      <w:r w:rsidR="00873391" w:rsidRPr="005E558B">
        <w:rPr>
          <w:lang w:val="en-ZA"/>
        </w:rPr>
        <w:t>March 2006 to October 2006.</w:t>
      </w:r>
    </w:p>
    <w:p w:rsidR="00873391" w:rsidRPr="00220BEB" w:rsidRDefault="00D63A02" w:rsidP="00D63A02">
      <w:pPr>
        <w:pStyle w:val="LegalList1"/>
        <w:spacing w:after="120" w:line="360" w:lineRule="auto"/>
        <w:rPr>
          <w:lang w:val="en-ZA"/>
        </w:rPr>
      </w:pPr>
      <w:r w:rsidRPr="00220BEB">
        <w:rPr>
          <w:lang w:val="en-ZA"/>
        </w:rPr>
        <w:t>[21].</w:t>
      </w:r>
      <w:r w:rsidRPr="00220BEB">
        <w:rPr>
          <w:lang w:val="en-ZA"/>
        </w:rPr>
        <w:tab/>
      </w:r>
      <w:r w:rsidR="0012746D">
        <w:rPr>
          <w:lang w:val="en-ZA"/>
        </w:rPr>
        <w:t>During</w:t>
      </w:r>
      <w:r w:rsidR="00873391" w:rsidRPr="00873391">
        <w:rPr>
          <w:lang w:val="en-ZA"/>
        </w:rPr>
        <w:t xml:space="preserve"> September 2006,</w:t>
      </w:r>
      <w:r w:rsidR="0012746D">
        <w:rPr>
          <w:lang w:val="en-ZA"/>
        </w:rPr>
        <w:t xml:space="preserve"> so the taxpayer avers,</w:t>
      </w:r>
      <w:r w:rsidR="00873391" w:rsidRPr="00873391">
        <w:rPr>
          <w:lang w:val="en-ZA"/>
        </w:rPr>
        <w:t xml:space="preserve"> it became apparent that </w:t>
      </w:r>
      <w:r w:rsidR="0012746D">
        <w:rPr>
          <w:lang w:val="en-ZA"/>
        </w:rPr>
        <w:t>Paddy Pads 2520 was not profitable and</w:t>
      </w:r>
      <w:r w:rsidR="0012746D">
        <w:rPr>
          <w:lang w:val="en-ZA"/>
        </w:rPr>
        <w:tab/>
        <w:t xml:space="preserve"> </w:t>
      </w:r>
      <w:r w:rsidR="00873391" w:rsidRPr="0012746D">
        <w:rPr>
          <w:lang w:val="en-ZA"/>
        </w:rPr>
        <w:t>the business venture ceased</w:t>
      </w:r>
      <w:r w:rsidR="0012746D">
        <w:rPr>
          <w:lang w:val="en-ZA"/>
        </w:rPr>
        <w:t xml:space="preserve"> and t</w:t>
      </w:r>
      <w:r w:rsidR="00873391" w:rsidRPr="0012746D">
        <w:rPr>
          <w:lang w:val="en-ZA"/>
        </w:rPr>
        <w:t>he business operations were wound up.</w:t>
      </w:r>
      <w:r w:rsidR="00220BEB">
        <w:rPr>
          <w:lang w:val="en-ZA"/>
        </w:rPr>
        <w:t xml:space="preserve"> </w:t>
      </w:r>
      <w:r w:rsidR="00873391" w:rsidRPr="00220BEB">
        <w:rPr>
          <w:lang w:val="en-ZA"/>
        </w:rPr>
        <w:t>Given the efflux of time, no a</w:t>
      </w:r>
      <w:r w:rsidR="00220BEB">
        <w:rPr>
          <w:lang w:val="en-ZA"/>
        </w:rPr>
        <w:t xml:space="preserve">ccounting records are available, nor any other supporting documentation. </w:t>
      </w:r>
    </w:p>
    <w:p w:rsidR="00873391" w:rsidRPr="00873391" w:rsidRDefault="00D63A02" w:rsidP="00D63A02">
      <w:pPr>
        <w:pStyle w:val="LegalList1"/>
        <w:spacing w:after="120" w:line="360" w:lineRule="auto"/>
        <w:rPr>
          <w:lang w:val="en-ZA"/>
        </w:rPr>
      </w:pPr>
      <w:r w:rsidRPr="00873391">
        <w:rPr>
          <w:lang w:val="en-ZA"/>
        </w:rPr>
        <w:t>[22].</w:t>
      </w:r>
      <w:r w:rsidRPr="00873391">
        <w:rPr>
          <w:lang w:val="en-ZA"/>
        </w:rPr>
        <w:tab/>
      </w:r>
      <w:r w:rsidR="00220BEB">
        <w:rPr>
          <w:lang w:val="en-ZA"/>
        </w:rPr>
        <w:t xml:space="preserve">I interpose here to note that at no stage, and especially not when submitting during November 2007 his income tax return for the 2007 tax year of assessment, did the taxpayer disclose to SARS that he had received payment of the total sum of R913 000 from Paddy Pads 2520 (or, for that matter, an unexplained amount of R50 000 in cash from an undisclosed source) and that the said receipts were of a capital nature, being loan repayments. Little wonder then that SARS is sceptical about this explanation, especially if regard is had to the dearth of information surrounding this supposed business venture. The same is true of all of the other receipts into the taxpayer’s bank accounts during the 2008, 2009 and 2010 tax years of assessment. </w:t>
      </w:r>
    </w:p>
    <w:p w:rsidR="00873391" w:rsidRPr="000D5019" w:rsidRDefault="00D63A02" w:rsidP="00D63A02">
      <w:pPr>
        <w:pStyle w:val="LegalList1"/>
        <w:spacing w:after="120" w:line="360" w:lineRule="auto"/>
        <w:rPr>
          <w:lang w:val="en-ZA"/>
        </w:rPr>
      </w:pPr>
      <w:r w:rsidRPr="000D5019">
        <w:rPr>
          <w:lang w:val="en-ZA"/>
        </w:rPr>
        <w:t>[23].</w:t>
      </w:r>
      <w:r w:rsidRPr="000D5019">
        <w:rPr>
          <w:lang w:val="en-ZA"/>
        </w:rPr>
        <w:tab/>
      </w:r>
      <w:r w:rsidR="00EA13C8">
        <w:rPr>
          <w:lang w:val="en-ZA"/>
        </w:rPr>
        <w:t xml:space="preserve">As for the payments received by the taxpayer into his </w:t>
      </w:r>
      <w:r w:rsidR="00873391" w:rsidRPr="00873391">
        <w:rPr>
          <w:lang w:val="en-ZA"/>
        </w:rPr>
        <w:t xml:space="preserve">Nedbank </w:t>
      </w:r>
      <w:r w:rsidR="00EA13C8">
        <w:rPr>
          <w:lang w:val="en-ZA"/>
        </w:rPr>
        <w:t>bank</w:t>
      </w:r>
      <w:r w:rsidR="000D5019">
        <w:rPr>
          <w:lang w:val="en-ZA"/>
        </w:rPr>
        <w:t xml:space="preserve"> account, amounting in total to</w:t>
      </w:r>
      <w:r w:rsidR="00EA13C8">
        <w:rPr>
          <w:lang w:val="en-ZA"/>
        </w:rPr>
        <w:t xml:space="preserve"> </w:t>
      </w:r>
      <w:r w:rsidR="00873391" w:rsidRPr="00873391">
        <w:rPr>
          <w:lang w:val="en-ZA"/>
        </w:rPr>
        <w:t>R143</w:t>
      </w:r>
      <w:r w:rsidR="000D5019">
        <w:rPr>
          <w:lang w:val="en-ZA"/>
        </w:rPr>
        <w:t> </w:t>
      </w:r>
      <w:r w:rsidR="00873391" w:rsidRPr="00873391">
        <w:rPr>
          <w:lang w:val="en-ZA"/>
        </w:rPr>
        <w:t>073</w:t>
      </w:r>
      <w:r w:rsidR="000D5019">
        <w:rPr>
          <w:lang w:val="en-ZA"/>
        </w:rPr>
        <w:t>.12, the taxpayer contends that those deposits</w:t>
      </w:r>
      <w:r w:rsidR="00873391" w:rsidRPr="000D5019">
        <w:rPr>
          <w:lang w:val="en-ZA"/>
        </w:rPr>
        <w:t xml:space="preserve"> were either transfers from </w:t>
      </w:r>
      <w:r w:rsidR="000D5019">
        <w:rPr>
          <w:lang w:val="en-ZA"/>
        </w:rPr>
        <w:t xml:space="preserve">his </w:t>
      </w:r>
      <w:r w:rsidR="00873391" w:rsidRPr="000D5019">
        <w:rPr>
          <w:lang w:val="en-ZA"/>
        </w:rPr>
        <w:t xml:space="preserve">Investec Bank account or payments made by </w:t>
      </w:r>
      <w:r w:rsidR="000D5019">
        <w:rPr>
          <w:lang w:val="en-ZA"/>
        </w:rPr>
        <w:t xml:space="preserve">him </w:t>
      </w:r>
      <w:r w:rsidR="00873391" w:rsidRPr="000D5019">
        <w:rPr>
          <w:lang w:val="en-ZA"/>
        </w:rPr>
        <w:t>into the Nedbank bank account. The Nedbank bank account</w:t>
      </w:r>
      <w:r w:rsidR="000D5019">
        <w:rPr>
          <w:lang w:val="en-ZA"/>
        </w:rPr>
        <w:t>, so the taxpayer explains,</w:t>
      </w:r>
      <w:r w:rsidR="00873391" w:rsidRPr="000D5019">
        <w:rPr>
          <w:lang w:val="en-ZA"/>
        </w:rPr>
        <w:t xml:space="preserve"> is operated by </w:t>
      </w:r>
      <w:r w:rsidR="000D5019">
        <w:rPr>
          <w:lang w:val="en-ZA"/>
        </w:rPr>
        <w:t>his</w:t>
      </w:r>
      <w:r w:rsidR="00873391" w:rsidRPr="000D5019">
        <w:rPr>
          <w:lang w:val="en-ZA"/>
        </w:rPr>
        <w:t xml:space="preserve"> wife for the payment of the household and personal expenditure of </w:t>
      </w:r>
      <w:r w:rsidR="000D5019">
        <w:rPr>
          <w:lang w:val="en-ZA"/>
        </w:rPr>
        <w:t xml:space="preserve">their </w:t>
      </w:r>
      <w:r w:rsidR="00873391" w:rsidRPr="000D5019">
        <w:rPr>
          <w:lang w:val="en-ZA"/>
        </w:rPr>
        <w:t>family. Consequently, SARS, in considering the deposits into the Nedbank bank account as income in the appellant's hands, has duplicated the classification SARS has made in considering all deposits into the appellant's Investec Bank account as income and then again considering the transfer from the Investec Bank</w:t>
      </w:r>
      <w:r w:rsidR="000D5019">
        <w:rPr>
          <w:lang w:val="en-ZA"/>
        </w:rPr>
        <w:t xml:space="preserve"> </w:t>
      </w:r>
      <w:r w:rsidR="00873391" w:rsidRPr="000D5019">
        <w:rPr>
          <w:lang w:val="en-ZA"/>
        </w:rPr>
        <w:t>account into the Nedbank bank account or d</w:t>
      </w:r>
      <w:r w:rsidR="000D5019">
        <w:rPr>
          <w:lang w:val="en-ZA"/>
        </w:rPr>
        <w:t xml:space="preserve">eposits made by him </w:t>
      </w:r>
      <w:r w:rsidR="00873391" w:rsidRPr="000D5019">
        <w:rPr>
          <w:lang w:val="en-ZA"/>
        </w:rPr>
        <w:t xml:space="preserve">into the bank account as income in the appellant's hands. </w:t>
      </w:r>
      <w:r w:rsidR="00873391" w:rsidRPr="000D5019">
        <w:rPr>
          <w:lang w:val="en-ZA"/>
        </w:rPr>
        <w:lastRenderedPageBreak/>
        <w:t>There is no basis at law for SARS to consid</w:t>
      </w:r>
      <w:r w:rsidR="00E24A3D">
        <w:rPr>
          <w:lang w:val="en-ZA"/>
        </w:rPr>
        <w:t>er the deposits as income twice, so the contention on behalf of the taxpayer goes.</w:t>
      </w:r>
    </w:p>
    <w:p w:rsidR="00C63A94" w:rsidRDefault="00D63A02" w:rsidP="00D63A02">
      <w:pPr>
        <w:pStyle w:val="LegalList1"/>
        <w:spacing w:after="120" w:line="360" w:lineRule="auto"/>
        <w:rPr>
          <w:lang w:val="en-ZA"/>
        </w:rPr>
      </w:pPr>
      <w:r>
        <w:rPr>
          <w:lang w:val="en-ZA"/>
        </w:rPr>
        <w:t>[24].</w:t>
      </w:r>
      <w:r>
        <w:rPr>
          <w:lang w:val="en-ZA"/>
        </w:rPr>
        <w:tab/>
      </w:r>
      <w:r w:rsidR="00E959C3">
        <w:rPr>
          <w:lang w:val="en-ZA"/>
        </w:rPr>
        <w:t xml:space="preserve">With that factual background in mind, I now proceed to deal with the issues which require consideration in this appeal. A convenient starting point </w:t>
      </w:r>
      <w:r w:rsidR="008B1D8A">
        <w:rPr>
          <w:lang w:val="en-ZA"/>
        </w:rPr>
        <w:t>is, in my view, a brief discussion of the relevant legislative provisions.</w:t>
      </w:r>
    </w:p>
    <w:p w:rsidR="009C63B4" w:rsidRPr="009C63B4" w:rsidRDefault="00D63A02" w:rsidP="00D63A02">
      <w:pPr>
        <w:pStyle w:val="LegalList1"/>
        <w:spacing w:after="0" w:line="360" w:lineRule="auto"/>
        <w:rPr>
          <w:lang w:val="en-ZA"/>
        </w:rPr>
      </w:pPr>
      <w:r w:rsidRPr="009C63B4">
        <w:rPr>
          <w:lang w:val="en-ZA"/>
        </w:rPr>
        <w:t>[25].</w:t>
      </w:r>
      <w:r w:rsidRPr="009C63B4">
        <w:rPr>
          <w:lang w:val="en-ZA"/>
        </w:rPr>
        <w:tab/>
      </w:r>
      <w:r w:rsidR="009C63B4" w:rsidRPr="009C63B4">
        <w:rPr>
          <w:lang w:val="en-ZA"/>
        </w:rPr>
        <w:t>Section 5(1)(c) of the Income Tax Act</w:t>
      </w:r>
      <w:r w:rsidR="008B1D8A">
        <w:rPr>
          <w:rStyle w:val="FootnoteReference"/>
          <w:lang w:val="en-ZA"/>
        </w:rPr>
        <w:footnoteReference w:id="2"/>
      </w:r>
      <w:r w:rsidR="008B1D8A">
        <w:rPr>
          <w:lang w:val="en-ZA"/>
        </w:rPr>
        <w:t xml:space="preserve"> (‘the </w:t>
      </w:r>
      <w:r w:rsidR="009C63B4" w:rsidRPr="009C63B4">
        <w:rPr>
          <w:lang w:val="en-ZA"/>
        </w:rPr>
        <w:t>Income</w:t>
      </w:r>
      <w:r w:rsidR="008B1D8A">
        <w:rPr>
          <w:lang w:val="en-ZA"/>
        </w:rPr>
        <w:t xml:space="preserve"> Tax Act’</w:t>
      </w:r>
      <w:r w:rsidR="009C63B4" w:rsidRPr="009C63B4">
        <w:rPr>
          <w:lang w:val="en-ZA"/>
        </w:rPr>
        <w:t xml:space="preserve">) </w:t>
      </w:r>
      <w:r w:rsidR="008B1D8A">
        <w:rPr>
          <w:lang w:val="en-ZA"/>
        </w:rPr>
        <w:t>provides as follows</w:t>
      </w:r>
      <w:r w:rsidR="009C63B4" w:rsidRPr="009C63B4">
        <w:rPr>
          <w:lang w:val="en-ZA"/>
        </w:rPr>
        <w:t>:</w:t>
      </w:r>
    </w:p>
    <w:p w:rsidR="009C63B4" w:rsidRPr="008B1D8A" w:rsidRDefault="008B1D8A" w:rsidP="008B1D8A">
      <w:pPr>
        <w:pStyle w:val="LegalList1"/>
        <w:spacing w:after="0" w:line="360" w:lineRule="auto"/>
        <w:rPr>
          <w:sz w:val="20"/>
          <w:szCs w:val="20"/>
          <w:lang w:val="en-ZA"/>
        </w:rPr>
      </w:pPr>
      <w:r>
        <w:rPr>
          <w:sz w:val="20"/>
          <w:szCs w:val="20"/>
          <w:lang w:val="en-ZA"/>
        </w:rPr>
        <w:t>‘</w:t>
      </w:r>
      <w:r w:rsidR="009C63B4" w:rsidRPr="008B1D8A">
        <w:rPr>
          <w:sz w:val="20"/>
          <w:szCs w:val="20"/>
          <w:lang w:val="en-ZA"/>
        </w:rPr>
        <w:t>Subject to the provisions of the Fourth Schedule there shall be paid annually for the benefit of the National Revenue Fund, an income tax (in this Act referred to as ‘the normal tax’) in respect of the taxable income received by or accr</w:t>
      </w:r>
      <w:r>
        <w:rPr>
          <w:sz w:val="20"/>
          <w:szCs w:val="20"/>
          <w:lang w:val="en-ZA"/>
        </w:rPr>
        <w:t xml:space="preserve">ued to or in favour of – </w:t>
      </w:r>
    </w:p>
    <w:p w:rsidR="009C63B4" w:rsidRDefault="00D63A02" w:rsidP="00D63A02">
      <w:pPr>
        <w:pStyle w:val="LegalList1"/>
        <w:spacing w:after="0" w:line="360" w:lineRule="auto"/>
        <w:ind w:left="567" w:hanging="567"/>
        <w:rPr>
          <w:sz w:val="20"/>
          <w:szCs w:val="20"/>
          <w:lang w:val="en-ZA"/>
        </w:rPr>
      </w:pPr>
      <w:r>
        <w:rPr>
          <w:sz w:val="20"/>
          <w:szCs w:val="20"/>
          <w:lang w:val="en-ZA"/>
        </w:rPr>
        <w:t>(a)</w:t>
      </w:r>
      <w:r>
        <w:rPr>
          <w:sz w:val="20"/>
          <w:szCs w:val="20"/>
          <w:lang w:val="en-ZA"/>
        </w:rPr>
        <w:tab/>
      </w:r>
      <w:r w:rsidR="008B1D8A">
        <w:rPr>
          <w:sz w:val="20"/>
          <w:szCs w:val="20"/>
          <w:lang w:val="en-ZA"/>
        </w:rPr>
        <w:t>… … …;</w:t>
      </w:r>
    </w:p>
    <w:p w:rsidR="008B1D8A" w:rsidRDefault="00D63A02" w:rsidP="00D63A02">
      <w:pPr>
        <w:pStyle w:val="LegalList1"/>
        <w:spacing w:after="0" w:line="360" w:lineRule="auto"/>
        <w:ind w:left="567" w:hanging="567"/>
        <w:rPr>
          <w:sz w:val="20"/>
          <w:szCs w:val="20"/>
          <w:lang w:val="en-ZA"/>
        </w:rPr>
      </w:pPr>
      <w:r>
        <w:rPr>
          <w:sz w:val="20"/>
          <w:szCs w:val="20"/>
          <w:lang w:val="en-ZA"/>
        </w:rPr>
        <w:t>(b)</w:t>
      </w:r>
      <w:r>
        <w:rPr>
          <w:sz w:val="20"/>
          <w:szCs w:val="20"/>
          <w:lang w:val="en-ZA"/>
        </w:rPr>
        <w:tab/>
      </w:r>
      <w:r w:rsidR="008B1D8A">
        <w:rPr>
          <w:sz w:val="20"/>
          <w:szCs w:val="20"/>
          <w:lang w:val="en-ZA"/>
        </w:rPr>
        <w:t xml:space="preserve">… … …; </w:t>
      </w:r>
    </w:p>
    <w:p w:rsidR="009C63B4" w:rsidRPr="008B1D8A" w:rsidRDefault="00D63A02" w:rsidP="00D63A02">
      <w:pPr>
        <w:pStyle w:val="LegalList1"/>
        <w:spacing w:after="120" w:line="360" w:lineRule="auto"/>
        <w:ind w:left="567" w:hanging="567"/>
        <w:rPr>
          <w:sz w:val="20"/>
          <w:szCs w:val="20"/>
          <w:lang w:val="en-ZA"/>
        </w:rPr>
      </w:pPr>
      <w:r w:rsidRPr="008B1D8A">
        <w:rPr>
          <w:sz w:val="20"/>
          <w:szCs w:val="20"/>
          <w:lang w:val="en-ZA"/>
        </w:rPr>
        <w:t>(c)</w:t>
      </w:r>
      <w:r w:rsidRPr="008B1D8A">
        <w:rPr>
          <w:sz w:val="20"/>
          <w:szCs w:val="20"/>
          <w:lang w:val="en-ZA"/>
        </w:rPr>
        <w:tab/>
      </w:r>
      <w:r w:rsidR="009C63B4" w:rsidRPr="008B1D8A">
        <w:rPr>
          <w:sz w:val="20"/>
          <w:szCs w:val="20"/>
          <w:lang w:val="en-ZA"/>
        </w:rPr>
        <w:t>any person (other than a company) d</w:t>
      </w:r>
      <w:r w:rsidR="008B1D8A">
        <w:rPr>
          <w:sz w:val="20"/>
          <w:szCs w:val="20"/>
          <w:lang w:val="en-ZA"/>
        </w:rPr>
        <w:t>uring the year of assessment …’.</w:t>
      </w:r>
    </w:p>
    <w:p w:rsidR="00902E8E" w:rsidRDefault="00D63A02" w:rsidP="00D63A02">
      <w:pPr>
        <w:pStyle w:val="LegalList1"/>
        <w:spacing w:after="0" w:line="360" w:lineRule="auto"/>
        <w:rPr>
          <w:lang w:val="en-ZA"/>
        </w:rPr>
      </w:pPr>
      <w:r>
        <w:rPr>
          <w:lang w:val="en-ZA"/>
        </w:rPr>
        <w:t>[26].</w:t>
      </w:r>
      <w:r>
        <w:rPr>
          <w:lang w:val="en-ZA"/>
        </w:rPr>
        <w:tab/>
      </w:r>
      <w:r w:rsidR="008B1D8A">
        <w:rPr>
          <w:lang w:val="en-ZA"/>
        </w:rPr>
        <w:t>‘Taxable income’</w:t>
      </w:r>
      <w:r w:rsidR="009C63B4" w:rsidRPr="009C63B4">
        <w:rPr>
          <w:lang w:val="en-ZA"/>
        </w:rPr>
        <w:t xml:space="preserve"> is defined in s 1 of the Income Tax Act </w:t>
      </w:r>
      <w:r w:rsidR="008B1D8A">
        <w:rPr>
          <w:lang w:val="en-ZA"/>
        </w:rPr>
        <w:t>as ‘the aggregate of</w:t>
      </w:r>
      <w:r w:rsidR="00902E8E">
        <w:rPr>
          <w:lang w:val="en-ZA"/>
        </w:rPr>
        <w:t xml:space="preserve">: - </w:t>
      </w:r>
    </w:p>
    <w:p w:rsidR="009C63B4" w:rsidRPr="00902E8E" w:rsidRDefault="00D63A02" w:rsidP="00D63A02">
      <w:pPr>
        <w:pStyle w:val="LegalList1"/>
        <w:spacing w:after="120" w:line="360" w:lineRule="auto"/>
        <w:ind w:left="567" w:hanging="567"/>
        <w:rPr>
          <w:sz w:val="20"/>
          <w:szCs w:val="20"/>
          <w:lang w:val="en-ZA"/>
        </w:rPr>
      </w:pPr>
      <w:r w:rsidRPr="00902E8E">
        <w:rPr>
          <w:sz w:val="20"/>
          <w:szCs w:val="20"/>
          <w:lang w:val="en-ZA"/>
        </w:rPr>
        <w:t>(a)</w:t>
      </w:r>
      <w:r w:rsidRPr="00902E8E">
        <w:rPr>
          <w:sz w:val="20"/>
          <w:szCs w:val="20"/>
          <w:lang w:val="en-ZA"/>
        </w:rPr>
        <w:tab/>
      </w:r>
      <w:r w:rsidR="009C63B4" w:rsidRPr="00902E8E">
        <w:rPr>
          <w:sz w:val="20"/>
          <w:szCs w:val="20"/>
          <w:lang w:val="en-ZA"/>
        </w:rPr>
        <w:t>the amount remaining after deducting from the income of any person all the amounts allowed under Part 1 of Chapter 2 to be deducted from or</w:t>
      </w:r>
      <w:r w:rsidR="00902E8E">
        <w:rPr>
          <w:sz w:val="20"/>
          <w:szCs w:val="20"/>
          <w:lang w:val="en-ZA"/>
        </w:rPr>
        <w:t xml:space="preserve"> set off against such income …’.</w:t>
      </w:r>
    </w:p>
    <w:p w:rsidR="009C63B4" w:rsidRPr="00902E8E" w:rsidRDefault="00D63A02" w:rsidP="00D63A02">
      <w:pPr>
        <w:pStyle w:val="LegalList1"/>
        <w:spacing w:after="0" w:line="360" w:lineRule="auto"/>
        <w:rPr>
          <w:lang w:val="en-ZA"/>
        </w:rPr>
      </w:pPr>
      <w:r w:rsidRPr="00902E8E">
        <w:rPr>
          <w:lang w:val="en-ZA"/>
        </w:rPr>
        <w:t>[27].</w:t>
      </w:r>
      <w:r w:rsidRPr="00902E8E">
        <w:rPr>
          <w:lang w:val="en-ZA"/>
        </w:rPr>
        <w:tab/>
      </w:r>
      <w:r w:rsidR="00902E8E">
        <w:rPr>
          <w:lang w:val="en-ZA"/>
        </w:rPr>
        <w:t>And ‘Gross income’,</w:t>
      </w:r>
      <w:r w:rsidR="009C63B4" w:rsidRPr="00902E8E">
        <w:rPr>
          <w:lang w:val="en-ZA"/>
        </w:rPr>
        <w:t xml:space="preserve"> </w:t>
      </w:r>
      <w:r w:rsidR="00902E8E" w:rsidRPr="009C63B4">
        <w:rPr>
          <w:lang w:val="en-ZA"/>
        </w:rPr>
        <w:t>in relation to any year or period of assessment</w:t>
      </w:r>
      <w:r w:rsidR="00902E8E">
        <w:rPr>
          <w:lang w:val="en-ZA"/>
        </w:rPr>
        <w:t>,</w:t>
      </w:r>
      <w:r w:rsidR="00902E8E" w:rsidRPr="00902E8E">
        <w:rPr>
          <w:lang w:val="en-ZA"/>
        </w:rPr>
        <w:t xml:space="preserve"> </w:t>
      </w:r>
      <w:r w:rsidR="009C63B4" w:rsidRPr="00902E8E">
        <w:rPr>
          <w:lang w:val="en-ZA"/>
        </w:rPr>
        <w:t>is defined in s 1 of the Income Tax Act to mean:</w:t>
      </w:r>
    </w:p>
    <w:p w:rsidR="00902E8E" w:rsidRPr="00902E8E" w:rsidRDefault="00902E8E" w:rsidP="00902E8E">
      <w:pPr>
        <w:pStyle w:val="LegalList1"/>
        <w:spacing w:after="120" w:line="360" w:lineRule="auto"/>
        <w:ind w:left="567" w:hanging="567"/>
        <w:rPr>
          <w:sz w:val="20"/>
          <w:szCs w:val="20"/>
          <w:lang w:val="en-ZA"/>
        </w:rPr>
      </w:pPr>
      <w:r w:rsidRPr="00902E8E">
        <w:rPr>
          <w:sz w:val="20"/>
          <w:szCs w:val="20"/>
          <w:lang w:val="en-ZA"/>
        </w:rPr>
        <w:t>‘</w:t>
      </w:r>
      <w:r w:rsidR="009C63B4" w:rsidRPr="00902E8E">
        <w:rPr>
          <w:sz w:val="20"/>
          <w:szCs w:val="20"/>
          <w:lang w:val="en-ZA"/>
        </w:rPr>
        <w:t>(i)</w:t>
      </w:r>
      <w:r w:rsidRPr="00902E8E">
        <w:rPr>
          <w:sz w:val="20"/>
          <w:szCs w:val="20"/>
          <w:lang w:val="en-ZA"/>
        </w:rPr>
        <w:tab/>
      </w:r>
      <w:r w:rsidR="009C63B4" w:rsidRPr="00902E8E">
        <w:rPr>
          <w:sz w:val="20"/>
          <w:szCs w:val="20"/>
          <w:lang w:val="en-ZA"/>
        </w:rPr>
        <w:t xml:space="preserve">in the case of any resident, </w:t>
      </w:r>
      <w:r w:rsidR="009C63B4" w:rsidRPr="00902E8E">
        <w:rPr>
          <w:sz w:val="20"/>
          <w:szCs w:val="20"/>
          <w:u w:val="single"/>
          <w:lang w:val="en-ZA"/>
        </w:rPr>
        <w:t>the total amount, in cash or otherwise, received by or accrued to or in favour of such resident</w:t>
      </w:r>
      <w:r w:rsidR="009C63B4" w:rsidRPr="00902E8E">
        <w:rPr>
          <w:sz w:val="20"/>
          <w:szCs w:val="20"/>
          <w:lang w:val="en-ZA"/>
        </w:rPr>
        <w:t xml:space="preserve"> … during such year or period of assessment, excluding receipts or</w:t>
      </w:r>
      <w:r w:rsidRPr="00902E8E">
        <w:rPr>
          <w:sz w:val="20"/>
          <w:szCs w:val="20"/>
          <w:lang w:val="en-ZA"/>
        </w:rPr>
        <w:t xml:space="preserve"> accruals of a capital nature …’</w:t>
      </w:r>
      <w:r w:rsidR="009C63B4" w:rsidRPr="00902E8E">
        <w:rPr>
          <w:sz w:val="20"/>
          <w:szCs w:val="20"/>
          <w:lang w:val="en-ZA"/>
        </w:rPr>
        <w:t>.</w:t>
      </w:r>
      <w:r w:rsidR="001B0F56" w:rsidRPr="00902E8E">
        <w:rPr>
          <w:sz w:val="20"/>
          <w:szCs w:val="20"/>
          <w:lang w:val="en-ZA"/>
        </w:rPr>
        <w:t xml:space="preserve"> </w:t>
      </w:r>
      <w:r>
        <w:rPr>
          <w:sz w:val="20"/>
          <w:szCs w:val="20"/>
          <w:lang w:val="en-ZA"/>
        </w:rPr>
        <w:t>(Emphasis added).</w:t>
      </w:r>
    </w:p>
    <w:p w:rsidR="009C63B4" w:rsidRPr="009C63B4" w:rsidRDefault="00D63A02" w:rsidP="00D63A02">
      <w:pPr>
        <w:pStyle w:val="LegalList1"/>
        <w:spacing w:after="120" w:line="360" w:lineRule="auto"/>
        <w:rPr>
          <w:lang w:val="en-ZA"/>
        </w:rPr>
      </w:pPr>
      <w:r w:rsidRPr="009C63B4">
        <w:rPr>
          <w:lang w:val="en-ZA"/>
        </w:rPr>
        <w:t>[28].</w:t>
      </w:r>
      <w:r w:rsidRPr="009C63B4">
        <w:rPr>
          <w:lang w:val="en-ZA"/>
        </w:rPr>
        <w:tab/>
      </w:r>
      <w:r w:rsidR="00902E8E">
        <w:rPr>
          <w:lang w:val="en-ZA"/>
        </w:rPr>
        <w:t>The definition of ‘gross income’</w:t>
      </w:r>
      <w:r w:rsidR="009C63B4" w:rsidRPr="009C63B4">
        <w:rPr>
          <w:lang w:val="en-ZA"/>
        </w:rPr>
        <w:t xml:space="preserve"> </w:t>
      </w:r>
      <w:r w:rsidR="00902E8E">
        <w:rPr>
          <w:lang w:val="en-ZA"/>
        </w:rPr>
        <w:t>refers to two concepts, namely ‘received by’ or ‘accrued to’, which are notions central to the issues in this appeal</w:t>
      </w:r>
      <w:r w:rsidR="009C63B4" w:rsidRPr="009C63B4">
        <w:rPr>
          <w:lang w:val="en-ZA"/>
        </w:rPr>
        <w:t>.</w:t>
      </w:r>
    </w:p>
    <w:p w:rsidR="009C63B4" w:rsidRPr="001B0F56" w:rsidRDefault="00D63A02" w:rsidP="00D63A02">
      <w:pPr>
        <w:pStyle w:val="LegalList1"/>
        <w:spacing w:after="120" w:line="360" w:lineRule="auto"/>
        <w:rPr>
          <w:lang w:val="en-ZA"/>
        </w:rPr>
      </w:pPr>
      <w:r w:rsidRPr="001B0F56">
        <w:rPr>
          <w:lang w:val="en-ZA"/>
        </w:rPr>
        <w:t>[29].</w:t>
      </w:r>
      <w:r w:rsidRPr="001B0F56">
        <w:rPr>
          <w:lang w:val="en-ZA"/>
        </w:rPr>
        <w:tab/>
      </w:r>
      <w:r w:rsidR="00902E8E" w:rsidRPr="00902E8E">
        <w:rPr>
          <w:i/>
          <w:lang w:val="en-ZA"/>
        </w:rPr>
        <w:t>In casu</w:t>
      </w:r>
      <w:r w:rsidR="00902E8E">
        <w:rPr>
          <w:lang w:val="en-ZA"/>
        </w:rPr>
        <w:t xml:space="preserve">, </w:t>
      </w:r>
      <w:r w:rsidR="009C63B4" w:rsidRPr="009C63B4">
        <w:rPr>
          <w:lang w:val="en-ZA"/>
        </w:rPr>
        <w:t>SARS identified deposits received by the taxpayer in</w:t>
      </w:r>
      <w:r w:rsidR="00902E8E">
        <w:rPr>
          <w:lang w:val="en-ZA"/>
        </w:rPr>
        <w:t>to</w:t>
      </w:r>
      <w:r w:rsidR="009C63B4" w:rsidRPr="009C63B4">
        <w:rPr>
          <w:lang w:val="en-ZA"/>
        </w:rPr>
        <w:t xml:space="preserve"> his Investec and Nedbank </w:t>
      </w:r>
      <w:r w:rsidR="00932F7E">
        <w:rPr>
          <w:lang w:val="en-ZA"/>
        </w:rPr>
        <w:t xml:space="preserve">bank </w:t>
      </w:r>
      <w:r w:rsidR="009C63B4" w:rsidRPr="009C63B4">
        <w:rPr>
          <w:lang w:val="en-ZA"/>
        </w:rPr>
        <w:t>accounts</w:t>
      </w:r>
      <w:r w:rsidR="00932F7E">
        <w:rPr>
          <w:lang w:val="en-ZA"/>
        </w:rPr>
        <w:t>,</w:t>
      </w:r>
      <w:r w:rsidR="009C63B4" w:rsidRPr="009C63B4">
        <w:rPr>
          <w:lang w:val="en-ZA"/>
        </w:rPr>
        <w:t xml:space="preserve"> as well as payments </w:t>
      </w:r>
      <w:r w:rsidR="00932F7E">
        <w:rPr>
          <w:lang w:val="en-ZA"/>
        </w:rPr>
        <w:t xml:space="preserve">admittedly </w:t>
      </w:r>
      <w:r w:rsidR="009C63B4" w:rsidRPr="009C63B4">
        <w:rPr>
          <w:lang w:val="en-ZA"/>
        </w:rPr>
        <w:t xml:space="preserve">received from FX Africa.  The details of these receipts are set out in </w:t>
      </w:r>
      <w:r w:rsidR="00932F7E">
        <w:rPr>
          <w:lang w:val="en-ZA"/>
        </w:rPr>
        <w:t xml:space="preserve">the table in para </w:t>
      </w:r>
      <w:r w:rsidR="00D764FB">
        <w:rPr>
          <w:lang w:val="en-ZA"/>
        </w:rPr>
        <w:t>2</w:t>
      </w:r>
      <w:r w:rsidR="00932F7E">
        <w:rPr>
          <w:lang w:val="en-ZA"/>
        </w:rPr>
        <w:t xml:space="preserve"> </w:t>
      </w:r>
      <w:r w:rsidR="00932F7E" w:rsidRPr="00261C5A">
        <w:rPr>
          <w:i/>
          <w:lang w:val="en-ZA"/>
        </w:rPr>
        <w:t>supra</w:t>
      </w:r>
      <w:r w:rsidR="00932F7E">
        <w:rPr>
          <w:lang w:val="en-ZA"/>
        </w:rPr>
        <w:t xml:space="preserve">. As already indicated, </w:t>
      </w:r>
      <w:r w:rsidR="009C63B4" w:rsidRPr="009C63B4">
        <w:rPr>
          <w:lang w:val="en-ZA"/>
        </w:rPr>
        <w:t>the total unexplained deposits received by the taxpayer</w:t>
      </w:r>
      <w:r w:rsidR="001B0F56">
        <w:rPr>
          <w:lang w:val="en-ZA"/>
        </w:rPr>
        <w:t xml:space="preserve"> for the 2007 – 2010 years were </w:t>
      </w:r>
      <w:r w:rsidR="00932F7E">
        <w:rPr>
          <w:lang w:val="en-ZA"/>
        </w:rPr>
        <w:t>R8 937 750.82</w:t>
      </w:r>
      <w:r w:rsidR="009C63B4" w:rsidRPr="001B0F56">
        <w:rPr>
          <w:lang w:val="en-ZA"/>
        </w:rPr>
        <w:t>.  The revenue declared by the taxp</w:t>
      </w:r>
      <w:r w:rsidR="001B0F56">
        <w:rPr>
          <w:lang w:val="en-ZA"/>
        </w:rPr>
        <w:t xml:space="preserve">ayer </w:t>
      </w:r>
      <w:r w:rsidR="00932F7E">
        <w:rPr>
          <w:lang w:val="en-ZA"/>
        </w:rPr>
        <w:t xml:space="preserve">in respect of the aforesaid period, </w:t>
      </w:r>
      <w:r w:rsidR="001B0F56">
        <w:rPr>
          <w:lang w:val="en-ZA"/>
        </w:rPr>
        <w:t xml:space="preserve">per his </w:t>
      </w:r>
      <w:r w:rsidR="00932F7E">
        <w:rPr>
          <w:lang w:val="en-ZA"/>
        </w:rPr>
        <w:t xml:space="preserve">income tax </w:t>
      </w:r>
      <w:r w:rsidR="001B0F56">
        <w:rPr>
          <w:lang w:val="en-ZA"/>
        </w:rPr>
        <w:t>returns (IT12s)</w:t>
      </w:r>
      <w:r w:rsidR="00261C5A">
        <w:rPr>
          <w:lang w:val="en-ZA"/>
        </w:rPr>
        <w:t>,</w:t>
      </w:r>
      <w:r w:rsidR="001B0F56">
        <w:rPr>
          <w:lang w:val="en-ZA"/>
        </w:rPr>
        <w:t xml:space="preserve"> </w:t>
      </w:r>
      <w:r w:rsidR="00261C5A">
        <w:rPr>
          <w:lang w:val="en-ZA"/>
        </w:rPr>
        <w:t>was the total sum of R3 897 </w:t>
      </w:r>
      <w:r w:rsidR="009C63B4" w:rsidRPr="001B0F56">
        <w:rPr>
          <w:lang w:val="en-ZA"/>
        </w:rPr>
        <w:t xml:space="preserve">792.  </w:t>
      </w:r>
      <w:r w:rsidR="00E24A3D">
        <w:rPr>
          <w:lang w:val="en-ZA"/>
        </w:rPr>
        <w:t>According to SARS, t</w:t>
      </w:r>
      <w:r w:rsidR="009C63B4" w:rsidRPr="001B0F56">
        <w:rPr>
          <w:lang w:val="en-ZA"/>
        </w:rPr>
        <w:t>he under-</w:t>
      </w:r>
      <w:r w:rsidR="009C63B4" w:rsidRPr="001B0F56">
        <w:rPr>
          <w:lang w:val="en-ZA"/>
        </w:rPr>
        <w:lastRenderedPageBreak/>
        <w:t>declaration is therefore the difference between the amounts of the deposits identified and the income declared, which is R5</w:t>
      </w:r>
      <w:r w:rsidR="00261C5A">
        <w:rPr>
          <w:lang w:val="en-ZA"/>
        </w:rPr>
        <w:t> 039 958.82</w:t>
      </w:r>
      <w:r w:rsidR="009C63B4" w:rsidRPr="001B0F56">
        <w:rPr>
          <w:lang w:val="en-ZA"/>
        </w:rPr>
        <w:t>.</w:t>
      </w:r>
    </w:p>
    <w:p w:rsidR="009C63B4" w:rsidRPr="00020E9A" w:rsidRDefault="00D63A02" w:rsidP="00D63A02">
      <w:pPr>
        <w:pStyle w:val="LegalList1"/>
        <w:spacing w:after="120" w:line="360" w:lineRule="auto"/>
        <w:rPr>
          <w:lang w:val="en-ZA"/>
        </w:rPr>
      </w:pPr>
      <w:r w:rsidRPr="00020E9A">
        <w:rPr>
          <w:lang w:val="en-ZA"/>
        </w:rPr>
        <w:t>[30].</w:t>
      </w:r>
      <w:r w:rsidRPr="00020E9A">
        <w:rPr>
          <w:lang w:val="en-ZA"/>
        </w:rPr>
        <w:tab/>
      </w:r>
      <w:r w:rsidR="00261C5A">
        <w:rPr>
          <w:lang w:val="en-ZA"/>
        </w:rPr>
        <w:t>As submitted by Mr Louw SC, who appeared on behalf of SARS, a</w:t>
      </w:r>
      <w:r w:rsidR="009C63B4" w:rsidRPr="009C63B4">
        <w:rPr>
          <w:lang w:val="en-ZA"/>
        </w:rPr>
        <w:t xml:space="preserve">n assessment is for a specific amount. </w:t>
      </w:r>
      <w:r w:rsidR="00261C5A">
        <w:rPr>
          <w:lang w:val="en-ZA"/>
        </w:rPr>
        <w:t xml:space="preserve">That means that in this matter, an assessment was raised by </w:t>
      </w:r>
      <w:r w:rsidR="009C63B4" w:rsidRPr="009C63B4">
        <w:rPr>
          <w:lang w:val="en-ZA"/>
        </w:rPr>
        <w:t xml:space="preserve">SARS, </w:t>
      </w:r>
      <w:r w:rsidR="00261C5A">
        <w:rPr>
          <w:lang w:val="en-ZA"/>
        </w:rPr>
        <w:t xml:space="preserve">as per his </w:t>
      </w:r>
      <w:r w:rsidR="009C63B4" w:rsidRPr="009C63B4">
        <w:rPr>
          <w:lang w:val="en-ZA"/>
        </w:rPr>
        <w:t>finalisation of audit letter of 15 May 2015</w:t>
      </w:r>
      <w:r w:rsidR="00261C5A">
        <w:rPr>
          <w:lang w:val="en-ZA"/>
        </w:rPr>
        <w:t xml:space="preserve">, in respect of each and every </w:t>
      </w:r>
      <w:r w:rsidR="00D764FB">
        <w:rPr>
          <w:lang w:val="en-ZA"/>
        </w:rPr>
        <w:t xml:space="preserve">unexplained </w:t>
      </w:r>
      <w:r w:rsidR="00261C5A">
        <w:rPr>
          <w:lang w:val="en-ZA"/>
        </w:rPr>
        <w:t xml:space="preserve">deposit, receipt and accrual into </w:t>
      </w:r>
      <w:r w:rsidR="009C63B4" w:rsidRPr="009C63B4">
        <w:rPr>
          <w:lang w:val="en-ZA"/>
        </w:rPr>
        <w:t xml:space="preserve">the Investec and Nedbank accounts for each of the 2007 – 2010 years of assessment.  </w:t>
      </w:r>
      <w:r w:rsidR="00020E9A">
        <w:rPr>
          <w:lang w:val="en-ZA"/>
        </w:rPr>
        <w:t xml:space="preserve">The point is simply that the taxpayer is required to address every single receipt and accrual, as detailed in the finalisation of audit letter. The question is whether that was indeed done by the taxpayer. It is so that, in terms of </w:t>
      </w:r>
      <w:r w:rsidR="009C63B4" w:rsidRPr="00020E9A">
        <w:rPr>
          <w:lang w:val="en-ZA"/>
        </w:rPr>
        <w:t>rule 7 of the Rules of the Tax Court, a taxpayer, in his objection must specify in det</w:t>
      </w:r>
      <w:r w:rsidR="00020E9A">
        <w:rPr>
          <w:lang w:val="en-ZA"/>
        </w:rPr>
        <w:t>ail ‘</w:t>
      </w:r>
      <w:r w:rsidR="009C63B4" w:rsidRPr="00020E9A">
        <w:rPr>
          <w:lang w:val="en-ZA"/>
        </w:rPr>
        <w:t>the specific amount of the disputed asses</w:t>
      </w:r>
      <w:r w:rsidR="00020E9A">
        <w:rPr>
          <w:lang w:val="en-ZA"/>
        </w:rPr>
        <w:t>sment objected to’</w:t>
      </w:r>
      <w:r w:rsidR="00DE654E" w:rsidRPr="00020E9A">
        <w:rPr>
          <w:lang w:val="en-ZA"/>
        </w:rPr>
        <w:t xml:space="preserve">. </w:t>
      </w:r>
      <w:r w:rsidR="00020E9A">
        <w:rPr>
          <w:lang w:val="en-ZA"/>
        </w:rPr>
        <w:t>Moreover, i</w:t>
      </w:r>
      <w:r w:rsidR="00DE654E" w:rsidRPr="00020E9A">
        <w:rPr>
          <w:lang w:val="en-ZA"/>
        </w:rPr>
        <w:t xml:space="preserve">n terms of </w:t>
      </w:r>
      <w:r w:rsidR="009C63B4" w:rsidRPr="00020E9A">
        <w:rPr>
          <w:lang w:val="en-ZA"/>
        </w:rPr>
        <w:t>s</w:t>
      </w:r>
      <w:r w:rsidR="00020E9A">
        <w:rPr>
          <w:lang w:val="en-ZA"/>
        </w:rPr>
        <w:t> </w:t>
      </w:r>
      <w:r w:rsidR="009C63B4" w:rsidRPr="00020E9A">
        <w:rPr>
          <w:lang w:val="en-ZA"/>
        </w:rPr>
        <w:t>102(1)(a) of the T</w:t>
      </w:r>
      <w:r w:rsidR="00020E9A">
        <w:rPr>
          <w:lang w:val="en-ZA"/>
        </w:rPr>
        <w:t xml:space="preserve">AA, ‘[a] taxpayer bears the burden of proving – (a) </w:t>
      </w:r>
      <w:r w:rsidR="009C63B4" w:rsidRPr="00020E9A">
        <w:rPr>
          <w:lang w:val="en-ZA"/>
        </w:rPr>
        <w:t>tha</w:t>
      </w:r>
      <w:r w:rsidR="00020E9A">
        <w:rPr>
          <w:lang w:val="en-ZA"/>
        </w:rPr>
        <w:t>t an amount, transaction, event or item ii</w:t>
      </w:r>
      <w:r w:rsidR="009C63B4" w:rsidRPr="00020E9A">
        <w:rPr>
          <w:lang w:val="en-ZA"/>
        </w:rPr>
        <w:t xml:space="preserve"> exempt or otherwise not</w:t>
      </w:r>
      <w:r w:rsidR="00020E9A">
        <w:rPr>
          <w:lang w:val="en-ZA"/>
        </w:rPr>
        <w:t xml:space="preserve"> taxable’.</w:t>
      </w:r>
    </w:p>
    <w:p w:rsidR="009C63B4" w:rsidRPr="009C63B4" w:rsidRDefault="00D63A02" w:rsidP="00D63A02">
      <w:pPr>
        <w:pStyle w:val="LegalList1"/>
        <w:spacing w:after="120" w:line="360" w:lineRule="auto"/>
        <w:rPr>
          <w:lang w:val="en-ZA"/>
        </w:rPr>
      </w:pPr>
      <w:r w:rsidRPr="009C63B4">
        <w:rPr>
          <w:lang w:val="en-ZA"/>
        </w:rPr>
        <w:t>[31].</w:t>
      </w:r>
      <w:r w:rsidRPr="009C63B4">
        <w:rPr>
          <w:lang w:val="en-ZA"/>
        </w:rPr>
        <w:tab/>
      </w:r>
      <w:r w:rsidR="00AE70A8">
        <w:rPr>
          <w:lang w:val="en-ZA"/>
        </w:rPr>
        <w:t>The</w:t>
      </w:r>
      <w:r w:rsidR="00E24A3D">
        <w:rPr>
          <w:lang w:val="en-ZA"/>
        </w:rPr>
        <w:t xml:space="preserve"> </w:t>
      </w:r>
      <w:r w:rsidR="00AE70A8">
        <w:rPr>
          <w:lang w:val="en-ZA"/>
        </w:rPr>
        <w:t xml:space="preserve">question is </w:t>
      </w:r>
      <w:r w:rsidR="00E24A3D">
        <w:rPr>
          <w:lang w:val="en-ZA"/>
        </w:rPr>
        <w:t xml:space="preserve">simply </w:t>
      </w:r>
      <w:r w:rsidR="00AE70A8">
        <w:rPr>
          <w:lang w:val="en-ZA"/>
        </w:rPr>
        <w:t xml:space="preserve">whether the taxpayer discharged </w:t>
      </w:r>
      <w:r w:rsidR="00E24A3D">
        <w:rPr>
          <w:lang w:val="en-ZA"/>
        </w:rPr>
        <w:t xml:space="preserve">the onus on him of proving that, as a matter of fact, </w:t>
      </w:r>
      <w:r w:rsidR="00AE70A8">
        <w:rPr>
          <w:lang w:val="en-ZA"/>
        </w:rPr>
        <w:t xml:space="preserve">the amounts received by him were not income in his hands. As alluded to </w:t>
      </w:r>
      <w:r w:rsidR="00AE70A8" w:rsidRPr="00E24A3D">
        <w:rPr>
          <w:i/>
          <w:lang w:val="en-ZA"/>
        </w:rPr>
        <w:t>supra</w:t>
      </w:r>
      <w:r w:rsidR="00AE70A8">
        <w:rPr>
          <w:lang w:val="en-ZA"/>
        </w:rPr>
        <w:t xml:space="preserve">, the fact that these amounts were received by the taxpayer is common cause. </w:t>
      </w:r>
    </w:p>
    <w:p w:rsidR="0009398C" w:rsidRDefault="00D63A02" w:rsidP="00D63A02">
      <w:pPr>
        <w:pStyle w:val="LegalList1"/>
        <w:spacing w:after="120" w:line="360" w:lineRule="auto"/>
        <w:rPr>
          <w:lang w:val="en-ZA"/>
        </w:rPr>
      </w:pPr>
      <w:r>
        <w:rPr>
          <w:lang w:val="en-ZA"/>
        </w:rPr>
        <w:t>[32].</w:t>
      </w:r>
      <w:r>
        <w:rPr>
          <w:lang w:val="en-ZA"/>
        </w:rPr>
        <w:tab/>
      </w:r>
      <w:r w:rsidR="009C63B4" w:rsidRPr="009C63B4">
        <w:rPr>
          <w:lang w:val="en-ZA"/>
        </w:rPr>
        <w:t xml:space="preserve">The breakdown of the deposits </w:t>
      </w:r>
      <w:r w:rsidR="00AE70A8">
        <w:rPr>
          <w:lang w:val="en-ZA"/>
        </w:rPr>
        <w:t xml:space="preserve">into the Investec bank account </w:t>
      </w:r>
      <w:r w:rsidR="009C63B4" w:rsidRPr="009C63B4">
        <w:rPr>
          <w:lang w:val="en-ZA"/>
        </w:rPr>
        <w:t xml:space="preserve">received during 2007 relates almost in all instances to </w:t>
      </w:r>
      <w:r w:rsidR="005870E2">
        <w:rPr>
          <w:lang w:val="en-ZA"/>
        </w:rPr>
        <w:t xml:space="preserve">the entity, </w:t>
      </w:r>
      <w:r w:rsidR="009C63B4" w:rsidRPr="009C63B4">
        <w:rPr>
          <w:lang w:val="en-ZA"/>
        </w:rPr>
        <w:t>Paddy’s Pad 2520</w:t>
      </w:r>
      <w:r w:rsidR="00AE70A8">
        <w:rPr>
          <w:lang w:val="en-ZA"/>
        </w:rPr>
        <w:t>, referred to above</w:t>
      </w:r>
      <w:r w:rsidR="009C63B4" w:rsidRPr="009C63B4">
        <w:rPr>
          <w:lang w:val="en-ZA"/>
        </w:rPr>
        <w:t>.</w:t>
      </w:r>
      <w:r w:rsidR="00AE70A8">
        <w:rPr>
          <w:lang w:val="en-ZA"/>
        </w:rPr>
        <w:t xml:space="preserve"> </w:t>
      </w:r>
      <w:r w:rsidR="00264D1C">
        <w:rPr>
          <w:lang w:val="en-ZA"/>
        </w:rPr>
        <w:t>According to the audited annual financial statements of FX Africa, this company, of which the taxpayer was also a shareholder and a director, was owed R837 738 by FX Africa at the end of 2005 financial year. By the end of the 2006 financial year end, that debt had apparently been paid up.</w:t>
      </w:r>
      <w:r w:rsidR="00493994">
        <w:rPr>
          <w:lang w:val="en-ZA"/>
        </w:rPr>
        <w:t xml:space="preserve"> This is however contradicted by the </w:t>
      </w:r>
      <w:r w:rsidR="0009398C">
        <w:rPr>
          <w:lang w:val="en-ZA"/>
        </w:rPr>
        <w:t>2007 annual financial statements, which indicates that at the end of 2006 the debt stood at R239 670 and at R91 630 as at 28 February 2007.</w:t>
      </w:r>
      <w:r w:rsidR="00264D1C">
        <w:rPr>
          <w:lang w:val="en-ZA"/>
        </w:rPr>
        <w:t xml:space="preserve"> </w:t>
      </w:r>
      <w:r w:rsidR="004C0926">
        <w:rPr>
          <w:lang w:val="en-ZA"/>
        </w:rPr>
        <w:t xml:space="preserve">By the end of the 2008 financial year, this debt, according to the 2008 AFS, was reduced to R0.00. The implication being, so it was argued on behalf of the taxpayer, that between 01 March 2006 to 28 February 2008 the loan account of Paddy Pads 2520 of R239 670 with FX Africa was repaid ultimately to the taxpayer, who was however unable to indicate whether those payments came </w:t>
      </w:r>
      <w:r w:rsidR="004C0926">
        <w:rPr>
          <w:lang w:val="en-ZA"/>
        </w:rPr>
        <w:lastRenderedPageBreak/>
        <w:t xml:space="preserve">to him directly or </w:t>
      </w:r>
      <w:r w:rsidR="004C0926" w:rsidRPr="00D764FB">
        <w:rPr>
          <w:i/>
          <w:lang w:val="en-ZA"/>
        </w:rPr>
        <w:t>via</w:t>
      </w:r>
      <w:r w:rsidR="004C0926">
        <w:rPr>
          <w:lang w:val="en-ZA"/>
        </w:rPr>
        <w:t xml:space="preserve"> Paddy Pads, neither could he say what amounts exactly were paid precisely when. The</w:t>
      </w:r>
      <w:r w:rsidR="005870E2">
        <w:rPr>
          <w:lang w:val="en-ZA"/>
        </w:rPr>
        <w:t xml:space="preserve"> aforegoing</w:t>
      </w:r>
      <w:r w:rsidR="004C0926">
        <w:rPr>
          <w:lang w:val="en-ZA"/>
        </w:rPr>
        <w:t xml:space="preserve">, so I understand the taxpayer’s case, </w:t>
      </w:r>
      <w:r w:rsidR="005870E2">
        <w:rPr>
          <w:lang w:val="en-ZA"/>
        </w:rPr>
        <w:t xml:space="preserve">is </w:t>
      </w:r>
      <w:r w:rsidR="004C0926">
        <w:rPr>
          <w:lang w:val="en-ZA"/>
        </w:rPr>
        <w:t xml:space="preserve">his explanation for the payments into the Investec bank account during the 2007 tax year of assessment. The shortcomings in this explanation </w:t>
      </w:r>
      <w:r w:rsidR="005870E2">
        <w:rPr>
          <w:lang w:val="en-ZA"/>
        </w:rPr>
        <w:t>are</w:t>
      </w:r>
      <w:r w:rsidR="004C0926">
        <w:rPr>
          <w:lang w:val="en-ZA"/>
        </w:rPr>
        <w:t xml:space="preserve"> self-evident.      </w:t>
      </w:r>
    </w:p>
    <w:p w:rsidR="005870E2" w:rsidRDefault="00D63A02" w:rsidP="00D63A02">
      <w:pPr>
        <w:pStyle w:val="LegalList1"/>
        <w:spacing w:after="120" w:line="360" w:lineRule="auto"/>
        <w:rPr>
          <w:lang w:val="en-ZA"/>
        </w:rPr>
      </w:pPr>
      <w:r>
        <w:rPr>
          <w:lang w:val="en-ZA"/>
        </w:rPr>
        <w:t>[33].</w:t>
      </w:r>
      <w:r>
        <w:rPr>
          <w:lang w:val="en-ZA"/>
        </w:rPr>
        <w:tab/>
      </w:r>
      <w:r w:rsidR="00AE70A8">
        <w:rPr>
          <w:lang w:val="en-ZA"/>
        </w:rPr>
        <w:t xml:space="preserve">Whilst the taxpayer explained in papers before the Tax Court that these receipts related to repayment of monies lent and advanced </w:t>
      </w:r>
      <w:r w:rsidR="005870E2">
        <w:rPr>
          <w:lang w:val="en-ZA"/>
        </w:rPr>
        <w:t xml:space="preserve">by him </w:t>
      </w:r>
      <w:r w:rsidR="00DD7372">
        <w:rPr>
          <w:lang w:val="en-ZA"/>
        </w:rPr>
        <w:t xml:space="preserve">during 2005 </w:t>
      </w:r>
      <w:r w:rsidR="00AE70A8">
        <w:rPr>
          <w:lang w:val="en-ZA"/>
        </w:rPr>
        <w:t>to this company to assist it with start-up capital</w:t>
      </w:r>
      <w:r w:rsidR="00DD7372">
        <w:rPr>
          <w:lang w:val="en-ZA"/>
        </w:rPr>
        <w:t>, he led no evidence in support of his contention that these deposits should not be treated as income in his hands.</w:t>
      </w:r>
      <w:r w:rsidR="0009398C">
        <w:rPr>
          <w:lang w:val="en-ZA"/>
        </w:rPr>
        <w:t xml:space="preserve"> </w:t>
      </w:r>
      <w:r w:rsidR="005870E2">
        <w:rPr>
          <w:lang w:val="en-ZA"/>
        </w:rPr>
        <w:t xml:space="preserve">What is more is that </w:t>
      </w:r>
      <w:r w:rsidR="00B40779">
        <w:rPr>
          <w:lang w:val="en-ZA"/>
        </w:rPr>
        <w:t>t</w:t>
      </w:r>
      <w:r w:rsidR="005870E2">
        <w:rPr>
          <w:lang w:val="en-ZA"/>
        </w:rPr>
        <w:t xml:space="preserve">he documentation, in particular the annual financial statements alluded to </w:t>
      </w:r>
      <w:r w:rsidR="005870E2" w:rsidRPr="005870E2">
        <w:rPr>
          <w:i/>
          <w:lang w:val="en-ZA"/>
        </w:rPr>
        <w:t>supra</w:t>
      </w:r>
      <w:r w:rsidR="005870E2">
        <w:rPr>
          <w:lang w:val="en-ZA"/>
        </w:rPr>
        <w:t>, gives a different version to the effect that the taxpayer, through Paddy Pads 2520</w:t>
      </w:r>
      <w:r w:rsidR="003F4414">
        <w:rPr>
          <w:lang w:val="en-ZA"/>
        </w:rPr>
        <w:t>,</w:t>
      </w:r>
      <w:r w:rsidR="005870E2">
        <w:rPr>
          <w:lang w:val="en-ZA"/>
        </w:rPr>
        <w:t xml:space="preserve"> borrowed monies to FX Africa, which loan was repaid during the 2007 and 2008 tax years.</w:t>
      </w:r>
    </w:p>
    <w:p w:rsidR="000E4159" w:rsidRDefault="00D63A02" w:rsidP="00D63A02">
      <w:pPr>
        <w:pStyle w:val="LegalList1"/>
        <w:spacing w:after="120" w:line="360" w:lineRule="auto"/>
        <w:rPr>
          <w:lang w:val="en-ZA"/>
        </w:rPr>
      </w:pPr>
      <w:r>
        <w:rPr>
          <w:lang w:val="en-ZA"/>
        </w:rPr>
        <w:t>[34].</w:t>
      </w:r>
      <w:r>
        <w:rPr>
          <w:lang w:val="en-ZA"/>
        </w:rPr>
        <w:tab/>
      </w:r>
      <w:r w:rsidR="0009398C">
        <w:rPr>
          <w:lang w:val="en-ZA"/>
        </w:rPr>
        <w:t>All the same, d</w:t>
      </w:r>
      <w:r w:rsidR="00751DEB">
        <w:rPr>
          <w:lang w:val="en-ZA"/>
        </w:rPr>
        <w:t xml:space="preserve">uring his evidence-in-chief, the taxpayer contended that during the 2007 year of assessment, </w:t>
      </w:r>
      <w:r w:rsidR="009C63B4" w:rsidRPr="00751DEB">
        <w:rPr>
          <w:lang w:val="en-ZA"/>
        </w:rPr>
        <w:t xml:space="preserve">there was a repayment of </w:t>
      </w:r>
      <w:r w:rsidR="0009398C">
        <w:rPr>
          <w:lang w:val="en-ZA"/>
        </w:rPr>
        <w:t>the</w:t>
      </w:r>
      <w:r w:rsidR="009C63B4" w:rsidRPr="00751DEB">
        <w:rPr>
          <w:lang w:val="en-ZA"/>
        </w:rPr>
        <w:t xml:space="preserve"> loan by Pa</w:t>
      </w:r>
      <w:r w:rsidR="00751DEB">
        <w:rPr>
          <w:lang w:val="en-ZA"/>
        </w:rPr>
        <w:t>ddy’s Pad of R148 </w:t>
      </w:r>
      <w:r w:rsidR="009C63B4" w:rsidRPr="00751DEB">
        <w:rPr>
          <w:lang w:val="en-ZA"/>
        </w:rPr>
        <w:t>040 and a repayment of a loa</w:t>
      </w:r>
      <w:r w:rsidR="00DE654E" w:rsidRPr="00751DEB">
        <w:rPr>
          <w:lang w:val="en-ZA"/>
        </w:rPr>
        <w:t>n in respect of Phoenix of R170</w:t>
      </w:r>
      <w:r w:rsidR="00751DEB">
        <w:rPr>
          <w:lang w:val="en-ZA"/>
        </w:rPr>
        <w:t> 309, totalling repayment during that year of R318 349.</w:t>
      </w:r>
      <w:r w:rsidR="009C63B4" w:rsidRPr="00751DEB">
        <w:rPr>
          <w:lang w:val="en-ZA"/>
        </w:rPr>
        <w:t xml:space="preserve"> </w:t>
      </w:r>
      <w:r w:rsidR="005870E2">
        <w:rPr>
          <w:lang w:val="en-ZA"/>
        </w:rPr>
        <w:t xml:space="preserve">By the end of </w:t>
      </w:r>
      <w:r w:rsidR="000E4159">
        <w:rPr>
          <w:lang w:val="en-ZA"/>
        </w:rPr>
        <w:t xml:space="preserve">the </w:t>
      </w:r>
      <w:r w:rsidR="005870E2">
        <w:rPr>
          <w:lang w:val="en-ZA"/>
        </w:rPr>
        <w:t>2008</w:t>
      </w:r>
      <w:r w:rsidR="000E4159">
        <w:rPr>
          <w:lang w:val="en-ZA"/>
        </w:rPr>
        <w:t xml:space="preserve"> financial year, FX Africa, according to the AFS’s, had repaid to Paddy Pads in total the sum of R239 270 and to Phoenix the total amount of R576 350, equating to a total of R815 620. This latter amount, so I understand the case on behalf of the taxpayer, explains in a way the total payment into the Investec bank account during the 2007 tax year of assessment, which, it will be rec</w:t>
      </w:r>
      <w:r w:rsidR="00B40779">
        <w:rPr>
          <w:lang w:val="en-ZA"/>
        </w:rPr>
        <w:t>alled, amounted in total to R963</w:t>
      </w:r>
      <w:r w:rsidR="000E4159">
        <w:rPr>
          <w:lang w:val="en-ZA"/>
        </w:rPr>
        <w:t> </w:t>
      </w:r>
      <w:r w:rsidR="00B40779">
        <w:rPr>
          <w:lang w:val="en-ZA"/>
        </w:rPr>
        <w:t>300</w:t>
      </w:r>
      <w:r w:rsidR="000E4159">
        <w:rPr>
          <w:lang w:val="en-ZA"/>
        </w:rPr>
        <w:t>.</w:t>
      </w:r>
      <w:r w:rsidR="00B40779">
        <w:rPr>
          <w:lang w:val="en-ZA"/>
        </w:rPr>
        <w:t>00</w:t>
      </w:r>
      <w:r w:rsidR="000E4159">
        <w:rPr>
          <w:lang w:val="en-ZA"/>
        </w:rPr>
        <w:t>.</w:t>
      </w:r>
    </w:p>
    <w:p w:rsidR="003F4414" w:rsidRDefault="00D63A02" w:rsidP="00D63A02">
      <w:pPr>
        <w:pStyle w:val="LegalList1"/>
        <w:spacing w:after="120" w:line="360" w:lineRule="auto"/>
        <w:rPr>
          <w:lang w:val="en-ZA"/>
        </w:rPr>
      </w:pPr>
      <w:r>
        <w:rPr>
          <w:lang w:val="en-ZA"/>
        </w:rPr>
        <w:t>[35].</w:t>
      </w:r>
      <w:r>
        <w:rPr>
          <w:lang w:val="en-ZA"/>
        </w:rPr>
        <w:tab/>
      </w:r>
      <w:r w:rsidR="000E4159">
        <w:rPr>
          <w:lang w:val="en-ZA"/>
        </w:rPr>
        <w:t>I interpose here to note that this is the general approach adopted by the taxpayer to the additional assessment</w:t>
      </w:r>
      <w:r w:rsidR="003F4414">
        <w:rPr>
          <w:lang w:val="en-ZA"/>
        </w:rPr>
        <w:t>s</w:t>
      </w:r>
      <w:r w:rsidR="000E4159">
        <w:rPr>
          <w:lang w:val="en-ZA"/>
        </w:rPr>
        <w:t xml:space="preserve"> as per the letter of final assessment dated the 20 May 2015. In fact, no attempt was made at all </w:t>
      </w:r>
      <w:r w:rsidR="00B40779">
        <w:rPr>
          <w:lang w:val="en-ZA"/>
        </w:rPr>
        <w:t>by</w:t>
      </w:r>
      <w:r w:rsidR="000E4159">
        <w:rPr>
          <w:lang w:val="en-ZA"/>
        </w:rPr>
        <w:t xml:space="preserve"> the taxpayer to deal with individual receipts and/or accruals. He simply took </w:t>
      </w:r>
      <w:r w:rsidR="004B30FF">
        <w:rPr>
          <w:lang w:val="en-ZA"/>
        </w:rPr>
        <w:t xml:space="preserve">the total of the amounts owed to him and to his other companies by FX Africa as and at 28 February 2006, deducted that from the total owing as and at 31 March 2010, namely R2 775 974, and concluded </w:t>
      </w:r>
      <w:r w:rsidR="00227108">
        <w:rPr>
          <w:lang w:val="en-ZA"/>
        </w:rPr>
        <w:t>that the difference of R9 536 739</w:t>
      </w:r>
      <w:r w:rsidR="004B30FF">
        <w:rPr>
          <w:lang w:val="en-ZA"/>
        </w:rPr>
        <w:t xml:space="preserve"> represented the total amount repaid to him during the 2007, 2008, 2009 and 2010 tax years of assessment.</w:t>
      </w:r>
    </w:p>
    <w:p w:rsidR="009C63B4" w:rsidRPr="007776EA" w:rsidRDefault="00D63A02" w:rsidP="00D63A02">
      <w:pPr>
        <w:pStyle w:val="LegalList1"/>
        <w:spacing w:after="120" w:line="360" w:lineRule="auto"/>
        <w:rPr>
          <w:lang w:val="en-ZA"/>
        </w:rPr>
      </w:pPr>
      <w:r w:rsidRPr="007776EA">
        <w:rPr>
          <w:lang w:val="en-ZA"/>
        </w:rPr>
        <w:lastRenderedPageBreak/>
        <w:t>[36].</w:t>
      </w:r>
      <w:r w:rsidRPr="007776EA">
        <w:rPr>
          <w:lang w:val="en-ZA"/>
        </w:rPr>
        <w:tab/>
      </w:r>
      <w:r w:rsidR="00B40779">
        <w:rPr>
          <w:lang w:val="en-ZA"/>
        </w:rPr>
        <w:t>This approach is aptly and schematically demonstrated by a table, which was prepared by and used by Mr Nxumalo</w:t>
      </w:r>
      <w:r w:rsidR="007776EA">
        <w:rPr>
          <w:lang w:val="en-ZA"/>
        </w:rPr>
        <w:t>, Counsel for the taxpayer,</w:t>
      </w:r>
      <w:r w:rsidR="00B40779">
        <w:rPr>
          <w:lang w:val="en-ZA"/>
        </w:rPr>
        <w:t xml:space="preserve"> in the Tax Court, which was marked as exhibit ‘4’. It simply reproduced</w:t>
      </w:r>
      <w:r w:rsidR="007776EA">
        <w:rPr>
          <w:lang w:val="en-ZA"/>
        </w:rPr>
        <w:t xml:space="preserve"> and summarised</w:t>
      </w:r>
      <w:r w:rsidR="00B40779">
        <w:rPr>
          <w:lang w:val="en-ZA"/>
        </w:rPr>
        <w:t xml:space="preserve"> in a table material </w:t>
      </w:r>
      <w:r w:rsidR="007776EA">
        <w:rPr>
          <w:lang w:val="en-ZA"/>
        </w:rPr>
        <w:t>figures from the annual financial statement of FX Africa. In sum, it was contended by the taxpayer that t</w:t>
      </w:r>
      <w:r w:rsidR="004B30FF" w:rsidRPr="007776EA">
        <w:rPr>
          <w:lang w:val="en-ZA"/>
        </w:rPr>
        <w:t>here is no need to</w:t>
      </w:r>
      <w:r w:rsidR="005C7456" w:rsidRPr="007776EA">
        <w:rPr>
          <w:lang w:val="en-ZA"/>
        </w:rPr>
        <w:t xml:space="preserve"> reconcile the individual receipts and accruals found by SARS with </w:t>
      </w:r>
      <w:r w:rsidR="00227108" w:rsidRPr="007776EA">
        <w:rPr>
          <w:lang w:val="en-ZA"/>
        </w:rPr>
        <w:t xml:space="preserve">the </w:t>
      </w:r>
      <w:r w:rsidR="005C7456" w:rsidRPr="007776EA">
        <w:rPr>
          <w:lang w:val="en-ZA"/>
        </w:rPr>
        <w:t>repayment</w:t>
      </w:r>
      <w:r w:rsidR="00227108" w:rsidRPr="007776EA">
        <w:rPr>
          <w:lang w:val="en-ZA"/>
        </w:rPr>
        <w:t>s</w:t>
      </w:r>
      <w:r w:rsidR="005C7456" w:rsidRPr="007776EA">
        <w:rPr>
          <w:lang w:val="en-ZA"/>
        </w:rPr>
        <w:t xml:space="preserve"> of these loans, as long as there is a correlation or at least an approximate correlation between the two totals over the four-year period. To put form over substance, so the argument goes, would not be in the interest of justice.</w:t>
      </w:r>
      <w:r w:rsidR="000E4159" w:rsidRPr="007776EA">
        <w:rPr>
          <w:lang w:val="en-ZA"/>
        </w:rPr>
        <w:t xml:space="preserve"> </w:t>
      </w:r>
      <w:r w:rsidR="00227108" w:rsidRPr="007776EA">
        <w:rPr>
          <w:lang w:val="en-ZA"/>
        </w:rPr>
        <w:t>I deal with this approach later on in the judgment, but mention here that the tax court agreed with those submissions.</w:t>
      </w:r>
    </w:p>
    <w:p w:rsidR="009C63B4" w:rsidRPr="00331BB8" w:rsidRDefault="00D63A02" w:rsidP="00D63A02">
      <w:pPr>
        <w:pStyle w:val="LegalList1"/>
        <w:spacing w:after="120" w:line="360" w:lineRule="auto"/>
        <w:rPr>
          <w:lang w:val="en-ZA"/>
        </w:rPr>
      </w:pPr>
      <w:r w:rsidRPr="00331BB8">
        <w:rPr>
          <w:lang w:val="en-ZA"/>
        </w:rPr>
        <w:t>[37].</w:t>
      </w:r>
      <w:r w:rsidRPr="00331BB8">
        <w:rPr>
          <w:lang w:val="en-ZA"/>
        </w:rPr>
        <w:tab/>
      </w:r>
      <w:r w:rsidR="00227108">
        <w:rPr>
          <w:lang w:val="en-ZA"/>
        </w:rPr>
        <w:t xml:space="preserve">That brings me back to </w:t>
      </w:r>
      <w:r w:rsidR="00BF6185">
        <w:rPr>
          <w:lang w:val="en-ZA"/>
        </w:rPr>
        <w:t xml:space="preserve">the 2007 deposits (in total R963 300) into the Investec bank account apparently mainly from Paddy’s Pads. The first observation to be made is that there is no resemblance – none whatsoever –  between </w:t>
      </w:r>
      <w:r w:rsidR="001E7214">
        <w:rPr>
          <w:lang w:val="en-ZA"/>
        </w:rPr>
        <w:t>those</w:t>
      </w:r>
      <w:r w:rsidR="00BF6185">
        <w:rPr>
          <w:lang w:val="en-ZA"/>
        </w:rPr>
        <w:t xml:space="preserve"> amounts </w:t>
      </w:r>
      <w:r w:rsidR="001E7214">
        <w:rPr>
          <w:lang w:val="en-ZA"/>
        </w:rPr>
        <w:t xml:space="preserve">deposited and the claim by the taxpayer that those relate to repayment of the loans due by Paddy Pads 2520. </w:t>
      </w:r>
      <w:r w:rsidR="009C63B4" w:rsidRPr="009C63B4">
        <w:rPr>
          <w:lang w:val="en-ZA"/>
        </w:rPr>
        <w:t>Apart from the fact</w:t>
      </w:r>
      <w:r w:rsidR="00331BB8">
        <w:rPr>
          <w:lang w:val="en-ZA"/>
        </w:rPr>
        <w:t>, as became apparent when the taxpayer testified,</w:t>
      </w:r>
      <w:r w:rsidR="009C63B4" w:rsidRPr="009C63B4">
        <w:rPr>
          <w:lang w:val="en-ZA"/>
        </w:rPr>
        <w:t xml:space="preserve"> that </w:t>
      </w:r>
      <w:r w:rsidR="00331BB8">
        <w:rPr>
          <w:lang w:val="en-ZA"/>
        </w:rPr>
        <w:t>he</w:t>
      </w:r>
      <w:r w:rsidR="009C63B4" w:rsidRPr="009C63B4">
        <w:rPr>
          <w:lang w:val="en-ZA"/>
        </w:rPr>
        <w:t xml:space="preserve"> himself is uncertain whether he received loan repayments in respect of the loans between Paddy’s Pad and FX Africa and Phoenix and FX Africa, the amounts of the repayments are significantly less than th</w:t>
      </w:r>
      <w:r w:rsidR="001E7214">
        <w:rPr>
          <w:lang w:val="en-ZA"/>
        </w:rPr>
        <w:t>e deposits identified for 2007 – R963 300 as against the R318 349 repayments. On this basis alone, I am of the view that the s</w:t>
      </w:r>
      <w:r w:rsidR="00331BB8">
        <w:rPr>
          <w:lang w:val="en-ZA"/>
        </w:rPr>
        <w:t xml:space="preserve">aid receipts remain unexplained. As already indicated, </w:t>
      </w:r>
      <w:r w:rsidR="009C63B4" w:rsidRPr="00331BB8">
        <w:rPr>
          <w:lang w:val="en-ZA"/>
        </w:rPr>
        <w:t>the total repayments in respe</w:t>
      </w:r>
      <w:r w:rsidR="00573AED" w:rsidRPr="00331BB8">
        <w:rPr>
          <w:lang w:val="en-ZA"/>
        </w:rPr>
        <w:t>ct of the Paddy’s Pad loan were R148 </w:t>
      </w:r>
      <w:r w:rsidR="009C63B4" w:rsidRPr="00331BB8">
        <w:rPr>
          <w:lang w:val="en-ZA"/>
        </w:rPr>
        <w:t>040 and in re</w:t>
      </w:r>
      <w:r w:rsidR="00573AED" w:rsidRPr="00331BB8">
        <w:rPr>
          <w:lang w:val="en-ZA"/>
        </w:rPr>
        <w:t>spect of the Phoenix loan, R170 </w:t>
      </w:r>
      <w:r w:rsidR="009C63B4" w:rsidRPr="00331BB8">
        <w:rPr>
          <w:lang w:val="en-ZA"/>
        </w:rPr>
        <w:t xml:space="preserve">309, which </w:t>
      </w:r>
      <w:r w:rsidR="00573AED" w:rsidRPr="00331BB8">
        <w:rPr>
          <w:lang w:val="en-ZA"/>
        </w:rPr>
        <w:t>give a total of R318 </w:t>
      </w:r>
      <w:r w:rsidR="009C63B4" w:rsidRPr="00331BB8">
        <w:rPr>
          <w:lang w:val="en-ZA"/>
        </w:rPr>
        <w:t>349.  If this is compared to the total deposits iden</w:t>
      </w:r>
      <w:r w:rsidR="00573AED" w:rsidRPr="00331BB8">
        <w:rPr>
          <w:lang w:val="en-ZA"/>
        </w:rPr>
        <w:t>tified for 2007, which are R963 </w:t>
      </w:r>
      <w:r w:rsidR="009C63B4" w:rsidRPr="00331BB8">
        <w:rPr>
          <w:lang w:val="en-ZA"/>
        </w:rPr>
        <w:t>300, the alleged repayments in respect of the Paddy’s Pad and Phoenix loans account for less than one-third of the deposits. Furthermore, there was no evidence to explain which of the specifically identified deposits into Mr</w:t>
      </w:r>
      <w:r w:rsidR="00573AED" w:rsidRPr="00331BB8">
        <w:rPr>
          <w:lang w:val="en-ZA"/>
        </w:rPr>
        <w:t> </w:t>
      </w:r>
      <w:r w:rsidR="009C63B4" w:rsidRPr="00331BB8">
        <w:rPr>
          <w:lang w:val="en-ZA"/>
        </w:rPr>
        <w:t>Maloney’s Investec account in 2007, relates to an alleged repayment of loans.</w:t>
      </w:r>
    </w:p>
    <w:p w:rsidR="00331BB8" w:rsidRDefault="00D63A02" w:rsidP="00D63A02">
      <w:pPr>
        <w:pStyle w:val="LegalList1"/>
        <w:spacing w:after="120" w:line="360" w:lineRule="auto"/>
        <w:rPr>
          <w:lang w:val="en-ZA"/>
        </w:rPr>
      </w:pPr>
      <w:r>
        <w:rPr>
          <w:lang w:val="en-ZA"/>
        </w:rPr>
        <w:t>[38].</w:t>
      </w:r>
      <w:r>
        <w:rPr>
          <w:lang w:val="en-ZA"/>
        </w:rPr>
        <w:tab/>
      </w:r>
      <w:r w:rsidR="007776EA">
        <w:rPr>
          <w:lang w:val="en-ZA"/>
        </w:rPr>
        <w:t>Moreover, from FX Africa’s AFS’s</w:t>
      </w:r>
      <w:r w:rsidR="00331BB8">
        <w:rPr>
          <w:lang w:val="en-ZA"/>
        </w:rPr>
        <w:t xml:space="preserve"> it is clear that these loans were advanced to FX Africa by Paddy Pads and by </w:t>
      </w:r>
      <w:r w:rsidR="007776EA">
        <w:rPr>
          <w:lang w:val="en-ZA"/>
        </w:rPr>
        <w:t xml:space="preserve">Phoenix and not by the taxpayer, who, on the face of it, </w:t>
      </w:r>
      <w:r w:rsidR="009C63B4" w:rsidRPr="009C63B4">
        <w:rPr>
          <w:lang w:val="en-ZA"/>
        </w:rPr>
        <w:t xml:space="preserve">is not party to the loan agreements relating to Phoenix and Paddy’s Pad. </w:t>
      </w:r>
      <w:r w:rsidR="00331BB8">
        <w:rPr>
          <w:lang w:val="en-ZA"/>
        </w:rPr>
        <w:t xml:space="preserve">A cession of the rights of these entities in terms of the loans was </w:t>
      </w:r>
      <w:r w:rsidR="00331BB8">
        <w:rPr>
          <w:lang w:val="en-ZA"/>
        </w:rPr>
        <w:lastRenderedPageBreak/>
        <w:t>not pleaded by the taxpayer</w:t>
      </w:r>
      <w:r w:rsidR="009C63B4" w:rsidRPr="009C63B4">
        <w:rPr>
          <w:lang w:val="en-ZA"/>
        </w:rPr>
        <w:t xml:space="preserve">. Therefore, </w:t>
      </w:r>
      <w:r w:rsidR="00331BB8">
        <w:rPr>
          <w:lang w:val="en-ZA"/>
        </w:rPr>
        <w:t xml:space="preserve">this is another </w:t>
      </w:r>
      <w:r w:rsidR="009C63B4" w:rsidRPr="009C63B4">
        <w:rPr>
          <w:lang w:val="en-ZA"/>
        </w:rPr>
        <w:t>basis</w:t>
      </w:r>
      <w:r w:rsidR="00331BB8">
        <w:rPr>
          <w:lang w:val="en-ZA"/>
        </w:rPr>
        <w:t xml:space="preserve"> on which it should be concluded that </w:t>
      </w:r>
      <w:r w:rsidR="009C63B4" w:rsidRPr="009C63B4">
        <w:rPr>
          <w:lang w:val="en-ZA"/>
        </w:rPr>
        <w:t xml:space="preserve">the taxpayer failed to prove that the amounts received in his Investec account, in 2007, does not constitute income. </w:t>
      </w:r>
    </w:p>
    <w:p w:rsidR="009C63B4" w:rsidRPr="002A633E" w:rsidRDefault="00D63A02" w:rsidP="00D63A02">
      <w:pPr>
        <w:pStyle w:val="LegalList1"/>
        <w:spacing w:after="0" w:line="360" w:lineRule="auto"/>
        <w:rPr>
          <w:lang w:val="en-ZA"/>
        </w:rPr>
      </w:pPr>
      <w:r w:rsidRPr="002A633E">
        <w:rPr>
          <w:lang w:val="en-ZA"/>
        </w:rPr>
        <w:t>[39].</w:t>
      </w:r>
      <w:r w:rsidRPr="002A633E">
        <w:rPr>
          <w:lang w:val="en-ZA"/>
        </w:rPr>
        <w:tab/>
      </w:r>
      <w:r w:rsidR="00331BB8">
        <w:rPr>
          <w:lang w:val="en-ZA"/>
        </w:rPr>
        <w:t xml:space="preserve">As for the </w:t>
      </w:r>
      <w:r w:rsidR="009C63B4" w:rsidRPr="009C63B4">
        <w:rPr>
          <w:lang w:val="en-ZA"/>
        </w:rPr>
        <w:t xml:space="preserve">2008 </w:t>
      </w:r>
      <w:r w:rsidR="00331BB8">
        <w:rPr>
          <w:lang w:val="en-ZA"/>
        </w:rPr>
        <w:t xml:space="preserve">deposits into the </w:t>
      </w:r>
      <w:r w:rsidR="009C63B4" w:rsidRPr="009C63B4">
        <w:rPr>
          <w:lang w:val="en-ZA"/>
        </w:rPr>
        <w:t>Investec Account</w:t>
      </w:r>
      <w:r w:rsidR="002A633E">
        <w:rPr>
          <w:lang w:val="en-ZA"/>
        </w:rPr>
        <w:t xml:space="preserve"> – mainly ‘cash deposits’ amounting in total </w:t>
      </w:r>
      <w:r w:rsidR="00331BB8">
        <w:rPr>
          <w:lang w:val="en-ZA"/>
        </w:rPr>
        <w:t>R1 130 250,</w:t>
      </w:r>
      <w:r w:rsidR="002A633E">
        <w:rPr>
          <w:lang w:val="en-ZA"/>
        </w:rPr>
        <w:t xml:space="preserve"> as per the schedule reproduced at para 3 </w:t>
      </w:r>
      <w:r w:rsidR="002A633E" w:rsidRPr="002A633E">
        <w:rPr>
          <w:i/>
          <w:lang w:val="en-ZA"/>
        </w:rPr>
        <w:t>supra</w:t>
      </w:r>
      <w:r w:rsidR="002A633E">
        <w:rPr>
          <w:lang w:val="en-ZA"/>
        </w:rPr>
        <w:t xml:space="preserve"> – </w:t>
      </w:r>
      <w:r w:rsidR="00331BB8">
        <w:rPr>
          <w:lang w:val="en-ZA"/>
        </w:rPr>
        <w:t xml:space="preserve"> </w:t>
      </w:r>
      <w:r w:rsidR="002A633E">
        <w:rPr>
          <w:lang w:val="en-ZA"/>
        </w:rPr>
        <w:t>t</w:t>
      </w:r>
      <w:r w:rsidR="009C63B4" w:rsidRPr="002A633E">
        <w:rPr>
          <w:lang w:val="en-ZA"/>
        </w:rPr>
        <w:t xml:space="preserve">he only explanation </w:t>
      </w:r>
      <w:r w:rsidR="002A633E">
        <w:rPr>
          <w:lang w:val="en-ZA"/>
        </w:rPr>
        <w:t>that was proffered during his evidence by the taxpayer</w:t>
      </w:r>
      <w:r w:rsidR="009C63B4" w:rsidRPr="002A633E">
        <w:rPr>
          <w:lang w:val="en-ZA"/>
        </w:rPr>
        <w:t xml:space="preserve"> for these cash </w:t>
      </w:r>
      <w:r w:rsidR="002A633E">
        <w:rPr>
          <w:lang w:val="en-ZA"/>
        </w:rPr>
        <w:t>receipts</w:t>
      </w:r>
      <w:r w:rsidR="009C63B4" w:rsidRPr="002A633E">
        <w:rPr>
          <w:lang w:val="en-ZA"/>
        </w:rPr>
        <w:t xml:space="preserve"> was</w:t>
      </w:r>
      <w:r w:rsidR="002A633E">
        <w:rPr>
          <w:lang w:val="en-ZA"/>
        </w:rPr>
        <w:t xml:space="preserve"> as follows</w:t>
      </w:r>
      <w:r w:rsidR="009C63B4" w:rsidRPr="002A633E">
        <w:rPr>
          <w:lang w:val="en-ZA"/>
        </w:rPr>
        <w:t>:</w:t>
      </w:r>
      <w:r w:rsidR="002A633E">
        <w:rPr>
          <w:lang w:val="en-ZA"/>
        </w:rPr>
        <w:t xml:space="preserve"> - </w:t>
      </w:r>
      <w:r w:rsidR="009C63B4" w:rsidRPr="002A633E">
        <w:rPr>
          <w:lang w:val="en-ZA"/>
        </w:rPr>
        <w:t xml:space="preserve"> </w:t>
      </w:r>
    </w:p>
    <w:p w:rsidR="009C63B4" w:rsidRPr="002A633E" w:rsidRDefault="002A633E" w:rsidP="002A633E">
      <w:pPr>
        <w:pStyle w:val="LegalList1"/>
        <w:spacing w:after="120" w:line="360" w:lineRule="auto"/>
        <w:rPr>
          <w:sz w:val="20"/>
          <w:szCs w:val="20"/>
          <w:lang w:val="en-ZA"/>
        </w:rPr>
      </w:pPr>
      <w:r w:rsidRPr="002A633E">
        <w:rPr>
          <w:sz w:val="20"/>
          <w:szCs w:val="20"/>
          <w:lang w:val="en-ZA"/>
        </w:rPr>
        <w:t>‘</w:t>
      </w:r>
      <w:r w:rsidR="009C63B4" w:rsidRPr="002A633E">
        <w:rPr>
          <w:sz w:val="20"/>
          <w:szCs w:val="20"/>
          <w:lang w:val="en-ZA"/>
        </w:rPr>
        <w:t>So just from memory, I was building at the time doing a renovation, and I just got into the habit of drawing cash for the builder and – that I would say that all of these amounts would correspond, there was no other source of c</w:t>
      </w:r>
      <w:r w:rsidRPr="002A633E">
        <w:rPr>
          <w:sz w:val="20"/>
          <w:szCs w:val="20"/>
          <w:lang w:val="en-ZA"/>
        </w:rPr>
        <w:t>ash if that’s what you imply.’</w:t>
      </w:r>
    </w:p>
    <w:p w:rsidR="00B7333F" w:rsidRDefault="00D63A02" w:rsidP="00D63A02">
      <w:pPr>
        <w:pStyle w:val="LegalList1"/>
        <w:spacing w:after="120" w:line="360" w:lineRule="auto"/>
        <w:rPr>
          <w:lang w:val="en-ZA"/>
        </w:rPr>
      </w:pPr>
      <w:r>
        <w:rPr>
          <w:lang w:val="en-ZA"/>
        </w:rPr>
        <w:t>[40].</w:t>
      </w:r>
      <w:r>
        <w:rPr>
          <w:lang w:val="en-ZA"/>
        </w:rPr>
        <w:tab/>
      </w:r>
      <w:r w:rsidR="002A633E">
        <w:rPr>
          <w:lang w:val="en-ZA"/>
        </w:rPr>
        <w:t xml:space="preserve">These amounts are also explained, in the bigger picture, by the taxpayer as ‘drawings’ against </w:t>
      </w:r>
      <w:r w:rsidR="002A633E" w:rsidRPr="002A633E">
        <w:rPr>
          <w:i/>
          <w:lang w:val="en-ZA"/>
        </w:rPr>
        <w:t>inter alia</w:t>
      </w:r>
      <w:r w:rsidR="002A633E">
        <w:rPr>
          <w:lang w:val="en-ZA"/>
        </w:rPr>
        <w:t xml:space="preserve"> the Sanderling loan account with </w:t>
      </w:r>
      <w:r w:rsidR="00610842">
        <w:rPr>
          <w:lang w:val="en-ZA"/>
        </w:rPr>
        <w:t>FX Africa, which, in the end, all came out in the wash. The only difficulty is</w:t>
      </w:r>
      <w:r w:rsidR="003F4414">
        <w:rPr>
          <w:lang w:val="en-ZA"/>
        </w:rPr>
        <w:t>,</w:t>
      </w:r>
      <w:r w:rsidR="00610842">
        <w:rPr>
          <w:lang w:val="en-ZA"/>
        </w:rPr>
        <w:t xml:space="preserve"> however</w:t>
      </w:r>
      <w:r w:rsidR="003F4414">
        <w:rPr>
          <w:lang w:val="en-ZA"/>
        </w:rPr>
        <w:t>,</w:t>
      </w:r>
      <w:r w:rsidR="00610842">
        <w:rPr>
          <w:lang w:val="en-ZA"/>
        </w:rPr>
        <w:t xml:space="preserve"> that the figures do not match, nor do they add up. The total repayment of the Sanderling loan account during 2008 was R1 792 812, which is R662 562 more than </w:t>
      </w:r>
      <w:r w:rsidR="00B7333F">
        <w:rPr>
          <w:lang w:val="en-ZA"/>
        </w:rPr>
        <w:t xml:space="preserve">the </w:t>
      </w:r>
      <w:r w:rsidR="00610842">
        <w:rPr>
          <w:lang w:val="en-ZA"/>
        </w:rPr>
        <w:t xml:space="preserve">total of the deposited amounts. What is more is that, by </w:t>
      </w:r>
      <w:r w:rsidR="00B7333F">
        <w:rPr>
          <w:lang w:val="en-ZA"/>
        </w:rPr>
        <w:t>some</w:t>
      </w:r>
      <w:r w:rsidR="00610842">
        <w:rPr>
          <w:lang w:val="en-ZA"/>
        </w:rPr>
        <w:t xml:space="preserve"> accounts,</w:t>
      </w:r>
      <w:r w:rsidR="00B7333F">
        <w:rPr>
          <w:lang w:val="en-ZA"/>
        </w:rPr>
        <w:t xml:space="preserve"> notably the so-called Neale report,</w:t>
      </w:r>
      <w:r w:rsidR="00610842">
        <w:rPr>
          <w:lang w:val="en-ZA"/>
        </w:rPr>
        <w:t xml:space="preserve"> the</w:t>
      </w:r>
      <w:r w:rsidR="00B7333F">
        <w:rPr>
          <w:lang w:val="en-ZA"/>
        </w:rPr>
        <w:t xml:space="preserve">re were no </w:t>
      </w:r>
      <w:r w:rsidR="00610842">
        <w:rPr>
          <w:lang w:val="en-ZA"/>
        </w:rPr>
        <w:t xml:space="preserve">repayments (whether authorised or unauthorised) </w:t>
      </w:r>
      <w:r w:rsidR="00B7333F">
        <w:rPr>
          <w:lang w:val="en-ZA"/>
        </w:rPr>
        <w:t xml:space="preserve">during the 2008 tax year </w:t>
      </w:r>
      <w:r w:rsidR="00610842">
        <w:rPr>
          <w:lang w:val="en-ZA"/>
        </w:rPr>
        <w:t>from FX Africa in respect of the Sanderling loan account</w:t>
      </w:r>
      <w:r w:rsidR="00B7333F">
        <w:rPr>
          <w:lang w:val="en-ZA"/>
        </w:rPr>
        <w:t xml:space="preserve">. In that regard, see the table at </w:t>
      </w:r>
      <w:r w:rsidR="007776EA">
        <w:rPr>
          <w:lang w:val="en-ZA"/>
        </w:rPr>
        <w:t xml:space="preserve">para </w:t>
      </w:r>
      <w:r w:rsidR="003F4414">
        <w:rPr>
          <w:lang w:val="en-ZA"/>
        </w:rPr>
        <w:t>18</w:t>
      </w:r>
      <w:r w:rsidR="00B7333F">
        <w:rPr>
          <w:lang w:val="en-ZA"/>
        </w:rPr>
        <w:t xml:space="preserve"> above. There is therefore a complete disconnect between the 2008 deposits into the Investec bank account (R1 130 250), the audited annual financial</w:t>
      </w:r>
      <w:r w:rsidR="007776EA">
        <w:rPr>
          <w:lang w:val="en-ZA"/>
        </w:rPr>
        <w:t xml:space="preserve"> statements</w:t>
      </w:r>
      <w:r w:rsidR="00B7333F">
        <w:rPr>
          <w:lang w:val="en-ZA"/>
        </w:rPr>
        <w:t>, which indicate that R1 792 812, was repaid during 20</w:t>
      </w:r>
      <w:r w:rsidR="005A4625">
        <w:rPr>
          <w:lang w:val="en-ZA"/>
        </w:rPr>
        <w:t>08</w:t>
      </w:r>
      <w:r w:rsidR="003F4414">
        <w:rPr>
          <w:lang w:val="en-ZA"/>
        </w:rPr>
        <w:t>,</w:t>
      </w:r>
      <w:r w:rsidR="005A4625">
        <w:rPr>
          <w:lang w:val="en-ZA"/>
        </w:rPr>
        <w:t xml:space="preserve"> and the official repayment schedule, which suggest</w:t>
      </w:r>
      <w:r w:rsidR="003F4414">
        <w:rPr>
          <w:lang w:val="en-ZA"/>
        </w:rPr>
        <w:t>s</w:t>
      </w:r>
      <w:r w:rsidR="005A4625">
        <w:rPr>
          <w:lang w:val="en-ZA"/>
        </w:rPr>
        <w:t xml:space="preserve"> that no repayments towards the Sanderling loan was made before 30</w:t>
      </w:r>
      <w:r w:rsidR="00BC2CEF">
        <w:rPr>
          <w:lang w:val="en-ZA"/>
        </w:rPr>
        <w:t> </w:t>
      </w:r>
      <w:r w:rsidR="005A4625">
        <w:rPr>
          <w:lang w:val="en-ZA"/>
        </w:rPr>
        <w:t xml:space="preserve">April 2008. It is therefore not unreasonable for SARS to conclude that the R1 130 250 had nothing to do with the repayment of the Sanderling loan or any other loans payable to the taxpayer. The amounts do not match, and it is not unreasonable to infer that the loan repayments as listed at para </w:t>
      </w:r>
      <w:r w:rsidR="003F4414">
        <w:rPr>
          <w:lang w:val="en-ZA"/>
        </w:rPr>
        <w:t>18</w:t>
      </w:r>
      <w:r w:rsidR="005A4625">
        <w:rPr>
          <w:lang w:val="en-ZA"/>
        </w:rPr>
        <w:t xml:space="preserve"> supra were received by the taxpayer but not as part and parcel of any of the amounts received into the Investec bank account.</w:t>
      </w:r>
    </w:p>
    <w:p w:rsidR="009C63B4" w:rsidRPr="00E86EC5" w:rsidRDefault="00D63A02" w:rsidP="00D63A02">
      <w:pPr>
        <w:pStyle w:val="LegalList1"/>
        <w:spacing w:after="120" w:line="360" w:lineRule="auto"/>
        <w:rPr>
          <w:lang w:val="en-ZA"/>
        </w:rPr>
      </w:pPr>
      <w:r w:rsidRPr="00E86EC5">
        <w:rPr>
          <w:lang w:val="en-ZA"/>
        </w:rPr>
        <w:t>[41].</w:t>
      </w:r>
      <w:r w:rsidRPr="00E86EC5">
        <w:rPr>
          <w:lang w:val="en-ZA"/>
        </w:rPr>
        <w:tab/>
      </w:r>
      <w:r w:rsidR="00E86EC5">
        <w:rPr>
          <w:lang w:val="en-ZA"/>
        </w:rPr>
        <w:t xml:space="preserve">The </w:t>
      </w:r>
      <w:r w:rsidR="009C63B4" w:rsidRPr="009C63B4">
        <w:rPr>
          <w:lang w:val="en-ZA"/>
        </w:rPr>
        <w:t>2009</w:t>
      </w:r>
      <w:r w:rsidR="00E86EC5">
        <w:rPr>
          <w:lang w:val="en-ZA"/>
        </w:rPr>
        <w:t xml:space="preserve"> receipts into the </w:t>
      </w:r>
      <w:r w:rsidR="009C63B4" w:rsidRPr="009C63B4">
        <w:rPr>
          <w:lang w:val="en-ZA"/>
        </w:rPr>
        <w:t>Investec Account</w:t>
      </w:r>
      <w:r w:rsidR="00E86EC5">
        <w:rPr>
          <w:lang w:val="en-ZA"/>
        </w:rPr>
        <w:t xml:space="preserve"> amounted in total to R2 153 </w:t>
      </w:r>
      <w:r w:rsidR="009C63B4" w:rsidRPr="00E86EC5">
        <w:rPr>
          <w:lang w:val="en-ZA"/>
        </w:rPr>
        <w:t xml:space="preserve">732.15. </w:t>
      </w:r>
      <w:r w:rsidR="00E86EC5">
        <w:rPr>
          <w:lang w:val="en-ZA"/>
        </w:rPr>
        <w:t xml:space="preserve">The same criticism can be levelled against the taxpayer’s explanation relating to these accruals. If </w:t>
      </w:r>
      <w:r w:rsidR="0053701A">
        <w:rPr>
          <w:lang w:val="en-ZA"/>
        </w:rPr>
        <w:t xml:space="preserve">it is to be accepted, as contended by the </w:t>
      </w:r>
      <w:r w:rsidR="0053701A">
        <w:rPr>
          <w:lang w:val="en-ZA"/>
        </w:rPr>
        <w:lastRenderedPageBreak/>
        <w:t>taxpayer, that these receipts represented the repayments in respect of the Sanderling loan account, then how does one explain the complete disconnect between the official list of repayments, which indicates that the repayments commenced only on 30 April 2008 (R255 314) and that the total repayments for the 2009 tax year was R2 986</w:t>
      </w:r>
      <w:r w:rsidR="00143453">
        <w:rPr>
          <w:lang w:val="en-ZA"/>
        </w:rPr>
        <w:t> </w:t>
      </w:r>
      <w:r w:rsidR="0053701A">
        <w:rPr>
          <w:lang w:val="en-ZA"/>
        </w:rPr>
        <w:t>930</w:t>
      </w:r>
      <w:r w:rsidR="00143453">
        <w:rPr>
          <w:lang w:val="en-ZA"/>
        </w:rPr>
        <w:t xml:space="preserve">, which, incidentally, correspondents exactly with the taxpayer’s version based on the loan account balances at the end of each financial year. </w:t>
      </w:r>
    </w:p>
    <w:p w:rsidR="008A60A8" w:rsidRDefault="00D63A02" w:rsidP="00D63A02">
      <w:pPr>
        <w:pStyle w:val="LegalList1"/>
        <w:spacing w:after="120" w:line="360" w:lineRule="auto"/>
        <w:rPr>
          <w:lang w:val="en-ZA"/>
        </w:rPr>
      </w:pPr>
      <w:r>
        <w:rPr>
          <w:lang w:val="en-ZA"/>
        </w:rPr>
        <w:t>[42].</w:t>
      </w:r>
      <w:r>
        <w:rPr>
          <w:lang w:val="en-ZA"/>
        </w:rPr>
        <w:tab/>
      </w:r>
      <w:r w:rsidR="00143453">
        <w:rPr>
          <w:lang w:val="en-ZA"/>
        </w:rPr>
        <w:t xml:space="preserve">As regards the </w:t>
      </w:r>
      <w:r w:rsidR="009C63B4" w:rsidRPr="009C63B4">
        <w:rPr>
          <w:lang w:val="en-ZA"/>
        </w:rPr>
        <w:t>2010</w:t>
      </w:r>
      <w:r w:rsidR="00FE449F">
        <w:rPr>
          <w:lang w:val="en-ZA"/>
        </w:rPr>
        <w:t xml:space="preserve"> receipts in</w:t>
      </w:r>
      <w:r w:rsidR="00143453">
        <w:rPr>
          <w:lang w:val="en-ZA"/>
        </w:rPr>
        <w:t xml:space="preserve">to the </w:t>
      </w:r>
      <w:r w:rsidR="009C63B4" w:rsidRPr="009C63B4">
        <w:rPr>
          <w:lang w:val="en-ZA"/>
        </w:rPr>
        <w:t>Investec Account</w:t>
      </w:r>
      <w:r w:rsidR="00143453">
        <w:rPr>
          <w:lang w:val="en-ZA"/>
        </w:rPr>
        <w:t>, which amounted in total to R2 356 </w:t>
      </w:r>
      <w:r w:rsidR="009C63B4" w:rsidRPr="00143453">
        <w:rPr>
          <w:lang w:val="en-ZA"/>
        </w:rPr>
        <w:t>408.05</w:t>
      </w:r>
      <w:r w:rsidR="00143453">
        <w:rPr>
          <w:lang w:val="en-ZA"/>
        </w:rPr>
        <w:t>,</w:t>
      </w:r>
      <w:r w:rsidR="00FE449F">
        <w:rPr>
          <w:lang w:val="en-ZA"/>
        </w:rPr>
        <w:t xml:space="preserve"> there is also a disconnect between that total and the sum total of R4 527 430 of the admitted schedule of repayments. </w:t>
      </w:r>
      <w:r w:rsidR="00751FA6">
        <w:rPr>
          <w:lang w:val="en-ZA"/>
        </w:rPr>
        <w:t>There is however, i</w:t>
      </w:r>
      <w:r w:rsidR="00FE449F">
        <w:rPr>
          <w:lang w:val="en-ZA"/>
        </w:rPr>
        <w:t xml:space="preserve">n my view, </w:t>
      </w:r>
      <w:r w:rsidR="00751FA6">
        <w:rPr>
          <w:lang w:val="en-ZA"/>
        </w:rPr>
        <w:t>a direct and precise correlation between the R300 000 deposited into the Investec account on 2 April 2009 and the ‘approved’ R300 000 repayment of the Sanderling Loan on 01 April 2009</w:t>
      </w:r>
      <w:r w:rsidR="00B124EB">
        <w:rPr>
          <w:lang w:val="en-ZA"/>
        </w:rPr>
        <w:t>, as per the Neale report</w:t>
      </w:r>
      <w:r w:rsidR="00751FA6">
        <w:rPr>
          <w:lang w:val="en-ZA"/>
        </w:rPr>
        <w:t xml:space="preserve">. Similarly, the R2 000 000 deposited into the Investec account on </w:t>
      </w:r>
      <w:r w:rsidR="00B124EB">
        <w:rPr>
          <w:lang w:val="en-ZA"/>
        </w:rPr>
        <w:t xml:space="preserve">12 June 2009, with reference ‘Treasury Trf’, corresponds 100% with the R2 000 000 approved repayment of the said loan on 11 June 2009, as referenced in the Neale report. Moreover, according to the 2010 FX Africa AFS, R3 750 000 was repaid towards the Sanderling loan account during that year. All of the aforegoing mean that, for once, the figures add up and the amounts are aligned. As regards this total of R2 300 000, I am persuaded that the taxpayer has proven that that sum related to the repayment of a loan, which means that same should not be regarded as </w:t>
      </w:r>
      <w:r w:rsidR="008A60A8">
        <w:rPr>
          <w:lang w:val="en-ZA"/>
        </w:rPr>
        <w:t xml:space="preserve">income in the hands of the taxpayer. </w:t>
      </w:r>
      <w:r w:rsidR="00402A11" w:rsidRPr="008A60A8">
        <w:rPr>
          <w:lang w:val="en-ZA"/>
        </w:rPr>
        <w:t>The point is that these two amounts clearly are loan repayments, as is confirmed by the annual financial statements, as well as by the Neale report.</w:t>
      </w:r>
    </w:p>
    <w:p w:rsidR="00FE449F" w:rsidRPr="008A60A8" w:rsidRDefault="00D63A02" w:rsidP="00D63A02">
      <w:pPr>
        <w:pStyle w:val="LegalList1"/>
        <w:spacing w:after="120" w:line="360" w:lineRule="auto"/>
        <w:rPr>
          <w:lang w:val="en-ZA"/>
        </w:rPr>
      </w:pPr>
      <w:r w:rsidRPr="008A60A8">
        <w:rPr>
          <w:lang w:val="en-ZA"/>
        </w:rPr>
        <w:t>[43].</w:t>
      </w:r>
      <w:r w:rsidRPr="008A60A8">
        <w:rPr>
          <w:lang w:val="en-ZA"/>
        </w:rPr>
        <w:tab/>
      </w:r>
      <w:r w:rsidR="008A60A8">
        <w:rPr>
          <w:lang w:val="en-ZA"/>
        </w:rPr>
        <w:t xml:space="preserve">The way to deal with this is to disregard same in the calculation relating to the adjustment of the taxpayer’s income for the 2010 tax year of assessment, which, it will be recalled, was originally assessed at R1 750 671. The remaining </w:t>
      </w:r>
      <w:r w:rsidR="00B268DE">
        <w:rPr>
          <w:lang w:val="en-ZA"/>
        </w:rPr>
        <w:t>R746 144</w:t>
      </w:r>
      <w:r w:rsidR="008A60A8">
        <w:rPr>
          <w:lang w:val="en-ZA"/>
        </w:rPr>
        <w:t>.</w:t>
      </w:r>
      <w:r w:rsidR="00B268DE">
        <w:rPr>
          <w:lang w:val="en-ZA"/>
        </w:rPr>
        <w:t>02</w:t>
      </w:r>
      <w:r w:rsidR="008A60A8">
        <w:rPr>
          <w:lang w:val="en-ZA"/>
        </w:rPr>
        <w:t xml:space="preserve"> unexplained receipts in the 2010 tax year would therefore represent the adjustment (upward) for that year.  </w:t>
      </w:r>
      <w:r w:rsidR="00402A11" w:rsidRPr="008A60A8">
        <w:rPr>
          <w:lang w:val="en-ZA"/>
        </w:rPr>
        <w:t xml:space="preserve">  </w:t>
      </w:r>
    </w:p>
    <w:p w:rsidR="009C63B4" w:rsidRPr="009C63B4" w:rsidRDefault="00D63A02" w:rsidP="00D63A02">
      <w:pPr>
        <w:pStyle w:val="LegalList1"/>
        <w:spacing w:after="120" w:line="360" w:lineRule="auto"/>
        <w:rPr>
          <w:lang w:val="en-ZA"/>
        </w:rPr>
      </w:pPr>
      <w:r w:rsidRPr="009C63B4">
        <w:rPr>
          <w:lang w:val="en-ZA"/>
        </w:rPr>
        <w:t>[44].</w:t>
      </w:r>
      <w:r w:rsidRPr="009C63B4">
        <w:rPr>
          <w:lang w:val="en-ZA"/>
        </w:rPr>
        <w:tab/>
      </w:r>
      <w:r w:rsidR="000E5455">
        <w:rPr>
          <w:lang w:val="en-ZA"/>
        </w:rPr>
        <w:t>As regards the d</w:t>
      </w:r>
      <w:r w:rsidR="009C63B4" w:rsidRPr="009C63B4">
        <w:rPr>
          <w:lang w:val="en-ZA"/>
        </w:rPr>
        <w:t xml:space="preserve">eposits identified in the </w:t>
      </w:r>
      <w:r w:rsidR="000E5455">
        <w:rPr>
          <w:lang w:val="en-ZA"/>
        </w:rPr>
        <w:t xml:space="preserve">taxpayer’s </w:t>
      </w:r>
      <w:r w:rsidR="009C63B4" w:rsidRPr="009C63B4">
        <w:rPr>
          <w:lang w:val="en-ZA"/>
        </w:rPr>
        <w:t>Nedbank account</w:t>
      </w:r>
      <w:r w:rsidR="000E5455">
        <w:rPr>
          <w:lang w:val="en-ZA"/>
        </w:rPr>
        <w:t xml:space="preserve">, which totalled R143 073.12, as already alluded to above, the taxpayer contends </w:t>
      </w:r>
      <w:r w:rsidR="000E5455">
        <w:rPr>
          <w:lang w:val="en-ZA"/>
        </w:rPr>
        <w:lastRenderedPageBreak/>
        <w:t>that these amounts were in fact transferred from the Investec bank account. The evidence before the Tax Court did however not bear this out. That whole amount is therefore to be treated as income in the hand</w:t>
      </w:r>
      <w:r w:rsidR="008A60A8">
        <w:rPr>
          <w:lang w:val="en-ZA"/>
        </w:rPr>
        <w:t>s</w:t>
      </w:r>
      <w:r w:rsidR="000E5455">
        <w:rPr>
          <w:lang w:val="en-ZA"/>
        </w:rPr>
        <w:t xml:space="preserve"> of the taxpayer. </w:t>
      </w:r>
    </w:p>
    <w:p w:rsidR="007A4229" w:rsidRDefault="00D63A02" w:rsidP="00D63A02">
      <w:pPr>
        <w:pStyle w:val="LegalList1"/>
        <w:spacing w:after="120" w:line="360" w:lineRule="auto"/>
        <w:rPr>
          <w:lang w:val="en-ZA"/>
        </w:rPr>
      </w:pPr>
      <w:r>
        <w:rPr>
          <w:lang w:val="en-ZA"/>
        </w:rPr>
        <w:t>[45].</w:t>
      </w:r>
      <w:r>
        <w:rPr>
          <w:lang w:val="en-ZA"/>
        </w:rPr>
        <w:tab/>
      </w:r>
      <w:r w:rsidR="000E5455">
        <w:rPr>
          <w:lang w:val="en-ZA"/>
        </w:rPr>
        <w:t>Lastly, there were the a</w:t>
      </w:r>
      <w:r w:rsidR="009C63B4" w:rsidRPr="009C63B4">
        <w:rPr>
          <w:lang w:val="en-ZA"/>
        </w:rPr>
        <w:t xml:space="preserve">mounts received </w:t>
      </w:r>
      <w:r w:rsidR="000E5455">
        <w:rPr>
          <w:lang w:val="en-ZA"/>
        </w:rPr>
        <w:t xml:space="preserve">by the taxpayer </w:t>
      </w:r>
      <w:r w:rsidR="009C63B4" w:rsidRPr="009C63B4">
        <w:rPr>
          <w:lang w:val="en-ZA"/>
        </w:rPr>
        <w:t>from FX Africa</w:t>
      </w:r>
      <w:r w:rsidR="000E5455">
        <w:rPr>
          <w:lang w:val="en-ZA"/>
        </w:rPr>
        <w:t xml:space="preserve">, amounting in total to </w:t>
      </w:r>
      <w:r w:rsidR="005D68B4">
        <w:rPr>
          <w:lang w:val="en-ZA"/>
        </w:rPr>
        <w:t xml:space="preserve">R2 190 987. This total is the reduced amount after the evidence of the taxpayer during the hearing of the matter in the Tax Court, in which he explained that a portion of the total received from the FX Africa related to a </w:t>
      </w:r>
      <w:r w:rsidR="005D68B4" w:rsidRPr="007A4229">
        <w:rPr>
          <w:i/>
          <w:lang w:val="en-ZA"/>
        </w:rPr>
        <w:t>quid pro quo</w:t>
      </w:r>
      <w:r w:rsidR="005D68B4">
        <w:rPr>
          <w:lang w:val="en-ZA"/>
        </w:rPr>
        <w:t xml:space="preserve"> exchange for cash between him and FX Africa.</w:t>
      </w:r>
      <w:r w:rsidR="007A4229">
        <w:rPr>
          <w:lang w:val="en-ZA"/>
        </w:rPr>
        <w:t xml:space="preserve"> The aforesaid balance, and the constituent </w:t>
      </w:r>
      <w:r w:rsidR="00212A8A">
        <w:rPr>
          <w:lang w:val="en-ZA"/>
        </w:rPr>
        <w:t>individual itemised amounts, were</w:t>
      </w:r>
      <w:r w:rsidR="007A4229">
        <w:rPr>
          <w:lang w:val="en-ZA"/>
        </w:rPr>
        <w:t xml:space="preserve"> not addressed by the taxpayer </w:t>
      </w:r>
      <w:r w:rsidR="00212A8A">
        <w:rPr>
          <w:lang w:val="en-ZA"/>
        </w:rPr>
        <w:t xml:space="preserve">in his evidence. The general tenet of the evidence, which also covered this amount, was, as alluded to above, to the effect that this amount was to be included in the total amount of R9 536 739, as evidenced by </w:t>
      </w:r>
      <w:r w:rsidR="00DF4016">
        <w:rPr>
          <w:lang w:val="en-ZA"/>
        </w:rPr>
        <w:t>the exhibit ‘4’ in the Tax Court, as being part of the total</w:t>
      </w:r>
      <w:r w:rsidR="008A60A8">
        <w:rPr>
          <w:lang w:val="en-ZA"/>
        </w:rPr>
        <w:t xml:space="preserve"> of the repayment of the loans.</w:t>
      </w:r>
    </w:p>
    <w:p w:rsidR="00B358B2" w:rsidRDefault="00D63A02" w:rsidP="00D63A02">
      <w:pPr>
        <w:pStyle w:val="LegalList1"/>
        <w:spacing w:after="120" w:line="360" w:lineRule="auto"/>
        <w:rPr>
          <w:lang w:val="en-ZA"/>
        </w:rPr>
      </w:pPr>
      <w:r>
        <w:rPr>
          <w:lang w:val="en-ZA"/>
        </w:rPr>
        <w:t>[46].</w:t>
      </w:r>
      <w:r>
        <w:rPr>
          <w:lang w:val="en-ZA"/>
        </w:rPr>
        <w:tab/>
      </w:r>
      <w:r w:rsidR="00DF4016">
        <w:rPr>
          <w:lang w:val="en-ZA"/>
        </w:rPr>
        <w:t>In sum, t</w:t>
      </w:r>
      <w:r w:rsidR="009C63B4" w:rsidRPr="007A4229">
        <w:rPr>
          <w:lang w:val="en-ZA"/>
        </w:rPr>
        <w:t xml:space="preserve">he taxpayer, instead of dealing with </w:t>
      </w:r>
      <w:r w:rsidR="00DF4016">
        <w:rPr>
          <w:lang w:val="en-ZA"/>
        </w:rPr>
        <w:t>each assessed</w:t>
      </w:r>
      <w:r w:rsidR="009A5E01">
        <w:rPr>
          <w:lang w:val="en-ZA"/>
        </w:rPr>
        <w:t xml:space="preserve"> amount</w:t>
      </w:r>
      <w:r w:rsidR="00DF4016">
        <w:rPr>
          <w:lang w:val="en-ZA"/>
        </w:rPr>
        <w:t>,</w:t>
      </w:r>
      <w:r w:rsidR="009C63B4" w:rsidRPr="007A4229">
        <w:rPr>
          <w:lang w:val="en-ZA"/>
        </w:rPr>
        <w:t xml:space="preserve"> contends that the Tax </w:t>
      </w:r>
      <w:r w:rsidR="00DF4016">
        <w:rPr>
          <w:lang w:val="en-ZA"/>
        </w:rPr>
        <w:t>Court only had to consider the ‘principle’</w:t>
      </w:r>
      <w:r w:rsidR="009C63B4" w:rsidRPr="007A4229">
        <w:rPr>
          <w:lang w:val="en-ZA"/>
        </w:rPr>
        <w:t xml:space="preserve"> whether payments from FX Africa and other parties constitute repayment of loans. It is submitted</w:t>
      </w:r>
      <w:r w:rsidR="00DF4016">
        <w:rPr>
          <w:lang w:val="en-ZA"/>
        </w:rPr>
        <w:t xml:space="preserve"> by SARS</w:t>
      </w:r>
      <w:r w:rsidR="009C63B4" w:rsidRPr="007A4229">
        <w:rPr>
          <w:lang w:val="en-ZA"/>
        </w:rPr>
        <w:t xml:space="preserve"> that this approach is incorrect as the taxpayer is required to prove in respect of each amount assessed by SARS that such amount should not form part of his gross income. </w:t>
      </w:r>
      <w:r w:rsidR="00DF4016">
        <w:rPr>
          <w:lang w:val="en-ZA"/>
        </w:rPr>
        <w:t>I find myself in agreement with this contention. The point is simply that this matter cannot and should not be decided</w:t>
      </w:r>
      <w:r w:rsidR="009C63B4" w:rsidRPr="00DF4016">
        <w:rPr>
          <w:lang w:val="en-ZA"/>
        </w:rPr>
        <w:t xml:space="preserve"> on the basis of a broad principle instead of considering the specific amounts that were taxed by SARS.  </w:t>
      </w:r>
      <w:r w:rsidR="00DF4016">
        <w:rPr>
          <w:lang w:val="en-ZA"/>
        </w:rPr>
        <w:t>T</w:t>
      </w:r>
      <w:r w:rsidR="009C63B4" w:rsidRPr="00DF4016">
        <w:rPr>
          <w:lang w:val="en-ZA"/>
        </w:rPr>
        <w:t xml:space="preserve">here should be evidence of exactly what amounts constitute these repayments of loans. </w:t>
      </w:r>
      <w:r w:rsidR="00B358B2">
        <w:rPr>
          <w:lang w:val="en-ZA"/>
        </w:rPr>
        <w:t>In the absence of such, the reasonable inference to be drawn is that such sums should be treated and regarded as income in the hands of the taxpayer.</w:t>
      </w:r>
    </w:p>
    <w:p w:rsidR="009C63B4" w:rsidRPr="009C63B4" w:rsidRDefault="00D63A02" w:rsidP="00D63A02">
      <w:pPr>
        <w:pStyle w:val="LegalList1"/>
        <w:spacing w:after="120" w:line="360" w:lineRule="auto"/>
        <w:rPr>
          <w:lang w:val="en-ZA"/>
        </w:rPr>
      </w:pPr>
      <w:r w:rsidRPr="009C63B4">
        <w:rPr>
          <w:lang w:val="en-ZA"/>
        </w:rPr>
        <w:t>[47].</w:t>
      </w:r>
      <w:r w:rsidRPr="009C63B4">
        <w:rPr>
          <w:lang w:val="en-ZA"/>
        </w:rPr>
        <w:tab/>
      </w:r>
      <w:r w:rsidR="00B358B2">
        <w:rPr>
          <w:lang w:val="en-ZA"/>
        </w:rPr>
        <w:t>Moreover, there was no</w:t>
      </w:r>
      <w:r w:rsidR="009C63B4" w:rsidRPr="009C63B4">
        <w:rPr>
          <w:lang w:val="en-ZA"/>
        </w:rPr>
        <w:t xml:space="preserve"> evidence</w:t>
      </w:r>
      <w:r w:rsidR="00B358B2">
        <w:rPr>
          <w:lang w:val="en-ZA"/>
        </w:rPr>
        <w:t xml:space="preserve"> before the Tax Court, which linked</w:t>
      </w:r>
      <w:r w:rsidR="009C63B4" w:rsidRPr="009C63B4">
        <w:rPr>
          <w:lang w:val="en-ZA"/>
        </w:rPr>
        <w:t xml:space="preserve"> the specific withdrawals of amounts referred to in the Neale Report </w:t>
      </w:r>
      <w:r w:rsidR="00B358B2">
        <w:rPr>
          <w:lang w:val="en-ZA"/>
        </w:rPr>
        <w:t xml:space="preserve">(as per the schedule at para </w:t>
      </w:r>
      <w:r w:rsidR="00B268DE">
        <w:rPr>
          <w:lang w:val="en-ZA"/>
        </w:rPr>
        <w:t>17</w:t>
      </w:r>
      <w:r w:rsidR="00B358B2">
        <w:rPr>
          <w:lang w:val="en-ZA"/>
        </w:rPr>
        <w:t xml:space="preserve"> above) </w:t>
      </w:r>
      <w:r w:rsidR="009C63B4" w:rsidRPr="009C63B4">
        <w:rPr>
          <w:lang w:val="en-ZA"/>
        </w:rPr>
        <w:t>to specific deposits in the taxpayer’s bank accounts</w:t>
      </w:r>
      <w:r w:rsidR="00B358B2">
        <w:rPr>
          <w:lang w:val="en-ZA"/>
        </w:rPr>
        <w:t>. T</w:t>
      </w:r>
      <w:r w:rsidR="009C63B4" w:rsidRPr="009C63B4">
        <w:rPr>
          <w:lang w:val="en-ZA"/>
        </w:rPr>
        <w:t>hose payments referred to in the Neale Report nevertheless constitute repayment of the Sanderling loan account by FX Africa in the amount of R7</w:t>
      </w:r>
      <w:r w:rsidR="00B358B2">
        <w:rPr>
          <w:lang w:val="en-ZA"/>
        </w:rPr>
        <w:t> </w:t>
      </w:r>
      <w:r w:rsidR="009C63B4" w:rsidRPr="009C63B4">
        <w:rPr>
          <w:lang w:val="en-ZA"/>
        </w:rPr>
        <w:t>514</w:t>
      </w:r>
      <w:r w:rsidR="00B358B2">
        <w:rPr>
          <w:lang w:val="en-ZA"/>
        </w:rPr>
        <w:t> </w:t>
      </w:r>
      <w:r w:rsidR="009C63B4" w:rsidRPr="009C63B4">
        <w:rPr>
          <w:lang w:val="en-ZA"/>
        </w:rPr>
        <w:t>360.</w:t>
      </w:r>
      <w:r w:rsidR="00B358B2">
        <w:rPr>
          <w:lang w:val="en-ZA"/>
        </w:rPr>
        <w:t xml:space="preserve"> Even more telling, is the fact that the amounts in the numerous SARS </w:t>
      </w:r>
      <w:r w:rsidR="00B358B2">
        <w:rPr>
          <w:lang w:val="en-ZA"/>
        </w:rPr>
        <w:lastRenderedPageBreak/>
        <w:t>schedules as constituting the total aforesaid sum of R8 937 750.82</w:t>
      </w:r>
      <w:r w:rsidR="00E3272D">
        <w:rPr>
          <w:lang w:val="en-ZA"/>
        </w:rPr>
        <w:t xml:space="preserve">, are completely irreconcilable with the repayments claimed by the taxpayers in respect of loans. The only exception being the R2 000 000 and R300 000 mentioned above. </w:t>
      </w:r>
      <w:r w:rsidR="00B268DE">
        <w:rPr>
          <w:lang w:val="en-ZA"/>
        </w:rPr>
        <w:t>Those</w:t>
      </w:r>
      <w:r w:rsidR="00E3272D">
        <w:rPr>
          <w:lang w:val="en-ZA"/>
        </w:rPr>
        <w:t xml:space="preserve"> amount</w:t>
      </w:r>
      <w:r w:rsidR="00B268DE">
        <w:rPr>
          <w:lang w:val="en-ZA"/>
        </w:rPr>
        <w:t>s</w:t>
      </w:r>
      <w:r w:rsidR="00E3272D">
        <w:rPr>
          <w:lang w:val="en-ZA"/>
        </w:rPr>
        <w:t xml:space="preserve"> should, in my view</w:t>
      </w:r>
      <w:r w:rsidR="00B268DE">
        <w:rPr>
          <w:lang w:val="en-ZA"/>
        </w:rPr>
        <w:t>,</w:t>
      </w:r>
      <w:r w:rsidR="00E3272D">
        <w:rPr>
          <w:lang w:val="en-ZA"/>
        </w:rPr>
        <w:t xml:space="preserve"> also be disregarded for purposes of the calculation of the taxpayer’s gross income for the period in question. </w:t>
      </w:r>
    </w:p>
    <w:p w:rsidR="009C63B4" w:rsidRPr="009C63B4" w:rsidRDefault="00D63A02" w:rsidP="00D63A02">
      <w:pPr>
        <w:pStyle w:val="LegalList1"/>
        <w:spacing w:after="120" w:line="360" w:lineRule="auto"/>
        <w:rPr>
          <w:lang w:val="en-ZA"/>
        </w:rPr>
      </w:pPr>
      <w:r w:rsidRPr="009C63B4">
        <w:rPr>
          <w:lang w:val="en-ZA"/>
        </w:rPr>
        <w:t>[48].</w:t>
      </w:r>
      <w:r w:rsidRPr="009C63B4">
        <w:rPr>
          <w:lang w:val="en-ZA"/>
        </w:rPr>
        <w:tab/>
      </w:r>
      <w:r w:rsidR="00E3272D">
        <w:rPr>
          <w:lang w:val="en-ZA"/>
        </w:rPr>
        <w:t>For all of these reasons, I do not accept as correct the</w:t>
      </w:r>
      <w:r w:rsidR="009C63B4" w:rsidRPr="009C63B4">
        <w:rPr>
          <w:lang w:val="en-ZA"/>
        </w:rPr>
        <w:t xml:space="preserve"> Court </w:t>
      </w:r>
      <w:r w:rsidR="009C63B4" w:rsidRPr="00B35AE0">
        <w:rPr>
          <w:i/>
          <w:lang w:val="en-ZA"/>
        </w:rPr>
        <w:t>a quo</w:t>
      </w:r>
      <w:r w:rsidR="00E3272D">
        <w:rPr>
          <w:i/>
          <w:lang w:val="en-ZA"/>
        </w:rPr>
        <w:t xml:space="preserve">’s </w:t>
      </w:r>
      <w:r w:rsidR="009C63B4" w:rsidRPr="009C63B4">
        <w:rPr>
          <w:lang w:val="en-ZA"/>
        </w:rPr>
        <w:t>finding that there was a sufficient</w:t>
      </w:r>
      <w:r w:rsidR="00E3272D">
        <w:rPr>
          <w:lang w:val="en-ZA"/>
        </w:rPr>
        <w:t>ly close</w:t>
      </w:r>
      <w:r w:rsidR="009C63B4" w:rsidRPr="009C63B4">
        <w:rPr>
          <w:lang w:val="en-ZA"/>
        </w:rPr>
        <w:t xml:space="preserve"> correlation between the total of the omitted amounts and the dates over which the omitted amounts were deposited into the taxpayer’s accounts on the one hand and the deduction in the loan accounts and the dates thereof recorded in FX Africa’s financial statements. </w:t>
      </w:r>
      <w:r w:rsidR="00E3272D">
        <w:rPr>
          <w:lang w:val="en-ZA"/>
        </w:rPr>
        <w:t>Far from it, as has been demonstrated above.</w:t>
      </w:r>
    </w:p>
    <w:p w:rsidR="009C63B4" w:rsidRPr="001A7C04" w:rsidRDefault="00D63A02" w:rsidP="00D63A02">
      <w:pPr>
        <w:pStyle w:val="LegalList1"/>
        <w:spacing w:after="120" w:line="360" w:lineRule="auto"/>
        <w:rPr>
          <w:lang w:val="en-ZA"/>
        </w:rPr>
      </w:pPr>
      <w:r w:rsidRPr="001A7C04">
        <w:rPr>
          <w:lang w:val="en-ZA"/>
        </w:rPr>
        <w:t>[49].</w:t>
      </w:r>
      <w:r w:rsidRPr="001A7C04">
        <w:rPr>
          <w:lang w:val="en-ZA"/>
        </w:rPr>
        <w:tab/>
      </w:r>
      <w:r w:rsidR="00E3272D">
        <w:rPr>
          <w:lang w:val="en-ZA"/>
        </w:rPr>
        <w:t>I am furthermore in agreement with the submission made by Mr Louw that, as regards the claim by the taxpayer that some of the payments were received from FX Africa by related parties, being P</w:t>
      </w:r>
      <w:r w:rsidR="009C63B4" w:rsidRPr="009C63B4">
        <w:rPr>
          <w:lang w:val="en-ZA"/>
        </w:rPr>
        <w:t>addy’s Pad, Phoenix and Evening Star</w:t>
      </w:r>
      <w:r w:rsidR="00E3272D">
        <w:rPr>
          <w:lang w:val="en-ZA"/>
        </w:rPr>
        <w:t>, should have been rejected by the Tax Court.</w:t>
      </w:r>
      <w:r w:rsidR="001A7C04">
        <w:rPr>
          <w:lang w:val="en-ZA"/>
        </w:rPr>
        <w:t xml:space="preserve"> This averment and the taxpayer’s evidence in support thereof are completely at odds with the case pleaded on behalf of the taxpayer in the Tax Court and in his objection to the additional assessments. For the reasons mentioned above, I, in any event, reject the taxpayer’s contention that payments made by Paddy Pads, Phoenix and Evening Star </w:t>
      </w:r>
      <w:r w:rsidR="009C63B4" w:rsidRPr="001A7C04">
        <w:rPr>
          <w:lang w:val="en-ZA"/>
        </w:rPr>
        <w:t>constituted repayment of loans to the taxpayer.</w:t>
      </w:r>
    </w:p>
    <w:p w:rsidR="009C63B4" w:rsidRDefault="00D63A02" w:rsidP="00D63A02">
      <w:pPr>
        <w:pStyle w:val="LegalList1"/>
        <w:spacing w:after="120" w:line="360" w:lineRule="auto"/>
        <w:rPr>
          <w:lang w:val="en-ZA"/>
        </w:rPr>
      </w:pPr>
      <w:r>
        <w:rPr>
          <w:lang w:val="en-ZA"/>
        </w:rPr>
        <w:t>[50].</w:t>
      </w:r>
      <w:r>
        <w:rPr>
          <w:lang w:val="en-ZA"/>
        </w:rPr>
        <w:tab/>
      </w:r>
      <w:r w:rsidR="001A7C04">
        <w:rPr>
          <w:lang w:val="en-ZA"/>
        </w:rPr>
        <w:t xml:space="preserve">In light of my aforegoing findings, it is not necessary for me to deal </w:t>
      </w:r>
      <w:r w:rsidR="00B268DE">
        <w:rPr>
          <w:lang w:val="en-ZA"/>
        </w:rPr>
        <w:t xml:space="preserve">in detail </w:t>
      </w:r>
      <w:r w:rsidR="001A7C04">
        <w:rPr>
          <w:lang w:val="en-ZA"/>
        </w:rPr>
        <w:t xml:space="preserve">with any of the other grounds of appeal raised by SARS. Suffice to say that there may very well be merit in SARS’ contention that </w:t>
      </w:r>
      <w:r w:rsidR="004C0EBD">
        <w:rPr>
          <w:lang w:val="en-ZA"/>
        </w:rPr>
        <w:t xml:space="preserve">the taxpayer has not proven a cession </w:t>
      </w:r>
      <w:r w:rsidR="009A5E01">
        <w:rPr>
          <w:lang w:val="en-ZA"/>
        </w:rPr>
        <w:t>in respect of the loans</w:t>
      </w:r>
      <w:r w:rsidR="009C63B4" w:rsidRPr="004C0EBD">
        <w:rPr>
          <w:lang w:val="en-ZA"/>
        </w:rPr>
        <w:t xml:space="preserve"> reflected in FX Africa’s books in respect of Paddy’s Pad 2520, Phoenix Confirming Ltd and Evening Star Investments (Pty) Ltd.</w:t>
      </w:r>
      <w:r w:rsidR="004C0EBD">
        <w:rPr>
          <w:lang w:val="en-ZA"/>
        </w:rPr>
        <w:t xml:space="preserve"> That may very well be fatal to the taxpayer’s cause in respect of those receipts.</w:t>
      </w:r>
      <w:r w:rsidR="009C63B4" w:rsidRPr="004C0EBD">
        <w:rPr>
          <w:lang w:val="en-ZA"/>
        </w:rPr>
        <w:t xml:space="preserve"> </w:t>
      </w:r>
    </w:p>
    <w:p w:rsidR="004420CB" w:rsidRPr="004420CB" w:rsidRDefault="00D63A02" w:rsidP="00D63A02">
      <w:pPr>
        <w:pStyle w:val="LegalList1"/>
        <w:spacing w:after="120" w:line="360" w:lineRule="auto"/>
        <w:rPr>
          <w:lang w:val="en-ZA"/>
        </w:rPr>
      </w:pPr>
      <w:r w:rsidRPr="004420CB">
        <w:rPr>
          <w:lang w:val="en-ZA"/>
        </w:rPr>
        <w:t>[51].</w:t>
      </w:r>
      <w:r w:rsidRPr="004420CB">
        <w:rPr>
          <w:lang w:val="en-ZA"/>
        </w:rPr>
        <w:tab/>
      </w:r>
      <w:r w:rsidR="004420CB">
        <w:rPr>
          <w:lang w:val="en-ZA"/>
        </w:rPr>
        <w:t>SARS also made much of the fact that the evidence, so they contended, mitigated against the taxpayer’s assertion that Sanderling’s Loan account with FX Africa had been ceded to him during or about 2007. SARS vigorously disputes that</w:t>
      </w:r>
      <w:r w:rsidR="004420CB" w:rsidRPr="004420CB">
        <w:rPr>
          <w:lang w:val="en-ZA"/>
        </w:rPr>
        <w:t xml:space="preserve"> the taxpayer was substituted as FX Africa’s creditor in </w:t>
      </w:r>
      <w:r w:rsidR="004420CB">
        <w:rPr>
          <w:lang w:val="en-ZA"/>
        </w:rPr>
        <w:t xml:space="preserve">respect of the sum of </w:t>
      </w:r>
      <w:r w:rsidR="004420CB">
        <w:rPr>
          <w:lang w:val="en-ZA"/>
        </w:rPr>
        <w:lastRenderedPageBreak/>
        <w:t xml:space="preserve">R8 532 </w:t>
      </w:r>
      <w:r w:rsidR="004420CB" w:rsidRPr="004420CB">
        <w:rPr>
          <w:lang w:val="en-ZA"/>
        </w:rPr>
        <w:t xml:space="preserve">735. On the taxpayer’s own version, </w:t>
      </w:r>
      <w:r w:rsidR="004420CB">
        <w:rPr>
          <w:lang w:val="en-ZA"/>
        </w:rPr>
        <w:t xml:space="preserve">so it was submitted on behalf of SARS, </w:t>
      </w:r>
      <w:r w:rsidR="004420CB" w:rsidRPr="004420CB">
        <w:rPr>
          <w:lang w:val="en-ZA"/>
        </w:rPr>
        <w:t>he did not advance any monies to FX Africa. He only advanced monies to the Sanderling Trust, who, according to the taxpayer, in turn advanced monies to Sanderling, which in turn advanced monies to FX Africa.</w:t>
      </w:r>
    </w:p>
    <w:p w:rsidR="004420CB" w:rsidRDefault="00D63A02" w:rsidP="00D63A02">
      <w:pPr>
        <w:pStyle w:val="LegalList1"/>
        <w:spacing w:after="120" w:line="360" w:lineRule="auto"/>
        <w:rPr>
          <w:lang w:val="en-ZA"/>
        </w:rPr>
      </w:pPr>
      <w:r>
        <w:rPr>
          <w:lang w:val="en-ZA"/>
        </w:rPr>
        <w:t>[52].</w:t>
      </w:r>
      <w:r>
        <w:rPr>
          <w:lang w:val="en-ZA"/>
        </w:rPr>
        <w:tab/>
      </w:r>
      <w:r w:rsidR="004420CB" w:rsidRPr="004420CB">
        <w:rPr>
          <w:lang w:val="en-ZA"/>
        </w:rPr>
        <w:t>It follows</w:t>
      </w:r>
      <w:r w:rsidR="004420CB">
        <w:rPr>
          <w:lang w:val="en-ZA"/>
        </w:rPr>
        <w:t>, so the submissions continue,</w:t>
      </w:r>
      <w:r w:rsidR="004420CB" w:rsidRPr="004420CB">
        <w:rPr>
          <w:lang w:val="en-ZA"/>
        </w:rPr>
        <w:t xml:space="preserve"> that unless the taxpayer proves that Sanderling ceded its claims against FX Africa to the taxpayer, the taxpayer had no right to receive loan repayments from FX Africa and does not explain the deposits received by the taxpayer in the Investec and Nedbank accounts and from FX Africa.</w:t>
      </w:r>
    </w:p>
    <w:p w:rsidR="004420CB" w:rsidRPr="00EA0701" w:rsidRDefault="00D63A02" w:rsidP="00D63A02">
      <w:pPr>
        <w:pStyle w:val="LegalList1"/>
        <w:spacing w:after="120" w:line="360" w:lineRule="auto"/>
        <w:rPr>
          <w:lang w:val="en-ZA"/>
        </w:rPr>
      </w:pPr>
      <w:r w:rsidRPr="00EA0701">
        <w:rPr>
          <w:lang w:val="en-ZA"/>
        </w:rPr>
        <w:t>[53].</w:t>
      </w:r>
      <w:r w:rsidRPr="00EA0701">
        <w:rPr>
          <w:lang w:val="en-ZA"/>
        </w:rPr>
        <w:tab/>
      </w:r>
      <w:r w:rsidR="004420CB">
        <w:rPr>
          <w:lang w:val="en-ZA"/>
        </w:rPr>
        <w:t>SARS also contends that the existence of the cession is belied by</w:t>
      </w:r>
      <w:r w:rsidR="004420CB" w:rsidRPr="004420CB">
        <w:rPr>
          <w:lang w:val="en-ZA"/>
        </w:rPr>
        <w:t xml:space="preserve"> two subordination agreements</w:t>
      </w:r>
      <w:r w:rsidR="00EA0701">
        <w:rPr>
          <w:lang w:val="en-ZA"/>
        </w:rPr>
        <w:t xml:space="preserve"> – concluded during 2005 and 2007 – </w:t>
      </w:r>
      <w:r w:rsidR="004420CB" w:rsidRPr="004420CB">
        <w:rPr>
          <w:lang w:val="en-ZA"/>
        </w:rPr>
        <w:t xml:space="preserve"> which prohibit</w:t>
      </w:r>
      <w:r w:rsidR="00EA0701">
        <w:rPr>
          <w:lang w:val="en-ZA"/>
        </w:rPr>
        <w:t>ed</w:t>
      </w:r>
      <w:r w:rsidR="004420CB" w:rsidRPr="004420CB">
        <w:rPr>
          <w:lang w:val="en-ZA"/>
        </w:rPr>
        <w:t xml:space="preserve"> any cession and in terms of which Sanderling guaranteed that its loans to FX Africa </w:t>
      </w:r>
      <w:r w:rsidR="00EA0701">
        <w:rPr>
          <w:lang w:val="en-ZA"/>
        </w:rPr>
        <w:t xml:space="preserve">had not been </w:t>
      </w:r>
      <w:r w:rsidR="004420CB" w:rsidRPr="004420CB">
        <w:rPr>
          <w:lang w:val="en-ZA"/>
        </w:rPr>
        <w:t>ceded</w:t>
      </w:r>
      <w:r w:rsidR="00EA0701">
        <w:rPr>
          <w:lang w:val="en-ZA"/>
        </w:rPr>
        <w:t>, as well as by the annual financial s</w:t>
      </w:r>
      <w:r w:rsidR="004420CB" w:rsidRPr="00EA0701">
        <w:rPr>
          <w:lang w:val="en-ZA"/>
        </w:rPr>
        <w:t>tatements of FX Africa which do not reflect any loan between FX Africa and the taxpayer, which would have been the cas</w:t>
      </w:r>
      <w:r w:rsidR="00EA0701">
        <w:rPr>
          <w:lang w:val="en-ZA"/>
        </w:rPr>
        <w:t>e if there was indeed a cession. Moreover, so SARS contends, t</w:t>
      </w:r>
      <w:r w:rsidR="004420CB" w:rsidRPr="00EA0701">
        <w:rPr>
          <w:lang w:val="en-ZA"/>
        </w:rPr>
        <w:t>he taxpayer’s</w:t>
      </w:r>
      <w:r w:rsidR="00EA0701">
        <w:rPr>
          <w:lang w:val="en-ZA"/>
        </w:rPr>
        <w:t xml:space="preserve"> personal</w:t>
      </w:r>
      <w:r w:rsidR="004420CB" w:rsidRPr="00EA0701">
        <w:rPr>
          <w:lang w:val="en-ZA"/>
        </w:rPr>
        <w:t xml:space="preserve"> income tax returns do not reflect any loans against FX Africa.</w:t>
      </w:r>
    </w:p>
    <w:p w:rsidR="00EA0701" w:rsidRDefault="00D63A02" w:rsidP="00D63A02">
      <w:pPr>
        <w:pStyle w:val="LegalList1"/>
        <w:spacing w:after="120" w:line="360" w:lineRule="auto"/>
        <w:rPr>
          <w:lang w:val="en-ZA"/>
        </w:rPr>
      </w:pPr>
      <w:r>
        <w:rPr>
          <w:lang w:val="en-ZA"/>
        </w:rPr>
        <w:t>[54].</w:t>
      </w:r>
      <w:r>
        <w:rPr>
          <w:lang w:val="en-ZA"/>
        </w:rPr>
        <w:tab/>
      </w:r>
      <w:r w:rsidR="00EA0701">
        <w:rPr>
          <w:lang w:val="en-ZA"/>
        </w:rPr>
        <w:t>I disagree with these contentions</w:t>
      </w:r>
      <w:r w:rsidR="004420CB" w:rsidRPr="004420CB">
        <w:rPr>
          <w:lang w:val="en-ZA"/>
        </w:rPr>
        <w:t>.</w:t>
      </w:r>
      <w:r w:rsidR="00EA0701">
        <w:rPr>
          <w:lang w:val="en-ZA"/>
        </w:rPr>
        <w:t xml:space="preserve"> The simple fact of the matter is that, according to his evidence, an oral cession agreement was concluded between the taxpayer and Sanderling </w:t>
      </w:r>
      <w:r w:rsidR="004420CB" w:rsidRPr="00EA0701">
        <w:rPr>
          <w:lang w:val="en-ZA"/>
        </w:rPr>
        <w:t xml:space="preserve">during the course of 2007. </w:t>
      </w:r>
      <w:r w:rsidR="00EA0701">
        <w:rPr>
          <w:lang w:val="en-ZA"/>
        </w:rPr>
        <w:t xml:space="preserve">The fact that same was prohibited by the </w:t>
      </w:r>
      <w:r w:rsidR="004420CB" w:rsidRPr="00EA0701">
        <w:rPr>
          <w:lang w:val="en-ZA"/>
        </w:rPr>
        <w:t>subordination agreement</w:t>
      </w:r>
      <w:r w:rsidR="00EA0701">
        <w:rPr>
          <w:lang w:val="en-ZA"/>
        </w:rPr>
        <w:t xml:space="preserve">s does not, in my view, detract from the fact that the cession was in fact entered into. What is more is that, by all accounts, the parties, notably FX Africa and the taxpayer, conducted themselves in a manner, which is consistent with the existence of a cession. All payments were made directly to the </w:t>
      </w:r>
      <w:r w:rsidR="0082626B">
        <w:rPr>
          <w:lang w:val="en-ZA"/>
        </w:rPr>
        <w:t>taxpayer.</w:t>
      </w:r>
    </w:p>
    <w:p w:rsidR="004420CB" w:rsidRDefault="00D63A02" w:rsidP="00D63A02">
      <w:pPr>
        <w:pStyle w:val="LegalList1"/>
        <w:spacing w:after="120" w:line="360" w:lineRule="auto"/>
        <w:rPr>
          <w:lang w:val="en-ZA"/>
        </w:rPr>
      </w:pPr>
      <w:r>
        <w:rPr>
          <w:lang w:val="en-ZA"/>
        </w:rPr>
        <w:t>[55].</w:t>
      </w:r>
      <w:r>
        <w:rPr>
          <w:lang w:val="en-ZA"/>
        </w:rPr>
        <w:tab/>
      </w:r>
      <w:r w:rsidR="0082626B">
        <w:rPr>
          <w:lang w:val="en-ZA"/>
        </w:rPr>
        <w:t xml:space="preserve">There is another reason why it should be accepted that there was in existence, at the relevant time, a cession in terms of which the loan account of Sanderling with FX Africa had been ceded to the taxpayer. And that relates to the fact that, as was found by the Tax Court, </w:t>
      </w:r>
      <w:r w:rsidR="004420CB" w:rsidRPr="004420CB">
        <w:rPr>
          <w:lang w:val="en-ZA"/>
        </w:rPr>
        <w:t>the economic substance of the loan ag</w:t>
      </w:r>
      <w:r w:rsidR="0082626B">
        <w:rPr>
          <w:lang w:val="en-ZA"/>
        </w:rPr>
        <w:t>reements between Sanderling</w:t>
      </w:r>
      <w:r w:rsidR="004420CB" w:rsidRPr="004420CB">
        <w:rPr>
          <w:lang w:val="en-ZA"/>
        </w:rPr>
        <w:t>, the Trust, FX Africa and the taxpayer ought to prevail over their form.</w:t>
      </w:r>
      <w:r w:rsidR="0082626B">
        <w:rPr>
          <w:lang w:val="en-ZA"/>
        </w:rPr>
        <w:t xml:space="preserve"> The simple point being that, stripped of all of the legalities </w:t>
      </w:r>
      <w:r w:rsidR="0082626B">
        <w:rPr>
          <w:lang w:val="en-ZA"/>
        </w:rPr>
        <w:lastRenderedPageBreak/>
        <w:t>and other niceties, the Sanderling loan had, for all intents and purposes</w:t>
      </w:r>
      <w:r w:rsidR="0033374E">
        <w:rPr>
          <w:lang w:val="en-ZA"/>
        </w:rPr>
        <w:t>,</w:t>
      </w:r>
      <w:r w:rsidR="0082626B">
        <w:rPr>
          <w:lang w:val="en-ZA"/>
        </w:rPr>
        <w:t xml:space="preserve"> been advanced by the taxpayer. </w:t>
      </w:r>
    </w:p>
    <w:p w:rsidR="00F5313F" w:rsidRPr="00F5313F" w:rsidRDefault="00D63A02" w:rsidP="00D63A02">
      <w:pPr>
        <w:pStyle w:val="LegalList1"/>
        <w:spacing w:after="0" w:line="360" w:lineRule="auto"/>
        <w:rPr>
          <w:lang w:val="en-ZA"/>
        </w:rPr>
      </w:pPr>
      <w:r w:rsidRPr="00F5313F">
        <w:rPr>
          <w:lang w:val="en-ZA"/>
        </w:rPr>
        <w:t>[56].</w:t>
      </w:r>
      <w:r w:rsidRPr="00F5313F">
        <w:rPr>
          <w:lang w:val="en-ZA"/>
        </w:rPr>
        <w:tab/>
      </w:r>
      <w:r w:rsidR="00F5313F">
        <w:rPr>
          <w:lang w:val="en-ZA"/>
        </w:rPr>
        <w:t xml:space="preserve">In that regard, the SCA held as follows in </w:t>
      </w:r>
      <w:r w:rsidR="00F5313F" w:rsidRPr="00F5313F">
        <w:rPr>
          <w:i/>
          <w:lang w:val="en-ZA"/>
        </w:rPr>
        <w:t>Commissioner, South African Revenue Service v Capstone 556 (Pty) Ltd</w:t>
      </w:r>
      <w:r w:rsidR="00F5313F">
        <w:rPr>
          <w:rStyle w:val="FootnoteReference"/>
          <w:lang w:val="en-ZA"/>
        </w:rPr>
        <w:footnoteReference w:id="3"/>
      </w:r>
      <w:r w:rsidR="00F5313F">
        <w:rPr>
          <w:lang w:val="en-ZA"/>
        </w:rPr>
        <w:t xml:space="preserve">: - </w:t>
      </w:r>
    </w:p>
    <w:p w:rsidR="00F5313F" w:rsidRPr="00F5313F" w:rsidRDefault="00F5313F" w:rsidP="00F5313F">
      <w:pPr>
        <w:pStyle w:val="LegalList1"/>
        <w:spacing w:after="120" w:line="360" w:lineRule="auto"/>
        <w:rPr>
          <w:sz w:val="20"/>
          <w:szCs w:val="20"/>
          <w:lang w:val="en-ZA"/>
        </w:rPr>
      </w:pPr>
      <w:r w:rsidRPr="00F5313F">
        <w:rPr>
          <w:sz w:val="20"/>
          <w:szCs w:val="20"/>
          <w:lang w:val="en-ZA"/>
        </w:rPr>
        <w:t>‘Finally, I consider that the correct approach in a matter of this nature is not that of a narrow legalistic nature. What has to be considered is the commercial operation as such and the character of the expenditure arising therefrom. This is perhaps but another way of expressing the concept that it is the substance and reality of the original loan transaction that is the decisive factor.’</w:t>
      </w:r>
    </w:p>
    <w:p w:rsidR="00F5313F" w:rsidRPr="00F5313F" w:rsidRDefault="00D63A02" w:rsidP="00D63A02">
      <w:pPr>
        <w:pStyle w:val="LegalList1"/>
        <w:spacing w:after="0" w:line="360" w:lineRule="auto"/>
        <w:rPr>
          <w:lang w:val="en-ZA"/>
        </w:rPr>
      </w:pPr>
      <w:r w:rsidRPr="00F5313F">
        <w:rPr>
          <w:lang w:val="en-ZA"/>
        </w:rPr>
        <w:t>[57].</w:t>
      </w:r>
      <w:r w:rsidRPr="00F5313F">
        <w:rPr>
          <w:lang w:val="en-ZA"/>
        </w:rPr>
        <w:tab/>
      </w:r>
      <w:r w:rsidR="00F5313F" w:rsidRPr="00F5313F">
        <w:rPr>
          <w:lang w:val="en-ZA"/>
        </w:rPr>
        <w:t xml:space="preserve">Also in </w:t>
      </w:r>
      <w:r w:rsidR="00F5313F" w:rsidRPr="00F5313F">
        <w:rPr>
          <w:i/>
          <w:lang w:val="en-ZA"/>
        </w:rPr>
        <w:t>Capstone</w:t>
      </w:r>
      <w:r w:rsidR="00F5313F" w:rsidRPr="00F5313F">
        <w:rPr>
          <w:lang w:val="en-ZA"/>
        </w:rPr>
        <w:t xml:space="preserve">, the Court </w:t>
      </w:r>
      <w:r w:rsidR="00F5313F">
        <w:rPr>
          <w:lang w:val="en-ZA"/>
        </w:rPr>
        <w:t>had this to stay about ‘substance over form’: -</w:t>
      </w:r>
      <w:r w:rsidR="00F5313F" w:rsidRPr="00F5313F">
        <w:rPr>
          <w:lang w:val="en-ZA"/>
        </w:rPr>
        <w:t xml:space="preserve"> </w:t>
      </w:r>
    </w:p>
    <w:p w:rsidR="00F5313F" w:rsidRPr="00F5313F" w:rsidRDefault="00F5313F" w:rsidP="00F5313F">
      <w:pPr>
        <w:pStyle w:val="LegalList1"/>
        <w:spacing w:after="120" w:line="360" w:lineRule="auto"/>
        <w:rPr>
          <w:sz w:val="20"/>
          <w:szCs w:val="20"/>
          <w:lang w:val="en-ZA"/>
        </w:rPr>
      </w:pPr>
      <w:r w:rsidRPr="00F5313F">
        <w:rPr>
          <w:sz w:val="20"/>
          <w:szCs w:val="20"/>
          <w:lang w:val="en-ZA"/>
        </w:rPr>
        <w:t>‘The … principle of construction was a recognition that the statutory language was intended to refer to commercial concepts, so that in a case of a concept such as a “disposal”, the court was required to take a view of the facts which transcended the juristic individuality of the various parts of a pre-planned series of transactions.’</w:t>
      </w:r>
    </w:p>
    <w:p w:rsidR="00F5313F" w:rsidRPr="00F5313F" w:rsidRDefault="00D63A02" w:rsidP="00D63A02">
      <w:pPr>
        <w:pStyle w:val="LegalList1"/>
        <w:spacing w:after="120" w:line="360" w:lineRule="auto"/>
        <w:rPr>
          <w:lang w:val="en-ZA"/>
        </w:rPr>
      </w:pPr>
      <w:r w:rsidRPr="00F5313F">
        <w:rPr>
          <w:lang w:val="en-ZA"/>
        </w:rPr>
        <w:t>[58].</w:t>
      </w:r>
      <w:r w:rsidRPr="00F5313F">
        <w:rPr>
          <w:lang w:val="en-ZA"/>
        </w:rPr>
        <w:tab/>
      </w:r>
      <w:r w:rsidR="00F5313F">
        <w:rPr>
          <w:lang w:val="en-ZA"/>
        </w:rPr>
        <w:t xml:space="preserve">It is indeed so, as was found by the Tax Court that the issues in this matter, and in particular whether the receipts were income or capital, should be </w:t>
      </w:r>
      <w:r w:rsidR="00F5313F" w:rsidRPr="00F5313F">
        <w:rPr>
          <w:lang w:val="en-ZA"/>
        </w:rPr>
        <w:t>considered against the backdrop of the ‘commercial operation’ of the transactions as a whole rather than assessed with regard to the various individual components of the transactions and their ‘narrow legalistic form’.</w:t>
      </w:r>
    </w:p>
    <w:p w:rsidR="004420CB" w:rsidRPr="004420CB" w:rsidRDefault="00D63A02" w:rsidP="00D63A02">
      <w:pPr>
        <w:pStyle w:val="LegalList1"/>
        <w:spacing w:after="120" w:line="360" w:lineRule="auto"/>
        <w:rPr>
          <w:lang w:val="en-ZA"/>
        </w:rPr>
      </w:pPr>
      <w:r w:rsidRPr="004420CB">
        <w:rPr>
          <w:lang w:val="en-ZA"/>
        </w:rPr>
        <w:t>[59].</w:t>
      </w:r>
      <w:r w:rsidRPr="004420CB">
        <w:rPr>
          <w:lang w:val="en-ZA"/>
        </w:rPr>
        <w:tab/>
      </w:r>
      <w:r w:rsidR="00C47BA3">
        <w:rPr>
          <w:lang w:val="en-ZA"/>
        </w:rPr>
        <w:t xml:space="preserve">On the basis of these principles, I conclude that, insofar as payments were made purportedly in settlement of the Sanderling Loan account with FX Africa, there was nothing untoward or irregular in those payments having been made directly to the taxpayer. And those payments can and should be treated as loan repayments in favour of the taxpayer. </w:t>
      </w:r>
    </w:p>
    <w:p w:rsidR="009C63B4" w:rsidRPr="009C63B4" w:rsidRDefault="00D63A02" w:rsidP="00D63A02">
      <w:pPr>
        <w:pStyle w:val="LegalList1"/>
        <w:spacing w:after="120" w:line="360" w:lineRule="auto"/>
        <w:rPr>
          <w:lang w:val="en-ZA"/>
        </w:rPr>
      </w:pPr>
      <w:r w:rsidRPr="009C63B4">
        <w:rPr>
          <w:lang w:val="en-ZA"/>
        </w:rPr>
        <w:t>[60].</w:t>
      </w:r>
      <w:r w:rsidRPr="009C63B4">
        <w:rPr>
          <w:lang w:val="en-ZA"/>
        </w:rPr>
        <w:tab/>
      </w:r>
      <w:r w:rsidR="00C47BA3">
        <w:rPr>
          <w:lang w:val="en-ZA"/>
        </w:rPr>
        <w:t>In the circumstances</w:t>
      </w:r>
      <w:r w:rsidR="009C63B4" w:rsidRPr="009C63B4">
        <w:rPr>
          <w:lang w:val="en-ZA"/>
        </w:rPr>
        <w:t xml:space="preserve">, </w:t>
      </w:r>
      <w:r w:rsidR="00C47BA3">
        <w:rPr>
          <w:lang w:val="en-ZA"/>
        </w:rPr>
        <w:t xml:space="preserve">the conclusion that I come to is that </w:t>
      </w:r>
      <w:r w:rsidR="009C63B4" w:rsidRPr="009C63B4">
        <w:rPr>
          <w:lang w:val="en-ZA"/>
        </w:rPr>
        <w:t xml:space="preserve">the amounts received by the taxpayer, </w:t>
      </w:r>
      <w:r w:rsidR="00642F71">
        <w:rPr>
          <w:lang w:val="en-ZA"/>
        </w:rPr>
        <w:t xml:space="preserve">excepting only the amount of R2 300 000 referred to above, </w:t>
      </w:r>
      <w:r w:rsidR="009C63B4" w:rsidRPr="009C63B4">
        <w:rPr>
          <w:lang w:val="en-ZA"/>
        </w:rPr>
        <w:t xml:space="preserve">as identified in SARS’ letter of audit findings of 15 May 2015, are not repayments of loans and are therefore also not capital in nature.  The taxpayer failed to give any plausible explanation why these amounts should not be taxed in his hands. </w:t>
      </w:r>
      <w:r w:rsidR="00C47BA3">
        <w:rPr>
          <w:lang w:val="en-ZA"/>
        </w:rPr>
        <w:t>An order to that effect should be issued</w:t>
      </w:r>
      <w:r w:rsidR="009C63B4" w:rsidRPr="009C63B4">
        <w:rPr>
          <w:lang w:val="en-ZA"/>
        </w:rPr>
        <w:t>.</w:t>
      </w:r>
    </w:p>
    <w:p w:rsidR="009C63B4" w:rsidRPr="009C63B4" w:rsidRDefault="00D63A02" w:rsidP="00D63A02">
      <w:pPr>
        <w:pStyle w:val="LegalList1"/>
        <w:spacing w:after="120" w:line="360" w:lineRule="auto"/>
        <w:rPr>
          <w:lang w:val="en-ZA"/>
        </w:rPr>
      </w:pPr>
      <w:r w:rsidRPr="009C63B4">
        <w:rPr>
          <w:lang w:val="en-ZA"/>
        </w:rPr>
        <w:lastRenderedPageBreak/>
        <w:t>[61].</w:t>
      </w:r>
      <w:r w:rsidRPr="009C63B4">
        <w:rPr>
          <w:lang w:val="en-ZA"/>
        </w:rPr>
        <w:tab/>
      </w:r>
      <w:r w:rsidR="003C1D7C">
        <w:rPr>
          <w:lang w:val="en-ZA"/>
        </w:rPr>
        <w:t>There are a couple of other issues which I am required to deal with, notably a condonation application by SARS and the prescription issue. I now turn my attention briefly to consider those issues.</w:t>
      </w:r>
    </w:p>
    <w:p w:rsidR="003C1D7C" w:rsidRDefault="00D63A02" w:rsidP="00D63A02">
      <w:pPr>
        <w:pStyle w:val="LegalList1"/>
        <w:spacing w:after="120" w:line="360" w:lineRule="auto"/>
        <w:rPr>
          <w:lang w:val="en-ZA"/>
        </w:rPr>
      </w:pPr>
      <w:r>
        <w:rPr>
          <w:lang w:val="en-ZA"/>
        </w:rPr>
        <w:t>[62].</w:t>
      </w:r>
      <w:r>
        <w:rPr>
          <w:lang w:val="en-ZA"/>
        </w:rPr>
        <w:tab/>
      </w:r>
      <w:r w:rsidR="009C63B4" w:rsidRPr="009C63B4">
        <w:rPr>
          <w:lang w:val="en-ZA"/>
        </w:rPr>
        <w:t>The taxpayer contends that the notice of appeal was not filed within the st</w:t>
      </w:r>
      <w:r w:rsidR="00856386">
        <w:rPr>
          <w:lang w:val="en-ZA"/>
        </w:rPr>
        <w:t>atutory prescribed time period.</w:t>
      </w:r>
      <w:r w:rsidR="009C63B4" w:rsidRPr="009C63B4">
        <w:rPr>
          <w:lang w:val="en-ZA"/>
        </w:rPr>
        <w:t xml:space="preserve"> SARS contends that the notice of appeal was filed wit</w:t>
      </w:r>
      <w:r w:rsidR="00856386">
        <w:rPr>
          <w:lang w:val="en-ZA"/>
        </w:rPr>
        <w:t>hin the prescribed time period.</w:t>
      </w:r>
      <w:r w:rsidR="009C63B4" w:rsidRPr="009C63B4">
        <w:rPr>
          <w:lang w:val="en-ZA"/>
        </w:rPr>
        <w:t xml:space="preserve"> SARS therefore contends that it is not necessary for the </w:t>
      </w:r>
      <w:r w:rsidR="003C1D7C">
        <w:rPr>
          <w:lang w:val="en-ZA"/>
        </w:rPr>
        <w:t xml:space="preserve">appeal </w:t>
      </w:r>
      <w:r w:rsidR="009C63B4" w:rsidRPr="009C63B4">
        <w:rPr>
          <w:lang w:val="en-ZA"/>
        </w:rPr>
        <w:t xml:space="preserve">Court to grant an extension of time (condonation).  However, should the Court find that the notice of appeal was not filed within the prescribed time period, SARS requests that condonation be granted </w:t>
      </w:r>
      <w:r w:rsidR="003C1D7C">
        <w:rPr>
          <w:lang w:val="en-ZA"/>
        </w:rPr>
        <w:t>on the basis that its non-compliance with the rules is excusable.</w:t>
      </w:r>
    </w:p>
    <w:p w:rsidR="009C63B4" w:rsidRPr="00E51672" w:rsidRDefault="00D63A02" w:rsidP="00D63A02">
      <w:pPr>
        <w:pStyle w:val="LegalList1"/>
        <w:spacing w:after="120" w:line="360" w:lineRule="auto"/>
        <w:rPr>
          <w:lang w:val="en-ZA"/>
        </w:rPr>
      </w:pPr>
      <w:r w:rsidRPr="00E51672">
        <w:rPr>
          <w:lang w:val="en-ZA"/>
        </w:rPr>
        <w:t>[63].</w:t>
      </w:r>
      <w:r w:rsidRPr="00E51672">
        <w:rPr>
          <w:lang w:val="en-ZA"/>
        </w:rPr>
        <w:tab/>
      </w:r>
      <w:r w:rsidR="009C63B4" w:rsidRPr="009C63B4">
        <w:rPr>
          <w:lang w:val="en-ZA"/>
        </w:rPr>
        <w:t xml:space="preserve">In terms of s 134 of the TAA, a notice of intention to appeal must be delivered within </w:t>
      </w:r>
      <w:r w:rsidR="003C1D7C">
        <w:rPr>
          <w:lang w:val="en-ZA"/>
        </w:rPr>
        <w:t>twenty-one</w:t>
      </w:r>
      <w:r w:rsidR="009C63B4" w:rsidRPr="009C63B4">
        <w:rPr>
          <w:lang w:val="en-ZA"/>
        </w:rPr>
        <w:t xml:space="preserve"> days after the Registrar notified the parties of the Court’s decision. The parties were notified of the judgment </w:t>
      </w:r>
      <w:r w:rsidR="00E51672">
        <w:rPr>
          <w:lang w:val="en-ZA"/>
        </w:rPr>
        <w:t xml:space="preserve">of the Tax Court </w:t>
      </w:r>
      <w:r w:rsidR="009C63B4" w:rsidRPr="009C63B4">
        <w:rPr>
          <w:lang w:val="en-ZA"/>
        </w:rPr>
        <w:t xml:space="preserve">on 16 July 2021, </w:t>
      </w:r>
      <w:r w:rsidR="00E51672">
        <w:rPr>
          <w:lang w:val="en-ZA"/>
        </w:rPr>
        <w:t xml:space="preserve">which is </w:t>
      </w:r>
      <w:r w:rsidR="009C63B4" w:rsidRPr="009C63B4">
        <w:rPr>
          <w:lang w:val="en-ZA"/>
        </w:rPr>
        <w:t xml:space="preserve">the same day </w:t>
      </w:r>
      <w:r w:rsidR="00E51672">
        <w:rPr>
          <w:lang w:val="en-ZA"/>
        </w:rPr>
        <w:t xml:space="preserve">on which the judgment was delivered.  </w:t>
      </w:r>
      <w:r w:rsidR="009C63B4" w:rsidRPr="00E51672">
        <w:rPr>
          <w:lang w:val="en-ZA"/>
        </w:rPr>
        <w:t>SARS filed its notice of intention to appeal on 5 August 2021</w:t>
      </w:r>
      <w:r w:rsidR="00E51672">
        <w:rPr>
          <w:lang w:val="en-ZA"/>
        </w:rPr>
        <w:t>, therefore well within the twenty-one day prescribed period</w:t>
      </w:r>
      <w:r w:rsidR="009C63B4" w:rsidRPr="00E51672">
        <w:rPr>
          <w:lang w:val="en-ZA"/>
        </w:rPr>
        <w:t xml:space="preserve">. In the notice of intention to appeal SARS indicated that it required a transcript of the evidence given at the Tax Court hearing. </w:t>
      </w:r>
    </w:p>
    <w:p w:rsidR="009C63B4" w:rsidRPr="00E51672" w:rsidRDefault="00D63A02" w:rsidP="00D63A02">
      <w:pPr>
        <w:pStyle w:val="LegalList1"/>
        <w:spacing w:after="120" w:line="360" w:lineRule="auto"/>
        <w:rPr>
          <w:lang w:val="en-ZA"/>
        </w:rPr>
      </w:pPr>
      <w:r w:rsidRPr="00E51672">
        <w:rPr>
          <w:lang w:val="en-ZA"/>
        </w:rPr>
        <w:t>[64].</w:t>
      </w:r>
      <w:r w:rsidRPr="00E51672">
        <w:rPr>
          <w:lang w:val="en-ZA"/>
        </w:rPr>
        <w:tab/>
      </w:r>
      <w:r w:rsidR="009C63B4" w:rsidRPr="009C63B4">
        <w:rPr>
          <w:lang w:val="en-ZA"/>
        </w:rPr>
        <w:t>In terms of s 137(2) of the TAA, the Registrar may not give notice, in terms of s 137(1) of the TAA, that a party must note its appeal, until the transcript has been provi</w:t>
      </w:r>
      <w:r w:rsidR="00E51672">
        <w:rPr>
          <w:lang w:val="en-ZA"/>
        </w:rPr>
        <w:t xml:space="preserve">ded to the intending appellant. </w:t>
      </w:r>
      <w:r w:rsidR="009C63B4" w:rsidRPr="00E51672">
        <w:rPr>
          <w:lang w:val="en-ZA"/>
        </w:rPr>
        <w:t xml:space="preserve">On 30 November 2021, the Registrar issued a notice in terms of s 137(2) (IT47C).  This notice was issued prematurely as the full transcript was not provided to SARS yet.  </w:t>
      </w:r>
    </w:p>
    <w:p w:rsidR="009C63B4" w:rsidRPr="006478BF" w:rsidRDefault="00D63A02" w:rsidP="00D63A02">
      <w:pPr>
        <w:pStyle w:val="LegalList1"/>
        <w:spacing w:after="120" w:line="360" w:lineRule="auto"/>
        <w:rPr>
          <w:lang w:val="en-ZA"/>
        </w:rPr>
      </w:pPr>
      <w:r w:rsidRPr="006478BF">
        <w:rPr>
          <w:lang w:val="en-ZA"/>
        </w:rPr>
        <w:t>[65].</w:t>
      </w:r>
      <w:r w:rsidRPr="006478BF">
        <w:rPr>
          <w:lang w:val="en-ZA"/>
        </w:rPr>
        <w:tab/>
      </w:r>
      <w:r w:rsidR="006478BF">
        <w:rPr>
          <w:lang w:val="en-ZA"/>
        </w:rPr>
        <w:t>On 3 February 2022</w:t>
      </w:r>
      <w:r w:rsidR="009C63B4" w:rsidRPr="009C63B4">
        <w:rPr>
          <w:lang w:val="en-ZA"/>
        </w:rPr>
        <w:t xml:space="preserve"> SARS addressed a letter to the Registrar of the Tax Court informing that SARS was not yet in possession of the full transcript and that the IT47C that was issued on 30 November 2021 was issued prematurely. </w:t>
      </w:r>
      <w:r w:rsidR="009C63B4" w:rsidRPr="006478BF">
        <w:rPr>
          <w:lang w:val="en-ZA"/>
        </w:rPr>
        <w:t>On 28</w:t>
      </w:r>
      <w:r w:rsidR="006478BF">
        <w:rPr>
          <w:lang w:val="en-ZA"/>
        </w:rPr>
        <w:t> </w:t>
      </w:r>
      <w:r w:rsidR="009C63B4" w:rsidRPr="006478BF">
        <w:rPr>
          <w:lang w:val="en-ZA"/>
        </w:rPr>
        <w:t>March 2022, the Registrar of the Tax Court addressed a letter to the taxpayer’s attorney stating that the IT47C was erroneously issued on 30</w:t>
      </w:r>
      <w:r w:rsidR="006478BF" w:rsidRPr="006478BF">
        <w:rPr>
          <w:lang w:val="en-ZA"/>
        </w:rPr>
        <w:t> </w:t>
      </w:r>
      <w:r w:rsidR="009C63B4" w:rsidRPr="006478BF">
        <w:rPr>
          <w:lang w:val="en-ZA"/>
        </w:rPr>
        <w:t xml:space="preserve">November 2021 and that the Registrar withdrew that notice and reissued it on 01 March 2022. </w:t>
      </w:r>
    </w:p>
    <w:p w:rsidR="009C63B4" w:rsidRPr="006478BF" w:rsidRDefault="00D63A02" w:rsidP="00D63A02">
      <w:pPr>
        <w:pStyle w:val="LegalList1"/>
        <w:spacing w:after="0" w:line="360" w:lineRule="auto"/>
        <w:rPr>
          <w:lang w:val="en-ZA"/>
        </w:rPr>
      </w:pPr>
      <w:r w:rsidRPr="006478BF">
        <w:rPr>
          <w:lang w:val="en-ZA"/>
        </w:rPr>
        <w:lastRenderedPageBreak/>
        <w:t>[66].</w:t>
      </w:r>
      <w:r w:rsidRPr="006478BF">
        <w:rPr>
          <w:lang w:val="en-ZA"/>
        </w:rPr>
        <w:tab/>
      </w:r>
      <w:r w:rsidR="009C63B4" w:rsidRPr="009C63B4">
        <w:rPr>
          <w:lang w:val="en-ZA"/>
        </w:rPr>
        <w:t xml:space="preserve">The taxpayer contends that the Registrar of the Tax Court does not have the power to withdraw the notice that was issued in terms of s 137(1) of the TAA on 30 November 2021. </w:t>
      </w:r>
      <w:r w:rsidR="006478BF">
        <w:rPr>
          <w:lang w:val="en-ZA"/>
        </w:rPr>
        <w:t>I disagree</w:t>
      </w:r>
      <w:r w:rsidR="009C63B4" w:rsidRPr="009C63B4">
        <w:rPr>
          <w:lang w:val="en-ZA"/>
        </w:rPr>
        <w:t xml:space="preserve">. </w:t>
      </w:r>
      <w:r w:rsidR="009C63B4" w:rsidRPr="006478BF">
        <w:rPr>
          <w:lang w:val="en-ZA"/>
        </w:rPr>
        <w:t xml:space="preserve">Section 9 of the TAA </w:t>
      </w:r>
      <w:r w:rsidR="006478BF">
        <w:rPr>
          <w:lang w:val="en-ZA"/>
        </w:rPr>
        <w:t>reads as follows</w:t>
      </w:r>
      <w:r w:rsidR="009C63B4" w:rsidRPr="006478BF">
        <w:rPr>
          <w:lang w:val="en-ZA"/>
        </w:rPr>
        <w:t>:</w:t>
      </w:r>
      <w:r w:rsidR="006478BF">
        <w:rPr>
          <w:lang w:val="en-ZA"/>
        </w:rPr>
        <w:t xml:space="preserve"> - </w:t>
      </w:r>
    </w:p>
    <w:p w:rsidR="009C63B4" w:rsidRPr="006478BF" w:rsidRDefault="006478BF" w:rsidP="006478BF">
      <w:pPr>
        <w:pStyle w:val="LegalList1"/>
        <w:spacing w:after="0" w:line="360" w:lineRule="auto"/>
        <w:rPr>
          <w:sz w:val="20"/>
          <w:szCs w:val="20"/>
          <w:lang w:val="en-ZA"/>
        </w:rPr>
      </w:pPr>
      <w:r w:rsidRPr="006478BF">
        <w:rPr>
          <w:sz w:val="20"/>
          <w:szCs w:val="20"/>
          <w:lang w:val="en-ZA"/>
        </w:rPr>
        <w:t>‘(i)</w:t>
      </w:r>
      <w:r w:rsidRPr="006478BF">
        <w:rPr>
          <w:sz w:val="20"/>
          <w:szCs w:val="20"/>
          <w:lang w:val="en-ZA"/>
        </w:rPr>
        <w:tab/>
      </w:r>
      <w:r w:rsidR="009C63B4" w:rsidRPr="006478BF">
        <w:rPr>
          <w:sz w:val="20"/>
          <w:szCs w:val="20"/>
          <w:lang w:val="en-ZA"/>
        </w:rPr>
        <w:t>a decision made by a SARS official or a notice to a specific person issued by SARS under a tax Act, excluding … may in the discretion of a SARS official described in paragraph (a), (b) or (c) or at the request of the relevant person, be withdrawn or amended by-</w:t>
      </w:r>
    </w:p>
    <w:p w:rsidR="009C63B4" w:rsidRPr="006478BF" w:rsidRDefault="00D63A02" w:rsidP="00D63A02">
      <w:pPr>
        <w:pStyle w:val="LegalList1"/>
        <w:spacing w:after="120" w:line="360" w:lineRule="auto"/>
        <w:ind w:left="714" w:hanging="357"/>
        <w:rPr>
          <w:sz w:val="20"/>
          <w:szCs w:val="20"/>
          <w:lang w:val="en-ZA"/>
        </w:rPr>
      </w:pPr>
      <w:r w:rsidRPr="006478BF">
        <w:rPr>
          <w:sz w:val="20"/>
          <w:szCs w:val="20"/>
          <w:lang w:val="en-ZA"/>
        </w:rPr>
        <w:t>(a)</w:t>
      </w:r>
      <w:r w:rsidRPr="006478BF">
        <w:rPr>
          <w:sz w:val="20"/>
          <w:szCs w:val="20"/>
          <w:lang w:val="en-ZA"/>
        </w:rPr>
        <w:tab/>
      </w:r>
      <w:r w:rsidR="009C63B4" w:rsidRPr="006478BF">
        <w:rPr>
          <w:sz w:val="20"/>
          <w:szCs w:val="20"/>
          <w:lang w:val="en-ZA"/>
        </w:rPr>
        <w:t>the SARS official;</w:t>
      </w:r>
      <w:r w:rsidR="006478BF">
        <w:rPr>
          <w:sz w:val="20"/>
          <w:szCs w:val="20"/>
          <w:lang w:val="en-ZA"/>
        </w:rPr>
        <w:t xml:space="preserve"> …’</w:t>
      </w:r>
      <w:r w:rsidR="009C63B4" w:rsidRPr="006478BF">
        <w:rPr>
          <w:sz w:val="20"/>
          <w:szCs w:val="20"/>
          <w:lang w:val="en-ZA"/>
        </w:rPr>
        <w:t>.</w:t>
      </w:r>
    </w:p>
    <w:p w:rsidR="009C63B4" w:rsidRPr="006478BF" w:rsidRDefault="00D63A02" w:rsidP="00D63A02">
      <w:pPr>
        <w:pStyle w:val="LegalList1"/>
        <w:spacing w:after="120" w:line="360" w:lineRule="auto"/>
        <w:rPr>
          <w:lang w:val="en-ZA"/>
        </w:rPr>
      </w:pPr>
      <w:r w:rsidRPr="006478BF">
        <w:rPr>
          <w:lang w:val="en-ZA"/>
        </w:rPr>
        <w:t>[67].</w:t>
      </w:r>
      <w:r w:rsidRPr="006478BF">
        <w:rPr>
          <w:lang w:val="en-ZA"/>
        </w:rPr>
        <w:tab/>
      </w:r>
      <w:r w:rsidR="006478BF">
        <w:rPr>
          <w:lang w:val="en-ZA"/>
        </w:rPr>
        <w:t>‘SARS official’</w:t>
      </w:r>
      <w:r w:rsidR="009C63B4" w:rsidRPr="009C63B4">
        <w:rPr>
          <w:lang w:val="en-ZA"/>
        </w:rPr>
        <w:t xml:space="preserve"> is define</w:t>
      </w:r>
      <w:r w:rsidR="006478BF">
        <w:rPr>
          <w:lang w:val="en-ZA"/>
        </w:rPr>
        <w:t>d in s 1 of the TAA to include ‘an employee of SARS’</w:t>
      </w:r>
      <w:r w:rsidR="009C63B4" w:rsidRPr="009C63B4">
        <w:rPr>
          <w:lang w:val="en-ZA"/>
        </w:rPr>
        <w:t>.</w:t>
      </w:r>
      <w:r w:rsidR="006478BF">
        <w:rPr>
          <w:lang w:val="en-ZA"/>
        </w:rPr>
        <w:t xml:space="preserve"> And in terms of s 121(1) and (2)</w:t>
      </w:r>
      <w:r w:rsidR="009C63B4" w:rsidRPr="006478BF">
        <w:rPr>
          <w:lang w:val="en-ZA"/>
        </w:rPr>
        <w:t xml:space="preserve">, a person appointed as the Registrar of the Tax Court by the Commissioner is a SARS employee. Consequently, the Registrar, as a SARS official, was </w:t>
      </w:r>
      <w:r w:rsidR="006478BF">
        <w:rPr>
          <w:lang w:val="en-ZA"/>
        </w:rPr>
        <w:t xml:space="preserve">fully </w:t>
      </w:r>
      <w:r w:rsidR="009C63B4" w:rsidRPr="006478BF">
        <w:rPr>
          <w:lang w:val="en-ZA"/>
        </w:rPr>
        <w:t>entitled, in terms of s 9 of the TAA, to withdraw the notice given in terms of s 137 of the TAA on 30 November 2021 and to issue a new notice on 01 March 2022.</w:t>
      </w:r>
    </w:p>
    <w:p w:rsidR="006478BF" w:rsidRDefault="00D63A02" w:rsidP="00D63A02">
      <w:pPr>
        <w:pStyle w:val="LegalList1"/>
        <w:spacing w:after="120" w:line="360" w:lineRule="auto"/>
        <w:rPr>
          <w:lang w:val="en-ZA"/>
        </w:rPr>
      </w:pPr>
      <w:r>
        <w:rPr>
          <w:lang w:val="en-ZA"/>
        </w:rPr>
        <w:t>[68].</w:t>
      </w:r>
      <w:r>
        <w:rPr>
          <w:lang w:val="en-ZA"/>
        </w:rPr>
        <w:tab/>
      </w:r>
      <w:r w:rsidR="006478BF">
        <w:rPr>
          <w:lang w:val="en-ZA"/>
        </w:rPr>
        <w:t xml:space="preserve">That then means that, in my view, the said </w:t>
      </w:r>
      <w:r w:rsidR="009C63B4" w:rsidRPr="009C63B4">
        <w:rPr>
          <w:lang w:val="en-ZA"/>
        </w:rPr>
        <w:t>notice was only issued on 01</w:t>
      </w:r>
      <w:r w:rsidR="006478BF">
        <w:rPr>
          <w:lang w:val="en-ZA"/>
        </w:rPr>
        <w:t xml:space="preserve"> March 2022, therefore </w:t>
      </w:r>
      <w:r w:rsidR="009C63B4" w:rsidRPr="009C63B4">
        <w:rPr>
          <w:lang w:val="en-ZA"/>
        </w:rPr>
        <w:t xml:space="preserve">SARS’ notice of appeal was filed within the prescribed time period and there is no need to </w:t>
      </w:r>
      <w:r w:rsidR="006478BF">
        <w:rPr>
          <w:lang w:val="en-ZA"/>
        </w:rPr>
        <w:t xml:space="preserve">apply for </w:t>
      </w:r>
      <w:r w:rsidR="009C63B4" w:rsidRPr="009C63B4">
        <w:rPr>
          <w:lang w:val="en-ZA"/>
        </w:rPr>
        <w:t xml:space="preserve">condonation. </w:t>
      </w:r>
    </w:p>
    <w:p w:rsidR="00330DFA" w:rsidRPr="00330DFA" w:rsidRDefault="00D63A02" w:rsidP="00D63A02">
      <w:pPr>
        <w:pStyle w:val="LegalList1"/>
        <w:spacing w:after="120" w:line="360" w:lineRule="auto"/>
        <w:rPr>
          <w:lang w:val="en-ZA"/>
        </w:rPr>
      </w:pPr>
      <w:r w:rsidRPr="00330DFA">
        <w:rPr>
          <w:lang w:val="en-ZA"/>
        </w:rPr>
        <w:t>[69].</w:t>
      </w:r>
      <w:r w:rsidRPr="00330DFA">
        <w:rPr>
          <w:lang w:val="en-ZA"/>
        </w:rPr>
        <w:tab/>
      </w:r>
      <w:r w:rsidR="00330DFA">
        <w:rPr>
          <w:lang w:val="en-ZA"/>
        </w:rPr>
        <w:t>The last issue relates to prescription and I now turn my attentions to same.</w:t>
      </w:r>
    </w:p>
    <w:p w:rsidR="00330DFA" w:rsidRPr="00330DFA" w:rsidRDefault="00D63A02" w:rsidP="00D63A02">
      <w:pPr>
        <w:pStyle w:val="LegalList1"/>
        <w:spacing w:after="120" w:line="360" w:lineRule="auto"/>
        <w:rPr>
          <w:lang w:val="en-ZA"/>
        </w:rPr>
      </w:pPr>
      <w:r w:rsidRPr="00330DFA">
        <w:rPr>
          <w:lang w:val="en-ZA"/>
        </w:rPr>
        <w:t>[70].</w:t>
      </w:r>
      <w:r w:rsidRPr="00330DFA">
        <w:rPr>
          <w:lang w:val="en-ZA"/>
        </w:rPr>
        <w:tab/>
      </w:r>
      <w:r w:rsidR="00330DFA" w:rsidRPr="00330DFA">
        <w:rPr>
          <w:lang w:val="en-ZA"/>
        </w:rPr>
        <w:t>In terms of section 92 and 99 of the TAA, SARS is precluded from raising</w:t>
      </w:r>
      <w:r w:rsidR="00330DFA">
        <w:rPr>
          <w:lang w:val="en-ZA"/>
        </w:rPr>
        <w:t xml:space="preserve"> </w:t>
      </w:r>
      <w:r w:rsidR="00330DFA" w:rsidRPr="00330DFA">
        <w:rPr>
          <w:lang w:val="en-ZA"/>
        </w:rPr>
        <w:t>additional assessments after the lapse of a three-year period from the date of the previous assessments.</w:t>
      </w:r>
      <w:r w:rsidR="00330DFA">
        <w:rPr>
          <w:lang w:val="en-ZA"/>
        </w:rPr>
        <w:t xml:space="preserve"> </w:t>
      </w:r>
      <w:r w:rsidR="00330DFA" w:rsidRPr="00330DFA">
        <w:rPr>
          <w:i/>
          <w:lang w:val="en-ZA"/>
        </w:rPr>
        <w:t>In casu</w:t>
      </w:r>
      <w:r w:rsidR="00330DFA">
        <w:rPr>
          <w:lang w:val="en-ZA"/>
        </w:rPr>
        <w:t>, the additional</w:t>
      </w:r>
      <w:r w:rsidR="00330DFA" w:rsidRPr="00330DFA">
        <w:rPr>
          <w:lang w:val="en-ZA"/>
        </w:rPr>
        <w:t xml:space="preserve"> assessments were issued long after</w:t>
      </w:r>
      <w:r w:rsidR="00330DFA">
        <w:rPr>
          <w:lang w:val="en-ZA"/>
        </w:rPr>
        <w:t xml:space="preserve"> </w:t>
      </w:r>
      <w:r w:rsidR="00330DFA" w:rsidRPr="00330DFA">
        <w:rPr>
          <w:lang w:val="en-ZA"/>
        </w:rPr>
        <w:t>the lapse of the three-year period.</w:t>
      </w:r>
      <w:r w:rsidR="00330DFA">
        <w:rPr>
          <w:lang w:val="en-ZA"/>
        </w:rPr>
        <w:t xml:space="preserve"> In view of my aforegoing findings, </w:t>
      </w:r>
      <w:r w:rsidR="00330DFA" w:rsidRPr="00330DFA">
        <w:rPr>
          <w:lang w:val="en-ZA"/>
        </w:rPr>
        <w:t xml:space="preserve">the issue of prescription </w:t>
      </w:r>
      <w:r w:rsidR="00330DFA">
        <w:rPr>
          <w:lang w:val="en-ZA"/>
        </w:rPr>
        <w:t xml:space="preserve">therefore </w:t>
      </w:r>
      <w:r w:rsidR="00330DFA" w:rsidRPr="00330DFA">
        <w:rPr>
          <w:lang w:val="en-ZA"/>
        </w:rPr>
        <w:t>arise</w:t>
      </w:r>
      <w:r w:rsidR="00330DFA">
        <w:rPr>
          <w:lang w:val="en-ZA"/>
        </w:rPr>
        <w:t>s</w:t>
      </w:r>
      <w:r w:rsidR="00330DFA" w:rsidRPr="00330DFA">
        <w:rPr>
          <w:lang w:val="en-ZA"/>
        </w:rPr>
        <w:t>.</w:t>
      </w:r>
    </w:p>
    <w:p w:rsidR="00330DFA" w:rsidRPr="00D33C53" w:rsidRDefault="00D63A02" w:rsidP="00D63A02">
      <w:pPr>
        <w:pStyle w:val="LegalList1"/>
        <w:spacing w:after="120" w:line="360" w:lineRule="auto"/>
        <w:rPr>
          <w:lang w:val="en-ZA"/>
        </w:rPr>
      </w:pPr>
      <w:r w:rsidRPr="00D33C53">
        <w:rPr>
          <w:lang w:val="en-ZA"/>
        </w:rPr>
        <w:t>[71].</w:t>
      </w:r>
      <w:r w:rsidRPr="00D33C53">
        <w:rPr>
          <w:lang w:val="en-ZA"/>
        </w:rPr>
        <w:tab/>
      </w:r>
      <w:r w:rsidR="00D33C53">
        <w:rPr>
          <w:lang w:val="en-ZA"/>
        </w:rPr>
        <w:t xml:space="preserve">The taxpayer contends that </w:t>
      </w:r>
      <w:r w:rsidR="00330DFA" w:rsidRPr="00330DFA">
        <w:rPr>
          <w:lang w:val="en-ZA"/>
        </w:rPr>
        <w:t>SARS had a duty to plead and adduce evidence to</w:t>
      </w:r>
      <w:r w:rsidR="00330DFA">
        <w:rPr>
          <w:lang w:val="en-ZA"/>
        </w:rPr>
        <w:t xml:space="preserve"> </w:t>
      </w:r>
      <w:r w:rsidR="00330DFA" w:rsidRPr="00330DFA">
        <w:rPr>
          <w:lang w:val="en-ZA"/>
        </w:rPr>
        <w:t>establish the prerequisites for re-opening assessments after three years were satisfied</w:t>
      </w:r>
      <w:r w:rsidR="00D33C53">
        <w:rPr>
          <w:lang w:val="en-ZA"/>
        </w:rPr>
        <w:t xml:space="preserve">. </w:t>
      </w:r>
      <w:r w:rsidR="00330DFA" w:rsidRPr="00330DFA">
        <w:rPr>
          <w:lang w:val="en-ZA"/>
        </w:rPr>
        <w:t>Therefore,</w:t>
      </w:r>
      <w:r w:rsidR="00D33C53">
        <w:rPr>
          <w:lang w:val="en-ZA"/>
        </w:rPr>
        <w:t xml:space="preserve"> so the contention goes, </w:t>
      </w:r>
      <w:r w:rsidR="00330DFA" w:rsidRPr="00330DFA">
        <w:rPr>
          <w:lang w:val="en-ZA"/>
        </w:rPr>
        <w:t>SARS cannot succeed on the prescription issue because the prerequisites for re-opening assessments after three years have not been established.</w:t>
      </w:r>
      <w:r w:rsidR="00D33C53">
        <w:rPr>
          <w:lang w:val="en-ZA"/>
        </w:rPr>
        <w:t xml:space="preserve"> </w:t>
      </w:r>
      <w:r w:rsidR="00D33C53" w:rsidRPr="00D33C53">
        <w:rPr>
          <w:lang w:val="en-ZA"/>
        </w:rPr>
        <w:t xml:space="preserve">I disagree. </w:t>
      </w:r>
    </w:p>
    <w:p w:rsidR="00330DFA" w:rsidRPr="00D33C53" w:rsidRDefault="00D63A02" w:rsidP="00D63A02">
      <w:pPr>
        <w:pStyle w:val="LegalList1"/>
        <w:spacing w:after="0" w:line="360" w:lineRule="auto"/>
        <w:rPr>
          <w:lang w:val="en-ZA"/>
        </w:rPr>
      </w:pPr>
      <w:r w:rsidRPr="00D33C53">
        <w:rPr>
          <w:lang w:val="en-ZA"/>
        </w:rPr>
        <w:t>[72].</w:t>
      </w:r>
      <w:r w:rsidRPr="00D33C53">
        <w:rPr>
          <w:lang w:val="en-ZA"/>
        </w:rPr>
        <w:tab/>
      </w:r>
      <w:r w:rsidR="00330DFA" w:rsidRPr="00D33C53">
        <w:rPr>
          <w:lang w:val="en-ZA"/>
        </w:rPr>
        <w:t xml:space="preserve">Section 92 of the TAA provides </w:t>
      </w:r>
      <w:r w:rsidR="00D33C53">
        <w:rPr>
          <w:lang w:val="en-ZA"/>
        </w:rPr>
        <w:t>thus</w:t>
      </w:r>
      <w:r w:rsidR="00330DFA" w:rsidRPr="00D33C53">
        <w:rPr>
          <w:lang w:val="en-ZA"/>
        </w:rPr>
        <w:t>:</w:t>
      </w:r>
    </w:p>
    <w:p w:rsidR="00330DFA" w:rsidRPr="00D33C53" w:rsidRDefault="00D33C53" w:rsidP="00D33C53">
      <w:pPr>
        <w:pStyle w:val="LegalList1"/>
        <w:spacing w:after="120" w:line="360" w:lineRule="auto"/>
        <w:rPr>
          <w:sz w:val="20"/>
          <w:szCs w:val="20"/>
          <w:lang w:val="en-ZA"/>
        </w:rPr>
      </w:pPr>
      <w:r w:rsidRPr="00D33C53">
        <w:rPr>
          <w:sz w:val="20"/>
          <w:szCs w:val="20"/>
          <w:lang w:val="en-ZA"/>
        </w:rPr>
        <w:t>‘</w:t>
      </w:r>
      <w:r w:rsidR="00330DFA" w:rsidRPr="00D33C53">
        <w:rPr>
          <w:sz w:val="20"/>
          <w:szCs w:val="20"/>
          <w:lang w:val="en-ZA"/>
        </w:rPr>
        <w:t xml:space="preserve">If at any time SARS is satisfied that an assessment does not reflect the correct application of a tax Act to the prejudice of SARS or the </w:t>
      </w:r>
      <w:r w:rsidRPr="00D33C53">
        <w:rPr>
          <w:sz w:val="20"/>
          <w:szCs w:val="20"/>
          <w:lang w:val="en-ZA"/>
        </w:rPr>
        <w:t>Fiscus</w:t>
      </w:r>
      <w:r w:rsidR="00330DFA" w:rsidRPr="00D33C53">
        <w:rPr>
          <w:sz w:val="20"/>
          <w:szCs w:val="20"/>
          <w:lang w:val="en-ZA"/>
        </w:rPr>
        <w:t>, SARS must make an additional asses</w:t>
      </w:r>
      <w:r w:rsidRPr="00D33C53">
        <w:rPr>
          <w:sz w:val="20"/>
          <w:szCs w:val="20"/>
          <w:lang w:val="en-ZA"/>
        </w:rPr>
        <w:t>sment to correct the prejudice.’</w:t>
      </w:r>
    </w:p>
    <w:p w:rsidR="00330DFA" w:rsidRPr="00330DFA" w:rsidRDefault="00D63A02" w:rsidP="00D63A02">
      <w:pPr>
        <w:pStyle w:val="LegalList1"/>
        <w:spacing w:after="0" w:line="360" w:lineRule="auto"/>
        <w:rPr>
          <w:lang w:val="en-ZA"/>
        </w:rPr>
      </w:pPr>
      <w:r w:rsidRPr="00330DFA">
        <w:rPr>
          <w:lang w:val="en-ZA"/>
        </w:rPr>
        <w:lastRenderedPageBreak/>
        <w:t>[73].</w:t>
      </w:r>
      <w:r w:rsidRPr="00330DFA">
        <w:rPr>
          <w:lang w:val="en-ZA"/>
        </w:rPr>
        <w:tab/>
      </w:r>
      <w:r w:rsidR="00330DFA" w:rsidRPr="00330DFA">
        <w:rPr>
          <w:lang w:val="en-ZA"/>
        </w:rPr>
        <w:t>Section 99 of the TAA provides that:</w:t>
      </w:r>
    </w:p>
    <w:p w:rsidR="00146EF3" w:rsidRPr="00146EF3" w:rsidRDefault="00146EF3" w:rsidP="00146EF3">
      <w:pPr>
        <w:pStyle w:val="LegalList1"/>
        <w:spacing w:after="0" w:line="360" w:lineRule="auto"/>
        <w:ind w:left="567" w:hanging="567"/>
        <w:rPr>
          <w:b/>
          <w:sz w:val="20"/>
          <w:szCs w:val="20"/>
          <w:lang w:val="en-ZA"/>
        </w:rPr>
      </w:pPr>
      <w:r>
        <w:rPr>
          <w:sz w:val="20"/>
          <w:szCs w:val="20"/>
          <w:lang w:val="en-ZA"/>
        </w:rPr>
        <w:t>’99</w:t>
      </w:r>
      <w:r>
        <w:rPr>
          <w:sz w:val="20"/>
          <w:szCs w:val="20"/>
          <w:lang w:val="en-ZA"/>
        </w:rPr>
        <w:tab/>
      </w:r>
      <w:r w:rsidRPr="00146EF3">
        <w:rPr>
          <w:b/>
          <w:sz w:val="20"/>
          <w:szCs w:val="20"/>
          <w:lang w:val="en-ZA"/>
        </w:rPr>
        <w:t>Period of limitations for issuance of assessments</w:t>
      </w:r>
    </w:p>
    <w:p w:rsidR="00330DFA" w:rsidRPr="00D33C53" w:rsidRDefault="00D33C53" w:rsidP="00D33C53">
      <w:pPr>
        <w:pStyle w:val="LegalList1"/>
        <w:spacing w:after="0" w:line="360" w:lineRule="auto"/>
        <w:rPr>
          <w:sz w:val="20"/>
          <w:szCs w:val="20"/>
          <w:lang w:val="en-ZA"/>
        </w:rPr>
      </w:pPr>
      <w:r w:rsidRPr="00D33C53">
        <w:rPr>
          <w:sz w:val="20"/>
          <w:szCs w:val="20"/>
          <w:lang w:val="en-ZA"/>
        </w:rPr>
        <w:t>(1)</w:t>
      </w:r>
      <w:r w:rsidRPr="00D33C53">
        <w:rPr>
          <w:sz w:val="20"/>
          <w:szCs w:val="20"/>
          <w:lang w:val="en-ZA"/>
        </w:rPr>
        <w:tab/>
      </w:r>
      <w:r w:rsidR="00330DFA" w:rsidRPr="00D33C53">
        <w:rPr>
          <w:sz w:val="20"/>
          <w:szCs w:val="20"/>
          <w:lang w:val="en-ZA"/>
        </w:rPr>
        <w:t>An assessment may not b</w:t>
      </w:r>
      <w:r w:rsidRPr="00D33C53">
        <w:rPr>
          <w:sz w:val="20"/>
          <w:szCs w:val="20"/>
          <w:lang w:val="en-ZA"/>
        </w:rPr>
        <w:t xml:space="preserve">e made in terms of this Chapter – </w:t>
      </w:r>
    </w:p>
    <w:p w:rsidR="00330DFA" w:rsidRPr="00D33C53" w:rsidRDefault="00146EF3" w:rsidP="00146EF3">
      <w:pPr>
        <w:pStyle w:val="LegalList1"/>
        <w:spacing w:after="0" w:line="360" w:lineRule="auto"/>
        <w:ind w:left="1134" w:hanging="850"/>
        <w:rPr>
          <w:sz w:val="20"/>
          <w:szCs w:val="20"/>
          <w:lang w:val="en-ZA"/>
        </w:rPr>
      </w:pPr>
      <w:r>
        <w:rPr>
          <w:sz w:val="20"/>
          <w:szCs w:val="20"/>
          <w:lang w:val="en-ZA"/>
        </w:rPr>
        <w:t>(a)</w:t>
      </w:r>
      <w:r>
        <w:rPr>
          <w:sz w:val="20"/>
          <w:szCs w:val="20"/>
          <w:lang w:val="en-ZA"/>
        </w:rPr>
        <w:tab/>
      </w:r>
      <w:r w:rsidR="00330DFA" w:rsidRPr="00D33C53">
        <w:rPr>
          <w:sz w:val="20"/>
          <w:szCs w:val="20"/>
          <w:lang w:val="en-ZA"/>
        </w:rPr>
        <w:t>three years after the date of assessment of an original assessment</w:t>
      </w:r>
      <w:r>
        <w:rPr>
          <w:sz w:val="20"/>
          <w:szCs w:val="20"/>
          <w:lang w:val="en-ZA"/>
        </w:rPr>
        <w:t xml:space="preserve"> by SARS … …</w:t>
      </w:r>
    </w:p>
    <w:p w:rsidR="00330DFA" w:rsidRPr="00D33C53" w:rsidRDefault="00330DFA" w:rsidP="00D33C53">
      <w:pPr>
        <w:pStyle w:val="LegalList1"/>
        <w:spacing w:after="0" w:line="360" w:lineRule="auto"/>
        <w:rPr>
          <w:sz w:val="20"/>
          <w:szCs w:val="20"/>
          <w:lang w:val="en-ZA"/>
        </w:rPr>
      </w:pPr>
      <w:r w:rsidRPr="00D33C53">
        <w:rPr>
          <w:sz w:val="20"/>
          <w:szCs w:val="20"/>
          <w:lang w:val="en-ZA"/>
        </w:rPr>
        <w:t>(2)</w:t>
      </w:r>
      <w:r w:rsidRPr="00D33C53">
        <w:rPr>
          <w:sz w:val="20"/>
          <w:szCs w:val="20"/>
          <w:lang w:val="en-ZA"/>
        </w:rPr>
        <w:tab/>
        <w:t>Subsection (1) do</w:t>
      </w:r>
      <w:r w:rsidR="00D33C53" w:rsidRPr="00D33C53">
        <w:rPr>
          <w:sz w:val="20"/>
          <w:szCs w:val="20"/>
          <w:lang w:val="en-ZA"/>
        </w:rPr>
        <w:t xml:space="preserve">es not apply to the extent that – </w:t>
      </w:r>
    </w:p>
    <w:p w:rsidR="00330DFA" w:rsidRPr="00D33C53" w:rsidRDefault="00330DFA" w:rsidP="00146EF3">
      <w:pPr>
        <w:pStyle w:val="LegalList1"/>
        <w:spacing w:after="0" w:line="360" w:lineRule="auto"/>
        <w:ind w:left="1134" w:hanging="850"/>
        <w:rPr>
          <w:sz w:val="20"/>
          <w:szCs w:val="20"/>
          <w:lang w:val="en-ZA"/>
        </w:rPr>
      </w:pPr>
      <w:r w:rsidRPr="00D33C53">
        <w:rPr>
          <w:sz w:val="20"/>
          <w:szCs w:val="20"/>
          <w:lang w:val="en-ZA"/>
        </w:rPr>
        <w:t>(a)</w:t>
      </w:r>
      <w:r w:rsidRPr="00D33C53">
        <w:rPr>
          <w:sz w:val="20"/>
          <w:szCs w:val="20"/>
          <w:lang w:val="en-ZA"/>
        </w:rPr>
        <w:tab/>
        <w:t>in the case of assessment by SARS, the fact that the full amount of</w:t>
      </w:r>
      <w:r w:rsidR="00D33C53" w:rsidRPr="00D33C53">
        <w:rPr>
          <w:sz w:val="20"/>
          <w:szCs w:val="20"/>
          <w:lang w:val="en-ZA"/>
        </w:rPr>
        <w:t xml:space="preserve"> </w:t>
      </w:r>
      <w:r w:rsidRPr="00D33C53">
        <w:rPr>
          <w:sz w:val="20"/>
          <w:szCs w:val="20"/>
          <w:lang w:val="en-ZA"/>
        </w:rPr>
        <w:t>tax chargeab</w:t>
      </w:r>
      <w:r w:rsidR="00D33C53" w:rsidRPr="00D33C53">
        <w:rPr>
          <w:sz w:val="20"/>
          <w:szCs w:val="20"/>
          <w:lang w:val="en-ZA"/>
        </w:rPr>
        <w:t xml:space="preserve">le was not assessed, was due to – </w:t>
      </w:r>
    </w:p>
    <w:p w:rsidR="00330DFA" w:rsidRPr="00D33C53" w:rsidRDefault="00D33C53" w:rsidP="00146EF3">
      <w:pPr>
        <w:pStyle w:val="LegalList1"/>
        <w:spacing w:after="0" w:line="360" w:lineRule="auto"/>
        <w:ind w:left="1134" w:hanging="567"/>
        <w:rPr>
          <w:sz w:val="20"/>
          <w:szCs w:val="20"/>
          <w:lang w:val="en-ZA"/>
        </w:rPr>
      </w:pPr>
      <w:r w:rsidRPr="00D33C53">
        <w:rPr>
          <w:sz w:val="20"/>
          <w:szCs w:val="20"/>
          <w:lang w:val="en-ZA"/>
        </w:rPr>
        <w:t>(i)</w:t>
      </w:r>
      <w:r w:rsidRPr="00D33C53">
        <w:rPr>
          <w:sz w:val="20"/>
          <w:szCs w:val="20"/>
          <w:lang w:val="en-ZA"/>
        </w:rPr>
        <w:tab/>
      </w:r>
      <w:r w:rsidR="00330DFA" w:rsidRPr="00D33C53">
        <w:rPr>
          <w:sz w:val="20"/>
          <w:szCs w:val="20"/>
          <w:lang w:val="en-ZA"/>
        </w:rPr>
        <w:t>fraud;</w:t>
      </w:r>
    </w:p>
    <w:p w:rsidR="00330DFA" w:rsidRPr="00D33C53" w:rsidRDefault="00330DFA" w:rsidP="00146EF3">
      <w:pPr>
        <w:pStyle w:val="LegalList1"/>
        <w:spacing w:after="0" w:line="360" w:lineRule="auto"/>
        <w:ind w:left="1134" w:hanging="567"/>
        <w:rPr>
          <w:sz w:val="20"/>
          <w:szCs w:val="20"/>
          <w:lang w:val="en-ZA"/>
        </w:rPr>
      </w:pPr>
      <w:r w:rsidRPr="00D33C53">
        <w:rPr>
          <w:sz w:val="20"/>
          <w:szCs w:val="20"/>
          <w:lang w:val="en-ZA"/>
        </w:rPr>
        <w:t>(ii)</w:t>
      </w:r>
      <w:r w:rsidRPr="00D33C53">
        <w:rPr>
          <w:sz w:val="20"/>
          <w:szCs w:val="20"/>
          <w:lang w:val="en-ZA"/>
        </w:rPr>
        <w:tab/>
        <w:t>misrepresentation; or</w:t>
      </w:r>
    </w:p>
    <w:p w:rsidR="00330DFA" w:rsidRPr="00D33C53" w:rsidRDefault="00330DFA" w:rsidP="00146EF3">
      <w:pPr>
        <w:pStyle w:val="LegalList1"/>
        <w:spacing w:after="120" w:line="360" w:lineRule="auto"/>
        <w:ind w:left="1134" w:hanging="567"/>
        <w:rPr>
          <w:sz w:val="20"/>
          <w:szCs w:val="20"/>
          <w:lang w:val="en-ZA"/>
        </w:rPr>
      </w:pPr>
      <w:r w:rsidRPr="00D33C53">
        <w:rPr>
          <w:sz w:val="20"/>
          <w:szCs w:val="20"/>
          <w:lang w:val="en-ZA"/>
        </w:rPr>
        <w:t>(iii)</w:t>
      </w:r>
      <w:r w:rsidRPr="00D33C53">
        <w:rPr>
          <w:sz w:val="20"/>
          <w:szCs w:val="20"/>
          <w:lang w:val="en-ZA"/>
        </w:rPr>
        <w:tab/>
        <w:t>no</w:t>
      </w:r>
      <w:r w:rsidR="00D33C53" w:rsidRPr="00D33C53">
        <w:rPr>
          <w:sz w:val="20"/>
          <w:szCs w:val="20"/>
          <w:lang w:val="en-ZA"/>
        </w:rPr>
        <w:t>n-disclosure of material facts.’</w:t>
      </w:r>
    </w:p>
    <w:p w:rsidR="00983D31" w:rsidRDefault="00D63A02" w:rsidP="00D63A02">
      <w:pPr>
        <w:pStyle w:val="LegalList1"/>
        <w:spacing w:after="120" w:line="360" w:lineRule="auto"/>
        <w:rPr>
          <w:lang w:val="en-ZA"/>
        </w:rPr>
      </w:pPr>
      <w:r>
        <w:rPr>
          <w:lang w:val="en-ZA"/>
        </w:rPr>
        <w:t>[74].</w:t>
      </w:r>
      <w:r>
        <w:rPr>
          <w:lang w:val="en-ZA"/>
        </w:rPr>
        <w:tab/>
      </w:r>
      <w:r w:rsidR="00983D31">
        <w:rPr>
          <w:lang w:val="en-ZA"/>
        </w:rPr>
        <w:t xml:space="preserve">It is clear from the aforegoing provisions that additional assessments can </w:t>
      </w:r>
      <w:r w:rsidR="00330DFA" w:rsidRPr="00983D31">
        <w:rPr>
          <w:lang w:val="en-ZA"/>
        </w:rPr>
        <w:t xml:space="preserve">only </w:t>
      </w:r>
      <w:r w:rsidR="00983D31">
        <w:rPr>
          <w:lang w:val="en-ZA"/>
        </w:rPr>
        <w:t>be</w:t>
      </w:r>
      <w:r w:rsidR="00330DFA" w:rsidRPr="00983D31">
        <w:rPr>
          <w:lang w:val="en-ZA"/>
        </w:rPr>
        <w:t xml:space="preserve"> raised </w:t>
      </w:r>
      <w:r w:rsidR="00983D31">
        <w:rPr>
          <w:lang w:val="en-ZA"/>
        </w:rPr>
        <w:t xml:space="preserve">outside of the three-year period </w:t>
      </w:r>
      <w:r w:rsidR="00330DFA" w:rsidRPr="00983D31">
        <w:rPr>
          <w:lang w:val="en-ZA"/>
        </w:rPr>
        <w:t xml:space="preserve">if </w:t>
      </w:r>
      <w:r w:rsidR="00983D31">
        <w:rPr>
          <w:lang w:val="en-ZA"/>
        </w:rPr>
        <w:t xml:space="preserve">SARS is </w:t>
      </w:r>
      <w:r w:rsidR="00330DFA" w:rsidRPr="00983D31">
        <w:rPr>
          <w:lang w:val="en-ZA"/>
        </w:rPr>
        <w:t xml:space="preserve">satisfied </w:t>
      </w:r>
      <w:r w:rsidR="00983D31">
        <w:rPr>
          <w:lang w:val="en-ZA"/>
        </w:rPr>
        <w:t>that:</w:t>
      </w:r>
      <w:r w:rsidR="00330DFA" w:rsidRPr="00983D31">
        <w:rPr>
          <w:lang w:val="en-ZA"/>
        </w:rPr>
        <w:t xml:space="preserve"> (1)</w:t>
      </w:r>
      <w:r w:rsidR="00983D31">
        <w:rPr>
          <w:lang w:val="en-ZA"/>
        </w:rPr>
        <w:t> </w:t>
      </w:r>
      <w:r w:rsidR="00330DFA" w:rsidRPr="00983D31">
        <w:rPr>
          <w:lang w:val="en-ZA"/>
        </w:rPr>
        <w:t>there had been a non-disclosure of</w:t>
      </w:r>
      <w:r w:rsidR="00983D31">
        <w:rPr>
          <w:lang w:val="en-ZA"/>
        </w:rPr>
        <w:t xml:space="preserve"> material facts by the taxpayer;</w:t>
      </w:r>
      <w:r w:rsidR="00330DFA" w:rsidRPr="00983D31">
        <w:rPr>
          <w:lang w:val="en-ZA"/>
        </w:rPr>
        <w:t xml:space="preserve"> and (2)</w:t>
      </w:r>
      <w:r w:rsidR="00983D31">
        <w:rPr>
          <w:lang w:val="en-ZA"/>
        </w:rPr>
        <w:t> </w:t>
      </w:r>
      <w:r w:rsidR="00330DFA" w:rsidRPr="00983D31">
        <w:rPr>
          <w:lang w:val="en-ZA"/>
        </w:rPr>
        <w:t xml:space="preserve">the </w:t>
      </w:r>
      <w:r w:rsidR="00983D31">
        <w:rPr>
          <w:lang w:val="en-ZA"/>
        </w:rPr>
        <w:t>income</w:t>
      </w:r>
      <w:r w:rsidR="00330DFA" w:rsidRPr="00983D31">
        <w:rPr>
          <w:lang w:val="en-ZA"/>
        </w:rPr>
        <w:t xml:space="preserve"> in question was not assessed prior to the expiration of the three years </w:t>
      </w:r>
      <w:r w:rsidR="00983D31">
        <w:rPr>
          <w:lang w:val="en-ZA"/>
        </w:rPr>
        <w:t xml:space="preserve">due to such non-disclosure. The </w:t>
      </w:r>
      <w:r w:rsidR="00330DFA" w:rsidRPr="00983D31">
        <w:rPr>
          <w:lang w:val="en-ZA"/>
        </w:rPr>
        <w:t xml:space="preserve">non-assessment </w:t>
      </w:r>
      <w:r w:rsidR="00983D31">
        <w:rPr>
          <w:lang w:val="en-ZA"/>
        </w:rPr>
        <w:t xml:space="preserve">must therefore, of necessity be </w:t>
      </w:r>
      <w:r w:rsidR="00330DFA" w:rsidRPr="00983D31">
        <w:rPr>
          <w:lang w:val="en-ZA"/>
        </w:rPr>
        <w:t>causally related to the non-disclosure of material facts</w:t>
      </w:r>
      <w:r w:rsidR="00983D31">
        <w:rPr>
          <w:lang w:val="en-ZA"/>
        </w:rPr>
        <w:t>.</w:t>
      </w:r>
    </w:p>
    <w:p w:rsidR="00146EF3" w:rsidRDefault="00D63A02" w:rsidP="00D63A02">
      <w:pPr>
        <w:pStyle w:val="LegalList1"/>
        <w:spacing w:after="120" w:line="360" w:lineRule="auto"/>
        <w:rPr>
          <w:lang w:val="en-ZA"/>
        </w:rPr>
      </w:pPr>
      <w:r>
        <w:rPr>
          <w:lang w:val="en-ZA"/>
        </w:rPr>
        <w:t>[75].</w:t>
      </w:r>
      <w:r>
        <w:rPr>
          <w:lang w:val="en-ZA"/>
        </w:rPr>
        <w:tab/>
      </w:r>
      <w:r w:rsidR="00146EF3">
        <w:rPr>
          <w:lang w:val="en-ZA"/>
        </w:rPr>
        <w:t xml:space="preserve">On the evidence before the Tax Court, and in light of my above findings relating to the loan repayments dispute, I am of the view that </w:t>
      </w:r>
      <w:r w:rsidR="00146EF3" w:rsidRPr="00146EF3">
        <w:rPr>
          <w:lang w:val="en-ZA"/>
        </w:rPr>
        <w:t xml:space="preserve">SARS raised the additional estimated assessments after the </w:t>
      </w:r>
      <w:r w:rsidR="00146EF3">
        <w:rPr>
          <w:lang w:val="en-ZA"/>
        </w:rPr>
        <w:t>three</w:t>
      </w:r>
      <w:r w:rsidR="00146EF3" w:rsidRPr="00146EF3">
        <w:rPr>
          <w:lang w:val="en-ZA"/>
        </w:rPr>
        <w:t xml:space="preserve">-year period, because there was a non-disclosure of </w:t>
      </w:r>
      <w:r w:rsidR="00146EF3">
        <w:rPr>
          <w:lang w:val="en-ZA"/>
        </w:rPr>
        <w:t>material facts. O</w:t>
      </w:r>
      <w:r w:rsidR="00146EF3" w:rsidRPr="00146EF3">
        <w:rPr>
          <w:lang w:val="en-ZA"/>
        </w:rPr>
        <w:t xml:space="preserve">nce SARS became aware of these material facts, it was able to raise the additional estimated assessments for 2007 – 2011. </w:t>
      </w:r>
    </w:p>
    <w:p w:rsidR="00146EF3" w:rsidRPr="001748B0" w:rsidRDefault="00D63A02" w:rsidP="00D63A02">
      <w:pPr>
        <w:pStyle w:val="LegalList1"/>
        <w:spacing w:after="0" w:line="360" w:lineRule="auto"/>
        <w:rPr>
          <w:lang w:val="en-ZA"/>
        </w:rPr>
      </w:pPr>
      <w:r w:rsidRPr="001748B0">
        <w:rPr>
          <w:lang w:val="en-ZA"/>
        </w:rPr>
        <w:t>[76].</w:t>
      </w:r>
      <w:r w:rsidRPr="001748B0">
        <w:rPr>
          <w:lang w:val="en-ZA"/>
        </w:rPr>
        <w:tab/>
      </w:r>
      <w:r w:rsidR="00146EF3" w:rsidRPr="00146EF3">
        <w:rPr>
          <w:lang w:val="en-ZA"/>
        </w:rPr>
        <w:t xml:space="preserve">In </w:t>
      </w:r>
      <w:r w:rsidR="00146EF3" w:rsidRPr="001748B0">
        <w:rPr>
          <w:i/>
          <w:lang w:val="en-ZA"/>
        </w:rPr>
        <w:t>Wingate-Pearse v C:SARS</w:t>
      </w:r>
      <w:r w:rsidR="001748B0">
        <w:rPr>
          <w:lang w:val="en-ZA"/>
        </w:rPr>
        <w:t xml:space="preserve"> </w:t>
      </w:r>
      <w:r w:rsidR="001748B0">
        <w:rPr>
          <w:rStyle w:val="FootnoteReference"/>
          <w:lang w:val="en-ZA"/>
        </w:rPr>
        <w:footnoteReference w:id="4"/>
      </w:r>
      <w:r w:rsidR="001748B0">
        <w:rPr>
          <w:lang w:val="en-ZA"/>
        </w:rPr>
        <w:t xml:space="preserve">, </w:t>
      </w:r>
      <w:r w:rsidR="00146EF3" w:rsidRPr="001748B0">
        <w:rPr>
          <w:lang w:val="en-ZA"/>
        </w:rPr>
        <w:t xml:space="preserve">the Court held </w:t>
      </w:r>
      <w:r w:rsidR="001748B0">
        <w:rPr>
          <w:lang w:val="en-ZA"/>
        </w:rPr>
        <w:t xml:space="preserve">as follows: - </w:t>
      </w:r>
    </w:p>
    <w:p w:rsidR="00146EF3" w:rsidRPr="00517F7C" w:rsidRDefault="001748B0" w:rsidP="00517F7C">
      <w:pPr>
        <w:pStyle w:val="LegalList1"/>
        <w:spacing w:after="0" w:line="360" w:lineRule="auto"/>
        <w:rPr>
          <w:sz w:val="20"/>
          <w:szCs w:val="20"/>
          <w:lang w:val="en-ZA"/>
        </w:rPr>
      </w:pPr>
      <w:r w:rsidRPr="00517F7C">
        <w:rPr>
          <w:sz w:val="20"/>
          <w:szCs w:val="20"/>
          <w:lang w:val="en-ZA"/>
        </w:rPr>
        <w:t>‘</w:t>
      </w:r>
      <w:r w:rsidR="00517F7C" w:rsidRPr="00517F7C">
        <w:rPr>
          <w:sz w:val="20"/>
          <w:szCs w:val="20"/>
          <w:lang w:val="en-ZA"/>
        </w:rPr>
        <w:t>[54]</w:t>
      </w:r>
      <w:r w:rsidR="00517F7C" w:rsidRPr="00517F7C">
        <w:rPr>
          <w:sz w:val="20"/>
          <w:szCs w:val="20"/>
          <w:lang w:val="en-ZA"/>
        </w:rPr>
        <w:tab/>
      </w:r>
      <w:r w:rsidR="00146EF3" w:rsidRPr="00517F7C">
        <w:rPr>
          <w:sz w:val="20"/>
          <w:szCs w:val="20"/>
          <w:lang w:val="en-ZA"/>
        </w:rPr>
        <w:t>Mr Wingate-Pearse argues t</w:t>
      </w:r>
      <w:r w:rsidRPr="00517F7C">
        <w:rPr>
          <w:sz w:val="20"/>
          <w:szCs w:val="20"/>
          <w:lang w:val="en-ZA"/>
        </w:rPr>
        <w:t>hat the “satisfaction”</w:t>
      </w:r>
      <w:r w:rsidR="00146EF3" w:rsidRPr="00517F7C">
        <w:rPr>
          <w:sz w:val="20"/>
          <w:szCs w:val="20"/>
          <w:lang w:val="en-ZA"/>
        </w:rPr>
        <w:t xml:space="preserve"> contemplated in s 79(1) of the Income Tax Act, and now in s 92 read with s 99 of the Tax Administration Act, sets a very high hurdle for SARS to jump before it may reopen an original assessment and issue an additional one. SARS, he argues, must be satisfied on reasonable grounds, which test according to him is objective, t</w:t>
      </w:r>
      <w:r w:rsidRPr="00517F7C">
        <w:rPr>
          <w:sz w:val="20"/>
          <w:szCs w:val="20"/>
          <w:lang w:val="en-ZA"/>
        </w:rPr>
        <w:t>hat the original assessment is “wrong”</w:t>
      </w:r>
      <w:r w:rsidR="00146EF3" w:rsidRPr="00517F7C">
        <w:rPr>
          <w:sz w:val="20"/>
          <w:szCs w:val="20"/>
          <w:lang w:val="en-ZA"/>
        </w:rPr>
        <w:t xml:space="preserve">. SARS, he argues, reopened the assessments for the relevant period of assessment on the basis that the full amount of the tax chargeable was not assessed due to fraud, material misrepresentation or non-disclosure of material facts on his part. SARS’ allegations of fraud, misrepresentation </w:t>
      </w:r>
      <w:r w:rsidRPr="00517F7C">
        <w:rPr>
          <w:sz w:val="20"/>
          <w:szCs w:val="20"/>
          <w:lang w:val="en-ZA"/>
        </w:rPr>
        <w:t>and non-disclosure, he argues, “</w:t>
      </w:r>
      <w:r w:rsidR="00146EF3" w:rsidRPr="00517F7C">
        <w:rPr>
          <w:sz w:val="20"/>
          <w:szCs w:val="20"/>
          <w:lang w:val="en-ZA"/>
        </w:rPr>
        <w:t>are very heavy allegations that require substantial evidence</w:t>
      </w:r>
      <w:r w:rsidRPr="00517F7C">
        <w:rPr>
          <w:sz w:val="20"/>
          <w:szCs w:val="20"/>
          <w:lang w:val="en-ZA"/>
        </w:rPr>
        <w:t>” and are “not likely inferred”</w:t>
      </w:r>
      <w:r w:rsidR="00146EF3" w:rsidRPr="00517F7C">
        <w:rPr>
          <w:sz w:val="20"/>
          <w:szCs w:val="20"/>
          <w:lang w:val="en-ZA"/>
        </w:rPr>
        <w:t xml:space="preserve">, which evidentiary burden, he contents, is not met. He relies on the decision of </w:t>
      </w:r>
      <w:r w:rsidR="00146EF3" w:rsidRPr="00517F7C">
        <w:rPr>
          <w:i/>
          <w:sz w:val="20"/>
          <w:szCs w:val="20"/>
          <w:lang w:val="en-ZA"/>
        </w:rPr>
        <w:t>Natal Estates Ltd v Secretary for Inland Revenue</w:t>
      </w:r>
      <w:r w:rsidR="00146EF3" w:rsidRPr="00517F7C">
        <w:rPr>
          <w:sz w:val="20"/>
          <w:szCs w:val="20"/>
          <w:lang w:val="en-ZA"/>
        </w:rPr>
        <w:t xml:space="preserve"> 1975 (4) SA 177 (A) at 208 and </w:t>
      </w:r>
      <w:r w:rsidR="00146EF3" w:rsidRPr="00517F7C">
        <w:rPr>
          <w:i/>
          <w:sz w:val="20"/>
          <w:szCs w:val="20"/>
          <w:lang w:val="en-ZA"/>
        </w:rPr>
        <w:t>Secretary of Inland Revenue v Trow</w:t>
      </w:r>
      <w:r w:rsidR="00146EF3" w:rsidRPr="00517F7C">
        <w:rPr>
          <w:sz w:val="20"/>
          <w:szCs w:val="20"/>
          <w:lang w:val="en-ZA"/>
        </w:rPr>
        <w:t xml:space="preserve"> 1989 (4) SA 821 (A) at 825I-</w:t>
      </w:r>
      <w:r w:rsidR="00146EF3" w:rsidRPr="00517F7C">
        <w:rPr>
          <w:sz w:val="20"/>
          <w:szCs w:val="20"/>
          <w:lang w:val="en-ZA"/>
        </w:rPr>
        <w:lastRenderedPageBreak/>
        <w:t>826B, as authority in suppor</w:t>
      </w:r>
      <w:r w:rsidRPr="00517F7C">
        <w:rPr>
          <w:sz w:val="20"/>
          <w:szCs w:val="20"/>
          <w:lang w:val="en-ZA"/>
        </w:rPr>
        <w:t>t of the meaning of the phrase “is satisfied”</w:t>
      </w:r>
      <w:r w:rsidR="00146EF3" w:rsidRPr="00517F7C">
        <w:rPr>
          <w:sz w:val="20"/>
          <w:szCs w:val="20"/>
          <w:lang w:val="en-ZA"/>
        </w:rPr>
        <w:t xml:space="preserve"> in s 79(1) of the Income Tax Act, and now in s 92 read with s 99(1) and (2) of the Tax Administration Act.</w:t>
      </w:r>
    </w:p>
    <w:p w:rsidR="00146EF3" w:rsidRPr="00517F7C" w:rsidRDefault="001748B0" w:rsidP="00517F7C">
      <w:pPr>
        <w:pStyle w:val="LegalList1"/>
        <w:spacing w:after="0" w:line="360" w:lineRule="auto"/>
        <w:rPr>
          <w:sz w:val="20"/>
          <w:szCs w:val="20"/>
          <w:lang w:val="en-ZA"/>
        </w:rPr>
      </w:pPr>
      <w:r w:rsidRPr="00517F7C">
        <w:rPr>
          <w:sz w:val="20"/>
          <w:szCs w:val="20"/>
          <w:lang w:val="en-ZA"/>
        </w:rPr>
        <w:t>[55]</w:t>
      </w:r>
      <w:r w:rsidRPr="00517F7C">
        <w:rPr>
          <w:sz w:val="20"/>
          <w:szCs w:val="20"/>
          <w:lang w:val="en-ZA"/>
        </w:rPr>
        <w:tab/>
      </w:r>
      <w:r w:rsidR="00146EF3" w:rsidRPr="00517F7C">
        <w:rPr>
          <w:sz w:val="20"/>
          <w:szCs w:val="20"/>
          <w:lang w:val="en-ZA"/>
        </w:rPr>
        <w:t xml:space="preserve">Mr Wingate-Pearse, in my view, reads too much into </w:t>
      </w:r>
      <w:r w:rsidR="00146EF3" w:rsidRPr="00517F7C">
        <w:rPr>
          <w:i/>
          <w:sz w:val="20"/>
          <w:szCs w:val="20"/>
          <w:lang w:val="en-ZA"/>
        </w:rPr>
        <w:t>Natal Estates and Trow</w:t>
      </w:r>
      <w:r w:rsidR="00146EF3" w:rsidRPr="00517F7C">
        <w:rPr>
          <w:sz w:val="20"/>
          <w:szCs w:val="20"/>
          <w:lang w:val="en-ZA"/>
        </w:rPr>
        <w:t>. Those judgments do not support his argument on how the jurisdictional prerequisite of SARS’ satisfaction for its power to make an additional assessment must be met; whether the jurisdictional facts are objective or subjective. Both judgments concern similar, but repealed, provisions and rather suggest that the required jur</w:t>
      </w:r>
      <w:r w:rsidRPr="00517F7C">
        <w:rPr>
          <w:sz w:val="20"/>
          <w:szCs w:val="20"/>
          <w:lang w:val="en-ZA"/>
        </w:rPr>
        <w:t>isdictional fact is subjective.</w:t>
      </w:r>
    </w:p>
    <w:p w:rsidR="001748B0" w:rsidRPr="00517F7C" w:rsidRDefault="001748B0" w:rsidP="00517F7C">
      <w:pPr>
        <w:pStyle w:val="LegalList1"/>
        <w:spacing w:after="0" w:line="360" w:lineRule="auto"/>
        <w:rPr>
          <w:sz w:val="20"/>
          <w:szCs w:val="20"/>
          <w:lang w:val="en-ZA"/>
        </w:rPr>
      </w:pPr>
      <w:r w:rsidRPr="00517F7C">
        <w:rPr>
          <w:sz w:val="20"/>
          <w:szCs w:val="20"/>
          <w:lang w:val="en-ZA"/>
        </w:rPr>
        <w:t xml:space="preserve">… … … </w:t>
      </w:r>
    </w:p>
    <w:p w:rsidR="00146EF3" w:rsidRPr="00517F7C" w:rsidRDefault="001748B0" w:rsidP="00517F7C">
      <w:pPr>
        <w:pStyle w:val="LegalList1"/>
        <w:spacing w:after="0" w:line="360" w:lineRule="auto"/>
        <w:rPr>
          <w:sz w:val="20"/>
          <w:szCs w:val="20"/>
          <w:lang w:val="en-ZA"/>
        </w:rPr>
      </w:pPr>
      <w:r w:rsidRPr="00517F7C">
        <w:rPr>
          <w:sz w:val="20"/>
          <w:szCs w:val="20"/>
          <w:lang w:val="en-ZA"/>
        </w:rPr>
        <w:t>[61]</w:t>
      </w:r>
      <w:r w:rsidRPr="00517F7C">
        <w:rPr>
          <w:sz w:val="20"/>
          <w:szCs w:val="20"/>
          <w:lang w:val="en-ZA"/>
        </w:rPr>
        <w:tab/>
        <w:t>Although the words “is satisfied”</w:t>
      </w:r>
      <w:r w:rsidR="00146EF3" w:rsidRPr="00517F7C">
        <w:rPr>
          <w:sz w:val="20"/>
          <w:szCs w:val="20"/>
          <w:lang w:val="en-ZA"/>
        </w:rPr>
        <w:t xml:space="preserve"> used in s 79(1) of the Income Tax Act – and now s 92 read with s 99(1) and (2) of the Tax Administration Act – confer a subjective discretion on SARS, except that the discretion is not unfettered, and an objective approach must be adopted to that subjective discretion. SARS, therefore, must show that its subjective satisfaction was based on reasonable grounds. ... But, given the wording of s 79(1) ... and presently s 92 of the Tax Administration Act and the subjective nature of the discretion conferred on SARS, the scope for judicial review is limited ...</w:t>
      </w:r>
    </w:p>
    <w:p w:rsidR="00146EF3" w:rsidRPr="00517F7C" w:rsidRDefault="00146EF3" w:rsidP="00517F7C">
      <w:pPr>
        <w:pStyle w:val="LegalList1"/>
        <w:spacing w:after="0" w:line="360" w:lineRule="auto"/>
        <w:rPr>
          <w:sz w:val="20"/>
          <w:szCs w:val="20"/>
          <w:lang w:val="en-ZA"/>
        </w:rPr>
      </w:pPr>
      <w:r w:rsidRPr="00517F7C">
        <w:rPr>
          <w:sz w:val="20"/>
          <w:szCs w:val="20"/>
          <w:lang w:val="en-ZA"/>
        </w:rPr>
        <w:t>...</w:t>
      </w:r>
      <w:r w:rsidR="001748B0" w:rsidRPr="00517F7C">
        <w:rPr>
          <w:sz w:val="20"/>
          <w:szCs w:val="20"/>
          <w:lang w:val="en-ZA"/>
        </w:rPr>
        <w:t xml:space="preserve"> … … </w:t>
      </w:r>
    </w:p>
    <w:p w:rsidR="00146EF3" w:rsidRPr="00517F7C" w:rsidRDefault="001748B0" w:rsidP="001748B0">
      <w:pPr>
        <w:pStyle w:val="LegalList1"/>
        <w:spacing w:after="120" w:line="360" w:lineRule="auto"/>
        <w:rPr>
          <w:sz w:val="20"/>
          <w:szCs w:val="20"/>
          <w:lang w:val="en-ZA"/>
        </w:rPr>
      </w:pPr>
      <w:r w:rsidRPr="00517F7C">
        <w:rPr>
          <w:sz w:val="20"/>
          <w:szCs w:val="20"/>
          <w:lang w:val="en-ZA"/>
        </w:rPr>
        <w:t>[64]</w:t>
      </w:r>
      <w:r w:rsidRPr="00517F7C">
        <w:rPr>
          <w:sz w:val="20"/>
          <w:szCs w:val="20"/>
          <w:lang w:val="en-ZA"/>
        </w:rPr>
        <w:tab/>
      </w:r>
      <w:r w:rsidR="00146EF3" w:rsidRPr="00517F7C">
        <w:rPr>
          <w:sz w:val="20"/>
          <w:szCs w:val="20"/>
          <w:lang w:val="en-ZA"/>
        </w:rPr>
        <w:t>The resultant substantial increase in Mr Wingate-Pearse’s assessed tax liability for the relevant period of assessment inferentially establishes SARS’ required satisfaction that the full amount of tax chargeable was not assessed due to fraud or material misrepresentation or non-disclosure of material facts, and the statutory immunity enjoyed by him from further assessments was thus displaced. Having regard to the subjective nature of the discretion conferred on SARS and the limited scope for judicial review as well as the principles enunciated in Bato Star, and giving due weight to the finding made by those with special expertise in taxation and accountancy, SARS’ decision to issue the additional assessments can, in all the circumstances, not be said to be one that a reasonable decision-maker could not reach. SARS’ required subjective satisfaction has been shown to have been</w:t>
      </w:r>
      <w:r w:rsidR="00517F7C" w:rsidRPr="00517F7C">
        <w:rPr>
          <w:sz w:val="20"/>
          <w:szCs w:val="20"/>
          <w:lang w:val="en-ZA"/>
        </w:rPr>
        <w:t xml:space="preserve"> founded on reasonable grounds.’</w:t>
      </w:r>
    </w:p>
    <w:p w:rsidR="00517F7C" w:rsidRPr="00517F7C" w:rsidRDefault="00D63A02" w:rsidP="00D63A02">
      <w:pPr>
        <w:pStyle w:val="LegalList1"/>
        <w:spacing w:after="120" w:line="360" w:lineRule="auto"/>
        <w:rPr>
          <w:lang w:val="en-ZA"/>
        </w:rPr>
      </w:pPr>
      <w:r w:rsidRPr="00517F7C">
        <w:rPr>
          <w:lang w:val="en-ZA"/>
        </w:rPr>
        <w:t>[77].</w:t>
      </w:r>
      <w:r w:rsidRPr="00517F7C">
        <w:rPr>
          <w:lang w:val="en-ZA"/>
        </w:rPr>
        <w:tab/>
      </w:r>
      <w:r w:rsidR="00517F7C">
        <w:rPr>
          <w:lang w:val="en-ZA"/>
        </w:rPr>
        <w:t>As already indicated, in light of my findings relating to additional assessments, there can, to my mind be little doubt that SARS has established the</w:t>
      </w:r>
      <w:r w:rsidR="00517F7C" w:rsidRPr="00517F7C">
        <w:rPr>
          <w:lang w:val="en-ZA"/>
        </w:rPr>
        <w:t xml:space="preserve"> required satisfaction that the full amount of tax chargeable was not assessed due to fraud or material misrepresentation or non-disclosure of material facts</w:t>
      </w:r>
      <w:r w:rsidR="00517F7C">
        <w:rPr>
          <w:lang w:val="en-ZA"/>
        </w:rPr>
        <w:t xml:space="preserve">. </w:t>
      </w:r>
      <w:r w:rsidR="00517F7C" w:rsidRPr="00517F7C">
        <w:rPr>
          <w:lang w:val="en-ZA"/>
        </w:rPr>
        <w:t xml:space="preserve">The resultant substantial increase in </w:t>
      </w:r>
      <w:r w:rsidR="00517F7C">
        <w:rPr>
          <w:lang w:val="en-ZA"/>
        </w:rPr>
        <w:t xml:space="preserve">the taxpayer’s </w:t>
      </w:r>
      <w:r w:rsidR="00517F7C" w:rsidRPr="00517F7C">
        <w:rPr>
          <w:lang w:val="en-ZA"/>
        </w:rPr>
        <w:t xml:space="preserve">assessed tax liability for the relevant period of assessment inferentially establishes </w:t>
      </w:r>
      <w:r w:rsidR="00517F7C">
        <w:rPr>
          <w:lang w:val="en-ZA"/>
        </w:rPr>
        <w:t>such ‘satisfaction’.</w:t>
      </w:r>
    </w:p>
    <w:p w:rsidR="00146EF3" w:rsidRPr="00517F7C" w:rsidRDefault="00D63A02" w:rsidP="00D63A02">
      <w:pPr>
        <w:pStyle w:val="LegalList1"/>
        <w:spacing w:after="0" w:line="360" w:lineRule="auto"/>
        <w:rPr>
          <w:lang w:val="en-ZA"/>
        </w:rPr>
      </w:pPr>
      <w:r w:rsidRPr="00517F7C">
        <w:rPr>
          <w:lang w:val="en-ZA"/>
        </w:rPr>
        <w:t>[78].</w:t>
      </w:r>
      <w:r w:rsidRPr="00517F7C">
        <w:rPr>
          <w:lang w:val="en-ZA"/>
        </w:rPr>
        <w:tab/>
      </w:r>
      <w:r w:rsidR="00146EF3" w:rsidRPr="00146EF3">
        <w:rPr>
          <w:lang w:val="en-ZA"/>
        </w:rPr>
        <w:t xml:space="preserve">SARS </w:t>
      </w:r>
      <w:r w:rsidR="00517F7C">
        <w:rPr>
          <w:lang w:val="en-ZA"/>
        </w:rPr>
        <w:t xml:space="preserve">had also </w:t>
      </w:r>
      <w:r w:rsidR="00146EF3" w:rsidRPr="00146EF3">
        <w:rPr>
          <w:lang w:val="en-ZA"/>
        </w:rPr>
        <w:t xml:space="preserve">notified the taxpayer that it intends to reopen the assessments as there was non-disclosure of material facts, as the taxpayer failed to declare all the income earned during the said periods. This was done </w:t>
      </w:r>
      <w:r w:rsidR="00517F7C">
        <w:rPr>
          <w:lang w:val="en-ZA"/>
        </w:rPr>
        <w:t xml:space="preserve">pre-litigation </w:t>
      </w:r>
      <w:r w:rsidR="00146EF3" w:rsidRPr="00146EF3">
        <w:rPr>
          <w:lang w:val="en-ZA"/>
        </w:rPr>
        <w:t xml:space="preserve">in </w:t>
      </w:r>
      <w:r w:rsidR="00517F7C">
        <w:rPr>
          <w:lang w:val="en-ZA"/>
        </w:rPr>
        <w:t>a number of documents</w:t>
      </w:r>
      <w:r w:rsidR="00146EF3" w:rsidRPr="00146EF3">
        <w:rPr>
          <w:lang w:val="en-ZA"/>
        </w:rPr>
        <w:t>, which was also introduced into ev</w:t>
      </w:r>
      <w:r w:rsidR="00517F7C">
        <w:rPr>
          <w:lang w:val="en-ZA"/>
        </w:rPr>
        <w:t xml:space="preserve">idence </w:t>
      </w:r>
      <w:r w:rsidR="00517F7C">
        <w:rPr>
          <w:lang w:val="en-ZA"/>
        </w:rPr>
        <w:lastRenderedPageBreak/>
        <w:t xml:space="preserve">during cross-examination. So, for example, the </w:t>
      </w:r>
      <w:r w:rsidR="00146EF3" w:rsidRPr="00517F7C">
        <w:rPr>
          <w:lang w:val="en-ZA"/>
        </w:rPr>
        <w:t>finalisation of audit letter of 15</w:t>
      </w:r>
      <w:r w:rsidR="00517F7C">
        <w:rPr>
          <w:lang w:val="en-ZA"/>
        </w:rPr>
        <w:t> </w:t>
      </w:r>
      <w:r w:rsidR="00146EF3" w:rsidRPr="00517F7C">
        <w:rPr>
          <w:lang w:val="en-ZA"/>
        </w:rPr>
        <w:t>May 2015</w:t>
      </w:r>
      <w:r w:rsidR="00517F7C">
        <w:rPr>
          <w:lang w:val="en-ZA"/>
        </w:rPr>
        <w:t xml:space="preserve"> </w:t>
      </w:r>
      <w:r w:rsidR="00146EF3" w:rsidRPr="00517F7C">
        <w:rPr>
          <w:lang w:val="en-ZA"/>
        </w:rPr>
        <w:t>states</w:t>
      </w:r>
      <w:r w:rsidR="00517F7C">
        <w:rPr>
          <w:lang w:val="en-ZA"/>
        </w:rPr>
        <w:t xml:space="preserve"> the following</w:t>
      </w:r>
      <w:r w:rsidR="00146EF3" w:rsidRPr="00517F7C">
        <w:rPr>
          <w:lang w:val="en-ZA"/>
        </w:rPr>
        <w:t>:</w:t>
      </w:r>
    </w:p>
    <w:p w:rsidR="00146EF3" w:rsidRPr="001736BF" w:rsidRDefault="00517F7C" w:rsidP="00517F7C">
      <w:pPr>
        <w:pStyle w:val="LegalList1"/>
        <w:spacing w:after="0" w:line="360" w:lineRule="auto"/>
        <w:rPr>
          <w:sz w:val="20"/>
          <w:szCs w:val="20"/>
          <w:lang w:val="en-ZA"/>
        </w:rPr>
      </w:pPr>
      <w:r w:rsidRPr="001736BF">
        <w:rPr>
          <w:sz w:val="20"/>
          <w:szCs w:val="20"/>
          <w:lang w:val="en-ZA"/>
        </w:rPr>
        <w:t>‘</w:t>
      </w:r>
      <w:r w:rsidR="00146EF3" w:rsidRPr="001736BF">
        <w:rPr>
          <w:sz w:val="20"/>
          <w:szCs w:val="20"/>
          <w:lang w:val="en-ZA"/>
        </w:rPr>
        <w:t>SARS has reopened these periods in terms of section 99(2) of the TA Act on the</w:t>
      </w:r>
      <w:r w:rsidRPr="001736BF">
        <w:rPr>
          <w:sz w:val="20"/>
          <w:szCs w:val="20"/>
          <w:lang w:val="en-ZA"/>
        </w:rPr>
        <w:t xml:space="preserve"> </w:t>
      </w:r>
      <w:r w:rsidR="00146EF3" w:rsidRPr="001736BF">
        <w:rPr>
          <w:sz w:val="20"/>
          <w:szCs w:val="20"/>
          <w:lang w:val="en-ZA"/>
        </w:rPr>
        <w:t>basis of non-disclosure of material facts for the following reasons:</w:t>
      </w:r>
    </w:p>
    <w:p w:rsidR="00146EF3" w:rsidRPr="001736BF" w:rsidRDefault="001736BF" w:rsidP="001736BF">
      <w:pPr>
        <w:pStyle w:val="LegalList1"/>
        <w:spacing w:after="0" w:line="360" w:lineRule="auto"/>
        <w:ind w:left="567" w:hanging="567"/>
        <w:rPr>
          <w:sz w:val="20"/>
          <w:szCs w:val="20"/>
          <w:lang w:val="en-ZA"/>
        </w:rPr>
      </w:pPr>
      <w:r>
        <w:rPr>
          <w:sz w:val="20"/>
          <w:szCs w:val="20"/>
          <w:lang w:val="en-ZA"/>
        </w:rPr>
        <w:t>(a)</w:t>
      </w:r>
      <w:r>
        <w:rPr>
          <w:sz w:val="20"/>
          <w:szCs w:val="20"/>
          <w:lang w:val="en-ZA"/>
        </w:rPr>
        <w:tab/>
      </w:r>
      <w:r w:rsidR="00146EF3" w:rsidRPr="001736BF">
        <w:rPr>
          <w:sz w:val="20"/>
          <w:szCs w:val="20"/>
          <w:lang w:val="en-ZA"/>
        </w:rPr>
        <w:t>The taxpayer has a duty to disclose material facts which fall within its exclusive knowledge and not to make any misrepresentations to SARS. ...;</w:t>
      </w:r>
    </w:p>
    <w:p w:rsidR="00146EF3" w:rsidRPr="001736BF" w:rsidRDefault="001736BF" w:rsidP="001736BF">
      <w:pPr>
        <w:pStyle w:val="LegalList1"/>
        <w:spacing w:after="0" w:line="360" w:lineRule="auto"/>
        <w:ind w:left="567" w:hanging="567"/>
        <w:rPr>
          <w:sz w:val="20"/>
          <w:szCs w:val="20"/>
          <w:lang w:val="en-ZA"/>
        </w:rPr>
      </w:pPr>
      <w:r>
        <w:rPr>
          <w:sz w:val="20"/>
          <w:szCs w:val="20"/>
          <w:lang w:val="en-ZA"/>
        </w:rPr>
        <w:t>(b)</w:t>
      </w:r>
      <w:r>
        <w:rPr>
          <w:sz w:val="20"/>
          <w:szCs w:val="20"/>
          <w:lang w:val="en-ZA"/>
        </w:rPr>
        <w:tab/>
      </w:r>
      <w:r w:rsidR="00146EF3" w:rsidRPr="001736BF">
        <w:rPr>
          <w:sz w:val="20"/>
          <w:szCs w:val="20"/>
          <w:lang w:val="en-ZA"/>
        </w:rPr>
        <w:t>The taxpayer has failed in disclosing income received and as a result substantially under declared income in the 2007 – 2010 years and there has thus been a non-disclosure of material facts and in relation to certain facts;</w:t>
      </w:r>
    </w:p>
    <w:p w:rsidR="00146EF3" w:rsidRPr="001736BF" w:rsidRDefault="00146EF3" w:rsidP="001736BF">
      <w:pPr>
        <w:pStyle w:val="LegalList1"/>
        <w:spacing w:after="0" w:line="360" w:lineRule="auto"/>
        <w:ind w:left="567" w:hanging="567"/>
        <w:rPr>
          <w:sz w:val="20"/>
          <w:szCs w:val="20"/>
          <w:lang w:val="en-ZA"/>
        </w:rPr>
      </w:pPr>
      <w:r w:rsidRPr="001736BF">
        <w:rPr>
          <w:sz w:val="20"/>
          <w:szCs w:val="20"/>
          <w:lang w:val="en-ZA"/>
        </w:rPr>
        <w:t>(c)</w:t>
      </w:r>
      <w:r w:rsidRPr="001736BF">
        <w:rPr>
          <w:sz w:val="20"/>
          <w:szCs w:val="20"/>
          <w:lang w:val="en-ZA"/>
        </w:rPr>
        <w:tab/>
        <w:t>The under-declaration would not have been uncovered had it not been for the audit conducted by SARS;</w:t>
      </w:r>
    </w:p>
    <w:p w:rsidR="00146EF3" w:rsidRPr="001736BF" w:rsidRDefault="00146EF3" w:rsidP="001736BF">
      <w:pPr>
        <w:pStyle w:val="LegalList1"/>
        <w:spacing w:after="0" w:line="360" w:lineRule="auto"/>
        <w:ind w:left="567" w:hanging="567"/>
        <w:rPr>
          <w:sz w:val="20"/>
          <w:szCs w:val="20"/>
          <w:lang w:val="en-ZA"/>
        </w:rPr>
      </w:pPr>
      <w:r w:rsidRPr="001736BF">
        <w:rPr>
          <w:sz w:val="20"/>
          <w:szCs w:val="20"/>
          <w:lang w:val="en-ZA"/>
        </w:rPr>
        <w:t>(d)</w:t>
      </w:r>
      <w:r w:rsidRPr="001736BF">
        <w:rPr>
          <w:sz w:val="20"/>
          <w:szCs w:val="20"/>
          <w:lang w:val="en-ZA"/>
        </w:rPr>
        <w:tab/>
        <w:t>The facts uncovered during the audit were material in nature in relation to the respective years of assessment and they were within the exclusive knowledge of the taxpayer and were not voluntarily disclosed to SARS by the taxpayer;</w:t>
      </w:r>
    </w:p>
    <w:p w:rsidR="00146EF3" w:rsidRPr="001736BF" w:rsidRDefault="00146EF3" w:rsidP="001736BF">
      <w:pPr>
        <w:pStyle w:val="LegalList1"/>
        <w:spacing w:after="0" w:line="360" w:lineRule="auto"/>
        <w:ind w:left="567" w:hanging="567"/>
        <w:rPr>
          <w:sz w:val="20"/>
          <w:szCs w:val="20"/>
          <w:lang w:val="en-ZA"/>
        </w:rPr>
      </w:pPr>
      <w:r w:rsidRPr="001736BF">
        <w:rPr>
          <w:sz w:val="20"/>
          <w:szCs w:val="20"/>
          <w:lang w:val="en-ZA"/>
        </w:rPr>
        <w:t>(e)</w:t>
      </w:r>
      <w:r w:rsidRPr="001736BF">
        <w:rPr>
          <w:sz w:val="20"/>
          <w:szCs w:val="20"/>
          <w:lang w:val="en-ZA"/>
        </w:rPr>
        <w:tab/>
        <w:t>The non-disclosure of the said material facts resulted in the assessments in all the years under review not reflecting the correct application of a tax Act to the prejudice of SARS;</w:t>
      </w:r>
    </w:p>
    <w:p w:rsidR="00146EF3" w:rsidRPr="001736BF" w:rsidRDefault="00146EF3" w:rsidP="001736BF">
      <w:pPr>
        <w:pStyle w:val="LegalList1"/>
        <w:spacing w:after="120" w:line="360" w:lineRule="auto"/>
        <w:ind w:left="567" w:hanging="567"/>
        <w:rPr>
          <w:sz w:val="20"/>
          <w:szCs w:val="20"/>
          <w:lang w:val="en-ZA"/>
        </w:rPr>
      </w:pPr>
      <w:r w:rsidRPr="001736BF">
        <w:rPr>
          <w:sz w:val="20"/>
          <w:szCs w:val="20"/>
          <w:lang w:val="en-ZA"/>
        </w:rPr>
        <w:t>(f)</w:t>
      </w:r>
      <w:r w:rsidRPr="001736BF">
        <w:rPr>
          <w:sz w:val="20"/>
          <w:szCs w:val="20"/>
          <w:lang w:val="en-ZA"/>
        </w:rPr>
        <w:tab/>
        <w:t>The TA Act and previous provisions of the IT Act require the taxpayer to submit a full and true return; however, the taxpaye</w:t>
      </w:r>
      <w:r w:rsidR="001736BF">
        <w:rPr>
          <w:sz w:val="20"/>
          <w:szCs w:val="20"/>
          <w:lang w:val="en-ZA"/>
        </w:rPr>
        <w:t>r failed or neglected to do so.’</w:t>
      </w:r>
    </w:p>
    <w:p w:rsidR="00146EF3" w:rsidRPr="00146EF3" w:rsidRDefault="00D63A02" w:rsidP="00D63A02">
      <w:pPr>
        <w:pStyle w:val="LegalList1"/>
        <w:spacing w:after="240" w:line="360" w:lineRule="auto"/>
        <w:rPr>
          <w:lang w:val="en-ZA"/>
        </w:rPr>
      </w:pPr>
      <w:r w:rsidRPr="00146EF3">
        <w:rPr>
          <w:lang w:val="en-ZA"/>
        </w:rPr>
        <w:t>[79].</w:t>
      </w:r>
      <w:r w:rsidRPr="00146EF3">
        <w:rPr>
          <w:lang w:val="en-ZA"/>
        </w:rPr>
        <w:tab/>
      </w:r>
      <w:r w:rsidR="001736BF">
        <w:rPr>
          <w:lang w:val="en-ZA"/>
        </w:rPr>
        <w:t xml:space="preserve">This, in my judgment, spells the end of the taxpayer’s prescription point </w:t>
      </w:r>
      <w:r w:rsidR="001736BF" w:rsidRPr="001736BF">
        <w:rPr>
          <w:i/>
          <w:lang w:val="en-ZA"/>
        </w:rPr>
        <w:t>in limine</w:t>
      </w:r>
      <w:r w:rsidR="001736BF">
        <w:rPr>
          <w:lang w:val="en-ZA"/>
        </w:rPr>
        <w:t xml:space="preserve">, which falls to be rejected. </w:t>
      </w:r>
    </w:p>
    <w:p w:rsidR="00783D16" w:rsidRPr="00C62C4F" w:rsidRDefault="00696DF1" w:rsidP="00C62C4F">
      <w:pPr>
        <w:pStyle w:val="LegalList1"/>
        <w:spacing w:after="120" w:line="360" w:lineRule="auto"/>
        <w:rPr>
          <w:b/>
        </w:rPr>
      </w:pPr>
      <w:r>
        <w:rPr>
          <w:b/>
        </w:rPr>
        <w:t xml:space="preserve">Conclusion and </w:t>
      </w:r>
      <w:r w:rsidR="00C62C4F" w:rsidRPr="00C62C4F">
        <w:rPr>
          <w:b/>
        </w:rPr>
        <w:t xml:space="preserve">Costs </w:t>
      </w:r>
    </w:p>
    <w:p w:rsidR="00783D16" w:rsidRDefault="00D63A02" w:rsidP="00D63A02">
      <w:pPr>
        <w:pStyle w:val="LegalList1"/>
        <w:spacing w:after="120" w:line="360" w:lineRule="auto"/>
      </w:pPr>
      <w:r>
        <w:t>[80].</w:t>
      </w:r>
      <w:r>
        <w:tab/>
      </w:r>
      <w:r w:rsidR="00696DF1">
        <w:t>The appeal therefore stands to be upheld and the additional assessment</w:t>
      </w:r>
      <w:r w:rsidR="00C87C3F">
        <w:t>s</w:t>
      </w:r>
      <w:r w:rsidR="00696DF1">
        <w:t xml:space="preserve"> pertaining to the </w:t>
      </w:r>
      <w:r w:rsidR="00C87C3F">
        <w:t>2007, 2008, 2009 and 2010</w:t>
      </w:r>
      <w:r w:rsidR="00696DF1">
        <w:t xml:space="preserve"> tax year</w:t>
      </w:r>
      <w:r w:rsidR="00C87C3F">
        <w:t>s of assessment</w:t>
      </w:r>
      <w:r w:rsidR="00696DF1">
        <w:t xml:space="preserve"> should be </w:t>
      </w:r>
      <w:r w:rsidR="00C87C3F">
        <w:t>confirmed</w:t>
      </w:r>
      <w:r w:rsidR="00696DF1">
        <w:t>.</w:t>
      </w:r>
    </w:p>
    <w:p w:rsidR="00696DF1" w:rsidRPr="00696DF1" w:rsidRDefault="00D63A02" w:rsidP="00D63A02">
      <w:pPr>
        <w:pStyle w:val="LegalList1"/>
        <w:spacing w:after="120" w:line="360" w:lineRule="auto"/>
      </w:pPr>
      <w:r w:rsidRPr="00696DF1">
        <w:t>[81].</w:t>
      </w:r>
      <w:r w:rsidRPr="00696DF1">
        <w:tab/>
      </w:r>
      <w:r w:rsidR="00696DF1" w:rsidRPr="00696DF1">
        <w:t xml:space="preserve">As for costs, </w:t>
      </w:r>
      <w:r w:rsidR="00696DF1">
        <w:t xml:space="preserve">same is ordinarily not awarded in favour of any of the parties </w:t>
      </w:r>
      <w:r w:rsidR="00696DF1" w:rsidRPr="00696DF1">
        <w:t xml:space="preserve">in the tax court, unless a party shows that the other party’s grounds of assessment or appeal are unreasonable. </w:t>
      </w:r>
      <w:r w:rsidR="00696DF1">
        <w:t xml:space="preserve">In this matter, </w:t>
      </w:r>
      <w:r w:rsidR="001736BF">
        <w:t>it cannot be said with any conviction that the taxpayer,</w:t>
      </w:r>
      <w:r w:rsidR="007D21BC">
        <w:t xml:space="preserve"> in </w:t>
      </w:r>
      <w:r w:rsidR="001736BF">
        <w:t xml:space="preserve">objecting to the </w:t>
      </w:r>
      <w:r w:rsidR="007D21BC">
        <w:t xml:space="preserve">additional assessment for the </w:t>
      </w:r>
      <w:r w:rsidR="001736BF">
        <w:t xml:space="preserve">2007 to 2010 </w:t>
      </w:r>
      <w:r w:rsidR="007D21BC">
        <w:t>tax year</w:t>
      </w:r>
      <w:r w:rsidR="001736BF">
        <w:t>s</w:t>
      </w:r>
      <w:r w:rsidR="007D21BC">
        <w:t xml:space="preserve">, acted unreasonably or that </w:t>
      </w:r>
      <w:r w:rsidR="001736BF">
        <w:t>his</w:t>
      </w:r>
      <w:r w:rsidR="007D21BC">
        <w:t xml:space="preserve"> grounds for the </w:t>
      </w:r>
      <w:r w:rsidR="001736BF">
        <w:t>objection were unreasonable.</w:t>
      </w:r>
    </w:p>
    <w:p w:rsidR="000D4B78" w:rsidRDefault="00D63A02" w:rsidP="00D63A02">
      <w:pPr>
        <w:pStyle w:val="LegalList1"/>
        <w:spacing w:after="240" w:line="360" w:lineRule="auto"/>
      </w:pPr>
      <w:r>
        <w:t>[82].</w:t>
      </w:r>
      <w:r>
        <w:tab/>
      </w:r>
      <w:r w:rsidR="007D2E09">
        <w:t>Each party shou</w:t>
      </w:r>
      <w:r w:rsidR="001736BF">
        <w:t>ld therefore bear his own costs in both the Tax Court and in this appeal.</w:t>
      </w:r>
    </w:p>
    <w:p w:rsidR="00D860C4" w:rsidRPr="007E5F6C" w:rsidRDefault="00E541D3" w:rsidP="00052B1D">
      <w:pPr>
        <w:pStyle w:val="LegalMAINHEADING"/>
        <w:spacing w:before="0" w:after="120" w:line="360" w:lineRule="auto"/>
      </w:pPr>
      <w:r>
        <w:rPr>
          <w:caps w:val="0"/>
        </w:rPr>
        <w:lastRenderedPageBreak/>
        <w:t>Order</w:t>
      </w:r>
    </w:p>
    <w:p w:rsidR="00F536C8" w:rsidRDefault="000A4BB6" w:rsidP="00AB6388">
      <w:pPr>
        <w:pStyle w:val="LegalList1"/>
        <w:spacing w:after="120" w:line="360" w:lineRule="auto"/>
      </w:pPr>
      <w:r>
        <w:t xml:space="preserve">Accordingly, </w:t>
      </w:r>
      <w:r w:rsidR="00B01637">
        <w:t xml:space="preserve">I </w:t>
      </w:r>
      <w:r w:rsidR="001F48CC">
        <w:t>make the following</w:t>
      </w:r>
      <w:r w:rsidR="00B01637">
        <w:t xml:space="preserve"> </w:t>
      </w:r>
      <w:r w:rsidR="008F6F14">
        <w:t>order: -</w:t>
      </w:r>
    </w:p>
    <w:p w:rsidR="00E63F0A" w:rsidRDefault="00D63A02" w:rsidP="00D63A02">
      <w:pPr>
        <w:pStyle w:val="LegalList1"/>
        <w:spacing w:after="120" w:line="360" w:lineRule="auto"/>
        <w:ind w:left="567" w:hanging="567"/>
      </w:pPr>
      <w:r>
        <w:t>(1)</w:t>
      </w:r>
      <w:r>
        <w:tab/>
      </w:r>
      <w:r w:rsidR="00E63F0A">
        <w:t>The appeal of the appellant (SARS) against the order of the Tax Court dated 16 July 2021 is upheld.</w:t>
      </w:r>
    </w:p>
    <w:p w:rsidR="00E63F0A" w:rsidRDefault="00D63A02" w:rsidP="00D63A02">
      <w:pPr>
        <w:pStyle w:val="LegalList1"/>
        <w:spacing w:after="0" w:line="360" w:lineRule="auto"/>
        <w:ind w:left="567" w:hanging="567"/>
      </w:pPr>
      <w:r>
        <w:t>(2)</w:t>
      </w:r>
      <w:r>
        <w:tab/>
      </w:r>
      <w:r w:rsidR="00E63F0A">
        <w:t xml:space="preserve">The order of the Tax Court of 16 July 2021 is set aside and in its place and stead is substituted the following order: - </w:t>
      </w:r>
    </w:p>
    <w:p w:rsidR="00E63F0A" w:rsidRPr="00F32519" w:rsidRDefault="00E63F0A" w:rsidP="00E63F0A">
      <w:pPr>
        <w:pStyle w:val="LegalList1"/>
        <w:spacing w:after="0" w:line="360" w:lineRule="auto"/>
        <w:ind w:left="851" w:hanging="567"/>
        <w:rPr>
          <w:sz w:val="20"/>
          <w:szCs w:val="20"/>
        </w:rPr>
      </w:pPr>
      <w:r w:rsidRPr="00F32519">
        <w:rPr>
          <w:sz w:val="20"/>
          <w:szCs w:val="20"/>
        </w:rPr>
        <w:t>‘(a)</w:t>
      </w:r>
      <w:r w:rsidRPr="00F32519">
        <w:rPr>
          <w:sz w:val="20"/>
          <w:szCs w:val="20"/>
        </w:rPr>
        <w:tab/>
        <w:t xml:space="preserve">The appeal of the appellant (the taxpayer) against the additional assessments in respect of the 2007, 2008, 2009 and 2010 tax years of assessment are dismissed; </w:t>
      </w:r>
    </w:p>
    <w:p w:rsidR="00E63F0A" w:rsidRPr="00F32519" w:rsidRDefault="00D63A02" w:rsidP="00D63A02">
      <w:pPr>
        <w:pStyle w:val="LegalList1"/>
        <w:spacing w:after="120" w:line="360" w:lineRule="auto"/>
        <w:ind w:left="851" w:hanging="491"/>
        <w:rPr>
          <w:sz w:val="20"/>
          <w:szCs w:val="20"/>
        </w:rPr>
      </w:pPr>
      <w:r w:rsidRPr="00F32519">
        <w:rPr>
          <w:sz w:val="20"/>
          <w:szCs w:val="20"/>
        </w:rPr>
        <w:t>(b)</w:t>
      </w:r>
      <w:r w:rsidRPr="00F32519">
        <w:rPr>
          <w:sz w:val="20"/>
          <w:szCs w:val="20"/>
        </w:rPr>
        <w:tab/>
      </w:r>
      <w:r w:rsidR="00E63F0A" w:rsidRPr="00F32519">
        <w:rPr>
          <w:sz w:val="20"/>
          <w:szCs w:val="20"/>
        </w:rPr>
        <w:t xml:space="preserve">SARS is ordered to alter the assessments to reflect the amounts reflected </w:t>
      </w:r>
      <w:r w:rsidR="00E63F0A">
        <w:rPr>
          <w:sz w:val="20"/>
          <w:szCs w:val="20"/>
        </w:rPr>
        <w:t>in</w:t>
      </w:r>
      <w:r w:rsidR="00E63F0A" w:rsidRPr="00F32519">
        <w:rPr>
          <w:sz w:val="20"/>
          <w:szCs w:val="20"/>
        </w:rPr>
        <w:t xml:space="preserve"> the following table;</w:t>
      </w:r>
    </w:p>
    <w:tbl>
      <w:tblPr>
        <w:tblW w:w="8499" w:type="dxa"/>
        <w:jc w:val="center"/>
        <w:tblLayout w:type="fixed"/>
        <w:tblCellMar>
          <w:left w:w="10" w:type="dxa"/>
          <w:right w:w="10" w:type="dxa"/>
        </w:tblCellMar>
        <w:tblLook w:val="0000" w:firstRow="0" w:lastRow="0" w:firstColumn="0" w:lastColumn="0" w:noHBand="0" w:noVBand="0"/>
      </w:tblPr>
      <w:tblGrid>
        <w:gridCol w:w="850"/>
        <w:gridCol w:w="1134"/>
        <w:gridCol w:w="992"/>
        <w:gridCol w:w="1571"/>
        <w:gridCol w:w="1140"/>
        <w:gridCol w:w="1276"/>
        <w:gridCol w:w="1536"/>
      </w:tblGrid>
      <w:tr w:rsidR="00E63F0A" w:rsidRPr="0011040F" w:rsidTr="00E03B3B">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right="167"/>
              <w:jc w:val="center"/>
              <w:rPr>
                <w:rFonts w:cs="Arial"/>
                <w:b/>
                <w:sz w:val="16"/>
                <w:szCs w:val="16"/>
              </w:rPr>
            </w:pPr>
            <w:r w:rsidRPr="0011040F">
              <w:rPr>
                <w:rFonts w:cs="Arial"/>
                <w:b/>
                <w:sz w:val="16"/>
                <w:szCs w:val="16"/>
              </w:rPr>
              <w:t>YEAR</w:t>
            </w:r>
          </w:p>
        </w:tc>
        <w:tc>
          <w:tcPr>
            <w:tcW w:w="1134"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right="166"/>
              <w:jc w:val="center"/>
              <w:rPr>
                <w:rFonts w:cs="Arial"/>
                <w:b/>
                <w:sz w:val="16"/>
                <w:szCs w:val="16"/>
              </w:rPr>
            </w:pPr>
            <w:r w:rsidRPr="0011040F">
              <w:rPr>
                <w:rFonts w:cs="Arial"/>
                <w:b/>
                <w:sz w:val="16"/>
                <w:szCs w:val="16"/>
              </w:rPr>
              <w:t>Investec</w:t>
            </w:r>
          </w:p>
        </w:tc>
        <w:tc>
          <w:tcPr>
            <w:tcW w:w="992"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right="167"/>
              <w:jc w:val="center"/>
              <w:rPr>
                <w:rFonts w:cs="Arial"/>
                <w:b/>
                <w:sz w:val="16"/>
                <w:szCs w:val="16"/>
              </w:rPr>
            </w:pPr>
            <w:r w:rsidRPr="0011040F">
              <w:rPr>
                <w:rFonts w:cs="Arial"/>
                <w:b/>
                <w:sz w:val="16"/>
                <w:szCs w:val="16"/>
              </w:rPr>
              <w:t>Nedbank</w:t>
            </w:r>
          </w:p>
        </w:tc>
        <w:tc>
          <w:tcPr>
            <w:tcW w:w="1571"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left="252" w:right="108"/>
              <w:jc w:val="center"/>
              <w:rPr>
                <w:rFonts w:cs="Arial"/>
                <w:b/>
                <w:sz w:val="16"/>
                <w:szCs w:val="16"/>
              </w:rPr>
            </w:pPr>
            <w:r w:rsidRPr="0011040F">
              <w:rPr>
                <w:rFonts w:cs="Arial"/>
                <w:b/>
                <w:sz w:val="16"/>
                <w:szCs w:val="16"/>
              </w:rPr>
              <w:t>Schedule from FX Africa Foreign Exchange (Pty) Ltd</w:t>
            </w:r>
          </w:p>
        </w:tc>
        <w:tc>
          <w:tcPr>
            <w:tcW w:w="114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jc w:val="center"/>
              <w:rPr>
                <w:rFonts w:cs="Arial"/>
                <w:b/>
                <w:sz w:val="16"/>
                <w:szCs w:val="16"/>
              </w:rPr>
            </w:pPr>
            <w:r w:rsidRPr="0011040F">
              <w:rPr>
                <w:rFonts w:cs="Arial"/>
                <w:b/>
                <w:sz w:val="16"/>
                <w:szCs w:val="16"/>
              </w:rPr>
              <w:t>TOTAL</w:t>
            </w:r>
          </w:p>
        </w:tc>
        <w:tc>
          <w:tcPr>
            <w:tcW w:w="127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jc w:val="center"/>
              <w:rPr>
                <w:rFonts w:cs="Arial"/>
                <w:b/>
                <w:sz w:val="16"/>
                <w:szCs w:val="16"/>
              </w:rPr>
            </w:pPr>
            <w:r w:rsidRPr="0011040F">
              <w:rPr>
                <w:rFonts w:cs="Arial"/>
                <w:b/>
                <w:sz w:val="16"/>
                <w:szCs w:val="16"/>
              </w:rPr>
              <w:t>Revenue</w:t>
            </w:r>
            <w:r w:rsidRPr="0011040F">
              <w:rPr>
                <w:rFonts w:cs="Arial"/>
                <w:b/>
                <w:sz w:val="16"/>
                <w:szCs w:val="16"/>
              </w:rPr>
              <w:br/>
              <w:t>declared as per</w:t>
            </w:r>
            <w:r w:rsidRPr="0011040F">
              <w:rPr>
                <w:rFonts w:cs="Arial"/>
                <w:b/>
                <w:sz w:val="16"/>
                <w:szCs w:val="16"/>
              </w:rPr>
              <w:br/>
              <w:t>IT12</w:t>
            </w:r>
          </w:p>
        </w:tc>
        <w:tc>
          <w:tcPr>
            <w:tcW w:w="153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jc w:val="center"/>
              <w:rPr>
                <w:rFonts w:cs="Arial"/>
                <w:b/>
                <w:sz w:val="16"/>
                <w:szCs w:val="16"/>
              </w:rPr>
            </w:pPr>
            <w:r w:rsidRPr="0011040F">
              <w:rPr>
                <w:rFonts w:cs="Arial"/>
                <w:b/>
                <w:sz w:val="16"/>
                <w:szCs w:val="16"/>
              </w:rPr>
              <w:t>Amount of</w:t>
            </w:r>
            <w:r w:rsidRPr="0011040F">
              <w:rPr>
                <w:rFonts w:cs="Arial"/>
                <w:b/>
                <w:sz w:val="16"/>
                <w:szCs w:val="16"/>
              </w:rPr>
              <w:br/>
              <w:t>adjustment</w:t>
            </w:r>
          </w:p>
        </w:tc>
      </w:tr>
      <w:tr w:rsidR="00E63F0A" w:rsidRPr="0011040F" w:rsidTr="00E03B3B">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right="77"/>
              <w:jc w:val="center"/>
              <w:rPr>
                <w:rFonts w:cs="Arial"/>
                <w:b/>
                <w:sz w:val="16"/>
                <w:szCs w:val="16"/>
              </w:rPr>
            </w:pPr>
            <w:r w:rsidRPr="0011040F">
              <w:rPr>
                <w:rFonts w:cs="Arial"/>
                <w:b/>
                <w:sz w:val="16"/>
                <w:szCs w:val="16"/>
              </w:rPr>
              <w:t>2007</w:t>
            </w:r>
          </w:p>
        </w:tc>
        <w:tc>
          <w:tcPr>
            <w:tcW w:w="1134"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right="76"/>
              <w:jc w:val="center"/>
              <w:rPr>
                <w:rFonts w:cs="Arial"/>
                <w:sz w:val="16"/>
                <w:szCs w:val="16"/>
              </w:rPr>
            </w:pPr>
            <w:r>
              <w:rPr>
                <w:rFonts w:cs="Arial"/>
                <w:sz w:val="16"/>
                <w:szCs w:val="16"/>
              </w:rPr>
              <w:t xml:space="preserve">   963 300.</w:t>
            </w:r>
            <w:r w:rsidRPr="0011040F">
              <w:rPr>
                <w:rFonts w:cs="Arial"/>
                <w:sz w:val="16"/>
                <w:szCs w:val="16"/>
              </w:rPr>
              <w:t>00</w:t>
            </w:r>
          </w:p>
        </w:tc>
        <w:tc>
          <w:tcPr>
            <w:tcW w:w="992"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35 346.00</w:t>
            </w:r>
          </w:p>
        </w:tc>
        <w:tc>
          <w:tcPr>
            <w:tcW w:w="1571"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sz w:val="16"/>
                <w:szCs w:val="16"/>
              </w:rPr>
            </w:pPr>
            <w:r w:rsidRPr="0011040F">
              <w:rPr>
                <w:rFonts w:cs="Arial"/>
                <w:sz w:val="16"/>
                <w:szCs w:val="16"/>
              </w:rPr>
              <w:t>39</w:t>
            </w:r>
            <w:r>
              <w:rPr>
                <w:rFonts w:cs="Arial"/>
                <w:sz w:val="16"/>
                <w:szCs w:val="16"/>
              </w:rPr>
              <w:t> </w:t>
            </w:r>
            <w:r w:rsidRPr="0011040F">
              <w:rPr>
                <w:rFonts w:cs="Arial"/>
                <w:sz w:val="16"/>
                <w:szCs w:val="16"/>
              </w:rPr>
              <w:t>378.57</w:t>
            </w:r>
          </w:p>
        </w:tc>
        <w:tc>
          <w:tcPr>
            <w:tcW w:w="114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1 038 024.57</w:t>
            </w:r>
          </w:p>
        </w:tc>
        <w:tc>
          <w:tcPr>
            <w:tcW w:w="127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455 472.00</w:t>
            </w:r>
          </w:p>
        </w:tc>
        <w:tc>
          <w:tcPr>
            <w:tcW w:w="153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582 552.57</w:t>
            </w:r>
          </w:p>
        </w:tc>
      </w:tr>
      <w:tr w:rsidR="00E63F0A" w:rsidRPr="0011040F" w:rsidTr="00E03B3B">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right="77"/>
              <w:jc w:val="center"/>
              <w:rPr>
                <w:rFonts w:cs="Arial"/>
                <w:b/>
                <w:sz w:val="16"/>
                <w:szCs w:val="16"/>
              </w:rPr>
            </w:pPr>
            <w:r w:rsidRPr="0011040F">
              <w:rPr>
                <w:rFonts w:cs="Arial"/>
                <w:b/>
                <w:sz w:val="16"/>
                <w:szCs w:val="16"/>
              </w:rPr>
              <w:t>2008</w:t>
            </w:r>
          </w:p>
        </w:tc>
        <w:tc>
          <w:tcPr>
            <w:tcW w:w="1134"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right" w:pos="936"/>
              </w:tabs>
              <w:autoSpaceDE w:val="0"/>
              <w:autoSpaceDN w:val="0"/>
              <w:adjustRightInd w:val="0"/>
              <w:spacing w:before="120"/>
              <w:ind w:right="76"/>
              <w:jc w:val="center"/>
              <w:rPr>
                <w:rFonts w:cs="Arial"/>
                <w:sz w:val="16"/>
                <w:szCs w:val="16"/>
              </w:rPr>
            </w:pPr>
            <w:r w:rsidRPr="0011040F">
              <w:rPr>
                <w:rFonts w:cs="Arial"/>
                <w:sz w:val="16"/>
                <w:szCs w:val="16"/>
              </w:rPr>
              <w:t>1</w:t>
            </w:r>
            <w:r>
              <w:rPr>
                <w:rFonts w:cs="Arial"/>
                <w:sz w:val="16"/>
                <w:szCs w:val="16"/>
              </w:rPr>
              <w:t> </w:t>
            </w:r>
            <w:r w:rsidRPr="0011040F">
              <w:rPr>
                <w:rFonts w:cs="Arial"/>
                <w:sz w:val="16"/>
                <w:szCs w:val="16"/>
              </w:rPr>
              <w:t>130</w:t>
            </w:r>
            <w:r>
              <w:rPr>
                <w:rFonts w:cs="Arial"/>
                <w:sz w:val="16"/>
                <w:szCs w:val="16"/>
              </w:rPr>
              <w:t> </w:t>
            </w:r>
            <w:r w:rsidRPr="0011040F">
              <w:rPr>
                <w:rFonts w:cs="Arial"/>
                <w:sz w:val="16"/>
                <w:szCs w:val="16"/>
              </w:rPr>
              <w:t>250.00</w:t>
            </w:r>
          </w:p>
        </w:tc>
        <w:tc>
          <w:tcPr>
            <w:tcW w:w="992"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35</w:t>
            </w:r>
            <w:r>
              <w:rPr>
                <w:rFonts w:cs="Arial"/>
                <w:sz w:val="16"/>
                <w:szCs w:val="16"/>
              </w:rPr>
              <w:t> </w:t>
            </w:r>
            <w:r w:rsidRPr="0011040F">
              <w:rPr>
                <w:rFonts w:cs="Arial"/>
                <w:sz w:val="16"/>
                <w:szCs w:val="16"/>
              </w:rPr>
              <w:t>000.00</w:t>
            </w:r>
          </w:p>
        </w:tc>
        <w:tc>
          <w:tcPr>
            <w:tcW w:w="1571"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sz w:val="16"/>
                <w:szCs w:val="16"/>
              </w:rPr>
            </w:pPr>
            <w:r w:rsidRPr="0011040F">
              <w:rPr>
                <w:rFonts w:cs="Arial"/>
                <w:sz w:val="16"/>
                <w:szCs w:val="16"/>
              </w:rPr>
              <w:t xml:space="preserve">1 </w:t>
            </w:r>
            <w:r>
              <w:rPr>
                <w:rFonts w:cs="Arial"/>
                <w:sz w:val="16"/>
                <w:szCs w:val="16"/>
              </w:rPr>
              <w:t>348</w:t>
            </w:r>
            <w:r w:rsidRPr="0011040F">
              <w:rPr>
                <w:rFonts w:cs="Arial"/>
                <w:sz w:val="16"/>
                <w:szCs w:val="16"/>
              </w:rPr>
              <w:t xml:space="preserve"> </w:t>
            </w:r>
            <w:r>
              <w:rPr>
                <w:rFonts w:cs="Arial"/>
                <w:sz w:val="16"/>
                <w:szCs w:val="16"/>
              </w:rPr>
              <w:t>500</w:t>
            </w:r>
            <w:r w:rsidRPr="0011040F">
              <w:rPr>
                <w:rFonts w:cs="Arial"/>
                <w:sz w:val="16"/>
                <w:szCs w:val="16"/>
              </w:rPr>
              <w:t>.00</w:t>
            </w:r>
          </w:p>
        </w:tc>
        <w:tc>
          <w:tcPr>
            <w:tcW w:w="114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 xml:space="preserve">2 </w:t>
            </w:r>
            <w:r>
              <w:rPr>
                <w:rFonts w:cs="Arial"/>
                <w:b/>
                <w:sz w:val="16"/>
                <w:szCs w:val="16"/>
              </w:rPr>
              <w:t>513</w:t>
            </w:r>
            <w:r w:rsidRPr="0011040F">
              <w:rPr>
                <w:rFonts w:cs="Arial"/>
                <w:b/>
                <w:sz w:val="16"/>
                <w:szCs w:val="16"/>
              </w:rPr>
              <w:t xml:space="preserve"> </w:t>
            </w:r>
            <w:r>
              <w:rPr>
                <w:rFonts w:cs="Arial"/>
                <w:b/>
                <w:sz w:val="16"/>
                <w:szCs w:val="16"/>
              </w:rPr>
              <w:t>750</w:t>
            </w:r>
            <w:r w:rsidRPr="0011040F">
              <w:rPr>
                <w:rFonts w:cs="Arial"/>
                <w:b/>
                <w:sz w:val="16"/>
                <w:szCs w:val="16"/>
              </w:rPr>
              <w:t>.00</w:t>
            </w:r>
          </w:p>
        </w:tc>
        <w:tc>
          <w:tcPr>
            <w:tcW w:w="127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768 810.00</w:t>
            </w:r>
          </w:p>
        </w:tc>
        <w:tc>
          <w:tcPr>
            <w:tcW w:w="153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b/>
                <w:sz w:val="16"/>
                <w:szCs w:val="16"/>
              </w:rPr>
            </w:pPr>
            <w:r>
              <w:rPr>
                <w:rFonts w:cs="Arial"/>
                <w:b/>
                <w:sz w:val="16"/>
                <w:szCs w:val="16"/>
              </w:rPr>
              <w:t>1</w:t>
            </w:r>
            <w:r w:rsidRPr="0011040F">
              <w:rPr>
                <w:rFonts w:cs="Arial"/>
                <w:b/>
                <w:sz w:val="16"/>
                <w:szCs w:val="16"/>
              </w:rPr>
              <w:t xml:space="preserve"> </w:t>
            </w:r>
            <w:r>
              <w:rPr>
                <w:rFonts w:cs="Arial"/>
                <w:b/>
                <w:sz w:val="16"/>
                <w:szCs w:val="16"/>
              </w:rPr>
              <w:t>744</w:t>
            </w:r>
            <w:r w:rsidRPr="0011040F">
              <w:rPr>
                <w:rFonts w:cs="Arial"/>
                <w:b/>
                <w:sz w:val="16"/>
                <w:szCs w:val="16"/>
              </w:rPr>
              <w:t xml:space="preserve"> </w:t>
            </w:r>
            <w:r>
              <w:rPr>
                <w:rFonts w:cs="Arial"/>
                <w:b/>
                <w:sz w:val="16"/>
                <w:szCs w:val="16"/>
              </w:rPr>
              <w:t>940</w:t>
            </w:r>
            <w:r w:rsidRPr="0011040F">
              <w:rPr>
                <w:rFonts w:cs="Arial"/>
                <w:b/>
                <w:sz w:val="16"/>
                <w:szCs w:val="16"/>
              </w:rPr>
              <w:t>.00</w:t>
            </w:r>
          </w:p>
        </w:tc>
      </w:tr>
      <w:tr w:rsidR="00E63F0A" w:rsidRPr="0011040F" w:rsidTr="00E03B3B">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right="77"/>
              <w:jc w:val="center"/>
              <w:rPr>
                <w:rFonts w:cs="Arial"/>
                <w:b/>
                <w:sz w:val="16"/>
                <w:szCs w:val="16"/>
              </w:rPr>
            </w:pPr>
            <w:r w:rsidRPr="0011040F">
              <w:rPr>
                <w:rFonts w:cs="Arial"/>
                <w:b/>
                <w:sz w:val="16"/>
                <w:szCs w:val="16"/>
              </w:rPr>
              <w:t>2009</w:t>
            </w:r>
          </w:p>
        </w:tc>
        <w:tc>
          <w:tcPr>
            <w:tcW w:w="1134"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both"/>
              <w:rPr>
                <w:rFonts w:cs="Arial"/>
                <w:sz w:val="16"/>
                <w:szCs w:val="16"/>
              </w:rPr>
            </w:pPr>
            <w:r>
              <w:rPr>
                <w:rFonts w:cs="Arial"/>
                <w:sz w:val="16"/>
                <w:szCs w:val="16"/>
              </w:rPr>
              <w:t>2 153 </w:t>
            </w:r>
            <w:r w:rsidRPr="0011040F">
              <w:rPr>
                <w:rFonts w:cs="Arial"/>
                <w:sz w:val="16"/>
                <w:szCs w:val="16"/>
              </w:rPr>
              <w:t>732.15</w:t>
            </w:r>
          </w:p>
        </w:tc>
        <w:tc>
          <w:tcPr>
            <w:tcW w:w="992"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25</w:t>
            </w:r>
            <w:r>
              <w:rPr>
                <w:rFonts w:cs="Arial"/>
                <w:sz w:val="16"/>
                <w:szCs w:val="16"/>
              </w:rPr>
              <w:t> </w:t>
            </w:r>
            <w:r w:rsidRPr="0011040F">
              <w:rPr>
                <w:rFonts w:cs="Arial"/>
                <w:sz w:val="16"/>
                <w:szCs w:val="16"/>
              </w:rPr>
              <w:t>600.00</w:t>
            </w:r>
          </w:p>
        </w:tc>
        <w:tc>
          <w:tcPr>
            <w:tcW w:w="1571"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sz w:val="16"/>
                <w:szCs w:val="16"/>
              </w:rPr>
            </w:pPr>
            <w:r>
              <w:rPr>
                <w:rFonts w:cs="Arial"/>
                <w:sz w:val="16"/>
                <w:szCs w:val="16"/>
              </w:rPr>
              <w:t>160</w:t>
            </w:r>
            <w:r w:rsidRPr="0011040F">
              <w:rPr>
                <w:rFonts w:cs="Arial"/>
                <w:sz w:val="16"/>
                <w:szCs w:val="16"/>
              </w:rPr>
              <w:t xml:space="preserve"> </w:t>
            </w:r>
            <w:r>
              <w:rPr>
                <w:rFonts w:cs="Arial"/>
                <w:sz w:val="16"/>
                <w:szCs w:val="16"/>
              </w:rPr>
              <w:t>500</w:t>
            </w:r>
            <w:r w:rsidRPr="0011040F">
              <w:rPr>
                <w:rFonts w:cs="Arial"/>
                <w:sz w:val="16"/>
                <w:szCs w:val="16"/>
              </w:rPr>
              <w:t>.00</w:t>
            </w:r>
          </w:p>
        </w:tc>
        <w:tc>
          <w:tcPr>
            <w:tcW w:w="114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 xml:space="preserve">2 </w:t>
            </w:r>
            <w:r>
              <w:rPr>
                <w:rFonts w:cs="Arial"/>
                <w:b/>
                <w:sz w:val="16"/>
                <w:szCs w:val="16"/>
              </w:rPr>
              <w:t>339</w:t>
            </w:r>
            <w:r w:rsidRPr="0011040F">
              <w:rPr>
                <w:rFonts w:cs="Arial"/>
                <w:b/>
                <w:sz w:val="16"/>
                <w:szCs w:val="16"/>
              </w:rPr>
              <w:t xml:space="preserve"> </w:t>
            </w:r>
            <w:r>
              <w:rPr>
                <w:rFonts w:cs="Arial"/>
                <w:b/>
                <w:sz w:val="16"/>
                <w:szCs w:val="16"/>
              </w:rPr>
              <w:t>832</w:t>
            </w:r>
            <w:r w:rsidRPr="0011040F">
              <w:rPr>
                <w:rFonts w:cs="Arial"/>
                <w:b/>
                <w:sz w:val="16"/>
                <w:szCs w:val="16"/>
              </w:rPr>
              <w:t>.15</w:t>
            </w:r>
          </w:p>
        </w:tc>
        <w:tc>
          <w:tcPr>
            <w:tcW w:w="127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922 839.00</w:t>
            </w:r>
          </w:p>
        </w:tc>
        <w:tc>
          <w:tcPr>
            <w:tcW w:w="153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1 </w:t>
            </w:r>
            <w:r>
              <w:rPr>
                <w:rFonts w:cs="Arial"/>
                <w:b/>
                <w:sz w:val="16"/>
                <w:szCs w:val="16"/>
              </w:rPr>
              <w:t>416</w:t>
            </w:r>
            <w:r w:rsidRPr="0011040F">
              <w:rPr>
                <w:rFonts w:cs="Arial"/>
                <w:b/>
                <w:sz w:val="16"/>
                <w:szCs w:val="16"/>
              </w:rPr>
              <w:t xml:space="preserve"> </w:t>
            </w:r>
            <w:r>
              <w:rPr>
                <w:rFonts w:cs="Arial"/>
                <w:b/>
                <w:sz w:val="16"/>
                <w:szCs w:val="16"/>
              </w:rPr>
              <w:t>993</w:t>
            </w:r>
            <w:r w:rsidRPr="0011040F">
              <w:rPr>
                <w:rFonts w:cs="Arial"/>
                <w:b/>
                <w:sz w:val="16"/>
                <w:szCs w:val="16"/>
              </w:rPr>
              <w:t>.15</w:t>
            </w:r>
          </w:p>
        </w:tc>
      </w:tr>
      <w:tr w:rsidR="00E63F0A" w:rsidRPr="0011040F" w:rsidTr="00E03B3B">
        <w:trPr>
          <w:jc w:val="center"/>
        </w:trPr>
        <w:tc>
          <w:tcPr>
            <w:tcW w:w="85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right="77"/>
              <w:jc w:val="center"/>
              <w:rPr>
                <w:rFonts w:cs="Arial"/>
                <w:b/>
                <w:sz w:val="16"/>
                <w:szCs w:val="16"/>
              </w:rPr>
            </w:pPr>
            <w:r w:rsidRPr="0011040F">
              <w:rPr>
                <w:rFonts w:cs="Arial"/>
                <w:b/>
                <w:sz w:val="16"/>
                <w:szCs w:val="16"/>
              </w:rPr>
              <w:t>2010</w:t>
            </w:r>
          </w:p>
        </w:tc>
        <w:tc>
          <w:tcPr>
            <w:tcW w:w="1134"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both"/>
              <w:rPr>
                <w:rFonts w:cs="Arial"/>
                <w:sz w:val="16"/>
                <w:szCs w:val="16"/>
              </w:rPr>
            </w:pPr>
            <w:r w:rsidRPr="0011040F">
              <w:rPr>
                <w:rFonts w:cs="Arial"/>
                <w:sz w:val="16"/>
                <w:szCs w:val="16"/>
              </w:rPr>
              <w:t>56</w:t>
            </w:r>
            <w:r>
              <w:rPr>
                <w:rFonts w:cs="Arial"/>
                <w:sz w:val="16"/>
                <w:szCs w:val="16"/>
              </w:rPr>
              <w:t> </w:t>
            </w:r>
            <w:r w:rsidRPr="0011040F">
              <w:rPr>
                <w:rFonts w:cs="Arial"/>
                <w:sz w:val="16"/>
                <w:szCs w:val="16"/>
              </w:rPr>
              <w:t>408.05</w:t>
            </w:r>
          </w:p>
        </w:tc>
        <w:tc>
          <w:tcPr>
            <w:tcW w:w="992"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sz w:val="16"/>
                <w:szCs w:val="16"/>
              </w:rPr>
            </w:pPr>
            <w:r w:rsidRPr="0011040F">
              <w:rPr>
                <w:rFonts w:cs="Arial"/>
                <w:sz w:val="16"/>
                <w:szCs w:val="16"/>
              </w:rPr>
              <w:t>47</w:t>
            </w:r>
            <w:r>
              <w:rPr>
                <w:rFonts w:cs="Arial"/>
                <w:sz w:val="16"/>
                <w:szCs w:val="16"/>
              </w:rPr>
              <w:t> </w:t>
            </w:r>
            <w:r w:rsidRPr="0011040F">
              <w:rPr>
                <w:rFonts w:cs="Arial"/>
                <w:sz w:val="16"/>
                <w:szCs w:val="16"/>
              </w:rPr>
              <w:t>127.12</w:t>
            </w:r>
          </w:p>
        </w:tc>
        <w:tc>
          <w:tcPr>
            <w:tcW w:w="1571"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sz w:val="16"/>
                <w:szCs w:val="16"/>
              </w:rPr>
            </w:pPr>
            <w:r>
              <w:rPr>
                <w:rFonts w:cs="Arial"/>
                <w:sz w:val="16"/>
                <w:szCs w:val="16"/>
              </w:rPr>
              <w:t>642 608</w:t>
            </w:r>
            <w:r w:rsidRPr="0011040F">
              <w:rPr>
                <w:rFonts w:cs="Arial"/>
                <w:sz w:val="16"/>
                <w:szCs w:val="16"/>
              </w:rPr>
              <w:t>.85</w:t>
            </w:r>
          </w:p>
        </w:tc>
        <w:tc>
          <w:tcPr>
            <w:tcW w:w="114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b/>
                <w:sz w:val="16"/>
                <w:szCs w:val="16"/>
              </w:rPr>
            </w:pPr>
            <w:r>
              <w:rPr>
                <w:rFonts w:cs="Arial"/>
                <w:b/>
                <w:sz w:val="16"/>
                <w:szCs w:val="16"/>
              </w:rPr>
              <w:t>2 496 815</w:t>
            </w:r>
            <w:r w:rsidRPr="0011040F">
              <w:rPr>
                <w:rFonts w:cs="Arial"/>
                <w:b/>
                <w:sz w:val="16"/>
                <w:szCs w:val="16"/>
              </w:rPr>
              <w:t>.</w:t>
            </w:r>
            <w:r>
              <w:rPr>
                <w:rFonts w:cs="Arial"/>
                <w:b/>
                <w:sz w:val="16"/>
                <w:szCs w:val="16"/>
              </w:rPr>
              <w:t>02</w:t>
            </w:r>
          </w:p>
        </w:tc>
        <w:tc>
          <w:tcPr>
            <w:tcW w:w="127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936"/>
              </w:tabs>
              <w:autoSpaceDE w:val="0"/>
              <w:autoSpaceDN w:val="0"/>
              <w:adjustRightInd w:val="0"/>
              <w:spacing w:before="120"/>
              <w:ind w:right="107"/>
              <w:jc w:val="center"/>
              <w:rPr>
                <w:rFonts w:cs="Arial"/>
                <w:sz w:val="16"/>
                <w:szCs w:val="16"/>
              </w:rPr>
            </w:pPr>
            <w:r w:rsidRPr="0011040F">
              <w:rPr>
                <w:rFonts w:cs="Arial"/>
                <w:sz w:val="16"/>
                <w:szCs w:val="16"/>
              </w:rPr>
              <w:t>1</w:t>
            </w:r>
            <w:r>
              <w:rPr>
                <w:rFonts w:cs="Arial"/>
                <w:sz w:val="16"/>
                <w:szCs w:val="16"/>
              </w:rPr>
              <w:t> </w:t>
            </w:r>
            <w:r w:rsidRPr="0011040F">
              <w:rPr>
                <w:rFonts w:cs="Arial"/>
                <w:sz w:val="16"/>
                <w:szCs w:val="16"/>
              </w:rPr>
              <w:t>750</w:t>
            </w:r>
            <w:r>
              <w:rPr>
                <w:rFonts w:cs="Arial"/>
                <w:sz w:val="16"/>
                <w:szCs w:val="16"/>
              </w:rPr>
              <w:t xml:space="preserve"> </w:t>
            </w:r>
            <w:r w:rsidRPr="0011040F">
              <w:rPr>
                <w:rFonts w:cs="Arial"/>
                <w:sz w:val="16"/>
                <w:szCs w:val="16"/>
              </w:rPr>
              <w:t>671.00</w:t>
            </w:r>
          </w:p>
        </w:tc>
        <w:tc>
          <w:tcPr>
            <w:tcW w:w="153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b/>
                <w:sz w:val="16"/>
                <w:szCs w:val="16"/>
              </w:rPr>
            </w:pPr>
            <w:r>
              <w:rPr>
                <w:rFonts w:cs="Arial"/>
                <w:b/>
                <w:sz w:val="16"/>
                <w:szCs w:val="16"/>
              </w:rPr>
              <w:t>746</w:t>
            </w:r>
            <w:r w:rsidRPr="0011040F">
              <w:rPr>
                <w:rFonts w:cs="Arial"/>
                <w:b/>
                <w:sz w:val="16"/>
                <w:szCs w:val="16"/>
              </w:rPr>
              <w:t> </w:t>
            </w:r>
            <w:r>
              <w:rPr>
                <w:rFonts w:cs="Arial"/>
                <w:b/>
                <w:sz w:val="16"/>
                <w:szCs w:val="16"/>
              </w:rPr>
              <w:t>144</w:t>
            </w:r>
            <w:r w:rsidRPr="0011040F">
              <w:rPr>
                <w:rFonts w:cs="Arial"/>
                <w:b/>
                <w:sz w:val="16"/>
                <w:szCs w:val="16"/>
              </w:rPr>
              <w:t>.</w:t>
            </w:r>
            <w:r>
              <w:rPr>
                <w:rFonts w:cs="Arial"/>
                <w:b/>
                <w:sz w:val="16"/>
                <w:szCs w:val="16"/>
              </w:rPr>
              <w:t>02</w:t>
            </w:r>
          </w:p>
        </w:tc>
      </w:tr>
      <w:tr w:rsidR="00E63F0A" w:rsidRPr="0011040F" w:rsidTr="00E03B3B">
        <w:trPr>
          <w:jc w:val="center"/>
        </w:trPr>
        <w:tc>
          <w:tcPr>
            <w:tcW w:w="850"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E63F0A" w:rsidRPr="0011040F" w:rsidRDefault="00E63F0A" w:rsidP="000E1BA0">
            <w:pPr>
              <w:widowControl w:val="0"/>
              <w:autoSpaceDE w:val="0"/>
              <w:autoSpaceDN w:val="0"/>
              <w:adjustRightInd w:val="0"/>
              <w:spacing w:before="120"/>
              <w:jc w:val="center"/>
              <w:rPr>
                <w:rFonts w:cs="Arial"/>
                <w:b/>
                <w:sz w:val="16"/>
                <w:szCs w:val="16"/>
                <w:highlight w:val="lightGray"/>
              </w:rPr>
            </w:pPr>
          </w:p>
        </w:tc>
        <w:tc>
          <w:tcPr>
            <w:tcW w:w="1134"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both"/>
              <w:rPr>
                <w:rFonts w:cs="Arial"/>
                <w:b/>
                <w:sz w:val="16"/>
                <w:szCs w:val="16"/>
              </w:rPr>
            </w:pPr>
            <w:r w:rsidRPr="0011040F">
              <w:rPr>
                <w:rFonts w:cs="Arial"/>
                <w:b/>
                <w:sz w:val="16"/>
                <w:szCs w:val="16"/>
              </w:rPr>
              <w:t>6</w:t>
            </w:r>
            <w:r>
              <w:rPr>
                <w:rFonts w:cs="Arial"/>
                <w:b/>
                <w:sz w:val="16"/>
                <w:szCs w:val="16"/>
              </w:rPr>
              <w:t> </w:t>
            </w:r>
            <w:r w:rsidRPr="0011040F">
              <w:rPr>
                <w:rFonts w:cs="Arial"/>
                <w:b/>
                <w:sz w:val="16"/>
                <w:szCs w:val="16"/>
              </w:rPr>
              <w:t>702</w:t>
            </w:r>
            <w:r>
              <w:rPr>
                <w:rFonts w:cs="Arial"/>
                <w:b/>
                <w:sz w:val="16"/>
                <w:szCs w:val="16"/>
              </w:rPr>
              <w:t> </w:t>
            </w:r>
            <w:r w:rsidRPr="0011040F">
              <w:rPr>
                <w:rFonts w:cs="Arial"/>
                <w:b/>
                <w:sz w:val="16"/>
                <w:szCs w:val="16"/>
              </w:rPr>
              <w:t>941.79</w:t>
            </w:r>
          </w:p>
        </w:tc>
        <w:tc>
          <w:tcPr>
            <w:tcW w:w="992"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b/>
                <w:sz w:val="16"/>
                <w:szCs w:val="16"/>
              </w:rPr>
            </w:pPr>
            <w:r w:rsidRPr="0011040F">
              <w:rPr>
                <w:rFonts w:cs="Arial"/>
                <w:b/>
                <w:sz w:val="16"/>
                <w:szCs w:val="16"/>
              </w:rPr>
              <w:t>143 073.12</w:t>
            </w:r>
          </w:p>
        </w:tc>
        <w:tc>
          <w:tcPr>
            <w:tcW w:w="1571"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b/>
                <w:sz w:val="16"/>
                <w:szCs w:val="16"/>
              </w:rPr>
            </w:pPr>
            <w:r w:rsidRPr="0011040F">
              <w:rPr>
                <w:rFonts w:cs="Arial"/>
                <w:b/>
                <w:sz w:val="16"/>
                <w:szCs w:val="16"/>
              </w:rPr>
              <w:t>2 </w:t>
            </w:r>
            <w:r>
              <w:rPr>
                <w:rFonts w:cs="Arial"/>
                <w:b/>
                <w:sz w:val="16"/>
                <w:szCs w:val="16"/>
              </w:rPr>
              <w:t>190</w:t>
            </w:r>
            <w:r w:rsidRPr="0011040F">
              <w:rPr>
                <w:rFonts w:cs="Arial"/>
                <w:b/>
                <w:sz w:val="16"/>
                <w:szCs w:val="16"/>
              </w:rPr>
              <w:t xml:space="preserve"> </w:t>
            </w:r>
            <w:r>
              <w:rPr>
                <w:rFonts w:cs="Arial"/>
                <w:b/>
                <w:sz w:val="16"/>
                <w:szCs w:val="16"/>
              </w:rPr>
              <w:t>987</w:t>
            </w:r>
            <w:r w:rsidRPr="0011040F">
              <w:rPr>
                <w:rFonts w:cs="Arial"/>
                <w:b/>
                <w:sz w:val="16"/>
                <w:szCs w:val="16"/>
              </w:rPr>
              <w:t>.42</w:t>
            </w:r>
          </w:p>
        </w:tc>
        <w:tc>
          <w:tcPr>
            <w:tcW w:w="1140"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648"/>
              </w:tabs>
              <w:autoSpaceDE w:val="0"/>
              <w:autoSpaceDN w:val="0"/>
              <w:adjustRightInd w:val="0"/>
              <w:spacing w:before="120"/>
              <w:jc w:val="center"/>
              <w:rPr>
                <w:rFonts w:cs="Arial"/>
                <w:b/>
                <w:sz w:val="16"/>
                <w:szCs w:val="16"/>
              </w:rPr>
            </w:pPr>
            <w:r>
              <w:rPr>
                <w:rFonts w:cs="Arial"/>
                <w:b/>
                <w:sz w:val="16"/>
                <w:szCs w:val="16"/>
              </w:rPr>
              <w:t>8</w:t>
            </w:r>
            <w:r w:rsidRPr="0011040F">
              <w:rPr>
                <w:rFonts w:cs="Arial"/>
                <w:b/>
                <w:sz w:val="16"/>
                <w:szCs w:val="16"/>
              </w:rPr>
              <w:t> </w:t>
            </w:r>
            <w:r>
              <w:rPr>
                <w:rFonts w:cs="Arial"/>
                <w:b/>
                <w:sz w:val="16"/>
                <w:szCs w:val="16"/>
              </w:rPr>
              <w:t>388</w:t>
            </w:r>
            <w:r w:rsidRPr="0011040F">
              <w:rPr>
                <w:rFonts w:cs="Arial"/>
                <w:b/>
                <w:sz w:val="16"/>
                <w:szCs w:val="16"/>
              </w:rPr>
              <w:t> </w:t>
            </w:r>
            <w:r>
              <w:rPr>
                <w:rFonts w:cs="Arial"/>
                <w:b/>
                <w:sz w:val="16"/>
                <w:szCs w:val="16"/>
              </w:rPr>
              <w:t>421</w:t>
            </w:r>
            <w:r w:rsidRPr="0011040F">
              <w:rPr>
                <w:rFonts w:cs="Arial"/>
                <w:b/>
                <w:sz w:val="16"/>
                <w:szCs w:val="16"/>
              </w:rPr>
              <w:t>.</w:t>
            </w:r>
            <w:r>
              <w:rPr>
                <w:rFonts w:cs="Arial"/>
                <w:b/>
                <w:sz w:val="16"/>
                <w:szCs w:val="16"/>
              </w:rPr>
              <w:t>74</w:t>
            </w:r>
          </w:p>
        </w:tc>
        <w:tc>
          <w:tcPr>
            <w:tcW w:w="127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autoSpaceDE w:val="0"/>
              <w:autoSpaceDN w:val="0"/>
              <w:adjustRightInd w:val="0"/>
              <w:spacing w:before="120"/>
              <w:ind w:right="86"/>
              <w:jc w:val="right"/>
              <w:rPr>
                <w:rFonts w:cs="Arial"/>
                <w:b/>
                <w:sz w:val="16"/>
                <w:szCs w:val="16"/>
              </w:rPr>
            </w:pPr>
            <w:r w:rsidRPr="0011040F">
              <w:rPr>
                <w:rFonts w:cs="Arial"/>
                <w:b/>
                <w:sz w:val="16"/>
                <w:szCs w:val="16"/>
              </w:rPr>
              <w:t>3 897 792.00</w:t>
            </w:r>
          </w:p>
        </w:tc>
        <w:tc>
          <w:tcPr>
            <w:tcW w:w="1536" w:type="dxa"/>
            <w:tcBorders>
              <w:top w:val="single" w:sz="5" w:space="0" w:color="auto"/>
              <w:left w:val="single" w:sz="5" w:space="0" w:color="auto"/>
              <w:bottom w:val="single" w:sz="5" w:space="0" w:color="auto"/>
              <w:right w:val="single" w:sz="5" w:space="0" w:color="auto"/>
            </w:tcBorders>
            <w:vAlign w:val="center"/>
          </w:tcPr>
          <w:p w:rsidR="00E63F0A" w:rsidRPr="0011040F" w:rsidRDefault="00E63F0A" w:rsidP="000E1BA0">
            <w:pPr>
              <w:widowControl w:val="0"/>
              <w:tabs>
                <w:tab w:val="decimal" w:pos="792"/>
              </w:tabs>
              <w:autoSpaceDE w:val="0"/>
              <w:autoSpaceDN w:val="0"/>
              <w:adjustRightInd w:val="0"/>
              <w:spacing w:before="120"/>
              <w:jc w:val="center"/>
              <w:rPr>
                <w:rFonts w:cs="Arial"/>
                <w:b/>
                <w:sz w:val="16"/>
                <w:szCs w:val="16"/>
              </w:rPr>
            </w:pPr>
            <w:r>
              <w:rPr>
                <w:rFonts w:cs="Arial"/>
                <w:b/>
                <w:sz w:val="16"/>
                <w:szCs w:val="16"/>
              </w:rPr>
              <w:t>4</w:t>
            </w:r>
            <w:r w:rsidRPr="0011040F">
              <w:rPr>
                <w:rFonts w:cs="Arial"/>
                <w:b/>
                <w:sz w:val="16"/>
                <w:szCs w:val="16"/>
              </w:rPr>
              <w:t> </w:t>
            </w:r>
            <w:r>
              <w:rPr>
                <w:rFonts w:cs="Arial"/>
                <w:b/>
                <w:sz w:val="16"/>
                <w:szCs w:val="16"/>
              </w:rPr>
              <w:t>490</w:t>
            </w:r>
            <w:r w:rsidRPr="0011040F">
              <w:rPr>
                <w:rFonts w:cs="Arial"/>
                <w:b/>
                <w:sz w:val="16"/>
                <w:szCs w:val="16"/>
              </w:rPr>
              <w:t> </w:t>
            </w:r>
            <w:r>
              <w:rPr>
                <w:rFonts w:cs="Arial"/>
                <w:b/>
                <w:sz w:val="16"/>
                <w:szCs w:val="16"/>
              </w:rPr>
              <w:t>629</w:t>
            </w:r>
            <w:r w:rsidRPr="0011040F">
              <w:rPr>
                <w:rFonts w:cs="Arial"/>
                <w:b/>
                <w:sz w:val="16"/>
                <w:szCs w:val="16"/>
              </w:rPr>
              <w:t>.</w:t>
            </w:r>
            <w:r>
              <w:rPr>
                <w:rFonts w:cs="Arial"/>
                <w:b/>
                <w:sz w:val="16"/>
                <w:szCs w:val="16"/>
              </w:rPr>
              <w:t>74</w:t>
            </w:r>
          </w:p>
        </w:tc>
      </w:tr>
    </w:tbl>
    <w:p w:rsidR="00E63F0A" w:rsidRPr="00F32519" w:rsidRDefault="00D63A02" w:rsidP="00D63A02">
      <w:pPr>
        <w:pStyle w:val="LegalList1"/>
        <w:spacing w:before="240" w:after="0" w:line="360" w:lineRule="auto"/>
        <w:ind w:left="851" w:hanging="567"/>
        <w:rPr>
          <w:sz w:val="20"/>
          <w:szCs w:val="20"/>
        </w:rPr>
      </w:pPr>
      <w:r w:rsidRPr="00F32519">
        <w:rPr>
          <w:sz w:val="20"/>
          <w:szCs w:val="20"/>
        </w:rPr>
        <w:t>(c)</w:t>
      </w:r>
      <w:r w:rsidRPr="00F32519">
        <w:rPr>
          <w:sz w:val="20"/>
          <w:szCs w:val="20"/>
        </w:rPr>
        <w:tab/>
      </w:r>
      <w:r w:rsidR="00E63F0A" w:rsidRPr="00F32519">
        <w:rPr>
          <w:sz w:val="20"/>
          <w:szCs w:val="20"/>
        </w:rPr>
        <w:t>The understatement penalty imposed by SARS is confirmed as well as the interest imposed in terms of section 89quat of the Income Tax Act;</w:t>
      </w:r>
    </w:p>
    <w:p w:rsidR="00E63F0A" w:rsidRPr="00F32519" w:rsidRDefault="00D63A02" w:rsidP="00D63A02">
      <w:pPr>
        <w:pStyle w:val="LegalList1"/>
        <w:spacing w:after="120" w:line="360" w:lineRule="auto"/>
        <w:ind w:left="851" w:hanging="567"/>
        <w:rPr>
          <w:sz w:val="20"/>
          <w:szCs w:val="20"/>
        </w:rPr>
      </w:pPr>
      <w:r w:rsidRPr="00F32519">
        <w:rPr>
          <w:sz w:val="20"/>
          <w:szCs w:val="20"/>
        </w:rPr>
        <w:t>(d)</w:t>
      </w:r>
      <w:r w:rsidRPr="00F32519">
        <w:rPr>
          <w:sz w:val="20"/>
          <w:szCs w:val="20"/>
        </w:rPr>
        <w:tab/>
      </w:r>
      <w:r w:rsidR="00E63F0A" w:rsidRPr="00F32519">
        <w:rPr>
          <w:sz w:val="20"/>
          <w:szCs w:val="20"/>
        </w:rPr>
        <w:t>There shall be no order as to costs</w:t>
      </w:r>
      <w:r w:rsidR="00E63F0A">
        <w:rPr>
          <w:sz w:val="20"/>
          <w:szCs w:val="20"/>
        </w:rPr>
        <w:t>.’</w:t>
      </w:r>
    </w:p>
    <w:p w:rsidR="00E63F0A" w:rsidRDefault="00D63A02" w:rsidP="00D63A02">
      <w:pPr>
        <w:pStyle w:val="LegalList1"/>
        <w:spacing w:after="240" w:line="360" w:lineRule="auto"/>
        <w:ind w:left="567" w:hanging="567"/>
      </w:pPr>
      <w:r>
        <w:t>(3)</w:t>
      </w:r>
      <w:r>
        <w:tab/>
      </w:r>
      <w:r w:rsidR="00E63F0A">
        <w:t>Each party shall be his own costs of this appeal.</w:t>
      </w:r>
    </w:p>
    <w:p w:rsidR="009314F3" w:rsidRDefault="00D63801" w:rsidP="00A678E0">
      <w:pPr>
        <w:keepNext/>
        <w:keepLines/>
        <w:tabs>
          <w:tab w:val="left" w:pos="0"/>
        </w:tabs>
        <w:spacing w:before="1200" w:line="360" w:lineRule="auto"/>
        <w:jc w:val="right"/>
        <w:rPr>
          <w:b/>
          <w:u w:val="single"/>
        </w:rPr>
      </w:pPr>
      <w:r>
        <w:rPr>
          <w:b/>
          <w:u w:val="single"/>
        </w:rPr>
        <w:t>__________________________</w:t>
      </w:r>
      <w:r w:rsidR="00E541D3">
        <w:rPr>
          <w:b/>
          <w:u w:val="single"/>
        </w:rPr>
        <w:t>______</w:t>
      </w:r>
    </w:p>
    <w:p w:rsidR="004D79F9" w:rsidRDefault="001C52E1" w:rsidP="007D2E09">
      <w:pPr>
        <w:keepNext/>
        <w:jc w:val="right"/>
        <w:rPr>
          <w:rFonts w:cs="Arial"/>
          <w:b/>
        </w:rPr>
      </w:pPr>
      <w:r>
        <w:rPr>
          <w:rFonts w:cs="Arial"/>
          <w:b/>
        </w:rPr>
        <w:t>L R ADAMS</w:t>
      </w:r>
    </w:p>
    <w:p w:rsidR="004D79F9" w:rsidRPr="0084771B" w:rsidRDefault="00316EB1" w:rsidP="007D2E09">
      <w:pPr>
        <w:keepNext/>
        <w:jc w:val="right"/>
        <w:rPr>
          <w:rFonts w:cs="Arial"/>
          <w:i/>
        </w:rPr>
      </w:pPr>
      <w:r>
        <w:rPr>
          <w:rFonts w:cs="Arial"/>
          <w:i/>
        </w:rPr>
        <w:t>Judge of the High Court,</w:t>
      </w:r>
    </w:p>
    <w:p w:rsidR="004D79F9" w:rsidRDefault="00316EB1" w:rsidP="005D32F7">
      <w:pPr>
        <w:spacing w:after="120" w:line="360" w:lineRule="auto"/>
        <w:jc w:val="right"/>
        <w:rPr>
          <w:rFonts w:cs="Arial"/>
          <w:i/>
        </w:rPr>
      </w:pPr>
      <w:r>
        <w:rPr>
          <w:rFonts w:cs="Arial"/>
          <w:i/>
        </w:rPr>
        <w:t xml:space="preserve">Gauteng Division, </w:t>
      </w:r>
      <w:r w:rsidR="00E541D3">
        <w:rPr>
          <w:rFonts w:cs="Arial"/>
          <w:i/>
        </w:rPr>
        <w:t>Johannesburg</w:t>
      </w:r>
    </w:p>
    <w:p w:rsidR="005D32F7" w:rsidRDefault="005D32F7" w:rsidP="005D32F7">
      <w:pPr>
        <w:pBdr>
          <w:bottom w:val="single" w:sz="6" w:space="1" w:color="auto"/>
        </w:pBdr>
        <w:spacing w:after="360" w:line="360" w:lineRule="auto"/>
        <w:rPr>
          <w:rFonts w:cs="Arial"/>
          <w:i/>
        </w:rPr>
      </w:pPr>
    </w:p>
    <w:tbl>
      <w:tblPr>
        <w:tblW w:w="8897" w:type="dxa"/>
        <w:tblLook w:val="04A0" w:firstRow="1" w:lastRow="0" w:firstColumn="1" w:lastColumn="0" w:noHBand="0" w:noVBand="1"/>
      </w:tblPr>
      <w:tblGrid>
        <w:gridCol w:w="4219"/>
        <w:gridCol w:w="4678"/>
      </w:tblGrid>
      <w:tr w:rsidR="00C60A83" w:rsidTr="00C60A83">
        <w:tc>
          <w:tcPr>
            <w:tcW w:w="4219" w:type="dxa"/>
            <w:tcMar>
              <w:top w:w="32" w:type="dxa"/>
              <w:left w:w="108" w:type="dxa"/>
              <w:bottom w:w="32" w:type="dxa"/>
              <w:right w:w="108" w:type="dxa"/>
            </w:tcMar>
            <w:vAlign w:val="center"/>
            <w:hideMark/>
          </w:tcPr>
          <w:p w:rsidR="00C60A83" w:rsidRDefault="00C60A83" w:rsidP="008454C4">
            <w:pPr>
              <w:keepNext/>
              <w:spacing w:before="240" w:after="200" w:line="276" w:lineRule="auto"/>
              <w:rPr>
                <w:sz w:val="22"/>
                <w:szCs w:val="22"/>
                <w:lang w:eastAsia="en-US"/>
              </w:rPr>
            </w:pPr>
            <w:r>
              <w:lastRenderedPageBreak/>
              <w:t>HEARD ON:</w:t>
            </w:r>
          </w:p>
        </w:tc>
        <w:tc>
          <w:tcPr>
            <w:tcW w:w="4678" w:type="dxa"/>
            <w:tcMar>
              <w:top w:w="32" w:type="dxa"/>
              <w:left w:w="108" w:type="dxa"/>
              <w:bottom w:w="32" w:type="dxa"/>
              <w:right w:w="108" w:type="dxa"/>
            </w:tcMar>
            <w:vAlign w:val="center"/>
            <w:hideMark/>
          </w:tcPr>
          <w:p w:rsidR="00C60A83" w:rsidRDefault="002232F3" w:rsidP="002232F3">
            <w:pPr>
              <w:keepNext/>
              <w:spacing w:before="240" w:after="200" w:line="276" w:lineRule="auto"/>
              <w:rPr>
                <w:sz w:val="22"/>
                <w:szCs w:val="22"/>
                <w:lang w:eastAsia="en-US"/>
              </w:rPr>
            </w:pPr>
            <w:r>
              <w:t>8</w:t>
            </w:r>
            <w:r>
              <w:rPr>
                <w:vertAlign w:val="superscript"/>
              </w:rPr>
              <w:t xml:space="preserve">th </w:t>
            </w:r>
            <w:r>
              <w:t>March</w:t>
            </w:r>
            <w:r w:rsidR="00272C38">
              <w:t xml:space="preserve"> </w:t>
            </w:r>
            <w:r w:rsidR="00065E50">
              <w:t>2023</w:t>
            </w:r>
            <w:r w:rsidR="00C60A83">
              <w:t> </w:t>
            </w:r>
          </w:p>
        </w:tc>
      </w:tr>
      <w:tr w:rsidR="00C60A83" w:rsidTr="00C60A83">
        <w:tc>
          <w:tcPr>
            <w:tcW w:w="4219" w:type="dxa"/>
            <w:tcMar>
              <w:top w:w="32" w:type="dxa"/>
              <w:left w:w="108" w:type="dxa"/>
              <w:bottom w:w="32" w:type="dxa"/>
              <w:right w:w="108" w:type="dxa"/>
            </w:tcMar>
            <w:vAlign w:val="center"/>
            <w:hideMark/>
          </w:tcPr>
          <w:p w:rsidR="00C60A83" w:rsidRDefault="00C60A83" w:rsidP="008454C4">
            <w:pPr>
              <w:keepNext/>
              <w:spacing w:after="200" w:line="276" w:lineRule="auto"/>
            </w:pPr>
            <w:r>
              <w:t>JUDGMENT DATE:</w:t>
            </w:r>
          </w:p>
        </w:tc>
        <w:tc>
          <w:tcPr>
            <w:tcW w:w="4678" w:type="dxa"/>
            <w:tcMar>
              <w:top w:w="32" w:type="dxa"/>
              <w:left w:w="108" w:type="dxa"/>
              <w:bottom w:w="32" w:type="dxa"/>
              <w:right w:w="108" w:type="dxa"/>
            </w:tcMar>
            <w:vAlign w:val="center"/>
            <w:hideMark/>
          </w:tcPr>
          <w:p w:rsidR="00C60A83" w:rsidRDefault="00BD421A" w:rsidP="00BD421A">
            <w:pPr>
              <w:keepNext/>
              <w:spacing w:after="200" w:line="276" w:lineRule="auto"/>
            </w:pPr>
            <w:r>
              <w:t>6</w:t>
            </w:r>
            <w:r w:rsidRPr="00BD421A">
              <w:rPr>
                <w:vertAlign w:val="superscript"/>
              </w:rPr>
              <w:t>th</w:t>
            </w:r>
            <w:r>
              <w:t xml:space="preserve"> </w:t>
            </w:r>
            <w:r w:rsidR="00D177E3">
              <w:t>July</w:t>
            </w:r>
            <w:r w:rsidR="00C60A83">
              <w:t xml:space="preserve"> 20</w:t>
            </w:r>
            <w:r w:rsidR="00171326">
              <w:t>2</w:t>
            </w:r>
            <w:r w:rsidR="00065E50">
              <w:t>3</w:t>
            </w:r>
          </w:p>
        </w:tc>
      </w:tr>
      <w:tr w:rsidR="00C60A83" w:rsidTr="00C60A83">
        <w:tc>
          <w:tcPr>
            <w:tcW w:w="4219" w:type="dxa"/>
            <w:tcMar>
              <w:top w:w="32" w:type="dxa"/>
              <w:left w:w="108" w:type="dxa"/>
              <w:bottom w:w="32" w:type="dxa"/>
              <w:right w:w="108" w:type="dxa"/>
            </w:tcMar>
            <w:vAlign w:val="center"/>
            <w:hideMark/>
          </w:tcPr>
          <w:p w:rsidR="00C60A83" w:rsidRDefault="00C60A83" w:rsidP="008454C4">
            <w:pPr>
              <w:keepNext/>
              <w:spacing w:after="200" w:line="276" w:lineRule="auto"/>
            </w:pPr>
            <w:r>
              <w:t xml:space="preserve">FOR THE </w:t>
            </w:r>
            <w:r w:rsidR="00272C38">
              <w:t>APPELLANT</w:t>
            </w:r>
            <w:r>
              <w:t> </w:t>
            </w:r>
          </w:p>
        </w:tc>
        <w:tc>
          <w:tcPr>
            <w:tcW w:w="4678" w:type="dxa"/>
            <w:tcMar>
              <w:top w:w="32" w:type="dxa"/>
              <w:left w:w="108" w:type="dxa"/>
              <w:bottom w:w="32" w:type="dxa"/>
              <w:right w:w="108" w:type="dxa"/>
            </w:tcMar>
            <w:vAlign w:val="center"/>
            <w:hideMark/>
          </w:tcPr>
          <w:p w:rsidR="00C60A83" w:rsidRDefault="00C60A83" w:rsidP="002232F3">
            <w:pPr>
              <w:keepNext/>
              <w:spacing w:after="200" w:line="276" w:lineRule="auto"/>
            </w:pPr>
            <w:r>
              <w:t xml:space="preserve">Advocate </w:t>
            </w:r>
            <w:r w:rsidR="002232F3">
              <w:t>C Louw</w:t>
            </w:r>
            <w:r w:rsidR="00272C38">
              <w:t xml:space="preserve"> SC</w:t>
            </w:r>
          </w:p>
        </w:tc>
      </w:tr>
      <w:tr w:rsidR="00C60A83" w:rsidTr="00C60A83">
        <w:tc>
          <w:tcPr>
            <w:tcW w:w="4219" w:type="dxa"/>
            <w:tcMar>
              <w:top w:w="32" w:type="dxa"/>
              <w:left w:w="108" w:type="dxa"/>
              <w:bottom w:w="32" w:type="dxa"/>
              <w:right w:w="108" w:type="dxa"/>
            </w:tcMar>
            <w:vAlign w:val="center"/>
            <w:hideMark/>
          </w:tcPr>
          <w:p w:rsidR="00C60A83" w:rsidRDefault="00C60A83" w:rsidP="008454C4">
            <w:pPr>
              <w:keepNext/>
              <w:spacing w:after="200" w:line="276" w:lineRule="auto"/>
              <w:rPr>
                <w:sz w:val="22"/>
                <w:szCs w:val="22"/>
                <w:lang w:eastAsia="en-US"/>
              </w:rPr>
            </w:pPr>
            <w:r>
              <w:t>INSTRUCTED BY: </w:t>
            </w:r>
          </w:p>
        </w:tc>
        <w:tc>
          <w:tcPr>
            <w:tcW w:w="4678" w:type="dxa"/>
            <w:tcMar>
              <w:top w:w="32" w:type="dxa"/>
              <w:left w:w="108" w:type="dxa"/>
              <w:bottom w:w="32" w:type="dxa"/>
              <w:right w:w="108" w:type="dxa"/>
            </w:tcMar>
            <w:vAlign w:val="center"/>
            <w:hideMark/>
          </w:tcPr>
          <w:p w:rsidR="00C60A83" w:rsidRDefault="002232F3" w:rsidP="002232F3">
            <w:pPr>
              <w:keepNext/>
              <w:spacing w:after="200" w:line="276" w:lineRule="auto"/>
              <w:rPr>
                <w:sz w:val="22"/>
                <w:szCs w:val="22"/>
                <w:lang w:eastAsia="en-US"/>
              </w:rPr>
            </w:pPr>
            <w:r>
              <w:t>The State Attorney</w:t>
            </w:r>
            <w:r w:rsidR="00E51A27">
              <w:t xml:space="preserve">, </w:t>
            </w:r>
            <w:r>
              <w:t>Johannesburg</w:t>
            </w:r>
            <w:r w:rsidR="00272C38">
              <w:t xml:space="preserve"> </w:t>
            </w:r>
          </w:p>
        </w:tc>
      </w:tr>
      <w:tr w:rsidR="00C60A83" w:rsidTr="00C60A83">
        <w:tc>
          <w:tcPr>
            <w:tcW w:w="4219" w:type="dxa"/>
            <w:tcMar>
              <w:top w:w="32" w:type="dxa"/>
              <w:left w:w="108" w:type="dxa"/>
              <w:bottom w:w="32" w:type="dxa"/>
              <w:right w:w="108" w:type="dxa"/>
            </w:tcMar>
            <w:vAlign w:val="center"/>
          </w:tcPr>
          <w:p w:rsidR="00C60A83" w:rsidRDefault="00C60A83" w:rsidP="008454C4">
            <w:pPr>
              <w:keepNext/>
              <w:spacing w:after="200" w:line="276" w:lineRule="auto"/>
            </w:pPr>
            <w:r>
              <w:t xml:space="preserve">FOR THE </w:t>
            </w:r>
            <w:r w:rsidR="00272C38">
              <w:t>RESPONDENT</w:t>
            </w:r>
            <w:r>
              <w:t>:</w:t>
            </w:r>
          </w:p>
        </w:tc>
        <w:tc>
          <w:tcPr>
            <w:tcW w:w="4678" w:type="dxa"/>
            <w:tcMar>
              <w:top w:w="32" w:type="dxa"/>
              <w:left w:w="108" w:type="dxa"/>
              <w:bottom w:w="32" w:type="dxa"/>
              <w:right w:w="108" w:type="dxa"/>
            </w:tcMar>
            <w:vAlign w:val="center"/>
          </w:tcPr>
          <w:p w:rsidR="00C60A83" w:rsidRDefault="002232F3" w:rsidP="00832818">
            <w:pPr>
              <w:keepNext/>
              <w:spacing w:after="200" w:line="276" w:lineRule="auto"/>
            </w:pPr>
            <w:r>
              <w:t>Advocate Nxumalo SC</w:t>
            </w:r>
            <w:r w:rsidR="00272C38">
              <w:t xml:space="preserve"> </w:t>
            </w:r>
          </w:p>
        </w:tc>
      </w:tr>
      <w:tr w:rsidR="00C60A83" w:rsidTr="00C60A83">
        <w:tc>
          <w:tcPr>
            <w:tcW w:w="4219" w:type="dxa"/>
            <w:tcMar>
              <w:top w:w="32" w:type="dxa"/>
              <w:left w:w="108" w:type="dxa"/>
              <w:bottom w:w="32" w:type="dxa"/>
              <w:right w:w="108" w:type="dxa"/>
            </w:tcMar>
            <w:vAlign w:val="center"/>
          </w:tcPr>
          <w:p w:rsidR="00C60A83" w:rsidRDefault="00C60A83" w:rsidP="008454C4">
            <w:pPr>
              <w:keepNext/>
              <w:spacing w:after="200" w:line="276" w:lineRule="auto"/>
            </w:pPr>
            <w:r>
              <w:t>INSTRUCTED BY:</w:t>
            </w:r>
          </w:p>
        </w:tc>
        <w:tc>
          <w:tcPr>
            <w:tcW w:w="4678" w:type="dxa"/>
            <w:tcMar>
              <w:top w:w="32" w:type="dxa"/>
              <w:left w:w="108" w:type="dxa"/>
              <w:bottom w:w="32" w:type="dxa"/>
              <w:right w:w="108" w:type="dxa"/>
            </w:tcMar>
            <w:vAlign w:val="center"/>
          </w:tcPr>
          <w:p w:rsidR="00C60A83" w:rsidRDefault="002232F3" w:rsidP="002232F3">
            <w:pPr>
              <w:keepNext/>
              <w:spacing w:after="200" w:line="276" w:lineRule="auto"/>
            </w:pPr>
            <w:r>
              <w:t>Garlicke &amp; Bousfield Incorporated</w:t>
            </w:r>
            <w:r w:rsidR="00E51A27">
              <w:t xml:space="preserve">, </w:t>
            </w:r>
            <w:r>
              <w:t>Umhlanga Rocks</w:t>
            </w:r>
          </w:p>
        </w:tc>
      </w:tr>
    </w:tbl>
    <w:p w:rsidR="00C60A83" w:rsidRDefault="00C60A83" w:rsidP="00272C38">
      <w:pPr>
        <w:pBdr>
          <w:bottom w:val="single" w:sz="6" w:space="1" w:color="auto"/>
        </w:pBdr>
        <w:spacing w:after="120" w:line="360" w:lineRule="auto"/>
        <w:rPr>
          <w:rFonts w:cs="Arial"/>
          <w:i/>
        </w:rPr>
      </w:pPr>
    </w:p>
    <w:sectPr w:rsidR="00C60A83" w:rsidSect="000F1C74">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2FD" w:rsidRDefault="005252FD">
      <w:pPr>
        <w:spacing w:line="20" w:lineRule="exact"/>
      </w:pPr>
    </w:p>
  </w:endnote>
  <w:endnote w:type="continuationSeparator" w:id="0">
    <w:p w:rsidR="005252FD" w:rsidRDefault="005252FD">
      <w:r>
        <w:t xml:space="preserve"> </w:t>
      </w:r>
    </w:p>
  </w:endnote>
  <w:endnote w:type="continuationNotice" w:id="1">
    <w:p w:rsidR="005252FD" w:rsidRDefault="005252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2FD" w:rsidRDefault="005252FD">
      <w:r>
        <w:separator/>
      </w:r>
    </w:p>
  </w:footnote>
  <w:footnote w:type="continuationSeparator" w:id="0">
    <w:p w:rsidR="005252FD" w:rsidRDefault="005252FD">
      <w:r>
        <w:continuationSeparator/>
      </w:r>
    </w:p>
  </w:footnote>
  <w:footnote w:id="1">
    <w:p w:rsidR="00CD78D6" w:rsidRDefault="00CD78D6">
      <w:pPr>
        <w:pStyle w:val="FootnoteText"/>
      </w:pPr>
      <w:r>
        <w:rPr>
          <w:rStyle w:val="FootnoteReference"/>
        </w:rPr>
        <w:footnoteRef/>
      </w:r>
      <w:r>
        <w:t xml:space="preserve"> </w:t>
      </w:r>
      <w:r w:rsidRPr="00D7070B">
        <w:rPr>
          <w:lang w:val="en-ZA"/>
        </w:rPr>
        <w:t xml:space="preserve">Tax </w:t>
      </w:r>
      <w:r>
        <w:rPr>
          <w:lang w:val="en-ZA"/>
        </w:rPr>
        <w:t xml:space="preserve">Administration Act, Act 28 of 2011; </w:t>
      </w:r>
    </w:p>
  </w:footnote>
  <w:footnote w:id="2">
    <w:p w:rsidR="00CD78D6" w:rsidRDefault="00CD78D6" w:rsidP="008B1D8A">
      <w:pPr>
        <w:pStyle w:val="FootnoteText"/>
      </w:pPr>
      <w:r>
        <w:rPr>
          <w:rStyle w:val="FootnoteReference"/>
        </w:rPr>
        <w:footnoteRef/>
      </w:r>
      <w:r>
        <w:t xml:space="preserve"> </w:t>
      </w:r>
      <w:r w:rsidRPr="009C63B4">
        <w:rPr>
          <w:lang w:val="en-ZA"/>
        </w:rPr>
        <w:t>Income Tax Act</w:t>
      </w:r>
      <w:r>
        <w:rPr>
          <w:lang w:val="en-ZA"/>
        </w:rPr>
        <w:t>, Act</w:t>
      </w:r>
      <w:r w:rsidRPr="009C63B4">
        <w:rPr>
          <w:lang w:val="en-ZA"/>
        </w:rPr>
        <w:t xml:space="preserve"> 58 of 1962</w:t>
      </w:r>
      <w:r>
        <w:rPr>
          <w:lang w:val="en-ZA"/>
        </w:rPr>
        <w:t xml:space="preserve">: </w:t>
      </w:r>
    </w:p>
  </w:footnote>
  <w:footnote w:id="3">
    <w:p w:rsidR="00CD78D6" w:rsidRDefault="00CD78D6" w:rsidP="00F5313F">
      <w:pPr>
        <w:pStyle w:val="FootnoteText"/>
      </w:pPr>
      <w:r>
        <w:rPr>
          <w:rStyle w:val="FootnoteReference"/>
        </w:rPr>
        <w:footnoteRef/>
      </w:r>
      <w:r>
        <w:t xml:space="preserve"> </w:t>
      </w:r>
      <w:r w:rsidRPr="00F5313F">
        <w:rPr>
          <w:i/>
          <w:lang w:val="en-ZA"/>
        </w:rPr>
        <w:t>Commissioner, South African Revenue Service v Capstone 556 (Pty) Ltd</w:t>
      </w:r>
      <w:r w:rsidRPr="00F5313F">
        <w:rPr>
          <w:lang w:val="en-ZA"/>
        </w:rPr>
        <w:t xml:space="preserve"> 2016 (4) SA 341 (SCA)</w:t>
      </w:r>
      <w:r>
        <w:rPr>
          <w:lang w:val="en-ZA"/>
        </w:rPr>
        <w:t>;</w:t>
      </w:r>
    </w:p>
  </w:footnote>
  <w:footnote w:id="4">
    <w:p w:rsidR="00CD78D6" w:rsidRDefault="00CD78D6">
      <w:pPr>
        <w:pStyle w:val="FootnoteText"/>
      </w:pPr>
      <w:r>
        <w:rPr>
          <w:rStyle w:val="FootnoteReference"/>
        </w:rPr>
        <w:footnoteRef/>
      </w:r>
      <w:r>
        <w:t xml:space="preserve"> </w:t>
      </w:r>
      <w:r w:rsidRPr="001748B0">
        <w:rPr>
          <w:i/>
          <w:lang w:val="en-ZA"/>
        </w:rPr>
        <w:t>Wingate-Pearse v C:SARS</w:t>
      </w:r>
      <w:r>
        <w:rPr>
          <w:lang w:val="en-ZA"/>
        </w:rPr>
        <w:t xml:space="preserve"> </w:t>
      </w:r>
      <w:r w:rsidRPr="001748B0">
        <w:rPr>
          <w:lang w:val="en-ZA"/>
        </w:rPr>
        <w:t>2019 (6) SA 196; 82 SATC 21</w:t>
      </w:r>
      <w:r>
        <w:rPr>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D6" w:rsidRDefault="00CD78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78D6" w:rsidRDefault="00CD7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Page Numbers (Top of Page)"/>
        <w:docPartUnique/>
      </w:docPartObj>
    </w:sdtPr>
    <w:sdtEndPr>
      <w:rPr>
        <w:noProof/>
      </w:rPr>
    </w:sdtEndPr>
    <w:sdtContent>
      <w:p w:rsidR="00CD78D6" w:rsidRDefault="00CD78D6">
        <w:pPr>
          <w:pStyle w:val="Header"/>
          <w:jc w:val="right"/>
        </w:pPr>
        <w:r>
          <w:fldChar w:fldCharType="begin"/>
        </w:r>
        <w:r>
          <w:instrText xml:space="preserve"> PAGE   \* MERGEFORMAT </w:instrText>
        </w:r>
        <w:r>
          <w:fldChar w:fldCharType="separate"/>
        </w:r>
        <w:r w:rsidR="000827AE">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159D"/>
    <w:multiLevelType w:val="hybridMultilevel"/>
    <w:tmpl w:val="A31A86A2"/>
    <w:lvl w:ilvl="0" w:tplc="DD42E3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0836DB"/>
    <w:multiLevelType w:val="hybridMultilevel"/>
    <w:tmpl w:val="88B63B0E"/>
    <w:lvl w:ilvl="0" w:tplc="EA0A2B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0955CC"/>
    <w:multiLevelType w:val="hybridMultilevel"/>
    <w:tmpl w:val="65A4C43C"/>
    <w:lvl w:ilvl="0" w:tplc="A5E260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131C14"/>
    <w:multiLevelType w:val="hybridMultilevel"/>
    <w:tmpl w:val="6A8873A0"/>
    <w:lvl w:ilvl="0" w:tplc="836890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C602FE"/>
    <w:multiLevelType w:val="hybridMultilevel"/>
    <w:tmpl w:val="9956F306"/>
    <w:lvl w:ilvl="0" w:tplc="E6D0741A">
      <w:start w:val="1"/>
      <w:numFmt w:val="decimal"/>
      <w:lvlText w:val="%1"/>
      <w:lvlJc w:val="left"/>
      <w:pPr>
        <w:ind w:left="1120" w:hanging="7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8F0A85"/>
    <w:multiLevelType w:val="hybridMultilevel"/>
    <w:tmpl w:val="6EAC4CBE"/>
    <w:lvl w:ilvl="0" w:tplc="5DC273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EC76AE8"/>
    <w:multiLevelType w:val="hybridMultilevel"/>
    <w:tmpl w:val="4F34DD10"/>
    <w:lvl w:ilvl="0" w:tplc="8B8C062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B8503B"/>
    <w:multiLevelType w:val="hybridMultilevel"/>
    <w:tmpl w:val="53C084D8"/>
    <w:lvl w:ilvl="0" w:tplc="2278AAEA">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5959F0"/>
    <w:multiLevelType w:val="hybridMultilevel"/>
    <w:tmpl w:val="3404EEA0"/>
    <w:lvl w:ilvl="0" w:tplc="11E4B2E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3F22D2"/>
    <w:multiLevelType w:val="hybridMultilevel"/>
    <w:tmpl w:val="382C6D96"/>
    <w:lvl w:ilvl="0" w:tplc="D9DC641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8814CB"/>
    <w:multiLevelType w:val="hybridMultilevel"/>
    <w:tmpl w:val="B7223C36"/>
    <w:lvl w:ilvl="0" w:tplc="45925F3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6B0C43"/>
    <w:multiLevelType w:val="hybridMultilevel"/>
    <w:tmpl w:val="AFA02C6C"/>
    <w:lvl w:ilvl="0" w:tplc="859E9736">
      <w:start w:val="1"/>
      <w:numFmt w:val="decimal"/>
      <w:lvlText w:val="(%1)"/>
      <w:lvlJc w:val="left"/>
      <w:pPr>
        <w:ind w:left="1500" w:hanging="114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D7110DD"/>
    <w:multiLevelType w:val="hybridMultilevel"/>
    <w:tmpl w:val="403834D2"/>
    <w:lvl w:ilvl="0" w:tplc="41D285E0">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04105C"/>
    <w:multiLevelType w:val="hybridMultilevel"/>
    <w:tmpl w:val="87786BFA"/>
    <w:lvl w:ilvl="0" w:tplc="A4FAB9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B93352"/>
    <w:multiLevelType w:val="hybridMultilevel"/>
    <w:tmpl w:val="6478A4EE"/>
    <w:lvl w:ilvl="0" w:tplc="3E0239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18268B"/>
    <w:multiLevelType w:val="hybridMultilevel"/>
    <w:tmpl w:val="D1A8B292"/>
    <w:lvl w:ilvl="0" w:tplc="C138299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AD4767"/>
    <w:multiLevelType w:val="hybridMultilevel"/>
    <w:tmpl w:val="09E63BF8"/>
    <w:lvl w:ilvl="0" w:tplc="8C24A6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5535D0"/>
    <w:multiLevelType w:val="hybridMultilevel"/>
    <w:tmpl w:val="FFE6A77C"/>
    <w:lvl w:ilvl="0" w:tplc="5F90A3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780B03"/>
    <w:multiLevelType w:val="hybridMultilevel"/>
    <w:tmpl w:val="26D086F0"/>
    <w:lvl w:ilvl="0" w:tplc="3CDAF982">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F448B6"/>
    <w:multiLevelType w:val="hybridMultilevel"/>
    <w:tmpl w:val="4F34DD10"/>
    <w:lvl w:ilvl="0" w:tplc="8B8C062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nsid w:val="47F1291E"/>
    <w:multiLevelType w:val="hybridMultilevel"/>
    <w:tmpl w:val="CD3AA6B6"/>
    <w:lvl w:ilvl="0" w:tplc="B89E3A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8DD08D2"/>
    <w:multiLevelType w:val="hybridMultilevel"/>
    <w:tmpl w:val="12547D5E"/>
    <w:lvl w:ilvl="0" w:tplc="F4F4BB28">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15F663C"/>
    <w:multiLevelType w:val="hybridMultilevel"/>
    <w:tmpl w:val="FF3C542E"/>
    <w:lvl w:ilvl="0" w:tplc="7CBE1D0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1E0275"/>
    <w:multiLevelType w:val="hybridMultilevel"/>
    <w:tmpl w:val="6EAC3532"/>
    <w:lvl w:ilvl="0" w:tplc="147889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6C50566"/>
    <w:multiLevelType w:val="hybridMultilevel"/>
    <w:tmpl w:val="34C00778"/>
    <w:lvl w:ilvl="0" w:tplc="95B26A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D251E3"/>
    <w:multiLevelType w:val="hybridMultilevel"/>
    <w:tmpl w:val="74F67F2A"/>
    <w:lvl w:ilvl="0" w:tplc="C138299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6853FE"/>
    <w:multiLevelType w:val="hybridMultilevel"/>
    <w:tmpl w:val="98F47430"/>
    <w:lvl w:ilvl="0" w:tplc="00948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24E0517"/>
    <w:multiLevelType w:val="hybridMultilevel"/>
    <w:tmpl w:val="416AFE50"/>
    <w:lvl w:ilvl="0" w:tplc="5AC01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4350D6F"/>
    <w:multiLevelType w:val="hybridMultilevel"/>
    <w:tmpl w:val="3E04713C"/>
    <w:lvl w:ilvl="0" w:tplc="3B94EC4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B5455CC"/>
    <w:multiLevelType w:val="hybridMultilevel"/>
    <w:tmpl w:val="C9C05560"/>
    <w:lvl w:ilvl="0" w:tplc="33547D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BF7A3F"/>
    <w:multiLevelType w:val="hybridMultilevel"/>
    <w:tmpl w:val="B7AE319A"/>
    <w:lvl w:ilvl="0" w:tplc="5F9E9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8C7E33"/>
    <w:multiLevelType w:val="hybridMultilevel"/>
    <w:tmpl w:val="E6B69614"/>
    <w:lvl w:ilvl="0" w:tplc="859E9736">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77B77502"/>
    <w:multiLevelType w:val="hybridMultilevel"/>
    <w:tmpl w:val="512692BE"/>
    <w:lvl w:ilvl="0" w:tplc="A6360AB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D852B3F"/>
    <w:multiLevelType w:val="hybridMultilevel"/>
    <w:tmpl w:val="8A8E0FC2"/>
    <w:lvl w:ilvl="0" w:tplc="D844480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3"/>
  </w:num>
  <w:num w:numId="3">
    <w:abstractNumId w:val="33"/>
  </w:num>
  <w:num w:numId="4">
    <w:abstractNumId w:val="4"/>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4"/>
  </w:num>
  <w:num w:numId="10">
    <w:abstractNumId w:val="16"/>
  </w:num>
  <w:num w:numId="11">
    <w:abstractNumId w:val="24"/>
  </w:num>
  <w:num w:numId="12">
    <w:abstractNumId w:val="35"/>
  </w:num>
  <w:num w:numId="13">
    <w:abstractNumId w:val="0"/>
  </w:num>
  <w:num w:numId="14">
    <w:abstractNumId w:val="15"/>
  </w:num>
  <w:num w:numId="15">
    <w:abstractNumId w:val="30"/>
  </w:num>
  <w:num w:numId="16">
    <w:abstractNumId w:val="19"/>
  </w:num>
  <w:num w:numId="17">
    <w:abstractNumId w:val="26"/>
  </w:num>
  <w:num w:numId="18">
    <w:abstractNumId w:val="3"/>
  </w:num>
  <w:num w:numId="19">
    <w:abstractNumId w:val="22"/>
  </w:num>
  <w:num w:numId="20">
    <w:abstractNumId w:val="12"/>
  </w:num>
  <w:num w:numId="21">
    <w:abstractNumId w:val="9"/>
  </w:num>
  <w:num w:numId="22">
    <w:abstractNumId w:val="38"/>
  </w:num>
  <w:num w:numId="23">
    <w:abstractNumId w:val="5"/>
  </w:num>
  <w:num w:numId="24">
    <w:abstractNumId w:val="25"/>
  </w:num>
  <w:num w:numId="25">
    <w:abstractNumId w:val="31"/>
  </w:num>
  <w:num w:numId="26">
    <w:abstractNumId w:val="1"/>
  </w:num>
  <w:num w:numId="27">
    <w:abstractNumId w:val="18"/>
  </w:num>
  <w:num w:numId="28">
    <w:abstractNumId w:val="2"/>
  </w:num>
  <w:num w:numId="29">
    <w:abstractNumId w:val="29"/>
  </w:num>
  <w:num w:numId="30">
    <w:abstractNumId w:val="37"/>
  </w:num>
  <w:num w:numId="31">
    <w:abstractNumId w:val="6"/>
  </w:num>
  <w:num w:numId="32">
    <w:abstractNumId w:val="28"/>
  </w:num>
  <w:num w:numId="33">
    <w:abstractNumId w:val="17"/>
  </w:num>
  <w:num w:numId="34">
    <w:abstractNumId w:val="27"/>
  </w:num>
  <w:num w:numId="35">
    <w:abstractNumId w:val="7"/>
  </w:num>
  <w:num w:numId="36">
    <w:abstractNumId w:val="13"/>
  </w:num>
  <w:num w:numId="37">
    <w:abstractNumId w:val="10"/>
  </w:num>
  <w:num w:numId="38">
    <w:abstractNumId w:val="32"/>
  </w:num>
  <w:num w:numId="39">
    <w:abstractNumId w:val="21"/>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1543"/>
    <w:rsid w:val="00002147"/>
    <w:rsid w:val="0000258C"/>
    <w:rsid w:val="00002BA6"/>
    <w:rsid w:val="000032E3"/>
    <w:rsid w:val="000111D7"/>
    <w:rsid w:val="000117DD"/>
    <w:rsid w:val="00012B55"/>
    <w:rsid w:val="000141C1"/>
    <w:rsid w:val="00016AA6"/>
    <w:rsid w:val="00016ECF"/>
    <w:rsid w:val="00017488"/>
    <w:rsid w:val="00017C1B"/>
    <w:rsid w:val="00017CC9"/>
    <w:rsid w:val="00020E9A"/>
    <w:rsid w:val="0002785A"/>
    <w:rsid w:val="00030D23"/>
    <w:rsid w:val="0003241F"/>
    <w:rsid w:val="00033FDD"/>
    <w:rsid w:val="00034BB6"/>
    <w:rsid w:val="00035DB9"/>
    <w:rsid w:val="000361F0"/>
    <w:rsid w:val="00037C56"/>
    <w:rsid w:val="000423C6"/>
    <w:rsid w:val="0004334A"/>
    <w:rsid w:val="000445C8"/>
    <w:rsid w:val="000454E4"/>
    <w:rsid w:val="00045A41"/>
    <w:rsid w:val="00050D2E"/>
    <w:rsid w:val="00052B1D"/>
    <w:rsid w:val="00053BA5"/>
    <w:rsid w:val="0005613B"/>
    <w:rsid w:val="00056255"/>
    <w:rsid w:val="00057785"/>
    <w:rsid w:val="00057A71"/>
    <w:rsid w:val="00061D3E"/>
    <w:rsid w:val="00063AF3"/>
    <w:rsid w:val="000642F4"/>
    <w:rsid w:val="00064626"/>
    <w:rsid w:val="000647F0"/>
    <w:rsid w:val="00065E50"/>
    <w:rsid w:val="000668FF"/>
    <w:rsid w:val="00066EE9"/>
    <w:rsid w:val="00067743"/>
    <w:rsid w:val="0006781F"/>
    <w:rsid w:val="000712CD"/>
    <w:rsid w:val="000715D3"/>
    <w:rsid w:val="000718BB"/>
    <w:rsid w:val="00071CAF"/>
    <w:rsid w:val="00072960"/>
    <w:rsid w:val="000730EE"/>
    <w:rsid w:val="00074B69"/>
    <w:rsid w:val="00074FBC"/>
    <w:rsid w:val="000757B9"/>
    <w:rsid w:val="00076BD3"/>
    <w:rsid w:val="0007784D"/>
    <w:rsid w:val="000806DF"/>
    <w:rsid w:val="00080FCB"/>
    <w:rsid w:val="00081434"/>
    <w:rsid w:val="000814F0"/>
    <w:rsid w:val="00081733"/>
    <w:rsid w:val="00081AC0"/>
    <w:rsid w:val="000827AE"/>
    <w:rsid w:val="00085059"/>
    <w:rsid w:val="0008704A"/>
    <w:rsid w:val="00090F50"/>
    <w:rsid w:val="00091025"/>
    <w:rsid w:val="00091083"/>
    <w:rsid w:val="0009398C"/>
    <w:rsid w:val="00094CAB"/>
    <w:rsid w:val="0009782E"/>
    <w:rsid w:val="000A000E"/>
    <w:rsid w:val="000A26F6"/>
    <w:rsid w:val="000A3700"/>
    <w:rsid w:val="000A4BB6"/>
    <w:rsid w:val="000A4D4F"/>
    <w:rsid w:val="000A5A70"/>
    <w:rsid w:val="000A5A85"/>
    <w:rsid w:val="000A779C"/>
    <w:rsid w:val="000B096A"/>
    <w:rsid w:val="000B0A89"/>
    <w:rsid w:val="000B0E41"/>
    <w:rsid w:val="000B14E0"/>
    <w:rsid w:val="000B15F1"/>
    <w:rsid w:val="000B3344"/>
    <w:rsid w:val="000B3A1E"/>
    <w:rsid w:val="000B4072"/>
    <w:rsid w:val="000B4C6B"/>
    <w:rsid w:val="000B64EF"/>
    <w:rsid w:val="000C24D7"/>
    <w:rsid w:val="000C3608"/>
    <w:rsid w:val="000C43F3"/>
    <w:rsid w:val="000C63F9"/>
    <w:rsid w:val="000C65F1"/>
    <w:rsid w:val="000C6AE3"/>
    <w:rsid w:val="000C6BD2"/>
    <w:rsid w:val="000C7340"/>
    <w:rsid w:val="000D0AF6"/>
    <w:rsid w:val="000D0C09"/>
    <w:rsid w:val="000D0C9C"/>
    <w:rsid w:val="000D1266"/>
    <w:rsid w:val="000D1A36"/>
    <w:rsid w:val="000D4B78"/>
    <w:rsid w:val="000D5019"/>
    <w:rsid w:val="000D5597"/>
    <w:rsid w:val="000D6100"/>
    <w:rsid w:val="000D6B06"/>
    <w:rsid w:val="000D6F3A"/>
    <w:rsid w:val="000D7A25"/>
    <w:rsid w:val="000E0CFF"/>
    <w:rsid w:val="000E1BA0"/>
    <w:rsid w:val="000E3F92"/>
    <w:rsid w:val="000E4159"/>
    <w:rsid w:val="000E4697"/>
    <w:rsid w:val="000E5455"/>
    <w:rsid w:val="000E7194"/>
    <w:rsid w:val="000F1C74"/>
    <w:rsid w:val="000F4792"/>
    <w:rsid w:val="000F50EA"/>
    <w:rsid w:val="000F6C7D"/>
    <w:rsid w:val="000F6DBB"/>
    <w:rsid w:val="000F725E"/>
    <w:rsid w:val="00101198"/>
    <w:rsid w:val="0010128C"/>
    <w:rsid w:val="001019CD"/>
    <w:rsid w:val="0010349F"/>
    <w:rsid w:val="00103B52"/>
    <w:rsid w:val="00103E18"/>
    <w:rsid w:val="00105636"/>
    <w:rsid w:val="001056FF"/>
    <w:rsid w:val="0010634D"/>
    <w:rsid w:val="001069D0"/>
    <w:rsid w:val="00106C97"/>
    <w:rsid w:val="0011040F"/>
    <w:rsid w:val="00110843"/>
    <w:rsid w:val="00110BCA"/>
    <w:rsid w:val="00112C84"/>
    <w:rsid w:val="00115595"/>
    <w:rsid w:val="00120F02"/>
    <w:rsid w:val="001218BA"/>
    <w:rsid w:val="00121CA9"/>
    <w:rsid w:val="00122247"/>
    <w:rsid w:val="0012260D"/>
    <w:rsid w:val="00122F25"/>
    <w:rsid w:val="00123B09"/>
    <w:rsid w:val="00123FBA"/>
    <w:rsid w:val="00124185"/>
    <w:rsid w:val="00125041"/>
    <w:rsid w:val="00126CF9"/>
    <w:rsid w:val="00126F8F"/>
    <w:rsid w:val="0012746D"/>
    <w:rsid w:val="0013154B"/>
    <w:rsid w:val="0013390C"/>
    <w:rsid w:val="001371F9"/>
    <w:rsid w:val="001374A5"/>
    <w:rsid w:val="00137B8E"/>
    <w:rsid w:val="00140558"/>
    <w:rsid w:val="00142930"/>
    <w:rsid w:val="001432BE"/>
    <w:rsid w:val="00143453"/>
    <w:rsid w:val="001442C9"/>
    <w:rsid w:val="00144C1F"/>
    <w:rsid w:val="00144CB8"/>
    <w:rsid w:val="00145295"/>
    <w:rsid w:val="001464CC"/>
    <w:rsid w:val="00146EF3"/>
    <w:rsid w:val="00151A63"/>
    <w:rsid w:val="001526C8"/>
    <w:rsid w:val="00155CC5"/>
    <w:rsid w:val="00160E8B"/>
    <w:rsid w:val="00166FF6"/>
    <w:rsid w:val="00171326"/>
    <w:rsid w:val="001730A8"/>
    <w:rsid w:val="00173613"/>
    <w:rsid w:val="001736BF"/>
    <w:rsid w:val="001748B0"/>
    <w:rsid w:val="00175190"/>
    <w:rsid w:val="00177AEA"/>
    <w:rsid w:val="00177C74"/>
    <w:rsid w:val="00180CFB"/>
    <w:rsid w:val="00182478"/>
    <w:rsid w:val="00182F4B"/>
    <w:rsid w:val="00184DC3"/>
    <w:rsid w:val="001861A7"/>
    <w:rsid w:val="00186578"/>
    <w:rsid w:val="0019403A"/>
    <w:rsid w:val="00195504"/>
    <w:rsid w:val="0019694E"/>
    <w:rsid w:val="0019747D"/>
    <w:rsid w:val="00197A19"/>
    <w:rsid w:val="001A007C"/>
    <w:rsid w:val="001A091C"/>
    <w:rsid w:val="001A23A4"/>
    <w:rsid w:val="001A37E5"/>
    <w:rsid w:val="001A38E6"/>
    <w:rsid w:val="001A3DC0"/>
    <w:rsid w:val="001A42AD"/>
    <w:rsid w:val="001A4A19"/>
    <w:rsid w:val="001A4DA3"/>
    <w:rsid w:val="001A5D7D"/>
    <w:rsid w:val="001A749D"/>
    <w:rsid w:val="001A76B3"/>
    <w:rsid w:val="001A7C04"/>
    <w:rsid w:val="001B0F56"/>
    <w:rsid w:val="001B179A"/>
    <w:rsid w:val="001B4E1E"/>
    <w:rsid w:val="001B5BBB"/>
    <w:rsid w:val="001B621D"/>
    <w:rsid w:val="001B68D5"/>
    <w:rsid w:val="001B729D"/>
    <w:rsid w:val="001B7BC1"/>
    <w:rsid w:val="001C0A0D"/>
    <w:rsid w:val="001C1AFE"/>
    <w:rsid w:val="001C2344"/>
    <w:rsid w:val="001C316F"/>
    <w:rsid w:val="001C52E1"/>
    <w:rsid w:val="001C5CD6"/>
    <w:rsid w:val="001D4AF2"/>
    <w:rsid w:val="001D5D9C"/>
    <w:rsid w:val="001D5E32"/>
    <w:rsid w:val="001D69B0"/>
    <w:rsid w:val="001E0063"/>
    <w:rsid w:val="001E06D5"/>
    <w:rsid w:val="001E362B"/>
    <w:rsid w:val="001E36E0"/>
    <w:rsid w:val="001E6292"/>
    <w:rsid w:val="001E669A"/>
    <w:rsid w:val="001E6F6C"/>
    <w:rsid w:val="001E7137"/>
    <w:rsid w:val="001E7214"/>
    <w:rsid w:val="001F2020"/>
    <w:rsid w:val="001F2352"/>
    <w:rsid w:val="001F2647"/>
    <w:rsid w:val="001F33B1"/>
    <w:rsid w:val="001F48CC"/>
    <w:rsid w:val="001F5488"/>
    <w:rsid w:val="001F57B4"/>
    <w:rsid w:val="001F5B5F"/>
    <w:rsid w:val="001F7427"/>
    <w:rsid w:val="001F757A"/>
    <w:rsid w:val="001F78C4"/>
    <w:rsid w:val="002007D4"/>
    <w:rsid w:val="00200CF2"/>
    <w:rsid w:val="00201369"/>
    <w:rsid w:val="00201E7E"/>
    <w:rsid w:val="002027EC"/>
    <w:rsid w:val="002028B1"/>
    <w:rsid w:val="00203325"/>
    <w:rsid w:val="00205925"/>
    <w:rsid w:val="00206174"/>
    <w:rsid w:val="00207503"/>
    <w:rsid w:val="0021167B"/>
    <w:rsid w:val="0021229F"/>
    <w:rsid w:val="002123AA"/>
    <w:rsid w:val="00212A8A"/>
    <w:rsid w:val="00212C39"/>
    <w:rsid w:val="00212F9C"/>
    <w:rsid w:val="00213B9F"/>
    <w:rsid w:val="0021487F"/>
    <w:rsid w:val="0021531D"/>
    <w:rsid w:val="002158FA"/>
    <w:rsid w:val="00215AFA"/>
    <w:rsid w:val="0022018A"/>
    <w:rsid w:val="00220BEB"/>
    <w:rsid w:val="00223009"/>
    <w:rsid w:val="002232F3"/>
    <w:rsid w:val="00223F61"/>
    <w:rsid w:val="00224EDB"/>
    <w:rsid w:val="00227108"/>
    <w:rsid w:val="00230431"/>
    <w:rsid w:val="00230797"/>
    <w:rsid w:val="00230DF6"/>
    <w:rsid w:val="002316C0"/>
    <w:rsid w:val="00233DEB"/>
    <w:rsid w:val="00235047"/>
    <w:rsid w:val="00235058"/>
    <w:rsid w:val="002354C0"/>
    <w:rsid w:val="00235C00"/>
    <w:rsid w:val="00236FAF"/>
    <w:rsid w:val="00237903"/>
    <w:rsid w:val="00242D44"/>
    <w:rsid w:val="00244053"/>
    <w:rsid w:val="00244284"/>
    <w:rsid w:val="00246642"/>
    <w:rsid w:val="00246800"/>
    <w:rsid w:val="0024691B"/>
    <w:rsid w:val="00252D5F"/>
    <w:rsid w:val="00253C4C"/>
    <w:rsid w:val="002549A4"/>
    <w:rsid w:val="002572C9"/>
    <w:rsid w:val="00257DCC"/>
    <w:rsid w:val="002618E5"/>
    <w:rsid w:val="00261C5A"/>
    <w:rsid w:val="0026224C"/>
    <w:rsid w:val="002634C7"/>
    <w:rsid w:val="002647E0"/>
    <w:rsid w:val="00264D1C"/>
    <w:rsid w:val="002673D4"/>
    <w:rsid w:val="00267E25"/>
    <w:rsid w:val="00271071"/>
    <w:rsid w:val="00271B8B"/>
    <w:rsid w:val="00272260"/>
    <w:rsid w:val="00272B92"/>
    <w:rsid w:val="00272C38"/>
    <w:rsid w:val="00277BBF"/>
    <w:rsid w:val="00277BD9"/>
    <w:rsid w:val="00277C95"/>
    <w:rsid w:val="002805F5"/>
    <w:rsid w:val="002811FF"/>
    <w:rsid w:val="00281804"/>
    <w:rsid w:val="00282310"/>
    <w:rsid w:val="00282DD4"/>
    <w:rsid w:val="0028394F"/>
    <w:rsid w:val="00287487"/>
    <w:rsid w:val="0029167A"/>
    <w:rsid w:val="002920DC"/>
    <w:rsid w:val="00292CBC"/>
    <w:rsid w:val="00294598"/>
    <w:rsid w:val="00294648"/>
    <w:rsid w:val="00294F94"/>
    <w:rsid w:val="002960FE"/>
    <w:rsid w:val="0029673C"/>
    <w:rsid w:val="00296916"/>
    <w:rsid w:val="002A1440"/>
    <w:rsid w:val="002A1BBB"/>
    <w:rsid w:val="002A4559"/>
    <w:rsid w:val="002A5BD5"/>
    <w:rsid w:val="002A61CE"/>
    <w:rsid w:val="002A6268"/>
    <w:rsid w:val="002A633E"/>
    <w:rsid w:val="002A6E2C"/>
    <w:rsid w:val="002A7434"/>
    <w:rsid w:val="002A7536"/>
    <w:rsid w:val="002A7FE3"/>
    <w:rsid w:val="002B00BF"/>
    <w:rsid w:val="002B0157"/>
    <w:rsid w:val="002B0D3C"/>
    <w:rsid w:val="002B1519"/>
    <w:rsid w:val="002B1ABA"/>
    <w:rsid w:val="002B5433"/>
    <w:rsid w:val="002B57D3"/>
    <w:rsid w:val="002B6344"/>
    <w:rsid w:val="002B6B65"/>
    <w:rsid w:val="002C0FDD"/>
    <w:rsid w:val="002C1A02"/>
    <w:rsid w:val="002C26EF"/>
    <w:rsid w:val="002C3F8B"/>
    <w:rsid w:val="002C4424"/>
    <w:rsid w:val="002C44C1"/>
    <w:rsid w:val="002D1020"/>
    <w:rsid w:val="002D1A3E"/>
    <w:rsid w:val="002D1E6F"/>
    <w:rsid w:val="002D29E1"/>
    <w:rsid w:val="002D4810"/>
    <w:rsid w:val="002D4904"/>
    <w:rsid w:val="002D5482"/>
    <w:rsid w:val="002D59A9"/>
    <w:rsid w:val="002D693C"/>
    <w:rsid w:val="002D7318"/>
    <w:rsid w:val="002D7639"/>
    <w:rsid w:val="002D7762"/>
    <w:rsid w:val="002E06AE"/>
    <w:rsid w:val="002E0905"/>
    <w:rsid w:val="002E17BB"/>
    <w:rsid w:val="002E1F95"/>
    <w:rsid w:val="002E261F"/>
    <w:rsid w:val="002E2BD7"/>
    <w:rsid w:val="002E495D"/>
    <w:rsid w:val="002E49A9"/>
    <w:rsid w:val="002E4AB8"/>
    <w:rsid w:val="002E4BF3"/>
    <w:rsid w:val="002E62A9"/>
    <w:rsid w:val="002E654A"/>
    <w:rsid w:val="002E6DA7"/>
    <w:rsid w:val="002E70CF"/>
    <w:rsid w:val="002F0507"/>
    <w:rsid w:val="002F0A68"/>
    <w:rsid w:val="002F0A8C"/>
    <w:rsid w:val="002F0D6E"/>
    <w:rsid w:val="002F1252"/>
    <w:rsid w:val="002F1E79"/>
    <w:rsid w:val="002F24A8"/>
    <w:rsid w:val="002F32AE"/>
    <w:rsid w:val="002F3954"/>
    <w:rsid w:val="002F5040"/>
    <w:rsid w:val="0030014F"/>
    <w:rsid w:val="00301C62"/>
    <w:rsid w:val="0030249B"/>
    <w:rsid w:val="0030271F"/>
    <w:rsid w:val="00303A60"/>
    <w:rsid w:val="00304E72"/>
    <w:rsid w:val="00305678"/>
    <w:rsid w:val="00306323"/>
    <w:rsid w:val="00306746"/>
    <w:rsid w:val="00306833"/>
    <w:rsid w:val="00310C25"/>
    <w:rsid w:val="003118B6"/>
    <w:rsid w:val="00312CDC"/>
    <w:rsid w:val="00312CEA"/>
    <w:rsid w:val="00312DE5"/>
    <w:rsid w:val="00313971"/>
    <w:rsid w:val="0031508C"/>
    <w:rsid w:val="00316678"/>
    <w:rsid w:val="0031674A"/>
    <w:rsid w:val="00316EB1"/>
    <w:rsid w:val="00317219"/>
    <w:rsid w:val="00317532"/>
    <w:rsid w:val="0032142F"/>
    <w:rsid w:val="003232B0"/>
    <w:rsid w:val="003243F8"/>
    <w:rsid w:val="003263BE"/>
    <w:rsid w:val="003266F7"/>
    <w:rsid w:val="00327C56"/>
    <w:rsid w:val="00327F3D"/>
    <w:rsid w:val="00330DFA"/>
    <w:rsid w:val="00330EDA"/>
    <w:rsid w:val="0033196F"/>
    <w:rsid w:val="00331BB8"/>
    <w:rsid w:val="003320FA"/>
    <w:rsid w:val="003321FE"/>
    <w:rsid w:val="0033374E"/>
    <w:rsid w:val="00334767"/>
    <w:rsid w:val="00335F18"/>
    <w:rsid w:val="00336D2E"/>
    <w:rsid w:val="00336F12"/>
    <w:rsid w:val="003406F2"/>
    <w:rsid w:val="003414D6"/>
    <w:rsid w:val="0034332B"/>
    <w:rsid w:val="0034383E"/>
    <w:rsid w:val="0034552D"/>
    <w:rsid w:val="00347DBB"/>
    <w:rsid w:val="003515DF"/>
    <w:rsid w:val="003550ED"/>
    <w:rsid w:val="003555FF"/>
    <w:rsid w:val="003575C6"/>
    <w:rsid w:val="0036366E"/>
    <w:rsid w:val="00363701"/>
    <w:rsid w:val="003638D4"/>
    <w:rsid w:val="00363C46"/>
    <w:rsid w:val="00364F91"/>
    <w:rsid w:val="0036554E"/>
    <w:rsid w:val="00366470"/>
    <w:rsid w:val="0036670F"/>
    <w:rsid w:val="003670BC"/>
    <w:rsid w:val="00370C93"/>
    <w:rsid w:val="00371D9E"/>
    <w:rsid w:val="00372478"/>
    <w:rsid w:val="00373086"/>
    <w:rsid w:val="0037324F"/>
    <w:rsid w:val="00374176"/>
    <w:rsid w:val="00376F81"/>
    <w:rsid w:val="00377DCD"/>
    <w:rsid w:val="003808EC"/>
    <w:rsid w:val="00380CAE"/>
    <w:rsid w:val="00381B82"/>
    <w:rsid w:val="00381C71"/>
    <w:rsid w:val="003823A3"/>
    <w:rsid w:val="003833C3"/>
    <w:rsid w:val="00384255"/>
    <w:rsid w:val="00385505"/>
    <w:rsid w:val="003856E2"/>
    <w:rsid w:val="003863D0"/>
    <w:rsid w:val="00390E82"/>
    <w:rsid w:val="003919EE"/>
    <w:rsid w:val="003945F4"/>
    <w:rsid w:val="00394EFC"/>
    <w:rsid w:val="0039626D"/>
    <w:rsid w:val="00396A88"/>
    <w:rsid w:val="003A0B48"/>
    <w:rsid w:val="003A1FE4"/>
    <w:rsid w:val="003A200A"/>
    <w:rsid w:val="003A2810"/>
    <w:rsid w:val="003A3567"/>
    <w:rsid w:val="003A3FF1"/>
    <w:rsid w:val="003A43A9"/>
    <w:rsid w:val="003A57C8"/>
    <w:rsid w:val="003A6611"/>
    <w:rsid w:val="003A7971"/>
    <w:rsid w:val="003B210D"/>
    <w:rsid w:val="003B27C2"/>
    <w:rsid w:val="003B3270"/>
    <w:rsid w:val="003B3569"/>
    <w:rsid w:val="003B3CDE"/>
    <w:rsid w:val="003B66C6"/>
    <w:rsid w:val="003B759B"/>
    <w:rsid w:val="003B7974"/>
    <w:rsid w:val="003C0ED2"/>
    <w:rsid w:val="003C12E5"/>
    <w:rsid w:val="003C1B4F"/>
    <w:rsid w:val="003C1D7C"/>
    <w:rsid w:val="003C1DA7"/>
    <w:rsid w:val="003C2F73"/>
    <w:rsid w:val="003C328C"/>
    <w:rsid w:val="003C4331"/>
    <w:rsid w:val="003C44EE"/>
    <w:rsid w:val="003C477B"/>
    <w:rsid w:val="003C7BD0"/>
    <w:rsid w:val="003D18E5"/>
    <w:rsid w:val="003D2BC6"/>
    <w:rsid w:val="003D30CC"/>
    <w:rsid w:val="003D3F20"/>
    <w:rsid w:val="003D46C1"/>
    <w:rsid w:val="003D6D39"/>
    <w:rsid w:val="003D72EC"/>
    <w:rsid w:val="003D79A4"/>
    <w:rsid w:val="003D7B4F"/>
    <w:rsid w:val="003E2856"/>
    <w:rsid w:val="003E4964"/>
    <w:rsid w:val="003E4C9E"/>
    <w:rsid w:val="003E4D7D"/>
    <w:rsid w:val="003E4DEC"/>
    <w:rsid w:val="003E7397"/>
    <w:rsid w:val="003F0384"/>
    <w:rsid w:val="003F2339"/>
    <w:rsid w:val="003F29BB"/>
    <w:rsid w:val="003F4414"/>
    <w:rsid w:val="003F6966"/>
    <w:rsid w:val="003F7774"/>
    <w:rsid w:val="003F79D1"/>
    <w:rsid w:val="00400008"/>
    <w:rsid w:val="004012AE"/>
    <w:rsid w:val="00402A11"/>
    <w:rsid w:val="00402AD1"/>
    <w:rsid w:val="00402F9C"/>
    <w:rsid w:val="00403BD5"/>
    <w:rsid w:val="004048AE"/>
    <w:rsid w:val="004074B9"/>
    <w:rsid w:val="004079E4"/>
    <w:rsid w:val="00407F9F"/>
    <w:rsid w:val="00410D37"/>
    <w:rsid w:val="0041157A"/>
    <w:rsid w:val="004116BD"/>
    <w:rsid w:val="00411CED"/>
    <w:rsid w:val="004123BF"/>
    <w:rsid w:val="00412548"/>
    <w:rsid w:val="00413602"/>
    <w:rsid w:val="0041389E"/>
    <w:rsid w:val="004146A1"/>
    <w:rsid w:val="004157A7"/>
    <w:rsid w:val="00416176"/>
    <w:rsid w:val="0041695D"/>
    <w:rsid w:val="00417C26"/>
    <w:rsid w:val="00421D3E"/>
    <w:rsid w:val="00422733"/>
    <w:rsid w:val="004234E1"/>
    <w:rsid w:val="00423930"/>
    <w:rsid w:val="00423B3B"/>
    <w:rsid w:val="00423D56"/>
    <w:rsid w:val="00425955"/>
    <w:rsid w:val="004271FA"/>
    <w:rsid w:val="00427D7F"/>
    <w:rsid w:val="00430D1F"/>
    <w:rsid w:val="004311CA"/>
    <w:rsid w:val="004325F2"/>
    <w:rsid w:val="0043381C"/>
    <w:rsid w:val="00433C24"/>
    <w:rsid w:val="00437B75"/>
    <w:rsid w:val="00437B97"/>
    <w:rsid w:val="00440EDA"/>
    <w:rsid w:val="004415D7"/>
    <w:rsid w:val="004420CB"/>
    <w:rsid w:val="004445BD"/>
    <w:rsid w:val="00444911"/>
    <w:rsid w:val="004458F3"/>
    <w:rsid w:val="004460B7"/>
    <w:rsid w:val="004464D2"/>
    <w:rsid w:val="00446842"/>
    <w:rsid w:val="00446BA0"/>
    <w:rsid w:val="00446DED"/>
    <w:rsid w:val="0045111F"/>
    <w:rsid w:val="00451F69"/>
    <w:rsid w:val="004532A2"/>
    <w:rsid w:val="004532DC"/>
    <w:rsid w:val="00453BA7"/>
    <w:rsid w:val="00454AFC"/>
    <w:rsid w:val="00456C7F"/>
    <w:rsid w:val="00460C6C"/>
    <w:rsid w:val="00460D08"/>
    <w:rsid w:val="00462491"/>
    <w:rsid w:val="004644DB"/>
    <w:rsid w:val="0046465E"/>
    <w:rsid w:val="004646CA"/>
    <w:rsid w:val="004678AE"/>
    <w:rsid w:val="00470106"/>
    <w:rsid w:val="004710F1"/>
    <w:rsid w:val="0047131B"/>
    <w:rsid w:val="004737A6"/>
    <w:rsid w:val="00474852"/>
    <w:rsid w:val="00475788"/>
    <w:rsid w:val="004760DD"/>
    <w:rsid w:val="00476F92"/>
    <w:rsid w:val="0047728D"/>
    <w:rsid w:val="00480075"/>
    <w:rsid w:val="004813E9"/>
    <w:rsid w:val="0048153B"/>
    <w:rsid w:val="004816F7"/>
    <w:rsid w:val="00481A03"/>
    <w:rsid w:val="004830D2"/>
    <w:rsid w:val="004833F6"/>
    <w:rsid w:val="00483BDB"/>
    <w:rsid w:val="0048456E"/>
    <w:rsid w:val="004858E7"/>
    <w:rsid w:val="0048654F"/>
    <w:rsid w:val="00486B07"/>
    <w:rsid w:val="00486C3D"/>
    <w:rsid w:val="0049050C"/>
    <w:rsid w:val="00490F10"/>
    <w:rsid w:val="0049144C"/>
    <w:rsid w:val="004915C2"/>
    <w:rsid w:val="0049321E"/>
    <w:rsid w:val="00493994"/>
    <w:rsid w:val="00494C6D"/>
    <w:rsid w:val="00496129"/>
    <w:rsid w:val="00496BAC"/>
    <w:rsid w:val="00497591"/>
    <w:rsid w:val="00497823"/>
    <w:rsid w:val="004A1B67"/>
    <w:rsid w:val="004A381B"/>
    <w:rsid w:val="004A5FC3"/>
    <w:rsid w:val="004A69D3"/>
    <w:rsid w:val="004A6CDC"/>
    <w:rsid w:val="004A7548"/>
    <w:rsid w:val="004B0786"/>
    <w:rsid w:val="004B1430"/>
    <w:rsid w:val="004B30FF"/>
    <w:rsid w:val="004B4367"/>
    <w:rsid w:val="004B4386"/>
    <w:rsid w:val="004B4EFC"/>
    <w:rsid w:val="004B5EC2"/>
    <w:rsid w:val="004C036F"/>
    <w:rsid w:val="004C0926"/>
    <w:rsid w:val="004C0EBD"/>
    <w:rsid w:val="004D06F0"/>
    <w:rsid w:val="004D195B"/>
    <w:rsid w:val="004D1FE3"/>
    <w:rsid w:val="004D3379"/>
    <w:rsid w:val="004D63BC"/>
    <w:rsid w:val="004D714D"/>
    <w:rsid w:val="004D79F9"/>
    <w:rsid w:val="004E0B27"/>
    <w:rsid w:val="004E3399"/>
    <w:rsid w:val="004E48A7"/>
    <w:rsid w:val="004E4F86"/>
    <w:rsid w:val="004E500F"/>
    <w:rsid w:val="004E5064"/>
    <w:rsid w:val="004E577A"/>
    <w:rsid w:val="004E61C0"/>
    <w:rsid w:val="004E73AD"/>
    <w:rsid w:val="004F017E"/>
    <w:rsid w:val="004F0350"/>
    <w:rsid w:val="004F091F"/>
    <w:rsid w:val="004F1BF1"/>
    <w:rsid w:val="004F376C"/>
    <w:rsid w:val="004F3A4E"/>
    <w:rsid w:val="004F6B85"/>
    <w:rsid w:val="0050127E"/>
    <w:rsid w:val="005024AD"/>
    <w:rsid w:val="0050491B"/>
    <w:rsid w:val="00504B95"/>
    <w:rsid w:val="00504D8E"/>
    <w:rsid w:val="0050677C"/>
    <w:rsid w:val="00506A60"/>
    <w:rsid w:val="00506BCA"/>
    <w:rsid w:val="005075C6"/>
    <w:rsid w:val="005118A6"/>
    <w:rsid w:val="00512916"/>
    <w:rsid w:val="00513A5E"/>
    <w:rsid w:val="005142A3"/>
    <w:rsid w:val="00515353"/>
    <w:rsid w:val="00515AE0"/>
    <w:rsid w:val="005166EC"/>
    <w:rsid w:val="00516DDF"/>
    <w:rsid w:val="00517F7C"/>
    <w:rsid w:val="00520591"/>
    <w:rsid w:val="0052105F"/>
    <w:rsid w:val="0052124C"/>
    <w:rsid w:val="005222BA"/>
    <w:rsid w:val="00524873"/>
    <w:rsid w:val="005252FD"/>
    <w:rsid w:val="00526CD8"/>
    <w:rsid w:val="00531E97"/>
    <w:rsid w:val="0053283B"/>
    <w:rsid w:val="00532C7E"/>
    <w:rsid w:val="005334AD"/>
    <w:rsid w:val="00533C08"/>
    <w:rsid w:val="00534CC1"/>
    <w:rsid w:val="00535429"/>
    <w:rsid w:val="0053645A"/>
    <w:rsid w:val="005364B5"/>
    <w:rsid w:val="00536FEA"/>
    <w:rsid w:val="0053701A"/>
    <w:rsid w:val="00540B89"/>
    <w:rsid w:val="00540D08"/>
    <w:rsid w:val="00540FC4"/>
    <w:rsid w:val="005423B6"/>
    <w:rsid w:val="00542B67"/>
    <w:rsid w:val="00545C60"/>
    <w:rsid w:val="00546BE5"/>
    <w:rsid w:val="0055068F"/>
    <w:rsid w:val="0055279C"/>
    <w:rsid w:val="0055617A"/>
    <w:rsid w:val="0055625D"/>
    <w:rsid w:val="00557027"/>
    <w:rsid w:val="00561C82"/>
    <w:rsid w:val="00562390"/>
    <w:rsid w:val="00562D7E"/>
    <w:rsid w:val="00563954"/>
    <w:rsid w:val="005642BB"/>
    <w:rsid w:val="0056589D"/>
    <w:rsid w:val="00565FE7"/>
    <w:rsid w:val="005665D4"/>
    <w:rsid w:val="00566EF5"/>
    <w:rsid w:val="005675F3"/>
    <w:rsid w:val="00570AFA"/>
    <w:rsid w:val="005713BA"/>
    <w:rsid w:val="0057189F"/>
    <w:rsid w:val="00571AF4"/>
    <w:rsid w:val="00573AED"/>
    <w:rsid w:val="00574C64"/>
    <w:rsid w:val="005751C7"/>
    <w:rsid w:val="005768F8"/>
    <w:rsid w:val="00581FAE"/>
    <w:rsid w:val="00582259"/>
    <w:rsid w:val="00582D91"/>
    <w:rsid w:val="00583ACA"/>
    <w:rsid w:val="00583C62"/>
    <w:rsid w:val="00583EF7"/>
    <w:rsid w:val="005870E2"/>
    <w:rsid w:val="00590163"/>
    <w:rsid w:val="00591A94"/>
    <w:rsid w:val="005928CE"/>
    <w:rsid w:val="00595335"/>
    <w:rsid w:val="005958D4"/>
    <w:rsid w:val="00595B74"/>
    <w:rsid w:val="00595CC2"/>
    <w:rsid w:val="00597FB4"/>
    <w:rsid w:val="005A0564"/>
    <w:rsid w:val="005A1B09"/>
    <w:rsid w:val="005A3996"/>
    <w:rsid w:val="005A3DA8"/>
    <w:rsid w:val="005A4625"/>
    <w:rsid w:val="005A4D18"/>
    <w:rsid w:val="005A500F"/>
    <w:rsid w:val="005B059D"/>
    <w:rsid w:val="005B2963"/>
    <w:rsid w:val="005B2F4F"/>
    <w:rsid w:val="005B45D2"/>
    <w:rsid w:val="005B45D6"/>
    <w:rsid w:val="005B4F30"/>
    <w:rsid w:val="005B67F4"/>
    <w:rsid w:val="005B6CDC"/>
    <w:rsid w:val="005B7994"/>
    <w:rsid w:val="005C09F4"/>
    <w:rsid w:val="005C1377"/>
    <w:rsid w:val="005C2126"/>
    <w:rsid w:val="005C5220"/>
    <w:rsid w:val="005C5C91"/>
    <w:rsid w:val="005C5D5C"/>
    <w:rsid w:val="005C6C29"/>
    <w:rsid w:val="005C7456"/>
    <w:rsid w:val="005C7DC3"/>
    <w:rsid w:val="005D0827"/>
    <w:rsid w:val="005D100A"/>
    <w:rsid w:val="005D164E"/>
    <w:rsid w:val="005D26A6"/>
    <w:rsid w:val="005D2831"/>
    <w:rsid w:val="005D32F7"/>
    <w:rsid w:val="005D3C99"/>
    <w:rsid w:val="005D4B38"/>
    <w:rsid w:val="005D600F"/>
    <w:rsid w:val="005D68B4"/>
    <w:rsid w:val="005D7458"/>
    <w:rsid w:val="005D76A2"/>
    <w:rsid w:val="005E0208"/>
    <w:rsid w:val="005E239E"/>
    <w:rsid w:val="005E3601"/>
    <w:rsid w:val="005E3630"/>
    <w:rsid w:val="005E38E8"/>
    <w:rsid w:val="005E4BED"/>
    <w:rsid w:val="005E4DF8"/>
    <w:rsid w:val="005E5030"/>
    <w:rsid w:val="005E54A4"/>
    <w:rsid w:val="005E558B"/>
    <w:rsid w:val="005E5610"/>
    <w:rsid w:val="005F0360"/>
    <w:rsid w:val="005F0406"/>
    <w:rsid w:val="005F2DB6"/>
    <w:rsid w:val="005F3C66"/>
    <w:rsid w:val="005F42F2"/>
    <w:rsid w:val="005F50BF"/>
    <w:rsid w:val="006008DF"/>
    <w:rsid w:val="00600E49"/>
    <w:rsid w:val="00600F23"/>
    <w:rsid w:val="006022B2"/>
    <w:rsid w:val="00606243"/>
    <w:rsid w:val="00607B5E"/>
    <w:rsid w:val="0061038A"/>
    <w:rsid w:val="006105C5"/>
    <w:rsid w:val="00610842"/>
    <w:rsid w:val="00610FA0"/>
    <w:rsid w:val="0061135C"/>
    <w:rsid w:val="006115AA"/>
    <w:rsid w:val="00612745"/>
    <w:rsid w:val="00615B5F"/>
    <w:rsid w:val="00615E29"/>
    <w:rsid w:val="006175E4"/>
    <w:rsid w:val="006201AC"/>
    <w:rsid w:val="00620D53"/>
    <w:rsid w:val="00623FF2"/>
    <w:rsid w:val="0062474F"/>
    <w:rsid w:val="00626303"/>
    <w:rsid w:val="00626E1F"/>
    <w:rsid w:val="0062725A"/>
    <w:rsid w:val="0063035A"/>
    <w:rsid w:val="00630A5E"/>
    <w:rsid w:val="00631212"/>
    <w:rsid w:val="00631911"/>
    <w:rsid w:val="0063647F"/>
    <w:rsid w:val="00636A69"/>
    <w:rsid w:val="00642F71"/>
    <w:rsid w:val="00644B11"/>
    <w:rsid w:val="0064531F"/>
    <w:rsid w:val="006467B5"/>
    <w:rsid w:val="006478BF"/>
    <w:rsid w:val="00647A22"/>
    <w:rsid w:val="00651705"/>
    <w:rsid w:val="00651913"/>
    <w:rsid w:val="00653646"/>
    <w:rsid w:val="006543F4"/>
    <w:rsid w:val="00654C5F"/>
    <w:rsid w:val="00654DF1"/>
    <w:rsid w:val="00657AF1"/>
    <w:rsid w:val="006625F0"/>
    <w:rsid w:val="0066306C"/>
    <w:rsid w:val="0066612A"/>
    <w:rsid w:val="006677B0"/>
    <w:rsid w:val="00670062"/>
    <w:rsid w:val="006702FC"/>
    <w:rsid w:val="00671AF8"/>
    <w:rsid w:val="006726D1"/>
    <w:rsid w:val="00674064"/>
    <w:rsid w:val="006764B0"/>
    <w:rsid w:val="0068137D"/>
    <w:rsid w:val="00681EE0"/>
    <w:rsid w:val="00682B4C"/>
    <w:rsid w:val="00683DC0"/>
    <w:rsid w:val="00685CE6"/>
    <w:rsid w:val="00686614"/>
    <w:rsid w:val="00694A83"/>
    <w:rsid w:val="006953A5"/>
    <w:rsid w:val="00695F1A"/>
    <w:rsid w:val="00696357"/>
    <w:rsid w:val="00696DF1"/>
    <w:rsid w:val="006A0FCA"/>
    <w:rsid w:val="006A1D98"/>
    <w:rsid w:val="006A3072"/>
    <w:rsid w:val="006A33EF"/>
    <w:rsid w:val="006A3D8E"/>
    <w:rsid w:val="006A4E49"/>
    <w:rsid w:val="006A7187"/>
    <w:rsid w:val="006A7560"/>
    <w:rsid w:val="006B186D"/>
    <w:rsid w:val="006B1DFC"/>
    <w:rsid w:val="006B23AE"/>
    <w:rsid w:val="006B2D9A"/>
    <w:rsid w:val="006B3527"/>
    <w:rsid w:val="006B48F9"/>
    <w:rsid w:val="006B535D"/>
    <w:rsid w:val="006B65D1"/>
    <w:rsid w:val="006B6B74"/>
    <w:rsid w:val="006B6C6B"/>
    <w:rsid w:val="006B6D3A"/>
    <w:rsid w:val="006B7627"/>
    <w:rsid w:val="006B7B94"/>
    <w:rsid w:val="006C0083"/>
    <w:rsid w:val="006C06CB"/>
    <w:rsid w:val="006C2D10"/>
    <w:rsid w:val="006C3C0D"/>
    <w:rsid w:val="006C5441"/>
    <w:rsid w:val="006C5C98"/>
    <w:rsid w:val="006C75AB"/>
    <w:rsid w:val="006D27B0"/>
    <w:rsid w:val="006D4572"/>
    <w:rsid w:val="006D45D0"/>
    <w:rsid w:val="006D5D26"/>
    <w:rsid w:val="006D6DD4"/>
    <w:rsid w:val="006D719D"/>
    <w:rsid w:val="006E0A0D"/>
    <w:rsid w:val="006E2081"/>
    <w:rsid w:val="006E21B3"/>
    <w:rsid w:val="006E232C"/>
    <w:rsid w:val="006E26C1"/>
    <w:rsid w:val="006E287B"/>
    <w:rsid w:val="006E2E5C"/>
    <w:rsid w:val="006E3A41"/>
    <w:rsid w:val="006E50C0"/>
    <w:rsid w:val="006E7D1C"/>
    <w:rsid w:val="006F1904"/>
    <w:rsid w:val="006F3177"/>
    <w:rsid w:val="006F3861"/>
    <w:rsid w:val="006F4440"/>
    <w:rsid w:val="006F5079"/>
    <w:rsid w:val="006F668C"/>
    <w:rsid w:val="006F6774"/>
    <w:rsid w:val="006F6B94"/>
    <w:rsid w:val="00700254"/>
    <w:rsid w:val="00701FF7"/>
    <w:rsid w:val="00704F02"/>
    <w:rsid w:val="00706D83"/>
    <w:rsid w:val="00707D3D"/>
    <w:rsid w:val="00710881"/>
    <w:rsid w:val="007108A0"/>
    <w:rsid w:val="00711DE7"/>
    <w:rsid w:val="00712F52"/>
    <w:rsid w:val="00713551"/>
    <w:rsid w:val="00714ACB"/>
    <w:rsid w:val="00717161"/>
    <w:rsid w:val="007204C5"/>
    <w:rsid w:val="00720FB5"/>
    <w:rsid w:val="0072116B"/>
    <w:rsid w:val="00721E06"/>
    <w:rsid w:val="007253C6"/>
    <w:rsid w:val="00726C25"/>
    <w:rsid w:val="007270CE"/>
    <w:rsid w:val="007313F6"/>
    <w:rsid w:val="007322A0"/>
    <w:rsid w:val="00732859"/>
    <w:rsid w:val="007329C4"/>
    <w:rsid w:val="007337DC"/>
    <w:rsid w:val="007338D1"/>
    <w:rsid w:val="00734086"/>
    <w:rsid w:val="00735B4B"/>
    <w:rsid w:val="00735DCA"/>
    <w:rsid w:val="00736EDF"/>
    <w:rsid w:val="0073727C"/>
    <w:rsid w:val="007375CF"/>
    <w:rsid w:val="00741C4B"/>
    <w:rsid w:val="00743FEE"/>
    <w:rsid w:val="00744312"/>
    <w:rsid w:val="007449FE"/>
    <w:rsid w:val="00745021"/>
    <w:rsid w:val="00745352"/>
    <w:rsid w:val="007458A7"/>
    <w:rsid w:val="0074597F"/>
    <w:rsid w:val="00745CDD"/>
    <w:rsid w:val="00745EB0"/>
    <w:rsid w:val="00746DCC"/>
    <w:rsid w:val="00746FD7"/>
    <w:rsid w:val="00750030"/>
    <w:rsid w:val="007506EE"/>
    <w:rsid w:val="0075145D"/>
    <w:rsid w:val="00751DEB"/>
    <w:rsid w:val="00751F41"/>
    <w:rsid w:val="00751FA6"/>
    <w:rsid w:val="00753E2D"/>
    <w:rsid w:val="00754B1E"/>
    <w:rsid w:val="0076063C"/>
    <w:rsid w:val="0076063F"/>
    <w:rsid w:val="007653F7"/>
    <w:rsid w:val="00772C24"/>
    <w:rsid w:val="007732B7"/>
    <w:rsid w:val="0077388E"/>
    <w:rsid w:val="007776EA"/>
    <w:rsid w:val="007812F4"/>
    <w:rsid w:val="007817B2"/>
    <w:rsid w:val="00781D14"/>
    <w:rsid w:val="00782070"/>
    <w:rsid w:val="007824E0"/>
    <w:rsid w:val="00783D16"/>
    <w:rsid w:val="00785A8B"/>
    <w:rsid w:val="00785CB7"/>
    <w:rsid w:val="007869EF"/>
    <w:rsid w:val="00786DFD"/>
    <w:rsid w:val="00787134"/>
    <w:rsid w:val="00795211"/>
    <w:rsid w:val="007954F2"/>
    <w:rsid w:val="0079585B"/>
    <w:rsid w:val="0079636B"/>
    <w:rsid w:val="007965F1"/>
    <w:rsid w:val="00796CC8"/>
    <w:rsid w:val="00796E2C"/>
    <w:rsid w:val="007A0563"/>
    <w:rsid w:val="007A1721"/>
    <w:rsid w:val="007A1A67"/>
    <w:rsid w:val="007A4229"/>
    <w:rsid w:val="007A54F7"/>
    <w:rsid w:val="007A6B4E"/>
    <w:rsid w:val="007B2D7B"/>
    <w:rsid w:val="007B3A9E"/>
    <w:rsid w:val="007C1DC9"/>
    <w:rsid w:val="007C2A79"/>
    <w:rsid w:val="007C3A5E"/>
    <w:rsid w:val="007C48D6"/>
    <w:rsid w:val="007C493C"/>
    <w:rsid w:val="007C5083"/>
    <w:rsid w:val="007C7EA3"/>
    <w:rsid w:val="007D0838"/>
    <w:rsid w:val="007D08D1"/>
    <w:rsid w:val="007D1FDE"/>
    <w:rsid w:val="007D21BC"/>
    <w:rsid w:val="007D2E09"/>
    <w:rsid w:val="007D2E68"/>
    <w:rsid w:val="007D3435"/>
    <w:rsid w:val="007D3679"/>
    <w:rsid w:val="007D3873"/>
    <w:rsid w:val="007D3AC7"/>
    <w:rsid w:val="007D4E8E"/>
    <w:rsid w:val="007D51C2"/>
    <w:rsid w:val="007D600C"/>
    <w:rsid w:val="007E0C17"/>
    <w:rsid w:val="007E17BC"/>
    <w:rsid w:val="007E2C20"/>
    <w:rsid w:val="007E3BF1"/>
    <w:rsid w:val="007E5934"/>
    <w:rsid w:val="007E5E2B"/>
    <w:rsid w:val="007E5F6C"/>
    <w:rsid w:val="007E66CE"/>
    <w:rsid w:val="007E727F"/>
    <w:rsid w:val="007E733E"/>
    <w:rsid w:val="007F1C4B"/>
    <w:rsid w:val="007F24C1"/>
    <w:rsid w:val="007F26EB"/>
    <w:rsid w:val="007F2B52"/>
    <w:rsid w:val="007F3DB4"/>
    <w:rsid w:val="007F44E6"/>
    <w:rsid w:val="007F4AEB"/>
    <w:rsid w:val="007F5AF9"/>
    <w:rsid w:val="007F6252"/>
    <w:rsid w:val="007F6EDD"/>
    <w:rsid w:val="007F6EE9"/>
    <w:rsid w:val="007F7AE1"/>
    <w:rsid w:val="00800230"/>
    <w:rsid w:val="0080126D"/>
    <w:rsid w:val="00801CF4"/>
    <w:rsid w:val="00807577"/>
    <w:rsid w:val="008079AD"/>
    <w:rsid w:val="00812BA7"/>
    <w:rsid w:val="00813C9E"/>
    <w:rsid w:val="00813DC5"/>
    <w:rsid w:val="00814800"/>
    <w:rsid w:val="008156CF"/>
    <w:rsid w:val="00816249"/>
    <w:rsid w:val="00817F0A"/>
    <w:rsid w:val="008209FA"/>
    <w:rsid w:val="00821BAF"/>
    <w:rsid w:val="008221F7"/>
    <w:rsid w:val="00822A6D"/>
    <w:rsid w:val="008230FC"/>
    <w:rsid w:val="00824062"/>
    <w:rsid w:val="008242B0"/>
    <w:rsid w:val="0082447A"/>
    <w:rsid w:val="0082455D"/>
    <w:rsid w:val="00825082"/>
    <w:rsid w:val="00825545"/>
    <w:rsid w:val="0082626B"/>
    <w:rsid w:val="00826E2B"/>
    <w:rsid w:val="00827772"/>
    <w:rsid w:val="00827FB4"/>
    <w:rsid w:val="00830F0B"/>
    <w:rsid w:val="00832818"/>
    <w:rsid w:val="00834B98"/>
    <w:rsid w:val="00836B8F"/>
    <w:rsid w:val="00836C74"/>
    <w:rsid w:val="00836D6B"/>
    <w:rsid w:val="0084138E"/>
    <w:rsid w:val="0084152F"/>
    <w:rsid w:val="008419AF"/>
    <w:rsid w:val="00844669"/>
    <w:rsid w:val="008454C4"/>
    <w:rsid w:val="00845B1C"/>
    <w:rsid w:val="00845C66"/>
    <w:rsid w:val="00846056"/>
    <w:rsid w:val="0084671C"/>
    <w:rsid w:val="008524A5"/>
    <w:rsid w:val="0085478E"/>
    <w:rsid w:val="00854896"/>
    <w:rsid w:val="0085560F"/>
    <w:rsid w:val="00856386"/>
    <w:rsid w:val="00856A49"/>
    <w:rsid w:val="00857851"/>
    <w:rsid w:val="00857B46"/>
    <w:rsid w:val="0086121B"/>
    <w:rsid w:val="00862AA0"/>
    <w:rsid w:val="0086579C"/>
    <w:rsid w:val="00866371"/>
    <w:rsid w:val="00867361"/>
    <w:rsid w:val="008677CE"/>
    <w:rsid w:val="00872C29"/>
    <w:rsid w:val="0087305F"/>
    <w:rsid w:val="00873391"/>
    <w:rsid w:val="00874281"/>
    <w:rsid w:val="008742A7"/>
    <w:rsid w:val="00876001"/>
    <w:rsid w:val="008768D9"/>
    <w:rsid w:val="008769FE"/>
    <w:rsid w:val="0088145E"/>
    <w:rsid w:val="00883096"/>
    <w:rsid w:val="00883197"/>
    <w:rsid w:val="0088792F"/>
    <w:rsid w:val="00894D8B"/>
    <w:rsid w:val="008950F5"/>
    <w:rsid w:val="00895791"/>
    <w:rsid w:val="00895914"/>
    <w:rsid w:val="0089613F"/>
    <w:rsid w:val="00896A4A"/>
    <w:rsid w:val="008A472E"/>
    <w:rsid w:val="008A60A8"/>
    <w:rsid w:val="008A7148"/>
    <w:rsid w:val="008A78FA"/>
    <w:rsid w:val="008A7DA4"/>
    <w:rsid w:val="008B04E0"/>
    <w:rsid w:val="008B1D8A"/>
    <w:rsid w:val="008B2430"/>
    <w:rsid w:val="008B3407"/>
    <w:rsid w:val="008B3FFD"/>
    <w:rsid w:val="008B4CBF"/>
    <w:rsid w:val="008B4FDA"/>
    <w:rsid w:val="008B618E"/>
    <w:rsid w:val="008B6308"/>
    <w:rsid w:val="008C3057"/>
    <w:rsid w:val="008C308C"/>
    <w:rsid w:val="008C3457"/>
    <w:rsid w:val="008C67FB"/>
    <w:rsid w:val="008C68F9"/>
    <w:rsid w:val="008C7F34"/>
    <w:rsid w:val="008D1E23"/>
    <w:rsid w:val="008D3E31"/>
    <w:rsid w:val="008D4B01"/>
    <w:rsid w:val="008D6A65"/>
    <w:rsid w:val="008E1FE6"/>
    <w:rsid w:val="008E46EE"/>
    <w:rsid w:val="008E7608"/>
    <w:rsid w:val="008F1BF9"/>
    <w:rsid w:val="008F29F4"/>
    <w:rsid w:val="008F3849"/>
    <w:rsid w:val="008F4562"/>
    <w:rsid w:val="008F49B5"/>
    <w:rsid w:val="008F4B61"/>
    <w:rsid w:val="008F545D"/>
    <w:rsid w:val="008F58BD"/>
    <w:rsid w:val="008F5DF3"/>
    <w:rsid w:val="008F5F48"/>
    <w:rsid w:val="008F651F"/>
    <w:rsid w:val="008F6F14"/>
    <w:rsid w:val="008F75F6"/>
    <w:rsid w:val="009023D2"/>
    <w:rsid w:val="00902E8E"/>
    <w:rsid w:val="00903E85"/>
    <w:rsid w:val="00904594"/>
    <w:rsid w:val="00906A25"/>
    <w:rsid w:val="00915507"/>
    <w:rsid w:val="009155C5"/>
    <w:rsid w:val="00917F30"/>
    <w:rsid w:val="00921119"/>
    <w:rsid w:val="00923229"/>
    <w:rsid w:val="009236DD"/>
    <w:rsid w:val="00923CB6"/>
    <w:rsid w:val="00923DEC"/>
    <w:rsid w:val="00924174"/>
    <w:rsid w:val="0092600E"/>
    <w:rsid w:val="0092673E"/>
    <w:rsid w:val="00927C0C"/>
    <w:rsid w:val="009304E3"/>
    <w:rsid w:val="009314F3"/>
    <w:rsid w:val="009325D8"/>
    <w:rsid w:val="00932F7E"/>
    <w:rsid w:val="009338E4"/>
    <w:rsid w:val="0093403D"/>
    <w:rsid w:val="0093520B"/>
    <w:rsid w:val="00935A1F"/>
    <w:rsid w:val="0093631E"/>
    <w:rsid w:val="00936BC8"/>
    <w:rsid w:val="00942A68"/>
    <w:rsid w:val="00943FBC"/>
    <w:rsid w:val="00944252"/>
    <w:rsid w:val="00944C73"/>
    <w:rsid w:val="00945C1A"/>
    <w:rsid w:val="0094679D"/>
    <w:rsid w:val="009478C4"/>
    <w:rsid w:val="0095028F"/>
    <w:rsid w:val="00950A78"/>
    <w:rsid w:val="00952064"/>
    <w:rsid w:val="009522E9"/>
    <w:rsid w:val="00952E8C"/>
    <w:rsid w:val="00953A0B"/>
    <w:rsid w:val="009547DE"/>
    <w:rsid w:val="00955DE5"/>
    <w:rsid w:val="009568F2"/>
    <w:rsid w:val="009603BB"/>
    <w:rsid w:val="009626F7"/>
    <w:rsid w:val="00962B38"/>
    <w:rsid w:val="00964134"/>
    <w:rsid w:val="0096512A"/>
    <w:rsid w:val="00966833"/>
    <w:rsid w:val="00966D7B"/>
    <w:rsid w:val="009704CC"/>
    <w:rsid w:val="009712AD"/>
    <w:rsid w:val="00972016"/>
    <w:rsid w:val="00972033"/>
    <w:rsid w:val="00973B52"/>
    <w:rsid w:val="00975131"/>
    <w:rsid w:val="00975C7D"/>
    <w:rsid w:val="00976478"/>
    <w:rsid w:val="00976996"/>
    <w:rsid w:val="00976FA9"/>
    <w:rsid w:val="009776A4"/>
    <w:rsid w:val="00977B79"/>
    <w:rsid w:val="00980229"/>
    <w:rsid w:val="00983801"/>
    <w:rsid w:val="00983D31"/>
    <w:rsid w:val="00985939"/>
    <w:rsid w:val="00987A19"/>
    <w:rsid w:val="009914D9"/>
    <w:rsid w:val="00993494"/>
    <w:rsid w:val="00995565"/>
    <w:rsid w:val="0099617A"/>
    <w:rsid w:val="00997803"/>
    <w:rsid w:val="009A0242"/>
    <w:rsid w:val="009A3E79"/>
    <w:rsid w:val="009A5024"/>
    <w:rsid w:val="009A5E01"/>
    <w:rsid w:val="009A6106"/>
    <w:rsid w:val="009A6228"/>
    <w:rsid w:val="009A7A5F"/>
    <w:rsid w:val="009A7CAB"/>
    <w:rsid w:val="009B11CE"/>
    <w:rsid w:val="009B12F7"/>
    <w:rsid w:val="009B1951"/>
    <w:rsid w:val="009B2E80"/>
    <w:rsid w:val="009B334B"/>
    <w:rsid w:val="009B3694"/>
    <w:rsid w:val="009B40BA"/>
    <w:rsid w:val="009B5348"/>
    <w:rsid w:val="009B587E"/>
    <w:rsid w:val="009B6FDE"/>
    <w:rsid w:val="009C0D1C"/>
    <w:rsid w:val="009C2D0A"/>
    <w:rsid w:val="009C3B52"/>
    <w:rsid w:val="009C4325"/>
    <w:rsid w:val="009C4707"/>
    <w:rsid w:val="009C5509"/>
    <w:rsid w:val="009C5C4C"/>
    <w:rsid w:val="009C6044"/>
    <w:rsid w:val="009C63B4"/>
    <w:rsid w:val="009C6DDE"/>
    <w:rsid w:val="009D18F0"/>
    <w:rsid w:val="009D2BE0"/>
    <w:rsid w:val="009D3590"/>
    <w:rsid w:val="009E4167"/>
    <w:rsid w:val="009E580F"/>
    <w:rsid w:val="009E7EDE"/>
    <w:rsid w:val="009F28C6"/>
    <w:rsid w:val="009F36B0"/>
    <w:rsid w:val="009F446F"/>
    <w:rsid w:val="009F5D6E"/>
    <w:rsid w:val="009F5DD1"/>
    <w:rsid w:val="009F61A8"/>
    <w:rsid w:val="009F7AB6"/>
    <w:rsid w:val="00A00066"/>
    <w:rsid w:val="00A00A5F"/>
    <w:rsid w:val="00A037E3"/>
    <w:rsid w:val="00A062A5"/>
    <w:rsid w:val="00A077BA"/>
    <w:rsid w:val="00A109C9"/>
    <w:rsid w:val="00A117E5"/>
    <w:rsid w:val="00A12B29"/>
    <w:rsid w:val="00A13D22"/>
    <w:rsid w:val="00A146F8"/>
    <w:rsid w:val="00A15818"/>
    <w:rsid w:val="00A17120"/>
    <w:rsid w:val="00A2210E"/>
    <w:rsid w:val="00A2232E"/>
    <w:rsid w:val="00A2271E"/>
    <w:rsid w:val="00A22E48"/>
    <w:rsid w:val="00A2311E"/>
    <w:rsid w:val="00A24C9E"/>
    <w:rsid w:val="00A26D19"/>
    <w:rsid w:val="00A26FD7"/>
    <w:rsid w:val="00A30FD3"/>
    <w:rsid w:val="00A34FB3"/>
    <w:rsid w:val="00A351D9"/>
    <w:rsid w:val="00A35C62"/>
    <w:rsid w:val="00A35D73"/>
    <w:rsid w:val="00A36FF0"/>
    <w:rsid w:val="00A37946"/>
    <w:rsid w:val="00A37F88"/>
    <w:rsid w:val="00A37F9A"/>
    <w:rsid w:val="00A401B5"/>
    <w:rsid w:val="00A424FC"/>
    <w:rsid w:val="00A4284C"/>
    <w:rsid w:val="00A42BBE"/>
    <w:rsid w:val="00A44A4F"/>
    <w:rsid w:val="00A44E8D"/>
    <w:rsid w:val="00A46E38"/>
    <w:rsid w:val="00A46EE6"/>
    <w:rsid w:val="00A504D4"/>
    <w:rsid w:val="00A52F0F"/>
    <w:rsid w:val="00A54B71"/>
    <w:rsid w:val="00A55736"/>
    <w:rsid w:val="00A5682F"/>
    <w:rsid w:val="00A56FBC"/>
    <w:rsid w:val="00A57C8A"/>
    <w:rsid w:val="00A60B7A"/>
    <w:rsid w:val="00A611D6"/>
    <w:rsid w:val="00A61975"/>
    <w:rsid w:val="00A620AF"/>
    <w:rsid w:val="00A623A9"/>
    <w:rsid w:val="00A632F7"/>
    <w:rsid w:val="00A65109"/>
    <w:rsid w:val="00A678E0"/>
    <w:rsid w:val="00A67E64"/>
    <w:rsid w:val="00A7108D"/>
    <w:rsid w:val="00A71749"/>
    <w:rsid w:val="00A71BBA"/>
    <w:rsid w:val="00A72035"/>
    <w:rsid w:val="00A7418A"/>
    <w:rsid w:val="00A757F4"/>
    <w:rsid w:val="00A75CB3"/>
    <w:rsid w:val="00A76678"/>
    <w:rsid w:val="00A7680A"/>
    <w:rsid w:val="00A76875"/>
    <w:rsid w:val="00A80D38"/>
    <w:rsid w:val="00A82407"/>
    <w:rsid w:val="00A8327C"/>
    <w:rsid w:val="00A837D3"/>
    <w:rsid w:val="00A84826"/>
    <w:rsid w:val="00A850CE"/>
    <w:rsid w:val="00A906A1"/>
    <w:rsid w:val="00A90904"/>
    <w:rsid w:val="00A92065"/>
    <w:rsid w:val="00A95CF8"/>
    <w:rsid w:val="00A9711D"/>
    <w:rsid w:val="00A97739"/>
    <w:rsid w:val="00AA0293"/>
    <w:rsid w:val="00AA16F5"/>
    <w:rsid w:val="00AA180F"/>
    <w:rsid w:val="00AA373B"/>
    <w:rsid w:val="00AA392E"/>
    <w:rsid w:val="00AA630F"/>
    <w:rsid w:val="00AB108E"/>
    <w:rsid w:val="00AB1BD1"/>
    <w:rsid w:val="00AB1EFE"/>
    <w:rsid w:val="00AB2637"/>
    <w:rsid w:val="00AB39D1"/>
    <w:rsid w:val="00AB481A"/>
    <w:rsid w:val="00AB5A42"/>
    <w:rsid w:val="00AB6388"/>
    <w:rsid w:val="00AB6C65"/>
    <w:rsid w:val="00AB70D9"/>
    <w:rsid w:val="00AC09A1"/>
    <w:rsid w:val="00AC2A16"/>
    <w:rsid w:val="00AC5CEC"/>
    <w:rsid w:val="00AC5F7D"/>
    <w:rsid w:val="00AC6ED9"/>
    <w:rsid w:val="00AD06A7"/>
    <w:rsid w:val="00AD0AC0"/>
    <w:rsid w:val="00AD0BF0"/>
    <w:rsid w:val="00AD0E48"/>
    <w:rsid w:val="00AD1217"/>
    <w:rsid w:val="00AD1331"/>
    <w:rsid w:val="00AD2034"/>
    <w:rsid w:val="00AD35AF"/>
    <w:rsid w:val="00AD5637"/>
    <w:rsid w:val="00AD5809"/>
    <w:rsid w:val="00AE017C"/>
    <w:rsid w:val="00AE1898"/>
    <w:rsid w:val="00AE70A8"/>
    <w:rsid w:val="00AE7437"/>
    <w:rsid w:val="00AE7DC6"/>
    <w:rsid w:val="00AF13FA"/>
    <w:rsid w:val="00AF1C53"/>
    <w:rsid w:val="00AF1EF4"/>
    <w:rsid w:val="00AF50C3"/>
    <w:rsid w:val="00B014D7"/>
    <w:rsid w:val="00B01637"/>
    <w:rsid w:val="00B021FC"/>
    <w:rsid w:val="00B04F41"/>
    <w:rsid w:val="00B05E39"/>
    <w:rsid w:val="00B062E4"/>
    <w:rsid w:val="00B07561"/>
    <w:rsid w:val="00B10650"/>
    <w:rsid w:val="00B124EB"/>
    <w:rsid w:val="00B135EB"/>
    <w:rsid w:val="00B13AFF"/>
    <w:rsid w:val="00B15E34"/>
    <w:rsid w:val="00B15F5D"/>
    <w:rsid w:val="00B1636A"/>
    <w:rsid w:val="00B1661F"/>
    <w:rsid w:val="00B17416"/>
    <w:rsid w:val="00B174CC"/>
    <w:rsid w:val="00B177A0"/>
    <w:rsid w:val="00B21103"/>
    <w:rsid w:val="00B231D0"/>
    <w:rsid w:val="00B2462E"/>
    <w:rsid w:val="00B252CF"/>
    <w:rsid w:val="00B268DE"/>
    <w:rsid w:val="00B26EB6"/>
    <w:rsid w:val="00B2704C"/>
    <w:rsid w:val="00B30389"/>
    <w:rsid w:val="00B342DE"/>
    <w:rsid w:val="00B3536E"/>
    <w:rsid w:val="00B358B2"/>
    <w:rsid w:val="00B35AE0"/>
    <w:rsid w:val="00B36024"/>
    <w:rsid w:val="00B3701C"/>
    <w:rsid w:val="00B3742F"/>
    <w:rsid w:val="00B377CA"/>
    <w:rsid w:val="00B37A94"/>
    <w:rsid w:val="00B37B71"/>
    <w:rsid w:val="00B40137"/>
    <w:rsid w:val="00B40779"/>
    <w:rsid w:val="00B40A38"/>
    <w:rsid w:val="00B41B6A"/>
    <w:rsid w:val="00B44698"/>
    <w:rsid w:val="00B45518"/>
    <w:rsid w:val="00B50213"/>
    <w:rsid w:val="00B503CD"/>
    <w:rsid w:val="00B50796"/>
    <w:rsid w:val="00B517FA"/>
    <w:rsid w:val="00B54420"/>
    <w:rsid w:val="00B55A49"/>
    <w:rsid w:val="00B56C58"/>
    <w:rsid w:val="00B57BD9"/>
    <w:rsid w:val="00B617ED"/>
    <w:rsid w:val="00B62246"/>
    <w:rsid w:val="00B65B74"/>
    <w:rsid w:val="00B673A3"/>
    <w:rsid w:val="00B67A96"/>
    <w:rsid w:val="00B7018E"/>
    <w:rsid w:val="00B7333F"/>
    <w:rsid w:val="00B7493D"/>
    <w:rsid w:val="00B74B43"/>
    <w:rsid w:val="00B74DAE"/>
    <w:rsid w:val="00B75B45"/>
    <w:rsid w:val="00B75CEB"/>
    <w:rsid w:val="00B75F8E"/>
    <w:rsid w:val="00B801D5"/>
    <w:rsid w:val="00B807C9"/>
    <w:rsid w:val="00B82051"/>
    <w:rsid w:val="00B85096"/>
    <w:rsid w:val="00B860DF"/>
    <w:rsid w:val="00B86D7B"/>
    <w:rsid w:val="00B87F59"/>
    <w:rsid w:val="00B90432"/>
    <w:rsid w:val="00B91F7B"/>
    <w:rsid w:val="00B9267E"/>
    <w:rsid w:val="00B93E4B"/>
    <w:rsid w:val="00B942D3"/>
    <w:rsid w:val="00B95E1F"/>
    <w:rsid w:val="00B96E6F"/>
    <w:rsid w:val="00B973A2"/>
    <w:rsid w:val="00B977A5"/>
    <w:rsid w:val="00BA0BEA"/>
    <w:rsid w:val="00BA19FA"/>
    <w:rsid w:val="00BA1AA2"/>
    <w:rsid w:val="00BA1EE0"/>
    <w:rsid w:val="00BA2304"/>
    <w:rsid w:val="00BA4970"/>
    <w:rsid w:val="00BA5242"/>
    <w:rsid w:val="00BB0921"/>
    <w:rsid w:val="00BB2187"/>
    <w:rsid w:val="00BB30D1"/>
    <w:rsid w:val="00BB3BCD"/>
    <w:rsid w:val="00BB416F"/>
    <w:rsid w:val="00BB4F68"/>
    <w:rsid w:val="00BB4FBB"/>
    <w:rsid w:val="00BB593E"/>
    <w:rsid w:val="00BB5CEE"/>
    <w:rsid w:val="00BB7920"/>
    <w:rsid w:val="00BC03BE"/>
    <w:rsid w:val="00BC125B"/>
    <w:rsid w:val="00BC27E5"/>
    <w:rsid w:val="00BC2CEF"/>
    <w:rsid w:val="00BC53BB"/>
    <w:rsid w:val="00BC5C56"/>
    <w:rsid w:val="00BC5E75"/>
    <w:rsid w:val="00BD00C8"/>
    <w:rsid w:val="00BD03A0"/>
    <w:rsid w:val="00BD0BB9"/>
    <w:rsid w:val="00BD2131"/>
    <w:rsid w:val="00BD279E"/>
    <w:rsid w:val="00BD3F25"/>
    <w:rsid w:val="00BD421A"/>
    <w:rsid w:val="00BD6357"/>
    <w:rsid w:val="00BD768B"/>
    <w:rsid w:val="00BE0B23"/>
    <w:rsid w:val="00BE4580"/>
    <w:rsid w:val="00BE591B"/>
    <w:rsid w:val="00BE6A49"/>
    <w:rsid w:val="00BE6CF1"/>
    <w:rsid w:val="00BE7464"/>
    <w:rsid w:val="00BE7760"/>
    <w:rsid w:val="00BF0774"/>
    <w:rsid w:val="00BF26BF"/>
    <w:rsid w:val="00BF2A1D"/>
    <w:rsid w:val="00BF2B64"/>
    <w:rsid w:val="00BF4237"/>
    <w:rsid w:val="00BF5858"/>
    <w:rsid w:val="00BF6185"/>
    <w:rsid w:val="00BF65FA"/>
    <w:rsid w:val="00BF7A4E"/>
    <w:rsid w:val="00BF7DEA"/>
    <w:rsid w:val="00C011B2"/>
    <w:rsid w:val="00C03933"/>
    <w:rsid w:val="00C054FC"/>
    <w:rsid w:val="00C059C2"/>
    <w:rsid w:val="00C068E7"/>
    <w:rsid w:val="00C0763D"/>
    <w:rsid w:val="00C07E4A"/>
    <w:rsid w:val="00C11776"/>
    <w:rsid w:val="00C12D20"/>
    <w:rsid w:val="00C15592"/>
    <w:rsid w:val="00C1785F"/>
    <w:rsid w:val="00C22426"/>
    <w:rsid w:val="00C235CF"/>
    <w:rsid w:val="00C24116"/>
    <w:rsid w:val="00C24788"/>
    <w:rsid w:val="00C275DA"/>
    <w:rsid w:val="00C31797"/>
    <w:rsid w:val="00C32456"/>
    <w:rsid w:val="00C3322F"/>
    <w:rsid w:val="00C3419D"/>
    <w:rsid w:val="00C34403"/>
    <w:rsid w:val="00C353F5"/>
    <w:rsid w:val="00C36F25"/>
    <w:rsid w:val="00C36F41"/>
    <w:rsid w:val="00C4022C"/>
    <w:rsid w:val="00C4237B"/>
    <w:rsid w:val="00C4239E"/>
    <w:rsid w:val="00C437FB"/>
    <w:rsid w:val="00C43C63"/>
    <w:rsid w:val="00C45B68"/>
    <w:rsid w:val="00C47BA3"/>
    <w:rsid w:val="00C50582"/>
    <w:rsid w:val="00C51AA8"/>
    <w:rsid w:val="00C52F1F"/>
    <w:rsid w:val="00C541E0"/>
    <w:rsid w:val="00C54A66"/>
    <w:rsid w:val="00C54A70"/>
    <w:rsid w:val="00C5504B"/>
    <w:rsid w:val="00C55492"/>
    <w:rsid w:val="00C55F54"/>
    <w:rsid w:val="00C56540"/>
    <w:rsid w:val="00C57457"/>
    <w:rsid w:val="00C60A83"/>
    <w:rsid w:val="00C60B92"/>
    <w:rsid w:val="00C61E06"/>
    <w:rsid w:val="00C62C4F"/>
    <w:rsid w:val="00C63660"/>
    <w:rsid w:val="00C63A94"/>
    <w:rsid w:val="00C64D74"/>
    <w:rsid w:val="00C64F55"/>
    <w:rsid w:val="00C65B9A"/>
    <w:rsid w:val="00C65FC7"/>
    <w:rsid w:val="00C6625C"/>
    <w:rsid w:val="00C71B0E"/>
    <w:rsid w:val="00C7267B"/>
    <w:rsid w:val="00C735F2"/>
    <w:rsid w:val="00C74B79"/>
    <w:rsid w:val="00C77527"/>
    <w:rsid w:val="00C778E5"/>
    <w:rsid w:val="00C802DD"/>
    <w:rsid w:val="00C81502"/>
    <w:rsid w:val="00C815D7"/>
    <w:rsid w:val="00C826C8"/>
    <w:rsid w:val="00C849D9"/>
    <w:rsid w:val="00C87138"/>
    <w:rsid w:val="00C878A4"/>
    <w:rsid w:val="00C879AE"/>
    <w:rsid w:val="00C87C3F"/>
    <w:rsid w:val="00C97CBC"/>
    <w:rsid w:val="00CA061B"/>
    <w:rsid w:val="00CA1242"/>
    <w:rsid w:val="00CA137A"/>
    <w:rsid w:val="00CA17AB"/>
    <w:rsid w:val="00CA2132"/>
    <w:rsid w:val="00CA3676"/>
    <w:rsid w:val="00CA3698"/>
    <w:rsid w:val="00CA43D4"/>
    <w:rsid w:val="00CA4424"/>
    <w:rsid w:val="00CA6594"/>
    <w:rsid w:val="00CB494C"/>
    <w:rsid w:val="00CB4FD9"/>
    <w:rsid w:val="00CB518A"/>
    <w:rsid w:val="00CB5636"/>
    <w:rsid w:val="00CB62CC"/>
    <w:rsid w:val="00CB7687"/>
    <w:rsid w:val="00CB7863"/>
    <w:rsid w:val="00CC05A2"/>
    <w:rsid w:val="00CC2077"/>
    <w:rsid w:val="00CC3973"/>
    <w:rsid w:val="00CC4BE8"/>
    <w:rsid w:val="00CC66F1"/>
    <w:rsid w:val="00CD3179"/>
    <w:rsid w:val="00CD3E8C"/>
    <w:rsid w:val="00CD4F68"/>
    <w:rsid w:val="00CD5818"/>
    <w:rsid w:val="00CD70B2"/>
    <w:rsid w:val="00CD78D6"/>
    <w:rsid w:val="00CE3785"/>
    <w:rsid w:val="00CE5669"/>
    <w:rsid w:val="00CE595B"/>
    <w:rsid w:val="00CE5BD1"/>
    <w:rsid w:val="00CE6C64"/>
    <w:rsid w:val="00CE71AF"/>
    <w:rsid w:val="00CF433E"/>
    <w:rsid w:val="00CF5322"/>
    <w:rsid w:val="00CF53C1"/>
    <w:rsid w:val="00CF72F5"/>
    <w:rsid w:val="00CF79E3"/>
    <w:rsid w:val="00D00122"/>
    <w:rsid w:val="00D004BE"/>
    <w:rsid w:val="00D0065A"/>
    <w:rsid w:val="00D0071D"/>
    <w:rsid w:val="00D01AA2"/>
    <w:rsid w:val="00D037A5"/>
    <w:rsid w:val="00D060D7"/>
    <w:rsid w:val="00D0617A"/>
    <w:rsid w:val="00D06F87"/>
    <w:rsid w:val="00D157EA"/>
    <w:rsid w:val="00D15B19"/>
    <w:rsid w:val="00D1718F"/>
    <w:rsid w:val="00D177E3"/>
    <w:rsid w:val="00D20952"/>
    <w:rsid w:val="00D23038"/>
    <w:rsid w:val="00D25435"/>
    <w:rsid w:val="00D26093"/>
    <w:rsid w:val="00D26CB1"/>
    <w:rsid w:val="00D31D26"/>
    <w:rsid w:val="00D31DB4"/>
    <w:rsid w:val="00D32377"/>
    <w:rsid w:val="00D3272F"/>
    <w:rsid w:val="00D335EE"/>
    <w:rsid w:val="00D3361F"/>
    <w:rsid w:val="00D33B16"/>
    <w:rsid w:val="00D33C53"/>
    <w:rsid w:val="00D33CE7"/>
    <w:rsid w:val="00D356AF"/>
    <w:rsid w:val="00D35EB3"/>
    <w:rsid w:val="00D3646B"/>
    <w:rsid w:val="00D36C6D"/>
    <w:rsid w:val="00D37C97"/>
    <w:rsid w:val="00D41CF2"/>
    <w:rsid w:val="00D42513"/>
    <w:rsid w:val="00D46CAA"/>
    <w:rsid w:val="00D4772C"/>
    <w:rsid w:val="00D50450"/>
    <w:rsid w:val="00D52AC2"/>
    <w:rsid w:val="00D55165"/>
    <w:rsid w:val="00D572DB"/>
    <w:rsid w:val="00D6101F"/>
    <w:rsid w:val="00D611AB"/>
    <w:rsid w:val="00D6120B"/>
    <w:rsid w:val="00D6164F"/>
    <w:rsid w:val="00D617F5"/>
    <w:rsid w:val="00D6194D"/>
    <w:rsid w:val="00D62C97"/>
    <w:rsid w:val="00D63351"/>
    <w:rsid w:val="00D63578"/>
    <w:rsid w:val="00D63801"/>
    <w:rsid w:val="00D63A02"/>
    <w:rsid w:val="00D66175"/>
    <w:rsid w:val="00D7070B"/>
    <w:rsid w:val="00D7184D"/>
    <w:rsid w:val="00D736BA"/>
    <w:rsid w:val="00D73ACB"/>
    <w:rsid w:val="00D745B6"/>
    <w:rsid w:val="00D75813"/>
    <w:rsid w:val="00D760BA"/>
    <w:rsid w:val="00D761BA"/>
    <w:rsid w:val="00D764FB"/>
    <w:rsid w:val="00D76B7D"/>
    <w:rsid w:val="00D807A1"/>
    <w:rsid w:val="00D817D4"/>
    <w:rsid w:val="00D84859"/>
    <w:rsid w:val="00D84BFB"/>
    <w:rsid w:val="00D84E91"/>
    <w:rsid w:val="00D860C4"/>
    <w:rsid w:val="00D86FD6"/>
    <w:rsid w:val="00D903EA"/>
    <w:rsid w:val="00D90C3B"/>
    <w:rsid w:val="00D90E5E"/>
    <w:rsid w:val="00D92506"/>
    <w:rsid w:val="00D9330B"/>
    <w:rsid w:val="00D9486B"/>
    <w:rsid w:val="00D96D5A"/>
    <w:rsid w:val="00D97F61"/>
    <w:rsid w:val="00DA0769"/>
    <w:rsid w:val="00DA11E6"/>
    <w:rsid w:val="00DA1C9E"/>
    <w:rsid w:val="00DA2C0F"/>
    <w:rsid w:val="00DA314A"/>
    <w:rsid w:val="00DA38D0"/>
    <w:rsid w:val="00DA6B1C"/>
    <w:rsid w:val="00DA71E0"/>
    <w:rsid w:val="00DB0259"/>
    <w:rsid w:val="00DB14A0"/>
    <w:rsid w:val="00DB24DB"/>
    <w:rsid w:val="00DB4305"/>
    <w:rsid w:val="00DB64B0"/>
    <w:rsid w:val="00DB70F2"/>
    <w:rsid w:val="00DB7FE3"/>
    <w:rsid w:val="00DC0133"/>
    <w:rsid w:val="00DC0FDB"/>
    <w:rsid w:val="00DC100B"/>
    <w:rsid w:val="00DC2C50"/>
    <w:rsid w:val="00DC2E69"/>
    <w:rsid w:val="00DC3E47"/>
    <w:rsid w:val="00DC4C5F"/>
    <w:rsid w:val="00DC647F"/>
    <w:rsid w:val="00DD13C4"/>
    <w:rsid w:val="00DD1C42"/>
    <w:rsid w:val="00DD1CD8"/>
    <w:rsid w:val="00DD2B5D"/>
    <w:rsid w:val="00DD6B84"/>
    <w:rsid w:val="00DD712F"/>
    <w:rsid w:val="00DD7372"/>
    <w:rsid w:val="00DD7B2C"/>
    <w:rsid w:val="00DE2012"/>
    <w:rsid w:val="00DE2085"/>
    <w:rsid w:val="00DE2524"/>
    <w:rsid w:val="00DE3568"/>
    <w:rsid w:val="00DE54E9"/>
    <w:rsid w:val="00DE64DD"/>
    <w:rsid w:val="00DE654E"/>
    <w:rsid w:val="00DF07D7"/>
    <w:rsid w:val="00DF0A47"/>
    <w:rsid w:val="00DF0CA7"/>
    <w:rsid w:val="00DF1ADD"/>
    <w:rsid w:val="00DF253C"/>
    <w:rsid w:val="00DF29CD"/>
    <w:rsid w:val="00DF3F68"/>
    <w:rsid w:val="00DF4016"/>
    <w:rsid w:val="00DF678E"/>
    <w:rsid w:val="00E00AF5"/>
    <w:rsid w:val="00E0134E"/>
    <w:rsid w:val="00E032E6"/>
    <w:rsid w:val="00E03B3B"/>
    <w:rsid w:val="00E04F09"/>
    <w:rsid w:val="00E05472"/>
    <w:rsid w:val="00E10D75"/>
    <w:rsid w:val="00E11226"/>
    <w:rsid w:val="00E12E8B"/>
    <w:rsid w:val="00E13CB3"/>
    <w:rsid w:val="00E1460F"/>
    <w:rsid w:val="00E149ED"/>
    <w:rsid w:val="00E15680"/>
    <w:rsid w:val="00E1634B"/>
    <w:rsid w:val="00E16EB3"/>
    <w:rsid w:val="00E20811"/>
    <w:rsid w:val="00E20ECD"/>
    <w:rsid w:val="00E211D7"/>
    <w:rsid w:val="00E213DC"/>
    <w:rsid w:val="00E21DE8"/>
    <w:rsid w:val="00E24914"/>
    <w:rsid w:val="00E24A3D"/>
    <w:rsid w:val="00E25338"/>
    <w:rsid w:val="00E254E8"/>
    <w:rsid w:val="00E2582A"/>
    <w:rsid w:val="00E26F14"/>
    <w:rsid w:val="00E307BC"/>
    <w:rsid w:val="00E3272D"/>
    <w:rsid w:val="00E32A23"/>
    <w:rsid w:val="00E35445"/>
    <w:rsid w:val="00E35E31"/>
    <w:rsid w:val="00E406BA"/>
    <w:rsid w:val="00E40B20"/>
    <w:rsid w:val="00E42E62"/>
    <w:rsid w:val="00E44CB4"/>
    <w:rsid w:val="00E4537D"/>
    <w:rsid w:val="00E455FD"/>
    <w:rsid w:val="00E46FC6"/>
    <w:rsid w:val="00E4708D"/>
    <w:rsid w:val="00E50364"/>
    <w:rsid w:val="00E50BF9"/>
    <w:rsid w:val="00E51672"/>
    <w:rsid w:val="00E51A27"/>
    <w:rsid w:val="00E541D3"/>
    <w:rsid w:val="00E54D3C"/>
    <w:rsid w:val="00E553E3"/>
    <w:rsid w:val="00E60F2F"/>
    <w:rsid w:val="00E62B64"/>
    <w:rsid w:val="00E63307"/>
    <w:rsid w:val="00E63D4D"/>
    <w:rsid w:val="00E63F0A"/>
    <w:rsid w:val="00E6430E"/>
    <w:rsid w:val="00E678AC"/>
    <w:rsid w:val="00E71018"/>
    <w:rsid w:val="00E71372"/>
    <w:rsid w:val="00E726B7"/>
    <w:rsid w:val="00E73886"/>
    <w:rsid w:val="00E73CEC"/>
    <w:rsid w:val="00E74116"/>
    <w:rsid w:val="00E75DF3"/>
    <w:rsid w:val="00E761D9"/>
    <w:rsid w:val="00E7651F"/>
    <w:rsid w:val="00E77018"/>
    <w:rsid w:val="00E81A7A"/>
    <w:rsid w:val="00E82AA9"/>
    <w:rsid w:val="00E83ACD"/>
    <w:rsid w:val="00E83DA3"/>
    <w:rsid w:val="00E8506D"/>
    <w:rsid w:val="00E86EC5"/>
    <w:rsid w:val="00E8789F"/>
    <w:rsid w:val="00E879D6"/>
    <w:rsid w:val="00E90634"/>
    <w:rsid w:val="00E911E8"/>
    <w:rsid w:val="00E94465"/>
    <w:rsid w:val="00E95676"/>
    <w:rsid w:val="00E959B2"/>
    <w:rsid w:val="00E959C3"/>
    <w:rsid w:val="00E97896"/>
    <w:rsid w:val="00EA0087"/>
    <w:rsid w:val="00EA0701"/>
    <w:rsid w:val="00EA13C8"/>
    <w:rsid w:val="00EA1F21"/>
    <w:rsid w:val="00EA221B"/>
    <w:rsid w:val="00EA285E"/>
    <w:rsid w:val="00EA2BD7"/>
    <w:rsid w:val="00EA3501"/>
    <w:rsid w:val="00EA4A87"/>
    <w:rsid w:val="00EA5FBB"/>
    <w:rsid w:val="00EA5FF6"/>
    <w:rsid w:val="00EB0FD8"/>
    <w:rsid w:val="00EB41CC"/>
    <w:rsid w:val="00EB4A0C"/>
    <w:rsid w:val="00EB4AF1"/>
    <w:rsid w:val="00EB5D7E"/>
    <w:rsid w:val="00EB61AA"/>
    <w:rsid w:val="00EB6693"/>
    <w:rsid w:val="00EB6C06"/>
    <w:rsid w:val="00EB7DBB"/>
    <w:rsid w:val="00EC035B"/>
    <w:rsid w:val="00EC10C1"/>
    <w:rsid w:val="00EC3634"/>
    <w:rsid w:val="00EC59D3"/>
    <w:rsid w:val="00EC75FF"/>
    <w:rsid w:val="00EC76DB"/>
    <w:rsid w:val="00ED0D2F"/>
    <w:rsid w:val="00ED21D8"/>
    <w:rsid w:val="00ED3583"/>
    <w:rsid w:val="00ED421E"/>
    <w:rsid w:val="00ED4FEF"/>
    <w:rsid w:val="00ED5105"/>
    <w:rsid w:val="00ED51DC"/>
    <w:rsid w:val="00ED5A09"/>
    <w:rsid w:val="00ED671E"/>
    <w:rsid w:val="00EE071D"/>
    <w:rsid w:val="00EE3889"/>
    <w:rsid w:val="00EE5E06"/>
    <w:rsid w:val="00EE646B"/>
    <w:rsid w:val="00EE6A43"/>
    <w:rsid w:val="00EE6C20"/>
    <w:rsid w:val="00EF187A"/>
    <w:rsid w:val="00EF1D8C"/>
    <w:rsid w:val="00EF38F6"/>
    <w:rsid w:val="00EF6DFB"/>
    <w:rsid w:val="00EF7414"/>
    <w:rsid w:val="00EF7700"/>
    <w:rsid w:val="00F012E6"/>
    <w:rsid w:val="00F01973"/>
    <w:rsid w:val="00F100BE"/>
    <w:rsid w:val="00F10BBA"/>
    <w:rsid w:val="00F111D7"/>
    <w:rsid w:val="00F11DD2"/>
    <w:rsid w:val="00F11E23"/>
    <w:rsid w:val="00F12D44"/>
    <w:rsid w:val="00F14AAC"/>
    <w:rsid w:val="00F14F07"/>
    <w:rsid w:val="00F15361"/>
    <w:rsid w:val="00F16CF6"/>
    <w:rsid w:val="00F173C7"/>
    <w:rsid w:val="00F17623"/>
    <w:rsid w:val="00F209D1"/>
    <w:rsid w:val="00F20D5D"/>
    <w:rsid w:val="00F20F95"/>
    <w:rsid w:val="00F24A91"/>
    <w:rsid w:val="00F2625C"/>
    <w:rsid w:val="00F2641C"/>
    <w:rsid w:val="00F27DA3"/>
    <w:rsid w:val="00F30879"/>
    <w:rsid w:val="00F31CF2"/>
    <w:rsid w:val="00F32519"/>
    <w:rsid w:val="00F3371B"/>
    <w:rsid w:val="00F3402A"/>
    <w:rsid w:val="00F340E2"/>
    <w:rsid w:val="00F34C80"/>
    <w:rsid w:val="00F34E17"/>
    <w:rsid w:val="00F356D7"/>
    <w:rsid w:val="00F35F53"/>
    <w:rsid w:val="00F36C53"/>
    <w:rsid w:val="00F36F65"/>
    <w:rsid w:val="00F375C8"/>
    <w:rsid w:val="00F40C67"/>
    <w:rsid w:val="00F42257"/>
    <w:rsid w:val="00F467B1"/>
    <w:rsid w:val="00F4689F"/>
    <w:rsid w:val="00F5085E"/>
    <w:rsid w:val="00F51491"/>
    <w:rsid w:val="00F515B4"/>
    <w:rsid w:val="00F52BB2"/>
    <w:rsid w:val="00F5313F"/>
    <w:rsid w:val="00F536C8"/>
    <w:rsid w:val="00F53D28"/>
    <w:rsid w:val="00F53F03"/>
    <w:rsid w:val="00F544A6"/>
    <w:rsid w:val="00F578D2"/>
    <w:rsid w:val="00F57EB0"/>
    <w:rsid w:val="00F61FE4"/>
    <w:rsid w:val="00F620F1"/>
    <w:rsid w:val="00F640C6"/>
    <w:rsid w:val="00F647AC"/>
    <w:rsid w:val="00F72A0F"/>
    <w:rsid w:val="00F73E76"/>
    <w:rsid w:val="00F75B1F"/>
    <w:rsid w:val="00F76392"/>
    <w:rsid w:val="00F801C7"/>
    <w:rsid w:val="00F81585"/>
    <w:rsid w:val="00F81DFE"/>
    <w:rsid w:val="00F82AD0"/>
    <w:rsid w:val="00F861B7"/>
    <w:rsid w:val="00F86558"/>
    <w:rsid w:val="00F86670"/>
    <w:rsid w:val="00F90257"/>
    <w:rsid w:val="00F907B6"/>
    <w:rsid w:val="00F9081F"/>
    <w:rsid w:val="00F91795"/>
    <w:rsid w:val="00F91A49"/>
    <w:rsid w:val="00F922DD"/>
    <w:rsid w:val="00F92365"/>
    <w:rsid w:val="00F93956"/>
    <w:rsid w:val="00F97236"/>
    <w:rsid w:val="00FA11D9"/>
    <w:rsid w:val="00FA1936"/>
    <w:rsid w:val="00FA6D74"/>
    <w:rsid w:val="00FB2564"/>
    <w:rsid w:val="00FB2D88"/>
    <w:rsid w:val="00FB5426"/>
    <w:rsid w:val="00FB6DEF"/>
    <w:rsid w:val="00FC0A17"/>
    <w:rsid w:val="00FC0BCD"/>
    <w:rsid w:val="00FC1A6E"/>
    <w:rsid w:val="00FC1BD4"/>
    <w:rsid w:val="00FC2867"/>
    <w:rsid w:val="00FC4D19"/>
    <w:rsid w:val="00FC58F7"/>
    <w:rsid w:val="00FC65CA"/>
    <w:rsid w:val="00FC7798"/>
    <w:rsid w:val="00FD0326"/>
    <w:rsid w:val="00FD308B"/>
    <w:rsid w:val="00FD33DC"/>
    <w:rsid w:val="00FD3EBF"/>
    <w:rsid w:val="00FD7282"/>
    <w:rsid w:val="00FE028F"/>
    <w:rsid w:val="00FE22ED"/>
    <w:rsid w:val="00FE40EE"/>
    <w:rsid w:val="00FE449F"/>
    <w:rsid w:val="00FE5552"/>
    <w:rsid w:val="00FF02C3"/>
    <w:rsid w:val="00FF112E"/>
    <w:rsid w:val="00FF1AED"/>
    <w:rsid w:val="00FF1CCB"/>
    <w:rsid w:val="00FF2A77"/>
    <w:rsid w:val="00FF38B6"/>
    <w:rsid w:val="00FF469A"/>
    <w:rsid w:val="00FF5490"/>
    <w:rsid w:val="00FF5CF6"/>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9F74AE-53D0-442F-8A42-D39BFED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uiPriority w:val="59"/>
    <w:rsid w:val="0080126D"/>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4438">
      <w:bodyDiv w:val="1"/>
      <w:marLeft w:val="0"/>
      <w:marRight w:val="0"/>
      <w:marTop w:val="0"/>
      <w:marBottom w:val="0"/>
      <w:divBdr>
        <w:top w:val="none" w:sz="0" w:space="0" w:color="auto"/>
        <w:left w:val="none" w:sz="0" w:space="0" w:color="auto"/>
        <w:bottom w:val="none" w:sz="0" w:space="0" w:color="auto"/>
        <w:right w:val="none" w:sz="0" w:space="0" w:color="auto"/>
      </w:divBdr>
    </w:div>
    <w:div w:id="130758272">
      <w:bodyDiv w:val="1"/>
      <w:marLeft w:val="0"/>
      <w:marRight w:val="0"/>
      <w:marTop w:val="0"/>
      <w:marBottom w:val="0"/>
      <w:divBdr>
        <w:top w:val="none" w:sz="0" w:space="0" w:color="auto"/>
        <w:left w:val="none" w:sz="0" w:space="0" w:color="auto"/>
        <w:bottom w:val="none" w:sz="0" w:space="0" w:color="auto"/>
        <w:right w:val="none" w:sz="0" w:space="0" w:color="auto"/>
      </w:divBdr>
    </w:div>
    <w:div w:id="175192614">
      <w:bodyDiv w:val="1"/>
      <w:marLeft w:val="0"/>
      <w:marRight w:val="0"/>
      <w:marTop w:val="0"/>
      <w:marBottom w:val="0"/>
      <w:divBdr>
        <w:top w:val="none" w:sz="0" w:space="0" w:color="auto"/>
        <w:left w:val="none" w:sz="0" w:space="0" w:color="auto"/>
        <w:bottom w:val="none" w:sz="0" w:space="0" w:color="auto"/>
        <w:right w:val="none" w:sz="0" w:space="0" w:color="auto"/>
      </w:divBdr>
    </w:div>
    <w:div w:id="208692326">
      <w:bodyDiv w:val="1"/>
      <w:marLeft w:val="0"/>
      <w:marRight w:val="0"/>
      <w:marTop w:val="0"/>
      <w:marBottom w:val="0"/>
      <w:divBdr>
        <w:top w:val="none" w:sz="0" w:space="0" w:color="auto"/>
        <w:left w:val="none" w:sz="0" w:space="0" w:color="auto"/>
        <w:bottom w:val="none" w:sz="0" w:space="0" w:color="auto"/>
        <w:right w:val="none" w:sz="0" w:space="0" w:color="auto"/>
      </w:divBdr>
      <w:divsChild>
        <w:div w:id="742872607">
          <w:marLeft w:val="0"/>
          <w:marRight w:val="0"/>
          <w:marTop w:val="120"/>
          <w:marBottom w:val="0"/>
          <w:divBdr>
            <w:top w:val="none" w:sz="0" w:space="0" w:color="auto"/>
            <w:left w:val="none" w:sz="0" w:space="0" w:color="auto"/>
            <w:bottom w:val="none" w:sz="0" w:space="0" w:color="auto"/>
            <w:right w:val="none" w:sz="0" w:space="0" w:color="auto"/>
          </w:divBdr>
        </w:div>
        <w:div w:id="73476637">
          <w:marLeft w:val="0"/>
          <w:marRight w:val="0"/>
          <w:marTop w:val="120"/>
          <w:marBottom w:val="0"/>
          <w:divBdr>
            <w:top w:val="none" w:sz="0" w:space="0" w:color="auto"/>
            <w:left w:val="none" w:sz="0" w:space="0" w:color="auto"/>
            <w:bottom w:val="none" w:sz="0" w:space="0" w:color="auto"/>
            <w:right w:val="none" w:sz="0" w:space="0" w:color="auto"/>
          </w:divBdr>
        </w:div>
        <w:div w:id="715739776">
          <w:marLeft w:val="1134"/>
          <w:marRight w:val="0"/>
          <w:marTop w:val="60"/>
          <w:marBottom w:val="0"/>
          <w:divBdr>
            <w:top w:val="none" w:sz="0" w:space="0" w:color="auto"/>
            <w:left w:val="none" w:sz="0" w:space="0" w:color="auto"/>
            <w:bottom w:val="none" w:sz="0" w:space="0" w:color="auto"/>
            <w:right w:val="none" w:sz="0" w:space="0" w:color="auto"/>
          </w:divBdr>
        </w:div>
      </w:divsChild>
    </w:div>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861627719">
      <w:bodyDiv w:val="1"/>
      <w:marLeft w:val="0"/>
      <w:marRight w:val="0"/>
      <w:marTop w:val="0"/>
      <w:marBottom w:val="0"/>
      <w:divBdr>
        <w:top w:val="none" w:sz="0" w:space="0" w:color="auto"/>
        <w:left w:val="none" w:sz="0" w:space="0" w:color="auto"/>
        <w:bottom w:val="none" w:sz="0" w:space="0" w:color="auto"/>
        <w:right w:val="none" w:sz="0" w:space="0" w:color="auto"/>
      </w:divBdr>
    </w:div>
    <w:div w:id="953558801">
      <w:bodyDiv w:val="1"/>
      <w:marLeft w:val="0"/>
      <w:marRight w:val="0"/>
      <w:marTop w:val="0"/>
      <w:marBottom w:val="0"/>
      <w:divBdr>
        <w:top w:val="none" w:sz="0" w:space="0" w:color="auto"/>
        <w:left w:val="none" w:sz="0" w:space="0" w:color="auto"/>
        <w:bottom w:val="none" w:sz="0" w:space="0" w:color="auto"/>
        <w:right w:val="none" w:sz="0" w:space="0" w:color="auto"/>
      </w:divBdr>
    </w:div>
    <w:div w:id="1128013688">
      <w:bodyDiv w:val="1"/>
      <w:marLeft w:val="0"/>
      <w:marRight w:val="0"/>
      <w:marTop w:val="0"/>
      <w:marBottom w:val="0"/>
      <w:divBdr>
        <w:top w:val="none" w:sz="0" w:space="0" w:color="auto"/>
        <w:left w:val="none" w:sz="0" w:space="0" w:color="auto"/>
        <w:bottom w:val="none" w:sz="0" w:space="0" w:color="auto"/>
        <w:right w:val="none" w:sz="0" w:space="0" w:color="auto"/>
      </w:divBdr>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471365912">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DF948-EE5D-4F86-83FB-015DAECE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27</Pages>
  <Words>8334</Words>
  <Characters>47508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55731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2</cp:revision>
  <cp:lastPrinted>2019-09-17T07:25:00Z</cp:lastPrinted>
  <dcterms:created xsi:type="dcterms:W3CDTF">2023-07-06T14:55:00Z</dcterms:created>
  <dcterms:modified xsi:type="dcterms:W3CDTF">2023-07-06T14:55:00Z</dcterms:modified>
</cp:coreProperties>
</file>