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A07E8" w14:textId="77777777" w:rsidR="0048436A" w:rsidRDefault="0048436A" w:rsidP="0048436A">
      <w:pPr>
        <w:pStyle w:val="Title"/>
        <w:spacing w:after="120" w:line="360" w:lineRule="auto"/>
      </w:pPr>
      <w:r>
        <w:rPr>
          <w:noProof/>
          <w:lang w:val="en-US"/>
        </w:rPr>
        <w:drawing>
          <wp:inline distT="0" distB="0" distL="0" distR="0" wp14:anchorId="510A0864" wp14:editId="510A0865">
            <wp:extent cx="153352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510A07E9" w14:textId="77777777" w:rsidR="0048436A" w:rsidRPr="002B0678" w:rsidRDefault="0048436A" w:rsidP="00A6437F">
      <w:pPr>
        <w:jc w:val="center"/>
        <w:rPr>
          <w:rFonts w:cs="Arial"/>
          <w:b/>
          <w:sz w:val="24"/>
        </w:rPr>
      </w:pPr>
      <w:r w:rsidRPr="002B0678">
        <w:rPr>
          <w:rFonts w:cs="Arial"/>
          <w:b/>
          <w:sz w:val="24"/>
        </w:rPr>
        <w:t xml:space="preserve">IN </w:t>
      </w:r>
      <w:r w:rsidR="000B74FB" w:rsidRPr="002B0678">
        <w:rPr>
          <w:rFonts w:cs="Arial"/>
          <w:b/>
          <w:sz w:val="24"/>
        </w:rPr>
        <w:t>THE HIGH COURT OF SOUTH AFRICA</w:t>
      </w:r>
    </w:p>
    <w:p w14:paraId="510A07EA" w14:textId="77777777" w:rsidR="0048436A" w:rsidRPr="002B0678" w:rsidRDefault="0048436A" w:rsidP="0048436A">
      <w:pPr>
        <w:spacing w:line="240" w:lineRule="auto"/>
        <w:jc w:val="center"/>
        <w:rPr>
          <w:rFonts w:cs="Arial"/>
          <w:b/>
          <w:sz w:val="24"/>
        </w:rPr>
      </w:pPr>
      <w:r w:rsidRPr="002B0678">
        <w:rPr>
          <w:rFonts w:cs="Arial"/>
          <w:b/>
          <w:sz w:val="24"/>
        </w:rPr>
        <w:t>GAUTENG DIVISION, JOHANNESBURG</w:t>
      </w:r>
    </w:p>
    <w:p w14:paraId="510A07EB" w14:textId="77777777" w:rsidR="0048436A" w:rsidRPr="002B0678" w:rsidRDefault="0048436A" w:rsidP="0048436A">
      <w:pPr>
        <w:spacing w:line="240" w:lineRule="auto"/>
        <w:rPr>
          <w:rFonts w:cs="Arial"/>
          <w:b/>
          <w:sz w:val="24"/>
        </w:rPr>
      </w:pPr>
    </w:p>
    <w:p w14:paraId="622659BF" w14:textId="52B231B6" w:rsidR="00EC25FA" w:rsidRPr="002B0678" w:rsidRDefault="00EC25FA" w:rsidP="00EC25FA">
      <w:pPr>
        <w:spacing w:line="240" w:lineRule="auto"/>
        <w:jc w:val="right"/>
        <w:rPr>
          <w:rFonts w:cs="Arial"/>
          <w:b/>
          <w:sz w:val="24"/>
        </w:rPr>
      </w:pPr>
      <w:r w:rsidRPr="002B0678">
        <w:rPr>
          <w:rFonts w:cs="Arial"/>
          <w:b/>
          <w:sz w:val="24"/>
        </w:rPr>
        <w:t>C</w:t>
      </w:r>
      <w:r w:rsidR="008C04EC">
        <w:rPr>
          <w:rFonts w:cs="Arial"/>
          <w:b/>
          <w:sz w:val="24"/>
        </w:rPr>
        <w:t>ase</w:t>
      </w:r>
      <w:r w:rsidRPr="002B0678">
        <w:rPr>
          <w:rFonts w:cs="Arial"/>
          <w:b/>
          <w:sz w:val="24"/>
        </w:rPr>
        <w:t xml:space="preserve"> N</w:t>
      </w:r>
      <w:r w:rsidR="008C04EC">
        <w:rPr>
          <w:rFonts w:cs="Arial"/>
          <w:b/>
          <w:sz w:val="24"/>
        </w:rPr>
        <w:t>o</w:t>
      </w:r>
      <w:r w:rsidRPr="002B0678">
        <w:rPr>
          <w:rFonts w:cs="Arial"/>
          <w:b/>
          <w:sz w:val="24"/>
        </w:rPr>
        <w:t xml:space="preserve">: </w:t>
      </w:r>
      <w:r w:rsidR="00671158">
        <w:rPr>
          <w:rFonts w:cs="Arial"/>
          <w:b/>
          <w:sz w:val="24"/>
        </w:rPr>
        <w:t>2153</w:t>
      </w:r>
      <w:r w:rsidR="00641FB8">
        <w:rPr>
          <w:rFonts w:cs="Arial"/>
          <w:b/>
          <w:sz w:val="24"/>
        </w:rPr>
        <w:t>5</w:t>
      </w:r>
      <w:r w:rsidRPr="002B0678">
        <w:rPr>
          <w:rFonts w:cs="Arial"/>
          <w:b/>
          <w:sz w:val="24"/>
        </w:rPr>
        <w:t>/20</w:t>
      </w:r>
      <w:r w:rsidR="00860964">
        <w:rPr>
          <w:rFonts w:cs="Arial"/>
          <w:b/>
          <w:sz w:val="24"/>
        </w:rPr>
        <w:t>2</w:t>
      </w:r>
      <w:r w:rsidR="007C2DB2">
        <w:rPr>
          <w:rFonts w:cs="Arial"/>
          <w:b/>
          <w:sz w:val="24"/>
        </w:rPr>
        <w:t>2</w:t>
      </w:r>
    </w:p>
    <w:p w14:paraId="510A07EC" w14:textId="77777777" w:rsidR="0048436A" w:rsidRPr="002B0678" w:rsidRDefault="0048436A" w:rsidP="0048436A">
      <w:pPr>
        <w:spacing w:line="240" w:lineRule="auto"/>
        <w:rPr>
          <w:rFonts w:cs="Arial"/>
          <w:b/>
          <w:sz w:val="24"/>
        </w:rPr>
      </w:pPr>
    </w:p>
    <w:p w14:paraId="36C9C4E3" w14:textId="77777777" w:rsidR="0046184A" w:rsidRPr="002B0678" w:rsidRDefault="0046184A" w:rsidP="0048436A">
      <w:pPr>
        <w:spacing w:line="240" w:lineRule="auto"/>
        <w:rPr>
          <w:rFonts w:cs="Arial"/>
          <w:b/>
          <w:sz w:val="24"/>
        </w:rPr>
      </w:pPr>
    </w:p>
    <w:p w14:paraId="510A07ED" w14:textId="057A7A2B" w:rsidR="0048436A" w:rsidRPr="002B0678" w:rsidRDefault="0048436A" w:rsidP="0048436A">
      <w:pPr>
        <w:jc w:val="right"/>
        <w:rPr>
          <w:rFonts w:cs="Arial"/>
          <w:b/>
          <w:sz w:val="24"/>
        </w:rPr>
      </w:pPr>
      <w:r w:rsidRPr="002B0678">
        <w:rPr>
          <w:rFonts w:cs="Arial"/>
          <w:noProof/>
          <w:sz w:val="24"/>
          <w:lang w:val="en-US"/>
        </w:rPr>
        <mc:AlternateContent>
          <mc:Choice Requires="wps">
            <w:drawing>
              <wp:anchor distT="0" distB="0" distL="114300" distR="114300" simplePos="0" relativeHeight="251659264" behindDoc="0" locked="0" layoutInCell="1" allowOverlap="1" wp14:anchorId="510A0866" wp14:editId="510A0867">
                <wp:simplePos x="0" y="0"/>
                <wp:positionH relativeFrom="column">
                  <wp:posOffset>40005</wp:posOffset>
                </wp:positionH>
                <wp:positionV relativeFrom="paragraph">
                  <wp:posOffset>17145</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510A086E" w14:textId="77777777" w:rsidR="0048436A" w:rsidRPr="00E3247C" w:rsidRDefault="0048436A" w:rsidP="0048436A">
                            <w:pPr>
                              <w:jc w:val="center"/>
                              <w:rPr>
                                <w:rFonts w:cs="Arial"/>
                                <w:b/>
                                <w:sz w:val="18"/>
                                <w:szCs w:val="18"/>
                              </w:rPr>
                            </w:pPr>
                          </w:p>
                          <w:p w14:paraId="510A086F" w14:textId="083C794B" w:rsidR="0048436A" w:rsidRPr="00E3247C" w:rsidRDefault="00C03686" w:rsidP="00C03686">
                            <w:pPr>
                              <w:tabs>
                                <w:tab w:val="left" w:pos="900"/>
                              </w:tabs>
                              <w:spacing w:line="240" w:lineRule="auto"/>
                              <w:ind w:left="900" w:hanging="720"/>
                              <w:jc w:val="left"/>
                              <w:rPr>
                                <w:rFonts w:cs="Arial"/>
                                <w:sz w:val="18"/>
                                <w:szCs w:val="18"/>
                              </w:rPr>
                            </w:pPr>
                            <w:r w:rsidRPr="00E3247C">
                              <w:rPr>
                                <w:rFonts w:cs="Arial"/>
                                <w:sz w:val="18"/>
                                <w:szCs w:val="18"/>
                              </w:rPr>
                              <w:t>(1)</w:t>
                            </w:r>
                            <w:r w:rsidRPr="00E3247C">
                              <w:rPr>
                                <w:rFonts w:cs="Arial"/>
                                <w:sz w:val="18"/>
                                <w:szCs w:val="18"/>
                              </w:rPr>
                              <w:tab/>
                            </w:r>
                            <w:r w:rsidR="0048436A" w:rsidRPr="00E3247C">
                              <w:rPr>
                                <w:rFonts w:cs="Arial"/>
                                <w:sz w:val="18"/>
                                <w:szCs w:val="18"/>
                              </w:rPr>
                              <w:t xml:space="preserve">REPORTABLE: </w:t>
                            </w:r>
                            <w:r w:rsidR="00832BD7" w:rsidRPr="00E3247C">
                              <w:rPr>
                                <w:rFonts w:cs="Arial"/>
                                <w:b/>
                                <w:sz w:val="18"/>
                                <w:szCs w:val="18"/>
                              </w:rPr>
                              <w:t>NO</w:t>
                            </w:r>
                          </w:p>
                          <w:p w14:paraId="510A0870" w14:textId="1D45578D" w:rsidR="0048436A" w:rsidRPr="00E3247C" w:rsidRDefault="00C03686" w:rsidP="00C03686">
                            <w:pPr>
                              <w:tabs>
                                <w:tab w:val="left" w:pos="900"/>
                              </w:tabs>
                              <w:spacing w:line="240" w:lineRule="auto"/>
                              <w:ind w:left="900" w:hanging="720"/>
                              <w:jc w:val="left"/>
                              <w:rPr>
                                <w:rFonts w:cs="Arial"/>
                                <w:sz w:val="18"/>
                                <w:szCs w:val="18"/>
                              </w:rPr>
                            </w:pPr>
                            <w:r w:rsidRPr="00E3247C">
                              <w:rPr>
                                <w:rFonts w:cs="Arial"/>
                                <w:sz w:val="18"/>
                                <w:szCs w:val="18"/>
                              </w:rPr>
                              <w:t>(2)</w:t>
                            </w:r>
                            <w:r w:rsidRPr="00E3247C">
                              <w:rPr>
                                <w:rFonts w:cs="Arial"/>
                                <w:sz w:val="18"/>
                                <w:szCs w:val="18"/>
                              </w:rPr>
                              <w:tab/>
                            </w:r>
                            <w:r w:rsidR="0048436A" w:rsidRPr="00E3247C">
                              <w:rPr>
                                <w:rFonts w:cs="Arial"/>
                                <w:sz w:val="18"/>
                                <w:szCs w:val="18"/>
                              </w:rPr>
                              <w:t xml:space="preserve">OF INTEREST TO OTHER JUDGES: </w:t>
                            </w:r>
                            <w:r w:rsidR="00832BD7" w:rsidRPr="00E3247C">
                              <w:rPr>
                                <w:rFonts w:cs="Arial"/>
                                <w:b/>
                                <w:sz w:val="18"/>
                                <w:szCs w:val="18"/>
                              </w:rPr>
                              <w:t>NO</w:t>
                            </w:r>
                          </w:p>
                          <w:p w14:paraId="510A0871" w14:textId="7A54AB87" w:rsidR="0048436A" w:rsidRPr="00E3247C" w:rsidRDefault="00C03686" w:rsidP="00C03686">
                            <w:pPr>
                              <w:tabs>
                                <w:tab w:val="left" w:pos="900"/>
                              </w:tabs>
                              <w:spacing w:line="240" w:lineRule="auto"/>
                              <w:ind w:left="900" w:hanging="720"/>
                              <w:jc w:val="left"/>
                              <w:rPr>
                                <w:rFonts w:cs="Arial"/>
                                <w:sz w:val="18"/>
                                <w:szCs w:val="18"/>
                              </w:rPr>
                            </w:pPr>
                            <w:r w:rsidRPr="00E3247C">
                              <w:rPr>
                                <w:rFonts w:cs="Arial"/>
                                <w:sz w:val="18"/>
                                <w:szCs w:val="18"/>
                              </w:rPr>
                              <w:t>(3)</w:t>
                            </w:r>
                            <w:r w:rsidRPr="00E3247C">
                              <w:rPr>
                                <w:rFonts w:cs="Arial"/>
                                <w:sz w:val="18"/>
                                <w:szCs w:val="18"/>
                              </w:rPr>
                              <w:tab/>
                            </w:r>
                            <w:r w:rsidR="00832BD7" w:rsidRPr="00E3247C">
                              <w:rPr>
                                <w:rFonts w:cs="Arial"/>
                                <w:sz w:val="18"/>
                                <w:szCs w:val="18"/>
                              </w:rPr>
                              <w:t xml:space="preserve">REVISED: </w:t>
                            </w:r>
                            <w:r w:rsidR="00832BD7" w:rsidRPr="00E3247C">
                              <w:rPr>
                                <w:rFonts w:cs="Arial"/>
                                <w:b/>
                                <w:sz w:val="18"/>
                                <w:szCs w:val="18"/>
                              </w:rPr>
                              <w:t>NO</w:t>
                            </w:r>
                          </w:p>
                          <w:p w14:paraId="510A0872" w14:textId="77777777" w:rsidR="0048436A" w:rsidRPr="00E3247C" w:rsidRDefault="0048436A" w:rsidP="0048436A">
                            <w:pPr>
                              <w:rPr>
                                <w:rFonts w:cs="Arial"/>
                                <w:b/>
                                <w:sz w:val="18"/>
                                <w:szCs w:val="18"/>
                              </w:rPr>
                            </w:pPr>
                          </w:p>
                          <w:p w14:paraId="510A0873" w14:textId="77777777" w:rsidR="0048436A" w:rsidRPr="00E3247C" w:rsidRDefault="0048436A" w:rsidP="0048436A">
                            <w:pPr>
                              <w:rPr>
                                <w:rFonts w:cs="Arial"/>
                                <w:b/>
                                <w:sz w:val="18"/>
                                <w:szCs w:val="18"/>
                              </w:rPr>
                            </w:pPr>
                            <w:r w:rsidRPr="00E3247C">
                              <w:rPr>
                                <w:rFonts w:cs="Arial"/>
                                <w:b/>
                                <w:sz w:val="18"/>
                                <w:szCs w:val="18"/>
                              </w:rPr>
                              <w:t xml:space="preserve">         ……………………</w:t>
                            </w:r>
                            <w:r w:rsidR="00A35FB8" w:rsidRPr="00E3247C">
                              <w:rPr>
                                <w:rFonts w:cs="Arial"/>
                                <w:b/>
                                <w:sz w:val="18"/>
                                <w:szCs w:val="18"/>
                              </w:rPr>
                              <w:t>….</w:t>
                            </w:r>
                            <w:r w:rsidRPr="00E3247C">
                              <w:rPr>
                                <w:rFonts w:cs="Arial"/>
                                <w:b/>
                                <w:sz w:val="18"/>
                                <w:szCs w:val="18"/>
                              </w:rPr>
                              <w:tab/>
                            </w:r>
                            <w:r w:rsidRPr="00E3247C">
                              <w:rPr>
                                <w:rFonts w:cs="Arial"/>
                                <w:b/>
                                <w:sz w:val="18"/>
                                <w:szCs w:val="18"/>
                              </w:rPr>
                              <w:tab/>
                              <w:t>………………………...</w:t>
                            </w:r>
                            <w:r w:rsidR="00A35FB8" w:rsidRPr="00E3247C">
                              <w:rPr>
                                <w:rFonts w:cs="Arial"/>
                                <w:b/>
                                <w:sz w:val="18"/>
                                <w:szCs w:val="18"/>
                              </w:rPr>
                              <w:t xml:space="preserve"> </w:t>
                            </w:r>
                          </w:p>
                          <w:p w14:paraId="510A0874" w14:textId="77777777" w:rsidR="0048436A" w:rsidRPr="00E3247C" w:rsidRDefault="0048436A" w:rsidP="0048436A">
                            <w:pPr>
                              <w:rPr>
                                <w:rFonts w:cs="Arial"/>
                                <w:sz w:val="18"/>
                                <w:szCs w:val="18"/>
                              </w:rPr>
                            </w:pPr>
                            <w:r w:rsidRPr="00E3247C">
                              <w:rPr>
                                <w:rFonts w:cs="Arial"/>
                                <w:sz w:val="18"/>
                                <w:szCs w:val="18"/>
                              </w:rPr>
                              <w:t xml:space="preserve">                   DATE</w:t>
                            </w:r>
                            <w:r w:rsidRPr="00E3247C">
                              <w:rPr>
                                <w:rFonts w:cs="Arial"/>
                                <w:sz w:val="18"/>
                                <w:szCs w:val="18"/>
                              </w:rPr>
                              <w:tab/>
                            </w:r>
                            <w:r w:rsidRPr="00E3247C">
                              <w:rPr>
                                <w:rFonts w:cs="Arial"/>
                                <w:sz w:val="18"/>
                                <w:szCs w:val="18"/>
                              </w:rPr>
                              <w:tab/>
                            </w:r>
                            <w:r w:rsidRPr="00E3247C">
                              <w:rPr>
                                <w:rFonts w:cs="Arial"/>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A0866" id="_x0000_t202" coordsize="21600,21600" o:spt="202" path="m,l,21600r21600,l21600,xe">
                <v:stroke joinstyle="miter"/>
                <v:path gradientshapeok="t" o:connecttype="rect"/>
              </v:shapetype>
              <v:shape id="Text Box 2" o:spid="_x0000_s1026" type="#_x0000_t202" style="position:absolute;left:0;text-align:left;margin-left:3.15pt;margin-top:1.35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">
                <v:textbox>
                  <w:txbxContent>
                    <w:p w14:paraId="510A086E" w14:textId="77777777" w:rsidR="0048436A" w:rsidRPr="00E3247C" w:rsidRDefault="0048436A" w:rsidP="0048436A">
                      <w:pPr>
                        <w:jc w:val="center"/>
                        <w:rPr>
                          <w:rFonts w:cs="Arial"/>
                          <w:b/>
                          <w:sz w:val="18"/>
                          <w:szCs w:val="18"/>
                        </w:rPr>
                      </w:pPr>
                    </w:p>
                    <w:p w14:paraId="510A086F" w14:textId="083C794B" w:rsidR="0048436A" w:rsidRPr="00E3247C" w:rsidRDefault="00C03686" w:rsidP="00C03686">
                      <w:pPr>
                        <w:tabs>
                          <w:tab w:val="left" w:pos="900"/>
                        </w:tabs>
                        <w:spacing w:line="240" w:lineRule="auto"/>
                        <w:ind w:left="900" w:hanging="720"/>
                        <w:jc w:val="left"/>
                        <w:rPr>
                          <w:rFonts w:cs="Arial"/>
                          <w:sz w:val="18"/>
                          <w:szCs w:val="18"/>
                        </w:rPr>
                      </w:pPr>
                      <w:r w:rsidRPr="00E3247C">
                        <w:rPr>
                          <w:rFonts w:cs="Arial"/>
                          <w:sz w:val="18"/>
                          <w:szCs w:val="18"/>
                        </w:rPr>
                        <w:t>(1)</w:t>
                      </w:r>
                      <w:r w:rsidRPr="00E3247C">
                        <w:rPr>
                          <w:rFonts w:cs="Arial"/>
                          <w:sz w:val="18"/>
                          <w:szCs w:val="18"/>
                        </w:rPr>
                        <w:tab/>
                      </w:r>
                      <w:r w:rsidR="0048436A" w:rsidRPr="00E3247C">
                        <w:rPr>
                          <w:rFonts w:cs="Arial"/>
                          <w:sz w:val="18"/>
                          <w:szCs w:val="18"/>
                        </w:rPr>
                        <w:t xml:space="preserve">REPORTABLE: </w:t>
                      </w:r>
                      <w:r w:rsidR="00832BD7" w:rsidRPr="00E3247C">
                        <w:rPr>
                          <w:rFonts w:cs="Arial"/>
                          <w:b/>
                          <w:sz w:val="18"/>
                          <w:szCs w:val="18"/>
                        </w:rPr>
                        <w:t>NO</w:t>
                      </w:r>
                    </w:p>
                    <w:p w14:paraId="510A0870" w14:textId="1D45578D" w:rsidR="0048436A" w:rsidRPr="00E3247C" w:rsidRDefault="00C03686" w:rsidP="00C03686">
                      <w:pPr>
                        <w:tabs>
                          <w:tab w:val="left" w:pos="900"/>
                        </w:tabs>
                        <w:spacing w:line="240" w:lineRule="auto"/>
                        <w:ind w:left="900" w:hanging="720"/>
                        <w:jc w:val="left"/>
                        <w:rPr>
                          <w:rFonts w:cs="Arial"/>
                          <w:sz w:val="18"/>
                          <w:szCs w:val="18"/>
                        </w:rPr>
                      </w:pPr>
                      <w:r w:rsidRPr="00E3247C">
                        <w:rPr>
                          <w:rFonts w:cs="Arial"/>
                          <w:sz w:val="18"/>
                          <w:szCs w:val="18"/>
                        </w:rPr>
                        <w:t>(2)</w:t>
                      </w:r>
                      <w:r w:rsidRPr="00E3247C">
                        <w:rPr>
                          <w:rFonts w:cs="Arial"/>
                          <w:sz w:val="18"/>
                          <w:szCs w:val="18"/>
                        </w:rPr>
                        <w:tab/>
                      </w:r>
                      <w:r w:rsidR="0048436A" w:rsidRPr="00E3247C">
                        <w:rPr>
                          <w:rFonts w:cs="Arial"/>
                          <w:sz w:val="18"/>
                          <w:szCs w:val="18"/>
                        </w:rPr>
                        <w:t xml:space="preserve">OF INTEREST TO OTHER JUDGES: </w:t>
                      </w:r>
                      <w:r w:rsidR="00832BD7" w:rsidRPr="00E3247C">
                        <w:rPr>
                          <w:rFonts w:cs="Arial"/>
                          <w:b/>
                          <w:sz w:val="18"/>
                          <w:szCs w:val="18"/>
                        </w:rPr>
                        <w:t>NO</w:t>
                      </w:r>
                    </w:p>
                    <w:p w14:paraId="510A0871" w14:textId="7A54AB87" w:rsidR="0048436A" w:rsidRPr="00E3247C" w:rsidRDefault="00C03686" w:rsidP="00C03686">
                      <w:pPr>
                        <w:tabs>
                          <w:tab w:val="left" w:pos="900"/>
                        </w:tabs>
                        <w:spacing w:line="240" w:lineRule="auto"/>
                        <w:ind w:left="900" w:hanging="720"/>
                        <w:jc w:val="left"/>
                        <w:rPr>
                          <w:rFonts w:cs="Arial"/>
                          <w:sz w:val="18"/>
                          <w:szCs w:val="18"/>
                        </w:rPr>
                      </w:pPr>
                      <w:r w:rsidRPr="00E3247C">
                        <w:rPr>
                          <w:rFonts w:cs="Arial"/>
                          <w:sz w:val="18"/>
                          <w:szCs w:val="18"/>
                        </w:rPr>
                        <w:t>(3)</w:t>
                      </w:r>
                      <w:r w:rsidRPr="00E3247C">
                        <w:rPr>
                          <w:rFonts w:cs="Arial"/>
                          <w:sz w:val="18"/>
                          <w:szCs w:val="18"/>
                        </w:rPr>
                        <w:tab/>
                      </w:r>
                      <w:r w:rsidR="00832BD7" w:rsidRPr="00E3247C">
                        <w:rPr>
                          <w:rFonts w:cs="Arial"/>
                          <w:sz w:val="18"/>
                          <w:szCs w:val="18"/>
                        </w:rPr>
                        <w:t xml:space="preserve">REVISED: </w:t>
                      </w:r>
                      <w:r w:rsidR="00832BD7" w:rsidRPr="00E3247C">
                        <w:rPr>
                          <w:rFonts w:cs="Arial"/>
                          <w:b/>
                          <w:sz w:val="18"/>
                          <w:szCs w:val="18"/>
                        </w:rPr>
                        <w:t>NO</w:t>
                      </w:r>
                    </w:p>
                    <w:p w14:paraId="510A0872" w14:textId="77777777" w:rsidR="0048436A" w:rsidRPr="00E3247C" w:rsidRDefault="0048436A" w:rsidP="0048436A">
                      <w:pPr>
                        <w:rPr>
                          <w:rFonts w:cs="Arial"/>
                          <w:b/>
                          <w:sz w:val="18"/>
                          <w:szCs w:val="18"/>
                        </w:rPr>
                      </w:pPr>
                    </w:p>
                    <w:p w14:paraId="510A0873" w14:textId="77777777" w:rsidR="0048436A" w:rsidRPr="00E3247C" w:rsidRDefault="0048436A" w:rsidP="0048436A">
                      <w:pPr>
                        <w:rPr>
                          <w:rFonts w:cs="Arial"/>
                          <w:b/>
                          <w:sz w:val="18"/>
                          <w:szCs w:val="18"/>
                        </w:rPr>
                      </w:pPr>
                      <w:r w:rsidRPr="00E3247C">
                        <w:rPr>
                          <w:rFonts w:cs="Arial"/>
                          <w:b/>
                          <w:sz w:val="18"/>
                          <w:szCs w:val="18"/>
                        </w:rPr>
                        <w:t xml:space="preserve">         ……………………</w:t>
                      </w:r>
                      <w:r w:rsidR="00A35FB8" w:rsidRPr="00E3247C">
                        <w:rPr>
                          <w:rFonts w:cs="Arial"/>
                          <w:b/>
                          <w:sz w:val="18"/>
                          <w:szCs w:val="18"/>
                        </w:rPr>
                        <w:t>….</w:t>
                      </w:r>
                      <w:r w:rsidRPr="00E3247C">
                        <w:rPr>
                          <w:rFonts w:cs="Arial"/>
                          <w:b/>
                          <w:sz w:val="18"/>
                          <w:szCs w:val="18"/>
                        </w:rPr>
                        <w:tab/>
                      </w:r>
                      <w:r w:rsidRPr="00E3247C">
                        <w:rPr>
                          <w:rFonts w:cs="Arial"/>
                          <w:b/>
                          <w:sz w:val="18"/>
                          <w:szCs w:val="18"/>
                        </w:rPr>
                        <w:tab/>
                        <w:t>………………………...</w:t>
                      </w:r>
                      <w:r w:rsidR="00A35FB8" w:rsidRPr="00E3247C">
                        <w:rPr>
                          <w:rFonts w:cs="Arial"/>
                          <w:b/>
                          <w:sz w:val="18"/>
                          <w:szCs w:val="18"/>
                        </w:rPr>
                        <w:t xml:space="preserve"> </w:t>
                      </w:r>
                    </w:p>
                    <w:p w14:paraId="510A0874" w14:textId="77777777" w:rsidR="0048436A" w:rsidRPr="00E3247C" w:rsidRDefault="0048436A" w:rsidP="0048436A">
                      <w:pPr>
                        <w:rPr>
                          <w:rFonts w:cs="Arial"/>
                          <w:sz w:val="18"/>
                          <w:szCs w:val="18"/>
                        </w:rPr>
                      </w:pPr>
                      <w:r w:rsidRPr="00E3247C">
                        <w:rPr>
                          <w:rFonts w:cs="Arial"/>
                          <w:sz w:val="18"/>
                          <w:szCs w:val="18"/>
                        </w:rPr>
                        <w:t xml:space="preserve">                   DATE</w:t>
                      </w:r>
                      <w:r w:rsidRPr="00E3247C">
                        <w:rPr>
                          <w:rFonts w:cs="Arial"/>
                          <w:sz w:val="18"/>
                          <w:szCs w:val="18"/>
                        </w:rPr>
                        <w:tab/>
                      </w:r>
                      <w:r w:rsidRPr="00E3247C">
                        <w:rPr>
                          <w:rFonts w:cs="Arial"/>
                          <w:sz w:val="18"/>
                          <w:szCs w:val="18"/>
                        </w:rPr>
                        <w:tab/>
                      </w:r>
                      <w:r w:rsidRPr="00E3247C">
                        <w:rPr>
                          <w:rFonts w:cs="Arial"/>
                          <w:sz w:val="18"/>
                          <w:szCs w:val="18"/>
                        </w:rPr>
                        <w:tab/>
                        <w:t xml:space="preserve">        SIGNATURE</w:t>
                      </w:r>
                    </w:p>
                  </w:txbxContent>
                </v:textbox>
              </v:shape>
            </w:pict>
          </mc:Fallback>
        </mc:AlternateContent>
      </w:r>
    </w:p>
    <w:p w14:paraId="510A07EE" w14:textId="77777777" w:rsidR="0048436A" w:rsidRPr="002B0678" w:rsidRDefault="0048436A" w:rsidP="0048436A">
      <w:pPr>
        <w:rPr>
          <w:rFonts w:cs="Arial"/>
          <w:sz w:val="24"/>
        </w:rPr>
      </w:pPr>
    </w:p>
    <w:p w14:paraId="510A07EF" w14:textId="77777777" w:rsidR="0048436A" w:rsidRPr="002B0678" w:rsidRDefault="0048436A" w:rsidP="0048436A">
      <w:pPr>
        <w:rPr>
          <w:rFonts w:cs="Arial"/>
          <w:sz w:val="24"/>
        </w:rPr>
      </w:pPr>
    </w:p>
    <w:p w14:paraId="510A07F0" w14:textId="77777777" w:rsidR="0048436A" w:rsidRPr="002B0678" w:rsidRDefault="0048436A" w:rsidP="0048436A">
      <w:pPr>
        <w:rPr>
          <w:rFonts w:cs="Arial"/>
          <w:sz w:val="24"/>
        </w:rPr>
      </w:pPr>
    </w:p>
    <w:p w14:paraId="510A07F1" w14:textId="77777777" w:rsidR="0048436A" w:rsidRPr="002B0678" w:rsidRDefault="0048436A" w:rsidP="0048436A">
      <w:pPr>
        <w:rPr>
          <w:rFonts w:cs="Arial"/>
          <w:sz w:val="24"/>
        </w:rPr>
      </w:pPr>
    </w:p>
    <w:p w14:paraId="510A07F2" w14:textId="77777777" w:rsidR="0048436A" w:rsidRPr="002B0678" w:rsidRDefault="0048436A" w:rsidP="0048436A">
      <w:pPr>
        <w:spacing w:line="480" w:lineRule="auto"/>
        <w:rPr>
          <w:rFonts w:cs="Arial"/>
          <w:sz w:val="24"/>
        </w:rPr>
      </w:pPr>
    </w:p>
    <w:p w14:paraId="510A07F3" w14:textId="77777777" w:rsidR="00E12330" w:rsidRPr="002B0678" w:rsidRDefault="00E12330" w:rsidP="00E12330">
      <w:pPr>
        <w:spacing w:line="240" w:lineRule="auto"/>
        <w:rPr>
          <w:rFonts w:cs="Arial"/>
          <w:sz w:val="24"/>
        </w:rPr>
      </w:pPr>
    </w:p>
    <w:p w14:paraId="11C68F17" w14:textId="5CEA2A66" w:rsidR="00EE71E0" w:rsidRPr="00715134" w:rsidRDefault="00EE71E0" w:rsidP="00C164AE">
      <w:pPr>
        <w:spacing w:after="120" w:line="240" w:lineRule="auto"/>
        <w:rPr>
          <w:rFonts w:cs="Arial"/>
          <w:sz w:val="24"/>
        </w:rPr>
      </w:pPr>
      <w:r w:rsidRPr="00715134">
        <w:rPr>
          <w:rFonts w:cs="Arial"/>
          <w:sz w:val="24"/>
        </w:rPr>
        <w:t xml:space="preserve">In the </w:t>
      </w:r>
      <w:r w:rsidR="00860964">
        <w:rPr>
          <w:rFonts w:cs="Arial"/>
          <w:sz w:val="24"/>
        </w:rPr>
        <w:t>matter</w:t>
      </w:r>
      <w:r w:rsidRPr="00715134">
        <w:rPr>
          <w:rFonts w:cs="Arial"/>
          <w:sz w:val="24"/>
        </w:rPr>
        <w:t xml:space="preserve"> between</w:t>
      </w:r>
    </w:p>
    <w:p w14:paraId="096C2FFD" w14:textId="77777777" w:rsidR="00EE71E0" w:rsidRPr="00715134" w:rsidRDefault="00EE71E0" w:rsidP="00715134">
      <w:pPr>
        <w:spacing w:line="240" w:lineRule="auto"/>
        <w:rPr>
          <w:rFonts w:cs="Arial"/>
          <w:sz w:val="24"/>
        </w:rPr>
      </w:pPr>
    </w:p>
    <w:tbl>
      <w:tblPr>
        <w:tblW w:w="0" w:type="auto"/>
        <w:tblLook w:val="04A0" w:firstRow="1" w:lastRow="0" w:firstColumn="1" w:lastColumn="0" w:noHBand="0" w:noVBand="1"/>
      </w:tblPr>
      <w:tblGrid>
        <w:gridCol w:w="6237"/>
        <w:gridCol w:w="3119"/>
      </w:tblGrid>
      <w:tr w:rsidR="00EE71E0" w:rsidRPr="00715134" w14:paraId="4CD63C9D" w14:textId="77777777" w:rsidTr="00CA72B7">
        <w:tc>
          <w:tcPr>
            <w:tcW w:w="6237" w:type="dxa"/>
            <w:hideMark/>
          </w:tcPr>
          <w:p w14:paraId="4B43C9B2" w14:textId="77777777" w:rsidR="00697A79" w:rsidRDefault="007C64B6" w:rsidP="00715134">
            <w:pPr>
              <w:spacing w:line="240" w:lineRule="auto"/>
              <w:jc w:val="left"/>
              <w:rPr>
                <w:rFonts w:cs="Arial"/>
                <w:b/>
                <w:bCs/>
                <w:sz w:val="24"/>
                <w:lang w:eastAsia="en-ZA"/>
              </w:rPr>
            </w:pPr>
            <w:r>
              <w:rPr>
                <w:rFonts w:cs="Arial"/>
                <w:b/>
                <w:bCs/>
                <w:sz w:val="24"/>
                <w:lang w:eastAsia="en-ZA"/>
              </w:rPr>
              <w:t>ITHEMBA SKY MARK SECURITY</w:t>
            </w:r>
          </w:p>
          <w:p w14:paraId="1679AD18" w14:textId="029D80CB" w:rsidR="00EE71E0" w:rsidRPr="00715134" w:rsidRDefault="007C64B6" w:rsidP="00715134">
            <w:pPr>
              <w:spacing w:line="240" w:lineRule="auto"/>
              <w:jc w:val="left"/>
              <w:rPr>
                <w:rFonts w:cs="Arial"/>
                <w:bCs/>
                <w:sz w:val="24"/>
                <w:lang w:eastAsia="en-ZA"/>
              </w:rPr>
            </w:pPr>
            <w:r>
              <w:rPr>
                <w:rFonts w:cs="Arial"/>
                <w:b/>
                <w:bCs/>
                <w:sz w:val="24"/>
                <w:lang w:eastAsia="en-ZA"/>
              </w:rPr>
              <w:t>ALL SERVIC</w:t>
            </w:r>
            <w:r w:rsidR="008E6217">
              <w:rPr>
                <w:rFonts w:cs="Arial"/>
                <w:b/>
                <w:bCs/>
                <w:sz w:val="24"/>
                <w:lang w:eastAsia="en-ZA"/>
              </w:rPr>
              <w:t>ES (PTY) LTD</w:t>
            </w:r>
          </w:p>
        </w:tc>
        <w:tc>
          <w:tcPr>
            <w:tcW w:w="3119" w:type="dxa"/>
            <w:hideMark/>
          </w:tcPr>
          <w:p w14:paraId="346F2BCC" w14:textId="77777777" w:rsidR="00697A79" w:rsidRDefault="00697A79" w:rsidP="00715134">
            <w:pPr>
              <w:spacing w:line="240" w:lineRule="auto"/>
              <w:jc w:val="right"/>
              <w:rPr>
                <w:rFonts w:cs="Arial"/>
                <w:sz w:val="24"/>
                <w:lang w:eastAsia="en-ZA"/>
              </w:rPr>
            </w:pPr>
          </w:p>
          <w:p w14:paraId="54F21D53" w14:textId="6F629807" w:rsidR="00EE71E0" w:rsidRPr="00715134" w:rsidRDefault="00EE71E0" w:rsidP="00715134">
            <w:pPr>
              <w:spacing w:line="240" w:lineRule="auto"/>
              <w:jc w:val="right"/>
              <w:rPr>
                <w:rFonts w:cs="Arial"/>
                <w:sz w:val="24"/>
                <w:lang w:eastAsia="en-ZA"/>
              </w:rPr>
            </w:pPr>
            <w:r w:rsidRPr="00715134">
              <w:rPr>
                <w:rFonts w:cs="Arial"/>
                <w:sz w:val="24"/>
                <w:lang w:eastAsia="en-ZA"/>
              </w:rPr>
              <w:t>Applicant</w:t>
            </w:r>
          </w:p>
          <w:p w14:paraId="675BEE6A" w14:textId="77777777" w:rsidR="00EE71E0" w:rsidRPr="00715134" w:rsidRDefault="00EE71E0" w:rsidP="00715134">
            <w:pPr>
              <w:spacing w:line="240" w:lineRule="auto"/>
              <w:jc w:val="right"/>
              <w:rPr>
                <w:rFonts w:cs="Arial"/>
                <w:sz w:val="24"/>
                <w:lang w:eastAsia="en-ZA"/>
              </w:rPr>
            </w:pPr>
          </w:p>
        </w:tc>
      </w:tr>
      <w:tr w:rsidR="0058292C" w:rsidRPr="00715134" w14:paraId="4ECD2F43" w14:textId="77777777" w:rsidTr="00CA72B7">
        <w:tc>
          <w:tcPr>
            <w:tcW w:w="6237" w:type="dxa"/>
          </w:tcPr>
          <w:p w14:paraId="59EF502C" w14:textId="77777777" w:rsidR="0058292C" w:rsidRPr="00715134" w:rsidRDefault="0058292C" w:rsidP="0058292C">
            <w:pPr>
              <w:spacing w:line="240" w:lineRule="auto"/>
              <w:jc w:val="left"/>
              <w:rPr>
                <w:rFonts w:cs="Arial"/>
                <w:sz w:val="24"/>
                <w:lang w:eastAsia="en-ZA"/>
              </w:rPr>
            </w:pPr>
          </w:p>
        </w:tc>
        <w:tc>
          <w:tcPr>
            <w:tcW w:w="3119" w:type="dxa"/>
          </w:tcPr>
          <w:p w14:paraId="4CE380B3" w14:textId="77777777" w:rsidR="0058292C" w:rsidRPr="00715134" w:rsidRDefault="0058292C" w:rsidP="0058292C">
            <w:pPr>
              <w:spacing w:line="240" w:lineRule="auto"/>
              <w:jc w:val="right"/>
              <w:rPr>
                <w:rFonts w:cs="Arial"/>
                <w:sz w:val="24"/>
                <w:lang w:eastAsia="en-ZA"/>
              </w:rPr>
            </w:pPr>
          </w:p>
        </w:tc>
      </w:tr>
      <w:tr w:rsidR="0058292C" w:rsidRPr="00715134" w14:paraId="31BE2DC0" w14:textId="77777777" w:rsidTr="00CA72B7">
        <w:tc>
          <w:tcPr>
            <w:tcW w:w="6237" w:type="dxa"/>
            <w:hideMark/>
          </w:tcPr>
          <w:p w14:paraId="309B0E2F" w14:textId="77777777" w:rsidR="0058292C" w:rsidRPr="00715134" w:rsidRDefault="0058292C" w:rsidP="0058292C">
            <w:pPr>
              <w:pStyle w:val="Heading1"/>
              <w:spacing w:line="240" w:lineRule="auto"/>
              <w:jc w:val="left"/>
              <w:rPr>
                <w:b w:val="0"/>
                <w:bCs w:val="0"/>
                <w:sz w:val="24"/>
                <w:lang w:eastAsia="en-ZA"/>
              </w:rPr>
            </w:pPr>
            <w:r w:rsidRPr="00715134">
              <w:rPr>
                <w:b w:val="0"/>
                <w:bCs w:val="0"/>
                <w:sz w:val="24"/>
                <w:lang w:eastAsia="en-ZA"/>
              </w:rPr>
              <w:t>And</w:t>
            </w:r>
          </w:p>
          <w:p w14:paraId="477BE9AE" w14:textId="77777777" w:rsidR="0058292C" w:rsidRPr="00715134" w:rsidRDefault="0058292C" w:rsidP="0058292C">
            <w:pPr>
              <w:spacing w:line="240" w:lineRule="auto"/>
              <w:rPr>
                <w:rFonts w:cs="Arial"/>
                <w:sz w:val="24"/>
                <w:lang w:eastAsia="en-ZA"/>
              </w:rPr>
            </w:pPr>
          </w:p>
        </w:tc>
        <w:tc>
          <w:tcPr>
            <w:tcW w:w="3119" w:type="dxa"/>
          </w:tcPr>
          <w:p w14:paraId="77C0926C" w14:textId="77777777" w:rsidR="0058292C" w:rsidRPr="00715134" w:rsidRDefault="0058292C" w:rsidP="0058292C">
            <w:pPr>
              <w:spacing w:line="240" w:lineRule="auto"/>
              <w:jc w:val="right"/>
              <w:rPr>
                <w:rFonts w:cs="Arial"/>
                <w:sz w:val="24"/>
                <w:lang w:eastAsia="en-ZA"/>
              </w:rPr>
            </w:pPr>
          </w:p>
        </w:tc>
      </w:tr>
      <w:tr w:rsidR="0058292C" w:rsidRPr="00715134" w14:paraId="6ED9650B" w14:textId="77777777" w:rsidTr="00CA72B7">
        <w:tc>
          <w:tcPr>
            <w:tcW w:w="6237" w:type="dxa"/>
          </w:tcPr>
          <w:p w14:paraId="67EDE39B" w14:textId="77777777" w:rsidR="0058292C" w:rsidRPr="00715134" w:rsidRDefault="0058292C" w:rsidP="0058292C">
            <w:pPr>
              <w:spacing w:line="240" w:lineRule="auto"/>
              <w:jc w:val="left"/>
              <w:rPr>
                <w:rFonts w:cs="Arial"/>
                <w:sz w:val="24"/>
                <w:lang w:eastAsia="en-ZA"/>
              </w:rPr>
            </w:pPr>
          </w:p>
        </w:tc>
        <w:tc>
          <w:tcPr>
            <w:tcW w:w="3119" w:type="dxa"/>
          </w:tcPr>
          <w:p w14:paraId="2C41AEBD" w14:textId="77777777" w:rsidR="0058292C" w:rsidRPr="00715134" w:rsidRDefault="0058292C" w:rsidP="0058292C">
            <w:pPr>
              <w:spacing w:line="240" w:lineRule="auto"/>
              <w:jc w:val="right"/>
              <w:rPr>
                <w:rFonts w:cs="Arial"/>
                <w:sz w:val="24"/>
                <w:lang w:eastAsia="en-ZA"/>
              </w:rPr>
            </w:pPr>
          </w:p>
        </w:tc>
      </w:tr>
      <w:tr w:rsidR="00697A79" w:rsidRPr="00715134" w14:paraId="7502CEFE" w14:textId="77777777" w:rsidTr="00CA72B7">
        <w:tc>
          <w:tcPr>
            <w:tcW w:w="6237" w:type="dxa"/>
            <w:hideMark/>
          </w:tcPr>
          <w:p w14:paraId="0437DCEE" w14:textId="77777777" w:rsidR="00697A79" w:rsidRPr="00697A79" w:rsidRDefault="00697A79" w:rsidP="00697A79">
            <w:pPr>
              <w:spacing w:line="240" w:lineRule="auto"/>
              <w:jc w:val="left"/>
              <w:rPr>
                <w:rFonts w:cs="Arial"/>
                <w:b/>
                <w:bCs/>
                <w:sz w:val="24"/>
                <w:lang w:eastAsia="en-ZA"/>
              </w:rPr>
            </w:pPr>
            <w:r w:rsidRPr="00697A79">
              <w:rPr>
                <w:rFonts w:cs="Arial"/>
                <w:b/>
                <w:bCs/>
                <w:sz w:val="24"/>
                <w:lang w:eastAsia="en-ZA"/>
              </w:rPr>
              <w:t>ITHEMBA SKY MARK SECURITY</w:t>
            </w:r>
          </w:p>
          <w:p w14:paraId="250655C7" w14:textId="0678D502" w:rsidR="00697A79" w:rsidRPr="00697A79" w:rsidRDefault="00697A79" w:rsidP="00697A79">
            <w:pPr>
              <w:pStyle w:val="Heading1"/>
              <w:spacing w:line="240" w:lineRule="auto"/>
              <w:jc w:val="left"/>
              <w:rPr>
                <w:sz w:val="24"/>
                <w:lang w:eastAsia="en-ZA"/>
              </w:rPr>
            </w:pPr>
            <w:r w:rsidRPr="00697A79">
              <w:rPr>
                <w:sz w:val="24"/>
                <w:lang w:eastAsia="en-ZA"/>
              </w:rPr>
              <w:t xml:space="preserve">SERVICES </w:t>
            </w:r>
            <w:r w:rsidR="00DA7AFF">
              <w:rPr>
                <w:sz w:val="24"/>
                <w:lang w:eastAsia="en-ZA"/>
              </w:rPr>
              <w:t xml:space="preserve">CAPE TOWN CC </w:t>
            </w:r>
          </w:p>
        </w:tc>
        <w:tc>
          <w:tcPr>
            <w:tcW w:w="3119" w:type="dxa"/>
            <w:hideMark/>
          </w:tcPr>
          <w:p w14:paraId="2C0A258F" w14:textId="77777777" w:rsidR="00421FF3" w:rsidRDefault="00421FF3" w:rsidP="00697A79">
            <w:pPr>
              <w:spacing w:line="240" w:lineRule="auto"/>
              <w:jc w:val="right"/>
              <w:rPr>
                <w:rFonts w:cs="Arial"/>
                <w:sz w:val="24"/>
                <w:lang w:eastAsia="en-ZA"/>
              </w:rPr>
            </w:pPr>
          </w:p>
          <w:p w14:paraId="7F1573A7" w14:textId="36D532C9" w:rsidR="00697A79" w:rsidRPr="00715134" w:rsidRDefault="00697A79" w:rsidP="00697A79">
            <w:pPr>
              <w:spacing w:line="240" w:lineRule="auto"/>
              <w:jc w:val="right"/>
              <w:rPr>
                <w:rFonts w:cs="Arial"/>
                <w:sz w:val="24"/>
                <w:lang w:eastAsia="en-ZA"/>
              </w:rPr>
            </w:pPr>
            <w:r>
              <w:rPr>
                <w:rFonts w:cs="Arial"/>
                <w:sz w:val="24"/>
                <w:lang w:eastAsia="en-ZA"/>
              </w:rPr>
              <w:t xml:space="preserve">First </w:t>
            </w:r>
            <w:r w:rsidRPr="00715134">
              <w:rPr>
                <w:rFonts w:cs="Arial"/>
                <w:sz w:val="24"/>
                <w:lang w:eastAsia="en-ZA"/>
              </w:rPr>
              <w:t>Respondent</w:t>
            </w:r>
          </w:p>
        </w:tc>
      </w:tr>
      <w:tr w:rsidR="0058292C" w:rsidRPr="00715134" w14:paraId="00E6DFA7" w14:textId="77777777" w:rsidTr="00CA72B7">
        <w:trPr>
          <w:trHeight w:val="315"/>
        </w:trPr>
        <w:tc>
          <w:tcPr>
            <w:tcW w:w="6237" w:type="dxa"/>
          </w:tcPr>
          <w:p w14:paraId="07CBD3E6" w14:textId="77777777" w:rsidR="0058292C" w:rsidRPr="00715134" w:rsidRDefault="0058292C" w:rsidP="0058292C">
            <w:pPr>
              <w:pStyle w:val="Heading1"/>
              <w:spacing w:line="240" w:lineRule="auto"/>
              <w:jc w:val="left"/>
              <w:rPr>
                <w:bCs w:val="0"/>
                <w:sz w:val="24"/>
                <w:lang w:eastAsia="en-ZA"/>
              </w:rPr>
            </w:pPr>
            <w:r w:rsidRPr="00715134">
              <w:rPr>
                <w:bCs w:val="0"/>
                <w:sz w:val="24"/>
                <w:lang w:eastAsia="en-ZA"/>
              </w:rPr>
              <w:t xml:space="preserve"> </w:t>
            </w:r>
          </w:p>
        </w:tc>
        <w:tc>
          <w:tcPr>
            <w:tcW w:w="3119" w:type="dxa"/>
          </w:tcPr>
          <w:p w14:paraId="318CC824" w14:textId="77777777" w:rsidR="0058292C" w:rsidRPr="00715134" w:rsidRDefault="0058292C" w:rsidP="0058292C">
            <w:pPr>
              <w:spacing w:line="240" w:lineRule="auto"/>
              <w:jc w:val="right"/>
              <w:rPr>
                <w:rFonts w:cs="Arial"/>
                <w:sz w:val="24"/>
                <w:lang w:eastAsia="en-ZA"/>
              </w:rPr>
            </w:pPr>
          </w:p>
        </w:tc>
      </w:tr>
      <w:tr w:rsidR="008E6217" w:rsidRPr="00715134" w14:paraId="5F303026" w14:textId="77777777" w:rsidTr="00CA72B7">
        <w:trPr>
          <w:trHeight w:val="315"/>
        </w:trPr>
        <w:tc>
          <w:tcPr>
            <w:tcW w:w="6237" w:type="dxa"/>
          </w:tcPr>
          <w:p w14:paraId="11A93284" w14:textId="75CF9006" w:rsidR="008E6217" w:rsidRPr="00715134" w:rsidRDefault="00DA7AFF" w:rsidP="008E6217">
            <w:pPr>
              <w:pStyle w:val="Heading1"/>
              <w:spacing w:line="240" w:lineRule="auto"/>
              <w:jc w:val="left"/>
              <w:rPr>
                <w:bCs w:val="0"/>
                <w:sz w:val="24"/>
                <w:lang w:eastAsia="en-ZA"/>
              </w:rPr>
            </w:pPr>
            <w:r>
              <w:rPr>
                <w:bCs w:val="0"/>
                <w:sz w:val="24"/>
                <w:lang w:eastAsia="en-ZA"/>
              </w:rPr>
              <w:t>THOMAS MERRICK</w:t>
            </w:r>
            <w:r w:rsidR="00421FF3">
              <w:rPr>
                <w:bCs w:val="0"/>
                <w:sz w:val="24"/>
                <w:lang w:eastAsia="en-ZA"/>
              </w:rPr>
              <w:t xml:space="preserve"> PERKINS</w:t>
            </w:r>
          </w:p>
        </w:tc>
        <w:tc>
          <w:tcPr>
            <w:tcW w:w="3119" w:type="dxa"/>
          </w:tcPr>
          <w:p w14:paraId="2303ADD3" w14:textId="46A3E566" w:rsidR="008E6217" w:rsidRPr="00715134" w:rsidRDefault="008E6217" w:rsidP="008E6217">
            <w:pPr>
              <w:spacing w:line="240" w:lineRule="auto"/>
              <w:jc w:val="right"/>
              <w:rPr>
                <w:rFonts w:cs="Arial"/>
                <w:sz w:val="24"/>
                <w:lang w:eastAsia="en-ZA"/>
              </w:rPr>
            </w:pPr>
            <w:r>
              <w:rPr>
                <w:rFonts w:cs="Arial"/>
                <w:sz w:val="24"/>
                <w:lang w:eastAsia="en-ZA"/>
              </w:rPr>
              <w:t xml:space="preserve">Second </w:t>
            </w:r>
            <w:r w:rsidRPr="00715134">
              <w:rPr>
                <w:rFonts w:cs="Arial"/>
                <w:sz w:val="24"/>
                <w:lang w:eastAsia="en-ZA"/>
              </w:rPr>
              <w:t>Respondent</w:t>
            </w:r>
          </w:p>
        </w:tc>
      </w:tr>
      <w:tr w:rsidR="008E6217" w:rsidRPr="00715134" w14:paraId="00D1A14B" w14:textId="77777777" w:rsidTr="00CA72B7">
        <w:trPr>
          <w:trHeight w:val="315"/>
        </w:trPr>
        <w:tc>
          <w:tcPr>
            <w:tcW w:w="6237" w:type="dxa"/>
          </w:tcPr>
          <w:p w14:paraId="48FBD8D4" w14:textId="77777777" w:rsidR="008E6217" w:rsidRPr="00715134" w:rsidRDefault="008E6217" w:rsidP="008E6217">
            <w:pPr>
              <w:pStyle w:val="Heading1"/>
              <w:spacing w:line="240" w:lineRule="auto"/>
              <w:jc w:val="left"/>
              <w:rPr>
                <w:bCs w:val="0"/>
                <w:sz w:val="24"/>
                <w:lang w:eastAsia="en-ZA"/>
              </w:rPr>
            </w:pPr>
          </w:p>
        </w:tc>
        <w:tc>
          <w:tcPr>
            <w:tcW w:w="3119" w:type="dxa"/>
          </w:tcPr>
          <w:p w14:paraId="00BA295E" w14:textId="77777777" w:rsidR="008E6217" w:rsidRPr="00715134" w:rsidRDefault="008E6217" w:rsidP="008E6217">
            <w:pPr>
              <w:spacing w:line="240" w:lineRule="auto"/>
              <w:jc w:val="right"/>
              <w:rPr>
                <w:rFonts w:cs="Arial"/>
                <w:sz w:val="24"/>
                <w:lang w:eastAsia="en-ZA"/>
              </w:rPr>
            </w:pPr>
          </w:p>
        </w:tc>
      </w:tr>
    </w:tbl>
    <w:p w14:paraId="0F670BAC" w14:textId="77777777" w:rsidR="00EE71E0" w:rsidRPr="0060587A" w:rsidRDefault="00EE71E0" w:rsidP="00715134">
      <w:pPr>
        <w:pBdr>
          <w:bottom w:val="single" w:sz="4" w:space="1" w:color="auto"/>
        </w:pBdr>
        <w:spacing w:line="240" w:lineRule="auto"/>
        <w:rPr>
          <w:rFonts w:cs="Arial"/>
          <w:sz w:val="24"/>
        </w:rPr>
      </w:pPr>
    </w:p>
    <w:p w14:paraId="78F51A51" w14:textId="77777777" w:rsidR="00F64E24" w:rsidRPr="0060587A" w:rsidRDefault="00F64E24" w:rsidP="00715134">
      <w:pPr>
        <w:pBdr>
          <w:bottom w:val="single" w:sz="4" w:space="1" w:color="auto"/>
        </w:pBdr>
        <w:spacing w:line="240" w:lineRule="auto"/>
        <w:rPr>
          <w:rFonts w:cs="Arial"/>
          <w:sz w:val="24"/>
        </w:rPr>
      </w:pPr>
    </w:p>
    <w:p w14:paraId="510A0813" w14:textId="77777777" w:rsidR="0048436A" w:rsidRPr="0060587A" w:rsidRDefault="0048436A" w:rsidP="0048436A">
      <w:pPr>
        <w:spacing w:line="276" w:lineRule="auto"/>
        <w:rPr>
          <w:rFonts w:cs="Arial"/>
          <w:sz w:val="24"/>
        </w:rPr>
      </w:pPr>
    </w:p>
    <w:p w14:paraId="510A0814" w14:textId="5507282F" w:rsidR="0048436A" w:rsidRPr="002B0678" w:rsidRDefault="0048436A" w:rsidP="0048436A">
      <w:pPr>
        <w:pStyle w:val="Heading2"/>
        <w:spacing w:line="276" w:lineRule="auto"/>
        <w:rPr>
          <w:sz w:val="24"/>
        </w:rPr>
      </w:pPr>
      <w:r w:rsidRPr="002B0678">
        <w:rPr>
          <w:sz w:val="24"/>
        </w:rPr>
        <w:lastRenderedPageBreak/>
        <w:t>JUDGMENT</w:t>
      </w:r>
    </w:p>
    <w:p w14:paraId="510A0815" w14:textId="77777777" w:rsidR="0048436A" w:rsidRPr="002B0678" w:rsidRDefault="0048436A" w:rsidP="0048436A">
      <w:pPr>
        <w:pBdr>
          <w:bottom w:val="single" w:sz="4" w:space="1" w:color="auto"/>
        </w:pBdr>
        <w:spacing w:line="240" w:lineRule="auto"/>
        <w:rPr>
          <w:rFonts w:cs="Arial"/>
          <w:sz w:val="24"/>
        </w:rPr>
      </w:pPr>
    </w:p>
    <w:p w14:paraId="510A0816" w14:textId="0B7B8C25" w:rsidR="006632B6" w:rsidRPr="002B0678" w:rsidRDefault="006632B6" w:rsidP="009B237D">
      <w:pPr>
        <w:pStyle w:val="WLGLevel1"/>
        <w:numPr>
          <w:ilvl w:val="0"/>
          <w:numId w:val="0"/>
        </w:numPr>
        <w:suppressAutoHyphens w:val="0"/>
        <w:spacing w:before="0" w:after="360"/>
        <w:ind w:left="567" w:hanging="567"/>
        <w:rPr>
          <w:rFonts w:cs="Arial"/>
          <w:szCs w:val="24"/>
          <w:lang w:val="en-GB"/>
        </w:rPr>
      </w:pPr>
    </w:p>
    <w:p w14:paraId="5FEF4E76" w14:textId="75D490C6" w:rsidR="009B237D" w:rsidRPr="0070438A" w:rsidRDefault="00456EEA" w:rsidP="00522754">
      <w:pPr>
        <w:keepNext/>
        <w:spacing w:after="480" w:line="480" w:lineRule="auto"/>
        <w:rPr>
          <w:rFonts w:cs="Arial"/>
          <w:sz w:val="24"/>
          <w:u w:val="single"/>
        </w:rPr>
      </w:pPr>
      <w:r w:rsidRPr="0070438A">
        <w:rPr>
          <w:rFonts w:cs="Arial"/>
          <w:sz w:val="24"/>
          <w:u w:val="single"/>
        </w:rPr>
        <w:t>PEARSE AJ:</w:t>
      </w:r>
    </w:p>
    <w:p w14:paraId="41A8717D" w14:textId="77777777" w:rsidR="000E562E" w:rsidRPr="00393F7C" w:rsidRDefault="000E562E" w:rsidP="00522754">
      <w:pPr>
        <w:pStyle w:val="WLGLevel1"/>
        <w:keepNext/>
        <w:numPr>
          <w:ilvl w:val="0"/>
          <w:numId w:val="0"/>
        </w:numPr>
        <w:suppressAutoHyphens w:val="0"/>
        <w:spacing w:before="0" w:after="480"/>
        <w:ind w:left="567" w:hanging="567"/>
        <w:rPr>
          <w:rFonts w:cs="Arial"/>
          <w:b/>
          <w:bCs/>
          <w:szCs w:val="24"/>
          <w:lang w:val="en-GB"/>
        </w:rPr>
      </w:pPr>
      <w:r w:rsidRPr="00393F7C">
        <w:rPr>
          <w:rFonts w:cs="Arial"/>
          <w:b/>
          <w:bCs/>
          <w:szCs w:val="24"/>
          <w:lang w:val="en-GB"/>
        </w:rPr>
        <w:t>AN OVERVIEW</w:t>
      </w:r>
    </w:p>
    <w:p w14:paraId="53AD94B6" w14:textId="66482F8A" w:rsidR="00F96ABD" w:rsidRDefault="00C03686" w:rsidP="00C03686">
      <w:pPr>
        <w:pStyle w:val="WLGLevel1"/>
        <w:numPr>
          <w:ilvl w:val="0"/>
          <w:numId w:val="0"/>
        </w:numPr>
        <w:suppressAutoHyphens w:val="0"/>
        <w:spacing w:before="0" w:after="480"/>
        <w:ind w:left="709" w:hanging="709"/>
        <w:rPr>
          <w:rFonts w:cs="Arial"/>
          <w:szCs w:val="24"/>
          <w:lang w:val="en-GB"/>
        </w:rPr>
      </w:pPr>
      <w:r>
        <w:rPr>
          <w:rFonts w:cs="Arial"/>
          <w:bCs/>
          <w:iCs/>
          <w:szCs w:val="24"/>
          <w:lang w:val="en-GB"/>
        </w:rPr>
        <w:t>1</w:t>
      </w:r>
      <w:bookmarkStart w:id="0" w:name="_GoBack"/>
      <w:bookmarkEnd w:id="0"/>
      <w:r>
        <w:rPr>
          <w:rFonts w:cs="Arial"/>
          <w:bCs/>
          <w:iCs/>
          <w:szCs w:val="24"/>
          <w:lang w:val="en-GB"/>
        </w:rPr>
        <w:t>.</w:t>
      </w:r>
      <w:r>
        <w:rPr>
          <w:rFonts w:cs="Arial"/>
          <w:bCs/>
          <w:iCs/>
          <w:szCs w:val="24"/>
          <w:lang w:val="en-GB"/>
        </w:rPr>
        <w:tab/>
      </w:r>
      <w:r w:rsidR="00476235">
        <w:rPr>
          <w:rFonts w:cs="Arial"/>
          <w:szCs w:val="24"/>
          <w:lang w:val="en-GB"/>
        </w:rPr>
        <w:t xml:space="preserve">This application concerns a disputed deed of cession </w:t>
      </w:r>
      <w:r w:rsidR="00AF6C12">
        <w:rPr>
          <w:rFonts w:cs="Arial"/>
          <w:szCs w:val="24"/>
          <w:lang w:val="en-GB"/>
        </w:rPr>
        <w:t>entered into</w:t>
      </w:r>
      <w:r w:rsidR="00440984">
        <w:rPr>
          <w:rFonts w:cs="Arial"/>
          <w:szCs w:val="24"/>
          <w:lang w:val="en-GB"/>
        </w:rPr>
        <w:t xml:space="preserve"> in December 2020</w:t>
      </w:r>
      <w:r w:rsidR="00AF6C12">
        <w:rPr>
          <w:rFonts w:cs="Arial"/>
          <w:szCs w:val="24"/>
          <w:lang w:val="en-GB"/>
        </w:rPr>
        <w:t xml:space="preserve"> between the applicant </w:t>
      </w:r>
      <w:r w:rsidR="00F96ABD">
        <w:rPr>
          <w:rFonts w:cs="Arial"/>
          <w:szCs w:val="24"/>
          <w:lang w:val="en-GB"/>
        </w:rPr>
        <w:t>(Ithemba Sky Mark Security All Services (Pty) Ltd)</w:t>
      </w:r>
      <w:r w:rsidR="00281DAD">
        <w:rPr>
          <w:rFonts w:cs="Arial"/>
          <w:szCs w:val="24"/>
          <w:lang w:val="en-GB"/>
        </w:rPr>
        <w:t xml:space="preserve">, represented by </w:t>
      </w:r>
      <w:r w:rsidR="00281DAD" w:rsidRPr="002A5649">
        <w:rPr>
          <w:rFonts w:cs="Arial"/>
          <w:szCs w:val="24"/>
          <w:lang w:val="en-GB"/>
        </w:rPr>
        <w:t>the late John Jackson</w:t>
      </w:r>
      <w:r w:rsidR="00281DAD">
        <w:rPr>
          <w:rFonts w:cs="Arial"/>
          <w:szCs w:val="24"/>
          <w:lang w:val="en-GB"/>
        </w:rPr>
        <w:t>,</w:t>
      </w:r>
      <w:r w:rsidR="00F96ABD">
        <w:rPr>
          <w:rFonts w:cs="Arial"/>
          <w:szCs w:val="24"/>
          <w:lang w:val="en-GB"/>
        </w:rPr>
        <w:t xml:space="preserve"> </w:t>
      </w:r>
      <w:r w:rsidR="00AF6C12">
        <w:rPr>
          <w:rFonts w:cs="Arial"/>
          <w:szCs w:val="24"/>
          <w:lang w:val="en-GB"/>
        </w:rPr>
        <w:t>and the first respondent</w:t>
      </w:r>
      <w:r w:rsidR="00E33150">
        <w:rPr>
          <w:rFonts w:cs="Arial"/>
          <w:szCs w:val="24"/>
          <w:lang w:val="en-GB"/>
        </w:rPr>
        <w:t xml:space="preserve"> (Ithemba Sky Mark Security Services Cape Town CC)</w:t>
      </w:r>
      <w:r w:rsidR="00141178">
        <w:rPr>
          <w:rFonts w:cs="Arial"/>
          <w:szCs w:val="24"/>
          <w:lang w:val="en-GB"/>
        </w:rPr>
        <w:t xml:space="preserve">, </w:t>
      </w:r>
      <w:r w:rsidR="004D6D0F">
        <w:rPr>
          <w:rFonts w:cs="Arial"/>
          <w:szCs w:val="24"/>
          <w:lang w:val="en-GB"/>
        </w:rPr>
        <w:t>represent</w:t>
      </w:r>
      <w:r w:rsidR="00141178">
        <w:rPr>
          <w:rFonts w:cs="Arial"/>
          <w:szCs w:val="24"/>
          <w:lang w:val="en-GB"/>
        </w:rPr>
        <w:t>ed by the second respondent</w:t>
      </w:r>
      <w:r w:rsidR="00281DAD">
        <w:rPr>
          <w:rFonts w:cs="Arial"/>
          <w:szCs w:val="24"/>
          <w:lang w:val="en-GB"/>
        </w:rPr>
        <w:t xml:space="preserve"> (</w:t>
      </w:r>
      <w:r w:rsidR="00281DAD" w:rsidRPr="00393F7C">
        <w:rPr>
          <w:rFonts w:cs="Arial"/>
          <w:szCs w:val="24"/>
          <w:lang w:val="en-GB"/>
        </w:rPr>
        <w:t>Thomas Perkins</w:t>
      </w:r>
      <w:r w:rsidR="00281DAD">
        <w:rPr>
          <w:rFonts w:cs="Arial"/>
          <w:szCs w:val="24"/>
          <w:lang w:val="en-GB"/>
        </w:rPr>
        <w:t>)</w:t>
      </w:r>
      <w:r w:rsidR="00476235">
        <w:rPr>
          <w:rFonts w:cs="Arial"/>
          <w:szCs w:val="24"/>
          <w:lang w:val="en-GB"/>
        </w:rPr>
        <w:t xml:space="preserve">. </w:t>
      </w:r>
      <w:r w:rsidR="000054DB">
        <w:rPr>
          <w:rFonts w:cs="Arial"/>
          <w:szCs w:val="24"/>
          <w:lang w:val="en-GB"/>
        </w:rPr>
        <w:t>C</w:t>
      </w:r>
      <w:r w:rsidR="00444694">
        <w:rPr>
          <w:rFonts w:cs="Arial"/>
          <w:szCs w:val="24"/>
          <w:lang w:val="en-GB"/>
        </w:rPr>
        <w:t xml:space="preserve">ontracts </w:t>
      </w:r>
      <w:r w:rsidR="00D74F0E">
        <w:rPr>
          <w:rFonts w:cs="Arial"/>
          <w:szCs w:val="24"/>
          <w:lang w:val="en-GB"/>
        </w:rPr>
        <w:t>between the applicant and</w:t>
      </w:r>
      <w:r w:rsidR="00444694">
        <w:rPr>
          <w:rFonts w:cs="Arial"/>
          <w:szCs w:val="24"/>
          <w:lang w:val="en-GB"/>
        </w:rPr>
        <w:t xml:space="preserve"> security services clients</w:t>
      </w:r>
      <w:r w:rsidR="000054DB">
        <w:rPr>
          <w:rFonts w:cs="Arial"/>
          <w:szCs w:val="24"/>
          <w:lang w:val="en-GB"/>
        </w:rPr>
        <w:t xml:space="preserve"> were the subject matter of the deed</w:t>
      </w:r>
      <w:r w:rsidR="00444694">
        <w:rPr>
          <w:rFonts w:cs="Arial"/>
          <w:szCs w:val="24"/>
          <w:lang w:val="en-GB"/>
        </w:rPr>
        <w:t>.</w:t>
      </w:r>
      <w:r w:rsidR="00DB7AF3">
        <w:rPr>
          <w:rFonts w:cs="Arial"/>
          <w:szCs w:val="24"/>
          <w:lang w:val="en-GB"/>
        </w:rPr>
        <w:t xml:space="preserve"> The validity of the deed is attacked </w:t>
      </w:r>
      <w:r w:rsidR="000D3337">
        <w:rPr>
          <w:rFonts w:cs="Arial"/>
          <w:szCs w:val="24"/>
          <w:lang w:val="en-GB"/>
        </w:rPr>
        <w:t xml:space="preserve">by the applicant on </w:t>
      </w:r>
      <w:r w:rsidR="00FB357C">
        <w:rPr>
          <w:rFonts w:cs="Arial"/>
          <w:szCs w:val="24"/>
          <w:lang w:val="en-GB"/>
        </w:rPr>
        <w:t>various</w:t>
      </w:r>
      <w:r w:rsidR="000D3337">
        <w:rPr>
          <w:rFonts w:cs="Arial"/>
          <w:szCs w:val="24"/>
          <w:lang w:val="en-GB"/>
        </w:rPr>
        <w:t xml:space="preserve"> grounds</w:t>
      </w:r>
      <w:r w:rsidR="00980248">
        <w:rPr>
          <w:rFonts w:cs="Arial"/>
          <w:szCs w:val="24"/>
          <w:lang w:val="en-GB"/>
        </w:rPr>
        <w:t xml:space="preserve">, including </w:t>
      </w:r>
      <w:r w:rsidR="00D62DBC">
        <w:rPr>
          <w:rFonts w:cs="Arial"/>
          <w:szCs w:val="24"/>
          <w:lang w:val="en-GB"/>
        </w:rPr>
        <w:t>an</w:t>
      </w:r>
      <w:r w:rsidR="002D132C">
        <w:rPr>
          <w:rFonts w:cs="Arial"/>
          <w:szCs w:val="24"/>
          <w:lang w:val="en-GB"/>
        </w:rPr>
        <w:t xml:space="preserve"> alleged</w:t>
      </w:r>
      <w:r w:rsidR="00D62DBC">
        <w:rPr>
          <w:rFonts w:cs="Arial"/>
          <w:szCs w:val="24"/>
          <w:lang w:val="en-GB"/>
        </w:rPr>
        <w:t xml:space="preserve"> </w:t>
      </w:r>
      <w:r w:rsidR="00980248">
        <w:rPr>
          <w:rFonts w:cs="Arial"/>
          <w:szCs w:val="24"/>
          <w:lang w:val="en-GB"/>
        </w:rPr>
        <w:t>absence of authority on the part of Mr Jackson</w:t>
      </w:r>
      <w:r w:rsidR="000D3337">
        <w:rPr>
          <w:rFonts w:cs="Arial"/>
          <w:szCs w:val="24"/>
          <w:lang w:val="en-GB"/>
        </w:rPr>
        <w:t>.</w:t>
      </w:r>
    </w:p>
    <w:p w14:paraId="7616AF95" w14:textId="68281F5D" w:rsidR="000E562E" w:rsidRPr="00393F7C" w:rsidRDefault="00C03686" w:rsidP="00C03686">
      <w:pPr>
        <w:pStyle w:val="WLGLevel1"/>
        <w:numPr>
          <w:ilvl w:val="0"/>
          <w:numId w:val="0"/>
        </w:numPr>
        <w:suppressAutoHyphens w:val="0"/>
        <w:spacing w:before="0" w:after="480"/>
        <w:ind w:left="709" w:hanging="709"/>
        <w:rPr>
          <w:rFonts w:cs="Arial"/>
          <w:szCs w:val="24"/>
          <w:lang w:val="en-GB"/>
        </w:rPr>
      </w:pPr>
      <w:r w:rsidRPr="00393F7C">
        <w:rPr>
          <w:rFonts w:cs="Arial"/>
          <w:bCs/>
          <w:iCs/>
          <w:szCs w:val="24"/>
          <w:lang w:val="en-GB"/>
        </w:rPr>
        <w:t>2.</w:t>
      </w:r>
      <w:r w:rsidRPr="00393F7C">
        <w:rPr>
          <w:rFonts w:cs="Arial"/>
          <w:bCs/>
          <w:iCs/>
          <w:szCs w:val="24"/>
          <w:lang w:val="en-GB"/>
        </w:rPr>
        <w:tab/>
      </w:r>
      <w:r w:rsidR="00DB7AF3">
        <w:rPr>
          <w:rFonts w:cs="Arial"/>
          <w:szCs w:val="24"/>
          <w:lang w:val="en-GB"/>
        </w:rPr>
        <w:t xml:space="preserve">For the reasons </w:t>
      </w:r>
      <w:r w:rsidR="00B307B5">
        <w:rPr>
          <w:rFonts w:cs="Arial"/>
          <w:szCs w:val="24"/>
          <w:lang w:val="en-GB"/>
        </w:rPr>
        <w:t xml:space="preserve">set out in </w:t>
      </w:r>
      <w:r w:rsidR="00B307B5" w:rsidRPr="00522754">
        <w:rPr>
          <w:rFonts w:cs="Arial"/>
          <w:szCs w:val="24"/>
          <w:lang w:val="en-GB"/>
        </w:rPr>
        <w:t xml:space="preserve">paragraphs </w:t>
      </w:r>
      <w:r w:rsidR="00B307B5" w:rsidRPr="00522754">
        <w:rPr>
          <w:rFonts w:cs="Arial"/>
          <w:szCs w:val="24"/>
          <w:lang w:val="en-GB"/>
        </w:rPr>
        <w:fldChar w:fldCharType="begin"/>
      </w:r>
      <w:r w:rsidR="00B307B5" w:rsidRPr="00522754">
        <w:rPr>
          <w:rFonts w:cs="Arial"/>
          <w:szCs w:val="24"/>
          <w:lang w:val="en-GB"/>
        </w:rPr>
        <w:instrText xml:space="preserve"> REF _Ref137929860 \r \h  \* MERGEFORMAT </w:instrText>
      </w:r>
      <w:r w:rsidR="00B307B5" w:rsidRPr="00522754">
        <w:rPr>
          <w:rFonts w:cs="Arial"/>
          <w:szCs w:val="24"/>
          <w:lang w:val="en-GB"/>
        </w:rPr>
      </w:r>
      <w:r w:rsidR="00B307B5" w:rsidRPr="00522754">
        <w:rPr>
          <w:rFonts w:cs="Arial"/>
          <w:szCs w:val="24"/>
          <w:lang w:val="en-GB"/>
        </w:rPr>
        <w:fldChar w:fldCharType="separate"/>
      </w:r>
      <w:r w:rsidR="00B7698E">
        <w:rPr>
          <w:rFonts w:cs="Arial"/>
          <w:szCs w:val="24"/>
          <w:lang w:val="en-GB"/>
        </w:rPr>
        <w:t>39</w:t>
      </w:r>
      <w:r w:rsidR="00B307B5" w:rsidRPr="00522754">
        <w:rPr>
          <w:rFonts w:cs="Arial"/>
          <w:szCs w:val="24"/>
          <w:lang w:val="en-GB"/>
        </w:rPr>
        <w:fldChar w:fldCharType="end"/>
      </w:r>
      <w:r w:rsidR="00B307B5" w:rsidRPr="00522754">
        <w:rPr>
          <w:rFonts w:cs="Arial"/>
          <w:szCs w:val="24"/>
          <w:lang w:val="en-GB"/>
        </w:rPr>
        <w:t xml:space="preserve"> to </w:t>
      </w:r>
      <w:r w:rsidR="00B307B5">
        <w:rPr>
          <w:rFonts w:cs="Arial"/>
          <w:szCs w:val="24"/>
          <w:lang w:val="en-GB"/>
        </w:rPr>
        <w:fldChar w:fldCharType="begin"/>
      </w:r>
      <w:r w:rsidR="00B307B5">
        <w:rPr>
          <w:rFonts w:cs="Arial"/>
          <w:szCs w:val="24"/>
          <w:lang w:val="en-GB"/>
        </w:rPr>
        <w:instrText xml:space="preserve"> REF _Ref138065409 \r \p \h </w:instrText>
      </w:r>
      <w:r w:rsidR="00B307B5">
        <w:rPr>
          <w:rFonts w:cs="Arial"/>
          <w:szCs w:val="24"/>
          <w:lang w:val="en-GB"/>
        </w:rPr>
      </w:r>
      <w:r w:rsidR="00B307B5">
        <w:rPr>
          <w:rFonts w:cs="Arial"/>
          <w:szCs w:val="24"/>
          <w:lang w:val="en-GB"/>
        </w:rPr>
        <w:fldChar w:fldCharType="separate"/>
      </w:r>
      <w:r w:rsidR="00B7698E">
        <w:rPr>
          <w:rFonts w:cs="Arial"/>
          <w:szCs w:val="24"/>
          <w:lang w:val="en-GB"/>
        </w:rPr>
        <w:t>50 below</w:t>
      </w:r>
      <w:r w:rsidR="00B307B5">
        <w:rPr>
          <w:rFonts w:cs="Arial"/>
          <w:szCs w:val="24"/>
          <w:lang w:val="en-GB"/>
        </w:rPr>
        <w:fldChar w:fldCharType="end"/>
      </w:r>
      <w:r w:rsidR="00B307B5">
        <w:rPr>
          <w:rFonts w:cs="Arial"/>
          <w:szCs w:val="24"/>
          <w:lang w:val="en-GB"/>
        </w:rPr>
        <w:t xml:space="preserve">, I </w:t>
      </w:r>
      <w:r w:rsidR="001A4DB0">
        <w:rPr>
          <w:rFonts w:cs="Arial"/>
          <w:szCs w:val="24"/>
          <w:lang w:val="en-GB"/>
        </w:rPr>
        <w:t xml:space="preserve">conclude that </w:t>
      </w:r>
      <w:r w:rsidR="00B307B5">
        <w:rPr>
          <w:rFonts w:cs="Arial"/>
          <w:szCs w:val="24"/>
          <w:lang w:val="en-GB"/>
        </w:rPr>
        <w:t xml:space="preserve">the deed of cession </w:t>
      </w:r>
      <w:r w:rsidR="001A4DB0">
        <w:rPr>
          <w:rFonts w:cs="Arial"/>
          <w:szCs w:val="24"/>
          <w:lang w:val="en-GB"/>
        </w:rPr>
        <w:t>is</w:t>
      </w:r>
      <w:r w:rsidR="00B307B5">
        <w:rPr>
          <w:rFonts w:cs="Arial"/>
          <w:szCs w:val="24"/>
          <w:lang w:val="en-GB"/>
        </w:rPr>
        <w:t xml:space="preserve"> null and void </w:t>
      </w:r>
      <w:r w:rsidR="00B307B5" w:rsidRPr="00111C14">
        <w:rPr>
          <w:rFonts w:cs="Arial"/>
          <w:i/>
          <w:iCs/>
          <w:szCs w:val="24"/>
          <w:lang w:val="en-GB"/>
        </w:rPr>
        <w:t>ab initio</w:t>
      </w:r>
      <w:r w:rsidR="008B77E5">
        <w:rPr>
          <w:rFonts w:cs="Arial"/>
          <w:szCs w:val="24"/>
          <w:lang w:val="en-GB"/>
        </w:rPr>
        <w:t xml:space="preserve">, on </w:t>
      </w:r>
      <w:r w:rsidR="00842983">
        <w:rPr>
          <w:rFonts w:cs="Arial"/>
          <w:szCs w:val="24"/>
          <w:lang w:val="en-GB"/>
        </w:rPr>
        <w:t>two</w:t>
      </w:r>
      <w:r w:rsidR="00B7061E">
        <w:rPr>
          <w:rFonts w:cs="Arial"/>
          <w:szCs w:val="24"/>
          <w:lang w:val="en-GB"/>
        </w:rPr>
        <w:t xml:space="preserve"> grounds of invalidity</w:t>
      </w:r>
      <w:r w:rsidR="008B7E5A">
        <w:rPr>
          <w:rFonts w:cs="Arial"/>
          <w:szCs w:val="24"/>
          <w:lang w:val="en-GB"/>
        </w:rPr>
        <w:t>, being</w:t>
      </w:r>
      <w:r w:rsidR="008B7E5A" w:rsidRPr="008B7E5A">
        <w:rPr>
          <w:rFonts w:cs="Arial"/>
          <w:szCs w:val="24"/>
          <w:lang w:val="en-GB"/>
        </w:rPr>
        <w:t xml:space="preserve"> </w:t>
      </w:r>
      <w:r w:rsidR="008B7E5A">
        <w:rPr>
          <w:rFonts w:cs="Arial"/>
          <w:szCs w:val="24"/>
          <w:lang w:val="en-GB"/>
        </w:rPr>
        <w:t xml:space="preserve">the absence of authority on the part of Mr Jackson </w:t>
      </w:r>
      <w:r w:rsidR="00EB0F56">
        <w:rPr>
          <w:rFonts w:cs="Arial"/>
          <w:szCs w:val="24"/>
          <w:lang w:val="en-GB"/>
        </w:rPr>
        <w:t xml:space="preserve">and of </w:t>
      </w:r>
      <w:r w:rsidR="002D132C">
        <w:rPr>
          <w:rFonts w:cs="Arial"/>
          <w:szCs w:val="24"/>
          <w:lang w:val="en-GB"/>
        </w:rPr>
        <w:t>consent on the part of the clients</w:t>
      </w:r>
      <w:r w:rsidR="008B77E5">
        <w:rPr>
          <w:rFonts w:cs="Arial"/>
          <w:szCs w:val="24"/>
          <w:lang w:val="en-GB"/>
        </w:rPr>
        <w:t>,</w:t>
      </w:r>
      <w:r w:rsidR="00650F59">
        <w:rPr>
          <w:rFonts w:cs="Arial"/>
          <w:i/>
          <w:iCs/>
          <w:szCs w:val="24"/>
          <w:lang w:val="en-GB"/>
        </w:rPr>
        <w:t xml:space="preserve"> </w:t>
      </w:r>
      <w:r w:rsidR="00650F59">
        <w:rPr>
          <w:rFonts w:cs="Arial"/>
          <w:szCs w:val="24"/>
          <w:lang w:val="en-GB"/>
        </w:rPr>
        <w:t xml:space="preserve">and grant an order in the terms set out in paragraph </w:t>
      </w:r>
      <w:r w:rsidR="00650F59">
        <w:rPr>
          <w:rFonts w:cs="Arial"/>
          <w:szCs w:val="24"/>
          <w:lang w:val="en-GB"/>
        </w:rPr>
        <w:fldChar w:fldCharType="begin"/>
      </w:r>
      <w:r w:rsidR="00650F59">
        <w:rPr>
          <w:rFonts w:cs="Arial"/>
          <w:szCs w:val="24"/>
          <w:lang w:val="en-GB"/>
        </w:rPr>
        <w:instrText xml:space="preserve"> REF _Ref137979529 \r \p \h </w:instrText>
      </w:r>
      <w:r w:rsidR="00650F59">
        <w:rPr>
          <w:rFonts w:cs="Arial"/>
          <w:szCs w:val="24"/>
          <w:lang w:val="en-GB"/>
        </w:rPr>
      </w:r>
      <w:r w:rsidR="00650F59">
        <w:rPr>
          <w:rFonts w:cs="Arial"/>
          <w:szCs w:val="24"/>
          <w:lang w:val="en-GB"/>
        </w:rPr>
        <w:fldChar w:fldCharType="separate"/>
      </w:r>
      <w:r w:rsidR="00B7698E">
        <w:rPr>
          <w:rFonts w:cs="Arial"/>
          <w:szCs w:val="24"/>
          <w:lang w:val="en-GB"/>
        </w:rPr>
        <w:t>58 below</w:t>
      </w:r>
      <w:r w:rsidR="00650F59">
        <w:rPr>
          <w:rFonts w:cs="Arial"/>
          <w:szCs w:val="24"/>
          <w:lang w:val="en-GB"/>
        </w:rPr>
        <w:fldChar w:fldCharType="end"/>
      </w:r>
      <w:r w:rsidR="000E562E" w:rsidRPr="00393F7C">
        <w:rPr>
          <w:rFonts w:cs="Arial"/>
          <w:szCs w:val="24"/>
          <w:lang w:val="en-GB"/>
        </w:rPr>
        <w:t>.</w:t>
      </w:r>
    </w:p>
    <w:p w14:paraId="27EC44A1" w14:textId="77777777" w:rsidR="000E562E" w:rsidRPr="00E409F1" w:rsidRDefault="000E562E" w:rsidP="00522754">
      <w:pPr>
        <w:pStyle w:val="WLGLevel1"/>
        <w:keepNext/>
        <w:numPr>
          <w:ilvl w:val="0"/>
          <w:numId w:val="0"/>
        </w:numPr>
        <w:suppressAutoHyphens w:val="0"/>
        <w:spacing w:before="0" w:after="480"/>
        <w:ind w:left="567" w:hanging="567"/>
        <w:rPr>
          <w:rFonts w:cs="Arial"/>
          <w:b/>
          <w:bCs/>
          <w:szCs w:val="24"/>
          <w:lang w:val="en-GB"/>
        </w:rPr>
      </w:pPr>
      <w:r w:rsidRPr="00E409F1">
        <w:rPr>
          <w:rFonts w:cs="Arial"/>
          <w:b/>
          <w:bCs/>
          <w:szCs w:val="24"/>
          <w:lang w:val="en-GB"/>
        </w:rPr>
        <w:lastRenderedPageBreak/>
        <w:t xml:space="preserve">THE </w:t>
      </w:r>
      <w:r>
        <w:rPr>
          <w:rFonts w:cs="Arial"/>
          <w:b/>
          <w:bCs/>
          <w:szCs w:val="24"/>
          <w:lang w:val="en-GB"/>
        </w:rPr>
        <w:t>FACTS</w:t>
      </w:r>
    </w:p>
    <w:p w14:paraId="778A7BFC" w14:textId="292EC7AD" w:rsidR="000E562E" w:rsidRPr="002A5649" w:rsidRDefault="00C03686" w:rsidP="00C03686">
      <w:pPr>
        <w:pStyle w:val="WLGLevel1"/>
        <w:numPr>
          <w:ilvl w:val="0"/>
          <w:numId w:val="0"/>
        </w:numPr>
        <w:suppressAutoHyphens w:val="0"/>
        <w:spacing w:before="0" w:after="480"/>
        <w:ind w:left="709" w:hanging="709"/>
        <w:rPr>
          <w:rFonts w:cs="Arial"/>
          <w:szCs w:val="24"/>
          <w:lang w:val="en-GB"/>
        </w:rPr>
      </w:pPr>
      <w:bookmarkStart w:id="1" w:name="_Ref137885856"/>
      <w:r w:rsidRPr="002A5649">
        <w:rPr>
          <w:rFonts w:cs="Arial"/>
          <w:bCs/>
          <w:iCs/>
          <w:szCs w:val="24"/>
          <w:lang w:val="en-GB"/>
        </w:rPr>
        <w:t>3.</w:t>
      </w:r>
      <w:r w:rsidRPr="002A5649">
        <w:rPr>
          <w:rFonts w:cs="Arial"/>
          <w:bCs/>
          <w:iCs/>
          <w:szCs w:val="24"/>
          <w:lang w:val="en-GB"/>
        </w:rPr>
        <w:tab/>
      </w:r>
      <w:r w:rsidR="000E562E" w:rsidRPr="002A5649">
        <w:rPr>
          <w:rFonts w:cs="Arial"/>
          <w:szCs w:val="24"/>
          <w:lang w:val="en-GB"/>
        </w:rPr>
        <w:t xml:space="preserve">It is not in dispute on the papers that, for many years, </w:t>
      </w:r>
      <w:r w:rsidR="00281DAD">
        <w:rPr>
          <w:rFonts w:cs="Arial"/>
          <w:szCs w:val="24"/>
          <w:lang w:val="en-GB"/>
        </w:rPr>
        <w:t>Messrs</w:t>
      </w:r>
      <w:r w:rsidR="00281DAD" w:rsidRPr="002A5649">
        <w:rPr>
          <w:rFonts w:cs="Arial"/>
          <w:szCs w:val="24"/>
          <w:lang w:val="en-GB"/>
        </w:rPr>
        <w:t xml:space="preserve"> </w:t>
      </w:r>
      <w:r w:rsidR="000E562E" w:rsidRPr="002A5649">
        <w:rPr>
          <w:rFonts w:cs="Arial"/>
          <w:szCs w:val="24"/>
          <w:lang w:val="en-GB"/>
        </w:rPr>
        <w:t xml:space="preserve">Perkins and Jackson were involved in a security services business that </w:t>
      </w:r>
      <w:r w:rsidR="00A576DF" w:rsidRPr="002A5649">
        <w:rPr>
          <w:rFonts w:cs="Arial"/>
          <w:szCs w:val="24"/>
          <w:lang w:val="en-GB"/>
        </w:rPr>
        <w:t>operated</w:t>
      </w:r>
      <w:r w:rsidR="000E562E" w:rsidRPr="002A5649">
        <w:rPr>
          <w:rFonts w:cs="Arial"/>
          <w:szCs w:val="24"/>
          <w:lang w:val="en-GB"/>
        </w:rPr>
        <w:t xml:space="preserve"> nationally under the name Ithemba Security Services. At a regional level, the business was conducted by various companies and close corporations, including the applicant and the second respondent.</w:t>
      </w:r>
      <w:bookmarkEnd w:id="1"/>
      <w:r w:rsidR="002A5649">
        <w:rPr>
          <w:rFonts w:cs="Arial"/>
          <w:szCs w:val="24"/>
          <w:lang w:val="en-GB"/>
        </w:rPr>
        <w:t xml:space="preserve"> </w:t>
      </w:r>
      <w:r w:rsidR="000E562E" w:rsidRPr="002A5649">
        <w:rPr>
          <w:rFonts w:cs="Arial"/>
          <w:szCs w:val="24"/>
          <w:lang w:val="en-GB"/>
        </w:rPr>
        <w:t>Initially, whereas Mr Perkins was a director or member of all such entities, Mr Jackson was primarily involved in the group’s operations in the Gauteng and KwaZulu-Natal regions.</w:t>
      </w:r>
    </w:p>
    <w:p w14:paraId="1F1B7A4B" w14:textId="3A6E0125" w:rsidR="000E562E" w:rsidRPr="00987B33" w:rsidRDefault="00C03686" w:rsidP="00C03686">
      <w:pPr>
        <w:pStyle w:val="WLGLevel1"/>
        <w:numPr>
          <w:ilvl w:val="0"/>
          <w:numId w:val="0"/>
        </w:numPr>
        <w:suppressAutoHyphens w:val="0"/>
        <w:spacing w:before="0" w:after="480"/>
        <w:ind w:left="709" w:hanging="709"/>
        <w:rPr>
          <w:rFonts w:cs="Arial"/>
          <w:szCs w:val="24"/>
          <w:lang w:val="en-GB"/>
        </w:rPr>
      </w:pPr>
      <w:r w:rsidRPr="00987B33">
        <w:rPr>
          <w:rFonts w:cs="Arial"/>
          <w:bCs/>
          <w:iCs/>
          <w:szCs w:val="24"/>
          <w:lang w:val="en-GB"/>
        </w:rPr>
        <w:t>4.</w:t>
      </w:r>
      <w:r w:rsidRPr="00987B33">
        <w:rPr>
          <w:rFonts w:cs="Arial"/>
          <w:bCs/>
          <w:iCs/>
          <w:szCs w:val="24"/>
          <w:lang w:val="en-GB"/>
        </w:rPr>
        <w:tab/>
      </w:r>
      <w:r w:rsidR="000E562E" w:rsidRPr="00E464D9">
        <w:rPr>
          <w:rFonts w:cs="Arial"/>
          <w:szCs w:val="24"/>
          <w:lang w:val="en-GB"/>
        </w:rPr>
        <w:t>In 2016 the applicant was converted from a close corporation to a company, Mr Perkins resigned as its member/director and Mr Jackson and Hendrik van der Walt became its only shareholders (51:49) and directors.</w:t>
      </w:r>
      <w:r w:rsidR="00E464D9" w:rsidRPr="00987B33">
        <w:rPr>
          <w:rFonts w:cs="Arial"/>
          <w:szCs w:val="24"/>
          <w:lang w:val="en-GB"/>
        </w:rPr>
        <w:t xml:space="preserve"> </w:t>
      </w:r>
      <w:r w:rsidR="000E562E" w:rsidRPr="00987B33">
        <w:rPr>
          <w:rFonts w:cs="Arial"/>
          <w:szCs w:val="24"/>
          <w:lang w:val="en-GB"/>
        </w:rPr>
        <w:t>As at 2018 Messrs Perkins and Jackson were the only members of an associated entity, Ithemba Sky Mark Security Services CC. In 2018 Mr Perkins resigned and was replaced as member by Mr van der Walt such that Messrs Jackson and Van der Walt became the only members (51:49) of the corporation.</w:t>
      </w:r>
      <w:r w:rsidR="00987B33">
        <w:rPr>
          <w:rFonts w:cs="Arial"/>
          <w:szCs w:val="24"/>
          <w:lang w:val="en-GB"/>
        </w:rPr>
        <w:t xml:space="preserve"> </w:t>
      </w:r>
      <w:r w:rsidR="000E562E" w:rsidRPr="00987B33">
        <w:rPr>
          <w:rFonts w:cs="Arial"/>
          <w:szCs w:val="24"/>
          <w:lang w:val="en-GB"/>
        </w:rPr>
        <w:t>Mr Perkins continued to conduct the Cape Town and Port Elizabeth businesses of the first respondent, of which he was and remains the sole member.</w:t>
      </w:r>
    </w:p>
    <w:p w14:paraId="3DCEB17B" w14:textId="75F45BAD" w:rsidR="000E562E" w:rsidRPr="00987B33" w:rsidRDefault="00C03686" w:rsidP="00C03686">
      <w:pPr>
        <w:pStyle w:val="WLGLevel1"/>
        <w:keepNext/>
        <w:numPr>
          <w:ilvl w:val="0"/>
          <w:numId w:val="0"/>
        </w:numPr>
        <w:suppressAutoHyphens w:val="0"/>
        <w:spacing w:before="0" w:after="480"/>
        <w:ind w:left="709" w:hanging="709"/>
        <w:rPr>
          <w:rFonts w:cs="Arial"/>
          <w:szCs w:val="24"/>
          <w:lang w:val="en-GB"/>
        </w:rPr>
      </w:pPr>
      <w:r w:rsidRPr="00987B33">
        <w:rPr>
          <w:rFonts w:cs="Arial"/>
          <w:bCs/>
          <w:iCs/>
          <w:szCs w:val="24"/>
          <w:lang w:val="en-GB"/>
        </w:rPr>
        <w:lastRenderedPageBreak/>
        <w:t>5.</w:t>
      </w:r>
      <w:r w:rsidRPr="00987B33">
        <w:rPr>
          <w:rFonts w:cs="Arial"/>
          <w:bCs/>
          <w:iCs/>
          <w:szCs w:val="24"/>
          <w:lang w:val="en-GB"/>
        </w:rPr>
        <w:tab/>
      </w:r>
      <w:r w:rsidR="000E562E" w:rsidRPr="00987B33">
        <w:rPr>
          <w:rFonts w:cs="Arial"/>
          <w:szCs w:val="24"/>
          <w:lang w:val="en-GB"/>
        </w:rPr>
        <w:t>Mr van der Walt died of a heart attack on 02 September 2019. On the evidence of Mr Perkins:</w:t>
      </w:r>
    </w:p>
    <w:p w14:paraId="3D7B90BA" w14:textId="7AFDCED3" w:rsidR="000E562E" w:rsidRDefault="00C03686" w:rsidP="00C03686">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t>5.1.</w:t>
      </w:r>
      <w:r>
        <w:rPr>
          <w:rFonts w:cs="Arial"/>
          <w:szCs w:val="24"/>
          <w:lang w:val="en-GB"/>
        </w:rPr>
        <w:tab/>
      </w:r>
      <w:r w:rsidR="000E562E">
        <w:rPr>
          <w:rFonts w:cs="Arial"/>
          <w:szCs w:val="24"/>
          <w:lang w:val="en-GB"/>
        </w:rPr>
        <w:t>shortly before that date Mr van der Walt entrusted to Mr Perkins the applicant’s office keys and bank account passwords to enable him to assist with the financial affairs of the applicant should that become necessary;</w:t>
      </w:r>
    </w:p>
    <w:p w14:paraId="486C0FA1" w14:textId="00453B3A" w:rsidR="000E562E" w:rsidRDefault="00C03686" w:rsidP="00C03686">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t>5.2.</w:t>
      </w:r>
      <w:r>
        <w:rPr>
          <w:rFonts w:cs="Arial"/>
          <w:szCs w:val="24"/>
          <w:lang w:val="en-GB"/>
        </w:rPr>
        <w:tab/>
      </w:r>
      <w:r w:rsidR="000E562E">
        <w:rPr>
          <w:rFonts w:cs="Arial"/>
          <w:szCs w:val="24"/>
          <w:lang w:val="en-GB"/>
        </w:rPr>
        <w:t>on that date Mr Perkins attended at the offices of the applicant and asked Mr Jackson whether he could assist the applicant by paying staff salaries and immediate creditors. Mr Jackson asked Mr Perkins, who agreed, to continue assisting the applicant by attending to its day-to-day financial affairs;</w:t>
      </w:r>
    </w:p>
    <w:p w14:paraId="74A06814" w14:textId="39B217BB" w:rsidR="000E562E" w:rsidRDefault="00C03686" w:rsidP="00C03686">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t>5.3.</w:t>
      </w:r>
      <w:r>
        <w:rPr>
          <w:rFonts w:cs="Arial"/>
          <w:szCs w:val="24"/>
          <w:lang w:val="en-GB"/>
        </w:rPr>
        <w:tab/>
      </w:r>
      <w:r w:rsidR="000E562E">
        <w:rPr>
          <w:rFonts w:cs="Arial"/>
          <w:szCs w:val="24"/>
          <w:lang w:val="en-GB"/>
        </w:rPr>
        <w:t>in the ensuing months Mr Perkins investigated those affairs and informed Mr Jackson that they were in a state of disarray, including that the company was in default of a number of employee-related and other statutory obligations and indebted to the first respondent in a sum of approximately R900,000;</w:t>
      </w:r>
    </w:p>
    <w:p w14:paraId="48C5CA3D" w14:textId="17CD4A8F" w:rsidR="000E562E" w:rsidRDefault="00C03686" w:rsidP="00C03686">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t>5.4.</w:t>
      </w:r>
      <w:r>
        <w:rPr>
          <w:rFonts w:cs="Arial"/>
          <w:szCs w:val="24"/>
          <w:lang w:val="en-GB"/>
        </w:rPr>
        <w:tab/>
      </w:r>
      <w:r w:rsidR="000E562E">
        <w:rPr>
          <w:rFonts w:cs="Arial"/>
          <w:szCs w:val="24"/>
          <w:lang w:val="en-GB"/>
        </w:rPr>
        <w:t>on 07 February 2020 it was agreed between them that Mr Perkins would assume financial control and management of the applicant, whose employees and clients would be moved over to the first respondent, which would repay the applicant’s outstanding indebtedness to Mercantile Bank;</w:t>
      </w:r>
    </w:p>
    <w:p w14:paraId="66EC737A" w14:textId="1D927CDF" w:rsidR="000E562E" w:rsidRDefault="00C03686" w:rsidP="00C03686">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lastRenderedPageBreak/>
        <w:t>5.5.</w:t>
      </w:r>
      <w:r>
        <w:rPr>
          <w:rFonts w:cs="Arial"/>
          <w:szCs w:val="24"/>
          <w:lang w:val="en-GB"/>
        </w:rPr>
        <w:tab/>
      </w:r>
      <w:r w:rsidR="000E562E">
        <w:rPr>
          <w:rFonts w:cs="Arial"/>
          <w:szCs w:val="24"/>
          <w:lang w:val="en-GB"/>
        </w:rPr>
        <w:t>although it was agreed that Mr Jackson would initiate liquidation proceedings in respect of the applicant, it later transpired that he did not do so; and</w:t>
      </w:r>
    </w:p>
    <w:p w14:paraId="1817100D" w14:textId="7599850F" w:rsidR="000E562E" w:rsidRDefault="00C03686" w:rsidP="00C03686">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t>5.6.</w:t>
      </w:r>
      <w:r>
        <w:rPr>
          <w:rFonts w:cs="Arial"/>
          <w:szCs w:val="24"/>
          <w:lang w:val="en-GB"/>
        </w:rPr>
        <w:tab/>
      </w:r>
      <w:r w:rsidR="000E562E">
        <w:rPr>
          <w:rFonts w:cs="Arial"/>
          <w:szCs w:val="24"/>
          <w:lang w:val="en-GB"/>
        </w:rPr>
        <w:t>during September 2020 Messrs Perkins and Jackson discussed and agreed to cede the applicant’s client contracts to the first respondent with effect from 01 March 2021 (the start of the applicant’s financial year), in return for which Mr Jackson would retain the “</w:t>
      </w:r>
      <w:r w:rsidR="000E562E" w:rsidRPr="0074556A">
        <w:rPr>
          <w:rFonts w:cs="Arial"/>
          <w:i/>
          <w:iCs/>
          <w:szCs w:val="24"/>
          <w:lang w:val="en-GB"/>
        </w:rPr>
        <w:t>remuneration and benefits that he received from the applicant</w:t>
      </w:r>
      <w:r w:rsidR="000E562E">
        <w:rPr>
          <w:rFonts w:cs="Arial"/>
          <w:szCs w:val="24"/>
          <w:lang w:val="en-GB"/>
        </w:rPr>
        <w:t>”</w:t>
      </w:r>
      <w:r w:rsidR="000E562E" w:rsidRPr="00B04666">
        <w:rPr>
          <w:rFonts w:cs="Arial"/>
          <w:szCs w:val="24"/>
          <w:lang w:val="en-GB"/>
        </w:rPr>
        <w:t xml:space="preserve"> </w:t>
      </w:r>
      <w:r w:rsidR="000E562E">
        <w:rPr>
          <w:rFonts w:cs="Arial"/>
          <w:szCs w:val="24"/>
          <w:lang w:val="en-GB"/>
        </w:rPr>
        <w:t>and be “</w:t>
      </w:r>
      <w:r w:rsidR="000E562E" w:rsidRPr="00747755">
        <w:rPr>
          <w:rFonts w:cs="Arial"/>
          <w:i/>
          <w:iCs/>
          <w:szCs w:val="24"/>
          <w:lang w:val="en-GB"/>
        </w:rPr>
        <w:t>released of all past debt in his personal name</w:t>
      </w:r>
      <w:r w:rsidR="000E562E">
        <w:rPr>
          <w:rFonts w:cs="Arial"/>
          <w:szCs w:val="24"/>
          <w:lang w:val="en-GB"/>
        </w:rPr>
        <w:t>”.</w:t>
      </w:r>
    </w:p>
    <w:p w14:paraId="47CF7872" w14:textId="7FD04FFC" w:rsidR="000E562E" w:rsidRPr="00393F7C" w:rsidRDefault="00C03686" w:rsidP="00C03686">
      <w:pPr>
        <w:pStyle w:val="WLGLevel1"/>
        <w:numPr>
          <w:ilvl w:val="0"/>
          <w:numId w:val="0"/>
        </w:numPr>
        <w:suppressAutoHyphens w:val="0"/>
        <w:spacing w:before="0" w:after="480"/>
        <w:ind w:left="709" w:hanging="709"/>
        <w:rPr>
          <w:rFonts w:cs="Arial"/>
          <w:szCs w:val="24"/>
          <w:lang w:val="en-GB"/>
        </w:rPr>
      </w:pPr>
      <w:r w:rsidRPr="00393F7C">
        <w:rPr>
          <w:rFonts w:cs="Arial"/>
          <w:bCs/>
          <w:iCs/>
          <w:szCs w:val="24"/>
          <w:lang w:val="en-GB"/>
        </w:rPr>
        <w:t>6.</w:t>
      </w:r>
      <w:r w:rsidRPr="00393F7C">
        <w:rPr>
          <w:rFonts w:cs="Arial"/>
          <w:bCs/>
          <w:iCs/>
          <w:szCs w:val="24"/>
          <w:lang w:val="en-GB"/>
        </w:rPr>
        <w:tab/>
      </w:r>
      <w:r w:rsidR="000E562E" w:rsidRPr="00393F7C">
        <w:rPr>
          <w:rFonts w:cs="Arial"/>
          <w:szCs w:val="24"/>
          <w:lang w:val="en-GB"/>
        </w:rPr>
        <w:t>On 03 December 2020 the applicant (as cedent) and the first respondent (as cessionary) entered into a written deed of cession</w:t>
      </w:r>
      <w:r w:rsidR="000E562E">
        <w:rPr>
          <w:rFonts w:cs="Arial"/>
          <w:szCs w:val="24"/>
          <w:lang w:val="en-GB"/>
        </w:rPr>
        <w:t>, which appears to have been signed by Mr Jackson for the applicant and Mr Perkins for the first respondent.</w:t>
      </w:r>
    </w:p>
    <w:p w14:paraId="7D4C9051" w14:textId="5F4F49D5" w:rsidR="000E562E" w:rsidRDefault="00C03686" w:rsidP="00C03686">
      <w:pPr>
        <w:pStyle w:val="WLGLevel1"/>
        <w:keepNext/>
        <w:numPr>
          <w:ilvl w:val="0"/>
          <w:numId w:val="0"/>
        </w:numPr>
        <w:tabs>
          <w:tab w:val="left" w:pos="1560"/>
        </w:tabs>
        <w:suppressAutoHyphens w:val="0"/>
        <w:spacing w:before="0" w:after="480"/>
        <w:ind w:left="1560" w:hanging="851"/>
        <w:rPr>
          <w:rFonts w:cs="Arial"/>
          <w:szCs w:val="24"/>
          <w:lang w:val="en-GB"/>
        </w:rPr>
      </w:pPr>
      <w:r>
        <w:rPr>
          <w:rFonts w:cs="Arial"/>
          <w:szCs w:val="24"/>
          <w:lang w:val="en-GB"/>
        </w:rPr>
        <w:t>6.1.</w:t>
      </w:r>
      <w:r>
        <w:rPr>
          <w:rFonts w:cs="Arial"/>
          <w:szCs w:val="24"/>
          <w:lang w:val="en-GB"/>
        </w:rPr>
        <w:tab/>
      </w:r>
      <w:r w:rsidR="000E562E">
        <w:rPr>
          <w:rFonts w:cs="Arial"/>
          <w:szCs w:val="24"/>
          <w:lang w:val="en-GB"/>
        </w:rPr>
        <w:t>The preamble records, in relevant part, that:</w:t>
      </w:r>
    </w:p>
    <w:p w14:paraId="7D496AA2" w14:textId="77777777" w:rsidR="000E562E" w:rsidRPr="000158B6" w:rsidRDefault="000E562E" w:rsidP="000E562E">
      <w:pPr>
        <w:pStyle w:val="WLGLevel1"/>
        <w:numPr>
          <w:ilvl w:val="0"/>
          <w:numId w:val="0"/>
        </w:numPr>
        <w:suppressAutoHyphens w:val="0"/>
        <w:spacing w:before="0" w:after="360" w:line="360" w:lineRule="auto"/>
        <w:ind w:left="2694"/>
        <w:rPr>
          <w:rFonts w:cs="Arial"/>
          <w:i/>
          <w:iCs/>
          <w:sz w:val="22"/>
          <w:szCs w:val="22"/>
          <w:lang w:val="en-GB"/>
        </w:rPr>
      </w:pPr>
      <w:r w:rsidRPr="000158B6">
        <w:rPr>
          <w:rFonts w:cs="Arial"/>
          <w:sz w:val="22"/>
          <w:szCs w:val="22"/>
          <w:lang w:val="en-GB"/>
        </w:rPr>
        <w:t>“</w:t>
      </w:r>
      <w:r w:rsidRPr="000158B6">
        <w:rPr>
          <w:rFonts w:cs="Arial"/>
          <w:b/>
          <w:bCs/>
          <w:i/>
          <w:iCs/>
          <w:sz w:val="22"/>
          <w:szCs w:val="22"/>
          <w:lang w:val="en-GB"/>
        </w:rPr>
        <w:t xml:space="preserve">AND WHEREAS </w:t>
      </w:r>
      <w:r w:rsidRPr="000158B6">
        <w:rPr>
          <w:rFonts w:cs="Arial"/>
          <w:i/>
          <w:iCs/>
          <w:sz w:val="22"/>
          <w:szCs w:val="22"/>
          <w:lang w:val="en-GB"/>
        </w:rPr>
        <w:t xml:space="preserve">the cedent has secured numerous contracts with various clients to furnish security services consisting </w:t>
      </w:r>
      <w:r>
        <w:rPr>
          <w:rFonts w:cs="Arial"/>
          <w:i/>
          <w:iCs/>
          <w:sz w:val="22"/>
          <w:szCs w:val="22"/>
          <w:lang w:val="en-GB"/>
        </w:rPr>
        <w:t xml:space="preserve">out </w:t>
      </w:r>
      <w:r w:rsidRPr="000158B6">
        <w:rPr>
          <w:rFonts w:cs="Arial"/>
          <w:i/>
          <w:iCs/>
          <w:sz w:val="22"/>
          <w:szCs w:val="22"/>
          <w:lang w:val="en-GB"/>
        </w:rPr>
        <w:t>of the placing of day shift and night shift security guards, armed response, radio and patrol system equipment throughout Gauteng and KwaZulu-Natal;</w:t>
      </w:r>
    </w:p>
    <w:p w14:paraId="048CC8C2" w14:textId="77777777" w:rsidR="000E562E" w:rsidRPr="000158B6" w:rsidRDefault="000E562E" w:rsidP="000E562E">
      <w:pPr>
        <w:pStyle w:val="WLGLevel1"/>
        <w:numPr>
          <w:ilvl w:val="0"/>
          <w:numId w:val="0"/>
        </w:numPr>
        <w:suppressAutoHyphens w:val="0"/>
        <w:spacing w:before="0" w:after="360" w:line="360" w:lineRule="auto"/>
        <w:ind w:left="2694"/>
        <w:rPr>
          <w:rFonts w:cs="Arial"/>
          <w:i/>
          <w:iCs/>
          <w:sz w:val="22"/>
          <w:szCs w:val="22"/>
          <w:lang w:val="en-GB"/>
        </w:rPr>
      </w:pPr>
      <w:r w:rsidRPr="000158B6">
        <w:rPr>
          <w:rFonts w:cs="Arial"/>
          <w:b/>
          <w:bCs/>
          <w:i/>
          <w:iCs/>
          <w:sz w:val="22"/>
          <w:szCs w:val="22"/>
          <w:lang w:val="en-GB"/>
        </w:rPr>
        <w:t xml:space="preserve">AND WHEREAS </w:t>
      </w:r>
      <w:r w:rsidRPr="000158B6">
        <w:rPr>
          <w:rFonts w:cs="Arial"/>
          <w:i/>
          <w:iCs/>
          <w:sz w:val="22"/>
          <w:szCs w:val="22"/>
          <w:lang w:val="en-GB"/>
        </w:rPr>
        <w:t>the cedent, due to financial constraints, is no longer able to furnish the aforesaid security services to its clients and pay all the salaries and wage related costs of its security guards and management;</w:t>
      </w:r>
    </w:p>
    <w:p w14:paraId="27FE705A" w14:textId="77777777" w:rsidR="000E562E" w:rsidRPr="000158B6" w:rsidRDefault="000E562E" w:rsidP="000E562E">
      <w:pPr>
        <w:pStyle w:val="WLGLevel1"/>
        <w:numPr>
          <w:ilvl w:val="0"/>
          <w:numId w:val="0"/>
        </w:numPr>
        <w:suppressAutoHyphens w:val="0"/>
        <w:spacing w:before="0" w:after="360" w:line="360" w:lineRule="auto"/>
        <w:ind w:left="2694"/>
        <w:rPr>
          <w:rFonts w:cs="Arial"/>
          <w:i/>
          <w:iCs/>
          <w:sz w:val="22"/>
          <w:szCs w:val="22"/>
          <w:lang w:val="en-GB"/>
        </w:rPr>
      </w:pPr>
      <w:r w:rsidRPr="000158B6">
        <w:rPr>
          <w:rFonts w:cs="Arial"/>
          <w:b/>
          <w:bCs/>
          <w:i/>
          <w:iCs/>
          <w:sz w:val="22"/>
          <w:szCs w:val="22"/>
          <w:lang w:val="en-GB"/>
        </w:rPr>
        <w:lastRenderedPageBreak/>
        <w:t xml:space="preserve">AND WHEREAS </w:t>
      </w:r>
      <w:r w:rsidRPr="000158B6">
        <w:rPr>
          <w:rFonts w:cs="Arial"/>
          <w:i/>
          <w:iCs/>
          <w:sz w:val="22"/>
          <w:szCs w:val="22"/>
          <w:lang w:val="en-GB"/>
        </w:rPr>
        <w:t>the cedent may expose itself to damages claims by its clients for failing to deliver security services in terms of the existing contracts with its clients;</w:t>
      </w:r>
    </w:p>
    <w:p w14:paraId="6728F72C" w14:textId="77777777" w:rsidR="000E562E" w:rsidRPr="000158B6" w:rsidRDefault="000E562E" w:rsidP="000E562E">
      <w:pPr>
        <w:pStyle w:val="WLGLevel1"/>
        <w:numPr>
          <w:ilvl w:val="0"/>
          <w:numId w:val="0"/>
        </w:numPr>
        <w:suppressAutoHyphens w:val="0"/>
        <w:spacing w:before="0" w:after="600" w:line="360" w:lineRule="auto"/>
        <w:ind w:left="2693"/>
        <w:rPr>
          <w:rFonts w:cs="Arial"/>
          <w:sz w:val="22"/>
          <w:szCs w:val="22"/>
          <w:lang w:val="en-GB"/>
        </w:rPr>
      </w:pPr>
      <w:r w:rsidRPr="000158B6">
        <w:rPr>
          <w:rFonts w:cs="Arial"/>
          <w:b/>
          <w:bCs/>
          <w:i/>
          <w:iCs/>
          <w:sz w:val="22"/>
          <w:szCs w:val="22"/>
          <w:lang w:val="en-GB"/>
        </w:rPr>
        <w:t xml:space="preserve">AND WHEREAS </w:t>
      </w:r>
      <w:r w:rsidRPr="000158B6">
        <w:rPr>
          <w:rFonts w:cs="Arial"/>
          <w:i/>
          <w:iCs/>
          <w:sz w:val="22"/>
          <w:szCs w:val="22"/>
          <w:lang w:val="en-GB"/>
        </w:rPr>
        <w:t>the cedent wish to cede its rights and obligations in terms of the existing contracts with its clients to the cessionary who is prepared to accept such cession.</w:t>
      </w:r>
      <w:r w:rsidRPr="000158B6">
        <w:rPr>
          <w:rFonts w:cs="Arial"/>
          <w:sz w:val="22"/>
          <w:szCs w:val="22"/>
          <w:lang w:val="en-GB"/>
        </w:rPr>
        <w:t>”</w:t>
      </w:r>
    </w:p>
    <w:p w14:paraId="299F41F4" w14:textId="02FA81B9" w:rsidR="000E562E" w:rsidRDefault="00C03686" w:rsidP="00C03686">
      <w:pPr>
        <w:pStyle w:val="WLGLevel1"/>
        <w:keepNext/>
        <w:numPr>
          <w:ilvl w:val="0"/>
          <w:numId w:val="0"/>
        </w:numPr>
        <w:tabs>
          <w:tab w:val="left" w:pos="1560"/>
        </w:tabs>
        <w:suppressAutoHyphens w:val="0"/>
        <w:spacing w:before="0" w:after="480"/>
        <w:ind w:left="1560" w:hanging="851"/>
        <w:rPr>
          <w:rFonts w:cs="Arial"/>
          <w:szCs w:val="24"/>
          <w:lang w:val="en-GB"/>
        </w:rPr>
      </w:pPr>
      <w:r>
        <w:rPr>
          <w:rFonts w:cs="Arial"/>
          <w:szCs w:val="24"/>
          <w:lang w:val="en-GB"/>
        </w:rPr>
        <w:t>6.2.</w:t>
      </w:r>
      <w:r>
        <w:rPr>
          <w:rFonts w:cs="Arial"/>
          <w:szCs w:val="24"/>
          <w:lang w:val="en-GB"/>
        </w:rPr>
        <w:tab/>
      </w:r>
      <w:r w:rsidR="000E562E">
        <w:rPr>
          <w:rFonts w:cs="Arial"/>
          <w:szCs w:val="24"/>
          <w:lang w:val="en-GB"/>
        </w:rPr>
        <w:t>Clause 1.4 defines “</w:t>
      </w:r>
      <w:r w:rsidR="000E562E">
        <w:rPr>
          <w:rFonts w:cs="Arial"/>
          <w:i/>
          <w:iCs/>
          <w:szCs w:val="24"/>
          <w:lang w:val="en-GB"/>
        </w:rPr>
        <w:t>clients</w:t>
      </w:r>
      <w:r w:rsidR="000E562E">
        <w:rPr>
          <w:rFonts w:cs="Arial"/>
          <w:szCs w:val="24"/>
          <w:lang w:val="en-GB"/>
        </w:rPr>
        <w:t>” as:</w:t>
      </w:r>
    </w:p>
    <w:p w14:paraId="5DB207DA" w14:textId="77777777" w:rsidR="000E562E" w:rsidRPr="000158B6" w:rsidRDefault="000E562E" w:rsidP="000E562E">
      <w:pPr>
        <w:pStyle w:val="WLGLevel1"/>
        <w:numPr>
          <w:ilvl w:val="0"/>
          <w:numId w:val="0"/>
        </w:numPr>
        <w:suppressAutoHyphens w:val="0"/>
        <w:spacing w:before="0" w:after="600" w:line="360" w:lineRule="auto"/>
        <w:ind w:left="2694"/>
        <w:rPr>
          <w:rFonts w:cs="Arial"/>
          <w:sz w:val="22"/>
          <w:szCs w:val="22"/>
          <w:lang w:val="en-GB"/>
        </w:rPr>
      </w:pPr>
      <w:r w:rsidRPr="000158B6">
        <w:rPr>
          <w:rFonts w:cs="Arial"/>
          <w:sz w:val="22"/>
          <w:szCs w:val="22"/>
          <w:lang w:val="en-GB"/>
        </w:rPr>
        <w:t>“</w:t>
      </w:r>
      <w:r w:rsidRPr="000158B6">
        <w:rPr>
          <w:rFonts w:cs="Arial"/>
          <w:i/>
          <w:iCs/>
          <w:sz w:val="22"/>
          <w:szCs w:val="22"/>
          <w:lang w:val="en-GB"/>
        </w:rPr>
        <w:t>the existing clients of the cedent as on the 1</w:t>
      </w:r>
      <w:r w:rsidRPr="000158B6">
        <w:rPr>
          <w:rFonts w:cs="Arial"/>
          <w:i/>
          <w:iCs/>
          <w:sz w:val="22"/>
          <w:szCs w:val="22"/>
          <w:vertAlign w:val="superscript"/>
          <w:lang w:val="en-GB"/>
        </w:rPr>
        <w:t>st</w:t>
      </w:r>
      <w:r w:rsidRPr="000158B6">
        <w:rPr>
          <w:rFonts w:cs="Arial"/>
          <w:i/>
          <w:iCs/>
          <w:sz w:val="22"/>
          <w:szCs w:val="22"/>
          <w:lang w:val="en-GB"/>
        </w:rPr>
        <w:t xml:space="preserve"> of March 2021 with whom the cedent has entered into written agreements to furnish security services consisting out of the placing of day shift and night shift security guards, armed response, radio and patrol system equipment throughout Gauteng and KwaZulu-Natal specified in Annexure ‘CES1’ hereto</w:t>
      </w:r>
      <w:r w:rsidRPr="000158B6">
        <w:rPr>
          <w:rFonts w:cs="Arial"/>
          <w:sz w:val="22"/>
          <w:szCs w:val="22"/>
          <w:lang w:val="en-GB"/>
        </w:rPr>
        <w:t>”.</w:t>
      </w:r>
    </w:p>
    <w:p w14:paraId="11E42AB6" w14:textId="5F4F5EF3" w:rsidR="000E562E" w:rsidRDefault="00C03686" w:rsidP="00C03686">
      <w:pPr>
        <w:pStyle w:val="WLGLevel1"/>
        <w:keepNext/>
        <w:numPr>
          <w:ilvl w:val="0"/>
          <w:numId w:val="0"/>
        </w:numPr>
        <w:tabs>
          <w:tab w:val="left" w:pos="1560"/>
        </w:tabs>
        <w:suppressAutoHyphens w:val="0"/>
        <w:spacing w:before="0" w:after="480"/>
        <w:ind w:left="1560" w:hanging="851"/>
        <w:rPr>
          <w:rFonts w:cs="Arial"/>
          <w:szCs w:val="24"/>
          <w:lang w:val="en-GB"/>
        </w:rPr>
      </w:pPr>
      <w:r>
        <w:rPr>
          <w:rFonts w:cs="Arial"/>
          <w:szCs w:val="24"/>
          <w:lang w:val="en-GB"/>
        </w:rPr>
        <w:t>6.3.</w:t>
      </w:r>
      <w:r>
        <w:rPr>
          <w:rFonts w:cs="Arial"/>
          <w:szCs w:val="24"/>
          <w:lang w:val="en-GB"/>
        </w:rPr>
        <w:tab/>
      </w:r>
      <w:r w:rsidR="000E562E">
        <w:rPr>
          <w:rFonts w:cs="Arial"/>
          <w:szCs w:val="24"/>
          <w:lang w:val="en-GB"/>
        </w:rPr>
        <w:t>Clause 3 provides that:</w:t>
      </w:r>
    </w:p>
    <w:p w14:paraId="79474CE6" w14:textId="77777777" w:rsidR="000E562E" w:rsidRPr="0074556A" w:rsidRDefault="000E562E" w:rsidP="000E562E">
      <w:pPr>
        <w:pStyle w:val="WLGLevel1"/>
        <w:numPr>
          <w:ilvl w:val="0"/>
          <w:numId w:val="0"/>
        </w:numPr>
        <w:suppressAutoHyphens w:val="0"/>
        <w:spacing w:before="0" w:after="600" w:line="360" w:lineRule="auto"/>
        <w:ind w:left="2694"/>
        <w:rPr>
          <w:rFonts w:cs="Arial"/>
          <w:sz w:val="22"/>
          <w:szCs w:val="22"/>
          <w:lang w:val="en-GB"/>
        </w:rPr>
      </w:pPr>
      <w:r w:rsidRPr="0074556A">
        <w:rPr>
          <w:rFonts w:cs="Arial"/>
          <w:sz w:val="22"/>
          <w:szCs w:val="22"/>
          <w:lang w:val="en-GB"/>
        </w:rPr>
        <w:t>“</w:t>
      </w:r>
      <w:r>
        <w:rPr>
          <w:rFonts w:cs="Arial"/>
          <w:i/>
          <w:iCs/>
          <w:sz w:val="22"/>
          <w:szCs w:val="22"/>
          <w:lang w:val="en-GB"/>
        </w:rPr>
        <w:t>The cedent hereby cedes and the cessionary hereby accepts the cession of all the cedent’s rights and obligations towards its clients specified in Annexure ‘CES1’ hereto with effect from the effective date [01 March 2021] and in particular the right to recover the remuneration payable by the clients to the cedent for rendering security services to the clients consisting out of the placing of day shift and night shift security guards, armed response, radio and patrol system equipment to the cedent’s clients throughout Gauteng and KwaZulu-Natal in terms of written agreements entered into between the cedent and its clients</w:t>
      </w:r>
      <w:r w:rsidRPr="00441B33">
        <w:rPr>
          <w:rFonts w:cs="Arial"/>
          <w:i/>
          <w:iCs/>
          <w:sz w:val="22"/>
          <w:szCs w:val="22"/>
          <w:lang w:val="en-GB"/>
        </w:rPr>
        <w:t>.</w:t>
      </w:r>
      <w:r w:rsidRPr="0074556A">
        <w:rPr>
          <w:rFonts w:cs="Arial"/>
          <w:sz w:val="22"/>
          <w:szCs w:val="22"/>
          <w:lang w:val="en-GB"/>
        </w:rPr>
        <w:t>”</w:t>
      </w:r>
    </w:p>
    <w:p w14:paraId="3F5E0A04" w14:textId="0FA59B9C" w:rsidR="000E562E" w:rsidRDefault="00C03686" w:rsidP="00C03686">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lastRenderedPageBreak/>
        <w:t>6.4.</w:t>
      </w:r>
      <w:r>
        <w:rPr>
          <w:rFonts w:cs="Arial"/>
          <w:szCs w:val="24"/>
          <w:lang w:val="en-GB"/>
        </w:rPr>
        <w:tab/>
      </w:r>
      <w:r w:rsidR="000E562E">
        <w:rPr>
          <w:rFonts w:cs="Arial"/>
          <w:szCs w:val="24"/>
          <w:lang w:val="en-GB"/>
        </w:rPr>
        <w:t>Clause 4 provides that “</w:t>
      </w:r>
      <w:r w:rsidR="000E562E" w:rsidRPr="000158B6">
        <w:rPr>
          <w:rFonts w:cs="Arial"/>
          <w:i/>
          <w:iCs/>
          <w:szCs w:val="24"/>
          <w:lang w:val="en-GB"/>
        </w:rPr>
        <w:t>[n]o consideration will be payable by the cessionary to the cedent for the cession herein recorded.</w:t>
      </w:r>
      <w:r w:rsidR="000E562E">
        <w:rPr>
          <w:rFonts w:cs="Arial"/>
          <w:szCs w:val="24"/>
          <w:lang w:val="en-GB"/>
        </w:rPr>
        <w:t>”</w:t>
      </w:r>
    </w:p>
    <w:p w14:paraId="15B31C0A" w14:textId="166A860F" w:rsidR="000E562E" w:rsidRDefault="00C03686" w:rsidP="00C03686">
      <w:pPr>
        <w:pStyle w:val="WLGLevel1"/>
        <w:keepNext/>
        <w:numPr>
          <w:ilvl w:val="0"/>
          <w:numId w:val="0"/>
        </w:numPr>
        <w:tabs>
          <w:tab w:val="left" w:pos="1560"/>
        </w:tabs>
        <w:suppressAutoHyphens w:val="0"/>
        <w:spacing w:before="0" w:after="480"/>
        <w:ind w:left="1560" w:hanging="851"/>
        <w:rPr>
          <w:rFonts w:cs="Arial"/>
          <w:szCs w:val="24"/>
          <w:lang w:val="en-GB"/>
        </w:rPr>
      </w:pPr>
      <w:r>
        <w:rPr>
          <w:rFonts w:cs="Arial"/>
          <w:szCs w:val="24"/>
          <w:lang w:val="en-GB"/>
        </w:rPr>
        <w:t>6.5.</w:t>
      </w:r>
      <w:r>
        <w:rPr>
          <w:rFonts w:cs="Arial"/>
          <w:szCs w:val="24"/>
          <w:lang w:val="en-GB"/>
        </w:rPr>
        <w:tab/>
      </w:r>
      <w:r w:rsidR="000E562E">
        <w:rPr>
          <w:rFonts w:cs="Arial"/>
          <w:szCs w:val="24"/>
          <w:lang w:val="en-GB"/>
        </w:rPr>
        <w:t>Clause 5 provides that:</w:t>
      </w:r>
    </w:p>
    <w:p w14:paraId="13476448" w14:textId="77777777" w:rsidR="000E562E" w:rsidRPr="00BB4902" w:rsidRDefault="000E562E" w:rsidP="000E562E">
      <w:pPr>
        <w:pStyle w:val="WLGLevel1"/>
        <w:numPr>
          <w:ilvl w:val="0"/>
          <w:numId w:val="0"/>
        </w:numPr>
        <w:suppressAutoHyphens w:val="0"/>
        <w:spacing w:before="0" w:after="360" w:line="360" w:lineRule="auto"/>
        <w:ind w:left="2693"/>
        <w:rPr>
          <w:rFonts w:cs="Arial"/>
          <w:i/>
          <w:iCs/>
          <w:sz w:val="22"/>
          <w:szCs w:val="22"/>
          <w:lang w:val="en-GB"/>
        </w:rPr>
      </w:pPr>
      <w:r w:rsidRPr="0074556A">
        <w:rPr>
          <w:rFonts w:cs="Arial"/>
          <w:sz w:val="22"/>
          <w:szCs w:val="22"/>
          <w:lang w:val="en-GB"/>
        </w:rPr>
        <w:t>“</w:t>
      </w:r>
      <w:r>
        <w:rPr>
          <w:rFonts w:cs="Arial"/>
          <w:i/>
          <w:iCs/>
          <w:sz w:val="22"/>
          <w:szCs w:val="22"/>
          <w:lang w:val="en-GB"/>
        </w:rPr>
        <w:t>With effect from the effective date the cedent will place the cessionary in control of all its guards posted throughout Gauteng and KwaZulu-Natal from which date the cessionary will be liable to pay the salaries and other benefits to the cedent’s existing guards in terms of the existing employment agreements;</w:t>
      </w:r>
    </w:p>
    <w:p w14:paraId="34DEDDEC" w14:textId="77777777" w:rsidR="000E562E" w:rsidRPr="0074556A" w:rsidRDefault="000E562E" w:rsidP="000E562E">
      <w:pPr>
        <w:pStyle w:val="WLGLevel1"/>
        <w:numPr>
          <w:ilvl w:val="0"/>
          <w:numId w:val="0"/>
        </w:numPr>
        <w:suppressAutoHyphens w:val="0"/>
        <w:spacing w:before="0" w:after="600" w:line="360" w:lineRule="auto"/>
        <w:ind w:left="2693"/>
        <w:rPr>
          <w:rFonts w:cs="Arial"/>
          <w:sz w:val="22"/>
          <w:szCs w:val="22"/>
          <w:lang w:val="en-GB"/>
        </w:rPr>
      </w:pPr>
      <w:r>
        <w:rPr>
          <w:rFonts w:cs="Arial"/>
          <w:i/>
          <w:iCs/>
          <w:sz w:val="22"/>
          <w:szCs w:val="22"/>
          <w:lang w:val="en-GB"/>
        </w:rPr>
        <w:t>With effect from the effective date the cedent shall deliver and, where applicable, cede, assign and transfer all of its licences, PSiRA documents, certificates, registration papers and other documents necessary to pass benefit of the cession herein recorded to the cessionary.</w:t>
      </w:r>
      <w:r w:rsidRPr="0074556A">
        <w:rPr>
          <w:rFonts w:cs="Arial"/>
          <w:sz w:val="22"/>
          <w:szCs w:val="22"/>
          <w:lang w:val="en-GB"/>
        </w:rPr>
        <w:t>”</w:t>
      </w:r>
    </w:p>
    <w:p w14:paraId="64F47050" w14:textId="57E20F1C" w:rsidR="000E562E" w:rsidRDefault="00C03686" w:rsidP="00C03686">
      <w:pPr>
        <w:pStyle w:val="WLGLevel1"/>
        <w:keepNext/>
        <w:numPr>
          <w:ilvl w:val="0"/>
          <w:numId w:val="0"/>
        </w:numPr>
        <w:tabs>
          <w:tab w:val="left" w:pos="1560"/>
        </w:tabs>
        <w:suppressAutoHyphens w:val="0"/>
        <w:spacing w:before="0" w:after="480"/>
        <w:ind w:left="1560" w:hanging="851"/>
        <w:rPr>
          <w:rFonts w:cs="Arial"/>
          <w:szCs w:val="24"/>
          <w:lang w:val="en-GB"/>
        </w:rPr>
      </w:pPr>
      <w:r>
        <w:rPr>
          <w:rFonts w:cs="Arial"/>
          <w:szCs w:val="24"/>
          <w:lang w:val="en-GB"/>
        </w:rPr>
        <w:t>6.6.</w:t>
      </w:r>
      <w:r>
        <w:rPr>
          <w:rFonts w:cs="Arial"/>
          <w:szCs w:val="24"/>
          <w:lang w:val="en-GB"/>
        </w:rPr>
        <w:tab/>
      </w:r>
      <w:r w:rsidR="000E562E">
        <w:rPr>
          <w:rFonts w:cs="Arial"/>
          <w:szCs w:val="24"/>
          <w:lang w:val="en-GB"/>
        </w:rPr>
        <w:t>Clause 6 provides, in relevant part, that:</w:t>
      </w:r>
    </w:p>
    <w:p w14:paraId="10859524" w14:textId="77777777" w:rsidR="000E562E" w:rsidRPr="00BB4902" w:rsidRDefault="000E562E" w:rsidP="000E562E">
      <w:pPr>
        <w:pStyle w:val="WLGLevel1"/>
        <w:numPr>
          <w:ilvl w:val="0"/>
          <w:numId w:val="0"/>
        </w:numPr>
        <w:suppressAutoHyphens w:val="0"/>
        <w:spacing w:before="0" w:after="360" w:line="360" w:lineRule="auto"/>
        <w:ind w:left="2693"/>
        <w:rPr>
          <w:rFonts w:cs="Arial"/>
          <w:i/>
          <w:iCs/>
          <w:sz w:val="22"/>
          <w:szCs w:val="22"/>
          <w:lang w:val="en-GB"/>
        </w:rPr>
      </w:pPr>
      <w:r w:rsidRPr="000158B6">
        <w:rPr>
          <w:rFonts w:cs="Arial"/>
          <w:sz w:val="22"/>
          <w:szCs w:val="22"/>
          <w:lang w:val="en-GB"/>
        </w:rPr>
        <w:t>“</w:t>
      </w:r>
      <w:r w:rsidRPr="00BB4902">
        <w:rPr>
          <w:rFonts w:cs="Arial"/>
          <w:i/>
          <w:iCs/>
          <w:sz w:val="22"/>
          <w:szCs w:val="22"/>
          <w:lang w:val="en-GB"/>
        </w:rPr>
        <w:t>T</w:t>
      </w:r>
      <w:r w:rsidRPr="000158B6">
        <w:rPr>
          <w:rFonts w:cs="Arial"/>
          <w:i/>
          <w:iCs/>
          <w:sz w:val="22"/>
          <w:szCs w:val="22"/>
          <w:lang w:val="en-GB"/>
        </w:rPr>
        <w:t>he cessionary hereby undertakes unto and in favour of the cedent that he will offer contacts of employment to all security guards who were employed by the cedent as at the effective date, which contracts will be on terms and conditions no less or more favourable than those which exist as at the effective date</w:t>
      </w:r>
      <w:r w:rsidRPr="00BB4902">
        <w:rPr>
          <w:rFonts w:cs="Arial"/>
          <w:i/>
          <w:iCs/>
          <w:sz w:val="22"/>
          <w:szCs w:val="22"/>
          <w:lang w:val="en-GB"/>
        </w:rPr>
        <w:t>.</w:t>
      </w:r>
    </w:p>
    <w:p w14:paraId="6FB74504" w14:textId="77777777" w:rsidR="000E562E" w:rsidRPr="000158B6" w:rsidRDefault="000E562E" w:rsidP="000E562E">
      <w:pPr>
        <w:pStyle w:val="WLGLevel1"/>
        <w:numPr>
          <w:ilvl w:val="0"/>
          <w:numId w:val="0"/>
        </w:numPr>
        <w:suppressAutoHyphens w:val="0"/>
        <w:spacing w:before="0" w:after="600" w:line="360" w:lineRule="auto"/>
        <w:ind w:left="2693"/>
        <w:rPr>
          <w:rFonts w:cs="Arial"/>
          <w:sz w:val="22"/>
          <w:szCs w:val="22"/>
          <w:lang w:val="en-GB"/>
        </w:rPr>
      </w:pPr>
      <w:r w:rsidRPr="000158B6">
        <w:rPr>
          <w:rFonts w:cs="Arial"/>
          <w:i/>
          <w:iCs/>
          <w:sz w:val="22"/>
          <w:szCs w:val="22"/>
          <w:lang w:val="en-GB"/>
        </w:rPr>
        <w:t>In the event</w:t>
      </w:r>
      <w:r>
        <w:rPr>
          <w:rFonts w:cs="Arial"/>
          <w:i/>
          <w:iCs/>
          <w:sz w:val="22"/>
          <w:szCs w:val="22"/>
          <w:lang w:val="en-GB"/>
        </w:rPr>
        <w:t xml:space="preserve"> of any security guards failing to accept the offer of employment within thirty (30) days of the effective date, the cedent shall at its own cost and expense deal with such security guards in accordance with the general principles of Labour Law …</w:t>
      </w:r>
      <w:r w:rsidRPr="000158B6">
        <w:rPr>
          <w:rFonts w:cs="Arial"/>
          <w:sz w:val="22"/>
          <w:szCs w:val="22"/>
          <w:lang w:val="en-GB"/>
        </w:rPr>
        <w:t>”</w:t>
      </w:r>
      <w:r>
        <w:rPr>
          <w:rFonts w:cs="Arial"/>
          <w:sz w:val="22"/>
          <w:szCs w:val="22"/>
          <w:lang w:val="en-GB"/>
        </w:rPr>
        <w:t>.</w:t>
      </w:r>
    </w:p>
    <w:p w14:paraId="7135DCB6" w14:textId="59EF9989" w:rsidR="000E562E" w:rsidRPr="006C4088" w:rsidRDefault="00C03686" w:rsidP="00C03686">
      <w:pPr>
        <w:pStyle w:val="WLGLevel1"/>
        <w:numPr>
          <w:ilvl w:val="0"/>
          <w:numId w:val="0"/>
        </w:numPr>
        <w:suppressAutoHyphens w:val="0"/>
        <w:spacing w:before="0" w:after="480"/>
        <w:ind w:left="709" w:hanging="709"/>
        <w:rPr>
          <w:rFonts w:cs="Arial"/>
          <w:szCs w:val="24"/>
          <w:lang w:val="en-GB"/>
        </w:rPr>
      </w:pPr>
      <w:r w:rsidRPr="006C4088">
        <w:rPr>
          <w:rFonts w:cs="Arial"/>
          <w:bCs/>
          <w:iCs/>
          <w:szCs w:val="24"/>
          <w:lang w:val="en-GB"/>
        </w:rPr>
        <w:lastRenderedPageBreak/>
        <w:t>7.</w:t>
      </w:r>
      <w:r w:rsidRPr="006C4088">
        <w:rPr>
          <w:rFonts w:cs="Arial"/>
          <w:bCs/>
          <w:iCs/>
          <w:szCs w:val="24"/>
          <w:lang w:val="en-GB"/>
        </w:rPr>
        <w:tab/>
      </w:r>
      <w:r w:rsidR="000E562E" w:rsidRPr="006C4088">
        <w:rPr>
          <w:rFonts w:cs="Arial"/>
          <w:szCs w:val="24"/>
          <w:lang w:val="en-GB"/>
        </w:rPr>
        <w:t>Mr Jackson died of Covid-related complications on 05 February 2021.</w:t>
      </w:r>
      <w:r w:rsidR="006C4088">
        <w:rPr>
          <w:rFonts w:cs="Arial"/>
          <w:szCs w:val="24"/>
          <w:lang w:val="en-GB"/>
        </w:rPr>
        <w:t xml:space="preserve"> </w:t>
      </w:r>
      <w:r w:rsidR="000E562E" w:rsidRPr="006C4088">
        <w:rPr>
          <w:rFonts w:cs="Arial"/>
          <w:szCs w:val="24"/>
          <w:lang w:val="en-GB"/>
        </w:rPr>
        <w:t xml:space="preserve">The last will and testament of Mr Jackson nominated his surviving spouse, Banita Jackson, as sole beneficiary of his estate and a representative of Appleton Fiduciary Services (Pty) Ltd </w:t>
      </w:r>
      <w:r w:rsidR="00B63EFD" w:rsidRPr="006C4088">
        <w:rPr>
          <w:rFonts w:cs="Arial"/>
          <w:szCs w:val="24"/>
          <w:lang w:val="en-GB"/>
        </w:rPr>
        <w:t>(</w:t>
      </w:r>
      <w:r w:rsidR="00B63EFD" w:rsidRPr="006C4088">
        <w:rPr>
          <w:rFonts w:cs="Arial"/>
          <w:b/>
          <w:bCs/>
          <w:szCs w:val="24"/>
          <w:lang w:val="en-GB"/>
        </w:rPr>
        <w:t>AFS</w:t>
      </w:r>
      <w:r w:rsidR="00B63EFD" w:rsidRPr="006C4088">
        <w:rPr>
          <w:rFonts w:cs="Arial"/>
          <w:szCs w:val="24"/>
          <w:lang w:val="en-GB"/>
        </w:rPr>
        <w:t xml:space="preserve">) </w:t>
      </w:r>
      <w:r w:rsidR="000E562E" w:rsidRPr="006C4088">
        <w:rPr>
          <w:rFonts w:cs="Arial"/>
          <w:szCs w:val="24"/>
          <w:lang w:val="en-GB"/>
        </w:rPr>
        <w:t>as executor of the estate.</w:t>
      </w:r>
    </w:p>
    <w:p w14:paraId="3A398F20" w14:textId="406DBF04" w:rsidR="000E562E" w:rsidRPr="006C4088" w:rsidRDefault="00C03686" w:rsidP="00C03686">
      <w:pPr>
        <w:pStyle w:val="WLGLevel1"/>
        <w:numPr>
          <w:ilvl w:val="0"/>
          <w:numId w:val="0"/>
        </w:numPr>
        <w:suppressAutoHyphens w:val="0"/>
        <w:spacing w:before="0" w:after="480"/>
        <w:ind w:left="709" w:hanging="709"/>
        <w:rPr>
          <w:rFonts w:cs="Arial"/>
          <w:szCs w:val="24"/>
          <w:lang w:val="en-GB"/>
        </w:rPr>
      </w:pPr>
      <w:bookmarkStart w:id="2" w:name="_Ref137895926"/>
      <w:bookmarkStart w:id="3" w:name="_Ref138060922"/>
      <w:r w:rsidRPr="006C4088">
        <w:rPr>
          <w:rFonts w:cs="Arial"/>
          <w:bCs/>
          <w:iCs/>
          <w:szCs w:val="24"/>
          <w:lang w:val="en-GB"/>
        </w:rPr>
        <w:t>8.</w:t>
      </w:r>
      <w:r w:rsidRPr="006C4088">
        <w:rPr>
          <w:rFonts w:cs="Arial"/>
          <w:bCs/>
          <w:iCs/>
          <w:szCs w:val="24"/>
          <w:lang w:val="en-GB"/>
        </w:rPr>
        <w:tab/>
      </w:r>
      <w:r w:rsidR="000E562E" w:rsidRPr="006C4088">
        <w:rPr>
          <w:rFonts w:cs="Arial"/>
          <w:szCs w:val="24"/>
          <w:lang w:val="en-GB"/>
        </w:rPr>
        <w:t>On 12 February 2021 the applicant (per Mr Perkins) informed clients of “</w:t>
      </w:r>
      <w:r w:rsidR="000E562E" w:rsidRPr="006C4088">
        <w:rPr>
          <w:rFonts w:cs="Arial"/>
          <w:i/>
          <w:iCs/>
          <w:szCs w:val="24"/>
          <w:lang w:val="en-GB"/>
        </w:rPr>
        <w:t>Ithemba Sky Mark Group</w:t>
      </w:r>
      <w:r w:rsidR="000E562E" w:rsidRPr="006C4088">
        <w:rPr>
          <w:rFonts w:cs="Arial"/>
          <w:szCs w:val="24"/>
          <w:lang w:val="en-GB"/>
        </w:rPr>
        <w:t>” of a decision to consolidate “</w:t>
      </w:r>
      <w:r w:rsidR="000E562E" w:rsidRPr="006C4088">
        <w:rPr>
          <w:rFonts w:cs="Arial"/>
          <w:i/>
          <w:iCs/>
          <w:szCs w:val="24"/>
          <w:lang w:val="en-GB"/>
        </w:rPr>
        <w:t>our banking accounts</w:t>
      </w:r>
      <w:r w:rsidR="000E562E" w:rsidRPr="006C4088">
        <w:rPr>
          <w:rFonts w:cs="Arial"/>
          <w:szCs w:val="24"/>
          <w:lang w:val="en-GB"/>
        </w:rPr>
        <w:t>” into a single account with effect from 01 March 2021.</w:t>
      </w:r>
      <w:bookmarkEnd w:id="2"/>
      <w:r w:rsidR="000E562E" w:rsidRPr="006C4088">
        <w:rPr>
          <w:rFonts w:cs="Arial"/>
          <w:szCs w:val="24"/>
          <w:lang w:val="en-GB"/>
        </w:rPr>
        <w:t xml:space="preserve"> Mr Perkins confirms that this account is held by the first respondent.</w:t>
      </w:r>
      <w:r w:rsidR="006C4088">
        <w:rPr>
          <w:rFonts w:cs="Arial"/>
          <w:szCs w:val="24"/>
          <w:lang w:val="en-GB"/>
        </w:rPr>
        <w:t xml:space="preserve"> </w:t>
      </w:r>
      <w:r w:rsidR="000E562E" w:rsidRPr="006C4088">
        <w:rPr>
          <w:rFonts w:cs="Arial"/>
          <w:szCs w:val="24"/>
          <w:lang w:val="en-GB"/>
        </w:rPr>
        <w:t xml:space="preserve">From about that time Mr Perkins amended the invoices of the applicant to reflect bank account details of two Mercantile Bank accounts, including the account referred to in paragraph </w:t>
      </w:r>
      <w:r w:rsidR="000E562E" w:rsidRPr="006C4088">
        <w:rPr>
          <w:rFonts w:cs="Arial"/>
          <w:szCs w:val="24"/>
          <w:lang w:val="en-GB"/>
        </w:rPr>
        <w:fldChar w:fldCharType="begin"/>
      </w:r>
      <w:r w:rsidR="000E562E" w:rsidRPr="006C4088">
        <w:rPr>
          <w:rFonts w:cs="Arial"/>
          <w:szCs w:val="24"/>
          <w:lang w:val="en-GB"/>
        </w:rPr>
        <w:instrText xml:space="preserve"> REF _Ref137895926 \r \p \h </w:instrText>
      </w:r>
      <w:r w:rsidR="00522754" w:rsidRPr="006C4088">
        <w:rPr>
          <w:rFonts w:cs="Arial"/>
          <w:szCs w:val="24"/>
          <w:lang w:val="en-GB"/>
        </w:rPr>
        <w:instrText xml:space="preserve"> \* MERGEFORMAT </w:instrText>
      </w:r>
      <w:r w:rsidR="000E562E" w:rsidRPr="006C4088">
        <w:rPr>
          <w:rFonts w:cs="Arial"/>
          <w:szCs w:val="24"/>
          <w:lang w:val="en-GB"/>
        </w:rPr>
      </w:r>
      <w:r w:rsidR="000E562E" w:rsidRPr="006C4088">
        <w:rPr>
          <w:rFonts w:cs="Arial"/>
          <w:szCs w:val="24"/>
          <w:lang w:val="en-GB"/>
        </w:rPr>
        <w:fldChar w:fldCharType="separate"/>
      </w:r>
      <w:r w:rsidR="00B7698E">
        <w:rPr>
          <w:rFonts w:cs="Arial"/>
          <w:szCs w:val="24"/>
          <w:lang w:val="en-GB"/>
        </w:rPr>
        <w:t>8 above</w:t>
      </w:r>
      <w:r w:rsidR="000E562E" w:rsidRPr="006C4088">
        <w:rPr>
          <w:rFonts w:cs="Arial"/>
          <w:szCs w:val="24"/>
          <w:lang w:val="en-GB"/>
        </w:rPr>
        <w:fldChar w:fldCharType="end"/>
      </w:r>
      <w:r w:rsidR="000E562E" w:rsidRPr="006C4088">
        <w:rPr>
          <w:rFonts w:cs="Arial"/>
          <w:szCs w:val="24"/>
          <w:lang w:val="en-GB"/>
        </w:rPr>
        <w:t>.</w:t>
      </w:r>
      <w:bookmarkEnd w:id="3"/>
    </w:p>
    <w:p w14:paraId="4D349218" w14:textId="01915B71" w:rsidR="000E562E" w:rsidRPr="00522754" w:rsidRDefault="00C03686" w:rsidP="00C03686">
      <w:pPr>
        <w:pStyle w:val="WLGLevel1"/>
        <w:numPr>
          <w:ilvl w:val="0"/>
          <w:numId w:val="0"/>
        </w:numPr>
        <w:suppressAutoHyphens w:val="0"/>
        <w:spacing w:before="0" w:after="480"/>
        <w:ind w:left="709" w:hanging="709"/>
        <w:rPr>
          <w:rFonts w:cs="Arial"/>
          <w:szCs w:val="24"/>
          <w:lang w:val="en-GB"/>
        </w:rPr>
      </w:pPr>
      <w:r w:rsidRPr="00522754">
        <w:rPr>
          <w:rFonts w:cs="Arial"/>
          <w:bCs/>
          <w:iCs/>
          <w:szCs w:val="24"/>
          <w:lang w:val="en-GB"/>
        </w:rPr>
        <w:t>9.</w:t>
      </w:r>
      <w:r w:rsidRPr="00522754">
        <w:rPr>
          <w:rFonts w:cs="Arial"/>
          <w:bCs/>
          <w:iCs/>
          <w:szCs w:val="24"/>
          <w:lang w:val="en-GB"/>
        </w:rPr>
        <w:tab/>
      </w:r>
      <w:r w:rsidR="000E562E" w:rsidRPr="00522754">
        <w:rPr>
          <w:rFonts w:cs="Arial"/>
          <w:szCs w:val="24"/>
          <w:lang w:val="en-GB"/>
        </w:rPr>
        <w:t>A copy of the deed of cession was emailed by Mr Perkins to Ms Jackson on 17 February 2021. According to Ms Jackson, she had been unaware of the deed until that time.</w:t>
      </w:r>
    </w:p>
    <w:p w14:paraId="74D589E4" w14:textId="1C877F1F" w:rsidR="000E562E" w:rsidRPr="00522754" w:rsidRDefault="00C03686" w:rsidP="00C03686">
      <w:pPr>
        <w:pStyle w:val="WLGLevel1"/>
        <w:numPr>
          <w:ilvl w:val="0"/>
          <w:numId w:val="0"/>
        </w:numPr>
        <w:suppressAutoHyphens w:val="0"/>
        <w:spacing w:before="0" w:after="480"/>
        <w:ind w:left="709" w:hanging="709"/>
        <w:rPr>
          <w:rFonts w:cs="Arial"/>
          <w:szCs w:val="24"/>
          <w:lang w:val="en-GB"/>
        </w:rPr>
      </w:pPr>
      <w:bookmarkStart w:id="4" w:name="_Ref137913250"/>
      <w:r w:rsidRPr="00522754">
        <w:rPr>
          <w:rFonts w:cs="Arial"/>
          <w:bCs/>
          <w:iCs/>
          <w:szCs w:val="24"/>
          <w:lang w:val="en-GB"/>
        </w:rPr>
        <w:t>10.</w:t>
      </w:r>
      <w:r w:rsidRPr="00522754">
        <w:rPr>
          <w:rFonts w:cs="Arial"/>
          <w:bCs/>
          <w:iCs/>
          <w:szCs w:val="24"/>
          <w:lang w:val="en-GB"/>
        </w:rPr>
        <w:tab/>
      </w:r>
      <w:r w:rsidR="000E562E" w:rsidRPr="00522754">
        <w:rPr>
          <w:rFonts w:cs="Arial"/>
          <w:szCs w:val="24"/>
          <w:lang w:val="en-GB"/>
        </w:rPr>
        <w:t xml:space="preserve">It appears from letters of executorship approved and issued by the master of the high court on 24 March 2021 that Lauren Hean of </w:t>
      </w:r>
      <w:r w:rsidR="00B63EFD" w:rsidRPr="00522754">
        <w:rPr>
          <w:rFonts w:cs="Arial"/>
          <w:szCs w:val="24"/>
          <w:lang w:val="en-GB"/>
        </w:rPr>
        <w:t>AFS</w:t>
      </w:r>
      <w:r w:rsidR="000E562E" w:rsidRPr="00522754">
        <w:rPr>
          <w:rFonts w:cs="Arial"/>
          <w:szCs w:val="24"/>
          <w:lang w:val="en-GB"/>
        </w:rPr>
        <w:t xml:space="preserve"> was appointed executrix and authorised as such to liquidate and distribute the estate of Mr and Ms Jackson.</w:t>
      </w:r>
      <w:bookmarkEnd w:id="4"/>
    </w:p>
    <w:p w14:paraId="3F17F49A" w14:textId="1BC62BB5" w:rsidR="000E562E" w:rsidRPr="00522754" w:rsidRDefault="00C03686" w:rsidP="00C03686">
      <w:pPr>
        <w:pStyle w:val="WLGLevel1"/>
        <w:numPr>
          <w:ilvl w:val="0"/>
          <w:numId w:val="0"/>
        </w:numPr>
        <w:suppressAutoHyphens w:val="0"/>
        <w:spacing w:before="0" w:after="480"/>
        <w:ind w:left="709" w:hanging="709"/>
        <w:rPr>
          <w:rFonts w:cs="Arial"/>
          <w:szCs w:val="24"/>
          <w:lang w:val="en-GB"/>
        </w:rPr>
      </w:pPr>
      <w:r w:rsidRPr="00522754">
        <w:rPr>
          <w:rFonts w:cs="Arial"/>
          <w:bCs/>
          <w:iCs/>
          <w:szCs w:val="24"/>
          <w:lang w:val="en-GB"/>
        </w:rPr>
        <w:t>11.</w:t>
      </w:r>
      <w:r w:rsidRPr="00522754">
        <w:rPr>
          <w:rFonts w:cs="Arial"/>
          <w:bCs/>
          <w:iCs/>
          <w:szCs w:val="24"/>
          <w:lang w:val="en-GB"/>
        </w:rPr>
        <w:tab/>
      </w:r>
      <w:r w:rsidR="000E562E" w:rsidRPr="00522754">
        <w:rPr>
          <w:rFonts w:cs="Arial"/>
          <w:szCs w:val="24"/>
          <w:lang w:val="en-GB"/>
        </w:rPr>
        <w:t>Ms Jackson became the applicant’s sole shareholder and director in January 2022. According to Mr Perkins, her appointment as director occurred without the knowledge of the executor of Mr van der Walt’s estate.</w:t>
      </w:r>
    </w:p>
    <w:p w14:paraId="150F8CB1" w14:textId="44C7298E" w:rsidR="000E562E" w:rsidRPr="00522754" w:rsidRDefault="00C03686" w:rsidP="00C03686">
      <w:pPr>
        <w:pStyle w:val="WLGLevel1"/>
        <w:numPr>
          <w:ilvl w:val="0"/>
          <w:numId w:val="0"/>
        </w:numPr>
        <w:suppressAutoHyphens w:val="0"/>
        <w:spacing w:before="0" w:after="480"/>
        <w:ind w:left="709" w:hanging="709"/>
        <w:rPr>
          <w:rFonts w:cs="Arial"/>
          <w:szCs w:val="24"/>
          <w:lang w:val="en-GB"/>
        </w:rPr>
      </w:pPr>
      <w:bookmarkStart w:id="5" w:name="_Ref137913257"/>
      <w:r w:rsidRPr="00522754">
        <w:rPr>
          <w:rFonts w:cs="Arial"/>
          <w:bCs/>
          <w:iCs/>
          <w:szCs w:val="24"/>
          <w:lang w:val="en-GB"/>
        </w:rPr>
        <w:lastRenderedPageBreak/>
        <w:t>12.</w:t>
      </w:r>
      <w:r w:rsidRPr="00522754">
        <w:rPr>
          <w:rFonts w:cs="Arial"/>
          <w:bCs/>
          <w:iCs/>
          <w:szCs w:val="24"/>
          <w:lang w:val="en-GB"/>
        </w:rPr>
        <w:tab/>
      </w:r>
      <w:r w:rsidR="000E562E" w:rsidRPr="00522754">
        <w:rPr>
          <w:rFonts w:cs="Arial"/>
          <w:szCs w:val="24"/>
          <w:lang w:val="en-GB"/>
        </w:rPr>
        <w:t xml:space="preserve">It appears from letters of executorship approved and issued by the master of the high court on 28 January 2022 that, following the resignation of </w:t>
      </w:r>
      <w:r w:rsidR="00B63EFD" w:rsidRPr="00522754">
        <w:rPr>
          <w:rFonts w:cs="Arial"/>
          <w:szCs w:val="24"/>
          <w:lang w:val="en-GB"/>
        </w:rPr>
        <w:t>AFS</w:t>
      </w:r>
      <w:r w:rsidR="000E562E" w:rsidRPr="00522754">
        <w:rPr>
          <w:rFonts w:cs="Arial"/>
          <w:szCs w:val="24"/>
          <w:lang w:val="en-GB"/>
        </w:rPr>
        <w:t>, Ms Jackson was appointed executrix and authorised as such to liquidate and distribute the Jackson estate.</w:t>
      </w:r>
      <w:bookmarkEnd w:id="5"/>
    </w:p>
    <w:p w14:paraId="1095267D" w14:textId="7B0D356A" w:rsidR="000E562E" w:rsidRPr="00522754" w:rsidRDefault="00C03686" w:rsidP="00C03686">
      <w:pPr>
        <w:pStyle w:val="WLGLevel1"/>
        <w:numPr>
          <w:ilvl w:val="0"/>
          <w:numId w:val="0"/>
        </w:numPr>
        <w:suppressAutoHyphens w:val="0"/>
        <w:spacing w:before="0" w:after="480"/>
        <w:ind w:left="709" w:hanging="709"/>
        <w:rPr>
          <w:rFonts w:cs="Arial"/>
          <w:szCs w:val="24"/>
          <w:lang w:val="en-GB"/>
        </w:rPr>
      </w:pPr>
      <w:r w:rsidRPr="00522754">
        <w:rPr>
          <w:rFonts w:cs="Arial"/>
          <w:bCs/>
          <w:iCs/>
          <w:szCs w:val="24"/>
          <w:lang w:val="en-GB"/>
        </w:rPr>
        <w:t>13.</w:t>
      </w:r>
      <w:r w:rsidRPr="00522754">
        <w:rPr>
          <w:rFonts w:cs="Arial"/>
          <w:bCs/>
          <w:iCs/>
          <w:szCs w:val="24"/>
          <w:lang w:val="en-GB"/>
        </w:rPr>
        <w:tab/>
      </w:r>
      <w:r w:rsidR="000E562E" w:rsidRPr="00522754">
        <w:rPr>
          <w:rFonts w:cs="Arial"/>
          <w:szCs w:val="24"/>
          <w:lang w:val="en-GB"/>
        </w:rPr>
        <w:t>According to Mr Perkins, “</w:t>
      </w:r>
      <w:r w:rsidR="000E562E" w:rsidRPr="00522754">
        <w:rPr>
          <w:rFonts w:cs="Arial"/>
          <w:i/>
          <w:iCs/>
          <w:szCs w:val="24"/>
          <w:lang w:val="en-GB"/>
        </w:rPr>
        <w:t>[t]he KwaZulu-Natal contract</w:t>
      </w:r>
      <w:r w:rsidR="000E562E" w:rsidRPr="00522754">
        <w:rPr>
          <w:rFonts w:cs="Arial"/>
          <w:szCs w:val="24"/>
          <w:lang w:val="en-GB"/>
        </w:rPr>
        <w:t>” transferred by the applicant to the first respondent pursuant to the deed of cession terminated and was not extended in July 2022.</w:t>
      </w:r>
    </w:p>
    <w:p w14:paraId="44F24820" w14:textId="00AB4A1A" w:rsidR="000E562E" w:rsidRPr="00522754" w:rsidRDefault="00C03686" w:rsidP="00C03686">
      <w:pPr>
        <w:pStyle w:val="WLGLevel1"/>
        <w:numPr>
          <w:ilvl w:val="0"/>
          <w:numId w:val="0"/>
        </w:numPr>
        <w:suppressAutoHyphens w:val="0"/>
        <w:spacing w:before="0" w:after="480"/>
        <w:ind w:left="709" w:hanging="709"/>
        <w:rPr>
          <w:rFonts w:cs="Arial"/>
          <w:szCs w:val="24"/>
          <w:lang w:val="en-GB"/>
        </w:rPr>
      </w:pPr>
      <w:bookmarkStart w:id="6" w:name="_Ref137912563"/>
      <w:r w:rsidRPr="00522754">
        <w:rPr>
          <w:rFonts w:cs="Arial"/>
          <w:bCs/>
          <w:iCs/>
          <w:szCs w:val="24"/>
          <w:lang w:val="en-GB"/>
        </w:rPr>
        <w:t>14.</w:t>
      </w:r>
      <w:r w:rsidRPr="00522754">
        <w:rPr>
          <w:rFonts w:cs="Arial"/>
          <w:bCs/>
          <w:iCs/>
          <w:szCs w:val="24"/>
          <w:lang w:val="en-GB"/>
        </w:rPr>
        <w:tab/>
      </w:r>
      <w:r w:rsidR="000E562E" w:rsidRPr="00522754">
        <w:rPr>
          <w:rFonts w:cs="Arial"/>
          <w:szCs w:val="24"/>
          <w:lang w:val="en-GB"/>
        </w:rPr>
        <w:t>It is his evidence that revenues derived from the transferred contracts were used to cover expenses and generated only modest profits for the first respondent.</w:t>
      </w:r>
      <w:bookmarkEnd w:id="6"/>
    </w:p>
    <w:p w14:paraId="1DC5CEBD" w14:textId="77777777" w:rsidR="000E562E" w:rsidRPr="00522754" w:rsidRDefault="000E562E" w:rsidP="000E562E">
      <w:pPr>
        <w:pStyle w:val="WLGLevel1"/>
        <w:keepNext/>
        <w:numPr>
          <w:ilvl w:val="0"/>
          <w:numId w:val="0"/>
        </w:numPr>
        <w:suppressAutoHyphens w:val="0"/>
        <w:spacing w:before="0" w:after="480"/>
        <w:ind w:left="567" w:hanging="567"/>
        <w:rPr>
          <w:rFonts w:cs="Arial"/>
          <w:b/>
          <w:bCs/>
          <w:szCs w:val="24"/>
          <w:lang w:val="en-GB"/>
        </w:rPr>
      </w:pPr>
      <w:r w:rsidRPr="00522754">
        <w:rPr>
          <w:rFonts w:cs="Arial"/>
          <w:b/>
          <w:bCs/>
          <w:szCs w:val="24"/>
          <w:lang w:val="en-GB"/>
        </w:rPr>
        <w:t>THE PROCEEDINGS</w:t>
      </w:r>
    </w:p>
    <w:p w14:paraId="4898FDB4" w14:textId="1EE40B88" w:rsidR="000E562E" w:rsidRPr="00522754" w:rsidRDefault="00C03686" w:rsidP="00C03686">
      <w:pPr>
        <w:pStyle w:val="WLGLevel1"/>
        <w:numPr>
          <w:ilvl w:val="0"/>
          <w:numId w:val="0"/>
        </w:numPr>
        <w:suppressAutoHyphens w:val="0"/>
        <w:spacing w:before="0" w:after="480"/>
        <w:ind w:left="709" w:hanging="709"/>
        <w:rPr>
          <w:rFonts w:cs="Arial"/>
          <w:szCs w:val="24"/>
          <w:lang w:val="en-GB"/>
        </w:rPr>
      </w:pPr>
      <w:bookmarkStart w:id="7" w:name="_Ref137912346"/>
      <w:r w:rsidRPr="00522754">
        <w:rPr>
          <w:rFonts w:cs="Arial"/>
          <w:bCs/>
          <w:iCs/>
          <w:szCs w:val="24"/>
          <w:lang w:val="en-GB"/>
        </w:rPr>
        <w:t>15.</w:t>
      </w:r>
      <w:r w:rsidRPr="00522754">
        <w:rPr>
          <w:rFonts w:cs="Arial"/>
          <w:bCs/>
          <w:iCs/>
          <w:szCs w:val="24"/>
          <w:lang w:val="en-GB"/>
        </w:rPr>
        <w:tab/>
      </w:r>
      <w:r w:rsidR="000E562E" w:rsidRPr="00522754">
        <w:rPr>
          <w:rFonts w:cs="Arial"/>
          <w:szCs w:val="24"/>
          <w:lang w:val="en-GB"/>
        </w:rPr>
        <w:t xml:space="preserve">The applicant launched this application on 17 June 2022. The relief sought in the application – that the deed of cession be declared null and void </w:t>
      </w:r>
      <w:r w:rsidR="000E562E" w:rsidRPr="00522754">
        <w:rPr>
          <w:rFonts w:cs="Arial"/>
          <w:i/>
          <w:iCs/>
          <w:szCs w:val="24"/>
          <w:lang w:val="en-GB"/>
        </w:rPr>
        <w:t>ab initio</w:t>
      </w:r>
      <w:r w:rsidR="000E562E" w:rsidRPr="00522754">
        <w:rPr>
          <w:rFonts w:cs="Arial"/>
          <w:szCs w:val="24"/>
          <w:lang w:val="en-GB"/>
        </w:rPr>
        <w:t xml:space="preserve"> and its implementation reversed with effect from 01 March 2021 – is supported by a founding affidavit deposed to by the applicant’s sole director, Ms Jackson, on 15 June 2022. The case sought to be made out in the founding affidavit is that:</w:t>
      </w:r>
      <w:bookmarkEnd w:id="7"/>
    </w:p>
    <w:p w14:paraId="3049C273" w14:textId="25D95D7B" w:rsidR="000E562E" w:rsidRPr="00522754" w:rsidRDefault="00C03686" w:rsidP="00C03686">
      <w:pPr>
        <w:pStyle w:val="WLGLevel1"/>
        <w:numPr>
          <w:ilvl w:val="0"/>
          <w:numId w:val="0"/>
        </w:numPr>
        <w:tabs>
          <w:tab w:val="left" w:pos="1560"/>
        </w:tabs>
        <w:suppressAutoHyphens w:val="0"/>
        <w:spacing w:before="0" w:after="480"/>
        <w:ind w:left="1560" w:hanging="851"/>
        <w:rPr>
          <w:rFonts w:cs="Arial"/>
          <w:szCs w:val="24"/>
          <w:lang w:val="en-GB"/>
        </w:rPr>
      </w:pPr>
      <w:r w:rsidRPr="00522754">
        <w:rPr>
          <w:rFonts w:cs="Arial"/>
          <w:szCs w:val="24"/>
          <w:lang w:val="en-GB"/>
        </w:rPr>
        <w:t>15.1.</w:t>
      </w:r>
      <w:r w:rsidRPr="00522754">
        <w:rPr>
          <w:rFonts w:cs="Arial"/>
          <w:szCs w:val="24"/>
          <w:lang w:val="en-GB"/>
        </w:rPr>
        <w:tab/>
      </w:r>
      <w:r w:rsidR="000E562E" w:rsidRPr="00522754">
        <w:rPr>
          <w:rFonts w:cs="Arial"/>
          <w:szCs w:val="24"/>
          <w:lang w:val="en-GB"/>
        </w:rPr>
        <w:t xml:space="preserve">at no time did Mr Jackson mention the deed of cession to his wife or sons (who were both actively involved in the business) and Ms Jackson suspects that his signature </w:t>
      </w:r>
      <w:r w:rsidR="00FC50D7" w:rsidRPr="00522754">
        <w:rPr>
          <w:rFonts w:cs="Arial"/>
          <w:szCs w:val="24"/>
          <w:lang w:val="en-GB"/>
        </w:rPr>
        <w:t xml:space="preserve">may have been </w:t>
      </w:r>
      <w:r w:rsidR="000E562E" w:rsidRPr="00522754">
        <w:rPr>
          <w:rFonts w:cs="Arial"/>
          <w:szCs w:val="24"/>
          <w:lang w:val="en-GB"/>
        </w:rPr>
        <w:t>forged on the deed;</w:t>
      </w:r>
    </w:p>
    <w:p w14:paraId="18B58A60" w14:textId="77EEF928" w:rsidR="000E562E" w:rsidRPr="00522754" w:rsidRDefault="00C03686" w:rsidP="00C03686">
      <w:pPr>
        <w:pStyle w:val="WLGLevel1"/>
        <w:numPr>
          <w:ilvl w:val="0"/>
          <w:numId w:val="0"/>
        </w:numPr>
        <w:tabs>
          <w:tab w:val="left" w:pos="1560"/>
        </w:tabs>
        <w:suppressAutoHyphens w:val="0"/>
        <w:spacing w:before="0" w:after="480"/>
        <w:ind w:left="1560" w:hanging="851"/>
        <w:rPr>
          <w:rFonts w:cs="Arial"/>
          <w:szCs w:val="24"/>
          <w:lang w:val="en-GB"/>
        </w:rPr>
      </w:pPr>
      <w:r w:rsidRPr="00522754">
        <w:rPr>
          <w:rFonts w:cs="Arial"/>
          <w:szCs w:val="24"/>
          <w:lang w:val="en-GB"/>
        </w:rPr>
        <w:lastRenderedPageBreak/>
        <w:t>15.2.</w:t>
      </w:r>
      <w:r w:rsidRPr="00522754">
        <w:rPr>
          <w:rFonts w:cs="Arial"/>
          <w:szCs w:val="24"/>
          <w:lang w:val="en-GB"/>
        </w:rPr>
        <w:tab/>
      </w:r>
      <w:r w:rsidR="000E562E" w:rsidRPr="00522754">
        <w:rPr>
          <w:rFonts w:cs="Arial"/>
          <w:szCs w:val="24"/>
          <w:lang w:val="en-GB"/>
        </w:rPr>
        <w:t xml:space="preserve">none of the security guard employees of the applicant was informed of </w:t>
      </w:r>
      <w:r w:rsidR="00434647" w:rsidRPr="00522754">
        <w:rPr>
          <w:rFonts w:cs="Arial"/>
          <w:szCs w:val="24"/>
          <w:lang w:val="en-GB"/>
        </w:rPr>
        <w:t>any</w:t>
      </w:r>
      <w:r w:rsidR="000E562E" w:rsidRPr="00522754">
        <w:rPr>
          <w:rFonts w:cs="Arial"/>
          <w:szCs w:val="24"/>
          <w:lang w:val="en-GB"/>
        </w:rPr>
        <w:t xml:space="preserve"> cession of rights or offered employment contracts with the first respondent and none of the private security business licences of the applicant was transferred to the first respondent;</w:t>
      </w:r>
    </w:p>
    <w:p w14:paraId="078A3B20" w14:textId="63B6D3FA" w:rsidR="000E562E" w:rsidRPr="00522754" w:rsidRDefault="00C03686" w:rsidP="00C03686">
      <w:pPr>
        <w:pStyle w:val="WLGLevel1"/>
        <w:numPr>
          <w:ilvl w:val="0"/>
          <w:numId w:val="0"/>
        </w:numPr>
        <w:tabs>
          <w:tab w:val="left" w:pos="1560"/>
        </w:tabs>
        <w:suppressAutoHyphens w:val="0"/>
        <w:spacing w:before="0" w:after="480"/>
        <w:ind w:left="1560" w:hanging="851"/>
        <w:rPr>
          <w:rFonts w:cs="Arial"/>
          <w:szCs w:val="24"/>
          <w:lang w:val="en-GB"/>
        </w:rPr>
      </w:pPr>
      <w:r w:rsidRPr="00522754">
        <w:rPr>
          <w:rFonts w:cs="Arial"/>
          <w:szCs w:val="24"/>
          <w:lang w:val="en-GB"/>
        </w:rPr>
        <w:t>15.3.</w:t>
      </w:r>
      <w:r w:rsidRPr="00522754">
        <w:rPr>
          <w:rFonts w:cs="Arial"/>
          <w:szCs w:val="24"/>
          <w:lang w:val="en-GB"/>
        </w:rPr>
        <w:tab/>
      </w:r>
      <w:r w:rsidR="000E562E" w:rsidRPr="00522754">
        <w:rPr>
          <w:rFonts w:cs="Arial"/>
          <w:szCs w:val="24"/>
          <w:lang w:val="en-GB"/>
        </w:rPr>
        <w:t>after Mr Jackson’s death Mr Perkins denied Ms Jackson access to the businesses (including the books and records) of the applicant;</w:t>
      </w:r>
    </w:p>
    <w:p w14:paraId="5D0B0195" w14:textId="318202EC" w:rsidR="000E562E" w:rsidRPr="00522754" w:rsidRDefault="00C03686" w:rsidP="00C03686">
      <w:pPr>
        <w:pStyle w:val="WLGLevel1"/>
        <w:keepNext/>
        <w:numPr>
          <w:ilvl w:val="0"/>
          <w:numId w:val="0"/>
        </w:numPr>
        <w:tabs>
          <w:tab w:val="left" w:pos="1560"/>
        </w:tabs>
        <w:suppressAutoHyphens w:val="0"/>
        <w:spacing w:before="0" w:after="480"/>
        <w:ind w:left="1560" w:hanging="851"/>
        <w:rPr>
          <w:rFonts w:cs="Arial"/>
          <w:szCs w:val="24"/>
          <w:lang w:val="en-GB"/>
        </w:rPr>
      </w:pPr>
      <w:r w:rsidRPr="00522754">
        <w:rPr>
          <w:rFonts w:cs="Arial"/>
          <w:szCs w:val="24"/>
          <w:lang w:val="en-GB"/>
        </w:rPr>
        <w:t>15.4.</w:t>
      </w:r>
      <w:r w:rsidRPr="00522754">
        <w:rPr>
          <w:rFonts w:cs="Arial"/>
          <w:szCs w:val="24"/>
          <w:lang w:val="en-GB"/>
        </w:rPr>
        <w:tab/>
      </w:r>
      <w:r w:rsidR="000E562E" w:rsidRPr="00522754">
        <w:rPr>
          <w:rFonts w:cs="Arial"/>
          <w:szCs w:val="24"/>
          <w:lang w:val="en-GB"/>
        </w:rPr>
        <w:t>the purported cession of rights was and is invalid because</w:t>
      </w:r>
      <w:r w:rsidR="000E562E" w:rsidRPr="00522754" w:rsidDel="00D9773E">
        <w:rPr>
          <w:rFonts w:cs="Arial"/>
          <w:szCs w:val="24"/>
          <w:lang w:val="en-GB"/>
        </w:rPr>
        <w:t xml:space="preserve"> </w:t>
      </w:r>
      <w:r w:rsidR="000E562E" w:rsidRPr="00522754">
        <w:rPr>
          <w:rFonts w:cs="Arial"/>
          <w:szCs w:val="24"/>
          <w:lang w:val="en-GB"/>
        </w:rPr>
        <w:t>the deed:</w:t>
      </w:r>
    </w:p>
    <w:p w14:paraId="0A488B7F" w14:textId="4431471D" w:rsidR="000E562E" w:rsidRPr="00522754" w:rsidRDefault="00C03686" w:rsidP="00C03686">
      <w:pPr>
        <w:pStyle w:val="WLGLevel1"/>
        <w:numPr>
          <w:ilvl w:val="0"/>
          <w:numId w:val="0"/>
        </w:numPr>
        <w:tabs>
          <w:tab w:val="left" w:pos="2694"/>
        </w:tabs>
        <w:suppressAutoHyphens w:val="0"/>
        <w:spacing w:before="0" w:after="480"/>
        <w:ind w:left="2694" w:hanging="1134"/>
        <w:rPr>
          <w:rFonts w:cs="Arial"/>
          <w:szCs w:val="24"/>
          <w:lang w:val="en-GB"/>
        </w:rPr>
      </w:pPr>
      <w:r w:rsidRPr="00522754">
        <w:rPr>
          <w:rFonts w:cs="Arial"/>
          <w:szCs w:val="24"/>
          <w:lang w:val="en-GB"/>
        </w:rPr>
        <w:t>15.4.1.</w:t>
      </w:r>
      <w:r w:rsidRPr="00522754">
        <w:rPr>
          <w:rFonts w:cs="Arial"/>
          <w:szCs w:val="24"/>
          <w:lang w:val="en-GB"/>
        </w:rPr>
        <w:tab/>
      </w:r>
      <w:r w:rsidR="000E562E" w:rsidRPr="00522754">
        <w:rPr>
          <w:rFonts w:cs="Arial"/>
          <w:szCs w:val="24"/>
          <w:lang w:val="en-GB"/>
        </w:rPr>
        <w:t xml:space="preserve">was executed and implemented for no valid </w:t>
      </w:r>
      <w:r w:rsidR="000E562E" w:rsidRPr="00522754">
        <w:rPr>
          <w:rFonts w:cs="Arial"/>
          <w:i/>
          <w:iCs/>
          <w:szCs w:val="24"/>
          <w:lang w:val="en-GB"/>
        </w:rPr>
        <w:t xml:space="preserve">causa </w:t>
      </w:r>
      <w:r w:rsidR="000E562E" w:rsidRPr="00522754">
        <w:rPr>
          <w:rFonts w:cs="Arial"/>
          <w:szCs w:val="24"/>
          <w:lang w:val="en-GB"/>
        </w:rPr>
        <w:t>or consideration and constitute</w:t>
      </w:r>
      <w:r w:rsidR="00154834">
        <w:rPr>
          <w:rFonts w:cs="Arial"/>
          <w:szCs w:val="24"/>
          <w:lang w:val="en-GB"/>
        </w:rPr>
        <w:t>s</w:t>
      </w:r>
      <w:r w:rsidR="000E562E" w:rsidRPr="00522754">
        <w:rPr>
          <w:rFonts w:cs="Arial"/>
          <w:szCs w:val="24"/>
          <w:lang w:val="en-GB"/>
        </w:rPr>
        <w:t xml:space="preserve"> a voidable disposition without value as contemplated in section 26(1) of the Insolvency Act 24 of 1936;</w:t>
      </w:r>
    </w:p>
    <w:p w14:paraId="1C1C3CDD" w14:textId="31B33CD3" w:rsidR="000E562E" w:rsidRPr="00522754" w:rsidRDefault="00C03686" w:rsidP="00C03686">
      <w:pPr>
        <w:pStyle w:val="WLGLevel1"/>
        <w:numPr>
          <w:ilvl w:val="0"/>
          <w:numId w:val="0"/>
        </w:numPr>
        <w:tabs>
          <w:tab w:val="left" w:pos="2694"/>
        </w:tabs>
        <w:suppressAutoHyphens w:val="0"/>
        <w:spacing w:before="0" w:after="480"/>
        <w:ind w:left="2694" w:hanging="1134"/>
        <w:rPr>
          <w:rFonts w:cs="Arial"/>
          <w:szCs w:val="24"/>
          <w:lang w:val="en-GB"/>
        </w:rPr>
      </w:pPr>
      <w:r w:rsidRPr="00522754">
        <w:rPr>
          <w:rFonts w:cs="Arial"/>
          <w:szCs w:val="24"/>
          <w:lang w:val="en-GB"/>
        </w:rPr>
        <w:t>15.4.2.</w:t>
      </w:r>
      <w:r w:rsidRPr="00522754">
        <w:rPr>
          <w:rFonts w:cs="Arial"/>
          <w:szCs w:val="24"/>
          <w:lang w:val="en-GB"/>
        </w:rPr>
        <w:tab/>
      </w:r>
      <w:r w:rsidR="000E562E" w:rsidRPr="00522754">
        <w:rPr>
          <w:rFonts w:cs="Arial"/>
          <w:szCs w:val="24"/>
          <w:lang w:val="en-GB"/>
        </w:rPr>
        <w:t>was executed and implemented without Ms Jackson’s written consent and constitute</w:t>
      </w:r>
      <w:r w:rsidR="00154834">
        <w:rPr>
          <w:rFonts w:cs="Arial"/>
          <w:szCs w:val="24"/>
          <w:lang w:val="en-GB"/>
        </w:rPr>
        <w:t>s</w:t>
      </w:r>
      <w:r w:rsidR="000E562E" w:rsidRPr="00522754">
        <w:rPr>
          <w:rFonts w:cs="Arial"/>
          <w:szCs w:val="24"/>
          <w:lang w:val="en-GB"/>
        </w:rPr>
        <w:t xml:space="preserve"> a voidable </w:t>
      </w:r>
      <w:r w:rsidR="00AD0E5B">
        <w:rPr>
          <w:rFonts w:cs="Arial"/>
          <w:szCs w:val="24"/>
          <w:lang w:val="en-GB"/>
        </w:rPr>
        <w:t>donation or alienation</w:t>
      </w:r>
      <w:r w:rsidR="00AD0E5B" w:rsidRPr="00522754">
        <w:rPr>
          <w:rFonts w:cs="Arial"/>
          <w:szCs w:val="24"/>
          <w:lang w:val="en-GB"/>
        </w:rPr>
        <w:t xml:space="preserve"> </w:t>
      </w:r>
      <w:r w:rsidR="000E562E" w:rsidRPr="00522754">
        <w:rPr>
          <w:rFonts w:cs="Arial"/>
          <w:szCs w:val="24"/>
          <w:lang w:val="en-GB"/>
        </w:rPr>
        <w:t>without value as contemplated in section 15(3)(c) of the Matrimonial Property Act 88 of 1984;</w:t>
      </w:r>
    </w:p>
    <w:p w14:paraId="0257A6D5" w14:textId="47B2CEC5" w:rsidR="000E562E" w:rsidRPr="00522754" w:rsidRDefault="00C03686" w:rsidP="00C03686">
      <w:pPr>
        <w:pStyle w:val="WLGLevel1"/>
        <w:numPr>
          <w:ilvl w:val="0"/>
          <w:numId w:val="0"/>
        </w:numPr>
        <w:tabs>
          <w:tab w:val="left" w:pos="2694"/>
        </w:tabs>
        <w:suppressAutoHyphens w:val="0"/>
        <w:spacing w:before="0" w:after="480"/>
        <w:ind w:left="2694" w:hanging="1134"/>
        <w:rPr>
          <w:rFonts w:cs="Arial"/>
          <w:szCs w:val="24"/>
          <w:lang w:val="en-GB"/>
        </w:rPr>
      </w:pPr>
      <w:r w:rsidRPr="00522754">
        <w:rPr>
          <w:rFonts w:cs="Arial"/>
          <w:szCs w:val="24"/>
          <w:lang w:val="en-GB"/>
        </w:rPr>
        <w:t>15.4.3.</w:t>
      </w:r>
      <w:r w:rsidRPr="00522754">
        <w:rPr>
          <w:rFonts w:cs="Arial"/>
          <w:szCs w:val="24"/>
          <w:lang w:val="en-GB"/>
        </w:rPr>
        <w:tab/>
      </w:r>
      <w:r w:rsidR="000E562E" w:rsidRPr="00522754">
        <w:rPr>
          <w:rFonts w:cs="Arial"/>
          <w:szCs w:val="24"/>
          <w:lang w:val="en-GB"/>
        </w:rPr>
        <w:t>is void for vagueness in that the list of clients referred to in clause 3 was not attached as annexure CES1 to the deed and it is unclear which contracts were purportedly transferred by the applicant to the first respondent; and</w:t>
      </w:r>
    </w:p>
    <w:p w14:paraId="77A7E3DC" w14:textId="00869FF3" w:rsidR="000E562E" w:rsidRPr="00522754" w:rsidRDefault="00C03686" w:rsidP="00C03686">
      <w:pPr>
        <w:pStyle w:val="WLGLevel1"/>
        <w:numPr>
          <w:ilvl w:val="0"/>
          <w:numId w:val="0"/>
        </w:numPr>
        <w:tabs>
          <w:tab w:val="left" w:pos="2694"/>
        </w:tabs>
        <w:suppressAutoHyphens w:val="0"/>
        <w:spacing w:before="0" w:after="480"/>
        <w:ind w:left="2694" w:hanging="1134"/>
        <w:rPr>
          <w:rFonts w:cs="Arial"/>
          <w:szCs w:val="24"/>
          <w:lang w:val="en-GB"/>
        </w:rPr>
      </w:pPr>
      <w:r w:rsidRPr="00522754">
        <w:rPr>
          <w:rFonts w:cs="Arial"/>
          <w:szCs w:val="24"/>
          <w:lang w:val="en-GB"/>
        </w:rPr>
        <w:lastRenderedPageBreak/>
        <w:t>15.4.4.</w:t>
      </w:r>
      <w:r w:rsidRPr="00522754">
        <w:rPr>
          <w:rFonts w:cs="Arial"/>
          <w:szCs w:val="24"/>
          <w:lang w:val="en-GB"/>
        </w:rPr>
        <w:tab/>
      </w:r>
      <w:r w:rsidR="000E562E" w:rsidRPr="00522754">
        <w:rPr>
          <w:rFonts w:cs="Arial"/>
          <w:szCs w:val="24"/>
          <w:lang w:val="en-GB"/>
        </w:rPr>
        <w:t>purported to transfer “</w:t>
      </w:r>
      <w:r w:rsidR="000E562E" w:rsidRPr="00522754">
        <w:rPr>
          <w:rFonts w:cs="Arial"/>
          <w:i/>
          <w:iCs/>
          <w:szCs w:val="24"/>
          <w:lang w:val="en-GB"/>
        </w:rPr>
        <w:t>all the security contracts of the business, being the sole source of income for the business</w:t>
      </w:r>
      <w:r w:rsidR="000E562E" w:rsidRPr="00522754">
        <w:rPr>
          <w:rFonts w:cs="Arial"/>
          <w:szCs w:val="24"/>
          <w:lang w:val="en-GB"/>
        </w:rPr>
        <w:t>” but was not authorised by any resolution of the applicant’s directors (Mr Jackson and the late Mr van der Walt) or shareholders (Mr Jackson and the estate of the late Mr van der Walt).</w:t>
      </w:r>
    </w:p>
    <w:p w14:paraId="7EDD6EC0" w14:textId="7699ACC9" w:rsidR="000E562E" w:rsidRPr="00522754" w:rsidRDefault="00C03686" w:rsidP="00C03686">
      <w:pPr>
        <w:pStyle w:val="WLGLevel1"/>
        <w:numPr>
          <w:ilvl w:val="0"/>
          <w:numId w:val="0"/>
        </w:numPr>
        <w:suppressAutoHyphens w:val="0"/>
        <w:spacing w:before="0" w:after="480"/>
        <w:ind w:left="709" w:hanging="709"/>
        <w:rPr>
          <w:rFonts w:cs="Arial"/>
          <w:szCs w:val="24"/>
          <w:lang w:val="en-GB"/>
        </w:rPr>
      </w:pPr>
      <w:r w:rsidRPr="00522754">
        <w:rPr>
          <w:rFonts w:cs="Arial"/>
          <w:bCs/>
          <w:iCs/>
          <w:szCs w:val="24"/>
          <w:lang w:val="en-GB"/>
        </w:rPr>
        <w:t>16.</w:t>
      </w:r>
      <w:r w:rsidRPr="00522754">
        <w:rPr>
          <w:rFonts w:cs="Arial"/>
          <w:bCs/>
          <w:iCs/>
          <w:szCs w:val="24"/>
          <w:lang w:val="en-GB"/>
        </w:rPr>
        <w:tab/>
      </w:r>
      <w:r w:rsidR="000E562E" w:rsidRPr="00522754">
        <w:rPr>
          <w:rFonts w:cs="Arial"/>
          <w:szCs w:val="24"/>
          <w:lang w:val="en-GB"/>
        </w:rPr>
        <w:t>The founding papers were served on the respondents on 27 June 2022.</w:t>
      </w:r>
    </w:p>
    <w:p w14:paraId="0FEEA806" w14:textId="3B468987" w:rsidR="000E562E" w:rsidRPr="00522754" w:rsidRDefault="00C03686" w:rsidP="00C03686">
      <w:pPr>
        <w:pStyle w:val="WLGLevel1"/>
        <w:numPr>
          <w:ilvl w:val="0"/>
          <w:numId w:val="0"/>
        </w:numPr>
        <w:suppressAutoHyphens w:val="0"/>
        <w:spacing w:before="0" w:after="480"/>
        <w:ind w:left="709" w:hanging="709"/>
        <w:rPr>
          <w:rFonts w:cs="Arial"/>
          <w:szCs w:val="24"/>
          <w:lang w:val="en-GB"/>
        </w:rPr>
      </w:pPr>
      <w:bookmarkStart w:id="8" w:name="_Ref137912394"/>
      <w:r w:rsidRPr="00522754">
        <w:rPr>
          <w:rFonts w:cs="Arial"/>
          <w:bCs/>
          <w:iCs/>
          <w:szCs w:val="24"/>
          <w:lang w:val="en-GB"/>
        </w:rPr>
        <w:t>17.</w:t>
      </w:r>
      <w:r w:rsidRPr="00522754">
        <w:rPr>
          <w:rFonts w:cs="Arial"/>
          <w:bCs/>
          <w:iCs/>
          <w:szCs w:val="24"/>
          <w:lang w:val="en-GB"/>
        </w:rPr>
        <w:tab/>
      </w:r>
      <w:r w:rsidR="000E562E" w:rsidRPr="00522754">
        <w:rPr>
          <w:rFonts w:cs="Arial"/>
          <w:szCs w:val="24"/>
          <w:lang w:val="en-GB"/>
        </w:rPr>
        <w:t xml:space="preserve">On 25 July 2022 the respondents delivered </w:t>
      </w:r>
      <w:r w:rsidR="00551BDF">
        <w:rPr>
          <w:rFonts w:cs="Arial"/>
          <w:szCs w:val="24"/>
          <w:lang w:val="en-GB"/>
        </w:rPr>
        <w:t>an</w:t>
      </w:r>
      <w:r w:rsidR="00551BDF" w:rsidRPr="00522754">
        <w:rPr>
          <w:rFonts w:cs="Arial"/>
          <w:szCs w:val="24"/>
          <w:lang w:val="en-GB"/>
        </w:rPr>
        <w:t xml:space="preserve"> </w:t>
      </w:r>
      <w:r w:rsidR="000E562E" w:rsidRPr="00522754">
        <w:rPr>
          <w:rFonts w:cs="Arial"/>
          <w:szCs w:val="24"/>
          <w:lang w:val="en-GB"/>
        </w:rPr>
        <w:t>answering affidavit deposed to by Mr Perkins. According to the respondents:</w:t>
      </w:r>
      <w:bookmarkEnd w:id="8"/>
    </w:p>
    <w:p w14:paraId="51B0B3CA" w14:textId="40E8BA79" w:rsidR="000E562E" w:rsidRPr="00522754" w:rsidRDefault="00C03686" w:rsidP="00C03686">
      <w:pPr>
        <w:pStyle w:val="WLGLevel1"/>
        <w:numPr>
          <w:ilvl w:val="0"/>
          <w:numId w:val="0"/>
        </w:numPr>
        <w:tabs>
          <w:tab w:val="left" w:pos="1560"/>
        </w:tabs>
        <w:suppressAutoHyphens w:val="0"/>
        <w:spacing w:before="0" w:after="480"/>
        <w:ind w:left="1560" w:hanging="851"/>
        <w:rPr>
          <w:rFonts w:cs="Arial"/>
          <w:szCs w:val="24"/>
          <w:lang w:val="en-GB"/>
        </w:rPr>
      </w:pPr>
      <w:r w:rsidRPr="00522754">
        <w:rPr>
          <w:rFonts w:cs="Arial"/>
          <w:szCs w:val="24"/>
          <w:lang w:val="en-GB"/>
        </w:rPr>
        <w:t>17.1.</w:t>
      </w:r>
      <w:r w:rsidRPr="00522754">
        <w:rPr>
          <w:rFonts w:cs="Arial"/>
          <w:szCs w:val="24"/>
          <w:lang w:val="en-GB"/>
        </w:rPr>
        <w:tab/>
      </w:r>
      <w:r w:rsidR="000E562E" w:rsidRPr="00522754">
        <w:rPr>
          <w:rFonts w:cs="Arial"/>
          <w:szCs w:val="24"/>
          <w:lang w:val="en-GB"/>
        </w:rPr>
        <w:t>there are foreseeable, fundamental and far-reaching disputes of fact that cannot be resolved on the papers such that this application should be dismissed with punitive costs or referred to trial;</w:t>
      </w:r>
    </w:p>
    <w:p w14:paraId="02EE1C69" w14:textId="2540C595" w:rsidR="000E562E" w:rsidRPr="00522754" w:rsidRDefault="00C03686" w:rsidP="00C03686">
      <w:pPr>
        <w:pStyle w:val="WLGLevel1"/>
        <w:numPr>
          <w:ilvl w:val="0"/>
          <w:numId w:val="0"/>
        </w:numPr>
        <w:tabs>
          <w:tab w:val="left" w:pos="1560"/>
        </w:tabs>
        <w:suppressAutoHyphens w:val="0"/>
        <w:spacing w:before="0" w:after="480"/>
        <w:ind w:left="1560" w:hanging="851"/>
        <w:rPr>
          <w:rFonts w:cs="Arial"/>
          <w:szCs w:val="24"/>
          <w:lang w:val="en-GB"/>
        </w:rPr>
      </w:pPr>
      <w:r w:rsidRPr="00522754">
        <w:rPr>
          <w:rFonts w:cs="Arial"/>
          <w:szCs w:val="24"/>
          <w:lang w:val="en-GB"/>
        </w:rPr>
        <w:t>17.2.</w:t>
      </w:r>
      <w:r w:rsidRPr="00522754">
        <w:rPr>
          <w:rFonts w:cs="Arial"/>
          <w:szCs w:val="24"/>
          <w:lang w:val="en-GB"/>
        </w:rPr>
        <w:tab/>
      </w:r>
      <w:r w:rsidR="000E562E" w:rsidRPr="00522754">
        <w:rPr>
          <w:rFonts w:cs="Arial"/>
          <w:szCs w:val="24"/>
          <w:lang w:val="en-GB"/>
        </w:rPr>
        <w:t>the founding affidavit contains irrelevant, vexatious and objectionable evidence that should be struck out of the papers;</w:t>
      </w:r>
    </w:p>
    <w:p w14:paraId="03C49B53" w14:textId="7A0ECFA4" w:rsidR="000E562E" w:rsidRPr="00522754" w:rsidRDefault="00C03686" w:rsidP="00C03686">
      <w:pPr>
        <w:pStyle w:val="WLGLevel1"/>
        <w:numPr>
          <w:ilvl w:val="0"/>
          <w:numId w:val="0"/>
        </w:numPr>
        <w:tabs>
          <w:tab w:val="left" w:pos="1560"/>
        </w:tabs>
        <w:suppressAutoHyphens w:val="0"/>
        <w:spacing w:before="0" w:after="480"/>
        <w:ind w:left="1560" w:hanging="851"/>
        <w:rPr>
          <w:rFonts w:cs="Arial"/>
          <w:szCs w:val="24"/>
          <w:lang w:val="en-GB"/>
        </w:rPr>
      </w:pPr>
      <w:r w:rsidRPr="00522754">
        <w:rPr>
          <w:rFonts w:cs="Arial"/>
          <w:szCs w:val="24"/>
          <w:lang w:val="en-GB"/>
        </w:rPr>
        <w:t>17.3.</w:t>
      </w:r>
      <w:r w:rsidRPr="00522754">
        <w:rPr>
          <w:rFonts w:cs="Arial"/>
          <w:szCs w:val="24"/>
          <w:lang w:val="en-GB"/>
        </w:rPr>
        <w:tab/>
      </w:r>
      <w:r w:rsidR="000E562E" w:rsidRPr="00522754">
        <w:rPr>
          <w:rFonts w:cs="Arial"/>
          <w:szCs w:val="24"/>
          <w:lang w:val="en-GB"/>
        </w:rPr>
        <w:t xml:space="preserve">Ms Jackson lacks personal knowledge of the circumstances that led to the conclusion of the deed of cession. The applicant had </w:t>
      </w:r>
      <w:r w:rsidR="00162C6C">
        <w:rPr>
          <w:rFonts w:cs="Arial"/>
          <w:szCs w:val="24"/>
          <w:lang w:val="en-GB"/>
        </w:rPr>
        <w:t>been</w:t>
      </w:r>
      <w:r w:rsidR="000E562E" w:rsidRPr="00522754">
        <w:rPr>
          <w:rFonts w:cs="Arial"/>
          <w:szCs w:val="24"/>
          <w:lang w:val="en-GB"/>
        </w:rPr>
        <w:t xml:space="preserve"> unable to discharge its debts or service its obligations (to employees and others) and its contracts with clients were ceded to enable the ongoing rendering of security services;</w:t>
      </w:r>
    </w:p>
    <w:p w14:paraId="288774F4" w14:textId="7209B918" w:rsidR="000E562E" w:rsidRPr="00522754" w:rsidRDefault="00C03686" w:rsidP="00C03686">
      <w:pPr>
        <w:pStyle w:val="WLGLevel1"/>
        <w:keepNext/>
        <w:numPr>
          <w:ilvl w:val="0"/>
          <w:numId w:val="0"/>
        </w:numPr>
        <w:tabs>
          <w:tab w:val="left" w:pos="1560"/>
        </w:tabs>
        <w:suppressAutoHyphens w:val="0"/>
        <w:spacing w:before="0" w:after="480"/>
        <w:ind w:left="1560" w:hanging="851"/>
        <w:rPr>
          <w:rFonts w:cs="Arial"/>
          <w:szCs w:val="24"/>
          <w:lang w:val="en-GB"/>
        </w:rPr>
      </w:pPr>
      <w:r w:rsidRPr="00522754">
        <w:rPr>
          <w:rFonts w:cs="Arial"/>
          <w:szCs w:val="24"/>
          <w:lang w:val="en-GB"/>
        </w:rPr>
        <w:lastRenderedPageBreak/>
        <w:t>17.4.</w:t>
      </w:r>
      <w:r w:rsidRPr="00522754">
        <w:rPr>
          <w:rFonts w:cs="Arial"/>
          <w:szCs w:val="24"/>
          <w:lang w:val="en-GB"/>
        </w:rPr>
        <w:tab/>
      </w:r>
      <w:r w:rsidR="000E562E" w:rsidRPr="00522754">
        <w:rPr>
          <w:rFonts w:cs="Arial"/>
          <w:szCs w:val="24"/>
          <w:lang w:val="en-GB"/>
        </w:rPr>
        <w:t>the cession of rights was and is not invalid because:</w:t>
      </w:r>
    </w:p>
    <w:p w14:paraId="6F9E8F24" w14:textId="4D5FDF63" w:rsidR="000E562E" w:rsidRPr="00522754" w:rsidRDefault="00C03686" w:rsidP="00C03686">
      <w:pPr>
        <w:pStyle w:val="WLGLevel1"/>
        <w:numPr>
          <w:ilvl w:val="0"/>
          <w:numId w:val="0"/>
        </w:numPr>
        <w:tabs>
          <w:tab w:val="left" w:pos="2694"/>
        </w:tabs>
        <w:suppressAutoHyphens w:val="0"/>
        <w:spacing w:before="0" w:after="480"/>
        <w:ind w:left="2694" w:hanging="1134"/>
        <w:rPr>
          <w:rFonts w:cs="Arial"/>
          <w:szCs w:val="24"/>
          <w:lang w:val="en-GB"/>
        </w:rPr>
      </w:pPr>
      <w:r w:rsidRPr="00522754">
        <w:rPr>
          <w:rFonts w:cs="Arial"/>
          <w:szCs w:val="24"/>
          <w:lang w:val="en-GB"/>
        </w:rPr>
        <w:t>17.4.1.</w:t>
      </w:r>
      <w:r w:rsidRPr="00522754">
        <w:rPr>
          <w:rFonts w:cs="Arial"/>
          <w:szCs w:val="24"/>
          <w:lang w:val="en-GB"/>
        </w:rPr>
        <w:tab/>
      </w:r>
      <w:r w:rsidR="000E562E" w:rsidRPr="00522754">
        <w:rPr>
          <w:rFonts w:cs="Arial"/>
          <w:szCs w:val="24"/>
          <w:lang w:val="en-GB"/>
        </w:rPr>
        <w:t xml:space="preserve">the attempted reliance on section 26(1) of the Insolvency Act is </w:t>
      </w:r>
      <w:r w:rsidR="006C637E">
        <w:rPr>
          <w:rFonts w:cs="Arial"/>
          <w:szCs w:val="24"/>
          <w:lang w:val="en-GB"/>
        </w:rPr>
        <w:t>“</w:t>
      </w:r>
      <w:r w:rsidR="000E562E" w:rsidRPr="003210A1">
        <w:rPr>
          <w:rFonts w:cs="Arial"/>
          <w:i/>
          <w:iCs/>
          <w:szCs w:val="24"/>
          <w:lang w:val="en-GB"/>
        </w:rPr>
        <w:t>patently wrong</w:t>
      </w:r>
      <w:r w:rsidR="006C637E">
        <w:rPr>
          <w:rFonts w:cs="Arial"/>
          <w:szCs w:val="24"/>
          <w:lang w:val="en-GB"/>
        </w:rPr>
        <w:t>”</w:t>
      </w:r>
      <w:r w:rsidR="000E562E" w:rsidRPr="00522754">
        <w:rPr>
          <w:rFonts w:cs="Arial"/>
          <w:szCs w:val="24"/>
          <w:lang w:val="en-GB"/>
        </w:rPr>
        <w:t xml:space="preserve"> since </w:t>
      </w:r>
      <w:r w:rsidR="006C637E">
        <w:rPr>
          <w:rFonts w:cs="Arial"/>
          <w:szCs w:val="24"/>
          <w:lang w:val="en-GB"/>
        </w:rPr>
        <w:t xml:space="preserve">the applicant </w:t>
      </w:r>
      <w:r w:rsidR="000E562E" w:rsidRPr="00522754">
        <w:rPr>
          <w:rFonts w:cs="Arial"/>
          <w:szCs w:val="24"/>
          <w:lang w:val="en-GB"/>
        </w:rPr>
        <w:t xml:space="preserve">has </w:t>
      </w:r>
      <w:r w:rsidR="00EA2737">
        <w:rPr>
          <w:rFonts w:cs="Arial"/>
          <w:szCs w:val="24"/>
          <w:lang w:val="en-GB"/>
        </w:rPr>
        <w:t xml:space="preserve">not </w:t>
      </w:r>
      <w:r w:rsidR="000E562E" w:rsidRPr="00522754">
        <w:rPr>
          <w:rFonts w:cs="Arial"/>
          <w:szCs w:val="24"/>
          <w:lang w:val="en-GB"/>
        </w:rPr>
        <w:t>been liquidated;</w:t>
      </w:r>
    </w:p>
    <w:p w14:paraId="30E65938" w14:textId="78BEDE37" w:rsidR="000E562E" w:rsidRPr="00522754" w:rsidRDefault="00C03686" w:rsidP="00C03686">
      <w:pPr>
        <w:pStyle w:val="WLGLevel1"/>
        <w:numPr>
          <w:ilvl w:val="0"/>
          <w:numId w:val="0"/>
        </w:numPr>
        <w:tabs>
          <w:tab w:val="left" w:pos="2694"/>
        </w:tabs>
        <w:suppressAutoHyphens w:val="0"/>
        <w:spacing w:before="0" w:after="480"/>
        <w:ind w:left="2694" w:hanging="1134"/>
        <w:rPr>
          <w:rFonts w:cs="Arial"/>
          <w:szCs w:val="24"/>
          <w:lang w:val="en-GB"/>
        </w:rPr>
      </w:pPr>
      <w:r w:rsidRPr="00522754">
        <w:rPr>
          <w:rFonts w:cs="Arial"/>
          <w:szCs w:val="24"/>
          <w:lang w:val="en-GB"/>
        </w:rPr>
        <w:t>17.4.2.</w:t>
      </w:r>
      <w:r w:rsidRPr="00522754">
        <w:rPr>
          <w:rFonts w:cs="Arial"/>
          <w:szCs w:val="24"/>
          <w:lang w:val="en-GB"/>
        </w:rPr>
        <w:tab/>
      </w:r>
      <w:r w:rsidR="000E562E" w:rsidRPr="00522754">
        <w:rPr>
          <w:rFonts w:cs="Arial"/>
          <w:szCs w:val="24"/>
          <w:lang w:val="en-GB"/>
        </w:rPr>
        <w:t xml:space="preserve">section 15(3)(c) of the Matrimonial Property Act is inapplicable since Mr Jackson did not dispose of his shareholding in the applicant or any other asset of the joint estate and, in any event, his last will and testament states that the Jacksons were married </w:t>
      </w:r>
      <w:r w:rsidR="000E562E" w:rsidRPr="00522754">
        <w:rPr>
          <w:rFonts w:cs="Arial"/>
          <w:i/>
          <w:iCs/>
          <w:szCs w:val="24"/>
          <w:lang w:val="en-GB"/>
        </w:rPr>
        <w:t>out of</w:t>
      </w:r>
      <w:r w:rsidR="000E562E" w:rsidRPr="00522754">
        <w:rPr>
          <w:rFonts w:cs="Arial"/>
          <w:szCs w:val="24"/>
          <w:lang w:val="en-GB"/>
        </w:rPr>
        <w:t xml:space="preserve"> community of property;</w:t>
      </w:r>
    </w:p>
    <w:p w14:paraId="0FF98241" w14:textId="53C647D7" w:rsidR="000E562E" w:rsidRPr="00522754" w:rsidRDefault="00C03686" w:rsidP="00C03686">
      <w:pPr>
        <w:pStyle w:val="WLGLevel1"/>
        <w:numPr>
          <w:ilvl w:val="0"/>
          <w:numId w:val="0"/>
        </w:numPr>
        <w:tabs>
          <w:tab w:val="left" w:pos="2694"/>
        </w:tabs>
        <w:suppressAutoHyphens w:val="0"/>
        <w:spacing w:before="0" w:after="480"/>
        <w:ind w:left="2694" w:hanging="1134"/>
        <w:rPr>
          <w:rFonts w:cs="Arial"/>
          <w:szCs w:val="24"/>
          <w:lang w:val="en-GB"/>
        </w:rPr>
      </w:pPr>
      <w:r w:rsidRPr="00522754">
        <w:rPr>
          <w:rFonts w:cs="Arial"/>
          <w:szCs w:val="24"/>
          <w:lang w:val="en-GB"/>
        </w:rPr>
        <w:t>17.4.3.</w:t>
      </w:r>
      <w:r w:rsidRPr="00522754">
        <w:rPr>
          <w:rFonts w:cs="Arial"/>
          <w:szCs w:val="24"/>
          <w:lang w:val="en-GB"/>
        </w:rPr>
        <w:tab/>
      </w:r>
      <w:r w:rsidR="000E562E" w:rsidRPr="00522754">
        <w:rPr>
          <w:rFonts w:cs="Arial"/>
          <w:szCs w:val="24"/>
          <w:lang w:val="en-GB"/>
        </w:rPr>
        <w:t>the contention that the deed of cession is void for vagueness is not understood by the respondents and is, in any event, irrelevant and without merit; and</w:t>
      </w:r>
    </w:p>
    <w:p w14:paraId="7206A0F9" w14:textId="5A10DB9F" w:rsidR="000E562E" w:rsidRPr="00522754" w:rsidRDefault="00C03686" w:rsidP="00C03686">
      <w:pPr>
        <w:pStyle w:val="WLGLevel1"/>
        <w:numPr>
          <w:ilvl w:val="0"/>
          <w:numId w:val="0"/>
        </w:numPr>
        <w:tabs>
          <w:tab w:val="left" w:pos="2694"/>
        </w:tabs>
        <w:suppressAutoHyphens w:val="0"/>
        <w:spacing w:before="0" w:after="480"/>
        <w:ind w:left="2694" w:hanging="1134"/>
        <w:rPr>
          <w:rFonts w:cs="Arial"/>
          <w:szCs w:val="24"/>
          <w:lang w:val="en-GB"/>
        </w:rPr>
      </w:pPr>
      <w:r w:rsidRPr="00522754">
        <w:rPr>
          <w:rFonts w:cs="Arial"/>
          <w:szCs w:val="24"/>
          <w:lang w:val="en-GB"/>
        </w:rPr>
        <w:t>17.4.4.</w:t>
      </w:r>
      <w:r w:rsidRPr="00522754">
        <w:rPr>
          <w:rFonts w:cs="Arial"/>
          <w:szCs w:val="24"/>
          <w:lang w:val="en-GB"/>
        </w:rPr>
        <w:tab/>
      </w:r>
      <w:r w:rsidR="000E562E" w:rsidRPr="00522754">
        <w:rPr>
          <w:rFonts w:cs="Arial"/>
          <w:szCs w:val="24"/>
          <w:lang w:val="en-GB"/>
        </w:rPr>
        <w:t>as regards authority to conclude the deed, “</w:t>
      </w:r>
      <w:r w:rsidR="000E562E" w:rsidRPr="00522754">
        <w:rPr>
          <w:rFonts w:cs="Arial"/>
          <w:i/>
          <w:iCs/>
          <w:szCs w:val="24"/>
          <w:lang w:val="en-GB"/>
        </w:rPr>
        <w:t>[i]t is bizarre to allege that the late Mr van der Walt who passed away on 2 September 2019 was still a director who could act on 3 December 2020</w:t>
      </w:r>
      <w:r w:rsidR="000E562E" w:rsidRPr="00522754">
        <w:rPr>
          <w:rFonts w:cs="Arial"/>
          <w:szCs w:val="24"/>
          <w:lang w:val="en-GB"/>
        </w:rPr>
        <w:t>” and, in any event, Mr Perkins “</w:t>
      </w:r>
      <w:r w:rsidR="000E562E" w:rsidRPr="00522754">
        <w:rPr>
          <w:rFonts w:cs="Arial"/>
          <w:i/>
          <w:iCs/>
          <w:szCs w:val="24"/>
          <w:lang w:val="en-GB"/>
        </w:rPr>
        <w:t>was not a director of the Applicant and [is] therefore fully entitled to rely on the provisions of Section 20(7)</w:t>
      </w:r>
      <w:r w:rsidR="000E562E" w:rsidRPr="00522754">
        <w:rPr>
          <w:rFonts w:cs="Arial"/>
          <w:szCs w:val="24"/>
          <w:lang w:val="en-GB"/>
        </w:rPr>
        <w:t>” of the Companies Act 71 of 2008.</w:t>
      </w:r>
    </w:p>
    <w:p w14:paraId="035A547E" w14:textId="6862B05D" w:rsidR="000E562E" w:rsidRPr="00522754" w:rsidRDefault="00C03686" w:rsidP="00C03686">
      <w:pPr>
        <w:pStyle w:val="WLGLevel1"/>
        <w:numPr>
          <w:ilvl w:val="0"/>
          <w:numId w:val="0"/>
        </w:numPr>
        <w:suppressAutoHyphens w:val="0"/>
        <w:spacing w:before="0" w:after="480"/>
        <w:ind w:left="709" w:hanging="709"/>
        <w:rPr>
          <w:rFonts w:cs="Arial"/>
          <w:szCs w:val="24"/>
          <w:lang w:val="en-GB"/>
        </w:rPr>
      </w:pPr>
      <w:bookmarkStart w:id="9" w:name="_Ref137912358"/>
      <w:r w:rsidRPr="00522754">
        <w:rPr>
          <w:rFonts w:cs="Arial"/>
          <w:bCs/>
          <w:iCs/>
          <w:szCs w:val="24"/>
          <w:lang w:val="en-GB"/>
        </w:rPr>
        <w:lastRenderedPageBreak/>
        <w:t>18.</w:t>
      </w:r>
      <w:r w:rsidRPr="00522754">
        <w:rPr>
          <w:rFonts w:cs="Arial"/>
          <w:bCs/>
          <w:iCs/>
          <w:szCs w:val="24"/>
          <w:lang w:val="en-GB"/>
        </w:rPr>
        <w:tab/>
      </w:r>
      <w:r w:rsidR="000E562E" w:rsidRPr="00522754">
        <w:rPr>
          <w:rFonts w:cs="Arial"/>
          <w:szCs w:val="24"/>
          <w:lang w:val="en-GB"/>
        </w:rPr>
        <w:t>The applicant’s replying affidavit – deposed to by Ms Jackson – was delivered on 12 August 2022. The affidavit asserts that a declaration of invalidity may be made on what is not disputed on the papers. (This court is no longer asked to decide whether Mr Jackson signed the deed of cession.) In particular, it is:</w:t>
      </w:r>
      <w:bookmarkEnd w:id="9"/>
    </w:p>
    <w:p w14:paraId="3B6805C5" w14:textId="0B4B720A" w:rsidR="000E562E" w:rsidRPr="00522754" w:rsidRDefault="00C03686" w:rsidP="00C03686">
      <w:pPr>
        <w:pStyle w:val="WLGLevel1"/>
        <w:numPr>
          <w:ilvl w:val="0"/>
          <w:numId w:val="0"/>
        </w:numPr>
        <w:tabs>
          <w:tab w:val="left" w:pos="1560"/>
        </w:tabs>
        <w:suppressAutoHyphens w:val="0"/>
        <w:spacing w:before="0" w:after="480"/>
        <w:ind w:left="1560" w:hanging="851"/>
        <w:rPr>
          <w:rFonts w:cs="Arial"/>
          <w:szCs w:val="24"/>
          <w:lang w:val="en-GB"/>
        </w:rPr>
      </w:pPr>
      <w:r w:rsidRPr="00522754">
        <w:rPr>
          <w:rFonts w:cs="Arial"/>
          <w:szCs w:val="24"/>
          <w:lang w:val="en-GB"/>
        </w:rPr>
        <w:t>18.1.</w:t>
      </w:r>
      <w:r w:rsidRPr="00522754">
        <w:rPr>
          <w:rFonts w:cs="Arial"/>
          <w:szCs w:val="24"/>
          <w:lang w:val="en-GB"/>
        </w:rPr>
        <w:tab/>
      </w:r>
      <w:r w:rsidR="000E562E" w:rsidRPr="00522754">
        <w:rPr>
          <w:rFonts w:cs="Arial"/>
          <w:szCs w:val="24"/>
          <w:lang w:val="en-GB"/>
        </w:rPr>
        <w:t xml:space="preserve">confirmed (with reference to the title deed of their immovable property and the letters of executorship referred to in paragraphs </w:t>
      </w:r>
      <w:r w:rsidR="000E562E" w:rsidRPr="00522754">
        <w:rPr>
          <w:rFonts w:cs="Arial"/>
          <w:szCs w:val="24"/>
          <w:lang w:val="en-GB"/>
        </w:rPr>
        <w:fldChar w:fldCharType="begin"/>
      </w:r>
      <w:r w:rsidR="000E562E" w:rsidRPr="00522754">
        <w:rPr>
          <w:rFonts w:cs="Arial"/>
          <w:szCs w:val="24"/>
          <w:lang w:val="en-GB"/>
        </w:rPr>
        <w:instrText xml:space="preserve"> REF _Ref137913250 \r \h </w:instrText>
      </w:r>
      <w:r w:rsidR="00522754" w:rsidRPr="00522754">
        <w:rPr>
          <w:rFonts w:cs="Arial"/>
          <w:szCs w:val="24"/>
          <w:lang w:val="en-GB"/>
        </w:rPr>
        <w:instrText xml:space="preserve"> \* MERGEFORMAT </w:instrText>
      </w:r>
      <w:r w:rsidR="000E562E" w:rsidRPr="00522754">
        <w:rPr>
          <w:rFonts w:cs="Arial"/>
          <w:szCs w:val="24"/>
          <w:lang w:val="en-GB"/>
        </w:rPr>
      </w:r>
      <w:r w:rsidR="000E562E" w:rsidRPr="00522754">
        <w:rPr>
          <w:rFonts w:cs="Arial"/>
          <w:szCs w:val="24"/>
          <w:lang w:val="en-GB"/>
        </w:rPr>
        <w:fldChar w:fldCharType="separate"/>
      </w:r>
      <w:r w:rsidR="00B7698E">
        <w:rPr>
          <w:rFonts w:cs="Arial"/>
          <w:szCs w:val="24"/>
          <w:lang w:val="en-GB"/>
        </w:rPr>
        <w:t>10</w:t>
      </w:r>
      <w:r w:rsidR="000E562E" w:rsidRPr="00522754">
        <w:rPr>
          <w:rFonts w:cs="Arial"/>
          <w:szCs w:val="24"/>
          <w:lang w:val="en-GB"/>
        </w:rPr>
        <w:fldChar w:fldCharType="end"/>
      </w:r>
      <w:r w:rsidR="000E562E" w:rsidRPr="00522754">
        <w:rPr>
          <w:rFonts w:cs="Arial"/>
          <w:szCs w:val="24"/>
          <w:lang w:val="en-GB"/>
        </w:rPr>
        <w:t xml:space="preserve"> and </w:t>
      </w:r>
      <w:r w:rsidR="000E562E" w:rsidRPr="00522754">
        <w:rPr>
          <w:rFonts w:cs="Arial"/>
          <w:szCs w:val="24"/>
          <w:lang w:val="en-GB"/>
        </w:rPr>
        <w:fldChar w:fldCharType="begin"/>
      </w:r>
      <w:r w:rsidR="000E562E" w:rsidRPr="00522754">
        <w:rPr>
          <w:rFonts w:cs="Arial"/>
          <w:szCs w:val="24"/>
          <w:lang w:val="en-GB"/>
        </w:rPr>
        <w:instrText xml:space="preserve"> REF _Ref137913257 \r \p \h </w:instrText>
      </w:r>
      <w:r w:rsidR="00522754" w:rsidRPr="00522754">
        <w:rPr>
          <w:rFonts w:cs="Arial"/>
          <w:szCs w:val="24"/>
          <w:lang w:val="en-GB"/>
        </w:rPr>
        <w:instrText xml:space="preserve"> \* MERGEFORMAT </w:instrText>
      </w:r>
      <w:r w:rsidR="000E562E" w:rsidRPr="00522754">
        <w:rPr>
          <w:rFonts w:cs="Arial"/>
          <w:szCs w:val="24"/>
          <w:lang w:val="en-GB"/>
        </w:rPr>
      </w:r>
      <w:r w:rsidR="000E562E" w:rsidRPr="00522754">
        <w:rPr>
          <w:rFonts w:cs="Arial"/>
          <w:szCs w:val="24"/>
          <w:lang w:val="en-GB"/>
        </w:rPr>
        <w:fldChar w:fldCharType="separate"/>
      </w:r>
      <w:r w:rsidR="00B7698E">
        <w:rPr>
          <w:rFonts w:cs="Arial"/>
          <w:szCs w:val="24"/>
          <w:lang w:val="en-GB"/>
        </w:rPr>
        <w:t>12 above</w:t>
      </w:r>
      <w:r w:rsidR="000E562E" w:rsidRPr="00522754">
        <w:rPr>
          <w:rFonts w:cs="Arial"/>
          <w:szCs w:val="24"/>
          <w:lang w:val="en-GB"/>
        </w:rPr>
        <w:fldChar w:fldCharType="end"/>
      </w:r>
      <w:r w:rsidR="000E562E" w:rsidRPr="00522754">
        <w:rPr>
          <w:rFonts w:cs="Arial"/>
          <w:szCs w:val="24"/>
          <w:lang w:val="en-GB"/>
        </w:rPr>
        <w:t xml:space="preserve">) that the Jacksons were married </w:t>
      </w:r>
      <w:r w:rsidR="000E562E" w:rsidRPr="00522754">
        <w:rPr>
          <w:rFonts w:cs="Arial"/>
          <w:i/>
          <w:iCs/>
          <w:szCs w:val="24"/>
          <w:lang w:val="en-GB"/>
        </w:rPr>
        <w:t>in</w:t>
      </w:r>
      <w:r w:rsidR="000E562E" w:rsidRPr="00522754">
        <w:rPr>
          <w:rFonts w:cs="Arial"/>
          <w:szCs w:val="24"/>
          <w:lang w:val="en-GB"/>
        </w:rPr>
        <w:t xml:space="preserve"> community of property; and</w:t>
      </w:r>
    </w:p>
    <w:p w14:paraId="20B21F8C" w14:textId="35334784" w:rsidR="000E562E" w:rsidRPr="00522754" w:rsidRDefault="00C03686" w:rsidP="00C03686">
      <w:pPr>
        <w:pStyle w:val="WLGLevel1"/>
        <w:numPr>
          <w:ilvl w:val="0"/>
          <w:numId w:val="0"/>
        </w:numPr>
        <w:tabs>
          <w:tab w:val="left" w:pos="1560"/>
        </w:tabs>
        <w:suppressAutoHyphens w:val="0"/>
        <w:spacing w:before="0" w:after="480"/>
        <w:ind w:left="1560" w:hanging="851"/>
        <w:rPr>
          <w:rFonts w:cs="Arial"/>
          <w:szCs w:val="24"/>
          <w:lang w:val="en-GB"/>
        </w:rPr>
      </w:pPr>
      <w:r w:rsidRPr="00522754">
        <w:rPr>
          <w:rFonts w:cs="Arial"/>
          <w:szCs w:val="24"/>
          <w:lang w:val="en-GB"/>
        </w:rPr>
        <w:t>18.2.</w:t>
      </w:r>
      <w:r w:rsidRPr="00522754">
        <w:rPr>
          <w:rFonts w:cs="Arial"/>
          <w:szCs w:val="24"/>
          <w:lang w:val="en-GB"/>
        </w:rPr>
        <w:tab/>
      </w:r>
      <w:r w:rsidR="000E562E" w:rsidRPr="00522754">
        <w:rPr>
          <w:rFonts w:cs="Arial"/>
          <w:szCs w:val="24"/>
          <w:lang w:val="en-GB"/>
        </w:rPr>
        <w:t>submitted that the void-for-vagueness and absence-of-authority grounds of invalidity are not pertinently or persuasively addressed by the respondents.</w:t>
      </w:r>
    </w:p>
    <w:p w14:paraId="6C71148D" w14:textId="45D5C6AA" w:rsidR="000E562E" w:rsidRPr="00522754" w:rsidRDefault="00C03686" w:rsidP="00C03686">
      <w:pPr>
        <w:pStyle w:val="WLGLevel1"/>
        <w:numPr>
          <w:ilvl w:val="0"/>
          <w:numId w:val="0"/>
        </w:numPr>
        <w:suppressAutoHyphens w:val="0"/>
        <w:spacing w:before="0" w:after="480"/>
        <w:ind w:left="709" w:hanging="709"/>
        <w:rPr>
          <w:rFonts w:cs="Arial"/>
          <w:szCs w:val="24"/>
          <w:lang w:val="en-GB"/>
        </w:rPr>
      </w:pPr>
      <w:r w:rsidRPr="00522754">
        <w:rPr>
          <w:rFonts w:cs="Arial"/>
          <w:bCs/>
          <w:iCs/>
          <w:szCs w:val="24"/>
          <w:lang w:val="en-GB"/>
        </w:rPr>
        <w:t>19.</w:t>
      </w:r>
      <w:r w:rsidRPr="00522754">
        <w:rPr>
          <w:rFonts w:cs="Arial"/>
          <w:bCs/>
          <w:iCs/>
          <w:szCs w:val="24"/>
          <w:lang w:val="en-GB"/>
        </w:rPr>
        <w:tab/>
      </w:r>
      <w:r w:rsidR="000E562E" w:rsidRPr="00522754">
        <w:rPr>
          <w:rFonts w:cs="Arial"/>
          <w:szCs w:val="24"/>
          <w:lang w:val="en-GB"/>
        </w:rPr>
        <w:t xml:space="preserve">The attorneys for the applicant delivered a practice note, heads of argument and list of authorities on 21 December 2022. An updated practice note was delivered on 22 May 2023. The heads of argument address the facts outlined in paragraphs </w:t>
      </w:r>
      <w:r w:rsidR="000E562E" w:rsidRPr="00522754">
        <w:rPr>
          <w:rFonts w:cs="Arial"/>
          <w:szCs w:val="24"/>
          <w:lang w:val="en-GB"/>
        </w:rPr>
        <w:fldChar w:fldCharType="begin"/>
      </w:r>
      <w:r w:rsidR="000E562E" w:rsidRPr="00522754">
        <w:rPr>
          <w:rFonts w:cs="Arial"/>
          <w:szCs w:val="24"/>
          <w:lang w:val="en-GB"/>
        </w:rPr>
        <w:instrText xml:space="preserve"> REF _Ref137885856 \r \h </w:instrText>
      </w:r>
      <w:r w:rsidR="00522754" w:rsidRPr="00522754">
        <w:rPr>
          <w:rFonts w:cs="Arial"/>
          <w:szCs w:val="24"/>
          <w:lang w:val="en-GB"/>
        </w:rPr>
        <w:instrText xml:space="preserve"> \* MERGEFORMAT </w:instrText>
      </w:r>
      <w:r w:rsidR="000E562E" w:rsidRPr="00522754">
        <w:rPr>
          <w:rFonts w:cs="Arial"/>
          <w:szCs w:val="24"/>
          <w:lang w:val="en-GB"/>
        </w:rPr>
      </w:r>
      <w:r w:rsidR="000E562E" w:rsidRPr="00522754">
        <w:rPr>
          <w:rFonts w:cs="Arial"/>
          <w:szCs w:val="24"/>
          <w:lang w:val="en-GB"/>
        </w:rPr>
        <w:fldChar w:fldCharType="separate"/>
      </w:r>
      <w:r w:rsidR="00B7698E">
        <w:rPr>
          <w:rFonts w:cs="Arial"/>
          <w:szCs w:val="24"/>
          <w:lang w:val="en-GB"/>
        </w:rPr>
        <w:t>3</w:t>
      </w:r>
      <w:r w:rsidR="000E562E" w:rsidRPr="00522754">
        <w:rPr>
          <w:rFonts w:cs="Arial"/>
          <w:szCs w:val="24"/>
          <w:lang w:val="en-GB"/>
        </w:rPr>
        <w:fldChar w:fldCharType="end"/>
      </w:r>
      <w:r w:rsidR="000E562E" w:rsidRPr="00522754">
        <w:rPr>
          <w:rFonts w:cs="Arial"/>
          <w:szCs w:val="24"/>
          <w:lang w:val="en-GB"/>
        </w:rPr>
        <w:t xml:space="preserve"> to </w:t>
      </w:r>
      <w:r w:rsidR="000E562E" w:rsidRPr="00522754">
        <w:rPr>
          <w:rFonts w:cs="Arial"/>
          <w:szCs w:val="24"/>
          <w:lang w:val="en-GB"/>
        </w:rPr>
        <w:fldChar w:fldCharType="begin"/>
      </w:r>
      <w:r w:rsidR="000E562E" w:rsidRPr="00522754">
        <w:rPr>
          <w:rFonts w:cs="Arial"/>
          <w:szCs w:val="24"/>
          <w:lang w:val="en-GB"/>
        </w:rPr>
        <w:instrText xml:space="preserve"> REF _Ref137912563 \r \p \h </w:instrText>
      </w:r>
      <w:r w:rsidR="00522754" w:rsidRPr="00522754">
        <w:rPr>
          <w:rFonts w:cs="Arial"/>
          <w:szCs w:val="24"/>
          <w:lang w:val="en-GB"/>
        </w:rPr>
        <w:instrText xml:space="preserve"> \* MERGEFORMAT </w:instrText>
      </w:r>
      <w:r w:rsidR="000E562E" w:rsidRPr="00522754">
        <w:rPr>
          <w:rFonts w:cs="Arial"/>
          <w:szCs w:val="24"/>
          <w:lang w:val="en-GB"/>
        </w:rPr>
      </w:r>
      <w:r w:rsidR="000E562E" w:rsidRPr="00522754">
        <w:rPr>
          <w:rFonts w:cs="Arial"/>
          <w:szCs w:val="24"/>
          <w:lang w:val="en-GB"/>
        </w:rPr>
        <w:fldChar w:fldCharType="separate"/>
      </w:r>
      <w:r w:rsidR="00B7698E">
        <w:rPr>
          <w:rFonts w:cs="Arial"/>
          <w:szCs w:val="24"/>
          <w:lang w:val="en-GB"/>
        </w:rPr>
        <w:t>14 above</w:t>
      </w:r>
      <w:r w:rsidR="000E562E" w:rsidRPr="00522754">
        <w:rPr>
          <w:rFonts w:cs="Arial"/>
          <w:szCs w:val="24"/>
          <w:lang w:val="en-GB"/>
        </w:rPr>
        <w:fldChar w:fldCharType="end"/>
      </w:r>
      <w:r w:rsidR="000E562E" w:rsidRPr="00522754">
        <w:rPr>
          <w:rFonts w:cs="Arial"/>
          <w:szCs w:val="24"/>
          <w:lang w:val="en-GB"/>
        </w:rPr>
        <w:t xml:space="preserve"> and elaborate on the submissions set out in paragraphs </w:t>
      </w:r>
      <w:r w:rsidR="000E562E" w:rsidRPr="00522754">
        <w:rPr>
          <w:rFonts w:cs="Arial"/>
          <w:szCs w:val="24"/>
          <w:lang w:val="en-GB"/>
        </w:rPr>
        <w:fldChar w:fldCharType="begin"/>
      </w:r>
      <w:r w:rsidR="000E562E" w:rsidRPr="00522754">
        <w:rPr>
          <w:rFonts w:cs="Arial"/>
          <w:szCs w:val="24"/>
          <w:lang w:val="en-GB"/>
        </w:rPr>
        <w:instrText xml:space="preserve"> REF _Ref137912346 \r \h </w:instrText>
      </w:r>
      <w:r w:rsidR="00522754" w:rsidRPr="00522754">
        <w:rPr>
          <w:rFonts w:cs="Arial"/>
          <w:szCs w:val="24"/>
          <w:lang w:val="en-GB"/>
        </w:rPr>
        <w:instrText xml:space="preserve"> \* MERGEFORMAT </w:instrText>
      </w:r>
      <w:r w:rsidR="000E562E" w:rsidRPr="00522754">
        <w:rPr>
          <w:rFonts w:cs="Arial"/>
          <w:szCs w:val="24"/>
          <w:lang w:val="en-GB"/>
        </w:rPr>
      </w:r>
      <w:r w:rsidR="000E562E" w:rsidRPr="00522754">
        <w:rPr>
          <w:rFonts w:cs="Arial"/>
          <w:szCs w:val="24"/>
          <w:lang w:val="en-GB"/>
        </w:rPr>
        <w:fldChar w:fldCharType="separate"/>
      </w:r>
      <w:r w:rsidR="00B7698E">
        <w:rPr>
          <w:rFonts w:cs="Arial"/>
          <w:szCs w:val="24"/>
          <w:lang w:val="en-GB"/>
        </w:rPr>
        <w:t>15</w:t>
      </w:r>
      <w:r w:rsidR="000E562E" w:rsidRPr="00522754">
        <w:rPr>
          <w:rFonts w:cs="Arial"/>
          <w:szCs w:val="24"/>
          <w:lang w:val="en-GB"/>
        </w:rPr>
        <w:fldChar w:fldCharType="end"/>
      </w:r>
      <w:r w:rsidR="000E562E" w:rsidRPr="00522754">
        <w:rPr>
          <w:rFonts w:cs="Arial"/>
          <w:szCs w:val="24"/>
          <w:lang w:val="en-GB"/>
        </w:rPr>
        <w:t xml:space="preserve"> and </w:t>
      </w:r>
      <w:r w:rsidR="000E562E" w:rsidRPr="00522754">
        <w:rPr>
          <w:rFonts w:cs="Arial"/>
          <w:szCs w:val="24"/>
          <w:lang w:val="en-GB"/>
        </w:rPr>
        <w:fldChar w:fldCharType="begin"/>
      </w:r>
      <w:r w:rsidR="000E562E" w:rsidRPr="00522754">
        <w:rPr>
          <w:rFonts w:cs="Arial"/>
          <w:szCs w:val="24"/>
          <w:lang w:val="en-GB"/>
        </w:rPr>
        <w:instrText xml:space="preserve"> REF _Ref137912358 \r \p \h </w:instrText>
      </w:r>
      <w:r w:rsidR="00522754" w:rsidRPr="00522754">
        <w:rPr>
          <w:rFonts w:cs="Arial"/>
          <w:szCs w:val="24"/>
          <w:lang w:val="en-GB"/>
        </w:rPr>
        <w:instrText xml:space="preserve"> \* MERGEFORMAT </w:instrText>
      </w:r>
      <w:r w:rsidR="000E562E" w:rsidRPr="00522754">
        <w:rPr>
          <w:rFonts w:cs="Arial"/>
          <w:szCs w:val="24"/>
          <w:lang w:val="en-GB"/>
        </w:rPr>
      </w:r>
      <w:r w:rsidR="000E562E" w:rsidRPr="00522754">
        <w:rPr>
          <w:rFonts w:cs="Arial"/>
          <w:szCs w:val="24"/>
          <w:lang w:val="en-GB"/>
        </w:rPr>
        <w:fldChar w:fldCharType="separate"/>
      </w:r>
      <w:r w:rsidR="00B7698E">
        <w:rPr>
          <w:rFonts w:cs="Arial"/>
          <w:szCs w:val="24"/>
          <w:lang w:val="en-GB"/>
        </w:rPr>
        <w:t>18 above</w:t>
      </w:r>
      <w:r w:rsidR="000E562E" w:rsidRPr="00522754">
        <w:rPr>
          <w:rFonts w:cs="Arial"/>
          <w:szCs w:val="24"/>
          <w:lang w:val="en-GB"/>
        </w:rPr>
        <w:fldChar w:fldCharType="end"/>
      </w:r>
      <w:r w:rsidR="000E562E" w:rsidRPr="00522754">
        <w:rPr>
          <w:rFonts w:cs="Arial"/>
          <w:szCs w:val="24"/>
          <w:lang w:val="en-GB"/>
        </w:rPr>
        <w:t>, including by invoking sections 112</w:t>
      </w:r>
      <w:r w:rsidR="00EB33C9">
        <w:rPr>
          <w:rFonts w:cs="Arial"/>
          <w:szCs w:val="24"/>
          <w:lang w:val="en-GB"/>
        </w:rPr>
        <w:t xml:space="preserve"> and</w:t>
      </w:r>
      <w:r w:rsidR="000E562E" w:rsidRPr="00522754">
        <w:rPr>
          <w:rFonts w:cs="Arial"/>
          <w:szCs w:val="24"/>
          <w:lang w:val="en-GB"/>
        </w:rPr>
        <w:t xml:space="preserve"> 115 of the Companies Act in support of the absence-of-authority ground of invalidity.</w:t>
      </w:r>
    </w:p>
    <w:p w14:paraId="492E4521" w14:textId="47FCBC6F" w:rsidR="000E562E" w:rsidRPr="00522754" w:rsidRDefault="00C03686" w:rsidP="00C03686">
      <w:pPr>
        <w:pStyle w:val="WLGLevel1"/>
        <w:numPr>
          <w:ilvl w:val="0"/>
          <w:numId w:val="0"/>
        </w:numPr>
        <w:suppressAutoHyphens w:val="0"/>
        <w:spacing w:before="0" w:after="480"/>
        <w:ind w:left="709" w:hanging="709"/>
        <w:rPr>
          <w:rFonts w:cs="Arial"/>
          <w:szCs w:val="24"/>
          <w:lang w:val="en-GB"/>
        </w:rPr>
      </w:pPr>
      <w:r w:rsidRPr="00522754">
        <w:rPr>
          <w:rFonts w:cs="Arial"/>
          <w:bCs/>
          <w:iCs/>
          <w:szCs w:val="24"/>
          <w:lang w:val="en-GB"/>
        </w:rPr>
        <w:t>20.</w:t>
      </w:r>
      <w:r w:rsidRPr="00522754">
        <w:rPr>
          <w:rFonts w:cs="Arial"/>
          <w:bCs/>
          <w:iCs/>
          <w:szCs w:val="24"/>
          <w:lang w:val="en-GB"/>
        </w:rPr>
        <w:tab/>
      </w:r>
      <w:r w:rsidR="000E562E" w:rsidRPr="00522754">
        <w:rPr>
          <w:rFonts w:cs="Arial"/>
          <w:szCs w:val="24"/>
          <w:lang w:val="en-GB"/>
        </w:rPr>
        <w:t xml:space="preserve">Counsel for the respondents delivered heads of argument and a list of authorities on 06 March 2023. A practice note was delivered on 28 March 2023. The heads of argument address the facts outlined in paragraphs </w:t>
      </w:r>
      <w:r w:rsidR="000E562E" w:rsidRPr="00522754">
        <w:rPr>
          <w:rFonts w:cs="Arial"/>
          <w:szCs w:val="24"/>
          <w:lang w:val="en-GB"/>
        </w:rPr>
        <w:fldChar w:fldCharType="begin"/>
      </w:r>
      <w:r w:rsidR="000E562E" w:rsidRPr="00522754">
        <w:rPr>
          <w:rFonts w:cs="Arial"/>
          <w:szCs w:val="24"/>
          <w:lang w:val="en-GB"/>
        </w:rPr>
        <w:instrText xml:space="preserve"> REF _Ref137885856 \r \h </w:instrText>
      </w:r>
      <w:r w:rsidR="00522754" w:rsidRPr="00522754">
        <w:rPr>
          <w:rFonts w:cs="Arial"/>
          <w:szCs w:val="24"/>
          <w:lang w:val="en-GB"/>
        </w:rPr>
        <w:instrText xml:space="preserve"> \* MERGEFORMAT </w:instrText>
      </w:r>
      <w:r w:rsidR="000E562E" w:rsidRPr="00522754">
        <w:rPr>
          <w:rFonts w:cs="Arial"/>
          <w:szCs w:val="24"/>
          <w:lang w:val="en-GB"/>
        </w:rPr>
      </w:r>
      <w:r w:rsidR="000E562E" w:rsidRPr="00522754">
        <w:rPr>
          <w:rFonts w:cs="Arial"/>
          <w:szCs w:val="24"/>
          <w:lang w:val="en-GB"/>
        </w:rPr>
        <w:fldChar w:fldCharType="separate"/>
      </w:r>
      <w:r w:rsidR="00B7698E">
        <w:rPr>
          <w:rFonts w:cs="Arial"/>
          <w:szCs w:val="24"/>
          <w:lang w:val="en-GB"/>
        </w:rPr>
        <w:t>3</w:t>
      </w:r>
      <w:r w:rsidR="000E562E" w:rsidRPr="00522754">
        <w:rPr>
          <w:rFonts w:cs="Arial"/>
          <w:szCs w:val="24"/>
          <w:lang w:val="en-GB"/>
        </w:rPr>
        <w:fldChar w:fldCharType="end"/>
      </w:r>
      <w:r w:rsidR="000E562E" w:rsidRPr="00522754">
        <w:rPr>
          <w:rFonts w:cs="Arial"/>
          <w:szCs w:val="24"/>
          <w:lang w:val="en-GB"/>
        </w:rPr>
        <w:t xml:space="preserve"> to </w:t>
      </w:r>
      <w:r w:rsidR="000E562E" w:rsidRPr="00522754">
        <w:rPr>
          <w:rFonts w:cs="Arial"/>
          <w:szCs w:val="24"/>
          <w:lang w:val="en-GB"/>
        </w:rPr>
        <w:fldChar w:fldCharType="begin"/>
      </w:r>
      <w:r w:rsidR="000E562E" w:rsidRPr="00522754">
        <w:rPr>
          <w:rFonts w:cs="Arial"/>
          <w:szCs w:val="24"/>
          <w:lang w:val="en-GB"/>
        </w:rPr>
        <w:instrText xml:space="preserve"> REF _Ref137912563 \r \p \h </w:instrText>
      </w:r>
      <w:r w:rsidR="00522754" w:rsidRPr="00522754">
        <w:rPr>
          <w:rFonts w:cs="Arial"/>
          <w:szCs w:val="24"/>
          <w:lang w:val="en-GB"/>
        </w:rPr>
        <w:instrText xml:space="preserve"> \* MERGEFORMAT </w:instrText>
      </w:r>
      <w:r w:rsidR="000E562E" w:rsidRPr="00522754">
        <w:rPr>
          <w:rFonts w:cs="Arial"/>
          <w:szCs w:val="24"/>
          <w:lang w:val="en-GB"/>
        </w:rPr>
      </w:r>
      <w:r w:rsidR="000E562E" w:rsidRPr="00522754">
        <w:rPr>
          <w:rFonts w:cs="Arial"/>
          <w:szCs w:val="24"/>
          <w:lang w:val="en-GB"/>
        </w:rPr>
        <w:fldChar w:fldCharType="separate"/>
      </w:r>
      <w:r w:rsidR="00B7698E">
        <w:rPr>
          <w:rFonts w:cs="Arial"/>
          <w:szCs w:val="24"/>
          <w:lang w:val="en-GB"/>
        </w:rPr>
        <w:t>14 above</w:t>
      </w:r>
      <w:r w:rsidR="000E562E" w:rsidRPr="00522754">
        <w:rPr>
          <w:rFonts w:cs="Arial"/>
          <w:szCs w:val="24"/>
          <w:lang w:val="en-GB"/>
        </w:rPr>
        <w:fldChar w:fldCharType="end"/>
      </w:r>
      <w:r w:rsidR="000E562E" w:rsidRPr="00522754">
        <w:rPr>
          <w:rFonts w:cs="Arial"/>
          <w:szCs w:val="24"/>
          <w:lang w:val="en-GB"/>
        </w:rPr>
        <w:t xml:space="preserve"> and elaborate on the submissions set out in paragraph </w:t>
      </w:r>
      <w:r w:rsidR="000E562E" w:rsidRPr="00522754">
        <w:rPr>
          <w:rFonts w:cs="Arial"/>
          <w:szCs w:val="24"/>
          <w:lang w:val="en-GB"/>
        </w:rPr>
        <w:fldChar w:fldCharType="begin"/>
      </w:r>
      <w:r w:rsidR="000E562E" w:rsidRPr="00522754">
        <w:rPr>
          <w:rFonts w:cs="Arial"/>
          <w:szCs w:val="24"/>
          <w:lang w:val="en-GB"/>
        </w:rPr>
        <w:instrText xml:space="preserve"> REF _Ref137912394 \r \p \h </w:instrText>
      </w:r>
      <w:r w:rsidR="00522754" w:rsidRPr="00522754">
        <w:rPr>
          <w:rFonts w:cs="Arial"/>
          <w:szCs w:val="24"/>
          <w:lang w:val="en-GB"/>
        </w:rPr>
        <w:instrText xml:space="preserve"> \* MERGEFORMAT </w:instrText>
      </w:r>
      <w:r w:rsidR="000E562E" w:rsidRPr="00522754">
        <w:rPr>
          <w:rFonts w:cs="Arial"/>
          <w:szCs w:val="24"/>
          <w:lang w:val="en-GB"/>
        </w:rPr>
      </w:r>
      <w:r w:rsidR="000E562E" w:rsidRPr="00522754">
        <w:rPr>
          <w:rFonts w:cs="Arial"/>
          <w:szCs w:val="24"/>
          <w:lang w:val="en-GB"/>
        </w:rPr>
        <w:fldChar w:fldCharType="separate"/>
      </w:r>
      <w:r w:rsidR="00B7698E">
        <w:rPr>
          <w:rFonts w:cs="Arial"/>
          <w:szCs w:val="24"/>
          <w:lang w:val="en-GB"/>
        </w:rPr>
        <w:t>17 above</w:t>
      </w:r>
      <w:r w:rsidR="000E562E" w:rsidRPr="00522754">
        <w:rPr>
          <w:rFonts w:cs="Arial"/>
          <w:szCs w:val="24"/>
          <w:lang w:val="en-GB"/>
        </w:rPr>
        <w:fldChar w:fldCharType="end"/>
      </w:r>
      <w:r w:rsidR="000E562E" w:rsidRPr="00522754">
        <w:rPr>
          <w:rFonts w:cs="Arial"/>
          <w:szCs w:val="24"/>
          <w:lang w:val="en-GB"/>
        </w:rPr>
        <w:t>. As regards the absence-of-</w:t>
      </w:r>
      <w:r w:rsidR="000E562E" w:rsidRPr="00522754">
        <w:rPr>
          <w:rFonts w:cs="Arial"/>
          <w:szCs w:val="24"/>
          <w:lang w:val="en-GB"/>
        </w:rPr>
        <w:lastRenderedPageBreak/>
        <w:t>authority ground of invalidity, it is submitted that the founding papers do not allege “</w:t>
      </w:r>
      <w:r w:rsidR="000E562E" w:rsidRPr="00522754">
        <w:rPr>
          <w:rFonts w:cs="Arial"/>
          <w:i/>
          <w:iCs/>
          <w:szCs w:val="24"/>
          <w:lang w:val="en-GB"/>
        </w:rPr>
        <w:t>that the security contracts constituted a disposition of a major asset</w:t>
      </w:r>
      <w:r w:rsidR="000E562E" w:rsidRPr="00522754">
        <w:rPr>
          <w:rFonts w:cs="Arial"/>
          <w:szCs w:val="24"/>
          <w:lang w:val="en-GB"/>
        </w:rPr>
        <w:t xml:space="preserve">” and that the applicant places only belated reliance on </w:t>
      </w:r>
      <w:r w:rsidR="007762B8" w:rsidRPr="00522754">
        <w:rPr>
          <w:rFonts w:cs="Arial"/>
          <w:szCs w:val="24"/>
          <w:lang w:val="en-GB"/>
        </w:rPr>
        <w:t xml:space="preserve">sections 112 and 115 </w:t>
      </w:r>
      <w:r w:rsidR="000E562E" w:rsidRPr="00522754">
        <w:rPr>
          <w:rFonts w:cs="Arial"/>
          <w:szCs w:val="24"/>
          <w:lang w:val="en-GB"/>
        </w:rPr>
        <w:t>of the Companies Act.</w:t>
      </w:r>
    </w:p>
    <w:p w14:paraId="0F1EF003" w14:textId="77777777" w:rsidR="000E562E" w:rsidRPr="00522754" w:rsidRDefault="000E562E" w:rsidP="000E562E">
      <w:pPr>
        <w:pStyle w:val="WLGLevel1"/>
        <w:keepNext/>
        <w:numPr>
          <w:ilvl w:val="0"/>
          <w:numId w:val="0"/>
        </w:numPr>
        <w:suppressAutoHyphens w:val="0"/>
        <w:spacing w:before="0" w:after="480"/>
        <w:ind w:left="567" w:hanging="567"/>
        <w:rPr>
          <w:rFonts w:cs="Arial"/>
          <w:b/>
          <w:bCs/>
          <w:szCs w:val="24"/>
          <w:lang w:val="en-GB"/>
        </w:rPr>
      </w:pPr>
      <w:r w:rsidRPr="00522754">
        <w:rPr>
          <w:rFonts w:cs="Arial"/>
          <w:b/>
          <w:bCs/>
          <w:szCs w:val="24"/>
          <w:lang w:val="en-GB"/>
        </w:rPr>
        <w:t>GENERAL PRINCIPLES</w:t>
      </w:r>
    </w:p>
    <w:p w14:paraId="30EA6195" w14:textId="415DD68D" w:rsidR="000E562E" w:rsidRPr="00FE7356" w:rsidRDefault="00C03686" w:rsidP="00C03686">
      <w:pPr>
        <w:pStyle w:val="WLGLevel1"/>
        <w:numPr>
          <w:ilvl w:val="0"/>
          <w:numId w:val="0"/>
        </w:numPr>
        <w:suppressAutoHyphens w:val="0"/>
        <w:spacing w:before="0" w:after="480"/>
        <w:ind w:left="709" w:hanging="709"/>
        <w:rPr>
          <w:rFonts w:cs="Arial"/>
          <w:szCs w:val="24"/>
          <w:lang w:val="en-GB"/>
        </w:rPr>
      </w:pPr>
      <w:r w:rsidRPr="00FE7356">
        <w:rPr>
          <w:rFonts w:cs="Arial"/>
          <w:bCs/>
          <w:iCs/>
          <w:szCs w:val="24"/>
          <w:lang w:val="en-GB"/>
        </w:rPr>
        <w:t>21.</w:t>
      </w:r>
      <w:r w:rsidRPr="00FE7356">
        <w:rPr>
          <w:rFonts w:cs="Arial"/>
          <w:bCs/>
          <w:iCs/>
          <w:szCs w:val="24"/>
          <w:lang w:val="en-GB"/>
        </w:rPr>
        <w:tab/>
      </w:r>
      <w:r w:rsidR="000E562E" w:rsidRPr="00FE7356">
        <w:rPr>
          <w:rFonts w:cs="Arial"/>
          <w:szCs w:val="24"/>
        </w:rPr>
        <w:t xml:space="preserve">Generally, contractual </w:t>
      </w:r>
      <w:r w:rsidR="000E562E" w:rsidRPr="003210A1">
        <w:rPr>
          <w:rFonts w:cs="Arial"/>
          <w:szCs w:val="24"/>
        </w:rPr>
        <w:t>rights</w:t>
      </w:r>
      <w:r w:rsidR="000E562E" w:rsidRPr="00FE7356">
        <w:rPr>
          <w:rFonts w:cs="Arial"/>
          <w:szCs w:val="24"/>
        </w:rPr>
        <w:t xml:space="preserve"> may be freely ceded unless a contract precludes the cession.</w:t>
      </w:r>
      <w:r w:rsidR="000E562E" w:rsidRPr="00FE7356">
        <w:rPr>
          <w:rStyle w:val="FootnoteReference"/>
          <w:rFonts w:cs="Arial"/>
          <w:szCs w:val="24"/>
        </w:rPr>
        <w:footnoteReference w:id="1"/>
      </w:r>
      <w:r w:rsidR="000E562E" w:rsidRPr="00FE7356">
        <w:rPr>
          <w:rFonts w:cs="Arial"/>
          <w:szCs w:val="24"/>
        </w:rPr>
        <w:t xml:space="preserve"> So, if A is a creditor of B, A may typically cede its rights to obligations owed to it by B, to C, without B’s consent. </w:t>
      </w:r>
    </w:p>
    <w:p w14:paraId="2AAE5757" w14:textId="5ADBE7F0" w:rsidR="000E562E" w:rsidRPr="00522754" w:rsidRDefault="00C03686" w:rsidP="00C03686">
      <w:pPr>
        <w:pStyle w:val="WLGLevel1"/>
        <w:numPr>
          <w:ilvl w:val="0"/>
          <w:numId w:val="0"/>
        </w:numPr>
        <w:suppressAutoHyphens w:val="0"/>
        <w:spacing w:before="0" w:after="480"/>
        <w:ind w:left="709" w:hanging="709"/>
        <w:rPr>
          <w:rFonts w:cs="Arial"/>
          <w:szCs w:val="24"/>
          <w:lang w:val="en-GB"/>
        </w:rPr>
      </w:pPr>
      <w:r w:rsidRPr="00522754">
        <w:rPr>
          <w:rFonts w:cs="Arial"/>
          <w:bCs/>
          <w:iCs/>
          <w:szCs w:val="24"/>
          <w:lang w:val="en-GB"/>
        </w:rPr>
        <w:t>22.</w:t>
      </w:r>
      <w:r w:rsidRPr="00522754">
        <w:rPr>
          <w:rFonts w:cs="Arial"/>
          <w:bCs/>
          <w:iCs/>
          <w:szCs w:val="24"/>
          <w:lang w:val="en-GB"/>
        </w:rPr>
        <w:tab/>
      </w:r>
      <w:r w:rsidR="000E562E" w:rsidRPr="00522754">
        <w:rPr>
          <w:rFonts w:cs="Arial"/>
          <w:szCs w:val="24"/>
        </w:rPr>
        <w:t xml:space="preserve">The general principle is subject to the exception of </w:t>
      </w:r>
      <w:r w:rsidR="000E562E" w:rsidRPr="00522754">
        <w:rPr>
          <w:rFonts w:cs="Arial"/>
          <w:i/>
          <w:iCs/>
          <w:szCs w:val="24"/>
        </w:rPr>
        <w:t>delectus personae</w:t>
      </w:r>
      <w:r w:rsidR="000E562E" w:rsidRPr="00522754">
        <w:rPr>
          <w:rFonts w:cs="Arial"/>
          <w:szCs w:val="24"/>
        </w:rPr>
        <w:t xml:space="preserve">, which, if applicable, requires B to consent to the cession by A to C. </w:t>
      </w:r>
    </w:p>
    <w:p w14:paraId="7D595FA5" w14:textId="6827D324" w:rsidR="000E562E" w:rsidRPr="003210A1" w:rsidRDefault="00C03686" w:rsidP="00C03686">
      <w:pPr>
        <w:spacing w:after="480" w:line="480" w:lineRule="auto"/>
        <w:ind w:left="709" w:hanging="709"/>
        <w:rPr>
          <w:rFonts w:cs="Arial"/>
          <w:sz w:val="24"/>
        </w:rPr>
      </w:pPr>
      <w:r w:rsidRPr="003210A1">
        <w:rPr>
          <w:rFonts w:cs="Arial"/>
          <w:bCs/>
          <w:iCs/>
          <w:sz w:val="24"/>
        </w:rPr>
        <w:t>23.</w:t>
      </w:r>
      <w:r w:rsidRPr="003210A1">
        <w:rPr>
          <w:rFonts w:cs="Arial"/>
          <w:bCs/>
          <w:iCs/>
          <w:sz w:val="24"/>
        </w:rPr>
        <w:tab/>
      </w:r>
      <w:r w:rsidR="000E562E" w:rsidRPr="003210A1">
        <w:rPr>
          <w:rFonts w:cs="Arial"/>
          <w:sz w:val="24"/>
        </w:rPr>
        <w:t>The exception applies where a contract, properly interpreted, is so personal in nature that it would make a reasonable or substantial difference to B whether A or C enforces the obligation.</w:t>
      </w:r>
      <w:r w:rsidR="000E562E" w:rsidRPr="003210A1">
        <w:rPr>
          <w:rStyle w:val="FootnoteReference"/>
          <w:rFonts w:cs="Arial"/>
          <w:sz w:val="24"/>
        </w:rPr>
        <w:footnoteReference w:id="2"/>
      </w:r>
      <w:r w:rsidR="000E562E" w:rsidRPr="003210A1">
        <w:rPr>
          <w:rFonts w:cs="Arial"/>
          <w:sz w:val="24"/>
        </w:rPr>
        <w:t xml:space="preserve"> </w:t>
      </w:r>
    </w:p>
    <w:p w14:paraId="68B7423D" w14:textId="55FD0EA6" w:rsidR="000E562E" w:rsidRPr="003210A1" w:rsidRDefault="00C03686" w:rsidP="00C03686">
      <w:pPr>
        <w:spacing w:after="480" w:line="480" w:lineRule="auto"/>
        <w:ind w:left="709" w:hanging="709"/>
        <w:rPr>
          <w:rFonts w:cs="Arial"/>
          <w:sz w:val="24"/>
        </w:rPr>
      </w:pPr>
      <w:r w:rsidRPr="003210A1">
        <w:rPr>
          <w:rFonts w:cs="Arial"/>
          <w:bCs/>
          <w:iCs/>
          <w:sz w:val="24"/>
        </w:rPr>
        <w:lastRenderedPageBreak/>
        <w:t>24.</w:t>
      </w:r>
      <w:r w:rsidRPr="003210A1">
        <w:rPr>
          <w:rFonts w:cs="Arial"/>
          <w:bCs/>
          <w:iCs/>
          <w:sz w:val="24"/>
        </w:rPr>
        <w:tab/>
      </w:r>
      <w:r w:rsidR="000E562E" w:rsidRPr="003210A1">
        <w:rPr>
          <w:rFonts w:cs="Arial"/>
          <w:sz w:val="24"/>
        </w:rPr>
        <w:t xml:space="preserve">The court in </w:t>
      </w:r>
      <w:r w:rsidR="000E562E" w:rsidRPr="003210A1">
        <w:rPr>
          <w:rFonts w:cs="Arial"/>
          <w:i/>
          <w:iCs/>
          <w:sz w:val="24"/>
        </w:rPr>
        <w:t>Propell</w:t>
      </w:r>
      <w:r w:rsidR="000E562E" w:rsidRPr="003210A1">
        <w:rPr>
          <w:rStyle w:val="FootnoteReference"/>
          <w:rFonts w:cs="Arial"/>
          <w:sz w:val="24"/>
        </w:rPr>
        <w:footnoteReference w:id="3"/>
      </w:r>
      <w:r w:rsidR="000E562E" w:rsidRPr="003210A1">
        <w:rPr>
          <w:rFonts w:cs="Arial"/>
          <w:sz w:val="24"/>
        </w:rPr>
        <w:t xml:space="preserve"> provided an illustration, originally articulated in </w:t>
      </w:r>
      <w:r w:rsidR="000E562E" w:rsidRPr="003210A1">
        <w:rPr>
          <w:rFonts w:cs="Arial"/>
          <w:i/>
          <w:iCs/>
          <w:sz w:val="24"/>
        </w:rPr>
        <w:t>Densam,</w:t>
      </w:r>
      <w:r w:rsidR="000E562E" w:rsidRPr="003210A1">
        <w:rPr>
          <w:rStyle w:val="FootnoteReference"/>
          <w:rFonts w:cs="Arial"/>
          <w:sz w:val="24"/>
        </w:rPr>
        <w:footnoteReference w:id="4"/>
      </w:r>
      <w:r w:rsidR="000E562E" w:rsidRPr="003210A1">
        <w:rPr>
          <w:rFonts w:cs="Arial"/>
          <w:sz w:val="24"/>
        </w:rPr>
        <w:t xml:space="preserve"> that, in a contract between ‘master’ and ‘servant’ for the rendering of personal services, the master may not cede his right to receive services from the servant without the servant’s consent (given the special nature of the services)</w:t>
      </w:r>
      <w:r w:rsidR="00A36962">
        <w:rPr>
          <w:rFonts w:cs="Arial"/>
          <w:sz w:val="24"/>
        </w:rPr>
        <w:t xml:space="preserve"> whereas</w:t>
      </w:r>
      <w:r w:rsidR="000E562E" w:rsidRPr="003210A1">
        <w:rPr>
          <w:rFonts w:cs="Arial"/>
          <w:sz w:val="24"/>
        </w:rPr>
        <w:t xml:space="preserve"> the servant may cede his right to receive payment (given the general nature of the payment obligations). </w:t>
      </w:r>
    </w:p>
    <w:p w14:paraId="5974FD65" w14:textId="43D17833" w:rsidR="000E562E" w:rsidRPr="003210A1" w:rsidRDefault="00C03686" w:rsidP="00C03686">
      <w:pPr>
        <w:spacing w:after="480" w:line="480" w:lineRule="auto"/>
        <w:ind w:left="709" w:hanging="709"/>
        <w:rPr>
          <w:rFonts w:cs="Arial"/>
          <w:sz w:val="24"/>
        </w:rPr>
      </w:pPr>
      <w:r w:rsidRPr="003210A1">
        <w:rPr>
          <w:rFonts w:cs="Arial"/>
          <w:bCs/>
          <w:iCs/>
          <w:sz w:val="24"/>
        </w:rPr>
        <w:t>25.</w:t>
      </w:r>
      <w:r w:rsidRPr="003210A1">
        <w:rPr>
          <w:rFonts w:cs="Arial"/>
          <w:bCs/>
          <w:iCs/>
          <w:sz w:val="24"/>
        </w:rPr>
        <w:tab/>
      </w:r>
      <w:r w:rsidR="000E562E" w:rsidRPr="003210A1">
        <w:rPr>
          <w:rFonts w:cs="Arial"/>
          <w:sz w:val="24"/>
        </w:rPr>
        <w:t xml:space="preserve">The distinction between a </w:t>
      </w:r>
      <w:r w:rsidR="000E562E" w:rsidRPr="003210A1">
        <w:rPr>
          <w:rFonts w:cs="Arial"/>
          <w:i/>
          <w:iCs/>
          <w:sz w:val="24"/>
        </w:rPr>
        <w:t>right</w:t>
      </w:r>
      <w:r w:rsidR="000E562E" w:rsidRPr="003210A1">
        <w:rPr>
          <w:rFonts w:cs="Arial"/>
          <w:sz w:val="24"/>
        </w:rPr>
        <w:t xml:space="preserve"> and an </w:t>
      </w:r>
      <w:r w:rsidR="000E562E" w:rsidRPr="003210A1">
        <w:rPr>
          <w:rFonts w:cs="Arial"/>
          <w:i/>
          <w:iCs/>
          <w:sz w:val="24"/>
        </w:rPr>
        <w:t>obligation</w:t>
      </w:r>
      <w:r w:rsidR="000E562E" w:rsidRPr="003210A1">
        <w:rPr>
          <w:rFonts w:cs="Arial"/>
          <w:sz w:val="24"/>
        </w:rPr>
        <w:t xml:space="preserve"> is important. A contractual right may ordinarily be freely ceded; </w:t>
      </w:r>
      <w:r w:rsidR="00FE7356">
        <w:rPr>
          <w:rFonts w:cs="Arial"/>
          <w:sz w:val="24"/>
        </w:rPr>
        <w:t xml:space="preserve">but </w:t>
      </w:r>
      <w:r w:rsidR="000E562E" w:rsidRPr="003210A1">
        <w:rPr>
          <w:rFonts w:cs="Arial"/>
          <w:sz w:val="24"/>
        </w:rPr>
        <w:t>a contractual obligation may not.</w:t>
      </w:r>
      <w:r w:rsidR="000E562E" w:rsidRPr="003210A1">
        <w:rPr>
          <w:rStyle w:val="FootnoteReference"/>
          <w:rFonts w:cs="Arial"/>
          <w:sz w:val="24"/>
        </w:rPr>
        <w:footnoteReference w:id="5"/>
      </w:r>
      <w:r w:rsidR="000E562E" w:rsidRPr="003210A1">
        <w:rPr>
          <w:rFonts w:cs="Arial"/>
          <w:sz w:val="24"/>
        </w:rPr>
        <w:t xml:space="preserve"> </w:t>
      </w:r>
    </w:p>
    <w:p w14:paraId="7829E05B" w14:textId="16B89FA7" w:rsidR="000E562E" w:rsidRPr="003210A1" w:rsidRDefault="00C03686" w:rsidP="00C03686">
      <w:pPr>
        <w:spacing w:after="480" w:line="480" w:lineRule="auto"/>
        <w:ind w:left="709" w:hanging="709"/>
        <w:rPr>
          <w:rFonts w:cs="Arial"/>
          <w:sz w:val="24"/>
        </w:rPr>
      </w:pPr>
      <w:r w:rsidRPr="003210A1">
        <w:rPr>
          <w:rFonts w:cs="Arial"/>
          <w:bCs/>
          <w:iCs/>
          <w:sz w:val="24"/>
        </w:rPr>
        <w:t>26.</w:t>
      </w:r>
      <w:r w:rsidRPr="003210A1">
        <w:rPr>
          <w:rFonts w:cs="Arial"/>
          <w:bCs/>
          <w:iCs/>
          <w:sz w:val="24"/>
        </w:rPr>
        <w:tab/>
      </w:r>
      <w:r w:rsidR="000E562E" w:rsidRPr="003210A1">
        <w:rPr>
          <w:rFonts w:cs="Arial"/>
          <w:sz w:val="24"/>
        </w:rPr>
        <w:t>A transfer of obligations may only be achieved by delegation, which requires the consent of the parties. A transfer of a right in terms of a contract, by way of a cession, does not automatically entail a transfer of the corresponding obligation, which remains intact unless validly delegated.</w:t>
      </w:r>
      <w:r w:rsidR="000E562E" w:rsidRPr="003210A1">
        <w:rPr>
          <w:rStyle w:val="FootnoteReference"/>
          <w:rFonts w:cs="Arial"/>
          <w:sz w:val="24"/>
        </w:rPr>
        <w:footnoteReference w:id="6"/>
      </w:r>
      <w:r w:rsidR="000E562E" w:rsidRPr="003210A1">
        <w:rPr>
          <w:rFonts w:cs="Arial"/>
          <w:sz w:val="24"/>
        </w:rPr>
        <w:t xml:space="preserve"> </w:t>
      </w:r>
    </w:p>
    <w:p w14:paraId="79910D00" w14:textId="77777777" w:rsidR="000E562E" w:rsidRPr="00522754" w:rsidRDefault="000E562E" w:rsidP="000E562E">
      <w:pPr>
        <w:pStyle w:val="WLGLevel1"/>
        <w:keepNext/>
        <w:numPr>
          <w:ilvl w:val="0"/>
          <w:numId w:val="0"/>
        </w:numPr>
        <w:suppressAutoHyphens w:val="0"/>
        <w:spacing w:before="0" w:after="480"/>
        <w:ind w:left="567" w:hanging="567"/>
        <w:rPr>
          <w:rFonts w:cs="Arial"/>
          <w:b/>
          <w:bCs/>
          <w:szCs w:val="24"/>
          <w:lang w:val="en-GB"/>
        </w:rPr>
      </w:pPr>
      <w:r w:rsidRPr="00522754">
        <w:rPr>
          <w:rFonts w:cs="Arial"/>
          <w:b/>
          <w:bCs/>
          <w:szCs w:val="24"/>
          <w:lang w:val="en-GB"/>
        </w:rPr>
        <w:lastRenderedPageBreak/>
        <w:t>THE ISSUES</w:t>
      </w:r>
    </w:p>
    <w:p w14:paraId="4CACA246" w14:textId="77777777" w:rsidR="000E562E" w:rsidRPr="00522754" w:rsidRDefault="000E562E" w:rsidP="000E562E">
      <w:pPr>
        <w:pStyle w:val="WLGLevel1"/>
        <w:keepNext/>
        <w:numPr>
          <w:ilvl w:val="0"/>
          <w:numId w:val="0"/>
        </w:numPr>
        <w:suppressAutoHyphens w:val="0"/>
        <w:spacing w:before="0" w:after="480"/>
        <w:rPr>
          <w:rFonts w:cs="Arial"/>
          <w:b/>
          <w:bCs/>
          <w:szCs w:val="24"/>
          <w:lang w:val="en-GB"/>
        </w:rPr>
      </w:pPr>
      <w:r w:rsidRPr="00522754">
        <w:rPr>
          <w:rFonts w:cs="Arial"/>
          <w:b/>
          <w:bCs/>
          <w:szCs w:val="24"/>
          <w:lang w:val="en-GB"/>
        </w:rPr>
        <w:t>Was there non-compliance with the Insolvency Act?</w:t>
      </w:r>
    </w:p>
    <w:p w14:paraId="15DA3937" w14:textId="05227A40" w:rsidR="000E562E" w:rsidRPr="00522754" w:rsidRDefault="00C03686" w:rsidP="00C03686">
      <w:pPr>
        <w:pStyle w:val="WLGLevel1"/>
        <w:numPr>
          <w:ilvl w:val="0"/>
          <w:numId w:val="0"/>
        </w:numPr>
        <w:suppressAutoHyphens w:val="0"/>
        <w:spacing w:before="0" w:after="480"/>
        <w:ind w:left="709" w:hanging="709"/>
        <w:rPr>
          <w:rFonts w:cs="Arial"/>
          <w:szCs w:val="24"/>
          <w:lang w:val="en-GB"/>
        </w:rPr>
      </w:pPr>
      <w:r w:rsidRPr="00522754">
        <w:rPr>
          <w:rFonts w:cs="Arial"/>
          <w:bCs/>
          <w:iCs/>
          <w:szCs w:val="24"/>
          <w:lang w:val="en-GB"/>
        </w:rPr>
        <w:t>27.</w:t>
      </w:r>
      <w:r w:rsidRPr="00522754">
        <w:rPr>
          <w:rFonts w:cs="Arial"/>
          <w:bCs/>
          <w:iCs/>
          <w:szCs w:val="24"/>
          <w:lang w:val="en-GB"/>
        </w:rPr>
        <w:tab/>
      </w:r>
      <w:r w:rsidR="000E562E" w:rsidRPr="00522754">
        <w:rPr>
          <w:rFonts w:cs="Arial"/>
          <w:szCs w:val="24"/>
          <w:lang w:val="en-GB"/>
        </w:rPr>
        <w:t xml:space="preserve">It was debated at the hearing whether </w:t>
      </w:r>
      <w:r w:rsidR="00A244FC">
        <w:rPr>
          <w:rFonts w:cs="Arial"/>
          <w:szCs w:val="24"/>
          <w:lang w:val="en-GB"/>
        </w:rPr>
        <w:t>the</w:t>
      </w:r>
      <w:r w:rsidR="00A244FC" w:rsidRPr="00522754">
        <w:rPr>
          <w:rFonts w:cs="Arial"/>
          <w:szCs w:val="24"/>
          <w:lang w:val="en-GB"/>
        </w:rPr>
        <w:t xml:space="preserve"> </w:t>
      </w:r>
      <w:r w:rsidR="000E562E" w:rsidRPr="00522754">
        <w:rPr>
          <w:rFonts w:cs="Arial"/>
          <w:szCs w:val="24"/>
          <w:lang w:val="en-GB"/>
        </w:rPr>
        <w:t>transfer of the contracts required prior publication in terms of section 34(1)</w:t>
      </w:r>
      <w:r w:rsidR="000E562E" w:rsidRPr="00522754">
        <w:rPr>
          <w:rStyle w:val="FootnoteReference"/>
          <w:rFonts w:cs="Arial"/>
          <w:szCs w:val="24"/>
        </w:rPr>
        <w:footnoteReference w:id="7"/>
      </w:r>
      <w:r w:rsidR="000E562E" w:rsidRPr="00522754">
        <w:rPr>
          <w:rFonts w:cs="Arial"/>
          <w:szCs w:val="24"/>
          <w:lang w:val="en-GB"/>
        </w:rPr>
        <w:t xml:space="preserve"> of the Insolvency Act. </w:t>
      </w:r>
    </w:p>
    <w:p w14:paraId="6FD1A807" w14:textId="39D395B1" w:rsidR="000E562E" w:rsidRPr="00522754" w:rsidRDefault="00C03686" w:rsidP="00C03686">
      <w:pPr>
        <w:pStyle w:val="WLGLevel1"/>
        <w:numPr>
          <w:ilvl w:val="0"/>
          <w:numId w:val="0"/>
        </w:numPr>
        <w:suppressAutoHyphens w:val="0"/>
        <w:spacing w:before="0" w:after="480"/>
        <w:ind w:left="709" w:hanging="709"/>
        <w:rPr>
          <w:rFonts w:cs="Arial"/>
          <w:szCs w:val="24"/>
          <w:lang w:val="en-GB"/>
        </w:rPr>
      </w:pPr>
      <w:r w:rsidRPr="00522754">
        <w:rPr>
          <w:rFonts w:cs="Arial"/>
          <w:bCs/>
          <w:iCs/>
          <w:szCs w:val="24"/>
          <w:lang w:val="en-GB"/>
        </w:rPr>
        <w:t>28.</w:t>
      </w:r>
      <w:r w:rsidRPr="00522754">
        <w:rPr>
          <w:rFonts w:cs="Arial"/>
          <w:bCs/>
          <w:iCs/>
          <w:szCs w:val="24"/>
          <w:lang w:val="en-GB"/>
        </w:rPr>
        <w:tab/>
      </w:r>
      <w:r w:rsidR="00F924D7">
        <w:rPr>
          <w:rFonts w:cs="Arial"/>
          <w:szCs w:val="24"/>
          <w:lang w:val="en-GB"/>
        </w:rPr>
        <w:t>T</w:t>
      </w:r>
      <w:r w:rsidR="000E562E" w:rsidRPr="00522754">
        <w:rPr>
          <w:rFonts w:cs="Arial"/>
          <w:szCs w:val="24"/>
          <w:lang w:val="en-GB"/>
        </w:rPr>
        <w:t xml:space="preserve">he parties’ representatives </w:t>
      </w:r>
      <w:r w:rsidR="00A42F7F">
        <w:rPr>
          <w:rFonts w:cs="Arial"/>
          <w:szCs w:val="24"/>
          <w:lang w:val="en-GB"/>
        </w:rPr>
        <w:t>were agreed</w:t>
      </w:r>
      <w:r w:rsidR="000E562E" w:rsidRPr="00522754">
        <w:rPr>
          <w:rFonts w:cs="Arial"/>
          <w:szCs w:val="24"/>
          <w:lang w:val="en-GB"/>
        </w:rPr>
        <w:t xml:space="preserve"> that, if the deed of cession brought about a disposal of </w:t>
      </w:r>
      <w:r w:rsidR="002E1BB0">
        <w:rPr>
          <w:rFonts w:cs="Arial"/>
          <w:szCs w:val="24"/>
          <w:lang w:val="en-GB"/>
        </w:rPr>
        <w:t xml:space="preserve">all or a substantial part of </w:t>
      </w:r>
      <w:r w:rsidR="000E562E" w:rsidRPr="00522754">
        <w:rPr>
          <w:rFonts w:cs="Arial"/>
          <w:szCs w:val="24"/>
          <w:lang w:val="en-GB"/>
        </w:rPr>
        <w:t xml:space="preserve">the applicant’s business, then publication in terms of section 34(1) </w:t>
      </w:r>
      <w:r w:rsidR="00DB7D7D">
        <w:rPr>
          <w:rFonts w:cs="Arial"/>
          <w:szCs w:val="24"/>
          <w:lang w:val="en-GB"/>
        </w:rPr>
        <w:t>was</w:t>
      </w:r>
      <w:r w:rsidR="000E562E" w:rsidRPr="00522754">
        <w:rPr>
          <w:rFonts w:cs="Arial"/>
          <w:szCs w:val="24"/>
          <w:lang w:val="en-GB"/>
        </w:rPr>
        <w:t xml:space="preserve"> required; and </w:t>
      </w:r>
      <w:r w:rsidR="000E562E" w:rsidRPr="00522754">
        <w:rPr>
          <w:rFonts w:cs="Arial"/>
          <w:i/>
          <w:iCs/>
          <w:szCs w:val="24"/>
          <w:lang w:val="en-GB"/>
        </w:rPr>
        <w:t>vice versa</w:t>
      </w:r>
      <w:r w:rsidR="000E562E" w:rsidRPr="00522754">
        <w:rPr>
          <w:rFonts w:cs="Arial"/>
          <w:szCs w:val="24"/>
          <w:lang w:val="en-GB"/>
        </w:rPr>
        <w:t>. But that debate – whether a transfer of the contracts constitute</w:t>
      </w:r>
      <w:r w:rsidR="00AA5D88">
        <w:rPr>
          <w:rFonts w:cs="Arial"/>
          <w:szCs w:val="24"/>
          <w:lang w:val="en-GB"/>
        </w:rPr>
        <w:t>s</w:t>
      </w:r>
      <w:r w:rsidR="000E562E" w:rsidRPr="00522754">
        <w:rPr>
          <w:rFonts w:cs="Arial"/>
          <w:szCs w:val="24"/>
          <w:lang w:val="en-GB"/>
        </w:rPr>
        <w:t xml:space="preserve"> </w:t>
      </w:r>
      <w:r w:rsidR="00E36CC6">
        <w:rPr>
          <w:rFonts w:cs="Arial"/>
          <w:szCs w:val="24"/>
          <w:lang w:val="en-GB"/>
        </w:rPr>
        <w:t xml:space="preserve">such </w:t>
      </w:r>
      <w:r w:rsidR="000E562E" w:rsidRPr="00522754">
        <w:rPr>
          <w:rFonts w:cs="Arial"/>
          <w:szCs w:val="24"/>
          <w:lang w:val="en-GB"/>
        </w:rPr>
        <w:t>a disposal – played itself out more fully in the context of the absence-of-authority</w:t>
      </w:r>
      <w:r w:rsidR="00E6212E">
        <w:rPr>
          <w:rFonts w:cs="Arial"/>
          <w:szCs w:val="24"/>
          <w:lang w:val="en-GB"/>
        </w:rPr>
        <w:t xml:space="preserve"> </w:t>
      </w:r>
      <w:r w:rsidR="000E562E" w:rsidRPr="00522754">
        <w:rPr>
          <w:rFonts w:cs="Arial"/>
          <w:szCs w:val="24"/>
          <w:lang w:val="en-GB"/>
        </w:rPr>
        <w:t xml:space="preserve">ground of invalidity; so </w:t>
      </w:r>
      <w:r w:rsidR="00E36CC6">
        <w:rPr>
          <w:rFonts w:cs="Arial"/>
          <w:szCs w:val="24"/>
          <w:lang w:val="en-GB"/>
        </w:rPr>
        <w:t>any</w:t>
      </w:r>
      <w:r w:rsidR="00E36CC6" w:rsidRPr="00522754">
        <w:rPr>
          <w:rFonts w:cs="Arial"/>
          <w:szCs w:val="24"/>
          <w:lang w:val="en-GB"/>
        </w:rPr>
        <w:t xml:space="preserve"> </w:t>
      </w:r>
      <w:r w:rsidR="000E562E" w:rsidRPr="00522754">
        <w:rPr>
          <w:rFonts w:cs="Arial"/>
          <w:szCs w:val="24"/>
          <w:lang w:val="en-GB"/>
        </w:rPr>
        <w:t xml:space="preserve">alleged non-compliance with section 34(1) does not require determination in this judgment. </w:t>
      </w:r>
    </w:p>
    <w:p w14:paraId="4369B9FC" w14:textId="22BFF981" w:rsidR="00F924D7" w:rsidRPr="00522754" w:rsidRDefault="00C03686" w:rsidP="00C03686">
      <w:pPr>
        <w:pStyle w:val="WLGLevel1"/>
        <w:numPr>
          <w:ilvl w:val="0"/>
          <w:numId w:val="0"/>
        </w:numPr>
        <w:suppressAutoHyphens w:val="0"/>
        <w:spacing w:before="0" w:after="480"/>
        <w:ind w:left="709" w:hanging="709"/>
        <w:rPr>
          <w:rFonts w:cs="Arial"/>
          <w:szCs w:val="24"/>
          <w:lang w:val="en-GB"/>
        </w:rPr>
      </w:pPr>
      <w:r w:rsidRPr="00522754">
        <w:rPr>
          <w:rFonts w:cs="Arial"/>
          <w:bCs/>
          <w:iCs/>
          <w:szCs w:val="24"/>
          <w:lang w:val="en-GB"/>
        </w:rPr>
        <w:lastRenderedPageBreak/>
        <w:t>29.</w:t>
      </w:r>
      <w:r w:rsidRPr="00522754">
        <w:rPr>
          <w:rFonts w:cs="Arial"/>
          <w:bCs/>
          <w:iCs/>
          <w:szCs w:val="24"/>
          <w:lang w:val="en-GB"/>
        </w:rPr>
        <w:tab/>
      </w:r>
      <w:r w:rsidR="00F924D7" w:rsidRPr="00522754">
        <w:rPr>
          <w:rFonts w:cs="Arial"/>
          <w:szCs w:val="24"/>
          <w:lang w:val="en-GB"/>
        </w:rPr>
        <w:t xml:space="preserve">It was </w:t>
      </w:r>
      <w:r w:rsidR="001557C9">
        <w:rPr>
          <w:rFonts w:cs="Arial"/>
          <w:szCs w:val="24"/>
          <w:lang w:val="en-GB"/>
        </w:rPr>
        <w:t>also</w:t>
      </w:r>
      <w:r w:rsidR="001B0826">
        <w:rPr>
          <w:rFonts w:cs="Arial"/>
          <w:szCs w:val="24"/>
          <w:lang w:val="en-GB"/>
        </w:rPr>
        <w:t xml:space="preserve"> </w:t>
      </w:r>
      <w:r w:rsidR="00F924D7" w:rsidRPr="00522754">
        <w:rPr>
          <w:rFonts w:cs="Arial"/>
          <w:szCs w:val="24"/>
          <w:lang w:val="en-GB"/>
        </w:rPr>
        <w:t xml:space="preserve">debated whether </w:t>
      </w:r>
      <w:r w:rsidR="00F924D7">
        <w:rPr>
          <w:rFonts w:cs="Arial"/>
          <w:szCs w:val="24"/>
          <w:lang w:val="en-GB"/>
        </w:rPr>
        <w:t>the</w:t>
      </w:r>
      <w:r w:rsidR="00F924D7" w:rsidRPr="00522754">
        <w:rPr>
          <w:rFonts w:cs="Arial"/>
          <w:szCs w:val="24"/>
          <w:lang w:val="en-GB"/>
        </w:rPr>
        <w:t xml:space="preserve"> transfer of the contracts </w:t>
      </w:r>
      <w:r w:rsidR="00F924D7">
        <w:rPr>
          <w:rFonts w:cs="Arial"/>
          <w:szCs w:val="24"/>
          <w:lang w:val="en-GB"/>
        </w:rPr>
        <w:t>is</w:t>
      </w:r>
      <w:r w:rsidR="00F924D7" w:rsidRPr="00522754">
        <w:rPr>
          <w:rFonts w:cs="Arial"/>
          <w:szCs w:val="24"/>
          <w:lang w:val="en-GB"/>
        </w:rPr>
        <w:t xml:space="preserve"> voidable under section 26(1)</w:t>
      </w:r>
      <w:r w:rsidR="00F924D7" w:rsidRPr="00522754">
        <w:rPr>
          <w:rStyle w:val="FootnoteReference"/>
          <w:rFonts w:cs="Arial"/>
          <w:szCs w:val="24"/>
        </w:rPr>
        <w:footnoteReference w:id="8"/>
      </w:r>
      <w:r w:rsidR="00F924D7" w:rsidRPr="00522754">
        <w:rPr>
          <w:rFonts w:cs="Arial"/>
          <w:szCs w:val="24"/>
          <w:lang w:val="en-GB"/>
        </w:rPr>
        <w:t xml:space="preserve"> </w:t>
      </w:r>
      <w:r w:rsidR="000E2A18" w:rsidRPr="00522754">
        <w:rPr>
          <w:rFonts w:cs="Arial"/>
          <w:szCs w:val="24"/>
          <w:lang w:val="en-GB"/>
        </w:rPr>
        <w:t>of the Insolvency Act</w:t>
      </w:r>
      <w:r w:rsidR="00F924D7" w:rsidRPr="00522754">
        <w:rPr>
          <w:rFonts w:cs="Arial"/>
          <w:szCs w:val="24"/>
          <w:lang w:val="en-GB"/>
        </w:rPr>
        <w:t xml:space="preserve">. </w:t>
      </w:r>
    </w:p>
    <w:p w14:paraId="3CCD46B6" w14:textId="3C65A6E2" w:rsidR="00521212" w:rsidRDefault="00C03686" w:rsidP="00C03686">
      <w:pPr>
        <w:pStyle w:val="WLGLevel1"/>
        <w:numPr>
          <w:ilvl w:val="0"/>
          <w:numId w:val="0"/>
        </w:numPr>
        <w:suppressAutoHyphens w:val="0"/>
        <w:spacing w:before="0" w:after="480"/>
        <w:ind w:left="709" w:hanging="709"/>
        <w:rPr>
          <w:rFonts w:cs="Arial"/>
          <w:szCs w:val="24"/>
          <w:lang w:val="en-GB"/>
        </w:rPr>
      </w:pPr>
      <w:r>
        <w:rPr>
          <w:rFonts w:cs="Arial"/>
          <w:bCs/>
          <w:iCs/>
          <w:szCs w:val="24"/>
          <w:lang w:val="en-GB"/>
        </w:rPr>
        <w:t>30.</w:t>
      </w:r>
      <w:r>
        <w:rPr>
          <w:rFonts w:cs="Arial"/>
          <w:bCs/>
          <w:iCs/>
          <w:szCs w:val="24"/>
          <w:lang w:val="en-GB"/>
        </w:rPr>
        <w:tab/>
      </w:r>
      <w:r w:rsidR="000E562E" w:rsidRPr="00522754">
        <w:rPr>
          <w:rFonts w:cs="Arial"/>
          <w:szCs w:val="24"/>
          <w:lang w:val="en-GB"/>
        </w:rPr>
        <w:t xml:space="preserve">I understood Ms Naydenova, who appeared for the applicant, </w:t>
      </w:r>
      <w:r w:rsidR="00341110" w:rsidRPr="00522754">
        <w:rPr>
          <w:rFonts w:cs="Arial"/>
          <w:szCs w:val="24"/>
          <w:lang w:val="en-GB"/>
        </w:rPr>
        <w:t>ultimate</w:t>
      </w:r>
      <w:r w:rsidR="00341110">
        <w:rPr>
          <w:rFonts w:cs="Arial"/>
          <w:szCs w:val="24"/>
          <w:lang w:val="en-GB"/>
        </w:rPr>
        <w:t>ly</w:t>
      </w:r>
      <w:r w:rsidR="00341110" w:rsidRPr="00522754">
        <w:rPr>
          <w:rFonts w:cs="Arial"/>
          <w:szCs w:val="24"/>
          <w:lang w:val="en-GB"/>
        </w:rPr>
        <w:t xml:space="preserve"> </w:t>
      </w:r>
      <w:r w:rsidR="000E562E" w:rsidRPr="00522754">
        <w:rPr>
          <w:rFonts w:cs="Arial"/>
          <w:szCs w:val="24"/>
          <w:lang w:val="en-GB"/>
        </w:rPr>
        <w:t xml:space="preserve">to accept that, since the applicant is not in liquidation, a </w:t>
      </w:r>
      <w:r w:rsidR="00B122BC">
        <w:rPr>
          <w:rFonts w:cs="Arial"/>
          <w:szCs w:val="24"/>
          <w:lang w:val="en-GB"/>
        </w:rPr>
        <w:t xml:space="preserve">section 26(1) </w:t>
      </w:r>
      <w:r w:rsidR="000E562E" w:rsidRPr="00522754">
        <w:rPr>
          <w:rFonts w:cs="Arial"/>
          <w:szCs w:val="24"/>
          <w:lang w:val="en-GB"/>
        </w:rPr>
        <w:t xml:space="preserve">disposition without value does not </w:t>
      </w:r>
      <w:r w:rsidR="00C62AFC">
        <w:rPr>
          <w:rFonts w:cs="Arial"/>
          <w:szCs w:val="24"/>
          <w:lang w:val="en-GB"/>
        </w:rPr>
        <w:t>require</w:t>
      </w:r>
      <w:r w:rsidR="000E562E" w:rsidRPr="00522754">
        <w:rPr>
          <w:rFonts w:cs="Arial"/>
          <w:szCs w:val="24"/>
          <w:lang w:val="en-GB"/>
        </w:rPr>
        <w:t xml:space="preserve"> consideration in this case. </w:t>
      </w:r>
    </w:p>
    <w:p w14:paraId="59280575" w14:textId="06531552" w:rsidR="000E562E" w:rsidRPr="00522754" w:rsidRDefault="00C03686" w:rsidP="00C03686">
      <w:pPr>
        <w:pStyle w:val="WLGLevel1"/>
        <w:numPr>
          <w:ilvl w:val="0"/>
          <w:numId w:val="0"/>
        </w:numPr>
        <w:suppressAutoHyphens w:val="0"/>
        <w:spacing w:before="0" w:after="480"/>
        <w:ind w:left="709" w:hanging="709"/>
        <w:rPr>
          <w:rFonts w:cs="Arial"/>
          <w:szCs w:val="24"/>
          <w:lang w:val="en-GB"/>
        </w:rPr>
      </w:pPr>
      <w:r w:rsidRPr="00522754">
        <w:rPr>
          <w:rFonts w:cs="Arial"/>
          <w:bCs/>
          <w:iCs/>
          <w:szCs w:val="24"/>
          <w:lang w:val="en-GB"/>
        </w:rPr>
        <w:t>31.</w:t>
      </w:r>
      <w:r w:rsidRPr="00522754">
        <w:rPr>
          <w:rFonts w:cs="Arial"/>
          <w:bCs/>
          <w:iCs/>
          <w:szCs w:val="24"/>
          <w:lang w:val="en-GB"/>
        </w:rPr>
        <w:tab/>
      </w:r>
      <w:r w:rsidR="00E8283F">
        <w:rPr>
          <w:rFonts w:cs="Arial"/>
          <w:szCs w:val="24"/>
          <w:lang w:val="en-GB"/>
        </w:rPr>
        <w:t>It was similarly accepted by Ms Naydenova</w:t>
      </w:r>
      <w:r w:rsidR="000E562E" w:rsidRPr="00522754">
        <w:rPr>
          <w:rFonts w:cs="Arial"/>
          <w:szCs w:val="24"/>
          <w:lang w:val="en-GB"/>
        </w:rPr>
        <w:t xml:space="preserve"> that allegations of an ulterior purpose in the form of a scheme to side-step creditors are </w:t>
      </w:r>
      <w:r w:rsidR="00E8283F">
        <w:rPr>
          <w:rFonts w:cs="Arial"/>
          <w:szCs w:val="24"/>
          <w:lang w:val="en-GB"/>
        </w:rPr>
        <w:t xml:space="preserve">disputed and thus </w:t>
      </w:r>
      <w:r w:rsidR="000E562E" w:rsidRPr="00522754">
        <w:rPr>
          <w:rFonts w:cs="Arial"/>
          <w:szCs w:val="24"/>
          <w:lang w:val="en-GB"/>
        </w:rPr>
        <w:t xml:space="preserve">unsustainable on the papers. </w:t>
      </w:r>
      <w:r w:rsidR="00E8283F">
        <w:rPr>
          <w:rFonts w:cs="Arial"/>
          <w:szCs w:val="24"/>
          <w:lang w:val="en-GB"/>
        </w:rPr>
        <w:t>She</w:t>
      </w:r>
      <w:r w:rsidR="000E562E" w:rsidRPr="00522754">
        <w:rPr>
          <w:rFonts w:cs="Arial"/>
          <w:szCs w:val="24"/>
          <w:lang w:val="en-GB"/>
        </w:rPr>
        <w:t xml:space="preserve"> did not press for relief under this ground of invalidity.</w:t>
      </w:r>
    </w:p>
    <w:p w14:paraId="6F664F83" w14:textId="647C0EDD" w:rsidR="000E562E" w:rsidRPr="00522754" w:rsidRDefault="00C03686" w:rsidP="00C03686">
      <w:pPr>
        <w:pStyle w:val="WLGLevel1"/>
        <w:numPr>
          <w:ilvl w:val="0"/>
          <w:numId w:val="0"/>
        </w:numPr>
        <w:suppressAutoHyphens w:val="0"/>
        <w:spacing w:before="0" w:after="480"/>
        <w:ind w:left="709" w:hanging="709"/>
        <w:rPr>
          <w:rFonts w:cs="Arial"/>
          <w:szCs w:val="24"/>
          <w:lang w:val="en-GB"/>
        </w:rPr>
      </w:pPr>
      <w:r w:rsidRPr="00522754">
        <w:rPr>
          <w:rFonts w:cs="Arial"/>
          <w:bCs/>
          <w:iCs/>
          <w:szCs w:val="24"/>
          <w:lang w:val="en-GB"/>
        </w:rPr>
        <w:t>32.</w:t>
      </w:r>
      <w:r w:rsidRPr="00522754">
        <w:rPr>
          <w:rFonts w:cs="Arial"/>
          <w:bCs/>
          <w:iCs/>
          <w:szCs w:val="24"/>
          <w:lang w:val="en-GB"/>
        </w:rPr>
        <w:tab/>
      </w:r>
      <w:r w:rsidR="000E562E" w:rsidRPr="00522754">
        <w:rPr>
          <w:rFonts w:cs="Arial"/>
          <w:szCs w:val="24"/>
          <w:lang w:val="en-GB"/>
        </w:rPr>
        <w:t xml:space="preserve">In the circumstances, given what is discussed and decided in paragraphs </w:t>
      </w:r>
      <w:r w:rsidR="000E562E" w:rsidRPr="00522754">
        <w:rPr>
          <w:rFonts w:cs="Arial"/>
          <w:szCs w:val="24"/>
          <w:lang w:val="en-GB"/>
        </w:rPr>
        <w:fldChar w:fldCharType="begin"/>
      </w:r>
      <w:r w:rsidR="000E562E" w:rsidRPr="00522754">
        <w:rPr>
          <w:rFonts w:cs="Arial"/>
          <w:szCs w:val="24"/>
          <w:lang w:val="en-GB"/>
        </w:rPr>
        <w:instrText xml:space="preserve"> REF _Ref137929860 \r \h </w:instrText>
      </w:r>
      <w:r w:rsidR="00522754" w:rsidRPr="00522754">
        <w:rPr>
          <w:rFonts w:cs="Arial"/>
          <w:szCs w:val="24"/>
          <w:lang w:val="en-GB"/>
        </w:rPr>
        <w:instrText xml:space="preserve"> \* MERGEFORMAT </w:instrText>
      </w:r>
      <w:r w:rsidR="000E562E" w:rsidRPr="00522754">
        <w:rPr>
          <w:rFonts w:cs="Arial"/>
          <w:szCs w:val="24"/>
          <w:lang w:val="en-GB"/>
        </w:rPr>
      </w:r>
      <w:r w:rsidR="000E562E" w:rsidRPr="00522754">
        <w:rPr>
          <w:rFonts w:cs="Arial"/>
          <w:szCs w:val="24"/>
          <w:lang w:val="en-GB"/>
        </w:rPr>
        <w:fldChar w:fldCharType="separate"/>
      </w:r>
      <w:r w:rsidR="00B7698E">
        <w:rPr>
          <w:rFonts w:cs="Arial"/>
          <w:szCs w:val="24"/>
          <w:lang w:val="en-GB"/>
        </w:rPr>
        <w:t>39</w:t>
      </w:r>
      <w:r w:rsidR="000E562E" w:rsidRPr="00522754">
        <w:rPr>
          <w:rFonts w:cs="Arial"/>
          <w:szCs w:val="24"/>
          <w:lang w:val="en-GB"/>
        </w:rPr>
        <w:fldChar w:fldCharType="end"/>
      </w:r>
      <w:r w:rsidR="000E562E" w:rsidRPr="00522754">
        <w:rPr>
          <w:rFonts w:cs="Arial"/>
          <w:szCs w:val="24"/>
          <w:lang w:val="en-GB"/>
        </w:rPr>
        <w:t xml:space="preserve"> to </w:t>
      </w:r>
      <w:r w:rsidR="00971F01">
        <w:rPr>
          <w:rFonts w:cs="Arial"/>
          <w:szCs w:val="24"/>
          <w:lang w:val="en-GB"/>
        </w:rPr>
        <w:fldChar w:fldCharType="begin"/>
      </w:r>
      <w:r w:rsidR="00971F01">
        <w:rPr>
          <w:rFonts w:cs="Arial"/>
          <w:szCs w:val="24"/>
          <w:lang w:val="en-GB"/>
        </w:rPr>
        <w:instrText xml:space="preserve"> REF _Ref138065409 \r \p \h </w:instrText>
      </w:r>
      <w:r w:rsidR="00971F01">
        <w:rPr>
          <w:rFonts w:cs="Arial"/>
          <w:szCs w:val="24"/>
          <w:lang w:val="en-GB"/>
        </w:rPr>
      </w:r>
      <w:r w:rsidR="00971F01">
        <w:rPr>
          <w:rFonts w:cs="Arial"/>
          <w:szCs w:val="24"/>
          <w:lang w:val="en-GB"/>
        </w:rPr>
        <w:fldChar w:fldCharType="separate"/>
      </w:r>
      <w:r w:rsidR="00B7698E">
        <w:rPr>
          <w:rFonts w:cs="Arial"/>
          <w:szCs w:val="24"/>
          <w:lang w:val="en-GB"/>
        </w:rPr>
        <w:t>50 below</w:t>
      </w:r>
      <w:r w:rsidR="00971F01">
        <w:rPr>
          <w:rFonts w:cs="Arial"/>
          <w:szCs w:val="24"/>
          <w:lang w:val="en-GB"/>
        </w:rPr>
        <w:fldChar w:fldCharType="end"/>
      </w:r>
      <w:r w:rsidR="000E562E" w:rsidRPr="00522754">
        <w:rPr>
          <w:rFonts w:cs="Arial"/>
          <w:szCs w:val="24"/>
          <w:lang w:val="en-GB"/>
        </w:rPr>
        <w:t>, it is unnecessary to make a finding in relation to any alleged non-compliance with the Insolvency Act.</w:t>
      </w:r>
    </w:p>
    <w:p w14:paraId="43055804" w14:textId="77777777" w:rsidR="000E562E" w:rsidRPr="00522754" w:rsidRDefault="000E562E" w:rsidP="000E562E">
      <w:pPr>
        <w:pStyle w:val="WLGLevel1"/>
        <w:keepNext/>
        <w:numPr>
          <w:ilvl w:val="0"/>
          <w:numId w:val="0"/>
        </w:numPr>
        <w:suppressAutoHyphens w:val="0"/>
        <w:spacing w:before="0" w:after="480"/>
        <w:rPr>
          <w:rFonts w:cs="Arial"/>
          <w:b/>
          <w:bCs/>
          <w:szCs w:val="24"/>
          <w:lang w:val="en-GB"/>
        </w:rPr>
      </w:pPr>
      <w:r w:rsidRPr="00522754">
        <w:rPr>
          <w:rFonts w:cs="Arial"/>
          <w:b/>
          <w:bCs/>
          <w:szCs w:val="24"/>
          <w:lang w:val="en-GB"/>
        </w:rPr>
        <w:lastRenderedPageBreak/>
        <w:t>Was there non-compliance with the Matrimonial Property Act?</w:t>
      </w:r>
    </w:p>
    <w:p w14:paraId="3F0E5C02" w14:textId="7D0FDC1C" w:rsidR="000E562E" w:rsidRPr="00522754" w:rsidRDefault="00C03686" w:rsidP="00C03686">
      <w:pPr>
        <w:pStyle w:val="WLGLevel1"/>
        <w:numPr>
          <w:ilvl w:val="0"/>
          <w:numId w:val="0"/>
        </w:numPr>
        <w:suppressAutoHyphens w:val="0"/>
        <w:spacing w:before="0" w:after="480"/>
        <w:ind w:left="709" w:hanging="709"/>
        <w:rPr>
          <w:rFonts w:cs="Arial"/>
          <w:szCs w:val="24"/>
          <w:lang w:val="en-GB"/>
        </w:rPr>
      </w:pPr>
      <w:r w:rsidRPr="00522754">
        <w:rPr>
          <w:rFonts w:cs="Arial"/>
          <w:bCs/>
          <w:iCs/>
          <w:szCs w:val="24"/>
          <w:lang w:val="en-GB"/>
        </w:rPr>
        <w:t>33.</w:t>
      </w:r>
      <w:r w:rsidRPr="00522754">
        <w:rPr>
          <w:rFonts w:cs="Arial"/>
          <w:bCs/>
          <w:iCs/>
          <w:szCs w:val="24"/>
          <w:lang w:val="en-GB"/>
        </w:rPr>
        <w:tab/>
      </w:r>
      <w:r w:rsidR="000E562E" w:rsidRPr="00522754">
        <w:rPr>
          <w:rFonts w:cs="Arial"/>
          <w:szCs w:val="24"/>
          <w:lang w:val="en-GB"/>
        </w:rPr>
        <w:t xml:space="preserve">Although there was debate at the hearing whether the Jacksons’ matrimonial property regime is determinable on the papers, a marriage in community of property may, for present purposes, be assumed in favour of the applicant. </w:t>
      </w:r>
    </w:p>
    <w:p w14:paraId="24EC884D" w14:textId="214F5F83" w:rsidR="000E562E" w:rsidRPr="00522754" w:rsidRDefault="00C03686" w:rsidP="00C03686">
      <w:pPr>
        <w:pStyle w:val="WLGLevel1"/>
        <w:numPr>
          <w:ilvl w:val="0"/>
          <w:numId w:val="0"/>
        </w:numPr>
        <w:suppressAutoHyphens w:val="0"/>
        <w:spacing w:before="0" w:after="480"/>
        <w:ind w:left="709" w:hanging="709"/>
        <w:rPr>
          <w:rFonts w:cs="Arial"/>
          <w:szCs w:val="24"/>
          <w:lang w:val="en-GB"/>
        </w:rPr>
      </w:pPr>
      <w:r w:rsidRPr="00522754">
        <w:rPr>
          <w:rFonts w:cs="Arial"/>
          <w:bCs/>
          <w:iCs/>
          <w:szCs w:val="24"/>
          <w:lang w:val="en-GB"/>
        </w:rPr>
        <w:t>34.</w:t>
      </w:r>
      <w:r w:rsidRPr="00522754">
        <w:rPr>
          <w:rFonts w:cs="Arial"/>
          <w:bCs/>
          <w:iCs/>
          <w:szCs w:val="24"/>
          <w:lang w:val="en-GB"/>
        </w:rPr>
        <w:tab/>
      </w:r>
      <w:r w:rsidR="000E562E" w:rsidRPr="00522754">
        <w:rPr>
          <w:rFonts w:cs="Arial"/>
          <w:szCs w:val="24"/>
          <w:lang w:val="en-GB"/>
        </w:rPr>
        <w:t>Mr Kloek, who appeared for the respondents, submitted that section 15(3)(c)</w:t>
      </w:r>
      <w:r w:rsidR="000E562E" w:rsidRPr="00522754">
        <w:rPr>
          <w:rStyle w:val="FootnoteReference"/>
          <w:rFonts w:cs="Arial"/>
          <w:szCs w:val="24"/>
        </w:rPr>
        <w:footnoteReference w:id="9"/>
      </w:r>
      <w:r w:rsidR="000E562E" w:rsidRPr="00522754">
        <w:rPr>
          <w:rFonts w:cs="Arial"/>
          <w:szCs w:val="24"/>
          <w:lang w:val="en-GB"/>
        </w:rPr>
        <w:t xml:space="preserve"> of the Matrimonial Property Act applies only to assets falling within a joint estate – such as shares in a company – but not to assets held, for example, by a company whose shares fall within the estate. So, even if a transfer of contracts constitute</w:t>
      </w:r>
      <w:r w:rsidR="00AA5D88">
        <w:rPr>
          <w:rFonts w:cs="Arial"/>
          <w:szCs w:val="24"/>
          <w:lang w:val="en-GB"/>
        </w:rPr>
        <w:t>s</w:t>
      </w:r>
      <w:r w:rsidR="000E562E" w:rsidRPr="00522754">
        <w:rPr>
          <w:rFonts w:cs="Arial"/>
          <w:szCs w:val="24"/>
          <w:lang w:val="en-GB"/>
        </w:rPr>
        <w:t xml:space="preserve"> a disposal of the applicant’s business, it would not be voidable under the Matrimonial Property Act since </w:t>
      </w:r>
      <w:r w:rsidR="00635823">
        <w:rPr>
          <w:rFonts w:cs="Arial"/>
          <w:szCs w:val="24"/>
          <w:lang w:val="en-GB"/>
        </w:rPr>
        <w:t>the</w:t>
      </w:r>
      <w:r w:rsidR="00635823" w:rsidRPr="00522754">
        <w:rPr>
          <w:rFonts w:cs="Arial"/>
          <w:szCs w:val="24"/>
          <w:lang w:val="en-GB"/>
        </w:rPr>
        <w:t xml:space="preserve"> </w:t>
      </w:r>
      <w:r w:rsidR="000E562E" w:rsidRPr="00522754">
        <w:rPr>
          <w:rFonts w:cs="Arial"/>
          <w:szCs w:val="24"/>
          <w:lang w:val="en-GB"/>
        </w:rPr>
        <w:t xml:space="preserve">contracts were not assets of the Jacksons’ estate. </w:t>
      </w:r>
    </w:p>
    <w:p w14:paraId="2135C811" w14:textId="3B0DF3D1" w:rsidR="000E562E" w:rsidRPr="00522754" w:rsidRDefault="00C03686" w:rsidP="00C03686">
      <w:pPr>
        <w:pStyle w:val="WLGLevel1"/>
        <w:numPr>
          <w:ilvl w:val="0"/>
          <w:numId w:val="0"/>
        </w:numPr>
        <w:suppressAutoHyphens w:val="0"/>
        <w:spacing w:before="0" w:after="480"/>
        <w:ind w:left="709" w:hanging="709"/>
        <w:rPr>
          <w:rFonts w:cs="Arial"/>
          <w:szCs w:val="24"/>
          <w:lang w:val="en-GB"/>
        </w:rPr>
      </w:pPr>
      <w:r w:rsidRPr="00522754">
        <w:rPr>
          <w:rFonts w:cs="Arial"/>
          <w:bCs/>
          <w:iCs/>
          <w:szCs w:val="24"/>
          <w:lang w:val="en-GB"/>
        </w:rPr>
        <w:t>35.</w:t>
      </w:r>
      <w:r w:rsidRPr="00522754">
        <w:rPr>
          <w:rFonts w:cs="Arial"/>
          <w:bCs/>
          <w:iCs/>
          <w:szCs w:val="24"/>
          <w:lang w:val="en-GB"/>
        </w:rPr>
        <w:tab/>
      </w:r>
      <w:r w:rsidR="000E562E" w:rsidRPr="00522754">
        <w:rPr>
          <w:rFonts w:cs="Arial"/>
          <w:szCs w:val="24"/>
          <w:lang w:val="en-GB"/>
        </w:rPr>
        <w:t>In response, Ms Naydenova argued that such a narrow interpretation of section 15(3)(c) would ignore the purpose of the provision. On the basis that a transfer of the contracts would impact the value of a 51% shareholding in the applicant, she urged on this court a substance-over-form approach to this ground of invalidity.</w:t>
      </w:r>
    </w:p>
    <w:p w14:paraId="274902B4" w14:textId="23241A34" w:rsidR="000E562E" w:rsidRPr="00522754" w:rsidRDefault="00C03686" w:rsidP="00C03686">
      <w:pPr>
        <w:pStyle w:val="WLGLevel1"/>
        <w:numPr>
          <w:ilvl w:val="0"/>
          <w:numId w:val="0"/>
        </w:numPr>
        <w:suppressAutoHyphens w:val="0"/>
        <w:spacing w:before="0" w:after="480"/>
        <w:ind w:left="709" w:hanging="709"/>
        <w:rPr>
          <w:rFonts w:cs="Arial"/>
          <w:szCs w:val="24"/>
          <w:lang w:val="en-GB"/>
        </w:rPr>
      </w:pPr>
      <w:r w:rsidRPr="00522754">
        <w:rPr>
          <w:rFonts w:cs="Arial"/>
          <w:bCs/>
          <w:iCs/>
          <w:szCs w:val="24"/>
          <w:lang w:val="en-GB"/>
        </w:rPr>
        <w:lastRenderedPageBreak/>
        <w:t>36.</w:t>
      </w:r>
      <w:r w:rsidRPr="00522754">
        <w:rPr>
          <w:rFonts w:cs="Arial"/>
          <w:bCs/>
          <w:iCs/>
          <w:szCs w:val="24"/>
          <w:lang w:val="en-GB"/>
        </w:rPr>
        <w:tab/>
      </w:r>
      <w:r w:rsidR="000E562E" w:rsidRPr="00522754">
        <w:rPr>
          <w:rFonts w:cs="Arial"/>
          <w:szCs w:val="24"/>
          <w:lang w:val="en-GB"/>
        </w:rPr>
        <w:t xml:space="preserve">In my assessment, neither side </w:t>
      </w:r>
      <w:r w:rsidR="00817642">
        <w:rPr>
          <w:rFonts w:cs="Arial"/>
          <w:szCs w:val="24"/>
          <w:lang w:val="en-GB"/>
        </w:rPr>
        <w:t>focussed</w:t>
      </w:r>
      <w:r w:rsidR="00817642" w:rsidRPr="00522754">
        <w:rPr>
          <w:rFonts w:cs="Arial"/>
          <w:szCs w:val="24"/>
          <w:lang w:val="en-GB"/>
        </w:rPr>
        <w:t xml:space="preserve"> </w:t>
      </w:r>
      <w:r w:rsidR="000E562E" w:rsidRPr="00522754">
        <w:rPr>
          <w:rFonts w:cs="Arial"/>
          <w:szCs w:val="24"/>
          <w:lang w:val="en-GB"/>
        </w:rPr>
        <w:t xml:space="preserve">attention </w:t>
      </w:r>
      <w:r w:rsidR="00817642">
        <w:rPr>
          <w:rFonts w:cs="Arial"/>
          <w:szCs w:val="24"/>
          <w:lang w:val="en-GB"/>
        </w:rPr>
        <w:t>on its</w:t>
      </w:r>
      <w:r w:rsidR="000E562E" w:rsidRPr="00522754">
        <w:rPr>
          <w:rFonts w:cs="Arial"/>
          <w:szCs w:val="24"/>
          <w:lang w:val="en-GB"/>
        </w:rPr>
        <w:t xml:space="preserve"> submissions on this score and </w:t>
      </w:r>
      <w:r w:rsidR="00817642">
        <w:rPr>
          <w:rFonts w:cs="Arial"/>
          <w:szCs w:val="24"/>
          <w:lang w:val="en-GB"/>
        </w:rPr>
        <w:t>I</w:t>
      </w:r>
      <w:r w:rsidR="000E562E" w:rsidRPr="00522754">
        <w:rPr>
          <w:rFonts w:cs="Arial"/>
          <w:szCs w:val="24"/>
          <w:lang w:val="en-GB"/>
        </w:rPr>
        <w:t xml:space="preserve"> was not referred to what other courts may have considered or decided in similar cases. Be that as it may, given what is discussed and decided in </w:t>
      </w:r>
      <w:r w:rsidR="00971F01" w:rsidRPr="00522754">
        <w:rPr>
          <w:rFonts w:cs="Arial"/>
          <w:szCs w:val="24"/>
          <w:lang w:val="en-GB"/>
        </w:rPr>
        <w:t xml:space="preserve">paragraphs </w:t>
      </w:r>
      <w:r w:rsidR="00971F01" w:rsidRPr="00522754">
        <w:rPr>
          <w:rFonts w:cs="Arial"/>
          <w:szCs w:val="24"/>
          <w:lang w:val="en-GB"/>
        </w:rPr>
        <w:fldChar w:fldCharType="begin"/>
      </w:r>
      <w:r w:rsidR="00971F01" w:rsidRPr="00522754">
        <w:rPr>
          <w:rFonts w:cs="Arial"/>
          <w:szCs w:val="24"/>
          <w:lang w:val="en-GB"/>
        </w:rPr>
        <w:instrText xml:space="preserve"> REF _Ref137929860 \r \h  \* MERGEFORMAT </w:instrText>
      </w:r>
      <w:r w:rsidR="00971F01" w:rsidRPr="00522754">
        <w:rPr>
          <w:rFonts w:cs="Arial"/>
          <w:szCs w:val="24"/>
          <w:lang w:val="en-GB"/>
        </w:rPr>
      </w:r>
      <w:r w:rsidR="00971F01" w:rsidRPr="00522754">
        <w:rPr>
          <w:rFonts w:cs="Arial"/>
          <w:szCs w:val="24"/>
          <w:lang w:val="en-GB"/>
        </w:rPr>
        <w:fldChar w:fldCharType="separate"/>
      </w:r>
      <w:r w:rsidR="00B7698E">
        <w:rPr>
          <w:rFonts w:cs="Arial"/>
          <w:szCs w:val="24"/>
          <w:lang w:val="en-GB"/>
        </w:rPr>
        <w:t>39</w:t>
      </w:r>
      <w:r w:rsidR="00971F01" w:rsidRPr="00522754">
        <w:rPr>
          <w:rFonts w:cs="Arial"/>
          <w:szCs w:val="24"/>
          <w:lang w:val="en-GB"/>
        </w:rPr>
        <w:fldChar w:fldCharType="end"/>
      </w:r>
      <w:r w:rsidR="00971F01" w:rsidRPr="00522754">
        <w:rPr>
          <w:rFonts w:cs="Arial"/>
          <w:szCs w:val="24"/>
          <w:lang w:val="en-GB"/>
        </w:rPr>
        <w:t xml:space="preserve"> to </w:t>
      </w:r>
      <w:r w:rsidR="00971F01">
        <w:rPr>
          <w:rFonts w:cs="Arial"/>
          <w:szCs w:val="24"/>
          <w:lang w:val="en-GB"/>
        </w:rPr>
        <w:fldChar w:fldCharType="begin"/>
      </w:r>
      <w:r w:rsidR="00971F01">
        <w:rPr>
          <w:rFonts w:cs="Arial"/>
          <w:szCs w:val="24"/>
          <w:lang w:val="en-GB"/>
        </w:rPr>
        <w:instrText xml:space="preserve"> REF _Ref138065409 \r \p \h </w:instrText>
      </w:r>
      <w:r w:rsidR="00971F01">
        <w:rPr>
          <w:rFonts w:cs="Arial"/>
          <w:szCs w:val="24"/>
          <w:lang w:val="en-GB"/>
        </w:rPr>
      </w:r>
      <w:r w:rsidR="00971F01">
        <w:rPr>
          <w:rFonts w:cs="Arial"/>
          <w:szCs w:val="24"/>
          <w:lang w:val="en-GB"/>
        </w:rPr>
        <w:fldChar w:fldCharType="separate"/>
      </w:r>
      <w:r w:rsidR="00B7698E">
        <w:rPr>
          <w:rFonts w:cs="Arial"/>
          <w:szCs w:val="24"/>
          <w:lang w:val="en-GB"/>
        </w:rPr>
        <w:t>50 below</w:t>
      </w:r>
      <w:r w:rsidR="00971F01">
        <w:rPr>
          <w:rFonts w:cs="Arial"/>
          <w:szCs w:val="24"/>
          <w:lang w:val="en-GB"/>
        </w:rPr>
        <w:fldChar w:fldCharType="end"/>
      </w:r>
      <w:r w:rsidR="000E562E" w:rsidRPr="00522754">
        <w:rPr>
          <w:rFonts w:cs="Arial"/>
          <w:szCs w:val="24"/>
          <w:lang w:val="en-GB"/>
        </w:rPr>
        <w:t xml:space="preserve">, it is unnecessary for </w:t>
      </w:r>
      <w:r w:rsidR="00160414">
        <w:rPr>
          <w:rFonts w:cs="Arial"/>
          <w:szCs w:val="24"/>
          <w:lang w:val="en-GB"/>
        </w:rPr>
        <w:t>me</w:t>
      </w:r>
      <w:r w:rsidR="000E562E" w:rsidRPr="00522754">
        <w:rPr>
          <w:rFonts w:cs="Arial"/>
          <w:szCs w:val="24"/>
          <w:lang w:val="en-GB"/>
        </w:rPr>
        <w:t xml:space="preserve"> to make a finding </w:t>
      </w:r>
      <w:r w:rsidR="00271EB2">
        <w:rPr>
          <w:rFonts w:cs="Arial"/>
          <w:szCs w:val="24"/>
          <w:lang w:val="en-GB"/>
        </w:rPr>
        <w:t>on</w:t>
      </w:r>
      <w:r w:rsidR="000E562E" w:rsidRPr="00522754">
        <w:rPr>
          <w:rFonts w:cs="Arial"/>
          <w:szCs w:val="24"/>
          <w:lang w:val="en-GB"/>
        </w:rPr>
        <w:t xml:space="preserve"> this ground of invalidity.</w:t>
      </w:r>
    </w:p>
    <w:p w14:paraId="36F974A7" w14:textId="77777777" w:rsidR="000E562E" w:rsidRPr="00522754" w:rsidRDefault="000E562E" w:rsidP="000E562E">
      <w:pPr>
        <w:pStyle w:val="WLGLevel1"/>
        <w:keepNext/>
        <w:numPr>
          <w:ilvl w:val="0"/>
          <w:numId w:val="0"/>
        </w:numPr>
        <w:suppressAutoHyphens w:val="0"/>
        <w:spacing w:before="0" w:after="480"/>
        <w:rPr>
          <w:rFonts w:cs="Arial"/>
          <w:b/>
          <w:bCs/>
          <w:szCs w:val="24"/>
          <w:lang w:val="en-GB"/>
        </w:rPr>
      </w:pPr>
      <w:r w:rsidRPr="00522754">
        <w:rPr>
          <w:rFonts w:cs="Arial"/>
          <w:b/>
          <w:bCs/>
          <w:szCs w:val="24"/>
          <w:lang w:val="en-GB"/>
        </w:rPr>
        <w:t>Was the deed of cession inchoate?</w:t>
      </w:r>
    </w:p>
    <w:p w14:paraId="1AFD0C87" w14:textId="0010E4BF" w:rsidR="000E562E" w:rsidRPr="00522754" w:rsidRDefault="00C03686" w:rsidP="00C03686">
      <w:pPr>
        <w:pStyle w:val="WLGLevel1"/>
        <w:numPr>
          <w:ilvl w:val="0"/>
          <w:numId w:val="0"/>
        </w:numPr>
        <w:suppressAutoHyphens w:val="0"/>
        <w:spacing w:before="0" w:after="480"/>
        <w:ind w:left="709" w:hanging="709"/>
        <w:rPr>
          <w:rFonts w:cs="Arial"/>
          <w:szCs w:val="24"/>
          <w:lang w:val="en-GB"/>
        </w:rPr>
      </w:pPr>
      <w:r w:rsidRPr="00522754">
        <w:rPr>
          <w:rFonts w:cs="Arial"/>
          <w:bCs/>
          <w:iCs/>
          <w:szCs w:val="24"/>
          <w:lang w:val="en-GB"/>
        </w:rPr>
        <w:t>37.</w:t>
      </w:r>
      <w:r w:rsidRPr="00522754">
        <w:rPr>
          <w:rFonts w:cs="Arial"/>
          <w:bCs/>
          <w:iCs/>
          <w:szCs w:val="24"/>
          <w:lang w:val="en-GB"/>
        </w:rPr>
        <w:tab/>
      </w:r>
      <w:r w:rsidR="000E562E" w:rsidRPr="00522754">
        <w:rPr>
          <w:rFonts w:cs="Arial"/>
          <w:szCs w:val="24"/>
          <w:lang w:val="en-GB"/>
        </w:rPr>
        <w:t>It was submitted by Ms Naydenova that, having regard to the deed of cession’s definition of “</w:t>
      </w:r>
      <w:r w:rsidR="000E562E" w:rsidRPr="00522754">
        <w:rPr>
          <w:rFonts w:cs="Arial"/>
          <w:i/>
          <w:iCs/>
          <w:szCs w:val="24"/>
          <w:lang w:val="en-GB"/>
        </w:rPr>
        <w:t>contracts</w:t>
      </w:r>
      <w:r w:rsidR="000E562E" w:rsidRPr="00522754">
        <w:rPr>
          <w:rFonts w:cs="Arial"/>
          <w:szCs w:val="24"/>
          <w:lang w:val="en-GB"/>
        </w:rPr>
        <w:t>” and the absence of the annexure to which it refers, the subject matter of any consensus between the applicant and the first respondent is unascertainable and no assignment of rights and obligations is enforceable; hence th</w:t>
      </w:r>
      <w:r w:rsidR="00547D85">
        <w:rPr>
          <w:rFonts w:cs="Arial"/>
          <w:szCs w:val="24"/>
          <w:lang w:val="en-GB"/>
        </w:rPr>
        <w:t>is</w:t>
      </w:r>
      <w:r w:rsidR="000E562E" w:rsidRPr="00522754">
        <w:rPr>
          <w:rFonts w:cs="Arial"/>
          <w:szCs w:val="24"/>
          <w:lang w:val="en-GB"/>
        </w:rPr>
        <w:t xml:space="preserve"> application should succeed. Accepting that the answering affidavit mounts no substantive defence to this attack on the deed of cession, Mr Kloek submitted only that the preamble and clause 1.4 guide the proper interpretation of clause 3 such that the absence of annexure CES is not destructive of the deed.</w:t>
      </w:r>
    </w:p>
    <w:p w14:paraId="78D6530F" w14:textId="667A6210" w:rsidR="000E562E" w:rsidRPr="00522754" w:rsidRDefault="00C03686" w:rsidP="00C03686">
      <w:pPr>
        <w:pStyle w:val="WLGLevel1"/>
        <w:numPr>
          <w:ilvl w:val="0"/>
          <w:numId w:val="0"/>
        </w:numPr>
        <w:suppressAutoHyphens w:val="0"/>
        <w:spacing w:before="0" w:after="480"/>
        <w:ind w:left="709" w:hanging="709"/>
        <w:rPr>
          <w:rFonts w:cs="Arial"/>
          <w:szCs w:val="24"/>
          <w:lang w:val="en-GB"/>
        </w:rPr>
      </w:pPr>
      <w:r w:rsidRPr="00522754">
        <w:rPr>
          <w:rFonts w:cs="Arial"/>
          <w:bCs/>
          <w:iCs/>
          <w:szCs w:val="24"/>
          <w:lang w:val="en-GB"/>
        </w:rPr>
        <w:t>38.</w:t>
      </w:r>
      <w:r w:rsidRPr="00522754">
        <w:rPr>
          <w:rFonts w:cs="Arial"/>
          <w:bCs/>
          <w:iCs/>
          <w:szCs w:val="24"/>
          <w:lang w:val="en-GB"/>
        </w:rPr>
        <w:tab/>
      </w:r>
      <w:r w:rsidR="00093C22">
        <w:rPr>
          <w:rFonts w:cs="Arial"/>
          <w:szCs w:val="24"/>
          <w:lang w:val="en-GB"/>
        </w:rPr>
        <w:t>I</w:t>
      </w:r>
      <w:r w:rsidR="000E562E" w:rsidRPr="00522754">
        <w:rPr>
          <w:rFonts w:cs="Arial"/>
          <w:szCs w:val="24"/>
          <w:lang w:val="en-GB"/>
        </w:rPr>
        <w:t xml:space="preserve">t is not clear to me that, in the absence of annexure CES1, the deed of cession is inchoate. It is </w:t>
      </w:r>
      <w:r w:rsidR="00A971A9">
        <w:rPr>
          <w:rFonts w:cs="Arial"/>
          <w:szCs w:val="24"/>
          <w:lang w:val="en-GB"/>
        </w:rPr>
        <w:t>trite</w:t>
      </w:r>
      <w:r w:rsidR="00A971A9" w:rsidRPr="00522754">
        <w:rPr>
          <w:rFonts w:cs="Arial"/>
          <w:szCs w:val="24"/>
          <w:lang w:val="en-GB"/>
        </w:rPr>
        <w:t xml:space="preserve"> </w:t>
      </w:r>
      <w:r w:rsidR="000E562E" w:rsidRPr="00522754">
        <w:rPr>
          <w:rFonts w:cs="Arial"/>
          <w:szCs w:val="24"/>
          <w:lang w:val="en-GB"/>
        </w:rPr>
        <w:t xml:space="preserve">that a court will endeavour to give effect to a contract apparently genuinely entered into by parties and there is no evidence on the papers that it would be impossible to identify the contracts concluded in writing between the applicant and clients in the Gauteng and Kwazulu-Natal regions. So, I am not persuaded that inchoateness follows necessarily from the absence of annexure </w:t>
      </w:r>
      <w:r w:rsidR="000E562E" w:rsidRPr="00522754">
        <w:rPr>
          <w:rFonts w:cs="Arial"/>
          <w:szCs w:val="24"/>
          <w:lang w:val="en-GB"/>
        </w:rPr>
        <w:lastRenderedPageBreak/>
        <w:t xml:space="preserve">CES1. Again, however, given what is discussed and decided in </w:t>
      </w:r>
      <w:r w:rsidR="00971F01" w:rsidRPr="00522754">
        <w:rPr>
          <w:rFonts w:cs="Arial"/>
          <w:szCs w:val="24"/>
          <w:lang w:val="en-GB"/>
        </w:rPr>
        <w:t xml:space="preserve">paragraphs </w:t>
      </w:r>
      <w:r w:rsidR="00971F01" w:rsidRPr="00522754">
        <w:rPr>
          <w:rFonts w:cs="Arial"/>
          <w:szCs w:val="24"/>
          <w:lang w:val="en-GB"/>
        </w:rPr>
        <w:fldChar w:fldCharType="begin"/>
      </w:r>
      <w:r w:rsidR="00971F01" w:rsidRPr="00522754">
        <w:rPr>
          <w:rFonts w:cs="Arial"/>
          <w:szCs w:val="24"/>
          <w:lang w:val="en-GB"/>
        </w:rPr>
        <w:instrText xml:space="preserve"> REF _Ref137929860 \r \h  \* MERGEFORMAT </w:instrText>
      </w:r>
      <w:r w:rsidR="00971F01" w:rsidRPr="00522754">
        <w:rPr>
          <w:rFonts w:cs="Arial"/>
          <w:szCs w:val="24"/>
          <w:lang w:val="en-GB"/>
        </w:rPr>
      </w:r>
      <w:r w:rsidR="00971F01" w:rsidRPr="00522754">
        <w:rPr>
          <w:rFonts w:cs="Arial"/>
          <w:szCs w:val="24"/>
          <w:lang w:val="en-GB"/>
        </w:rPr>
        <w:fldChar w:fldCharType="separate"/>
      </w:r>
      <w:r w:rsidR="00B7698E">
        <w:rPr>
          <w:rFonts w:cs="Arial"/>
          <w:szCs w:val="24"/>
          <w:lang w:val="en-GB"/>
        </w:rPr>
        <w:t>39</w:t>
      </w:r>
      <w:r w:rsidR="00971F01" w:rsidRPr="00522754">
        <w:rPr>
          <w:rFonts w:cs="Arial"/>
          <w:szCs w:val="24"/>
          <w:lang w:val="en-GB"/>
        </w:rPr>
        <w:fldChar w:fldCharType="end"/>
      </w:r>
      <w:r w:rsidR="00971F01" w:rsidRPr="00522754">
        <w:rPr>
          <w:rFonts w:cs="Arial"/>
          <w:szCs w:val="24"/>
          <w:lang w:val="en-GB"/>
        </w:rPr>
        <w:t xml:space="preserve"> to </w:t>
      </w:r>
      <w:r w:rsidR="00971F01">
        <w:rPr>
          <w:rFonts w:cs="Arial"/>
          <w:szCs w:val="24"/>
          <w:lang w:val="en-GB"/>
        </w:rPr>
        <w:fldChar w:fldCharType="begin"/>
      </w:r>
      <w:r w:rsidR="00971F01">
        <w:rPr>
          <w:rFonts w:cs="Arial"/>
          <w:szCs w:val="24"/>
          <w:lang w:val="en-GB"/>
        </w:rPr>
        <w:instrText xml:space="preserve"> REF _Ref138065409 \r \p \h </w:instrText>
      </w:r>
      <w:r w:rsidR="00971F01">
        <w:rPr>
          <w:rFonts w:cs="Arial"/>
          <w:szCs w:val="24"/>
          <w:lang w:val="en-GB"/>
        </w:rPr>
      </w:r>
      <w:r w:rsidR="00971F01">
        <w:rPr>
          <w:rFonts w:cs="Arial"/>
          <w:szCs w:val="24"/>
          <w:lang w:val="en-GB"/>
        </w:rPr>
        <w:fldChar w:fldCharType="separate"/>
      </w:r>
      <w:r w:rsidR="00B7698E">
        <w:rPr>
          <w:rFonts w:cs="Arial"/>
          <w:szCs w:val="24"/>
          <w:lang w:val="en-GB"/>
        </w:rPr>
        <w:t>50 below</w:t>
      </w:r>
      <w:r w:rsidR="00971F01">
        <w:rPr>
          <w:rFonts w:cs="Arial"/>
          <w:szCs w:val="24"/>
          <w:lang w:val="en-GB"/>
        </w:rPr>
        <w:fldChar w:fldCharType="end"/>
      </w:r>
      <w:r w:rsidR="000E562E" w:rsidRPr="00522754">
        <w:rPr>
          <w:rFonts w:cs="Arial"/>
          <w:szCs w:val="24"/>
          <w:lang w:val="en-GB"/>
        </w:rPr>
        <w:t xml:space="preserve">, it is unnecessary for </w:t>
      </w:r>
      <w:r w:rsidR="00160414">
        <w:rPr>
          <w:rFonts w:cs="Arial"/>
          <w:szCs w:val="24"/>
          <w:lang w:val="en-GB"/>
        </w:rPr>
        <w:t>me</w:t>
      </w:r>
      <w:r w:rsidR="000E562E" w:rsidRPr="00522754">
        <w:rPr>
          <w:rFonts w:cs="Arial"/>
          <w:szCs w:val="24"/>
          <w:lang w:val="en-GB"/>
        </w:rPr>
        <w:t xml:space="preserve"> to make </w:t>
      </w:r>
      <w:r w:rsidR="006079F8" w:rsidRPr="00522754">
        <w:rPr>
          <w:rFonts w:cs="Arial"/>
          <w:szCs w:val="24"/>
          <w:lang w:val="en-GB"/>
        </w:rPr>
        <w:t xml:space="preserve">a finding </w:t>
      </w:r>
      <w:r w:rsidR="00271EB2">
        <w:rPr>
          <w:rFonts w:cs="Arial"/>
          <w:szCs w:val="24"/>
          <w:lang w:val="en-GB"/>
        </w:rPr>
        <w:t>on</w:t>
      </w:r>
      <w:r w:rsidR="006079F8" w:rsidRPr="00522754">
        <w:rPr>
          <w:rFonts w:cs="Arial"/>
          <w:szCs w:val="24"/>
          <w:lang w:val="en-GB"/>
        </w:rPr>
        <w:t xml:space="preserve"> this ground of invalidity</w:t>
      </w:r>
      <w:r w:rsidR="000E562E" w:rsidRPr="00522754">
        <w:rPr>
          <w:rFonts w:cs="Arial"/>
          <w:szCs w:val="24"/>
          <w:lang w:val="en-GB"/>
        </w:rPr>
        <w:t>.</w:t>
      </w:r>
    </w:p>
    <w:p w14:paraId="513D533F" w14:textId="77777777" w:rsidR="000E562E" w:rsidRPr="001931C6" w:rsidRDefault="000E562E" w:rsidP="000E562E">
      <w:pPr>
        <w:pStyle w:val="WLGLevel1"/>
        <w:keepNext/>
        <w:numPr>
          <w:ilvl w:val="0"/>
          <w:numId w:val="0"/>
        </w:numPr>
        <w:suppressAutoHyphens w:val="0"/>
        <w:spacing w:before="0" w:after="480"/>
        <w:rPr>
          <w:rFonts w:cs="Arial"/>
          <w:b/>
          <w:bCs/>
          <w:szCs w:val="24"/>
          <w:lang w:val="en-GB"/>
        </w:rPr>
      </w:pPr>
      <w:r w:rsidRPr="001931C6">
        <w:rPr>
          <w:rFonts w:cs="Arial"/>
          <w:b/>
          <w:bCs/>
          <w:szCs w:val="24"/>
          <w:lang w:val="en-GB"/>
        </w:rPr>
        <w:t>Was the deed of cession unauthorised?</w:t>
      </w:r>
    </w:p>
    <w:p w14:paraId="61E1010D" w14:textId="7799AACA" w:rsidR="003E6048" w:rsidRDefault="00C03686" w:rsidP="00C03686">
      <w:pPr>
        <w:keepNext/>
        <w:spacing w:after="480" w:line="480" w:lineRule="auto"/>
        <w:ind w:left="709" w:hanging="709"/>
        <w:rPr>
          <w:rFonts w:cs="Arial"/>
          <w:sz w:val="24"/>
        </w:rPr>
      </w:pPr>
      <w:bookmarkStart w:id="11" w:name="_Ref137929860"/>
      <w:r>
        <w:rPr>
          <w:rFonts w:cs="Arial"/>
          <w:bCs/>
          <w:iCs/>
          <w:sz w:val="24"/>
        </w:rPr>
        <w:t>39.</w:t>
      </w:r>
      <w:r>
        <w:rPr>
          <w:rFonts w:cs="Arial"/>
          <w:bCs/>
          <w:iCs/>
          <w:sz w:val="24"/>
        </w:rPr>
        <w:tab/>
      </w:r>
      <w:r w:rsidR="000E562E" w:rsidRPr="001931C6">
        <w:rPr>
          <w:rFonts w:cs="Arial"/>
          <w:sz w:val="24"/>
        </w:rPr>
        <w:t>Ms Naydenova submitted that</w:t>
      </w:r>
      <w:r w:rsidR="003E6048">
        <w:rPr>
          <w:rFonts w:cs="Arial"/>
          <w:sz w:val="24"/>
        </w:rPr>
        <w:t>:</w:t>
      </w:r>
    </w:p>
    <w:p w14:paraId="23E005D5" w14:textId="60174407" w:rsidR="003E6048" w:rsidRDefault="00C03686" w:rsidP="00C03686">
      <w:pPr>
        <w:tabs>
          <w:tab w:val="left" w:pos="1560"/>
        </w:tabs>
        <w:spacing w:after="480" w:line="480" w:lineRule="auto"/>
        <w:ind w:left="1560" w:hanging="851"/>
        <w:rPr>
          <w:rFonts w:cs="Arial"/>
          <w:sz w:val="24"/>
        </w:rPr>
      </w:pPr>
      <w:r>
        <w:rPr>
          <w:rFonts w:cs="Arial"/>
          <w:sz w:val="24"/>
        </w:rPr>
        <w:t>39.1.</w:t>
      </w:r>
      <w:r>
        <w:rPr>
          <w:rFonts w:cs="Arial"/>
          <w:sz w:val="24"/>
        </w:rPr>
        <w:tab/>
      </w:r>
      <w:r w:rsidR="000E562E" w:rsidRPr="001931C6">
        <w:rPr>
          <w:rFonts w:cs="Arial"/>
          <w:sz w:val="24"/>
        </w:rPr>
        <w:t xml:space="preserve">the contracts </w:t>
      </w:r>
      <w:r w:rsidR="00635823" w:rsidRPr="001931C6">
        <w:rPr>
          <w:rFonts w:cs="Arial"/>
          <w:sz w:val="24"/>
        </w:rPr>
        <w:t xml:space="preserve">were </w:t>
      </w:r>
      <w:r w:rsidR="000E562E" w:rsidRPr="001931C6">
        <w:rPr>
          <w:rFonts w:cs="Arial"/>
          <w:sz w:val="24"/>
        </w:rPr>
        <w:t xml:space="preserve">the applicant’s sole source of income </w:t>
      </w:r>
      <w:r w:rsidR="00AB5E8F">
        <w:rPr>
          <w:rFonts w:cs="Arial"/>
          <w:sz w:val="24"/>
        </w:rPr>
        <w:t>such that</w:t>
      </w:r>
      <w:r w:rsidR="00AB5E8F" w:rsidRPr="001931C6">
        <w:rPr>
          <w:rFonts w:cs="Arial"/>
          <w:sz w:val="24"/>
        </w:rPr>
        <w:t xml:space="preserve"> </w:t>
      </w:r>
      <w:r w:rsidR="000E562E" w:rsidRPr="001931C6">
        <w:rPr>
          <w:rFonts w:cs="Arial"/>
          <w:sz w:val="24"/>
        </w:rPr>
        <w:t>their transfer amounted to a disposal of its entire business</w:t>
      </w:r>
      <w:r w:rsidR="003E6048">
        <w:rPr>
          <w:rFonts w:cs="Arial"/>
          <w:sz w:val="24"/>
        </w:rPr>
        <w:t>;</w:t>
      </w:r>
      <w:r w:rsidR="006E692E">
        <w:rPr>
          <w:rFonts w:cs="Arial"/>
          <w:sz w:val="24"/>
        </w:rPr>
        <w:t xml:space="preserve"> and</w:t>
      </w:r>
    </w:p>
    <w:p w14:paraId="38AF67D6" w14:textId="028FC222" w:rsidR="000E562E" w:rsidRPr="001931C6" w:rsidRDefault="00C03686" w:rsidP="00C03686">
      <w:pPr>
        <w:tabs>
          <w:tab w:val="left" w:pos="1560"/>
        </w:tabs>
        <w:spacing w:after="480" w:line="480" w:lineRule="auto"/>
        <w:ind w:left="1560" w:hanging="851"/>
        <w:rPr>
          <w:rFonts w:cs="Arial"/>
          <w:sz w:val="24"/>
        </w:rPr>
      </w:pPr>
      <w:r w:rsidRPr="001931C6">
        <w:rPr>
          <w:rFonts w:cs="Arial"/>
          <w:sz w:val="24"/>
        </w:rPr>
        <w:t>39.2.</w:t>
      </w:r>
      <w:r w:rsidRPr="001931C6">
        <w:rPr>
          <w:rFonts w:cs="Arial"/>
          <w:sz w:val="24"/>
        </w:rPr>
        <w:tab/>
      </w:r>
      <w:r w:rsidR="000E562E" w:rsidRPr="001931C6">
        <w:rPr>
          <w:rFonts w:cs="Arial"/>
          <w:sz w:val="24"/>
        </w:rPr>
        <w:t xml:space="preserve">Jackson </w:t>
      </w:r>
      <w:r w:rsidR="00F07C1A">
        <w:rPr>
          <w:rFonts w:cs="Arial"/>
          <w:sz w:val="24"/>
        </w:rPr>
        <w:t>lacked</w:t>
      </w:r>
      <w:r w:rsidR="000E562E" w:rsidRPr="001931C6">
        <w:rPr>
          <w:rFonts w:cs="Arial"/>
          <w:sz w:val="24"/>
        </w:rPr>
        <w:t xml:space="preserve"> authority </w:t>
      </w:r>
      <w:r w:rsidR="00F07C1A">
        <w:rPr>
          <w:rFonts w:cs="Arial"/>
          <w:sz w:val="24"/>
        </w:rPr>
        <w:t xml:space="preserve">necessary </w:t>
      </w:r>
      <w:r w:rsidR="000E562E" w:rsidRPr="001931C6">
        <w:rPr>
          <w:rFonts w:cs="Arial"/>
          <w:sz w:val="24"/>
        </w:rPr>
        <w:t xml:space="preserve">to sign the deed of cession </w:t>
      </w:r>
      <w:r w:rsidR="003F69E5">
        <w:rPr>
          <w:rFonts w:cs="Arial"/>
          <w:sz w:val="24"/>
        </w:rPr>
        <w:t>on behalf</w:t>
      </w:r>
      <w:r w:rsidR="000E562E" w:rsidRPr="001931C6">
        <w:rPr>
          <w:rFonts w:cs="Arial"/>
          <w:sz w:val="24"/>
        </w:rPr>
        <w:t xml:space="preserve"> of the applicant.</w:t>
      </w:r>
    </w:p>
    <w:p w14:paraId="7E029058" w14:textId="66C7302B" w:rsidR="000E562E" w:rsidRPr="001931C6" w:rsidRDefault="00C03686" w:rsidP="00C03686">
      <w:pPr>
        <w:spacing w:after="480" w:line="480" w:lineRule="auto"/>
        <w:ind w:left="709" w:hanging="709"/>
        <w:rPr>
          <w:rFonts w:cs="Arial"/>
          <w:sz w:val="24"/>
        </w:rPr>
      </w:pPr>
      <w:r w:rsidRPr="001931C6">
        <w:rPr>
          <w:rFonts w:cs="Arial"/>
          <w:bCs/>
          <w:iCs/>
          <w:sz w:val="24"/>
        </w:rPr>
        <w:t>40.</w:t>
      </w:r>
      <w:r w:rsidRPr="001931C6">
        <w:rPr>
          <w:rFonts w:cs="Arial"/>
          <w:bCs/>
          <w:iCs/>
          <w:sz w:val="24"/>
        </w:rPr>
        <w:tab/>
      </w:r>
      <w:r w:rsidR="000E562E" w:rsidRPr="001931C6">
        <w:rPr>
          <w:rFonts w:cs="Arial"/>
          <w:sz w:val="24"/>
        </w:rPr>
        <w:t xml:space="preserve">In </w:t>
      </w:r>
      <w:r w:rsidR="00035ED5">
        <w:rPr>
          <w:rFonts w:cs="Arial"/>
          <w:sz w:val="24"/>
        </w:rPr>
        <w:t>answer</w:t>
      </w:r>
      <w:r w:rsidR="000E562E" w:rsidRPr="001931C6">
        <w:rPr>
          <w:rFonts w:cs="Arial"/>
          <w:sz w:val="24"/>
        </w:rPr>
        <w:t xml:space="preserve">, Mr Kloek argued – somewhat faintly – that an assignment of rights and obligations </w:t>
      </w:r>
      <w:r w:rsidR="00AD03FD">
        <w:rPr>
          <w:rFonts w:cs="Arial"/>
          <w:sz w:val="24"/>
        </w:rPr>
        <w:t>is</w:t>
      </w:r>
      <w:r w:rsidR="00AD03FD" w:rsidRPr="001931C6">
        <w:rPr>
          <w:rFonts w:cs="Arial"/>
          <w:sz w:val="24"/>
        </w:rPr>
        <w:t xml:space="preserve"> </w:t>
      </w:r>
      <w:r w:rsidR="000E562E" w:rsidRPr="001931C6">
        <w:rPr>
          <w:rFonts w:cs="Arial"/>
          <w:sz w:val="24"/>
        </w:rPr>
        <w:t>not an act of disposal as contemplated in section 112(</w:t>
      </w:r>
      <w:r w:rsidR="007762B8" w:rsidRPr="001931C6">
        <w:rPr>
          <w:rFonts w:cs="Arial"/>
          <w:sz w:val="24"/>
        </w:rPr>
        <w:t>2</w:t>
      </w:r>
      <w:r w:rsidR="000E562E" w:rsidRPr="001931C6">
        <w:rPr>
          <w:rFonts w:cs="Arial"/>
          <w:sz w:val="24"/>
        </w:rPr>
        <w:t>)</w:t>
      </w:r>
      <w:r w:rsidR="00325BC4" w:rsidRPr="00522754">
        <w:rPr>
          <w:rStyle w:val="FootnoteReference"/>
          <w:rFonts w:cs="Arial"/>
          <w:sz w:val="24"/>
        </w:rPr>
        <w:footnoteReference w:id="10"/>
      </w:r>
      <w:r w:rsidR="000E562E" w:rsidRPr="001931C6">
        <w:rPr>
          <w:rFonts w:cs="Arial"/>
          <w:sz w:val="24"/>
        </w:rPr>
        <w:t xml:space="preserve"> of the Companies Act. He referred to </w:t>
      </w:r>
      <w:r w:rsidR="00A358E1">
        <w:rPr>
          <w:rFonts w:cs="Arial"/>
          <w:sz w:val="24"/>
        </w:rPr>
        <w:t>a case</w:t>
      </w:r>
      <w:r w:rsidR="00A358E1" w:rsidRPr="001931C6">
        <w:rPr>
          <w:rFonts w:cs="Arial"/>
          <w:sz w:val="24"/>
        </w:rPr>
        <w:t xml:space="preserve"> </w:t>
      </w:r>
      <w:r w:rsidR="000E562E" w:rsidRPr="001931C6">
        <w:rPr>
          <w:rFonts w:cs="Arial"/>
          <w:sz w:val="24"/>
        </w:rPr>
        <w:t>decided under the statute’s 1926 predecessor but</w:t>
      </w:r>
      <w:r w:rsidR="0031449C">
        <w:rPr>
          <w:rFonts w:cs="Arial"/>
          <w:sz w:val="24"/>
        </w:rPr>
        <w:t xml:space="preserve"> it</w:t>
      </w:r>
      <w:r w:rsidR="000E562E" w:rsidRPr="001931C6">
        <w:rPr>
          <w:rFonts w:cs="Arial"/>
          <w:sz w:val="24"/>
        </w:rPr>
        <w:t xml:space="preserve"> involved a security cession as opposed to an outright cession </w:t>
      </w:r>
      <w:r w:rsidR="00392A65">
        <w:rPr>
          <w:rFonts w:cs="Arial"/>
          <w:sz w:val="24"/>
        </w:rPr>
        <w:t xml:space="preserve">or assignment </w:t>
      </w:r>
      <w:r w:rsidR="000E562E" w:rsidRPr="001931C6">
        <w:rPr>
          <w:rFonts w:cs="Arial"/>
          <w:sz w:val="24"/>
        </w:rPr>
        <w:t xml:space="preserve">and is not </w:t>
      </w:r>
      <w:r w:rsidR="00BC17DD">
        <w:rPr>
          <w:rFonts w:cs="Arial"/>
          <w:sz w:val="24"/>
        </w:rPr>
        <w:t>on</w:t>
      </w:r>
      <w:r w:rsidR="00BC17DD" w:rsidRPr="001931C6">
        <w:rPr>
          <w:rFonts w:cs="Arial"/>
          <w:sz w:val="24"/>
        </w:rPr>
        <w:t xml:space="preserve"> </w:t>
      </w:r>
      <w:r w:rsidR="000E562E" w:rsidRPr="001931C6">
        <w:rPr>
          <w:rFonts w:cs="Arial"/>
          <w:sz w:val="24"/>
        </w:rPr>
        <w:t>point. I did not understand Mr Kloek to press the argument, which I do not consider to have merit.</w:t>
      </w:r>
    </w:p>
    <w:p w14:paraId="17A2F0D8" w14:textId="241F7B3A" w:rsidR="000E562E" w:rsidRPr="004C6F2B" w:rsidRDefault="00C03686" w:rsidP="00C03686">
      <w:pPr>
        <w:spacing w:after="480" w:line="480" w:lineRule="auto"/>
        <w:ind w:left="709" w:hanging="709"/>
        <w:rPr>
          <w:rFonts w:cs="Arial"/>
          <w:sz w:val="24"/>
        </w:rPr>
      </w:pPr>
      <w:r w:rsidRPr="004C6F2B">
        <w:rPr>
          <w:rFonts w:cs="Arial"/>
          <w:bCs/>
          <w:iCs/>
          <w:sz w:val="24"/>
        </w:rPr>
        <w:lastRenderedPageBreak/>
        <w:t>41.</w:t>
      </w:r>
      <w:r w:rsidRPr="004C6F2B">
        <w:rPr>
          <w:rFonts w:cs="Arial"/>
          <w:bCs/>
          <w:iCs/>
          <w:sz w:val="24"/>
        </w:rPr>
        <w:tab/>
      </w:r>
      <w:r w:rsidR="000E562E" w:rsidRPr="004C6F2B">
        <w:rPr>
          <w:rFonts w:cs="Arial"/>
          <w:sz w:val="24"/>
        </w:rPr>
        <w:t>More forceful was Mr Kloek’s argument that section 1 of the Companies Act defines “</w:t>
      </w:r>
      <w:r w:rsidR="000E562E" w:rsidRPr="004C6F2B">
        <w:rPr>
          <w:rFonts w:cs="Arial"/>
          <w:i/>
          <w:iCs/>
          <w:sz w:val="24"/>
        </w:rPr>
        <w:t>all or the greater part of the assets or undertaking</w:t>
      </w:r>
      <w:r w:rsidR="000E562E" w:rsidRPr="004C6F2B">
        <w:rPr>
          <w:rFonts w:cs="Arial"/>
          <w:sz w:val="24"/>
        </w:rPr>
        <w:t xml:space="preserve">” </w:t>
      </w:r>
      <w:r w:rsidR="00AD625F">
        <w:rPr>
          <w:rFonts w:cs="Arial"/>
          <w:sz w:val="24"/>
        </w:rPr>
        <w:t xml:space="preserve">of a company </w:t>
      </w:r>
      <w:r w:rsidR="000E562E" w:rsidRPr="004C6F2B">
        <w:rPr>
          <w:rFonts w:cs="Arial"/>
          <w:sz w:val="24"/>
        </w:rPr>
        <w:t>to mean “</w:t>
      </w:r>
      <w:r w:rsidR="000E562E" w:rsidRPr="004C6F2B">
        <w:rPr>
          <w:rFonts w:cs="Arial"/>
          <w:i/>
          <w:iCs/>
          <w:sz w:val="24"/>
        </w:rPr>
        <w:t>more than 50% of its gross assets fairly valued, irrespective of its liabilities</w:t>
      </w:r>
      <w:r w:rsidR="000E562E" w:rsidRPr="004C6F2B">
        <w:rPr>
          <w:rFonts w:cs="Arial"/>
          <w:sz w:val="24"/>
        </w:rPr>
        <w:t>” or “</w:t>
      </w:r>
      <w:r w:rsidR="000E562E" w:rsidRPr="004C6F2B">
        <w:rPr>
          <w:rFonts w:cs="Arial"/>
          <w:i/>
          <w:iCs/>
          <w:sz w:val="24"/>
        </w:rPr>
        <w:t>more than 50% of the value of its entire undertaking, fairly valued</w:t>
      </w:r>
      <w:r w:rsidR="000E562E" w:rsidRPr="004C6F2B">
        <w:rPr>
          <w:rFonts w:cs="Arial"/>
          <w:sz w:val="24"/>
        </w:rPr>
        <w:t xml:space="preserve">”. </w:t>
      </w:r>
      <w:r w:rsidR="00CD75D9" w:rsidRPr="004C6F2B">
        <w:rPr>
          <w:rFonts w:cs="Arial"/>
          <w:sz w:val="24"/>
        </w:rPr>
        <w:t>I</w:t>
      </w:r>
      <w:r w:rsidR="000E562E" w:rsidRPr="004C6F2B">
        <w:rPr>
          <w:rFonts w:cs="Arial"/>
          <w:sz w:val="24"/>
        </w:rPr>
        <w:t xml:space="preserve">n his submission, the test for the application of </w:t>
      </w:r>
      <w:r w:rsidR="00097CB9" w:rsidRPr="004C6F2B">
        <w:rPr>
          <w:rFonts w:cs="Arial"/>
          <w:sz w:val="24"/>
          <w:lang w:val="en-GB"/>
        </w:rPr>
        <w:t>sections 112 and 115</w:t>
      </w:r>
      <w:r w:rsidR="00CC1586">
        <w:rPr>
          <w:rFonts w:cs="Arial"/>
          <w:sz w:val="24"/>
          <w:lang w:val="en-GB"/>
        </w:rPr>
        <w:t xml:space="preserve"> </w:t>
      </w:r>
      <w:r w:rsidR="000E562E" w:rsidRPr="004C6F2B">
        <w:rPr>
          <w:rFonts w:cs="Arial"/>
          <w:sz w:val="24"/>
        </w:rPr>
        <w:t xml:space="preserve">is whether the contracts are shown on the papers to represent at least 50% </w:t>
      </w:r>
      <w:r w:rsidR="008A7D42">
        <w:rPr>
          <w:rFonts w:cs="Arial"/>
          <w:sz w:val="24"/>
        </w:rPr>
        <w:t xml:space="preserve">of the </w:t>
      </w:r>
      <w:r w:rsidR="000E562E" w:rsidRPr="004C6F2B">
        <w:rPr>
          <w:rFonts w:cs="Arial"/>
          <w:sz w:val="24"/>
        </w:rPr>
        <w:t xml:space="preserve">fair value of the applicant’s business, a test that is failed since there is no valuation </w:t>
      </w:r>
      <w:r w:rsidR="00934F5A" w:rsidRPr="004C6F2B">
        <w:rPr>
          <w:rFonts w:cs="Arial"/>
          <w:sz w:val="24"/>
        </w:rPr>
        <w:t xml:space="preserve">of the </w:t>
      </w:r>
      <w:r w:rsidR="004C6F2B" w:rsidRPr="004C6F2B">
        <w:rPr>
          <w:rFonts w:cs="Arial"/>
          <w:sz w:val="24"/>
        </w:rPr>
        <w:t xml:space="preserve">business or its </w:t>
      </w:r>
      <w:r w:rsidR="00934F5A" w:rsidRPr="004C6F2B">
        <w:rPr>
          <w:rFonts w:cs="Arial"/>
          <w:sz w:val="24"/>
        </w:rPr>
        <w:t>contracts</w:t>
      </w:r>
      <w:r w:rsidR="004C6F2B" w:rsidRPr="004C6F2B">
        <w:rPr>
          <w:rFonts w:cs="Arial"/>
          <w:sz w:val="24"/>
        </w:rPr>
        <w:t xml:space="preserve"> on the papers</w:t>
      </w:r>
      <w:r w:rsidR="000E562E" w:rsidRPr="004C6F2B">
        <w:rPr>
          <w:rFonts w:cs="Arial"/>
          <w:sz w:val="24"/>
        </w:rPr>
        <w:t>.</w:t>
      </w:r>
      <w:r w:rsidR="004C6F2B">
        <w:rPr>
          <w:rFonts w:cs="Arial"/>
          <w:sz w:val="24"/>
        </w:rPr>
        <w:t xml:space="preserve"> </w:t>
      </w:r>
      <w:r w:rsidR="00513864">
        <w:rPr>
          <w:rFonts w:cs="Arial"/>
          <w:sz w:val="24"/>
        </w:rPr>
        <w:t>W</w:t>
      </w:r>
      <w:r w:rsidR="000E562E" w:rsidRPr="004C6F2B">
        <w:rPr>
          <w:rFonts w:cs="Arial"/>
          <w:sz w:val="24"/>
        </w:rPr>
        <w:t xml:space="preserve">hat is said of the applicant’s </w:t>
      </w:r>
      <w:r w:rsidR="002E21A7">
        <w:rPr>
          <w:rFonts w:cs="Arial"/>
          <w:sz w:val="24"/>
        </w:rPr>
        <w:t xml:space="preserve">other </w:t>
      </w:r>
      <w:r w:rsidR="000E562E" w:rsidRPr="004C6F2B">
        <w:rPr>
          <w:rFonts w:cs="Arial"/>
          <w:sz w:val="24"/>
        </w:rPr>
        <w:t xml:space="preserve">assets in paragraphs 11.8.1 to 11.8.5 </w:t>
      </w:r>
      <w:r w:rsidR="00CD6A5A">
        <w:rPr>
          <w:rFonts w:cs="Arial"/>
          <w:sz w:val="24"/>
        </w:rPr>
        <w:t xml:space="preserve">of the founding affidavit </w:t>
      </w:r>
      <w:r w:rsidR="000E562E" w:rsidRPr="004C6F2B">
        <w:rPr>
          <w:rFonts w:cs="Arial"/>
          <w:sz w:val="24"/>
        </w:rPr>
        <w:t xml:space="preserve">– that </w:t>
      </w:r>
      <w:r w:rsidR="002E21A7">
        <w:rPr>
          <w:rFonts w:cs="Arial"/>
          <w:sz w:val="24"/>
        </w:rPr>
        <w:t xml:space="preserve">they have </w:t>
      </w:r>
      <w:r w:rsidR="000E562E" w:rsidRPr="004C6F2B">
        <w:rPr>
          <w:rFonts w:cs="Arial"/>
          <w:sz w:val="24"/>
        </w:rPr>
        <w:t xml:space="preserve">an aggregate value of </w:t>
      </w:r>
      <w:r w:rsidR="009A228E">
        <w:rPr>
          <w:rFonts w:cs="Arial"/>
          <w:sz w:val="24"/>
        </w:rPr>
        <w:t>about</w:t>
      </w:r>
      <w:r w:rsidR="000E562E" w:rsidRPr="004C6F2B">
        <w:rPr>
          <w:rFonts w:cs="Arial"/>
          <w:sz w:val="24"/>
        </w:rPr>
        <w:t xml:space="preserve"> R1.1 million – does not </w:t>
      </w:r>
      <w:r w:rsidR="005B05CE">
        <w:rPr>
          <w:rFonts w:cs="Arial"/>
          <w:sz w:val="24"/>
        </w:rPr>
        <w:t>assist because</w:t>
      </w:r>
      <w:r w:rsidR="000E562E" w:rsidRPr="004C6F2B">
        <w:rPr>
          <w:rFonts w:cs="Arial"/>
          <w:sz w:val="24"/>
        </w:rPr>
        <w:t xml:space="preserve"> the fair value of the contracts remains unknown. Hence the application should be dismissed </w:t>
      </w:r>
      <w:r w:rsidR="00D46BF8">
        <w:rPr>
          <w:rFonts w:cs="Arial"/>
          <w:i/>
          <w:iCs/>
          <w:sz w:val="24"/>
        </w:rPr>
        <w:t>alternatively</w:t>
      </w:r>
      <w:r w:rsidR="00D46BF8" w:rsidRPr="004C6F2B">
        <w:rPr>
          <w:rFonts w:cs="Arial"/>
          <w:sz w:val="24"/>
        </w:rPr>
        <w:t xml:space="preserve"> </w:t>
      </w:r>
      <w:r w:rsidR="000E562E" w:rsidRPr="004C6F2B">
        <w:rPr>
          <w:rFonts w:cs="Arial"/>
          <w:sz w:val="24"/>
        </w:rPr>
        <w:t xml:space="preserve">referred to evidence on the issue of </w:t>
      </w:r>
      <w:r w:rsidR="003639FD">
        <w:rPr>
          <w:rFonts w:cs="Arial"/>
          <w:sz w:val="24"/>
        </w:rPr>
        <w:t xml:space="preserve">the fair </w:t>
      </w:r>
      <w:r w:rsidR="000E562E" w:rsidRPr="004C6F2B">
        <w:rPr>
          <w:rFonts w:cs="Arial"/>
          <w:sz w:val="24"/>
        </w:rPr>
        <w:t>valu</w:t>
      </w:r>
      <w:r w:rsidR="001047FC">
        <w:rPr>
          <w:rFonts w:cs="Arial"/>
          <w:sz w:val="24"/>
        </w:rPr>
        <w:t>e</w:t>
      </w:r>
      <w:r w:rsidR="000E562E" w:rsidRPr="004C6F2B">
        <w:rPr>
          <w:rFonts w:cs="Arial"/>
          <w:sz w:val="24"/>
        </w:rPr>
        <w:t xml:space="preserve"> of the business and its contracts.</w:t>
      </w:r>
    </w:p>
    <w:p w14:paraId="60FE568C" w14:textId="52B92724" w:rsidR="000E562E" w:rsidRPr="001931C6" w:rsidRDefault="00C03686" w:rsidP="00C03686">
      <w:pPr>
        <w:spacing w:after="480" w:line="480" w:lineRule="auto"/>
        <w:ind w:left="709" w:hanging="709"/>
        <w:rPr>
          <w:rFonts w:cs="Arial"/>
          <w:sz w:val="24"/>
        </w:rPr>
      </w:pPr>
      <w:r w:rsidRPr="001931C6">
        <w:rPr>
          <w:rFonts w:cs="Arial"/>
          <w:bCs/>
          <w:iCs/>
          <w:sz w:val="24"/>
        </w:rPr>
        <w:t>42.</w:t>
      </w:r>
      <w:r w:rsidRPr="001931C6">
        <w:rPr>
          <w:rFonts w:cs="Arial"/>
          <w:bCs/>
          <w:iCs/>
          <w:sz w:val="24"/>
        </w:rPr>
        <w:tab/>
      </w:r>
      <w:r w:rsidR="000E562E" w:rsidRPr="001931C6">
        <w:rPr>
          <w:rFonts w:cs="Arial"/>
          <w:sz w:val="24"/>
        </w:rPr>
        <w:t xml:space="preserve">In reply, Ms Neydenova pointed to </w:t>
      </w:r>
      <w:r w:rsidR="006A0F4C">
        <w:rPr>
          <w:rFonts w:cs="Arial"/>
          <w:sz w:val="24"/>
        </w:rPr>
        <w:t>an</w:t>
      </w:r>
      <w:r w:rsidR="006A0F4C" w:rsidRPr="001931C6">
        <w:rPr>
          <w:rFonts w:cs="Arial"/>
          <w:sz w:val="24"/>
        </w:rPr>
        <w:t xml:space="preserve"> </w:t>
      </w:r>
      <w:r w:rsidR="000E562E" w:rsidRPr="001931C6">
        <w:rPr>
          <w:rFonts w:cs="Arial"/>
          <w:sz w:val="24"/>
        </w:rPr>
        <w:t>averment in the founding affidavit – not disputed in the answering affidavit – that Ms Jackson was denied access to the books and records of the applicant and prevented from gaining and being able to convey a clearer indication of the nature and extent of the business.</w:t>
      </w:r>
    </w:p>
    <w:p w14:paraId="16AEB199" w14:textId="22027116" w:rsidR="00EF637F" w:rsidRDefault="00C03686" w:rsidP="00C03686">
      <w:pPr>
        <w:spacing w:after="480" w:line="480" w:lineRule="auto"/>
        <w:ind w:left="709" w:hanging="709"/>
        <w:rPr>
          <w:rFonts w:cs="Arial"/>
          <w:sz w:val="24"/>
        </w:rPr>
      </w:pPr>
      <w:r>
        <w:rPr>
          <w:rFonts w:cs="Arial"/>
          <w:bCs/>
          <w:iCs/>
          <w:sz w:val="24"/>
        </w:rPr>
        <w:t>43.</w:t>
      </w:r>
      <w:r>
        <w:rPr>
          <w:rFonts w:cs="Arial"/>
          <w:bCs/>
          <w:iCs/>
          <w:sz w:val="24"/>
        </w:rPr>
        <w:tab/>
      </w:r>
      <w:r w:rsidR="000E562E" w:rsidRPr="001931C6">
        <w:rPr>
          <w:rFonts w:cs="Arial"/>
          <w:sz w:val="24"/>
        </w:rPr>
        <w:t xml:space="preserve">In my assessment, there </w:t>
      </w:r>
      <w:r w:rsidR="000E562E" w:rsidRPr="00111C14">
        <w:rPr>
          <w:rFonts w:cs="Arial"/>
          <w:i/>
          <w:iCs/>
          <w:sz w:val="24"/>
        </w:rPr>
        <w:t>is</w:t>
      </w:r>
      <w:r w:rsidR="00EF637F">
        <w:rPr>
          <w:rFonts w:cs="Arial"/>
          <w:sz w:val="24"/>
        </w:rPr>
        <w:t xml:space="preserve"> </w:t>
      </w:r>
      <w:r w:rsidR="000E562E" w:rsidRPr="001931C6">
        <w:rPr>
          <w:rFonts w:cs="Arial"/>
          <w:sz w:val="24"/>
        </w:rPr>
        <w:t xml:space="preserve">evidence on the papers of the value of the </w:t>
      </w:r>
      <w:r w:rsidR="000402DD">
        <w:rPr>
          <w:rFonts w:cs="Arial"/>
          <w:sz w:val="24"/>
        </w:rPr>
        <w:t xml:space="preserve">business and its </w:t>
      </w:r>
      <w:r w:rsidR="000E562E" w:rsidRPr="001931C6">
        <w:rPr>
          <w:rFonts w:cs="Arial"/>
          <w:sz w:val="24"/>
        </w:rPr>
        <w:t xml:space="preserve">contracts. </w:t>
      </w:r>
      <w:r w:rsidR="00E3315B">
        <w:rPr>
          <w:rFonts w:cs="Arial"/>
          <w:sz w:val="24"/>
        </w:rPr>
        <w:t>That</w:t>
      </w:r>
      <w:r w:rsidR="0034524E">
        <w:rPr>
          <w:rFonts w:cs="Arial"/>
          <w:sz w:val="24"/>
        </w:rPr>
        <w:t xml:space="preserve"> Mr Jackson valued his shareholding in the applicant at R2.4 million is not</w:t>
      </w:r>
      <w:r w:rsidR="000D51EF">
        <w:rPr>
          <w:rFonts w:cs="Arial"/>
          <w:sz w:val="24"/>
        </w:rPr>
        <w:t xml:space="preserve"> denied by Mr Perkins</w:t>
      </w:r>
      <w:r w:rsidR="0034524E">
        <w:rPr>
          <w:rFonts w:cs="Arial"/>
          <w:sz w:val="24"/>
        </w:rPr>
        <w:t xml:space="preserve">. </w:t>
      </w:r>
      <w:r w:rsidR="000E562E" w:rsidRPr="001931C6">
        <w:rPr>
          <w:rFonts w:cs="Arial"/>
          <w:sz w:val="24"/>
        </w:rPr>
        <w:t xml:space="preserve">Annexures BJ14 and BJ15 to the founding affidavit, which are not disputed in the answering affidavit, reflect </w:t>
      </w:r>
      <w:r w:rsidR="00D40519">
        <w:rPr>
          <w:rFonts w:cs="Arial"/>
          <w:sz w:val="24"/>
        </w:rPr>
        <w:t>contract-related</w:t>
      </w:r>
      <w:r w:rsidR="00D40519" w:rsidRPr="001931C6">
        <w:rPr>
          <w:rFonts w:cs="Arial"/>
          <w:sz w:val="24"/>
        </w:rPr>
        <w:t xml:space="preserve"> </w:t>
      </w:r>
      <w:r w:rsidR="000E562E" w:rsidRPr="001931C6">
        <w:rPr>
          <w:rFonts w:cs="Arial"/>
          <w:sz w:val="24"/>
        </w:rPr>
        <w:t>revenues of approximately R1.9 million in each of February and May 2021.</w:t>
      </w:r>
      <w:r w:rsidR="00746EE2">
        <w:rPr>
          <w:rFonts w:cs="Arial"/>
          <w:sz w:val="24"/>
        </w:rPr>
        <w:t xml:space="preserve"> The papers make no reference to any contracts other than those defined in the deed of </w:t>
      </w:r>
      <w:r w:rsidR="00746EE2">
        <w:rPr>
          <w:rFonts w:cs="Arial"/>
          <w:sz w:val="24"/>
        </w:rPr>
        <w:lastRenderedPageBreak/>
        <w:t>cession</w:t>
      </w:r>
      <w:r w:rsidR="00B17D19">
        <w:rPr>
          <w:rFonts w:cs="Arial"/>
          <w:sz w:val="24"/>
        </w:rPr>
        <w:t xml:space="preserve">; or to any residual business not sought to be transferred </w:t>
      </w:r>
      <w:r w:rsidR="00AE3A23">
        <w:rPr>
          <w:rFonts w:cs="Arial"/>
          <w:sz w:val="24"/>
        </w:rPr>
        <w:t>by</w:t>
      </w:r>
      <w:r w:rsidR="00B17D19">
        <w:rPr>
          <w:rFonts w:cs="Arial"/>
          <w:sz w:val="24"/>
        </w:rPr>
        <w:t xml:space="preserve"> the applicant to the first respondent</w:t>
      </w:r>
      <w:r w:rsidR="00746EE2">
        <w:rPr>
          <w:rFonts w:cs="Arial"/>
          <w:sz w:val="24"/>
        </w:rPr>
        <w:t>.</w:t>
      </w:r>
      <w:r w:rsidR="00D36313">
        <w:rPr>
          <w:rFonts w:cs="Arial"/>
          <w:sz w:val="24"/>
        </w:rPr>
        <w:t xml:space="preserve"> </w:t>
      </w:r>
      <w:r w:rsidR="00831A76">
        <w:rPr>
          <w:rFonts w:cs="Arial"/>
          <w:sz w:val="24"/>
        </w:rPr>
        <w:t>Ms Jackson’s averment that the letter referred to in paragra</w:t>
      </w:r>
      <w:r w:rsidR="003D5AC9">
        <w:rPr>
          <w:rFonts w:cs="Arial"/>
          <w:sz w:val="24"/>
        </w:rPr>
        <w:t xml:space="preserve">ph </w:t>
      </w:r>
      <w:r w:rsidR="00ED433D">
        <w:rPr>
          <w:rFonts w:cs="Arial"/>
          <w:sz w:val="24"/>
        </w:rPr>
        <w:fldChar w:fldCharType="begin"/>
      </w:r>
      <w:r w:rsidR="00ED433D">
        <w:rPr>
          <w:rFonts w:cs="Arial"/>
          <w:sz w:val="24"/>
        </w:rPr>
        <w:instrText xml:space="preserve"> REF _Ref138060922 \r \p \h </w:instrText>
      </w:r>
      <w:r w:rsidR="00ED433D">
        <w:rPr>
          <w:rFonts w:cs="Arial"/>
          <w:sz w:val="24"/>
        </w:rPr>
      </w:r>
      <w:r w:rsidR="00ED433D">
        <w:rPr>
          <w:rFonts w:cs="Arial"/>
          <w:sz w:val="24"/>
        </w:rPr>
        <w:fldChar w:fldCharType="separate"/>
      </w:r>
      <w:r w:rsidR="00B7698E">
        <w:rPr>
          <w:rFonts w:cs="Arial"/>
          <w:sz w:val="24"/>
        </w:rPr>
        <w:t>8 above</w:t>
      </w:r>
      <w:r w:rsidR="00ED433D">
        <w:rPr>
          <w:rFonts w:cs="Arial"/>
          <w:sz w:val="24"/>
        </w:rPr>
        <w:fldChar w:fldCharType="end"/>
      </w:r>
      <w:r w:rsidR="00ED433D">
        <w:rPr>
          <w:rFonts w:cs="Arial"/>
          <w:sz w:val="24"/>
        </w:rPr>
        <w:t xml:space="preserve"> was sent to </w:t>
      </w:r>
      <w:r w:rsidR="00324CDD">
        <w:rPr>
          <w:rFonts w:cs="Arial"/>
          <w:sz w:val="24"/>
        </w:rPr>
        <w:t>“</w:t>
      </w:r>
      <w:r w:rsidR="00ED433D" w:rsidRPr="001971F9">
        <w:rPr>
          <w:rFonts w:cs="Arial"/>
          <w:i/>
          <w:iCs/>
          <w:sz w:val="24"/>
        </w:rPr>
        <w:t xml:space="preserve">all clients of the </w:t>
      </w:r>
      <w:r w:rsidR="00324CDD" w:rsidRPr="001971F9">
        <w:rPr>
          <w:rFonts w:cs="Arial"/>
          <w:i/>
          <w:iCs/>
          <w:sz w:val="24"/>
        </w:rPr>
        <w:t>A</w:t>
      </w:r>
      <w:r w:rsidR="00ED433D" w:rsidRPr="001971F9">
        <w:rPr>
          <w:rFonts w:cs="Arial"/>
          <w:i/>
          <w:iCs/>
          <w:sz w:val="24"/>
        </w:rPr>
        <w:t>pplicant</w:t>
      </w:r>
      <w:r w:rsidR="00324CDD">
        <w:rPr>
          <w:rFonts w:cs="Arial"/>
          <w:sz w:val="24"/>
        </w:rPr>
        <w:t>”</w:t>
      </w:r>
      <w:r w:rsidR="00ED433D">
        <w:rPr>
          <w:rFonts w:cs="Arial"/>
          <w:sz w:val="24"/>
        </w:rPr>
        <w:t xml:space="preserve"> is confirmed by Mr Perkins as being “</w:t>
      </w:r>
      <w:r w:rsidR="00324CDD">
        <w:rPr>
          <w:rFonts w:cs="Arial"/>
          <w:i/>
          <w:iCs/>
          <w:sz w:val="24"/>
        </w:rPr>
        <w:t>quite correct</w:t>
      </w:r>
      <w:r w:rsidR="00324CDD">
        <w:rPr>
          <w:rFonts w:cs="Arial"/>
          <w:sz w:val="24"/>
        </w:rPr>
        <w:t>.</w:t>
      </w:r>
      <w:r w:rsidR="00ED433D">
        <w:rPr>
          <w:rFonts w:cs="Arial"/>
          <w:sz w:val="24"/>
        </w:rPr>
        <w:t>”</w:t>
      </w:r>
      <w:r w:rsidR="005F406E">
        <w:rPr>
          <w:rFonts w:cs="Arial"/>
          <w:sz w:val="24"/>
        </w:rPr>
        <w:t xml:space="preserve"> </w:t>
      </w:r>
      <w:r w:rsidR="004706E1">
        <w:rPr>
          <w:rFonts w:cs="Arial"/>
          <w:sz w:val="24"/>
        </w:rPr>
        <w:t>Her</w:t>
      </w:r>
      <w:r w:rsidR="00533541">
        <w:rPr>
          <w:rFonts w:cs="Arial"/>
          <w:sz w:val="24"/>
        </w:rPr>
        <w:t xml:space="preserve"> averment that “</w:t>
      </w:r>
      <w:r w:rsidR="00533541">
        <w:rPr>
          <w:rFonts w:cs="Arial"/>
          <w:i/>
          <w:iCs/>
          <w:sz w:val="24"/>
        </w:rPr>
        <w:t>the Applicant had ceded all its contracts</w:t>
      </w:r>
      <w:r w:rsidR="00533541">
        <w:rPr>
          <w:rFonts w:cs="Arial"/>
          <w:sz w:val="24"/>
        </w:rPr>
        <w:t>” is not disputed by him.</w:t>
      </w:r>
      <w:r w:rsidR="00533541" w:rsidRPr="00533541">
        <w:rPr>
          <w:rFonts w:cs="Arial"/>
          <w:sz w:val="24"/>
        </w:rPr>
        <w:t xml:space="preserve"> </w:t>
      </w:r>
      <w:r w:rsidR="004706E1">
        <w:rPr>
          <w:rFonts w:cs="Arial"/>
          <w:sz w:val="24"/>
        </w:rPr>
        <w:t xml:space="preserve">Ms Jackson’s </w:t>
      </w:r>
      <w:r w:rsidR="00533541">
        <w:rPr>
          <w:rFonts w:cs="Arial"/>
          <w:sz w:val="24"/>
        </w:rPr>
        <w:t xml:space="preserve">further averment that </w:t>
      </w:r>
      <w:r w:rsidR="002D2595">
        <w:rPr>
          <w:rFonts w:cs="Arial"/>
          <w:sz w:val="24"/>
        </w:rPr>
        <w:t>the contracts</w:t>
      </w:r>
      <w:r w:rsidR="004706E1">
        <w:rPr>
          <w:rFonts w:cs="Arial"/>
          <w:sz w:val="24"/>
        </w:rPr>
        <w:t xml:space="preserve"> were the sole source of income for the business </w:t>
      </w:r>
      <w:r w:rsidR="00533541">
        <w:rPr>
          <w:rFonts w:cs="Arial"/>
          <w:sz w:val="24"/>
        </w:rPr>
        <w:t xml:space="preserve">is not </w:t>
      </w:r>
      <w:r w:rsidR="004706E1">
        <w:rPr>
          <w:rFonts w:cs="Arial"/>
          <w:sz w:val="24"/>
        </w:rPr>
        <w:t xml:space="preserve">pertinently </w:t>
      </w:r>
      <w:r w:rsidR="00533541">
        <w:rPr>
          <w:rFonts w:cs="Arial"/>
          <w:sz w:val="24"/>
        </w:rPr>
        <w:t xml:space="preserve">disputed by </w:t>
      </w:r>
      <w:r w:rsidR="002D2595">
        <w:rPr>
          <w:rFonts w:cs="Arial"/>
          <w:sz w:val="24"/>
        </w:rPr>
        <w:t>Mr Perkins</w:t>
      </w:r>
      <w:r w:rsidR="00196843">
        <w:rPr>
          <w:rFonts w:cs="Arial"/>
          <w:sz w:val="24"/>
        </w:rPr>
        <w:t xml:space="preserve">. </w:t>
      </w:r>
      <w:r w:rsidR="004F3981">
        <w:rPr>
          <w:rFonts w:cs="Arial"/>
          <w:sz w:val="24"/>
        </w:rPr>
        <w:t>In any event, it is confirmed categorically in the answering affidavit that “</w:t>
      </w:r>
      <w:r w:rsidR="004F3981">
        <w:rPr>
          <w:rFonts w:cs="Arial"/>
          <w:i/>
          <w:iCs/>
          <w:sz w:val="24"/>
        </w:rPr>
        <w:t>the business of the Applicant was transferred to the First Respondent in the sense that the contracts of the clients were so ceded.</w:t>
      </w:r>
      <w:r w:rsidR="004F3981">
        <w:rPr>
          <w:rFonts w:cs="Arial"/>
          <w:sz w:val="24"/>
        </w:rPr>
        <w:t>”</w:t>
      </w:r>
    </w:p>
    <w:p w14:paraId="184B2F06" w14:textId="701CF57B" w:rsidR="000E562E" w:rsidRPr="001931C6" w:rsidRDefault="00C03686" w:rsidP="00C03686">
      <w:pPr>
        <w:spacing w:after="480" w:line="480" w:lineRule="auto"/>
        <w:ind w:left="709" w:hanging="709"/>
        <w:rPr>
          <w:rFonts w:cs="Arial"/>
          <w:sz w:val="24"/>
        </w:rPr>
      </w:pPr>
      <w:r w:rsidRPr="001931C6">
        <w:rPr>
          <w:rFonts w:cs="Arial"/>
          <w:bCs/>
          <w:iCs/>
          <w:sz w:val="24"/>
        </w:rPr>
        <w:t>44.</w:t>
      </w:r>
      <w:r w:rsidRPr="001931C6">
        <w:rPr>
          <w:rFonts w:cs="Arial"/>
          <w:bCs/>
          <w:iCs/>
          <w:sz w:val="24"/>
        </w:rPr>
        <w:tab/>
      </w:r>
      <w:r w:rsidR="009C469D">
        <w:rPr>
          <w:rFonts w:cs="Arial"/>
          <w:sz w:val="24"/>
        </w:rPr>
        <w:t xml:space="preserve">In the result, I find that </w:t>
      </w:r>
      <w:r w:rsidR="00AE4F6C">
        <w:rPr>
          <w:rFonts w:cs="Arial"/>
          <w:sz w:val="24"/>
        </w:rPr>
        <w:t>the purported transfer of the contracts constitutes a disposal of “</w:t>
      </w:r>
      <w:r w:rsidR="00E01599">
        <w:rPr>
          <w:rFonts w:cs="Arial"/>
          <w:i/>
          <w:iCs/>
          <w:sz w:val="24"/>
        </w:rPr>
        <w:t>all or the greater part of [the] assets or undertaking</w:t>
      </w:r>
      <w:r w:rsidR="00AE4F6C">
        <w:rPr>
          <w:rFonts w:cs="Arial"/>
          <w:sz w:val="24"/>
        </w:rPr>
        <w:t>” of the applicant</w:t>
      </w:r>
      <w:r w:rsidR="00E01599">
        <w:rPr>
          <w:rFonts w:cs="Arial"/>
          <w:sz w:val="24"/>
        </w:rPr>
        <w:t xml:space="preserve"> as contemplated in section 112(2) </w:t>
      </w:r>
      <w:r w:rsidR="005451F9">
        <w:rPr>
          <w:rFonts w:cs="Arial"/>
          <w:sz w:val="24"/>
        </w:rPr>
        <w:t>in the absence of</w:t>
      </w:r>
      <w:r w:rsidR="00E01599">
        <w:rPr>
          <w:rFonts w:cs="Arial"/>
          <w:sz w:val="24"/>
        </w:rPr>
        <w:t xml:space="preserve"> a special resolution of the shareholders </w:t>
      </w:r>
      <w:r w:rsidR="004E36B5">
        <w:rPr>
          <w:rFonts w:cs="Arial"/>
          <w:sz w:val="24"/>
        </w:rPr>
        <w:t>of the applicant as required by section 115(1)</w:t>
      </w:r>
      <w:r w:rsidR="0061793D" w:rsidRPr="00522754">
        <w:rPr>
          <w:rStyle w:val="FootnoteReference"/>
          <w:rFonts w:cs="Arial"/>
          <w:sz w:val="24"/>
        </w:rPr>
        <w:footnoteReference w:id="11"/>
      </w:r>
      <w:r w:rsidR="00CC1586">
        <w:rPr>
          <w:rFonts w:cs="Arial"/>
          <w:sz w:val="24"/>
        </w:rPr>
        <w:t xml:space="preserve"> and (2)</w:t>
      </w:r>
      <w:r w:rsidR="0061793D" w:rsidRPr="00522754">
        <w:rPr>
          <w:rStyle w:val="FootnoteReference"/>
          <w:rFonts w:cs="Arial"/>
          <w:sz w:val="24"/>
        </w:rPr>
        <w:footnoteReference w:id="12"/>
      </w:r>
      <w:r w:rsidR="00EF637F">
        <w:rPr>
          <w:rFonts w:cs="Arial"/>
          <w:sz w:val="24"/>
        </w:rPr>
        <w:t>.</w:t>
      </w:r>
    </w:p>
    <w:p w14:paraId="1757BDD1" w14:textId="7851AB13" w:rsidR="000E562E" w:rsidRPr="001931C6" w:rsidRDefault="00C03686" w:rsidP="00C03686">
      <w:pPr>
        <w:spacing w:after="480" w:line="480" w:lineRule="auto"/>
        <w:ind w:left="709" w:hanging="709"/>
        <w:rPr>
          <w:rFonts w:cs="Arial"/>
          <w:sz w:val="24"/>
        </w:rPr>
      </w:pPr>
      <w:bookmarkStart w:id="12" w:name="_Ref137974854"/>
      <w:r w:rsidRPr="001931C6">
        <w:rPr>
          <w:rFonts w:cs="Arial"/>
          <w:bCs/>
          <w:iCs/>
          <w:sz w:val="24"/>
        </w:rPr>
        <w:lastRenderedPageBreak/>
        <w:t>45.</w:t>
      </w:r>
      <w:r w:rsidRPr="001931C6">
        <w:rPr>
          <w:rFonts w:cs="Arial"/>
          <w:bCs/>
          <w:iCs/>
          <w:sz w:val="24"/>
        </w:rPr>
        <w:tab/>
      </w:r>
      <w:r w:rsidR="000E562E" w:rsidRPr="001931C6">
        <w:rPr>
          <w:rFonts w:cs="Arial"/>
          <w:sz w:val="24"/>
        </w:rPr>
        <w:t xml:space="preserve">I understood Mr Kloek to accept that, if I were to find </w:t>
      </w:r>
      <w:r w:rsidR="00097CB9" w:rsidRPr="001931C6">
        <w:rPr>
          <w:rFonts w:cs="Arial"/>
          <w:sz w:val="24"/>
          <w:lang w:val="en-GB"/>
        </w:rPr>
        <w:t>sections 112(2) and 115(1)</w:t>
      </w:r>
      <w:r w:rsidR="00CC1586">
        <w:rPr>
          <w:rFonts w:cs="Arial"/>
          <w:sz w:val="24"/>
          <w:lang w:val="en-GB"/>
        </w:rPr>
        <w:t xml:space="preserve"> and (2)</w:t>
      </w:r>
      <w:r w:rsidR="00097CB9" w:rsidRPr="001931C6">
        <w:rPr>
          <w:rFonts w:cs="Arial"/>
          <w:sz w:val="24"/>
          <w:lang w:val="en-GB"/>
        </w:rPr>
        <w:t xml:space="preserve"> </w:t>
      </w:r>
      <w:r w:rsidR="00450BA4">
        <w:rPr>
          <w:rFonts w:cs="Arial"/>
          <w:sz w:val="24"/>
        </w:rPr>
        <w:t>to be</w:t>
      </w:r>
      <w:r w:rsidR="00450BA4" w:rsidRPr="001931C6">
        <w:rPr>
          <w:rFonts w:cs="Arial"/>
          <w:sz w:val="24"/>
        </w:rPr>
        <w:t xml:space="preserve"> </w:t>
      </w:r>
      <w:r w:rsidR="000E562E" w:rsidRPr="001931C6">
        <w:rPr>
          <w:rFonts w:cs="Arial"/>
          <w:sz w:val="24"/>
        </w:rPr>
        <w:t xml:space="preserve">of application, </w:t>
      </w:r>
      <w:r w:rsidR="00507E3D">
        <w:rPr>
          <w:rFonts w:cs="Arial"/>
          <w:sz w:val="24"/>
        </w:rPr>
        <w:t xml:space="preserve">as I do, </w:t>
      </w:r>
      <w:r w:rsidR="000E562E" w:rsidRPr="001931C6">
        <w:rPr>
          <w:rFonts w:cs="Arial"/>
          <w:sz w:val="24"/>
        </w:rPr>
        <w:t xml:space="preserve">then the common-cause absence of </w:t>
      </w:r>
      <w:r w:rsidR="00122AC2">
        <w:rPr>
          <w:rFonts w:cs="Arial"/>
          <w:sz w:val="24"/>
        </w:rPr>
        <w:t xml:space="preserve">such </w:t>
      </w:r>
      <w:r w:rsidR="000E562E" w:rsidRPr="001931C6">
        <w:rPr>
          <w:rFonts w:cs="Arial"/>
          <w:sz w:val="24"/>
        </w:rPr>
        <w:t>a resolution would invalidate the deed of cession.</w:t>
      </w:r>
    </w:p>
    <w:p w14:paraId="1C19BD17" w14:textId="033A8D76" w:rsidR="000E562E" w:rsidRPr="001931C6" w:rsidRDefault="00C03686" w:rsidP="00C03686">
      <w:pPr>
        <w:spacing w:after="480" w:line="480" w:lineRule="auto"/>
        <w:ind w:left="709" w:hanging="709"/>
        <w:rPr>
          <w:rFonts w:cs="Arial"/>
          <w:sz w:val="24"/>
        </w:rPr>
      </w:pPr>
      <w:bookmarkStart w:id="13" w:name="_Ref137980176"/>
      <w:r w:rsidRPr="001931C6">
        <w:rPr>
          <w:rFonts w:cs="Arial"/>
          <w:bCs/>
          <w:iCs/>
          <w:sz w:val="24"/>
        </w:rPr>
        <w:t>46.</w:t>
      </w:r>
      <w:r w:rsidRPr="001931C6">
        <w:rPr>
          <w:rFonts w:cs="Arial"/>
          <w:bCs/>
          <w:iCs/>
          <w:sz w:val="24"/>
        </w:rPr>
        <w:tab/>
      </w:r>
      <w:r w:rsidR="000E562E" w:rsidRPr="001931C6">
        <w:rPr>
          <w:rFonts w:cs="Arial"/>
          <w:sz w:val="24"/>
        </w:rPr>
        <w:t>It follows</w:t>
      </w:r>
      <w:r w:rsidR="007E169E">
        <w:rPr>
          <w:rFonts w:cs="Arial"/>
          <w:sz w:val="24"/>
        </w:rPr>
        <w:t>, on this basis alone,</w:t>
      </w:r>
      <w:r w:rsidR="000E562E" w:rsidRPr="001931C6">
        <w:rPr>
          <w:rFonts w:cs="Arial"/>
          <w:sz w:val="24"/>
        </w:rPr>
        <w:t xml:space="preserve"> that </w:t>
      </w:r>
      <w:r w:rsidR="001354C8">
        <w:rPr>
          <w:rFonts w:cs="Arial"/>
          <w:sz w:val="24"/>
        </w:rPr>
        <w:t xml:space="preserve">the primary relief sought in </w:t>
      </w:r>
      <w:r w:rsidR="000E562E" w:rsidRPr="001931C6">
        <w:rPr>
          <w:rFonts w:cs="Arial"/>
          <w:sz w:val="24"/>
        </w:rPr>
        <w:t xml:space="preserve">this application </w:t>
      </w:r>
      <w:r w:rsidR="001354C8">
        <w:rPr>
          <w:rFonts w:cs="Arial"/>
          <w:sz w:val="24"/>
        </w:rPr>
        <w:t xml:space="preserve">should </w:t>
      </w:r>
      <w:r w:rsidR="000E562E" w:rsidRPr="001931C6">
        <w:rPr>
          <w:rFonts w:cs="Arial"/>
          <w:sz w:val="24"/>
        </w:rPr>
        <w:t>be granted.</w:t>
      </w:r>
      <w:bookmarkEnd w:id="12"/>
      <w:bookmarkEnd w:id="13"/>
    </w:p>
    <w:bookmarkEnd w:id="11"/>
    <w:p w14:paraId="2277DDBE" w14:textId="77777777" w:rsidR="000E562E" w:rsidRPr="001931C6" w:rsidRDefault="000E562E" w:rsidP="000E562E">
      <w:pPr>
        <w:pStyle w:val="WLGLevel1"/>
        <w:keepNext/>
        <w:numPr>
          <w:ilvl w:val="0"/>
          <w:numId w:val="0"/>
        </w:numPr>
        <w:suppressAutoHyphens w:val="0"/>
        <w:spacing w:before="0" w:after="480"/>
        <w:rPr>
          <w:rFonts w:cs="Arial"/>
          <w:b/>
          <w:bCs/>
          <w:szCs w:val="24"/>
          <w:lang w:val="en-GB"/>
        </w:rPr>
      </w:pPr>
      <w:r w:rsidRPr="001931C6">
        <w:rPr>
          <w:rFonts w:cs="Arial"/>
          <w:b/>
          <w:bCs/>
          <w:szCs w:val="24"/>
          <w:lang w:val="en-GB"/>
        </w:rPr>
        <w:t>Was the assignment of rights and obligations permissible?</w:t>
      </w:r>
    </w:p>
    <w:p w14:paraId="336EDE94" w14:textId="030557A8" w:rsidR="000E562E" w:rsidRPr="001931C6" w:rsidRDefault="00C03686" w:rsidP="00C03686">
      <w:pPr>
        <w:pStyle w:val="WLGLevel1"/>
        <w:numPr>
          <w:ilvl w:val="0"/>
          <w:numId w:val="0"/>
        </w:numPr>
        <w:suppressAutoHyphens w:val="0"/>
        <w:spacing w:before="0" w:after="480"/>
        <w:ind w:left="709" w:hanging="709"/>
        <w:rPr>
          <w:rFonts w:cs="Arial"/>
          <w:szCs w:val="24"/>
          <w:lang w:val="en-GB"/>
        </w:rPr>
      </w:pPr>
      <w:r w:rsidRPr="001931C6">
        <w:rPr>
          <w:rFonts w:cs="Arial"/>
          <w:bCs/>
          <w:iCs/>
          <w:szCs w:val="24"/>
          <w:lang w:val="en-GB"/>
        </w:rPr>
        <w:t>47.</w:t>
      </w:r>
      <w:r w:rsidRPr="001931C6">
        <w:rPr>
          <w:rFonts w:cs="Arial"/>
          <w:bCs/>
          <w:iCs/>
          <w:szCs w:val="24"/>
          <w:lang w:val="en-GB"/>
        </w:rPr>
        <w:tab/>
      </w:r>
      <w:r w:rsidR="000E562E" w:rsidRPr="001931C6">
        <w:rPr>
          <w:rFonts w:cs="Arial"/>
          <w:szCs w:val="24"/>
          <w:lang w:val="en-GB"/>
        </w:rPr>
        <w:t xml:space="preserve">In the course of the hearing I </w:t>
      </w:r>
      <w:r w:rsidR="00E02FE2">
        <w:rPr>
          <w:rFonts w:cs="Arial"/>
          <w:szCs w:val="24"/>
          <w:lang w:val="en-GB"/>
        </w:rPr>
        <w:t>asked</w:t>
      </w:r>
      <w:r w:rsidR="000E562E" w:rsidRPr="001931C6">
        <w:rPr>
          <w:rFonts w:cs="Arial"/>
          <w:szCs w:val="24"/>
          <w:lang w:val="en-GB"/>
        </w:rPr>
        <w:t xml:space="preserve"> the parties’ representatives whether the </w:t>
      </w:r>
      <w:r w:rsidR="00A52D01">
        <w:rPr>
          <w:rFonts w:cs="Arial"/>
          <w:szCs w:val="24"/>
          <w:lang w:val="en-GB"/>
        </w:rPr>
        <w:t xml:space="preserve">terms of the </w:t>
      </w:r>
      <w:r w:rsidR="000E562E" w:rsidRPr="001931C6">
        <w:rPr>
          <w:rFonts w:cs="Arial"/>
          <w:szCs w:val="24"/>
          <w:lang w:val="en-GB"/>
        </w:rPr>
        <w:t xml:space="preserve">contracts required the consent of the </w:t>
      </w:r>
      <w:r w:rsidR="00B8145C">
        <w:rPr>
          <w:rFonts w:cs="Arial"/>
          <w:szCs w:val="24"/>
          <w:lang w:val="en-GB"/>
        </w:rPr>
        <w:t xml:space="preserve">counterparty </w:t>
      </w:r>
      <w:r w:rsidR="000E562E" w:rsidRPr="001931C6">
        <w:rPr>
          <w:rFonts w:cs="Arial"/>
          <w:szCs w:val="24"/>
          <w:lang w:val="en-GB"/>
        </w:rPr>
        <w:t xml:space="preserve">clients for their valid transfer </w:t>
      </w:r>
      <w:r w:rsidR="00AE3A23">
        <w:rPr>
          <w:rFonts w:cs="Arial"/>
          <w:szCs w:val="24"/>
          <w:lang w:val="en-GB"/>
        </w:rPr>
        <w:t>by</w:t>
      </w:r>
      <w:r w:rsidR="00AE3A23" w:rsidRPr="001931C6">
        <w:rPr>
          <w:rFonts w:cs="Arial"/>
          <w:szCs w:val="24"/>
          <w:lang w:val="en-GB"/>
        </w:rPr>
        <w:t xml:space="preserve"> </w:t>
      </w:r>
      <w:r w:rsidR="000E562E" w:rsidRPr="001931C6">
        <w:rPr>
          <w:rFonts w:cs="Arial"/>
          <w:szCs w:val="24"/>
          <w:lang w:val="en-GB"/>
        </w:rPr>
        <w:t xml:space="preserve">the applicant to the first respondent. Since no such contract is included in the papers, neither Ms Naydenova nor Mr Kloek could provide an answer. </w:t>
      </w:r>
    </w:p>
    <w:p w14:paraId="0EA8FFD3" w14:textId="1711054F" w:rsidR="003B4602" w:rsidRDefault="00C03686" w:rsidP="00C03686">
      <w:pPr>
        <w:pStyle w:val="WLGLevel1"/>
        <w:numPr>
          <w:ilvl w:val="0"/>
          <w:numId w:val="0"/>
        </w:numPr>
        <w:suppressAutoHyphens w:val="0"/>
        <w:spacing w:before="0" w:after="480"/>
        <w:ind w:left="709" w:hanging="709"/>
        <w:rPr>
          <w:rFonts w:cs="Arial"/>
          <w:szCs w:val="24"/>
          <w:lang w:val="en-GB"/>
        </w:rPr>
      </w:pPr>
      <w:r>
        <w:rPr>
          <w:rFonts w:cs="Arial"/>
          <w:bCs/>
          <w:iCs/>
          <w:szCs w:val="24"/>
          <w:lang w:val="en-GB"/>
        </w:rPr>
        <w:t>48.</w:t>
      </w:r>
      <w:r>
        <w:rPr>
          <w:rFonts w:cs="Arial"/>
          <w:bCs/>
          <w:iCs/>
          <w:szCs w:val="24"/>
          <w:lang w:val="en-GB"/>
        </w:rPr>
        <w:tab/>
      </w:r>
      <w:r w:rsidR="001D7E88">
        <w:rPr>
          <w:rFonts w:cs="Arial"/>
          <w:szCs w:val="24"/>
          <w:lang w:val="en-GB"/>
        </w:rPr>
        <w:t>Both representatives did however address me</w:t>
      </w:r>
      <w:r w:rsidR="00E34DF0">
        <w:rPr>
          <w:rFonts w:cs="Arial"/>
          <w:szCs w:val="24"/>
          <w:lang w:val="en-GB"/>
        </w:rPr>
        <w:t xml:space="preserve"> on</w:t>
      </w:r>
      <w:r w:rsidR="000E562E" w:rsidRPr="001931C6">
        <w:rPr>
          <w:rFonts w:cs="Arial"/>
          <w:szCs w:val="24"/>
          <w:lang w:val="en-GB"/>
        </w:rPr>
        <w:t xml:space="preserve"> whether, in any event, the provision of security services in the context of high levels of crime was a matter of sufficiently personal choice to require the client’s consent to a switch in service provider. Whilst Ms Naydenova </w:t>
      </w:r>
      <w:r w:rsidR="00F129AA">
        <w:rPr>
          <w:rFonts w:cs="Arial"/>
          <w:szCs w:val="24"/>
          <w:lang w:val="en-GB"/>
        </w:rPr>
        <w:t>supported</w:t>
      </w:r>
      <w:r w:rsidR="00F129AA" w:rsidRPr="001931C6">
        <w:rPr>
          <w:rFonts w:cs="Arial"/>
          <w:szCs w:val="24"/>
          <w:lang w:val="en-GB"/>
        </w:rPr>
        <w:t xml:space="preserve"> </w:t>
      </w:r>
      <w:r w:rsidR="000E562E" w:rsidRPr="001931C6">
        <w:rPr>
          <w:rFonts w:cs="Arial"/>
          <w:szCs w:val="24"/>
          <w:lang w:val="en-GB"/>
        </w:rPr>
        <w:t>the proposition</w:t>
      </w:r>
      <w:r w:rsidR="00F73BFA" w:rsidRPr="00F73BFA">
        <w:rPr>
          <w:rFonts w:cs="Arial"/>
          <w:szCs w:val="24"/>
          <w:lang w:val="en-GB"/>
        </w:rPr>
        <w:t xml:space="preserve"> </w:t>
      </w:r>
      <w:r w:rsidR="00F73BFA" w:rsidRPr="001931C6">
        <w:rPr>
          <w:rFonts w:cs="Arial"/>
          <w:szCs w:val="24"/>
          <w:lang w:val="en-GB"/>
        </w:rPr>
        <w:t xml:space="preserve">that clients would not be indifferent as regards which provider of </w:t>
      </w:r>
      <w:r w:rsidR="005C2451">
        <w:rPr>
          <w:rFonts w:cs="Arial"/>
          <w:szCs w:val="24"/>
          <w:lang w:val="en-GB"/>
        </w:rPr>
        <w:t>such</w:t>
      </w:r>
      <w:r w:rsidR="00F73BFA" w:rsidRPr="001931C6">
        <w:rPr>
          <w:rFonts w:cs="Arial"/>
          <w:szCs w:val="24"/>
          <w:lang w:val="en-GB"/>
        </w:rPr>
        <w:t xml:space="preserve"> services would guard their lives and livelihoods by day and night</w:t>
      </w:r>
      <w:r w:rsidR="000E562E" w:rsidRPr="001931C6">
        <w:rPr>
          <w:rFonts w:cs="Arial"/>
          <w:szCs w:val="24"/>
          <w:lang w:val="en-GB"/>
        </w:rPr>
        <w:t xml:space="preserve">, Mr Kloek resisted it, suggesting that the services rendered by the Ithemba group of entities are not such as to engage </w:t>
      </w:r>
      <w:r w:rsidR="000E562E" w:rsidRPr="001931C6">
        <w:rPr>
          <w:rFonts w:cs="Arial"/>
          <w:i/>
          <w:iCs/>
          <w:szCs w:val="24"/>
          <w:lang w:val="en-GB"/>
        </w:rPr>
        <w:t>delectus personae</w:t>
      </w:r>
      <w:r w:rsidR="000E562E" w:rsidRPr="001931C6">
        <w:rPr>
          <w:rFonts w:cs="Arial"/>
          <w:szCs w:val="24"/>
          <w:lang w:val="en-GB"/>
        </w:rPr>
        <w:t xml:space="preserve"> principles</w:t>
      </w:r>
      <w:r w:rsidR="003B4602">
        <w:rPr>
          <w:rFonts w:cs="Arial"/>
          <w:szCs w:val="24"/>
          <w:lang w:val="en-GB"/>
        </w:rPr>
        <w:t>.</w:t>
      </w:r>
    </w:p>
    <w:p w14:paraId="6A5F8527" w14:textId="1642ADC4" w:rsidR="00583B16" w:rsidRDefault="00C03686" w:rsidP="00C03686">
      <w:pPr>
        <w:pStyle w:val="WLGLevel1"/>
        <w:keepNext/>
        <w:numPr>
          <w:ilvl w:val="0"/>
          <w:numId w:val="0"/>
        </w:numPr>
        <w:suppressAutoHyphens w:val="0"/>
        <w:spacing w:before="0" w:after="480"/>
        <w:ind w:left="709" w:hanging="709"/>
        <w:rPr>
          <w:rFonts w:cs="Arial"/>
          <w:szCs w:val="24"/>
          <w:lang w:val="en-GB"/>
        </w:rPr>
      </w:pPr>
      <w:r>
        <w:rPr>
          <w:rFonts w:cs="Arial"/>
          <w:bCs/>
          <w:iCs/>
          <w:szCs w:val="24"/>
          <w:lang w:val="en-GB"/>
        </w:rPr>
        <w:lastRenderedPageBreak/>
        <w:t>49.</w:t>
      </w:r>
      <w:r>
        <w:rPr>
          <w:rFonts w:cs="Arial"/>
          <w:bCs/>
          <w:iCs/>
          <w:szCs w:val="24"/>
          <w:lang w:val="en-GB"/>
        </w:rPr>
        <w:tab/>
      </w:r>
      <w:r w:rsidR="003B4602">
        <w:rPr>
          <w:rFonts w:cs="Arial"/>
          <w:szCs w:val="24"/>
          <w:lang w:val="en-GB"/>
        </w:rPr>
        <w:t xml:space="preserve">To my mind, the debate is </w:t>
      </w:r>
      <w:r w:rsidR="0010154F">
        <w:rPr>
          <w:rFonts w:cs="Arial"/>
          <w:szCs w:val="24"/>
          <w:lang w:val="en-GB"/>
        </w:rPr>
        <w:t>misdirected</w:t>
      </w:r>
      <w:r w:rsidR="003B4602">
        <w:rPr>
          <w:rFonts w:cs="Arial"/>
          <w:szCs w:val="24"/>
          <w:lang w:val="en-GB"/>
        </w:rPr>
        <w:t>.</w:t>
      </w:r>
    </w:p>
    <w:p w14:paraId="3F5DA9C9" w14:textId="789C10F0" w:rsidR="000E562E" w:rsidRPr="001931C6" w:rsidRDefault="00C03686" w:rsidP="00C03686">
      <w:pPr>
        <w:pStyle w:val="WLGLevel1"/>
        <w:numPr>
          <w:ilvl w:val="0"/>
          <w:numId w:val="0"/>
        </w:numPr>
        <w:tabs>
          <w:tab w:val="left" w:pos="1560"/>
        </w:tabs>
        <w:suppressAutoHyphens w:val="0"/>
        <w:spacing w:before="0" w:after="480"/>
        <w:ind w:left="1560" w:hanging="851"/>
        <w:rPr>
          <w:rFonts w:cs="Arial"/>
          <w:szCs w:val="24"/>
          <w:lang w:val="en-GB"/>
        </w:rPr>
      </w:pPr>
      <w:r w:rsidRPr="001931C6">
        <w:rPr>
          <w:rFonts w:cs="Arial"/>
          <w:szCs w:val="24"/>
          <w:lang w:val="en-GB"/>
        </w:rPr>
        <w:t>49.1.</w:t>
      </w:r>
      <w:r w:rsidRPr="001931C6">
        <w:rPr>
          <w:rFonts w:cs="Arial"/>
          <w:szCs w:val="24"/>
          <w:lang w:val="en-GB"/>
        </w:rPr>
        <w:tab/>
      </w:r>
      <w:r w:rsidR="00B278FE">
        <w:rPr>
          <w:rFonts w:cs="Arial"/>
          <w:szCs w:val="24"/>
          <w:lang w:val="en-GB"/>
        </w:rPr>
        <w:t xml:space="preserve">All other things being equal, what would have been capable of </w:t>
      </w:r>
      <w:r w:rsidR="00B278FE" w:rsidRPr="00E978FD">
        <w:rPr>
          <w:rFonts w:cs="Arial"/>
          <w:i/>
          <w:iCs/>
          <w:szCs w:val="24"/>
          <w:lang w:val="en-GB"/>
        </w:rPr>
        <w:t>cession</w:t>
      </w:r>
      <w:r w:rsidR="00B278FE">
        <w:rPr>
          <w:rFonts w:cs="Arial"/>
          <w:szCs w:val="24"/>
          <w:lang w:val="en-GB"/>
        </w:rPr>
        <w:t xml:space="preserve"> by the applicant to the first respondent</w:t>
      </w:r>
      <w:r w:rsidR="00631067">
        <w:rPr>
          <w:rFonts w:cs="Arial"/>
          <w:szCs w:val="24"/>
          <w:lang w:val="en-GB"/>
        </w:rPr>
        <w:t>,</w:t>
      </w:r>
      <w:r w:rsidR="00BA6D42">
        <w:rPr>
          <w:rFonts w:cs="Arial"/>
          <w:szCs w:val="24"/>
          <w:lang w:val="en-GB"/>
        </w:rPr>
        <w:t xml:space="preserve"> without the consent of each client</w:t>
      </w:r>
      <w:r w:rsidR="00631067">
        <w:rPr>
          <w:rFonts w:cs="Arial"/>
          <w:szCs w:val="24"/>
          <w:lang w:val="en-GB"/>
        </w:rPr>
        <w:t>,</w:t>
      </w:r>
      <w:r w:rsidR="00B278FE">
        <w:rPr>
          <w:rFonts w:cs="Arial"/>
          <w:szCs w:val="24"/>
          <w:lang w:val="en-GB"/>
        </w:rPr>
        <w:t xml:space="preserve"> </w:t>
      </w:r>
      <w:r w:rsidR="00CE71CF">
        <w:rPr>
          <w:rFonts w:cs="Arial"/>
          <w:szCs w:val="24"/>
          <w:lang w:val="en-GB"/>
        </w:rPr>
        <w:t xml:space="preserve">is the right to </w:t>
      </w:r>
      <w:r w:rsidR="00A57D7F">
        <w:rPr>
          <w:rFonts w:cs="Arial"/>
          <w:szCs w:val="24"/>
          <w:lang w:val="en-GB"/>
        </w:rPr>
        <w:t xml:space="preserve">receive </w:t>
      </w:r>
      <w:r w:rsidR="00CE71CF">
        <w:rPr>
          <w:rFonts w:cs="Arial"/>
          <w:szCs w:val="24"/>
          <w:lang w:val="en-GB"/>
        </w:rPr>
        <w:t xml:space="preserve">payment by </w:t>
      </w:r>
      <w:r w:rsidR="00BA6D42">
        <w:rPr>
          <w:rFonts w:cs="Arial"/>
          <w:szCs w:val="24"/>
          <w:lang w:val="en-GB"/>
        </w:rPr>
        <w:t>the</w:t>
      </w:r>
      <w:r w:rsidR="00CE71CF">
        <w:rPr>
          <w:rFonts w:cs="Arial"/>
          <w:szCs w:val="24"/>
          <w:lang w:val="en-GB"/>
        </w:rPr>
        <w:t xml:space="preserve"> client</w:t>
      </w:r>
      <w:r w:rsidR="00DE1A8C">
        <w:rPr>
          <w:rFonts w:cs="Arial"/>
          <w:szCs w:val="24"/>
          <w:lang w:val="en-GB"/>
        </w:rPr>
        <w:t>. In that regard</w:t>
      </w:r>
      <w:r w:rsidR="00CE71CF">
        <w:rPr>
          <w:rFonts w:cs="Arial"/>
          <w:szCs w:val="24"/>
          <w:lang w:val="en-GB"/>
        </w:rPr>
        <w:t xml:space="preserve">, </w:t>
      </w:r>
      <w:r w:rsidR="00CE71CF" w:rsidRPr="001931C6">
        <w:rPr>
          <w:rFonts w:cs="Arial"/>
          <w:i/>
          <w:iCs/>
          <w:szCs w:val="24"/>
          <w:lang w:val="en-GB"/>
        </w:rPr>
        <w:t>delectus personae</w:t>
      </w:r>
      <w:r w:rsidR="00CE71CF" w:rsidRPr="001931C6">
        <w:rPr>
          <w:rFonts w:cs="Arial"/>
          <w:szCs w:val="24"/>
          <w:lang w:val="en-GB"/>
        </w:rPr>
        <w:t xml:space="preserve"> principles</w:t>
      </w:r>
      <w:r w:rsidR="00CE71CF">
        <w:rPr>
          <w:rFonts w:cs="Arial"/>
          <w:szCs w:val="24"/>
          <w:lang w:val="en-GB"/>
        </w:rPr>
        <w:t xml:space="preserve"> </w:t>
      </w:r>
      <w:r w:rsidR="00E24D0E">
        <w:rPr>
          <w:rFonts w:cs="Arial"/>
          <w:szCs w:val="24"/>
          <w:lang w:val="en-GB"/>
        </w:rPr>
        <w:t>would probably not arise</w:t>
      </w:r>
      <w:r w:rsidR="00DE1A8C">
        <w:rPr>
          <w:rFonts w:cs="Arial"/>
          <w:szCs w:val="24"/>
          <w:lang w:val="en-GB"/>
        </w:rPr>
        <w:t xml:space="preserve"> since the client would </w:t>
      </w:r>
      <w:r w:rsidR="00D31564">
        <w:rPr>
          <w:rFonts w:cs="Arial"/>
          <w:szCs w:val="24"/>
          <w:lang w:val="en-GB"/>
        </w:rPr>
        <w:t>be unlikely to</w:t>
      </w:r>
      <w:r w:rsidR="00BF43D9">
        <w:rPr>
          <w:rFonts w:cs="Arial"/>
          <w:szCs w:val="24"/>
          <w:lang w:val="en-GB"/>
        </w:rPr>
        <w:t xml:space="preserve"> mind to which entity its payments </w:t>
      </w:r>
      <w:r w:rsidR="006A69A5">
        <w:rPr>
          <w:rFonts w:cs="Arial"/>
          <w:szCs w:val="24"/>
          <w:lang w:val="en-GB"/>
        </w:rPr>
        <w:t xml:space="preserve">were </w:t>
      </w:r>
      <w:r w:rsidR="00BF43D9">
        <w:rPr>
          <w:rFonts w:cs="Arial"/>
          <w:szCs w:val="24"/>
          <w:lang w:val="en-GB"/>
        </w:rPr>
        <w:t>to be made</w:t>
      </w:r>
      <w:r w:rsidR="00D31564">
        <w:rPr>
          <w:rFonts w:cs="Arial"/>
          <w:szCs w:val="24"/>
          <w:lang w:val="en-GB"/>
        </w:rPr>
        <w:t xml:space="preserve"> (provided it received the services for which it had contracted)</w:t>
      </w:r>
      <w:r w:rsidR="000E562E" w:rsidRPr="001931C6">
        <w:rPr>
          <w:rFonts w:cs="Arial"/>
          <w:szCs w:val="24"/>
          <w:lang w:val="en-GB"/>
        </w:rPr>
        <w:t>.</w:t>
      </w:r>
    </w:p>
    <w:p w14:paraId="3A1AAD2A" w14:textId="78C4B989" w:rsidR="007E169E" w:rsidRDefault="00C03686" w:rsidP="00C03686">
      <w:pPr>
        <w:pStyle w:val="WLGLevel1"/>
        <w:numPr>
          <w:ilvl w:val="0"/>
          <w:numId w:val="0"/>
        </w:numPr>
        <w:tabs>
          <w:tab w:val="left" w:pos="1560"/>
        </w:tabs>
        <w:suppressAutoHyphens w:val="0"/>
        <w:spacing w:before="0" w:after="480"/>
        <w:ind w:left="1560" w:hanging="851"/>
        <w:rPr>
          <w:rFonts w:cs="Arial"/>
          <w:szCs w:val="24"/>
          <w:lang w:val="en-GB"/>
        </w:rPr>
      </w:pPr>
      <w:bookmarkStart w:id="14" w:name="_Ref137929872"/>
      <w:r>
        <w:rPr>
          <w:rFonts w:cs="Arial"/>
          <w:szCs w:val="24"/>
          <w:lang w:val="en-GB"/>
        </w:rPr>
        <w:t>49.2.</w:t>
      </w:r>
      <w:r>
        <w:rPr>
          <w:rFonts w:cs="Arial"/>
          <w:szCs w:val="24"/>
          <w:lang w:val="en-GB"/>
        </w:rPr>
        <w:tab/>
      </w:r>
      <w:r w:rsidR="00532ABC">
        <w:rPr>
          <w:rFonts w:cs="Arial"/>
          <w:szCs w:val="24"/>
          <w:lang w:val="en-GB"/>
        </w:rPr>
        <w:t>However, w</w:t>
      </w:r>
      <w:r w:rsidR="00F95DAA">
        <w:rPr>
          <w:rFonts w:cs="Arial"/>
          <w:szCs w:val="24"/>
          <w:lang w:val="en-GB"/>
        </w:rPr>
        <w:t xml:space="preserve">hat would not have been capable of </w:t>
      </w:r>
      <w:r w:rsidR="007943DD" w:rsidRPr="00E978FD">
        <w:rPr>
          <w:rFonts w:cs="Arial"/>
          <w:i/>
          <w:iCs/>
          <w:szCs w:val="24"/>
          <w:lang w:val="en-GB"/>
        </w:rPr>
        <w:t>delegation</w:t>
      </w:r>
      <w:r w:rsidR="00F95DAA">
        <w:rPr>
          <w:rFonts w:cs="Arial"/>
          <w:szCs w:val="24"/>
          <w:lang w:val="en-GB"/>
        </w:rPr>
        <w:t xml:space="preserve"> by the applicant to the first respondent, without the consent of each client, is the </w:t>
      </w:r>
      <w:r w:rsidR="007943DD">
        <w:rPr>
          <w:rFonts w:cs="Arial"/>
          <w:szCs w:val="24"/>
          <w:lang w:val="en-GB"/>
        </w:rPr>
        <w:t>obligation to render such services</w:t>
      </w:r>
      <w:r w:rsidR="005536B4">
        <w:rPr>
          <w:rFonts w:cs="Arial"/>
          <w:szCs w:val="24"/>
          <w:lang w:val="en-GB"/>
        </w:rPr>
        <w:t xml:space="preserve"> to the client</w:t>
      </w:r>
      <w:r w:rsidR="00E14493">
        <w:rPr>
          <w:rFonts w:cs="Arial"/>
          <w:szCs w:val="24"/>
          <w:lang w:val="en-GB"/>
        </w:rPr>
        <w:t xml:space="preserve">. Although the </w:t>
      </w:r>
      <w:r w:rsidR="008B0C0D">
        <w:rPr>
          <w:rFonts w:cs="Arial"/>
          <w:szCs w:val="24"/>
          <w:lang w:val="en-GB"/>
        </w:rPr>
        <w:t xml:space="preserve">deed is styled as one of cession, the parties’ representatives were </w:t>
      </w:r>
      <w:r w:rsidR="008B0C0D">
        <w:rPr>
          <w:rFonts w:cs="Arial"/>
          <w:i/>
          <w:iCs/>
          <w:szCs w:val="24"/>
          <w:lang w:val="en-GB"/>
        </w:rPr>
        <w:t xml:space="preserve">ad idem </w:t>
      </w:r>
      <w:r w:rsidR="001A68D9">
        <w:rPr>
          <w:rFonts w:cs="Arial"/>
          <w:szCs w:val="24"/>
          <w:lang w:val="en-GB"/>
        </w:rPr>
        <w:t xml:space="preserve">– and I hold – </w:t>
      </w:r>
      <w:r w:rsidR="008B0C0D">
        <w:rPr>
          <w:rFonts w:cs="Arial"/>
          <w:szCs w:val="24"/>
          <w:lang w:val="en-GB"/>
        </w:rPr>
        <w:t xml:space="preserve">that it </w:t>
      </w:r>
      <w:r w:rsidR="005536B4">
        <w:rPr>
          <w:rFonts w:cs="Arial"/>
          <w:szCs w:val="24"/>
          <w:lang w:val="en-GB"/>
        </w:rPr>
        <w:t xml:space="preserve">is </w:t>
      </w:r>
      <w:r w:rsidR="008B0C0D">
        <w:rPr>
          <w:rFonts w:cs="Arial"/>
          <w:szCs w:val="24"/>
          <w:lang w:val="en-GB"/>
        </w:rPr>
        <w:t>really a deed of assignment</w:t>
      </w:r>
      <w:r w:rsidR="00EC7263">
        <w:rPr>
          <w:rFonts w:cs="Arial"/>
          <w:szCs w:val="24"/>
          <w:lang w:val="en-GB"/>
        </w:rPr>
        <w:t xml:space="preserve">, embodying a purported transfer of both the rights and </w:t>
      </w:r>
      <w:r w:rsidR="005536B4">
        <w:rPr>
          <w:rFonts w:cs="Arial"/>
          <w:szCs w:val="24"/>
          <w:lang w:val="en-GB"/>
        </w:rPr>
        <w:t xml:space="preserve">the </w:t>
      </w:r>
      <w:r w:rsidR="00EC7263">
        <w:rPr>
          <w:rFonts w:cs="Arial"/>
          <w:szCs w:val="24"/>
          <w:lang w:val="en-GB"/>
        </w:rPr>
        <w:t xml:space="preserve">obligations under the contracts. Such a transfer was </w:t>
      </w:r>
      <w:r w:rsidR="00C14679">
        <w:rPr>
          <w:rFonts w:cs="Arial"/>
          <w:szCs w:val="24"/>
          <w:lang w:val="en-GB"/>
        </w:rPr>
        <w:t xml:space="preserve">and is </w:t>
      </w:r>
      <w:r w:rsidR="00EC7263">
        <w:rPr>
          <w:rFonts w:cs="Arial"/>
          <w:szCs w:val="24"/>
          <w:lang w:val="en-GB"/>
        </w:rPr>
        <w:t>impermissible and ineffective in the absence of the consent of the clients</w:t>
      </w:r>
      <w:r w:rsidR="007E169E">
        <w:rPr>
          <w:rFonts w:cs="Arial"/>
          <w:szCs w:val="24"/>
          <w:lang w:val="en-GB"/>
        </w:rPr>
        <w:t>.</w:t>
      </w:r>
    </w:p>
    <w:p w14:paraId="07474B94" w14:textId="7BB8BA01" w:rsidR="000E562E" w:rsidRPr="001931C6" w:rsidRDefault="00C03686" w:rsidP="00C03686">
      <w:pPr>
        <w:pStyle w:val="WLGLevel1"/>
        <w:numPr>
          <w:ilvl w:val="0"/>
          <w:numId w:val="0"/>
        </w:numPr>
        <w:suppressAutoHyphens w:val="0"/>
        <w:spacing w:before="0" w:after="480"/>
        <w:ind w:left="709" w:hanging="709"/>
        <w:rPr>
          <w:rFonts w:cs="Arial"/>
          <w:szCs w:val="24"/>
          <w:lang w:val="en-GB"/>
        </w:rPr>
      </w:pPr>
      <w:bookmarkStart w:id="15" w:name="_Ref138065409"/>
      <w:r w:rsidRPr="001931C6">
        <w:rPr>
          <w:rFonts w:cs="Arial"/>
          <w:bCs/>
          <w:iCs/>
          <w:szCs w:val="24"/>
          <w:lang w:val="en-GB"/>
        </w:rPr>
        <w:t>50.</w:t>
      </w:r>
      <w:r w:rsidRPr="001931C6">
        <w:rPr>
          <w:rFonts w:cs="Arial"/>
          <w:bCs/>
          <w:iCs/>
          <w:szCs w:val="24"/>
          <w:lang w:val="en-GB"/>
        </w:rPr>
        <w:tab/>
      </w:r>
      <w:r w:rsidR="007E169E" w:rsidRPr="001931C6">
        <w:rPr>
          <w:rFonts w:cs="Arial"/>
          <w:szCs w:val="24"/>
        </w:rPr>
        <w:t>It follows</w:t>
      </w:r>
      <w:r w:rsidR="007E169E">
        <w:rPr>
          <w:rFonts w:cs="Arial"/>
        </w:rPr>
        <w:t>, on this basis too,</w:t>
      </w:r>
      <w:r w:rsidR="007E169E" w:rsidRPr="001931C6">
        <w:rPr>
          <w:rFonts w:cs="Arial"/>
          <w:szCs w:val="24"/>
        </w:rPr>
        <w:t xml:space="preserve"> that </w:t>
      </w:r>
      <w:r w:rsidR="007E169E">
        <w:rPr>
          <w:rFonts w:cs="Arial"/>
        </w:rPr>
        <w:t xml:space="preserve">the primary relief sought in </w:t>
      </w:r>
      <w:r w:rsidR="007E169E" w:rsidRPr="001931C6">
        <w:rPr>
          <w:rFonts w:cs="Arial"/>
          <w:szCs w:val="24"/>
        </w:rPr>
        <w:t xml:space="preserve">this application </w:t>
      </w:r>
      <w:r w:rsidR="007E169E">
        <w:rPr>
          <w:rFonts w:cs="Arial"/>
        </w:rPr>
        <w:t xml:space="preserve">should </w:t>
      </w:r>
      <w:r w:rsidR="007E169E" w:rsidRPr="001931C6">
        <w:rPr>
          <w:rFonts w:cs="Arial"/>
          <w:szCs w:val="24"/>
        </w:rPr>
        <w:t>be granted</w:t>
      </w:r>
      <w:r w:rsidR="000E562E" w:rsidRPr="001931C6">
        <w:rPr>
          <w:rFonts w:cs="Arial"/>
          <w:szCs w:val="24"/>
          <w:lang w:val="en-GB"/>
        </w:rPr>
        <w:t>.</w:t>
      </w:r>
      <w:bookmarkEnd w:id="15"/>
      <w:r w:rsidR="000E562E" w:rsidRPr="001931C6">
        <w:rPr>
          <w:rFonts w:cs="Arial"/>
          <w:szCs w:val="24"/>
          <w:lang w:val="en-GB"/>
        </w:rPr>
        <w:t xml:space="preserve"> </w:t>
      </w:r>
    </w:p>
    <w:bookmarkEnd w:id="14"/>
    <w:p w14:paraId="752FBD49" w14:textId="77777777" w:rsidR="000E562E" w:rsidRPr="001931C6" w:rsidRDefault="000E562E" w:rsidP="000E562E">
      <w:pPr>
        <w:pStyle w:val="WLGLevel1"/>
        <w:keepNext/>
        <w:numPr>
          <w:ilvl w:val="0"/>
          <w:numId w:val="0"/>
        </w:numPr>
        <w:suppressAutoHyphens w:val="0"/>
        <w:spacing w:before="0" w:after="480"/>
        <w:rPr>
          <w:rFonts w:cs="Arial"/>
          <w:b/>
          <w:bCs/>
          <w:szCs w:val="24"/>
          <w:lang w:val="en-GB"/>
        </w:rPr>
      </w:pPr>
      <w:r w:rsidRPr="001931C6">
        <w:rPr>
          <w:rFonts w:cs="Arial"/>
          <w:b/>
          <w:bCs/>
          <w:szCs w:val="24"/>
          <w:lang w:val="en-GB"/>
        </w:rPr>
        <w:t>The outcome and order</w:t>
      </w:r>
    </w:p>
    <w:p w14:paraId="46E58E3B" w14:textId="1DCA7A0B" w:rsidR="008965CF" w:rsidRDefault="00C03686" w:rsidP="00C03686">
      <w:pPr>
        <w:pStyle w:val="WLGLevel1"/>
        <w:numPr>
          <w:ilvl w:val="0"/>
          <w:numId w:val="0"/>
        </w:numPr>
        <w:suppressAutoHyphens w:val="0"/>
        <w:spacing w:before="0" w:after="480"/>
        <w:ind w:left="709" w:hanging="709"/>
        <w:rPr>
          <w:rFonts w:cs="Arial"/>
          <w:szCs w:val="24"/>
          <w:lang w:val="en-GB"/>
        </w:rPr>
      </w:pPr>
      <w:r>
        <w:rPr>
          <w:rFonts w:cs="Arial"/>
          <w:bCs/>
          <w:iCs/>
          <w:szCs w:val="24"/>
          <w:lang w:val="en-GB"/>
        </w:rPr>
        <w:t>51.</w:t>
      </w:r>
      <w:r>
        <w:rPr>
          <w:rFonts w:cs="Arial"/>
          <w:bCs/>
          <w:iCs/>
          <w:szCs w:val="24"/>
          <w:lang w:val="en-GB"/>
        </w:rPr>
        <w:tab/>
      </w:r>
      <w:r w:rsidR="00DB7AF3">
        <w:rPr>
          <w:rFonts w:cs="Arial"/>
          <w:szCs w:val="24"/>
          <w:lang w:val="en-GB"/>
        </w:rPr>
        <w:t xml:space="preserve">For the reasons </w:t>
      </w:r>
      <w:r w:rsidR="00036D02">
        <w:rPr>
          <w:rFonts w:cs="Arial"/>
          <w:szCs w:val="24"/>
          <w:lang w:val="en-GB"/>
        </w:rPr>
        <w:t xml:space="preserve">set out in </w:t>
      </w:r>
      <w:r w:rsidR="00036D02" w:rsidRPr="00522754">
        <w:rPr>
          <w:rFonts w:cs="Arial"/>
          <w:szCs w:val="24"/>
          <w:lang w:val="en-GB"/>
        </w:rPr>
        <w:t xml:space="preserve">paragraphs </w:t>
      </w:r>
      <w:r w:rsidR="00036D02" w:rsidRPr="00522754">
        <w:rPr>
          <w:rFonts w:cs="Arial"/>
          <w:szCs w:val="24"/>
          <w:lang w:val="en-GB"/>
        </w:rPr>
        <w:fldChar w:fldCharType="begin"/>
      </w:r>
      <w:r w:rsidR="00036D02" w:rsidRPr="00522754">
        <w:rPr>
          <w:rFonts w:cs="Arial"/>
          <w:szCs w:val="24"/>
          <w:lang w:val="en-GB"/>
        </w:rPr>
        <w:instrText xml:space="preserve"> REF _Ref137929860 \r \h  \* MERGEFORMAT </w:instrText>
      </w:r>
      <w:r w:rsidR="00036D02" w:rsidRPr="00522754">
        <w:rPr>
          <w:rFonts w:cs="Arial"/>
          <w:szCs w:val="24"/>
          <w:lang w:val="en-GB"/>
        </w:rPr>
      </w:r>
      <w:r w:rsidR="00036D02" w:rsidRPr="00522754">
        <w:rPr>
          <w:rFonts w:cs="Arial"/>
          <w:szCs w:val="24"/>
          <w:lang w:val="en-GB"/>
        </w:rPr>
        <w:fldChar w:fldCharType="separate"/>
      </w:r>
      <w:r w:rsidR="00B7698E">
        <w:rPr>
          <w:rFonts w:cs="Arial"/>
          <w:szCs w:val="24"/>
          <w:lang w:val="en-GB"/>
        </w:rPr>
        <w:t>39</w:t>
      </w:r>
      <w:r w:rsidR="00036D02" w:rsidRPr="00522754">
        <w:rPr>
          <w:rFonts w:cs="Arial"/>
          <w:szCs w:val="24"/>
          <w:lang w:val="en-GB"/>
        </w:rPr>
        <w:fldChar w:fldCharType="end"/>
      </w:r>
      <w:r w:rsidR="00036D02" w:rsidRPr="00522754">
        <w:rPr>
          <w:rFonts w:cs="Arial"/>
          <w:szCs w:val="24"/>
          <w:lang w:val="en-GB"/>
        </w:rPr>
        <w:t xml:space="preserve"> to </w:t>
      </w:r>
      <w:r w:rsidR="00036D02">
        <w:rPr>
          <w:rFonts w:cs="Arial"/>
          <w:szCs w:val="24"/>
          <w:lang w:val="en-GB"/>
        </w:rPr>
        <w:fldChar w:fldCharType="begin"/>
      </w:r>
      <w:r w:rsidR="00036D02">
        <w:rPr>
          <w:rFonts w:cs="Arial"/>
          <w:szCs w:val="24"/>
          <w:lang w:val="en-GB"/>
        </w:rPr>
        <w:instrText xml:space="preserve"> REF _Ref138065409 \r \p \h </w:instrText>
      </w:r>
      <w:r w:rsidR="00036D02">
        <w:rPr>
          <w:rFonts w:cs="Arial"/>
          <w:szCs w:val="24"/>
          <w:lang w:val="en-GB"/>
        </w:rPr>
      </w:r>
      <w:r w:rsidR="00036D02">
        <w:rPr>
          <w:rFonts w:cs="Arial"/>
          <w:szCs w:val="24"/>
          <w:lang w:val="en-GB"/>
        </w:rPr>
        <w:fldChar w:fldCharType="separate"/>
      </w:r>
      <w:r w:rsidR="00B7698E">
        <w:rPr>
          <w:rFonts w:cs="Arial"/>
          <w:szCs w:val="24"/>
          <w:lang w:val="en-GB"/>
        </w:rPr>
        <w:t>50 above</w:t>
      </w:r>
      <w:r w:rsidR="00036D02">
        <w:rPr>
          <w:rFonts w:cs="Arial"/>
          <w:szCs w:val="24"/>
          <w:lang w:val="en-GB"/>
        </w:rPr>
        <w:fldChar w:fldCharType="end"/>
      </w:r>
      <w:r w:rsidR="007F7F1C">
        <w:rPr>
          <w:rFonts w:cs="Arial"/>
          <w:szCs w:val="24"/>
          <w:lang w:val="en-GB"/>
        </w:rPr>
        <w:t xml:space="preserve">, I </w:t>
      </w:r>
      <w:r w:rsidR="001A4DB0">
        <w:rPr>
          <w:rFonts w:cs="Arial"/>
          <w:szCs w:val="24"/>
          <w:lang w:val="en-GB"/>
        </w:rPr>
        <w:t xml:space="preserve">conclude that </w:t>
      </w:r>
      <w:r w:rsidR="007F7F1C">
        <w:rPr>
          <w:rFonts w:cs="Arial"/>
          <w:szCs w:val="24"/>
          <w:lang w:val="en-GB"/>
        </w:rPr>
        <w:t xml:space="preserve">the </w:t>
      </w:r>
      <w:r w:rsidR="008965CF">
        <w:rPr>
          <w:rFonts w:cs="Arial"/>
          <w:szCs w:val="24"/>
          <w:lang w:val="en-GB"/>
        </w:rPr>
        <w:t xml:space="preserve">deed of cession </w:t>
      </w:r>
      <w:r w:rsidR="001A4DB0">
        <w:rPr>
          <w:rFonts w:cs="Arial"/>
          <w:szCs w:val="24"/>
          <w:lang w:val="en-GB"/>
        </w:rPr>
        <w:t>is</w:t>
      </w:r>
      <w:r w:rsidR="00B307B5">
        <w:rPr>
          <w:rFonts w:cs="Arial"/>
          <w:szCs w:val="24"/>
          <w:lang w:val="en-GB"/>
        </w:rPr>
        <w:t xml:space="preserve"> </w:t>
      </w:r>
      <w:r w:rsidR="008965CF">
        <w:rPr>
          <w:rFonts w:cs="Arial"/>
          <w:szCs w:val="24"/>
          <w:lang w:val="en-GB"/>
        </w:rPr>
        <w:t xml:space="preserve">null and void </w:t>
      </w:r>
      <w:r w:rsidR="008965CF" w:rsidRPr="00111C14">
        <w:rPr>
          <w:rFonts w:cs="Arial"/>
          <w:i/>
          <w:iCs/>
          <w:szCs w:val="24"/>
          <w:lang w:val="en-GB"/>
        </w:rPr>
        <w:t>ab initio</w:t>
      </w:r>
      <w:r w:rsidR="00B307B5">
        <w:rPr>
          <w:rFonts w:cs="Arial"/>
          <w:szCs w:val="24"/>
          <w:lang w:val="en-GB"/>
        </w:rPr>
        <w:t>.</w:t>
      </w:r>
    </w:p>
    <w:p w14:paraId="0C484D7A" w14:textId="473D82A9" w:rsidR="00A574B9" w:rsidRDefault="00C03686" w:rsidP="00C03686">
      <w:pPr>
        <w:pStyle w:val="WLGLevel1"/>
        <w:numPr>
          <w:ilvl w:val="0"/>
          <w:numId w:val="0"/>
        </w:numPr>
        <w:suppressAutoHyphens w:val="0"/>
        <w:spacing w:before="0" w:after="480"/>
        <w:ind w:left="709" w:hanging="709"/>
        <w:rPr>
          <w:rFonts w:cs="Arial"/>
          <w:szCs w:val="24"/>
          <w:lang w:val="en-GB"/>
        </w:rPr>
      </w:pPr>
      <w:r>
        <w:rPr>
          <w:rFonts w:cs="Arial"/>
          <w:bCs/>
          <w:iCs/>
          <w:szCs w:val="24"/>
          <w:lang w:val="en-GB"/>
        </w:rPr>
        <w:lastRenderedPageBreak/>
        <w:t>52.</w:t>
      </w:r>
      <w:r>
        <w:rPr>
          <w:rFonts w:cs="Arial"/>
          <w:bCs/>
          <w:iCs/>
          <w:szCs w:val="24"/>
          <w:lang w:val="en-GB"/>
        </w:rPr>
        <w:tab/>
      </w:r>
      <w:r w:rsidR="00940358">
        <w:rPr>
          <w:rFonts w:cs="Arial"/>
          <w:szCs w:val="24"/>
          <w:lang w:val="en-GB"/>
        </w:rPr>
        <w:t xml:space="preserve">Relief </w:t>
      </w:r>
      <w:r w:rsidR="00FD65FC">
        <w:rPr>
          <w:rFonts w:cs="Arial"/>
          <w:szCs w:val="24"/>
          <w:lang w:val="en-GB"/>
        </w:rPr>
        <w:t xml:space="preserve">in terms of prayer 1 of the notice of motion renders </w:t>
      </w:r>
      <w:r w:rsidR="00A574B9">
        <w:rPr>
          <w:rFonts w:cs="Arial"/>
          <w:szCs w:val="24"/>
          <w:lang w:val="en-GB"/>
        </w:rPr>
        <w:t>unnecessary any relief in terms of prayer 2 thereof.</w:t>
      </w:r>
    </w:p>
    <w:p w14:paraId="437D7F6C" w14:textId="35DBAB0B" w:rsidR="000E562E" w:rsidRPr="001931C6" w:rsidRDefault="00C03686" w:rsidP="00C03686">
      <w:pPr>
        <w:pStyle w:val="WLGLevel1"/>
        <w:numPr>
          <w:ilvl w:val="0"/>
          <w:numId w:val="0"/>
        </w:numPr>
        <w:suppressAutoHyphens w:val="0"/>
        <w:spacing w:before="0" w:after="480"/>
        <w:ind w:left="709" w:hanging="709"/>
        <w:rPr>
          <w:rFonts w:cs="Arial"/>
          <w:szCs w:val="24"/>
          <w:lang w:val="en-GB"/>
        </w:rPr>
      </w:pPr>
      <w:r w:rsidRPr="001931C6">
        <w:rPr>
          <w:rFonts w:cs="Arial"/>
          <w:bCs/>
          <w:iCs/>
          <w:szCs w:val="24"/>
          <w:lang w:val="en-GB"/>
        </w:rPr>
        <w:t>53.</w:t>
      </w:r>
      <w:r w:rsidRPr="001931C6">
        <w:rPr>
          <w:rFonts w:cs="Arial"/>
          <w:bCs/>
          <w:iCs/>
          <w:szCs w:val="24"/>
          <w:lang w:val="en-GB"/>
        </w:rPr>
        <w:tab/>
      </w:r>
      <w:r w:rsidR="00261D25">
        <w:rPr>
          <w:rFonts w:cs="Arial"/>
          <w:szCs w:val="24"/>
          <w:lang w:val="en-GB"/>
        </w:rPr>
        <w:t>An entitlement to relief</w:t>
      </w:r>
      <w:r w:rsidR="00261D25" w:rsidRPr="00261D25">
        <w:rPr>
          <w:rFonts w:cs="Arial"/>
          <w:szCs w:val="24"/>
          <w:lang w:val="en-GB"/>
        </w:rPr>
        <w:t xml:space="preserve"> </w:t>
      </w:r>
      <w:r w:rsidR="00261D25">
        <w:rPr>
          <w:rFonts w:cs="Arial"/>
          <w:szCs w:val="24"/>
          <w:lang w:val="en-GB"/>
        </w:rPr>
        <w:t xml:space="preserve">in terms of prayer 3 of the notice of motion is not demonstrated </w:t>
      </w:r>
      <w:r w:rsidR="00AE3DE7">
        <w:rPr>
          <w:rFonts w:cs="Arial"/>
          <w:szCs w:val="24"/>
          <w:lang w:val="en-GB"/>
        </w:rPr>
        <w:t xml:space="preserve">in these proceedings. </w:t>
      </w:r>
      <w:r w:rsidR="00AD01F9">
        <w:rPr>
          <w:rFonts w:cs="Arial"/>
          <w:szCs w:val="24"/>
          <w:lang w:val="en-GB"/>
        </w:rPr>
        <w:t>Besides the respondents’ point that the first respondent incurred expenses in generating revenues</w:t>
      </w:r>
      <w:r w:rsidR="00D77658">
        <w:rPr>
          <w:rFonts w:cs="Arial"/>
          <w:szCs w:val="24"/>
          <w:lang w:val="en-GB"/>
        </w:rPr>
        <w:t xml:space="preserve">, </w:t>
      </w:r>
      <w:r w:rsidR="00390550">
        <w:rPr>
          <w:rFonts w:cs="Arial"/>
          <w:szCs w:val="24"/>
          <w:lang w:val="en-GB"/>
        </w:rPr>
        <w:t>the applicant does not show itself to have been impoverished or</w:t>
      </w:r>
      <w:r w:rsidR="0041390C">
        <w:rPr>
          <w:rFonts w:cs="Arial"/>
          <w:szCs w:val="24"/>
          <w:lang w:val="en-GB"/>
        </w:rPr>
        <w:t xml:space="preserve"> the first respondent to have been enriched by such profits as may have </w:t>
      </w:r>
      <w:r w:rsidR="00A264A5">
        <w:rPr>
          <w:rFonts w:cs="Arial"/>
          <w:szCs w:val="24"/>
          <w:lang w:val="en-GB"/>
        </w:rPr>
        <w:t>been earned since December 2020</w:t>
      </w:r>
      <w:r w:rsidR="00CB7FDC">
        <w:rPr>
          <w:rFonts w:cs="Arial"/>
          <w:szCs w:val="24"/>
          <w:lang w:val="en-GB"/>
        </w:rPr>
        <w:t>.</w:t>
      </w:r>
    </w:p>
    <w:p w14:paraId="0C74ECFF" w14:textId="7A29EFA6" w:rsidR="003943D0" w:rsidRDefault="00C03686" w:rsidP="00C03686">
      <w:pPr>
        <w:pStyle w:val="WLGLevel1"/>
        <w:numPr>
          <w:ilvl w:val="0"/>
          <w:numId w:val="0"/>
        </w:numPr>
        <w:suppressAutoHyphens w:val="0"/>
        <w:spacing w:before="0" w:after="480"/>
        <w:ind w:left="709" w:hanging="709"/>
        <w:rPr>
          <w:rFonts w:cs="Arial"/>
          <w:szCs w:val="24"/>
          <w:lang w:val="en-GB"/>
        </w:rPr>
      </w:pPr>
      <w:r>
        <w:rPr>
          <w:rFonts w:cs="Arial"/>
          <w:bCs/>
          <w:iCs/>
          <w:szCs w:val="24"/>
          <w:lang w:val="en-GB"/>
        </w:rPr>
        <w:t>54.</w:t>
      </w:r>
      <w:r>
        <w:rPr>
          <w:rFonts w:cs="Arial"/>
          <w:bCs/>
          <w:iCs/>
          <w:szCs w:val="24"/>
          <w:lang w:val="en-GB"/>
        </w:rPr>
        <w:tab/>
      </w:r>
      <w:r w:rsidR="00B16D03">
        <w:rPr>
          <w:rFonts w:cs="Arial"/>
          <w:szCs w:val="24"/>
          <w:lang w:val="en-GB"/>
        </w:rPr>
        <w:t xml:space="preserve">As regards prayer 4 of the notice of motion, I am minded to grant modified relief aimed at safeguarding the rights and interests of the </w:t>
      </w:r>
      <w:r w:rsidR="003943D0">
        <w:rPr>
          <w:rFonts w:cs="Arial"/>
          <w:szCs w:val="24"/>
          <w:lang w:val="en-GB"/>
        </w:rPr>
        <w:t>employees of the business.</w:t>
      </w:r>
    </w:p>
    <w:p w14:paraId="7005C482" w14:textId="31D2AC54" w:rsidR="00DB0E0C" w:rsidRDefault="00C03686" w:rsidP="00C03686">
      <w:pPr>
        <w:pStyle w:val="WLGLevel1"/>
        <w:numPr>
          <w:ilvl w:val="0"/>
          <w:numId w:val="0"/>
        </w:numPr>
        <w:suppressAutoHyphens w:val="0"/>
        <w:spacing w:before="0" w:after="480"/>
        <w:ind w:left="709" w:hanging="709"/>
        <w:rPr>
          <w:rFonts w:cs="Arial"/>
          <w:szCs w:val="24"/>
          <w:lang w:val="en-GB"/>
        </w:rPr>
      </w:pPr>
      <w:r>
        <w:rPr>
          <w:rFonts w:cs="Arial"/>
          <w:bCs/>
          <w:iCs/>
          <w:szCs w:val="24"/>
          <w:lang w:val="en-GB"/>
        </w:rPr>
        <w:t>55.</w:t>
      </w:r>
      <w:r>
        <w:rPr>
          <w:rFonts w:cs="Arial"/>
          <w:bCs/>
          <w:iCs/>
          <w:szCs w:val="24"/>
          <w:lang w:val="en-GB"/>
        </w:rPr>
        <w:tab/>
      </w:r>
      <w:r w:rsidR="003943D0">
        <w:rPr>
          <w:rFonts w:cs="Arial"/>
          <w:szCs w:val="24"/>
          <w:lang w:val="en-GB"/>
        </w:rPr>
        <w:t>Similarly, with reference to prayers 5 to 7 of the notice of motion, I am minded to grant modified relief aimed and ensuring an orderly restoration of the business</w:t>
      </w:r>
      <w:r w:rsidR="00FB43C4">
        <w:rPr>
          <w:rFonts w:cs="Arial"/>
          <w:szCs w:val="24"/>
          <w:lang w:val="en-GB"/>
        </w:rPr>
        <w:t xml:space="preserve"> by the first respondent</w:t>
      </w:r>
      <w:r w:rsidR="003943D0">
        <w:rPr>
          <w:rFonts w:cs="Arial"/>
          <w:szCs w:val="24"/>
          <w:lang w:val="en-GB"/>
        </w:rPr>
        <w:t xml:space="preserve"> to the applicant</w:t>
      </w:r>
      <w:r w:rsidR="00DB0E0C">
        <w:rPr>
          <w:rFonts w:cs="Arial"/>
          <w:szCs w:val="24"/>
          <w:lang w:val="en-GB"/>
        </w:rPr>
        <w:t>.</w:t>
      </w:r>
    </w:p>
    <w:p w14:paraId="2192CD0B" w14:textId="79CC6885" w:rsidR="000E562E" w:rsidRPr="001931C6" w:rsidRDefault="00C03686" w:rsidP="00C03686">
      <w:pPr>
        <w:pStyle w:val="WLGLevel1"/>
        <w:keepNext/>
        <w:numPr>
          <w:ilvl w:val="0"/>
          <w:numId w:val="0"/>
        </w:numPr>
        <w:suppressAutoHyphens w:val="0"/>
        <w:spacing w:before="0" w:after="480"/>
        <w:ind w:left="709" w:hanging="709"/>
        <w:rPr>
          <w:rFonts w:cs="Arial"/>
          <w:szCs w:val="24"/>
          <w:lang w:val="en-GB"/>
        </w:rPr>
      </w:pPr>
      <w:r w:rsidRPr="001931C6">
        <w:rPr>
          <w:rFonts w:cs="Arial"/>
          <w:bCs/>
          <w:iCs/>
          <w:szCs w:val="24"/>
          <w:lang w:val="en-GB"/>
        </w:rPr>
        <w:t>56.</w:t>
      </w:r>
      <w:r w:rsidRPr="001931C6">
        <w:rPr>
          <w:rFonts w:cs="Arial"/>
          <w:bCs/>
          <w:iCs/>
          <w:szCs w:val="24"/>
          <w:lang w:val="en-GB"/>
        </w:rPr>
        <w:tab/>
      </w:r>
      <w:r w:rsidR="000E562E" w:rsidRPr="001931C6">
        <w:rPr>
          <w:rFonts w:cs="Arial"/>
          <w:szCs w:val="24"/>
          <w:lang w:val="en-GB"/>
        </w:rPr>
        <w:t>As regards liability for costs:</w:t>
      </w:r>
    </w:p>
    <w:p w14:paraId="17D0F338" w14:textId="7AE33746" w:rsidR="000E562E" w:rsidRPr="001931C6" w:rsidRDefault="00C03686" w:rsidP="00C03686">
      <w:pPr>
        <w:pStyle w:val="WLGLevel1"/>
        <w:numPr>
          <w:ilvl w:val="0"/>
          <w:numId w:val="0"/>
        </w:numPr>
        <w:tabs>
          <w:tab w:val="left" w:pos="1560"/>
        </w:tabs>
        <w:suppressAutoHyphens w:val="0"/>
        <w:spacing w:before="0" w:after="480"/>
        <w:ind w:left="1560" w:hanging="851"/>
        <w:rPr>
          <w:rFonts w:cs="Arial"/>
          <w:szCs w:val="24"/>
          <w:lang w:val="en-GB"/>
        </w:rPr>
      </w:pPr>
      <w:r w:rsidRPr="001931C6">
        <w:rPr>
          <w:rFonts w:cs="Arial"/>
          <w:szCs w:val="24"/>
          <w:lang w:val="en-GB"/>
        </w:rPr>
        <w:t>56.1.</w:t>
      </w:r>
      <w:r w:rsidRPr="001931C6">
        <w:rPr>
          <w:rFonts w:cs="Arial"/>
          <w:szCs w:val="24"/>
          <w:lang w:val="en-GB"/>
        </w:rPr>
        <w:tab/>
      </w:r>
      <w:r w:rsidR="000E562E" w:rsidRPr="001931C6">
        <w:rPr>
          <w:rFonts w:cs="Arial"/>
          <w:szCs w:val="24"/>
          <w:lang w:val="en-GB"/>
        </w:rPr>
        <w:t>Ms Naydenova submitted that costs should follow the event but that, even if I were to dismiss the application, there would be no basis for a punitive costs award against the applicant; and</w:t>
      </w:r>
    </w:p>
    <w:p w14:paraId="460F651D" w14:textId="26E3593D" w:rsidR="000E562E" w:rsidRPr="001931C6" w:rsidRDefault="00C03686" w:rsidP="00C03686">
      <w:pPr>
        <w:pStyle w:val="WLGLevel1"/>
        <w:numPr>
          <w:ilvl w:val="0"/>
          <w:numId w:val="0"/>
        </w:numPr>
        <w:tabs>
          <w:tab w:val="left" w:pos="1560"/>
        </w:tabs>
        <w:suppressAutoHyphens w:val="0"/>
        <w:spacing w:before="0" w:after="480"/>
        <w:ind w:left="1560" w:hanging="851"/>
        <w:rPr>
          <w:rFonts w:cs="Arial"/>
          <w:szCs w:val="24"/>
          <w:lang w:val="en-GB"/>
        </w:rPr>
      </w:pPr>
      <w:r w:rsidRPr="001931C6">
        <w:rPr>
          <w:rFonts w:cs="Arial"/>
          <w:szCs w:val="24"/>
          <w:lang w:val="en-GB"/>
        </w:rPr>
        <w:t>56.2.</w:t>
      </w:r>
      <w:r w:rsidRPr="001931C6">
        <w:rPr>
          <w:rFonts w:cs="Arial"/>
          <w:szCs w:val="24"/>
          <w:lang w:val="en-GB"/>
        </w:rPr>
        <w:tab/>
      </w:r>
      <w:r w:rsidR="000E562E" w:rsidRPr="001931C6">
        <w:rPr>
          <w:rFonts w:cs="Arial"/>
          <w:szCs w:val="24"/>
          <w:lang w:val="en-GB"/>
        </w:rPr>
        <w:t xml:space="preserve">Mr Kloek </w:t>
      </w:r>
      <w:r w:rsidR="003D08F4">
        <w:rPr>
          <w:rFonts w:cs="Arial"/>
          <w:szCs w:val="24"/>
          <w:lang w:val="en-GB"/>
        </w:rPr>
        <w:t>did not</w:t>
      </w:r>
      <w:r w:rsidR="00D15A70" w:rsidRPr="00D15A70">
        <w:rPr>
          <w:rFonts w:cs="Arial"/>
          <w:szCs w:val="24"/>
          <w:lang w:val="en-GB"/>
        </w:rPr>
        <w:t xml:space="preserve"> </w:t>
      </w:r>
      <w:r w:rsidR="00D15A70">
        <w:rPr>
          <w:rFonts w:cs="Arial"/>
          <w:szCs w:val="24"/>
          <w:lang w:val="en-GB"/>
        </w:rPr>
        <w:t>resist the submission</w:t>
      </w:r>
      <w:r w:rsidR="00D15A70" w:rsidRPr="001931C6">
        <w:rPr>
          <w:rFonts w:cs="Arial"/>
          <w:szCs w:val="24"/>
          <w:lang w:val="en-GB"/>
        </w:rPr>
        <w:t xml:space="preserve"> that costs should follow the event</w:t>
      </w:r>
      <w:r w:rsidR="000E562E" w:rsidRPr="001931C6">
        <w:rPr>
          <w:rFonts w:cs="Arial"/>
          <w:szCs w:val="24"/>
          <w:lang w:val="en-GB"/>
        </w:rPr>
        <w:t>.</w:t>
      </w:r>
    </w:p>
    <w:p w14:paraId="57A6E519" w14:textId="312656F9" w:rsidR="000E562E" w:rsidRPr="001931C6" w:rsidRDefault="00C03686" w:rsidP="00C03686">
      <w:pPr>
        <w:pStyle w:val="WLGLevel1"/>
        <w:numPr>
          <w:ilvl w:val="0"/>
          <w:numId w:val="0"/>
        </w:numPr>
        <w:suppressAutoHyphens w:val="0"/>
        <w:spacing w:before="0" w:after="480"/>
        <w:ind w:left="709" w:hanging="709"/>
        <w:rPr>
          <w:rFonts w:cs="Arial"/>
          <w:szCs w:val="24"/>
          <w:lang w:val="en-GB"/>
        </w:rPr>
      </w:pPr>
      <w:r w:rsidRPr="001931C6">
        <w:rPr>
          <w:rFonts w:cs="Arial"/>
          <w:bCs/>
          <w:iCs/>
          <w:szCs w:val="24"/>
          <w:lang w:val="en-GB"/>
        </w:rPr>
        <w:lastRenderedPageBreak/>
        <w:t>57.</w:t>
      </w:r>
      <w:r w:rsidRPr="001931C6">
        <w:rPr>
          <w:rFonts w:cs="Arial"/>
          <w:bCs/>
          <w:iCs/>
          <w:szCs w:val="24"/>
          <w:lang w:val="en-GB"/>
        </w:rPr>
        <w:tab/>
      </w:r>
      <w:r w:rsidR="00172966">
        <w:rPr>
          <w:rFonts w:cs="Arial"/>
          <w:szCs w:val="24"/>
          <w:lang w:val="en-GB"/>
        </w:rPr>
        <w:t xml:space="preserve">Since the applicant </w:t>
      </w:r>
      <w:r w:rsidR="00BE244C">
        <w:rPr>
          <w:rFonts w:cs="Arial"/>
          <w:szCs w:val="24"/>
          <w:lang w:val="en-GB"/>
        </w:rPr>
        <w:t xml:space="preserve">has achieved </w:t>
      </w:r>
      <w:r w:rsidR="00172966">
        <w:rPr>
          <w:rFonts w:cs="Arial"/>
          <w:szCs w:val="24"/>
          <w:lang w:val="en-GB"/>
        </w:rPr>
        <w:t xml:space="preserve">substantial success, the respondents </w:t>
      </w:r>
      <w:r w:rsidR="00B61BEB">
        <w:rPr>
          <w:rFonts w:cs="Arial"/>
          <w:szCs w:val="24"/>
          <w:lang w:val="en-GB"/>
        </w:rPr>
        <w:t>– both of whom oppose</w:t>
      </w:r>
      <w:r w:rsidR="0026145F">
        <w:rPr>
          <w:rFonts w:cs="Arial"/>
          <w:szCs w:val="24"/>
          <w:lang w:val="en-GB"/>
        </w:rPr>
        <w:t xml:space="preserve"> this application</w:t>
      </w:r>
      <w:r w:rsidR="00B61BEB">
        <w:rPr>
          <w:rFonts w:cs="Arial"/>
          <w:szCs w:val="24"/>
          <w:lang w:val="en-GB"/>
        </w:rPr>
        <w:t xml:space="preserve"> – </w:t>
      </w:r>
      <w:r w:rsidR="00172966">
        <w:rPr>
          <w:rFonts w:cs="Arial"/>
          <w:szCs w:val="24"/>
          <w:lang w:val="en-GB"/>
        </w:rPr>
        <w:t xml:space="preserve">should bear the costs </w:t>
      </w:r>
      <w:r w:rsidR="0026145F">
        <w:rPr>
          <w:rFonts w:cs="Arial"/>
          <w:szCs w:val="24"/>
          <w:lang w:val="en-GB"/>
        </w:rPr>
        <w:t>of</w:t>
      </w:r>
      <w:r w:rsidR="00BE244C">
        <w:rPr>
          <w:rFonts w:cs="Arial"/>
          <w:szCs w:val="24"/>
          <w:lang w:val="en-GB"/>
        </w:rPr>
        <w:t xml:space="preserve"> th</w:t>
      </w:r>
      <w:r w:rsidR="0026145F">
        <w:rPr>
          <w:rFonts w:cs="Arial"/>
          <w:szCs w:val="24"/>
          <w:lang w:val="en-GB"/>
        </w:rPr>
        <w:t>e</w:t>
      </w:r>
      <w:r w:rsidR="00BE244C">
        <w:rPr>
          <w:rFonts w:cs="Arial"/>
          <w:szCs w:val="24"/>
          <w:lang w:val="en-GB"/>
        </w:rPr>
        <w:t xml:space="preserve"> application, jointly and severally, the one paying the other to be absolved</w:t>
      </w:r>
      <w:r w:rsidR="000E562E" w:rsidRPr="001931C6">
        <w:rPr>
          <w:rFonts w:cs="Arial"/>
          <w:szCs w:val="24"/>
          <w:lang w:val="en-GB"/>
        </w:rPr>
        <w:t>.</w:t>
      </w:r>
    </w:p>
    <w:p w14:paraId="38AFC893" w14:textId="4476FB94" w:rsidR="000E562E" w:rsidRPr="001931C6" w:rsidRDefault="00C03686" w:rsidP="00C03686">
      <w:pPr>
        <w:pStyle w:val="WLGLevel1"/>
        <w:keepNext/>
        <w:numPr>
          <w:ilvl w:val="0"/>
          <w:numId w:val="0"/>
        </w:numPr>
        <w:suppressAutoHyphens w:val="0"/>
        <w:spacing w:before="0" w:after="480"/>
        <w:ind w:left="709" w:hanging="709"/>
        <w:rPr>
          <w:rFonts w:cs="Arial"/>
          <w:szCs w:val="24"/>
          <w:lang w:val="en-GB"/>
        </w:rPr>
      </w:pPr>
      <w:bookmarkStart w:id="16" w:name="_Ref137979529"/>
      <w:r w:rsidRPr="001931C6">
        <w:rPr>
          <w:rFonts w:cs="Arial"/>
          <w:bCs/>
          <w:iCs/>
          <w:szCs w:val="24"/>
          <w:lang w:val="en-GB"/>
        </w:rPr>
        <w:t>58.</w:t>
      </w:r>
      <w:r w:rsidRPr="001931C6">
        <w:rPr>
          <w:rFonts w:cs="Arial"/>
          <w:bCs/>
          <w:iCs/>
          <w:szCs w:val="24"/>
          <w:lang w:val="en-GB"/>
        </w:rPr>
        <w:tab/>
      </w:r>
      <w:r w:rsidR="000E562E" w:rsidRPr="001931C6">
        <w:rPr>
          <w:rFonts w:cs="Arial"/>
          <w:szCs w:val="24"/>
          <w:lang w:val="en-GB"/>
        </w:rPr>
        <w:t>In the circumstances, I grant the following order:</w:t>
      </w:r>
      <w:bookmarkEnd w:id="16"/>
    </w:p>
    <w:p w14:paraId="4AAE76BC" w14:textId="439BA0DC" w:rsidR="000E562E" w:rsidRPr="001931C6" w:rsidRDefault="00C03686" w:rsidP="00C03686">
      <w:pPr>
        <w:pStyle w:val="WLGLevel1"/>
        <w:numPr>
          <w:ilvl w:val="0"/>
          <w:numId w:val="0"/>
        </w:numPr>
        <w:tabs>
          <w:tab w:val="left" w:pos="1560"/>
        </w:tabs>
        <w:suppressAutoHyphens w:val="0"/>
        <w:spacing w:before="0" w:after="480"/>
        <w:ind w:left="1560" w:hanging="851"/>
        <w:rPr>
          <w:rFonts w:cs="Arial"/>
          <w:szCs w:val="24"/>
          <w:lang w:val="en-GB"/>
        </w:rPr>
      </w:pPr>
      <w:r w:rsidRPr="001931C6">
        <w:rPr>
          <w:rFonts w:cs="Arial"/>
          <w:szCs w:val="24"/>
          <w:lang w:val="en-GB"/>
        </w:rPr>
        <w:t>58.1.</w:t>
      </w:r>
      <w:r w:rsidRPr="001931C6">
        <w:rPr>
          <w:rFonts w:cs="Arial"/>
          <w:szCs w:val="24"/>
          <w:lang w:val="en-GB"/>
        </w:rPr>
        <w:tab/>
      </w:r>
      <w:r w:rsidR="00D167A6">
        <w:rPr>
          <w:rFonts w:cs="Arial"/>
          <w:szCs w:val="24"/>
          <w:lang w:val="en-GB"/>
        </w:rPr>
        <w:t>The deed of cession</w:t>
      </w:r>
      <w:r w:rsidR="0088181F">
        <w:rPr>
          <w:rFonts w:cs="Arial"/>
          <w:szCs w:val="24"/>
          <w:lang w:val="en-GB"/>
        </w:rPr>
        <w:t xml:space="preserve"> dated </w:t>
      </w:r>
      <w:r w:rsidR="00D167A6" w:rsidRPr="00393F7C">
        <w:rPr>
          <w:rFonts w:cs="Arial"/>
          <w:szCs w:val="24"/>
          <w:lang w:val="en-GB"/>
        </w:rPr>
        <w:t xml:space="preserve">03 December 2020 </w:t>
      </w:r>
      <w:r w:rsidR="002F15D2">
        <w:rPr>
          <w:rFonts w:cs="Arial"/>
          <w:szCs w:val="24"/>
          <w:lang w:val="en-GB"/>
        </w:rPr>
        <w:t>entered into</w:t>
      </w:r>
      <w:r w:rsidR="0088181F">
        <w:rPr>
          <w:rFonts w:cs="Arial"/>
          <w:szCs w:val="24"/>
          <w:lang w:val="en-GB"/>
        </w:rPr>
        <w:t xml:space="preserve"> between </w:t>
      </w:r>
      <w:r w:rsidR="00D167A6" w:rsidRPr="00393F7C">
        <w:rPr>
          <w:rFonts w:cs="Arial"/>
          <w:szCs w:val="24"/>
          <w:lang w:val="en-GB"/>
        </w:rPr>
        <w:t xml:space="preserve">the applicant (as cedent) and the first respondent (as cessionary) </w:t>
      </w:r>
      <w:r w:rsidR="00F8096C">
        <w:rPr>
          <w:rFonts w:cs="Arial"/>
          <w:szCs w:val="24"/>
          <w:lang w:val="en-GB"/>
        </w:rPr>
        <w:t xml:space="preserve">(the deed) </w:t>
      </w:r>
      <w:r w:rsidR="003B698E">
        <w:rPr>
          <w:rFonts w:cs="Arial"/>
          <w:szCs w:val="24"/>
          <w:lang w:val="en-GB"/>
        </w:rPr>
        <w:t xml:space="preserve">is declared null and void </w:t>
      </w:r>
      <w:r w:rsidR="003B698E" w:rsidRPr="00111C14">
        <w:rPr>
          <w:rFonts w:cs="Arial"/>
          <w:i/>
          <w:iCs/>
          <w:szCs w:val="24"/>
          <w:lang w:val="en-GB"/>
        </w:rPr>
        <w:t>ab initio</w:t>
      </w:r>
      <w:r w:rsidR="000E562E" w:rsidRPr="001931C6">
        <w:rPr>
          <w:rFonts w:cs="Arial"/>
          <w:szCs w:val="24"/>
          <w:lang w:val="en-GB"/>
        </w:rPr>
        <w:t>.</w:t>
      </w:r>
    </w:p>
    <w:p w14:paraId="30EA618C" w14:textId="142AA8D5" w:rsidR="002767F3" w:rsidRDefault="00C03686" w:rsidP="00C03686">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t>58.2.</w:t>
      </w:r>
      <w:r>
        <w:rPr>
          <w:rFonts w:cs="Arial"/>
          <w:szCs w:val="24"/>
          <w:lang w:val="en-GB"/>
        </w:rPr>
        <w:tab/>
      </w:r>
      <w:r w:rsidR="00463C74">
        <w:rPr>
          <w:rFonts w:cs="Arial"/>
          <w:szCs w:val="24"/>
          <w:lang w:val="en-GB"/>
        </w:rPr>
        <w:t xml:space="preserve">The parties are directed to take all </w:t>
      </w:r>
      <w:r w:rsidR="00DC4850">
        <w:rPr>
          <w:rFonts w:cs="Arial"/>
          <w:szCs w:val="24"/>
          <w:lang w:val="en-GB"/>
        </w:rPr>
        <w:t xml:space="preserve">lawful, </w:t>
      </w:r>
      <w:r w:rsidR="00463C74">
        <w:rPr>
          <w:rFonts w:cs="Arial"/>
          <w:szCs w:val="24"/>
          <w:lang w:val="en-GB"/>
        </w:rPr>
        <w:t xml:space="preserve">necessary and reasonable steps </w:t>
      </w:r>
      <w:r w:rsidR="00C260A7">
        <w:rPr>
          <w:rFonts w:cs="Arial"/>
          <w:szCs w:val="24"/>
          <w:lang w:val="en-GB"/>
        </w:rPr>
        <w:t xml:space="preserve">to </w:t>
      </w:r>
      <w:r w:rsidR="00993B7C">
        <w:rPr>
          <w:rFonts w:cs="Arial"/>
          <w:szCs w:val="24"/>
          <w:lang w:val="en-GB"/>
        </w:rPr>
        <w:t xml:space="preserve">safeguard the employment rights and interests of the employees of the business </w:t>
      </w:r>
      <w:r w:rsidR="00184AB4">
        <w:rPr>
          <w:rFonts w:cs="Arial"/>
          <w:szCs w:val="24"/>
          <w:lang w:val="en-GB"/>
        </w:rPr>
        <w:t>conducted by</w:t>
      </w:r>
      <w:r w:rsidR="00901B10">
        <w:rPr>
          <w:rFonts w:cs="Arial"/>
          <w:szCs w:val="24"/>
          <w:lang w:val="en-GB"/>
        </w:rPr>
        <w:t xml:space="preserve"> the applicant before 28 February </w:t>
      </w:r>
      <w:r w:rsidR="00732E96">
        <w:rPr>
          <w:rFonts w:cs="Arial"/>
          <w:szCs w:val="24"/>
          <w:lang w:val="en-GB"/>
        </w:rPr>
        <w:t xml:space="preserve">2021 and by the first respondent on and after </w:t>
      </w:r>
      <w:r w:rsidR="00DC25DA" w:rsidRPr="00522754">
        <w:rPr>
          <w:rFonts w:cs="Arial"/>
          <w:szCs w:val="24"/>
          <w:lang w:val="en-GB"/>
        </w:rPr>
        <w:t>01 March 2021</w:t>
      </w:r>
      <w:r w:rsidR="00054295">
        <w:rPr>
          <w:rFonts w:cs="Arial"/>
          <w:szCs w:val="24"/>
          <w:lang w:val="en-GB"/>
        </w:rPr>
        <w:t xml:space="preserve"> (the business)</w:t>
      </w:r>
      <w:r w:rsidR="002767F3">
        <w:rPr>
          <w:rFonts w:cs="Arial"/>
          <w:szCs w:val="24"/>
          <w:lang w:val="en-GB"/>
        </w:rPr>
        <w:t>.</w:t>
      </w:r>
    </w:p>
    <w:p w14:paraId="75084683" w14:textId="712ADB44" w:rsidR="00D772E7" w:rsidRDefault="00C03686" w:rsidP="00C03686">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t>58.3.</w:t>
      </w:r>
      <w:r>
        <w:rPr>
          <w:rFonts w:cs="Arial"/>
          <w:szCs w:val="24"/>
          <w:lang w:val="en-GB"/>
        </w:rPr>
        <w:tab/>
      </w:r>
      <w:r w:rsidR="00D772E7">
        <w:rPr>
          <w:rFonts w:cs="Arial"/>
          <w:szCs w:val="24"/>
          <w:lang w:val="en-GB"/>
        </w:rPr>
        <w:t xml:space="preserve">The parties are </w:t>
      </w:r>
      <w:r w:rsidR="00E2474B">
        <w:rPr>
          <w:rFonts w:cs="Arial"/>
          <w:szCs w:val="24"/>
          <w:lang w:val="en-GB"/>
        </w:rPr>
        <w:t xml:space="preserve">otherwise </w:t>
      </w:r>
      <w:r w:rsidR="00D772E7">
        <w:rPr>
          <w:rFonts w:cs="Arial"/>
          <w:szCs w:val="24"/>
          <w:lang w:val="en-GB"/>
        </w:rPr>
        <w:t xml:space="preserve">directed to take all </w:t>
      </w:r>
      <w:r w:rsidR="00DC4850">
        <w:rPr>
          <w:rFonts w:cs="Arial"/>
          <w:szCs w:val="24"/>
          <w:lang w:val="en-GB"/>
        </w:rPr>
        <w:t xml:space="preserve">lawful, </w:t>
      </w:r>
      <w:r w:rsidR="00D772E7">
        <w:rPr>
          <w:rFonts w:cs="Arial"/>
          <w:szCs w:val="24"/>
          <w:lang w:val="en-GB"/>
        </w:rPr>
        <w:t xml:space="preserve">necessary and reasonable steps to reverse the </w:t>
      </w:r>
      <w:r w:rsidR="00D772E7" w:rsidRPr="00522754">
        <w:rPr>
          <w:rFonts w:cs="Arial"/>
          <w:szCs w:val="24"/>
          <w:lang w:val="en-GB"/>
        </w:rPr>
        <w:t xml:space="preserve">implementation </w:t>
      </w:r>
      <w:r w:rsidR="00D772E7">
        <w:rPr>
          <w:rFonts w:cs="Arial"/>
          <w:szCs w:val="24"/>
          <w:lang w:val="en-GB"/>
        </w:rPr>
        <w:t xml:space="preserve">of the deed </w:t>
      </w:r>
      <w:r w:rsidR="00D772E7" w:rsidRPr="00522754">
        <w:rPr>
          <w:rFonts w:cs="Arial"/>
          <w:szCs w:val="24"/>
          <w:lang w:val="en-GB"/>
        </w:rPr>
        <w:t>with effect from 01 March 2021</w:t>
      </w:r>
      <w:r w:rsidR="00054295">
        <w:rPr>
          <w:rFonts w:cs="Arial"/>
          <w:szCs w:val="24"/>
          <w:lang w:val="en-GB"/>
        </w:rPr>
        <w:t>, including by restoring to the applicant the books and records of the business</w:t>
      </w:r>
      <w:r w:rsidR="00D772E7">
        <w:rPr>
          <w:rFonts w:cs="Arial"/>
          <w:szCs w:val="24"/>
          <w:lang w:val="en-GB"/>
        </w:rPr>
        <w:t>.</w:t>
      </w:r>
    </w:p>
    <w:p w14:paraId="220DE124" w14:textId="68070A81" w:rsidR="000E562E" w:rsidRPr="001931C6" w:rsidRDefault="00C03686" w:rsidP="00C03686">
      <w:pPr>
        <w:pStyle w:val="WLGLevel1"/>
        <w:numPr>
          <w:ilvl w:val="0"/>
          <w:numId w:val="0"/>
        </w:numPr>
        <w:tabs>
          <w:tab w:val="left" w:pos="1560"/>
        </w:tabs>
        <w:suppressAutoHyphens w:val="0"/>
        <w:spacing w:before="0" w:after="480"/>
        <w:ind w:left="1560" w:hanging="851"/>
        <w:rPr>
          <w:rFonts w:cs="Arial"/>
          <w:szCs w:val="24"/>
          <w:lang w:val="en-GB"/>
        </w:rPr>
      </w:pPr>
      <w:r w:rsidRPr="001931C6">
        <w:rPr>
          <w:rFonts w:cs="Arial"/>
          <w:szCs w:val="24"/>
          <w:lang w:val="en-GB"/>
        </w:rPr>
        <w:t>58.4.</w:t>
      </w:r>
      <w:r w:rsidRPr="001931C6">
        <w:rPr>
          <w:rFonts w:cs="Arial"/>
          <w:szCs w:val="24"/>
          <w:lang w:val="en-GB"/>
        </w:rPr>
        <w:tab/>
      </w:r>
      <w:r w:rsidR="002767F3">
        <w:rPr>
          <w:rFonts w:cs="Arial"/>
          <w:szCs w:val="24"/>
          <w:lang w:val="en-GB"/>
        </w:rPr>
        <w:t xml:space="preserve">The respondents are </w:t>
      </w:r>
      <w:r w:rsidR="00104C33">
        <w:rPr>
          <w:rFonts w:cs="Arial"/>
          <w:szCs w:val="24"/>
          <w:lang w:val="en-GB"/>
        </w:rPr>
        <w:t xml:space="preserve">ordered </w:t>
      </w:r>
      <w:r w:rsidR="002767F3">
        <w:rPr>
          <w:rFonts w:cs="Arial"/>
          <w:szCs w:val="24"/>
          <w:lang w:val="en-GB"/>
        </w:rPr>
        <w:t>to pay the costs of this application, jointly and severally, the one paying the other to be absolved</w:t>
      </w:r>
      <w:r w:rsidR="000E562E" w:rsidRPr="001931C6">
        <w:rPr>
          <w:rFonts w:cs="Arial"/>
          <w:szCs w:val="24"/>
          <w:lang w:val="en-GB"/>
        </w:rPr>
        <w:t>.</w:t>
      </w:r>
    </w:p>
    <w:p w14:paraId="0982E990" w14:textId="77777777" w:rsidR="000E562E" w:rsidRPr="001931C6" w:rsidRDefault="000E562E" w:rsidP="000E562E">
      <w:pPr>
        <w:pStyle w:val="ListParagraph"/>
        <w:tabs>
          <w:tab w:val="right" w:pos="0"/>
        </w:tabs>
        <w:spacing w:before="120"/>
        <w:ind w:left="0"/>
        <w:rPr>
          <w:rFonts w:cs="Arial"/>
          <w:sz w:val="24"/>
        </w:rPr>
      </w:pPr>
    </w:p>
    <w:p w14:paraId="7E46F7B9" w14:textId="77777777" w:rsidR="000E562E" w:rsidRPr="001931C6" w:rsidRDefault="000E562E" w:rsidP="000E562E">
      <w:pPr>
        <w:pStyle w:val="ListParagraph"/>
        <w:keepNext/>
        <w:tabs>
          <w:tab w:val="right" w:pos="0"/>
        </w:tabs>
        <w:spacing w:before="360"/>
        <w:ind w:left="0"/>
        <w:jc w:val="right"/>
        <w:rPr>
          <w:rFonts w:cs="Arial"/>
          <w:b/>
          <w:sz w:val="24"/>
        </w:rPr>
      </w:pPr>
      <w:r w:rsidRPr="001931C6">
        <w:rPr>
          <w:rFonts w:cs="Arial"/>
          <w:sz w:val="24"/>
          <w:lang w:val="en-GB"/>
        </w:rPr>
        <w:lastRenderedPageBreak/>
        <w:t>____________________</w:t>
      </w:r>
      <w:r w:rsidRPr="001931C6">
        <w:rPr>
          <w:rFonts w:cs="Arial"/>
          <w:b/>
          <w:sz w:val="24"/>
        </w:rPr>
        <w:t xml:space="preserve"> </w:t>
      </w:r>
    </w:p>
    <w:p w14:paraId="039A802D" w14:textId="77777777" w:rsidR="000E562E" w:rsidRPr="001931C6" w:rsidRDefault="000E562E" w:rsidP="000E562E">
      <w:pPr>
        <w:pStyle w:val="ListParagraph"/>
        <w:keepNext/>
        <w:tabs>
          <w:tab w:val="right" w:pos="0"/>
        </w:tabs>
        <w:spacing w:before="120"/>
        <w:ind w:left="0"/>
        <w:jc w:val="right"/>
        <w:rPr>
          <w:rFonts w:cs="Arial"/>
          <w:b/>
          <w:sz w:val="24"/>
        </w:rPr>
      </w:pPr>
      <w:r w:rsidRPr="001931C6">
        <w:rPr>
          <w:rFonts w:cs="Arial"/>
          <w:b/>
          <w:sz w:val="24"/>
        </w:rPr>
        <w:t>PEARSE AJ</w:t>
      </w:r>
    </w:p>
    <w:p w14:paraId="5933FD83" w14:textId="77777777" w:rsidR="000E562E" w:rsidRPr="000879C8" w:rsidRDefault="000E562E" w:rsidP="000E562E">
      <w:pPr>
        <w:tabs>
          <w:tab w:val="right" w:pos="0"/>
          <w:tab w:val="left" w:pos="4253"/>
        </w:tabs>
        <w:spacing w:before="120"/>
        <w:jc w:val="right"/>
        <w:rPr>
          <w:rFonts w:cs="Arial"/>
          <w:sz w:val="24"/>
        </w:rPr>
      </w:pPr>
    </w:p>
    <w:p w14:paraId="3A916926" w14:textId="7EA102B2" w:rsidR="000E562E" w:rsidRPr="000879C8" w:rsidRDefault="000E562E" w:rsidP="000E562E">
      <w:pPr>
        <w:spacing w:before="120" w:line="480" w:lineRule="auto"/>
        <w:rPr>
          <w:rFonts w:cs="Arial"/>
          <w:b/>
          <w:sz w:val="24"/>
        </w:rPr>
      </w:pPr>
      <w:r w:rsidRPr="000879C8">
        <w:rPr>
          <w:rFonts w:cs="Arial"/>
          <w:sz w:val="24"/>
        </w:rPr>
        <w:t xml:space="preserve">This judgment is handed down electronically by uploading it to the file of this matter on CaseLines. It will also be emailed to the parties or their legal representatives. The date of delivery of this judgment is </w:t>
      </w:r>
      <w:r w:rsidR="009B206C">
        <w:rPr>
          <w:rFonts w:cs="Arial"/>
          <w:sz w:val="24"/>
        </w:rPr>
        <w:t>20</w:t>
      </w:r>
      <w:r w:rsidRPr="000879C8">
        <w:rPr>
          <w:rFonts w:cs="Arial"/>
          <w:sz w:val="24"/>
        </w:rPr>
        <w:t xml:space="preserve"> June 2023.</w:t>
      </w:r>
    </w:p>
    <w:p w14:paraId="777BB97B" w14:textId="77777777" w:rsidR="000E562E" w:rsidRPr="000879C8" w:rsidRDefault="000E562E" w:rsidP="000E562E">
      <w:pPr>
        <w:spacing w:after="160" w:line="259" w:lineRule="auto"/>
        <w:rPr>
          <w:rFonts w:cs="Arial"/>
          <w:sz w:val="24"/>
        </w:rPr>
      </w:pPr>
    </w:p>
    <w:p w14:paraId="6087AC5A" w14:textId="77777777" w:rsidR="000E562E" w:rsidRPr="000879C8" w:rsidRDefault="000E562E" w:rsidP="000E562E">
      <w:pPr>
        <w:spacing w:before="120"/>
        <w:rPr>
          <w:rFonts w:cs="Arial"/>
          <w:sz w:val="24"/>
        </w:rPr>
      </w:pPr>
    </w:p>
    <w:tbl>
      <w:tblPr>
        <w:tblW w:w="9350" w:type="dxa"/>
        <w:tblInd w:w="108" w:type="dxa"/>
        <w:tblLook w:val="04A0" w:firstRow="1" w:lastRow="0" w:firstColumn="1" w:lastColumn="0" w:noHBand="0" w:noVBand="1"/>
      </w:tblPr>
      <w:tblGrid>
        <w:gridCol w:w="5382"/>
        <w:gridCol w:w="3968"/>
      </w:tblGrid>
      <w:tr w:rsidR="000E562E" w:rsidRPr="000879C8" w14:paraId="5DA52DF2" w14:textId="77777777" w:rsidTr="00BD16E1">
        <w:tc>
          <w:tcPr>
            <w:tcW w:w="5382" w:type="dxa"/>
            <w:shd w:val="clear" w:color="auto" w:fill="auto"/>
          </w:tcPr>
          <w:p w14:paraId="4FEBDE86" w14:textId="77777777" w:rsidR="000E562E" w:rsidRPr="000879C8" w:rsidRDefault="000E562E" w:rsidP="00BD16E1">
            <w:pPr>
              <w:tabs>
                <w:tab w:val="right" w:pos="0"/>
                <w:tab w:val="left" w:pos="4253"/>
              </w:tabs>
              <w:spacing w:before="120"/>
              <w:rPr>
                <w:rFonts w:cs="Arial"/>
                <w:sz w:val="24"/>
              </w:rPr>
            </w:pPr>
            <w:r w:rsidRPr="000879C8">
              <w:rPr>
                <w:rFonts w:cs="Arial"/>
                <w:sz w:val="24"/>
              </w:rPr>
              <w:t>Counsel for Applicant:</w:t>
            </w:r>
          </w:p>
        </w:tc>
        <w:tc>
          <w:tcPr>
            <w:tcW w:w="3968" w:type="dxa"/>
            <w:shd w:val="clear" w:color="auto" w:fill="auto"/>
          </w:tcPr>
          <w:p w14:paraId="26C48EC0" w14:textId="77777777" w:rsidR="000E562E" w:rsidRPr="000879C8" w:rsidRDefault="000E562E" w:rsidP="00BD16E1">
            <w:pPr>
              <w:tabs>
                <w:tab w:val="right" w:pos="0"/>
                <w:tab w:val="left" w:pos="4253"/>
              </w:tabs>
              <w:spacing w:before="120"/>
              <w:jc w:val="right"/>
              <w:rPr>
                <w:rFonts w:cs="Arial"/>
                <w:sz w:val="24"/>
              </w:rPr>
            </w:pPr>
            <w:r w:rsidRPr="000879C8">
              <w:rPr>
                <w:rFonts w:cs="Arial"/>
                <w:sz w:val="24"/>
              </w:rPr>
              <w:t>Attorney MR Naydenova</w:t>
            </w:r>
          </w:p>
        </w:tc>
      </w:tr>
      <w:tr w:rsidR="000E562E" w:rsidRPr="000879C8" w14:paraId="2B524ADE" w14:textId="77777777" w:rsidTr="00BD16E1">
        <w:tc>
          <w:tcPr>
            <w:tcW w:w="5382" w:type="dxa"/>
            <w:shd w:val="clear" w:color="auto" w:fill="auto"/>
          </w:tcPr>
          <w:p w14:paraId="24E080B8" w14:textId="77777777" w:rsidR="000E562E" w:rsidRPr="000879C8" w:rsidRDefault="000E562E" w:rsidP="00BD16E1">
            <w:pPr>
              <w:tabs>
                <w:tab w:val="right" w:pos="0"/>
                <w:tab w:val="left" w:pos="4253"/>
              </w:tabs>
              <w:spacing w:before="120"/>
              <w:rPr>
                <w:rFonts w:cs="Arial"/>
                <w:sz w:val="24"/>
              </w:rPr>
            </w:pPr>
            <w:r w:rsidRPr="000879C8">
              <w:rPr>
                <w:rFonts w:cs="Arial"/>
                <w:sz w:val="24"/>
              </w:rPr>
              <w:t>Instructed By:</w:t>
            </w:r>
          </w:p>
        </w:tc>
        <w:tc>
          <w:tcPr>
            <w:tcW w:w="3968" w:type="dxa"/>
            <w:shd w:val="clear" w:color="auto" w:fill="auto"/>
          </w:tcPr>
          <w:p w14:paraId="53B6EA95" w14:textId="77777777" w:rsidR="000E562E" w:rsidRPr="000879C8" w:rsidRDefault="000E562E" w:rsidP="00BD16E1">
            <w:pPr>
              <w:tabs>
                <w:tab w:val="right" w:pos="0"/>
                <w:tab w:val="left" w:pos="4253"/>
              </w:tabs>
              <w:spacing w:before="120"/>
              <w:jc w:val="right"/>
              <w:rPr>
                <w:rFonts w:cs="Arial"/>
                <w:sz w:val="24"/>
              </w:rPr>
            </w:pPr>
            <w:r w:rsidRPr="000879C8">
              <w:rPr>
                <w:rFonts w:cs="Arial"/>
                <w:sz w:val="24"/>
              </w:rPr>
              <w:t>Marina Naydenova Attorneys</w:t>
            </w:r>
          </w:p>
        </w:tc>
      </w:tr>
      <w:tr w:rsidR="000E562E" w:rsidRPr="000879C8" w14:paraId="2DAE643D" w14:textId="77777777" w:rsidTr="00BD16E1">
        <w:tc>
          <w:tcPr>
            <w:tcW w:w="5382" w:type="dxa"/>
            <w:shd w:val="clear" w:color="auto" w:fill="auto"/>
          </w:tcPr>
          <w:p w14:paraId="0F0F0057" w14:textId="77777777" w:rsidR="000E562E" w:rsidRPr="000879C8" w:rsidRDefault="000E562E" w:rsidP="00BD16E1">
            <w:pPr>
              <w:tabs>
                <w:tab w:val="right" w:pos="0"/>
                <w:tab w:val="left" w:pos="4253"/>
              </w:tabs>
              <w:spacing w:before="120"/>
              <w:rPr>
                <w:rFonts w:cs="Arial"/>
                <w:sz w:val="24"/>
              </w:rPr>
            </w:pPr>
            <w:r w:rsidRPr="000879C8">
              <w:rPr>
                <w:rFonts w:cs="Arial"/>
                <w:sz w:val="24"/>
              </w:rPr>
              <w:t>Counsel for Respondents:</w:t>
            </w:r>
          </w:p>
        </w:tc>
        <w:tc>
          <w:tcPr>
            <w:tcW w:w="3968" w:type="dxa"/>
            <w:shd w:val="clear" w:color="auto" w:fill="auto"/>
          </w:tcPr>
          <w:p w14:paraId="4D8CCD57" w14:textId="77777777" w:rsidR="000E562E" w:rsidRPr="000879C8" w:rsidRDefault="000E562E" w:rsidP="00BD16E1">
            <w:pPr>
              <w:tabs>
                <w:tab w:val="right" w:pos="0"/>
                <w:tab w:val="left" w:pos="4253"/>
              </w:tabs>
              <w:spacing w:before="120"/>
              <w:jc w:val="right"/>
              <w:rPr>
                <w:rFonts w:cs="Arial"/>
                <w:sz w:val="24"/>
              </w:rPr>
            </w:pPr>
            <w:r w:rsidRPr="000879C8">
              <w:rPr>
                <w:rFonts w:cs="Arial"/>
                <w:sz w:val="24"/>
              </w:rPr>
              <w:t>Advocate JW Kloek</w:t>
            </w:r>
          </w:p>
        </w:tc>
      </w:tr>
      <w:tr w:rsidR="000E562E" w:rsidRPr="000879C8" w14:paraId="53C4AEEA" w14:textId="77777777" w:rsidTr="00BD16E1">
        <w:tc>
          <w:tcPr>
            <w:tcW w:w="5382" w:type="dxa"/>
            <w:shd w:val="clear" w:color="auto" w:fill="auto"/>
          </w:tcPr>
          <w:p w14:paraId="164845A4" w14:textId="77777777" w:rsidR="000E562E" w:rsidRPr="000879C8" w:rsidRDefault="000E562E" w:rsidP="00BD16E1">
            <w:pPr>
              <w:tabs>
                <w:tab w:val="right" w:pos="0"/>
                <w:tab w:val="left" w:pos="4253"/>
              </w:tabs>
              <w:spacing w:before="120"/>
              <w:rPr>
                <w:rFonts w:cs="Arial"/>
                <w:sz w:val="24"/>
              </w:rPr>
            </w:pPr>
            <w:r w:rsidRPr="000879C8">
              <w:rPr>
                <w:rFonts w:cs="Arial"/>
                <w:sz w:val="24"/>
              </w:rPr>
              <w:t>Instructed By:</w:t>
            </w:r>
          </w:p>
        </w:tc>
        <w:tc>
          <w:tcPr>
            <w:tcW w:w="3968" w:type="dxa"/>
            <w:shd w:val="clear" w:color="auto" w:fill="auto"/>
          </w:tcPr>
          <w:p w14:paraId="6DA45102" w14:textId="77777777" w:rsidR="000E562E" w:rsidRPr="000879C8" w:rsidRDefault="000E562E" w:rsidP="00BD16E1">
            <w:pPr>
              <w:tabs>
                <w:tab w:val="right" w:pos="0"/>
                <w:tab w:val="left" w:pos="4253"/>
              </w:tabs>
              <w:spacing w:before="120"/>
              <w:jc w:val="right"/>
              <w:rPr>
                <w:rFonts w:cs="Arial"/>
                <w:sz w:val="24"/>
              </w:rPr>
            </w:pPr>
            <w:r w:rsidRPr="000879C8">
              <w:rPr>
                <w:rFonts w:cs="Arial"/>
                <w:sz w:val="24"/>
              </w:rPr>
              <w:t>Blake Bester De Wet Jordaan Inc</w:t>
            </w:r>
          </w:p>
        </w:tc>
      </w:tr>
      <w:tr w:rsidR="000E562E" w:rsidRPr="000879C8" w14:paraId="2C9EBF72" w14:textId="77777777" w:rsidTr="00BD16E1">
        <w:tc>
          <w:tcPr>
            <w:tcW w:w="5382" w:type="dxa"/>
            <w:shd w:val="clear" w:color="auto" w:fill="auto"/>
          </w:tcPr>
          <w:p w14:paraId="3B772425" w14:textId="77777777" w:rsidR="000E562E" w:rsidRPr="000879C8" w:rsidRDefault="000E562E" w:rsidP="00BD16E1">
            <w:pPr>
              <w:keepNext/>
              <w:tabs>
                <w:tab w:val="right" w:pos="0"/>
                <w:tab w:val="left" w:pos="4253"/>
              </w:tabs>
              <w:spacing w:before="120"/>
              <w:rPr>
                <w:rFonts w:cs="Arial"/>
                <w:sz w:val="24"/>
              </w:rPr>
            </w:pPr>
            <w:r w:rsidRPr="000879C8">
              <w:rPr>
                <w:rFonts w:cs="Arial"/>
                <w:sz w:val="24"/>
              </w:rPr>
              <w:t>Date of Hearing:</w:t>
            </w:r>
          </w:p>
        </w:tc>
        <w:tc>
          <w:tcPr>
            <w:tcW w:w="3968" w:type="dxa"/>
            <w:shd w:val="clear" w:color="auto" w:fill="auto"/>
          </w:tcPr>
          <w:p w14:paraId="64B270D0" w14:textId="77777777" w:rsidR="000E562E" w:rsidRPr="000879C8" w:rsidRDefault="000E562E" w:rsidP="00BD16E1">
            <w:pPr>
              <w:keepNext/>
              <w:tabs>
                <w:tab w:val="right" w:pos="0"/>
                <w:tab w:val="left" w:pos="4253"/>
              </w:tabs>
              <w:spacing w:before="120"/>
              <w:jc w:val="right"/>
              <w:rPr>
                <w:rFonts w:cs="Arial"/>
                <w:sz w:val="24"/>
              </w:rPr>
            </w:pPr>
            <w:r w:rsidRPr="000879C8">
              <w:rPr>
                <w:rFonts w:cs="Arial"/>
                <w:sz w:val="24"/>
              </w:rPr>
              <w:t>31 May 2023</w:t>
            </w:r>
          </w:p>
        </w:tc>
      </w:tr>
      <w:tr w:rsidR="000E562E" w:rsidRPr="000879C8" w14:paraId="44D639C8" w14:textId="77777777" w:rsidTr="00BD16E1">
        <w:tc>
          <w:tcPr>
            <w:tcW w:w="5382" w:type="dxa"/>
            <w:shd w:val="clear" w:color="auto" w:fill="auto"/>
          </w:tcPr>
          <w:p w14:paraId="612330C2" w14:textId="77777777" w:rsidR="000E562E" w:rsidRPr="000879C8" w:rsidRDefault="000E562E" w:rsidP="00BD16E1">
            <w:pPr>
              <w:tabs>
                <w:tab w:val="right" w:pos="0"/>
                <w:tab w:val="left" w:pos="4253"/>
              </w:tabs>
              <w:spacing w:before="120"/>
              <w:rPr>
                <w:rFonts w:cs="Arial"/>
                <w:sz w:val="24"/>
              </w:rPr>
            </w:pPr>
            <w:r w:rsidRPr="000879C8">
              <w:rPr>
                <w:rFonts w:cs="Arial"/>
                <w:sz w:val="24"/>
              </w:rPr>
              <w:t>Date of Judgment:</w:t>
            </w:r>
          </w:p>
        </w:tc>
        <w:tc>
          <w:tcPr>
            <w:tcW w:w="3968" w:type="dxa"/>
            <w:shd w:val="clear" w:color="auto" w:fill="auto"/>
          </w:tcPr>
          <w:p w14:paraId="1E127319" w14:textId="739D1F1A" w:rsidR="000E562E" w:rsidRPr="000879C8" w:rsidRDefault="009B206C" w:rsidP="00BD16E1">
            <w:pPr>
              <w:tabs>
                <w:tab w:val="right" w:pos="0"/>
                <w:tab w:val="left" w:pos="4253"/>
              </w:tabs>
              <w:spacing w:before="120"/>
              <w:jc w:val="right"/>
              <w:rPr>
                <w:rFonts w:cs="Arial"/>
                <w:sz w:val="24"/>
              </w:rPr>
            </w:pPr>
            <w:r>
              <w:rPr>
                <w:rFonts w:cs="Arial"/>
                <w:sz w:val="24"/>
              </w:rPr>
              <w:t>20</w:t>
            </w:r>
            <w:r w:rsidR="000E562E" w:rsidRPr="000879C8">
              <w:rPr>
                <w:rFonts w:cs="Arial"/>
                <w:sz w:val="24"/>
              </w:rPr>
              <w:t xml:space="preserve"> June 2023</w:t>
            </w:r>
          </w:p>
        </w:tc>
      </w:tr>
    </w:tbl>
    <w:p w14:paraId="6973943B" w14:textId="77777777" w:rsidR="000E562E" w:rsidRPr="000879C8" w:rsidRDefault="000E562E" w:rsidP="000E562E">
      <w:pPr>
        <w:tabs>
          <w:tab w:val="right" w:pos="0"/>
          <w:tab w:val="left" w:pos="4253"/>
        </w:tabs>
        <w:spacing w:before="120"/>
        <w:rPr>
          <w:rFonts w:cs="Arial"/>
          <w:sz w:val="24"/>
        </w:rPr>
      </w:pPr>
    </w:p>
    <w:p w14:paraId="510A0863" w14:textId="77777777" w:rsidR="0005307F" w:rsidRPr="001931C6" w:rsidRDefault="0005307F" w:rsidP="00CB4B92">
      <w:pPr>
        <w:pStyle w:val="WLGLevel1"/>
        <w:keepNext/>
        <w:numPr>
          <w:ilvl w:val="0"/>
          <w:numId w:val="0"/>
        </w:numPr>
        <w:suppressAutoHyphens w:val="0"/>
        <w:spacing w:before="0" w:after="480"/>
        <w:rPr>
          <w:rFonts w:cs="Arial"/>
          <w:szCs w:val="24"/>
        </w:rPr>
      </w:pPr>
    </w:p>
    <w:sectPr w:rsidR="0005307F" w:rsidRPr="001931C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59133" w14:textId="77777777" w:rsidR="00214AD9" w:rsidRDefault="00214AD9" w:rsidP="009037B0">
      <w:pPr>
        <w:spacing w:line="240" w:lineRule="auto"/>
      </w:pPr>
      <w:r>
        <w:separator/>
      </w:r>
    </w:p>
  </w:endnote>
  <w:endnote w:type="continuationSeparator" w:id="0">
    <w:p w14:paraId="48DB267D" w14:textId="77777777" w:rsidR="00214AD9" w:rsidRDefault="00214AD9" w:rsidP="009037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519602"/>
      <w:docPartObj>
        <w:docPartGallery w:val="Page Numbers (Bottom of Page)"/>
        <w:docPartUnique/>
      </w:docPartObj>
    </w:sdtPr>
    <w:sdtEndPr>
      <w:rPr>
        <w:noProof/>
      </w:rPr>
    </w:sdtEndPr>
    <w:sdtContent>
      <w:p w14:paraId="510A086C" w14:textId="211548D9" w:rsidR="00E960D4" w:rsidRDefault="00E960D4">
        <w:pPr>
          <w:pStyle w:val="Footer"/>
          <w:jc w:val="right"/>
        </w:pPr>
        <w:r>
          <w:fldChar w:fldCharType="begin"/>
        </w:r>
        <w:r>
          <w:instrText xml:space="preserve"> PAGE   \* MERGEFORMAT </w:instrText>
        </w:r>
        <w:r>
          <w:fldChar w:fldCharType="separate"/>
        </w:r>
        <w:r w:rsidR="00C03686">
          <w:rPr>
            <w:noProof/>
          </w:rPr>
          <w:t>2</w:t>
        </w:r>
        <w:r>
          <w:rPr>
            <w:noProof/>
          </w:rPr>
          <w:fldChar w:fldCharType="end"/>
        </w:r>
      </w:p>
    </w:sdtContent>
  </w:sdt>
  <w:p w14:paraId="510A086D" w14:textId="77777777" w:rsidR="00E960D4" w:rsidRDefault="00E96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40A53" w14:textId="77777777" w:rsidR="00214AD9" w:rsidRDefault="00214AD9" w:rsidP="009037B0">
      <w:pPr>
        <w:spacing w:line="240" w:lineRule="auto"/>
      </w:pPr>
      <w:r>
        <w:separator/>
      </w:r>
    </w:p>
  </w:footnote>
  <w:footnote w:type="continuationSeparator" w:id="0">
    <w:p w14:paraId="6010CDD2" w14:textId="77777777" w:rsidR="00214AD9" w:rsidRDefault="00214AD9" w:rsidP="009037B0">
      <w:pPr>
        <w:spacing w:line="240" w:lineRule="auto"/>
      </w:pPr>
      <w:r>
        <w:continuationSeparator/>
      </w:r>
    </w:p>
  </w:footnote>
  <w:footnote w:id="1">
    <w:p w14:paraId="3A160401" w14:textId="77777777" w:rsidR="000E562E" w:rsidRPr="000B70E4" w:rsidRDefault="000E562E" w:rsidP="000E562E">
      <w:pPr>
        <w:pStyle w:val="FootnoteText"/>
        <w:spacing w:before="120"/>
        <w:ind w:left="709" w:hanging="709"/>
        <w:jc w:val="both"/>
        <w:rPr>
          <w:rFonts w:ascii="Arial" w:hAnsi="Arial" w:cs="Arial"/>
        </w:rPr>
      </w:pPr>
      <w:r w:rsidRPr="000B70E4">
        <w:rPr>
          <w:rStyle w:val="FootnoteReference"/>
          <w:rFonts w:ascii="Arial" w:hAnsi="Arial" w:cs="Arial"/>
        </w:rPr>
        <w:footnoteRef/>
      </w:r>
      <w:r w:rsidRPr="000B70E4">
        <w:rPr>
          <w:rFonts w:ascii="Arial" w:hAnsi="Arial" w:cs="Arial"/>
        </w:rPr>
        <w:t xml:space="preserve"> </w:t>
      </w:r>
      <w:bookmarkStart w:id="10" w:name="_Hlk137742955"/>
      <w:r w:rsidRPr="00C52431">
        <w:rPr>
          <w:rFonts w:ascii="Arial" w:hAnsi="Arial" w:cs="Arial"/>
        </w:rPr>
        <w:tab/>
      </w:r>
      <w:r w:rsidRPr="000B70E4">
        <w:rPr>
          <w:rFonts w:ascii="Arial" w:hAnsi="Arial" w:cs="Arial"/>
          <w:i/>
          <w:iCs/>
        </w:rPr>
        <w:t xml:space="preserve">University of Johannesburg </w:t>
      </w:r>
      <w:bookmarkEnd w:id="10"/>
      <w:r w:rsidRPr="000B70E4">
        <w:rPr>
          <w:rFonts w:ascii="Arial" w:hAnsi="Arial" w:cs="Arial"/>
          <w:i/>
          <w:iCs/>
        </w:rPr>
        <w:t>v Auckland Park Theological Seminary and Another</w:t>
      </w:r>
      <w:r w:rsidRPr="000B70E4">
        <w:rPr>
          <w:rFonts w:ascii="Arial" w:hAnsi="Arial" w:cs="Arial"/>
        </w:rPr>
        <w:t xml:space="preserve"> 2021</w:t>
      </w:r>
      <w:r>
        <w:rPr>
          <w:rFonts w:ascii="Arial" w:hAnsi="Arial" w:cs="Arial"/>
        </w:rPr>
        <w:t xml:space="preserve"> (8) BCLR 807 (CC)</w:t>
      </w:r>
      <w:r w:rsidRPr="000B70E4">
        <w:rPr>
          <w:rFonts w:ascii="Arial" w:hAnsi="Arial" w:cs="Arial"/>
        </w:rPr>
        <w:t xml:space="preserve"> [55]; </w:t>
      </w:r>
      <w:r w:rsidRPr="000B70E4">
        <w:rPr>
          <w:rFonts w:ascii="Arial" w:hAnsi="Arial" w:cs="Arial"/>
          <w:i/>
          <w:iCs/>
        </w:rPr>
        <w:t xml:space="preserve">Propell Specialised Finance </w:t>
      </w:r>
      <w:r>
        <w:rPr>
          <w:rFonts w:ascii="Arial" w:hAnsi="Arial" w:cs="Arial"/>
          <w:i/>
          <w:iCs/>
        </w:rPr>
        <w:t xml:space="preserve">(Pty) Ltd </w:t>
      </w:r>
      <w:r w:rsidRPr="000B70E4">
        <w:rPr>
          <w:rFonts w:ascii="Arial" w:hAnsi="Arial" w:cs="Arial"/>
          <w:i/>
          <w:iCs/>
        </w:rPr>
        <w:t>v Attorneys Insurance Indemnity Fund NPC</w:t>
      </w:r>
      <w:r w:rsidRPr="000B70E4">
        <w:rPr>
          <w:rFonts w:ascii="Arial" w:hAnsi="Arial" w:cs="Arial"/>
        </w:rPr>
        <w:t xml:space="preserve"> </w:t>
      </w:r>
      <w:r>
        <w:rPr>
          <w:rFonts w:ascii="Arial" w:hAnsi="Arial" w:cs="Arial"/>
        </w:rPr>
        <w:t>2019 (2) SA 221 (SCA) [17]-</w:t>
      </w:r>
      <w:r w:rsidRPr="000B70E4">
        <w:rPr>
          <w:rFonts w:ascii="Arial" w:hAnsi="Arial" w:cs="Arial"/>
        </w:rPr>
        <w:t>[20]</w:t>
      </w:r>
    </w:p>
  </w:footnote>
  <w:footnote w:id="2">
    <w:p w14:paraId="79A45B8C" w14:textId="77777777" w:rsidR="000E562E" w:rsidRPr="000B70E4" w:rsidRDefault="000E562E" w:rsidP="000E562E">
      <w:pPr>
        <w:pStyle w:val="FootnoteText"/>
        <w:spacing w:before="120"/>
        <w:ind w:left="709" w:hanging="709"/>
        <w:jc w:val="both"/>
        <w:rPr>
          <w:rFonts w:ascii="Arial" w:hAnsi="Arial" w:cs="Arial"/>
        </w:rPr>
      </w:pPr>
      <w:r w:rsidRPr="000B70E4">
        <w:rPr>
          <w:rStyle w:val="FootnoteReference"/>
          <w:rFonts w:ascii="Arial" w:hAnsi="Arial" w:cs="Arial"/>
        </w:rPr>
        <w:footnoteRef/>
      </w:r>
      <w:r w:rsidRPr="000B70E4">
        <w:rPr>
          <w:rFonts w:ascii="Arial" w:hAnsi="Arial" w:cs="Arial"/>
        </w:rPr>
        <w:t xml:space="preserve"> </w:t>
      </w:r>
      <w:r w:rsidRPr="00C52431">
        <w:rPr>
          <w:rFonts w:ascii="Arial" w:hAnsi="Arial" w:cs="Arial"/>
        </w:rPr>
        <w:tab/>
      </w:r>
      <w:r w:rsidRPr="000B70E4">
        <w:rPr>
          <w:rFonts w:ascii="Arial" w:hAnsi="Arial" w:cs="Arial"/>
          <w:i/>
          <w:iCs/>
        </w:rPr>
        <w:t>Eastern Rand Exploration Co Ltd v AJT Nel, JL Nel, SM Nel, MME Nel’s Guardian and DJ Sim</w:t>
      </w:r>
      <w:r w:rsidRPr="000B70E4">
        <w:rPr>
          <w:rFonts w:ascii="Arial" w:hAnsi="Arial" w:cs="Arial"/>
        </w:rPr>
        <w:t xml:space="preserve"> 1903 TS 42 53; </w:t>
      </w:r>
      <w:r w:rsidRPr="000B70E4">
        <w:rPr>
          <w:rFonts w:ascii="Arial" w:hAnsi="Arial" w:cs="Arial"/>
          <w:i/>
          <w:iCs/>
        </w:rPr>
        <w:t>University of Johannesburg</w:t>
      </w:r>
      <w:r w:rsidRPr="000B70E4">
        <w:rPr>
          <w:rFonts w:ascii="Arial" w:hAnsi="Arial" w:cs="Arial"/>
        </w:rPr>
        <w:t xml:space="preserve"> </w:t>
      </w:r>
      <w:r w:rsidRPr="000B70E4">
        <w:rPr>
          <w:rFonts w:ascii="Arial" w:hAnsi="Arial" w:cs="Arial"/>
          <w:i/>
          <w:iCs/>
        </w:rPr>
        <w:t>supra</w:t>
      </w:r>
      <w:r w:rsidRPr="000B70E4">
        <w:rPr>
          <w:rFonts w:ascii="Arial" w:hAnsi="Arial" w:cs="Arial"/>
        </w:rPr>
        <w:t xml:space="preserve"> [5</w:t>
      </w:r>
      <w:r>
        <w:rPr>
          <w:rFonts w:ascii="Arial" w:hAnsi="Arial" w:cs="Arial"/>
        </w:rPr>
        <w:t>8</w:t>
      </w:r>
      <w:r w:rsidRPr="000B70E4">
        <w:rPr>
          <w:rFonts w:ascii="Arial" w:hAnsi="Arial" w:cs="Arial"/>
        </w:rPr>
        <w:t>]</w:t>
      </w:r>
      <w:r>
        <w:rPr>
          <w:rFonts w:ascii="Arial" w:hAnsi="Arial" w:cs="Arial"/>
        </w:rPr>
        <w:t>-[61]</w:t>
      </w:r>
    </w:p>
  </w:footnote>
  <w:footnote w:id="3">
    <w:p w14:paraId="31590B1D" w14:textId="77777777" w:rsidR="000E562E" w:rsidRPr="000B70E4" w:rsidRDefault="000E562E" w:rsidP="000E562E">
      <w:pPr>
        <w:pStyle w:val="FootnoteText"/>
        <w:spacing w:before="120"/>
        <w:ind w:left="709" w:hanging="709"/>
        <w:jc w:val="both"/>
        <w:rPr>
          <w:rFonts w:ascii="Arial" w:hAnsi="Arial" w:cs="Arial"/>
        </w:rPr>
      </w:pPr>
      <w:r w:rsidRPr="000B70E4">
        <w:rPr>
          <w:rStyle w:val="FootnoteReference"/>
          <w:rFonts w:ascii="Arial" w:hAnsi="Arial" w:cs="Arial"/>
        </w:rPr>
        <w:footnoteRef/>
      </w:r>
      <w:r w:rsidRPr="000B70E4">
        <w:rPr>
          <w:rFonts w:ascii="Arial" w:hAnsi="Arial" w:cs="Arial"/>
        </w:rPr>
        <w:t xml:space="preserve"> </w:t>
      </w:r>
      <w:r w:rsidRPr="00C52431">
        <w:rPr>
          <w:rFonts w:ascii="Arial" w:hAnsi="Arial" w:cs="Arial"/>
        </w:rPr>
        <w:tab/>
      </w:r>
      <w:r w:rsidRPr="000B70E4">
        <w:rPr>
          <w:rFonts w:ascii="Arial" w:hAnsi="Arial" w:cs="Arial"/>
          <w:i/>
          <w:iCs/>
        </w:rPr>
        <w:t>Propell supra</w:t>
      </w:r>
      <w:r w:rsidRPr="000B70E4">
        <w:rPr>
          <w:rFonts w:ascii="Arial" w:hAnsi="Arial" w:cs="Arial"/>
        </w:rPr>
        <w:t xml:space="preserve"> [19]</w:t>
      </w:r>
    </w:p>
  </w:footnote>
  <w:footnote w:id="4">
    <w:p w14:paraId="400C17C0" w14:textId="77777777" w:rsidR="000E562E" w:rsidRPr="00CB4B92" w:rsidRDefault="000E562E" w:rsidP="000E562E">
      <w:pPr>
        <w:pStyle w:val="FootnoteText"/>
        <w:spacing w:before="120"/>
        <w:ind w:left="709" w:hanging="709"/>
        <w:jc w:val="both"/>
        <w:rPr>
          <w:rFonts w:ascii="Arial" w:hAnsi="Arial" w:cs="Arial"/>
          <w:lang w:val="en-ZA"/>
        </w:rPr>
      </w:pPr>
      <w:r w:rsidRPr="000B70E4">
        <w:rPr>
          <w:rStyle w:val="FootnoteReference"/>
          <w:rFonts w:ascii="Arial" w:hAnsi="Arial" w:cs="Arial"/>
        </w:rPr>
        <w:footnoteRef/>
      </w:r>
      <w:r w:rsidRPr="00CB4B92">
        <w:rPr>
          <w:rFonts w:ascii="Arial" w:hAnsi="Arial" w:cs="Arial"/>
          <w:lang w:val="en-ZA"/>
        </w:rPr>
        <w:t xml:space="preserve"> </w:t>
      </w:r>
      <w:r w:rsidRPr="00CB4B92">
        <w:rPr>
          <w:rFonts w:ascii="Arial" w:hAnsi="Arial" w:cs="Arial"/>
          <w:lang w:val="en-ZA"/>
        </w:rPr>
        <w:tab/>
      </w:r>
      <w:r w:rsidRPr="00CB4B92">
        <w:rPr>
          <w:rFonts w:ascii="Arial" w:hAnsi="Arial" w:cs="Arial"/>
          <w:i/>
          <w:iCs/>
          <w:lang w:val="en-ZA"/>
        </w:rPr>
        <w:t>Densam (Pty) Ltd v Cywilnat (Pty) Ltd</w:t>
      </w:r>
      <w:r w:rsidRPr="00CB4B92">
        <w:rPr>
          <w:rFonts w:ascii="Arial" w:hAnsi="Arial" w:cs="Arial"/>
          <w:lang w:val="en-ZA"/>
        </w:rPr>
        <w:t xml:space="preserve"> 1991 (1) SA 100 (A) 112A-E</w:t>
      </w:r>
    </w:p>
  </w:footnote>
  <w:footnote w:id="5">
    <w:p w14:paraId="2AF7EDC7" w14:textId="77777777" w:rsidR="000E562E" w:rsidRPr="000B70E4" w:rsidRDefault="000E562E" w:rsidP="000E562E">
      <w:pPr>
        <w:pStyle w:val="FootnoteText"/>
        <w:spacing w:before="120"/>
        <w:ind w:left="709" w:hanging="709"/>
        <w:jc w:val="both"/>
        <w:rPr>
          <w:rFonts w:ascii="Arial" w:hAnsi="Arial" w:cs="Arial"/>
        </w:rPr>
      </w:pPr>
      <w:r w:rsidRPr="000B70E4">
        <w:rPr>
          <w:rStyle w:val="FootnoteReference"/>
          <w:rFonts w:ascii="Arial" w:hAnsi="Arial" w:cs="Arial"/>
        </w:rPr>
        <w:footnoteRef/>
      </w:r>
      <w:r w:rsidRPr="000B70E4">
        <w:rPr>
          <w:rFonts w:ascii="Arial" w:hAnsi="Arial" w:cs="Arial"/>
        </w:rPr>
        <w:t xml:space="preserve"> </w:t>
      </w:r>
      <w:r w:rsidRPr="00C52431">
        <w:rPr>
          <w:rFonts w:ascii="Arial" w:hAnsi="Arial" w:cs="Arial"/>
        </w:rPr>
        <w:tab/>
      </w:r>
      <w:r w:rsidRPr="000B70E4">
        <w:rPr>
          <w:rFonts w:ascii="Arial" w:hAnsi="Arial" w:cs="Arial"/>
          <w:i/>
          <w:iCs/>
        </w:rPr>
        <w:t>Dettman</w:t>
      </w:r>
      <w:r>
        <w:rPr>
          <w:rFonts w:ascii="Arial" w:hAnsi="Arial" w:cs="Arial"/>
          <w:i/>
          <w:iCs/>
        </w:rPr>
        <w:t>n</w:t>
      </w:r>
      <w:r w:rsidRPr="000B70E4">
        <w:rPr>
          <w:rFonts w:ascii="Arial" w:hAnsi="Arial" w:cs="Arial"/>
          <w:i/>
          <w:iCs/>
        </w:rPr>
        <w:t xml:space="preserve"> v Goldfain</w:t>
      </w:r>
      <w:r>
        <w:rPr>
          <w:rFonts w:ascii="Arial" w:hAnsi="Arial" w:cs="Arial"/>
          <w:i/>
          <w:iCs/>
        </w:rPr>
        <w:t xml:space="preserve"> and Another</w:t>
      </w:r>
      <w:r w:rsidRPr="000B70E4">
        <w:rPr>
          <w:rFonts w:ascii="Arial" w:hAnsi="Arial" w:cs="Arial"/>
        </w:rPr>
        <w:t xml:space="preserve"> 1975</w:t>
      </w:r>
      <w:r>
        <w:rPr>
          <w:rFonts w:ascii="Arial" w:hAnsi="Arial" w:cs="Arial"/>
        </w:rPr>
        <w:t xml:space="preserve"> (</w:t>
      </w:r>
      <w:r w:rsidRPr="000B70E4">
        <w:rPr>
          <w:rFonts w:ascii="Arial" w:hAnsi="Arial" w:cs="Arial"/>
        </w:rPr>
        <w:t>3</w:t>
      </w:r>
      <w:r>
        <w:rPr>
          <w:rFonts w:ascii="Arial" w:hAnsi="Arial" w:cs="Arial"/>
        </w:rPr>
        <w:t>)</w:t>
      </w:r>
      <w:r w:rsidRPr="000B70E4">
        <w:rPr>
          <w:rFonts w:ascii="Arial" w:hAnsi="Arial" w:cs="Arial"/>
        </w:rPr>
        <w:t xml:space="preserve"> SA </w:t>
      </w:r>
      <w:r>
        <w:rPr>
          <w:rFonts w:ascii="Arial" w:hAnsi="Arial" w:cs="Arial"/>
        </w:rPr>
        <w:t>385</w:t>
      </w:r>
      <w:r w:rsidRPr="000B70E4">
        <w:rPr>
          <w:rFonts w:ascii="Arial" w:hAnsi="Arial" w:cs="Arial"/>
        </w:rPr>
        <w:t xml:space="preserve"> (A) </w:t>
      </w:r>
      <w:r>
        <w:rPr>
          <w:rFonts w:ascii="Arial" w:hAnsi="Arial" w:cs="Arial"/>
        </w:rPr>
        <w:t>395A-F</w:t>
      </w:r>
    </w:p>
  </w:footnote>
  <w:footnote w:id="6">
    <w:p w14:paraId="0469BAA5" w14:textId="77777777" w:rsidR="000E562E" w:rsidRPr="00D747FD" w:rsidRDefault="000E562E" w:rsidP="000E562E">
      <w:pPr>
        <w:spacing w:before="120"/>
        <w:ind w:left="709" w:hanging="709"/>
        <w:rPr>
          <w:rFonts w:cs="Arial"/>
          <w:sz w:val="20"/>
          <w:szCs w:val="20"/>
        </w:rPr>
      </w:pPr>
      <w:r w:rsidRPr="000B70E4">
        <w:rPr>
          <w:rStyle w:val="FootnoteReference"/>
          <w:rFonts w:cs="Arial"/>
          <w:sz w:val="20"/>
          <w:szCs w:val="20"/>
        </w:rPr>
        <w:footnoteRef/>
      </w:r>
      <w:r w:rsidRPr="00D747FD">
        <w:rPr>
          <w:rFonts w:cs="Arial"/>
          <w:sz w:val="20"/>
          <w:szCs w:val="20"/>
        </w:rPr>
        <w:t xml:space="preserve"> </w:t>
      </w:r>
      <w:r w:rsidRPr="00D747FD">
        <w:rPr>
          <w:rFonts w:cs="Arial"/>
          <w:sz w:val="20"/>
          <w:szCs w:val="20"/>
        </w:rPr>
        <w:tab/>
      </w:r>
      <w:r w:rsidRPr="00D747FD">
        <w:rPr>
          <w:rFonts w:cs="Arial"/>
          <w:i/>
          <w:iCs/>
          <w:sz w:val="20"/>
          <w:szCs w:val="20"/>
        </w:rPr>
        <w:t>Milner v Union Dominions Corp (SA) Ltd and Anot</w:t>
      </w:r>
      <w:r>
        <w:rPr>
          <w:rFonts w:cs="Arial"/>
          <w:i/>
          <w:iCs/>
          <w:sz w:val="20"/>
          <w:szCs w:val="20"/>
        </w:rPr>
        <w:t>her</w:t>
      </w:r>
      <w:r w:rsidRPr="00D747FD">
        <w:rPr>
          <w:rFonts w:cs="Arial"/>
          <w:sz w:val="20"/>
          <w:szCs w:val="20"/>
        </w:rPr>
        <w:t xml:space="preserve"> 1959 3 SA 674 (C)</w:t>
      </w:r>
      <w:r>
        <w:rPr>
          <w:rFonts w:cs="Arial"/>
          <w:sz w:val="20"/>
          <w:szCs w:val="20"/>
        </w:rPr>
        <w:t xml:space="preserve"> 676E-H</w:t>
      </w:r>
    </w:p>
  </w:footnote>
  <w:footnote w:id="7">
    <w:p w14:paraId="672A0D21" w14:textId="628B0BC4" w:rsidR="000E562E" w:rsidRPr="00D747FD" w:rsidRDefault="000E562E" w:rsidP="000E562E">
      <w:pPr>
        <w:spacing w:before="120"/>
        <w:ind w:left="709" w:hanging="709"/>
        <w:rPr>
          <w:rFonts w:cs="Arial"/>
          <w:sz w:val="20"/>
          <w:szCs w:val="20"/>
        </w:rPr>
      </w:pPr>
      <w:r w:rsidRPr="000B70E4">
        <w:rPr>
          <w:rStyle w:val="FootnoteReference"/>
          <w:rFonts w:cs="Arial"/>
          <w:sz w:val="20"/>
          <w:szCs w:val="20"/>
        </w:rPr>
        <w:footnoteRef/>
      </w:r>
      <w:r w:rsidRPr="00D747FD">
        <w:rPr>
          <w:rFonts w:cs="Arial"/>
          <w:sz w:val="20"/>
          <w:szCs w:val="20"/>
        </w:rPr>
        <w:t xml:space="preserve"> </w:t>
      </w:r>
      <w:r w:rsidRPr="00D747FD">
        <w:rPr>
          <w:rFonts w:cs="Arial"/>
          <w:sz w:val="20"/>
          <w:szCs w:val="20"/>
        </w:rPr>
        <w:tab/>
      </w:r>
      <w:r>
        <w:rPr>
          <w:rFonts w:cs="Arial"/>
          <w:sz w:val="20"/>
          <w:szCs w:val="20"/>
        </w:rPr>
        <w:t>Section 34(1) of the Insolvency Act provides</w:t>
      </w:r>
      <w:r w:rsidR="005E44DB">
        <w:rPr>
          <w:rFonts w:cs="Arial"/>
          <w:sz w:val="20"/>
          <w:szCs w:val="20"/>
        </w:rPr>
        <w:t>, in relevant part,</w:t>
      </w:r>
      <w:r>
        <w:rPr>
          <w:rFonts w:cs="Arial"/>
          <w:sz w:val="20"/>
          <w:szCs w:val="20"/>
        </w:rPr>
        <w:t xml:space="preserve"> that </w:t>
      </w:r>
      <w:r w:rsidR="004E3ABD">
        <w:rPr>
          <w:rFonts w:cs="Arial"/>
          <w:sz w:val="20"/>
          <w:szCs w:val="20"/>
        </w:rPr>
        <w:t>“</w:t>
      </w:r>
      <w:r w:rsidR="004E3ABD">
        <w:rPr>
          <w:rFonts w:cs="Arial"/>
          <w:i/>
          <w:iCs/>
          <w:sz w:val="20"/>
          <w:szCs w:val="20"/>
        </w:rPr>
        <w:t xml:space="preserve">[i]f a trader transfers in terms of a contract any business belonging to him, or the goodwill of such business, or any goods or property forming part </w:t>
      </w:r>
      <w:r w:rsidR="00472B71">
        <w:rPr>
          <w:rFonts w:cs="Arial"/>
          <w:i/>
          <w:iCs/>
          <w:sz w:val="20"/>
          <w:szCs w:val="20"/>
        </w:rPr>
        <w:t>thereof (except in the ordinary course</w:t>
      </w:r>
      <w:r w:rsidR="00167E80">
        <w:rPr>
          <w:rFonts w:cs="Arial"/>
          <w:i/>
          <w:iCs/>
          <w:sz w:val="20"/>
          <w:szCs w:val="20"/>
        </w:rPr>
        <w:t xml:space="preserve"> of that business or for securing the payment of a debt, and such trader has not published a notice of such intended transfer in the Gazette</w:t>
      </w:r>
      <w:r w:rsidR="002775DB">
        <w:rPr>
          <w:rFonts w:cs="Arial"/>
          <w:i/>
          <w:iCs/>
          <w:sz w:val="20"/>
          <w:szCs w:val="20"/>
        </w:rPr>
        <w:t>, …, within a period of not less than thirty days and not more than sixty days before the date of such transfer</w:t>
      </w:r>
      <w:r w:rsidR="00AF1EC4">
        <w:rPr>
          <w:rFonts w:cs="Arial"/>
          <w:i/>
          <w:iCs/>
          <w:sz w:val="20"/>
          <w:szCs w:val="20"/>
        </w:rPr>
        <w:t xml:space="preserve">, the said transfer shall be void as against his creditors for a period of six months after such transfer, </w:t>
      </w:r>
      <w:r w:rsidR="00E35795">
        <w:rPr>
          <w:rFonts w:cs="Arial"/>
          <w:i/>
          <w:iCs/>
          <w:sz w:val="20"/>
          <w:szCs w:val="20"/>
        </w:rPr>
        <w:t xml:space="preserve">the said transfer shall </w:t>
      </w:r>
      <w:r w:rsidR="00AF1EC4">
        <w:rPr>
          <w:rFonts w:cs="Arial"/>
          <w:i/>
          <w:iCs/>
          <w:sz w:val="20"/>
          <w:szCs w:val="20"/>
        </w:rPr>
        <w:t xml:space="preserve">be void </w:t>
      </w:r>
      <w:r w:rsidR="00E35795">
        <w:rPr>
          <w:rFonts w:cs="Arial"/>
          <w:i/>
          <w:iCs/>
          <w:sz w:val="20"/>
          <w:szCs w:val="20"/>
        </w:rPr>
        <w:t xml:space="preserve">as </w:t>
      </w:r>
      <w:r w:rsidR="00AF1EC4">
        <w:rPr>
          <w:rFonts w:cs="Arial"/>
          <w:i/>
          <w:iCs/>
          <w:sz w:val="20"/>
          <w:szCs w:val="20"/>
        </w:rPr>
        <w:t xml:space="preserve">against </w:t>
      </w:r>
      <w:r w:rsidR="00E35795">
        <w:rPr>
          <w:rFonts w:cs="Arial"/>
          <w:i/>
          <w:iCs/>
          <w:sz w:val="20"/>
          <w:szCs w:val="20"/>
        </w:rPr>
        <w:t>his creditors</w:t>
      </w:r>
      <w:r w:rsidR="00D94DD9">
        <w:rPr>
          <w:rFonts w:cs="Arial"/>
          <w:i/>
          <w:iCs/>
          <w:sz w:val="20"/>
          <w:szCs w:val="20"/>
        </w:rPr>
        <w:t xml:space="preserve"> for a period of six months after such transfer …</w:t>
      </w:r>
      <w:r w:rsidR="004E3ABD">
        <w:rPr>
          <w:rFonts w:cs="Arial"/>
          <w:sz w:val="20"/>
          <w:szCs w:val="20"/>
        </w:rPr>
        <w:t>”</w:t>
      </w:r>
      <w:r w:rsidR="00D94DD9">
        <w:rPr>
          <w:rFonts w:cs="Arial"/>
          <w:sz w:val="20"/>
          <w:szCs w:val="20"/>
        </w:rPr>
        <w:t>.</w:t>
      </w:r>
    </w:p>
  </w:footnote>
  <w:footnote w:id="8">
    <w:p w14:paraId="038EE431" w14:textId="482B232C" w:rsidR="00F924D7" w:rsidRPr="00D747FD" w:rsidRDefault="00F924D7" w:rsidP="00F924D7">
      <w:pPr>
        <w:spacing w:before="120"/>
        <w:ind w:left="709" w:hanging="709"/>
        <w:rPr>
          <w:rFonts w:cs="Arial"/>
          <w:sz w:val="20"/>
          <w:szCs w:val="20"/>
        </w:rPr>
      </w:pPr>
      <w:r w:rsidRPr="000B70E4">
        <w:rPr>
          <w:rStyle w:val="FootnoteReference"/>
          <w:rFonts w:cs="Arial"/>
          <w:sz w:val="20"/>
          <w:szCs w:val="20"/>
        </w:rPr>
        <w:footnoteRef/>
      </w:r>
      <w:r w:rsidRPr="00D747FD">
        <w:rPr>
          <w:rFonts w:cs="Arial"/>
          <w:sz w:val="20"/>
          <w:szCs w:val="20"/>
        </w:rPr>
        <w:t xml:space="preserve"> </w:t>
      </w:r>
      <w:r w:rsidRPr="00D747FD">
        <w:rPr>
          <w:rFonts w:cs="Arial"/>
          <w:sz w:val="20"/>
          <w:szCs w:val="20"/>
        </w:rPr>
        <w:tab/>
      </w:r>
      <w:r>
        <w:rPr>
          <w:rFonts w:cs="Arial"/>
          <w:sz w:val="20"/>
          <w:szCs w:val="20"/>
        </w:rPr>
        <w:t xml:space="preserve">Section 26(1) of the Insolvency Act provides that </w:t>
      </w:r>
      <w:r w:rsidR="000218E7">
        <w:rPr>
          <w:rFonts w:cs="Arial"/>
          <w:sz w:val="20"/>
          <w:szCs w:val="20"/>
        </w:rPr>
        <w:t>“</w:t>
      </w:r>
      <w:r w:rsidR="000218E7">
        <w:rPr>
          <w:rFonts w:cs="Arial"/>
          <w:i/>
          <w:iCs/>
          <w:sz w:val="20"/>
          <w:szCs w:val="20"/>
        </w:rPr>
        <w:t xml:space="preserve">[e]very disposition of property </w:t>
      </w:r>
      <w:r w:rsidR="00A63EFD">
        <w:rPr>
          <w:rFonts w:cs="Arial"/>
          <w:i/>
          <w:iCs/>
          <w:sz w:val="20"/>
          <w:szCs w:val="20"/>
        </w:rPr>
        <w:t>not made for value may be set aside by the court if such disposition was made by an in</w:t>
      </w:r>
      <w:r w:rsidR="004F461B">
        <w:rPr>
          <w:rFonts w:cs="Arial"/>
          <w:i/>
          <w:iCs/>
          <w:sz w:val="20"/>
          <w:szCs w:val="20"/>
        </w:rPr>
        <w:t>s</w:t>
      </w:r>
      <w:r w:rsidR="00A63EFD">
        <w:rPr>
          <w:rFonts w:cs="Arial"/>
          <w:i/>
          <w:iCs/>
          <w:sz w:val="20"/>
          <w:szCs w:val="20"/>
        </w:rPr>
        <w:t xml:space="preserve">olvent – (a) </w:t>
      </w:r>
      <w:r w:rsidR="00D1679A">
        <w:rPr>
          <w:rFonts w:cs="Arial"/>
          <w:i/>
          <w:iCs/>
          <w:sz w:val="20"/>
          <w:szCs w:val="20"/>
        </w:rPr>
        <w:t>more than two years before the sequestration of his estate, and it is proved that, immediately after</w:t>
      </w:r>
      <w:r w:rsidR="004F461B">
        <w:rPr>
          <w:rFonts w:cs="Arial"/>
          <w:i/>
          <w:iCs/>
          <w:sz w:val="20"/>
          <w:szCs w:val="20"/>
        </w:rPr>
        <w:t xml:space="preserve"> the disposition was made, the liabilities of the insolvent exceeded his assets</w:t>
      </w:r>
      <w:r w:rsidR="00A63EFD">
        <w:rPr>
          <w:rFonts w:cs="Arial"/>
          <w:i/>
          <w:iCs/>
          <w:sz w:val="20"/>
          <w:szCs w:val="20"/>
        </w:rPr>
        <w:t>; (b)</w:t>
      </w:r>
      <w:r w:rsidR="004F461B">
        <w:rPr>
          <w:rFonts w:cs="Arial"/>
          <w:i/>
          <w:iCs/>
          <w:sz w:val="20"/>
          <w:szCs w:val="20"/>
        </w:rPr>
        <w:t xml:space="preserve"> within two years of the sequestration of his estate</w:t>
      </w:r>
      <w:r w:rsidR="001B207A">
        <w:rPr>
          <w:rFonts w:cs="Arial"/>
          <w:i/>
          <w:iCs/>
          <w:sz w:val="20"/>
          <w:szCs w:val="20"/>
        </w:rPr>
        <w:t>, and the person claiming under or benefited by the disposition is unable to prove that</w:t>
      </w:r>
      <w:r w:rsidR="005E36D8">
        <w:rPr>
          <w:rFonts w:cs="Arial"/>
          <w:i/>
          <w:iCs/>
          <w:sz w:val="20"/>
          <w:szCs w:val="20"/>
        </w:rPr>
        <w:t>, immediately after the disposition was made, the asses of the insolvent exceeded his liabilities</w:t>
      </w:r>
      <w:r w:rsidR="000218E7">
        <w:rPr>
          <w:rFonts w:cs="Arial"/>
          <w:sz w:val="20"/>
          <w:szCs w:val="20"/>
        </w:rPr>
        <w:t>.”</w:t>
      </w:r>
    </w:p>
  </w:footnote>
  <w:footnote w:id="9">
    <w:p w14:paraId="538AC8E0" w14:textId="545737AA" w:rsidR="000E562E" w:rsidRPr="00D747FD" w:rsidRDefault="000E562E" w:rsidP="000E562E">
      <w:pPr>
        <w:spacing w:before="120"/>
        <w:ind w:left="709" w:hanging="709"/>
        <w:rPr>
          <w:rFonts w:cs="Arial"/>
          <w:sz w:val="20"/>
          <w:szCs w:val="20"/>
        </w:rPr>
      </w:pPr>
      <w:r w:rsidRPr="000B70E4">
        <w:rPr>
          <w:rStyle w:val="FootnoteReference"/>
          <w:rFonts w:cs="Arial"/>
          <w:sz w:val="20"/>
          <w:szCs w:val="20"/>
        </w:rPr>
        <w:footnoteRef/>
      </w:r>
      <w:r w:rsidRPr="00D747FD">
        <w:rPr>
          <w:rFonts w:cs="Arial"/>
          <w:sz w:val="20"/>
          <w:szCs w:val="20"/>
        </w:rPr>
        <w:t xml:space="preserve"> </w:t>
      </w:r>
      <w:r w:rsidRPr="00D747FD">
        <w:rPr>
          <w:rFonts w:cs="Arial"/>
          <w:sz w:val="20"/>
          <w:szCs w:val="20"/>
        </w:rPr>
        <w:tab/>
      </w:r>
      <w:r>
        <w:rPr>
          <w:rFonts w:cs="Arial"/>
          <w:sz w:val="20"/>
          <w:szCs w:val="20"/>
        </w:rPr>
        <w:t>Section 15(3)(c) of the Matrimonial Property Act provides</w:t>
      </w:r>
      <w:r w:rsidR="000B6AF9">
        <w:rPr>
          <w:rFonts w:cs="Arial"/>
          <w:sz w:val="20"/>
          <w:szCs w:val="20"/>
        </w:rPr>
        <w:t>, in relevant part,</w:t>
      </w:r>
      <w:r>
        <w:rPr>
          <w:rFonts w:cs="Arial"/>
          <w:sz w:val="20"/>
          <w:szCs w:val="20"/>
        </w:rPr>
        <w:t xml:space="preserve"> that </w:t>
      </w:r>
      <w:r w:rsidR="005A31FB">
        <w:rPr>
          <w:rFonts w:cs="Arial"/>
          <w:sz w:val="20"/>
          <w:szCs w:val="20"/>
        </w:rPr>
        <w:t>“</w:t>
      </w:r>
      <w:r w:rsidR="005A31FB">
        <w:rPr>
          <w:rFonts w:cs="Arial"/>
          <w:i/>
          <w:iCs/>
          <w:sz w:val="20"/>
          <w:szCs w:val="20"/>
        </w:rPr>
        <w:t>[a] spouse shall not without the consent</w:t>
      </w:r>
      <w:r w:rsidR="000E4EC5">
        <w:rPr>
          <w:rFonts w:cs="Arial"/>
          <w:i/>
          <w:iCs/>
          <w:sz w:val="20"/>
          <w:szCs w:val="20"/>
        </w:rPr>
        <w:t xml:space="preserve"> of the other spouse – … donate</w:t>
      </w:r>
      <w:r w:rsidR="00761D8B">
        <w:rPr>
          <w:rFonts w:cs="Arial"/>
          <w:i/>
          <w:iCs/>
          <w:sz w:val="20"/>
          <w:szCs w:val="20"/>
        </w:rPr>
        <w:t xml:space="preserve"> to another person any asset of the joint estate or alienate such an asset without value, excluding an asset of which the donation or alienation does not and probably will not</w:t>
      </w:r>
      <w:r w:rsidR="000B6AF9">
        <w:rPr>
          <w:rFonts w:cs="Arial"/>
          <w:i/>
          <w:iCs/>
          <w:sz w:val="20"/>
          <w:szCs w:val="20"/>
        </w:rPr>
        <w:t xml:space="preserve"> unreasonably prejudice the interest of the other spouse in the joint estate …</w:t>
      </w:r>
      <w:r w:rsidR="005A31FB">
        <w:rPr>
          <w:rFonts w:cs="Arial"/>
          <w:sz w:val="20"/>
          <w:szCs w:val="20"/>
        </w:rPr>
        <w:t>”</w:t>
      </w:r>
      <w:r w:rsidR="000B6AF9">
        <w:rPr>
          <w:rFonts w:cs="Arial"/>
          <w:sz w:val="20"/>
          <w:szCs w:val="20"/>
        </w:rPr>
        <w:t>.</w:t>
      </w:r>
    </w:p>
  </w:footnote>
  <w:footnote w:id="10">
    <w:p w14:paraId="6F6C7C37" w14:textId="05EB7B7A" w:rsidR="00325BC4" w:rsidRPr="00D747FD" w:rsidRDefault="00325BC4" w:rsidP="00325BC4">
      <w:pPr>
        <w:spacing w:before="120"/>
        <w:ind w:left="709" w:hanging="709"/>
        <w:rPr>
          <w:rFonts w:cs="Arial"/>
          <w:sz w:val="20"/>
          <w:szCs w:val="20"/>
        </w:rPr>
      </w:pPr>
      <w:r w:rsidRPr="000B70E4">
        <w:rPr>
          <w:rStyle w:val="FootnoteReference"/>
          <w:rFonts w:cs="Arial"/>
          <w:sz w:val="20"/>
          <w:szCs w:val="20"/>
        </w:rPr>
        <w:footnoteRef/>
      </w:r>
      <w:r w:rsidRPr="00D747FD">
        <w:rPr>
          <w:rFonts w:cs="Arial"/>
          <w:sz w:val="20"/>
          <w:szCs w:val="20"/>
        </w:rPr>
        <w:t xml:space="preserve"> </w:t>
      </w:r>
      <w:r w:rsidRPr="00D747FD">
        <w:rPr>
          <w:rFonts w:cs="Arial"/>
          <w:sz w:val="20"/>
          <w:szCs w:val="20"/>
        </w:rPr>
        <w:tab/>
      </w:r>
      <w:r>
        <w:rPr>
          <w:rFonts w:cs="Arial"/>
          <w:sz w:val="20"/>
          <w:szCs w:val="20"/>
        </w:rPr>
        <w:t>Section 112(2)</w:t>
      </w:r>
      <w:r w:rsidR="00F0118D">
        <w:rPr>
          <w:rFonts w:cs="Arial"/>
          <w:sz w:val="20"/>
          <w:szCs w:val="20"/>
        </w:rPr>
        <w:t>(a)</w:t>
      </w:r>
      <w:r>
        <w:rPr>
          <w:rFonts w:cs="Arial"/>
          <w:sz w:val="20"/>
          <w:szCs w:val="20"/>
        </w:rPr>
        <w:t xml:space="preserve"> of the Companies Act provides that </w:t>
      </w:r>
      <w:r w:rsidR="0051608E">
        <w:rPr>
          <w:rFonts w:cs="Arial"/>
          <w:sz w:val="20"/>
          <w:szCs w:val="20"/>
        </w:rPr>
        <w:t>“</w:t>
      </w:r>
      <w:r w:rsidR="0051608E">
        <w:rPr>
          <w:rFonts w:cs="Arial"/>
          <w:i/>
          <w:iCs/>
          <w:sz w:val="20"/>
          <w:szCs w:val="20"/>
        </w:rPr>
        <w:t>[</w:t>
      </w:r>
      <w:r w:rsidR="00CD4A0C">
        <w:rPr>
          <w:rFonts w:cs="Arial"/>
          <w:i/>
          <w:iCs/>
          <w:sz w:val="20"/>
          <w:szCs w:val="20"/>
        </w:rPr>
        <w:t>a</w:t>
      </w:r>
      <w:r w:rsidR="0051608E">
        <w:rPr>
          <w:rFonts w:cs="Arial"/>
          <w:i/>
          <w:iCs/>
          <w:sz w:val="20"/>
          <w:szCs w:val="20"/>
        </w:rPr>
        <w:t>]</w:t>
      </w:r>
      <w:r w:rsidR="00CD4A0C">
        <w:rPr>
          <w:rFonts w:cs="Arial"/>
          <w:i/>
          <w:iCs/>
          <w:sz w:val="20"/>
          <w:szCs w:val="20"/>
        </w:rPr>
        <w:t xml:space="preserve"> company may not dispose of all or the greater part of its assets or undertaking unless … the disposal has been approved by special resolution</w:t>
      </w:r>
      <w:r w:rsidR="00560B90">
        <w:rPr>
          <w:rFonts w:cs="Arial"/>
          <w:i/>
          <w:iCs/>
          <w:sz w:val="20"/>
          <w:szCs w:val="20"/>
        </w:rPr>
        <w:t xml:space="preserve"> of the shareholders, in accordance with section 115</w:t>
      </w:r>
      <w:r w:rsidR="0051608E">
        <w:rPr>
          <w:rFonts w:cs="Arial"/>
          <w:sz w:val="20"/>
          <w:szCs w:val="20"/>
        </w:rPr>
        <w:t>”</w:t>
      </w:r>
      <w:r w:rsidR="00560B90">
        <w:rPr>
          <w:rFonts w:cs="Arial"/>
          <w:sz w:val="20"/>
          <w:szCs w:val="20"/>
        </w:rPr>
        <w:t>.</w:t>
      </w:r>
    </w:p>
  </w:footnote>
  <w:footnote w:id="11">
    <w:p w14:paraId="1BF79D4B" w14:textId="0B96775B" w:rsidR="0061793D" w:rsidRPr="00D747FD" w:rsidRDefault="0061793D" w:rsidP="0061793D">
      <w:pPr>
        <w:spacing w:before="120"/>
        <w:ind w:left="709" w:hanging="709"/>
        <w:rPr>
          <w:rFonts w:cs="Arial"/>
          <w:sz w:val="20"/>
          <w:szCs w:val="20"/>
        </w:rPr>
      </w:pPr>
      <w:r w:rsidRPr="000B70E4">
        <w:rPr>
          <w:rStyle w:val="FootnoteReference"/>
          <w:rFonts w:cs="Arial"/>
          <w:sz w:val="20"/>
          <w:szCs w:val="20"/>
        </w:rPr>
        <w:footnoteRef/>
      </w:r>
      <w:r w:rsidRPr="00D747FD">
        <w:rPr>
          <w:rFonts w:cs="Arial"/>
          <w:sz w:val="20"/>
          <w:szCs w:val="20"/>
        </w:rPr>
        <w:t xml:space="preserve"> </w:t>
      </w:r>
      <w:r w:rsidRPr="00D747FD">
        <w:rPr>
          <w:rFonts w:cs="Arial"/>
          <w:sz w:val="20"/>
          <w:szCs w:val="20"/>
        </w:rPr>
        <w:tab/>
      </w:r>
      <w:r>
        <w:rPr>
          <w:rFonts w:cs="Arial"/>
          <w:sz w:val="20"/>
          <w:szCs w:val="20"/>
        </w:rPr>
        <w:t xml:space="preserve">Section 115(1)(a)(i) </w:t>
      </w:r>
      <w:r w:rsidR="00B14AA3">
        <w:rPr>
          <w:rFonts w:cs="Arial"/>
          <w:sz w:val="20"/>
          <w:szCs w:val="20"/>
        </w:rPr>
        <w:t>of the Companies Act</w:t>
      </w:r>
      <w:r>
        <w:rPr>
          <w:rFonts w:cs="Arial"/>
          <w:sz w:val="20"/>
          <w:szCs w:val="20"/>
        </w:rPr>
        <w:t xml:space="preserve"> provide</w:t>
      </w:r>
      <w:r w:rsidR="00B14AA3">
        <w:rPr>
          <w:rFonts w:cs="Arial"/>
          <w:sz w:val="20"/>
          <w:szCs w:val="20"/>
        </w:rPr>
        <w:t>s</w:t>
      </w:r>
      <w:r w:rsidR="00821A22">
        <w:rPr>
          <w:rFonts w:cs="Arial"/>
          <w:sz w:val="20"/>
          <w:szCs w:val="20"/>
        </w:rPr>
        <w:t>, in relevant part,</w:t>
      </w:r>
      <w:r>
        <w:rPr>
          <w:rFonts w:cs="Arial"/>
          <w:sz w:val="20"/>
          <w:szCs w:val="20"/>
        </w:rPr>
        <w:t xml:space="preserve"> that </w:t>
      </w:r>
      <w:r w:rsidR="00821A22">
        <w:rPr>
          <w:rFonts w:cs="Arial"/>
          <w:sz w:val="20"/>
          <w:szCs w:val="20"/>
        </w:rPr>
        <w:t>“</w:t>
      </w:r>
      <w:r w:rsidR="00821A22">
        <w:rPr>
          <w:rFonts w:cs="Arial"/>
          <w:i/>
          <w:iCs/>
          <w:sz w:val="20"/>
          <w:szCs w:val="20"/>
        </w:rPr>
        <w:t xml:space="preserve">[d]espite section 65, </w:t>
      </w:r>
      <w:r w:rsidR="00751189">
        <w:rPr>
          <w:rFonts w:cs="Arial"/>
          <w:i/>
          <w:iCs/>
          <w:sz w:val="20"/>
          <w:szCs w:val="20"/>
        </w:rPr>
        <w:t>…, a company may not dispose of, or give effect to an agreement or series of agreements to dispose o</w:t>
      </w:r>
      <w:r w:rsidR="00C66C2B">
        <w:rPr>
          <w:rFonts w:cs="Arial"/>
          <w:i/>
          <w:iCs/>
          <w:sz w:val="20"/>
          <w:szCs w:val="20"/>
        </w:rPr>
        <w:t>f</w:t>
      </w:r>
      <w:r w:rsidR="00751189">
        <w:rPr>
          <w:rFonts w:cs="Arial"/>
          <w:i/>
          <w:iCs/>
          <w:sz w:val="20"/>
          <w:szCs w:val="20"/>
        </w:rPr>
        <w:t>, all or the greater part of its assets or undertaking</w:t>
      </w:r>
      <w:r w:rsidR="00BC73A2">
        <w:rPr>
          <w:rFonts w:cs="Arial"/>
          <w:i/>
          <w:iCs/>
          <w:sz w:val="20"/>
          <w:szCs w:val="20"/>
        </w:rPr>
        <w:t>, …, unless – the disposal …</w:t>
      </w:r>
      <w:r w:rsidR="00A94AFF">
        <w:rPr>
          <w:rFonts w:cs="Arial"/>
          <w:i/>
          <w:iCs/>
          <w:sz w:val="20"/>
          <w:szCs w:val="20"/>
        </w:rPr>
        <w:t xml:space="preserve"> – has been approved in terms of </w:t>
      </w:r>
      <w:r w:rsidR="003A7D1E">
        <w:rPr>
          <w:rFonts w:cs="Arial"/>
          <w:i/>
          <w:iCs/>
          <w:sz w:val="20"/>
          <w:szCs w:val="20"/>
        </w:rPr>
        <w:t>this</w:t>
      </w:r>
      <w:r w:rsidR="00A94AFF">
        <w:rPr>
          <w:rFonts w:cs="Arial"/>
          <w:i/>
          <w:iCs/>
          <w:sz w:val="20"/>
          <w:szCs w:val="20"/>
        </w:rPr>
        <w:t xml:space="preserve"> section</w:t>
      </w:r>
      <w:r w:rsidR="00821A22">
        <w:rPr>
          <w:rFonts w:cs="Arial"/>
          <w:sz w:val="20"/>
          <w:szCs w:val="20"/>
        </w:rPr>
        <w:t>”</w:t>
      </w:r>
      <w:r w:rsidR="00C66C2B">
        <w:rPr>
          <w:rFonts w:cs="Arial"/>
          <w:sz w:val="20"/>
          <w:szCs w:val="20"/>
        </w:rPr>
        <w:t>.</w:t>
      </w:r>
    </w:p>
  </w:footnote>
  <w:footnote w:id="12">
    <w:p w14:paraId="1DAE82AD" w14:textId="6F6B4EE0" w:rsidR="0061793D" w:rsidRPr="00D747FD" w:rsidRDefault="0061793D" w:rsidP="0061793D">
      <w:pPr>
        <w:spacing w:before="120"/>
        <w:ind w:left="709" w:hanging="709"/>
        <w:rPr>
          <w:rFonts w:cs="Arial"/>
          <w:sz w:val="20"/>
          <w:szCs w:val="20"/>
        </w:rPr>
      </w:pPr>
      <w:r w:rsidRPr="000B70E4">
        <w:rPr>
          <w:rStyle w:val="FootnoteReference"/>
          <w:rFonts w:cs="Arial"/>
          <w:sz w:val="20"/>
          <w:szCs w:val="20"/>
        </w:rPr>
        <w:footnoteRef/>
      </w:r>
      <w:r w:rsidRPr="00D747FD">
        <w:rPr>
          <w:rFonts w:cs="Arial"/>
          <w:sz w:val="20"/>
          <w:szCs w:val="20"/>
        </w:rPr>
        <w:t xml:space="preserve"> </w:t>
      </w:r>
      <w:r w:rsidRPr="00D747FD">
        <w:rPr>
          <w:rFonts w:cs="Arial"/>
          <w:sz w:val="20"/>
          <w:szCs w:val="20"/>
        </w:rPr>
        <w:tab/>
      </w:r>
      <w:r>
        <w:rPr>
          <w:rFonts w:cs="Arial"/>
          <w:sz w:val="20"/>
          <w:szCs w:val="20"/>
        </w:rPr>
        <w:t xml:space="preserve">Section 115(2)(a) </w:t>
      </w:r>
      <w:r w:rsidR="00B14AA3">
        <w:rPr>
          <w:rFonts w:cs="Arial"/>
          <w:sz w:val="20"/>
          <w:szCs w:val="20"/>
        </w:rPr>
        <w:t xml:space="preserve">of the Companies Act </w:t>
      </w:r>
      <w:r>
        <w:rPr>
          <w:rFonts w:cs="Arial"/>
          <w:sz w:val="20"/>
          <w:szCs w:val="20"/>
        </w:rPr>
        <w:t>provide</w:t>
      </w:r>
      <w:r w:rsidR="00B14AA3">
        <w:rPr>
          <w:rFonts w:cs="Arial"/>
          <w:sz w:val="20"/>
          <w:szCs w:val="20"/>
        </w:rPr>
        <w:t>s</w:t>
      </w:r>
      <w:r w:rsidR="003A1AC7">
        <w:rPr>
          <w:rFonts w:cs="Arial"/>
          <w:sz w:val="20"/>
          <w:szCs w:val="20"/>
        </w:rPr>
        <w:t>, in relevant part,</w:t>
      </w:r>
      <w:r>
        <w:rPr>
          <w:rFonts w:cs="Arial"/>
          <w:sz w:val="20"/>
          <w:szCs w:val="20"/>
        </w:rPr>
        <w:t xml:space="preserve"> that </w:t>
      </w:r>
      <w:r w:rsidR="00012D10">
        <w:rPr>
          <w:rFonts w:cs="Arial"/>
          <w:sz w:val="20"/>
          <w:szCs w:val="20"/>
        </w:rPr>
        <w:t>“</w:t>
      </w:r>
      <w:r w:rsidR="00012D10">
        <w:rPr>
          <w:rFonts w:cs="Arial"/>
          <w:i/>
          <w:iCs/>
          <w:sz w:val="20"/>
          <w:szCs w:val="20"/>
        </w:rPr>
        <w:t xml:space="preserve">[a] proposed transaction </w:t>
      </w:r>
      <w:r w:rsidR="002D30A0">
        <w:rPr>
          <w:rFonts w:cs="Arial"/>
          <w:i/>
          <w:iCs/>
          <w:sz w:val="20"/>
          <w:szCs w:val="20"/>
        </w:rPr>
        <w:t xml:space="preserve">contemplated in subsection (1) must be approved – by a special resolution adopted by persons entitled to exercise voting rights of such a matter, at a meeting called for that purpose </w:t>
      </w:r>
      <w:r w:rsidR="003A1AC7">
        <w:rPr>
          <w:rFonts w:cs="Arial"/>
          <w:i/>
          <w:iCs/>
          <w:sz w:val="20"/>
          <w:szCs w:val="20"/>
        </w:rPr>
        <w:t>…</w:t>
      </w:r>
      <w:r w:rsidR="00012D10">
        <w:rPr>
          <w:rFonts w:cs="Arial"/>
          <w:sz w:val="20"/>
          <w:szCs w:val="20"/>
        </w:rPr>
        <w:t>”</w:t>
      </w:r>
      <w:r w:rsidR="003A1AC7">
        <w:rPr>
          <w:rFonts w:cs="Arial"/>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BE28FDB"/>
    <w:multiLevelType w:val="hybridMultilevel"/>
    <w:tmpl w:val="1939B3A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91500C"/>
    <w:multiLevelType w:val="multilevel"/>
    <w:tmpl w:val="FE187EC4"/>
    <w:lvl w:ilvl="0">
      <w:start w:val="1"/>
      <w:numFmt w:val="decimal"/>
      <w:lvlText w:val="%1"/>
      <w:lvlJc w:val="left"/>
      <w:pPr>
        <w:ind w:left="360" w:hanging="360"/>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2B44FBB"/>
    <w:multiLevelType w:val="hybridMultilevel"/>
    <w:tmpl w:val="14BCCD5A"/>
    <w:lvl w:ilvl="0" w:tplc="83D28E36">
      <w:numFmt w:val="bullet"/>
      <w:lvlText w:val=""/>
      <w:lvlJc w:val="left"/>
      <w:pPr>
        <w:ind w:left="1800" w:hanging="360"/>
      </w:pPr>
      <w:rPr>
        <w:rFonts w:ascii="Symbol" w:eastAsia="SimSu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314518E"/>
    <w:multiLevelType w:val="hybridMultilevel"/>
    <w:tmpl w:val="EFC604A2"/>
    <w:lvl w:ilvl="0" w:tplc="29945BD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3267628"/>
    <w:multiLevelType w:val="multilevel"/>
    <w:tmpl w:val="611E3AB0"/>
    <w:lvl w:ilvl="0">
      <w:start w:val="1"/>
      <w:numFmt w:val="decimal"/>
      <w:lvlText w:val="%1."/>
      <w:lvlJc w:val="left"/>
      <w:pPr>
        <w:ind w:left="709" w:hanging="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43C14D2"/>
    <w:multiLevelType w:val="multilevel"/>
    <w:tmpl w:val="1CCAD94E"/>
    <w:lvl w:ilvl="0">
      <w:start w:val="1"/>
      <w:numFmt w:val="decimal"/>
      <w:lvlText w:val="%1."/>
      <w:lvlJc w:val="left"/>
      <w:pPr>
        <w:ind w:left="709" w:hanging="709"/>
      </w:pPr>
      <w:rPr>
        <w:rFonts w:hint="default"/>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6354CBA"/>
    <w:multiLevelType w:val="hybridMultilevel"/>
    <w:tmpl w:val="5E6238D8"/>
    <w:lvl w:ilvl="0" w:tplc="1C090015">
      <w:start w:val="1"/>
      <w:numFmt w:val="upperLetter"/>
      <w:lvlText w:val="%1."/>
      <w:lvlJc w:val="left"/>
      <w:pPr>
        <w:ind w:left="709" w:hanging="360"/>
      </w:pPr>
    </w:lvl>
    <w:lvl w:ilvl="1" w:tplc="1C090019" w:tentative="1">
      <w:start w:val="1"/>
      <w:numFmt w:val="lowerLetter"/>
      <w:lvlText w:val="%2."/>
      <w:lvlJc w:val="left"/>
      <w:pPr>
        <w:ind w:left="1429" w:hanging="360"/>
      </w:pPr>
    </w:lvl>
    <w:lvl w:ilvl="2" w:tplc="1C09001B" w:tentative="1">
      <w:start w:val="1"/>
      <w:numFmt w:val="lowerRoman"/>
      <w:lvlText w:val="%3."/>
      <w:lvlJc w:val="right"/>
      <w:pPr>
        <w:ind w:left="2149" w:hanging="180"/>
      </w:pPr>
    </w:lvl>
    <w:lvl w:ilvl="3" w:tplc="1C09000F" w:tentative="1">
      <w:start w:val="1"/>
      <w:numFmt w:val="decimal"/>
      <w:lvlText w:val="%4."/>
      <w:lvlJc w:val="left"/>
      <w:pPr>
        <w:ind w:left="2869" w:hanging="360"/>
      </w:pPr>
    </w:lvl>
    <w:lvl w:ilvl="4" w:tplc="1C090019" w:tentative="1">
      <w:start w:val="1"/>
      <w:numFmt w:val="lowerLetter"/>
      <w:lvlText w:val="%5."/>
      <w:lvlJc w:val="left"/>
      <w:pPr>
        <w:ind w:left="3589" w:hanging="360"/>
      </w:pPr>
    </w:lvl>
    <w:lvl w:ilvl="5" w:tplc="1C09001B" w:tentative="1">
      <w:start w:val="1"/>
      <w:numFmt w:val="lowerRoman"/>
      <w:lvlText w:val="%6."/>
      <w:lvlJc w:val="right"/>
      <w:pPr>
        <w:ind w:left="4309" w:hanging="180"/>
      </w:pPr>
    </w:lvl>
    <w:lvl w:ilvl="6" w:tplc="1C09000F" w:tentative="1">
      <w:start w:val="1"/>
      <w:numFmt w:val="decimal"/>
      <w:lvlText w:val="%7."/>
      <w:lvlJc w:val="left"/>
      <w:pPr>
        <w:ind w:left="5029" w:hanging="360"/>
      </w:pPr>
    </w:lvl>
    <w:lvl w:ilvl="7" w:tplc="1C090019" w:tentative="1">
      <w:start w:val="1"/>
      <w:numFmt w:val="lowerLetter"/>
      <w:lvlText w:val="%8."/>
      <w:lvlJc w:val="left"/>
      <w:pPr>
        <w:ind w:left="5749" w:hanging="360"/>
      </w:pPr>
    </w:lvl>
    <w:lvl w:ilvl="8" w:tplc="1C09001B" w:tentative="1">
      <w:start w:val="1"/>
      <w:numFmt w:val="lowerRoman"/>
      <w:lvlText w:val="%9."/>
      <w:lvlJc w:val="right"/>
      <w:pPr>
        <w:ind w:left="6469" w:hanging="180"/>
      </w:pPr>
    </w:lvl>
  </w:abstractNum>
  <w:abstractNum w:abstractNumId="7">
    <w:nsid w:val="0936204A"/>
    <w:multiLevelType w:val="multilevel"/>
    <w:tmpl w:val="CF56B5C0"/>
    <w:lvl w:ilvl="0">
      <w:start w:val="1"/>
      <w:numFmt w:val="decimal"/>
      <w:lvlText w:val="%1."/>
      <w:lvlJc w:val="left"/>
      <w:pPr>
        <w:ind w:left="709" w:hanging="709"/>
      </w:pPr>
      <w:rPr>
        <w:rFonts w:hint="default"/>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9">
    <w:nsid w:val="0F58434B"/>
    <w:multiLevelType w:val="hybridMultilevel"/>
    <w:tmpl w:val="A0CA10DC"/>
    <w:lvl w:ilvl="0" w:tplc="1C09000F">
      <w:start w:val="1"/>
      <w:numFmt w:val="decimal"/>
      <w:lvlText w:val="%1."/>
      <w:lvlJc w:val="left"/>
      <w:pPr>
        <w:tabs>
          <w:tab w:val="num" w:pos="720"/>
        </w:tabs>
        <w:ind w:left="720" w:hanging="360"/>
      </w:p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10">
    <w:nsid w:val="104B3794"/>
    <w:multiLevelType w:val="multilevel"/>
    <w:tmpl w:val="09CE93A2"/>
    <w:lvl w:ilvl="0">
      <w:start w:val="1"/>
      <w:numFmt w:val="decimal"/>
      <w:lvlText w:val="%1."/>
      <w:lvlJc w:val="left"/>
      <w:pPr>
        <w:ind w:left="709" w:hanging="709"/>
      </w:pPr>
      <w:rPr>
        <w:rFonts w:hint="default"/>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201CF9E"/>
    <w:multiLevelType w:val="hybridMultilevel"/>
    <w:tmpl w:val="4CA9A2B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7247441"/>
    <w:multiLevelType w:val="multilevel"/>
    <w:tmpl w:val="796EECC2"/>
    <w:lvl w:ilvl="0">
      <w:start w:val="1"/>
      <w:numFmt w:val="decimal"/>
      <w:lvlText w:val="%1."/>
      <w:lvlJc w:val="left"/>
      <w:pPr>
        <w:ind w:left="709" w:hanging="709"/>
      </w:pPr>
      <w:rPr>
        <w:rFonts w:hint="default"/>
        <w:b w:val="0"/>
        <w:bCs/>
        <w:i w:val="0"/>
        <w:iCs/>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B5D62CC"/>
    <w:multiLevelType w:val="multilevel"/>
    <w:tmpl w:val="A3789DC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814"/>
        </w:tabs>
        <w:ind w:left="1814" w:hanging="1077"/>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5188"/>
        </w:tabs>
        <w:ind w:left="5188" w:hanging="1440"/>
      </w:pPr>
      <w:rPr>
        <w:rFonts w:hint="default"/>
      </w:rPr>
    </w:lvl>
    <w:lvl w:ilvl="5">
      <w:start w:val="1"/>
      <w:numFmt w:val="decimal"/>
      <w:lvlText w:val="%1.%2.%3.%4.%5.%6"/>
      <w:lvlJc w:val="left"/>
      <w:pPr>
        <w:tabs>
          <w:tab w:val="num" w:pos="6485"/>
        </w:tabs>
        <w:ind w:left="6485" w:hanging="1800"/>
      </w:pPr>
      <w:rPr>
        <w:rFonts w:hint="default"/>
      </w:rPr>
    </w:lvl>
    <w:lvl w:ilvl="6">
      <w:start w:val="1"/>
      <w:numFmt w:val="decimal"/>
      <w:lvlText w:val="%1.%2.%3.%4.%5.%6.%7"/>
      <w:lvlJc w:val="left"/>
      <w:pPr>
        <w:tabs>
          <w:tab w:val="num" w:pos="7422"/>
        </w:tabs>
        <w:ind w:left="7422" w:hanging="1800"/>
      </w:pPr>
      <w:rPr>
        <w:rFonts w:hint="default"/>
      </w:rPr>
    </w:lvl>
    <w:lvl w:ilvl="7">
      <w:start w:val="1"/>
      <w:numFmt w:val="decimal"/>
      <w:lvlText w:val="%1.%2.%3.%4.%5.%6.%7.%8"/>
      <w:lvlJc w:val="left"/>
      <w:pPr>
        <w:tabs>
          <w:tab w:val="num" w:pos="8719"/>
        </w:tabs>
        <w:ind w:left="8719" w:hanging="2160"/>
      </w:pPr>
      <w:rPr>
        <w:rFonts w:hint="default"/>
      </w:rPr>
    </w:lvl>
    <w:lvl w:ilvl="8">
      <w:start w:val="1"/>
      <w:numFmt w:val="decimal"/>
      <w:lvlText w:val="%1.%2.%3.%4.%5.%6.%7.%8.%9"/>
      <w:lvlJc w:val="left"/>
      <w:pPr>
        <w:tabs>
          <w:tab w:val="num" w:pos="10016"/>
        </w:tabs>
        <w:ind w:left="10016" w:hanging="2520"/>
      </w:pPr>
      <w:rPr>
        <w:rFonts w:hint="default"/>
      </w:rPr>
    </w:lvl>
  </w:abstractNum>
  <w:abstractNum w:abstractNumId="14">
    <w:nsid w:val="1C896BE7"/>
    <w:multiLevelType w:val="hybridMultilevel"/>
    <w:tmpl w:val="76E0D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5E80195"/>
    <w:multiLevelType w:val="multilevel"/>
    <w:tmpl w:val="D68C3E28"/>
    <w:lvl w:ilvl="0">
      <w:start w:val="1"/>
      <w:numFmt w:val="decimal"/>
      <w:pStyle w:val="BLLevel1HeadingAltQ"/>
      <w:lvlText w:val="%1."/>
      <w:lvlJc w:val="left"/>
      <w:pPr>
        <w:tabs>
          <w:tab w:val="num" w:pos="567"/>
        </w:tabs>
        <w:ind w:left="567" w:hanging="567"/>
      </w:pPr>
      <w:rPr>
        <w:rFonts w:hint="default"/>
        <w:b w:val="0"/>
        <w:i w:val="0"/>
        <w:sz w:val="18"/>
      </w:rPr>
    </w:lvl>
    <w:lvl w:ilvl="1">
      <w:start w:val="1"/>
      <w:numFmt w:val="decimal"/>
      <w:pStyle w:val="BLLevel2ListAlt"/>
      <w:lvlText w:val="%1.%2"/>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BLLevel3ListAlt"/>
      <w:lvlText w:val="%1.%2.%3"/>
      <w:lvlJc w:val="left"/>
      <w:pPr>
        <w:tabs>
          <w:tab w:val="num" w:pos="1134"/>
        </w:tabs>
        <w:ind w:left="1134" w:hanging="113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LLevel4ListAlt"/>
      <w:lvlText w:val="%1.%2.%3.%4"/>
      <w:lvlJc w:val="left"/>
      <w:pPr>
        <w:tabs>
          <w:tab w:val="num" w:pos="1418"/>
        </w:tabs>
        <w:ind w:left="1418" w:hanging="1418"/>
      </w:pPr>
      <w:rPr>
        <w:rFonts w:hint="default"/>
        <w:b w:val="0"/>
        <w:i w:val="0"/>
        <w:sz w:val="18"/>
      </w:rPr>
    </w:lvl>
    <w:lvl w:ilvl="4">
      <w:start w:val="1"/>
      <w:numFmt w:val="decimal"/>
      <w:pStyle w:val="BLLevel5ListAlt"/>
      <w:lvlText w:val="%1.%2.%3.%4.%5"/>
      <w:lvlJc w:val="left"/>
      <w:pPr>
        <w:tabs>
          <w:tab w:val="num" w:pos="1701"/>
        </w:tabs>
        <w:ind w:left="1701" w:hanging="1701"/>
      </w:pPr>
      <w:rPr>
        <w:rFonts w:hint="default"/>
        <w:b w:val="0"/>
        <w:i w:val="0"/>
        <w:sz w:val="18"/>
      </w:rPr>
    </w:lvl>
    <w:lvl w:ilvl="5">
      <w:start w:val="1"/>
      <w:numFmt w:val="decimal"/>
      <w:pStyle w:val="BLLevel6ListAlt"/>
      <w:lvlText w:val="%1.%2.%3.%4.%5.%6"/>
      <w:lvlJc w:val="left"/>
      <w:pPr>
        <w:tabs>
          <w:tab w:val="num" w:pos="1985"/>
        </w:tabs>
        <w:ind w:left="1985" w:hanging="1985"/>
      </w:pPr>
      <w:rPr>
        <w:rFonts w:hint="default"/>
        <w:b w:val="0"/>
        <w:i w:val="0"/>
        <w:sz w:val="18"/>
      </w:rPr>
    </w:lvl>
    <w:lvl w:ilvl="6">
      <w:start w:val="1"/>
      <w:numFmt w:val="decimal"/>
      <w:pStyle w:val="BLLevel7ListAltM"/>
      <w:lvlText w:val="%1.%2.%3.%4.%5.%6.%7"/>
      <w:lvlJc w:val="left"/>
      <w:pPr>
        <w:tabs>
          <w:tab w:val="num" w:pos="2268"/>
        </w:tabs>
        <w:ind w:left="2268" w:hanging="226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F405F02"/>
    <w:multiLevelType w:val="hybridMultilevel"/>
    <w:tmpl w:val="A89CF7D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37DF2E7B"/>
    <w:multiLevelType w:val="multilevel"/>
    <w:tmpl w:val="DCFAE0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9DE2D21"/>
    <w:multiLevelType w:val="multilevel"/>
    <w:tmpl w:val="C85E4948"/>
    <w:lvl w:ilvl="0">
      <w:start w:val="1"/>
      <w:numFmt w:val="decimal"/>
      <w:lvlText w:val="%1."/>
      <w:lvlJc w:val="left"/>
      <w:pPr>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3165F8E"/>
    <w:multiLevelType w:val="multilevel"/>
    <w:tmpl w:val="C6449C2A"/>
    <w:lvl w:ilvl="0">
      <w:start w:val="1"/>
      <w:numFmt w:val="decimal"/>
      <w:lvlText w:val="%1."/>
      <w:lvlJc w:val="left"/>
      <w:pPr>
        <w:ind w:left="709" w:hanging="709"/>
      </w:pPr>
      <w:rPr>
        <w:rFonts w:hint="default"/>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521528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6847047"/>
    <w:multiLevelType w:val="multilevel"/>
    <w:tmpl w:val="796EECC2"/>
    <w:lvl w:ilvl="0">
      <w:start w:val="1"/>
      <w:numFmt w:val="decimal"/>
      <w:lvlText w:val="%1."/>
      <w:lvlJc w:val="left"/>
      <w:pPr>
        <w:ind w:left="709" w:hanging="709"/>
      </w:pPr>
      <w:rPr>
        <w:b w:val="0"/>
        <w:bCs/>
        <w:i w:val="0"/>
        <w:iCs/>
      </w:rPr>
    </w:lvl>
    <w:lvl w:ilvl="1">
      <w:start w:val="1"/>
      <w:numFmt w:val="decimal"/>
      <w:lvlText w:val="%1.%2."/>
      <w:lvlJc w:val="left"/>
      <w:pPr>
        <w:tabs>
          <w:tab w:val="num" w:pos="1418"/>
        </w:tabs>
        <w:ind w:left="1418" w:hanging="709"/>
      </w:pPr>
      <w:rPr>
        <w:b w:val="0"/>
      </w:rPr>
    </w:lvl>
    <w:lvl w:ilvl="2">
      <w:start w:val="1"/>
      <w:numFmt w:val="decimal"/>
      <w:lvlText w:val="%1.%2.%3."/>
      <w:lvlJc w:val="left"/>
      <w:pPr>
        <w:tabs>
          <w:tab w:val="num" w:pos="2552"/>
        </w:tabs>
        <w:ind w:left="2552" w:hanging="1134"/>
      </w:pPr>
      <w:rPr>
        <w:b w:val="0"/>
      </w:rPr>
    </w:lvl>
    <w:lvl w:ilvl="3">
      <w:start w:val="1"/>
      <w:numFmt w:val="decimal"/>
      <w:lvlText w:val="%1.%2.%3.%4."/>
      <w:lvlJc w:val="left"/>
      <w:pPr>
        <w:tabs>
          <w:tab w:val="num" w:pos="3686"/>
        </w:tabs>
        <w:ind w:left="3686" w:hanging="113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AE73B1C"/>
    <w:multiLevelType w:val="hybridMultilevel"/>
    <w:tmpl w:val="A54E36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503C96"/>
    <w:multiLevelType w:val="multilevel"/>
    <w:tmpl w:val="1A56B566"/>
    <w:lvl w:ilvl="0">
      <w:start w:val="1"/>
      <w:numFmt w:val="upperLetter"/>
      <w:lvlText w:val="%1."/>
      <w:lvlJc w:val="left"/>
      <w:pPr>
        <w:ind w:left="709" w:hanging="709"/>
      </w:pPr>
      <w:rPr>
        <w:b w:val="0"/>
        <w:bCs/>
        <w:i w:val="0"/>
        <w:iCs/>
      </w:rPr>
    </w:lvl>
    <w:lvl w:ilvl="1">
      <w:start w:val="1"/>
      <w:numFmt w:val="decimal"/>
      <w:lvlText w:val="%1.%2."/>
      <w:lvlJc w:val="left"/>
      <w:pPr>
        <w:tabs>
          <w:tab w:val="num" w:pos="1418"/>
        </w:tabs>
        <w:ind w:left="1418" w:hanging="709"/>
      </w:pPr>
      <w:rPr>
        <w:b w:val="0"/>
      </w:rPr>
    </w:lvl>
    <w:lvl w:ilvl="2">
      <w:start w:val="1"/>
      <w:numFmt w:val="decimal"/>
      <w:lvlText w:val="%1.%2.%3."/>
      <w:lvlJc w:val="left"/>
      <w:pPr>
        <w:tabs>
          <w:tab w:val="num" w:pos="2552"/>
        </w:tabs>
        <w:ind w:left="2552" w:hanging="1134"/>
      </w:pPr>
      <w:rPr>
        <w:b w:val="0"/>
      </w:rPr>
    </w:lvl>
    <w:lvl w:ilvl="3">
      <w:start w:val="1"/>
      <w:numFmt w:val="decimal"/>
      <w:lvlText w:val="%1.%2.%3.%4."/>
      <w:lvlJc w:val="left"/>
      <w:pPr>
        <w:tabs>
          <w:tab w:val="num" w:pos="3686"/>
        </w:tabs>
        <w:ind w:left="3686" w:hanging="113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2A6362"/>
    <w:multiLevelType w:val="hybridMultilevel"/>
    <w:tmpl w:val="A08CC74A"/>
    <w:lvl w:ilvl="0" w:tplc="F2FC6EE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600A2A70"/>
    <w:multiLevelType w:val="multilevel"/>
    <w:tmpl w:val="8D30EAB4"/>
    <w:lvl w:ilvl="0">
      <w:start w:val="1"/>
      <w:numFmt w:val="upperLetter"/>
      <w:lvlText w:val="%1."/>
      <w:lvlJc w:val="left"/>
      <w:pPr>
        <w:ind w:left="709" w:hanging="709"/>
      </w:pPr>
      <w:rPr>
        <w:rFonts w:hint="default"/>
        <w:b w:val="0"/>
        <w:bCs/>
        <w:i w:val="0"/>
        <w:iCs/>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3271AA5"/>
    <w:multiLevelType w:val="hybridMultilevel"/>
    <w:tmpl w:val="DB3AF972"/>
    <w:lvl w:ilvl="0" w:tplc="1C090015">
      <w:start w:val="1"/>
      <w:numFmt w:val="upperLetter"/>
      <w:lvlText w:val="%1."/>
      <w:lvlJc w:val="left"/>
      <w:pPr>
        <w:ind w:left="709" w:hanging="360"/>
      </w:pPr>
    </w:lvl>
    <w:lvl w:ilvl="1" w:tplc="1C090019">
      <w:start w:val="1"/>
      <w:numFmt w:val="lowerLetter"/>
      <w:lvlText w:val="%2."/>
      <w:lvlJc w:val="left"/>
      <w:pPr>
        <w:ind w:left="1429" w:hanging="360"/>
      </w:pPr>
    </w:lvl>
    <w:lvl w:ilvl="2" w:tplc="1C09001B">
      <w:start w:val="1"/>
      <w:numFmt w:val="lowerRoman"/>
      <w:lvlText w:val="%3."/>
      <w:lvlJc w:val="right"/>
      <w:pPr>
        <w:ind w:left="2149" w:hanging="180"/>
      </w:pPr>
    </w:lvl>
    <w:lvl w:ilvl="3" w:tplc="1C09000F">
      <w:start w:val="1"/>
      <w:numFmt w:val="decimal"/>
      <w:lvlText w:val="%4."/>
      <w:lvlJc w:val="left"/>
      <w:pPr>
        <w:ind w:left="2869" w:hanging="360"/>
      </w:pPr>
    </w:lvl>
    <w:lvl w:ilvl="4" w:tplc="1C090019">
      <w:start w:val="1"/>
      <w:numFmt w:val="lowerLetter"/>
      <w:lvlText w:val="%5."/>
      <w:lvlJc w:val="left"/>
      <w:pPr>
        <w:ind w:left="3589" w:hanging="360"/>
      </w:pPr>
    </w:lvl>
    <w:lvl w:ilvl="5" w:tplc="1C09001B">
      <w:start w:val="1"/>
      <w:numFmt w:val="lowerRoman"/>
      <w:lvlText w:val="%6."/>
      <w:lvlJc w:val="right"/>
      <w:pPr>
        <w:ind w:left="4309" w:hanging="180"/>
      </w:pPr>
    </w:lvl>
    <w:lvl w:ilvl="6" w:tplc="1C09000F">
      <w:start w:val="1"/>
      <w:numFmt w:val="decimal"/>
      <w:lvlText w:val="%7."/>
      <w:lvlJc w:val="left"/>
      <w:pPr>
        <w:ind w:left="5029" w:hanging="360"/>
      </w:pPr>
    </w:lvl>
    <w:lvl w:ilvl="7" w:tplc="1C090019">
      <w:start w:val="1"/>
      <w:numFmt w:val="lowerLetter"/>
      <w:lvlText w:val="%8."/>
      <w:lvlJc w:val="left"/>
      <w:pPr>
        <w:ind w:left="5749" w:hanging="360"/>
      </w:pPr>
    </w:lvl>
    <w:lvl w:ilvl="8" w:tplc="1C09001B">
      <w:start w:val="1"/>
      <w:numFmt w:val="lowerRoman"/>
      <w:lvlText w:val="%9."/>
      <w:lvlJc w:val="right"/>
      <w:pPr>
        <w:ind w:left="6469" w:hanging="180"/>
      </w:pPr>
    </w:lvl>
  </w:abstractNum>
  <w:abstractNum w:abstractNumId="27">
    <w:nsid w:val="64A61304"/>
    <w:multiLevelType w:val="multilevel"/>
    <w:tmpl w:val="5336B056"/>
    <w:lvl w:ilvl="0">
      <w:start w:val="1"/>
      <w:numFmt w:val="decimal"/>
      <w:pStyle w:val="WLGLevel1"/>
      <w:lvlText w:val="%1"/>
      <w:lvlJc w:val="left"/>
      <w:pPr>
        <w:tabs>
          <w:tab w:val="num" w:pos="567"/>
        </w:tabs>
        <w:ind w:left="567" w:hanging="567"/>
      </w:pPr>
    </w:lvl>
    <w:lvl w:ilvl="1">
      <w:start w:val="1"/>
      <w:numFmt w:val="decimal"/>
      <w:pStyle w:val="WLGLevel2"/>
      <w:lvlText w:val="%1.%2"/>
      <w:lvlJc w:val="left"/>
      <w:pPr>
        <w:tabs>
          <w:tab w:val="num" w:pos="1361"/>
        </w:tabs>
        <w:ind w:left="1361" w:hanging="794"/>
      </w:pPr>
    </w:lvl>
    <w:lvl w:ilvl="2">
      <w:start w:val="1"/>
      <w:numFmt w:val="decimal"/>
      <w:pStyle w:val="WLGLevel3"/>
      <w:lvlText w:val="%1.%2.%3"/>
      <w:lvlJc w:val="left"/>
      <w:pPr>
        <w:tabs>
          <w:tab w:val="num" w:pos="2381"/>
        </w:tabs>
        <w:ind w:left="2381" w:hanging="1020"/>
      </w:pPr>
    </w:lvl>
    <w:lvl w:ilvl="3">
      <w:start w:val="1"/>
      <w:numFmt w:val="decimal"/>
      <w:pStyle w:val="WLGLevel4"/>
      <w:lvlText w:val="%1.%2.%3.%4"/>
      <w:lvlJc w:val="left"/>
      <w:pPr>
        <w:tabs>
          <w:tab w:val="num" w:pos="3969"/>
        </w:tabs>
        <w:ind w:left="3969" w:hanging="1276"/>
      </w:pPr>
    </w:lvl>
    <w:lvl w:ilvl="4">
      <w:start w:val="1"/>
      <w:numFmt w:val="decimal"/>
      <w:pStyle w:val="WLGLevel5"/>
      <w:lvlText w:val="%1.%2.%3.%4.%5"/>
      <w:lvlJc w:val="left"/>
      <w:pPr>
        <w:tabs>
          <w:tab w:val="num" w:pos="4933"/>
        </w:tabs>
        <w:ind w:left="4933" w:hanging="1361"/>
      </w:pPr>
    </w:lvl>
    <w:lvl w:ilvl="5">
      <w:start w:val="1"/>
      <w:numFmt w:val="decimal"/>
      <w:lvlText w:val="%1.%2.%3.%4.%5.%6"/>
      <w:lvlJc w:val="left"/>
      <w:pPr>
        <w:tabs>
          <w:tab w:val="num" w:pos="3629"/>
        </w:tabs>
        <w:ind w:left="3629" w:hanging="3062"/>
      </w:pPr>
    </w:lvl>
    <w:lvl w:ilvl="6">
      <w:start w:val="1"/>
      <w:numFmt w:val="decimal"/>
      <w:lvlText w:val="%1.%2.%3.%4.%5.%6.%7"/>
      <w:lvlJc w:val="left"/>
      <w:pPr>
        <w:tabs>
          <w:tab w:val="num" w:pos="4139"/>
        </w:tabs>
        <w:ind w:left="4139" w:hanging="3572"/>
      </w:pPr>
    </w:lvl>
    <w:lvl w:ilvl="7">
      <w:start w:val="1"/>
      <w:numFmt w:val="decimal"/>
      <w:lvlText w:val="%1.%2.%3.%4.%5.%6.%7.%8"/>
      <w:lvlJc w:val="left"/>
      <w:pPr>
        <w:tabs>
          <w:tab w:val="num" w:pos="4649"/>
        </w:tabs>
        <w:ind w:left="4649" w:hanging="4082"/>
      </w:pPr>
    </w:lvl>
    <w:lvl w:ilvl="8">
      <w:start w:val="1"/>
      <w:numFmt w:val="decimal"/>
      <w:lvlText w:val="%1.%2.%3.%4.%5.%6.%7.%8.%9"/>
      <w:lvlJc w:val="left"/>
      <w:pPr>
        <w:tabs>
          <w:tab w:val="num" w:pos="5160"/>
        </w:tabs>
        <w:ind w:left="5160" w:hanging="4593"/>
      </w:pPr>
    </w:lvl>
  </w:abstractNum>
  <w:abstractNum w:abstractNumId="28">
    <w:nsid w:val="67FB54D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BB6039C"/>
    <w:multiLevelType w:val="multilevel"/>
    <w:tmpl w:val="75CC7AAE"/>
    <w:lvl w:ilvl="0">
      <w:start w:val="1"/>
      <w:numFmt w:val="decimal"/>
      <w:lvlText w:val="%1."/>
      <w:lvlJc w:val="left"/>
      <w:pPr>
        <w:ind w:left="709" w:hanging="709"/>
      </w:pPr>
      <w:rPr>
        <w:rFonts w:hint="default"/>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CBD6805"/>
    <w:multiLevelType w:val="multilevel"/>
    <w:tmpl w:val="DFFC8078"/>
    <w:lvl w:ilvl="0">
      <w:start w:val="1"/>
      <w:numFmt w:val="decimal"/>
      <w:lvlText w:val="%1."/>
      <w:lvlJc w:val="left"/>
      <w:pPr>
        <w:ind w:left="709" w:hanging="709"/>
      </w:pPr>
      <w:rPr>
        <w:rFonts w:hint="default"/>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7"/>
  </w:num>
  <w:num w:numId="7">
    <w:abstractNumId w:val="26"/>
  </w:num>
  <w:num w:numId="8">
    <w:abstractNumId w:val="6"/>
  </w:num>
  <w:num w:numId="9">
    <w:abstractNumId w:val="25"/>
  </w:num>
  <w:num w:numId="10">
    <w:abstractNumId w:val="18"/>
  </w:num>
  <w:num w:numId="11">
    <w:abstractNumId w:val="23"/>
  </w:num>
  <w:num w:numId="12">
    <w:abstractNumId w:val="9"/>
  </w:num>
  <w:num w:numId="13">
    <w:abstractNumId w:val="13"/>
  </w:num>
  <w:num w:numId="14">
    <w:abstractNumId w:val="17"/>
  </w:num>
  <w:num w:numId="15">
    <w:abstractNumId w:val="1"/>
  </w:num>
  <w:num w:numId="16">
    <w:abstractNumId w:val="2"/>
  </w:num>
  <w:num w:numId="17">
    <w:abstractNumId w:val="24"/>
  </w:num>
  <w:num w:numId="18">
    <w:abstractNumId w:val="20"/>
  </w:num>
  <w:num w:numId="19">
    <w:abstractNumId w:val="10"/>
  </w:num>
  <w:num w:numId="20">
    <w:abstractNumId w:val="3"/>
  </w:num>
  <w:num w:numId="21">
    <w:abstractNumId w:val="28"/>
  </w:num>
  <w:num w:numId="22">
    <w:abstractNumId w:val="15"/>
  </w:num>
  <w:num w:numId="23">
    <w:abstractNumId w:val="4"/>
  </w:num>
  <w:num w:numId="24">
    <w:abstractNumId w:val="0"/>
  </w:num>
  <w:num w:numId="25">
    <w:abstractNumId w:val="11"/>
  </w:num>
  <w:num w:numId="26">
    <w:abstractNumId w:val="30"/>
  </w:num>
  <w:num w:numId="27">
    <w:abstractNumId w:val="19"/>
  </w:num>
  <w:num w:numId="28">
    <w:abstractNumId w:val="29"/>
  </w:num>
  <w:num w:numId="29">
    <w:abstractNumId w:val="7"/>
  </w:num>
  <w:num w:numId="30">
    <w:abstractNumId w:val="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6A"/>
    <w:rsid w:val="00004393"/>
    <w:rsid w:val="000054DB"/>
    <w:rsid w:val="00007A76"/>
    <w:rsid w:val="00012D10"/>
    <w:rsid w:val="00017505"/>
    <w:rsid w:val="00020F97"/>
    <w:rsid w:val="00021766"/>
    <w:rsid w:val="000218E7"/>
    <w:rsid w:val="00035ED5"/>
    <w:rsid w:val="00036D02"/>
    <w:rsid w:val="000402DD"/>
    <w:rsid w:val="0005307F"/>
    <w:rsid w:val="00054295"/>
    <w:rsid w:val="00054BDA"/>
    <w:rsid w:val="000603C0"/>
    <w:rsid w:val="00064BD7"/>
    <w:rsid w:val="00067B64"/>
    <w:rsid w:val="00076620"/>
    <w:rsid w:val="000879C8"/>
    <w:rsid w:val="00091A7E"/>
    <w:rsid w:val="00093C22"/>
    <w:rsid w:val="000950A3"/>
    <w:rsid w:val="00097CB9"/>
    <w:rsid w:val="000A31F3"/>
    <w:rsid w:val="000A41B9"/>
    <w:rsid w:val="000A7616"/>
    <w:rsid w:val="000B3A69"/>
    <w:rsid w:val="000B6AF9"/>
    <w:rsid w:val="000B74FB"/>
    <w:rsid w:val="000C217C"/>
    <w:rsid w:val="000C5D99"/>
    <w:rsid w:val="000D3337"/>
    <w:rsid w:val="000D3CCC"/>
    <w:rsid w:val="000D4E3C"/>
    <w:rsid w:val="000D51EF"/>
    <w:rsid w:val="000E1CFA"/>
    <w:rsid w:val="000E2A18"/>
    <w:rsid w:val="000E4EC5"/>
    <w:rsid w:val="000E562E"/>
    <w:rsid w:val="000F057B"/>
    <w:rsid w:val="000F2D9E"/>
    <w:rsid w:val="000F6F51"/>
    <w:rsid w:val="0010154F"/>
    <w:rsid w:val="001047FC"/>
    <w:rsid w:val="00104C33"/>
    <w:rsid w:val="001107D7"/>
    <w:rsid w:val="00111C14"/>
    <w:rsid w:val="00122AC2"/>
    <w:rsid w:val="001254DB"/>
    <w:rsid w:val="001354C8"/>
    <w:rsid w:val="00141178"/>
    <w:rsid w:val="001465B2"/>
    <w:rsid w:val="00154834"/>
    <w:rsid w:val="00154E99"/>
    <w:rsid w:val="00155768"/>
    <w:rsid w:val="001557C9"/>
    <w:rsid w:val="00160414"/>
    <w:rsid w:val="001620A8"/>
    <w:rsid w:val="00162C6C"/>
    <w:rsid w:val="00167A21"/>
    <w:rsid w:val="00167E80"/>
    <w:rsid w:val="001714C7"/>
    <w:rsid w:val="00171A92"/>
    <w:rsid w:val="00172966"/>
    <w:rsid w:val="00183072"/>
    <w:rsid w:val="00184AB4"/>
    <w:rsid w:val="00190674"/>
    <w:rsid w:val="00192253"/>
    <w:rsid w:val="001931C6"/>
    <w:rsid w:val="00196843"/>
    <w:rsid w:val="001971F9"/>
    <w:rsid w:val="001A108E"/>
    <w:rsid w:val="001A4DB0"/>
    <w:rsid w:val="001A6760"/>
    <w:rsid w:val="001A68D9"/>
    <w:rsid w:val="001A6DD1"/>
    <w:rsid w:val="001B0826"/>
    <w:rsid w:val="001B207A"/>
    <w:rsid w:val="001B4752"/>
    <w:rsid w:val="001B47A2"/>
    <w:rsid w:val="001B549D"/>
    <w:rsid w:val="001B61CE"/>
    <w:rsid w:val="001C495B"/>
    <w:rsid w:val="001D7E88"/>
    <w:rsid w:val="001E7301"/>
    <w:rsid w:val="001F3E0E"/>
    <w:rsid w:val="00205E5D"/>
    <w:rsid w:val="00206124"/>
    <w:rsid w:val="00207027"/>
    <w:rsid w:val="00210371"/>
    <w:rsid w:val="00214AD9"/>
    <w:rsid w:val="002268DE"/>
    <w:rsid w:val="00232CCC"/>
    <w:rsid w:val="00234CEB"/>
    <w:rsid w:val="002379A0"/>
    <w:rsid w:val="00241010"/>
    <w:rsid w:val="00246821"/>
    <w:rsid w:val="00251F52"/>
    <w:rsid w:val="00252BFB"/>
    <w:rsid w:val="00255903"/>
    <w:rsid w:val="0026145F"/>
    <w:rsid w:val="00261562"/>
    <w:rsid w:val="00261D25"/>
    <w:rsid w:val="00262AD2"/>
    <w:rsid w:val="002705B7"/>
    <w:rsid w:val="00271EB2"/>
    <w:rsid w:val="002767F3"/>
    <w:rsid w:val="002775DB"/>
    <w:rsid w:val="00281DAD"/>
    <w:rsid w:val="00281E22"/>
    <w:rsid w:val="002832E5"/>
    <w:rsid w:val="00294CEB"/>
    <w:rsid w:val="002A5649"/>
    <w:rsid w:val="002A7A23"/>
    <w:rsid w:val="002B0678"/>
    <w:rsid w:val="002B21F2"/>
    <w:rsid w:val="002B53F7"/>
    <w:rsid w:val="002B6434"/>
    <w:rsid w:val="002C3571"/>
    <w:rsid w:val="002C3596"/>
    <w:rsid w:val="002C5C8C"/>
    <w:rsid w:val="002D132C"/>
    <w:rsid w:val="002D19E9"/>
    <w:rsid w:val="002D2595"/>
    <w:rsid w:val="002D30A0"/>
    <w:rsid w:val="002E0A92"/>
    <w:rsid w:val="002E1BB0"/>
    <w:rsid w:val="002E21A7"/>
    <w:rsid w:val="002E74BD"/>
    <w:rsid w:val="002F08C5"/>
    <w:rsid w:val="002F15D2"/>
    <w:rsid w:val="002F35AA"/>
    <w:rsid w:val="0030248F"/>
    <w:rsid w:val="00304974"/>
    <w:rsid w:val="00311AB8"/>
    <w:rsid w:val="0031449C"/>
    <w:rsid w:val="003210A1"/>
    <w:rsid w:val="0032113B"/>
    <w:rsid w:val="003218BF"/>
    <w:rsid w:val="00323FCB"/>
    <w:rsid w:val="00324CDD"/>
    <w:rsid w:val="00325BC4"/>
    <w:rsid w:val="00341110"/>
    <w:rsid w:val="0034524E"/>
    <w:rsid w:val="00352375"/>
    <w:rsid w:val="00356C24"/>
    <w:rsid w:val="00357143"/>
    <w:rsid w:val="0035783A"/>
    <w:rsid w:val="00360C4B"/>
    <w:rsid w:val="00361FB0"/>
    <w:rsid w:val="003639FD"/>
    <w:rsid w:val="00364902"/>
    <w:rsid w:val="00370401"/>
    <w:rsid w:val="00372C7C"/>
    <w:rsid w:val="003737B2"/>
    <w:rsid w:val="003774D3"/>
    <w:rsid w:val="00380481"/>
    <w:rsid w:val="003817CE"/>
    <w:rsid w:val="0039017E"/>
    <w:rsid w:val="00390550"/>
    <w:rsid w:val="00392A65"/>
    <w:rsid w:val="003943D0"/>
    <w:rsid w:val="00395F9A"/>
    <w:rsid w:val="003960A0"/>
    <w:rsid w:val="0039782A"/>
    <w:rsid w:val="003A1AC7"/>
    <w:rsid w:val="003A2604"/>
    <w:rsid w:val="003A28A3"/>
    <w:rsid w:val="003A4B41"/>
    <w:rsid w:val="003A7560"/>
    <w:rsid w:val="003A7D1E"/>
    <w:rsid w:val="003B4602"/>
    <w:rsid w:val="003B698E"/>
    <w:rsid w:val="003B69D3"/>
    <w:rsid w:val="003C12C5"/>
    <w:rsid w:val="003C3AEC"/>
    <w:rsid w:val="003C789D"/>
    <w:rsid w:val="003D08F4"/>
    <w:rsid w:val="003D3DEA"/>
    <w:rsid w:val="003D5AC9"/>
    <w:rsid w:val="003D6089"/>
    <w:rsid w:val="003D6202"/>
    <w:rsid w:val="003E6048"/>
    <w:rsid w:val="003E7279"/>
    <w:rsid w:val="003F186C"/>
    <w:rsid w:val="003F69E5"/>
    <w:rsid w:val="003F72EB"/>
    <w:rsid w:val="0041390C"/>
    <w:rsid w:val="00421FF3"/>
    <w:rsid w:val="004230AA"/>
    <w:rsid w:val="004230C3"/>
    <w:rsid w:val="004253BC"/>
    <w:rsid w:val="00434647"/>
    <w:rsid w:val="004369CE"/>
    <w:rsid w:val="00440984"/>
    <w:rsid w:val="004445BA"/>
    <w:rsid w:val="00444694"/>
    <w:rsid w:val="00444FC1"/>
    <w:rsid w:val="00450BA4"/>
    <w:rsid w:val="00452C45"/>
    <w:rsid w:val="00456EEA"/>
    <w:rsid w:val="004614C8"/>
    <w:rsid w:val="0046184A"/>
    <w:rsid w:val="00463C74"/>
    <w:rsid w:val="004644E0"/>
    <w:rsid w:val="00464608"/>
    <w:rsid w:val="0046517D"/>
    <w:rsid w:val="004705BF"/>
    <w:rsid w:val="004706E1"/>
    <w:rsid w:val="00471AC6"/>
    <w:rsid w:val="00472B71"/>
    <w:rsid w:val="004740D6"/>
    <w:rsid w:val="00476235"/>
    <w:rsid w:val="0048436A"/>
    <w:rsid w:val="004871CA"/>
    <w:rsid w:val="004874AC"/>
    <w:rsid w:val="004876CA"/>
    <w:rsid w:val="00494414"/>
    <w:rsid w:val="00494580"/>
    <w:rsid w:val="004A4B95"/>
    <w:rsid w:val="004A4FD7"/>
    <w:rsid w:val="004B48DB"/>
    <w:rsid w:val="004B53BB"/>
    <w:rsid w:val="004B6584"/>
    <w:rsid w:val="004C6F2B"/>
    <w:rsid w:val="004D3E86"/>
    <w:rsid w:val="004D4164"/>
    <w:rsid w:val="004D6D0F"/>
    <w:rsid w:val="004E2269"/>
    <w:rsid w:val="004E36B5"/>
    <w:rsid w:val="004E3ABD"/>
    <w:rsid w:val="004F0429"/>
    <w:rsid w:val="004F0A95"/>
    <w:rsid w:val="004F3981"/>
    <w:rsid w:val="004F461B"/>
    <w:rsid w:val="004F65E9"/>
    <w:rsid w:val="005025AD"/>
    <w:rsid w:val="00507E3D"/>
    <w:rsid w:val="00513864"/>
    <w:rsid w:val="0051608E"/>
    <w:rsid w:val="005165B5"/>
    <w:rsid w:val="00517699"/>
    <w:rsid w:val="00521212"/>
    <w:rsid w:val="00521639"/>
    <w:rsid w:val="00522754"/>
    <w:rsid w:val="00523A76"/>
    <w:rsid w:val="005256F2"/>
    <w:rsid w:val="0052624C"/>
    <w:rsid w:val="005305F0"/>
    <w:rsid w:val="00532ABC"/>
    <w:rsid w:val="00533541"/>
    <w:rsid w:val="00534299"/>
    <w:rsid w:val="00540A25"/>
    <w:rsid w:val="00541527"/>
    <w:rsid w:val="005427F3"/>
    <w:rsid w:val="005451F9"/>
    <w:rsid w:val="00547D1D"/>
    <w:rsid w:val="00547D85"/>
    <w:rsid w:val="005505B1"/>
    <w:rsid w:val="00550B8D"/>
    <w:rsid w:val="00551BDF"/>
    <w:rsid w:val="005536B4"/>
    <w:rsid w:val="00557B83"/>
    <w:rsid w:val="00560B90"/>
    <w:rsid w:val="005652A6"/>
    <w:rsid w:val="005738FB"/>
    <w:rsid w:val="00576DEC"/>
    <w:rsid w:val="005776EA"/>
    <w:rsid w:val="005801F9"/>
    <w:rsid w:val="0058292C"/>
    <w:rsid w:val="00583B16"/>
    <w:rsid w:val="005869D0"/>
    <w:rsid w:val="005A31FB"/>
    <w:rsid w:val="005B05CE"/>
    <w:rsid w:val="005B1282"/>
    <w:rsid w:val="005B16BA"/>
    <w:rsid w:val="005B4048"/>
    <w:rsid w:val="005B5D82"/>
    <w:rsid w:val="005B690C"/>
    <w:rsid w:val="005C2451"/>
    <w:rsid w:val="005C4257"/>
    <w:rsid w:val="005C727E"/>
    <w:rsid w:val="005E3624"/>
    <w:rsid w:val="005E36D8"/>
    <w:rsid w:val="005E44DB"/>
    <w:rsid w:val="005E4A96"/>
    <w:rsid w:val="005F058D"/>
    <w:rsid w:val="005F406E"/>
    <w:rsid w:val="006052AE"/>
    <w:rsid w:val="0060587A"/>
    <w:rsid w:val="006079F8"/>
    <w:rsid w:val="00614D33"/>
    <w:rsid w:val="00616F5E"/>
    <w:rsid w:val="0061793D"/>
    <w:rsid w:val="006307CF"/>
    <w:rsid w:val="00631067"/>
    <w:rsid w:val="00635823"/>
    <w:rsid w:val="00636B64"/>
    <w:rsid w:val="00641FB8"/>
    <w:rsid w:val="006447DA"/>
    <w:rsid w:val="00647DB6"/>
    <w:rsid w:val="00650F59"/>
    <w:rsid w:val="00651FBE"/>
    <w:rsid w:val="0065464A"/>
    <w:rsid w:val="006569F8"/>
    <w:rsid w:val="00656B6B"/>
    <w:rsid w:val="006632B6"/>
    <w:rsid w:val="00671158"/>
    <w:rsid w:val="0067235C"/>
    <w:rsid w:val="006755C5"/>
    <w:rsid w:val="00675787"/>
    <w:rsid w:val="006900B9"/>
    <w:rsid w:val="006905DC"/>
    <w:rsid w:val="006907B6"/>
    <w:rsid w:val="00697A79"/>
    <w:rsid w:val="006A0F4C"/>
    <w:rsid w:val="006A17B6"/>
    <w:rsid w:val="006A3CA6"/>
    <w:rsid w:val="006A4292"/>
    <w:rsid w:val="006A4456"/>
    <w:rsid w:val="006A69A5"/>
    <w:rsid w:val="006B65DC"/>
    <w:rsid w:val="006C31AF"/>
    <w:rsid w:val="006C3320"/>
    <w:rsid w:val="006C4088"/>
    <w:rsid w:val="006C4886"/>
    <w:rsid w:val="006C5BE1"/>
    <w:rsid w:val="006C637E"/>
    <w:rsid w:val="006D0CD9"/>
    <w:rsid w:val="006D1F25"/>
    <w:rsid w:val="006D3F4C"/>
    <w:rsid w:val="006D41C4"/>
    <w:rsid w:val="006E4359"/>
    <w:rsid w:val="006E692E"/>
    <w:rsid w:val="006F71A1"/>
    <w:rsid w:val="00700D1F"/>
    <w:rsid w:val="0070156D"/>
    <w:rsid w:val="007028C6"/>
    <w:rsid w:val="00702C47"/>
    <w:rsid w:val="0070438A"/>
    <w:rsid w:val="00710580"/>
    <w:rsid w:val="00710A5F"/>
    <w:rsid w:val="00715134"/>
    <w:rsid w:val="007219C6"/>
    <w:rsid w:val="007223C1"/>
    <w:rsid w:val="00727355"/>
    <w:rsid w:val="00732E96"/>
    <w:rsid w:val="00735F70"/>
    <w:rsid w:val="00737664"/>
    <w:rsid w:val="00746EE2"/>
    <w:rsid w:val="00751189"/>
    <w:rsid w:val="00751C56"/>
    <w:rsid w:val="007607EC"/>
    <w:rsid w:val="00760A3C"/>
    <w:rsid w:val="00761D8B"/>
    <w:rsid w:val="00767274"/>
    <w:rsid w:val="00770238"/>
    <w:rsid w:val="00771AC8"/>
    <w:rsid w:val="007762B8"/>
    <w:rsid w:val="00780230"/>
    <w:rsid w:val="00785293"/>
    <w:rsid w:val="007943DD"/>
    <w:rsid w:val="007A0182"/>
    <w:rsid w:val="007A4658"/>
    <w:rsid w:val="007A7A72"/>
    <w:rsid w:val="007B1C4E"/>
    <w:rsid w:val="007B5ED5"/>
    <w:rsid w:val="007B6C8E"/>
    <w:rsid w:val="007C230A"/>
    <w:rsid w:val="007C2DB2"/>
    <w:rsid w:val="007C30F4"/>
    <w:rsid w:val="007C32FD"/>
    <w:rsid w:val="007C64B6"/>
    <w:rsid w:val="007D7391"/>
    <w:rsid w:val="007E169E"/>
    <w:rsid w:val="007E2197"/>
    <w:rsid w:val="007E43E7"/>
    <w:rsid w:val="007F5CE7"/>
    <w:rsid w:val="007F7F1C"/>
    <w:rsid w:val="0081046E"/>
    <w:rsid w:val="008117A6"/>
    <w:rsid w:val="00817642"/>
    <w:rsid w:val="00821A22"/>
    <w:rsid w:val="00830A55"/>
    <w:rsid w:val="00831A76"/>
    <w:rsid w:val="00832970"/>
    <w:rsid w:val="00832BD7"/>
    <w:rsid w:val="008331B4"/>
    <w:rsid w:val="0084250A"/>
    <w:rsid w:val="00842983"/>
    <w:rsid w:val="00843A06"/>
    <w:rsid w:val="00844676"/>
    <w:rsid w:val="0085408C"/>
    <w:rsid w:val="00860964"/>
    <w:rsid w:val="00862336"/>
    <w:rsid w:val="00872699"/>
    <w:rsid w:val="00872E8E"/>
    <w:rsid w:val="0088181F"/>
    <w:rsid w:val="00885490"/>
    <w:rsid w:val="00892EA2"/>
    <w:rsid w:val="008965CF"/>
    <w:rsid w:val="008A2244"/>
    <w:rsid w:val="008A3531"/>
    <w:rsid w:val="008A5145"/>
    <w:rsid w:val="008A7754"/>
    <w:rsid w:val="008A7D42"/>
    <w:rsid w:val="008B0C0D"/>
    <w:rsid w:val="008B33AA"/>
    <w:rsid w:val="008B6569"/>
    <w:rsid w:val="008B77E5"/>
    <w:rsid w:val="008B7E5A"/>
    <w:rsid w:val="008C04EC"/>
    <w:rsid w:val="008C14E5"/>
    <w:rsid w:val="008C331C"/>
    <w:rsid w:val="008C3983"/>
    <w:rsid w:val="008D0065"/>
    <w:rsid w:val="008D6807"/>
    <w:rsid w:val="008E6217"/>
    <w:rsid w:val="008F0041"/>
    <w:rsid w:val="008F6538"/>
    <w:rsid w:val="008F6C2D"/>
    <w:rsid w:val="00901B10"/>
    <w:rsid w:val="009037B0"/>
    <w:rsid w:val="00914DF0"/>
    <w:rsid w:val="00915241"/>
    <w:rsid w:val="00930FA7"/>
    <w:rsid w:val="00931A58"/>
    <w:rsid w:val="00932393"/>
    <w:rsid w:val="00932712"/>
    <w:rsid w:val="00934F5A"/>
    <w:rsid w:val="00936C7E"/>
    <w:rsid w:val="009372F7"/>
    <w:rsid w:val="00940358"/>
    <w:rsid w:val="00940F39"/>
    <w:rsid w:val="009515E3"/>
    <w:rsid w:val="00955A0D"/>
    <w:rsid w:val="00960BC0"/>
    <w:rsid w:val="00962D76"/>
    <w:rsid w:val="00965C73"/>
    <w:rsid w:val="00971F01"/>
    <w:rsid w:val="0097272F"/>
    <w:rsid w:val="00972F78"/>
    <w:rsid w:val="0097354E"/>
    <w:rsid w:val="00975476"/>
    <w:rsid w:val="00977A2A"/>
    <w:rsid w:val="00980248"/>
    <w:rsid w:val="00985AB9"/>
    <w:rsid w:val="00987B33"/>
    <w:rsid w:val="009905D0"/>
    <w:rsid w:val="009907C9"/>
    <w:rsid w:val="009935F0"/>
    <w:rsid w:val="00993B7C"/>
    <w:rsid w:val="00995DEE"/>
    <w:rsid w:val="009963D4"/>
    <w:rsid w:val="009A228E"/>
    <w:rsid w:val="009A37C8"/>
    <w:rsid w:val="009B206C"/>
    <w:rsid w:val="009B237D"/>
    <w:rsid w:val="009B24B4"/>
    <w:rsid w:val="009B2C29"/>
    <w:rsid w:val="009B5105"/>
    <w:rsid w:val="009C41A7"/>
    <w:rsid w:val="009C469D"/>
    <w:rsid w:val="009C4A5C"/>
    <w:rsid w:val="009E1FC4"/>
    <w:rsid w:val="009E1FF8"/>
    <w:rsid w:val="009E5CF7"/>
    <w:rsid w:val="009F63F9"/>
    <w:rsid w:val="00A01B98"/>
    <w:rsid w:val="00A03A00"/>
    <w:rsid w:val="00A042EC"/>
    <w:rsid w:val="00A04B1B"/>
    <w:rsid w:val="00A118DD"/>
    <w:rsid w:val="00A244FC"/>
    <w:rsid w:val="00A25604"/>
    <w:rsid w:val="00A264A5"/>
    <w:rsid w:val="00A30D54"/>
    <w:rsid w:val="00A313B0"/>
    <w:rsid w:val="00A3332C"/>
    <w:rsid w:val="00A355F7"/>
    <w:rsid w:val="00A358E1"/>
    <w:rsid w:val="00A35FB8"/>
    <w:rsid w:val="00A36962"/>
    <w:rsid w:val="00A42F7F"/>
    <w:rsid w:val="00A46C83"/>
    <w:rsid w:val="00A52D01"/>
    <w:rsid w:val="00A55A5C"/>
    <w:rsid w:val="00A574B9"/>
    <w:rsid w:val="00A576DF"/>
    <w:rsid w:val="00A57D7F"/>
    <w:rsid w:val="00A63EFD"/>
    <w:rsid w:val="00A6437F"/>
    <w:rsid w:val="00A65F3F"/>
    <w:rsid w:val="00A6612E"/>
    <w:rsid w:val="00A72032"/>
    <w:rsid w:val="00A75D58"/>
    <w:rsid w:val="00A83CC5"/>
    <w:rsid w:val="00A84414"/>
    <w:rsid w:val="00A847BB"/>
    <w:rsid w:val="00A8516B"/>
    <w:rsid w:val="00A8684A"/>
    <w:rsid w:val="00A94AFF"/>
    <w:rsid w:val="00A968D9"/>
    <w:rsid w:val="00A971A9"/>
    <w:rsid w:val="00AA1318"/>
    <w:rsid w:val="00AA5D88"/>
    <w:rsid w:val="00AA6795"/>
    <w:rsid w:val="00AB5E8F"/>
    <w:rsid w:val="00AB65C0"/>
    <w:rsid w:val="00AC0A8B"/>
    <w:rsid w:val="00AD01F9"/>
    <w:rsid w:val="00AD03FD"/>
    <w:rsid w:val="00AD04A9"/>
    <w:rsid w:val="00AD0E5B"/>
    <w:rsid w:val="00AD185B"/>
    <w:rsid w:val="00AD3EFF"/>
    <w:rsid w:val="00AD625F"/>
    <w:rsid w:val="00AE0B35"/>
    <w:rsid w:val="00AE21C3"/>
    <w:rsid w:val="00AE3A23"/>
    <w:rsid w:val="00AE3DE7"/>
    <w:rsid w:val="00AE4F6C"/>
    <w:rsid w:val="00AE53F3"/>
    <w:rsid w:val="00AE60DB"/>
    <w:rsid w:val="00AF1EC4"/>
    <w:rsid w:val="00AF2679"/>
    <w:rsid w:val="00AF69AB"/>
    <w:rsid w:val="00AF6C12"/>
    <w:rsid w:val="00B01431"/>
    <w:rsid w:val="00B0482C"/>
    <w:rsid w:val="00B11B56"/>
    <w:rsid w:val="00B122BC"/>
    <w:rsid w:val="00B14AA3"/>
    <w:rsid w:val="00B15356"/>
    <w:rsid w:val="00B15939"/>
    <w:rsid w:val="00B16D03"/>
    <w:rsid w:val="00B17D19"/>
    <w:rsid w:val="00B2259E"/>
    <w:rsid w:val="00B2440A"/>
    <w:rsid w:val="00B25543"/>
    <w:rsid w:val="00B278FE"/>
    <w:rsid w:val="00B307B5"/>
    <w:rsid w:val="00B33399"/>
    <w:rsid w:val="00B45DDC"/>
    <w:rsid w:val="00B53E3F"/>
    <w:rsid w:val="00B61BEB"/>
    <w:rsid w:val="00B62E10"/>
    <w:rsid w:val="00B63B2A"/>
    <w:rsid w:val="00B63EFD"/>
    <w:rsid w:val="00B70058"/>
    <w:rsid w:val="00B7061E"/>
    <w:rsid w:val="00B743DB"/>
    <w:rsid w:val="00B767C3"/>
    <w:rsid w:val="00B7698E"/>
    <w:rsid w:val="00B81286"/>
    <w:rsid w:val="00B813E5"/>
    <w:rsid w:val="00B8145C"/>
    <w:rsid w:val="00B8319F"/>
    <w:rsid w:val="00B83471"/>
    <w:rsid w:val="00B84D18"/>
    <w:rsid w:val="00B85DCC"/>
    <w:rsid w:val="00B872B4"/>
    <w:rsid w:val="00BA416F"/>
    <w:rsid w:val="00BA5F17"/>
    <w:rsid w:val="00BA6D42"/>
    <w:rsid w:val="00BA7B7E"/>
    <w:rsid w:val="00BB1CCB"/>
    <w:rsid w:val="00BC17DD"/>
    <w:rsid w:val="00BC3110"/>
    <w:rsid w:val="00BC73A2"/>
    <w:rsid w:val="00BD474E"/>
    <w:rsid w:val="00BE16BD"/>
    <w:rsid w:val="00BE244C"/>
    <w:rsid w:val="00BF27EB"/>
    <w:rsid w:val="00BF43D9"/>
    <w:rsid w:val="00BF4C4E"/>
    <w:rsid w:val="00BF6634"/>
    <w:rsid w:val="00C028D0"/>
    <w:rsid w:val="00C03686"/>
    <w:rsid w:val="00C03C7D"/>
    <w:rsid w:val="00C077E4"/>
    <w:rsid w:val="00C14679"/>
    <w:rsid w:val="00C164AE"/>
    <w:rsid w:val="00C20636"/>
    <w:rsid w:val="00C20752"/>
    <w:rsid w:val="00C260A7"/>
    <w:rsid w:val="00C43788"/>
    <w:rsid w:val="00C471A7"/>
    <w:rsid w:val="00C473CF"/>
    <w:rsid w:val="00C53738"/>
    <w:rsid w:val="00C5459D"/>
    <w:rsid w:val="00C62AFC"/>
    <w:rsid w:val="00C66C2B"/>
    <w:rsid w:val="00C80EC8"/>
    <w:rsid w:val="00C814DA"/>
    <w:rsid w:val="00C81F07"/>
    <w:rsid w:val="00C831AA"/>
    <w:rsid w:val="00C8758B"/>
    <w:rsid w:val="00C90E7C"/>
    <w:rsid w:val="00C951E5"/>
    <w:rsid w:val="00CA7C38"/>
    <w:rsid w:val="00CB4B92"/>
    <w:rsid w:val="00CB51F6"/>
    <w:rsid w:val="00CB7FDC"/>
    <w:rsid w:val="00CC1586"/>
    <w:rsid w:val="00CC7C05"/>
    <w:rsid w:val="00CD4A0C"/>
    <w:rsid w:val="00CD59E2"/>
    <w:rsid w:val="00CD6A5A"/>
    <w:rsid w:val="00CD75D9"/>
    <w:rsid w:val="00CE07DA"/>
    <w:rsid w:val="00CE155A"/>
    <w:rsid w:val="00CE5B02"/>
    <w:rsid w:val="00CE60D9"/>
    <w:rsid w:val="00CE71CF"/>
    <w:rsid w:val="00CF20CD"/>
    <w:rsid w:val="00CF5BF6"/>
    <w:rsid w:val="00D04CBA"/>
    <w:rsid w:val="00D060C9"/>
    <w:rsid w:val="00D10414"/>
    <w:rsid w:val="00D12C62"/>
    <w:rsid w:val="00D15A70"/>
    <w:rsid w:val="00D1679A"/>
    <w:rsid w:val="00D167A6"/>
    <w:rsid w:val="00D17679"/>
    <w:rsid w:val="00D2439F"/>
    <w:rsid w:val="00D26A84"/>
    <w:rsid w:val="00D31564"/>
    <w:rsid w:val="00D36313"/>
    <w:rsid w:val="00D40519"/>
    <w:rsid w:val="00D4231A"/>
    <w:rsid w:val="00D435E7"/>
    <w:rsid w:val="00D46BF8"/>
    <w:rsid w:val="00D51808"/>
    <w:rsid w:val="00D5200E"/>
    <w:rsid w:val="00D56D43"/>
    <w:rsid w:val="00D60989"/>
    <w:rsid w:val="00D62DBC"/>
    <w:rsid w:val="00D641D3"/>
    <w:rsid w:val="00D64C57"/>
    <w:rsid w:val="00D74F0E"/>
    <w:rsid w:val="00D772E7"/>
    <w:rsid w:val="00D77658"/>
    <w:rsid w:val="00D85272"/>
    <w:rsid w:val="00D85630"/>
    <w:rsid w:val="00D85A1E"/>
    <w:rsid w:val="00D9003B"/>
    <w:rsid w:val="00D94C5D"/>
    <w:rsid w:val="00D94DD9"/>
    <w:rsid w:val="00D97D81"/>
    <w:rsid w:val="00DA30D9"/>
    <w:rsid w:val="00DA43DA"/>
    <w:rsid w:val="00DA6DDF"/>
    <w:rsid w:val="00DA7AFF"/>
    <w:rsid w:val="00DB0860"/>
    <w:rsid w:val="00DB0E0C"/>
    <w:rsid w:val="00DB7AF3"/>
    <w:rsid w:val="00DB7D7D"/>
    <w:rsid w:val="00DC2460"/>
    <w:rsid w:val="00DC25DA"/>
    <w:rsid w:val="00DC4850"/>
    <w:rsid w:val="00DC5C5A"/>
    <w:rsid w:val="00DD20E3"/>
    <w:rsid w:val="00DD2951"/>
    <w:rsid w:val="00DD33AA"/>
    <w:rsid w:val="00DD4519"/>
    <w:rsid w:val="00DD4AD0"/>
    <w:rsid w:val="00DE0706"/>
    <w:rsid w:val="00DE1A8C"/>
    <w:rsid w:val="00DE6FA9"/>
    <w:rsid w:val="00DF3A70"/>
    <w:rsid w:val="00DF7BF5"/>
    <w:rsid w:val="00E01599"/>
    <w:rsid w:val="00E02FE2"/>
    <w:rsid w:val="00E03EAB"/>
    <w:rsid w:val="00E10C6D"/>
    <w:rsid w:val="00E12330"/>
    <w:rsid w:val="00E13F6E"/>
    <w:rsid w:val="00E141A8"/>
    <w:rsid w:val="00E14493"/>
    <w:rsid w:val="00E14BBE"/>
    <w:rsid w:val="00E22CFB"/>
    <w:rsid w:val="00E237FF"/>
    <w:rsid w:val="00E2474B"/>
    <w:rsid w:val="00E24D0E"/>
    <w:rsid w:val="00E27AFD"/>
    <w:rsid w:val="00E31931"/>
    <w:rsid w:val="00E3247C"/>
    <w:rsid w:val="00E33150"/>
    <w:rsid w:val="00E3315B"/>
    <w:rsid w:val="00E349A3"/>
    <w:rsid w:val="00E34DF0"/>
    <w:rsid w:val="00E35795"/>
    <w:rsid w:val="00E36CC6"/>
    <w:rsid w:val="00E446B7"/>
    <w:rsid w:val="00E464D9"/>
    <w:rsid w:val="00E47617"/>
    <w:rsid w:val="00E50063"/>
    <w:rsid w:val="00E50B9C"/>
    <w:rsid w:val="00E54D11"/>
    <w:rsid w:val="00E60C76"/>
    <w:rsid w:val="00E6212E"/>
    <w:rsid w:val="00E627E3"/>
    <w:rsid w:val="00E81AC1"/>
    <w:rsid w:val="00E8283F"/>
    <w:rsid w:val="00E8505E"/>
    <w:rsid w:val="00E8541C"/>
    <w:rsid w:val="00E86395"/>
    <w:rsid w:val="00E960D4"/>
    <w:rsid w:val="00E978FD"/>
    <w:rsid w:val="00EA2737"/>
    <w:rsid w:val="00EB0172"/>
    <w:rsid w:val="00EB0223"/>
    <w:rsid w:val="00EB0F56"/>
    <w:rsid w:val="00EB25CA"/>
    <w:rsid w:val="00EB2F82"/>
    <w:rsid w:val="00EB33C9"/>
    <w:rsid w:val="00EB5EB6"/>
    <w:rsid w:val="00EB7457"/>
    <w:rsid w:val="00EC25FA"/>
    <w:rsid w:val="00EC7263"/>
    <w:rsid w:val="00ED0CD9"/>
    <w:rsid w:val="00ED22C9"/>
    <w:rsid w:val="00ED308B"/>
    <w:rsid w:val="00ED433D"/>
    <w:rsid w:val="00ED4A2E"/>
    <w:rsid w:val="00EE381A"/>
    <w:rsid w:val="00EE510D"/>
    <w:rsid w:val="00EE71E0"/>
    <w:rsid w:val="00EF15E4"/>
    <w:rsid w:val="00EF1C15"/>
    <w:rsid w:val="00EF40AF"/>
    <w:rsid w:val="00EF637F"/>
    <w:rsid w:val="00F007ED"/>
    <w:rsid w:val="00F0118D"/>
    <w:rsid w:val="00F0357B"/>
    <w:rsid w:val="00F0578B"/>
    <w:rsid w:val="00F07027"/>
    <w:rsid w:val="00F07C1A"/>
    <w:rsid w:val="00F10D41"/>
    <w:rsid w:val="00F11F69"/>
    <w:rsid w:val="00F120BD"/>
    <w:rsid w:val="00F129AA"/>
    <w:rsid w:val="00F15EB6"/>
    <w:rsid w:val="00F20FE2"/>
    <w:rsid w:val="00F3408A"/>
    <w:rsid w:val="00F36E71"/>
    <w:rsid w:val="00F37ED7"/>
    <w:rsid w:val="00F55838"/>
    <w:rsid w:val="00F6035A"/>
    <w:rsid w:val="00F64E24"/>
    <w:rsid w:val="00F6616D"/>
    <w:rsid w:val="00F7250C"/>
    <w:rsid w:val="00F73BFA"/>
    <w:rsid w:val="00F776C7"/>
    <w:rsid w:val="00F8096C"/>
    <w:rsid w:val="00F82550"/>
    <w:rsid w:val="00F82D8E"/>
    <w:rsid w:val="00F8345F"/>
    <w:rsid w:val="00F87272"/>
    <w:rsid w:val="00F87436"/>
    <w:rsid w:val="00F924D7"/>
    <w:rsid w:val="00F942B7"/>
    <w:rsid w:val="00F9440A"/>
    <w:rsid w:val="00F95DAA"/>
    <w:rsid w:val="00F96ABD"/>
    <w:rsid w:val="00FB2AE6"/>
    <w:rsid w:val="00FB357C"/>
    <w:rsid w:val="00FB43C4"/>
    <w:rsid w:val="00FB55A0"/>
    <w:rsid w:val="00FB55A1"/>
    <w:rsid w:val="00FC0CC6"/>
    <w:rsid w:val="00FC50D7"/>
    <w:rsid w:val="00FC5993"/>
    <w:rsid w:val="00FC668B"/>
    <w:rsid w:val="00FD0F9C"/>
    <w:rsid w:val="00FD65FC"/>
    <w:rsid w:val="00FE057A"/>
    <w:rsid w:val="00FE0C04"/>
    <w:rsid w:val="00FE55B9"/>
    <w:rsid w:val="00FE7356"/>
    <w:rsid w:val="00FE7F13"/>
    <w:rsid w:val="00FF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07E8"/>
  <w15:chartTrackingRefBased/>
  <w15:docId w15:val="{DB08234C-95EC-4D4E-BAFA-AEA9BAB0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36A"/>
    <w:pPr>
      <w:spacing w:after="0" w:line="360" w:lineRule="auto"/>
      <w:jc w:val="both"/>
    </w:pPr>
    <w:rPr>
      <w:rFonts w:ascii="Arial" w:eastAsia="Times New Roman" w:hAnsi="Arial" w:cs="Times New Roman"/>
      <w:szCs w:val="24"/>
      <w:lang w:val="en-ZA"/>
    </w:rPr>
  </w:style>
  <w:style w:type="paragraph" w:styleId="Heading1">
    <w:name w:val="heading 1"/>
    <w:basedOn w:val="Normal"/>
    <w:next w:val="Normal"/>
    <w:link w:val="Heading1Char"/>
    <w:qFormat/>
    <w:rsid w:val="0048436A"/>
    <w:pPr>
      <w:keepNext/>
      <w:spacing w:line="480" w:lineRule="auto"/>
      <w:outlineLvl w:val="0"/>
    </w:pPr>
    <w:rPr>
      <w:rFonts w:cs="Arial"/>
      <w:b/>
      <w:bCs/>
    </w:rPr>
  </w:style>
  <w:style w:type="paragraph" w:styleId="Heading2">
    <w:name w:val="heading 2"/>
    <w:basedOn w:val="Normal"/>
    <w:next w:val="Normal"/>
    <w:link w:val="Heading2Char"/>
    <w:uiPriority w:val="9"/>
    <w:semiHidden/>
    <w:unhideWhenUsed/>
    <w:qFormat/>
    <w:rsid w:val="0048436A"/>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36A"/>
    <w:rPr>
      <w:rFonts w:ascii="Arial" w:eastAsia="Times New Roman" w:hAnsi="Arial" w:cs="Arial"/>
      <w:b/>
      <w:bCs/>
      <w:szCs w:val="24"/>
      <w:lang w:val="en-ZA"/>
    </w:rPr>
  </w:style>
  <w:style w:type="character" w:customStyle="1" w:styleId="Heading2Char">
    <w:name w:val="Heading 2 Char"/>
    <w:basedOn w:val="DefaultParagraphFont"/>
    <w:link w:val="Heading2"/>
    <w:uiPriority w:val="9"/>
    <w:semiHidden/>
    <w:rsid w:val="0048436A"/>
    <w:rPr>
      <w:rFonts w:ascii="Arial" w:eastAsia="Times New Roman" w:hAnsi="Arial" w:cs="Arial"/>
      <w:b/>
      <w:bCs/>
      <w:szCs w:val="24"/>
      <w:lang w:val="en-ZA"/>
    </w:rPr>
  </w:style>
  <w:style w:type="paragraph" w:styleId="Title">
    <w:name w:val="Title"/>
    <w:basedOn w:val="Normal"/>
    <w:link w:val="TitleChar"/>
    <w:qFormat/>
    <w:rsid w:val="0048436A"/>
    <w:pPr>
      <w:spacing w:line="480" w:lineRule="auto"/>
      <w:jc w:val="center"/>
    </w:pPr>
    <w:rPr>
      <w:rFonts w:cs="Arial"/>
      <w:b/>
      <w:bCs/>
    </w:rPr>
  </w:style>
  <w:style w:type="character" w:customStyle="1" w:styleId="TitleChar">
    <w:name w:val="Title Char"/>
    <w:basedOn w:val="DefaultParagraphFont"/>
    <w:link w:val="Title"/>
    <w:rsid w:val="0048436A"/>
    <w:rPr>
      <w:rFonts w:ascii="Arial" w:eastAsia="Times New Roman" w:hAnsi="Arial" w:cs="Arial"/>
      <w:b/>
      <w:bCs/>
      <w:szCs w:val="24"/>
      <w:lang w:val="en-ZA"/>
    </w:rPr>
  </w:style>
  <w:style w:type="paragraph" w:customStyle="1" w:styleId="WLGLevel1">
    <w:name w:val="WLGLevel1"/>
    <w:basedOn w:val="Normal"/>
    <w:qFormat/>
    <w:rsid w:val="00F07027"/>
    <w:pPr>
      <w:numPr>
        <w:numId w:val="2"/>
      </w:numPr>
      <w:suppressAutoHyphens/>
      <w:spacing w:before="320" w:after="320" w:line="480" w:lineRule="auto"/>
      <w:outlineLvl w:val="0"/>
    </w:pPr>
    <w:rPr>
      <w:sz w:val="24"/>
      <w:szCs w:val="20"/>
    </w:rPr>
  </w:style>
  <w:style w:type="paragraph" w:customStyle="1" w:styleId="WLGLevel2">
    <w:name w:val="WLGLevel2"/>
    <w:basedOn w:val="Normal"/>
    <w:qFormat/>
    <w:rsid w:val="00F07027"/>
    <w:pPr>
      <w:numPr>
        <w:ilvl w:val="1"/>
        <w:numId w:val="2"/>
      </w:numPr>
      <w:suppressAutoHyphens/>
      <w:spacing w:after="320" w:line="480" w:lineRule="auto"/>
      <w:outlineLvl w:val="1"/>
    </w:pPr>
    <w:rPr>
      <w:sz w:val="24"/>
      <w:szCs w:val="20"/>
    </w:rPr>
  </w:style>
  <w:style w:type="paragraph" w:customStyle="1" w:styleId="WLGLevel3">
    <w:name w:val="WLGLevel3"/>
    <w:basedOn w:val="Normal"/>
    <w:qFormat/>
    <w:rsid w:val="00F07027"/>
    <w:pPr>
      <w:numPr>
        <w:ilvl w:val="2"/>
        <w:numId w:val="2"/>
      </w:numPr>
      <w:suppressAutoHyphens/>
      <w:spacing w:after="320" w:line="480" w:lineRule="auto"/>
      <w:outlineLvl w:val="2"/>
    </w:pPr>
    <w:rPr>
      <w:sz w:val="24"/>
      <w:szCs w:val="20"/>
    </w:rPr>
  </w:style>
  <w:style w:type="paragraph" w:customStyle="1" w:styleId="WLGLevel4">
    <w:name w:val="WLGLevel4"/>
    <w:basedOn w:val="Normal"/>
    <w:qFormat/>
    <w:rsid w:val="00F07027"/>
    <w:pPr>
      <w:numPr>
        <w:ilvl w:val="3"/>
        <w:numId w:val="2"/>
      </w:numPr>
      <w:suppressAutoHyphens/>
      <w:spacing w:after="320" w:line="480" w:lineRule="auto"/>
      <w:outlineLvl w:val="3"/>
    </w:pPr>
    <w:rPr>
      <w:sz w:val="24"/>
      <w:szCs w:val="20"/>
    </w:rPr>
  </w:style>
  <w:style w:type="paragraph" w:customStyle="1" w:styleId="WLGLevel5">
    <w:name w:val="WLGLevel5"/>
    <w:basedOn w:val="Normal"/>
    <w:qFormat/>
    <w:rsid w:val="00F07027"/>
    <w:pPr>
      <w:numPr>
        <w:ilvl w:val="4"/>
        <w:numId w:val="2"/>
      </w:numPr>
      <w:suppressAutoHyphens/>
      <w:spacing w:after="320" w:line="480" w:lineRule="auto"/>
      <w:outlineLvl w:val="4"/>
    </w:pPr>
    <w:rPr>
      <w:sz w:val="24"/>
      <w:szCs w:val="20"/>
    </w:rPr>
  </w:style>
  <w:style w:type="paragraph" w:styleId="ListParagraph">
    <w:name w:val="List Paragraph"/>
    <w:basedOn w:val="Normal"/>
    <w:uiPriority w:val="34"/>
    <w:qFormat/>
    <w:rsid w:val="00F07027"/>
    <w:pPr>
      <w:ind w:left="720"/>
      <w:contextualSpacing/>
    </w:pPr>
  </w:style>
  <w:style w:type="paragraph" w:styleId="BalloonText">
    <w:name w:val="Balloon Text"/>
    <w:basedOn w:val="Normal"/>
    <w:link w:val="BalloonTextChar"/>
    <w:uiPriority w:val="99"/>
    <w:semiHidden/>
    <w:unhideWhenUsed/>
    <w:rsid w:val="00AD04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A9"/>
    <w:rPr>
      <w:rFonts w:ascii="Segoe UI" w:eastAsia="Times New Roman" w:hAnsi="Segoe UI" w:cs="Segoe UI"/>
      <w:sz w:val="18"/>
      <w:szCs w:val="18"/>
      <w:lang w:val="en-ZA"/>
    </w:rPr>
  </w:style>
  <w:style w:type="paragraph" w:styleId="FootnoteText">
    <w:name w:val="footnote text"/>
    <w:aliases w:val="Footnote Text Char Char Char,Footnote Text Char Char,Footnote Text Char1,Footnote Text Char1 Char Char,Footnote Text Char Char Char Char Char,Footnote Text Char Char1 Char Char,Footnote Text Char Char1 Char,Footnote Text Char Char1,fn,ft,f"/>
    <w:basedOn w:val="Normal"/>
    <w:link w:val="FootnoteTextChar"/>
    <w:uiPriority w:val="99"/>
    <w:qFormat/>
    <w:rsid w:val="009037B0"/>
    <w:pPr>
      <w:spacing w:line="240" w:lineRule="auto"/>
      <w:jc w:val="left"/>
    </w:pPr>
    <w:rPr>
      <w:rFonts w:ascii="Times New Roman" w:eastAsia="SimSun" w:hAnsi="Times New Roman"/>
      <w:sz w:val="20"/>
      <w:szCs w:val="20"/>
      <w:lang w:val="en-GB" w:eastAsia="zh-CN"/>
    </w:rPr>
  </w:style>
  <w:style w:type="character" w:customStyle="1" w:styleId="FootnoteTextChar">
    <w:name w:val="Footnote Text Char"/>
    <w:aliases w:val="Footnote Text Char Char Char Char,Footnote Text Char Char Char1,Footnote Text Char1 Char,Footnote Text Char1 Char Char Char,Footnote Text Char Char Char Char Char Char,Footnote Text Char Char1 Char Char Char,fn Char,ft Char,f Char"/>
    <w:basedOn w:val="DefaultParagraphFont"/>
    <w:link w:val="FootnoteText"/>
    <w:uiPriority w:val="99"/>
    <w:qFormat/>
    <w:rsid w:val="009037B0"/>
    <w:rPr>
      <w:rFonts w:ascii="Times New Roman" w:eastAsia="SimSun" w:hAnsi="Times New Roman" w:cs="Times New Roman"/>
      <w:sz w:val="20"/>
      <w:szCs w:val="20"/>
      <w:lang w:val="en-GB" w:eastAsia="zh-CN"/>
    </w:rPr>
  </w:style>
  <w:style w:type="character" w:styleId="FootnoteReference">
    <w:name w:val="footnote reference"/>
    <w:aliases w:val="Ref,de nota al pie,註腳內容,Heading 6 Char1,do not use4 Char1,Footnote symbol,(NECG) Footnote Reference,Footnotes refss,Appel note de bas de page,fr,Footnote Reference + Superscript,Style 12,Footnote Reference in text,o,Style 4,Nota"/>
    <w:uiPriority w:val="99"/>
    <w:qFormat/>
    <w:rsid w:val="009037B0"/>
    <w:rPr>
      <w:vertAlign w:val="superscript"/>
    </w:rPr>
  </w:style>
  <w:style w:type="table" w:styleId="TableGrid">
    <w:name w:val="Table Grid"/>
    <w:basedOn w:val="TableNormal"/>
    <w:uiPriority w:val="59"/>
    <w:rsid w:val="00053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60D4"/>
    <w:pPr>
      <w:tabs>
        <w:tab w:val="center" w:pos="4513"/>
        <w:tab w:val="right" w:pos="9026"/>
      </w:tabs>
      <w:spacing w:line="240" w:lineRule="auto"/>
    </w:pPr>
  </w:style>
  <w:style w:type="character" w:customStyle="1" w:styleId="HeaderChar">
    <w:name w:val="Header Char"/>
    <w:basedOn w:val="DefaultParagraphFont"/>
    <w:link w:val="Header"/>
    <w:uiPriority w:val="99"/>
    <w:rsid w:val="00E960D4"/>
    <w:rPr>
      <w:rFonts w:ascii="Arial" w:eastAsia="Times New Roman" w:hAnsi="Arial" w:cs="Times New Roman"/>
      <w:szCs w:val="24"/>
      <w:lang w:val="en-ZA"/>
    </w:rPr>
  </w:style>
  <w:style w:type="paragraph" w:styleId="Footer">
    <w:name w:val="footer"/>
    <w:basedOn w:val="Normal"/>
    <w:link w:val="FooterChar"/>
    <w:uiPriority w:val="99"/>
    <w:unhideWhenUsed/>
    <w:rsid w:val="00E960D4"/>
    <w:pPr>
      <w:tabs>
        <w:tab w:val="center" w:pos="4513"/>
        <w:tab w:val="right" w:pos="9026"/>
      </w:tabs>
      <w:spacing w:line="240" w:lineRule="auto"/>
    </w:pPr>
  </w:style>
  <w:style w:type="character" w:customStyle="1" w:styleId="FooterChar">
    <w:name w:val="Footer Char"/>
    <w:basedOn w:val="DefaultParagraphFont"/>
    <w:link w:val="Footer"/>
    <w:uiPriority w:val="99"/>
    <w:rsid w:val="00E960D4"/>
    <w:rPr>
      <w:rFonts w:ascii="Arial" w:eastAsia="Times New Roman" w:hAnsi="Arial" w:cs="Times New Roman"/>
      <w:szCs w:val="24"/>
      <w:lang w:val="en-ZA"/>
    </w:rPr>
  </w:style>
  <w:style w:type="character" w:styleId="Hyperlink">
    <w:name w:val="Hyperlink"/>
    <w:uiPriority w:val="99"/>
    <w:unhideWhenUsed/>
    <w:rsid w:val="00521639"/>
    <w:rPr>
      <w:color w:val="0563C1"/>
      <w:u w:val="single"/>
    </w:rPr>
  </w:style>
  <w:style w:type="paragraph" w:customStyle="1" w:styleId="Level1">
    <w:name w:val="Level 1"/>
    <w:basedOn w:val="Normal"/>
    <w:rsid w:val="00521639"/>
    <w:pPr>
      <w:widowControl w:val="0"/>
      <w:autoSpaceDE w:val="0"/>
      <w:autoSpaceDN w:val="0"/>
      <w:adjustRightInd w:val="0"/>
      <w:spacing w:line="240" w:lineRule="auto"/>
      <w:ind w:left="720" w:hanging="720"/>
      <w:jc w:val="left"/>
      <w:outlineLvl w:val="0"/>
    </w:pPr>
    <w:rPr>
      <w:rFonts w:eastAsia="Calibri" w:cs="Arial"/>
      <w:sz w:val="24"/>
      <w:lang w:val="en-US" w:eastAsia="en-ZA"/>
    </w:rPr>
  </w:style>
  <w:style w:type="paragraph" w:customStyle="1" w:styleId="BLLevel1HeadingAltQ">
    <w:name w:val="BL_Level 1 Heading Alt+Q"/>
    <w:basedOn w:val="Normal"/>
    <w:next w:val="BLLevel2ListAlt"/>
    <w:rsid w:val="00521639"/>
    <w:pPr>
      <w:keepNext/>
      <w:numPr>
        <w:numId w:val="22"/>
      </w:numPr>
      <w:spacing w:line="240" w:lineRule="auto"/>
      <w:outlineLvl w:val="0"/>
    </w:pPr>
    <w:rPr>
      <w:rFonts w:ascii="Century Gothic" w:hAnsi="Century Gothic"/>
      <w:b/>
      <w:caps/>
      <w:sz w:val="18"/>
      <w:szCs w:val="18"/>
      <w:lang w:eastAsia="en-ZA"/>
    </w:rPr>
  </w:style>
  <w:style w:type="paragraph" w:customStyle="1" w:styleId="BLLevel2ListAlt">
    <w:name w:val="BL_Level 2 List Alt+]"/>
    <w:basedOn w:val="Normal"/>
    <w:rsid w:val="00521639"/>
    <w:pPr>
      <w:numPr>
        <w:ilvl w:val="1"/>
        <w:numId w:val="22"/>
      </w:numPr>
      <w:spacing w:line="240" w:lineRule="auto"/>
      <w:outlineLvl w:val="1"/>
    </w:pPr>
    <w:rPr>
      <w:rFonts w:ascii="Century Gothic" w:hAnsi="Century Gothic"/>
      <w:sz w:val="18"/>
      <w:szCs w:val="18"/>
      <w:lang w:eastAsia="en-ZA"/>
    </w:rPr>
  </w:style>
  <w:style w:type="paragraph" w:customStyle="1" w:styleId="BLLevel3ListAlt">
    <w:name w:val="BL_Level 3 List Alt+'"/>
    <w:basedOn w:val="Normal"/>
    <w:rsid w:val="00521639"/>
    <w:pPr>
      <w:numPr>
        <w:ilvl w:val="2"/>
        <w:numId w:val="22"/>
      </w:numPr>
      <w:spacing w:line="240" w:lineRule="auto"/>
      <w:outlineLvl w:val="2"/>
    </w:pPr>
    <w:rPr>
      <w:rFonts w:ascii="Century Gothic" w:hAnsi="Century Gothic"/>
      <w:sz w:val="18"/>
      <w:szCs w:val="18"/>
      <w:lang w:eastAsia="en-ZA"/>
    </w:rPr>
  </w:style>
  <w:style w:type="paragraph" w:customStyle="1" w:styleId="BLLevel4ListAlt">
    <w:name w:val="BL_Level 4 List Alt+/"/>
    <w:basedOn w:val="Normal"/>
    <w:rsid w:val="00521639"/>
    <w:pPr>
      <w:numPr>
        <w:ilvl w:val="3"/>
        <w:numId w:val="22"/>
      </w:numPr>
      <w:spacing w:line="240" w:lineRule="auto"/>
      <w:outlineLvl w:val="3"/>
    </w:pPr>
    <w:rPr>
      <w:rFonts w:ascii="Century Gothic" w:hAnsi="Century Gothic"/>
      <w:sz w:val="18"/>
      <w:szCs w:val="18"/>
      <w:lang w:eastAsia="en-ZA"/>
    </w:rPr>
  </w:style>
  <w:style w:type="paragraph" w:customStyle="1" w:styleId="BLLevel5ListAlt">
    <w:name w:val="BL_Level 5 List Alt+."/>
    <w:basedOn w:val="Normal"/>
    <w:rsid w:val="00521639"/>
    <w:pPr>
      <w:numPr>
        <w:ilvl w:val="4"/>
        <w:numId w:val="22"/>
      </w:numPr>
      <w:spacing w:line="240" w:lineRule="auto"/>
      <w:outlineLvl w:val="4"/>
    </w:pPr>
    <w:rPr>
      <w:rFonts w:ascii="Century Gothic" w:hAnsi="Century Gothic"/>
      <w:sz w:val="18"/>
      <w:szCs w:val="18"/>
      <w:lang w:eastAsia="en-ZA"/>
    </w:rPr>
  </w:style>
  <w:style w:type="paragraph" w:customStyle="1" w:styleId="BLLevel6ListAlt">
    <w:name w:val="BL_Level 6 List Alt+"/>
    <w:basedOn w:val="Normal"/>
    <w:rsid w:val="00521639"/>
    <w:pPr>
      <w:numPr>
        <w:ilvl w:val="5"/>
        <w:numId w:val="22"/>
      </w:numPr>
      <w:spacing w:line="240" w:lineRule="auto"/>
      <w:outlineLvl w:val="5"/>
    </w:pPr>
    <w:rPr>
      <w:rFonts w:ascii="Century Gothic" w:hAnsi="Century Gothic"/>
      <w:sz w:val="18"/>
      <w:szCs w:val="18"/>
      <w:lang w:eastAsia="en-ZA"/>
    </w:rPr>
  </w:style>
  <w:style w:type="paragraph" w:customStyle="1" w:styleId="BLLevel7ListAltM">
    <w:name w:val="BL_Level 7 List Alt+M"/>
    <w:basedOn w:val="Normal"/>
    <w:rsid w:val="00521639"/>
    <w:pPr>
      <w:numPr>
        <w:ilvl w:val="6"/>
        <w:numId w:val="22"/>
      </w:numPr>
      <w:spacing w:line="240" w:lineRule="auto"/>
      <w:outlineLvl w:val="6"/>
    </w:pPr>
    <w:rPr>
      <w:rFonts w:ascii="Century Gothic" w:hAnsi="Century Gothic"/>
      <w:sz w:val="18"/>
      <w:szCs w:val="18"/>
      <w:lang w:eastAsia="en-ZA"/>
    </w:rPr>
  </w:style>
  <w:style w:type="character" w:customStyle="1" w:styleId="UnresolvedMention">
    <w:name w:val="Unresolved Mention"/>
    <w:uiPriority w:val="99"/>
    <w:semiHidden/>
    <w:unhideWhenUsed/>
    <w:rsid w:val="00521639"/>
    <w:rPr>
      <w:color w:val="808080"/>
      <w:shd w:val="clear" w:color="auto" w:fill="E6E6E6"/>
    </w:rPr>
  </w:style>
  <w:style w:type="paragraph" w:styleId="Revision">
    <w:name w:val="Revision"/>
    <w:hidden/>
    <w:uiPriority w:val="99"/>
    <w:semiHidden/>
    <w:rsid w:val="00521639"/>
    <w:pPr>
      <w:spacing w:after="0" w:line="240" w:lineRule="auto"/>
    </w:pPr>
    <w:rPr>
      <w:rFonts w:ascii="Times New Roman" w:eastAsia="SimSun" w:hAnsi="Times New Roman" w:cs="Times New Roman"/>
      <w:sz w:val="24"/>
      <w:szCs w:val="24"/>
      <w:lang w:val="en-GB" w:eastAsia="zh-CN"/>
    </w:rPr>
  </w:style>
  <w:style w:type="paragraph" w:customStyle="1" w:styleId="Default">
    <w:name w:val="Default"/>
    <w:rsid w:val="00521639"/>
    <w:pPr>
      <w:autoSpaceDE w:val="0"/>
      <w:autoSpaceDN w:val="0"/>
      <w:adjustRightInd w:val="0"/>
      <w:spacing w:after="0" w:line="240" w:lineRule="auto"/>
    </w:pPr>
    <w:rPr>
      <w:rFonts w:ascii="Calibri" w:eastAsia="SimSun" w:hAnsi="Calibri" w:cs="Calibri"/>
      <w:color w:val="000000"/>
      <w:sz w:val="24"/>
      <w:szCs w:val="24"/>
      <w:lang w:val="en-ZA" w:eastAsia="en-ZA"/>
    </w:rPr>
  </w:style>
  <w:style w:type="character" w:styleId="CommentReference">
    <w:name w:val="annotation reference"/>
    <w:uiPriority w:val="99"/>
    <w:semiHidden/>
    <w:unhideWhenUsed/>
    <w:rsid w:val="00521639"/>
    <w:rPr>
      <w:sz w:val="16"/>
      <w:szCs w:val="16"/>
    </w:rPr>
  </w:style>
  <w:style w:type="paragraph" w:styleId="CommentText">
    <w:name w:val="annotation text"/>
    <w:basedOn w:val="Normal"/>
    <w:link w:val="CommentTextChar"/>
    <w:uiPriority w:val="99"/>
    <w:semiHidden/>
    <w:unhideWhenUsed/>
    <w:rsid w:val="00521639"/>
    <w:pPr>
      <w:spacing w:line="240" w:lineRule="auto"/>
      <w:jc w:val="left"/>
    </w:pPr>
    <w:rPr>
      <w:rFonts w:ascii="Times New Roman" w:eastAsia="SimSun" w:hAnsi="Times New Roman"/>
      <w:sz w:val="20"/>
      <w:szCs w:val="20"/>
      <w:lang w:val="en-GB" w:eastAsia="zh-CN"/>
    </w:rPr>
  </w:style>
  <w:style w:type="character" w:customStyle="1" w:styleId="CommentTextChar">
    <w:name w:val="Comment Text Char"/>
    <w:basedOn w:val="DefaultParagraphFont"/>
    <w:link w:val="CommentText"/>
    <w:uiPriority w:val="99"/>
    <w:semiHidden/>
    <w:rsid w:val="00521639"/>
    <w:rPr>
      <w:rFonts w:ascii="Times New Roman" w:eastAsia="SimSun"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521639"/>
    <w:rPr>
      <w:b/>
      <w:bCs/>
    </w:rPr>
  </w:style>
  <w:style w:type="character" w:customStyle="1" w:styleId="CommentSubjectChar">
    <w:name w:val="Comment Subject Char"/>
    <w:basedOn w:val="CommentTextChar"/>
    <w:link w:val="CommentSubject"/>
    <w:uiPriority w:val="99"/>
    <w:semiHidden/>
    <w:rsid w:val="00521639"/>
    <w:rPr>
      <w:rFonts w:ascii="Times New Roman" w:eastAsia="SimSun" w:hAnsi="Times New Roman" w:cs="Times New Roman"/>
      <w:b/>
      <w:bCs/>
      <w:sz w:val="20"/>
      <w:szCs w:val="20"/>
      <w:lang w:val="en-GB" w:eastAsia="zh-CN"/>
    </w:rPr>
  </w:style>
  <w:style w:type="paragraph" w:styleId="EndnoteText">
    <w:name w:val="endnote text"/>
    <w:basedOn w:val="Normal"/>
    <w:link w:val="EndnoteTextChar"/>
    <w:uiPriority w:val="99"/>
    <w:semiHidden/>
    <w:unhideWhenUsed/>
    <w:rsid w:val="00521639"/>
    <w:pPr>
      <w:spacing w:line="240" w:lineRule="auto"/>
      <w:jc w:val="left"/>
    </w:pPr>
    <w:rPr>
      <w:rFonts w:ascii="Times New Roman" w:eastAsia="SimSun" w:hAnsi="Times New Roman"/>
      <w:sz w:val="20"/>
      <w:szCs w:val="20"/>
      <w:lang w:val="en-GB" w:eastAsia="zh-CN"/>
    </w:rPr>
  </w:style>
  <w:style w:type="character" w:customStyle="1" w:styleId="EndnoteTextChar">
    <w:name w:val="Endnote Text Char"/>
    <w:basedOn w:val="DefaultParagraphFont"/>
    <w:link w:val="EndnoteText"/>
    <w:uiPriority w:val="99"/>
    <w:semiHidden/>
    <w:rsid w:val="00521639"/>
    <w:rPr>
      <w:rFonts w:ascii="Times New Roman" w:eastAsia="SimSun" w:hAnsi="Times New Roman" w:cs="Times New Roman"/>
      <w:sz w:val="20"/>
      <w:szCs w:val="20"/>
      <w:lang w:val="en-GB" w:eastAsia="zh-CN"/>
    </w:rPr>
  </w:style>
  <w:style w:type="character" w:styleId="EndnoteReference">
    <w:name w:val="endnote reference"/>
    <w:uiPriority w:val="99"/>
    <w:semiHidden/>
    <w:unhideWhenUsed/>
    <w:rsid w:val="005216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96161">
      <w:bodyDiv w:val="1"/>
      <w:marLeft w:val="0"/>
      <w:marRight w:val="0"/>
      <w:marTop w:val="0"/>
      <w:marBottom w:val="0"/>
      <w:divBdr>
        <w:top w:val="none" w:sz="0" w:space="0" w:color="auto"/>
        <w:left w:val="none" w:sz="0" w:space="0" w:color="auto"/>
        <w:bottom w:val="none" w:sz="0" w:space="0" w:color="auto"/>
        <w:right w:val="none" w:sz="0" w:space="0" w:color="auto"/>
      </w:divBdr>
    </w:div>
    <w:div w:id="123955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C28E6-22BE-4746-B372-16F57B88F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4626</Words>
  <Characters>26369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Fulufhelo Mawela</dc:creator>
  <cp:keywords/>
  <dc:description/>
  <cp:lastModifiedBy>Mokone</cp:lastModifiedBy>
  <cp:revision>3</cp:revision>
  <cp:lastPrinted>2023-06-19T11:40:00Z</cp:lastPrinted>
  <dcterms:created xsi:type="dcterms:W3CDTF">2023-07-07T14:53:00Z</dcterms:created>
  <dcterms:modified xsi:type="dcterms:W3CDTF">2023-07-07T14:54:00Z</dcterms:modified>
</cp:coreProperties>
</file>