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01E6" w14:textId="7A28524C" w:rsidR="00AD5454" w:rsidRPr="001E03AB" w:rsidRDefault="00AD5454" w:rsidP="00727555">
      <w:pPr>
        <w:jc w:val="center"/>
        <w:rPr>
          <w:rFonts w:ascii="Arial" w:hAnsi="Arial" w:cs="Arial"/>
          <w:sz w:val="24"/>
          <w:szCs w:val="24"/>
        </w:rPr>
      </w:pPr>
      <w:r w:rsidRPr="001E03AB">
        <w:rPr>
          <w:rFonts w:ascii="Arial" w:hAnsi="Arial" w:cs="Arial"/>
          <w:sz w:val="24"/>
          <w:szCs w:val="24"/>
        </w:rPr>
        <w:t>REPUBLIC OF SOUTH AFRICA</w:t>
      </w:r>
    </w:p>
    <w:p w14:paraId="0C5EC3D4" w14:textId="77EA195A" w:rsidR="00D94992" w:rsidRDefault="00727555"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85FA31B" w:rsidR="00AD5454" w:rsidRPr="004C3761"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7978CFC7" w:rsidR="00785B72" w:rsidRDefault="00BB7B21" w:rsidP="00BB7B21">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5B227E">
                              <w:rPr>
                                <w:rFonts w:ascii="Century Gothic" w:hAnsi="Century Gothic"/>
                                <w:sz w:val="20"/>
                                <w:szCs w:val="20"/>
                              </w:rPr>
                              <w:t>Yes</w:t>
                            </w:r>
                          </w:p>
                          <w:p w14:paraId="0DFA1D15" w14:textId="7CA24D34" w:rsidR="00785B72" w:rsidRPr="009F2490" w:rsidRDefault="00BB7B21" w:rsidP="00BB7B21">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5B227E">
                              <w:rPr>
                                <w:rFonts w:ascii="Century Gothic" w:hAnsi="Century Gothic"/>
                                <w:sz w:val="20"/>
                                <w:szCs w:val="20"/>
                              </w:rPr>
                              <w:t>Yes</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">
                <v:textbox>
                  <w:txbxContent>
                    <w:p w14:paraId="674A5513" w14:textId="7978CFC7" w:rsidR="00785B72" w:rsidRDefault="00BB7B21" w:rsidP="00BB7B21">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5B227E">
                        <w:rPr>
                          <w:rFonts w:ascii="Century Gothic" w:hAnsi="Century Gothic"/>
                          <w:sz w:val="20"/>
                          <w:szCs w:val="20"/>
                        </w:rPr>
                        <w:t>Yes</w:t>
                      </w:r>
                    </w:p>
                    <w:p w14:paraId="0DFA1D15" w14:textId="7CA24D34" w:rsidR="00785B72" w:rsidRPr="009F2490" w:rsidRDefault="00BB7B21" w:rsidP="00BB7B21">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5B227E">
                        <w:rPr>
                          <w:rFonts w:ascii="Century Gothic" w:hAnsi="Century Gothic"/>
                          <w:sz w:val="20"/>
                          <w:szCs w:val="20"/>
                        </w:rPr>
                        <w:t>Yes</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35F99BBE" w:rsidR="00AD5454" w:rsidRPr="004C3761" w:rsidRDefault="00AD5454" w:rsidP="00AD5454">
      <w:pPr>
        <w:ind w:right="567"/>
        <w:jc w:val="center"/>
        <w:rPr>
          <w:rFonts w:ascii="Arial" w:hAnsi="Arial" w:cs="Arial"/>
          <w:sz w:val="24"/>
          <w:szCs w:val="24"/>
        </w:rPr>
      </w:pPr>
    </w:p>
    <w:p w14:paraId="2ED20F31" w14:textId="6712C9DB"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1DE98954" w14:textId="2AA108CA" w:rsidR="009141CF" w:rsidRPr="00DD1B08" w:rsidRDefault="001E03AB" w:rsidP="00B60508">
      <w:pPr>
        <w:spacing w:after="0"/>
        <w:ind w:left="5760" w:right="117"/>
        <w:jc w:val="right"/>
        <w:rPr>
          <w:rFonts w:ascii="Arial" w:hAnsi="Arial" w:cs="Arial"/>
          <w:sz w:val="24"/>
          <w:szCs w:val="24"/>
        </w:rPr>
      </w:pPr>
      <w:r w:rsidRPr="00DD1B08">
        <w:rPr>
          <w:rFonts w:ascii="Arial" w:hAnsi="Arial" w:cs="Arial"/>
          <w:sz w:val="24"/>
          <w:szCs w:val="24"/>
        </w:rPr>
        <w:t xml:space="preserve">  CASE NO: </w:t>
      </w:r>
      <w:r>
        <w:rPr>
          <w:rFonts w:ascii="Arial" w:hAnsi="Arial" w:cs="Arial"/>
          <w:sz w:val="24"/>
          <w:szCs w:val="24"/>
        </w:rPr>
        <w:t>9915/2020</w:t>
      </w:r>
    </w:p>
    <w:p w14:paraId="30698D25" w14:textId="77777777" w:rsidR="001E03AB" w:rsidRDefault="001E03AB" w:rsidP="00B60508">
      <w:pPr>
        <w:ind w:right="117"/>
        <w:rPr>
          <w:rFonts w:ascii="Arial" w:hAnsi="Arial" w:cs="Arial"/>
          <w:sz w:val="24"/>
          <w:szCs w:val="24"/>
        </w:rPr>
      </w:pPr>
    </w:p>
    <w:p w14:paraId="77B1110B" w14:textId="7EDAF157" w:rsidR="00AD5454" w:rsidRPr="00DD1B08" w:rsidRDefault="00AD5454" w:rsidP="00B60508">
      <w:pPr>
        <w:ind w:right="117"/>
        <w:rPr>
          <w:rFonts w:ascii="Arial" w:hAnsi="Arial" w:cs="Arial"/>
          <w:sz w:val="24"/>
          <w:szCs w:val="24"/>
        </w:rPr>
      </w:pPr>
      <w:r w:rsidRPr="00DD1B08">
        <w:rPr>
          <w:rFonts w:ascii="Arial" w:hAnsi="Arial" w:cs="Arial"/>
          <w:sz w:val="24"/>
          <w:szCs w:val="24"/>
        </w:rPr>
        <w:t>In the matter between:</w:t>
      </w:r>
    </w:p>
    <w:p w14:paraId="481EC352" w14:textId="7AB583E8" w:rsidR="00F50CA1" w:rsidRPr="00DD1B08" w:rsidRDefault="006E011C" w:rsidP="00B60508">
      <w:pPr>
        <w:tabs>
          <w:tab w:val="right" w:pos="8789"/>
        </w:tabs>
        <w:spacing w:before="600" w:after="0"/>
        <w:ind w:right="117"/>
        <w:rPr>
          <w:rFonts w:ascii="Arial" w:hAnsi="Arial" w:cs="Arial"/>
          <w:sz w:val="24"/>
          <w:szCs w:val="24"/>
        </w:rPr>
      </w:pPr>
      <w:bookmarkStart w:id="0" w:name="_Hlk47643505"/>
      <w:r>
        <w:rPr>
          <w:rFonts w:ascii="Arial" w:hAnsi="Arial" w:cs="Arial"/>
          <w:sz w:val="24"/>
          <w:szCs w:val="24"/>
        </w:rPr>
        <w:t xml:space="preserve">GAVIN ANTON BROADHURST </w:t>
      </w:r>
      <w:r w:rsidR="00A76593" w:rsidRPr="00DD1B08">
        <w:rPr>
          <w:rFonts w:ascii="Arial" w:hAnsi="Arial" w:cs="Arial"/>
          <w:sz w:val="24"/>
          <w:szCs w:val="24"/>
        </w:rPr>
        <w:tab/>
      </w:r>
      <w:r>
        <w:rPr>
          <w:rFonts w:ascii="Arial" w:hAnsi="Arial" w:cs="Arial"/>
          <w:sz w:val="24"/>
          <w:szCs w:val="24"/>
        </w:rPr>
        <w:t>Plaintiff/</w:t>
      </w:r>
      <w:r w:rsidR="00B81BB3">
        <w:rPr>
          <w:rFonts w:ascii="Arial" w:hAnsi="Arial" w:cs="Arial"/>
          <w:sz w:val="24"/>
          <w:szCs w:val="24"/>
        </w:rPr>
        <w:t xml:space="preserve">Applicant </w:t>
      </w:r>
    </w:p>
    <w:p w14:paraId="2B14D365" w14:textId="5C5885B4" w:rsidR="00352518" w:rsidRDefault="00352518" w:rsidP="00352518">
      <w:pPr>
        <w:spacing w:after="0" w:line="240" w:lineRule="auto"/>
        <w:ind w:right="119"/>
        <w:rPr>
          <w:rFonts w:ascii="Arial" w:hAnsi="Arial" w:cs="Arial"/>
          <w:sz w:val="24"/>
          <w:szCs w:val="24"/>
        </w:rPr>
      </w:pPr>
    </w:p>
    <w:p w14:paraId="3C1F26B7" w14:textId="77777777" w:rsidR="00352518" w:rsidRDefault="00352518" w:rsidP="00352518">
      <w:pPr>
        <w:spacing w:after="0" w:line="240" w:lineRule="auto"/>
        <w:ind w:right="119"/>
        <w:rPr>
          <w:rFonts w:ascii="Arial" w:hAnsi="Arial" w:cs="Arial"/>
          <w:sz w:val="24"/>
          <w:szCs w:val="24"/>
        </w:rPr>
      </w:pPr>
    </w:p>
    <w:p w14:paraId="7D33ED91" w14:textId="58FEA57A" w:rsidR="00AD5454" w:rsidRPr="00DD1B08" w:rsidRDefault="00AD5454" w:rsidP="00352518">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121D1BD1" w:rsidR="00F50CA1" w:rsidRDefault="00F50CA1" w:rsidP="00352518">
      <w:pPr>
        <w:tabs>
          <w:tab w:val="right" w:pos="8339"/>
        </w:tabs>
        <w:spacing w:after="0" w:line="240" w:lineRule="auto"/>
        <w:ind w:right="119"/>
        <w:rPr>
          <w:rFonts w:ascii="Arial" w:hAnsi="Arial" w:cs="Arial"/>
          <w:sz w:val="24"/>
          <w:szCs w:val="24"/>
          <w:u w:val="single"/>
        </w:rPr>
      </w:pPr>
    </w:p>
    <w:p w14:paraId="01C0D288" w14:textId="77777777" w:rsidR="00352518" w:rsidRPr="00DD1B08" w:rsidRDefault="00352518" w:rsidP="00352518">
      <w:pPr>
        <w:tabs>
          <w:tab w:val="right" w:pos="8339"/>
        </w:tabs>
        <w:spacing w:after="0" w:line="240" w:lineRule="auto"/>
        <w:ind w:right="119"/>
        <w:rPr>
          <w:rFonts w:ascii="Arial" w:hAnsi="Arial" w:cs="Arial"/>
          <w:sz w:val="24"/>
          <w:szCs w:val="24"/>
          <w:u w:val="single"/>
        </w:rPr>
      </w:pPr>
    </w:p>
    <w:p w14:paraId="56912FFE" w14:textId="28DC20E7" w:rsidR="00352518" w:rsidRDefault="006E011C" w:rsidP="00352518">
      <w:pPr>
        <w:tabs>
          <w:tab w:val="right" w:pos="8787"/>
        </w:tabs>
        <w:spacing w:before="60" w:after="60"/>
        <w:ind w:right="119"/>
        <w:rPr>
          <w:rFonts w:ascii="Arial" w:hAnsi="Arial" w:cs="Arial"/>
          <w:sz w:val="24"/>
          <w:szCs w:val="24"/>
        </w:rPr>
      </w:pPr>
      <w:r>
        <w:rPr>
          <w:rFonts w:ascii="Arial" w:hAnsi="Arial" w:cs="Arial"/>
          <w:sz w:val="24"/>
          <w:szCs w:val="24"/>
        </w:rPr>
        <w:t xml:space="preserve">GEARHOUSE SPLITBEAM (PTY) LIMITED </w:t>
      </w:r>
      <w:r w:rsidR="00F811C3">
        <w:rPr>
          <w:rFonts w:ascii="Arial" w:hAnsi="Arial" w:cs="Arial"/>
          <w:sz w:val="24"/>
          <w:szCs w:val="24"/>
        </w:rPr>
        <w:tab/>
        <w:t>F</w:t>
      </w:r>
      <w:r w:rsidR="00352518">
        <w:rPr>
          <w:rFonts w:ascii="Arial" w:hAnsi="Arial" w:cs="Arial"/>
          <w:sz w:val="24"/>
          <w:szCs w:val="24"/>
        </w:rPr>
        <w:t xml:space="preserve">irst </w:t>
      </w:r>
      <w:r>
        <w:rPr>
          <w:rFonts w:ascii="Arial" w:hAnsi="Arial" w:cs="Arial"/>
          <w:sz w:val="24"/>
          <w:szCs w:val="24"/>
        </w:rPr>
        <w:t>Defendant/</w:t>
      </w:r>
      <w:r w:rsidR="00B81BB3">
        <w:rPr>
          <w:rFonts w:ascii="Arial" w:hAnsi="Arial" w:cs="Arial"/>
          <w:sz w:val="24"/>
          <w:szCs w:val="24"/>
        </w:rPr>
        <w:t>Respondent</w:t>
      </w:r>
    </w:p>
    <w:p w14:paraId="45B7BF4A" w14:textId="77777777" w:rsidR="00352518" w:rsidRDefault="00352518" w:rsidP="00352518">
      <w:pPr>
        <w:tabs>
          <w:tab w:val="right" w:pos="8787"/>
        </w:tabs>
        <w:spacing w:before="60" w:after="60"/>
        <w:ind w:right="119"/>
        <w:rPr>
          <w:rFonts w:ascii="Arial" w:hAnsi="Arial" w:cs="Arial"/>
          <w:sz w:val="24"/>
          <w:szCs w:val="24"/>
        </w:rPr>
      </w:pPr>
    </w:p>
    <w:p w14:paraId="5BC76986" w14:textId="3EBFD58F" w:rsidR="00352518" w:rsidRDefault="006E011C" w:rsidP="00352518">
      <w:pPr>
        <w:tabs>
          <w:tab w:val="right" w:pos="8787"/>
        </w:tabs>
        <w:spacing w:before="60" w:after="60"/>
        <w:ind w:right="119"/>
        <w:rPr>
          <w:rFonts w:ascii="Arial" w:hAnsi="Arial" w:cs="Arial"/>
          <w:sz w:val="24"/>
          <w:szCs w:val="24"/>
        </w:rPr>
      </w:pPr>
      <w:r>
        <w:rPr>
          <w:rFonts w:ascii="Arial" w:hAnsi="Arial" w:cs="Arial"/>
          <w:sz w:val="24"/>
          <w:szCs w:val="24"/>
        </w:rPr>
        <w:t xml:space="preserve">D P HUSSEY </w:t>
      </w:r>
      <w:r w:rsidR="00352518">
        <w:rPr>
          <w:rFonts w:ascii="Arial" w:hAnsi="Arial" w:cs="Arial"/>
          <w:sz w:val="24"/>
          <w:szCs w:val="24"/>
        </w:rPr>
        <w:tab/>
        <w:t xml:space="preserve">Second </w:t>
      </w:r>
      <w:r>
        <w:rPr>
          <w:rFonts w:ascii="Arial" w:hAnsi="Arial" w:cs="Arial"/>
          <w:sz w:val="24"/>
          <w:szCs w:val="24"/>
        </w:rPr>
        <w:t>Defendant/</w:t>
      </w:r>
      <w:r w:rsidR="00B81BB3">
        <w:rPr>
          <w:rFonts w:ascii="Arial" w:hAnsi="Arial" w:cs="Arial"/>
          <w:sz w:val="24"/>
          <w:szCs w:val="24"/>
        </w:rPr>
        <w:t xml:space="preserve">Respondent </w:t>
      </w:r>
      <w:r w:rsidR="00352518">
        <w:rPr>
          <w:rFonts w:ascii="Arial" w:hAnsi="Arial" w:cs="Arial"/>
          <w:sz w:val="24"/>
          <w:szCs w:val="24"/>
        </w:rPr>
        <w:t xml:space="preserve"> </w:t>
      </w:r>
    </w:p>
    <w:p w14:paraId="79CC381D" w14:textId="77777777" w:rsidR="00352518" w:rsidRDefault="00352518" w:rsidP="00352518">
      <w:pPr>
        <w:tabs>
          <w:tab w:val="right" w:pos="8787"/>
        </w:tabs>
        <w:spacing w:before="60" w:after="60"/>
        <w:ind w:right="119"/>
        <w:rPr>
          <w:rFonts w:ascii="Arial" w:hAnsi="Arial" w:cs="Arial"/>
          <w:sz w:val="24"/>
          <w:szCs w:val="24"/>
        </w:rPr>
      </w:pPr>
    </w:p>
    <w:bookmarkEnd w:id="0"/>
    <w:p w14:paraId="4C2DC890" w14:textId="1F78D3BB"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151354DB"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6F23B9"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5ACD8957" w14:textId="72A691A4" w:rsidR="004A1F2B" w:rsidRPr="006F23B9" w:rsidRDefault="004A1F2B" w:rsidP="004A1F2B">
      <w:pPr>
        <w:spacing w:after="0" w:line="360" w:lineRule="auto"/>
        <w:jc w:val="both"/>
        <w:rPr>
          <w:rFonts w:ascii="Arial" w:eastAsia="Times New Roman" w:hAnsi="Arial" w:cs="Arial"/>
          <w:i/>
          <w:iCs/>
          <w:sz w:val="24"/>
          <w:szCs w:val="24"/>
        </w:rPr>
      </w:pPr>
      <w:r w:rsidRPr="006F23B9">
        <w:rPr>
          <w:rFonts w:ascii="Arial" w:eastAsia="Times New Roman" w:hAnsi="Arial" w:cs="Arial"/>
          <w:i/>
          <w:iCs/>
          <w:color w:val="242121"/>
          <w:sz w:val="24"/>
          <w:szCs w:val="24"/>
          <w:shd w:val="clear" w:color="auto" w:fill="FFFFFF"/>
        </w:rPr>
        <w:t xml:space="preserve">This judgment </w:t>
      </w:r>
      <w:r w:rsidR="00F811C3">
        <w:rPr>
          <w:rFonts w:ascii="Arial" w:eastAsia="Times New Roman" w:hAnsi="Arial" w:cs="Arial"/>
          <w:i/>
          <w:iCs/>
          <w:color w:val="242121"/>
          <w:sz w:val="24"/>
          <w:szCs w:val="24"/>
          <w:shd w:val="clear" w:color="auto" w:fill="FFFFFF"/>
        </w:rPr>
        <w:t xml:space="preserve">is deemed to be handed </w:t>
      </w:r>
      <w:r w:rsidRPr="006F23B9">
        <w:rPr>
          <w:rFonts w:ascii="Arial" w:eastAsia="Times New Roman" w:hAnsi="Arial" w:cs="Arial"/>
          <w:i/>
          <w:iCs/>
          <w:color w:val="242121"/>
          <w:sz w:val="24"/>
          <w:szCs w:val="24"/>
          <w:shd w:val="clear" w:color="auto" w:fill="FFFFFF"/>
        </w:rPr>
        <w:t xml:space="preserve">down </w:t>
      </w:r>
      <w:r w:rsidR="00F811C3">
        <w:rPr>
          <w:rFonts w:ascii="Arial" w:eastAsia="Times New Roman" w:hAnsi="Arial" w:cs="Arial"/>
          <w:i/>
          <w:iCs/>
          <w:color w:val="242121"/>
          <w:sz w:val="24"/>
          <w:szCs w:val="24"/>
          <w:shd w:val="clear" w:color="auto" w:fill="FFFFFF"/>
        </w:rPr>
        <w:t xml:space="preserve">upon uploading by the Registrar to the electronic court file. </w:t>
      </w:r>
    </w:p>
    <w:p w14:paraId="7A87BF45" w14:textId="77777777" w:rsidR="00B035C2" w:rsidRPr="00DD1B08" w:rsidRDefault="00B035C2" w:rsidP="00B035C2">
      <w:pPr>
        <w:tabs>
          <w:tab w:val="left" w:pos="-426"/>
        </w:tabs>
        <w:spacing w:before="240" w:after="240" w:line="480" w:lineRule="auto"/>
        <w:ind w:right="567"/>
        <w:contextualSpacing/>
        <w:jc w:val="both"/>
        <w:rPr>
          <w:rFonts w:ascii="Arial" w:hAnsi="Arial" w:cs="Arial"/>
          <w:sz w:val="24"/>
          <w:szCs w:val="24"/>
          <w:u w:val="single"/>
        </w:rPr>
      </w:pPr>
    </w:p>
    <w:p w14:paraId="61A27416" w14:textId="52B38EBA" w:rsidR="00C75B0D" w:rsidRPr="00DD1B08" w:rsidRDefault="00717A13" w:rsidP="00064BDC">
      <w:pPr>
        <w:tabs>
          <w:tab w:val="left" w:pos="-426"/>
        </w:tabs>
        <w:spacing w:before="240" w:after="240" w:line="480" w:lineRule="auto"/>
        <w:ind w:right="567"/>
        <w:contextualSpacing/>
        <w:jc w:val="both"/>
        <w:rPr>
          <w:rFonts w:ascii="Arial" w:hAnsi="Arial" w:cs="Arial"/>
          <w:sz w:val="24"/>
          <w:szCs w:val="24"/>
        </w:rPr>
      </w:pPr>
      <w:r w:rsidRPr="00DD1B08">
        <w:rPr>
          <w:rFonts w:ascii="Arial" w:hAnsi="Arial" w:cs="Arial"/>
          <w:sz w:val="24"/>
          <w:szCs w:val="24"/>
          <w:u w:val="single"/>
        </w:rPr>
        <w:lastRenderedPageBreak/>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207CB8FF" w14:textId="2EA7F658" w:rsidR="006E011C"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1.</w:t>
      </w:r>
      <w:r>
        <w:rPr>
          <w:rFonts w:ascii="Arial" w:hAnsi="Arial" w:cs="Arial"/>
          <w:sz w:val="24"/>
          <w:szCs w:val="24"/>
        </w:rPr>
        <w:tab/>
      </w:r>
      <w:r w:rsidR="006E011C" w:rsidRPr="00BB7B21">
        <w:rPr>
          <w:rFonts w:ascii="Arial" w:hAnsi="Arial" w:cs="Arial"/>
          <w:sz w:val="24"/>
          <w:szCs w:val="24"/>
        </w:rPr>
        <w:t>The Apportionment of Damages Act, 1956</w:t>
      </w:r>
      <w:r w:rsidR="00DB07C6" w:rsidRPr="00BB7B21">
        <w:rPr>
          <w:rFonts w:ascii="Arial" w:hAnsi="Arial" w:cs="Arial"/>
          <w:sz w:val="24"/>
          <w:szCs w:val="24"/>
        </w:rPr>
        <w:t xml:space="preserve"> [“the Act”]</w:t>
      </w:r>
      <w:r w:rsidR="006E011C" w:rsidRPr="00BB7B21">
        <w:rPr>
          <w:rFonts w:ascii="Arial" w:hAnsi="Arial" w:cs="Arial"/>
          <w:sz w:val="24"/>
          <w:szCs w:val="24"/>
        </w:rPr>
        <w:t xml:space="preserve"> provides that where a p</w:t>
      </w:r>
      <w:r w:rsidR="001F4534" w:rsidRPr="00BB7B21">
        <w:rPr>
          <w:rFonts w:ascii="Arial" w:hAnsi="Arial" w:cs="Arial"/>
          <w:sz w:val="24"/>
          <w:szCs w:val="24"/>
        </w:rPr>
        <w:t>laintiff</w:t>
      </w:r>
      <w:r w:rsidR="006E011C" w:rsidRPr="00BB7B21">
        <w:rPr>
          <w:rFonts w:ascii="Arial" w:hAnsi="Arial" w:cs="Arial"/>
          <w:sz w:val="24"/>
          <w:szCs w:val="24"/>
        </w:rPr>
        <w:t xml:space="preserve"> fails to give notice </w:t>
      </w:r>
      <w:r w:rsidR="001F4534" w:rsidRPr="00BB7B21">
        <w:rPr>
          <w:rFonts w:ascii="Arial" w:hAnsi="Arial" w:cs="Arial"/>
          <w:sz w:val="24"/>
          <w:szCs w:val="24"/>
        </w:rPr>
        <w:t xml:space="preserve">of an action </w:t>
      </w:r>
      <w:r w:rsidR="006E011C" w:rsidRPr="00BB7B21">
        <w:rPr>
          <w:rFonts w:ascii="Arial" w:hAnsi="Arial" w:cs="Arial"/>
          <w:sz w:val="24"/>
          <w:szCs w:val="24"/>
        </w:rPr>
        <w:t xml:space="preserve">to a joint wrongdoer who is not sued in that action, that joint wrongdoer cannot be sued thereafter </w:t>
      </w:r>
      <w:r w:rsidR="001F4534" w:rsidRPr="00BB7B21">
        <w:rPr>
          <w:rFonts w:ascii="Arial" w:hAnsi="Arial" w:cs="Arial"/>
          <w:sz w:val="24"/>
          <w:szCs w:val="24"/>
        </w:rPr>
        <w:t xml:space="preserve">by the plaintiff </w:t>
      </w:r>
      <w:r w:rsidR="006E011C" w:rsidRPr="00BB7B21">
        <w:rPr>
          <w:rFonts w:ascii="Arial" w:hAnsi="Arial" w:cs="Arial"/>
          <w:sz w:val="24"/>
          <w:szCs w:val="24"/>
        </w:rPr>
        <w:t>except with the leave of the court on good cause shown as to why notice was not given.</w:t>
      </w:r>
    </w:p>
    <w:p w14:paraId="0A8035CA" w14:textId="4D4DC67D" w:rsidR="005B227E"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2.</w:t>
      </w:r>
      <w:r>
        <w:rPr>
          <w:rFonts w:ascii="Arial" w:hAnsi="Arial" w:cs="Arial"/>
          <w:sz w:val="24"/>
          <w:szCs w:val="24"/>
        </w:rPr>
        <w:tab/>
      </w:r>
      <w:r w:rsidR="006E011C" w:rsidRPr="00BB7B21">
        <w:rPr>
          <w:rFonts w:ascii="Arial" w:hAnsi="Arial" w:cs="Arial"/>
          <w:sz w:val="24"/>
          <w:szCs w:val="24"/>
        </w:rPr>
        <w:t xml:space="preserve">This </w:t>
      </w:r>
      <w:r w:rsidR="005B227E" w:rsidRPr="00BB7B21">
        <w:rPr>
          <w:rFonts w:ascii="Arial" w:hAnsi="Arial" w:cs="Arial"/>
          <w:sz w:val="24"/>
          <w:szCs w:val="24"/>
        </w:rPr>
        <w:t>application</w:t>
      </w:r>
      <w:r w:rsidR="00DB07C6" w:rsidRPr="00BB7B21">
        <w:rPr>
          <w:rFonts w:ascii="Arial" w:hAnsi="Arial" w:cs="Arial"/>
          <w:sz w:val="24"/>
          <w:szCs w:val="24"/>
        </w:rPr>
        <w:t xml:space="preserve"> in terms of section 2(4)(a) of the</w:t>
      </w:r>
      <w:r w:rsidR="006E011C" w:rsidRPr="00BB7B21">
        <w:rPr>
          <w:rFonts w:ascii="Arial" w:hAnsi="Arial" w:cs="Arial"/>
          <w:sz w:val="24"/>
          <w:szCs w:val="24"/>
        </w:rPr>
        <w:t xml:space="preserve"> </w:t>
      </w:r>
      <w:r w:rsidR="00DB07C6" w:rsidRPr="00BB7B21">
        <w:rPr>
          <w:rFonts w:ascii="Arial" w:hAnsi="Arial" w:cs="Arial"/>
          <w:sz w:val="24"/>
          <w:szCs w:val="24"/>
        </w:rPr>
        <w:t xml:space="preserve">Act </w:t>
      </w:r>
      <w:r w:rsidR="006E011C" w:rsidRPr="00BB7B21">
        <w:rPr>
          <w:rFonts w:ascii="Arial" w:hAnsi="Arial" w:cs="Arial"/>
          <w:sz w:val="24"/>
          <w:szCs w:val="24"/>
        </w:rPr>
        <w:t>concerns</w:t>
      </w:r>
      <w:r w:rsidR="005B227E" w:rsidRPr="00BB7B21">
        <w:rPr>
          <w:rFonts w:ascii="Arial" w:hAnsi="Arial" w:cs="Arial"/>
          <w:sz w:val="24"/>
          <w:szCs w:val="24"/>
        </w:rPr>
        <w:t>:</w:t>
      </w:r>
    </w:p>
    <w:p w14:paraId="01178993" w14:textId="5BB9A1C6" w:rsidR="005B227E" w:rsidRPr="00BB7B21" w:rsidRDefault="00BB7B21" w:rsidP="00BB7B21">
      <w:pPr>
        <w:spacing w:before="360" w:after="360" w:line="480" w:lineRule="auto"/>
        <w:ind w:left="1418" w:right="567" w:hanging="79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E011C" w:rsidRPr="00BB7B21">
        <w:rPr>
          <w:rFonts w:ascii="Arial" w:hAnsi="Arial" w:cs="Arial"/>
          <w:sz w:val="24"/>
          <w:szCs w:val="24"/>
        </w:rPr>
        <w:t xml:space="preserve">whether such leave of the court on good cause shown can be sought </w:t>
      </w:r>
      <w:r w:rsidR="006E011C" w:rsidRPr="00BB7B21">
        <w:rPr>
          <w:rFonts w:ascii="Arial" w:hAnsi="Arial" w:cs="Arial"/>
          <w:sz w:val="24"/>
          <w:szCs w:val="24"/>
          <w:u w:val="single"/>
        </w:rPr>
        <w:t>after</w:t>
      </w:r>
      <w:r w:rsidR="006E011C" w:rsidRPr="00BB7B21">
        <w:rPr>
          <w:rFonts w:ascii="Arial" w:hAnsi="Arial" w:cs="Arial"/>
          <w:sz w:val="24"/>
          <w:szCs w:val="24"/>
        </w:rPr>
        <w:t xml:space="preserve"> the action in respect of which such notice is required has already been instituted. This issue appears to be </w:t>
      </w:r>
      <w:r w:rsidR="006E011C" w:rsidRPr="00BB7B21">
        <w:rPr>
          <w:rFonts w:ascii="Arial" w:hAnsi="Arial" w:cs="Arial"/>
          <w:i/>
          <w:iCs/>
          <w:sz w:val="24"/>
          <w:szCs w:val="24"/>
        </w:rPr>
        <w:t>res nova</w:t>
      </w:r>
      <w:r w:rsidR="005B227E" w:rsidRPr="00BB7B21">
        <w:rPr>
          <w:rFonts w:ascii="Arial" w:hAnsi="Arial" w:cs="Arial"/>
          <w:sz w:val="24"/>
          <w:szCs w:val="24"/>
        </w:rPr>
        <w:t>;</w:t>
      </w:r>
    </w:p>
    <w:p w14:paraId="2A4479B4" w14:textId="2F3C2178" w:rsidR="006E011C" w:rsidRPr="00BB7B21" w:rsidRDefault="00BB7B21" w:rsidP="00BB7B21">
      <w:pPr>
        <w:spacing w:before="360" w:after="360" w:line="480" w:lineRule="auto"/>
        <w:ind w:left="1418" w:right="567" w:hanging="794"/>
        <w:jc w:val="both"/>
        <w:rPr>
          <w:rFonts w:ascii="Arial" w:hAnsi="Arial" w:cs="Arial"/>
          <w:sz w:val="24"/>
          <w:szCs w:val="24"/>
        </w:rPr>
      </w:pPr>
      <w:r w:rsidRPr="005B227E">
        <w:rPr>
          <w:rFonts w:ascii="Arial" w:hAnsi="Arial" w:cs="Arial"/>
          <w:sz w:val="24"/>
          <w:szCs w:val="24"/>
        </w:rPr>
        <w:t>2.2.</w:t>
      </w:r>
      <w:r w:rsidRPr="005B227E">
        <w:rPr>
          <w:rFonts w:ascii="Arial" w:hAnsi="Arial" w:cs="Arial"/>
          <w:sz w:val="24"/>
          <w:szCs w:val="24"/>
        </w:rPr>
        <w:tab/>
      </w:r>
      <w:r w:rsidR="006E011C" w:rsidRPr="00BB7B21">
        <w:rPr>
          <w:rFonts w:ascii="Arial" w:hAnsi="Arial" w:cs="Arial"/>
          <w:sz w:val="24"/>
          <w:szCs w:val="24"/>
        </w:rPr>
        <w:t xml:space="preserve">if such leave can be sought after the event, whether the applicant in this instance has shown good cause for such leave to be granted. </w:t>
      </w:r>
    </w:p>
    <w:p w14:paraId="76D0D4C6" w14:textId="76689CDE" w:rsidR="006E011C"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3.</w:t>
      </w:r>
      <w:r>
        <w:rPr>
          <w:rFonts w:ascii="Arial" w:hAnsi="Arial" w:cs="Arial"/>
          <w:sz w:val="24"/>
          <w:szCs w:val="24"/>
        </w:rPr>
        <w:tab/>
      </w:r>
      <w:r w:rsidR="006E011C" w:rsidRPr="00BB7B21">
        <w:rPr>
          <w:rFonts w:ascii="Arial" w:hAnsi="Arial" w:cs="Arial"/>
          <w:sz w:val="24"/>
          <w:szCs w:val="24"/>
        </w:rPr>
        <w:t>The applicant, who I shall refer to as the plaintiff, was a patron who attended a musical production at a well-known local theatre. While he was at the show, a</w:t>
      </w:r>
      <w:r w:rsidR="00A6441F" w:rsidRPr="00BB7B21">
        <w:rPr>
          <w:rFonts w:ascii="Arial" w:hAnsi="Arial" w:cs="Arial"/>
          <w:sz w:val="24"/>
          <w:szCs w:val="24"/>
        </w:rPr>
        <w:t xml:space="preserve"> mirror </w:t>
      </w:r>
      <w:r w:rsidR="009D0950" w:rsidRPr="00BB7B21">
        <w:rPr>
          <w:rFonts w:ascii="Arial" w:hAnsi="Arial" w:cs="Arial"/>
          <w:sz w:val="24"/>
          <w:szCs w:val="24"/>
        </w:rPr>
        <w:t>ball</w:t>
      </w:r>
      <w:r w:rsidR="006E011C" w:rsidRPr="00BB7B21">
        <w:rPr>
          <w:rFonts w:ascii="Arial" w:hAnsi="Arial" w:cs="Arial"/>
          <w:sz w:val="24"/>
          <w:szCs w:val="24"/>
        </w:rPr>
        <w:t>, which had been suspended from the ceiling, fell on his head and injured him</w:t>
      </w:r>
      <w:r w:rsidR="00F66EE0" w:rsidRPr="00BB7B21">
        <w:rPr>
          <w:rFonts w:ascii="Arial" w:hAnsi="Arial" w:cs="Arial"/>
          <w:sz w:val="24"/>
          <w:szCs w:val="24"/>
        </w:rPr>
        <w:t xml:space="preserve"> and </w:t>
      </w:r>
      <w:r w:rsidR="00571166" w:rsidRPr="00BB7B21">
        <w:rPr>
          <w:rFonts w:ascii="Arial" w:hAnsi="Arial" w:cs="Arial"/>
          <w:sz w:val="24"/>
          <w:szCs w:val="24"/>
        </w:rPr>
        <w:t xml:space="preserve">which </w:t>
      </w:r>
      <w:r w:rsidR="001026FA" w:rsidRPr="00BB7B21">
        <w:rPr>
          <w:rFonts w:ascii="Arial" w:hAnsi="Arial" w:cs="Arial"/>
          <w:sz w:val="24"/>
          <w:szCs w:val="24"/>
        </w:rPr>
        <w:t>is</w:t>
      </w:r>
      <w:r w:rsidR="00571166" w:rsidRPr="00BB7B21">
        <w:rPr>
          <w:rFonts w:ascii="Arial" w:hAnsi="Arial" w:cs="Arial"/>
          <w:sz w:val="24"/>
          <w:szCs w:val="24"/>
        </w:rPr>
        <w:t xml:space="preserve"> alleged to have </w:t>
      </w:r>
      <w:r w:rsidR="006E011C" w:rsidRPr="00BB7B21">
        <w:rPr>
          <w:rFonts w:ascii="Arial" w:hAnsi="Arial" w:cs="Arial"/>
          <w:sz w:val="24"/>
          <w:szCs w:val="24"/>
        </w:rPr>
        <w:t>caus</w:t>
      </w:r>
      <w:r w:rsidR="00571166" w:rsidRPr="00BB7B21">
        <w:rPr>
          <w:rFonts w:ascii="Arial" w:hAnsi="Arial" w:cs="Arial"/>
          <w:sz w:val="24"/>
          <w:szCs w:val="24"/>
        </w:rPr>
        <w:t>ed</w:t>
      </w:r>
      <w:r w:rsidR="006E011C" w:rsidRPr="00BB7B21">
        <w:rPr>
          <w:rFonts w:ascii="Arial" w:hAnsi="Arial" w:cs="Arial"/>
          <w:sz w:val="24"/>
          <w:szCs w:val="24"/>
        </w:rPr>
        <w:t xml:space="preserve"> various brain injuries.</w:t>
      </w:r>
    </w:p>
    <w:p w14:paraId="40C6E5E0" w14:textId="61D39748" w:rsidR="006E011C"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4.</w:t>
      </w:r>
      <w:r>
        <w:rPr>
          <w:rFonts w:ascii="Arial" w:hAnsi="Arial" w:cs="Arial"/>
          <w:sz w:val="24"/>
          <w:szCs w:val="24"/>
        </w:rPr>
        <w:tab/>
      </w:r>
      <w:r w:rsidR="006E011C" w:rsidRPr="00BB7B21">
        <w:rPr>
          <w:rFonts w:ascii="Arial" w:hAnsi="Arial" w:cs="Arial"/>
          <w:sz w:val="24"/>
          <w:szCs w:val="24"/>
        </w:rPr>
        <w:t xml:space="preserve">Some two and a half years later, </w:t>
      </w:r>
      <w:r w:rsidR="009A7955" w:rsidRPr="00BB7B21">
        <w:rPr>
          <w:rFonts w:ascii="Arial" w:hAnsi="Arial" w:cs="Arial"/>
          <w:sz w:val="24"/>
          <w:szCs w:val="24"/>
        </w:rPr>
        <w:t xml:space="preserve">during January 2020, </w:t>
      </w:r>
      <w:r w:rsidR="006E011C" w:rsidRPr="00BB7B21">
        <w:rPr>
          <w:rFonts w:ascii="Arial" w:hAnsi="Arial" w:cs="Arial"/>
          <w:sz w:val="24"/>
          <w:szCs w:val="24"/>
        </w:rPr>
        <w:t xml:space="preserve">the plaintiff instituted action against three defendants, being the owner of the theatre, the event management company responsible for the production of the </w:t>
      </w:r>
      <w:r w:rsidR="006E011C" w:rsidRPr="00BB7B21">
        <w:rPr>
          <w:rFonts w:ascii="Arial" w:hAnsi="Arial" w:cs="Arial"/>
          <w:sz w:val="24"/>
          <w:szCs w:val="24"/>
        </w:rPr>
        <w:lastRenderedPageBreak/>
        <w:t xml:space="preserve">show and </w:t>
      </w:r>
      <w:r w:rsidR="00C874AA" w:rsidRPr="00BB7B21">
        <w:rPr>
          <w:rFonts w:ascii="Arial" w:hAnsi="Arial" w:cs="Arial"/>
          <w:sz w:val="24"/>
          <w:szCs w:val="24"/>
        </w:rPr>
        <w:t xml:space="preserve">the company that the plaintiff contended was </w:t>
      </w:r>
      <w:r w:rsidR="006E011C" w:rsidRPr="00BB7B21">
        <w:rPr>
          <w:rFonts w:ascii="Arial" w:hAnsi="Arial" w:cs="Arial"/>
          <w:sz w:val="24"/>
          <w:szCs w:val="24"/>
        </w:rPr>
        <w:t>the rigger of the equipment for the show. Th</w:t>
      </w:r>
      <w:r w:rsidR="00571166" w:rsidRPr="00BB7B21">
        <w:rPr>
          <w:rFonts w:ascii="Arial" w:hAnsi="Arial" w:cs="Arial"/>
          <w:sz w:val="24"/>
          <w:szCs w:val="24"/>
        </w:rPr>
        <w:t>at</w:t>
      </w:r>
      <w:r w:rsidR="006E011C" w:rsidRPr="00BB7B21">
        <w:rPr>
          <w:rFonts w:ascii="Arial" w:hAnsi="Arial" w:cs="Arial"/>
          <w:sz w:val="24"/>
          <w:szCs w:val="24"/>
        </w:rPr>
        <w:t xml:space="preserve"> is the first action instituted by the plaintiff. </w:t>
      </w:r>
    </w:p>
    <w:p w14:paraId="5479EB26" w14:textId="14BF315C" w:rsidR="00A6441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5.</w:t>
      </w:r>
      <w:r>
        <w:rPr>
          <w:rFonts w:ascii="Arial" w:hAnsi="Arial" w:cs="Arial"/>
          <w:sz w:val="24"/>
          <w:szCs w:val="24"/>
        </w:rPr>
        <w:tab/>
      </w:r>
      <w:r w:rsidR="006E011C" w:rsidRPr="00BB7B21">
        <w:rPr>
          <w:rFonts w:ascii="Arial" w:hAnsi="Arial" w:cs="Arial"/>
          <w:sz w:val="24"/>
          <w:szCs w:val="24"/>
        </w:rPr>
        <w:t>During the exchange of pleadings in that first action</w:t>
      </w:r>
      <w:r w:rsidR="001F4534" w:rsidRPr="00BB7B21">
        <w:rPr>
          <w:rFonts w:ascii="Arial" w:hAnsi="Arial" w:cs="Arial"/>
          <w:sz w:val="24"/>
          <w:szCs w:val="24"/>
        </w:rPr>
        <w:t xml:space="preserve"> in March 2020</w:t>
      </w:r>
      <w:r w:rsidR="006E011C" w:rsidRPr="00BB7B21">
        <w:rPr>
          <w:rFonts w:ascii="Arial" w:hAnsi="Arial" w:cs="Arial"/>
          <w:sz w:val="24"/>
          <w:szCs w:val="24"/>
        </w:rPr>
        <w:t xml:space="preserve">, </w:t>
      </w:r>
      <w:r w:rsidR="000E0054" w:rsidRPr="00BB7B21">
        <w:rPr>
          <w:rFonts w:ascii="Arial" w:hAnsi="Arial" w:cs="Arial"/>
          <w:sz w:val="24"/>
          <w:szCs w:val="24"/>
        </w:rPr>
        <w:t xml:space="preserve">two further parties were joined by the defendants in that first action by way of third-party notices. Those two joined third parties are the theatre equipment specialist company and the civil and structural consulting engineer who attended to the erection of the mirror ball. They are also the two </w:t>
      </w:r>
      <w:r w:rsidR="006E011C" w:rsidRPr="00BB7B21">
        <w:rPr>
          <w:rFonts w:ascii="Arial" w:hAnsi="Arial" w:cs="Arial"/>
          <w:sz w:val="24"/>
          <w:szCs w:val="24"/>
        </w:rPr>
        <w:t>defendants in th</w:t>
      </w:r>
      <w:r w:rsidR="001F4534" w:rsidRPr="00BB7B21">
        <w:rPr>
          <w:rFonts w:ascii="Arial" w:hAnsi="Arial" w:cs="Arial"/>
          <w:sz w:val="24"/>
          <w:szCs w:val="24"/>
        </w:rPr>
        <w:t>e present action</w:t>
      </w:r>
      <w:r w:rsidR="000E0054" w:rsidRPr="00BB7B21">
        <w:rPr>
          <w:rFonts w:ascii="Arial" w:hAnsi="Arial" w:cs="Arial"/>
          <w:sz w:val="24"/>
          <w:szCs w:val="24"/>
        </w:rPr>
        <w:t>. All these defendants are potentially joint wrongdoers</w:t>
      </w:r>
      <w:r w:rsidR="001F4534" w:rsidRPr="00BB7B21">
        <w:rPr>
          <w:rFonts w:ascii="Arial" w:hAnsi="Arial" w:cs="Arial"/>
          <w:sz w:val="24"/>
          <w:szCs w:val="24"/>
        </w:rPr>
        <w:t>.</w:t>
      </w:r>
    </w:p>
    <w:p w14:paraId="35BD303A" w14:textId="3F5C0C2A" w:rsidR="001F4534"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6.</w:t>
      </w:r>
      <w:r>
        <w:rPr>
          <w:rFonts w:ascii="Arial" w:hAnsi="Arial" w:cs="Arial"/>
          <w:sz w:val="24"/>
          <w:szCs w:val="24"/>
        </w:rPr>
        <w:tab/>
      </w:r>
      <w:r w:rsidR="001F4534" w:rsidRPr="00BB7B21">
        <w:rPr>
          <w:rFonts w:ascii="Arial" w:hAnsi="Arial" w:cs="Arial"/>
          <w:sz w:val="24"/>
          <w:szCs w:val="24"/>
        </w:rPr>
        <w:t xml:space="preserve">The second defendant </w:t>
      </w:r>
      <w:r w:rsidR="000E0054" w:rsidRPr="00BB7B21">
        <w:rPr>
          <w:rFonts w:ascii="Arial" w:hAnsi="Arial" w:cs="Arial"/>
          <w:sz w:val="24"/>
          <w:szCs w:val="24"/>
        </w:rPr>
        <w:t xml:space="preserve">(being the civil and structural consulting engineer) </w:t>
      </w:r>
      <w:r w:rsidR="001F4534" w:rsidRPr="00BB7B21">
        <w:rPr>
          <w:rFonts w:ascii="Arial" w:hAnsi="Arial" w:cs="Arial"/>
          <w:sz w:val="24"/>
          <w:szCs w:val="24"/>
        </w:rPr>
        <w:t>opposes the present proceedings</w:t>
      </w:r>
      <w:r w:rsidR="000E0054" w:rsidRPr="00BB7B21">
        <w:rPr>
          <w:rFonts w:ascii="Arial" w:hAnsi="Arial" w:cs="Arial"/>
          <w:sz w:val="24"/>
          <w:szCs w:val="24"/>
        </w:rPr>
        <w:t xml:space="preserve">. For ease of reference I </w:t>
      </w:r>
      <w:r w:rsidR="001026FA" w:rsidRPr="00BB7B21">
        <w:rPr>
          <w:rFonts w:ascii="Arial" w:hAnsi="Arial" w:cs="Arial"/>
          <w:sz w:val="24"/>
          <w:szCs w:val="24"/>
        </w:rPr>
        <w:t xml:space="preserve">refer to </w:t>
      </w:r>
      <w:r w:rsidR="000E0054" w:rsidRPr="00BB7B21">
        <w:rPr>
          <w:rFonts w:ascii="Arial" w:hAnsi="Arial" w:cs="Arial"/>
          <w:sz w:val="24"/>
          <w:szCs w:val="24"/>
        </w:rPr>
        <w:t xml:space="preserve">him as </w:t>
      </w:r>
      <w:r w:rsidR="001F4534" w:rsidRPr="00BB7B21">
        <w:rPr>
          <w:rFonts w:ascii="Arial" w:hAnsi="Arial" w:cs="Arial"/>
          <w:sz w:val="24"/>
          <w:szCs w:val="24"/>
        </w:rPr>
        <w:t>Mr Hussey.</w:t>
      </w:r>
    </w:p>
    <w:p w14:paraId="4757EA18" w14:textId="016B3606" w:rsidR="00A6441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A6441F" w:rsidRPr="00BB7B21">
        <w:rPr>
          <w:rFonts w:ascii="Arial" w:hAnsi="Arial" w:cs="Arial"/>
          <w:sz w:val="24"/>
          <w:szCs w:val="24"/>
        </w:rPr>
        <w:t xml:space="preserve">It was only during </w:t>
      </w:r>
      <w:r w:rsidR="001026FA" w:rsidRPr="00BB7B21">
        <w:rPr>
          <w:rFonts w:ascii="Arial" w:hAnsi="Arial" w:cs="Arial"/>
          <w:sz w:val="24"/>
          <w:szCs w:val="24"/>
        </w:rPr>
        <w:t xml:space="preserve">the </w:t>
      </w:r>
      <w:r w:rsidR="00A6441F" w:rsidRPr="00BB7B21">
        <w:rPr>
          <w:rFonts w:ascii="Arial" w:hAnsi="Arial" w:cs="Arial"/>
          <w:sz w:val="24"/>
          <w:szCs w:val="24"/>
        </w:rPr>
        <w:t>exchange of pleadings in the first action in March 2020 that the plaintiff came to learn of the present defendants</w:t>
      </w:r>
      <w:r w:rsidR="001026FA" w:rsidRPr="00BB7B21">
        <w:rPr>
          <w:rFonts w:ascii="Arial" w:hAnsi="Arial" w:cs="Arial"/>
          <w:sz w:val="24"/>
          <w:szCs w:val="24"/>
        </w:rPr>
        <w:t>,</w:t>
      </w:r>
      <w:r w:rsidR="00A6441F" w:rsidRPr="00BB7B21">
        <w:rPr>
          <w:rFonts w:ascii="Arial" w:hAnsi="Arial" w:cs="Arial"/>
          <w:sz w:val="24"/>
          <w:szCs w:val="24"/>
        </w:rPr>
        <w:t xml:space="preserve"> and in particular Mr Hussey</w:t>
      </w:r>
      <w:r w:rsidR="001026FA" w:rsidRPr="00BB7B21">
        <w:rPr>
          <w:rFonts w:ascii="Arial" w:hAnsi="Arial" w:cs="Arial"/>
          <w:sz w:val="24"/>
          <w:szCs w:val="24"/>
        </w:rPr>
        <w:t>,</w:t>
      </w:r>
      <w:r w:rsidR="00A6441F" w:rsidRPr="00BB7B21">
        <w:rPr>
          <w:rFonts w:ascii="Arial" w:hAnsi="Arial" w:cs="Arial"/>
          <w:sz w:val="24"/>
          <w:szCs w:val="24"/>
        </w:rPr>
        <w:t xml:space="preserve"> as potential joint wrongdoers. </w:t>
      </w:r>
    </w:p>
    <w:p w14:paraId="5A08D7E3" w14:textId="41986AC6" w:rsidR="00957E9B"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8.</w:t>
      </w:r>
      <w:r>
        <w:rPr>
          <w:rFonts w:ascii="Arial" w:hAnsi="Arial" w:cs="Arial"/>
          <w:sz w:val="24"/>
          <w:szCs w:val="24"/>
        </w:rPr>
        <w:tab/>
      </w:r>
      <w:r w:rsidR="00A6441F" w:rsidRPr="00BB7B21">
        <w:rPr>
          <w:rFonts w:ascii="Arial" w:hAnsi="Arial" w:cs="Arial"/>
          <w:sz w:val="24"/>
          <w:szCs w:val="24"/>
        </w:rPr>
        <w:t xml:space="preserve">For reasons unexplained, the plaintiff’s then legal representatives elected not to join Mr Hussey to the first action by way of third party proceedings, such as under Uniform Rule 13, but instead </w:t>
      </w:r>
      <w:r w:rsidR="00BB6361" w:rsidRPr="00BB7B21">
        <w:rPr>
          <w:rFonts w:ascii="Arial" w:hAnsi="Arial" w:cs="Arial"/>
          <w:sz w:val="24"/>
          <w:szCs w:val="24"/>
        </w:rPr>
        <w:t>instituted</w:t>
      </w:r>
      <w:r w:rsidR="00A6441F" w:rsidRPr="00BB7B21">
        <w:rPr>
          <w:rFonts w:ascii="Arial" w:hAnsi="Arial" w:cs="Arial"/>
          <w:sz w:val="24"/>
          <w:szCs w:val="24"/>
        </w:rPr>
        <w:t xml:space="preserve"> a second action by the plaintiff against the present defendants, and in particular Mr Hussey. </w:t>
      </w:r>
      <w:r w:rsidR="009A7955" w:rsidRPr="00BB7B21">
        <w:rPr>
          <w:rFonts w:ascii="Arial" w:hAnsi="Arial" w:cs="Arial"/>
          <w:sz w:val="24"/>
          <w:szCs w:val="24"/>
        </w:rPr>
        <w:t xml:space="preserve">That second action was instituted on 24 March 2020. </w:t>
      </w:r>
    </w:p>
    <w:p w14:paraId="5EDF89D8" w14:textId="39388BC7" w:rsidR="006E011C"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9.</w:t>
      </w:r>
      <w:r>
        <w:rPr>
          <w:rFonts w:ascii="Arial" w:hAnsi="Arial" w:cs="Arial"/>
          <w:sz w:val="24"/>
          <w:szCs w:val="24"/>
        </w:rPr>
        <w:tab/>
      </w:r>
      <w:r w:rsidR="00A6441F" w:rsidRPr="00BB7B21">
        <w:rPr>
          <w:rFonts w:ascii="Arial" w:hAnsi="Arial" w:cs="Arial"/>
          <w:sz w:val="24"/>
          <w:szCs w:val="24"/>
        </w:rPr>
        <w:t xml:space="preserve">This resulted in the plaintiff having instituted two actions against two sets of alleged </w:t>
      </w:r>
      <w:r w:rsidR="001E03AB" w:rsidRPr="00BB7B21">
        <w:rPr>
          <w:rFonts w:ascii="Arial" w:hAnsi="Arial" w:cs="Arial"/>
          <w:sz w:val="24"/>
          <w:szCs w:val="24"/>
        </w:rPr>
        <w:t>joint w</w:t>
      </w:r>
      <w:r w:rsidR="00A6441F" w:rsidRPr="00BB7B21">
        <w:rPr>
          <w:rFonts w:ascii="Arial" w:hAnsi="Arial" w:cs="Arial"/>
          <w:sz w:val="24"/>
          <w:szCs w:val="24"/>
        </w:rPr>
        <w:t xml:space="preserve">rongdoers arising out of the same incident and </w:t>
      </w:r>
      <w:r w:rsidR="00EB0986" w:rsidRPr="00BB7B21">
        <w:rPr>
          <w:rFonts w:ascii="Arial" w:hAnsi="Arial" w:cs="Arial"/>
          <w:sz w:val="24"/>
          <w:szCs w:val="24"/>
        </w:rPr>
        <w:t>for</w:t>
      </w:r>
      <w:r w:rsidR="00A6441F" w:rsidRPr="00BB7B21">
        <w:rPr>
          <w:rFonts w:ascii="Arial" w:hAnsi="Arial" w:cs="Arial"/>
          <w:sz w:val="24"/>
          <w:szCs w:val="24"/>
        </w:rPr>
        <w:t xml:space="preserve"> the </w:t>
      </w:r>
      <w:r w:rsidR="00A6441F" w:rsidRPr="00BB7B21">
        <w:rPr>
          <w:rFonts w:ascii="Arial" w:hAnsi="Arial" w:cs="Arial"/>
          <w:sz w:val="24"/>
          <w:szCs w:val="24"/>
        </w:rPr>
        <w:lastRenderedPageBreak/>
        <w:t>recovery of the same damages in delict</w:t>
      </w:r>
      <w:r w:rsidR="00957E9B" w:rsidRPr="00BB7B21">
        <w:rPr>
          <w:rFonts w:ascii="Arial" w:hAnsi="Arial" w:cs="Arial"/>
          <w:sz w:val="24"/>
          <w:szCs w:val="24"/>
        </w:rPr>
        <w:t xml:space="preserve"> – the first action in January 2020 and the second action in March 2020.</w:t>
      </w:r>
    </w:p>
    <w:p w14:paraId="7CEFD5B6" w14:textId="332608CB" w:rsidR="00A6441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10.</w:t>
      </w:r>
      <w:r>
        <w:rPr>
          <w:rFonts w:ascii="Arial" w:hAnsi="Arial" w:cs="Arial"/>
          <w:sz w:val="24"/>
          <w:szCs w:val="24"/>
        </w:rPr>
        <w:tab/>
      </w:r>
      <w:r w:rsidR="00A6441F" w:rsidRPr="00BB7B21">
        <w:rPr>
          <w:rFonts w:ascii="Arial" w:hAnsi="Arial" w:cs="Arial"/>
          <w:sz w:val="24"/>
          <w:szCs w:val="24"/>
        </w:rPr>
        <w:t xml:space="preserve">Section 2(1) of </w:t>
      </w:r>
      <w:r w:rsidR="00DB07C6" w:rsidRPr="00BB7B21">
        <w:rPr>
          <w:rFonts w:ascii="Arial" w:hAnsi="Arial" w:cs="Arial"/>
          <w:sz w:val="24"/>
          <w:szCs w:val="24"/>
        </w:rPr>
        <w:t>the Act</w:t>
      </w:r>
      <w:r w:rsidR="00A6441F" w:rsidRPr="00BB7B21">
        <w:rPr>
          <w:rFonts w:ascii="Arial" w:hAnsi="Arial" w:cs="Arial"/>
          <w:sz w:val="24"/>
          <w:szCs w:val="24"/>
        </w:rPr>
        <w:t xml:space="preserve"> provides tha</w:t>
      </w:r>
      <w:r w:rsidR="001E03AB" w:rsidRPr="00BB7B21">
        <w:rPr>
          <w:rFonts w:ascii="Arial" w:hAnsi="Arial" w:cs="Arial"/>
          <w:sz w:val="24"/>
          <w:szCs w:val="24"/>
        </w:rPr>
        <w:t xml:space="preserve">t: </w:t>
      </w:r>
      <w:r w:rsidR="00A6441F" w:rsidRPr="00BB7B21">
        <w:rPr>
          <w:rFonts w:ascii="Arial" w:hAnsi="Arial" w:cs="Arial"/>
          <w:sz w:val="24"/>
          <w:szCs w:val="24"/>
        </w:rPr>
        <w:t xml:space="preserve"> </w:t>
      </w:r>
    </w:p>
    <w:p w14:paraId="60BAFB04" w14:textId="09FBCCCC" w:rsidR="00A6441F" w:rsidRDefault="001E03AB" w:rsidP="001E03AB">
      <w:pPr>
        <w:pStyle w:val="ListParagraph"/>
        <w:spacing w:before="360" w:after="360" w:line="360" w:lineRule="auto"/>
        <w:ind w:left="1418" w:right="567"/>
        <w:contextualSpacing w:val="0"/>
        <w:jc w:val="both"/>
        <w:rPr>
          <w:rFonts w:ascii="Arial" w:hAnsi="Arial" w:cs="Arial"/>
          <w:sz w:val="24"/>
          <w:szCs w:val="24"/>
        </w:rPr>
      </w:pPr>
      <w:r>
        <w:rPr>
          <w:rFonts w:ascii="Arial" w:hAnsi="Arial" w:cs="Arial"/>
          <w:sz w:val="24"/>
          <w:szCs w:val="24"/>
        </w:rPr>
        <w:t>“</w:t>
      </w:r>
      <w:r w:rsidR="00A6441F" w:rsidRPr="001E03AB">
        <w:rPr>
          <w:rFonts w:ascii="Arial" w:hAnsi="Arial" w:cs="Arial"/>
          <w:i/>
          <w:iCs/>
          <w:sz w:val="24"/>
          <w:szCs w:val="24"/>
        </w:rPr>
        <w:t xml:space="preserve">Where it is alleged that two or more persons are jointly or severally liable in delict to a third </w:t>
      </w:r>
      <w:r w:rsidRPr="003C7459">
        <w:rPr>
          <w:rFonts w:ascii="Arial" w:hAnsi="Arial" w:cs="Arial"/>
          <w:i/>
          <w:iCs/>
          <w:sz w:val="24"/>
          <w:szCs w:val="24"/>
        </w:rPr>
        <w:t>person</w:t>
      </w:r>
      <w:r w:rsidR="00A6441F" w:rsidRPr="001E03AB">
        <w:rPr>
          <w:rFonts w:ascii="Arial" w:hAnsi="Arial" w:cs="Arial"/>
          <w:i/>
          <w:iCs/>
          <w:sz w:val="24"/>
          <w:szCs w:val="24"/>
        </w:rPr>
        <w:t xml:space="preserve"> (hereinafter referred to as the plaintiff) for the same damage, such persons (hereinafter referred to as joint wrongdoers) </w:t>
      </w:r>
      <w:r w:rsidR="00A6441F" w:rsidRPr="00BB6361">
        <w:rPr>
          <w:rFonts w:ascii="Arial" w:hAnsi="Arial" w:cs="Arial"/>
          <w:i/>
          <w:iCs/>
          <w:sz w:val="24"/>
          <w:szCs w:val="24"/>
          <w:u w:val="single"/>
        </w:rPr>
        <w:t>may</w:t>
      </w:r>
      <w:r w:rsidR="00A6441F" w:rsidRPr="001E03AB">
        <w:rPr>
          <w:rFonts w:ascii="Arial" w:hAnsi="Arial" w:cs="Arial"/>
          <w:i/>
          <w:iCs/>
          <w:sz w:val="24"/>
          <w:szCs w:val="24"/>
        </w:rPr>
        <w:t xml:space="preserve"> be sued in the same action</w:t>
      </w:r>
      <w:r w:rsidR="00A6441F">
        <w:rPr>
          <w:rFonts w:ascii="Arial" w:hAnsi="Arial" w:cs="Arial"/>
          <w:sz w:val="24"/>
          <w:szCs w:val="24"/>
        </w:rPr>
        <w:t>.</w:t>
      </w:r>
      <w:r>
        <w:rPr>
          <w:rFonts w:ascii="Arial" w:hAnsi="Arial" w:cs="Arial"/>
          <w:sz w:val="24"/>
          <w:szCs w:val="24"/>
        </w:rPr>
        <w:t>”</w:t>
      </w:r>
      <w:r w:rsidR="00BB6361">
        <w:rPr>
          <w:rStyle w:val="FootnoteReference"/>
          <w:rFonts w:ascii="Arial" w:hAnsi="Arial" w:cs="Arial"/>
          <w:sz w:val="24"/>
          <w:szCs w:val="24"/>
        </w:rPr>
        <w:footnoteReference w:id="2"/>
      </w:r>
      <w:r w:rsidR="00A6441F">
        <w:rPr>
          <w:rFonts w:ascii="Arial" w:hAnsi="Arial" w:cs="Arial"/>
          <w:sz w:val="24"/>
          <w:szCs w:val="24"/>
        </w:rPr>
        <w:t xml:space="preserve"> </w:t>
      </w:r>
    </w:p>
    <w:p w14:paraId="1D8E5503" w14:textId="0A5C7ACB" w:rsidR="00A6441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11.</w:t>
      </w:r>
      <w:r>
        <w:rPr>
          <w:rFonts w:ascii="Arial" w:hAnsi="Arial" w:cs="Arial"/>
          <w:sz w:val="24"/>
          <w:szCs w:val="24"/>
        </w:rPr>
        <w:tab/>
      </w:r>
      <w:r w:rsidR="00A6441F" w:rsidRPr="00BB7B21">
        <w:rPr>
          <w:rFonts w:ascii="Arial" w:hAnsi="Arial" w:cs="Arial"/>
          <w:sz w:val="24"/>
          <w:szCs w:val="24"/>
        </w:rPr>
        <w:t>There is no dispute in the present matter that section 2(1) of the Act applies and that the present plaintiff has instituted action against joint wrongdoers for the same damage. Although section 2(1) provides that the plaintiff could have</w:t>
      </w:r>
      <w:r w:rsidR="00EB0986" w:rsidRPr="00BB7B21">
        <w:rPr>
          <w:rFonts w:ascii="Arial" w:hAnsi="Arial" w:cs="Arial"/>
          <w:sz w:val="24"/>
          <w:szCs w:val="24"/>
        </w:rPr>
        <w:t xml:space="preserve"> proceeded against the present defendants</w:t>
      </w:r>
      <w:r w:rsidR="00A6441F" w:rsidRPr="00BB7B21">
        <w:rPr>
          <w:rFonts w:ascii="Arial" w:hAnsi="Arial" w:cs="Arial"/>
          <w:sz w:val="24"/>
          <w:szCs w:val="24"/>
        </w:rPr>
        <w:t xml:space="preserve"> in the same action</w:t>
      </w:r>
      <w:r w:rsidR="00EB0986" w:rsidRPr="00BB7B21">
        <w:rPr>
          <w:rFonts w:ascii="Arial" w:hAnsi="Arial" w:cs="Arial"/>
          <w:sz w:val="24"/>
          <w:szCs w:val="24"/>
        </w:rPr>
        <w:t xml:space="preserve"> (being the first action)</w:t>
      </w:r>
      <w:r w:rsidR="00A6441F" w:rsidRPr="00BB7B21">
        <w:rPr>
          <w:rFonts w:ascii="Arial" w:hAnsi="Arial" w:cs="Arial"/>
          <w:sz w:val="24"/>
          <w:szCs w:val="24"/>
        </w:rPr>
        <w:t xml:space="preserve">, he did not do so. </w:t>
      </w:r>
    </w:p>
    <w:p w14:paraId="6DE98081" w14:textId="43E2E4D2" w:rsidR="00A6441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6441F" w:rsidRPr="00BB7B21">
        <w:rPr>
          <w:rFonts w:ascii="Arial" w:hAnsi="Arial" w:cs="Arial"/>
          <w:sz w:val="24"/>
          <w:szCs w:val="24"/>
        </w:rPr>
        <w:t>The plaintiff explains that he did not institute action initially against all the alleged wrongdoers, including the present defendants, in a single action as he did not know</w:t>
      </w:r>
      <w:r w:rsidR="00EB0986" w:rsidRPr="00BB7B21">
        <w:rPr>
          <w:rFonts w:ascii="Arial" w:hAnsi="Arial" w:cs="Arial"/>
          <w:sz w:val="24"/>
          <w:szCs w:val="24"/>
        </w:rPr>
        <w:t xml:space="preserve"> of the identity of these defendants</w:t>
      </w:r>
      <w:r w:rsidR="00A6441F" w:rsidRPr="00BB7B21">
        <w:rPr>
          <w:rFonts w:ascii="Arial" w:hAnsi="Arial" w:cs="Arial"/>
          <w:sz w:val="24"/>
          <w:szCs w:val="24"/>
        </w:rPr>
        <w:t xml:space="preserve"> at the time of instituting the first action and that they may be joint wrongdoers. It is therefore understandable why the plaintiff did not institute action against the present defendants initially. </w:t>
      </w:r>
    </w:p>
    <w:p w14:paraId="1C55134A" w14:textId="7B71A23A" w:rsidR="00A6441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6441F" w:rsidRPr="00BB7B21">
        <w:rPr>
          <w:rFonts w:ascii="Arial" w:hAnsi="Arial" w:cs="Arial"/>
          <w:sz w:val="24"/>
          <w:szCs w:val="24"/>
        </w:rPr>
        <w:t xml:space="preserve">Section 2(2) of the Act provides that: </w:t>
      </w:r>
    </w:p>
    <w:p w14:paraId="78AAEECA" w14:textId="73AEF5D8" w:rsidR="00A6441F" w:rsidRDefault="00A6441F" w:rsidP="001E03AB">
      <w:pPr>
        <w:pStyle w:val="Quotation-New"/>
        <w:tabs>
          <w:tab w:val="left" w:pos="2268"/>
        </w:tabs>
        <w:spacing w:before="240" w:after="240" w:line="360" w:lineRule="auto"/>
        <w:ind w:left="2268" w:hanging="850"/>
      </w:pPr>
      <w:r w:rsidRPr="00A6441F">
        <w:lastRenderedPageBreak/>
        <w:t>“</w:t>
      </w:r>
      <w:r w:rsidR="001E03AB">
        <w:t>2(2)</w:t>
      </w:r>
      <w:r w:rsidR="001E03AB">
        <w:tab/>
      </w:r>
      <w:r w:rsidRPr="00A6441F">
        <w:t xml:space="preserve">Notice of any action </w:t>
      </w:r>
      <w:r w:rsidRPr="00BB6361">
        <w:rPr>
          <w:u w:val="single"/>
        </w:rPr>
        <w:t>may</w:t>
      </w:r>
      <w:r w:rsidRPr="00A6441F">
        <w:t xml:space="preserve"> at any time before the close of pleadings in that action be given –</w:t>
      </w:r>
    </w:p>
    <w:p w14:paraId="04635FE7" w14:textId="2BF0648C" w:rsidR="00A6441F" w:rsidRDefault="00BB7B21" w:rsidP="00BB7B21">
      <w:pPr>
        <w:pStyle w:val="Quotation-New"/>
        <w:tabs>
          <w:tab w:val="left" w:pos="2835"/>
        </w:tabs>
        <w:spacing w:before="240" w:after="240" w:line="360" w:lineRule="auto"/>
        <w:ind w:left="2835" w:hanging="567"/>
      </w:pPr>
      <w:r>
        <w:t>(a)</w:t>
      </w:r>
      <w:r>
        <w:tab/>
      </w:r>
      <w:r w:rsidR="00A6441F" w:rsidRPr="00A6441F">
        <w:t xml:space="preserve">by the plaintiff; </w:t>
      </w:r>
    </w:p>
    <w:p w14:paraId="132BFBCF" w14:textId="7AFBE0EA" w:rsidR="00A6441F" w:rsidRDefault="00BB7B21" w:rsidP="00BB7B21">
      <w:pPr>
        <w:pStyle w:val="Quotation-New"/>
        <w:tabs>
          <w:tab w:val="left" w:pos="2835"/>
        </w:tabs>
        <w:spacing w:before="240" w:after="240" w:line="360" w:lineRule="auto"/>
        <w:ind w:left="2835" w:hanging="567"/>
      </w:pPr>
      <w:r>
        <w:t>(b)</w:t>
      </w:r>
      <w:r>
        <w:tab/>
      </w:r>
      <w:r w:rsidR="00A6441F" w:rsidRPr="00A6441F">
        <w:t>by any joint wrongdoer who is sued in that action,</w:t>
      </w:r>
    </w:p>
    <w:p w14:paraId="2577B76F" w14:textId="03208B45" w:rsidR="00A6441F" w:rsidRPr="00A6441F" w:rsidRDefault="00A6441F" w:rsidP="001E03AB">
      <w:pPr>
        <w:pStyle w:val="Quotation-New"/>
        <w:spacing w:before="240" w:after="240" w:line="360" w:lineRule="auto"/>
        <w:ind w:left="1560"/>
      </w:pPr>
      <w:r w:rsidRPr="00A6441F">
        <w:t xml:space="preserve">to any joint wrongdoer who is not sued in that action, and such wrongdoer may thereupon intervene as a defendant in that action.” </w:t>
      </w:r>
      <w:r w:rsidR="00BB6361">
        <w:rPr>
          <w:rStyle w:val="FootnoteReference"/>
        </w:rPr>
        <w:footnoteReference w:id="3"/>
      </w:r>
      <w:r w:rsidRPr="00A6441F">
        <w:t xml:space="preserve"> </w:t>
      </w:r>
    </w:p>
    <w:p w14:paraId="0EED94A9" w14:textId="1F9D9222" w:rsidR="00A6441F" w:rsidRPr="00BB7B21" w:rsidRDefault="00BB7B21" w:rsidP="00BB7B21">
      <w:pPr>
        <w:spacing w:before="360" w:after="360" w:line="480" w:lineRule="auto"/>
        <w:ind w:left="624" w:right="567" w:hanging="624"/>
        <w:jc w:val="both"/>
        <w:rPr>
          <w:rFonts w:ascii="Arial" w:hAnsi="Arial" w:cs="Arial"/>
          <w:sz w:val="24"/>
          <w:szCs w:val="24"/>
        </w:rPr>
      </w:pPr>
      <w:r w:rsidRPr="00A34338">
        <w:rPr>
          <w:rFonts w:ascii="Arial" w:hAnsi="Arial" w:cs="Arial"/>
          <w:sz w:val="24"/>
          <w:szCs w:val="24"/>
        </w:rPr>
        <w:t>14.</w:t>
      </w:r>
      <w:r w:rsidRPr="00A34338">
        <w:rPr>
          <w:rFonts w:ascii="Arial" w:hAnsi="Arial" w:cs="Arial"/>
          <w:sz w:val="24"/>
          <w:szCs w:val="24"/>
        </w:rPr>
        <w:tab/>
      </w:r>
      <w:r w:rsidR="00A6441F" w:rsidRPr="00BB7B21">
        <w:rPr>
          <w:rFonts w:ascii="Arial" w:hAnsi="Arial" w:cs="Arial"/>
          <w:sz w:val="24"/>
          <w:szCs w:val="24"/>
        </w:rPr>
        <w:t xml:space="preserve">It is common cause that the plaintiff did not give </w:t>
      </w:r>
      <w:r w:rsidR="00BB6361" w:rsidRPr="00BB7B21">
        <w:rPr>
          <w:rFonts w:ascii="Arial" w:hAnsi="Arial" w:cs="Arial"/>
          <w:sz w:val="24"/>
          <w:szCs w:val="24"/>
        </w:rPr>
        <w:t>such</w:t>
      </w:r>
      <w:r w:rsidR="00A6441F" w:rsidRPr="00BB7B21">
        <w:rPr>
          <w:rFonts w:ascii="Arial" w:hAnsi="Arial" w:cs="Arial"/>
          <w:sz w:val="24"/>
          <w:szCs w:val="24"/>
        </w:rPr>
        <w:t xml:space="preserve"> notice to Mr Hussey, whether before the close of pleadings or otherwise. It is not disputed that the pleadings in respect of the first action had not closed by the time the plaintiff came to know of the existence and the </w:t>
      </w:r>
      <w:r w:rsidR="00BB6361" w:rsidRPr="00BB7B21">
        <w:rPr>
          <w:rFonts w:ascii="Arial" w:hAnsi="Arial" w:cs="Arial"/>
          <w:sz w:val="24"/>
          <w:szCs w:val="24"/>
        </w:rPr>
        <w:t xml:space="preserve">identity </w:t>
      </w:r>
      <w:r w:rsidR="00A6441F" w:rsidRPr="00BB7B21">
        <w:rPr>
          <w:rFonts w:ascii="Arial" w:hAnsi="Arial" w:cs="Arial"/>
          <w:sz w:val="24"/>
          <w:szCs w:val="24"/>
        </w:rPr>
        <w:t xml:space="preserve">of Mr Hussey as a joint wrongdoer, and so that it was possible for the plaintiff to give such notice. </w:t>
      </w:r>
    </w:p>
    <w:p w14:paraId="7646DC34" w14:textId="48C9A1AF" w:rsidR="00A6441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6441F" w:rsidRPr="00BB7B21">
        <w:rPr>
          <w:rFonts w:ascii="Arial" w:hAnsi="Arial" w:cs="Arial"/>
          <w:sz w:val="24"/>
          <w:szCs w:val="24"/>
        </w:rPr>
        <w:t xml:space="preserve">Section 2(4)(a) </w:t>
      </w:r>
      <w:r w:rsidR="00A34338" w:rsidRPr="00BB7B21">
        <w:rPr>
          <w:rFonts w:ascii="Arial" w:hAnsi="Arial" w:cs="Arial"/>
          <w:sz w:val="24"/>
          <w:szCs w:val="24"/>
        </w:rPr>
        <w:t xml:space="preserve">of the Act </w:t>
      </w:r>
      <w:r w:rsidR="00A6441F" w:rsidRPr="00BB7B21">
        <w:rPr>
          <w:rFonts w:ascii="Arial" w:hAnsi="Arial" w:cs="Arial"/>
          <w:sz w:val="24"/>
          <w:szCs w:val="24"/>
        </w:rPr>
        <w:t xml:space="preserve">provides that: </w:t>
      </w:r>
    </w:p>
    <w:p w14:paraId="7C8CEA6B" w14:textId="3AD42FEB" w:rsidR="00A6441F" w:rsidRDefault="00A6441F" w:rsidP="00B21A42">
      <w:pPr>
        <w:pStyle w:val="Quotation-New"/>
        <w:tabs>
          <w:tab w:val="left" w:pos="2552"/>
        </w:tabs>
        <w:spacing w:line="360" w:lineRule="auto"/>
        <w:ind w:left="2552" w:hanging="1134"/>
      </w:pPr>
      <w:r>
        <w:t xml:space="preserve">“2(4)(a) </w:t>
      </w:r>
      <w:r w:rsidR="00B21A42">
        <w:tab/>
      </w:r>
      <w:r>
        <w:t xml:space="preserve">If a joint wrongdoer is not sued in an action instituted against another joint wrongdoer and no notice is given to him in terms of paragraph (a) of subsection 2, the plaintiff </w:t>
      </w:r>
      <w:r w:rsidRPr="00BB6361">
        <w:rPr>
          <w:u w:val="single"/>
        </w:rPr>
        <w:t>shall</w:t>
      </w:r>
      <w:r>
        <w:t xml:space="preserve"> not thereafter sue him except with the leave of the court on good cause shown as to why notice was not given as aforesaid.</w:t>
      </w:r>
      <w:r w:rsidRPr="00B21A42">
        <w:rPr>
          <w:i w:val="0"/>
          <w:iCs w:val="0"/>
        </w:rPr>
        <w:t>”</w:t>
      </w:r>
      <w:r w:rsidR="00BB6361">
        <w:rPr>
          <w:rStyle w:val="FootnoteReference"/>
          <w:i w:val="0"/>
          <w:iCs w:val="0"/>
        </w:rPr>
        <w:footnoteReference w:id="4"/>
      </w:r>
      <w:r w:rsidRPr="00B21A42">
        <w:rPr>
          <w:i w:val="0"/>
          <w:iCs w:val="0"/>
        </w:rPr>
        <w:t xml:space="preserve"> </w:t>
      </w:r>
    </w:p>
    <w:p w14:paraId="003559E8" w14:textId="1FC49AB2" w:rsidR="00A6441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A6441F" w:rsidRPr="00BB7B21">
        <w:rPr>
          <w:rFonts w:ascii="Arial" w:hAnsi="Arial" w:cs="Arial"/>
          <w:sz w:val="24"/>
          <w:szCs w:val="24"/>
        </w:rPr>
        <w:t xml:space="preserve">As the plaintiff had launched </w:t>
      </w:r>
      <w:r w:rsidR="00585951" w:rsidRPr="00BB7B21">
        <w:rPr>
          <w:rFonts w:ascii="Arial" w:hAnsi="Arial" w:cs="Arial"/>
          <w:sz w:val="24"/>
          <w:szCs w:val="24"/>
        </w:rPr>
        <w:t>this</w:t>
      </w:r>
      <w:r w:rsidR="00A6441F" w:rsidRPr="00BB7B21">
        <w:rPr>
          <w:rFonts w:ascii="Arial" w:hAnsi="Arial" w:cs="Arial"/>
          <w:sz w:val="24"/>
          <w:szCs w:val="24"/>
        </w:rPr>
        <w:t xml:space="preserve"> second action on 24 March 2020</w:t>
      </w:r>
      <w:r w:rsidR="00BB6361" w:rsidRPr="00BB7B21">
        <w:rPr>
          <w:rFonts w:ascii="Arial" w:hAnsi="Arial" w:cs="Arial"/>
          <w:sz w:val="24"/>
          <w:szCs w:val="24"/>
        </w:rPr>
        <w:t xml:space="preserve"> against </w:t>
      </w:r>
      <w:r w:rsidR="00585951" w:rsidRPr="00BB7B21">
        <w:rPr>
          <w:rFonts w:ascii="Arial" w:hAnsi="Arial" w:cs="Arial"/>
          <w:sz w:val="24"/>
          <w:szCs w:val="24"/>
        </w:rPr>
        <w:t xml:space="preserve">the present defendants who are joint wrongdoers </w:t>
      </w:r>
      <w:r w:rsidR="00A6441F" w:rsidRPr="00BB7B21">
        <w:rPr>
          <w:rFonts w:ascii="Arial" w:hAnsi="Arial" w:cs="Arial"/>
          <w:sz w:val="24"/>
          <w:szCs w:val="24"/>
        </w:rPr>
        <w:t xml:space="preserve">without having given </w:t>
      </w:r>
      <w:r w:rsidR="00FC48C4" w:rsidRPr="00BB7B21">
        <w:rPr>
          <w:rFonts w:ascii="Arial" w:hAnsi="Arial" w:cs="Arial"/>
          <w:sz w:val="24"/>
          <w:szCs w:val="24"/>
        </w:rPr>
        <w:t>the notice required by section 2(2)</w:t>
      </w:r>
      <w:r w:rsidR="00585951" w:rsidRPr="00BB7B21">
        <w:rPr>
          <w:rFonts w:ascii="Arial" w:hAnsi="Arial" w:cs="Arial"/>
          <w:sz w:val="24"/>
          <w:szCs w:val="24"/>
        </w:rPr>
        <w:t xml:space="preserve"> of the Act</w:t>
      </w:r>
      <w:r w:rsidR="00FC48C4" w:rsidRPr="00BB7B21">
        <w:rPr>
          <w:rFonts w:ascii="Arial" w:hAnsi="Arial" w:cs="Arial"/>
          <w:sz w:val="24"/>
          <w:szCs w:val="24"/>
        </w:rPr>
        <w:t>, he fell foul of section 2(4)</w:t>
      </w:r>
      <w:r w:rsidR="00A34338" w:rsidRPr="00BB7B21">
        <w:rPr>
          <w:rFonts w:ascii="Arial" w:hAnsi="Arial" w:cs="Arial"/>
          <w:sz w:val="24"/>
          <w:szCs w:val="24"/>
        </w:rPr>
        <w:t>(a)</w:t>
      </w:r>
      <w:r w:rsidR="00FC48C4" w:rsidRPr="00BB7B21">
        <w:rPr>
          <w:rFonts w:ascii="Arial" w:hAnsi="Arial" w:cs="Arial"/>
          <w:sz w:val="24"/>
          <w:szCs w:val="24"/>
        </w:rPr>
        <w:t xml:space="preserve">. </w:t>
      </w:r>
    </w:p>
    <w:p w14:paraId="5EC64255" w14:textId="654D665E" w:rsidR="00FC48C4"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C48C4" w:rsidRPr="00BB7B21">
        <w:rPr>
          <w:rFonts w:ascii="Arial" w:hAnsi="Arial" w:cs="Arial"/>
          <w:sz w:val="24"/>
          <w:szCs w:val="24"/>
        </w:rPr>
        <w:t>Mr Hussey, as one of the defendants who had not been given notice before being sued in th</w:t>
      </w:r>
      <w:r w:rsidR="00585951" w:rsidRPr="00BB7B21">
        <w:rPr>
          <w:rFonts w:ascii="Arial" w:hAnsi="Arial" w:cs="Arial"/>
          <w:sz w:val="24"/>
          <w:szCs w:val="24"/>
        </w:rPr>
        <w:t>is</w:t>
      </w:r>
      <w:r w:rsidR="00FC48C4" w:rsidRPr="00BB7B21">
        <w:rPr>
          <w:rFonts w:ascii="Arial" w:hAnsi="Arial" w:cs="Arial"/>
          <w:sz w:val="24"/>
          <w:szCs w:val="24"/>
        </w:rPr>
        <w:t xml:space="preserve"> second action, raised</w:t>
      </w:r>
      <w:r w:rsidR="00A34338" w:rsidRPr="00BB7B21">
        <w:rPr>
          <w:rFonts w:ascii="Arial" w:hAnsi="Arial" w:cs="Arial"/>
          <w:sz w:val="24"/>
          <w:szCs w:val="24"/>
        </w:rPr>
        <w:t xml:space="preserve"> </w:t>
      </w:r>
      <w:r w:rsidR="00FC48C4" w:rsidRPr="00BB7B21">
        <w:rPr>
          <w:rFonts w:ascii="Arial" w:hAnsi="Arial" w:cs="Arial"/>
          <w:sz w:val="24"/>
          <w:szCs w:val="24"/>
        </w:rPr>
        <w:t xml:space="preserve">this failure of the plaintiff to give </w:t>
      </w:r>
      <w:r w:rsidR="00585951" w:rsidRPr="00BB7B21">
        <w:rPr>
          <w:rFonts w:ascii="Arial" w:hAnsi="Arial" w:cs="Arial"/>
          <w:sz w:val="24"/>
          <w:szCs w:val="24"/>
        </w:rPr>
        <w:t xml:space="preserve">the </w:t>
      </w:r>
      <w:r w:rsidR="00FC48C4" w:rsidRPr="00BB7B21">
        <w:rPr>
          <w:rFonts w:ascii="Arial" w:hAnsi="Arial" w:cs="Arial"/>
          <w:sz w:val="24"/>
          <w:szCs w:val="24"/>
        </w:rPr>
        <w:t>notice</w:t>
      </w:r>
      <w:r w:rsidR="00A34338" w:rsidRPr="00BB7B21">
        <w:rPr>
          <w:rFonts w:ascii="Arial" w:hAnsi="Arial" w:cs="Arial"/>
          <w:sz w:val="24"/>
          <w:szCs w:val="24"/>
        </w:rPr>
        <w:t xml:space="preserve"> required in terms of </w:t>
      </w:r>
      <w:r w:rsidR="00FC48C4" w:rsidRPr="00BB7B21">
        <w:rPr>
          <w:rFonts w:ascii="Arial" w:hAnsi="Arial" w:cs="Arial"/>
          <w:sz w:val="24"/>
          <w:szCs w:val="24"/>
        </w:rPr>
        <w:t xml:space="preserve">section </w:t>
      </w:r>
      <w:r w:rsidR="00A34338" w:rsidRPr="00BB7B21">
        <w:rPr>
          <w:rFonts w:ascii="Arial" w:hAnsi="Arial" w:cs="Arial"/>
          <w:sz w:val="24"/>
          <w:szCs w:val="24"/>
        </w:rPr>
        <w:t>2(2)</w:t>
      </w:r>
      <w:r w:rsidR="00FC48C4" w:rsidRPr="00BB7B21">
        <w:rPr>
          <w:rFonts w:ascii="Arial" w:hAnsi="Arial" w:cs="Arial"/>
          <w:sz w:val="24"/>
          <w:szCs w:val="24"/>
        </w:rPr>
        <w:t xml:space="preserve"> of the Act</w:t>
      </w:r>
      <w:r w:rsidR="00585951" w:rsidRPr="00BB7B21">
        <w:rPr>
          <w:rFonts w:ascii="Arial" w:hAnsi="Arial" w:cs="Arial"/>
          <w:sz w:val="24"/>
          <w:szCs w:val="24"/>
        </w:rPr>
        <w:t xml:space="preserve"> by way of a special plea on 8 June 2020</w:t>
      </w:r>
      <w:r w:rsidR="00A34338" w:rsidRPr="00BB7B21">
        <w:rPr>
          <w:rFonts w:ascii="Arial" w:hAnsi="Arial" w:cs="Arial"/>
          <w:sz w:val="24"/>
          <w:szCs w:val="24"/>
        </w:rPr>
        <w:t>, and so</w:t>
      </w:r>
      <w:r w:rsidR="00585951" w:rsidRPr="00BB7B21">
        <w:rPr>
          <w:rFonts w:ascii="Arial" w:hAnsi="Arial" w:cs="Arial"/>
          <w:sz w:val="24"/>
          <w:szCs w:val="24"/>
        </w:rPr>
        <w:t xml:space="preserve"> that</w:t>
      </w:r>
      <w:r w:rsidR="00A34338" w:rsidRPr="00BB7B21">
        <w:rPr>
          <w:rFonts w:ascii="Arial" w:hAnsi="Arial" w:cs="Arial"/>
          <w:sz w:val="24"/>
          <w:szCs w:val="24"/>
        </w:rPr>
        <w:t xml:space="preserve"> the plaintiff </w:t>
      </w:r>
      <w:r w:rsidR="00585951" w:rsidRPr="00BB7B21">
        <w:rPr>
          <w:rFonts w:ascii="Arial" w:hAnsi="Arial" w:cs="Arial"/>
          <w:sz w:val="24"/>
          <w:szCs w:val="24"/>
        </w:rPr>
        <w:t xml:space="preserve">was </w:t>
      </w:r>
      <w:r w:rsidR="00A34338" w:rsidRPr="00BB7B21">
        <w:rPr>
          <w:rFonts w:ascii="Arial" w:hAnsi="Arial" w:cs="Arial"/>
          <w:sz w:val="24"/>
          <w:szCs w:val="24"/>
        </w:rPr>
        <w:t xml:space="preserve">precluded in terms of section 2(4)(a) from instituting the present proceedings. Mr Hussey pleads that in the circumstances the institution of the present proceedings are </w:t>
      </w:r>
      <w:r w:rsidR="00A466D7" w:rsidRPr="00BB7B21">
        <w:rPr>
          <w:rFonts w:ascii="Arial" w:hAnsi="Arial" w:cs="Arial"/>
          <w:sz w:val="24"/>
          <w:szCs w:val="24"/>
        </w:rPr>
        <w:t>‘</w:t>
      </w:r>
      <w:r w:rsidR="00A34338" w:rsidRPr="00BB7B21">
        <w:rPr>
          <w:rFonts w:ascii="Arial" w:hAnsi="Arial" w:cs="Arial"/>
          <w:sz w:val="24"/>
          <w:szCs w:val="24"/>
        </w:rPr>
        <w:t>unlawful and thus a nullity</w:t>
      </w:r>
      <w:r w:rsidR="00585951" w:rsidRPr="00BB7B21">
        <w:rPr>
          <w:rFonts w:ascii="Arial" w:hAnsi="Arial" w:cs="Arial"/>
          <w:sz w:val="24"/>
          <w:szCs w:val="24"/>
        </w:rPr>
        <w:t>’</w:t>
      </w:r>
      <w:r w:rsidR="00363B42" w:rsidRPr="00BB7B21">
        <w:rPr>
          <w:rFonts w:ascii="Arial" w:hAnsi="Arial" w:cs="Arial"/>
          <w:sz w:val="24"/>
          <w:szCs w:val="24"/>
        </w:rPr>
        <w:t>, and so are to be dismissed with costs.</w:t>
      </w:r>
    </w:p>
    <w:p w14:paraId="50AA3801" w14:textId="04FA5204" w:rsidR="00DB07C6"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C48C4" w:rsidRPr="00BB7B21">
        <w:rPr>
          <w:rFonts w:ascii="Arial" w:hAnsi="Arial" w:cs="Arial"/>
          <w:sz w:val="24"/>
          <w:szCs w:val="24"/>
        </w:rPr>
        <w:t>Nothing much appears to have happened in the actions until some</w:t>
      </w:r>
      <w:r w:rsidR="00363B42" w:rsidRPr="00BB7B21">
        <w:rPr>
          <w:rFonts w:ascii="Arial" w:hAnsi="Arial" w:cs="Arial"/>
          <w:sz w:val="24"/>
          <w:szCs w:val="24"/>
        </w:rPr>
        <w:t xml:space="preserve"> eighteen</w:t>
      </w:r>
      <w:r w:rsidR="00B21A42" w:rsidRPr="00BB7B21">
        <w:rPr>
          <w:rFonts w:ascii="Arial" w:hAnsi="Arial" w:cs="Arial"/>
          <w:sz w:val="24"/>
          <w:szCs w:val="24"/>
        </w:rPr>
        <w:t> </w:t>
      </w:r>
      <w:r w:rsidR="00FC48C4" w:rsidRPr="00BB7B21">
        <w:rPr>
          <w:rFonts w:ascii="Arial" w:hAnsi="Arial" w:cs="Arial"/>
          <w:sz w:val="24"/>
          <w:szCs w:val="24"/>
        </w:rPr>
        <w:t>months later, in November 2021</w:t>
      </w:r>
      <w:r w:rsidR="00363B42" w:rsidRPr="00BB7B21">
        <w:rPr>
          <w:rFonts w:ascii="Arial" w:hAnsi="Arial" w:cs="Arial"/>
          <w:sz w:val="24"/>
          <w:szCs w:val="24"/>
        </w:rPr>
        <w:t>,</w:t>
      </w:r>
      <w:r w:rsidR="00FC48C4" w:rsidRPr="00BB7B21">
        <w:rPr>
          <w:rFonts w:ascii="Arial" w:hAnsi="Arial" w:cs="Arial"/>
          <w:sz w:val="24"/>
          <w:szCs w:val="24"/>
        </w:rPr>
        <w:t xml:space="preserve"> when the applicant appointed his current attorneys of record an</w:t>
      </w:r>
      <w:r w:rsidR="00363B42" w:rsidRPr="00BB7B21">
        <w:rPr>
          <w:rFonts w:ascii="Arial" w:hAnsi="Arial" w:cs="Arial"/>
          <w:sz w:val="24"/>
          <w:szCs w:val="24"/>
        </w:rPr>
        <w:t>d</w:t>
      </w:r>
      <w:r w:rsidR="00FC48C4" w:rsidRPr="00BB7B21">
        <w:rPr>
          <w:rFonts w:ascii="Arial" w:hAnsi="Arial" w:cs="Arial"/>
          <w:sz w:val="24"/>
          <w:szCs w:val="24"/>
        </w:rPr>
        <w:t xml:space="preserve"> launched an application for the consolidation of the two actions. Mr Hussey opposed the consolidation action </w:t>
      </w:r>
      <w:r w:rsidR="00FC48C4" w:rsidRPr="00BB7B21">
        <w:rPr>
          <w:rFonts w:ascii="Arial" w:hAnsi="Arial" w:cs="Arial"/>
          <w:i/>
          <w:iCs/>
          <w:sz w:val="24"/>
          <w:szCs w:val="24"/>
        </w:rPr>
        <w:t>inter alia</w:t>
      </w:r>
      <w:r w:rsidR="00FC48C4" w:rsidRPr="00BB7B21">
        <w:rPr>
          <w:rFonts w:ascii="Arial" w:hAnsi="Arial" w:cs="Arial"/>
          <w:sz w:val="24"/>
          <w:szCs w:val="24"/>
        </w:rPr>
        <w:t xml:space="preserve"> on the basis that the actions cannot be consolidated</w:t>
      </w:r>
      <w:r w:rsidR="00585951" w:rsidRPr="00BB7B21">
        <w:rPr>
          <w:rFonts w:ascii="Arial" w:hAnsi="Arial" w:cs="Arial"/>
          <w:sz w:val="24"/>
          <w:szCs w:val="24"/>
        </w:rPr>
        <w:t xml:space="preserve"> as the</w:t>
      </w:r>
      <w:r w:rsidR="00FC48C4" w:rsidRPr="00BB7B21">
        <w:rPr>
          <w:rFonts w:ascii="Arial" w:hAnsi="Arial" w:cs="Arial"/>
          <w:sz w:val="24"/>
          <w:szCs w:val="24"/>
        </w:rPr>
        <w:t xml:space="preserve"> second action had been launched without complying with sections 2(2)</w:t>
      </w:r>
      <w:r w:rsidR="00B21A42" w:rsidRPr="00BB7B21">
        <w:rPr>
          <w:rFonts w:ascii="Arial" w:hAnsi="Arial" w:cs="Arial"/>
          <w:sz w:val="24"/>
          <w:szCs w:val="24"/>
        </w:rPr>
        <w:t xml:space="preserve"> and </w:t>
      </w:r>
      <w:r w:rsidR="00FC48C4" w:rsidRPr="00BB7B21">
        <w:rPr>
          <w:rFonts w:ascii="Arial" w:hAnsi="Arial" w:cs="Arial"/>
          <w:sz w:val="24"/>
          <w:szCs w:val="24"/>
        </w:rPr>
        <w:t xml:space="preserve">(4) of the Act. </w:t>
      </w:r>
    </w:p>
    <w:p w14:paraId="705F8AFD" w14:textId="0943B402" w:rsidR="00FC48C4"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C48C4" w:rsidRPr="00BB7B21">
        <w:rPr>
          <w:rFonts w:ascii="Arial" w:hAnsi="Arial" w:cs="Arial"/>
          <w:sz w:val="24"/>
          <w:szCs w:val="24"/>
        </w:rPr>
        <w:t>This precipitated the plaintiff some nine months later</w:t>
      </w:r>
      <w:r w:rsidR="00363B42" w:rsidRPr="00BB7B21">
        <w:rPr>
          <w:rFonts w:ascii="Arial" w:hAnsi="Arial" w:cs="Arial"/>
          <w:sz w:val="24"/>
          <w:szCs w:val="24"/>
        </w:rPr>
        <w:t>,</w:t>
      </w:r>
      <w:r w:rsidR="00FC48C4" w:rsidRPr="00BB7B21">
        <w:rPr>
          <w:rFonts w:ascii="Arial" w:hAnsi="Arial" w:cs="Arial"/>
          <w:sz w:val="24"/>
          <w:szCs w:val="24"/>
        </w:rPr>
        <w:t xml:space="preserve"> in September 2022</w:t>
      </w:r>
      <w:r w:rsidR="00363B42" w:rsidRPr="00BB7B21">
        <w:rPr>
          <w:rFonts w:ascii="Arial" w:hAnsi="Arial" w:cs="Arial"/>
          <w:sz w:val="24"/>
          <w:szCs w:val="24"/>
        </w:rPr>
        <w:t>,</w:t>
      </w:r>
      <w:r w:rsidR="00FC48C4" w:rsidRPr="00BB7B21">
        <w:rPr>
          <w:rFonts w:ascii="Arial" w:hAnsi="Arial" w:cs="Arial"/>
          <w:sz w:val="24"/>
          <w:szCs w:val="24"/>
        </w:rPr>
        <w:t xml:space="preserve"> launching this application seeking the leave of the court </w:t>
      </w:r>
      <w:r w:rsidR="00363B42" w:rsidRPr="00BB7B21">
        <w:rPr>
          <w:rFonts w:ascii="Arial" w:hAnsi="Arial" w:cs="Arial"/>
          <w:sz w:val="24"/>
          <w:szCs w:val="24"/>
        </w:rPr>
        <w:t xml:space="preserve">in terms of section 2(4)(a) of the Act </w:t>
      </w:r>
      <w:r w:rsidR="00FC48C4" w:rsidRPr="00BB7B21">
        <w:rPr>
          <w:rFonts w:ascii="Arial" w:hAnsi="Arial" w:cs="Arial"/>
          <w:sz w:val="24"/>
          <w:szCs w:val="24"/>
        </w:rPr>
        <w:t>to proceed with the second action</w:t>
      </w:r>
      <w:r w:rsidR="00363B42" w:rsidRPr="00BB7B21">
        <w:rPr>
          <w:rFonts w:ascii="Arial" w:hAnsi="Arial" w:cs="Arial"/>
          <w:sz w:val="24"/>
          <w:szCs w:val="24"/>
        </w:rPr>
        <w:t>.</w:t>
      </w:r>
    </w:p>
    <w:p w14:paraId="573B8147" w14:textId="130B539E" w:rsidR="00046517"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C48C4" w:rsidRPr="00BB7B21">
        <w:rPr>
          <w:rFonts w:ascii="Arial" w:hAnsi="Arial" w:cs="Arial"/>
          <w:sz w:val="24"/>
          <w:szCs w:val="24"/>
        </w:rPr>
        <w:t xml:space="preserve">Mr Hussey opposes the application on the basis that the leave of the court cannot be sought </w:t>
      </w:r>
      <w:r w:rsidR="00FC48C4" w:rsidRPr="00BB7B21">
        <w:rPr>
          <w:rFonts w:ascii="Arial" w:hAnsi="Arial" w:cs="Arial"/>
          <w:sz w:val="24"/>
          <w:szCs w:val="24"/>
          <w:u w:val="single"/>
        </w:rPr>
        <w:t>after</w:t>
      </w:r>
      <w:r w:rsidR="00FC48C4" w:rsidRPr="00BB7B21">
        <w:rPr>
          <w:rFonts w:ascii="Arial" w:hAnsi="Arial" w:cs="Arial"/>
          <w:sz w:val="24"/>
          <w:szCs w:val="24"/>
        </w:rPr>
        <w:t xml:space="preserve"> the action had already been instituted</w:t>
      </w:r>
      <w:r w:rsidR="00363B42" w:rsidRPr="00BB7B21">
        <w:rPr>
          <w:rFonts w:ascii="Arial" w:hAnsi="Arial" w:cs="Arial"/>
          <w:sz w:val="24"/>
          <w:szCs w:val="24"/>
        </w:rPr>
        <w:t xml:space="preserve">, </w:t>
      </w:r>
      <w:r w:rsidR="00FC48C4" w:rsidRPr="00BB7B21">
        <w:rPr>
          <w:rFonts w:ascii="Arial" w:hAnsi="Arial" w:cs="Arial"/>
          <w:sz w:val="24"/>
          <w:szCs w:val="24"/>
        </w:rPr>
        <w:t xml:space="preserve">the </w:t>
      </w:r>
      <w:r w:rsidR="00FC48C4" w:rsidRPr="00BB7B21">
        <w:rPr>
          <w:rFonts w:ascii="Arial" w:hAnsi="Arial" w:cs="Arial"/>
          <w:sz w:val="24"/>
          <w:szCs w:val="24"/>
        </w:rPr>
        <w:lastRenderedPageBreak/>
        <w:t xml:space="preserve">institution of the action </w:t>
      </w:r>
      <w:r w:rsidR="00363B42" w:rsidRPr="00BB7B21">
        <w:rPr>
          <w:rFonts w:ascii="Arial" w:hAnsi="Arial" w:cs="Arial"/>
          <w:sz w:val="24"/>
          <w:szCs w:val="24"/>
        </w:rPr>
        <w:t>being</w:t>
      </w:r>
      <w:r w:rsidR="00FC48C4" w:rsidRPr="00BB7B21">
        <w:rPr>
          <w:rFonts w:ascii="Arial" w:hAnsi="Arial" w:cs="Arial"/>
          <w:sz w:val="24"/>
          <w:szCs w:val="24"/>
        </w:rPr>
        <w:t xml:space="preserve"> a nullity and which nullity cannot be cured after the event by leave now being sought and granted in terms of section 2(4)(a). The plaintiff on the other hand contends that the leave of the court need not be sought before the institution of the action.</w:t>
      </w:r>
    </w:p>
    <w:p w14:paraId="72E7813A" w14:textId="50CA8D40" w:rsidR="00FC48C4"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C48C4" w:rsidRPr="00BB7B21">
        <w:rPr>
          <w:rFonts w:ascii="Arial" w:hAnsi="Arial" w:cs="Arial"/>
          <w:sz w:val="24"/>
          <w:szCs w:val="24"/>
        </w:rPr>
        <w:t>This then is the first issue to be decided</w:t>
      </w:r>
      <w:r w:rsidR="00046517" w:rsidRPr="00BB7B21">
        <w:rPr>
          <w:rFonts w:ascii="Arial" w:hAnsi="Arial" w:cs="Arial"/>
          <w:sz w:val="24"/>
          <w:szCs w:val="24"/>
        </w:rPr>
        <w:t>.</w:t>
      </w:r>
    </w:p>
    <w:p w14:paraId="51724FC2" w14:textId="5CFDBEB6" w:rsidR="00FC48C4"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C48C4" w:rsidRPr="00BB7B21">
        <w:rPr>
          <w:rFonts w:ascii="Arial" w:hAnsi="Arial" w:cs="Arial"/>
          <w:sz w:val="24"/>
          <w:szCs w:val="24"/>
        </w:rPr>
        <w:t>The second issue to be decided, if such leave can be granted after the event, is whether</w:t>
      </w:r>
      <w:r w:rsidR="00046517" w:rsidRPr="00BB7B21">
        <w:rPr>
          <w:rFonts w:ascii="Arial" w:hAnsi="Arial" w:cs="Arial"/>
          <w:sz w:val="24"/>
          <w:szCs w:val="24"/>
        </w:rPr>
        <w:t xml:space="preserve"> the plaintiff has shown</w:t>
      </w:r>
      <w:r w:rsidR="00FC48C4" w:rsidRPr="00BB7B21">
        <w:rPr>
          <w:rFonts w:ascii="Arial" w:hAnsi="Arial" w:cs="Arial"/>
          <w:sz w:val="24"/>
          <w:szCs w:val="24"/>
        </w:rPr>
        <w:t xml:space="preserve"> good cause why leave should be granted</w:t>
      </w:r>
      <w:r w:rsidR="00046517" w:rsidRPr="00BB7B21">
        <w:rPr>
          <w:rFonts w:ascii="Arial" w:hAnsi="Arial" w:cs="Arial"/>
          <w:sz w:val="24"/>
          <w:szCs w:val="24"/>
        </w:rPr>
        <w:t xml:space="preserve"> in terms of section 2(4)(a) of the Act.</w:t>
      </w:r>
    </w:p>
    <w:p w14:paraId="52D1BC1D" w14:textId="303BCB24" w:rsidR="00FC48C4" w:rsidRPr="00FC48C4" w:rsidRDefault="00FC48C4" w:rsidP="00FC48C4">
      <w:pPr>
        <w:spacing w:before="360" w:after="360" w:line="480" w:lineRule="auto"/>
        <w:ind w:right="567"/>
        <w:jc w:val="both"/>
        <w:rPr>
          <w:rFonts w:ascii="Arial" w:hAnsi="Arial" w:cs="Arial"/>
          <w:sz w:val="24"/>
          <w:szCs w:val="24"/>
        </w:rPr>
      </w:pPr>
      <w:r>
        <w:rPr>
          <w:rFonts w:ascii="Arial" w:hAnsi="Arial" w:cs="Arial"/>
          <w:sz w:val="24"/>
          <w:szCs w:val="24"/>
        </w:rPr>
        <w:t>CAN LEAVE IN TERMS OF SECTION 2(4)</w:t>
      </w:r>
      <w:r w:rsidR="00046517">
        <w:rPr>
          <w:rFonts w:ascii="Arial" w:hAnsi="Arial" w:cs="Arial"/>
          <w:sz w:val="24"/>
          <w:szCs w:val="24"/>
        </w:rPr>
        <w:t>(a)</w:t>
      </w:r>
      <w:r>
        <w:rPr>
          <w:rFonts w:ascii="Arial" w:hAnsi="Arial" w:cs="Arial"/>
          <w:sz w:val="24"/>
          <w:szCs w:val="24"/>
        </w:rPr>
        <w:t xml:space="preserve"> OF THE APPORTIONMENT OF DAMAGES ACT BE GRANTED </w:t>
      </w:r>
      <w:r w:rsidRPr="00046517">
        <w:rPr>
          <w:rFonts w:ascii="Arial" w:hAnsi="Arial" w:cs="Arial"/>
          <w:sz w:val="24"/>
          <w:szCs w:val="24"/>
          <w:u w:val="single"/>
        </w:rPr>
        <w:t>AFTER</w:t>
      </w:r>
      <w:r>
        <w:rPr>
          <w:rFonts w:ascii="Arial" w:hAnsi="Arial" w:cs="Arial"/>
          <w:sz w:val="24"/>
          <w:szCs w:val="24"/>
        </w:rPr>
        <w:t xml:space="preserve"> THE INSTITUTION OF THE </w:t>
      </w:r>
      <w:r w:rsidR="000A1941">
        <w:rPr>
          <w:rFonts w:ascii="Arial" w:hAnsi="Arial" w:cs="Arial"/>
          <w:sz w:val="24"/>
          <w:szCs w:val="24"/>
        </w:rPr>
        <w:t>FURTHER ACTION</w:t>
      </w:r>
      <w:r>
        <w:rPr>
          <w:rFonts w:ascii="Arial" w:hAnsi="Arial" w:cs="Arial"/>
          <w:sz w:val="24"/>
          <w:szCs w:val="24"/>
        </w:rPr>
        <w:t xml:space="preserve"> IN WHICH THAT JOINT WRONGDOER HAS BEEN SUED? </w:t>
      </w:r>
    </w:p>
    <w:p w14:paraId="6F9FB8CC" w14:textId="6C3A7E7E" w:rsidR="006E011C"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46517" w:rsidRPr="00BB7B21">
        <w:rPr>
          <w:rFonts w:ascii="Arial" w:hAnsi="Arial" w:cs="Arial"/>
          <w:sz w:val="24"/>
          <w:szCs w:val="24"/>
        </w:rPr>
        <w:t>As stated, i</w:t>
      </w:r>
      <w:r w:rsidR="00FC48C4" w:rsidRPr="00BB7B21">
        <w:rPr>
          <w:rFonts w:ascii="Arial" w:hAnsi="Arial" w:cs="Arial"/>
          <w:sz w:val="24"/>
          <w:szCs w:val="24"/>
        </w:rPr>
        <w:t xml:space="preserve">t appears that this issue is </w:t>
      </w:r>
      <w:r w:rsidR="00FC48C4" w:rsidRPr="00BB7B21">
        <w:rPr>
          <w:rFonts w:ascii="Arial" w:hAnsi="Arial" w:cs="Arial"/>
          <w:i/>
          <w:iCs/>
          <w:sz w:val="24"/>
          <w:szCs w:val="24"/>
        </w:rPr>
        <w:t>res nova</w:t>
      </w:r>
      <w:r w:rsidR="00FC48C4" w:rsidRPr="00BB7B21">
        <w:rPr>
          <w:rFonts w:ascii="Arial" w:hAnsi="Arial" w:cs="Arial"/>
          <w:sz w:val="24"/>
          <w:szCs w:val="24"/>
        </w:rPr>
        <w:t xml:space="preserve">. Neither parties’ counsel was able to refer to any authorities that have considered this issue nor have I been able to find any authorities. </w:t>
      </w:r>
    </w:p>
    <w:p w14:paraId="7647A45F" w14:textId="402490DA" w:rsidR="00046517"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C48C4" w:rsidRPr="00BB7B21">
        <w:rPr>
          <w:rFonts w:ascii="Arial" w:hAnsi="Arial" w:cs="Arial"/>
          <w:sz w:val="24"/>
          <w:szCs w:val="24"/>
        </w:rPr>
        <w:t xml:space="preserve">Although </w:t>
      </w:r>
      <w:r w:rsidR="00585951" w:rsidRPr="00BB7B21">
        <w:rPr>
          <w:rFonts w:ascii="Arial" w:hAnsi="Arial" w:cs="Arial"/>
          <w:sz w:val="24"/>
          <w:szCs w:val="24"/>
        </w:rPr>
        <w:t>from a</w:t>
      </w:r>
      <w:r w:rsidR="00FC48C4" w:rsidRPr="00BB7B21">
        <w:rPr>
          <w:rFonts w:ascii="Arial" w:hAnsi="Arial" w:cs="Arial"/>
          <w:sz w:val="24"/>
          <w:szCs w:val="24"/>
        </w:rPr>
        <w:t xml:space="preserve"> cursory reading of </w:t>
      </w:r>
      <w:r w:rsidR="00FC48C4" w:rsidRPr="00BB7B21">
        <w:rPr>
          <w:rFonts w:ascii="Arial" w:hAnsi="Arial" w:cs="Arial"/>
          <w:i/>
          <w:iCs/>
          <w:sz w:val="24"/>
          <w:szCs w:val="24"/>
        </w:rPr>
        <w:t xml:space="preserve">ABSA Brokers (Pty) </w:t>
      </w:r>
      <w:r w:rsidR="00B21A42" w:rsidRPr="00BB7B21">
        <w:rPr>
          <w:rFonts w:ascii="Arial" w:hAnsi="Arial" w:cs="Arial"/>
          <w:i/>
          <w:iCs/>
          <w:sz w:val="24"/>
          <w:szCs w:val="24"/>
        </w:rPr>
        <w:t xml:space="preserve">Limited </w:t>
      </w:r>
      <w:r w:rsidR="00FC48C4" w:rsidRPr="00BB7B21">
        <w:rPr>
          <w:rFonts w:ascii="Arial" w:hAnsi="Arial" w:cs="Arial"/>
          <w:i/>
          <w:iCs/>
          <w:sz w:val="24"/>
          <w:szCs w:val="24"/>
        </w:rPr>
        <w:t xml:space="preserve">v RMB Financial Services and Others </w:t>
      </w:r>
      <w:r w:rsidR="00FC48C4" w:rsidRPr="00BB7B21">
        <w:rPr>
          <w:rFonts w:ascii="Arial" w:hAnsi="Arial" w:cs="Arial"/>
          <w:sz w:val="24"/>
          <w:szCs w:val="24"/>
        </w:rPr>
        <w:t>2009 (6) SA 549 (SCA)</w:t>
      </w:r>
      <w:r w:rsidR="00046517" w:rsidRPr="00BB7B21">
        <w:rPr>
          <w:rFonts w:ascii="Arial" w:hAnsi="Arial" w:cs="Arial"/>
          <w:sz w:val="24"/>
          <w:szCs w:val="24"/>
        </w:rPr>
        <w:t xml:space="preserve"> it may </w:t>
      </w:r>
      <w:r w:rsidR="00FC48C4" w:rsidRPr="00BB7B21">
        <w:rPr>
          <w:rFonts w:ascii="Arial" w:hAnsi="Arial" w:cs="Arial"/>
          <w:sz w:val="24"/>
          <w:szCs w:val="24"/>
        </w:rPr>
        <w:t xml:space="preserve">appear </w:t>
      </w:r>
      <w:r w:rsidR="00046517" w:rsidRPr="00BB7B21">
        <w:rPr>
          <w:rFonts w:ascii="Arial" w:hAnsi="Arial" w:cs="Arial"/>
          <w:sz w:val="24"/>
          <w:szCs w:val="24"/>
        </w:rPr>
        <w:t xml:space="preserve">that the </w:t>
      </w:r>
      <w:r w:rsidR="00585951" w:rsidRPr="00BB7B21">
        <w:rPr>
          <w:rFonts w:ascii="Arial" w:hAnsi="Arial" w:cs="Arial"/>
          <w:sz w:val="24"/>
          <w:szCs w:val="24"/>
        </w:rPr>
        <w:t>Supreme Court of Appeal</w:t>
      </w:r>
      <w:r w:rsidR="00046517" w:rsidRPr="00BB7B21">
        <w:rPr>
          <w:rFonts w:ascii="Arial" w:hAnsi="Arial" w:cs="Arial"/>
          <w:sz w:val="24"/>
          <w:szCs w:val="24"/>
        </w:rPr>
        <w:t xml:space="preserve"> found </w:t>
      </w:r>
      <w:r w:rsidR="00FC48C4" w:rsidRPr="00BB7B21">
        <w:rPr>
          <w:rFonts w:ascii="Arial" w:hAnsi="Arial" w:cs="Arial"/>
          <w:sz w:val="24"/>
          <w:szCs w:val="24"/>
        </w:rPr>
        <w:t xml:space="preserve">that the leave of the court had to be obtained </w:t>
      </w:r>
      <w:r w:rsidR="00FC48C4" w:rsidRPr="00BB7B21">
        <w:rPr>
          <w:rFonts w:ascii="Arial" w:hAnsi="Arial" w:cs="Arial"/>
          <w:sz w:val="24"/>
          <w:szCs w:val="24"/>
          <w:u w:val="single"/>
        </w:rPr>
        <w:t>before</w:t>
      </w:r>
      <w:r w:rsidR="008E14A0" w:rsidRPr="00BB7B21">
        <w:rPr>
          <w:rFonts w:ascii="Arial" w:hAnsi="Arial" w:cs="Arial"/>
          <w:sz w:val="24"/>
          <w:szCs w:val="24"/>
        </w:rPr>
        <w:t xml:space="preserve"> </w:t>
      </w:r>
      <w:r w:rsidR="00FC48C4" w:rsidRPr="00BB7B21">
        <w:rPr>
          <w:rFonts w:ascii="Arial" w:hAnsi="Arial" w:cs="Arial"/>
          <w:sz w:val="24"/>
          <w:szCs w:val="24"/>
        </w:rPr>
        <w:t>further joint wrongdoers could be sued</w:t>
      </w:r>
      <w:r w:rsidR="00B21A42" w:rsidRPr="00BB7B21">
        <w:rPr>
          <w:rFonts w:ascii="Arial" w:hAnsi="Arial" w:cs="Arial"/>
          <w:sz w:val="24"/>
          <w:szCs w:val="24"/>
        </w:rPr>
        <w:t>,</w:t>
      </w:r>
      <w:r w:rsidR="00FC48C4">
        <w:rPr>
          <w:rStyle w:val="FootnoteReference"/>
          <w:rFonts w:ascii="Arial" w:hAnsi="Arial" w:cs="Arial"/>
          <w:sz w:val="24"/>
          <w:szCs w:val="24"/>
        </w:rPr>
        <w:footnoteReference w:id="5"/>
      </w:r>
      <w:r w:rsidR="00FC48C4" w:rsidRPr="00BB7B21">
        <w:rPr>
          <w:rFonts w:ascii="Arial" w:hAnsi="Arial" w:cs="Arial"/>
          <w:sz w:val="24"/>
          <w:szCs w:val="24"/>
        </w:rPr>
        <w:t xml:space="preserve"> a closer reading </w:t>
      </w:r>
      <w:r w:rsidR="00FC48C4" w:rsidRPr="00BB7B21">
        <w:rPr>
          <w:rFonts w:ascii="Arial" w:hAnsi="Arial" w:cs="Arial"/>
          <w:sz w:val="24"/>
          <w:szCs w:val="24"/>
        </w:rPr>
        <w:lastRenderedPageBreak/>
        <w:t xml:space="preserve">of the judgment shows that this was not an issue before the </w:t>
      </w:r>
      <w:r w:rsidR="001205A6" w:rsidRPr="00BB7B21">
        <w:rPr>
          <w:rFonts w:ascii="Arial" w:hAnsi="Arial" w:cs="Arial"/>
          <w:sz w:val="24"/>
          <w:szCs w:val="24"/>
        </w:rPr>
        <w:t xml:space="preserve">appeal </w:t>
      </w:r>
      <w:r w:rsidR="00FC48C4" w:rsidRPr="00BB7B21">
        <w:rPr>
          <w:rFonts w:ascii="Arial" w:hAnsi="Arial" w:cs="Arial"/>
          <w:sz w:val="24"/>
          <w:szCs w:val="24"/>
        </w:rPr>
        <w:t xml:space="preserve">court and was not an issue that was decided by the </w:t>
      </w:r>
      <w:r w:rsidR="001205A6" w:rsidRPr="00BB7B21">
        <w:rPr>
          <w:rFonts w:ascii="Arial" w:hAnsi="Arial" w:cs="Arial"/>
          <w:sz w:val="24"/>
          <w:szCs w:val="24"/>
        </w:rPr>
        <w:t xml:space="preserve">appeal </w:t>
      </w:r>
      <w:r w:rsidR="00FC48C4" w:rsidRPr="00BB7B21">
        <w:rPr>
          <w:rFonts w:ascii="Arial" w:hAnsi="Arial" w:cs="Arial"/>
          <w:sz w:val="24"/>
          <w:szCs w:val="24"/>
        </w:rPr>
        <w:t>court.</w:t>
      </w:r>
    </w:p>
    <w:p w14:paraId="7EC2A6F5" w14:textId="56E17B4A" w:rsidR="00FC48C4"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C48C4" w:rsidRPr="00BB7B21">
        <w:rPr>
          <w:rFonts w:ascii="Arial" w:hAnsi="Arial" w:cs="Arial"/>
          <w:sz w:val="24"/>
          <w:szCs w:val="24"/>
        </w:rPr>
        <w:t xml:space="preserve">What was before the Supreme Court of Appeal was the correctness of the decision of </w:t>
      </w:r>
      <w:r w:rsidR="00FC48C4" w:rsidRPr="00BB7B21">
        <w:rPr>
          <w:rFonts w:ascii="Arial" w:hAnsi="Arial" w:cs="Arial"/>
          <w:i/>
          <w:iCs/>
          <w:sz w:val="24"/>
          <w:szCs w:val="24"/>
        </w:rPr>
        <w:t>Becker v Kellerman</w:t>
      </w:r>
      <w:r w:rsidR="00FC48C4" w:rsidRPr="00BB7B21">
        <w:rPr>
          <w:rFonts w:ascii="Arial" w:hAnsi="Arial" w:cs="Arial"/>
          <w:sz w:val="24"/>
          <w:szCs w:val="24"/>
        </w:rPr>
        <w:t xml:space="preserve"> 1971 (2) SA 172</w:t>
      </w:r>
      <w:r w:rsidR="00B21A42" w:rsidRPr="00BB7B21">
        <w:rPr>
          <w:rFonts w:ascii="Arial" w:hAnsi="Arial" w:cs="Arial"/>
          <w:sz w:val="24"/>
          <w:szCs w:val="24"/>
        </w:rPr>
        <w:t> </w:t>
      </w:r>
      <w:r w:rsidR="00FC48C4" w:rsidRPr="00BB7B21">
        <w:rPr>
          <w:rFonts w:ascii="Arial" w:hAnsi="Arial" w:cs="Arial"/>
          <w:sz w:val="24"/>
          <w:szCs w:val="24"/>
        </w:rPr>
        <w:t>(2) where the court had found that the phrase “</w:t>
      </w:r>
      <w:r w:rsidR="00FC48C4" w:rsidRPr="00BB7B21">
        <w:rPr>
          <w:rFonts w:ascii="Arial" w:hAnsi="Arial" w:cs="Arial"/>
          <w:i/>
          <w:iCs/>
          <w:sz w:val="24"/>
          <w:szCs w:val="24"/>
        </w:rPr>
        <w:t>where it is alleged</w:t>
      </w:r>
      <w:r w:rsidR="00FC48C4" w:rsidRPr="00BB7B21">
        <w:rPr>
          <w:rFonts w:ascii="Arial" w:hAnsi="Arial" w:cs="Arial"/>
          <w:sz w:val="24"/>
          <w:szCs w:val="24"/>
        </w:rPr>
        <w:t>” in section 2(1) had to be interpreted as “</w:t>
      </w:r>
      <w:r w:rsidR="00FC48C4" w:rsidRPr="00BB7B21">
        <w:rPr>
          <w:rFonts w:ascii="Arial" w:hAnsi="Arial" w:cs="Arial"/>
          <w:i/>
          <w:iCs/>
          <w:sz w:val="24"/>
          <w:szCs w:val="24"/>
        </w:rPr>
        <w:t>where it is alleged in an action</w:t>
      </w:r>
      <w:r w:rsidR="00FC48C4" w:rsidRPr="00BB7B21">
        <w:rPr>
          <w:rFonts w:ascii="Arial" w:hAnsi="Arial" w:cs="Arial"/>
          <w:sz w:val="24"/>
          <w:szCs w:val="24"/>
        </w:rPr>
        <w:t>”, so that the phrase “</w:t>
      </w:r>
      <w:r w:rsidR="00FC48C4" w:rsidRPr="00BB7B21">
        <w:rPr>
          <w:rFonts w:ascii="Arial" w:hAnsi="Arial" w:cs="Arial"/>
          <w:i/>
          <w:iCs/>
          <w:sz w:val="24"/>
          <w:szCs w:val="24"/>
        </w:rPr>
        <w:t>joint wrongdoers</w:t>
      </w:r>
      <w:r w:rsidR="00FC48C4" w:rsidRPr="00BB7B21">
        <w:rPr>
          <w:rFonts w:ascii="Arial" w:hAnsi="Arial" w:cs="Arial"/>
          <w:sz w:val="24"/>
          <w:szCs w:val="24"/>
        </w:rPr>
        <w:t xml:space="preserve">”, as contemplated by the relevant subsections, applied only to persons who had been alleged </w:t>
      </w:r>
      <w:r w:rsidR="001E71A7" w:rsidRPr="00BB7B21">
        <w:rPr>
          <w:rFonts w:ascii="Arial" w:hAnsi="Arial" w:cs="Arial"/>
          <w:sz w:val="24"/>
          <w:szCs w:val="24"/>
        </w:rPr>
        <w:t>in the initial action to</w:t>
      </w:r>
      <w:r w:rsidR="00FC48C4" w:rsidRPr="00BB7B21">
        <w:rPr>
          <w:rFonts w:ascii="Arial" w:hAnsi="Arial" w:cs="Arial"/>
          <w:sz w:val="24"/>
          <w:szCs w:val="24"/>
        </w:rPr>
        <w:t xml:space="preserve"> be joint wrongdoers. The court in </w:t>
      </w:r>
      <w:r w:rsidR="00FC48C4" w:rsidRPr="00BB7B21">
        <w:rPr>
          <w:rFonts w:ascii="Arial" w:hAnsi="Arial" w:cs="Arial"/>
          <w:i/>
          <w:iCs/>
          <w:sz w:val="24"/>
          <w:szCs w:val="24"/>
        </w:rPr>
        <w:t>Becker</w:t>
      </w:r>
      <w:r w:rsidR="00FC48C4" w:rsidRPr="00BB7B21">
        <w:rPr>
          <w:rFonts w:ascii="Arial" w:hAnsi="Arial" w:cs="Arial"/>
          <w:sz w:val="24"/>
          <w:szCs w:val="24"/>
        </w:rPr>
        <w:t xml:space="preserve"> had found that if such persons had not been alleged in the initial action</w:t>
      </w:r>
      <w:r w:rsidR="001E71A7" w:rsidRPr="00BB7B21">
        <w:rPr>
          <w:rFonts w:ascii="Arial" w:hAnsi="Arial" w:cs="Arial"/>
          <w:sz w:val="24"/>
          <w:szCs w:val="24"/>
        </w:rPr>
        <w:t xml:space="preserve"> to be joint wrongdoers</w:t>
      </w:r>
      <w:r w:rsidR="00FC48C4" w:rsidRPr="00BB7B21">
        <w:rPr>
          <w:rFonts w:ascii="Arial" w:hAnsi="Arial" w:cs="Arial"/>
          <w:sz w:val="24"/>
          <w:szCs w:val="24"/>
        </w:rPr>
        <w:t>, then the person who was subsequently sued was not a “</w:t>
      </w:r>
      <w:r w:rsidR="00FC48C4" w:rsidRPr="00BB7B21">
        <w:rPr>
          <w:rFonts w:ascii="Arial" w:hAnsi="Arial" w:cs="Arial"/>
          <w:i/>
          <w:iCs/>
          <w:sz w:val="24"/>
          <w:szCs w:val="24"/>
        </w:rPr>
        <w:t>joint wrongdoer</w:t>
      </w:r>
      <w:r w:rsidR="00FC48C4" w:rsidRPr="00BB7B21">
        <w:rPr>
          <w:rFonts w:ascii="Arial" w:hAnsi="Arial" w:cs="Arial"/>
          <w:sz w:val="24"/>
          <w:szCs w:val="24"/>
        </w:rPr>
        <w:t xml:space="preserve">” as envisaged </w:t>
      </w:r>
      <w:r w:rsidR="00C1052A" w:rsidRPr="00BB7B21">
        <w:rPr>
          <w:rFonts w:ascii="Arial" w:hAnsi="Arial" w:cs="Arial"/>
          <w:sz w:val="24"/>
          <w:szCs w:val="24"/>
        </w:rPr>
        <w:t xml:space="preserve">in section 2(4)(a) </w:t>
      </w:r>
      <w:r w:rsidR="00FC48C4" w:rsidRPr="00BB7B21">
        <w:rPr>
          <w:rFonts w:ascii="Arial" w:hAnsi="Arial" w:cs="Arial"/>
          <w:sz w:val="24"/>
          <w:szCs w:val="24"/>
        </w:rPr>
        <w:t>and therefore proceedings could be initiated against that person without notice having to be given</w:t>
      </w:r>
      <w:r w:rsidR="001E71A7" w:rsidRPr="00BB7B21">
        <w:rPr>
          <w:rFonts w:ascii="Arial" w:hAnsi="Arial" w:cs="Arial"/>
          <w:sz w:val="24"/>
          <w:szCs w:val="24"/>
        </w:rPr>
        <w:t xml:space="preserve"> in terms of section 2(2) and without obtaining the leave of the court in terms of section 2(4)</w:t>
      </w:r>
      <w:r w:rsidR="00C1052A" w:rsidRPr="00BB7B21">
        <w:rPr>
          <w:rFonts w:ascii="Arial" w:hAnsi="Arial" w:cs="Arial"/>
          <w:sz w:val="24"/>
          <w:szCs w:val="24"/>
        </w:rPr>
        <w:t>(a)</w:t>
      </w:r>
      <w:r w:rsidR="00FC48C4" w:rsidRPr="00BB7B21">
        <w:rPr>
          <w:rFonts w:ascii="Arial" w:hAnsi="Arial" w:cs="Arial"/>
          <w:sz w:val="24"/>
          <w:szCs w:val="24"/>
        </w:rPr>
        <w:t>.</w:t>
      </w:r>
      <w:r w:rsidR="00C1052A">
        <w:rPr>
          <w:rStyle w:val="FootnoteReference"/>
          <w:rFonts w:ascii="Arial" w:hAnsi="Arial" w:cs="Arial"/>
          <w:sz w:val="24"/>
          <w:szCs w:val="24"/>
        </w:rPr>
        <w:footnoteReference w:id="6"/>
      </w:r>
      <w:r w:rsidR="00FC48C4" w:rsidRPr="00BB7B21">
        <w:rPr>
          <w:rFonts w:ascii="Arial" w:hAnsi="Arial" w:cs="Arial"/>
          <w:sz w:val="24"/>
          <w:szCs w:val="24"/>
        </w:rPr>
        <w:t xml:space="preserve"> The Supreme Court of Appeal disagreed and held that the requirement of notice applied to all joint wrongdoers and not only those that happened to be alleged, i.e.</w:t>
      </w:r>
      <w:r w:rsidR="00B21A42" w:rsidRPr="00BB7B21">
        <w:rPr>
          <w:rFonts w:ascii="Arial" w:hAnsi="Arial" w:cs="Arial"/>
          <w:sz w:val="24"/>
          <w:szCs w:val="24"/>
        </w:rPr>
        <w:t> </w:t>
      </w:r>
      <w:r w:rsidR="00FC48C4" w:rsidRPr="00BB7B21">
        <w:rPr>
          <w:rFonts w:ascii="Arial" w:hAnsi="Arial" w:cs="Arial"/>
          <w:sz w:val="24"/>
          <w:szCs w:val="24"/>
        </w:rPr>
        <w:t>mentioned</w:t>
      </w:r>
      <w:r w:rsidR="00A466D7" w:rsidRPr="00BB7B21">
        <w:rPr>
          <w:rFonts w:ascii="Arial" w:hAnsi="Arial" w:cs="Arial"/>
          <w:sz w:val="24"/>
          <w:szCs w:val="24"/>
        </w:rPr>
        <w:t>,</w:t>
      </w:r>
      <w:r w:rsidR="00FC48C4" w:rsidRPr="00BB7B21">
        <w:rPr>
          <w:rFonts w:ascii="Arial" w:hAnsi="Arial" w:cs="Arial"/>
          <w:sz w:val="24"/>
          <w:szCs w:val="24"/>
        </w:rPr>
        <w:t xml:space="preserve"> in the initial action.</w:t>
      </w:r>
      <w:r w:rsidR="00CB4E12">
        <w:rPr>
          <w:rStyle w:val="FootnoteReference"/>
          <w:rFonts w:ascii="Arial" w:hAnsi="Arial" w:cs="Arial"/>
          <w:sz w:val="24"/>
          <w:szCs w:val="24"/>
        </w:rPr>
        <w:footnoteReference w:id="7"/>
      </w:r>
      <w:r w:rsidR="00FC48C4" w:rsidRPr="00BB7B21">
        <w:rPr>
          <w:rFonts w:ascii="Arial" w:hAnsi="Arial" w:cs="Arial"/>
          <w:sz w:val="24"/>
          <w:szCs w:val="24"/>
        </w:rPr>
        <w:t xml:space="preserve"> </w:t>
      </w:r>
    </w:p>
    <w:p w14:paraId="5EA66332" w14:textId="56FAF840" w:rsidR="00FC48C4" w:rsidRPr="00BB7B21" w:rsidRDefault="00BB7B21" w:rsidP="00BB7B21">
      <w:pPr>
        <w:spacing w:before="360" w:after="360" w:line="480" w:lineRule="auto"/>
        <w:ind w:left="624" w:right="567" w:hanging="624"/>
        <w:jc w:val="both"/>
        <w:rPr>
          <w:rFonts w:ascii="Arial" w:hAnsi="Arial" w:cs="Arial"/>
          <w:sz w:val="24"/>
          <w:szCs w:val="24"/>
        </w:rPr>
      </w:pPr>
      <w:r w:rsidRPr="0039274B">
        <w:rPr>
          <w:rFonts w:ascii="Arial" w:hAnsi="Arial" w:cs="Arial"/>
          <w:sz w:val="24"/>
          <w:szCs w:val="24"/>
        </w:rPr>
        <w:t>26.</w:t>
      </w:r>
      <w:r w:rsidRPr="0039274B">
        <w:rPr>
          <w:rFonts w:ascii="Arial" w:hAnsi="Arial" w:cs="Arial"/>
          <w:sz w:val="24"/>
          <w:szCs w:val="24"/>
        </w:rPr>
        <w:tab/>
      </w:r>
      <w:r w:rsidR="00FC48C4" w:rsidRPr="00BB7B21">
        <w:rPr>
          <w:rFonts w:ascii="Arial" w:hAnsi="Arial" w:cs="Arial"/>
          <w:sz w:val="24"/>
          <w:szCs w:val="24"/>
        </w:rPr>
        <w:t>Although during the course of its judgment</w:t>
      </w:r>
      <w:r w:rsidR="00AB30DF" w:rsidRPr="00BB7B21">
        <w:rPr>
          <w:rFonts w:ascii="Arial" w:hAnsi="Arial" w:cs="Arial"/>
          <w:sz w:val="24"/>
          <w:szCs w:val="24"/>
        </w:rPr>
        <w:t xml:space="preserve"> </w:t>
      </w:r>
      <w:r w:rsidR="00FC48C4" w:rsidRPr="00BB7B21">
        <w:rPr>
          <w:rFonts w:ascii="Arial" w:hAnsi="Arial" w:cs="Arial"/>
          <w:sz w:val="24"/>
          <w:szCs w:val="24"/>
        </w:rPr>
        <w:t xml:space="preserve">the </w:t>
      </w:r>
      <w:r w:rsidR="00AB30DF" w:rsidRPr="00BB7B21">
        <w:rPr>
          <w:rFonts w:ascii="Arial" w:hAnsi="Arial" w:cs="Arial"/>
          <w:sz w:val="24"/>
          <w:szCs w:val="24"/>
        </w:rPr>
        <w:t>a</w:t>
      </w:r>
      <w:r w:rsidR="00FC48C4" w:rsidRPr="00BB7B21">
        <w:rPr>
          <w:rFonts w:ascii="Arial" w:hAnsi="Arial" w:cs="Arial"/>
          <w:sz w:val="24"/>
          <w:szCs w:val="24"/>
        </w:rPr>
        <w:t xml:space="preserve">ppeal </w:t>
      </w:r>
      <w:r w:rsidR="00AB30DF" w:rsidRPr="00BB7B21">
        <w:rPr>
          <w:rFonts w:ascii="Arial" w:hAnsi="Arial" w:cs="Arial"/>
          <w:sz w:val="24"/>
          <w:szCs w:val="24"/>
        </w:rPr>
        <w:t>c</w:t>
      </w:r>
      <w:r w:rsidR="00FC48C4" w:rsidRPr="00BB7B21">
        <w:rPr>
          <w:rFonts w:ascii="Arial" w:hAnsi="Arial" w:cs="Arial"/>
          <w:sz w:val="24"/>
          <w:szCs w:val="24"/>
        </w:rPr>
        <w:t xml:space="preserve">ourt referred to </w:t>
      </w:r>
      <w:r w:rsidR="00FC48C4" w:rsidRPr="00BB7B21">
        <w:rPr>
          <w:rFonts w:ascii="Arial" w:hAnsi="Arial" w:cs="Arial"/>
          <w:i/>
          <w:iCs/>
          <w:sz w:val="24"/>
          <w:szCs w:val="24"/>
        </w:rPr>
        <w:t xml:space="preserve">Lincoln v Ramsaran and Others </w:t>
      </w:r>
      <w:r w:rsidR="00FC48C4" w:rsidRPr="00BB7B21">
        <w:rPr>
          <w:rFonts w:ascii="Arial" w:hAnsi="Arial" w:cs="Arial"/>
          <w:sz w:val="24"/>
          <w:szCs w:val="24"/>
        </w:rPr>
        <w:t>1962 (3) SA 374</w:t>
      </w:r>
      <w:r w:rsidR="00B21A42" w:rsidRPr="00BB7B21">
        <w:rPr>
          <w:rFonts w:ascii="Arial" w:hAnsi="Arial" w:cs="Arial"/>
          <w:sz w:val="24"/>
          <w:szCs w:val="24"/>
        </w:rPr>
        <w:t> </w:t>
      </w:r>
      <w:r w:rsidR="00FC48C4" w:rsidRPr="00BB7B21">
        <w:rPr>
          <w:rFonts w:ascii="Arial" w:hAnsi="Arial" w:cs="Arial"/>
          <w:sz w:val="24"/>
          <w:szCs w:val="24"/>
        </w:rPr>
        <w:t xml:space="preserve">(N) and </w:t>
      </w:r>
      <w:r w:rsidR="00FC48C4" w:rsidRPr="00BB7B21">
        <w:rPr>
          <w:rFonts w:ascii="Arial" w:hAnsi="Arial" w:cs="Arial"/>
          <w:i/>
          <w:iCs/>
          <w:sz w:val="24"/>
          <w:szCs w:val="24"/>
        </w:rPr>
        <w:t xml:space="preserve">Wapnick </w:t>
      </w:r>
      <w:r w:rsidR="00EF654E" w:rsidRPr="00BB7B21">
        <w:rPr>
          <w:rFonts w:ascii="Arial" w:hAnsi="Arial" w:cs="Arial"/>
          <w:i/>
          <w:iCs/>
          <w:sz w:val="24"/>
          <w:szCs w:val="24"/>
        </w:rPr>
        <w:t xml:space="preserve">and Another </w:t>
      </w:r>
      <w:r w:rsidR="00FC48C4" w:rsidRPr="00BB7B21">
        <w:rPr>
          <w:rFonts w:ascii="Arial" w:hAnsi="Arial" w:cs="Arial"/>
          <w:i/>
          <w:iCs/>
          <w:sz w:val="24"/>
          <w:szCs w:val="24"/>
        </w:rPr>
        <w:t>v Durban City Garage</w:t>
      </w:r>
      <w:r w:rsidR="00EF654E" w:rsidRPr="00BB7B21">
        <w:rPr>
          <w:rFonts w:ascii="Arial" w:hAnsi="Arial" w:cs="Arial"/>
          <w:i/>
          <w:iCs/>
          <w:sz w:val="24"/>
          <w:szCs w:val="24"/>
        </w:rPr>
        <w:t xml:space="preserve"> and Others</w:t>
      </w:r>
      <w:r w:rsidR="00FC48C4" w:rsidRPr="00BB7B21">
        <w:rPr>
          <w:rFonts w:ascii="Arial" w:hAnsi="Arial" w:cs="Arial"/>
          <w:i/>
          <w:iCs/>
          <w:sz w:val="24"/>
          <w:szCs w:val="24"/>
        </w:rPr>
        <w:t xml:space="preserve"> </w:t>
      </w:r>
      <w:r w:rsidR="00FC48C4" w:rsidRPr="00BB7B21">
        <w:rPr>
          <w:rFonts w:ascii="Arial" w:hAnsi="Arial" w:cs="Arial"/>
          <w:sz w:val="24"/>
          <w:szCs w:val="24"/>
        </w:rPr>
        <w:t xml:space="preserve">1984 (2) SA 414 (D) as apparent authority for the proposition that leave of the court had to be </w:t>
      </w:r>
      <w:r w:rsidR="00FC48C4" w:rsidRPr="00BB7B21">
        <w:rPr>
          <w:rFonts w:ascii="Arial" w:hAnsi="Arial" w:cs="Arial"/>
          <w:sz w:val="24"/>
          <w:szCs w:val="24"/>
        </w:rPr>
        <w:lastRenderedPageBreak/>
        <w:t xml:space="preserve">obtained </w:t>
      </w:r>
      <w:r w:rsidR="00FC48C4" w:rsidRPr="00BB7B21">
        <w:rPr>
          <w:rFonts w:ascii="Arial" w:hAnsi="Arial" w:cs="Arial"/>
          <w:sz w:val="24"/>
          <w:szCs w:val="24"/>
          <w:u w:val="single"/>
        </w:rPr>
        <w:t>before</w:t>
      </w:r>
      <w:r w:rsidR="00FC48C4" w:rsidRPr="00BB7B21">
        <w:rPr>
          <w:rFonts w:ascii="Arial" w:hAnsi="Arial" w:cs="Arial"/>
          <w:sz w:val="24"/>
          <w:szCs w:val="24"/>
        </w:rPr>
        <w:t xml:space="preserve"> such joint wrongdoers could be sued</w:t>
      </w:r>
      <w:r w:rsidR="00AB30DF" w:rsidRPr="00BB7B21">
        <w:rPr>
          <w:rFonts w:ascii="Arial" w:hAnsi="Arial" w:cs="Arial"/>
          <w:sz w:val="24"/>
          <w:szCs w:val="24"/>
        </w:rPr>
        <w:t>,</w:t>
      </w:r>
      <w:r w:rsidR="00FC48C4">
        <w:rPr>
          <w:rStyle w:val="FootnoteReference"/>
          <w:rFonts w:ascii="Arial" w:hAnsi="Arial" w:cs="Arial"/>
          <w:sz w:val="24"/>
          <w:szCs w:val="24"/>
        </w:rPr>
        <w:footnoteReference w:id="8"/>
      </w:r>
      <w:r w:rsidR="00FC48C4" w:rsidRPr="00BB7B21">
        <w:rPr>
          <w:rFonts w:ascii="Arial" w:hAnsi="Arial" w:cs="Arial"/>
          <w:sz w:val="24"/>
          <w:szCs w:val="24"/>
        </w:rPr>
        <w:t xml:space="preserve"> when read in context, as stated, that was not an issue to be decided by the court and in any event neither </w:t>
      </w:r>
      <w:r w:rsidR="00FC48C4" w:rsidRPr="00BB7B21">
        <w:rPr>
          <w:rFonts w:ascii="Arial" w:hAnsi="Arial" w:cs="Arial"/>
          <w:i/>
          <w:iCs/>
          <w:sz w:val="24"/>
          <w:szCs w:val="24"/>
        </w:rPr>
        <w:t xml:space="preserve">Lincoln </w:t>
      </w:r>
      <w:r w:rsidR="00FC48C4" w:rsidRPr="00BB7B21">
        <w:rPr>
          <w:rFonts w:ascii="Arial" w:hAnsi="Arial" w:cs="Arial"/>
          <w:sz w:val="24"/>
          <w:szCs w:val="24"/>
        </w:rPr>
        <w:t xml:space="preserve">nor </w:t>
      </w:r>
      <w:r w:rsidR="00FC48C4" w:rsidRPr="00BB7B21">
        <w:rPr>
          <w:rFonts w:ascii="Arial" w:hAnsi="Arial" w:cs="Arial"/>
          <w:i/>
          <w:iCs/>
          <w:sz w:val="24"/>
          <w:szCs w:val="24"/>
        </w:rPr>
        <w:t>Wapnick</w:t>
      </w:r>
      <w:r w:rsidR="009F5CFC" w:rsidRPr="00BB7B21">
        <w:rPr>
          <w:rFonts w:ascii="Arial" w:hAnsi="Arial" w:cs="Arial"/>
          <w:sz w:val="24"/>
          <w:szCs w:val="24"/>
        </w:rPr>
        <w:t xml:space="preserve"> dealt at all with whether leave</w:t>
      </w:r>
      <w:r w:rsidR="00585951" w:rsidRPr="00BB7B21">
        <w:rPr>
          <w:rFonts w:ascii="Arial" w:hAnsi="Arial" w:cs="Arial"/>
          <w:sz w:val="24"/>
          <w:szCs w:val="24"/>
        </w:rPr>
        <w:t xml:space="preserve"> in terms of section 2(4)(a)</w:t>
      </w:r>
      <w:r w:rsidR="009F5CFC" w:rsidRPr="00BB7B21">
        <w:rPr>
          <w:rFonts w:ascii="Arial" w:hAnsi="Arial" w:cs="Arial"/>
          <w:sz w:val="24"/>
          <w:szCs w:val="24"/>
        </w:rPr>
        <w:t xml:space="preserve"> could be sought after the event. </w:t>
      </w:r>
    </w:p>
    <w:p w14:paraId="049109B2" w14:textId="62EFED6E" w:rsidR="009F5CFC"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85951" w:rsidRPr="00BB7B21">
        <w:rPr>
          <w:rFonts w:ascii="Arial" w:hAnsi="Arial" w:cs="Arial"/>
          <w:sz w:val="24"/>
          <w:szCs w:val="24"/>
        </w:rPr>
        <w:t>The</w:t>
      </w:r>
      <w:r w:rsidR="009F5CFC" w:rsidRPr="00BB7B21">
        <w:rPr>
          <w:rFonts w:ascii="Arial" w:hAnsi="Arial" w:cs="Arial"/>
          <w:sz w:val="24"/>
          <w:szCs w:val="24"/>
        </w:rPr>
        <w:t xml:space="preserve"> issue whether leave can be sought</w:t>
      </w:r>
      <w:r w:rsidR="0039274B" w:rsidRPr="00BB7B21">
        <w:rPr>
          <w:rFonts w:ascii="Arial" w:hAnsi="Arial" w:cs="Arial"/>
          <w:sz w:val="24"/>
          <w:szCs w:val="24"/>
        </w:rPr>
        <w:t xml:space="preserve"> in terms of section 2(4)(a)</w:t>
      </w:r>
      <w:r w:rsidR="009F5CFC" w:rsidRPr="00BB7B21">
        <w:rPr>
          <w:rFonts w:ascii="Arial" w:hAnsi="Arial" w:cs="Arial"/>
          <w:sz w:val="24"/>
          <w:szCs w:val="24"/>
        </w:rPr>
        <w:t xml:space="preserve"> is to be determined by the application of the usual principles applicable to statutory interpretation. </w:t>
      </w:r>
    </w:p>
    <w:p w14:paraId="38B8E1B1" w14:textId="79FB8A68" w:rsidR="009F5CFC" w:rsidRPr="00BB7B21" w:rsidRDefault="00BB7B21" w:rsidP="00BB7B21">
      <w:pPr>
        <w:spacing w:before="360" w:after="360" w:line="480" w:lineRule="auto"/>
        <w:ind w:left="624" w:right="567" w:hanging="624"/>
        <w:jc w:val="both"/>
        <w:rPr>
          <w:rFonts w:ascii="Arial" w:hAnsi="Arial" w:cs="Arial"/>
          <w:sz w:val="24"/>
          <w:szCs w:val="24"/>
        </w:rPr>
      </w:pPr>
      <w:r w:rsidRPr="009F5CFC">
        <w:rPr>
          <w:rFonts w:ascii="Arial" w:hAnsi="Arial" w:cs="Arial"/>
          <w:sz w:val="24"/>
          <w:szCs w:val="24"/>
        </w:rPr>
        <w:t>28.</w:t>
      </w:r>
      <w:r w:rsidRPr="009F5CFC">
        <w:rPr>
          <w:rFonts w:ascii="Arial" w:hAnsi="Arial" w:cs="Arial"/>
          <w:sz w:val="24"/>
          <w:szCs w:val="24"/>
        </w:rPr>
        <w:tab/>
      </w:r>
      <w:r w:rsidR="009F5CFC" w:rsidRPr="00BB7B21">
        <w:rPr>
          <w:rFonts w:ascii="Arial" w:hAnsi="Arial" w:cs="Arial"/>
          <w:sz w:val="24"/>
          <w:szCs w:val="24"/>
        </w:rPr>
        <w:t xml:space="preserve">Approaching the statutory interpretative exercise on the now well-trodden path of </w:t>
      </w:r>
      <w:r w:rsidR="00A94622" w:rsidRPr="00BB7B21">
        <w:rPr>
          <w:rFonts w:ascii="Arial" w:hAnsi="Arial" w:cs="Arial"/>
          <w:i/>
          <w:iCs/>
          <w:sz w:val="24"/>
          <w:szCs w:val="24"/>
        </w:rPr>
        <w:t>Natal Joint Municipal Pension Fund v Endumeni Municipality</w:t>
      </w:r>
      <w:r w:rsidR="00B21A42" w:rsidRPr="00BB7B21">
        <w:rPr>
          <w:rFonts w:ascii="Arial" w:hAnsi="Arial" w:cs="Arial"/>
          <w:sz w:val="24"/>
          <w:szCs w:val="24"/>
        </w:rPr>
        <w:t>:</w:t>
      </w:r>
      <w:r w:rsidR="009F5CFC" w:rsidRPr="00B21A42">
        <w:rPr>
          <w:rStyle w:val="FootnoteReference"/>
          <w:rFonts w:ascii="Arial" w:hAnsi="Arial" w:cs="Arial"/>
          <w:sz w:val="24"/>
          <w:szCs w:val="24"/>
        </w:rPr>
        <w:footnoteReference w:id="9"/>
      </w:r>
      <w:r w:rsidR="009F5CFC" w:rsidRPr="00BB7B21">
        <w:rPr>
          <w:rFonts w:ascii="Arial" w:hAnsi="Arial" w:cs="Arial"/>
          <w:i/>
          <w:iCs/>
          <w:sz w:val="24"/>
          <w:szCs w:val="24"/>
        </w:rPr>
        <w:t xml:space="preserve"> </w:t>
      </w:r>
    </w:p>
    <w:p w14:paraId="3D33EDBD" w14:textId="6C780771" w:rsidR="00CD4A3D" w:rsidRPr="00687FA6" w:rsidRDefault="00687FA6" w:rsidP="00687FA6">
      <w:pPr>
        <w:pStyle w:val="Quotation-New"/>
        <w:spacing w:line="360" w:lineRule="auto"/>
        <w:rPr>
          <w:i w:val="0"/>
          <w:iCs w:val="0"/>
        </w:rPr>
      </w:pPr>
      <w:r>
        <w:t>“</w:t>
      </w:r>
      <w:r w:rsidR="00CD4A3D">
        <w:t>Interpretation is the process of attributing meaning to the words used in a document, be it legislation, some other statutory instrument, or contract, having regard to the context provided by reading the particular</w:t>
      </w:r>
      <w:r w:rsidR="00B21A42">
        <w:t xml:space="preserve"> </w:t>
      </w:r>
      <w:r w:rsidR="00CD4A3D">
        <w:t xml:space="preserve">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w:t>
      </w:r>
      <w:r w:rsidR="00CD4A3D">
        <w:lastRenderedPageBreak/>
        <w:t>reasonable, sensible or businesslike for the words actually used. To do so in regard to a statute or statutory instrument is to cross the divide between interpretation and legislation; in a contractual context it is to make</w:t>
      </w:r>
      <w:r>
        <w:t xml:space="preserve"> a </w:t>
      </w:r>
      <w:r w:rsidR="00CD4A3D">
        <w:t xml:space="preserve">contract for the parties other than the one they in fact made. The </w:t>
      </w:r>
      <w:r>
        <w:t>‘</w:t>
      </w:r>
      <w:r w:rsidR="00CD4A3D">
        <w:t>inevitable point of departure is the language of the provision itself</w:t>
      </w:r>
      <w:r>
        <w:t>’</w:t>
      </w:r>
      <w:r w:rsidR="00CD4A3D">
        <w:t>, read in context and having regard to the purpose of the provision and the background to the preparation and production of the document.</w:t>
      </w:r>
      <w:r>
        <w:rPr>
          <w:i w:val="0"/>
          <w:iCs w:val="0"/>
        </w:rPr>
        <w:t>”</w:t>
      </w:r>
    </w:p>
    <w:p w14:paraId="1B234719" w14:textId="2C979AD0" w:rsidR="00EB257E"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D4A3D" w:rsidRPr="00BB7B21">
        <w:rPr>
          <w:rFonts w:ascii="Arial" w:hAnsi="Arial" w:cs="Arial"/>
          <w:sz w:val="24"/>
          <w:szCs w:val="24"/>
        </w:rPr>
        <w:t xml:space="preserve">Starting as a point of departure with the language of section 2(4) itself, </w:t>
      </w:r>
      <w:r w:rsidR="00A466D7" w:rsidRPr="00BB7B21">
        <w:rPr>
          <w:rFonts w:ascii="Arial" w:hAnsi="Arial" w:cs="Arial"/>
          <w:sz w:val="24"/>
          <w:szCs w:val="24"/>
        </w:rPr>
        <w:t xml:space="preserve">and </w:t>
      </w:r>
      <w:r w:rsidR="00CD4A3D" w:rsidRPr="00BB7B21">
        <w:rPr>
          <w:rFonts w:ascii="Arial" w:hAnsi="Arial" w:cs="Arial"/>
          <w:sz w:val="24"/>
          <w:szCs w:val="24"/>
        </w:rPr>
        <w:t xml:space="preserve">bearing in mind that </w:t>
      </w:r>
      <w:r w:rsidR="00A94622" w:rsidRPr="00BB7B21">
        <w:rPr>
          <w:rFonts w:ascii="Arial" w:hAnsi="Arial" w:cs="Arial"/>
          <w:sz w:val="24"/>
          <w:szCs w:val="24"/>
        </w:rPr>
        <w:t>“</w:t>
      </w:r>
      <w:r w:rsidR="00CD4A3D" w:rsidRPr="00BB7B21">
        <w:rPr>
          <w:rFonts w:ascii="Arial" w:hAnsi="Arial" w:cs="Arial"/>
          <w:i/>
          <w:iCs/>
          <w:sz w:val="24"/>
          <w:szCs w:val="24"/>
        </w:rPr>
        <w:t>in the interpretation exercise the point of departure is the language of the document in question</w:t>
      </w:r>
      <w:r w:rsidR="00A94622" w:rsidRPr="00BB7B21">
        <w:rPr>
          <w:rFonts w:ascii="Arial" w:hAnsi="Arial" w:cs="Arial"/>
          <w:i/>
          <w:iCs/>
          <w:sz w:val="24"/>
          <w:szCs w:val="24"/>
        </w:rPr>
        <w:t>…</w:t>
      </w:r>
      <w:r w:rsidR="00CD4A3D" w:rsidRPr="00BB7B21">
        <w:rPr>
          <w:rFonts w:ascii="Arial" w:hAnsi="Arial" w:cs="Arial"/>
          <w:i/>
          <w:iCs/>
          <w:sz w:val="24"/>
          <w:szCs w:val="24"/>
        </w:rPr>
        <w:t xml:space="preserve"> </w:t>
      </w:r>
      <w:r w:rsidR="00A94622" w:rsidRPr="00BB7B21">
        <w:rPr>
          <w:rFonts w:ascii="Arial" w:hAnsi="Arial" w:cs="Arial"/>
          <w:i/>
          <w:iCs/>
          <w:sz w:val="24"/>
          <w:szCs w:val="24"/>
        </w:rPr>
        <w:t>[w]</w:t>
      </w:r>
      <w:r w:rsidR="00CD4A3D" w:rsidRPr="00BB7B21">
        <w:rPr>
          <w:rFonts w:ascii="Arial" w:hAnsi="Arial" w:cs="Arial"/>
          <w:i/>
          <w:iCs/>
          <w:sz w:val="24"/>
          <w:szCs w:val="24"/>
        </w:rPr>
        <w:t>ithout the written text there will be no interpretative exercise</w:t>
      </w:r>
      <w:r w:rsidR="00CD4A3D" w:rsidRPr="00BB7B21">
        <w:rPr>
          <w:rFonts w:ascii="Arial" w:hAnsi="Arial" w:cs="Arial"/>
          <w:sz w:val="24"/>
          <w:szCs w:val="24"/>
        </w:rPr>
        <w:t>”</w:t>
      </w:r>
      <w:r w:rsidR="00687FA6" w:rsidRPr="00BB7B21">
        <w:rPr>
          <w:rFonts w:ascii="Arial" w:hAnsi="Arial" w:cs="Arial"/>
          <w:sz w:val="24"/>
          <w:szCs w:val="24"/>
        </w:rPr>
        <w:t>,</w:t>
      </w:r>
      <w:r w:rsidR="00CD4A3D">
        <w:rPr>
          <w:rStyle w:val="FootnoteReference"/>
          <w:rFonts w:ascii="Arial" w:hAnsi="Arial" w:cs="Arial"/>
          <w:sz w:val="24"/>
          <w:szCs w:val="24"/>
        </w:rPr>
        <w:footnoteReference w:id="10"/>
      </w:r>
      <w:r w:rsidR="00687FA6" w:rsidRPr="00BB7B21">
        <w:rPr>
          <w:rFonts w:ascii="Arial" w:hAnsi="Arial" w:cs="Arial"/>
          <w:sz w:val="24"/>
          <w:szCs w:val="24"/>
        </w:rPr>
        <w:t xml:space="preserve"> </w:t>
      </w:r>
      <w:r w:rsidR="00CD4A3D" w:rsidRPr="00BB7B21">
        <w:rPr>
          <w:rFonts w:ascii="Arial" w:hAnsi="Arial" w:cs="Arial"/>
          <w:sz w:val="24"/>
          <w:szCs w:val="24"/>
        </w:rPr>
        <w:t xml:space="preserve">the </w:t>
      </w:r>
      <w:r w:rsidR="00687FA6" w:rsidRPr="00BB7B21">
        <w:rPr>
          <w:rFonts w:ascii="Arial" w:hAnsi="Arial" w:cs="Arial"/>
          <w:sz w:val="24"/>
          <w:szCs w:val="24"/>
        </w:rPr>
        <w:t xml:space="preserve">wording </w:t>
      </w:r>
      <w:r w:rsidR="00CD4A3D" w:rsidRPr="00BB7B21">
        <w:rPr>
          <w:rFonts w:ascii="Arial" w:hAnsi="Arial" w:cs="Arial"/>
          <w:sz w:val="24"/>
          <w:szCs w:val="24"/>
        </w:rPr>
        <w:t>of section 2(4) is ambiguous</w:t>
      </w:r>
      <w:r w:rsidR="000A1941" w:rsidRPr="00BB7B21">
        <w:rPr>
          <w:rFonts w:ascii="Arial" w:hAnsi="Arial" w:cs="Arial"/>
          <w:sz w:val="24"/>
          <w:szCs w:val="24"/>
        </w:rPr>
        <w:t>.</w:t>
      </w:r>
    </w:p>
    <w:p w14:paraId="710DDF10" w14:textId="7E37D6C5" w:rsidR="003841B6"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30.</w:t>
      </w:r>
      <w:r>
        <w:rPr>
          <w:rFonts w:ascii="Arial" w:hAnsi="Arial" w:cs="Arial"/>
          <w:sz w:val="24"/>
          <w:szCs w:val="24"/>
        </w:rPr>
        <w:tab/>
      </w:r>
      <w:r w:rsidR="006B03A7" w:rsidRPr="00BB7B21">
        <w:rPr>
          <w:rFonts w:ascii="Arial" w:hAnsi="Arial" w:cs="Arial"/>
          <w:sz w:val="24"/>
          <w:szCs w:val="24"/>
        </w:rPr>
        <w:t xml:space="preserve">Without doing any violence to the wording of </w:t>
      </w:r>
      <w:r w:rsidR="00585951" w:rsidRPr="00BB7B21">
        <w:rPr>
          <w:rFonts w:ascii="Arial" w:hAnsi="Arial" w:cs="Arial"/>
          <w:sz w:val="24"/>
          <w:szCs w:val="24"/>
        </w:rPr>
        <w:t>section 2(4)(a)</w:t>
      </w:r>
      <w:r w:rsidR="006B03A7" w:rsidRPr="00BB7B21">
        <w:rPr>
          <w:rFonts w:ascii="Arial" w:hAnsi="Arial" w:cs="Arial"/>
          <w:sz w:val="24"/>
          <w:szCs w:val="24"/>
        </w:rPr>
        <w:t xml:space="preserve">, it permits </w:t>
      </w:r>
      <w:r w:rsidR="00CD4A3D" w:rsidRPr="00BB7B21">
        <w:rPr>
          <w:rFonts w:ascii="Arial" w:hAnsi="Arial" w:cs="Arial"/>
          <w:sz w:val="24"/>
          <w:szCs w:val="24"/>
        </w:rPr>
        <w:t>both</w:t>
      </w:r>
      <w:r w:rsidR="006B03A7" w:rsidRPr="00BB7B21">
        <w:rPr>
          <w:rFonts w:ascii="Arial" w:hAnsi="Arial" w:cs="Arial"/>
          <w:sz w:val="24"/>
          <w:szCs w:val="24"/>
        </w:rPr>
        <w:t xml:space="preserve"> </w:t>
      </w:r>
      <w:r w:rsidR="00CD4A3D" w:rsidRPr="00BB7B21">
        <w:rPr>
          <w:rFonts w:ascii="Arial" w:hAnsi="Arial" w:cs="Arial"/>
          <w:sz w:val="24"/>
          <w:szCs w:val="24"/>
        </w:rPr>
        <w:t xml:space="preserve">an interpretation that </w:t>
      </w:r>
      <w:r w:rsidR="00A94622" w:rsidRPr="00BB7B21">
        <w:rPr>
          <w:rFonts w:ascii="Arial" w:hAnsi="Arial" w:cs="Arial"/>
          <w:sz w:val="24"/>
          <w:szCs w:val="24"/>
        </w:rPr>
        <w:t>the leave of the court</w:t>
      </w:r>
      <w:r w:rsidR="00585951" w:rsidRPr="00BB7B21">
        <w:rPr>
          <w:rFonts w:ascii="Arial" w:hAnsi="Arial" w:cs="Arial"/>
          <w:sz w:val="24"/>
          <w:szCs w:val="24"/>
        </w:rPr>
        <w:t xml:space="preserve"> is to</w:t>
      </w:r>
      <w:r w:rsidR="00CD4A3D" w:rsidRPr="00BB7B21">
        <w:rPr>
          <w:rFonts w:ascii="Arial" w:hAnsi="Arial" w:cs="Arial"/>
          <w:sz w:val="24"/>
          <w:szCs w:val="24"/>
        </w:rPr>
        <w:t xml:space="preserve"> be sought before </w:t>
      </w:r>
      <w:r w:rsidR="00EB257E" w:rsidRPr="00BB7B21">
        <w:rPr>
          <w:rFonts w:ascii="Arial" w:hAnsi="Arial" w:cs="Arial"/>
          <w:sz w:val="24"/>
          <w:szCs w:val="24"/>
        </w:rPr>
        <w:t>the joint wrongdoer is sued</w:t>
      </w:r>
      <w:r w:rsidR="006B03A7" w:rsidRPr="00BB7B21">
        <w:rPr>
          <w:rFonts w:ascii="Arial" w:hAnsi="Arial" w:cs="Arial"/>
          <w:sz w:val="24"/>
          <w:szCs w:val="24"/>
        </w:rPr>
        <w:t xml:space="preserve">, as contended for by Mr Hussey, </w:t>
      </w:r>
      <w:r w:rsidR="00CD4A3D" w:rsidRPr="00BB7B21">
        <w:rPr>
          <w:rFonts w:ascii="Arial" w:hAnsi="Arial" w:cs="Arial"/>
          <w:sz w:val="24"/>
          <w:szCs w:val="24"/>
        </w:rPr>
        <w:t xml:space="preserve">and an interpretation that </w:t>
      </w:r>
      <w:r w:rsidR="006B03A7" w:rsidRPr="00BB7B21">
        <w:rPr>
          <w:rFonts w:ascii="Arial" w:hAnsi="Arial" w:cs="Arial"/>
          <w:sz w:val="24"/>
          <w:szCs w:val="24"/>
        </w:rPr>
        <w:t>leave</w:t>
      </w:r>
      <w:r w:rsidR="00CD4A3D" w:rsidRPr="00BB7B21">
        <w:rPr>
          <w:rFonts w:ascii="Arial" w:hAnsi="Arial" w:cs="Arial"/>
          <w:sz w:val="24"/>
          <w:szCs w:val="24"/>
        </w:rPr>
        <w:t xml:space="preserve"> can</w:t>
      </w:r>
      <w:r w:rsidR="006B03A7" w:rsidRPr="00BB7B21">
        <w:rPr>
          <w:rFonts w:ascii="Arial" w:hAnsi="Arial" w:cs="Arial"/>
          <w:sz w:val="24"/>
          <w:szCs w:val="24"/>
        </w:rPr>
        <w:t xml:space="preserve"> also</w:t>
      </w:r>
      <w:r w:rsidR="00CD4A3D" w:rsidRPr="00BB7B21">
        <w:rPr>
          <w:rFonts w:ascii="Arial" w:hAnsi="Arial" w:cs="Arial"/>
          <w:sz w:val="24"/>
          <w:szCs w:val="24"/>
        </w:rPr>
        <w:t xml:space="preserve"> be sought </w:t>
      </w:r>
      <w:r w:rsidR="006B03A7" w:rsidRPr="00BB7B21">
        <w:rPr>
          <w:rFonts w:ascii="Arial" w:hAnsi="Arial" w:cs="Arial"/>
          <w:sz w:val="24"/>
          <w:szCs w:val="24"/>
        </w:rPr>
        <w:t>after the institution of the further action, as contended for by the plaintiff.</w:t>
      </w:r>
    </w:p>
    <w:p w14:paraId="5129458A" w14:textId="0B67348D" w:rsidR="00CD4A3D"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A10D4" w:rsidRPr="00BB7B21">
        <w:rPr>
          <w:rFonts w:ascii="Arial" w:hAnsi="Arial" w:cs="Arial"/>
          <w:sz w:val="24"/>
          <w:szCs w:val="24"/>
        </w:rPr>
        <w:t>Section</w:t>
      </w:r>
      <w:r w:rsidR="00687FA6" w:rsidRPr="00BB7B21">
        <w:rPr>
          <w:rFonts w:ascii="Arial" w:hAnsi="Arial" w:cs="Arial"/>
          <w:sz w:val="24"/>
          <w:szCs w:val="24"/>
        </w:rPr>
        <w:t> </w:t>
      </w:r>
      <w:r w:rsidR="00CD4A3D" w:rsidRPr="00BB7B21">
        <w:rPr>
          <w:rFonts w:ascii="Arial" w:hAnsi="Arial" w:cs="Arial"/>
          <w:sz w:val="24"/>
          <w:szCs w:val="24"/>
        </w:rPr>
        <w:t xml:space="preserve">2(4)(a) </w:t>
      </w:r>
      <w:r w:rsidR="002A10D4" w:rsidRPr="00BB7B21">
        <w:rPr>
          <w:rFonts w:ascii="Arial" w:hAnsi="Arial" w:cs="Arial"/>
          <w:sz w:val="24"/>
          <w:szCs w:val="24"/>
        </w:rPr>
        <w:t>provides</w:t>
      </w:r>
      <w:r w:rsidR="00A94622" w:rsidRPr="00BB7B21">
        <w:rPr>
          <w:rFonts w:ascii="Arial" w:hAnsi="Arial" w:cs="Arial"/>
          <w:sz w:val="24"/>
          <w:szCs w:val="24"/>
        </w:rPr>
        <w:t xml:space="preserve"> that</w:t>
      </w:r>
      <w:r w:rsidR="00CD4A3D" w:rsidRPr="00BB7B21">
        <w:rPr>
          <w:rFonts w:ascii="Arial" w:hAnsi="Arial" w:cs="Arial"/>
          <w:sz w:val="24"/>
          <w:szCs w:val="24"/>
        </w:rPr>
        <w:t xml:space="preserve"> “</w:t>
      </w:r>
      <w:r w:rsidR="00CD4A3D" w:rsidRPr="00BB7B21">
        <w:rPr>
          <w:rFonts w:ascii="Arial" w:hAnsi="Arial" w:cs="Arial"/>
          <w:i/>
          <w:iCs/>
          <w:sz w:val="24"/>
          <w:szCs w:val="24"/>
        </w:rPr>
        <w:t xml:space="preserve">the plaintiff shall not </w:t>
      </w:r>
      <w:r w:rsidR="00CD4A3D" w:rsidRPr="00BB7B21">
        <w:rPr>
          <w:rFonts w:ascii="Arial" w:hAnsi="Arial" w:cs="Arial"/>
          <w:i/>
          <w:iCs/>
          <w:sz w:val="24"/>
          <w:szCs w:val="24"/>
          <w:u w:val="single"/>
        </w:rPr>
        <w:t>thereafter</w:t>
      </w:r>
      <w:r w:rsidR="00CD4A3D" w:rsidRPr="00BB7B21">
        <w:rPr>
          <w:rFonts w:ascii="Arial" w:hAnsi="Arial" w:cs="Arial"/>
          <w:i/>
          <w:iCs/>
          <w:sz w:val="24"/>
          <w:szCs w:val="24"/>
        </w:rPr>
        <w:t xml:space="preserve"> sue him except with the leave of the court on good cause shown …</w:t>
      </w:r>
      <w:r w:rsidR="00CD4A3D" w:rsidRPr="00BB7B21">
        <w:rPr>
          <w:rFonts w:ascii="Arial" w:hAnsi="Arial" w:cs="Arial"/>
          <w:sz w:val="24"/>
          <w:szCs w:val="24"/>
        </w:rPr>
        <w:t>”</w:t>
      </w:r>
      <w:r w:rsidR="002A10D4" w:rsidRPr="00BB7B21">
        <w:rPr>
          <w:rFonts w:ascii="Arial" w:hAnsi="Arial" w:cs="Arial"/>
          <w:sz w:val="24"/>
          <w:szCs w:val="24"/>
        </w:rPr>
        <w:t>.</w:t>
      </w:r>
      <w:r w:rsidR="00CD4A3D" w:rsidRPr="00BB7B21">
        <w:rPr>
          <w:rFonts w:ascii="Arial" w:hAnsi="Arial" w:cs="Arial"/>
          <w:sz w:val="24"/>
          <w:szCs w:val="24"/>
        </w:rPr>
        <w:t xml:space="preserve"> </w:t>
      </w:r>
      <w:r w:rsidR="003841B6" w:rsidRPr="00BB7B21">
        <w:rPr>
          <w:rFonts w:ascii="Arial" w:hAnsi="Arial" w:cs="Arial"/>
          <w:sz w:val="24"/>
          <w:szCs w:val="24"/>
        </w:rPr>
        <w:t>T</w:t>
      </w:r>
      <w:r w:rsidR="00CD4A3D" w:rsidRPr="00BB7B21">
        <w:rPr>
          <w:rFonts w:ascii="Arial" w:hAnsi="Arial" w:cs="Arial"/>
          <w:sz w:val="24"/>
          <w:szCs w:val="24"/>
        </w:rPr>
        <w:t xml:space="preserve">he </w:t>
      </w:r>
      <w:r w:rsidR="00A94622" w:rsidRPr="00BB7B21">
        <w:rPr>
          <w:rFonts w:ascii="Arial" w:hAnsi="Arial" w:cs="Arial"/>
          <w:sz w:val="24"/>
          <w:szCs w:val="24"/>
        </w:rPr>
        <w:t>‘</w:t>
      </w:r>
      <w:r w:rsidR="00CD4A3D" w:rsidRPr="00BB7B21">
        <w:rPr>
          <w:rFonts w:ascii="Arial" w:hAnsi="Arial" w:cs="Arial"/>
          <w:sz w:val="24"/>
          <w:szCs w:val="24"/>
        </w:rPr>
        <w:t>thereafter</w:t>
      </w:r>
      <w:r w:rsidR="00A94622" w:rsidRPr="00BB7B21">
        <w:rPr>
          <w:rFonts w:ascii="Arial" w:hAnsi="Arial" w:cs="Arial"/>
          <w:sz w:val="24"/>
          <w:szCs w:val="24"/>
        </w:rPr>
        <w:t>’</w:t>
      </w:r>
      <w:r w:rsidR="00CD4A3D" w:rsidRPr="00BB7B21">
        <w:rPr>
          <w:rFonts w:ascii="Arial" w:hAnsi="Arial" w:cs="Arial"/>
          <w:sz w:val="24"/>
          <w:szCs w:val="24"/>
        </w:rPr>
        <w:t xml:space="preserve"> </w:t>
      </w:r>
      <w:r w:rsidR="003841B6" w:rsidRPr="00BB7B21">
        <w:rPr>
          <w:rFonts w:ascii="Arial" w:hAnsi="Arial" w:cs="Arial"/>
          <w:sz w:val="24"/>
          <w:szCs w:val="24"/>
        </w:rPr>
        <w:t xml:space="preserve">is </w:t>
      </w:r>
      <w:r w:rsidR="00CD4A3D" w:rsidRPr="00BB7B21">
        <w:rPr>
          <w:rFonts w:ascii="Arial" w:hAnsi="Arial" w:cs="Arial"/>
          <w:sz w:val="24"/>
          <w:szCs w:val="24"/>
        </w:rPr>
        <w:t xml:space="preserve">a reference to the period after the point in time where the plaintiff failed to give notice before the close of pleadings in terms of section 2(2)(a). </w:t>
      </w:r>
      <w:r w:rsidR="003841B6" w:rsidRPr="00BB7B21">
        <w:rPr>
          <w:rFonts w:ascii="Arial" w:hAnsi="Arial" w:cs="Arial"/>
          <w:sz w:val="24"/>
          <w:szCs w:val="24"/>
        </w:rPr>
        <w:t>It is not the determinative of whether that leave must be sought before the further action is instituted.</w:t>
      </w:r>
      <w:r w:rsidR="006B03A7" w:rsidRPr="00BB7B21">
        <w:rPr>
          <w:rFonts w:ascii="Arial" w:hAnsi="Arial" w:cs="Arial"/>
          <w:sz w:val="24"/>
          <w:szCs w:val="24"/>
        </w:rPr>
        <w:t xml:space="preserve"> What</w:t>
      </w:r>
      <w:r w:rsidR="00CD4A3D" w:rsidRPr="00BB7B21">
        <w:rPr>
          <w:rFonts w:ascii="Arial" w:hAnsi="Arial" w:cs="Arial"/>
          <w:sz w:val="24"/>
          <w:szCs w:val="24"/>
        </w:rPr>
        <w:t xml:space="preserve"> section </w:t>
      </w:r>
      <w:r w:rsidR="00687FA6" w:rsidRPr="00BB7B21">
        <w:rPr>
          <w:rFonts w:ascii="Arial" w:hAnsi="Arial" w:cs="Arial"/>
          <w:sz w:val="24"/>
          <w:szCs w:val="24"/>
        </w:rPr>
        <w:t>2(</w:t>
      </w:r>
      <w:r w:rsidR="00CD4A3D" w:rsidRPr="00BB7B21">
        <w:rPr>
          <w:rFonts w:ascii="Arial" w:hAnsi="Arial" w:cs="Arial"/>
          <w:sz w:val="24"/>
          <w:szCs w:val="24"/>
        </w:rPr>
        <w:t>4</w:t>
      </w:r>
      <w:r w:rsidR="00687FA6" w:rsidRPr="00BB7B21">
        <w:rPr>
          <w:rFonts w:ascii="Arial" w:hAnsi="Arial" w:cs="Arial"/>
          <w:sz w:val="24"/>
          <w:szCs w:val="24"/>
        </w:rPr>
        <w:t>)</w:t>
      </w:r>
      <w:r w:rsidR="00CD4A3D" w:rsidRPr="00BB7B21">
        <w:rPr>
          <w:rFonts w:ascii="Arial" w:hAnsi="Arial" w:cs="Arial"/>
          <w:sz w:val="24"/>
          <w:szCs w:val="24"/>
        </w:rPr>
        <w:t xml:space="preserve">(a) </w:t>
      </w:r>
      <w:r w:rsidR="00CD4A3D" w:rsidRPr="00BB7B21">
        <w:rPr>
          <w:rFonts w:ascii="Arial" w:hAnsi="Arial" w:cs="Arial"/>
          <w:sz w:val="24"/>
          <w:szCs w:val="24"/>
        </w:rPr>
        <w:lastRenderedPageBreak/>
        <w:t>provides is that unless the plaintiff obtains the leave of the court on good cause shown, the plaintiff cannot</w:t>
      </w:r>
      <w:r w:rsidR="00EB257E" w:rsidRPr="00BB7B21">
        <w:rPr>
          <w:rFonts w:ascii="Arial" w:hAnsi="Arial" w:cs="Arial"/>
          <w:sz w:val="24"/>
          <w:szCs w:val="24"/>
        </w:rPr>
        <w:t xml:space="preserve">, after having failed to give the requisite notice in terms of section 2(2)(a) before close of pleadings, </w:t>
      </w:r>
      <w:r w:rsidR="00CD4A3D" w:rsidRPr="00BB7B21">
        <w:rPr>
          <w:rFonts w:ascii="Arial" w:hAnsi="Arial" w:cs="Arial"/>
          <w:sz w:val="24"/>
          <w:szCs w:val="24"/>
        </w:rPr>
        <w:t xml:space="preserve">sue </w:t>
      </w:r>
      <w:r w:rsidR="00EB257E" w:rsidRPr="00BB7B21">
        <w:rPr>
          <w:rFonts w:ascii="Arial" w:hAnsi="Arial" w:cs="Arial"/>
          <w:sz w:val="24"/>
          <w:szCs w:val="24"/>
        </w:rPr>
        <w:t>the joint wrongdoer</w:t>
      </w:r>
      <w:r w:rsidR="00CD4A3D" w:rsidRPr="00BB7B21">
        <w:rPr>
          <w:rFonts w:ascii="Arial" w:hAnsi="Arial" w:cs="Arial"/>
          <w:sz w:val="24"/>
          <w:szCs w:val="24"/>
        </w:rPr>
        <w:t xml:space="preserve"> but without necessarily providing that such </w:t>
      </w:r>
      <w:r w:rsidR="00EB257E" w:rsidRPr="00BB7B21">
        <w:rPr>
          <w:rFonts w:ascii="Arial" w:hAnsi="Arial" w:cs="Arial"/>
          <w:sz w:val="24"/>
          <w:szCs w:val="24"/>
        </w:rPr>
        <w:t xml:space="preserve">leave to sue </w:t>
      </w:r>
      <w:r w:rsidR="00CD4A3D" w:rsidRPr="00BB7B21">
        <w:rPr>
          <w:rFonts w:ascii="Arial" w:hAnsi="Arial" w:cs="Arial"/>
          <w:sz w:val="24"/>
          <w:szCs w:val="24"/>
        </w:rPr>
        <w:t xml:space="preserve">must be </w:t>
      </w:r>
      <w:r w:rsidR="00EB257E" w:rsidRPr="00BB7B21">
        <w:rPr>
          <w:rFonts w:ascii="Arial" w:hAnsi="Arial" w:cs="Arial"/>
          <w:sz w:val="24"/>
          <w:szCs w:val="24"/>
        </w:rPr>
        <w:t xml:space="preserve">obtained </w:t>
      </w:r>
      <w:r w:rsidR="00CD4A3D" w:rsidRPr="00BB7B21">
        <w:rPr>
          <w:rFonts w:ascii="Arial" w:hAnsi="Arial" w:cs="Arial"/>
          <w:sz w:val="24"/>
          <w:szCs w:val="24"/>
        </w:rPr>
        <w:t xml:space="preserve">before </w:t>
      </w:r>
      <w:r w:rsidR="00EB257E" w:rsidRPr="00BB7B21">
        <w:rPr>
          <w:rFonts w:ascii="Arial" w:hAnsi="Arial" w:cs="Arial"/>
          <w:sz w:val="24"/>
          <w:szCs w:val="24"/>
        </w:rPr>
        <w:t>the joint wrongdoer is so sued.</w:t>
      </w:r>
      <w:r w:rsidR="00CD4A3D" w:rsidRPr="00BB7B21">
        <w:rPr>
          <w:rFonts w:ascii="Arial" w:hAnsi="Arial" w:cs="Arial"/>
          <w:sz w:val="24"/>
          <w:szCs w:val="24"/>
        </w:rPr>
        <w:t xml:space="preserve"> </w:t>
      </w:r>
    </w:p>
    <w:p w14:paraId="734AF69F" w14:textId="3CCA1ADD" w:rsidR="00CD4A3D"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32.</w:t>
      </w:r>
      <w:r>
        <w:rPr>
          <w:rFonts w:ascii="Arial" w:hAnsi="Arial" w:cs="Arial"/>
          <w:sz w:val="24"/>
          <w:szCs w:val="24"/>
        </w:rPr>
        <w:tab/>
      </w:r>
      <w:r w:rsidR="00CD4A3D" w:rsidRPr="00BB7B21">
        <w:rPr>
          <w:rFonts w:ascii="Arial" w:hAnsi="Arial" w:cs="Arial"/>
          <w:sz w:val="24"/>
          <w:szCs w:val="24"/>
        </w:rPr>
        <w:t xml:space="preserve">While </w:t>
      </w:r>
      <w:r w:rsidR="006B03A7" w:rsidRPr="00BB7B21">
        <w:rPr>
          <w:rFonts w:ascii="Arial" w:hAnsi="Arial" w:cs="Arial"/>
          <w:sz w:val="24"/>
          <w:szCs w:val="24"/>
        </w:rPr>
        <w:t>section 2(4)</w:t>
      </w:r>
      <w:r w:rsidR="00CD4A3D" w:rsidRPr="00BB7B21">
        <w:rPr>
          <w:rFonts w:ascii="Arial" w:hAnsi="Arial" w:cs="Arial"/>
          <w:sz w:val="24"/>
          <w:szCs w:val="24"/>
        </w:rPr>
        <w:t xml:space="preserve"> does not expressly </w:t>
      </w:r>
      <w:r w:rsidR="006B03A7" w:rsidRPr="00BB7B21">
        <w:rPr>
          <w:rFonts w:ascii="Arial" w:hAnsi="Arial" w:cs="Arial"/>
          <w:sz w:val="24"/>
          <w:szCs w:val="24"/>
        </w:rPr>
        <w:t>provide</w:t>
      </w:r>
      <w:r w:rsidR="00CD4A3D" w:rsidRPr="00BB7B21">
        <w:rPr>
          <w:rFonts w:ascii="Arial" w:hAnsi="Arial" w:cs="Arial"/>
          <w:sz w:val="24"/>
          <w:szCs w:val="24"/>
        </w:rPr>
        <w:t xml:space="preserve"> that the plaintiff can seek the leave after he has already instituted action</w:t>
      </w:r>
      <w:r w:rsidR="002A10D4" w:rsidRPr="00BB7B21">
        <w:rPr>
          <w:rFonts w:ascii="Arial" w:hAnsi="Arial" w:cs="Arial"/>
          <w:sz w:val="24"/>
          <w:szCs w:val="24"/>
        </w:rPr>
        <w:t xml:space="preserve"> against the joint wrongdoer to whom he did not give notice</w:t>
      </w:r>
      <w:r w:rsidR="00CD4A3D" w:rsidRPr="00BB7B21">
        <w:rPr>
          <w:rFonts w:ascii="Arial" w:hAnsi="Arial" w:cs="Arial"/>
          <w:sz w:val="24"/>
          <w:szCs w:val="24"/>
        </w:rPr>
        <w:t>, t</w:t>
      </w:r>
      <w:r w:rsidR="006B03A7" w:rsidRPr="00BB7B21">
        <w:rPr>
          <w:rFonts w:ascii="Arial" w:hAnsi="Arial" w:cs="Arial"/>
          <w:sz w:val="24"/>
          <w:szCs w:val="24"/>
        </w:rPr>
        <w:t>he</w:t>
      </w:r>
      <w:r w:rsidR="00CD4A3D" w:rsidRPr="00BB7B21">
        <w:rPr>
          <w:rFonts w:ascii="Arial" w:hAnsi="Arial" w:cs="Arial"/>
          <w:sz w:val="24"/>
          <w:szCs w:val="24"/>
        </w:rPr>
        <w:t xml:space="preserve"> section also does not expressly state that he cannot do so. </w:t>
      </w:r>
    </w:p>
    <w:p w14:paraId="31D2261E" w14:textId="1726DEAD" w:rsidR="008903B0"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33.</w:t>
      </w:r>
      <w:r>
        <w:rPr>
          <w:rFonts w:ascii="Arial" w:hAnsi="Arial" w:cs="Arial"/>
          <w:sz w:val="24"/>
          <w:szCs w:val="24"/>
        </w:rPr>
        <w:tab/>
      </w:r>
      <w:r w:rsidR="00513347" w:rsidRPr="00BB7B21">
        <w:rPr>
          <w:rFonts w:ascii="Arial" w:hAnsi="Arial" w:cs="Arial"/>
          <w:sz w:val="24"/>
          <w:szCs w:val="24"/>
        </w:rPr>
        <w:t xml:space="preserve">Moving beyond the text itself, to the apparent purpose to which the </w:t>
      </w:r>
      <w:r w:rsidR="008903B0" w:rsidRPr="00BB7B21">
        <w:rPr>
          <w:rFonts w:ascii="Arial" w:hAnsi="Arial" w:cs="Arial"/>
          <w:sz w:val="24"/>
          <w:szCs w:val="24"/>
        </w:rPr>
        <w:t>subsection</w:t>
      </w:r>
      <w:r w:rsidR="00513347" w:rsidRPr="00BB7B21">
        <w:rPr>
          <w:rFonts w:ascii="Arial" w:hAnsi="Arial" w:cs="Arial"/>
          <w:sz w:val="24"/>
          <w:szCs w:val="24"/>
        </w:rPr>
        <w:t xml:space="preserve"> is directed </w:t>
      </w:r>
      <w:r w:rsidR="008903B0" w:rsidRPr="00BB7B21">
        <w:rPr>
          <w:rFonts w:ascii="Arial" w:hAnsi="Arial" w:cs="Arial"/>
          <w:sz w:val="24"/>
          <w:szCs w:val="24"/>
        </w:rPr>
        <w:t xml:space="preserve">in </w:t>
      </w:r>
      <w:r w:rsidR="000A1941" w:rsidRPr="00BB7B21">
        <w:rPr>
          <w:rFonts w:ascii="Arial" w:hAnsi="Arial" w:cs="Arial"/>
          <w:sz w:val="24"/>
          <w:szCs w:val="24"/>
        </w:rPr>
        <w:t xml:space="preserve">the </w:t>
      </w:r>
      <w:r w:rsidR="008903B0" w:rsidRPr="00BB7B21">
        <w:rPr>
          <w:rFonts w:ascii="Arial" w:hAnsi="Arial" w:cs="Arial"/>
          <w:sz w:val="24"/>
          <w:szCs w:val="24"/>
        </w:rPr>
        <w:t>context</w:t>
      </w:r>
      <w:r w:rsidR="000A1941" w:rsidRPr="00BB7B21">
        <w:rPr>
          <w:rFonts w:ascii="Arial" w:hAnsi="Arial" w:cs="Arial"/>
          <w:sz w:val="24"/>
          <w:szCs w:val="24"/>
        </w:rPr>
        <w:t xml:space="preserve"> of the section as a who</w:t>
      </w:r>
      <w:r w:rsidR="00F81BFD" w:rsidRPr="00BB7B21">
        <w:rPr>
          <w:rFonts w:ascii="Arial" w:hAnsi="Arial" w:cs="Arial"/>
          <w:sz w:val="24"/>
          <w:szCs w:val="24"/>
        </w:rPr>
        <w:t>l</w:t>
      </w:r>
      <w:r w:rsidR="000A1941" w:rsidRPr="00BB7B21">
        <w:rPr>
          <w:rFonts w:ascii="Arial" w:hAnsi="Arial" w:cs="Arial"/>
          <w:sz w:val="24"/>
          <w:szCs w:val="24"/>
        </w:rPr>
        <w:t>e</w:t>
      </w:r>
      <w:r w:rsidR="00513347" w:rsidRPr="00BB7B21">
        <w:rPr>
          <w:rFonts w:ascii="Arial" w:hAnsi="Arial" w:cs="Arial"/>
          <w:sz w:val="24"/>
          <w:szCs w:val="24"/>
        </w:rPr>
        <w:t xml:space="preserve">, the </w:t>
      </w:r>
      <w:r w:rsidR="008903B0" w:rsidRPr="00BB7B21">
        <w:rPr>
          <w:rFonts w:ascii="Arial" w:hAnsi="Arial" w:cs="Arial"/>
          <w:sz w:val="24"/>
          <w:szCs w:val="24"/>
        </w:rPr>
        <w:t xml:space="preserve">Supreme </w:t>
      </w:r>
      <w:r w:rsidR="00EC0233" w:rsidRPr="00BB7B21">
        <w:rPr>
          <w:rFonts w:ascii="Arial" w:hAnsi="Arial" w:cs="Arial"/>
          <w:sz w:val="24"/>
          <w:szCs w:val="24"/>
        </w:rPr>
        <w:t xml:space="preserve">Court of Appeal </w:t>
      </w:r>
      <w:r w:rsidR="008903B0" w:rsidRPr="00BB7B21">
        <w:rPr>
          <w:rFonts w:ascii="Arial" w:hAnsi="Arial" w:cs="Arial"/>
          <w:sz w:val="24"/>
          <w:szCs w:val="24"/>
        </w:rPr>
        <w:t xml:space="preserve">in </w:t>
      </w:r>
      <w:r w:rsidR="008903B0" w:rsidRPr="00BB7B21">
        <w:rPr>
          <w:rFonts w:ascii="Arial" w:hAnsi="Arial" w:cs="Arial"/>
          <w:i/>
          <w:iCs/>
          <w:sz w:val="24"/>
          <w:szCs w:val="24"/>
        </w:rPr>
        <w:t>ABSA Brokers</w:t>
      </w:r>
      <w:r w:rsidR="008903B0" w:rsidRPr="00BB7B21">
        <w:rPr>
          <w:rFonts w:ascii="Arial" w:hAnsi="Arial" w:cs="Arial"/>
          <w:sz w:val="24"/>
          <w:szCs w:val="24"/>
        </w:rPr>
        <w:t xml:space="preserve"> stated:</w:t>
      </w:r>
    </w:p>
    <w:p w14:paraId="549F9CF0" w14:textId="757EFFBB" w:rsidR="00EC0233" w:rsidRPr="00EC0233" w:rsidRDefault="00A466D7" w:rsidP="00EC0233">
      <w:pPr>
        <w:spacing w:before="360" w:after="360" w:line="360" w:lineRule="auto"/>
        <w:ind w:left="1440" w:right="567"/>
        <w:jc w:val="both"/>
        <w:rPr>
          <w:rFonts w:ascii="Arial" w:hAnsi="Arial" w:cs="Arial"/>
          <w:i/>
          <w:iCs/>
          <w:color w:val="000000" w:themeColor="text1"/>
          <w:sz w:val="24"/>
          <w:szCs w:val="24"/>
        </w:rPr>
      </w:pPr>
      <w:r>
        <w:rPr>
          <w:rFonts w:ascii="Arial" w:hAnsi="Arial" w:cs="Arial"/>
          <w:i/>
          <w:iCs/>
          <w:color w:val="000000" w:themeColor="text1"/>
          <w:sz w:val="24"/>
          <w:szCs w:val="24"/>
          <w:shd w:val="clear" w:color="auto" w:fill="FFFFFF"/>
        </w:rPr>
        <w:t>“</w:t>
      </w:r>
      <w:r w:rsidR="00EC0233" w:rsidRPr="00EC0233">
        <w:rPr>
          <w:rFonts w:ascii="Arial" w:hAnsi="Arial" w:cs="Arial"/>
          <w:i/>
          <w:iCs/>
          <w:color w:val="000000" w:themeColor="text1"/>
          <w:sz w:val="24"/>
          <w:szCs w:val="24"/>
          <w:shd w:val="clear" w:color="auto" w:fill="FFFFFF"/>
        </w:rPr>
        <w:t>[15] We agree with the court below that the clear purpose of the Act is to avoid a multiplicity of actions arising from a single loss-causing event. The scheme of the Act contemplates a single determination of liability by</w:t>
      </w:r>
      <w:r w:rsidR="00EC0233" w:rsidRPr="00EC0233">
        <w:rPr>
          <w:rStyle w:val="apple-converted-space"/>
          <w:rFonts w:ascii="Arial" w:hAnsi="Arial" w:cs="Arial"/>
          <w:i/>
          <w:iCs/>
          <w:color w:val="000000" w:themeColor="text1"/>
          <w:sz w:val="24"/>
          <w:szCs w:val="24"/>
          <w:shd w:val="clear" w:color="auto" w:fill="FFFFFF"/>
        </w:rPr>
        <w:t> </w:t>
      </w:r>
      <w:r w:rsidR="00EC0233" w:rsidRPr="00EC0233">
        <w:rPr>
          <w:rFonts w:ascii="Arial" w:hAnsi="Arial" w:cs="Arial"/>
          <w:i/>
          <w:iCs/>
          <w:color w:val="000000" w:themeColor="text1"/>
          <w:sz w:val="24"/>
          <w:szCs w:val="24"/>
          <w:shd w:val="clear" w:color="auto" w:fill="FFFFFF"/>
        </w:rPr>
        <w:t>multiple wrongdoers and the apportionment of liability amongst them in single proceedings. Thus a plaintiff who alleges that two or more persons are liable for the damage that is in issue is permitted by s 2(1) to sue them all in the same action. A defendant who alleges that another person is also liable to the plaintiff is capable of joining him or her in the</w:t>
      </w:r>
      <w:r w:rsidR="00EC0233" w:rsidRPr="00EC0233">
        <w:rPr>
          <w:rStyle w:val="apple-converted-space"/>
          <w:rFonts w:ascii="Arial" w:hAnsi="Arial" w:cs="Arial"/>
          <w:i/>
          <w:iCs/>
          <w:color w:val="000000" w:themeColor="text1"/>
          <w:sz w:val="24"/>
          <w:szCs w:val="24"/>
          <w:shd w:val="clear" w:color="auto" w:fill="FFFFFF"/>
        </w:rPr>
        <w:t> </w:t>
      </w:r>
      <w:r w:rsidR="00EC0233" w:rsidRPr="00EC0233">
        <w:rPr>
          <w:rFonts w:ascii="Arial" w:hAnsi="Arial" w:cs="Arial"/>
          <w:i/>
          <w:iCs/>
          <w:color w:val="000000" w:themeColor="text1"/>
          <w:sz w:val="24"/>
          <w:szCs w:val="24"/>
          <w:shd w:val="clear" w:color="auto" w:fill="FFFFFF"/>
        </w:rPr>
        <w:t>proceedings under rule 13 of the Uniform Rules. And if the plaintiff and the defendant choose not to join that person in the action, then that person must at least be given the opportunity to intervene by being notified of the action. The clear purpose of ss (4)</w:t>
      </w:r>
      <w:r w:rsidR="00EC0233" w:rsidRPr="00EC0233">
        <w:rPr>
          <w:rFonts w:ascii="Arial" w:hAnsi="Arial" w:cs="Arial"/>
          <w:i/>
          <w:iCs/>
          <w:color w:val="000000" w:themeColor="text1"/>
          <w:sz w:val="24"/>
          <w:szCs w:val="24"/>
        </w:rPr>
        <w:t>(a)</w:t>
      </w:r>
      <w:r w:rsidR="00EC0233" w:rsidRPr="00EC0233">
        <w:rPr>
          <w:rStyle w:val="apple-converted-space"/>
          <w:rFonts w:ascii="Arial" w:hAnsi="Arial" w:cs="Arial"/>
          <w:i/>
          <w:iCs/>
          <w:color w:val="000000" w:themeColor="text1"/>
          <w:sz w:val="24"/>
          <w:szCs w:val="24"/>
          <w:shd w:val="clear" w:color="auto" w:fill="FFFFFF"/>
        </w:rPr>
        <w:t> </w:t>
      </w:r>
      <w:r w:rsidR="00EC0233" w:rsidRPr="00EC0233">
        <w:rPr>
          <w:rFonts w:ascii="Arial" w:hAnsi="Arial" w:cs="Arial"/>
          <w:i/>
          <w:iCs/>
          <w:color w:val="000000" w:themeColor="text1"/>
          <w:sz w:val="24"/>
          <w:szCs w:val="24"/>
          <w:shd w:val="clear" w:color="auto" w:fill="FFFFFF"/>
        </w:rPr>
        <w:t>and</w:t>
      </w:r>
      <w:r w:rsidR="00EC0233" w:rsidRPr="00EC0233">
        <w:rPr>
          <w:rStyle w:val="apple-converted-space"/>
          <w:rFonts w:ascii="Arial" w:hAnsi="Arial" w:cs="Arial"/>
          <w:i/>
          <w:iCs/>
          <w:color w:val="000000" w:themeColor="text1"/>
          <w:sz w:val="24"/>
          <w:szCs w:val="24"/>
          <w:shd w:val="clear" w:color="auto" w:fill="FFFFFF"/>
        </w:rPr>
        <w:t> </w:t>
      </w:r>
      <w:r w:rsidR="00EC0233" w:rsidRPr="00EC0233">
        <w:rPr>
          <w:rFonts w:ascii="Arial" w:hAnsi="Arial" w:cs="Arial"/>
          <w:i/>
          <w:iCs/>
          <w:color w:val="000000" w:themeColor="text1"/>
          <w:sz w:val="24"/>
          <w:szCs w:val="24"/>
        </w:rPr>
        <w:t>(b)</w:t>
      </w:r>
      <w:r w:rsidR="00EC0233" w:rsidRPr="00EC0233">
        <w:rPr>
          <w:rStyle w:val="apple-converted-space"/>
          <w:rFonts w:ascii="Arial" w:hAnsi="Arial" w:cs="Arial"/>
          <w:i/>
          <w:iCs/>
          <w:color w:val="000000" w:themeColor="text1"/>
          <w:sz w:val="24"/>
          <w:szCs w:val="24"/>
          <w:shd w:val="clear" w:color="auto" w:fill="FFFFFF"/>
        </w:rPr>
        <w:t> </w:t>
      </w:r>
      <w:r w:rsidR="00EC0233" w:rsidRPr="00EC0233">
        <w:rPr>
          <w:rFonts w:ascii="Arial" w:hAnsi="Arial" w:cs="Arial"/>
          <w:i/>
          <w:iCs/>
          <w:color w:val="000000" w:themeColor="text1"/>
          <w:sz w:val="24"/>
          <w:szCs w:val="24"/>
          <w:shd w:val="clear" w:color="auto" w:fill="FFFFFF"/>
        </w:rPr>
        <w:t xml:space="preserve">is to encourage the resolution of all claims in single proceedings by barring further proceedings against parties who </w:t>
      </w:r>
      <w:r w:rsidR="00EC0233" w:rsidRPr="00EC0233">
        <w:rPr>
          <w:rFonts w:ascii="Arial" w:hAnsi="Arial" w:cs="Arial"/>
          <w:i/>
          <w:iCs/>
          <w:color w:val="000000" w:themeColor="text1"/>
          <w:sz w:val="24"/>
          <w:szCs w:val="24"/>
          <w:shd w:val="clear" w:color="auto" w:fill="FFFFFF"/>
        </w:rPr>
        <w:lastRenderedPageBreak/>
        <w:t>have not been given such notice</w:t>
      </w:r>
      <w:r w:rsidR="00EC0233" w:rsidRPr="00EC0233">
        <w:rPr>
          <w:rStyle w:val="apple-converted-space"/>
          <w:rFonts w:ascii="Arial" w:hAnsi="Arial" w:cs="Arial"/>
          <w:i/>
          <w:iCs/>
          <w:color w:val="000000" w:themeColor="text1"/>
          <w:sz w:val="24"/>
          <w:szCs w:val="24"/>
          <w:shd w:val="clear" w:color="auto" w:fill="FFFFFF"/>
        </w:rPr>
        <w:t> </w:t>
      </w:r>
      <w:r w:rsidR="00EC0233" w:rsidRPr="00EC0233">
        <w:rPr>
          <w:rFonts w:ascii="Arial" w:hAnsi="Arial" w:cs="Arial"/>
          <w:i/>
          <w:iCs/>
          <w:color w:val="000000" w:themeColor="text1"/>
          <w:sz w:val="24"/>
          <w:szCs w:val="24"/>
          <w:shd w:val="clear" w:color="auto" w:fill="FFFFFF"/>
        </w:rPr>
        <w:t>(except with the leave of the court).</w:t>
      </w:r>
      <w:r w:rsidR="00EC0233">
        <w:rPr>
          <w:rFonts w:ascii="Arial" w:hAnsi="Arial" w:cs="Arial"/>
          <w:i/>
          <w:iCs/>
          <w:color w:val="000000" w:themeColor="text1"/>
          <w:sz w:val="24"/>
          <w:szCs w:val="24"/>
          <w:shd w:val="clear" w:color="auto" w:fill="FFFFFF"/>
        </w:rPr>
        <w:t>”</w:t>
      </w:r>
    </w:p>
    <w:p w14:paraId="4E0C25CA" w14:textId="4EC2DAA0" w:rsidR="00CD4A3D"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34.</w:t>
      </w:r>
      <w:r>
        <w:rPr>
          <w:rFonts w:ascii="Arial" w:hAnsi="Arial" w:cs="Arial"/>
          <w:sz w:val="24"/>
          <w:szCs w:val="24"/>
        </w:rPr>
        <w:tab/>
      </w:r>
      <w:r w:rsidR="000A1941" w:rsidRPr="00BB7B21">
        <w:rPr>
          <w:rFonts w:ascii="Arial" w:hAnsi="Arial" w:cs="Arial"/>
          <w:sz w:val="24"/>
          <w:szCs w:val="24"/>
        </w:rPr>
        <w:t xml:space="preserve">The Supreme Court of Appeal in </w:t>
      </w:r>
      <w:r w:rsidR="000A1941" w:rsidRPr="00BB7B21">
        <w:rPr>
          <w:rFonts w:ascii="Arial" w:hAnsi="Arial" w:cs="Arial"/>
          <w:i/>
          <w:iCs/>
          <w:sz w:val="24"/>
          <w:szCs w:val="24"/>
        </w:rPr>
        <w:t>ABSA Brokers</w:t>
      </w:r>
      <w:r w:rsidR="000A1941" w:rsidRPr="00BB7B21">
        <w:rPr>
          <w:rFonts w:ascii="Arial" w:hAnsi="Arial" w:cs="Arial"/>
          <w:sz w:val="24"/>
          <w:szCs w:val="24"/>
        </w:rPr>
        <w:t xml:space="preserve"> considered </w:t>
      </w:r>
      <w:r w:rsidR="00513347" w:rsidRPr="00BB7B21">
        <w:rPr>
          <w:rFonts w:ascii="Arial" w:hAnsi="Arial" w:cs="Arial"/>
          <w:sz w:val="24"/>
          <w:szCs w:val="24"/>
        </w:rPr>
        <w:t>the structure of section 2</w:t>
      </w:r>
      <w:r w:rsidR="000A1941" w:rsidRPr="00BB7B21">
        <w:rPr>
          <w:rFonts w:ascii="Arial" w:hAnsi="Arial" w:cs="Arial"/>
          <w:sz w:val="24"/>
          <w:szCs w:val="24"/>
        </w:rPr>
        <w:t xml:space="preserve">. </w:t>
      </w:r>
      <w:r w:rsidR="00A364B8" w:rsidRPr="00BB7B21">
        <w:rPr>
          <w:rFonts w:ascii="Arial" w:hAnsi="Arial" w:cs="Arial"/>
          <w:sz w:val="24"/>
          <w:szCs w:val="24"/>
        </w:rPr>
        <w:t xml:space="preserve"> </w:t>
      </w:r>
      <w:r w:rsidR="000A1941" w:rsidRPr="00BB7B21">
        <w:rPr>
          <w:rFonts w:ascii="Arial" w:hAnsi="Arial" w:cs="Arial"/>
          <w:sz w:val="24"/>
          <w:szCs w:val="24"/>
        </w:rPr>
        <w:t>S</w:t>
      </w:r>
      <w:r w:rsidR="00513347" w:rsidRPr="00BB7B21">
        <w:rPr>
          <w:rFonts w:ascii="Arial" w:hAnsi="Arial" w:cs="Arial"/>
          <w:sz w:val="24"/>
          <w:szCs w:val="24"/>
        </w:rPr>
        <w:t xml:space="preserve">ection 2(1) </w:t>
      </w:r>
      <w:r w:rsidR="00A364B8" w:rsidRPr="00BB7B21">
        <w:rPr>
          <w:rFonts w:ascii="Arial" w:hAnsi="Arial" w:cs="Arial"/>
          <w:sz w:val="24"/>
          <w:szCs w:val="24"/>
        </w:rPr>
        <w:t>“</w:t>
      </w:r>
      <w:r w:rsidR="00513347" w:rsidRPr="00BB7B21">
        <w:rPr>
          <w:rFonts w:ascii="Arial" w:hAnsi="Arial" w:cs="Arial"/>
          <w:i/>
          <w:iCs/>
          <w:sz w:val="24"/>
          <w:szCs w:val="24"/>
        </w:rPr>
        <w:t>is the guiding principle to have a unitary action</w:t>
      </w:r>
      <w:r w:rsidR="00A364B8" w:rsidRPr="00BB7B21">
        <w:rPr>
          <w:rFonts w:ascii="Arial" w:hAnsi="Arial" w:cs="Arial"/>
          <w:i/>
          <w:iCs/>
          <w:sz w:val="24"/>
          <w:szCs w:val="24"/>
        </w:rPr>
        <w:t>”</w:t>
      </w:r>
      <w:r w:rsidR="00513347" w:rsidRPr="00BB7B21">
        <w:rPr>
          <w:rFonts w:ascii="Arial" w:hAnsi="Arial" w:cs="Arial"/>
          <w:sz w:val="24"/>
          <w:szCs w:val="24"/>
        </w:rPr>
        <w:t xml:space="preserve"> in that an action is to be instituted against joint wrongdoers in the same action.</w:t>
      </w:r>
      <w:r w:rsidR="00513347">
        <w:rPr>
          <w:rStyle w:val="FootnoteReference"/>
          <w:rFonts w:ascii="Arial" w:hAnsi="Arial" w:cs="Arial"/>
          <w:sz w:val="24"/>
          <w:szCs w:val="24"/>
        </w:rPr>
        <w:footnoteReference w:id="11"/>
      </w:r>
      <w:r w:rsidR="00513347" w:rsidRPr="00BB7B21">
        <w:rPr>
          <w:rFonts w:ascii="Arial" w:hAnsi="Arial" w:cs="Arial"/>
          <w:sz w:val="24"/>
          <w:szCs w:val="24"/>
        </w:rPr>
        <w:t xml:space="preserve"> Should the plaintiff not so sue all the joint wrongdoers in a single action, </w:t>
      </w:r>
      <w:r w:rsidR="00EC0233" w:rsidRPr="00BB7B21">
        <w:rPr>
          <w:rFonts w:ascii="Arial" w:hAnsi="Arial" w:cs="Arial"/>
          <w:sz w:val="24"/>
          <w:szCs w:val="24"/>
        </w:rPr>
        <w:t>then</w:t>
      </w:r>
      <w:r w:rsidR="00513347" w:rsidRPr="00BB7B21">
        <w:rPr>
          <w:rFonts w:ascii="Arial" w:hAnsi="Arial" w:cs="Arial"/>
          <w:sz w:val="24"/>
          <w:szCs w:val="24"/>
        </w:rPr>
        <w:t xml:space="preserve"> those joint wrongdoers should </w:t>
      </w:r>
      <w:r w:rsidR="000A1941" w:rsidRPr="00BB7B21">
        <w:rPr>
          <w:rFonts w:ascii="Arial" w:hAnsi="Arial" w:cs="Arial"/>
          <w:sz w:val="24"/>
          <w:szCs w:val="24"/>
        </w:rPr>
        <w:t xml:space="preserve">at least </w:t>
      </w:r>
      <w:r w:rsidR="00513347" w:rsidRPr="00BB7B21">
        <w:rPr>
          <w:rFonts w:ascii="Arial" w:hAnsi="Arial" w:cs="Arial"/>
          <w:sz w:val="24"/>
          <w:szCs w:val="24"/>
        </w:rPr>
        <w:t>be given notice so that they may intervene as defendant</w:t>
      </w:r>
      <w:r w:rsidR="00F66EE0" w:rsidRPr="00BB7B21">
        <w:rPr>
          <w:rFonts w:ascii="Arial" w:hAnsi="Arial" w:cs="Arial"/>
          <w:sz w:val="24"/>
          <w:szCs w:val="24"/>
        </w:rPr>
        <w:t>s</w:t>
      </w:r>
      <w:r w:rsidR="00513347" w:rsidRPr="00BB7B21">
        <w:rPr>
          <w:rFonts w:ascii="Arial" w:hAnsi="Arial" w:cs="Arial"/>
          <w:sz w:val="24"/>
          <w:szCs w:val="24"/>
        </w:rPr>
        <w:t xml:space="preserve"> in the action</w:t>
      </w:r>
      <w:r w:rsidR="00A466D7" w:rsidRPr="00BB7B21">
        <w:rPr>
          <w:rFonts w:ascii="Arial" w:hAnsi="Arial" w:cs="Arial"/>
          <w:sz w:val="24"/>
          <w:szCs w:val="24"/>
        </w:rPr>
        <w:t xml:space="preserve"> should they choose</w:t>
      </w:r>
      <w:r w:rsidR="00513347" w:rsidRPr="00BB7B21">
        <w:rPr>
          <w:rFonts w:ascii="Arial" w:hAnsi="Arial" w:cs="Arial"/>
          <w:sz w:val="24"/>
          <w:szCs w:val="24"/>
        </w:rPr>
        <w:t>. This is achieved by section 2(2).</w:t>
      </w:r>
      <w:r w:rsidR="00513347">
        <w:rPr>
          <w:rStyle w:val="FootnoteReference"/>
          <w:rFonts w:ascii="Arial" w:hAnsi="Arial" w:cs="Arial"/>
          <w:sz w:val="24"/>
          <w:szCs w:val="24"/>
        </w:rPr>
        <w:footnoteReference w:id="12"/>
      </w:r>
      <w:r w:rsidR="00513347" w:rsidRPr="00BB7B21">
        <w:rPr>
          <w:rFonts w:ascii="Arial" w:hAnsi="Arial" w:cs="Arial"/>
          <w:sz w:val="24"/>
          <w:szCs w:val="24"/>
        </w:rPr>
        <w:t xml:space="preserve"> </w:t>
      </w:r>
    </w:p>
    <w:p w14:paraId="0B8CA96C" w14:textId="77777777" w:rsidR="00EC0233" w:rsidRPr="00EC0233" w:rsidRDefault="00EC0233" w:rsidP="00EC0233">
      <w:pPr>
        <w:pStyle w:val="ListParagraph"/>
        <w:spacing w:before="360" w:after="360" w:line="480" w:lineRule="auto"/>
        <w:ind w:left="624" w:right="567"/>
        <w:jc w:val="both"/>
        <w:rPr>
          <w:rFonts w:ascii="Arial" w:hAnsi="Arial" w:cs="Arial"/>
          <w:sz w:val="24"/>
          <w:szCs w:val="24"/>
        </w:rPr>
      </w:pPr>
    </w:p>
    <w:p w14:paraId="0C8356F9" w14:textId="5AB4D9B0" w:rsidR="00A364B8" w:rsidRPr="00BB7B21" w:rsidRDefault="00BB7B21" w:rsidP="00BB7B21">
      <w:pPr>
        <w:spacing w:before="360" w:after="360" w:line="480" w:lineRule="auto"/>
        <w:ind w:left="624" w:right="567" w:hanging="624"/>
        <w:jc w:val="both"/>
        <w:rPr>
          <w:rFonts w:ascii="Arial" w:hAnsi="Arial" w:cs="Arial"/>
          <w:sz w:val="24"/>
          <w:szCs w:val="24"/>
        </w:rPr>
      </w:pPr>
      <w:r w:rsidRPr="00BA7530">
        <w:rPr>
          <w:rFonts w:ascii="Arial" w:hAnsi="Arial" w:cs="Arial"/>
          <w:sz w:val="24"/>
          <w:szCs w:val="24"/>
        </w:rPr>
        <w:t>35.</w:t>
      </w:r>
      <w:r w:rsidRPr="00BA7530">
        <w:rPr>
          <w:rFonts w:ascii="Arial" w:hAnsi="Arial" w:cs="Arial"/>
          <w:sz w:val="24"/>
          <w:szCs w:val="24"/>
        </w:rPr>
        <w:tab/>
      </w:r>
      <w:r w:rsidR="00513347" w:rsidRPr="00BB7B21">
        <w:rPr>
          <w:rFonts w:ascii="Arial" w:hAnsi="Arial" w:cs="Arial"/>
          <w:sz w:val="24"/>
          <w:szCs w:val="24"/>
        </w:rPr>
        <w:t xml:space="preserve">Apart from the difficulties that would flow from a multiplicity of actions </w:t>
      </w:r>
      <w:r w:rsidR="00A364B8" w:rsidRPr="00BB7B21">
        <w:rPr>
          <w:rFonts w:ascii="Arial" w:hAnsi="Arial" w:cs="Arial"/>
          <w:sz w:val="24"/>
          <w:szCs w:val="24"/>
        </w:rPr>
        <w:t>resulting in</w:t>
      </w:r>
      <w:r w:rsidR="00513347" w:rsidRPr="00BB7B21">
        <w:rPr>
          <w:rFonts w:ascii="Arial" w:hAnsi="Arial" w:cs="Arial"/>
          <w:sz w:val="24"/>
          <w:szCs w:val="24"/>
        </w:rPr>
        <w:t xml:space="preserve"> potentially divergent decisions being made in respect of the same loss-causing event, </w:t>
      </w:r>
      <w:r w:rsidR="00A364B8" w:rsidRPr="00BB7B21">
        <w:rPr>
          <w:rFonts w:ascii="Arial" w:hAnsi="Arial" w:cs="Arial"/>
          <w:i/>
          <w:iCs/>
          <w:sz w:val="24"/>
          <w:szCs w:val="24"/>
        </w:rPr>
        <w:t>"</w:t>
      </w:r>
      <w:r w:rsidR="00513347" w:rsidRPr="00BB7B21">
        <w:rPr>
          <w:rFonts w:ascii="Arial" w:hAnsi="Arial" w:cs="Arial"/>
          <w:i/>
          <w:iCs/>
          <w:sz w:val="24"/>
          <w:szCs w:val="24"/>
        </w:rPr>
        <w:t>the Act recognises the potential prejudice to a joint wrongdoer who is not joined in an action</w:t>
      </w:r>
      <w:r w:rsidR="00A364B8" w:rsidRPr="00BB7B21">
        <w:rPr>
          <w:rFonts w:ascii="Arial" w:hAnsi="Arial" w:cs="Arial"/>
          <w:i/>
          <w:iCs/>
          <w:sz w:val="24"/>
          <w:szCs w:val="24"/>
        </w:rPr>
        <w:t>”</w:t>
      </w:r>
      <w:r w:rsidR="00A364B8" w:rsidRPr="00BB7B21">
        <w:rPr>
          <w:rFonts w:ascii="Arial" w:hAnsi="Arial" w:cs="Arial"/>
          <w:sz w:val="24"/>
          <w:szCs w:val="24"/>
        </w:rPr>
        <w:t>.</w:t>
      </w:r>
      <w:r w:rsidR="00A364B8" w:rsidRPr="00BB7B21">
        <w:rPr>
          <w:rStyle w:val="FootnoteReference"/>
          <w:rFonts w:ascii="Arial" w:hAnsi="Arial" w:cs="Arial"/>
          <w:sz w:val="24"/>
          <w:szCs w:val="24"/>
        </w:rPr>
        <w:t xml:space="preserve"> </w:t>
      </w:r>
      <w:r w:rsidR="00A364B8">
        <w:rPr>
          <w:rStyle w:val="FootnoteReference"/>
          <w:rFonts w:ascii="Arial" w:hAnsi="Arial" w:cs="Arial"/>
          <w:sz w:val="24"/>
          <w:szCs w:val="24"/>
        </w:rPr>
        <w:footnoteReference w:id="13"/>
      </w:r>
      <w:r w:rsidR="00A364B8" w:rsidRPr="00BB7B21">
        <w:rPr>
          <w:rFonts w:ascii="Arial" w:hAnsi="Arial" w:cs="Arial"/>
          <w:sz w:val="24"/>
          <w:szCs w:val="24"/>
        </w:rPr>
        <w:t xml:space="preserve"> To address that potential prejudice, section 2(2) provides that </w:t>
      </w:r>
      <w:r w:rsidR="00513347" w:rsidRPr="00BB7B21">
        <w:rPr>
          <w:rFonts w:ascii="Arial" w:hAnsi="Arial" w:cs="Arial"/>
          <w:sz w:val="24"/>
          <w:szCs w:val="24"/>
        </w:rPr>
        <w:t>notice</w:t>
      </w:r>
      <w:r w:rsidR="00A364B8" w:rsidRPr="00BB7B21">
        <w:rPr>
          <w:rFonts w:ascii="Arial" w:hAnsi="Arial" w:cs="Arial"/>
          <w:sz w:val="24"/>
          <w:szCs w:val="24"/>
        </w:rPr>
        <w:t xml:space="preserve"> should be given to the joint wrongdoer</w:t>
      </w:r>
      <w:r w:rsidR="00513347" w:rsidRPr="00BB7B21">
        <w:rPr>
          <w:rFonts w:ascii="Arial" w:hAnsi="Arial" w:cs="Arial"/>
          <w:sz w:val="24"/>
          <w:szCs w:val="24"/>
        </w:rPr>
        <w:t xml:space="preserve"> </w:t>
      </w:r>
      <w:r w:rsidR="00A364B8" w:rsidRPr="00BB7B21">
        <w:rPr>
          <w:rFonts w:ascii="Arial" w:hAnsi="Arial" w:cs="Arial"/>
          <w:sz w:val="24"/>
          <w:szCs w:val="24"/>
        </w:rPr>
        <w:t>to enable him or her</w:t>
      </w:r>
      <w:r w:rsidR="00513347" w:rsidRPr="00BB7B21">
        <w:rPr>
          <w:rFonts w:ascii="Arial" w:hAnsi="Arial" w:cs="Arial"/>
          <w:sz w:val="24"/>
          <w:szCs w:val="24"/>
        </w:rPr>
        <w:t xml:space="preserve"> to </w:t>
      </w:r>
      <w:r w:rsidR="00A364B8" w:rsidRPr="00BB7B21">
        <w:rPr>
          <w:rFonts w:ascii="Arial" w:hAnsi="Arial" w:cs="Arial"/>
          <w:sz w:val="24"/>
          <w:szCs w:val="24"/>
        </w:rPr>
        <w:t xml:space="preserve">intervene as a defendant in the action. </w:t>
      </w:r>
    </w:p>
    <w:p w14:paraId="39829402" w14:textId="657C7A31" w:rsidR="00513347"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13347" w:rsidRPr="00BB7B21">
        <w:rPr>
          <w:rFonts w:ascii="Arial" w:hAnsi="Arial" w:cs="Arial"/>
          <w:sz w:val="24"/>
          <w:szCs w:val="24"/>
        </w:rPr>
        <w:t xml:space="preserve">To enforce </w:t>
      </w:r>
      <w:r w:rsidR="00A364B8" w:rsidRPr="00BB7B21">
        <w:rPr>
          <w:rFonts w:ascii="Arial" w:hAnsi="Arial" w:cs="Arial"/>
          <w:sz w:val="24"/>
          <w:szCs w:val="24"/>
        </w:rPr>
        <w:t>the requirement that notice be given</w:t>
      </w:r>
      <w:r w:rsidR="000A1941" w:rsidRPr="00BB7B21">
        <w:rPr>
          <w:rFonts w:ascii="Arial" w:hAnsi="Arial" w:cs="Arial"/>
          <w:sz w:val="24"/>
          <w:szCs w:val="24"/>
        </w:rPr>
        <w:t xml:space="preserve"> by the plaintiff</w:t>
      </w:r>
      <w:r w:rsidR="00A364B8" w:rsidRPr="00BB7B21">
        <w:rPr>
          <w:rFonts w:ascii="Arial" w:hAnsi="Arial" w:cs="Arial"/>
          <w:sz w:val="24"/>
          <w:szCs w:val="24"/>
        </w:rPr>
        <w:t xml:space="preserve"> to the joint wrongdoer in terms of section 2(2)</w:t>
      </w:r>
      <w:r w:rsidR="00513347" w:rsidRPr="00BB7B21">
        <w:rPr>
          <w:rFonts w:ascii="Arial" w:hAnsi="Arial" w:cs="Arial"/>
          <w:sz w:val="24"/>
          <w:szCs w:val="24"/>
        </w:rPr>
        <w:t>, section 2(4) provides for the sanction</w:t>
      </w:r>
      <w:r w:rsidR="000A1941" w:rsidRPr="00BB7B21">
        <w:rPr>
          <w:rFonts w:ascii="Arial" w:hAnsi="Arial" w:cs="Arial"/>
          <w:sz w:val="24"/>
          <w:szCs w:val="24"/>
        </w:rPr>
        <w:t xml:space="preserve"> </w:t>
      </w:r>
      <w:r w:rsidR="00513347" w:rsidRPr="00BB7B21">
        <w:rPr>
          <w:rFonts w:ascii="Arial" w:hAnsi="Arial" w:cs="Arial"/>
          <w:sz w:val="24"/>
          <w:szCs w:val="24"/>
        </w:rPr>
        <w:t xml:space="preserve">that if the notice is not given, then </w:t>
      </w:r>
      <w:r w:rsidR="00BA7530" w:rsidRPr="00BB7B21">
        <w:rPr>
          <w:rFonts w:ascii="Arial" w:hAnsi="Arial" w:cs="Arial"/>
          <w:sz w:val="24"/>
          <w:szCs w:val="24"/>
        </w:rPr>
        <w:t>“</w:t>
      </w:r>
      <w:r w:rsidR="00513347" w:rsidRPr="00BB7B21">
        <w:rPr>
          <w:rFonts w:ascii="Arial" w:hAnsi="Arial" w:cs="Arial"/>
          <w:i/>
          <w:iCs/>
          <w:sz w:val="24"/>
          <w:szCs w:val="24"/>
        </w:rPr>
        <w:t>the plaintiff shall not thereafter sue</w:t>
      </w:r>
      <w:r w:rsidR="00BA7530" w:rsidRPr="00BB7B21">
        <w:rPr>
          <w:rFonts w:ascii="Arial" w:hAnsi="Arial" w:cs="Arial"/>
          <w:i/>
          <w:iCs/>
          <w:sz w:val="24"/>
          <w:szCs w:val="24"/>
        </w:rPr>
        <w:t xml:space="preserve"> [the </w:t>
      </w:r>
      <w:r w:rsidR="00BA7530" w:rsidRPr="00BB7B21">
        <w:rPr>
          <w:rFonts w:ascii="Arial" w:hAnsi="Arial" w:cs="Arial"/>
          <w:i/>
          <w:iCs/>
          <w:sz w:val="24"/>
          <w:szCs w:val="24"/>
        </w:rPr>
        <w:lastRenderedPageBreak/>
        <w:t>joint wrongdoer] him</w:t>
      </w:r>
      <w:r w:rsidR="00513347" w:rsidRPr="00BB7B21">
        <w:rPr>
          <w:rFonts w:ascii="Arial" w:hAnsi="Arial" w:cs="Arial"/>
          <w:i/>
          <w:iCs/>
          <w:sz w:val="24"/>
          <w:szCs w:val="24"/>
        </w:rPr>
        <w:t xml:space="preserve"> except with the leave of the court on good cause shown as to why </w:t>
      </w:r>
      <w:r w:rsidR="00BA7530" w:rsidRPr="00BB7B21">
        <w:rPr>
          <w:rFonts w:ascii="Arial" w:hAnsi="Arial" w:cs="Arial"/>
          <w:i/>
          <w:iCs/>
          <w:sz w:val="24"/>
          <w:szCs w:val="24"/>
        </w:rPr>
        <w:t xml:space="preserve">notice </w:t>
      </w:r>
      <w:r w:rsidR="00513347" w:rsidRPr="00BB7B21">
        <w:rPr>
          <w:rFonts w:ascii="Arial" w:hAnsi="Arial" w:cs="Arial"/>
          <w:i/>
          <w:iCs/>
          <w:sz w:val="24"/>
          <w:szCs w:val="24"/>
        </w:rPr>
        <w:t>was not given as aforesaid</w:t>
      </w:r>
      <w:r w:rsidR="00BA7530" w:rsidRPr="00BB7B21">
        <w:rPr>
          <w:rFonts w:ascii="Arial" w:hAnsi="Arial" w:cs="Arial"/>
          <w:i/>
          <w:iCs/>
          <w:sz w:val="24"/>
          <w:szCs w:val="24"/>
        </w:rPr>
        <w:t>”.</w:t>
      </w:r>
      <w:r w:rsidR="00BA7530">
        <w:rPr>
          <w:rStyle w:val="FootnoteReference"/>
          <w:rFonts w:ascii="Arial" w:hAnsi="Arial" w:cs="Arial"/>
          <w:i/>
          <w:iCs/>
          <w:sz w:val="24"/>
          <w:szCs w:val="24"/>
        </w:rPr>
        <w:footnoteReference w:id="14"/>
      </w:r>
    </w:p>
    <w:p w14:paraId="703A1491" w14:textId="093A4C33" w:rsidR="00F5398B"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13347" w:rsidRPr="00BB7B21">
        <w:rPr>
          <w:rFonts w:ascii="Arial" w:hAnsi="Arial" w:cs="Arial"/>
          <w:sz w:val="24"/>
          <w:szCs w:val="24"/>
        </w:rPr>
        <w:t xml:space="preserve">Self-evidently an interpretation of section 2(4) which requires the leave </w:t>
      </w:r>
      <w:r w:rsidR="00BA7530" w:rsidRPr="00BB7B21">
        <w:rPr>
          <w:rFonts w:ascii="Arial" w:hAnsi="Arial" w:cs="Arial"/>
          <w:sz w:val="24"/>
          <w:szCs w:val="24"/>
        </w:rPr>
        <w:t xml:space="preserve">of the court in terms of that subsection </w:t>
      </w:r>
      <w:r w:rsidR="00513347" w:rsidRPr="00BB7B21">
        <w:rPr>
          <w:rFonts w:ascii="Arial" w:hAnsi="Arial" w:cs="Arial"/>
          <w:sz w:val="24"/>
          <w:szCs w:val="24"/>
        </w:rPr>
        <w:t xml:space="preserve">to be sought before </w:t>
      </w:r>
      <w:r w:rsidR="00BA7530" w:rsidRPr="00BB7B21">
        <w:rPr>
          <w:rFonts w:ascii="Arial" w:hAnsi="Arial" w:cs="Arial"/>
          <w:sz w:val="24"/>
          <w:szCs w:val="24"/>
        </w:rPr>
        <w:t xml:space="preserve">a </w:t>
      </w:r>
      <w:r w:rsidR="00687FA6" w:rsidRPr="00BB7B21">
        <w:rPr>
          <w:rFonts w:ascii="Arial" w:hAnsi="Arial" w:cs="Arial"/>
          <w:sz w:val="24"/>
          <w:szCs w:val="24"/>
        </w:rPr>
        <w:t xml:space="preserve">second </w:t>
      </w:r>
      <w:r w:rsidR="00513347" w:rsidRPr="00BB7B21">
        <w:rPr>
          <w:rFonts w:ascii="Arial" w:hAnsi="Arial" w:cs="Arial"/>
          <w:sz w:val="24"/>
          <w:szCs w:val="24"/>
        </w:rPr>
        <w:t xml:space="preserve">action is instituted would </w:t>
      </w:r>
      <w:r w:rsidR="00BA7530" w:rsidRPr="00BB7B21">
        <w:rPr>
          <w:rFonts w:ascii="Arial" w:hAnsi="Arial" w:cs="Arial"/>
          <w:sz w:val="24"/>
          <w:szCs w:val="24"/>
        </w:rPr>
        <w:t xml:space="preserve">more </w:t>
      </w:r>
      <w:r w:rsidR="00513347" w:rsidRPr="00BB7B21">
        <w:rPr>
          <w:rFonts w:ascii="Arial" w:hAnsi="Arial" w:cs="Arial"/>
          <w:sz w:val="24"/>
          <w:szCs w:val="24"/>
        </w:rPr>
        <w:t>forcefully advance the</w:t>
      </w:r>
      <w:r w:rsidR="00BA7530" w:rsidRPr="00BB7B21">
        <w:rPr>
          <w:rFonts w:ascii="Arial" w:hAnsi="Arial" w:cs="Arial"/>
          <w:sz w:val="24"/>
          <w:szCs w:val="24"/>
        </w:rPr>
        <w:t xml:space="preserve"> guiding</w:t>
      </w:r>
      <w:r w:rsidR="00513347" w:rsidRPr="00BB7B21">
        <w:rPr>
          <w:rFonts w:ascii="Arial" w:hAnsi="Arial" w:cs="Arial"/>
          <w:sz w:val="24"/>
          <w:szCs w:val="24"/>
        </w:rPr>
        <w:t xml:space="preserve"> unitary principle</w:t>
      </w:r>
      <w:r w:rsidR="00BA7530" w:rsidRPr="00BB7B21">
        <w:rPr>
          <w:rFonts w:ascii="Arial" w:hAnsi="Arial" w:cs="Arial"/>
          <w:sz w:val="24"/>
          <w:szCs w:val="24"/>
        </w:rPr>
        <w:t xml:space="preserve"> of the section than an interpretation that such leave can be sought after the event. If the former interpretation is correct</w:t>
      </w:r>
      <w:r w:rsidR="00F5398B" w:rsidRPr="00BB7B21">
        <w:rPr>
          <w:rFonts w:ascii="Arial" w:hAnsi="Arial" w:cs="Arial"/>
          <w:sz w:val="24"/>
          <w:szCs w:val="24"/>
        </w:rPr>
        <w:t>, the circumstances under which leave can be permissibly sought are considerably narrowed (as leave must be obtained in advance of the institution of the further action, rather than also afterwards) and so the incentive for the plaintiff to give notice in terms of section 2(2) before the close of pleadings is increased so as to avoid having to seek the leave of the court in such narrowed circumstances.</w:t>
      </w:r>
    </w:p>
    <w:p w14:paraId="79367267" w14:textId="0EFAABC0" w:rsidR="00A20D36"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38.</w:t>
      </w:r>
      <w:r>
        <w:rPr>
          <w:rFonts w:ascii="Arial" w:hAnsi="Arial" w:cs="Arial"/>
          <w:sz w:val="24"/>
          <w:szCs w:val="24"/>
        </w:rPr>
        <w:tab/>
      </w:r>
      <w:r w:rsidR="00513347" w:rsidRPr="00BB7B21">
        <w:rPr>
          <w:rFonts w:ascii="Arial" w:hAnsi="Arial" w:cs="Arial"/>
          <w:sz w:val="24"/>
          <w:szCs w:val="24"/>
        </w:rPr>
        <w:t xml:space="preserve">But, in my view, </w:t>
      </w:r>
      <w:r w:rsidR="00A20D36" w:rsidRPr="00BB7B21">
        <w:rPr>
          <w:rFonts w:ascii="Arial" w:hAnsi="Arial" w:cs="Arial"/>
          <w:sz w:val="24"/>
          <w:szCs w:val="24"/>
        </w:rPr>
        <w:t>such an interpretation</w:t>
      </w:r>
      <w:r w:rsidR="00513347" w:rsidRPr="00BB7B21">
        <w:rPr>
          <w:rFonts w:ascii="Arial" w:hAnsi="Arial" w:cs="Arial"/>
          <w:sz w:val="24"/>
          <w:szCs w:val="24"/>
        </w:rPr>
        <w:t xml:space="preserve"> would be too blunt a means to </w:t>
      </w:r>
      <w:r w:rsidR="00A20D36" w:rsidRPr="00BB7B21">
        <w:rPr>
          <w:rFonts w:ascii="Arial" w:hAnsi="Arial" w:cs="Arial"/>
          <w:sz w:val="24"/>
          <w:szCs w:val="24"/>
        </w:rPr>
        <w:t>advance</w:t>
      </w:r>
      <w:r w:rsidR="00513347" w:rsidRPr="00BB7B21">
        <w:rPr>
          <w:rFonts w:ascii="Arial" w:hAnsi="Arial" w:cs="Arial"/>
          <w:sz w:val="24"/>
          <w:szCs w:val="24"/>
        </w:rPr>
        <w:t xml:space="preserve"> the unitary principle</w:t>
      </w:r>
      <w:r w:rsidR="00A20D36" w:rsidRPr="00BB7B21">
        <w:rPr>
          <w:rFonts w:ascii="Arial" w:hAnsi="Arial" w:cs="Arial"/>
          <w:sz w:val="24"/>
          <w:szCs w:val="24"/>
        </w:rPr>
        <w:t xml:space="preserve">. Sufficient fidelity to the unitary principle is achieved </w:t>
      </w:r>
      <w:r w:rsidR="00513347" w:rsidRPr="00BB7B21">
        <w:rPr>
          <w:rFonts w:ascii="Arial" w:hAnsi="Arial" w:cs="Arial"/>
          <w:sz w:val="24"/>
          <w:szCs w:val="24"/>
        </w:rPr>
        <w:t xml:space="preserve">by requiring of the plaintiff to </w:t>
      </w:r>
      <w:r w:rsidR="00A20D36" w:rsidRPr="00BB7B21">
        <w:rPr>
          <w:rFonts w:ascii="Arial" w:hAnsi="Arial" w:cs="Arial"/>
          <w:sz w:val="24"/>
          <w:szCs w:val="24"/>
        </w:rPr>
        <w:t>motivate why</w:t>
      </w:r>
      <w:r w:rsidR="00513347" w:rsidRPr="00BB7B21">
        <w:rPr>
          <w:rFonts w:ascii="Arial" w:hAnsi="Arial" w:cs="Arial"/>
          <w:sz w:val="24"/>
          <w:szCs w:val="24"/>
        </w:rPr>
        <w:t xml:space="preserve"> the leave of the court</w:t>
      </w:r>
      <w:r w:rsidR="00A20D36" w:rsidRPr="00BB7B21">
        <w:rPr>
          <w:rFonts w:ascii="Arial" w:hAnsi="Arial" w:cs="Arial"/>
          <w:sz w:val="24"/>
          <w:szCs w:val="24"/>
        </w:rPr>
        <w:t xml:space="preserve"> should be granted on good cause shown</w:t>
      </w:r>
      <w:r w:rsidR="00513347" w:rsidRPr="00BB7B21">
        <w:rPr>
          <w:rFonts w:ascii="Arial" w:hAnsi="Arial" w:cs="Arial"/>
          <w:sz w:val="24"/>
          <w:szCs w:val="24"/>
        </w:rPr>
        <w:t>, even if after the event.</w:t>
      </w:r>
      <w:r w:rsidR="00A20D36" w:rsidRPr="00BB7B21">
        <w:rPr>
          <w:rFonts w:ascii="Arial" w:hAnsi="Arial" w:cs="Arial"/>
          <w:sz w:val="24"/>
          <w:szCs w:val="24"/>
        </w:rPr>
        <w:t xml:space="preserve"> </w:t>
      </w:r>
    </w:p>
    <w:p w14:paraId="7FF2F2CE" w14:textId="23631803" w:rsidR="00513347" w:rsidRPr="00BB7B21" w:rsidRDefault="00BB7B21" w:rsidP="00BB7B21">
      <w:pPr>
        <w:spacing w:before="360" w:after="360" w:line="480" w:lineRule="auto"/>
        <w:ind w:left="624" w:right="567" w:hanging="624"/>
        <w:jc w:val="both"/>
        <w:rPr>
          <w:rFonts w:ascii="Arial" w:hAnsi="Arial" w:cs="Arial"/>
          <w:sz w:val="24"/>
          <w:szCs w:val="24"/>
        </w:rPr>
      </w:pPr>
      <w:r w:rsidRPr="00A20D36">
        <w:rPr>
          <w:rFonts w:ascii="Arial" w:hAnsi="Arial" w:cs="Arial"/>
          <w:sz w:val="24"/>
          <w:szCs w:val="24"/>
        </w:rPr>
        <w:t>39.</w:t>
      </w:r>
      <w:r w:rsidRPr="00A20D36">
        <w:rPr>
          <w:rFonts w:ascii="Arial" w:hAnsi="Arial" w:cs="Arial"/>
          <w:sz w:val="24"/>
          <w:szCs w:val="24"/>
        </w:rPr>
        <w:tab/>
      </w:r>
      <w:r w:rsidR="00513347" w:rsidRPr="00BB7B21">
        <w:rPr>
          <w:rFonts w:ascii="Arial" w:hAnsi="Arial" w:cs="Arial"/>
          <w:sz w:val="24"/>
          <w:szCs w:val="24"/>
        </w:rPr>
        <w:t xml:space="preserve">In </w:t>
      </w:r>
      <w:r w:rsidR="00FF4756" w:rsidRPr="00BB7B21">
        <w:rPr>
          <w:rFonts w:ascii="Arial" w:hAnsi="Arial" w:cs="Arial"/>
          <w:sz w:val="24"/>
          <w:szCs w:val="24"/>
        </w:rPr>
        <w:t>permitting the plaintiff to seek leave after the event</w:t>
      </w:r>
      <w:r w:rsidR="00513347" w:rsidRPr="00BB7B21">
        <w:rPr>
          <w:rFonts w:ascii="Arial" w:hAnsi="Arial" w:cs="Arial"/>
          <w:sz w:val="24"/>
          <w:szCs w:val="24"/>
        </w:rPr>
        <w:t>, the purpose of the section is not emasculated in that the plaintiff is still required to make out good cause for why notice was not given</w:t>
      </w:r>
      <w:r w:rsidR="00FF4756" w:rsidRPr="00BB7B21">
        <w:rPr>
          <w:rFonts w:ascii="Arial" w:hAnsi="Arial" w:cs="Arial"/>
          <w:sz w:val="24"/>
          <w:szCs w:val="24"/>
        </w:rPr>
        <w:t xml:space="preserve"> timeously</w:t>
      </w:r>
      <w:r w:rsidR="00513347" w:rsidRPr="00BB7B21">
        <w:rPr>
          <w:rFonts w:ascii="Arial" w:hAnsi="Arial" w:cs="Arial"/>
          <w:sz w:val="24"/>
          <w:szCs w:val="24"/>
        </w:rPr>
        <w:t xml:space="preserve">, and in </w:t>
      </w:r>
      <w:r w:rsidR="00FF4756" w:rsidRPr="00BB7B21">
        <w:rPr>
          <w:rFonts w:ascii="Arial" w:hAnsi="Arial" w:cs="Arial"/>
          <w:sz w:val="24"/>
          <w:szCs w:val="24"/>
        </w:rPr>
        <w:t>showing that</w:t>
      </w:r>
      <w:r w:rsidR="00513347" w:rsidRPr="00BB7B21">
        <w:rPr>
          <w:rFonts w:ascii="Arial" w:hAnsi="Arial" w:cs="Arial"/>
          <w:sz w:val="24"/>
          <w:szCs w:val="24"/>
        </w:rPr>
        <w:t xml:space="preserve"> good cause why notice was not given, the plaintiff </w:t>
      </w:r>
      <w:r w:rsidR="00FF4756" w:rsidRPr="00BB7B21">
        <w:rPr>
          <w:rFonts w:ascii="Arial" w:hAnsi="Arial" w:cs="Arial"/>
          <w:sz w:val="24"/>
          <w:szCs w:val="24"/>
        </w:rPr>
        <w:t>should</w:t>
      </w:r>
      <w:r w:rsidR="00513347" w:rsidRPr="00BB7B21">
        <w:rPr>
          <w:rFonts w:ascii="Arial" w:hAnsi="Arial" w:cs="Arial"/>
          <w:sz w:val="24"/>
          <w:szCs w:val="24"/>
        </w:rPr>
        <w:t xml:space="preserve"> be required to </w:t>
      </w:r>
      <w:r w:rsidR="00513347" w:rsidRPr="00BB7B21">
        <w:rPr>
          <w:rFonts w:ascii="Arial" w:hAnsi="Arial" w:cs="Arial"/>
          <w:sz w:val="24"/>
          <w:szCs w:val="24"/>
        </w:rPr>
        <w:lastRenderedPageBreak/>
        <w:t xml:space="preserve">explain why such </w:t>
      </w:r>
      <w:r w:rsidR="00F2273E" w:rsidRPr="00BB7B21">
        <w:rPr>
          <w:rFonts w:ascii="Arial" w:hAnsi="Arial" w:cs="Arial"/>
          <w:sz w:val="24"/>
          <w:szCs w:val="24"/>
        </w:rPr>
        <w:t>leave</w:t>
      </w:r>
      <w:r w:rsidR="00513347" w:rsidRPr="00BB7B21">
        <w:rPr>
          <w:rFonts w:ascii="Arial" w:hAnsi="Arial" w:cs="Arial"/>
          <w:sz w:val="24"/>
          <w:szCs w:val="24"/>
        </w:rPr>
        <w:t xml:space="preserve"> is only being sought after the </w:t>
      </w:r>
      <w:r w:rsidR="00F2273E" w:rsidRPr="00BB7B21">
        <w:rPr>
          <w:rFonts w:ascii="Arial" w:hAnsi="Arial" w:cs="Arial"/>
          <w:sz w:val="24"/>
          <w:szCs w:val="24"/>
        </w:rPr>
        <w:t xml:space="preserve">institution of the further action </w:t>
      </w:r>
      <w:r w:rsidR="00513347" w:rsidRPr="00BB7B21">
        <w:rPr>
          <w:rFonts w:ascii="Arial" w:hAnsi="Arial" w:cs="Arial"/>
          <w:sz w:val="24"/>
          <w:szCs w:val="24"/>
        </w:rPr>
        <w:t>rather than befor</w:t>
      </w:r>
      <w:r w:rsidR="00F2273E" w:rsidRPr="00BB7B21">
        <w:rPr>
          <w:rFonts w:ascii="Arial" w:hAnsi="Arial" w:cs="Arial"/>
          <w:sz w:val="24"/>
          <w:szCs w:val="24"/>
        </w:rPr>
        <w:t>e</w:t>
      </w:r>
      <w:r w:rsidR="00513347" w:rsidRPr="00BB7B21">
        <w:rPr>
          <w:rFonts w:ascii="Arial" w:hAnsi="Arial" w:cs="Arial"/>
          <w:sz w:val="24"/>
          <w:szCs w:val="24"/>
        </w:rPr>
        <w:t xml:space="preserve">. </w:t>
      </w:r>
    </w:p>
    <w:p w14:paraId="15DFB99A" w14:textId="0C52C00D" w:rsidR="00FF4756"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40.</w:t>
      </w:r>
      <w:r>
        <w:rPr>
          <w:rFonts w:ascii="Arial" w:hAnsi="Arial" w:cs="Arial"/>
          <w:sz w:val="24"/>
          <w:szCs w:val="24"/>
        </w:rPr>
        <w:tab/>
      </w:r>
      <w:r w:rsidR="00F2273E" w:rsidRPr="00BB7B21">
        <w:rPr>
          <w:rFonts w:ascii="Arial" w:hAnsi="Arial" w:cs="Arial"/>
          <w:sz w:val="24"/>
          <w:szCs w:val="24"/>
        </w:rPr>
        <w:t xml:space="preserve">This is </w:t>
      </w:r>
      <w:r w:rsidR="00FF4756" w:rsidRPr="00BB7B21">
        <w:rPr>
          <w:rFonts w:ascii="Arial" w:hAnsi="Arial" w:cs="Arial"/>
          <w:sz w:val="24"/>
          <w:szCs w:val="24"/>
        </w:rPr>
        <w:t>a more balanced</w:t>
      </w:r>
      <w:r w:rsidR="000332C4" w:rsidRPr="00BB7B21">
        <w:rPr>
          <w:rFonts w:ascii="Arial" w:hAnsi="Arial" w:cs="Arial"/>
          <w:sz w:val="24"/>
          <w:szCs w:val="24"/>
        </w:rPr>
        <w:t xml:space="preserve"> approach to the application </w:t>
      </w:r>
      <w:r w:rsidR="00FF4756" w:rsidRPr="00BB7B21">
        <w:rPr>
          <w:rFonts w:ascii="Arial" w:hAnsi="Arial" w:cs="Arial"/>
          <w:sz w:val="24"/>
          <w:szCs w:val="24"/>
        </w:rPr>
        <w:t xml:space="preserve">of section 2(4) as to when the necessary leave can be sought, than adopting an </w:t>
      </w:r>
      <w:r w:rsidR="000332C4" w:rsidRPr="00BB7B21">
        <w:rPr>
          <w:rFonts w:ascii="Arial" w:hAnsi="Arial" w:cs="Arial"/>
          <w:sz w:val="24"/>
          <w:szCs w:val="24"/>
        </w:rPr>
        <w:t xml:space="preserve">approach </w:t>
      </w:r>
      <w:r w:rsidR="00FF4756" w:rsidRPr="00BB7B21">
        <w:rPr>
          <w:rFonts w:ascii="Arial" w:hAnsi="Arial" w:cs="Arial"/>
          <w:sz w:val="24"/>
          <w:szCs w:val="24"/>
        </w:rPr>
        <w:t>that limits when leave can be sought to a specific period.</w:t>
      </w:r>
    </w:p>
    <w:p w14:paraId="62BD2796" w14:textId="0FEC8BA9" w:rsidR="00863F4E"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41.</w:t>
      </w:r>
      <w:r>
        <w:rPr>
          <w:rFonts w:ascii="Arial" w:hAnsi="Arial" w:cs="Arial"/>
          <w:sz w:val="24"/>
          <w:szCs w:val="24"/>
        </w:rPr>
        <w:tab/>
      </w:r>
      <w:r w:rsidR="00F2273E" w:rsidRPr="00BB7B21">
        <w:rPr>
          <w:rFonts w:ascii="Arial" w:hAnsi="Arial" w:cs="Arial"/>
          <w:sz w:val="24"/>
          <w:szCs w:val="24"/>
        </w:rPr>
        <w:t>If</w:t>
      </w:r>
      <w:r w:rsidR="00FF4756" w:rsidRPr="00BB7B21">
        <w:rPr>
          <w:rFonts w:ascii="Arial" w:hAnsi="Arial" w:cs="Arial"/>
          <w:sz w:val="24"/>
          <w:szCs w:val="24"/>
        </w:rPr>
        <w:t xml:space="preserve"> </w:t>
      </w:r>
      <w:r w:rsidR="00513347" w:rsidRPr="00BB7B21">
        <w:rPr>
          <w:rFonts w:ascii="Arial" w:hAnsi="Arial" w:cs="Arial"/>
          <w:sz w:val="24"/>
          <w:szCs w:val="24"/>
        </w:rPr>
        <w:t xml:space="preserve">section 2(4) </w:t>
      </w:r>
      <w:r w:rsidR="00687FA6" w:rsidRPr="00BB7B21">
        <w:rPr>
          <w:rFonts w:ascii="Arial" w:hAnsi="Arial" w:cs="Arial"/>
          <w:sz w:val="24"/>
          <w:szCs w:val="24"/>
        </w:rPr>
        <w:t>is</w:t>
      </w:r>
      <w:r w:rsidR="00513347" w:rsidRPr="00BB7B21">
        <w:rPr>
          <w:rFonts w:ascii="Arial" w:hAnsi="Arial" w:cs="Arial"/>
          <w:sz w:val="24"/>
          <w:szCs w:val="24"/>
        </w:rPr>
        <w:t xml:space="preserve"> interpreted to require leave to be sought before proceedings are instituted, that may deny a plaintiff who </w:t>
      </w:r>
      <w:r w:rsidR="00FF4756" w:rsidRPr="00BB7B21">
        <w:rPr>
          <w:rFonts w:ascii="Arial" w:hAnsi="Arial" w:cs="Arial"/>
          <w:sz w:val="24"/>
          <w:szCs w:val="24"/>
        </w:rPr>
        <w:t xml:space="preserve">may </w:t>
      </w:r>
      <w:r w:rsidR="00513347" w:rsidRPr="00BB7B21">
        <w:rPr>
          <w:rFonts w:ascii="Arial" w:hAnsi="Arial" w:cs="Arial"/>
          <w:sz w:val="24"/>
          <w:szCs w:val="24"/>
        </w:rPr>
        <w:t xml:space="preserve">otherwise </w:t>
      </w:r>
      <w:r w:rsidR="00F2273E" w:rsidRPr="00BB7B21">
        <w:rPr>
          <w:rFonts w:ascii="Arial" w:hAnsi="Arial" w:cs="Arial"/>
          <w:sz w:val="24"/>
          <w:szCs w:val="24"/>
        </w:rPr>
        <w:t xml:space="preserve">have </w:t>
      </w:r>
      <w:r w:rsidR="00513347" w:rsidRPr="00BB7B21">
        <w:rPr>
          <w:rFonts w:ascii="Arial" w:hAnsi="Arial" w:cs="Arial"/>
          <w:sz w:val="24"/>
          <w:szCs w:val="24"/>
        </w:rPr>
        <w:t xml:space="preserve">a good claim against the joint wrongdoer from pursuing that claim because that plaintiff failed to give notice and only sought leave after the event. It is not difficult to </w:t>
      </w:r>
      <w:r w:rsidR="00F860F5" w:rsidRPr="00BB7B21">
        <w:rPr>
          <w:rFonts w:ascii="Arial" w:hAnsi="Arial" w:cs="Arial"/>
          <w:sz w:val="24"/>
          <w:szCs w:val="24"/>
        </w:rPr>
        <w:t xml:space="preserve">envisage circumstances in which for one reason or </w:t>
      </w:r>
      <w:r w:rsidR="00A466D7" w:rsidRPr="00BB7B21">
        <w:rPr>
          <w:rFonts w:ascii="Arial" w:hAnsi="Arial" w:cs="Arial"/>
          <w:sz w:val="24"/>
          <w:szCs w:val="24"/>
        </w:rPr>
        <w:t>an</w:t>
      </w:r>
      <w:r w:rsidR="00F860F5" w:rsidRPr="00BB7B21">
        <w:rPr>
          <w:rFonts w:ascii="Arial" w:hAnsi="Arial" w:cs="Arial"/>
          <w:sz w:val="24"/>
          <w:szCs w:val="24"/>
        </w:rPr>
        <w:t xml:space="preserve">other a plaintiff may be necessitated to institute proceedings without first </w:t>
      </w:r>
      <w:r w:rsidR="00FF4756" w:rsidRPr="00BB7B21">
        <w:rPr>
          <w:rFonts w:ascii="Arial" w:hAnsi="Arial" w:cs="Arial"/>
          <w:sz w:val="24"/>
          <w:szCs w:val="24"/>
        </w:rPr>
        <w:t>obtaining the leave of the court</w:t>
      </w:r>
      <w:r w:rsidR="00F860F5" w:rsidRPr="00BB7B21">
        <w:rPr>
          <w:rFonts w:ascii="Arial" w:hAnsi="Arial" w:cs="Arial"/>
          <w:sz w:val="24"/>
          <w:szCs w:val="24"/>
        </w:rPr>
        <w:t xml:space="preserve">, such as if prescription is looming. The furnishing of </w:t>
      </w:r>
      <w:r w:rsidR="00863F4E" w:rsidRPr="00BB7B21">
        <w:rPr>
          <w:rFonts w:ascii="Arial" w:hAnsi="Arial" w:cs="Arial"/>
          <w:sz w:val="24"/>
          <w:szCs w:val="24"/>
        </w:rPr>
        <w:t xml:space="preserve">the section 2(2) </w:t>
      </w:r>
      <w:r w:rsidR="00F860F5" w:rsidRPr="00BB7B21">
        <w:rPr>
          <w:rFonts w:ascii="Arial" w:hAnsi="Arial" w:cs="Arial"/>
          <w:sz w:val="24"/>
          <w:szCs w:val="24"/>
        </w:rPr>
        <w:t>notice itself</w:t>
      </w:r>
      <w:r w:rsidR="00863F4E" w:rsidRPr="00BB7B21">
        <w:rPr>
          <w:rFonts w:ascii="Arial" w:hAnsi="Arial" w:cs="Arial"/>
          <w:sz w:val="24"/>
          <w:szCs w:val="24"/>
        </w:rPr>
        <w:t xml:space="preserve">, which in any event </w:t>
      </w:r>
      <w:r w:rsidR="00F2273E" w:rsidRPr="00BB7B21">
        <w:rPr>
          <w:rFonts w:ascii="Arial" w:hAnsi="Arial" w:cs="Arial"/>
          <w:sz w:val="24"/>
          <w:szCs w:val="24"/>
        </w:rPr>
        <w:t>could only have</w:t>
      </w:r>
      <w:r w:rsidR="00863F4E" w:rsidRPr="00BB7B21">
        <w:rPr>
          <w:rFonts w:ascii="Arial" w:hAnsi="Arial" w:cs="Arial"/>
          <w:sz w:val="24"/>
          <w:szCs w:val="24"/>
        </w:rPr>
        <w:t xml:space="preserve"> be done before the close of pleadings</w:t>
      </w:r>
      <w:r w:rsidR="0042582B" w:rsidRPr="00BB7B21">
        <w:rPr>
          <w:rFonts w:ascii="Arial" w:hAnsi="Arial" w:cs="Arial"/>
          <w:sz w:val="24"/>
          <w:szCs w:val="24"/>
        </w:rPr>
        <w:t>,</w:t>
      </w:r>
      <w:r w:rsidR="00F860F5" w:rsidRPr="00BB7B21">
        <w:rPr>
          <w:rFonts w:ascii="Arial" w:hAnsi="Arial" w:cs="Arial"/>
          <w:sz w:val="24"/>
          <w:szCs w:val="24"/>
        </w:rPr>
        <w:t xml:space="preserve"> would not interrupt prescription as it does not constitute the service of process.</w:t>
      </w:r>
      <w:r w:rsidR="00863F4E">
        <w:rPr>
          <w:rStyle w:val="FootnoteReference"/>
          <w:rFonts w:ascii="Arial" w:hAnsi="Arial" w:cs="Arial"/>
          <w:sz w:val="24"/>
          <w:szCs w:val="24"/>
        </w:rPr>
        <w:footnoteReference w:id="15"/>
      </w:r>
      <w:r w:rsidR="00F860F5" w:rsidRPr="00BB7B21">
        <w:rPr>
          <w:rFonts w:ascii="Arial" w:hAnsi="Arial" w:cs="Arial"/>
          <w:sz w:val="24"/>
          <w:szCs w:val="24"/>
        </w:rPr>
        <w:t xml:space="preserve"> </w:t>
      </w:r>
    </w:p>
    <w:p w14:paraId="25FFF802" w14:textId="30D5A4D4" w:rsidR="0042582B"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42.</w:t>
      </w:r>
      <w:r>
        <w:rPr>
          <w:rFonts w:ascii="Arial" w:hAnsi="Arial" w:cs="Arial"/>
          <w:sz w:val="24"/>
          <w:szCs w:val="24"/>
        </w:rPr>
        <w:tab/>
      </w:r>
      <w:r w:rsidR="00F860F5" w:rsidRPr="00BB7B21">
        <w:rPr>
          <w:rFonts w:ascii="Arial" w:hAnsi="Arial" w:cs="Arial"/>
          <w:sz w:val="24"/>
          <w:szCs w:val="24"/>
        </w:rPr>
        <w:t>Counsel for Mr Hussey submitted that this is a fate brought by a plaintiff upon himself if he waits so long before instituting proceedings</w:t>
      </w:r>
      <w:r w:rsidR="0042582B" w:rsidRPr="00BB7B21">
        <w:rPr>
          <w:rFonts w:ascii="Arial" w:hAnsi="Arial" w:cs="Arial"/>
          <w:sz w:val="24"/>
          <w:szCs w:val="24"/>
        </w:rPr>
        <w:t xml:space="preserve"> (whether the initial action or an application in terms of section 2(4) of the Act)</w:t>
      </w:r>
      <w:r w:rsidR="00F860F5" w:rsidRPr="00BB7B21">
        <w:rPr>
          <w:rFonts w:ascii="Arial" w:hAnsi="Arial" w:cs="Arial"/>
          <w:sz w:val="24"/>
          <w:szCs w:val="24"/>
        </w:rPr>
        <w:t xml:space="preserve">, but the reality is that such a situation is easily envisaged. </w:t>
      </w:r>
    </w:p>
    <w:p w14:paraId="6AF09A56" w14:textId="3E1C7EAE" w:rsidR="000332C4"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43.</w:t>
      </w:r>
      <w:r>
        <w:rPr>
          <w:rFonts w:ascii="Arial" w:hAnsi="Arial" w:cs="Arial"/>
          <w:sz w:val="24"/>
          <w:szCs w:val="24"/>
        </w:rPr>
        <w:tab/>
      </w:r>
      <w:r w:rsidR="0042582B" w:rsidRPr="00BB7B21">
        <w:rPr>
          <w:rFonts w:ascii="Arial" w:hAnsi="Arial" w:cs="Arial"/>
          <w:sz w:val="24"/>
          <w:szCs w:val="24"/>
        </w:rPr>
        <w:t xml:space="preserve">Rather than an interpretation of section 2(4) that circumscribes </w:t>
      </w:r>
      <w:r w:rsidR="00F860F5" w:rsidRPr="00BB7B21">
        <w:rPr>
          <w:rFonts w:ascii="Arial" w:hAnsi="Arial" w:cs="Arial"/>
          <w:sz w:val="24"/>
          <w:szCs w:val="24"/>
        </w:rPr>
        <w:t>the constitutional right to access to courts in terms of section 34 of the Constitution</w:t>
      </w:r>
      <w:r w:rsidR="0042582B" w:rsidRPr="00BB7B21">
        <w:rPr>
          <w:rFonts w:ascii="Arial" w:hAnsi="Arial" w:cs="Arial"/>
          <w:sz w:val="24"/>
          <w:szCs w:val="24"/>
        </w:rPr>
        <w:t>, I incline towards an interpretation of section 2(4) that advances that right.</w:t>
      </w:r>
      <w:r w:rsidR="000332C4">
        <w:rPr>
          <w:rStyle w:val="FootnoteReference"/>
          <w:rFonts w:ascii="Arial" w:hAnsi="Arial" w:cs="Arial"/>
          <w:sz w:val="24"/>
          <w:szCs w:val="24"/>
        </w:rPr>
        <w:footnoteReference w:id="16"/>
      </w:r>
    </w:p>
    <w:p w14:paraId="08402457" w14:textId="22523BAA" w:rsidR="000332C4"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44.</w:t>
      </w:r>
      <w:r>
        <w:rPr>
          <w:rFonts w:ascii="Arial" w:hAnsi="Arial" w:cs="Arial"/>
          <w:sz w:val="24"/>
          <w:szCs w:val="24"/>
        </w:rPr>
        <w:tab/>
      </w:r>
      <w:r w:rsidR="00F2273E" w:rsidRPr="00BB7B21">
        <w:rPr>
          <w:rFonts w:ascii="Arial" w:hAnsi="Arial" w:cs="Arial"/>
          <w:sz w:val="24"/>
          <w:szCs w:val="24"/>
        </w:rPr>
        <w:t>An</w:t>
      </w:r>
      <w:r w:rsidR="00F860F5" w:rsidRPr="00BB7B21">
        <w:rPr>
          <w:rFonts w:ascii="Arial" w:hAnsi="Arial" w:cs="Arial"/>
          <w:sz w:val="24"/>
          <w:szCs w:val="24"/>
        </w:rPr>
        <w:t xml:space="preserve"> interpretation </w:t>
      </w:r>
      <w:r w:rsidR="000332C4" w:rsidRPr="00BB7B21">
        <w:rPr>
          <w:rFonts w:ascii="Arial" w:hAnsi="Arial" w:cs="Arial"/>
          <w:sz w:val="24"/>
          <w:szCs w:val="24"/>
        </w:rPr>
        <w:t xml:space="preserve">that the leave can be sought after the event </w:t>
      </w:r>
      <w:r w:rsidR="00F860F5" w:rsidRPr="00BB7B21">
        <w:rPr>
          <w:rFonts w:ascii="Arial" w:hAnsi="Arial" w:cs="Arial"/>
          <w:sz w:val="24"/>
          <w:szCs w:val="24"/>
        </w:rPr>
        <w:t xml:space="preserve">can be reasonably ascribed to </w:t>
      </w:r>
      <w:r w:rsidR="000332C4" w:rsidRPr="00BB7B21">
        <w:rPr>
          <w:rFonts w:ascii="Arial" w:hAnsi="Arial" w:cs="Arial"/>
          <w:sz w:val="24"/>
          <w:szCs w:val="24"/>
        </w:rPr>
        <w:t>section 2(4)</w:t>
      </w:r>
      <w:r w:rsidR="00F860F5" w:rsidRPr="00BB7B21">
        <w:rPr>
          <w:rFonts w:ascii="Arial" w:hAnsi="Arial" w:cs="Arial"/>
          <w:sz w:val="24"/>
          <w:szCs w:val="24"/>
        </w:rPr>
        <w:t xml:space="preserve"> </w:t>
      </w:r>
      <w:r w:rsidR="000332C4" w:rsidRPr="00BB7B21">
        <w:rPr>
          <w:rFonts w:ascii="Arial" w:hAnsi="Arial" w:cs="Arial"/>
          <w:sz w:val="24"/>
          <w:szCs w:val="24"/>
        </w:rPr>
        <w:t xml:space="preserve">based on the wording of the section, does not render nugatory the unitary principle as is the purpose of section 2 </w:t>
      </w:r>
      <w:r w:rsidR="00F860F5" w:rsidRPr="00BB7B21">
        <w:rPr>
          <w:rFonts w:ascii="Arial" w:hAnsi="Arial" w:cs="Arial"/>
          <w:sz w:val="24"/>
          <w:szCs w:val="24"/>
        </w:rPr>
        <w:t>an</w:t>
      </w:r>
      <w:r w:rsidR="000435D4" w:rsidRPr="00BB7B21">
        <w:rPr>
          <w:rFonts w:ascii="Arial" w:hAnsi="Arial" w:cs="Arial"/>
          <w:sz w:val="24"/>
          <w:szCs w:val="24"/>
        </w:rPr>
        <w:t>d</w:t>
      </w:r>
      <w:r w:rsidR="00F860F5" w:rsidRPr="00BB7B21">
        <w:rPr>
          <w:rFonts w:ascii="Arial" w:hAnsi="Arial" w:cs="Arial"/>
          <w:sz w:val="24"/>
          <w:szCs w:val="24"/>
        </w:rPr>
        <w:t xml:space="preserve"> advance</w:t>
      </w:r>
      <w:r w:rsidR="000332C4" w:rsidRPr="00BB7B21">
        <w:rPr>
          <w:rFonts w:ascii="Arial" w:hAnsi="Arial" w:cs="Arial"/>
          <w:sz w:val="24"/>
          <w:szCs w:val="24"/>
        </w:rPr>
        <w:t>s</w:t>
      </w:r>
      <w:r w:rsidR="00F860F5" w:rsidRPr="00BB7B21">
        <w:rPr>
          <w:rFonts w:ascii="Arial" w:hAnsi="Arial" w:cs="Arial"/>
          <w:sz w:val="24"/>
          <w:szCs w:val="24"/>
        </w:rPr>
        <w:t xml:space="preserve"> </w:t>
      </w:r>
      <w:r w:rsidR="00A466D7" w:rsidRPr="00BB7B21">
        <w:rPr>
          <w:rFonts w:ascii="Arial" w:hAnsi="Arial" w:cs="Arial"/>
          <w:sz w:val="24"/>
          <w:szCs w:val="24"/>
        </w:rPr>
        <w:t xml:space="preserve">the </w:t>
      </w:r>
      <w:r w:rsidR="00F860F5" w:rsidRPr="00BB7B21">
        <w:rPr>
          <w:rFonts w:ascii="Arial" w:hAnsi="Arial" w:cs="Arial"/>
          <w:sz w:val="24"/>
          <w:szCs w:val="24"/>
        </w:rPr>
        <w:t>constitutional right</w:t>
      </w:r>
      <w:r w:rsidR="000332C4" w:rsidRPr="00BB7B21">
        <w:rPr>
          <w:rFonts w:ascii="Arial" w:hAnsi="Arial" w:cs="Arial"/>
          <w:sz w:val="24"/>
          <w:szCs w:val="24"/>
        </w:rPr>
        <w:t xml:space="preserve"> of access to the courts</w:t>
      </w:r>
      <w:r w:rsidR="00F2273E" w:rsidRPr="00BB7B21">
        <w:rPr>
          <w:rFonts w:ascii="Arial" w:hAnsi="Arial" w:cs="Arial"/>
          <w:sz w:val="24"/>
          <w:szCs w:val="24"/>
        </w:rPr>
        <w:t>.</w:t>
      </w:r>
    </w:p>
    <w:p w14:paraId="629D7037" w14:textId="245EE97C" w:rsidR="002B3245"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45.</w:t>
      </w:r>
      <w:r>
        <w:rPr>
          <w:rFonts w:ascii="Arial" w:hAnsi="Arial" w:cs="Arial"/>
          <w:sz w:val="24"/>
          <w:szCs w:val="24"/>
        </w:rPr>
        <w:tab/>
      </w:r>
      <w:r w:rsidR="00F860F5" w:rsidRPr="00BB7B21">
        <w:rPr>
          <w:rFonts w:ascii="Arial" w:hAnsi="Arial" w:cs="Arial"/>
          <w:sz w:val="24"/>
          <w:szCs w:val="24"/>
        </w:rPr>
        <w:t>Both counsel advanced argument as to whether non-compliance with section 2(4) should be visited with nullity</w:t>
      </w:r>
      <w:r w:rsidR="0081214F" w:rsidRPr="00BB7B21">
        <w:rPr>
          <w:rFonts w:ascii="Arial" w:hAnsi="Arial" w:cs="Arial"/>
          <w:sz w:val="24"/>
          <w:szCs w:val="24"/>
        </w:rPr>
        <w:t xml:space="preserve">. Counsel for </w:t>
      </w:r>
      <w:r w:rsidR="00F860F5" w:rsidRPr="00BB7B21">
        <w:rPr>
          <w:rFonts w:ascii="Arial" w:hAnsi="Arial" w:cs="Arial"/>
          <w:sz w:val="24"/>
          <w:szCs w:val="24"/>
        </w:rPr>
        <w:t>Mr Hussey</w:t>
      </w:r>
      <w:r w:rsidR="0081214F" w:rsidRPr="00BB7B21">
        <w:rPr>
          <w:rFonts w:ascii="Arial" w:hAnsi="Arial" w:cs="Arial"/>
          <w:sz w:val="24"/>
          <w:szCs w:val="24"/>
        </w:rPr>
        <w:t xml:space="preserve">, </w:t>
      </w:r>
      <w:r w:rsidR="00F860F5" w:rsidRPr="00BB7B21">
        <w:rPr>
          <w:rFonts w:ascii="Arial" w:hAnsi="Arial" w:cs="Arial"/>
          <w:sz w:val="24"/>
          <w:szCs w:val="24"/>
        </w:rPr>
        <w:t>understandabl</w:t>
      </w:r>
      <w:r w:rsidR="0081214F" w:rsidRPr="00BB7B21">
        <w:rPr>
          <w:rFonts w:ascii="Arial" w:hAnsi="Arial" w:cs="Arial"/>
          <w:sz w:val="24"/>
          <w:szCs w:val="24"/>
        </w:rPr>
        <w:t>y, submitted</w:t>
      </w:r>
      <w:r w:rsidR="00F860F5" w:rsidRPr="00BB7B21">
        <w:rPr>
          <w:rFonts w:ascii="Arial" w:hAnsi="Arial" w:cs="Arial"/>
          <w:sz w:val="24"/>
          <w:szCs w:val="24"/>
        </w:rPr>
        <w:t xml:space="preserve"> that if leave is not obtained in advance, then </w:t>
      </w:r>
      <w:r w:rsidR="0081214F" w:rsidRPr="00BB7B21">
        <w:rPr>
          <w:rFonts w:ascii="Arial" w:hAnsi="Arial" w:cs="Arial"/>
          <w:sz w:val="24"/>
          <w:szCs w:val="24"/>
        </w:rPr>
        <w:t xml:space="preserve">the </w:t>
      </w:r>
      <w:r w:rsidR="00F860F5" w:rsidRPr="00BB7B21">
        <w:rPr>
          <w:rFonts w:ascii="Arial" w:hAnsi="Arial" w:cs="Arial"/>
          <w:sz w:val="24"/>
          <w:szCs w:val="24"/>
        </w:rPr>
        <w:t>institution of proceedings would be a nullity</w:t>
      </w:r>
      <w:r w:rsidR="0081214F" w:rsidRPr="00BB7B21">
        <w:rPr>
          <w:rFonts w:ascii="Arial" w:hAnsi="Arial" w:cs="Arial"/>
          <w:sz w:val="24"/>
          <w:szCs w:val="24"/>
        </w:rPr>
        <w:t xml:space="preserve">, and so cannot be subsequently remedied by seeking and obtaining the leave of the court in terms of section </w:t>
      </w:r>
      <w:r w:rsidR="002B3245" w:rsidRPr="00BB7B21">
        <w:rPr>
          <w:rFonts w:ascii="Arial" w:hAnsi="Arial" w:cs="Arial"/>
          <w:sz w:val="24"/>
          <w:szCs w:val="24"/>
        </w:rPr>
        <w:t>2(4) after the action has already been instituted</w:t>
      </w:r>
      <w:r w:rsidR="00F860F5" w:rsidRPr="00BB7B21">
        <w:rPr>
          <w:rFonts w:ascii="Arial" w:hAnsi="Arial" w:cs="Arial"/>
          <w:sz w:val="24"/>
          <w:szCs w:val="24"/>
        </w:rPr>
        <w:t xml:space="preserve">. Plaintiff’s counsel on the other hand </w:t>
      </w:r>
      <w:r w:rsidR="002B3245" w:rsidRPr="00BB7B21">
        <w:rPr>
          <w:rFonts w:ascii="Arial" w:hAnsi="Arial" w:cs="Arial"/>
          <w:sz w:val="24"/>
          <w:szCs w:val="24"/>
        </w:rPr>
        <w:t>submitted</w:t>
      </w:r>
      <w:r w:rsidR="00F860F5" w:rsidRPr="00BB7B21">
        <w:rPr>
          <w:rFonts w:ascii="Arial" w:hAnsi="Arial" w:cs="Arial"/>
          <w:sz w:val="24"/>
          <w:szCs w:val="24"/>
        </w:rPr>
        <w:t xml:space="preserve"> that non-compliance should not be visited with nullity</w:t>
      </w:r>
      <w:r w:rsidR="00EF293A" w:rsidRPr="00BB7B21">
        <w:rPr>
          <w:rFonts w:ascii="Arial" w:hAnsi="Arial" w:cs="Arial"/>
          <w:sz w:val="24"/>
          <w:szCs w:val="24"/>
        </w:rPr>
        <w:t xml:space="preserve">, with reference to the factors described in </w:t>
      </w:r>
      <w:r w:rsidR="00EF293A" w:rsidRPr="00BB7B21">
        <w:rPr>
          <w:rFonts w:ascii="Arial" w:hAnsi="Arial" w:cs="Arial"/>
          <w:i/>
          <w:iCs/>
          <w:sz w:val="24"/>
          <w:szCs w:val="24"/>
        </w:rPr>
        <w:t>Palm Fifteen (Pty) Ltd v Cotton Tail Homes (Pty) Ltd</w:t>
      </w:r>
      <w:r w:rsidR="00EF293A" w:rsidRPr="00BB7B21">
        <w:rPr>
          <w:rFonts w:ascii="Arial" w:hAnsi="Arial" w:cs="Arial"/>
          <w:sz w:val="24"/>
          <w:szCs w:val="24"/>
        </w:rPr>
        <w:t xml:space="preserve"> 1978 (2) SA 872 (A).</w:t>
      </w:r>
      <w:r w:rsidR="00EF293A">
        <w:rPr>
          <w:rStyle w:val="FootnoteReference"/>
          <w:rFonts w:ascii="Arial" w:hAnsi="Arial" w:cs="Arial"/>
          <w:sz w:val="24"/>
          <w:szCs w:val="24"/>
        </w:rPr>
        <w:footnoteReference w:id="17"/>
      </w:r>
    </w:p>
    <w:p w14:paraId="5085ABB1" w14:textId="12068404" w:rsidR="0087505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46.</w:t>
      </w:r>
      <w:r>
        <w:rPr>
          <w:rFonts w:ascii="Arial" w:hAnsi="Arial" w:cs="Arial"/>
          <w:sz w:val="24"/>
          <w:szCs w:val="24"/>
        </w:rPr>
        <w:tab/>
      </w:r>
      <w:r w:rsidR="00F860F5" w:rsidRPr="00BB7B21">
        <w:rPr>
          <w:rFonts w:ascii="Arial" w:hAnsi="Arial" w:cs="Arial"/>
          <w:sz w:val="24"/>
          <w:szCs w:val="24"/>
        </w:rPr>
        <w:t xml:space="preserve">In my view, it is not necessary to advance the purpose of section 2 that non-compliance must and should be visited with nullity. That section 2(4) itself contemplates that the leave of the court can be obtained on good </w:t>
      </w:r>
      <w:r w:rsidR="00F860F5" w:rsidRPr="00BB7B21">
        <w:rPr>
          <w:rFonts w:ascii="Arial" w:hAnsi="Arial" w:cs="Arial"/>
          <w:sz w:val="24"/>
          <w:szCs w:val="24"/>
        </w:rPr>
        <w:lastRenderedPageBreak/>
        <w:t xml:space="preserve">cause shown militates against an interpretation that </w:t>
      </w:r>
      <w:r w:rsidR="0087505F" w:rsidRPr="00BB7B21">
        <w:rPr>
          <w:rFonts w:ascii="Arial" w:hAnsi="Arial" w:cs="Arial"/>
          <w:sz w:val="24"/>
          <w:szCs w:val="24"/>
        </w:rPr>
        <w:t>a</w:t>
      </w:r>
      <w:r w:rsidR="00F860F5" w:rsidRPr="00BB7B21">
        <w:rPr>
          <w:rFonts w:ascii="Arial" w:hAnsi="Arial" w:cs="Arial"/>
          <w:sz w:val="24"/>
          <w:szCs w:val="24"/>
        </w:rPr>
        <w:t xml:space="preserve"> failure to give notice before action is instituted is so grave that </w:t>
      </w:r>
      <w:r w:rsidR="00F2273E" w:rsidRPr="00BB7B21">
        <w:rPr>
          <w:rFonts w:ascii="Arial" w:hAnsi="Arial" w:cs="Arial"/>
          <w:sz w:val="24"/>
          <w:szCs w:val="24"/>
        </w:rPr>
        <w:t xml:space="preserve">the further action </w:t>
      </w:r>
      <w:r w:rsidR="00F860F5" w:rsidRPr="00BB7B21">
        <w:rPr>
          <w:rFonts w:ascii="Arial" w:hAnsi="Arial" w:cs="Arial"/>
          <w:sz w:val="24"/>
          <w:szCs w:val="24"/>
        </w:rPr>
        <w:t xml:space="preserve">must constitute a nullity. </w:t>
      </w:r>
      <w:r w:rsidR="0087505F" w:rsidRPr="00BB7B21">
        <w:rPr>
          <w:rFonts w:ascii="Arial" w:hAnsi="Arial" w:cs="Arial"/>
          <w:sz w:val="24"/>
          <w:szCs w:val="24"/>
        </w:rPr>
        <w:t xml:space="preserve">Further, although section 2(4) uses </w:t>
      </w:r>
      <w:r w:rsidR="0087505F" w:rsidRPr="00BB7B21">
        <w:rPr>
          <w:rFonts w:ascii="Arial" w:hAnsi="Arial" w:cs="Arial"/>
          <w:i/>
          <w:iCs/>
          <w:sz w:val="24"/>
          <w:szCs w:val="24"/>
        </w:rPr>
        <w:t>“shall”</w:t>
      </w:r>
      <w:r w:rsidR="0087505F" w:rsidRPr="00BB7B21">
        <w:rPr>
          <w:rFonts w:ascii="Arial" w:hAnsi="Arial" w:cs="Arial"/>
          <w:sz w:val="24"/>
          <w:szCs w:val="24"/>
        </w:rPr>
        <w:t>, the preceding subsections, particularly section</w:t>
      </w:r>
      <w:r w:rsidR="00FC0CC7" w:rsidRPr="00BB7B21">
        <w:rPr>
          <w:rFonts w:ascii="Arial" w:hAnsi="Arial" w:cs="Arial"/>
          <w:sz w:val="24"/>
          <w:szCs w:val="24"/>
        </w:rPr>
        <w:t>s</w:t>
      </w:r>
      <w:r w:rsidR="0087505F" w:rsidRPr="00BB7B21">
        <w:rPr>
          <w:rFonts w:ascii="Arial" w:hAnsi="Arial" w:cs="Arial"/>
          <w:sz w:val="24"/>
          <w:szCs w:val="24"/>
        </w:rPr>
        <w:t xml:space="preserve"> 2(1) and 2(3)</w:t>
      </w:r>
      <w:r w:rsidR="00A466D7" w:rsidRPr="00BB7B21">
        <w:rPr>
          <w:rFonts w:ascii="Arial" w:hAnsi="Arial" w:cs="Arial"/>
          <w:sz w:val="24"/>
          <w:szCs w:val="24"/>
        </w:rPr>
        <w:t>,</w:t>
      </w:r>
      <w:r w:rsidR="0087505F" w:rsidRPr="00BB7B21">
        <w:rPr>
          <w:rFonts w:ascii="Arial" w:hAnsi="Arial" w:cs="Arial"/>
          <w:sz w:val="24"/>
          <w:szCs w:val="24"/>
        </w:rPr>
        <w:t xml:space="preserve"> use more permissive (i.e</w:t>
      </w:r>
      <w:r w:rsidR="00A466D7" w:rsidRPr="00BB7B21">
        <w:rPr>
          <w:rFonts w:ascii="Arial" w:hAnsi="Arial" w:cs="Arial"/>
          <w:sz w:val="24"/>
          <w:szCs w:val="24"/>
        </w:rPr>
        <w:t>.</w:t>
      </w:r>
      <w:r w:rsidR="0087505F" w:rsidRPr="00BB7B21">
        <w:rPr>
          <w:rFonts w:ascii="Arial" w:hAnsi="Arial" w:cs="Arial"/>
          <w:sz w:val="24"/>
          <w:szCs w:val="24"/>
        </w:rPr>
        <w:t xml:space="preserve"> less peremptory) language in the form of </w:t>
      </w:r>
      <w:r w:rsidR="0087505F" w:rsidRPr="00BB7B21">
        <w:rPr>
          <w:rFonts w:ascii="Arial" w:hAnsi="Arial" w:cs="Arial"/>
          <w:i/>
          <w:iCs/>
          <w:sz w:val="24"/>
          <w:szCs w:val="24"/>
        </w:rPr>
        <w:t>“may”</w:t>
      </w:r>
      <w:r w:rsidR="0087505F" w:rsidRPr="00BB7B21">
        <w:rPr>
          <w:rFonts w:ascii="Arial" w:hAnsi="Arial" w:cs="Arial"/>
          <w:sz w:val="24"/>
          <w:szCs w:val="24"/>
        </w:rPr>
        <w:t>. I am conscious that the use of these</w:t>
      </w:r>
      <w:r w:rsidR="00442382" w:rsidRPr="00BB7B21">
        <w:rPr>
          <w:rFonts w:ascii="Arial" w:hAnsi="Arial" w:cs="Arial"/>
          <w:sz w:val="24"/>
          <w:szCs w:val="24"/>
        </w:rPr>
        <w:t xml:space="preserve"> verbs </w:t>
      </w:r>
      <w:r w:rsidR="0087505F" w:rsidRPr="00BB7B21">
        <w:rPr>
          <w:rFonts w:ascii="Arial" w:hAnsi="Arial" w:cs="Arial"/>
          <w:sz w:val="24"/>
          <w:szCs w:val="24"/>
        </w:rPr>
        <w:t>can be nebulous</w:t>
      </w:r>
      <w:r w:rsidR="00442382" w:rsidRPr="00BB7B21">
        <w:rPr>
          <w:rFonts w:ascii="Arial" w:hAnsi="Arial" w:cs="Arial"/>
          <w:sz w:val="24"/>
          <w:szCs w:val="24"/>
        </w:rPr>
        <w:t xml:space="preserve"> in the context of statutory interpretation</w:t>
      </w:r>
      <w:r w:rsidR="00F2273E" w:rsidRPr="00BB7B21">
        <w:rPr>
          <w:rFonts w:ascii="Arial" w:hAnsi="Arial" w:cs="Arial"/>
          <w:sz w:val="24"/>
          <w:szCs w:val="24"/>
        </w:rPr>
        <w:t xml:space="preserve">. Nonetheless </w:t>
      </w:r>
      <w:r w:rsidR="0087505F" w:rsidRPr="00BB7B21">
        <w:rPr>
          <w:rFonts w:ascii="Arial" w:hAnsi="Arial" w:cs="Arial"/>
          <w:sz w:val="24"/>
          <w:szCs w:val="24"/>
        </w:rPr>
        <w:t>it is a factor to be taken into account when considering</w:t>
      </w:r>
      <w:r w:rsidR="00F2273E" w:rsidRPr="00BB7B21">
        <w:rPr>
          <w:rFonts w:ascii="Arial" w:hAnsi="Arial" w:cs="Arial"/>
          <w:sz w:val="24"/>
          <w:szCs w:val="24"/>
        </w:rPr>
        <w:t xml:space="preserve"> whether the</w:t>
      </w:r>
      <w:r w:rsidR="0087505F" w:rsidRPr="00BB7B21">
        <w:rPr>
          <w:rFonts w:ascii="Arial" w:hAnsi="Arial" w:cs="Arial"/>
          <w:sz w:val="24"/>
          <w:szCs w:val="24"/>
        </w:rPr>
        <w:t xml:space="preserve"> failure of a party to comply with a section must be visited with nullity.</w:t>
      </w:r>
    </w:p>
    <w:p w14:paraId="43813B8B" w14:textId="70E98BFC" w:rsidR="003C607A"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47.</w:t>
      </w:r>
      <w:r>
        <w:rPr>
          <w:rFonts w:ascii="Arial" w:hAnsi="Arial" w:cs="Arial"/>
          <w:sz w:val="24"/>
          <w:szCs w:val="24"/>
        </w:rPr>
        <w:tab/>
      </w:r>
      <w:r w:rsidR="00F860F5" w:rsidRPr="00BB7B21">
        <w:rPr>
          <w:rFonts w:ascii="Arial" w:hAnsi="Arial" w:cs="Arial"/>
          <w:sz w:val="24"/>
          <w:szCs w:val="24"/>
        </w:rPr>
        <w:t xml:space="preserve">In my view the prejudice that is sought to be addressed by section 2, which is to avoid a multiplicity of actions and the further joint wrongdoer being prejudiced thereby, is not such that an action instituted without prior leave must be a nullity. Rather, I </w:t>
      </w:r>
      <w:r w:rsidR="003C607A" w:rsidRPr="00BB7B21">
        <w:rPr>
          <w:rFonts w:ascii="Arial" w:hAnsi="Arial" w:cs="Arial"/>
          <w:sz w:val="24"/>
          <w:szCs w:val="24"/>
        </w:rPr>
        <w:t xml:space="preserve">find that on the construction of the section, </w:t>
      </w:r>
      <w:r w:rsidR="00A466D7" w:rsidRPr="00BB7B21">
        <w:rPr>
          <w:rFonts w:ascii="Arial" w:hAnsi="Arial" w:cs="Arial"/>
          <w:sz w:val="24"/>
          <w:szCs w:val="24"/>
        </w:rPr>
        <w:t xml:space="preserve">it was not </w:t>
      </w:r>
      <w:r w:rsidR="003C607A" w:rsidRPr="00BB7B21">
        <w:rPr>
          <w:rFonts w:ascii="Arial" w:hAnsi="Arial" w:cs="Arial"/>
          <w:sz w:val="24"/>
          <w:szCs w:val="24"/>
        </w:rPr>
        <w:t>the intent</w:t>
      </w:r>
      <w:r w:rsidR="00EF293A" w:rsidRPr="00BB7B21">
        <w:rPr>
          <w:rFonts w:ascii="Arial" w:hAnsi="Arial" w:cs="Arial"/>
          <w:sz w:val="24"/>
          <w:szCs w:val="24"/>
        </w:rPr>
        <w:t>ion</w:t>
      </w:r>
      <w:r w:rsidR="003C607A" w:rsidRPr="00BB7B21">
        <w:rPr>
          <w:rFonts w:ascii="Arial" w:hAnsi="Arial" w:cs="Arial"/>
          <w:sz w:val="24"/>
          <w:szCs w:val="24"/>
        </w:rPr>
        <w:t xml:space="preserve"> of the Legislature to make a nullity an action that had been instituted without the necessary leave in terms of section 2(4) having been obtained in advance. And so </w:t>
      </w:r>
      <w:r w:rsidR="00F860F5" w:rsidRPr="00BB7B21">
        <w:rPr>
          <w:rFonts w:ascii="Arial" w:hAnsi="Arial" w:cs="Arial"/>
          <w:sz w:val="24"/>
          <w:szCs w:val="24"/>
        </w:rPr>
        <w:t xml:space="preserve">leave can be sought after the event. </w:t>
      </w:r>
      <w:r w:rsidR="003C607A" w:rsidRPr="00BB7B21">
        <w:rPr>
          <w:rFonts w:ascii="Arial" w:hAnsi="Arial" w:cs="Arial"/>
          <w:sz w:val="24"/>
          <w:szCs w:val="24"/>
        </w:rPr>
        <w:t xml:space="preserve"> </w:t>
      </w:r>
    </w:p>
    <w:p w14:paraId="1AA9B30A" w14:textId="24B13901" w:rsidR="00A81E22" w:rsidRPr="00BB7B21" w:rsidRDefault="00BB7B21" w:rsidP="00BB7B21">
      <w:pPr>
        <w:spacing w:before="360" w:after="360" w:line="480" w:lineRule="auto"/>
        <w:ind w:left="624" w:right="567" w:hanging="624"/>
        <w:jc w:val="both"/>
        <w:rPr>
          <w:rStyle w:val="apple-converted-space"/>
          <w:rFonts w:ascii="Arial" w:hAnsi="Arial" w:cs="Arial"/>
          <w:sz w:val="24"/>
          <w:szCs w:val="24"/>
        </w:rPr>
      </w:pPr>
      <w:r w:rsidRPr="00A81E22">
        <w:rPr>
          <w:rStyle w:val="apple-converted-space"/>
          <w:rFonts w:ascii="Arial" w:hAnsi="Arial" w:cs="Arial"/>
          <w:sz w:val="24"/>
          <w:szCs w:val="24"/>
        </w:rPr>
        <w:t>48.</w:t>
      </w:r>
      <w:r w:rsidRPr="00A81E22">
        <w:rPr>
          <w:rStyle w:val="apple-converted-space"/>
          <w:rFonts w:ascii="Arial" w:hAnsi="Arial" w:cs="Arial"/>
          <w:sz w:val="24"/>
          <w:szCs w:val="24"/>
        </w:rPr>
        <w:tab/>
      </w:r>
      <w:r w:rsidR="003C607A" w:rsidRPr="00BB7B21">
        <w:rPr>
          <w:rFonts w:ascii="Arial" w:hAnsi="Arial" w:cs="Arial"/>
          <w:sz w:val="24"/>
          <w:szCs w:val="24"/>
        </w:rPr>
        <w:t xml:space="preserve">This is consistent with what was said by Nicholas AJA in </w:t>
      </w:r>
      <w:r w:rsidR="003C607A" w:rsidRPr="00BB7B21">
        <w:rPr>
          <w:rFonts w:ascii="Arial" w:hAnsi="Arial" w:cs="Arial"/>
          <w:i/>
          <w:iCs/>
          <w:sz w:val="24"/>
          <w:szCs w:val="24"/>
        </w:rPr>
        <w:t>Neugarten and Others v Standard Bank of South Africa Ltd</w:t>
      </w:r>
      <w:r w:rsidR="003C607A" w:rsidRPr="00BB7B21">
        <w:rPr>
          <w:rFonts w:ascii="Arial" w:hAnsi="Arial" w:cs="Arial"/>
          <w:sz w:val="24"/>
          <w:szCs w:val="24"/>
        </w:rPr>
        <w:t xml:space="preserve"> 1989 (1) SA 797 (AD) at 802F-G:</w:t>
      </w:r>
    </w:p>
    <w:p w14:paraId="0FE2A64B" w14:textId="13EDCD02" w:rsidR="003C607A" w:rsidRPr="00A81E22" w:rsidRDefault="00A81E22" w:rsidP="00A81E22">
      <w:pPr>
        <w:pStyle w:val="ListParagraph"/>
        <w:spacing w:before="360" w:after="360" w:line="360" w:lineRule="auto"/>
        <w:ind w:left="1440" w:right="567"/>
        <w:contextualSpacing w:val="0"/>
        <w:jc w:val="both"/>
        <w:rPr>
          <w:rFonts w:ascii="Arial" w:hAnsi="Arial" w:cs="Arial"/>
          <w:i/>
          <w:iCs/>
          <w:color w:val="000000" w:themeColor="text1"/>
          <w:sz w:val="24"/>
          <w:szCs w:val="24"/>
        </w:rPr>
      </w:pPr>
      <w:r w:rsidRPr="00A81E22">
        <w:rPr>
          <w:rFonts w:ascii="Arial" w:hAnsi="Arial" w:cs="Arial"/>
          <w:i/>
          <w:iCs/>
          <w:color w:val="000000" w:themeColor="text1"/>
          <w:sz w:val="24"/>
          <w:szCs w:val="24"/>
          <w:shd w:val="clear" w:color="auto" w:fill="FFFFFF"/>
        </w:rPr>
        <w:t xml:space="preserve">“It is not the rule that in all cases where the consent of some person is a prerequisite (whether at common law or by virtue of a statutory provision) to the validity of a transaction, it must be a prior consent. A statute may indeed so provide. So, </w:t>
      </w:r>
      <w:r w:rsidRPr="00A81E22">
        <w:rPr>
          <w:rFonts w:ascii="Arial" w:hAnsi="Arial" w:cs="Arial"/>
          <w:i/>
          <w:iCs/>
          <w:color w:val="000000" w:themeColor="text1"/>
          <w:sz w:val="24"/>
          <w:szCs w:val="24"/>
          <w:shd w:val="clear" w:color="auto" w:fill="FFFFFF"/>
        </w:rPr>
        <w:lastRenderedPageBreak/>
        <w:t>in</w:t>
      </w:r>
      <w:r w:rsidRPr="00A81E22">
        <w:rPr>
          <w:rStyle w:val="apple-converted-space"/>
          <w:rFonts w:ascii="Arial" w:hAnsi="Arial" w:cs="Arial"/>
          <w:i/>
          <w:iCs/>
          <w:color w:val="000000" w:themeColor="text1"/>
          <w:sz w:val="24"/>
          <w:szCs w:val="24"/>
          <w:shd w:val="clear" w:color="auto" w:fill="FFFFFF"/>
        </w:rPr>
        <w:t> </w:t>
      </w:r>
      <w:r w:rsidRPr="00A81E22">
        <w:rPr>
          <w:rFonts w:ascii="Arial" w:hAnsi="Arial" w:cs="Arial"/>
          <w:i/>
          <w:iCs/>
          <w:color w:val="000000" w:themeColor="text1"/>
          <w:sz w:val="24"/>
          <w:szCs w:val="24"/>
        </w:rPr>
        <w:t>Incorporated Law Society of Natal v Van Aardt</w:t>
      </w:r>
      <w:r w:rsidRPr="00A81E22">
        <w:rPr>
          <w:rStyle w:val="apple-converted-space"/>
          <w:rFonts w:ascii="Arial" w:hAnsi="Arial" w:cs="Arial"/>
          <w:i/>
          <w:iCs/>
          <w:color w:val="000000" w:themeColor="text1"/>
          <w:sz w:val="24"/>
          <w:szCs w:val="24"/>
          <w:shd w:val="clear" w:color="auto" w:fill="FFFFFF"/>
        </w:rPr>
        <w:t> </w:t>
      </w:r>
      <w:r w:rsidRPr="00A81E22">
        <w:rPr>
          <w:rFonts w:ascii="Arial" w:hAnsi="Arial" w:cs="Arial"/>
          <w:i/>
          <w:iCs/>
          <w:color w:val="000000" w:themeColor="text1"/>
          <w:sz w:val="24"/>
          <w:szCs w:val="24"/>
          <w:shd w:val="clear" w:color="auto" w:fill="FFFFFF"/>
        </w:rPr>
        <w:t>1930 NPD 69, a by-law provided for a</w:t>
      </w:r>
      <w:r w:rsidRPr="00A81E22">
        <w:rPr>
          <w:rStyle w:val="apple-converted-space"/>
          <w:rFonts w:ascii="Arial" w:hAnsi="Arial" w:cs="Arial"/>
          <w:i/>
          <w:iCs/>
          <w:color w:val="000000" w:themeColor="text1"/>
          <w:sz w:val="24"/>
          <w:szCs w:val="24"/>
          <w:shd w:val="clear" w:color="auto" w:fill="FFFFFF"/>
        </w:rPr>
        <w:t> </w:t>
      </w:r>
      <w:r w:rsidRPr="00A81E22">
        <w:rPr>
          <w:rFonts w:ascii="Arial" w:hAnsi="Arial" w:cs="Arial"/>
          <w:i/>
          <w:iCs/>
          <w:color w:val="000000" w:themeColor="text1"/>
          <w:sz w:val="24"/>
          <w:szCs w:val="24"/>
          <w:shd w:val="clear" w:color="auto" w:fill="FFFFFF"/>
        </w:rPr>
        <w:t>consent 'previously had and obtained'. It was held that these words clearly meant that the consent must be obtained beforehand (see at 76). Generally speaking, however, consent may be given</w:t>
      </w:r>
      <w:r w:rsidRPr="00A81E22">
        <w:rPr>
          <w:rStyle w:val="apple-converted-space"/>
          <w:rFonts w:ascii="Arial" w:hAnsi="Arial" w:cs="Arial"/>
          <w:i/>
          <w:iCs/>
          <w:color w:val="000000" w:themeColor="text1"/>
          <w:sz w:val="24"/>
          <w:szCs w:val="24"/>
          <w:shd w:val="clear" w:color="auto" w:fill="FFFFFF"/>
        </w:rPr>
        <w:t> </w:t>
      </w:r>
      <w:r w:rsidRPr="00A81E22">
        <w:rPr>
          <w:rFonts w:ascii="Arial" w:hAnsi="Arial" w:cs="Arial"/>
          <w:i/>
          <w:iCs/>
          <w:color w:val="000000" w:themeColor="text1"/>
          <w:sz w:val="24"/>
          <w:szCs w:val="24"/>
        </w:rPr>
        <w:t>ex post facto</w:t>
      </w:r>
      <w:r w:rsidRPr="00A81E22">
        <w:rPr>
          <w:rStyle w:val="apple-converted-space"/>
          <w:rFonts w:ascii="Arial" w:hAnsi="Arial" w:cs="Arial"/>
          <w:i/>
          <w:iCs/>
          <w:color w:val="000000" w:themeColor="text1"/>
          <w:sz w:val="24"/>
          <w:szCs w:val="24"/>
          <w:shd w:val="clear" w:color="auto" w:fill="FFFFFF"/>
        </w:rPr>
        <w:t> </w:t>
      </w:r>
      <w:r w:rsidRPr="00A81E22">
        <w:rPr>
          <w:rFonts w:ascii="Arial" w:hAnsi="Arial" w:cs="Arial"/>
          <w:i/>
          <w:iCs/>
          <w:color w:val="000000" w:themeColor="text1"/>
          <w:sz w:val="24"/>
          <w:szCs w:val="24"/>
          <w:shd w:val="clear" w:color="auto" w:fill="FFFFFF"/>
        </w:rPr>
        <w:t>by subsequent ratification.”</w:t>
      </w:r>
    </w:p>
    <w:p w14:paraId="2AEC4EAC" w14:textId="6BD6CE1A" w:rsidR="00D50DBB"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49.</w:t>
      </w:r>
      <w:r>
        <w:rPr>
          <w:rFonts w:ascii="Arial" w:hAnsi="Arial" w:cs="Arial"/>
          <w:sz w:val="24"/>
          <w:szCs w:val="24"/>
        </w:rPr>
        <w:tab/>
      </w:r>
      <w:r w:rsidR="00F860F5" w:rsidRPr="00BB7B21">
        <w:rPr>
          <w:rFonts w:ascii="Arial" w:hAnsi="Arial" w:cs="Arial"/>
          <w:sz w:val="24"/>
          <w:szCs w:val="24"/>
        </w:rPr>
        <w:t xml:space="preserve">Of course, that leave </w:t>
      </w:r>
      <w:r w:rsidR="003656A1" w:rsidRPr="00BB7B21">
        <w:rPr>
          <w:rFonts w:ascii="Arial" w:hAnsi="Arial" w:cs="Arial"/>
          <w:sz w:val="24"/>
          <w:szCs w:val="24"/>
        </w:rPr>
        <w:t>is</w:t>
      </w:r>
      <w:r w:rsidR="00F860F5" w:rsidRPr="00BB7B21">
        <w:rPr>
          <w:rFonts w:ascii="Arial" w:hAnsi="Arial" w:cs="Arial"/>
          <w:sz w:val="24"/>
          <w:szCs w:val="24"/>
        </w:rPr>
        <w:t xml:space="preserve"> obtained after rather than before the</w:t>
      </w:r>
      <w:r w:rsidR="003656A1" w:rsidRPr="00BB7B21">
        <w:rPr>
          <w:rFonts w:ascii="Arial" w:hAnsi="Arial" w:cs="Arial"/>
          <w:sz w:val="24"/>
          <w:szCs w:val="24"/>
        </w:rPr>
        <w:t xml:space="preserve"> further action is initiated </w:t>
      </w:r>
      <w:r w:rsidR="00F860F5" w:rsidRPr="00BB7B21">
        <w:rPr>
          <w:rFonts w:ascii="Arial" w:hAnsi="Arial" w:cs="Arial"/>
          <w:sz w:val="24"/>
          <w:szCs w:val="24"/>
        </w:rPr>
        <w:t xml:space="preserve">does detract from </w:t>
      </w:r>
      <w:r w:rsidR="003656A1" w:rsidRPr="00BB7B21">
        <w:rPr>
          <w:rFonts w:ascii="Arial" w:hAnsi="Arial" w:cs="Arial"/>
          <w:sz w:val="24"/>
          <w:szCs w:val="24"/>
        </w:rPr>
        <w:t xml:space="preserve">the joint wrongdoer’s </w:t>
      </w:r>
      <w:r w:rsidR="00F860F5" w:rsidRPr="00BB7B21">
        <w:rPr>
          <w:rFonts w:ascii="Arial" w:hAnsi="Arial" w:cs="Arial"/>
          <w:sz w:val="24"/>
          <w:szCs w:val="24"/>
        </w:rPr>
        <w:t>protection against a multiplicity of actions. As demonstrated in this matter,</w:t>
      </w:r>
      <w:r w:rsidR="003656A1" w:rsidRPr="00BB7B21">
        <w:rPr>
          <w:rFonts w:ascii="Arial" w:hAnsi="Arial" w:cs="Arial"/>
          <w:sz w:val="24"/>
          <w:szCs w:val="24"/>
        </w:rPr>
        <w:t xml:space="preserve"> Mr Hussey is already a party in the </w:t>
      </w:r>
      <w:r w:rsidR="00F2273E" w:rsidRPr="00BB7B21">
        <w:rPr>
          <w:rFonts w:ascii="Arial" w:hAnsi="Arial" w:cs="Arial"/>
          <w:sz w:val="24"/>
          <w:szCs w:val="24"/>
        </w:rPr>
        <w:t>first</w:t>
      </w:r>
      <w:r w:rsidR="003656A1" w:rsidRPr="00BB7B21">
        <w:rPr>
          <w:rFonts w:ascii="Arial" w:hAnsi="Arial" w:cs="Arial"/>
          <w:sz w:val="24"/>
          <w:szCs w:val="24"/>
        </w:rPr>
        <w:t xml:space="preserve"> action, having been joined as third party to that action by the</w:t>
      </w:r>
      <w:r w:rsidR="00D50DBB" w:rsidRPr="00BB7B21">
        <w:rPr>
          <w:rFonts w:ascii="Arial" w:hAnsi="Arial" w:cs="Arial"/>
          <w:sz w:val="24"/>
          <w:szCs w:val="24"/>
        </w:rPr>
        <w:t xml:space="preserve"> defendants in that initial action.</w:t>
      </w:r>
      <w:r w:rsidR="003656A1" w:rsidRPr="00BB7B21">
        <w:rPr>
          <w:rFonts w:ascii="Arial" w:hAnsi="Arial" w:cs="Arial"/>
          <w:sz w:val="24"/>
          <w:szCs w:val="24"/>
        </w:rPr>
        <w:t xml:space="preserve">  </w:t>
      </w:r>
      <w:r w:rsidR="00D50DBB" w:rsidRPr="00BB7B21">
        <w:rPr>
          <w:rFonts w:ascii="Arial" w:hAnsi="Arial" w:cs="Arial"/>
          <w:sz w:val="24"/>
          <w:szCs w:val="24"/>
        </w:rPr>
        <w:t>I</w:t>
      </w:r>
      <w:r w:rsidR="00F860F5" w:rsidRPr="00BB7B21">
        <w:rPr>
          <w:rFonts w:ascii="Arial" w:hAnsi="Arial" w:cs="Arial"/>
          <w:sz w:val="24"/>
          <w:szCs w:val="24"/>
        </w:rPr>
        <w:t>f the second action is not a nullity, as I have found, then Mr Hussey as the further joint wrongdoer is obliged to participate in th</w:t>
      </w:r>
      <w:r w:rsidR="00F2273E" w:rsidRPr="00BB7B21">
        <w:rPr>
          <w:rFonts w:ascii="Arial" w:hAnsi="Arial" w:cs="Arial"/>
          <w:sz w:val="24"/>
          <w:szCs w:val="24"/>
        </w:rPr>
        <w:t>is</w:t>
      </w:r>
      <w:r w:rsidR="00F860F5" w:rsidRPr="00BB7B21">
        <w:rPr>
          <w:rFonts w:ascii="Arial" w:hAnsi="Arial" w:cs="Arial"/>
          <w:sz w:val="24"/>
          <w:szCs w:val="24"/>
        </w:rPr>
        <w:t xml:space="preserve"> second action</w:t>
      </w:r>
      <w:r w:rsidR="00F2273E" w:rsidRPr="00BB7B21">
        <w:rPr>
          <w:rFonts w:ascii="Arial" w:hAnsi="Arial" w:cs="Arial"/>
          <w:sz w:val="24"/>
          <w:szCs w:val="24"/>
        </w:rPr>
        <w:t xml:space="preserve"> too</w:t>
      </w:r>
      <w:r w:rsidR="00F860F5" w:rsidRPr="00BB7B21">
        <w:rPr>
          <w:rFonts w:ascii="Arial" w:hAnsi="Arial" w:cs="Arial"/>
          <w:sz w:val="24"/>
          <w:szCs w:val="24"/>
        </w:rPr>
        <w:t>, as he has</w:t>
      </w:r>
      <w:r w:rsidR="00C8157E" w:rsidRPr="00BB7B21">
        <w:rPr>
          <w:rFonts w:ascii="Arial" w:hAnsi="Arial" w:cs="Arial"/>
          <w:sz w:val="24"/>
          <w:szCs w:val="24"/>
        </w:rPr>
        <w:t xml:space="preserve"> already</w:t>
      </w:r>
      <w:r w:rsidR="00F860F5" w:rsidRPr="00BB7B21">
        <w:rPr>
          <w:rFonts w:ascii="Arial" w:hAnsi="Arial" w:cs="Arial"/>
          <w:sz w:val="24"/>
          <w:szCs w:val="24"/>
        </w:rPr>
        <w:t xml:space="preserve"> done by</w:t>
      </w:r>
      <w:r w:rsidR="00D50DBB" w:rsidRPr="00BB7B21">
        <w:rPr>
          <w:rFonts w:ascii="Arial" w:hAnsi="Arial" w:cs="Arial"/>
          <w:sz w:val="24"/>
          <w:szCs w:val="24"/>
        </w:rPr>
        <w:t xml:space="preserve"> </w:t>
      </w:r>
      <w:r w:rsidR="00D50DBB" w:rsidRPr="00BB7B21">
        <w:rPr>
          <w:rFonts w:ascii="Arial" w:hAnsi="Arial" w:cs="Arial"/>
          <w:i/>
          <w:iCs/>
          <w:sz w:val="24"/>
          <w:szCs w:val="24"/>
        </w:rPr>
        <w:t>inter alia</w:t>
      </w:r>
      <w:r w:rsidR="00F860F5" w:rsidRPr="00BB7B21">
        <w:rPr>
          <w:rFonts w:ascii="Arial" w:hAnsi="Arial" w:cs="Arial"/>
          <w:sz w:val="24"/>
          <w:szCs w:val="24"/>
        </w:rPr>
        <w:t xml:space="preserve"> raising </w:t>
      </w:r>
      <w:r w:rsidR="00D50DBB" w:rsidRPr="00BB7B21">
        <w:rPr>
          <w:rFonts w:ascii="Arial" w:hAnsi="Arial" w:cs="Arial"/>
          <w:sz w:val="24"/>
          <w:szCs w:val="24"/>
        </w:rPr>
        <w:t>a</w:t>
      </w:r>
      <w:r w:rsidR="00F860F5" w:rsidRPr="00BB7B21">
        <w:rPr>
          <w:rFonts w:ascii="Arial" w:hAnsi="Arial" w:cs="Arial"/>
          <w:sz w:val="24"/>
          <w:szCs w:val="24"/>
        </w:rPr>
        <w:t xml:space="preserve"> special plea of non-compliance with section 2(4)</w:t>
      </w:r>
      <w:r w:rsidR="00D50DBB" w:rsidRPr="00BB7B21">
        <w:rPr>
          <w:rFonts w:ascii="Arial" w:hAnsi="Arial" w:cs="Arial"/>
          <w:sz w:val="24"/>
          <w:szCs w:val="24"/>
        </w:rPr>
        <w:t>. Mr Hussey is therefore obliged to participate in two actions.</w:t>
      </w:r>
      <w:r w:rsidR="00F860F5" w:rsidRPr="00BB7B21">
        <w:rPr>
          <w:rFonts w:ascii="Arial" w:hAnsi="Arial" w:cs="Arial"/>
          <w:sz w:val="24"/>
          <w:szCs w:val="24"/>
        </w:rPr>
        <w:t xml:space="preserve"> </w:t>
      </w:r>
      <w:r w:rsidR="00D50DBB" w:rsidRPr="00BB7B21">
        <w:rPr>
          <w:rFonts w:ascii="Arial" w:hAnsi="Arial" w:cs="Arial"/>
          <w:sz w:val="24"/>
          <w:szCs w:val="24"/>
        </w:rPr>
        <w:t>In</w:t>
      </w:r>
      <w:r w:rsidR="00F860F5" w:rsidRPr="00BB7B21">
        <w:rPr>
          <w:rFonts w:ascii="Arial" w:hAnsi="Arial" w:cs="Arial"/>
          <w:sz w:val="24"/>
          <w:szCs w:val="24"/>
        </w:rPr>
        <w:t xml:space="preserve"> my view, </w:t>
      </w:r>
      <w:r w:rsidR="00D50DBB" w:rsidRPr="00BB7B21">
        <w:rPr>
          <w:rFonts w:ascii="Arial" w:hAnsi="Arial" w:cs="Arial"/>
          <w:sz w:val="24"/>
          <w:szCs w:val="24"/>
        </w:rPr>
        <w:t>that potential prejudice is a factor that can be considered when determining whether good cause has been shown that leave should be granted, and to the extent that prejudice is exacerbated by the timing of the application in terms of section 2(4), that too is something that can be taken into account in that determination.</w:t>
      </w:r>
    </w:p>
    <w:p w14:paraId="136D2B3E" w14:textId="072B4162" w:rsidR="00513347"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50.</w:t>
      </w:r>
      <w:r>
        <w:rPr>
          <w:rFonts w:ascii="Arial" w:hAnsi="Arial" w:cs="Arial"/>
          <w:sz w:val="24"/>
          <w:szCs w:val="24"/>
        </w:rPr>
        <w:tab/>
      </w:r>
      <w:r w:rsidR="003841B6" w:rsidRPr="00BB7B21">
        <w:rPr>
          <w:rFonts w:ascii="Arial" w:hAnsi="Arial" w:cs="Arial"/>
          <w:sz w:val="24"/>
          <w:szCs w:val="24"/>
        </w:rPr>
        <w:t>That</w:t>
      </w:r>
      <w:r w:rsidR="00F860F5" w:rsidRPr="00BB7B21">
        <w:rPr>
          <w:rFonts w:ascii="Arial" w:hAnsi="Arial" w:cs="Arial"/>
          <w:sz w:val="24"/>
          <w:szCs w:val="24"/>
        </w:rPr>
        <w:t xml:space="preserve"> leave </w:t>
      </w:r>
      <w:r w:rsidR="003841B6" w:rsidRPr="00BB7B21">
        <w:rPr>
          <w:rFonts w:ascii="Arial" w:hAnsi="Arial" w:cs="Arial"/>
          <w:sz w:val="24"/>
          <w:szCs w:val="24"/>
        </w:rPr>
        <w:t xml:space="preserve">in terms of section 2(4) </w:t>
      </w:r>
      <w:r w:rsidR="00F860F5" w:rsidRPr="00BB7B21">
        <w:rPr>
          <w:rFonts w:ascii="Arial" w:hAnsi="Arial" w:cs="Arial"/>
          <w:sz w:val="24"/>
          <w:szCs w:val="24"/>
        </w:rPr>
        <w:t xml:space="preserve">is sought after rather than before the </w:t>
      </w:r>
      <w:r w:rsidR="003841B6" w:rsidRPr="00BB7B21">
        <w:rPr>
          <w:rFonts w:ascii="Arial" w:hAnsi="Arial" w:cs="Arial"/>
          <w:sz w:val="24"/>
          <w:szCs w:val="24"/>
        </w:rPr>
        <w:t xml:space="preserve">initiation of the further action </w:t>
      </w:r>
      <w:r w:rsidR="00F860F5" w:rsidRPr="00BB7B21">
        <w:rPr>
          <w:rFonts w:ascii="Arial" w:hAnsi="Arial" w:cs="Arial"/>
          <w:sz w:val="24"/>
          <w:szCs w:val="24"/>
        </w:rPr>
        <w:t xml:space="preserve">is a factor which </w:t>
      </w:r>
      <w:r w:rsidR="00C8157E" w:rsidRPr="00BB7B21">
        <w:rPr>
          <w:rFonts w:ascii="Arial" w:hAnsi="Arial" w:cs="Arial"/>
          <w:sz w:val="24"/>
          <w:szCs w:val="24"/>
        </w:rPr>
        <w:t>can</w:t>
      </w:r>
      <w:r w:rsidR="00F860F5" w:rsidRPr="00BB7B21">
        <w:rPr>
          <w:rFonts w:ascii="Arial" w:hAnsi="Arial" w:cs="Arial"/>
          <w:sz w:val="24"/>
          <w:szCs w:val="24"/>
        </w:rPr>
        <w:t xml:space="preserve"> be taken into account </w:t>
      </w:r>
      <w:r w:rsidR="000435D4" w:rsidRPr="00BB7B21">
        <w:rPr>
          <w:rFonts w:ascii="Arial" w:hAnsi="Arial" w:cs="Arial"/>
          <w:sz w:val="24"/>
          <w:szCs w:val="24"/>
        </w:rPr>
        <w:t xml:space="preserve">in </w:t>
      </w:r>
      <w:r w:rsidR="00F860F5" w:rsidRPr="00BB7B21">
        <w:rPr>
          <w:rFonts w:ascii="Arial" w:hAnsi="Arial" w:cs="Arial"/>
          <w:sz w:val="24"/>
          <w:szCs w:val="24"/>
        </w:rPr>
        <w:t>assessing whether good cause has been made out rather than</w:t>
      </w:r>
      <w:r w:rsidR="003841B6" w:rsidRPr="00BB7B21">
        <w:rPr>
          <w:rFonts w:ascii="Arial" w:hAnsi="Arial" w:cs="Arial"/>
          <w:sz w:val="24"/>
          <w:szCs w:val="24"/>
        </w:rPr>
        <w:t xml:space="preserve"> being a prohibition against that leave being</w:t>
      </w:r>
      <w:r w:rsidR="00C8157E" w:rsidRPr="00BB7B21">
        <w:rPr>
          <w:rFonts w:ascii="Arial" w:hAnsi="Arial" w:cs="Arial"/>
          <w:sz w:val="24"/>
          <w:szCs w:val="24"/>
        </w:rPr>
        <w:t xml:space="preserve"> granted</w:t>
      </w:r>
      <w:r w:rsidR="003841B6" w:rsidRPr="00BB7B21">
        <w:rPr>
          <w:rFonts w:ascii="Arial" w:hAnsi="Arial" w:cs="Arial"/>
          <w:sz w:val="24"/>
          <w:szCs w:val="24"/>
        </w:rPr>
        <w:t xml:space="preserve"> at all. </w:t>
      </w:r>
    </w:p>
    <w:p w14:paraId="01C4DEB2" w14:textId="23481B0A" w:rsidR="00F860F5" w:rsidRPr="00F860F5" w:rsidRDefault="00F860F5" w:rsidP="00F860F5">
      <w:pPr>
        <w:spacing w:before="360" w:after="360" w:line="480" w:lineRule="auto"/>
        <w:ind w:right="567"/>
        <w:jc w:val="both"/>
        <w:rPr>
          <w:rFonts w:ascii="Arial" w:hAnsi="Arial" w:cs="Arial"/>
          <w:sz w:val="24"/>
          <w:szCs w:val="24"/>
        </w:rPr>
      </w:pPr>
      <w:r>
        <w:rPr>
          <w:rFonts w:ascii="Arial" w:hAnsi="Arial" w:cs="Arial"/>
          <w:sz w:val="24"/>
          <w:szCs w:val="24"/>
        </w:rPr>
        <w:lastRenderedPageBreak/>
        <w:t xml:space="preserve">HAS THE PLAINTIFF SHOWN GOOD CAUSE AS TO WHY NOTICE WAS NOT GIVEN TO MR HUSSEY </w:t>
      </w:r>
      <w:r w:rsidR="000A1941">
        <w:rPr>
          <w:rFonts w:ascii="Arial" w:hAnsi="Arial" w:cs="Arial"/>
          <w:sz w:val="24"/>
          <w:szCs w:val="24"/>
        </w:rPr>
        <w:t xml:space="preserve">AS A JOINT WRONGDOER </w:t>
      </w:r>
      <w:r>
        <w:rPr>
          <w:rFonts w:ascii="Arial" w:hAnsi="Arial" w:cs="Arial"/>
          <w:sz w:val="24"/>
          <w:szCs w:val="24"/>
        </w:rPr>
        <w:t xml:space="preserve">BEFORE THE CLOSE OF PLEADINGS? </w:t>
      </w:r>
    </w:p>
    <w:p w14:paraId="52C7CA90" w14:textId="22D1003B" w:rsidR="00235FBE"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51.</w:t>
      </w:r>
      <w:r>
        <w:rPr>
          <w:rFonts w:ascii="Arial" w:hAnsi="Arial" w:cs="Arial"/>
          <w:sz w:val="24"/>
          <w:szCs w:val="24"/>
        </w:rPr>
        <w:tab/>
      </w:r>
      <w:r w:rsidR="00A97318" w:rsidRPr="00BB7B21">
        <w:rPr>
          <w:rFonts w:ascii="Arial" w:hAnsi="Arial" w:cs="Arial"/>
          <w:sz w:val="24"/>
          <w:szCs w:val="24"/>
        </w:rPr>
        <w:t xml:space="preserve">Unlike the first issue, what is required for purposes of </w:t>
      </w:r>
      <w:r w:rsidR="00235FBE" w:rsidRPr="00BB7B21">
        <w:rPr>
          <w:rFonts w:ascii="Arial" w:hAnsi="Arial" w:cs="Arial"/>
          <w:sz w:val="24"/>
          <w:szCs w:val="24"/>
        </w:rPr>
        <w:t>showing</w:t>
      </w:r>
      <w:r w:rsidR="00A97318" w:rsidRPr="00BB7B21">
        <w:rPr>
          <w:rFonts w:ascii="Arial" w:hAnsi="Arial" w:cs="Arial"/>
          <w:sz w:val="24"/>
          <w:szCs w:val="24"/>
        </w:rPr>
        <w:t xml:space="preserve"> good cause under section 4(2) of the Act has received judicial attention.</w:t>
      </w:r>
    </w:p>
    <w:p w14:paraId="0EFC8636" w14:textId="684B330C" w:rsidR="00A97318" w:rsidRPr="00BB7B21" w:rsidRDefault="00BB7B21" w:rsidP="00BB7B21">
      <w:pPr>
        <w:spacing w:before="360" w:after="360" w:line="480" w:lineRule="auto"/>
        <w:ind w:left="624" w:right="567" w:hanging="624"/>
        <w:jc w:val="both"/>
        <w:rPr>
          <w:rFonts w:ascii="Arial" w:hAnsi="Arial" w:cs="Arial"/>
          <w:sz w:val="24"/>
          <w:szCs w:val="24"/>
        </w:rPr>
      </w:pPr>
      <w:r w:rsidRPr="00EF654E">
        <w:rPr>
          <w:rFonts w:ascii="Arial" w:hAnsi="Arial" w:cs="Arial"/>
          <w:sz w:val="24"/>
          <w:szCs w:val="24"/>
        </w:rPr>
        <w:t>52.</w:t>
      </w:r>
      <w:r w:rsidRPr="00EF654E">
        <w:rPr>
          <w:rFonts w:ascii="Arial" w:hAnsi="Arial" w:cs="Arial"/>
          <w:sz w:val="24"/>
          <w:szCs w:val="24"/>
        </w:rPr>
        <w:tab/>
      </w:r>
      <w:r w:rsidR="00A97318" w:rsidRPr="00BB7B21">
        <w:rPr>
          <w:rFonts w:ascii="Arial" w:hAnsi="Arial" w:cs="Arial"/>
          <w:sz w:val="24"/>
          <w:szCs w:val="24"/>
        </w:rPr>
        <w:t xml:space="preserve"> In </w:t>
      </w:r>
      <w:r w:rsidR="00536AAD" w:rsidRPr="00BB7B21">
        <w:rPr>
          <w:rFonts w:ascii="Arial" w:hAnsi="Arial" w:cs="Arial"/>
          <w:i/>
          <w:iCs/>
          <w:sz w:val="24"/>
          <w:szCs w:val="24"/>
        </w:rPr>
        <w:t>Lincoln</w:t>
      </w:r>
      <w:r w:rsidR="00A97318" w:rsidRPr="00536AAD">
        <w:rPr>
          <w:rStyle w:val="FootnoteReference"/>
          <w:rFonts w:ascii="Arial" w:hAnsi="Arial" w:cs="Arial"/>
          <w:sz w:val="24"/>
          <w:szCs w:val="24"/>
        </w:rPr>
        <w:footnoteReference w:id="18"/>
      </w:r>
      <w:r w:rsidR="00A97318" w:rsidRPr="00BB7B21">
        <w:rPr>
          <w:rFonts w:ascii="Arial" w:hAnsi="Arial" w:cs="Arial"/>
          <w:sz w:val="24"/>
          <w:szCs w:val="24"/>
        </w:rPr>
        <w:t xml:space="preserve"> the court held that the subsection confers upon the court a discretion to grant or refuse leave and that this would require, in any application for such leave, that the applicant must: </w:t>
      </w:r>
    </w:p>
    <w:p w14:paraId="2E27F36D" w14:textId="5459C57D" w:rsidR="00A97318" w:rsidRPr="00BB7B21" w:rsidRDefault="00BB7B21" w:rsidP="00BB7B21">
      <w:pPr>
        <w:spacing w:before="360" w:after="360" w:line="480" w:lineRule="auto"/>
        <w:ind w:left="1418" w:right="567" w:hanging="794"/>
        <w:jc w:val="both"/>
        <w:rPr>
          <w:rFonts w:ascii="Arial" w:hAnsi="Arial" w:cs="Arial"/>
          <w:sz w:val="24"/>
          <w:szCs w:val="24"/>
        </w:rPr>
      </w:pPr>
      <w:r>
        <w:rPr>
          <w:rFonts w:ascii="Arial" w:hAnsi="Arial" w:cs="Arial"/>
          <w:sz w:val="24"/>
          <w:szCs w:val="24"/>
        </w:rPr>
        <w:t>52.1.</w:t>
      </w:r>
      <w:r>
        <w:rPr>
          <w:rFonts w:ascii="Arial" w:hAnsi="Arial" w:cs="Arial"/>
          <w:sz w:val="24"/>
          <w:szCs w:val="24"/>
        </w:rPr>
        <w:tab/>
      </w:r>
      <w:r w:rsidR="001A32DB" w:rsidRPr="00BB7B21">
        <w:rPr>
          <w:rFonts w:ascii="Arial" w:hAnsi="Arial" w:cs="Arial"/>
          <w:sz w:val="24"/>
          <w:szCs w:val="24"/>
        </w:rPr>
        <w:t>e</w:t>
      </w:r>
      <w:r w:rsidR="00A97318" w:rsidRPr="00BB7B21">
        <w:rPr>
          <w:rFonts w:ascii="Arial" w:hAnsi="Arial" w:cs="Arial"/>
          <w:sz w:val="24"/>
          <w:szCs w:val="24"/>
        </w:rPr>
        <w:t xml:space="preserve">stablish that the person whom he desires to sue is </w:t>
      </w:r>
      <w:r w:rsidR="00A97318" w:rsidRPr="00BB7B21">
        <w:rPr>
          <w:rFonts w:ascii="Arial" w:hAnsi="Arial" w:cs="Arial"/>
          <w:i/>
          <w:iCs/>
          <w:sz w:val="24"/>
          <w:szCs w:val="24"/>
        </w:rPr>
        <w:t xml:space="preserve">prima facie </w:t>
      </w:r>
      <w:r w:rsidR="00A97318" w:rsidRPr="00BB7B21">
        <w:rPr>
          <w:rFonts w:ascii="Arial" w:hAnsi="Arial" w:cs="Arial"/>
          <w:sz w:val="24"/>
          <w:szCs w:val="24"/>
        </w:rPr>
        <w:t xml:space="preserve">a joint wrongdoer; </w:t>
      </w:r>
    </w:p>
    <w:p w14:paraId="1D432BFA" w14:textId="7428DF8B" w:rsidR="00A97318" w:rsidRPr="00BB7B21" w:rsidRDefault="00BB7B21" w:rsidP="00BB7B21">
      <w:pPr>
        <w:spacing w:before="360" w:after="360" w:line="480" w:lineRule="auto"/>
        <w:ind w:left="1418" w:right="567" w:hanging="794"/>
        <w:jc w:val="both"/>
        <w:rPr>
          <w:rFonts w:ascii="Arial" w:hAnsi="Arial" w:cs="Arial"/>
          <w:sz w:val="24"/>
          <w:szCs w:val="24"/>
        </w:rPr>
      </w:pPr>
      <w:r>
        <w:rPr>
          <w:rFonts w:ascii="Arial" w:hAnsi="Arial" w:cs="Arial"/>
          <w:sz w:val="24"/>
          <w:szCs w:val="24"/>
        </w:rPr>
        <w:t>52.2.</w:t>
      </w:r>
      <w:r>
        <w:rPr>
          <w:rFonts w:ascii="Arial" w:hAnsi="Arial" w:cs="Arial"/>
          <w:sz w:val="24"/>
          <w:szCs w:val="24"/>
        </w:rPr>
        <w:tab/>
      </w:r>
      <w:r w:rsidR="001A32DB" w:rsidRPr="00BB7B21">
        <w:rPr>
          <w:rFonts w:ascii="Arial" w:hAnsi="Arial" w:cs="Arial"/>
          <w:sz w:val="24"/>
          <w:szCs w:val="24"/>
        </w:rPr>
        <w:t>t</w:t>
      </w:r>
      <w:r w:rsidR="00A97318" w:rsidRPr="00BB7B21">
        <w:rPr>
          <w:rFonts w:ascii="Arial" w:hAnsi="Arial" w:cs="Arial"/>
          <w:sz w:val="24"/>
          <w:szCs w:val="24"/>
        </w:rPr>
        <w:t xml:space="preserve">hat </w:t>
      </w:r>
      <w:r w:rsidR="00A97318" w:rsidRPr="00BB7B21">
        <w:rPr>
          <w:rFonts w:ascii="Arial" w:hAnsi="Arial" w:cs="Arial"/>
          <w:i/>
          <w:iCs/>
          <w:sz w:val="24"/>
          <w:szCs w:val="24"/>
        </w:rPr>
        <w:t xml:space="preserve">prima facie </w:t>
      </w:r>
      <w:r w:rsidR="00A97318" w:rsidRPr="00BB7B21">
        <w:rPr>
          <w:rFonts w:ascii="Arial" w:hAnsi="Arial" w:cs="Arial"/>
          <w:sz w:val="24"/>
          <w:szCs w:val="24"/>
        </w:rPr>
        <w:t xml:space="preserve">the applicant has a cause of action against him; and </w:t>
      </w:r>
    </w:p>
    <w:p w14:paraId="619A9A95" w14:textId="7316E7B6" w:rsidR="00A97318" w:rsidRPr="00BB7B21" w:rsidRDefault="00BB7B21" w:rsidP="00BB7B21">
      <w:pPr>
        <w:spacing w:before="360" w:after="360" w:line="480" w:lineRule="auto"/>
        <w:ind w:left="1418" w:right="567" w:hanging="794"/>
        <w:jc w:val="both"/>
        <w:rPr>
          <w:rFonts w:ascii="Arial" w:hAnsi="Arial" w:cs="Arial"/>
          <w:sz w:val="24"/>
          <w:szCs w:val="24"/>
        </w:rPr>
      </w:pPr>
      <w:r>
        <w:rPr>
          <w:rFonts w:ascii="Arial" w:hAnsi="Arial" w:cs="Arial"/>
          <w:sz w:val="24"/>
          <w:szCs w:val="24"/>
        </w:rPr>
        <w:t>52.3.</w:t>
      </w:r>
      <w:r>
        <w:rPr>
          <w:rFonts w:ascii="Arial" w:hAnsi="Arial" w:cs="Arial"/>
          <w:sz w:val="24"/>
          <w:szCs w:val="24"/>
        </w:rPr>
        <w:tab/>
      </w:r>
      <w:r w:rsidR="001A32DB" w:rsidRPr="00BB7B21">
        <w:rPr>
          <w:rFonts w:ascii="Arial" w:hAnsi="Arial" w:cs="Arial"/>
          <w:sz w:val="24"/>
          <w:szCs w:val="24"/>
        </w:rPr>
        <w:t>a</w:t>
      </w:r>
      <w:r w:rsidR="00A97318" w:rsidRPr="00BB7B21">
        <w:rPr>
          <w:rFonts w:ascii="Arial" w:hAnsi="Arial" w:cs="Arial"/>
          <w:sz w:val="24"/>
          <w:szCs w:val="24"/>
        </w:rPr>
        <w:t xml:space="preserve"> consideration as to why notice was not given before the pleadings in the action closed. </w:t>
      </w:r>
    </w:p>
    <w:p w14:paraId="386017F2" w14:textId="1E9E70EC" w:rsidR="00A97318"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53.</w:t>
      </w:r>
      <w:r>
        <w:rPr>
          <w:rFonts w:ascii="Arial" w:hAnsi="Arial" w:cs="Arial"/>
          <w:sz w:val="24"/>
          <w:szCs w:val="24"/>
        </w:rPr>
        <w:tab/>
      </w:r>
      <w:r w:rsidR="00A97318" w:rsidRPr="00BB7B21">
        <w:rPr>
          <w:rFonts w:ascii="Arial" w:hAnsi="Arial" w:cs="Arial"/>
          <w:sz w:val="24"/>
          <w:szCs w:val="24"/>
        </w:rPr>
        <w:t>In that matter</w:t>
      </w:r>
      <w:r w:rsidR="006B33C1" w:rsidRPr="00BB7B21">
        <w:rPr>
          <w:rFonts w:ascii="Arial" w:hAnsi="Arial" w:cs="Arial"/>
          <w:sz w:val="24"/>
          <w:szCs w:val="24"/>
        </w:rPr>
        <w:t>, where the plaintiff sought leave to institute a subsequent separate action against a joint wrongdoer after judgment had already been given in the first action,</w:t>
      </w:r>
      <w:r w:rsidR="00A97318" w:rsidRPr="00BB7B21">
        <w:rPr>
          <w:rFonts w:ascii="Arial" w:hAnsi="Arial" w:cs="Arial"/>
          <w:sz w:val="24"/>
          <w:szCs w:val="24"/>
        </w:rPr>
        <w:t xml:space="preserve"> the court found that good cause had been shown because the plaintiff could not have known before pleadings had </w:t>
      </w:r>
      <w:r w:rsidR="00A97318" w:rsidRPr="00BB7B21">
        <w:rPr>
          <w:rFonts w:ascii="Arial" w:hAnsi="Arial" w:cs="Arial"/>
          <w:sz w:val="24"/>
          <w:szCs w:val="24"/>
        </w:rPr>
        <w:lastRenderedPageBreak/>
        <w:t>closed in the</w:t>
      </w:r>
      <w:r w:rsidR="006B33C1" w:rsidRPr="00BB7B21">
        <w:rPr>
          <w:rFonts w:ascii="Arial" w:hAnsi="Arial" w:cs="Arial"/>
          <w:sz w:val="24"/>
          <w:szCs w:val="24"/>
        </w:rPr>
        <w:t xml:space="preserve"> first</w:t>
      </w:r>
      <w:r w:rsidR="00A97318" w:rsidRPr="00BB7B21">
        <w:rPr>
          <w:rFonts w:ascii="Arial" w:hAnsi="Arial" w:cs="Arial"/>
          <w:sz w:val="24"/>
          <w:szCs w:val="24"/>
        </w:rPr>
        <w:t xml:space="preserve"> action of the</w:t>
      </w:r>
      <w:r w:rsidR="00EF654E" w:rsidRPr="00BB7B21">
        <w:rPr>
          <w:rFonts w:ascii="Arial" w:hAnsi="Arial" w:cs="Arial"/>
          <w:sz w:val="24"/>
          <w:szCs w:val="24"/>
        </w:rPr>
        <w:t xml:space="preserve"> existence </w:t>
      </w:r>
      <w:r w:rsidR="006B33C1" w:rsidRPr="00BB7B21">
        <w:rPr>
          <w:rFonts w:ascii="Arial" w:hAnsi="Arial" w:cs="Arial"/>
          <w:sz w:val="24"/>
          <w:szCs w:val="24"/>
        </w:rPr>
        <w:t>of the further</w:t>
      </w:r>
      <w:r w:rsidR="00A97318" w:rsidRPr="00BB7B21">
        <w:rPr>
          <w:rFonts w:ascii="Arial" w:hAnsi="Arial" w:cs="Arial"/>
          <w:sz w:val="24"/>
          <w:szCs w:val="24"/>
        </w:rPr>
        <w:t xml:space="preserve"> joint wrongdoer as that only unfolded during the course of the trial itself</w:t>
      </w:r>
      <w:r w:rsidR="00EF654E" w:rsidRPr="00BB7B21">
        <w:rPr>
          <w:rFonts w:ascii="Arial" w:hAnsi="Arial" w:cs="Arial"/>
          <w:sz w:val="24"/>
          <w:szCs w:val="24"/>
        </w:rPr>
        <w:t xml:space="preserve"> in the first action.</w:t>
      </w:r>
      <w:r w:rsidR="00EF654E">
        <w:rPr>
          <w:rStyle w:val="FootnoteReference"/>
          <w:rFonts w:ascii="Arial" w:hAnsi="Arial" w:cs="Arial"/>
          <w:sz w:val="24"/>
          <w:szCs w:val="24"/>
        </w:rPr>
        <w:footnoteReference w:id="19"/>
      </w:r>
    </w:p>
    <w:p w14:paraId="29D70549" w14:textId="53D3C177" w:rsidR="004376F2"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54.</w:t>
      </w:r>
      <w:r>
        <w:rPr>
          <w:rFonts w:ascii="Arial" w:hAnsi="Arial" w:cs="Arial"/>
          <w:sz w:val="24"/>
          <w:szCs w:val="24"/>
        </w:rPr>
        <w:tab/>
      </w:r>
      <w:r w:rsidR="00A97318" w:rsidRPr="00BB7B21">
        <w:rPr>
          <w:rFonts w:ascii="Arial" w:hAnsi="Arial" w:cs="Arial"/>
          <w:sz w:val="24"/>
          <w:szCs w:val="24"/>
        </w:rPr>
        <w:t xml:space="preserve">In </w:t>
      </w:r>
      <w:r w:rsidR="00A97318" w:rsidRPr="00BB7B21">
        <w:rPr>
          <w:rFonts w:ascii="Arial" w:hAnsi="Arial" w:cs="Arial"/>
          <w:i/>
          <w:iCs/>
          <w:sz w:val="24"/>
          <w:szCs w:val="24"/>
        </w:rPr>
        <w:t>Wa</w:t>
      </w:r>
      <w:r w:rsidR="00EF654E" w:rsidRPr="00BB7B21">
        <w:rPr>
          <w:rFonts w:ascii="Arial" w:hAnsi="Arial" w:cs="Arial"/>
          <w:i/>
          <w:iCs/>
          <w:sz w:val="24"/>
          <w:szCs w:val="24"/>
        </w:rPr>
        <w:t>p</w:t>
      </w:r>
      <w:r w:rsidR="00A97318" w:rsidRPr="00BB7B21">
        <w:rPr>
          <w:rFonts w:ascii="Arial" w:hAnsi="Arial" w:cs="Arial"/>
          <w:i/>
          <w:iCs/>
          <w:sz w:val="24"/>
          <w:szCs w:val="24"/>
        </w:rPr>
        <w:t>nick</w:t>
      </w:r>
      <w:r w:rsidR="00A97318" w:rsidRPr="00536AAD">
        <w:rPr>
          <w:rStyle w:val="FootnoteReference"/>
          <w:rFonts w:ascii="Arial" w:hAnsi="Arial" w:cs="Arial"/>
          <w:sz w:val="24"/>
          <w:szCs w:val="24"/>
        </w:rPr>
        <w:footnoteReference w:id="20"/>
      </w:r>
      <w:r w:rsidR="00A97318" w:rsidRPr="00BB7B21">
        <w:rPr>
          <w:rFonts w:ascii="Arial" w:hAnsi="Arial" w:cs="Arial"/>
          <w:sz w:val="24"/>
          <w:szCs w:val="24"/>
        </w:rPr>
        <w:t xml:space="preserve"> the applicant sought both leave in terms of section 2(4) as </w:t>
      </w:r>
      <w:r w:rsidR="00EF654E" w:rsidRPr="00BB7B21">
        <w:rPr>
          <w:rFonts w:ascii="Arial" w:hAnsi="Arial" w:cs="Arial"/>
          <w:sz w:val="24"/>
          <w:szCs w:val="24"/>
        </w:rPr>
        <w:t>and</w:t>
      </w:r>
      <w:r w:rsidR="00A97318" w:rsidRPr="00BB7B21">
        <w:rPr>
          <w:rFonts w:ascii="Arial" w:hAnsi="Arial" w:cs="Arial"/>
          <w:sz w:val="24"/>
          <w:szCs w:val="24"/>
        </w:rPr>
        <w:t xml:space="preserve"> for leave in terms of </w:t>
      </w:r>
      <w:r w:rsidR="009D0950" w:rsidRPr="00BB7B21">
        <w:rPr>
          <w:rFonts w:ascii="Arial" w:hAnsi="Arial" w:cs="Arial"/>
          <w:sz w:val="24"/>
          <w:szCs w:val="24"/>
        </w:rPr>
        <w:t>Uniform Rule 13(3), which requires that a notice given by a party in an action against any other person who is not a party to the action must be</w:t>
      </w:r>
      <w:r w:rsidR="00EF654E" w:rsidRPr="00BB7B21">
        <w:rPr>
          <w:rFonts w:ascii="Arial" w:hAnsi="Arial" w:cs="Arial"/>
          <w:sz w:val="24"/>
          <w:szCs w:val="24"/>
        </w:rPr>
        <w:t xml:space="preserve"> served</w:t>
      </w:r>
      <w:r w:rsidR="009D0950" w:rsidRPr="00BB7B21">
        <w:rPr>
          <w:rFonts w:ascii="Arial" w:hAnsi="Arial" w:cs="Arial"/>
          <w:sz w:val="24"/>
          <w:szCs w:val="24"/>
        </w:rPr>
        <w:t xml:space="preserve"> before the close of pleadings</w:t>
      </w:r>
      <w:r w:rsidR="00EF654E" w:rsidRPr="00BB7B21">
        <w:rPr>
          <w:rFonts w:ascii="Arial" w:hAnsi="Arial" w:cs="Arial"/>
          <w:sz w:val="24"/>
          <w:szCs w:val="24"/>
        </w:rPr>
        <w:t xml:space="preserve"> and</w:t>
      </w:r>
      <w:r w:rsidR="009D0950" w:rsidRPr="00BB7B21">
        <w:rPr>
          <w:rFonts w:ascii="Arial" w:hAnsi="Arial" w:cs="Arial"/>
          <w:sz w:val="24"/>
          <w:szCs w:val="24"/>
        </w:rPr>
        <w:t xml:space="preserve"> failing which such notice may be served only with the leave of the court.</w:t>
      </w:r>
    </w:p>
    <w:p w14:paraId="2207E7D0" w14:textId="751AC5A2" w:rsidR="00A97318" w:rsidRPr="00BB7B21" w:rsidRDefault="00BB7B21" w:rsidP="00BB7B21">
      <w:pPr>
        <w:spacing w:before="360" w:after="360" w:line="480" w:lineRule="auto"/>
        <w:ind w:left="624" w:right="567" w:hanging="624"/>
        <w:jc w:val="both"/>
        <w:rPr>
          <w:rFonts w:ascii="Arial" w:hAnsi="Arial" w:cs="Arial"/>
          <w:sz w:val="24"/>
          <w:szCs w:val="24"/>
        </w:rPr>
      </w:pPr>
      <w:r w:rsidRPr="00EF654E">
        <w:rPr>
          <w:rFonts w:ascii="Arial" w:hAnsi="Arial" w:cs="Arial"/>
          <w:sz w:val="24"/>
          <w:szCs w:val="24"/>
        </w:rPr>
        <w:t>55.</w:t>
      </w:r>
      <w:r w:rsidRPr="00EF654E">
        <w:rPr>
          <w:rFonts w:ascii="Arial" w:hAnsi="Arial" w:cs="Arial"/>
          <w:sz w:val="24"/>
          <w:szCs w:val="24"/>
        </w:rPr>
        <w:tab/>
      </w:r>
      <w:r w:rsidR="009D0950" w:rsidRPr="00BB7B21">
        <w:rPr>
          <w:rFonts w:ascii="Arial" w:hAnsi="Arial" w:cs="Arial"/>
          <w:sz w:val="24"/>
          <w:szCs w:val="24"/>
        </w:rPr>
        <w:t>In considering what is required for leave under section 2(4) of the Act</w:t>
      </w:r>
      <w:r w:rsidR="00086AD7" w:rsidRPr="00BB7B21">
        <w:rPr>
          <w:rFonts w:ascii="Arial" w:hAnsi="Arial" w:cs="Arial"/>
          <w:sz w:val="24"/>
          <w:szCs w:val="24"/>
        </w:rPr>
        <w:t xml:space="preserve">, </w:t>
      </w:r>
      <w:r w:rsidR="009D0950" w:rsidRPr="00BB7B21">
        <w:rPr>
          <w:rFonts w:ascii="Arial" w:hAnsi="Arial" w:cs="Arial"/>
          <w:sz w:val="24"/>
          <w:szCs w:val="24"/>
        </w:rPr>
        <w:t>the court held that the requirement of good cause in section 2(4) “</w:t>
      </w:r>
      <w:r w:rsidR="009D0950" w:rsidRPr="00BB7B21">
        <w:rPr>
          <w:rFonts w:ascii="Arial" w:hAnsi="Arial" w:cs="Arial"/>
          <w:i/>
          <w:iCs/>
          <w:sz w:val="24"/>
          <w:szCs w:val="24"/>
        </w:rPr>
        <w:t>clearly refers only to the explanation for the failure to give notice timeously</w:t>
      </w:r>
      <w:r w:rsidR="009D0950" w:rsidRPr="00BB7B21">
        <w:rPr>
          <w:rFonts w:ascii="Arial" w:hAnsi="Arial" w:cs="Arial"/>
          <w:sz w:val="24"/>
          <w:szCs w:val="24"/>
        </w:rPr>
        <w:t>” and “</w:t>
      </w:r>
      <w:r w:rsidR="00086AD7" w:rsidRPr="00BB7B21">
        <w:rPr>
          <w:rFonts w:ascii="Arial" w:hAnsi="Arial" w:cs="Arial"/>
          <w:sz w:val="24"/>
          <w:szCs w:val="24"/>
        </w:rPr>
        <w:t>[</w:t>
      </w:r>
      <w:r w:rsidR="009D0950" w:rsidRPr="00BB7B21">
        <w:rPr>
          <w:rFonts w:ascii="Arial" w:hAnsi="Arial" w:cs="Arial"/>
          <w:i/>
          <w:iCs/>
          <w:sz w:val="24"/>
          <w:szCs w:val="24"/>
        </w:rPr>
        <w:t>i</w:t>
      </w:r>
      <w:r w:rsidR="00086AD7" w:rsidRPr="00BB7B21">
        <w:rPr>
          <w:rFonts w:ascii="Arial" w:hAnsi="Arial" w:cs="Arial"/>
          <w:i/>
          <w:iCs/>
          <w:sz w:val="24"/>
          <w:szCs w:val="24"/>
        </w:rPr>
        <w:t>]</w:t>
      </w:r>
      <w:r w:rsidR="009D0950" w:rsidRPr="00BB7B21">
        <w:rPr>
          <w:rFonts w:ascii="Arial" w:hAnsi="Arial" w:cs="Arial"/>
          <w:i/>
          <w:iCs/>
          <w:sz w:val="24"/>
          <w:szCs w:val="24"/>
        </w:rPr>
        <w:t>t is thus not a provision in which that phrase is to be interpreted as requiring an applicant to furnish an explanation for a delay and to make out a prima facie case</w:t>
      </w:r>
      <w:r w:rsidR="009D0950" w:rsidRPr="00BB7B21">
        <w:rPr>
          <w:rFonts w:ascii="Arial" w:hAnsi="Arial" w:cs="Arial"/>
          <w:sz w:val="24"/>
          <w:szCs w:val="24"/>
        </w:rPr>
        <w:t>”.</w:t>
      </w:r>
      <w:r w:rsidR="00086AD7">
        <w:rPr>
          <w:rStyle w:val="FootnoteReference"/>
          <w:rFonts w:ascii="Arial" w:hAnsi="Arial" w:cs="Arial"/>
          <w:sz w:val="24"/>
          <w:szCs w:val="24"/>
        </w:rPr>
        <w:footnoteReference w:id="21"/>
      </w:r>
      <w:r w:rsidR="009D0950" w:rsidRPr="00BB7B21">
        <w:rPr>
          <w:rFonts w:ascii="Arial" w:hAnsi="Arial" w:cs="Arial"/>
          <w:sz w:val="24"/>
          <w:szCs w:val="24"/>
        </w:rPr>
        <w:t xml:space="preserve"> The court nonetheless continued</w:t>
      </w:r>
      <w:r w:rsidR="00CB42A3" w:rsidRPr="00BB7B21">
        <w:rPr>
          <w:rFonts w:ascii="Arial" w:hAnsi="Arial" w:cs="Arial"/>
          <w:sz w:val="24"/>
          <w:szCs w:val="24"/>
        </w:rPr>
        <w:t xml:space="preserve">, in relation to it being unnecessary for a </w:t>
      </w:r>
      <w:r w:rsidR="00CB42A3" w:rsidRPr="00BB7B21">
        <w:rPr>
          <w:rFonts w:ascii="Arial" w:hAnsi="Arial" w:cs="Arial"/>
          <w:i/>
          <w:iCs/>
          <w:sz w:val="24"/>
          <w:szCs w:val="24"/>
        </w:rPr>
        <w:t>prima facie</w:t>
      </w:r>
      <w:r w:rsidR="00CB42A3" w:rsidRPr="00BB7B21">
        <w:rPr>
          <w:rFonts w:ascii="Arial" w:hAnsi="Arial" w:cs="Arial"/>
          <w:sz w:val="24"/>
          <w:szCs w:val="24"/>
        </w:rPr>
        <w:t xml:space="preserve"> case to be made out,</w:t>
      </w:r>
      <w:r w:rsidR="009D0950" w:rsidRPr="00BB7B21">
        <w:rPr>
          <w:rFonts w:ascii="Arial" w:hAnsi="Arial" w:cs="Arial"/>
          <w:sz w:val="24"/>
          <w:szCs w:val="24"/>
        </w:rPr>
        <w:t xml:space="preserve"> that “</w:t>
      </w:r>
      <w:r w:rsidR="00086AD7" w:rsidRPr="00BB7B21">
        <w:rPr>
          <w:rFonts w:ascii="Arial" w:hAnsi="Arial" w:cs="Arial"/>
          <w:sz w:val="24"/>
          <w:szCs w:val="24"/>
        </w:rPr>
        <w:t>[</w:t>
      </w:r>
      <w:r w:rsidR="009D0950" w:rsidRPr="00BB7B21">
        <w:rPr>
          <w:rFonts w:ascii="Arial" w:hAnsi="Arial" w:cs="Arial"/>
          <w:i/>
          <w:iCs/>
          <w:sz w:val="24"/>
          <w:szCs w:val="24"/>
        </w:rPr>
        <w:t>i</w:t>
      </w:r>
      <w:r w:rsidR="00086AD7" w:rsidRPr="00BB7B21">
        <w:rPr>
          <w:rFonts w:ascii="Arial" w:hAnsi="Arial" w:cs="Arial"/>
          <w:i/>
          <w:iCs/>
          <w:sz w:val="24"/>
          <w:szCs w:val="24"/>
        </w:rPr>
        <w:t>]</w:t>
      </w:r>
      <w:r w:rsidR="009D0950" w:rsidRPr="00BB7B21">
        <w:rPr>
          <w:rFonts w:ascii="Arial" w:hAnsi="Arial" w:cs="Arial"/>
          <w:i/>
          <w:iCs/>
          <w:sz w:val="24"/>
          <w:szCs w:val="24"/>
        </w:rPr>
        <w:t>t seems to</w:t>
      </w:r>
      <w:r w:rsidR="00536AAD" w:rsidRPr="00BB7B21">
        <w:rPr>
          <w:rFonts w:ascii="Arial" w:hAnsi="Arial" w:cs="Arial"/>
          <w:i/>
          <w:iCs/>
          <w:sz w:val="24"/>
          <w:szCs w:val="24"/>
        </w:rPr>
        <w:t xml:space="preserve"> me </w:t>
      </w:r>
      <w:r w:rsidR="009D0950" w:rsidRPr="00BB7B21">
        <w:rPr>
          <w:rFonts w:ascii="Arial" w:hAnsi="Arial" w:cs="Arial"/>
          <w:i/>
          <w:iCs/>
          <w:sz w:val="24"/>
          <w:szCs w:val="24"/>
        </w:rPr>
        <w:t xml:space="preserve">though that it does not follow that the applicant does not have to show that the party </w:t>
      </w:r>
      <w:r w:rsidR="00086AD7" w:rsidRPr="00BB7B21">
        <w:rPr>
          <w:rFonts w:ascii="Arial" w:hAnsi="Arial" w:cs="Arial"/>
          <w:i/>
          <w:iCs/>
          <w:sz w:val="24"/>
          <w:szCs w:val="24"/>
        </w:rPr>
        <w:t xml:space="preserve">he </w:t>
      </w:r>
      <w:r w:rsidR="009D0950" w:rsidRPr="00BB7B21">
        <w:rPr>
          <w:rFonts w:ascii="Arial" w:hAnsi="Arial" w:cs="Arial"/>
          <w:i/>
          <w:iCs/>
          <w:sz w:val="24"/>
          <w:szCs w:val="24"/>
        </w:rPr>
        <w:t xml:space="preserve">wishes to sue </w:t>
      </w:r>
      <w:r w:rsidR="00086AD7" w:rsidRPr="00BB7B21">
        <w:rPr>
          <w:rFonts w:ascii="Arial" w:hAnsi="Arial" w:cs="Arial"/>
          <w:i/>
          <w:iCs/>
          <w:sz w:val="24"/>
          <w:szCs w:val="24"/>
        </w:rPr>
        <w:t>i</w:t>
      </w:r>
      <w:r w:rsidR="009D0950" w:rsidRPr="00BB7B21">
        <w:rPr>
          <w:rFonts w:ascii="Arial" w:hAnsi="Arial" w:cs="Arial"/>
          <w:i/>
          <w:iCs/>
          <w:sz w:val="24"/>
          <w:szCs w:val="24"/>
        </w:rPr>
        <w:t xml:space="preserve">s prima facie </w:t>
      </w:r>
      <w:r w:rsidR="00086AD7" w:rsidRPr="00BB7B21">
        <w:rPr>
          <w:rFonts w:ascii="Arial" w:hAnsi="Arial" w:cs="Arial"/>
          <w:i/>
          <w:iCs/>
          <w:sz w:val="24"/>
          <w:szCs w:val="24"/>
        </w:rPr>
        <w:t xml:space="preserve">a </w:t>
      </w:r>
      <w:r w:rsidR="009D0950" w:rsidRPr="00BB7B21">
        <w:rPr>
          <w:rFonts w:ascii="Arial" w:hAnsi="Arial" w:cs="Arial"/>
          <w:i/>
          <w:iCs/>
          <w:sz w:val="24"/>
          <w:szCs w:val="24"/>
        </w:rPr>
        <w:t>joint wrongdoer</w:t>
      </w:r>
      <w:r w:rsidR="009D0950" w:rsidRPr="00BB7B21">
        <w:rPr>
          <w:rFonts w:ascii="Arial" w:hAnsi="Arial" w:cs="Arial"/>
          <w:sz w:val="24"/>
          <w:szCs w:val="24"/>
        </w:rPr>
        <w:t>”</w:t>
      </w:r>
      <w:r w:rsidR="00A466D7" w:rsidRPr="00BB7B21">
        <w:rPr>
          <w:rFonts w:ascii="Arial" w:hAnsi="Arial" w:cs="Arial"/>
          <w:sz w:val="24"/>
          <w:szCs w:val="24"/>
        </w:rPr>
        <w:t>.</w:t>
      </w:r>
      <w:r w:rsidR="00086AD7">
        <w:rPr>
          <w:rStyle w:val="FootnoteReference"/>
          <w:rFonts w:ascii="Arial" w:hAnsi="Arial" w:cs="Arial"/>
          <w:sz w:val="24"/>
          <w:szCs w:val="24"/>
        </w:rPr>
        <w:footnoteReference w:id="22"/>
      </w:r>
      <w:r w:rsidR="009D0950" w:rsidRPr="00BB7B21">
        <w:rPr>
          <w:rFonts w:ascii="Arial" w:hAnsi="Arial" w:cs="Arial"/>
          <w:sz w:val="24"/>
          <w:szCs w:val="24"/>
        </w:rPr>
        <w:t xml:space="preserve"> </w:t>
      </w:r>
      <w:r w:rsidR="00FC0CC7" w:rsidRPr="00BB7B21">
        <w:rPr>
          <w:rFonts w:ascii="Arial" w:hAnsi="Arial" w:cs="Arial"/>
          <w:sz w:val="24"/>
          <w:szCs w:val="24"/>
        </w:rPr>
        <w:t>The</w:t>
      </w:r>
      <w:r w:rsidR="00086AD7" w:rsidRPr="00BB7B21">
        <w:rPr>
          <w:rFonts w:ascii="Arial" w:hAnsi="Arial" w:cs="Arial"/>
          <w:sz w:val="24"/>
          <w:szCs w:val="24"/>
        </w:rPr>
        <w:t xml:space="preserve"> court reasoned</w:t>
      </w:r>
      <w:r w:rsidR="009D0950" w:rsidRPr="00BB7B21">
        <w:rPr>
          <w:rFonts w:ascii="Arial" w:hAnsi="Arial" w:cs="Arial"/>
          <w:sz w:val="24"/>
          <w:szCs w:val="24"/>
        </w:rPr>
        <w:t xml:space="preserve"> the application can be brought </w:t>
      </w:r>
      <w:r w:rsidR="00A466D7" w:rsidRPr="00BB7B21">
        <w:rPr>
          <w:rFonts w:ascii="Arial" w:hAnsi="Arial" w:cs="Arial"/>
          <w:sz w:val="24"/>
          <w:szCs w:val="24"/>
        </w:rPr>
        <w:t xml:space="preserve">only </w:t>
      </w:r>
      <w:r w:rsidR="009D0950" w:rsidRPr="00BB7B21">
        <w:rPr>
          <w:rFonts w:ascii="Arial" w:hAnsi="Arial" w:cs="Arial"/>
          <w:sz w:val="24"/>
          <w:szCs w:val="24"/>
        </w:rPr>
        <w:t>against a person who is alleged to be a joint wrongdoer and that at the very least the applicant would have to make the necessary allegations which</w:t>
      </w:r>
      <w:r w:rsidR="00A466D7" w:rsidRPr="00BB7B21">
        <w:rPr>
          <w:rFonts w:ascii="Arial" w:hAnsi="Arial" w:cs="Arial"/>
          <w:sz w:val="24"/>
          <w:szCs w:val="24"/>
        </w:rPr>
        <w:t>,</w:t>
      </w:r>
      <w:r w:rsidR="009D0950" w:rsidRPr="00BB7B21">
        <w:rPr>
          <w:rFonts w:ascii="Arial" w:hAnsi="Arial" w:cs="Arial"/>
          <w:sz w:val="24"/>
          <w:szCs w:val="24"/>
        </w:rPr>
        <w:t xml:space="preserve"> if proven </w:t>
      </w:r>
      <w:r w:rsidR="009D0950" w:rsidRPr="00BB7B21">
        <w:rPr>
          <w:rFonts w:ascii="Arial" w:hAnsi="Arial" w:cs="Arial"/>
          <w:sz w:val="24"/>
          <w:szCs w:val="24"/>
        </w:rPr>
        <w:lastRenderedPageBreak/>
        <w:t>at trial, would show that the person is a joint wrongdoer</w:t>
      </w:r>
      <w:r w:rsidR="00086AD7" w:rsidRPr="00BB7B21">
        <w:rPr>
          <w:rFonts w:ascii="Arial" w:hAnsi="Arial" w:cs="Arial"/>
          <w:sz w:val="24"/>
          <w:szCs w:val="24"/>
        </w:rPr>
        <w:t xml:space="preserve"> as alleged</w:t>
      </w:r>
      <w:r w:rsidR="009D0950" w:rsidRPr="00BB7B21">
        <w:rPr>
          <w:rFonts w:ascii="Arial" w:hAnsi="Arial" w:cs="Arial"/>
          <w:sz w:val="24"/>
          <w:szCs w:val="24"/>
        </w:rPr>
        <w:t>, i.e</w:t>
      </w:r>
      <w:r w:rsidR="00536AAD" w:rsidRPr="00BB7B21">
        <w:rPr>
          <w:rFonts w:ascii="Arial" w:hAnsi="Arial" w:cs="Arial"/>
          <w:sz w:val="24"/>
          <w:szCs w:val="24"/>
        </w:rPr>
        <w:t xml:space="preserve">. </w:t>
      </w:r>
      <w:r w:rsidR="009D0950" w:rsidRPr="00BB7B21">
        <w:rPr>
          <w:rFonts w:ascii="Arial" w:hAnsi="Arial" w:cs="Arial"/>
          <w:sz w:val="24"/>
          <w:szCs w:val="24"/>
        </w:rPr>
        <w:t>allegations that show that the person is jointly or severally liable in delict to the plaintiff for the same damages as the defendant in the earlier action</w:t>
      </w:r>
      <w:r w:rsidR="003843ED" w:rsidRPr="00BB7B21">
        <w:rPr>
          <w:rFonts w:ascii="Arial" w:hAnsi="Arial" w:cs="Arial"/>
          <w:sz w:val="24"/>
          <w:szCs w:val="24"/>
        </w:rPr>
        <w:t>.</w:t>
      </w:r>
      <w:r w:rsidR="003843ED" w:rsidRPr="00BB7B21">
        <w:rPr>
          <w:rStyle w:val="FootnoteReference"/>
          <w:rFonts w:ascii="Arial" w:hAnsi="Arial" w:cs="Arial"/>
          <w:sz w:val="24"/>
          <w:szCs w:val="24"/>
        </w:rPr>
        <w:t xml:space="preserve"> </w:t>
      </w:r>
      <w:r w:rsidR="003843ED">
        <w:rPr>
          <w:rStyle w:val="FootnoteReference"/>
          <w:rFonts w:ascii="Arial" w:hAnsi="Arial" w:cs="Arial"/>
          <w:sz w:val="24"/>
          <w:szCs w:val="24"/>
        </w:rPr>
        <w:footnoteReference w:id="23"/>
      </w:r>
      <w:r w:rsidR="009D0950" w:rsidRPr="00BB7B21">
        <w:rPr>
          <w:rFonts w:ascii="Arial" w:hAnsi="Arial" w:cs="Arial"/>
          <w:sz w:val="24"/>
          <w:szCs w:val="24"/>
        </w:rPr>
        <w:t xml:space="preserve"> </w:t>
      </w:r>
      <w:r w:rsidR="003843ED" w:rsidRPr="00BB7B21">
        <w:rPr>
          <w:rFonts w:ascii="Arial" w:hAnsi="Arial" w:cs="Arial"/>
          <w:sz w:val="24"/>
          <w:szCs w:val="24"/>
        </w:rPr>
        <w:t xml:space="preserve">The court referred to and </w:t>
      </w:r>
      <w:r w:rsidR="009D0950" w:rsidRPr="00BB7B21">
        <w:rPr>
          <w:rFonts w:ascii="Arial" w:hAnsi="Arial" w:cs="Arial"/>
          <w:sz w:val="24"/>
          <w:szCs w:val="24"/>
        </w:rPr>
        <w:t>adopt</w:t>
      </w:r>
      <w:r w:rsidR="003843ED" w:rsidRPr="00BB7B21">
        <w:rPr>
          <w:rFonts w:ascii="Arial" w:hAnsi="Arial" w:cs="Arial"/>
          <w:sz w:val="24"/>
          <w:szCs w:val="24"/>
        </w:rPr>
        <w:t>ed</w:t>
      </w:r>
      <w:r w:rsidR="009D0950" w:rsidRPr="00BB7B21">
        <w:rPr>
          <w:rFonts w:ascii="Arial" w:hAnsi="Arial" w:cs="Arial"/>
          <w:sz w:val="24"/>
          <w:szCs w:val="24"/>
        </w:rPr>
        <w:t xml:space="preserve"> the position in </w:t>
      </w:r>
      <w:r w:rsidR="009D0950" w:rsidRPr="00BB7B21">
        <w:rPr>
          <w:rFonts w:ascii="Arial" w:hAnsi="Arial" w:cs="Arial"/>
          <w:i/>
          <w:iCs/>
          <w:sz w:val="24"/>
          <w:szCs w:val="24"/>
        </w:rPr>
        <w:t>Lincoln</w:t>
      </w:r>
      <w:r w:rsidR="003843ED" w:rsidRPr="00BB7B21">
        <w:rPr>
          <w:rFonts w:ascii="Arial" w:hAnsi="Arial" w:cs="Arial"/>
          <w:sz w:val="24"/>
          <w:szCs w:val="24"/>
        </w:rPr>
        <w:t xml:space="preserve"> that the plaintiff must show that the person is </w:t>
      </w:r>
      <w:r w:rsidR="003843ED" w:rsidRPr="00BB7B21">
        <w:rPr>
          <w:rFonts w:ascii="Arial" w:hAnsi="Arial" w:cs="Arial"/>
          <w:i/>
          <w:iCs/>
          <w:sz w:val="24"/>
          <w:szCs w:val="24"/>
        </w:rPr>
        <w:t>prima facie</w:t>
      </w:r>
      <w:r w:rsidR="003843ED" w:rsidRPr="00BB7B21">
        <w:rPr>
          <w:rFonts w:ascii="Arial" w:hAnsi="Arial" w:cs="Arial"/>
          <w:sz w:val="24"/>
          <w:szCs w:val="24"/>
        </w:rPr>
        <w:t xml:space="preserve"> a joint wrongdoer.</w:t>
      </w:r>
    </w:p>
    <w:p w14:paraId="74EAA1F8" w14:textId="6F4D53E7" w:rsidR="003843ED"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56.</w:t>
      </w:r>
      <w:r>
        <w:rPr>
          <w:rFonts w:ascii="Arial" w:hAnsi="Arial" w:cs="Arial"/>
          <w:sz w:val="24"/>
          <w:szCs w:val="24"/>
        </w:rPr>
        <w:tab/>
      </w:r>
      <w:r w:rsidR="003843ED" w:rsidRPr="00BB7B21">
        <w:rPr>
          <w:rFonts w:ascii="Arial" w:hAnsi="Arial" w:cs="Arial"/>
          <w:sz w:val="24"/>
          <w:szCs w:val="24"/>
        </w:rPr>
        <w:t xml:space="preserve">The court in </w:t>
      </w:r>
      <w:r w:rsidR="003843ED" w:rsidRPr="00BB7B21">
        <w:rPr>
          <w:rFonts w:ascii="Arial" w:hAnsi="Arial" w:cs="Arial"/>
          <w:i/>
          <w:iCs/>
          <w:sz w:val="24"/>
          <w:szCs w:val="24"/>
        </w:rPr>
        <w:t>Wapnick</w:t>
      </w:r>
      <w:r w:rsidR="003843ED" w:rsidRPr="00BB7B21">
        <w:rPr>
          <w:rFonts w:ascii="Arial" w:hAnsi="Arial" w:cs="Arial"/>
          <w:sz w:val="24"/>
          <w:szCs w:val="24"/>
        </w:rPr>
        <w:t xml:space="preserve"> also pointed out that </w:t>
      </w:r>
      <w:r w:rsidR="00EF293A" w:rsidRPr="00BB7B21">
        <w:rPr>
          <w:rFonts w:ascii="Arial" w:hAnsi="Arial" w:cs="Arial"/>
          <w:sz w:val="24"/>
          <w:szCs w:val="24"/>
        </w:rPr>
        <w:t>in contrast to</w:t>
      </w:r>
      <w:r w:rsidR="003843ED" w:rsidRPr="00BB7B21">
        <w:rPr>
          <w:rFonts w:ascii="Arial" w:hAnsi="Arial" w:cs="Arial"/>
          <w:sz w:val="24"/>
          <w:szCs w:val="24"/>
        </w:rPr>
        <w:t xml:space="preserve"> leave that</w:t>
      </w:r>
      <w:r w:rsidR="004376F2" w:rsidRPr="00BB7B21">
        <w:rPr>
          <w:rFonts w:ascii="Arial" w:hAnsi="Arial" w:cs="Arial"/>
          <w:sz w:val="24"/>
          <w:szCs w:val="24"/>
        </w:rPr>
        <w:t xml:space="preserve"> may be granted</w:t>
      </w:r>
      <w:r w:rsidR="003843ED" w:rsidRPr="00BB7B21">
        <w:rPr>
          <w:rFonts w:ascii="Arial" w:hAnsi="Arial" w:cs="Arial"/>
          <w:sz w:val="24"/>
          <w:szCs w:val="24"/>
        </w:rPr>
        <w:t xml:space="preserve"> in terms of Uniform Rule 13(3)(b) merely on good cause shown</w:t>
      </w:r>
      <w:r w:rsidR="004376F2" w:rsidRPr="00BB7B21">
        <w:rPr>
          <w:rFonts w:ascii="Arial" w:hAnsi="Arial" w:cs="Arial"/>
          <w:sz w:val="24"/>
          <w:szCs w:val="24"/>
        </w:rPr>
        <w:t xml:space="preserve"> and without</w:t>
      </w:r>
      <w:r w:rsidR="00C8157E" w:rsidRPr="00BB7B21">
        <w:rPr>
          <w:rFonts w:ascii="Arial" w:hAnsi="Arial" w:cs="Arial"/>
          <w:sz w:val="24"/>
          <w:szCs w:val="24"/>
        </w:rPr>
        <w:t xml:space="preserve"> the sub-rule</w:t>
      </w:r>
      <w:r w:rsidR="004376F2" w:rsidRPr="00BB7B21">
        <w:rPr>
          <w:rFonts w:ascii="Arial" w:hAnsi="Arial" w:cs="Arial"/>
          <w:sz w:val="24"/>
          <w:szCs w:val="24"/>
        </w:rPr>
        <w:t xml:space="preserve"> indicating a basis upon which a court should exercise its discretion</w:t>
      </w:r>
      <w:r w:rsidR="003843ED" w:rsidRPr="00BB7B21">
        <w:rPr>
          <w:rFonts w:ascii="Arial" w:hAnsi="Arial" w:cs="Arial"/>
          <w:sz w:val="24"/>
          <w:szCs w:val="24"/>
        </w:rPr>
        <w:t>,</w:t>
      </w:r>
      <w:r w:rsidR="004376F2">
        <w:rPr>
          <w:rStyle w:val="FootnoteReference"/>
          <w:rFonts w:ascii="Arial" w:hAnsi="Arial" w:cs="Arial"/>
          <w:sz w:val="24"/>
          <w:szCs w:val="24"/>
        </w:rPr>
        <w:footnoteReference w:id="24"/>
      </w:r>
      <w:r w:rsidR="003843ED" w:rsidRPr="00BB7B21">
        <w:rPr>
          <w:rFonts w:ascii="Arial" w:hAnsi="Arial" w:cs="Arial"/>
          <w:sz w:val="24"/>
          <w:szCs w:val="24"/>
        </w:rPr>
        <w:t xml:space="preserve"> section 2(4) specifically refers to good cause shown as to why notice was not given.</w:t>
      </w:r>
      <w:r w:rsidR="00CB42A3">
        <w:rPr>
          <w:rStyle w:val="FootnoteReference"/>
          <w:rFonts w:ascii="Arial" w:hAnsi="Arial" w:cs="Arial"/>
          <w:sz w:val="24"/>
          <w:szCs w:val="24"/>
        </w:rPr>
        <w:footnoteReference w:id="25"/>
      </w:r>
      <w:r w:rsidR="00CB42A3" w:rsidRPr="00BB7B21">
        <w:rPr>
          <w:rFonts w:ascii="Arial" w:hAnsi="Arial" w:cs="Arial"/>
          <w:sz w:val="24"/>
          <w:szCs w:val="24"/>
        </w:rPr>
        <w:t xml:space="preserve"> As was the position in </w:t>
      </w:r>
      <w:r w:rsidR="00CB42A3" w:rsidRPr="00BB7B21">
        <w:rPr>
          <w:rFonts w:ascii="Arial" w:hAnsi="Arial" w:cs="Arial"/>
          <w:i/>
          <w:iCs/>
          <w:sz w:val="24"/>
          <w:szCs w:val="24"/>
        </w:rPr>
        <w:t>Lincoln</w:t>
      </w:r>
      <w:r w:rsidR="00CB42A3" w:rsidRPr="00BB7B21">
        <w:rPr>
          <w:rFonts w:ascii="Arial" w:hAnsi="Arial" w:cs="Arial"/>
          <w:sz w:val="24"/>
          <w:szCs w:val="24"/>
        </w:rPr>
        <w:t xml:space="preserve">, there must be a satisfactory </w:t>
      </w:r>
      <w:r w:rsidR="00F81BFD" w:rsidRPr="00BB7B21">
        <w:rPr>
          <w:rFonts w:ascii="Arial" w:hAnsi="Arial" w:cs="Arial"/>
          <w:sz w:val="24"/>
          <w:szCs w:val="24"/>
        </w:rPr>
        <w:t>explanation</w:t>
      </w:r>
      <w:r w:rsidR="00CB42A3" w:rsidRPr="00BB7B21">
        <w:rPr>
          <w:rFonts w:ascii="Arial" w:hAnsi="Arial" w:cs="Arial"/>
          <w:sz w:val="24"/>
          <w:szCs w:val="24"/>
        </w:rPr>
        <w:t xml:space="preserve"> why notice was not given.</w:t>
      </w:r>
    </w:p>
    <w:p w14:paraId="6A6FCA5E" w14:textId="2C63EADE" w:rsidR="009D0950"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57.</w:t>
      </w:r>
      <w:r>
        <w:rPr>
          <w:rFonts w:ascii="Arial" w:hAnsi="Arial" w:cs="Arial"/>
          <w:sz w:val="24"/>
          <w:szCs w:val="24"/>
        </w:rPr>
        <w:tab/>
      </w:r>
      <w:r w:rsidR="009D0950" w:rsidRPr="00BB7B21">
        <w:rPr>
          <w:rFonts w:ascii="Arial" w:hAnsi="Arial" w:cs="Arial"/>
          <w:sz w:val="24"/>
          <w:szCs w:val="24"/>
        </w:rPr>
        <w:t xml:space="preserve">In the present instance, there is no difficulty that Mr Hussey is </w:t>
      </w:r>
      <w:r w:rsidR="009D0950" w:rsidRPr="00BB7B21">
        <w:rPr>
          <w:rFonts w:ascii="Arial" w:hAnsi="Arial" w:cs="Arial"/>
          <w:i/>
          <w:iCs/>
          <w:sz w:val="24"/>
          <w:szCs w:val="24"/>
        </w:rPr>
        <w:t>prima facie</w:t>
      </w:r>
      <w:r w:rsidR="009D0950" w:rsidRPr="00BB7B21">
        <w:rPr>
          <w:rFonts w:ascii="Arial" w:hAnsi="Arial" w:cs="Arial"/>
          <w:sz w:val="24"/>
          <w:szCs w:val="24"/>
        </w:rPr>
        <w:t xml:space="preserve"> a joint wrongdoer and that sufficient averments have been made out which i</w:t>
      </w:r>
      <w:r w:rsidR="004376F2" w:rsidRPr="00BB7B21">
        <w:rPr>
          <w:rFonts w:ascii="Arial" w:hAnsi="Arial" w:cs="Arial"/>
          <w:sz w:val="24"/>
          <w:szCs w:val="24"/>
        </w:rPr>
        <w:t>f</w:t>
      </w:r>
      <w:r w:rsidR="009D0950" w:rsidRPr="00BB7B21">
        <w:rPr>
          <w:rFonts w:ascii="Arial" w:hAnsi="Arial" w:cs="Arial"/>
          <w:sz w:val="24"/>
          <w:szCs w:val="24"/>
        </w:rPr>
        <w:t xml:space="preserve"> proved </w:t>
      </w:r>
      <w:r w:rsidR="00C8157E" w:rsidRPr="00BB7B21">
        <w:rPr>
          <w:rFonts w:ascii="Arial" w:hAnsi="Arial" w:cs="Arial"/>
          <w:sz w:val="24"/>
          <w:szCs w:val="24"/>
        </w:rPr>
        <w:t xml:space="preserve">at trial </w:t>
      </w:r>
      <w:r w:rsidR="009D0950" w:rsidRPr="00BB7B21">
        <w:rPr>
          <w:rFonts w:ascii="Arial" w:hAnsi="Arial" w:cs="Arial"/>
          <w:sz w:val="24"/>
          <w:szCs w:val="24"/>
        </w:rPr>
        <w:t xml:space="preserve">would demonstrate that he is a joint wrongdoer. In the present instance, the plaintiff has pleaded in his particulars of claim </w:t>
      </w:r>
      <w:r w:rsidR="00C8157E" w:rsidRPr="00BB7B21">
        <w:rPr>
          <w:rFonts w:ascii="Arial" w:hAnsi="Arial" w:cs="Arial"/>
          <w:sz w:val="24"/>
          <w:szCs w:val="24"/>
        </w:rPr>
        <w:t xml:space="preserve">in the second action </w:t>
      </w:r>
      <w:r w:rsidR="009D0950" w:rsidRPr="00BB7B21">
        <w:rPr>
          <w:rFonts w:ascii="Arial" w:hAnsi="Arial" w:cs="Arial"/>
          <w:sz w:val="24"/>
          <w:szCs w:val="24"/>
        </w:rPr>
        <w:t>why Mr Hussey would be a joint wrongdoer in respect of the los</w:t>
      </w:r>
      <w:r w:rsidR="00A466D7" w:rsidRPr="00BB7B21">
        <w:rPr>
          <w:rFonts w:ascii="Arial" w:hAnsi="Arial" w:cs="Arial"/>
          <w:sz w:val="24"/>
          <w:szCs w:val="24"/>
        </w:rPr>
        <w:t>s</w:t>
      </w:r>
      <w:r w:rsidR="009D0950" w:rsidRPr="00BB7B21">
        <w:rPr>
          <w:rFonts w:ascii="Arial" w:hAnsi="Arial" w:cs="Arial"/>
          <w:sz w:val="24"/>
          <w:szCs w:val="24"/>
        </w:rPr>
        <w:t xml:space="preserve">-causing event of the mirror ball falling from the ceiling and striking the plaintiff’s head. Mr Hussey is described as the civil </w:t>
      </w:r>
      <w:r w:rsidR="00536AAD" w:rsidRPr="00BB7B21">
        <w:rPr>
          <w:rFonts w:ascii="Arial" w:hAnsi="Arial" w:cs="Arial"/>
          <w:sz w:val="24"/>
          <w:szCs w:val="24"/>
        </w:rPr>
        <w:t xml:space="preserve">and </w:t>
      </w:r>
      <w:r w:rsidR="009D0950" w:rsidRPr="00BB7B21">
        <w:rPr>
          <w:rFonts w:ascii="Arial" w:hAnsi="Arial" w:cs="Arial"/>
          <w:sz w:val="24"/>
          <w:szCs w:val="24"/>
        </w:rPr>
        <w:t>structur</w:t>
      </w:r>
      <w:r w:rsidR="00536AAD" w:rsidRPr="00BB7B21">
        <w:rPr>
          <w:rFonts w:ascii="Arial" w:hAnsi="Arial" w:cs="Arial"/>
          <w:sz w:val="24"/>
          <w:szCs w:val="24"/>
        </w:rPr>
        <w:t xml:space="preserve">al </w:t>
      </w:r>
      <w:r w:rsidR="009D0950" w:rsidRPr="00BB7B21">
        <w:rPr>
          <w:rFonts w:ascii="Arial" w:hAnsi="Arial" w:cs="Arial"/>
          <w:sz w:val="24"/>
          <w:szCs w:val="24"/>
        </w:rPr>
        <w:t xml:space="preserve">consulting engineer whose duty it was, </w:t>
      </w:r>
      <w:r w:rsidR="009D0950" w:rsidRPr="00BB7B21">
        <w:rPr>
          <w:rFonts w:ascii="Arial" w:hAnsi="Arial" w:cs="Arial"/>
          <w:i/>
          <w:iCs/>
          <w:sz w:val="24"/>
          <w:szCs w:val="24"/>
        </w:rPr>
        <w:t>inter alia</w:t>
      </w:r>
      <w:r w:rsidR="009D0950" w:rsidRPr="00BB7B21">
        <w:rPr>
          <w:rFonts w:ascii="Arial" w:hAnsi="Arial" w:cs="Arial"/>
          <w:sz w:val="24"/>
          <w:szCs w:val="24"/>
        </w:rPr>
        <w:t xml:space="preserve">, to take the necessary precautions to ensure that the mirror ball was safely erected. That Mr </w:t>
      </w:r>
      <w:r w:rsidR="001A32DB" w:rsidRPr="00BB7B21">
        <w:rPr>
          <w:rFonts w:ascii="Arial" w:hAnsi="Arial" w:cs="Arial"/>
          <w:sz w:val="24"/>
          <w:szCs w:val="24"/>
        </w:rPr>
        <w:t>Hussey</w:t>
      </w:r>
      <w:r w:rsidR="009D0950" w:rsidRPr="00BB7B21">
        <w:rPr>
          <w:rFonts w:ascii="Arial" w:hAnsi="Arial" w:cs="Arial"/>
          <w:sz w:val="24"/>
          <w:szCs w:val="24"/>
        </w:rPr>
        <w:t xml:space="preserve"> is </w:t>
      </w:r>
      <w:r w:rsidR="009D0950" w:rsidRPr="00BB7B21">
        <w:rPr>
          <w:rFonts w:ascii="Arial" w:hAnsi="Arial" w:cs="Arial"/>
          <w:i/>
          <w:iCs/>
          <w:sz w:val="24"/>
          <w:szCs w:val="24"/>
        </w:rPr>
        <w:t>prima facie</w:t>
      </w:r>
      <w:r w:rsidR="009D0950" w:rsidRPr="00BB7B21">
        <w:rPr>
          <w:rFonts w:ascii="Arial" w:hAnsi="Arial" w:cs="Arial"/>
          <w:sz w:val="24"/>
          <w:szCs w:val="24"/>
        </w:rPr>
        <w:t xml:space="preserve"> a joint wrongdoer is also evidenced by the </w:t>
      </w:r>
      <w:r w:rsidR="009D0950" w:rsidRPr="00BB7B21">
        <w:rPr>
          <w:rFonts w:ascii="Arial" w:hAnsi="Arial" w:cs="Arial"/>
          <w:sz w:val="24"/>
          <w:szCs w:val="24"/>
        </w:rPr>
        <w:lastRenderedPageBreak/>
        <w:t xml:space="preserve">defendants in the first action having issued third party notices in that action against Mr Hussey as well as the first defendant in the second action likewise doing so. </w:t>
      </w:r>
    </w:p>
    <w:p w14:paraId="1FFFB163" w14:textId="28839720" w:rsidR="00C85F2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58.</w:t>
      </w:r>
      <w:r>
        <w:rPr>
          <w:rFonts w:ascii="Arial" w:hAnsi="Arial" w:cs="Arial"/>
          <w:sz w:val="24"/>
          <w:szCs w:val="24"/>
        </w:rPr>
        <w:tab/>
      </w:r>
      <w:r w:rsidR="00C85F2F" w:rsidRPr="00BB7B21">
        <w:rPr>
          <w:rFonts w:ascii="Arial" w:hAnsi="Arial" w:cs="Arial"/>
          <w:sz w:val="24"/>
          <w:szCs w:val="24"/>
        </w:rPr>
        <w:t xml:space="preserve">Although there is </w:t>
      </w:r>
      <w:r w:rsidR="00FC0CC7" w:rsidRPr="00BB7B21">
        <w:rPr>
          <w:rFonts w:ascii="Arial" w:hAnsi="Arial" w:cs="Arial"/>
          <w:sz w:val="24"/>
          <w:szCs w:val="24"/>
        </w:rPr>
        <w:t>a suggestion</w:t>
      </w:r>
      <w:r w:rsidR="00C85F2F" w:rsidRPr="00BB7B21">
        <w:rPr>
          <w:rFonts w:ascii="Arial" w:hAnsi="Arial" w:cs="Arial"/>
          <w:sz w:val="24"/>
          <w:szCs w:val="24"/>
        </w:rPr>
        <w:t xml:space="preserve"> in</w:t>
      </w:r>
      <w:r w:rsidR="00C85F2F" w:rsidRPr="00BB7B21">
        <w:rPr>
          <w:rFonts w:ascii="Arial" w:hAnsi="Arial" w:cs="Arial"/>
          <w:i/>
          <w:iCs/>
          <w:sz w:val="24"/>
          <w:szCs w:val="24"/>
        </w:rPr>
        <w:t xml:space="preserve"> Wapnick</w:t>
      </w:r>
      <w:r w:rsidR="00A221B7" w:rsidRPr="00BB7B21">
        <w:rPr>
          <w:rFonts w:ascii="Arial" w:hAnsi="Arial" w:cs="Arial"/>
          <w:sz w:val="24"/>
          <w:szCs w:val="24"/>
        </w:rPr>
        <w:t>, a decision of a different Division</w:t>
      </w:r>
      <w:r w:rsidR="00540EC1" w:rsidRPr="00BB7B21">
        <w:rPr>
          <w:rFonts w:ascii="Arial" w:hAnsi="Arial" w:cs="Arial"/>
          <w:sz w:val="24"/>
          <w:szCs w:val="24"/>
        </w:rPr>
        <w:t xml:space="preserve"> to this Gauteng Divisi</w:t>
      </w:r>
      <w:r w:rsidR="0063620E" w:rsidRPr="00BB7B21">
        <w:rPr>
          <w:rFonts w:ascii="Arial" w:hAnsi="Arial" w:cs="Arial"/>
          <w:sz w:val="24"/>
          <w:szCs w:val="24"/>
        </w:rPr>
        <w:t>o</w:t>
      </w:r>
      <w:r w:rsidR="00540EC1" w:rsidRPr="00BB7B21">
        <w:rPr>
          <w:rFonts w:ascii="Arial" w:hAnsi="Arial" w:cs="Arial"/>
          <w:sz w:val="24"/>
          <w:szCs w:val="24"/>
        </w:rPr>
        <w:t>n</w:t>
      </w:r>
      <w:r w:rsidR="00A221B7" w:rsidRPr="00BB7B21">
        <w:rPr>
          <w:rFonts w:ascii="Arial" w:hAnsi="Arial" w:cs="Arial"/>
          <w:sz w:val="24"/>
          <w:szCs w:val="24"/>
        </w:rPr>
        <w:t xml:space="preserve">, </w:t>
      </w:r>
      <w:r w:rsidR="00C85F2F" w:rsidRPr="00BB7B21">
        <w:rPr>
          <w:rFonts w:ascii="Arial" w:hAnsi="Arial" w:cs="Arial"/>
          <w:sz w:val="24"/>
          <w:szCs w:val="24"/>
        </w:rPr>
        <w:t xml:space="preserve">that in seeking leave under section 2(4) </w:t>
      </w:r>
      <w:r w:rsidR="00540EC1" w:rsidRPr="00BB7B21">
        <w:rPr>
          <w:rFonts w:ascii="Arial" w:hAnsi="Arial" w:cs="Arial"/>
          <w:sz w:val="24"/>
          <w:szCs w:val="24"/>
        </w:rPr>
        <w:t>a</w:t>
      </w:r>
      <w:r w:rsidR="00C85F2F" w:rsidRPr="00BB7B21">
        <w:rPr>
          <w:rFonts w:ascii="Arial" w:hAnsi="Arial" w:cs="Arial"/>
          <w:sz w:val="24"/>
          <w:szCs w:val="24"/>
        </w:rPr>
        <w:t xml:space="preserve"> plaintiff </w:t>
      </w:r>
      <w:r w:rsidR="00FC0CC7" w:rsidRPr="00BB7B21">
        <w:rPr>
          <w:rFonts w:ascii="Arial" w:hAnsi="Arial" w:cs="Arial"/>
          <w:sz w:val="24"/>
          <w:szCs w:val="24"/>
        </w:rPr>
        <w:t>might</w:t>
      </w:r>
      <w:r w:rsidR="00C85F2F" w:rsidRPr="00BB7B21">
        <w:rPr>
          <w:rFonts w:ascii="Arial" w:hAnsi="Arial" w:cs="Arial"/>
          <w:sz w:val="24"/>
          <w:szCs w:val="24"/>
        </w:rPr>
        <w:t xml:space="preserve"> not </w:t>
      </w:r>
      <w:r w:rsidR="00FC0CC7" w:rsidRPr="00BB7B21">
        <w:rPr>
          <w:rFonts w:ascii="Arial" w:hAnsi="Arial" w:cs="Arial"/>
          <w:sz w:val="24"/>
          <w:szCs w:val="24"/>
        </w:rPr>
        <w:t xml:space="preserve">have to </w:t>
      </w:r>
      <w:r w:rsidR="00C85F2F" w:rsidRPr="00BB7B21">
        <w:rPr>
          <w:rFonts w:ascii="Arial" w:hAnsi="Arial" w:cs="Arial"/>
          <w:sz w:val="24"/>
          <w:szCs w:val="24"/>
        </w:rPr>
        <w:t>furnish an explanation for a delay</w:t>
      </w:r>
      <w:r w:rsidR="006C75CF" w:rsidRPr="00BB7B21">
        <w:rPr>
          <w:rFonts w:ascii="Arial" w:hAnsi="Arial" w:cs="Arial"/>
          <w:sz w:val="24"/>
          <w:szCs w:val="24"/>
        </w:rPr>
        <w:t>,</w:t>
      </w:r>
      <w:r w:rsidR="00C85F2F" w:rsidRPr="006C75CF">
        <w:rPr>
          <w:rStyle w:val="FootnoteReference"/>
          <w:rFonts w:ascii="Arial" w:hAnsi="Arial" w:cs="Arial"/>
          <w:sz w:val="24"/>
          <w:szCs w:val="24"/>
        </w:rPr>
        <w:footnoteReference w:id="26"/>
      </w:r>
      <w:r w:rsidR="00A221B7" w:rsidRPr="00BB7B21">
        <w:rPr>
          <w:rFonts w:ascii="Arial" w:hAnsi="Arial" w:cs="Arial"/>
          <w:sz w:val="24"/>
          <w:szCs w:val="24"/>
        </w:rPr>
        <w:t xml:space="preserve"> </w:t>
      </w:r>
      <w:r w:rsidR="006C75CF" w:rsidRPr="00BB7B21">
        <w:rPr>
          <w:rFonts w:ascii="Arial" w:hAnsi="Arial" w:cs="Arial"/>
          <w:sz w:val="24"/>
          <w:szCs w:val="24"/>
        </w:rPr>
        <w:t xml:space="preserve">in my view that was </w:t>
      </w:r>
      <w:r w:rsidR="006C75CF" w:rsidRPr="00BB7B21">
        <w:rPr>
          <w:rFonts w:ascii="Arial" w:hAnsi="Arial" w:cs="Arial"/>
          <w:i/>
          <w:iCs/>
          <w:sz w:val="24"/>
          <w:szCs w:val="24"/>
        </w:rPr>
        <w:t xml:space="preserve">obiter </w:t>
      </w:r>
      <w:r w:rsidR="006C75CF" w:rsidRPr="00BB7B21">
        <w:rPr>
          <w:rFonts w:ascii="Arial" w:hAnsi="Arial" w:cs="Arial"/>
          <w:sz w:val="24"/>
          <w:szCs w:val="24"/>
        </w:rPr>
        <w:t>as the court found that the plaintiff had no</w:t>
      </w:r>
      <w:r w:rsidR="00A221B7" w:rsidRPr="00BB7B21">
        <w:rPr>
          <w:rFonts w:ascii="Arial" w:hAnsi="Arial" w:cs="Arial"/>
          <w:sz w:val="24"/>
          <w:szCs w:val="24"/>
        </w:rPr>
        <w:t>t</w:t>
      </w:r>
      <w:r w:rsidR="006C75CF" w:rsidRPr="00BB7B21">
        <w:rPr>
          <w:rFonts w:ascii="Arial" w:hAnsi="Arial" w:cs="Arial"/>
          <w:sz w:val="24"/>
          <w:szCs w:val="24"/>
        </w:rPr>
        <w:t xml:space="preserve"> shown on good cause why leave should be granted on the basis that he had not made the necessary averments that if proven at trial would show the further party to be a joint wrongdoer,</w:t>
      </w:r>
      <w:r w:rsidR="006C75CF">
        <w:rPr>
          <w:rStyle w:val="FootnoteReference"/>
          <w:rFonts w:ascii="Arial" w:hAnsi="Arial" w:cs="Arial"/>
          <w:sz w:val="24"/>
          <w:szCs w:val="24"/>
        </w:rPr>
        <w:footnoteReference w:id="27"/>
      </w:r>
      <w:r w:rsidR="006C75CF" w:rsidRPr="00BB7B21">
        <w:rPr>
          <w:rFonts w:ascii="Arial" w:hAnsi="Arial" w:cs="Arial"/>
          <w:sz w:val="24"/>
          <w:szCs w:val="24"/>
        </w:rPr>
        <w:t xml:space="preserve"> and not because </w:t>
      </w:r>
      <w:r w:rsidR="00A221B7" w:rsidRPr="00BB7B21">
        <w:rPr>
          <w:rFonts w:ascii="Arial" w:hAnsi="Arial" w:cs="Arial"/>
          <w:sz w:val="24"/>
          <w:szCs w:val="24"/>
        </w:rPr>
        <w:t xml:space="preserve">of a </w:t>
      </w:r>
      <w:r w:rsidR="006C75CF" w:rsidRPr="00BB7B21">
        <w:rPr>
          <w:rFonts w:ascii="Arial" w:hAnsi="Arial" w:cs="Arial"/>
          <w:sz w:val="24"/>
          <w:szCs w:val="24"/>
        </w:rPr>
        <w:t>failure to explain the delay. As explained earlier in</w:t>
      </w:r>
      <w:r w:rsidR="00A221B7" w:rsidRPr="00BB7B21">
        <w:rPr>
          <w:rFonts w:ascii="Arial" w:hAnsi="Arial" w:cs="Arial"/>
          <w:sz w:val="24"/>
          <w:szCs w:val="24"/>
        </w:rPr>
        <w:t xml:space="preserve"> this</w:t>
      </w:r>
      <w:r w:rsidR="00540EC1" w:rsidRPr="00BB7B21">
        <w:rPr>
          <w:rFonts w:ascii="Arial" w:hAnsi="Arial" w:cs="Arial"/>
          <w:sz w:val="24"/>
          <w:szCs w:val="24"/>
        </w:rPr>
        <w:t xml:space="preserve"> </w:t>
      </w:r>
      <w:r w:rsidR="006C75CF" w:rsidRPr="00BB7B21">
        <w:rPr>
          <w:rFonts w:ascii="Arial" w:hAnsi="Arial" w:cs="Arial"/>
          <w:sz w:val="24"/>
          <w:szCs w:val="24"/>
        </w:rPr>
        <w:t>judgment, the delay in asking for the leave after the further action had already been instituted, rather than before, and any prejudice that it may cause the joint wrongdoer, is a factor to be taken into account.</w:t>
      </w:r>
    </w:p>
    <w:p w14:paraId="29D19385" w14:textId="1040BF42" w:rsidR="00A221B7" w:rsidRPr="00BB7B21" w:rsidRDefault="00BB7B21" w:rsidP="00BB7B21">
      <w:pPr>
        <w:spacing w:before="360" w:after="360" w:line="480" w:lineRule="auto"/>
        <w:ind w:left="624" w:right="567" w:hanging="624"/>
        <w:jc w:val="both"/>
        <w:rPr>
          <w:rFonts w:ascii="Arial" w:hAnsi="Arial" w:cs="Arial"/>
          <w:sz w:val="24"/>
          <w:szCs w:val="24"/>
        </w:rPr>
      </w:pPr>
      <w:r w:rsidRPr="00A221B7">
        <w:rPr>
          <w:rFonts w:ascii="Arial" w:hAnsi="Arial" w:cs="Arial"/>
          <w:sz w:val="24"/>
          <w:szCs w:val="24"/>
        </w:rPr>
        <w:t>59.</w:t>
      </w:r>
      <w:r w:rsidRPr="00A221B7">
        <w:rPr>
          <w:rFonts w:ascii="Arial" w:hAnsi="Arial" w:cs="Arial"/>
          <w:sz w:val="24"/>
          <w:szCs w:val="24"/>
        </w:rPr>
        <w:tab/>
      </w:r>
      <w:r w:rsidR="00A466D7" w:rsidRPr="00BB7B21">
        <w:rPr>
          <w:rFonts w:ascii="Arial" w:hAnsi="Arial" w:cs="Arial"/>
          <w:sz w:val="24"/>
          <w:szCs w:val="24"/>
        </w:rPr>
        <w:t xml:space="preserve">I now turn </w:t>
      </w:r>
      <w:r w:rsidR="00A221B7" w:rsidRPr="00BB7B21">
        <w:rPr>
          <w:rFonts w:ascii="Arial" w:hAnsi="Arial" w:cs="Arial"/>
          <w:sz w:val="24"/>
          <w:szCs w:val="24"/>
        </w:rPr>
        <w:t>to the plaintiff’s explanation as to why notice was not given in the first instance in terms of section 2(2), and then why there was a delay in bringing this application seeking leave in terms of section 2(4)</w:t>
      </w:r>
      <w:r w:rsidR="00540EC1" w:rsidRPr="00BB7B21">
        <w:rPr>
          <w:rFonts w:ascii="Arial" w:hAnsi="Arial" w:cs="Arial"/>
          <w:sz w:val="24"/>
          <w:szCs w:val="24"/>
        </w:rPr>
        <w:t xml:space="preserve"> until after the institution of the further action</w:t>
      </w:r>
      <w:r w:rsidR="00A221B7" w:rsidRPr="00BB7B21">
        <w:rPr>
          <w:rFonts w:ascii="Arial" w:hAnsi="Arial" w:cs="Arial"/>
          <w:sz w:val="24"/>
          <w:szCs w:val="24"/>
        </w:rPr>
        <w:t xml:space="preserve">. </w:t>
      </w:r>
    </w:p>
    <w:p w14:paraId="6BF81AF3" w14:textId="2125DF10" w:rsidR="009D0950"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60.</w:t>
      </w:r>
      <w:r>
        <w:rPr>
          <w:rFonts w:ascii="Arial" w:hAnsi="Arial" w:cs="Arial"/>
          <w:sz w:val="24"/>
          <w:szCs w:val="24"/>
        </w:rPr>
        <w:tab/>
      </w:r>
      <w:r w:rsidR="009D0950" w:rsidRPr="00BB7B21">
        <w:rPr>
          <w:rFonts w:ascii="Arial" w:hAnsi="Arial" w:cs="Arial"/>
          <w:sz w:val="24"/>
          <w:szCs w:val="24"/>
        </w:rPr>
        <w:t xml:space="preserve">As appears </w:t>
      </w:r>
      <w:r w:rsidR="0063620E" w:rsidRPr="00BB7B21">
        <w:rPr>
          <w:rFonts w:ascii="Arial" w:hAnsi="Arial" w:cs="Arial"/>
          <w:sz w:val="24"/>
          <w:szCs w:val="24"/>
        </w:rPr>
        <w:t>earlier in this judgment</w:t>
      </w:r>
      <w:r w:rsidR="009D0950" w:rsidRPr="00BB7B21">
        <w:rPr>
          <w:rFonts w:ascii="Arial" w:hAnsi="Arial" w:cs="Arial"/>
          <w:sz w:val="24"/>
          <w:szCs w:val="24"/>
        </w:rPr>
        <w:t>, the plaintiff knew of Mr Hussey before the close of pleadings in the first action</w:t>
      </w:r>
      <w:r w:rsidR="0063620E" w:rsidRPr="00BB7B21">
        <w:rPr>
          <w:rFonts w:ascii="Arial" w:hAnsi="Arial" w:cs="Arial"/>
          <w:sz w:val="24"/>
          <w:szCs w:val="24"/>
        </w:rPr>
        <w:t xml:space="preserve"> as </w:t>
      </w:r>
      <w:r w:rsidR="00957E9B" w:rsidRPr="00BB7B21">
        <w:rPr>
          <w:rFonts w:ascii="Arial" w:hAnsi="Arial" w:cs="Arial"/>
          <w:sz w:val="24"/>
          <w:szCs w:val="24"/>
        </w:rPr>
        <w:t xml:space="preserve">the first defendant </w:t>
      </w:r>
      <w:r w:rsidR="0063620E" w:rsidRPr="00BB7B21">
        <w:rPr>
          <w:rFonts w:ascii="Arial" w:hAnsi="Arial" w:cs="Arial"/>
          <w:sz w:val="24"/>
          <w:szCs w:val="24"/>
        </w:rPr>
        <w:t xml:space="preserve">had joined </w:t>
      </w:r>
      <w:r w:rsidR="00572AAB" w:rsidRPr="00BB7B21">
        <w:rPr>
          <w:rFonts w:ascii="Arial" w:hAnsi="Arial" w:cs="Arial"/>
          <w:sz w:val="24"/>
          <w:szCs w:val="24"/>
        </w:rPr>
        <w:t xml:space="preserve">Mr Hussey </w:t>
      </w:r>
      <w:r w:rsidR="0063620E" w:rsidRPr="00BB7B21">
        <w:rPr>
          <w:rFonts w:ascii="Arial" w:hAnsi="Arial" w:cs="Arial"/>
          <w:sz w:val="24"/>
          <w:szCs w:val="24"/>
        </w:rPr>
        <w:t>by way of</w:t>
      </w:r>
      <w:r w:rsidR="00957E9B" w:rsidRPr="00BB7B21">
        <w:rPr>
          <w:rFonts w:ascii="Arial" w:hAnsi="Arial" w:cs="Arial"/>
          <w:sz w:val="24"/>
          <w:szCs w:val="24"/>
        </w:rPr>
        <w:t xml:space="preserve"> a</w:t>
      </w:r>
      <w:r w:rsidR="0063620E" w:rsidRPr="00BB7B21">
        <w:rPr>
          <w:rFonts w:ascii="Arial" w:hAnsi="Arial" w:cs="Arial"/>
          <w:sz w:val="24"/>
          <w:szCs w:val="24"/>
        </w:rPr>
        <w:t xml:space="preserve"> third-party notice</w:t>
      </w:r>
      <w:r w:rsidR="00572AAB" w:rsidRPr="00BB7B21">
        <w:rPr>
          <w:rFonts w:ascii="Arial" w:hAnsi="Arial" w:cs="Arial"/>
          <w:sz w:val="24"/>
          <w:szCs w:val="24"/>
        </w:rPr>
        <w:t xml:space="preserve"> on 6 March 2020. </w:t>
      </w:r>
      <w:r w:rsidR="009D0950" w:rsidRPr="00BB7B21">
        <w:rPr>
          <w:rFonts w:ascii="Arial" w:hAnsi="Arial" w:cs="Arial"/>
          <w:sz w:val="24"/>
          <w:szCs w:val="24"/>
        </w:rPr>
        <w:t xml:space="preserve">As submitted </w:t>
      </w:r>
      <w:r w:rsidR="009D0950" w:rsidRPr="00BB7B21">
        <w:rPr>
          <w:rFonts w:ascii="Arial" w:hAnsi="Arial" w:cs="Arial"/>
          <w:sz w:val="24"/>
          <w:szCs w:val="24"/>
        </w:rPr>
        <w:lastRenderedPageBreak/>
        <w:t>by Mr Hussey’s counsel, the giving of notice is not onerous. For example, it need not be served by Sheriff</w:t>
      </w:r>
      <w:r w:rsidR="007176C1" w:rsidRPr="00BB7B21">
        <w:rPr>
          <w:rFonts w:ascii="Arial" w:hAnsi="Arial" w:cs="Arial"/>
          <w:sz w:val="24"/>
          <w:szCs w:val="24"/>
        </w:rPr>
        <w:t xml:space="preserve"> and there are no formalities</w:t>
      </w:r>
      <w:r w:rsidR="009D0950" w:rsidRPr="00BB7B21">
        <w:rPr>
          <w:rFonts w:ascii="Arial" w:hAnsi="Arial" w:cs="Arial"/>
          <w:sz w:val="24"/>
          <w:szCs w:val="24"/>
        </w:rPr>
        <w:t xml:space="preserve">. In this instance, the giving of notice </w:t>
      </w:r>
      <w:r w:rsidR="008D4C88" w:rsidRPr="00BB7B21">
        <w:rPr>
          <w:rFonts w:ascii="Arial" w:hAnsi="Arial" w:cs="Arial"/>
          <w:sz w:val="24"/>
          <w:szCs w:val="24"/>
        </w:rPr>
        <w:t>should have posed no difficulty</w:t>
      </w:r>
      <w:r w:rsidR="009D0950" w:rsidRPr="00BB7B21">
        <w:rPr>
          <w:rFonts w:ascii="Arial" w:hAnsi="Arial" w:cs="Arial"/>
          <w:sz w:val="24"/>
          <w:szCs w:val="24"/>
        </w:rPr>
        <w:t xml:space="preserve"> as Mr</w:t>
      </w:r>
      <w:r w:rsidR="00A466D7" w:rsidRPr="00BB7B21">
        <w:rPr>
          <w:rFonts w:ascii="Arial" w:hAnsi="Arial" w:cs="Arial"/>
          <w:sz w:val="24"/>
          <w:szCs w:val="24"/>
        </w:rPr>
        <w:t> </w:t>
      </w:r>
      <w:r w:rsidR="009D0950" w:rsidRPr="00BB7B21">
        <w:rPr>
          <w:rFonts w:ascii="Arial" w:hAnsi="Arial" w:cs="Arial"/>
          <w:sz w:val="24"/>
          <w:szCs w:val="24"/>
        </w:rPr>
        <w:t>Hussey had already been identified in the third party</w:t>
      </w:r>
      <w:r w:rsidR="009A7955" w:rsidRPr="00BB7B21">
        <w:rPr>
          <w:rFonts w:ascii="Arial" w:hAnsi="Arial" w:cs="Arial"/>
          <w:sz w:val="24"/>
          <w:szCs w:val="24"/>
        </w:rPr>
        <w:t>-notices</w:t>
      </w:r>
      <w:r w:rsidR="009D0950" w:rsidRPr="00BB7B21">
        <w:rPr>
          <w:rFonts w:ascii="Arial" w:hAnsi="Arial" w:cs="Arial"/>
          <w:sz w:val="24"/>
          <w:szCs w:val="24"/>
        </w:rPr>
        <w:t xml:space="preserve"> and other pleadings filed in the first action and was not skulking away. </w:t>
      </w:r>
    </w:p>
    <w:p w14:paraId="31FC592A" w14:textId="6D38C289" w:rsidR="009D0950"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61.</w:t>
      </w:r>
      <w:r>
        <w:rPr>
          <w:rFonts w:ascii="Arial" w:hAnsi="Arial" w:cs="Arial"/>
          <w:sz w:val="24"/>
          <w:szCs w:val="24"/>
        </w:rPr>
        <w:tab/>
      </w:r>
      <w:r w:rsidR="009D0950" w:rsidRPr="00BB7B21">
        <w:rPr>
          <w:rFonts w:ascii="Arial" w:hAnsi="Arial" w:cs="Arial"/>
          <w:sz w:val="24"/>
          <w:szCs w:val="24"/>
        </w:rPr>
        <w:t xml:space="preserve">Instead of giving the requisite notice in terms of section 2(2) of the Act (or </w:t>
      </w:r>
      <w:r w:rsidR="00957E9B" w:rsidRPr="00BB7B21">
        <w:rPr>
          <w:rFonts w:ascii="Arial" w:hAnsi="Arial" w:cs="Arial"/>
          <w:sz w:val="24"/>
          <w:szCs w:val="24"/>
        </w:rPr>
        <w:t xml:space="preserve">a third-party </w:t>
      </w:r>
      <w:r w:rsidR="009D0950" w:rsidRPr="00BB7B21">
        <w:rPr>
          <w:rFonts w:ascii="Arial" w:hAnsi="Arial" w:cs="Arial"/>
          <w:sz w:val="24"/>
          <w:szCs w:val="24"/>
        </w:rPr>
        <w:t>notice in terms of Uniform Rule 13(1)</w:t>
      </w:r>
      <w:r w:rsidR="00C8157E" w:rsidRPr="00BB7B21">
        <w:rPr>
          <w:rFonts w:ascii="Arial" w:hAnsi="Arial" w:cs="Arial"/>
          <w:sz w:val="24"/>
          <w:szCs w:val="24"/>
        </w:rPr>
        <w:t xml:space="preserve"> </w:t>
      </w:r>
      <w:r w:rsidR="00957E9B" w:rsidRPr="00BB7B21">
        <w:rPr>
          <w:rFonts w:ascii="Arial" w:hAnsi="Arial" w:cs="Arial"/>
          <w:sz w:val="24"/>
          <w:szCs w:val="24"/>
        </w:rPr>
        <w:t>although pleadings had not yet closed</w:t>
      </w:r>
      <w:r w:rsidR="00A466D7" w:rsidRPr="00BB7B21">
        <w:rPr>
          <w:rFonts w:ascii="Arial" w:hAnsi="Arial" w:cs="Arial"/>
          <w:sz w:val="24"/>
          <w:szCs w:val="24"/>
        </w:rPr>
        <w:t>)</w:t>
      </w:r>
      <w:r w:rsidR="009D0950" w:rsidRPr="00BB7B21">
        <w:rPr>
          <w:rFonts w:ascii="Arial" w:hAnsi="Arial" w:cs="Arial"/>
          <w:sz w:val="24"/>
          <w:szCs w:val="24"/>
        </w:rPr>
        <w:t>, the plaintiff’s legal representatives proceeded with the issue of a second summons at the instance of the plaintiff</w:t>
      </w:r>
      <w:r w:rsidR="00957E9B" w:rsidRPr="00BB7B21">
        <w:rPr>
          <w:rFonts w:ascii="Arial" w:hAnsi="Arial" w:cs="Arial"/>
          <w:sz w:val="24"/>
          <w:szCs w:val="24"/>
        </w:rPr>
        <w:t xml:space="preserve"> on 24</w:t>
      </w:r>
      <w:r w:rsidR="00A466D7" w:rsidRPr="00BB7B21">
        <w:rPr>
          <w:rFonts w:ascii="Arial" w:hAnsi="Arial" w:cs="Arial"/>
          <w:sz w:val="24"/>
          <w:szCs w:val="24"/>
        </w:rPr>
        <w:t> </w:t>
      </w:r>
      <w:r w:rsidR="00957E9B" w:rsidRPr="00BB7B21">
        <w:rPr>
          <w:rFonts w:ascii="Arial" w:hAnsi="Arial" w:cs="Arial"/>
          <w:sz w:val="24"/>
          <w:szCs w:val="24"/>
        </w:rPr>
        <w:t>March</w:t>
      </w:r>
      <w:r w:rsidR="00A466D7" w:rsidRPr="00BB7B21">
        <w:rPr>
          <w:rFonts w:ascii="Arial" w:hAnsi="Arial" w:cs="Arial"/>
          <w:sz w:val="24"/>
          <w:szCs w:val="24"/>
        </w:rPr>
        <w:t> </w:t>
      </w:r>
      <w:r w:rsidR="00957E9B" w:rsidRPr="00BB7B21">
        <w:rPr>
          <w:rFonts w:ascii="Arial" w:hAnsi="Arial" w:cs="Arial"/>
          <w:sz w:val="24"/>
          <w:szCs w:val="24"/>
        </w:rPr>
        <w:t>2020</w:t>
      </w:r>
      <w:r w:rsidR="009D0950" w:rsidRPr="00BB7B21">
        <w:rPr>
          <w:rFonts w:ascii="Arial" w:hAnsi="Arial" w:cs="Arial"/>
          <w:sz w:val="24"/>
          <w:szCs w:val="24"/>
        </w:rPr>
        <w:t xml:space="preserve">. In doing so, they created the multiplicity of actions that both section 2 of the Act and </w:t>
      </w:r>
      <w:r w:rsidR="00957E9B" w:rsidRPr="00BB7B21">
        <w:rPr>
          <w:rFonts w:ascii="Arial" w:hAnsi="Arial" w:cs="Arial"/>
          <w:sz w:val="24"/>
          <w:szCs w:val="24"/>
        </w:rPr>
        <w:t xml:space="preserve">Uniform </w:t>
      </w:r>
      <w:r w:rsidR="009D0950" w:rsidRPr="00BB7B21">
        <w:rPr>
          <w:rFonts w:ascii="Arial" w:hAnsi="Arial" w:cs="Arial"/>
          <w:sz w:val="24"/>
          <w:szCs w:val="24"/>
        </w:rPr>
        <w:t>Rule 13 seek to avoid, together with the attendant prejudice</w:t>
      </w:r>
      <w:r w:rsidR="00957E9B" w:rsidRPr="00BB7B21">
        <w:rPr>
          <w:rFonts w:ascii="Arial" w:hAnsi="Arial" w:cs="Arial"/>
          <w:sz w:val="24"/>
          <w:szCs w:val="24"/>
        </w:rPr>
        <w:t xml:space="preserve"> thereon</w:t>
      </w:r>
      <w:r w:rsidR="009D0950" w:rsidRPr="00BB7B21">
        <w:rPr>
          <w:rFonts w:ascii="Arial" w:hAnsi="Arial" w:cs="Arial"/>
          <w:sz w:val="24"/>
          <w:szCs w:val="24"/>
        </w:rPr>
        <w:t xml:space="preserve">. </w:t>
      </w:r>
    </w:p>
    <w:p w14:paraId="42AFAFE3" w14:textId="3F405A59" w:rsidR="009D0950"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62.</w:t>
      </w:r>
      <w:r>
        <w:rPr>
          <w:rFonts w:ascii="Arial" w:hAnsi="Arial" w:cs="Arial"/>
          <w:sz w:val="24"/>
          <w:szCs w:val="24"/>
        </w:rPr>
        <w:tab/>
      </w:r>
      <w:r w:rsidR="009D0950" w:rsidRPr="00BB7B21">
        <w:rPr>
          <w:rFonts w:ascii="Arial" w:hAnsi="Arial" w:cs="Arial"/>
          <w:sz w:val="24"/>
          <w:szCs w:val="24"/>
        </w:rPr>
        <w:t>The only answer that is advanced by the plaintiff as to why he did not give notice</w:t>
      </w:r>
      <w:r w:rsidR="00572AAB" w:rsidRPr="00BB7B21">
        <w:rPr>
          <w:rFonts w:ascii="Arial" w:hAnsi="Arial" w:cs="Arial"/>
          <w:sz w:val="24"/>
          <w:szCs w:val="24"/>
        </w:rPr>
        <w:t xml:space="preserve"> to </w:t>
      </w:r>
      <w:r w:rsidR="00A466D7" w:rsidRPr="00BB7B21">
        <w:rPr>
          <w:rFonts w:ascii="Arial" w:hAnsi="Arial" w:cs="Arial"/>
          <w:sz w:val="24"/>
          <w:szCs w:val="24"/>
        </w:rPr>
        <w:t xml:space="preserve">Mr </w:t>
      </w:r>
      <w:r w:rsidR="00572AAB" w:rsidRPr="00BB7B21">
        <w:rPr>
          <w:rFonts w:ascii="Arial" w:hAnsi="Arial" w:cs="Arial"/>
          <w:sz w:val="24"/>
          <w:szCs w:val="24"/>
        </w:rPr>
        <w:t>Hussey</w:t>
      </w:r>
      <w:r w:rsidR="009D0950" w:rsidRPr="00BB7B21">
        <w:rPr>
          <w:rFonts w:ascii="Arial" w:hAnsi="Arial" w:cs="Arial"/>
          <w:sz w:val="24"/>
          <w:szCs w:val="24"/>
        </w:rPr>
        <w:t xml:space="preserve"> in terms of the Act </w:t>
      </w:r>
      <w:r w:rsidR="00572AAB" w:rsidRPr="00BB7B21">
        <w:rPr>
          <w:rFonts w:ascii="Arial" w:hAnsi="Arial" w:cs="Arial"/>
          <w:sz w:val="24"/>
          <w:szCs w:val="24"/>
        </w:rPr>
        <w:t xml:space="preserve">is that </w:t>
      </w:r>
      <w:r w:rsidR="009D0950" w:rsidRPr="00BB7B21">
        <w:rPr>
          <w:rFonts w:ascii="Arial" w:hAnsi="Arial" w:cs="Arial"/>
          <w:sz w:val="24"/>
          <w:szCs w:val="24"/>
        </w:rPr>
        <w:t>his then attorneys lacked familiarity with the provisions of the Act, which</w:t>
      </w:r>
      <w:r w:rsidR="00572AAB" w:rsidRPr="00BB7B21">
        <w:rPr>
          <w:rFonts w:ascii="Arial" w:hAnsi="Arial" w:cs="Arial"/>
          <w:sz w:val="24"/>
          <w:szCs w:val="24"/>
        </w:rPr>
        <w:t xml:space="preserve"> provisions</w:t>
      </w:r>
      <w:r w:rsidR="009D0950" w:rsidRPr="00BB7B21">
        <w:rPr>
          <w:rFonts w:ascii="Arial" w:hAnsi="Arial" w:cs="Arial"/>
          <w:sz w:val="24"/>
          <w:szCs w:val="24"/>
        </w:rPr>
        <w:t xml:space="preserve"> </w:t>
      </w:r>
      <w:r w:rsidR="00572AAB" w:rsidRPr="00BB7B21">
        <w:rPr>
          <w:rFonts w:ascii="Arial" w:hAnsi="Arial" w:cs="Arial"/>
          <w:sz w:val="24"/>
          <w:szCs w:val="24"/>
        </w:rPr>
        <w:t>the plaintiff contends</w:t>
      </w:r>
      <w:r w:rsidR="009D0950" w:rsidRPr="00BB7B21">
        <w:rPr>
          <w:rFonts w:ascii="Arial" w:hAnsi="Arial" w:cs="Arial"/>
          <w:sz w:val="24"/>
          <w:szCs w:val="24"/>
        </w:rPr>
        <w:t xml:space="preserve"> constitute a departure from the normal procedural provisions of the Uniform Rules in relation to causes of action and joinder of defendants. </w:t>
      </w:r>
    </w:p>
    <w:p w14:paraId="42439AF4" w14:textId="6FA347E0" w:rsidR="009D0950"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63.</w:t>
      </w:r>
      <w:r>
        <w:rPr>
          <w:rFonts w:ascii="Arial" w:hAnsi="Arial" w:cs="Arial"/>
          <w:sz w:val="24"/>
          <w:szCs w:val="24"/>
        </w:rPr>
        <w:tab/>
      </w:r>
      <w:r w:rsidR="009D0950" w:rsidRPr="00BB7B21">
        <w:rPr>
          <w:rFonts w:ascii="Arial" w:hAnsi="Arial" w:cs="Arial"/>
          <w:sz w:val="24"/>
          <w:szCs w:val="24"/>
        </w:rPr>
        <w:t xml:space="preserve">I have some difficulty in appreciating this reasoning because the plaintiff </w:t>
      </w:r>
      <w:r w:rsidR="00FB4813" w:rsidRPr="00BB7B21">
        <w:rPr>
          <w:rFonts w:ascii="Arial" w:hAnsi="Arial" w:cs="Arial"/>
          <w:sz w:val="24"/>
          <w:szCs w:val="24"/>
        </w:rPr>
        <w:t>in any event</w:t>
      </w:r>
      <w:r w:rsidR="00572AAB" w:rsidRPr="00BB7B21">
        <w:rPr>
          <w:rFonts w:ascii="Arial" w:hAnsi="Arial" w:cs="Arial"/>
          <w:sz w:val="24"/>
          <w:szCs w:val="24"/>
        </w:rPr>
        <w:t xml:space="preserve"> </w:t>
      </w:r>
      <w:r w:rsidR="009D0950" w:rsidRPr="00BB7B21">
        <w:rPr>
          <w:rFonts w:ascii="Arial" w:hAnsi="Arial" w:cs="Arial"/>
          <w:sz w:val="24"/>
          <w:szCs w:val="24"/>
        </w:rPr>
        <w:t>did not make use of the normal procedural provisions of the Uniform Rules to join Mr Hussey to the first action, such as by way of</w:t>
      </w:r>
      <w:r w:rsidR="00572AAB" w:rsidRPr="00BB7B21">
        <w:rPr>
          <w:rFonts w:ascii="Arial" w:hAnsi="Arial" w:cs="Arial"/>
          <w:sz w:val="24"/>
          <w:szCs w:val="24"/>
        </w:rPr>
        <w:t xml:space="preserve"> a third-party notice in terms of</w:t>
      </w:r>
      <w:r w:rsidR="009D0950" w:rsidRPr="00BB7B21">
        <w:rPr>
          <w:rFonts w:ascii="Arial" w:hAnsi="Arial" w:cs="Arial"/>
          <w:sz w:val="24"/>
          <w:szCs w:val="24"/>
        </w:rPr>
        <w:t xml:space="preserve"> Uniform Rule 13, but instead proceeded </w:t>
      </w:r>
      <w:r w:rsidR="00572AAB" w:rsidRPr="00BB7B21">
        <w:rPr>
          <w:rFonts w:ascii="Arial" w:hAnsi="Arial" w:cs="Arial"/>
          <w:sz w:val="24"/>
          <w:szCs w:val="24"/>
        </w:rPr>
        <w:t xml:space="preserve">against Mr Hussey </w:t>
      </w:r>
      <w:r w:rsidR="009D0950" w:rsidRPr="00BB7B21">
        <w:rPr>
          <w:rFonts w:ascii="Arial" w:hAnsi="Arial" w:cs="Arial"/>
          <w:sz w:val="24"/>
          <w:szCs w:val="24"/>
        </w:rPr>
        <w:t xml:space="preserve">by way of a second summons. </w:t>
      </w:r>
    </w:p>
    <w:p w14:paraId="051A4329" w14:textId="05E2A3E6" w:rsidR="0063053F"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64.</w:t>
      </w:r>
      <w:r>
        <w:rPr>
          <w:rFonts w:ascii="Arial" w:hAnsi="Arial" w:cs="Arial"/>
          <w:sz w:val="24"/>
          <w:szCs w:val="24"/>
        </w:rPr>
        <w:tab/>
      </w:r>
      <w:r w:rsidR="0063053F" w:rsidRPr="00BB7B21">
        <w:rPr>
          <w:rFonts w:ascii="Arial" w:hAnsi="Arial" w:cs="Arial"/>
          <w:sz w:val="24"/>
          <w:szCs w:val="24"/>
        </w:rPr>
        <w:t xml:space="preserve">Although the plaintiff explains why he proceeded with some haste in March 2020 with the issue of the second summons, being that the Sheriff’s offices would soon close with the commencement of the </w:t>
      </w:r>
      <w:r w:rsidR="00C66BC5" w:rsidRPr="00BB7B21">
        <w:rPr>
          <w:rFonts w:ascii="Arial" w:hAnsi="Arial" w:cs="Arial"/>
          <w:sz w:val="24"/>
          <w:szCs w:val="24"/>
        </w:rPr>
        <w:t>‘</w:t>
      </w:r>
      <w:r w:rsidR="0063053F" w:rsidRPr="00BB7B21">
        <w:rPr>
          <w:rFonts w:ascii="Arial" w:hAnsi="Arial" w:cs="Arial"/>
          <w:sz w:val="24"/>
          <w:szCs w:val="24"/>
        </w:rPr>
        <w:t>hard lockdow</w:t>
      </w:r>
      <w:r w:rsidR="00C66BC5" w:rsidRPr="00BB7B21">
        <w:rPr>
          <w:rFonts w:ascii="Arial" w:hAnsi="Arial" w:cs="Arial"/>
          <w:sz w:val="24"/>
          <w:szCs w:val="24"/>
        </w:rPr>
        <w:t>n’</w:t>
      </w:r>
      <w:r w:rsidR="0063053F" w:rsidRPr="00BB7B21">
        <w:rPr>
          <w:rFonts w:ascii="Arial" w:hAnsi="Arial" w:cs="Arial"/>
          <w:sz w:val="24"/>
          <w:szCs w:val="24"/>
        </w:rPr>
        <w:t xml:space="preserve"> </w:t>
      </w:r>
      <w:r w:rsidR="00C66BC5" w:rsidRPr="00BB7B21">
        <w:rPr>
          <w:rFonts w:ascii="Arial" w:hAnsi="Arial" w:cs="Arial"/>
          <w:sz w:val="24"/>
          <w:szCs w:val="24"/>
        </w:rPr>
        <w:t xml:space="preserve">on 27 March 2020 </w:t>
      </w:r>
      <w:r w:rsidR="0063053F" w:rsidRPr="00BB7B21">
        <w:rPr>
          <w:rFonts w:ascii="Arial" w:hAnsi="Arial" w:cs="Arial"/>
          <w:sz w:val="24"/>
          <w:szCs w:val="24"/>
        </w:rPr>
        <w:t xml:space="preserve">consequent upon </w:t>
      </w:r>
      <w:r w:rsidR="00C66BC5" w:rsidRPr="00BB7B21">
        <w:rPr>
          <w:rFonts w:ascii="Arial" w:hAnsi="Arial" w:cs="Arial"/>
          <w:sz w:val="24"/>
          <w:szCs w:val="24"/>
        </w:rPr>
        <w:t>r</w:t>
      </w:r>
      <w:r w:rsidR="0063053F" w:rsidRPr="00BB7B21">
        <w:rPr>
          <w:rFonts w:ascii="Arial" w:hAnsi="Arial" w:cs="Arial"/>
          <w:sz w:val="24"/>
          <w:szCs w:val="24"/>
        </w:rPr>
        <w:t xml:space="preserve">egulations to combat the Covid-19 pandemic, this is no explanation why notice was not </w:t>
      </w:r>
      <w:r w:rsidR="00C66BC5" w:rsidRPr="00BB7B21">
        <w:rPr>
          <w:rFonts w:ascii="Arial" w:hAnsi="Arial" w:cs="Arial"/>
          <w:sz w:val="24"/>
          <w:szCs w:val="24"/>
        </w:rPr>
        <w:t xml:space="preserve">and could not be </w:t>
      </w:r>
      <w:r w:rsidR="0063053F" w:rsidRPr="00BB7B21">
        <w:rPr>
          <w:rFonts w:ascii="Arial" w:hAnsi="Arial" w:cs="Arial"/>
          <w:sz w:val="24"/>
          <w:szCs w:val="24"/>
        </w:rPr>
        <w:t xml:space="preserve">given. The plaintiff’s case is not that </w:t>
      </w:r>
      <w:r w:rsidR="00B14F11" w:rsidRPr="00BB7B21">
        <w:rPr>
          <w:rFonts w:ascii="Arial" w:hAnsi="Arial" w:cs="Arial"/>
          <w:sz w:val="24"/>
          <w:szCs w:val="24"/>
        </w:rPr>
        <w:t xml:space="preserve">he </w:t>
      </w:r>
      <w:r w:rsidR="0063053F" w:rsidRPr="00BB7B21">
        <w:rPr>
          <w:rFonts w:ascii="Arial" w:hAnsi="Arial" w:cs="Arial"/>
          <w:sz w:val="24"/>
          <w:szCs w:val="24"/>
        </w:rPr>
        <w:t xml:space="preserve">decided not to give notice because he was pressed for time. In any event, as </w:t>
      </w:r>
      <w:r w:rsidR="00011F37" w:rsidRPr="00BB7B21">
        <w:rPr>
          <w:rFonts w:ascii="Arial" w:hAnsi="Arial" w:cs="Arial"/>
          <w:sz w:val="24"/>
          <w:szCs w:val="24"/>
        </w:rPr>
        <w:t>Mr Hussey’s</w:t>
      </w:r>
      <w:r w:rsidR="0063053F" w:rsidRPr="00BB7B21">
        <w:rPr>
          <w:rFonts w:ascii="Arial" w:hAnsi="Arial" w:cs="Arial"/>
          <w:sz w:val="24"/>
          <w:szCs w:val="24"/>
        </w:rPr>
        <w:t xml:space="preserve"> counsel persuasively argued, the plaintiff was not pressed for time </w:t>
      </w:r>
      <w:r w:rsidR="00B14F11" w:rsidRPr="00BB7B21">
        <w:rPr>
          <w:rFonts w:ascii="Arial" w:hAnsi="Arial" w:cs="Arial"/>
          <w:sz w:val="24"/>
          <w:szCs w:val="24"/>
        </w:rPr>
        <w:t>as</w:t>
      </w:r>
      <w:r w:rsidR="0063053F" w:rsidRPr="00BB7B21">
        <w:rPr>
          <w:rFonts w:ascii="Arial" w:hAnsi="Arial" w:cs="Arial"/>
          <w:sz w:val="24"/>
          <w:szCs w:val="24"/>
        </w:rPr>
        <w:t xml:space="preserve"> he had only just discovered the identity of Mr Hussey as a joint wrongdoer,</w:t>
      </w:r>
      <w:r w:rsidR="00B14F11" w:rsidRPr="00BB7B21">
        <w:rPr>
          <w:rFonts w:ascii="Arial" w:hAnsi="Arial" w:cs="Arial"/>
          <w:sz w:val="24"/>
          <w:szCs w:val="24"/>
        </w:rPr>
        <w:t xml:space="preserve"> and so there was no </w:t>
      </w:r>
      <w:r w:rsidR="0063053F" w:rsidRPr="00BB7B21">
        <w:rPr>
          <w:rFonts w:ascii="Arial" w:hAnsi="Arial" w:cs="Arial"/>
          <w:sz w:val="24"/>
          <w:szCs w:val="24"/>
        </w:rPr>
        <w:t xml:space="preserve">danger of </w:t>
      </w:r>
      <w:r w:rsidR="00B14F11" w:rsidRPr="00BB7B21">
        <w:rPr>
          <w:rFonts w:ascii="Arial" w:hAnsi="Arial" w:cs="Arial"/>
          <w:sz w:val="24"/>
          <w:szCs w:val="24"/>
        </w:rPr>
        <w:t xml:space="preserve">imminent </w:t>
      </w:r>
      <w:r w:rsidR="0063053F" w:rsidRPr="00BB7B21">
        <w:rPr>
          <w:rFonts w:ascii="Arial" w:hAnsi="Arial" w:cs="Arial"/>
          <w:sz w:val="24"/>
          <w:szCs w:val="24"/>
        </w:rPr>
        <w:t>prescription</w:t>
      </w:r>
      <w:r w:rsidR="00B14F11" w:rsidRPr="00BB7B21">
        <w:rPr>
          <w:rFonts w:ascii="Arial" w:hAnsi="Arial" w:cs="Arial"/>
          <w:sz w:val="24"/>
          <w:szCs w:val="24"/>
        </w:rPr>
        <w:t xml:space="preserve"> of the plaintiff’s claim against Mr Hussey</w:t>
      </w:r>
      <w:r w:rsidR="0063053F" w:rsidRPr="00BB7B21">
        <w:rPr>
          <w:rFonts w:ascii="Arial" w:hAnsi="Arial" w:cs="Arial"/>
          <w:sz w:val="24"/>
          <w:szCs w:val="24"/>
        </w:rPr>
        <w:t xml:space="preserve">. </w:t>
      </w:r>
    </w:p>
    <w:p w14:paraId="7156905A" w14:textId="4B2E56A6" w:rsidR="00B14F11"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65.</w:t>
      </w:r>
      <w:r>
        <w:rPr>
          <w:rFonts w:ascii="Arial" w:hAnsi="Arial" w:cs="Arial"/>
          <w:sz w:val="24"/>
          <w:szCs w:val="24"/>
        </w:rPr>
        <w:tab/>
      </w:r>
      <w:r w:rsidR="006C4A01" w:rsidRPr="00BB7B21">
        <w:rPr>
          <w:rFonts w:ascii="Arial" w:hAnsi="Arial" w:cs="Arial"/>
          <w:sz w:val="24"/>
          <w:szCs w:val="24"/>
        </w:rPr>
        <w:t xml:space="preserve">Upon </w:t>
      </w:r>
      <w:r w:rsidR="00B14F11" w:rsidRPr="00BB7B21">
        <w:rPr>
          <w:rFonts w:ascii="Arial" w:hAnsi="Arial" w:cs="Arial"/>
          <w:sz w:val="24"/>
          <w:szCs w:val="24"/>
        </w:rPr>
        <w:t>a closer</w:t>
      </w:r>
      <w:r w:rsidR="006C4A01" w:rsidRPr="00BB7B21">
        <w:rPr>
          <w:rFonts w:ascii="Arial" w:hAnsi="Arial" w:cs="Arial"/>
          <w:sz w:val="24"/>
          <w:szCs w:val="24"/>
        </w:rPr>
        <w:t xml:space="preserve"> reading of the founding affidavit, it appears that the </w:t>
      </w:r>
      <w:r w:rsidR="00DB07C6" w:rsidRPr="00BB7B21">
        <w:rPr>
          <w:rFonts w:ascii="Arial" w:hAnsi="Arial" w:cs="Arial"/>
          <w:sz w:val="24"/>
          <w:szCs w:val="24"/>
        </w:rPr>
        <w:t>plaintiff’s</w:t>
      </w:r>
      <w:r w:rsidR="006C4A01" w:rsidRPr="00BB7B21">
        <w:rPr>
          <w:rFonts w:ascii="Arial" w:hAnsi="Arial" w:cs="Arial"/>
          <w:sz w:val="24"/>
          <w:szCs w:val="24"/>
        </w:rPr>
        <w:t xml:space="preserve"> erstwhile attorneys only became aware of the requirement in the Act to give notice when Mr Hussey raised the special plea</w:t>
      </w:r>
      <w:r w:rsidR="00B14F11" w:rsidRPr="00BB7B21">
        <w:rPr>
          <w:rFonts w:ascii="Arial" w:hAnsi="Arial" w:cs="Arial"/>
          <w:sz w:val="24"/>
          <w:szCs w:val="24"/>
        </w:rPr>
        <w:t xml:space="preserve"> in June 2020</w:t>
      </w:r>
      <w:r w:rsidR="006C4A01" w:rsidRPr="00BB7B21">
        <w:rPr>
          <w:rFonts w:ascii="Arial" w:hAnsi="Arial" w:cs="Arial"/>
          <w:sz w:val="24"/>
          <w:szCs w:val="24"/>
        </w:rPr>
        <w:t xml:space="preserve"> that section</w:t>
      </w:r>
      <w:r w:rsidR="00011F37" w:rsidRPr="00BB7B21">
        <w:rPr>
          <w:rFonts w:ascii="Arial" w:hAnsi="Arial" w:cs="Arial"/>
          <w:sz w:val="24"/>
          <w:szCs w:val="24"/>
        </w:rPr>
        <w:t> </w:t>
      </w:r>
      <w:r w:rsidR="006C4A01" w:rsidRPr="00BB7B21">
        <w:rPr>
          <w:rFonts w:ascii="Arial" w:hAnsi="Arial" w:cs="Arial"/>
          <w:sz w:val="24"/>
          <w:szCs w:val="24"/>
        </w:rPr>
        <w:t>2(4) of the Act had not been complied with</w:t>
      </w:r>
      <w:r w:rsidR="00B14F11" w:rsidRPr="00BB7B21">
        <w:rPr>
          <w:rFonts w:ascii="Arial" w:hAnsi="Arial" w:cs="Arial"/>
          <w:sz w:val="24"/>
          <w:szCs w:val="24"/>
        </w:rPr>
        <w:t xml:space="preserve">, and that </w:t>
      </w:r>
      <w:r w:rsidR="0092379D" w:rsidRPr="00BB7B21">
        <w:rPr>
          <w:rFonts w:ascii="Arial" w:hAnsi="Arial" w:cs="Arial"/>
          <w:sz w:val="24"/>
          <w:szCs w:val="24"/>
        </w:rPr>
        <w:t>is</w:t>
      </w:r>
      <w:r w:rsidR="00B14F11" w:rsidRPr="00BB7B21">
        <w:rPr>
          <w:rFonts w:ascii="Arial" w:hAnsi="Arial" w:cs="Arial"/>
          <w:sz w:val="24"/>
          <w:szCs w:val="24"/>
        </w:rPr>
        <w:t xml:space="preserve"> why notice was not given</w:t>
      </w:r>
      <w:r w:rsidR="006C4A01" w:rsidRPr="00BB7B21">
        <w:rPr>
          <w:rFonts w:ascii="Arial" w:hAnsi="Arial" w:cs="Arial"/>
          <w:sz w:val="24"/>
          <w:szCs w:val="24"/>
        </w:rPr>
        <w:t>.</w:t>
      </w:r>
      <w:r w:rsidR="0092379D" w:rsidRPr="00BB7B21">
        <w:rPr>
          <w:rFonts w:ascii="Arial" w:hAnsi="Arial" w:cs="Arial"/>
          <w:sz w:val="24"/>
          <w:szCs w:val="24"/>
        </w:rPr>
        <w:t xml:space="preserve"> Simply put, </w:t>
      </w:r>
      <w:r w:rsidR="00A466D7" w:rsidRPr="00BB7B21">
        <w:rPr>
          <w:rFonts w:ascii="Arial" w:hAnsi="Arial" w:cs="Arial"/>
          <w:sz w:val="24"/>
          <w:szCs w:val="24"/>
        </w:rPr>
        <w:t>the plaintiff</w:t>
      </w:r>
      <w:r w:rsidR="0092379D" w:rsidRPr="00BB7B21">
        <w:rPr>
          <w:rFonts w:ascii="Arial" w:hAnsi="Arial" w:cs="Arial"/>
          <w:sz w:val="24"/>
          <w:szCs w:val="24"/>
        </w:rPr>
        <w:t>’s failure to give notice was a matter of ignorance of the relevant provisions.</w:t>
      </w:r>
    </w:p>
    <w:p w14:paraId="393509D0" w14:textId="0EE08858" w:rsidR="00FB4813" w:rsidRPr="00BB7B21" w:rsidRDefault="00BB7B21" w:rsidP="00BB7B21">
      <w:pPr>
        <w:spacing w:before="360" w:after="360" w:line="480" w:lineRule="auto"/>
        <w:ind w:left="624" w:right="567" w:hanging="624"/>
        <w:jc w:val="both"/>
        <w:rPr>
          <w:rFonts w:ascii="Arial" w:hAnsi="Arial" w:cs="Arial"/>
          <w:sz w:val="24"/>
          <w:szCs w:val="24"/>
        </w:rPr>
      </w:pPr>
      <w:r w:rsidRPr="00FB4813">
        <w:rPr>
          <w:rFonts w:ascii="Arial" w:hAnsi="Arial" w:cs="Arial"/>
          <w:sz w:val="24"/>
          <w:szCs w:val="24"/>
        </w:rPr>
        <w:t>66.</w:t>
      </w:r>
      <w:r w:rsidRPr="00FB4813">
        <w:rPr>
          <w:rFonts w:ascii="Arial" w:hAnsi="Arial" w:cs="Arial"/>
          <w:sz w:val="24"/>
          <w:szCs w:val="24"/>
        </w:rPr>
        <w:tab/>
      </w:r>
      <w:r w:rsidR="00FB4813" w:rsidRPr="00BB7B21">
        <w:rPr>
          <w:rFonts w:ascii="Arial" w:hAnsi="Arial" w:cs="Arial"/>
          <w:sz w:val="24"/>
          <w:szCs w:val="24"/>
        </w:rPr>
        <w:t xml:space="preserve">Although there does appear to be some attempt by the plaintiff to withdraw from the position adopted in his founding affidavit that his failure to give notice was because of his then attorney’s lack of familiarity with the provisions of the Act, when this was pointed out during argument the plaintiff’s counsel made it clear, understandably as there was no other reason advanced in the founding affidavit, that the plaintiff stood by his previous attorney’s lack of familiarity as the reason notice was not given. </w:t>
      </w:r>
      <w:r w:rsidR="00FB4813" w:rsidRPr="00BB7B21">
        <w:rPr>
          <w:rFonts w:ascii="Arial" w:hAnsi="Arial" w:cs="Arial"/>
          <w:sz w:val="24"/>
          <w:szCs w:val="24"/>
        </w:rPr>
        <w:lastRenderedPageBreak/>
        <w:t xml:space="preserve">I therefore proceed on the basis that this was the reason the notice was not given. </w:t>
      </w:r>
    </w:p>
    <w:p w14:paraId="64420A2F" w14:textId="2F196628" w:rsidR="006C4A01"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67.</w:t>
      </w:r>
      <w:r>
        <w:rPr>
          <w:rFonts w:ascii="Arial" w:hAnsi="Arial" w:cs="Arial"/>
          <w:sz w:val="24"/>
          <w:szCs w:val="24"/>
        </w:rPr>
        <w:tab/>
      </w:r>
      <w:r w:rsidR="006C4A01" w:rsidRPr="00BB7B21">
        <w:rPr>
          <w:rFonts w:ascii="Arial" w:hAnsi="Arial" w:cs="Arial"/>
          <w:sz w:val="24"/>
          <w:szCs w:val="24"/>
        </w:rPr>
        <w:t xml:space="preserve">Although it would have been expected of the plaintiff </w:t>
      </w:r>
      <w:r w:rsidR="00FB4813" w:rsidRPr="00BB7B21">
        <w:rPr>
          <w:rFonts w:ascii="Arial" w:hAnsi="Arial" w:cs="Arial"/>
          <w:sz w:val="24"/>
          <w:szCs w:val="24"/>
        </w:rPr>
        <w:t xml:space="preserve">shortly after coming to learn in June 2020 of the requirement that </w:t>
      </w:r>
      <w:r w:rsidR="006C4A01" w:rsidRPr="00BB7B21">
        <w:rPr>
          <w:rFonts w:ascii="Arial" w:hAnsi="Arial" w:cs="Arial"/>
          <w:sz w:val="24"/>
          <w:szCs w:val="24"/>
        </w:rPr>
        <w:t>leave</w:t>
      </w:r>
      <w:r w:rsidR="00FB4813" w:rsidRPr="00BB7B21">
        <w:rPr>
          <w:rFonts w:ascii="Arial" w:hAnsi="Arial" w:cs="Arial"/>
          <w:sz w:val="24"/>
          <w:szCs w:val="24"/>
        </w:rPr>
        <w:t xml:space="preserve"> </w:t>
      </w:r>
      <w:r w:rsidR="00C8157E" w:rsidRPr="00BB7B21">
        <w:rPr>
          <w:rFonts w:ascii="Arial" w:hAnsi="Arial" w:cs="Arial"/>
          <w:sz w:val="24"/>
          <w:szCs w:val="24"/>
        </w:rPr>
        <w:t>was</w:t>
      </w:r>
      <w:r w:rsidR="00FB4813" w:rsidRPr="00BB7B21">
        <w:rPr>
          <w:rFonts w:ascii="Arial" w:hAnsi="Arial" w:cs="Arial"/>
          <w:sz w:val="24"/>
          <w:szCs w:val="24"/>
        </w:rPr>
        <w:t xml:space="preserve"> required</w:t>
      </w:r>
      <w:r w:rsidR="00B14F11" w:rsidRPr="00BB7B21">
        <w:rPr>
          <w:rFonts w:ascii="Arial" w:hAnsi="Arial" w:cs="Arial"/>
          <w:sz w:val="24"/>
          <w:szCs w:val="24"/>
        </w:rPr>
        <w:t xml:space="preserve"> in term</w:t>
      </w:r>
      <w:r w:rsidR="00A466D7" w:rsidRPr="00BB7B21">
        <w:rPr>
          <w:rFonts w:ascii="Arial" w:hAnsi="Arial" w:cs="Arial"/>
          <w:sz w:val="24"/>
          <w:szCs w:val="24"/>
        </w:rPr>
        <w:t>s</w:t>
      </w:r>
      <w:r w:rsidR="00B14F11" w:rsidRPr="00BB7B21">
        <w:rPr>
          <w:rFonts w:ascii="Arial" w:hAnsi="Arial" w:cs="Arial"/>
          <w:sz w:val="24"/>
          <w:szCs w:val="24"/>
        </w:rPr>
        <w:t xml:space="preserve"> of section 2(4) to </w:t>
      </w:r>
      <w:r w:rsidR="00C8157E" w:rsidRPr="00BB7B21">
        <w:rPr>
          <w:rFonts w:ascii="Arial" w:hAnsi="Arial" w:cs="Arial"/>
          <w:sz w:val="24"/>
          <w:szCs w:val="24"/>
        </w:rPr>
        <w:t xml:space="preserve">take the necessary steps to remedy the situation, </w:t>
      </w:r>
      <w:r w:rsidR="006C4A01" w:rsidRPr="00BB7B21">
        <w:rPr>
          <w:rFonts w:ascii="Arial" w:hAnsi="Arial" w:cs="Arial"/>
          <w:sz w:val="24"/>
          <w:szCs w:val="24"/>
        </w:rPr>
        <w:t>it would only be over</w:t>
      </w:r>
      <w:r w:rsidR="00B14F11" w:rsidRPr="00BB7B21">
        <w:rPr>
          <w:rFonts w:ascii="Arial" w:hAnsi="Arial" w:cs="Arial"/>
          <w:sz w:val="24"/>
          <w:szCs w:val="24"/>
        </w:rPr>
        <w:t xml:space="preserve"> two</w:t>
      </w:r>
      <w:r w:rsidR="006C4A01" w:rsidRPr="00BB7B21">
        <w:rPr>
          <w:rFonts w:ascii="Arial" w:hAnsi="Arial" w:cs="Arial"/>
          <w:sz w:val="24"/>
          <w:szCs w:val="24"/>
        </w:rPr>
        <w:t xml:space="preserve"> year</w:t>
      </w:r>
      <w:r w:rsidR="00B14F11" w:rsidRPr="00BB7B21">
        <w:rPr>
          <w:rFonts w:ascii="Arial" w:hAnsi="Arial" w:cs="Arial"/>
          <w:sz w:val="24"/>
          <w:szCs w:val="24"/>
        </w:rPr>
        <w:t>s</w:t>
      </w:r>
      <w:r w:rsidR="006C4A01" w:rsidRPr="00BB7B21">
        <w:rPr>
          <w:rFonts w:ascii="Arial" w:hAnsi="Arial" w:cs="Arial"/>
          <w:sz w:val="24"/>
          <w:szCs w:val="24"/>
        </w:rPr>
        <w:t xml:space="preserve"> later, in September 2022</w:t>
      </w:r>
      <w:r w:rsidR="00FB4813" w:rsidRPr="00BB7B21">
        <w:rPr>
          <w:rFonts w:ascii="Arial" w:hAnsi="Arial" w:cs="Arial"/>
          <w:sz w:val="24"/>
          <w:szCs w:val="24"/>
        </w:rPr>
        <w:t xml:space="preserve">, </w:t>
      </w:r>
      <w:r w:rsidR="006C4A01" w:rsidRPr="00BB7B21">
        <w:rPr>
          <w:rFonts w:ascii="Arial" w:hAnsi="Arial" w:cs="Arial"/>
          <w:sz w:val="24"/>
          <w:szCs w:val="24"/>
        </w:rPr>
        <w:t xml:space="preserve">that this application would be launched. The explanation given by the plaintiff in his affidavits is that his </w:t>
      </w:r>
      <w:r w:rsidR="0092379D" w:rsidRPr="00BB7B21">
        <w:rPr>
          <w:rFonts w:ascii="Arial" w:hAnsi="Arial" w:cs="Arial"/>
          <w:sz w:val="24"/>
          <w:szCs w:val="24"/>
        </w:rPr>
        <w:t>erstwhile</w:t>
      </w:r>
      <w:r w:rsidR="006C4A01" w:rsidRPr="00BB7B21">
        <w:rPr>
          <w:rFonts w:ascii="Arial" w:hAnsi="Arial" w:cs="Arial"/>
          <w:sz w:val="24"/>
          <w:szCs w:val="24"/>
        </w:rPr>
        <w:t xml:space="preserve"> legal practitioners were of the view that the relevant provisions of section 2 had become abrogated by disuse and that there was therefore no need to seek such leave. Upon the </w:t>
      </w:r>
      <w:r w:rsidR="00C8157E" w:rsidRPr="00BB7B21">
        <w:rPr>
          <w:rFonts w:ascii="Arial" w:hAnsi="Arial" w:cs="Arial"/>
          <w:sz w:val="24"/>
          <w:szCs w:val="24"/>
        </w:rPr>
        <w:t>plaintiff</w:t>
      </w:r>
      <w:r w:rsidR="006C4A01" w:rsidRPr="00BB7B21">
        <w:rPr>
          <w:rFonts w:ascii="Arial" w:hAnsi="Arial" w:cs="Arial"/>
          <w:sz w:val="24"/>
          <w:szCs w:val="24"/>
        </w:rPr>
        <w:t xml:space="preserve"> appointing new attorneys of record in November 2021, and having launched an application for consolidation and Mr Hussey persisting in his position that leave needed to be obtained, the plaintiff decided in </w:t>
      </w:r>
      <w:r w:rsidR="0092379D" w:rsidRPr="00BB7B21">
        <w:rPr>
          <w:rFonts w:ascii="Arial" w:hAnsi="Arial" w:cs="Arial"/>
          <w:sz w:val="24"/>
          <w:szCs w:val="24"/>
        </w:rPr>
        <w:t xml:space="preserve">September </w:t>
      </w:r>
      <w:r w:rsidR="006C4A01" w:rsidRPr="00BB7B21">
        <w:rPr>
          <w:rFonts w:ascii="Arial" w:hAnsi="Arial" w:cs="Arial"/>
          <w:sz w:val="24"/>
          <w:szCs w:val="24"/>
        </w:rPr>
        <w:t xml:space="preserve">2022 to launch these proceedings. </w:t>
      </w:r>
    </w:p>
    <w:p w14:paraId="67EC4796" w14:textId="7ABB8BCF" w:rsidR="006C4A01"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68.</w:t>
      </w:r>
      <w:r>
        <w:rPr>
          <w:rFonts w:ascii="Arial" w:hAnsi="Arial" w:cs="Arial"/>
          <w:sz w:val="24"/>
          <w:szCs w:val="24"/>
        </w:rPr>
        <w:tab/>
      </w:r>
      <w:r w:rsidR="0092379D" w:rsidRPr="00BB7B21">
        <w:rPr>
          <w:rFonts w:ascii="Arial" w:hAnsi="Arial" w:cs="Arial"/>
          <w:sz w:val="24"/>
          <w:szCs w:val="24"/>
        </w:rPr>
        <w:t>The</w:t>
      </w:r>
      <w:r w:rsidR="006C4A01" w:rsidRPr="00BB7B21">
        <w:rPr>
          <w:rFonts w:ascii="Arial" w:hAnsi="Arial" w:cs="Arial"/>
          <w:sz w:val="24"/>
          <w:szCs w:val="24"/>
        </w:rPr>
        <w:t xml:space="preserve"> explanation that his previous attorneys were of the view that the relevant provisions</w:t>
      </w:r>
      <w:r w:rsidR="0092379D" w:rsidRPr="00BB7B21">
        <w:rPr>
          <w:rFonts w:ascii="Arial" w:hAnsi="Arial" w:cs="Arial"/>
          <w:sz w:val="24"/>
          <w:szCs w:val="24"/>
        </w:rPr>
        <w:t xml:space="preserve"> of the Act</w:t>
      </w:r>
      <w:r w:rsidR="006C4A01" w:rsidRPr="00BB7B21">
        <w:rPr>
          <w:rFonts w:ascii="Arial" w:hAnsi="Arial" w:cs="Arial"/>
          <w:sz w:val="24"/>
          <w:szCs w:val="24"/>
        </w:rPr>
        <w:t xml:space="preserve"> had been abrogated by disuse </w:t>
      </w:r>
      <w:r w:rsidR="0092379D" w:rsidRPr="00BB7B21">
        <w:rPr>
          <w:rFonts w:ascii="Arial" w:hAnsi="Arial" w:cs="Arial"/>
          <w:sz w:val="24"/>
          <w:szCs w:val="24"/>
        </w:rPr>
        <w:t>is</w:t>
      </w:r>
      <w:r w:rsidR="006C4A01" w:rsidRPr="00BB7B21">
        <w:rPr>
          <w:rFonts w:ascii="Arial" w:hAnsi="Arial" w:cs="Arial"/>
          <w:sz w:val="24"/>
          <w:szCs w:val="24"/>
        </w:rPr>
        <w:t xml:space="preserve"> unpersuasive</w:t>
      </w:r>
      <w:r w:rsidR="0092379D" w:rsidRPr="00BB7B21">
        <w:rPr>
          <w:rFonts w:ascii="Arial" w:hAnsi="Arial" w:cs="Arial"/>
          <w:sz w:val="24"/>
          <w:szCs w:val="24"/>
        </w:rPr>
        <w:t>. For instance</w:t>
      </w:r>
      <w:r w:rsidR="006C4A01" w:rsidRPr="00BB7B21">
        <w:rPr>
          <w:rFonts w:ascii="Arial" w:hAnsi="Arial" w:cs="Arial"/>
          <w:sz w:val="24"/>
          <w:szCs w:val="24"/>
        </w:rPr>
        <w:t>, those sections have been considered and applied by the Supreme Court of Appeal</w:t>
      </w:r>
      <w:r w:rsidR="0092379D" w:rsidRPr="00BB7B21">
        <w:rPr>
          <w:rFonts w:ascii="Arial" w:hAnsi="Arial" w:cs="Arial"/>
          <w:sz w:val="24"/>
          <w:szCs w:val="24"/>
        </w:rPr>
        <w:t xml:space="preserve"> in 2009 </w:t>
      </w:r>
      <w:r w:rsidR="006C4A01" w:rsidRPr="00BB7B21">
        <w:rPr>
          <w:rFonts w:ascii="Arial" w:hAnsi="Arial" w:cs="Arial"/>
          <w:sz w:val="24"/>
          <w:szCs w:val="24"/>
        </w:rPr>
        <w:t xml:space="preserve">in </w:t>
      </w:r>
      <w:r w:rsidR="006C4A01" w:rsidRPr="00BB7B21">
        <w:rPr>
          <w:rFonts w:ascii="Arial" w:hAnsi="Arial" w:cs="Arial"/>
          <w:i/>
          <w:iCs/>
          <w:sz w:val="24"/>
          <w:szCs w:val="24"/>
        </w:rPr>
        <w:t>ABSA Brokers</w:t>
      </w:r>
      <w:r w:rsidR="006C4A01" w:rsidRPr="00BB7B21">
        <w:rPr>
          <w:rFonts w:ascii="Arial" w:hAnsi="Arial" w:cs="Arial"/>
          <w:sz w:val="24"/>
          <w:szCs w:val="24"/>
        </w:rPr>
        <w:t xml:space="preserve">. </w:t>
      </w:r>
    </w:p>
    <w:p w14:paraId="1CD6EABB" w14:textId="79BC7B84" w:rsidR="006C4A01"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69.</w:t>
      </w:r>
      <w:r>
        <w:rPr>
          <w:rFonts w:ascii="Arial" w:hAnsi="Arial" w:cs="Arial"/>
          <w:sz w:val="24"/>
          <w:szCs w:val="24"/>
        </w:rPr>
        <w:tab/>
      </w:r>
      <w:r w:rsidR="00FB4813" w:rsidRPr="00BB7B21">
        <w:rPr>
          <w:rFonts w:ascii="Arial" w:hAnsi="Arial" w:cs="Arial"/>
          <w:sz w:val="24"/>
          <w:szCs w:val="24"/>
        </w:rPr>
        <w:t>Accordingly, the</w:t>
      </w:r>
      <w:r w:rsidR="006C4A01" w:rsidRPr="00BB7B21">
        <w:rPr>
          <w:rFonts w:ascii="Arial" w:hAnsi="Arial" w:cs="Arial"/>
          <w:sz w:val="24"/>
          <w:szCs w:val="24"/>
        </w:rPr>
        <w:t xml:space="preserve"> plaintiff’s explanation is the same for both his failure to give notice</w:t>
      </w:r>
      <w:r w:rsidR="00FB4813" w:rsidRPr="00BB7B21">
        <w:rPr>
          <w:rFonts w:ascii="Arial" w:hAnsi="Arial" w:cs="Arial"/>
          <w:sz w:val="24"/>
          <w:szCs w:val="24"/>
        </w:rPr>
        <w:t xml:space="preserve"> in terms of section 2(2)</w:t>
      </w:r>
      <w:r w:rsidR="006C4A01" w:rsidRPr="00BB7B21">
        <w:rPr>
          <w:rFonts w:ascii="Arial" w:hAnsi="Arial" w:cs="Arial"/>
          <w:sz w:val="24"/>
          <w:szCs w:val="24"/>
        </w:rPr>
        <w:t xml:space="preserve"> and for not bringing this application earlier, namely</w:t>
      </w:r>
      <w:r w:rsidR="00FB4813" w:rsidRPr="00BB7B21">
        <w:rPr>
          <w:rFonts w:ascii="Arial" w:hAnsi="Arial" w:cs="Arial"/>
          <w:sz w:val="24"/>
          <w:szCs w:val="24"/>
        </w:rPr>
        <w:t xml:space="preserve"> </w:t>
      </w:r>
      <w:r w:rsidR="006C4A01" w:rsidRPr="00BB7B21">
        <w:rPr>
          <w:rFonts w:ascii="Arial" w:hAnsi="Arial" w:cs="Arial"/>
          <w:sz w:val="24"/>
          <w:szCs w:val="24"/>
        </w:rPr>
        <w:t xml:space="preserve">the deficiency of the advice that he received from his erstwhile attorneys. </w:t>
      </w:r>
      <w:r w:rsidR="00FB4813" w:rsidRPr="00BB7B21">
        <w:rPr>
          <w:rFonts w:ascii="Arial" w:hAnsi="Arial" w:cs="Arial"/>
          <w:sz w:val="24"/>
          <w:szCs w:val="24"/>
        </w:rPr>
        <w:t xml:space="preserve">Unsurprisingly </w:t>
      </w:r>
      <w:r w:rsidR="006C4A01" w:rsidRPr="00BB7B21">
        <w:rPr>
          <w:rFonts w:ascii="Arial" w:hAnsi="Arial" w:cs="Arial"/>
          <w:sz w:val="24"/>
          <w:szCs w:val="24"/>
        </w:rPr>
        <w:t xml:space="preserve">Mr Hussey’s counsel </w:t>
      </w:r>
      <w:r w:rsidR="00FB4813" w:rsidRPr="00BB7B21">
        <w:rPr>
          <w:rFonts w:ascii="Arial" w:hAnsi="Arial" w:cs="Arial"/>
          <w:sz w:val="24"/>
          <w:szCs w:val="24"/>
        </w:rPr>
        <w:t>submitted</w:t>
      </w:r>
      <w:r w:rsidR="006C4A01" w:rsidRPr="00BB7B21">
        <w:rPr>
          <w:rFonts w:ascii="Arial" w:hAnsi="Arial" w:cs="Arial"/>
          <w:sz w:val="24"/>
          <w:szCs w:val="24"/>
        </w:rPr>
        <w:t xml:space="preserve"> that this was an instance where the plaintiff could not distance himself from </w:t>
      </w:r>
      <w:r w:rsidR="006C4A01" w:rsidRPr="00BB7B21">
        <w:rPr>
          <w:rFonts w:ascii="Arial" w:hAnsi="Arial" w:cs="Arial"/>
          <w:sz w:val="24"/>
          <w:szCs w:val="24"/>
        </w:rPr>
        <w:lastRenderedPageBreak/>
        <w:t xml:space="preserve">the conduct of his previous legal representatives and </w:t>
      </w:r>
      <w:r w:rsidR="00011F37" w:rsidRPr="00BB7B21">
        <w:rPr>
          <w:rFonts w:ascii="Arial" w:hAnsi="Arial" w:cs="Arial"/>
          <w:sz w:val="24"/>
          <w:szCs w:val="24"/>
        </w:rPr>
        <w:t xml:space="preserve">that </w:t>
      </w:r>
      <w:r w:rsidR="006C4A01" w:rsidRPr="00BB7B21">
        <w:rPr>
          <w:rFonts w:ascii="Arial" w:hAnsi="Arial" w:cs="Arial"/>
          <w:sz w:val="24"/>
          <w:szCs w:val="24"/>
        </w:rPr>
        <w:t>as adequate explanations had not been given, good cause had not been shown</w:t>
      </w:r>
      <w:r w:rsidR="00FB4813" w:rsidRPr="00BB7B21">
        <w:rPr>
          <w:rFonts w:ascii="Arial" w:hAnsi="Arial" w:cs="Arial"/>
          <w:sz w:val="24"/>
          <w:szCs w:val="24"/>
        </w:rPr>
        <w:t xml:space="preserve"> </w:t>
      </w:r>
      <w:r w:rsidR="005A508B" w:rsidRPr="00BB7B21">
        <w:rPr>
          <w:rFonts w:ascii="Arial" w:hAnsi="Arial" w:cs="Arial"/>
          <w:sz w:val="24"/>
          <w:szCs w:val="24"/>
        </w:rPr>
        <w:t>as to why notice was not given.</w:t>
      </w:r>
    </w:p>
    <w:p w14:paraId="6C06C5D0" w14:textId="057BE080" w:rsidR="003E11A2"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70.</w:t>
      </w:r>
      <w:r>
        <w:rPr>
          <w:rFonts w:ascii="Arial" w:hAnsi="Arial" w:cs="Arial"/>
          <w:sz w:val="24"/>
          <w:szCs w:val="24"/>
        </w:rPr>
        <w:tab/>
      </w:r>
      <w:r w:rsidR="005A508B" w:rsidRPr="00BB7B21">
        <w:rPr>
          <w:rFonts w:ascii="Arial" w:hAnsi="Arial" w:cs="Arial"/>
          <w:sz w:val="24"/>
          <w:szCs w:val="24"/>
        </w:rPr>
        <w:t xml:space="preserve">Van Zyl J in </w:t>
      </w:r>
      <w:r w:rsidR="005A508B" w:rsidRPr="00BB7B21">
        <w:rPr>
          <w:rFonts w:ascii="Arial" w:hAnsi="Arial" w:cs="Arial"/>
          <w:i/>
          <w:iCs/>
          <w:sz w:val="24"/>
          <w:szCs w:val="24"/>
        </w:rPr>
        <w:t>Pitsiladi and Others v ABSA Bank and others</w:t>
      </w:r>
      <w:r w:rsidR="005A508B" w:rsidRPr="00BB7B21">
        <w:rPr>
          <w:rFonts w:ascii="Arial" w:hAnsi="Arial" w:cs="Arial"/>
          <w:sz w:val="24"/>
          <w:szCs w:val="24"/>
        </w:rPr>
        <w:t xml:space="preserve"> 2007 (4) SA 478 (SE) </w:t>
      </w:r>
      <w:r w:rsidR="003E11A2" w:rsidRPr="00BB7B21">
        <w:rPr>
          <w:rFonts w:ascii="Arial" w:hAnsi="Arial" w:cs="Arial"/>
          <w:sz w:val="24"/>
          <w:szCs w:val="24"/>
        </w:rPr>
        <w:t>described an application for leave</w:t>
      </w:r>
      <w:r w:rsidR="000D3FDB" w:rsidRPr="00BB7B21">
        <w:rPr>
          <w:rFonts w:ascii="Arial" w:hAnsi="Arial" w:cs="Arial"/>
          <w:sz w:val="24"/>
          <w:szCs w:val="24"/>
        </w:rPr>
        <w:t xml:space="preserve"> to serve a third</w:t>
      </w:r>
      <w:r w:rsidR="005A508B" w:rsidRPr="00BB7B21">
        <w:rPr>
          <w:rFonts w:ascii="Arial" w:hAnsi="Arial" w:cs="Arial"/>
          <w:sz w:val="24"/>
          <w:szCs w:val="24"/>
        </w:rPr>
        <w:t>-</w:t>
      </w:r>
      <w:r w:rsidR="000D3FDB" w:rsidRPr="00BB7B21">
        <w:rPr>
          <w:rFonts w:ascii="Arial" w:hAnsi="Arial" w:cs="Arial"/>
          <w:sz w:val="24"/>
          <w:szCs w:val="24"/>
        </w:rPr>
        <w:t>party notice in terms of Uniform Rule 13(3)(b) after the close of pleadings, “</w:t>
      </w:r>
      <w:r w:rsidR="000D3FDB" w:rsidRPr="00BB7B21">
        <w:rPr>
          <w:rFonts w:ascii="Arial" w:hAnsi="Arial" w:cs="Arial"/>
          <w:i/>
          <w:iCs/>
          <w:sz w:val="24"/>
          <w:szCs w:val="24"/>
        </w:rPr>
        <w:t>of the same genus as applicants for rescission of a default judgment, removal of bar, leave to defend an</w:t>
      </w:r>
      <w:r w:rsidR="003E11A2" w:rsidRPr="00BB7B21">
        <w:rPr>
          <w:rFonts w:ascii="Arial" w:hAnsi="Arial" w:cs="Arial"/>
          <w:i/>
          <w:iCs/>
          <w:sz w:val="24"/>
          <w:szCs w:val="24"/>
        </w:rPr>
        <w:t>d</w:t>
      </w:r>
      <w:r w:rsidR="000D3FDB" w:rsidRPr="00BB7B21">
        <w:rPr>
          <w:rFonts w:ascii="Arial" w:hAnsi="Arial" w:cs="Arial"/>
          <w:i/>
          <w:iCs/>
          <w:sz w:val="24"/>
          <w:szCs w:val="24"/>
        </w:rPr>
        <w:t xml:space="preserve"> application for extension of time for the filing of pleadings</w:t>
      </w:r>
      <w:r w:rsidR="000D3FDB" w:rsidRPr="00BB7B21">
        <w:rPr>
          <w:rFonts w:ascii="Arial" w:hAnsi="Arial" w:cs="Arial"/>
          <w:sz w:val="24"/>
          <w:szCs w:val="24"/>
        </w:rPr>
        <w:t>”</w:t>
      </w:r>
      <w:r w:rsidR="00AE03EC" w:rsidRPr="00BB7B21">
        <w:rPr>
          <w:rFonts w:ascii="Arial" w:hAnsi="Arial" w:cs="Arial"/>
          <w:sz w:val="24"/>
          <w:szCs w:val="24"/>
        </w:rPr>
        <w:t xml:space="preserve"> </w:t>
      </w:r>
      <w:r w:rsidR="003E11A2" w:rsidRPr="00BB7B21">
        <w:rPr>
          <w:rFonts w:ascii="Arial" w:hAnsi="Arial" w:cs="Arial"/>
          <w:sz w:val="24"/>
          <w:szCs w:val="24"/>
        </w:rPr>
        <w:t xml:space="preserve">and </w:t>
      </w:r>
      <w:r w:rsidR="00AE03EC" w:rsidRPr="00BB7B21">
        <w:rPr>
          <w:rFonts w:ascii="Arial" w:hAnsi="Arial" w:cs="Arial"/>
          <w:sz w:val="24"/>
          <w:szCs w:val="24"/>
        </w:rPr>
        <w:t xml:space="preserve">reiterated that in deciding whether good cause has been shown, the court has a wide discretion, which is to be exercised judicially upon the consideration of all the facts, which included the explanation advanced by the applicant for his failure to give notice before the close of pleadings, whether the applicant has made out a </w:t>
      </w:r>
      <w:r w:rsidR="00AE03EC" w:rsidRPr="00BB7B21">
        <w:rPr>
          <w:rFonts w:ascii="Arial" w:hAnsi="Arial" w:cs="Arial"/>
          <w:i/>
          <w:iCs/>
          <w:sz w:val="24"/>
          <w:szCs w:val="24"/>
        </w:rPr>
        <w:t xml:space="preserve">prima facie </w:t>
      </w:r>
      <w:r w:rsidR="00AE03EC" w:rsidRPr="00BB7B21">
        <w:rPr>
          <w:rFonts w:ascii="Arial" w:hAnsi="Arial" w:cs="Arial"/>
          <w:sz w:val="24"/>
          <w:szCs w:val="24"/>
        </w:rPr>
        <w:t xml:space="preserve">case on the merits against the third party, the prejudice which any of the parties may suffer by the grant or refusal of the application, </w:t>
      </w:r>
      <w:r w:rsidR="00A466D7" w:rsidRPr="00BB7B21">
        <w:rPr>
          <w:rFonts w:ascii="Arial" w:hAnsi="Arial" w:cs="Arial"/>
          <w:sz w:val="24"/>
          <w:szCs w:val="24"/>
        </w:rPr>
        <w:t xml:space="preserve">and </w:t>
      </w:r>
      <w:r w:rsidR="00AE03EC" w:rsidRPr="00BB7B21">
        <w:rPr>
          <w:rFonts w:ascii="Arial" w:hAnsi="Arial" w:cs="Arial"/>
          <w:sz w:val="24"/>
          <w:szCs w:val="24"/>
        </w:rPr>
        <w:t xml:space="preserve">the administration of justice with reference to the purpose of the relevant rule or provision </w:t>
      </w:r>
      <w:r w:rsidR="003E11A2" w:rsidRPr="00BB7B21">
        <w:rPr>
          <w:rFonts w:ascii="Arial" w:hAnsi="Arial" w:cs="Arial"/>
          <w:sz w:val="24"/>
          <w:szCs w:val="24"/>
        </w:rPr>
        <w:t>(</w:t>
      </w:r>
      <w:r w:rsidR="00AE03EC" w:rsidRPr="00BB7B21">
        <w:rPr>
          <w:rFonts w:ascii="Arial" w:hAnsi="Arial" w:cs="Arial"/>
          <w:sz w:val="24"/>
          <w:szCs w:val="24"/>
        </w:rPr>
        <w:t xml:space="preserve">which </w:t>
      </w:r>
      <w:r w:rsidR="00C8157E" w:rsidRPr="00BB7B21">
        <w:rPr>
          <w:rFonts w:ascii="Arial" w:hAnsi="Arial" w:cs="Arial"/>
          <w:sz w:val="24"/>
          <w:szCs w:val="24"/>
        </w:rPr>
        <w:t>would be</w:t>
      </w:r>
      <w:r w:rsidR="00AE03EC" w:rsidRPr="00BB7B21">
        <w:rPr>
          <w:rFonts w:ascii="Arial" w:hAnsi="Arial" w:cs="Arial"/>
          <w:sz w:val="24"/>
          <w:szCs w:val="24"/>
        </w:rPr>
        <w:t xml:space="preserve"> the avoidance of a multiplicity of actions and to consolidate, in specified circumstances, a multiplicity of issues between a number of litigants all in a single action</w:t>
      </w:r>
      <w:r w:rsidR="003E11A2" w:rsidRPr="00BB7B21">
        <w:rPr>
          <w:rFonts w:ascii="Arial" w:hAnsi="Arial" w:cs="Arial"/>
          <w:sz w:val="24"/>
          <w:szCs w:val="24"/>
        </w:rPr>
        <w:t>)</w:t>
      </w:r>
      <w:r w:rsidR="00AE03EC" w:rsidRPr="00BB7B21">
        <w:rPr>
          <w:rFonts w:ascii="Arial" w:hAnsi="Arial" w:cs="Arial"/>
          <w:sz w:val="24"/>
          <w:szCs w:val="24"/>
        </w:rPr>
        <w:t>.</w:t>
      </w:r>
      <w:r w:rsidR="00AE03EC">
        <w:rPr>
          <w:rStyle w:val="FootnoteReference"/>
          <w:rFonts w:ascii="Arial" w:hAnsi="Arial" w:cs="Arial"/>
          <w:sz w:val="24"/>
          <w:szCs w:val="24"/>
        </w:rPr>
        <w:footnoteReference w:id="28"/>
      </w:r>
      <w:r w:rsidR="00AE03EC" w:rsidRPr="00BB7B21">
        <w:rPr>
          <w:rFonts w:ascii="Arial" w:hAnsi="Arial" w:cs="Arial"/>
          <w:sz w:val="24"/>
          <w:szCs w:val="24"/>
        </w:rPr>
        <w:t xml:space="preserve"> </w:t>
      </w:r>
    </w:p>
    <w:p w14:paraId="7F17041D" w14:textId="488E8B3E" w:rsidR="000D3FDB"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71.</w:t>
      </w:r>
      <w:r>
        <w:rPr>
          <w:rFonts w:ascii="Arial" w:hAnsi="Arial" w:cs="Arial"/>
          <w:sz w:val="24"/>
          <w:szCs w:val="24"/>
        </w:rPr>
        <w:tab/>
      </w:r>
      <w:r w:rsidR="00AE03EC" w:rsidRPr="00BB7B21">
        <w:rPr>
          <w:rFonts w:ascii="Arial" w:hAnsi="Arial" w:cs="Arial"/>
          <w:sz w:val="24"/>
          <w:szCs w:val="24"/>
        </w:rPr>
        <w:t>To the same effect</w:t>
      </w:r>
      <w:r w:rsidR="003E11A2" w:rsidRPr="00BB7B21">
        <w:rPr>
          <w:rFonts w:ascii="Arial" w:hAnsi="Arial" w:cs="Arial"/>
          <w:sz w:val="24"/>
          <w:szCs w:val="24"/>
        </w:rPr>
        <w:t xml:space="preserve"> in relation to an application in terms of Rule 13(3)(b)</w:t>
      </w:r>
      <w:r w:rsidR="00AE03EC" w:rsidRPr="00BB7B21">
        <w:rPr>
          <w:rFonts w:ascii="Arial" w:hAnsi="Arial" w:cs="Arial"/>
          <w:sz w:val="24"/>
          <w:szCs w:val="24"/>
        </w:rPr>
        <w:t xml:space="preserve">, in this </w:t>
      </w:r>
      <w:r w:rsidR="00C8157E" w:rsidRPr="00BB7B21">
        <w:rPr>
          <w:rFonts w:ascii="Arial" w:hAnsi="Arial" w:cs="Arial"/>
          <w:sz w:val="24"/>
          <w:szCs w:val="24"/>
        </w:rPr>
        <w:t>D</w:t>
      </w:r>
      <w:r w:rsidR="00AE03EC" w:rsidRPr="00BB7B21">
        <w:rPr>
          <w:rFonts w:ascii="Arial" w:hAnsi="Arial" w:cs="Arial"/>
          <w:sz w:val="24"/>
          <w:szCs w:val="24"/>
        </w:rPr>
        <w:t xml:space="preserve">ivision, is </w:t>
      </w:r>
      <w:r w:rsidR="00AE03EC" w:rsidRPr="00BB7B21">
        <w:rPr>
          <w:rFonts w:ascii="Arial" w:hAnsi="Arial" w:cs="Arial"/>
          <w:i/>
          <w:iCs/>
          <w:sz w:val="24"/>
          <w:szCs w:val="24"/>
        </w:rPr>
        <w:t xml:space="preserve">Mercantile Bank Limited v Carlisle and Another </w:t>
      </w:r>
      <w:r w:rsidR="00AE03EC" w:rsidRPr="00BB7B21">
        <w:rPr>
          <w:rFonts w:ascii="Arial" w:hAnsi="Arial" w:cs="Arial"/>
          <w:sz w:val="24"/>
          <w:szCs w:val="24"/>
        </w:rPr>
        <w:t xml:space="preserve">2002 </w:t>
      </w:r>
      <w:r w:rsidR="00AE03EC" w:rsidRPr="00BB7B21">
        <w:rPr>
          <w:rFonts w:ascii="Arial" w:hAnsi="Arial" w:cs="Arial"/>
          <w:sz w:val="24"/>
          <w:szCs w:val="24"/>
        </w:rPr>
        <w:lastRenderedPageBreak/>
        <w:t>(4) SA 886 (W), and where the court stated that a lenient approach is called for.</w:t>
      </w:r>
      <w:r w:rsidR="00AE03EC">
        <w:rPr>
          <w:rStyle w:val="FootnoteReference"/>
          <w:rFonts w:ascii="Arial" w:hAnsi="Arial" w:cs="Arial"/>
          <w:sz w:val="24"/>
          <w:szCs w:val="24"/>
        </w:rPr>
        <w:footnoteReference w:id="29"/>
      </w:r>
    </w:p>
    <w:p w14:paraId="4FBAFA6A" w14:textId="4BE30C1F" w:rsidR="003E11A2"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72.</w:t>
      </w:r>
      <w:r>
        <w:rPr>
          <w:rFonts w:ascii="Arial" w:hAnsi="Arial" w:cs="Arial"/>
          <w:sz w:val="24"/>
          <w:szCs w:val="24"/>
        </w:rPr>
        <w:tab/>
      </w:r>
      <w:r w:rsidR="0031436B" w:rsidRPr="00BB7B21">
        <w:rPr>
          <w:rFonts w:ascii="Arial" w:hAnsi="Arial" w:cs="Arial"/>
          <w:sz w:val="24"/>
          <w:szCs w:val="24"/>
        </w:rPr>
        <w:t>T</w:t>
      </w:r>
      <w:r w:rsidR="003E11A2" w:rsidRPr="00BB7B21">
        <w:rPr>
          <w:rFonts w:ascii="Arial" w:hAnsi="Arial" w:cs="Arial"/>
          <w:sz w:val="24"/>
          <w:szCs w:val="24"/>
        </w:rPr>
        <w:t>he court</w:t>
      </w:r>
      <w:r w:rsidR="0031436B" w:rsidRPr="00BB7B21">
        <w:rPr>
          <w:rFonts w:ascii="Arial" w:hAnsi="Arial" w:cs="Arial"/>
          <w:sz w:val="24"/>
          <w:szCs w:val="24"/>
        </w:rPr>
        <w:t xml:space="preserve"> similarly</w:t>
      </w:r>
      <w:r w:rsidR="003E11A2" w:rsidRPr="00BB7B21">
        <w:rPr>
          <w:rFonts w:ascii="Arial" w:hAnsi="Arial" w:cs="Arial"/>
          <w:sz w:val="24"/>
          <w:szCs w:val="24"/>
        </w:rPr>
        <w:t xml:space="preserve"> has a wide discretion whether to grant leave in terms of section 2(4) of the Act</w:t>
      </w:r>
      <w:r w:rsidR="0031436B" w:rsidRPr="00BB7B21">
        <w:rPr>
          <w:rFonts w:ascii="Arial" w:hAnsi="Arial" w:cs="Arial"/>
          <w:sz w:val="24"/>
          <w:szCs w:val="24"/>
        </w:rPr>
        <w:t>.</w:t>
      </w:r>
      <w:r w:rsidR="0031436B">
        <w:rPr>
          <w:rStyle w:val="FootnoteReference"/>
          <w:rFonts w:ascii="Arial" w:hAnsi="Arial" w:cs="Arial"/>
          <w:sz w:val="24"/>
          <w:szCs w:val="24"/>
        </w:rPr>
        <w:footnoteReference w:id="30"/>
      </w:r>
      <w:r w:rsidR="0031436B" w:rsidRPr="00BB7B21">
        <w:rPr>
          <w:rFonts w:ascii="Arial" w:hAnsi="Arial" w:cs="Arial"/>
          <w:sz w:val="24"/>
          <w:szCs w:val="24"/>
        </w:rPr>
        <w:t xml:space="preserve"> And the considerations that apply in relation to an application for leave in terms of Rule 13(3)(b) will apply in considering whether leave is to be granted in terms of section 2(4) of the Act, save that specific consideration must be given as to why the notice was not given in terms of section 2(2).</w:t>
      </w:r>
      <w:r w:rsidR="00F81BFD">
        <w:rPr>
          <w:rStyle w:val="FootnoteReference"/>
          <w:rFonts w:ascii="Arial" w:hAnsi="Arial" w:cs="Arial"/>
          <w:sz w:val="24"/>
          <w:szCs w:val="24"/>
        </w:rPr>
        <w:footnoteReference w:id="31"/>
      </w:r>
    </w:p>
    <w:p w14:paraId="0E0588C8" w14:textId="0E43EEF4" w:rsidR="004B174D"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73.</w:t>
      </w:r>
      <w:r>
        <w:rPr>
          <w:rFonts w:ascii="Arial" w:hAnsi="Arial" w:cs="Arial"/>
          <w:sz w:val="24"/>
          <w:szCs w:val="24"/>
        </w:rPr>
        <w:tab/>
      </w:r>
      <w:r w:rsidR="00AE03EC" w:rsidRPr="00BB7B21">
        <w:rPr>
          <w:rFonts w:ascii="Arial" w:hAnsi="Arial" w:cs="Arial"/>
          <w:sz w:val="24"/>
          <w:szCs w:val="24"/>
        </w:rPr>
        <w:t>In the present instance, for the reasons set out above, the plaintiff’s explanation as to why he could not give notice in the first instance and why he delayed in bringing this application, which is to attribute the fault to his previous legal representatives, is not persuasive. On the other hand, Mr Hussey is clearly a joint wrongdoer and it is both appropriate and convenient that his liability be determined, not only as between him and those defendants who ha</w:t>
      </w:r>
      <w:r w:rsidR="004B174D" w:rsidRPr="00BB7B21">
        <w:rPr>
          <w:rFonts w:ascii="Arial" w:hAnsi="Arial" w:cs="Arial"/>
          <w:sz w:val="24"/>
          <w:szCs w:val="24"/>
        </w:rPr>
        <w:t>d</w:t>
      </w:r>
      <w:r w:rsidR="00AE03EC" w:rsidRPr="00BB7B21">
        <w:rPr>
          <w:rFonts w:ascii="Arial" w:hAnsi="Arial" w:cs="Arial"/>
          <w:sz w:val="24"/>
          <w:szCs w:val="24"/>
        </w:rPr>
        <w:t xml:space="preserve"> </w:t>
      </w:r>
      <w:r w:rsidR="00F81BFD" w:rsidRPr="00BB7B21">
        <w:rPr>
          <w:rFonts w:ascii="Arial" w:hAnsi="Arial" w:cs="Arial"/>
          <w:sz w:val="24"/>
          <w:szCs w:val="24"/>
        </w:rPr>
        <w:t xml:space="preserve">already </w:t>
      </w:r>
      <w:r w:rsidR="00AE03EC" w:rsidRPr="00BB7B21">
        <w:rPr>
          <w:rFonts w:ascii="Arial" w:hAnsi="Arial" w:cs="Arial"/>
          <w:sz w:val="24"/>
          <w:szCs w:val="24"/>
        </w:rPr>
        <w:t>joined him</w:t>
      </w:r>
      <w:r w:rsidR="00F81BFD" w:rsidRPr="00BB7B21">
        <w:rPr>
          <w:rFonts w:ascii="Arial" w:hAnsi="Arial" w:cs="Arial"/>
          <w:sz w:val="24"/>
          <w:szCs w:val="24"/>
        </w:rPr>
        <w:t xml:space="preserve"> in the first action</w:t>
      </w:r>
      <w:r w:rsidR="004B174D" w:rsidRPr="00BB7B21">
        <w:rPr>
          <w:rFonts w:ascii="Arial" w:hAnsi="Arial" w:cs="Arial"/>
          <w:sz w:val="24"/>
          <w:szCs w:val="24"/>
        </w:rPr>
        <w:t xml:space="preserve"> as long ago as March 2020 </w:t>
      </w:r>
      <w:r w:rsidR="00AE03EC" w:rsidRPr="00BB7B21">
        <w:rPr>
          <w:rFonts w:ascii="Arial" w:hAnsi="Arial" w:cs="Arial"/>
          <w:sz w:val="24"/>
          <w:szCs w:val="24"/>
        </w:rPr>
        <w:t>but also as between him and the plaintiff</w:t>
      </w:r>
      <w:r w:rsidR="00F81BFD" w:rsidRPr="00BB7B21">
        <w:rPr>
          <w:rFonts w:ascii="Arial" w:hAnsi="Arial" w:cs="Arial"/>
          <w:sz w:val="24"/>
          <w:szCs w:val="24"/>
        </w:rPr>
        <w:t>, in terms of the second action</w:t>
      </w:r>
      <w:r w:rsidR="004B174D" w:rsidRPr="00BB7B21">
        <w:rPr>
          <w:rFonts w:ascii="Arial" w:hAnsi="Arial" w:cs="Arial"/>
          <w:sz w:val="24"/>
          <w:szCs w:val="24"/>
        </w:rPr>
        <w:t xml:space="preserve"> also launched in March 2020</w:t>
      </w:r>
      <w:r w:rsidR="00AE03EC" w:rsidRPr="00BB7B21">
        <w:rPr>
          <w:rFonts w:ascii="Arial" w:hAnsi="Arial" w:cs="Arial"/>
          <w:sz w:val="24"/>
          <w:szCs w:val="24"/>
        </w:rPr>
        <w:t xml:space="preserve">. </w:t>
      </w:r>
      <w:r w:rsidR="004B174D" w:rsidRPr="00BB7B21">
        <w:rPr>
          <w:rFonts w:ascii="Arial" w:hAnsi="Arial" w:cs="Arial"/>
          <w:sz w:val="24"/>
          <w:szCs w:val="24"/>
        </w:rPr>
        <w:t xml:space="preserve"> The present position can be contrasted to that w</w:t>
      </w:r>
      <w:r w:rsidR="00A466D7" w:rsidRPr="00BB7B21">
        <w:rPr>
          <w:rFonts w:ascii="Arial" w:hAnsi="Arial" w:cs="Arial"/>
          <w:sz w:val="24"/>
          <w:szCs w:val="24"/>
        </w:rPr>
        <w:t>h</w:t>
      </w:r>
      <w:r w:rsidR="004B174D" w:rsidRPr="00BB7B21">
        <w:rPr>
          <w:rFonts w:ascii="Arial" w:hAnsi="Arial" w:cs="Arial"/>
          <w:sz w:val="24"/>
          <w:szCs w:val="24"/>
        </w:rPr>
        <w:t xml:space="preserve">ere a joint wrongdoer is only sued a long time down the line and after the trial has significantly progressed (such as in </w:t>
      </w:r>
      <w:r w:rsidR="004B174D" w:rsidRPr="00BB7B21">
        <w:rPr>
          <w:rFonts w:ascii="Arial" w:hAnsi="Arial" w:cs="Arial"/>
          <w:i/>
          <w:iCs/>
          <w:sz w:val="24"/>
          <w:szCs w:val="24"/>
        </w:rPr>
        <w:t>Lincoln</w:t>
      </w:r>
      <w:r w:rsidR="004B174D" w:rsidRPr="00BB7B21">
        <w:rPr>
          <w:rFonts w:ascii="Arial" w:hAnsi="Arial" w:cs="Arial"/>
          <w:sz w:val="24"/>
          <w:szCs w:val="24"/>
        </w:rPr>
        <w:t xml:space="preserve"> where the joint wrongdoer was only sued after the judgment ha</w:t>
      </w:r>
      <w:r w:rsidR="00A466D7" w:rsidRPr="00BB7B21">
        <w:rPr>
          <w:rFonts w:ascii="Arial" w:hAnsi="Arial" w:cs="Arial"/>
          <w:sz w:val="24"/>
          <w:szCs w:val="24"/>
        </w:rPr>
        <w:t>d</w:t>
      </w:r>
      <w:r w:rsidR="004B174D" w:rsidRPr="00BB7B21">
        <w:rPr>
          <w:rFonts w:ascii="Arial" w:hAnsi="Arial" w:cs="Arial"/>
          <w:sz w:val="24"/>
          <w:szCs w:val="24"/>
        </w:rPr>
        <w:t xml:space="preserve"> already been given in the first action, and the court </w:t>
      </w:r>
      <w:r w:rsidR="00A466D7" w:rsidRPr="00BB7B21">
        <w:rPr>
          <w:rFonts w:ascii="Arial" w:hAnsi="Arial" w:cs="Arial"/>
          <w:sz w:val="24"/>
          <w:szCs w:val="24"/>
        </w:rPr>
        <w:t xml:space="preserve">was </w:t>
      </w:r>
      <w:r w:rsidR="006A511F" w:rsidRPr="00BB7B21">
        <w:rPr>
          <w:rFonts w:ascii="Arial" w:hAnsi="Arial" w:cs="Arial"/>
          <w:sz w:val="24"/>
          <w:szCs w:val="24"/>
        </w:rPr>
        <w:t xml:space="preserve">nevertheless </w:t>
      </w:r>
      <w:r w:rsidR="004B174D" w:rsidRPr="00BB7B21">
        <w:rPr>
          <w:rFonts w:ascii="Arial" w:hAnsi="Arial" w:cs="Arial"/>
          <w:sz w:val="24"/>
          <w:szCs w:val="24"/>
        </w:rPr>
        <w:t xml:space="preserve">still </w:t>
      </w:r>
      <w:r w:rsidR="004B174D" w:rsidRPr="00BB7B21">
        <w:rPr>
          <w:rFonts w:ascii="Arial" w:hAnsi="Arial" w:cs="Arial"/>
          <w:sz w:val="24"/>
          <w:szCs w:val="24"/>
        </w:rPr>
        <w:lastRenderedPageBreak/>
        <w:t>prepared to grant leave). In the present instance,</w:t>
      </w:r>
      <w:r w:rsidR="007C4604" w:rsidRPr="00BB7B21">
        <w:rPr>
          <w:rFonts w:ascii="Arial" w:hAnsi="Arial" w:cs="Arial"/>
          <w:sz w:val="24"/>
          <w:szCs w:val="24"/>
        </w:rPr>
        <w:t xml:space="preserve"> and as emphasised by the plaintiff’s counsel,</w:t>
      </w:r>
      <w:r w:rsidR="004B174D" w:rsidRPr="00BB7B21">
        <w:rPr>
          <w:rFonts w:ascii="Arial" w:hAnsi="Arial" w:cs="Arial"/>
          <w:sz w:val="24"/>
          <w:szCs w:val="24"/>
        </w:rPr>
        <w:t xml:space="preserve"> Mr Hussey has been part of the overall fray since earl</w:t>
      </w:r>
      <w:r w:rsidR="007C4604" w:rsidRPr="00BB7B21">
        <w:rPr>
          <w:rFonts w:ascii="Arial" w:hAnsi="Arial" w:cs="Arial"/>
          <w:sz w:val="24"/>
          <w:szCs w:val="24"/>
        </w:rPr>
        <w:t>y</w:t>
      </w:r>
      <w:r w:rsidR="004B174D" w:rsidRPr="00BB7B21">
        <w:rPr>
          <w:rFonts w:ascii="Arial" w:hAnsi="Arial" w:cs="Arial"/>
          <w:sz w:val="24"/>
          <w:szCs w:val="24"/>
        </w:rPr>
        <w:t xml:space="preserve"> in the litigation</w:t>
      </w:r>
      <w:r w:rsidR="006A511F" w:rsidRPr="00BB7B21">
        <w:rPr>
          <w:rFonts w:ascii="Arial" w:hAnsi="Arial" w:cs="Arial"/>
          <w:sz w:val="24"/>
          <w:szCs w:val="24"/>
        </w:rPr>
        <w:t>, and so his prejudice in being drawn into the second action is less pronounced.</w:t>
      </w:r>
    </w:p>
    <w:p w14:paraId="31BF3002" w14:textId="50AE5BD3" w:rsidR="00AE03EC"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74.</w:t>
      </w:r>
      <w:r>
        <w:rPr>
          <w:rFonts w:ascii="Arial" w:hAnsi="Arial" w:cs="Arial"/>
          <w:sz w:val="24"/>
          <w:szCs w:val="24"/>
        </w:rPr>
        <w:tab/>
      </w:r>
      <w:r w:rsidR="00AE03EC" w:rsidRPr="00BB7B21">
        <w:rPr>
          <w:rFonts w:ascii="Arial" w:hAnsi="Arial" w:cs="Arial"/>
          <w:sz w:val="24"/>
          <w:szCs w:val="24"/>
        </w:rPr>
        <w:t xml:space="preserve">Should leave not be granted, there would be no </w:t>
      </w:r>
      <w:r w:rsidR="00AE03EC" w:rsidRPr="00BB7B21">
        <w:rPr>
          <w:rFonts w:ascii="Arial" w:hAnsi="Arial" w:cs="Arial"/>
          <w:i/>
          <w:iCs/>
          <w:sz w:val="24"/>
          <w:szCs w:val="24"/>
        </w:rPr>
        <w:t>lis</w:t>
      </w:r>
      <w:r w:rsidR="00AE03EC" w:rsidRPr="00BB7B21">
        <w:rPr>
          <w:rFonts w:ascii="Arial" w:hAnsi="Arial" w:cs="Arial"/>
          <w:sz w:val="24"/>
          <w:szCs w:val="24"/>
        </w:rPr>
        <w:t xml:space="preserve"> between the plaintiff and Mr Hussey but only as between </w:t>
      </w:r>
      <w:r w:rsidR="00F81BFD" w:rsidRPr="00BB7B21">
        <w:rPr>
          <w:rFonts w:ascii="Arial" w:hAnsi="Arial" w:cs="Arial"/>
          <w:sz w:val="24"/>
          <w:szCs w:val="24"/>
        </w:rPr>
        <w:t xml:space="preserve">Hussey and </w:t>
      </w:r>
      <w:r w:rsidR="00AE03EC" w:rsidRPr="00BB7B21">
        <w:rPr>
          <w:rFonts w:ascii="Arial" w:hAnsi="Arial" w:cs="Arial"/>
          <w:sz w:val="24"/>
          <w:szCs w:val="24"/>
        </w:rPr>
        <w:t xml:space="preserve">those defendants who joined him as a third party </w:t>
      </w:r>
      <w:r w:rsidR="00F81BFD" w:rsidRPr="00BB7B21">
        <w:rPr>
          <w:rFonts w:ascii="Arial" w:hAnsi="Arial" w:cs="Arial"/>
          <w:sz w:val="24"/>
          <w:szCs w:val="24"/>
        </w:rPr>
        <w:t>in the first action</w:t>
      </w:r>
      <w:r w:rsidR="00AE03EC" w:rsidRPr="00BB7B21">
        <w:rPr>
          <w:rFonts w:ascii="Arial" w:hAnsi="Arial" w:cs="Arial"/>
          <w:sz w:val="24"/>
          <w:szCs w:val="24"/>
        </w:rPr>
        <w:t>. As Mr Hussey in any event would have to participate and defend himself in relation to those who have joined him as third parties</w:t>
      </w:r>
      <w:r w:rsidR="00F81BFD" w:rsidRPr="00BB7B21">
        <w:rPr>
          <w:rFonts w:ascii="Arial" w:hAnsi="Arial" w:cs="Arial"/>
          <w:sz w:val="24"/>
          <w:szCs w:val="24"/>
        </w:rPr>
        <w:t xml:space="preserve"> in the first action</w:t>
      </w:r>
      <w:r w:rsidR="00AE03EC" w:rsidRPr="00BB7B21">
        <w:rPr>
          <w:rFonts w:ascii="Arial" w:hAnsi="Arial" w:cs="Arial"/>
          <w:sz w:val="24"/>
          <w:szCs w:val="24"/>
        </w:rPr>
        <w:t>, it would not be overly prejudicial to him to simultaneously defend his position as against the plaintiff</w:t>
      </w:r>
      <w:r w:rsidR="00F81BFD" w:rsidRPr="00BB7B21">
        <w:rPr>
          <w:rFonts w:ascii="Arial" w:hAnsi="Arial" w:cs="Arial"/>
          <w:sz w:val="24"/>
          <w:szCs w:val="24"/>
        </w:rPr>
        <w:t xml:space="preserve"> in the second action</w:t>
      </w:r>
      <w:r w:rsidR="00AE03EC" w:rsidRPr="00BB7B21">
        <w:rPr>
          <w:rFonts w:ascii="Arial" w:hAnsi="Arial" w:cs="Arial"/>
          <w:sz w:val="24"/>
          <w:szCs w:val="24"/>
        </w:rPr>
        <w:t xml:space="preserve">. </w:t>
      </w:r>
    </w:p>
    <w:p w14:paraId="19FE64E5" w14:textId="6986F25B" w:rsidR="00B8096E"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75.</w:t>
      </w:r>
      <w:r>
        <w:rPr>
          <w:rFonts w:ascii="Arial" w:hAnsi="Arial" w:cs="Arial"/>
          <w:sz w:val="24"/>
          <w:szCs w:val="24"/>
        </w:rPr>
        <w:tab/>
      </w:r>
      <w:r w:rsidR="00B8096E" w:rsidRPr="00BB7B21">
        <w:rPr>
          <w:rFonts w:ascii="Arial" w:hAnsi="Arial" w:cs="Arial"/>
          <w:sz w:val="24"/>
          <w:szCs w:val="24"/>
        </w:rPr>
        <w:t xml:space="preserve">The plaintiff has brought proceedings to consolidate the two actions, which would then address the prejudice caused by two separate actions. Although this multiplicity of actions could have been avoided had the plaintiff given the statutory notice in the first place, </w:t>
      </w:r>
      <w:r w:rsidR="007A45F5" w:rsidRPr="00BB7B21">
        <w:rPr>
          <w:rFonts w:ascii="Arial" w:hAnsi="Arial" w:cs="Arial"/>
          <w:sz w:val="24"/>
          <w:szCs w:val="24"/>
        </w:rPr>
        <w:t>or</w:t>
      </w:r>
      <w:r w:rsidR="00B8096E" w:rsidRPr="00BB7B21">
        <w:rPr>
          <w:rFonts w:ascii="Arial" w:hAnsi="Arial" w:cs="Arial"/>
          <w:sz w:val="24"/>
          <w:szCs w:val="24"/>
        </w:rPr>
        <w:t xml:space="preserve"> </w:t>
      </w:r>
      <w:r w:rsidR="00814040" w:rsidRPr="00BB7B21">
        <w:rPr>
          <w:rFonts w:ascii="Arial" w:hAnsi="Arial" w:cs="Arial"/>
          <w:sz w:val="24"/>
          <w:szCs w:val="24"/>
        </w:rPr>
        <w:t>served a</w:t>
      </w:r>
      <w:r w:rsidR="00B8096E" w:rsidRPr="00BB7B21">
        <w:rPr>
          <w:rFonts w:ascii="Arial" w:hAnsi="Arial" w:cs="Arial"/>
          <w:sz w:val="24"/>
          <w:szCs w:val="24"/>
        </w:rPr>
        <w:t xml:space="preserve"> third</w:t>
      </w:r>
      <w:r w:rsidR="00814040" w:rsidRPr="00BB7B21">
        <w:rPr>
          <w:rFonts w:ascii="Arial" w:hAnsi="Arial" w:cs="Arial"/>
          <w:sz w:val="24"/>
          <w:szCs w:val="24"/>
        </w:rPr>
        <w:t>-</w:t>
      </w:r>
      <w:r w:rsidR="00B8096E" w:rsidRPr="00BB7B21">
        <w:rPr>
          <w:rFonts w:ascii="Arial" w:hAnsi="Arial" w:cs="Arial"/>
          <w:sz w:val="24"/>
          <w:szCs w:val="24"/>
        </w:rPr>
        <w:t>party notice in terms of Uniform Rule 13(</w:t>
      </w:r>
      <w:r w:rsidR="00814040" w:rsidRPr="00BB7B21">
        <w:rPr>
          <w:rFonts w:ascii="Arial" w:hAnsi="Arial" w:cs="Arial"/>
          <w:sz w:val="24"/>
          <w:szCs w:val="24"/>
        </w:rPr>
        <w:t>1</w:t>
      </w:r>
      <w:r w:rsidR="00B8096E" w:rsidRPr="00BB7B21">
        <w:rPr>
          <w:rFonts w:ascii="Arial" w:hAnsi="Arial" w:cs="Arial"/>
          <w:sz w:val="24"/>
          <w:szCs w:val="24"/>
        </w:rPr>
        <w:t>)</w:t>
      </w:r>
      <w:r w:rsidR="00814040" w:rsidRPr="00BB7B21">
        <w:rPr>
          <w:rFonts w:ascii="Arial" w:hAnsi="Arial" w:cs="Arial"/>
          <w:sz w:val="24"/>
          <w:szCs w:val="24"/>
        </w:rPr>
        <w:t xml:space="preserve"> on</w:t>
      </w:r>
      <w:r w:rsidR="00B8096E" w:rsidRPr="00BB7B21">
        <w:rPr>
          <w:rFonts w:ascii="Arial" w:hAnsi="Arial" w:cs="Arial"/>
          <w:sz w:val="24"/>
          <w:szCs w:val="24"/>
        </w:rPr>
        <w:t xml:space="preserve"> Mr Hussey</w:t>
      </w:r>
      <w:r w:rsidR="00814040" w:rsidRPr="00BB7B21">
        <w:rPr>
          <w:rFonts w:ascii="Arial" w:hAnsi="Arial" w:cs="Arial"/>
          <w:sz w:val="24"/>
          <w:szCs w:val="24"/>
        </w:rPr>
        <w:t xml:space="preserve">, </w:t>
      </w:r>
      <w:r w:rsidR="00B8096E" w:rsidRPr="00BB7B21">
        <w:rPr>
          <w:rFonts w:ascii="Arial" w:hAnsi="Arial" w:cs="Arial"/>
          <w:sz w:val="24"/>
          <w:szCs w:val="24"/>
        </w:rPr>
        <w:t xml:space="preserve">that is now being addressed by the consolidation application. That Mr Hussey has had to participate in two actions </w:t>
      </w:r>
      <w:r w:rsidR="00814040" w:rsidRPr="00BB7B21">
        <w:rPr>
          <w:rFonts w:ascii="Arial" w:hAnsi="Arial" w:cs="Arial"/>
          <w:sz w:val="24"/>
          <w:szCs w:val="24"/>
        </w:rPr>
        <w:t xml:space="preserve">in the meanwhile </w:t>
      </w:r>
      <w:r w:rsidR="00B8096E" w:rsidRPr="00BB7B21">
        <w:rPr>
          <w:rFonts w:ascii="Arial" w:hAnsi="Arial" w:cs="Arial"/>
          <w:sz w:val="24"/>
          <w:szCs w:val="24"/>
        </w:rPr>
        <w:t xml:space="preserve">when that </w:t>
      </w:r>
      <w:r w:rsidR="00814040" w:rsidRPr="00BB7B21">
        <w:rPr>
          <w:rFonts w:ascii="Arial" w:hAnsi="Arial" w:cs="Arial"/>
          <w:sz w:val="24"/>
          <w:szCs w:val="24"/>
        </w:rPr>
        <w:t>c</w:t>
      </w:r>
      <w:r w:rsidR="00B8096E" w:rsidRPr="00BB7B21">
        <w:rPr>
          <w:rFonts w:ascii="Arial" w:hAnsi="Arial" w:cs="Arial"/>
          <w:sz w:val="24"/>
          <w:szCs w:val="24"/>
        </w:rPr>
        <w:t xml:space="preserve">ould have been avoided can be addressed by appropriate costs orders in his favour. </w:t>
      </w:r>
    </w:p>
    <w:p w14:paraId="2EE36AA5" w14:textId="7193089E" w:rsidR="00A83ED7"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76.</w:t>
      </w:r>
      <w:r>
        <w:rPr>
          <w:rFonts w:ascii="Arial" w:hAnsi="Arial" w:cs="Arial"/>
          <w:sz w:val="24"/>
          <w:szCs w:val="24"/>
        </w:rPr>
        <w:tab/>
      </w:r>
      <w:r w:rsidR="00B8096E" w:rsidRPr="00BB7B21">
        <w:rPr>
          <w:rFonts w:ascii="Arial" w:hAnsi="Arial" w:cs="Arial"/>
          <w:sz w:val="24"/>
          <w:szCs w:val="24"/>
        </w:rPr>
        <w:t>In contrast, should leave be refused, the plaintiff would be left</w:t>
      </w:r>
      <w:r w:rsidR="00A83ED7" w:rsidRPr="00BB7B21">
        <w:rPr>
          <w:rFonts w:ascii="Arial" w:hAnsi="Arial" w:cs="Arial"/>
          <w:sz w:val="24"/>
          <w:szCs w:val="24"/>
        </w:rPr>
        <w:t xml:space="preserve"> largely</w:t>
      </w:r>
      <w:r w:rsidR="00B8096E" w:rsidRPr="00BB7B21">
        <w:rPr>
          <w:rFonts w:ascii="Arial" w:hAnsi="Arial" w:cs="Arial"/>
          <w:sz w:val="24"/>
          <w:szCs w:val="24"/>
        </w:rPr>
        <w:t xml:space="preserve"> </w:t>
      </w:r>
      <w:r w:rsidR="007A45F5" w:rsidRPr="00BB7B21">
        <w:rPr>
          <w:rFonts w:ascii="Arial" w:hAnsi="Arial" w:cs="Arial"/>
          <w:sz w:val="24"/>
          <w:szCs w:val="24"/>
        </w:rPr>
        <w:t>remediless</w:t>
      </w:r>
      <w:r w:rsidR="00B8096E" w:rsidRPr="00BB7B21">
        <w:rPr>
          <w:rFonts w:ascii="Arial" w:hAnsi="Arial" w:cs="Arial"/>
          <w:sz w:val="24"/>
          <w:szCs w:val="24"/>
        </w:rPr>
        <w:t xml:space="preserve"> as against Mr Hussey. That a plaintiff would be left </w:t>
      </w:r>
      <w:r w:rsidR="007A45F5" w:rsidRPr="00BB7B21">
        <w:rPr>
          <w:rFonts w:ascii="Arial" w:hAnsi="Arial" w:cs="Arial"/>
          <w:sz w:val="24"/>
          <w:szCs w:val="24"/>
        </w:rPr>
        <w:t>remediless</w:t>
      </w:r>
      <w:r w:rsidR="00B8096E" w:rsidRPr="00BB7B21">
        <w:rPr>
          <w:rFonts w:ascii="Arial" w:hAnsi="Arial" w:cs="Arial"/>
          <w:sz w:val="24"/>
          <w:szCs w:val="24"/>
        </w:rPr>
        <w:t xml:space="preserve"> is a </w:t>
      </w:r>
      <w:r w:rsidR="001A617E" w:rsidRPr="00BB7B21">
        <w:rPr>
          <w:rFonts w:ascii="Arial" w:hAnsi="Arial" w:cs="Arial"/>
          <w:sz w:val="24"/>
          <w:szCs w:val="24"/>
        </w:rPr>
        <w:t>strong persuasive factor as to why leave should be granted</w:t>
      </w:r>
      <w:r w:rsidR="00814040" w:rsidRPr="00BB7B21">
        <w:rPr>
          <w:rFonts w:ascii="Arial" w:hAnsi="Arial" w:cs="Arial"/>
          <w:sz w:val="24"/>
          <w:szCs w:val="24"/>
        </w:rPr>
        <w:t xml:space="preserve">. </w:t>
      </w:r>
      <w:r w:rsidR="001A617E" w:rsidRPr="00BB7B21">
        <w:rPr>
          <w:rFonts w:ascii="Arial" w:hAnsi="Arial" w:cs="Arial"/>
          <w:sz w:val="24"/>
          <w:szCs w:val="24"/>
        </w:rPr>
        <w:t xml:space="preserve"> </w:t>
      </w:r>
      <w:r w:rsidR="00814040" w:rsidRPr="00BB7B21">
        <w:rPr>
          <w:rFonts w:ascii="Arial" w:hAnsi="Arial" w:cs="Arial"/>
          <w:sz w:val="24"/>
          <w:szCs w:val="24"/>
        </w:rPr>
        <w:t>In</w:t>
      </w:r>
      <w:r w:rsidR="001A617E" w:rsidRPr="00BB7B21">
        <w:rPr>
          <w:rFonts w:ascii="Arial" w:hAnsi="Arial" w:cs="Arial"/>
          <w:sz w:val="24"/>
          <w:szCs w:val="24"/>
        </w:rPr>
        <w:t xml:space="preserve"> </w:t>
      </w:r>
      <w:r w:rsidR="001A617E" w:rsidRPr="00BB7B21">
        <w:rPr>
          <w:rFonts w:ascii="Arial" w:hAnsi="Arial" w:cs="Arial"/>
          <w:i/>
          <w:iCs/>
          <w:sz w:val="24"/>
          <w:szCs w:val="24"/>
        </w:rPr>
        <w:lastRenderedPageBreak/>
        <w:t xml:space="preserve">Padongelukkefonds v Van </w:t>
      </w:r>
      <w:r w:rsidR="00A83ED7" w:rsidRPr="00BB7B21">
        <w:rPr>
          <w:rFonts w:ascii="Arial" w:hAnsi="Arial" w:cs="Arial"/>
          <w:i/>
          <w:iCs/>
          <w:sz w:val="24"/>
          <w:szCs w:val="24"/>
        </w:rPr>
        <w:t>d</w:t>
      </w:r>
      <w:r w:rsidR="001A617E" w:rsidRPr="00BB7B21">
        <w:rPr>
          <w:rFonts w:ascii="Arial" w:hAnsi="Arial" w:cs="Arial"/>
          <w:i/>
          <w:iCs/>
          <w:sz w:val="24"/>
          <w:szCs w:val="24"/>
        </w:rPr>
        <w:t>en Berg</w:t>
      </w:r>
      <w:r w:rsidR="00F053B1">
        <w:rPr>
          <w:rStyle w:val="FootnoteReference"/>
          <w:rFonts w:ascii="Arial" w:hAnsi="Arial" w:cs="Arial"/>
          <w:sz w:val="24"/>
          <w:szCs w:val="24"/>
        </w:rPr>
        <w:footnoteReference w:id="32"/>
      </w:r>
      <w:r w:rsidR="00F053B1" w:rsidRPr="00BB7B21">
        <w:rPr>
          <w:rFonts w:ascii="Arial" w:hAnsi="Arial" w:cs="Arial"/>
          <w:sz w:val="24"/>
          <w:szCs w:val="24"/>
        </w:rPr>
        <w:t xml:space="preserve"> </w:t>
      </w:r>
      <w:r w:rsidR="001A617E" w:rsidRPr="00BB7B21">
        <w:rPr>
          <w:rFonts w:ascii="Arial" w:hAnsi="Arial" w:cs="Arial"/>
          <w:sz w:val="24"/>
          <w:szCs w:val="24"/>
        </w:rPr>
        <w:t xml:space="preserve">the court </w:t>
      </w:r>
      <w:r w:rsidR="006A26F7" w:rsidRPr="00BB7B21">
        <w:rPr>
          <w:rFonts w:ascii="Arial" w:hAnsi="Arial" w:cs="Arial"/>
          <w:sz w:val="24"/>
          <w:szCs w:val="24"/>
        </w:rPr>
        <w:t>found that</w:t>
      </w:r>
      <w:r w:rsidR="001A617E" w:rsidRPr="00BB7B21">
        <w:rPr>
          <w:rFonts w:ascii="Arial" w:hAnsi="Arial" w:cs="Arial"/>
          <w:sz w:val="24"/>
          <w:szCs w:val="24"/>
        </w:rPr>
        <w:t xml:space="preserve"> although the applicant’s application for leave </w:t>
      </w:r>
      <w:r w:rsidR="00A83ED7" w:rsidRPr="00BB7B21">
        <w:rPr>
          <w:rFonts w:ascii="Arial" w:hAnsi="Arial" w:cs="Arial"/>
          <w:sz w:val="24"/>
          <w:szCs w:val="24"/>
        </w:rPr>
        <w:t xml:space="preserve">in terms of both section 2(4) of the Act and Uniform Rule 13(3)(b) </w:t>
      </w:r>
      <w:r w:rsidR="001A617E" w:rsidRPr="00BB7B21">
        <w:rPr>
          <w:rFonts w:ascii="Arial" w:hAnsi="Arial" w:cs="Arial"/>
          <w:sz w:val="24"/>
          <w:szCs w:val="24"/>
        </w:rPr>
        <w:t>was seriously lacking in various respects, in its</w:t>
      </w:r>
      <w:r w:rsidR="00D660D0" w:rsidRPr="00BB7B21">
        <w:rPr>
          <w:rFonts w:ascii="Arial" w:hAnsi="Arial" w:cs="Arial"/>
          <w:sz w:val="24"/>
          <w:szCs w:val="24"/>
        </w:rPr>
        <w:t xml:space="preserve"> wide</w:t>
      </w:r>
      <w:r w:rsidR="001A617E" w:rsidRPr="00BB7B21">
        <w:rPr>
          <w:rFonts w:ascii="Arial" w:hAnsi="Arial" w:cs="Arial"/>
          <w:sz w:val="24"/>
          <w:szCs w:val="24"/>
        </w:rPr>
        <w:t xml:space="preserve"> discretion it could not refuse leave and </w:t>
      </w:r>
      <w:r w:rsidR="00A83ED7" w:rsidRPr="00BB7B21">
        <w:rPr>
          <w:rFonts w:ascii="Arial" w:hAnsi="Arial" w:cs="Arial"/>
          <w:sz w:val="24"/>
          <w:szCs w:val="24"/>
        </w:rPr>
        <w:t xml:space="preserve">likely </w:t>
      </w:r>
      <w:r w:rsidR="001A617E" w:rsidRPr="00BB7B21">
        <w:rPr>
          <w:rFonts w:ascii="Arial" w:hAnsi="Arial" w:cs="Arial"/>
          <w:sz w:val="24"/>
          <w:szCs w:val="24"/>
        </w:rPr>
        <w:t xml:space="preserve">leave the applicant </w:t>
      </w:r>
      <w:r w:rsidR="007A45F5" w:rsidRPr="00BB7B21">
        <w:rPr>
          <w:rFonts w:ascii="Arial" w:hAnsi="Arial" w:cs="Arial"/>
          <w:sz w:val="24"/>
          <w:szCs w:val="24"/>
        </w:rPr>
        <w:t>remediless</w:t>
      </w:r>
      <w:r w:rsidR="001A617E" w:rsidRPr="00BB7B21">
        <w:rPr>
          <w:rFonts w:ascii="Arial" w:hAnsi="Arial" w:cs="Arial"/>
          <w:sz w:val="24"/>
          <w:szCs w:val="24"/>
        </w:rPr>
        <w:t xml:space="preserve">. </w:t>
      </w:r>
    </w:p>
    <w:p w14:paraId="702BCAED" w14:textId="7DF113C4" w:rsidR="00B8096E"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77.</w:t>
      </w:r>
      <w:r>
        <w:rPr>
          <w:rFonts w:ascii="Arial" w:hAnsi="Arial" w:cs="Arial"/>
          <w:sz w:val="24"/>
          <w:szCs w:val="24"/>
        </w:rPr>
        <w:tab/>
      </w:r>
      <w:r w:rsidR="001A617E" w:rsidRPr="00BB7B21">
        <w:rPr>
          <w:rFonts w:ascii="Arial" w:hAnsi="Arial" w:cs="Arial"/>
          <w:sz w:val="24"/>
          <w:szCs w:val="24"/>
        </w:rPr>
        <w:t>In the present instance, if leave is not granted, the plaintiff would still be able to pursue his claims as against the other joint wrongdoers and so</w:t>
      </w:r>
      <w:r w:rsidR="00A83ED7" w:rsidRPr="00BB7B21">
        <w:rPr>
          <w:rFonts w:ascii="Arial" w:hAnsi="Arial" w:cs="Arial"/>
          <w:sz w:val="24"/>
          <w:szCs w:val="24"/>
        </w:rPr>
        <w:t xml:space="preserve"> in that respect</w:t>
      </w:r>
      <w:r w:rsidR="001A617E" w:rsidRPr="00BB7B21">
        <w:rPr>
          <w:rFonts w:ascii="Arial" w:hAnsi="Arial" w:cs="Arial"/>
          <w:sz w:val="24"/>
          <w:szCs w:val="24"/>
        </w:rPr>
        <w:t xml:space="preserve"> it cannot be said that the plaintiff would be entirely </w:t>
      </w:r>
      <w:r w:rsidR="007A45F5" w:rsidRPr="00BB7B21">
        <w:rPr>
          <w:rFonts w:ascii="Arial" w:hAnsi="Arial" w:cs="Arial"/>
          <w:sz w:val="24"/>
          <w:szCs w:val="24"/>
        </w:rPr>
        <w:t>remediless</w:t>
      </w:r>
      <w:r w:rsidR="001A617E" w:rsidRPr="00BB7B21">
        <w:rPr>
          <w:rFonts w:ascii="Arial" w:hAnsi="Arial" w:cs="Arial"/>
          <w:sz w:val="24"/>
          <w:szCs w:val="24"/>
        </w:rPr>
        <w:t xml:space="preserve">. Nonetheless, the fact that the plaintiff would be </w:t>
      </w:r>
      <w:r w:rsidR="007A45F5" w:rsidRPr="00BB7B21">
        <w:rPr>
          <w:rFonts w:ascii="Arial" w:hAnsi="Arial" w:cs="Arial"/>
          <w:sz w:val="24"/>
          <w:szCs w:val="24"/>
        </w:rPr>
        <w:t xml:space="preserve">remediless </w:t>
      </w:r>
      <w:r w:rsidR="001A617E" w:rsidRPr="00BB7B21">
        <w:rPr>
          <w:rFonts w:ascii="Arial" w:hAnsi="Arial" w:cs="Arial"/>
          <w:sz w:val="24"/>
          <w:szCs w:val="24"/>
        </w:rPr>
        <w:t xml:space="preserve">against Mr Hussey is something that </w:t>
      </w:r>
      <w:r w:rsidR="00A83ED7" w:rsidRPr="00BB7B21">
        <w:rPr>
          <w:rFonts w:ascii="Arial" w:hAnsi="Arial" w:cs="Arial"/>
          <w:sz w:val="24"/>
          <w:szCs w:val="24"/>
        </w:rPr>
        <w:t xml:space="preserve">weighs </w:t>
      </w:r>
      <w:r w:rsidR="001A617E" w:rsidRPr="00BB7B21">
        <w:rPr>
          <w:rFonts w:ascii="Arial" w:hAnsi="Arial" w:cs="Arial"/>
          <w:sz w:val="24"/>
          <w:szCs w:val="24"/>
        </w:rPr>
        <w:t xml:space="preserve">in favour of granting leave. </w:t>
      </w:r>
    </w:p>
    <w:p w14:paraId="516AB9A5" w14:textId="25CC6A5A" w:rsidR="00D63EB2"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78.</w:t>
      </w:r>
      <w:r>
        <w:rPr>
          <w:rFonts w:ascii="Arial" w:hAnsi="Arial" w:cs="Arial"/>
          <w:sz w:val="24"/>
          <w:szCs w:val="24"/>
        </w:rPr>
        <w:tab/>
      </w:r>
      <w:r w:rsidR="00D63EB2" w:rsidRPr="00BB7B21">
        <w:rPr>
          <w:rFonts w:ascii="Arial" w:hAnsi="Arial" w:cs="Arial"/>
          <w:sz w:val="24"/>
          <w:szCs w:val="24"/>
        </w:rPr>
        <w:t xml:space="preserve">Although the explanation for the delay in launching these proceedings is not persuasive, as set out above, I do take into account that little has happened since the special plea </w:t>
      </w:r>
      <w:r w:rsidR="0035703F" w:rsidRPr="00BB7B21">
        <w:rPr>
          <w:rFonts w:ascii="Arial" w:hAnsi="Arial" w:cs="Arial"/>
          <w:sz w:val="24"/>
          <w:szCs w:val="24"/>
        </w:rPr>
        <w:t xml:space="preserve">in the </w:t>
      </w:r>
      <w:r w:rsidR="006A511F" w:rsidRPr="00BB7B21">
        <w:rPr>
          <w:rFonts w:ascii="Arial" w:hAnsi="Arial" w:cs="Arial"/>
          <w:sz w:val="24"/>
          <w:szCs w:val="24"/>
        </w:rPr>
        <w:t>second</w:t>
      </w:r>
      <w:r w:rsidR="0035703F" w:rsidRPr="00BB7B21">
        <w:rPr>
          <w:rFonts w:ascii="Arial" w:hAnsi="Arial" w:cs="Arial"/>
          <w:sz w:val="24"/>
          <w:szCs w:val="24"/>
        </w:rPr>
        <w:t xml:space="preserve"> action </w:t>
      </w:r>
      <w:r w:rsidR="00D63EB2" w:rsidRPr="00BB7B21">
        <w:rPr>
          <w:rFonts w:ascii="Arial" w:hAnsi="Arial" w:cs="Arial"/>
          <w:sz w:val="24"/>
          <w:szCs w:val="24"/>
        </w:rPr>
        <w:t>was delivered by Mr Hussey</w:t>
      </w:r>
      <w:r w:rsidR="0035703F" w:rsidRPr="00BB7B21">
        <w:rPr>
          <w:rFonts w:ascii="Arial" w:hAnsi="Arial" w:cs="Arial"/>
          <w:sz w:val="24"/>
          <w:szCs w:val="24"/>
        </w:rPr>
        <w:t xml:space="preserve"> in June 2020</w:t>
      </w:r>
      <w:r w:rsidR="00D63EB2" w:rsidRPr="00BB7B21">
        <w:rPr>
          <w:rFonts w:ascii="Arial" w:hAnsi="Arial" w:cs="Arial"/>
          <w:sz w:val="24"/>
          <w:szCs w:val="24"/>
        </w:rPr>
        <w:t xml:space="preserve">. Why this redounds in favour of granting leave is that this is not a case where the plaintiff has waited until the steps of court before seeking such leave. </w:t>
      </w:r>
      <w:r w:rsidR="0035703F" w:rsidRPr="00BB7B21">
        <w:rPr>
          <w:rFonts w:ascii="Arial" w:hAnsi="Arial" w:cs="Arial"/>
          <w:sz w:val="24"/>
          <w:szCs w:val="24"/>
        </w:rPr>
        <w:t xml:space="preserve">Notwithstanding </w:t>
      </w:r>
      <w:r w:rsidR="00D63EB2" w:rsidRPr="00BB7B21">
        <w:rPr>
          <w:rFonts w:ascii="Arial" w:hAnsi="Arial" w:cs="Arial"/>
          <w:sz w:val="24"/>
          <w:szCs w:val="24"/>
        </w:rPr>
        <w:t>the delay in seeking the leave, not much has taken place in the action</w:t>
      </w:r>
      <w:r w:rsidR="006A511F" w:rsidRPr="00BB7B21">
        <w:rPr>
          <w:rFonts w:ascii="Arial" w:hAnsi="Arial" w:cs="Arial"/>
          <w:sz w:val="24"/>
          <w:szCs w:val="24"/>
        </w:rPr>
        <w:t>s</w:t>
      </w:r>
      <w:r w:rsidR="00D63EB2" w:rsidRPr="00BB7B21">
        <w:rPr>
          <w:rFonts w:ascii="Arial" w:hAnsi="Arial" w:cs="Arial"/>
          <w:sz w:val="24"/>
          <w:szCs w:val="24"/>
        </w:rPr>
        <w:t xml:space="preserve"> and</w:t>
      </w:r>
      <w:r w:rsidR="00A466D7" w:rsidRPr="00BB7B21">
        <w:rPr>
          <w:rFonts w:ascii="Arial" w:hAnsi="Arial" w:cs="Arial"/>
          <w:sz w:val="24"/>
          <w:szCs w:val="24"/>
        </w:rPr>
        <w:t>,</w:t>
      </w:r>
      <w:r w:rsidR="00D63EB2" w:rsidRPr="00BB7B21">
        <w:rPr>
          <w:rFonts w:ascii="Arial" w:hAnsi="Arial" w:cs="Arial"/>
          <w:sz w:val="24"/>
          <w:szCs w:val="24"/>
        </w:rPr>
        <w:t xml:space="preserve"> other than the passage of time, the parties will not be greatly inconvenienced in the further prosecution of the second action should leave now be granted. The granting of leave would open the way to the progression of consolidat</w:t>
      </w:r>
      <w:r w:rsidR="006A511F" w:rsidRPr="00BB7B21">
        <w:rPr>
          <w:rFonts w:ascii="Arial" w:hAnsi="Arial" w:cs="Arial"/>
          <w:sz w:val="24"/>
          <w:szCs w:val="24"/>
        </w:rPr>
        <w:t>ed</w:t>
      </w:r>
      <w:r w:rsidR="00D63EB2" w:rsidRPr="00BB7B21">
        <w:rPr>
          <w:rFonts w:ascii="Arial" w:hAnsi="Arial" w:cs="Arial"/>
          <w:sz w:val="24"/>
          <w:szCs w:val="24"/>
        </w:rPr>
        <w:t xml:space="preserve"> action</w:t>
      </w:r>
      <w:r w:rsidR="006A511F" w:rsidRPr="00BB7B21">
        <w:rPr>
          <w:rFonts w:ascii="Arial" w:hAnsi="Arial" w:cs="Arial"/>
          <w:sz w:val="24"/>
          <w:szCs w:val="24"/>
        </w:rPr>
        <w:t xml:space="preserve"> consequent upon the plaintiff’s pending consolidation application</w:t>
      </w:r>
      <w:r w:rsidR="00083D1A" w:rsidRPr="00BB7B21">
        <w:rPr>
          <w:rFonts w:ascii="Arial" w:hAnsi="Arial" w:cs="Arial"/>
          <w:sz w:val="24"/>
          <w:szCs w:val="24"/>
        </w:rPr>
        <w:t xml:space="preserve">. </w:t>
      </w:r>
    </w:p>
    <w:p w14:paraId="310C2394" w14:textId="4762744C" w:rsidR="00D63EB2"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79.</w:t>
      </w:r>
      <w:r>
        <w:rPr>
          <w:rFonts w:ascii="Arial" w:hAnsi="Arial" w:cs="Arial"/>
          <w:sz w:val="24"/>
          <w:szCs w:val="24"/>
        </w:rPr>
        <w:tab/>
      </w:r>
      <w:r w:rsidR="00D63EB2" w:rsidRPr="00BB7B21">
        <w:rPr>
          <w:rFonts w:ascii="Arial" w:hAnsi="Arial" w:cs="Arial"/>
          <w:sz w:val="24"/>
          <w:szCs w:val="24"/>
        </w:rPr>
        <w:t xml:space="preserve">In the circumstances the granting of leave will result in an expeditious determination of liability between all the joint wrongdoers in what </w:t>
      </w:r>
      <w:r w:rsidR="00083D1A" w:rsidRPr="00BB7B21">
        <w:rPr>
          <w:rFonts w:ascii="Arial" w:hAnsi="Arial" w:cs="Arial"/>
          <w:sz w:val="24"/>
          <w:szCs w:val="24"/>
        </w:rPr>
        <w:t>may transpire to be</w:t>
      </w:r>
      <w:r w:rsidR="00D63EB2" w:rsidRPr="00BB7B21">
        <w:rPr>
          <w:rFonts w:ascii="Arial" w:hAnsi="Arial" w:cs="Arial"/>
          <w:sz w:val="24"/>
          <w:szCs w:val="24"/>
        </w:rPr>
        <w:t xml:space="preserve"> consolidated action</w:t>
      </w:r>
      <w:r w:rsidR="00083D1A" w:rsidRPr="00BB7B21">
        <w:rPr>
          <w:rFonts w:ascii="Arial" w:hAnsi="Arial" w:cs="Arial"/>
          <w:sz w:val="24"/>
          <w:szCs w:val="24"/>
        </w:rPr>
        <w:t>s</w:t>
      </w:r>
      <w:r w:rsidR="00D63EB2" w:rsidRPr="00BB7B21">
        <w:rPr>
          <w:rFonts w:ascii="Arial" w:hAnsi="Arial" w:cs="Arial"/>
          <w:sz w:val="24"/>
          <w:szCs w:val="24"/>
        </w:rPr>
        <w:t xml:space="preserve">. </w:t>
      </w:r>
    </w:p>
    <w:p w14:paraId="32FC1718" w14:textId="24604583" w:rsidR="00D63EB2"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80.</w:t>
      </w:r>
      <w:r>
        <w:rPr>
          <w:rFonts w:ascii="Arial" w:hAnsi="Arial" w:cs="Arial"/>
          <w:sz w:val="24"/>
          <w:szCs w:val="24"/>
        </w:rPr>
        <w:tab/>
      </w:r>
      <w:r w:rsidR="00D63EB2" w:rsidRPr="00BB7B21">
        <w:rPr>
          <w:rFonts w:ascii="Arial" w:hAnsi="Arial" w:cs="Arial"/>
          <w:sz w:val="24"/>
          <w:szCs w:val="24"/>
        </w:rPr>
        <w:t xml:space="preserve">I also adopt </w:t>
      </w:r>
      <w:r w:rsidR="007176C1" w:rsidRPr="00BB7B21">
        <w:rPr>
          <w:rFonts w:ascii="Arial" w:hAnsi="Arial" w:cs="Arial"/>
          <w:sz w:val="24"/>
          <w:szCs w:val="24"/>
        </w:rPr>
        <w:t xml:space="preserve">an </w:t>
      </w:r>
      <w:r w:rsidR="00D63EB2" w:rsidRPr="00BB7B21">
        <w:rPr>
          <w:rFonts w:ascii="Arial" w:hAnsi="Arial" w:cs="Arial"/>
          <w:sz w:val="24"/>
          <w:szCs w:val="24"/>
        </w:rPr>
        <w:t xml:space="preserve">approach </w:t>
      </w:r>
      <w:r w:rsidR="007176C1" w:rsidRPr="00BB7B21">
        <w:rPr>
          <w:rFonts w:ascii="Arial" w:hAnsi="Arial" w:cs="Arial"/>
          <w:sz w:val="24"/>
          <w:szCs w:val="24"/>
        </w:rPr>
        <w:t xml:space="preserve">that has a measure of flexibility where, such as in </w:t>
      </w:r>
      <w:r w:rsidR="00D63EB2" w:rsidRPr="00BB7B21">
        <w:rPr>
          <w:rFonts w:ascii="Arial" w:hAnsi="Arial" w:cs="Arial"/>
          <w:sz w:val="24"/>
          <w:szCs w:val="24"/>
        </w:rPr>
        <w:t>applications for rescission of judgment</w:t>
      </w:r>
      <w:r w:rsidR="007176C1" w:rsidRPr="00BB7B21">
        <w:rPr>
          <w:rFonts w:ascii="Arial" w:hAnsi="Arial" w:cs="Arial"/>
          <w:sz w:val="24"/>
          <w:szCs w:val="24"/>
        </w:rPr>
        <w:t>,</w:t>
      </w:r>
      <w:r w:rsidR="007176C1" w:rsidRPr="00BB7B21">
        <w:rPr>
          <w:rStyle w:val="FootnoteReference"/>
          <w:rFonts w:ascii="Arial" w:hAnsi="Arial" w:cs="Arial"/>
          <w:sz w:val="24"/>
          <w:szCs w:val="24"/>
        </w:rPr>
        <w:t xml:space="preserve"> </w:t>
      </w:r>
      <w:r w:rsidR="007176C1">
        <w:rPr>
          <w:rStyle w:val="FootnoteReference"/>
          <w:rFonts w:ascii="Arial" w:hAnsi="Arial" w:cs="Arial"/>
          <w:sz w:val="24"/>
          <w:szCs w:val="24"/>
        </w:rPr>
        <w:footnoteReference w:id="33"/>
      </w:r>
      <w:r w:rsidR="007176C1" w:rsidRPr="00BB7B21">
        <w:rPr>
          <w:rFonts w:ascii="Arial" w:hAnsi="Arial" w:cs="Arial"/>
          <w:sz w:val="24"/>
          <w:szCs w:val="24"/>
        </w:rPr>
        <w:t xml:space="preserve"> </w:t>
      </w:r>
      <w:r w:rsidR="00D63EB2" w:rsidRPr="00BB7B21">
        <w:rPr>
          <w:rFonts w:ascii="Arial" w:hAnsi="Arial" w:cs="Arial"/>
          <w:sz w:val="24"/>
          <w:szCs w:val="24"/>
        </w:rPr>
        <w:t>a weakness in relation to one</w:t>
      </w:r>
      <w:r w:rsidR="00083D1A" w:rsidRPr="00BB7B21">
        <w:rPr>
          <w:rFonts w:ascii="Arial" w:hAnsi="Arial" w:cs="Arial"/>
          <w:sz w:val="24"/>
          <w:szCs w:val="24"/>
        </w:rPr>
        <w:t xml:space="preserve"> requirement</w:t>
      </w:r>
      <w:r w:rsidR="00D63EB2" w:rsidRPr="00BB7B21">
        <w:rPr>
          <w:rFonts w:ascii="Arial" w:hAnsi="Arial" w:cs="Arial"/>
          <w:sz w:val="24"/>
          <w:szCs w:val="24"/>
        </w:rPr>
        <w:t xml:space="preserve"> </w:t>
      </w:r>
      <w:r w:rsidR="007176C1" w:rsidRPr="00BB7B21">
        <w:rPr>
          <w:rFonts w:ascii="Arial" w:hAnsi="Arial" w:cs="Arial"/>
          <w:sz w:val="24"/>
          <w:szCs w:val="24"/>
        </w:rPr>
        <w:t xml:space="preserve">for a successful application can </w:t>
      </w:r>
      <w:r w:rsidR="00D63EB2" w:rsidRPr="00BB7B21">
        <w:rPr>
          <w:rFonts w:ascii="Arial" w:hAnsi="Arial" w:cs="Arial"/>
          <w:sz w:val="24"/>
          <w:szCs w:val="24"/>
        </w:rPr>
        <w:t xml:space="preserve">be made up by the strength of the other </w:t>
      </w:r>
      <w:r w:rsidR="00083D1A" w:rsidRPr="00BB7B21">
        <w:rPr>
          <w:rFonts w:ascii="Arial" w:hAnsi="Arial" w:cs="Arial"/>
          <w:sz w:val="24"/>
          <w:szCs w:val="24"/>
        </w:rPr>
        <w:t>requirements</w:t>
      </w:r>
      <w:r w:rsidR="00D63EB2" w:rsidRPr="00BB7B21">
        <w:rPr>
          <w:rFonts w:ascii="Arial" w:hAnsi="Arial" w:cs="Arial"/>
          <w:sz w:val="24"/>
          <w:szCs w:val="24"/>
        </w:rPr>
        <w:t>. Accordingly, the weakness of the plaintiff’s explanation as to why no notice was given in the first place and then the delay in launching these proceedings is counter-balanced by the clear position of Mr Hussey as a joint wrongdoer</w:t>
      </w:r>
      <w:r w:rsidR="00083D1A" w:rsidRPr="00BB7B21">
        <w:rPr>
          <w:rFonts w:ascii="Arial" w:hAnsi="Arial" w:cs="Arial"/>
          <w:sz w:val="24"/>
          <w:szCs w:val="24"/>
        </w:rPr>
        <w:t xml:space="preserve">, </w:t>
      </w:r>
      <w:r w:rsidR="00D63EB2" w:rsidRPr="00BB7B21">
        <w:rPr>
          <w:rFonts w:ascii="Arial" w:hAnsi="Arial" w:cs="Arial"/>
          <w:sz w:val="24"/>
          <w:szCs w:val="24"/>
        </w:rPr>
        <w:t xml:space="preserve">that Mr Hussey </w:t>
      </w:r>
      <w:r w:rsidR="00083D1A" w:rsidRPr="00BB7B21">
        <w:rPr>
          <w:rFonts w:ascii="Arial" w:hAnsi="Arial" w:cs="Arial"/>
          <w:sz w:val="24"/>
          <w:szCs w:val="24"/>
        </w:rPr>
        <w:t xml:space="preserve">is </w:t>
      </w:r>
      <w:r w:rsidR="00D63EB2" w:rsidRPr="00BB7B21">
        <w:rPr>
          <w:rFonts w:ascii="Arial" w:hAnsi="Arial" w:cs="Arial"/>
          <w:sz w:val="24"/>
          <w:szCs w:val="24"/>
        </w:rPr>
        <w:t xml:space="preserve">already compelled to participate in </w:t>
      </w:r>
      <w:r w:rsidR="00083D1A" w:rsidRPr="00BB7B21">
        <w:rPr>
          <w:rFonts w:ascii="Arial" w:hAnsi="Arial" w:cs="Arial"/>
          <w:sz w:val="24"/>
          <w:szCs w:val="24"/>
        </w:rPr>
        <w:t>the litigation</w:t>
      </w:r>
      <w:r w:rsidR="00D63EB2" w:rsidRPr="00BB7B21">
        <w:rPr>
          <w:rFonts w:ascii="Arial" w:hAnsi="Arial" w:cs="Arial"/>
          <w:sz w:val="24"/>
          <w:szCs w:val="24"/>
        </w:rPr>
        <w:t xml:space="preserve"> by way of his joinder</w:t>
      </w:r>
      <w:r w:rsidR="007A45F5" w:rsidRPr="00BB7B21">
        <w:rPr>
          <w:rFonts w:ascii="Arial" w:hAnsi="Arial" w:cs="Arial"/>
          <w:sz w:val="24"/>
          <w:szCs w:val="24"/>
        </w:rPr>
        <w:t xml:space="preserve"> thereto </w:t>
      </w:r>
      <w:r w:rsidR="00D63EB2" w:rsidRPr="00BB7B21">
        <w:rPr>
          <w:rFonts w:ascii="Arial" w:hAnsi="Arial" w:cs="Arial"/>
          <w:sz w:val="24"/>
          <w:szCs w:val="24"/>
        </w:rPr>
        <w:t>by the other defendants</w:t>
      </w:r>
      <w:r w:rsidR="006A511F" w:rsidRPr="00BB7B21">
        <w:rPr>
          <w:rFonts w:ascii="Arial" w:hAnsi="Arial" w:cs="Arial"/>
          <w:sz w:val="24"/>
          <w:szCs w:val="24"/>
        </w:rPr>
        <w:t xml:space="preserve"> as far back as March 2020</w:t>
      </w:r>
      <w:r w:rsidR="00D63EB2" w:rsidRPr="00BB7B21">
        <w:rPr>
          <w:rFonts w:ascii="Arial" w:hAnsi="Arial" w:cs="Arial"/>
          <w:sz w:val="24"/>
          <w:szCs w:val="24"/>
        </w:rPr>
        <w:t xml:space="preserve">, </w:t>
      </w:r>
      <w:r w:rsidR="00083D1A" w:rsidRPr="00BB7B21">
        <w:rPr>
          <w:rFonts w:ascii="Arial" w:hAnsi="Arial" w:cs="Arial"/>
          <w:sz w:val="24"/>
          <w:szCs w:val="24"/>
        </w:rPr>
        <w:t>and the plaintiff being left largely remediless against Mr Hussey if leave is not granted</w:t>
      </w:r>
      <w:r w:rsidR="00D63EB2" w:rsidRPr="00BB7B21">
        <w:rPr>
          <w:rFonts w:ascii="Arial" w:hAnsi="Arial" w:cs="Arial"/>
          <w:sz w:val="24"/>
          <w:szCs w:val="24"/>
        </w:rPr>
        <w:t xml:space="preserve">. </w:t>
      </w:r>
    </w:p>
    <w:p w14:paraId="2636DE6B" w14:textId="16BF4828" w:rsidR="00CD4A3D"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81.</w:t>
      </w:r>
      <w:r>
        <w:rPr>
          <w:rFonts w:ascii="Arial" w:hAnsi="Arial" w:cs="Arial"/>
          <w:sz w:val="24"/>
          <w:szCs w:val="24"/>
        </w:rPr>
        <w:tab/>
      </w:r>
      <w:r w:rsidR="00F860F5" w:rsidRPr="00BB7B21">
        <w:rPr>
          <w:rFonts w:ascii="Arial" w:hAnsi="Arial" w:cs="Arial"/>
          <w:sz w:val="24"/>
          <w:szCs w:val="24"/>
        </w:rPr>
        <w:t>I therefore exercise my wide discretion in finding that the plaintiff has shown good cause and so should be granted leave in terms of section</w:t>
      </w:r>
      <w:r w:rsidR="000435D4" w:rsidRPr="00BB7B21">
        <w:rPr>
          <w:rFonts w:ascii="Arial" w:hAnsi="Arial" w:cs="Arial"/>
          <w:sz w:val="24"/>
          <w:szCs w:val="24"/>
        </w:rPr>
        <w:t> </w:t>
      </w:r>
      <w:r w:rsidR="00F860F5" w:rsidRPr="00BB7B21">
        <w:rPr>
          <w:rFonts w:ascii="Arial" w:hAnsi="Arial" w:cs="Arial"/>
          <w:sz w:val="24"/>
          <w:szCs w:val="24"/>
        </w:rPr>
        <w:t xml:space="preserve">2(4) of the Act to proceed with the present action. </w:t>
      </w:r>
    </w:p>
    <w:p w14:paraId="2EE444DD" w14:textId="782B8C44" w:rsidR="00685F38"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82.</w:t>
      </w:r>
      <w:r>
        <w:rPr>
          <w:rFonts w:ascii="Arial" w:hAnsi="Arial" w:cs="Arial"/>
          <w:sz w:val="24"/>
          <w:szCs w:val="24"/>
        </w:rPr>
        <w:tab/>
      </w:r>
      <w:r w:rsidR="00685F38" w:rsidRPr="00BB7B21">
        <w:rPr>
          <w:rFonts w:ascii="Arial" w:hAnsi="Arial" w:cs="Arial"/>
          <w:sz w:val="24"/>
          <w:szCs w:val="24"/>
        </w:rPr>
        <w:t>The plaintiff sought such leave both as against the first and second defendants as respondents in these proceedings. The first defendant as the first respondent did not oppose the relief</w:t>
      </w:r>
      <w:r w:rsidR="00733EDD" w:rsidRPr="00BB7B21">
        <w:rPr>
          <w:rFonts w:ascii="Arial" w:hAnsi="Arial" w:cs="Arial"/>
          <w:sz w:val="24"/>
          <w:szCs w:val="24"/>
        </w:rPr>
        <w:t>, and so no order of costs need be made in relation to the first defendant.</w:t>
      </w:r>
    </w:p>
    <w:p w14:paraId="21479F1A" w14:textId="4E1BA534" w:rsidR="00F860F5"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83.</w:t>
      </w:r>
      <w:r>
        <w:rPr>
          <w:rFonts w:ascii="Arial" w:hAnsi="Arial" w:cs="Arial"/>
          <w:sz w:val="24"/>
          <w:szCs w:val="24"/>
        </w:rPr>
        <w:tab/>
      </w:r>
      <w:r w:rsidR="00733EDD" w:rsidRPr="00BB7B21">
        <w:rPr>
          <w:rFonts w:ascii="Arial" w:hAnsi="Arial" w:cs="Arial"/>
          <w:sz w:val="24"/>
          <w:szCs w:val="24"/>
        </w:rPr>
        <w:t>T</w:t>
      </w:r>
      <w:r w:rsidR="00F860F5" w:rsidRPr="00BB7B21">
        <w:rPr>
          <w:rFonts w:ascii="Arial" w:hAnsi="Arial" w:cs="Arial"/>
          <w:sz w:val="24"/>
          <w:szCs w:val="24"/>
        </w:rPr>
        <w:t>he plaintiff as the applicant in seeking leave is seeking an indulgence from the court. This is especially so where on the facts of the present matter the plaintiff could have given notice, had ample time to do so and has advanced no reason why he did not do so other than the ignorance of his</w:t>
      </w:r>
      <w:r w:rsidR="00BD40F6" w:rsidRPr="00BB7B21">
        <w:rPr>
          <w:rFonts w:ascii="Arial" w:hAnsi="Arial" w:cs="Arial"/>
          <w:sz w:val="24"/>
          <w:szCs w:val="24"/>
        </w:rPr>
        <w:t xml:space="preserve"> then</w:t>
      </w:r>
      <w:r w:rsidR="00F860F5" w:rsidRPr="00BB7B21">
        <w:rPr>
          <w:rFonts w:ascii="Arial" w:hAnsi="Arial" w:cs="Arial"/>
          <w:sz w:val="24"/>
          <w:szCs w:val="24"/>
        </w:rPr>
        <w:t xml:space="preserve"> attorneys of the statutory requirement that such notice must be given. This is compounded by the plaintiff’s</w:t>
      </w:r>
      <w:r w:rsidR="00BD40F6" w:rsidRPr="00BB7B21">
        <w:rPr>
          <w:rFonts w:ascii="Arial" w:hAnsi="Arial" w:cs="Arial"/>
          <w:sz w:val="24"/>
          <w:szCs w:val="24"/>
        </w:rPr>
        <w:t xml:space="preserve"> then</w:t>
      </w:r>
      <w:r w:rsidR="00F860F5" w:rsidRPr="00BB7B21">
        <w:rPr>
          <w:rFonts w:ascii="Arial" w:hAnsi="Arial" w:cs="Arial"/>
          <w:sz w:val="24"/>
          <w:szCs w:val="24"/>
        </w:rPr>
        <w:t xml:space="preserve"> legal representatives advising the plaintiff not to bring the application because in their view the </w:t>
      </w:r>
      <w:r w:rsidR="00BD40F6" w:rsidRPr="00BB7B21">
        <w:rPr>
          <w:rFonts w:ascii="Arial" w:hAnsi="Arial" w:cs="Arial"/>
          <w:sz w:val="24"/>
          <w:szCs w:val="24"/>
        </w:rPr>
        <w:t xml:space="preserve">relevant </w:t>
      </w:r>
      <w:r w:rsidR="00F860F5" w:rsidRPr="00BB7B21">
        <w:rPr>
          <w:rFonts w:ascii="Arial" w:hAnsi="Arial" w:cs="Arial"/>
          <w:sz w:val="24"/>
          <w:szCs w:val="24"/>
        </w:rPr>
        <w:t>section</w:t>
      </w:r>
      <w:r w:rsidR="00BD40F6" w:rsidRPr="00BB7B21">
        <w:rPr>
          <w:rFonts w:ascii="Arial" w:hAnsi="Arial" w:cs="Arial"/>
          <w:sz w:val="24"/>
          <w:szCs w:val="24"/>
        </w:rPr>
        <w:t>s</w:t>
      </w:r>
      <w:r w:rsidR="00F860F5" w:rsidRPr="00BB7B21">
        <w:rPr>
          <w:rFonts w:ascii="Arial" w:hAnsi="Arial" w:cs="Arial"/>
          <w:sz w:val="24"/>
          <w:szCs w:val="24"/>
        </w:rPr>
        <w:t xml:space="preserve"> had fallen into disuse. I have, as appears above, </w:t>
      </w:r>
      <w:r w:rsidR="000435D4" w:rsidRPr="00BB7B21">
        <w:rPr>
          <w:rFonts w:ascii="Arial" w:hAnsi="Arial" w:cs="Arial"/>
          <w:sz w:val="24"/>
          <w:szCs w:val="24"/>
        </w:rPr>
        <w:t xml:space="preserve">adopted </w:t>
      </w:r>
      <w:r w:rsidR="00685F38" w:rsidRPr="00BB7B21">
        <w:rPr>
          <w:rFonts w:ascii="Arial" w:hAnsi="Arial" w:cs="Arial"/>
          <w:sz w:val="24"/>
          <w:szCs w:val="24"/>
        </w:rPr>
        <w:t>a particularly lenient position in the exercise of my wide discretion</w:t>
      </w:r>
      <w:r w:rsidR="00BD40F6" w:rsidRPr="00BB7B21">
        <w:rPr>
          <w:rFonts w:ascii="Arial" w:hAnsi="Arial" w:cs="Arial"/>
          <w:sz w:val="24"/>
          <w:szCs w:val="24"/>
        </w:rPr>
        <w:t xml:space="preserve">. </w:t>
      </w:r>
      <w:r w:rsidR="00685F38" w:rsidRPr="00BB7B21">
        <w:rPr>
          <w:rFonts w:ascii="Arial" w:hAnsi="Arial" w:cs="Arial"/>
          <w:sz w:val="24"/>
          <w:szCs w:val="24"/>
        </w:rPr>
        <w:t xml:space="preserve"> </w:t>
      </w:r>
      <w:r w:rsidR="00BD40F6" w:rsidRPr="00BB7B21">
        <w:rPr>
          <w:rFonts w:ascii="Arial" w:hAnsi="Arial" w:cs="Arial"/>
          <w:sz w:val="24"/>
          <w:szCs w:val="24"/>
        </w:rPr>
        <w:t>In</w:t>
      </w:r>
      <w:r w:rsidR="00685F38" w:rsidRPr="00BB7B21">
        <w:rPr>
          <w:rFonts w:ascii="Arial" w:hAnsi="Arial" w:cs="Arial"/>
          <w:sz w:val="24"/>
          <w:szCs w:val="24"/>
        </w:rPr>
        <w:t xml:space="preserve"> my view it is appropriate that Mr Hussey as the opposing respondent should have his costs. Apart from the court being indulgent towards the plaintiff, Mr Hussey’s opposition has been reasonable</w:t>
      </w:r>
      <w:r w:rsidR="0035703F">
        <w:rPr>
          <w:rStyle w:val="FootnoteReference"/>
          <w:rFonts w:ascii="Arial" w:hAnsi="Arial" w:cs="Arial"/>
          <w:sz w:val="24"/>
          <w:szCs w:val="24"/>
        </w:rPr>
        <w:footnoteReference w:id="34"/>
      </w:r>
      <w:r w:rsidR="00685F38" w:rsidRPr="00BB7B21">
        <w:rPr>
          <w:rFonts w:ascii="Arial" w:hAnsi="Arial" w:cs="Arial"/>
          <w:sz w:val="24"/>
          <w:szCs w:val="24"/>
        </w:rPr>
        <w:t xml:space="preserve"> and particularly where the issue as to whether leave could be sought after the event is </w:t>
      </w:r>
      <w:r w:rsidR="00685F38" w:rsidRPr="00BB7B21">
        <w:rPr>
          <w:rFonts w:ascii="Arial" w:hAnsi="Arial" w:cs="Arial"/>
          <w:i/>
          <w:iCs/>
          <w:sz w:val="24"/>
          <w:szCs w:val="24"/>
        </w:rPr>
        <w:t>res nova</w:t>
      </w:r>
      <w:r w:rsidR="00685F38" w:rsidRPr="00BB7B21">
        <w:rPr>
          <w:rFonts w:ascii="Arial" w:hAnsi="Arial" w:cs="Arial"/>
          <w:sz w:val="24"/>
          <w:szCs w:val="24"/>
        </w:rPr>
        <w:t xml:space="preserve"> and where the exercise of my discretion was no</w:t>
      </w:r>
      <w:r w:rsidR="007176C1" w:rsidRPr="00BB7B21">
        <w:rPr>
          <w:rFonts w:ascii="Arial" w:hAnsi="Arial" w:cs="Arial"/>
          <w:sz w:val="24"/>
          <w:szCs w:val="24"/>
        </w:rPr>
        <w:t>t an</w:t>
      </w:r>
      <w:r w:rsidR="00685F38" w:rsidRPr="00BB7B21">
        <w:rPr>
          <w:rFonts w:ascii="Arial" w:hAnsi="Arial" w:cs="Arial"/>
          <w:sz w:val="24"/>
          <w:szCs w:val="24"/>
        </w:rPr>
        <w:t xml:space="preserve"> easy matter. </w:t>
      </w:r>
      <w:r w:rsidR="00BD40F6" w:rsidRPr="00BB7B21">
        <w:rPr>
          <w:rFonts w:ascii="Arial" w:hAnsi="Arial" w:cs="Arial"/>
          <w:sz w:val="24"/>
          <w:szCs w:val="24"/>
        </w:rPr>
        <w:t>Further</w:t>
      </w:r>
      <w:r w:rsidR="00685F38" w:rsidRPr="00BB7B21">
        <w:rPr>
          <w:rFonts w:ascii="Arial" w:hAnsi="Arial" w:cs="Arial"/>
          <w:sz w:val="24"/>
          <w:szCs w:val="24"/>
        </w:rPr>
        <w:t xml:space="preserve">, the award of costs to Mr Hussey would also constitute some salve for his having been obliged to deal with two actions in circumstances where had the plaintiff complied with section 2(2) and/or </w:t>
      </w:r>
      <w:r w:rsidR="000435D4" w:rsidRPr="00BB7B21">
        <w:rPr>
          <w:rFonts w:ascii="Arial" w:hAnsi="Arial" w:cs="Arial"/>
          <w:sz w:val="24"/>
          <w:szCs w:val="24"/>
        </w:rPr>
        <w:t xml:space="preserve">had </w:t>
      </w:r>
      <w:r w:rsidR="00685F38" w:rsidRPr="00BB7B21">
        <w:rPr>
          <w:rFonts w:ascii="Arial" w:hAnsi="Arial" w:cs="Arial"/>
          <w:sz w:val="24"/>
          <w:szCs w:val="24"/>
        </w:rPr>
        <w:t>joined Mr Hussey by way of a third</w:t>
      </w:r>
      <w:r w:rsidR="00BD40F6" w:rsidRPr="00BB7B21">
        <w:rPr>
          <w:rFonts w:ascii="Arial" w:hAnsi="Arial" w:cs="Arial"/>
          <w:sz w:val="24"/>
          <w:szCs w:val="24"/>
        </w:rPr>
        <w:t>-</w:t>
      </w:r>
      <w:r w:rsidR="00685F38" w:rsidRPr="00BB7B21">
        <w:rPr>
          <w:rFonts w:ascii="Arial" w:hAnsi="Arial" w:cs="Arial"/>
          <w:sz w:val="24"/>
          <w:szCs w:val="24"/>
        </w:rPr>
        <w:t>party notice in terms of section</w:t>
      </w:r>
      <w:r w:rsidR="000435D4" w:rsidRPr="00BB7B21">
        <w:rPr>
          <w:rFonts w:ascii="Arial" w:hAnsi="Arial" w:cs="Arial"/>
          <w:sz w:val="24"/>
          <w:szCs w:val="24"/>
        </w:rPr>
        <w:t> </w:t>
      </w:r>
      <w:r w:rsidR="00685F38" w:rsidRPr="00BB7B21">
        <w:rPr>
          <w:rFonts w:ascii="Arial" w:hAnsi="Arial" w:cs="Arial"/>
          <w:sz w:val="24"/>
          <w:szCs w:val="24"/>
        </w:rPr>
        <w:t>13(</w:t>
      </w:r>
      <w:r w:rsidR="00BD40F6" w:rsidRPr="00BB7B21">
        <w:rPr>
          <w:rFonts w:ascii="Arial" w:hAnsi="Arial" w:cs="Arial"/>
          <w:sz w:val="24"/>
          <w:szCs w:val="24"/>
        </w:rPr>
        <w:t>1)</w:t>
      </w:r>
      <w:r w:rsidR="00685F38" w:rsidRPr="00BB7B21">
        <w:rPr>
          <w:rFonts w:ascii="Arial" w:hAnsi="Arial" w:cs="Arial"/>
          <w:sz w:val="24"/>
          <w:szCs w:val="24"/>
        </w:rPr>
        <w:t xml:space="preserve">, there </w:t>
      </w:r>
      <w:r w:rsidR="00BD40F6" w:rsidRPr="00BB7B21">
        <w:rPr>
          <w:rFonts w:ascii="Arial" w:hAnsi="Arial" w:cs="Arial"/>
          <w:sz w:val="24"/>
          <w:szCs w:val="24"/>
        </w:rPr>
        <w:t>may</w:t>
      </w:r>
      <w:r w:rsidR="00685F38" w:rsidRPr="00BB7B21">
        <w:rPr>
          <w:rFonts w:ascii="Arial" w:hAnsi="Arial" w:cs="Arial"/>
          <w:sz w:val="24"/>
          <w:szCs w:val="24"/>
        </w:rPr>
        <w:t xml:space="preserve"> have been no need for Mr Hussey to do so. </w:t>
      </w:r>
    </w:p>
    <w:p w14:paraId="119DA2AE" w14:textId="61D83E75" w:rsidR="00685F38" w:rsidRPr="00BB7B21" w:rsidRDefault="00BB7B21" w:rsidP="00BB7B21">
      <w:pPr>
        <w:spacing w:before="360" w:after="360" w:line="480" w:lineRule="auto"/>
        <w:ind w:left="624" w:right="567" w:hanging="624"/>
        <w:jc w:val="both"/>
        <w:rPr>
          <w:rFonts w:ascii="Arial" w:hAnsi="Arial" w:cs="Arial"/>
          <w:sz w:val="24"/>
          <w:szCs w:val="24"/>
        </w:rPr>
      </w:pPr>
      <w:r>
        <w:rPr>
          <w:rFonts w:ascii="Arial" w:hAnsi="Arial" w:cs="Arial"/>
          <w:sz w:val="24"/>
          <w:szCs w:val="24"/>
        </w:rPr>
        <w:t>84.</w:t>
      </w:r>
      <w:r>
        <w:rPr>
          <w:rFonts w:ascii="Arial" w:hAnsi="Arial" w:cs="Arial"/>
          <w:sz w:val="24"/>
          <w:szCs w:val="24"/>
        </w:rPr>
        <w:tab/>
      </w:r>
      <w:r w:rsidR="00685F38" w:rsidRPr="00BB7B21">
        <w:rPr>
          <w:rFonts w:ascii="Arial" w:hAnsi="Arial" w:cs="Arial"/>
          <w:sz w:val="24"/>
          <w:szCs w:val="24"/>
        </w:rPr>
        <w:t>An order is granted</w:t>
      </w:r>
      <w:r w:rsidR="00F522AC" w:rsidRPr="00BB7B21">
        <w:rPr>
          <w:rFonts w:ascii="Arial" w:hAnsi="Arial" w:cs="Arial"/>
          <w:sz w:val="24"/>
          <w:szCs w:val="24"/>
        </w:rPr>
        <w:t xml:space="preserve"> as follows</w:t>
      </w:r>
      <w:r w:rsidR="00685F38" w:rsidRPr="00BB7B21">
        <w:rPr>
          <w:rFonts w:ascii="Arial" w:hAnsi="Arial" w:cs="Arial"/>
          <w:sz w:val="24"/>
          <w:szCs w:val="24"/>
        </w:rPr>
        <w:t xml:space="preserve">: </w:t>
      </w:r>
    </w:p>
    <w:p w14:paraId="76350918" w14:textId="26750005" w:rsidR="00685F38" w:rsidRPr="00BB7B21" w:rsidRDefault="00BB7B21" w:rsidP="00BB7B21">
      <w:pPr>
        <w:spacing w:before="360" w:after="360" w:line="480" w:lineRule="auto"/>
        <w:ind w:left="1418" w:right="567" w:hanging="794"/>
        <w:jc w:val="both"/>
        <w:rPr>
          <w:rFonts w:ascii="Arial" w:hAnsi="Arial" w:cs="Arial"/>
          <w:sz w:val="24"/>
          <w:szCs w:val="24"/>
        </w:rPr>
      </w:pPr>
      <w:r>
        <w:rPr>
          <w:rFonts w:ascii="Arial" w:hAnsi="Arial" w:cs="Arial"/>
          <w:sz w:val="24"/>
          <w:szCs w:val="24"/>
        </w:rPr>
        <w:t>84.1.</w:t>
      </w:r>
      <w:r>
        <w:rPr>
          <w:rFonts w:ascii="Arial" w:hAnsi="Arial" w:cs="Arial"/>
          <w:sz w:val="24"/>
          <w:szCs w:val="24"/>
        </w:rPr>
        <w:tab/>
      </w:r>
      <w:r w:rsidR="00685F38" w:rsidRPr="00BB7B21">
        <w:rPr>
          <w:rFonts w:ascii="Arial" w:hAnsi="Arial" w:cs="Arial"/>
          <w:sz w:val="24"/>
          <w:szCs w:val="24"/>
        </w:rPr>
        <w:t xml:space="preserve">The plaintiff is granted leave to persist with his action under this case number 9915/2020 against the first and second </w:t>
      </w:r>
      <w:r w:rsidR="00F522AC" w:rsidRPr="00BB7B21">
        <w:rPr>
          <w:rFonts w:ascii="Arial" w:hAnsi="Arial" w:cs="Arial"/>
          <w:sz w:val="24"/>
          <w:szCs w:val="24"/>
        </w:rPr>
        <w:t>defendants</w:t>
      </w:r>
      <w:r w:rsidR="00685F38" w:rsidRPr="00BB7B21">
        <w:rPr>
          <w:rFonts w:ascii="Arial" w:hAnsi="Arial" w:cs="Arial"/>
          <w:sz w:val="24"/>
          <w:szCs w:val="24"/>
        </w:rPr>
        <w:t xml:space="preserve"> </w:t>
      </w:r>
      <w:r w:rsidR="00685F38" w:rsidRPr="00BB7B21">
        <w:rPr>
          <w:rFonts w:ascii="Arial" w:hAnsi="Arial" w:cs="Arial"/>
          <w:sz w:val="24"/>
          <w:szCs w:val="24"/>
        </w:rPr>
        <w:lastRenderedPageBreak/>
        <w:t>in terms of section 2(4)(a) of the Apportionment of Damages Act, 1956.</w:t>
      </w:r>
    </w:p>
    <w:p w14:paraId="5D431603" w14:textId="69B8E830" w:rsidR="00685F38" w:rsidRPr="00BB7B21" w:rsidRDefault="00BB7B21" w:rsidP="00BB7B21">
      <w:pPr>
        <w:spacing w:before="360" w:after="360" w:line="480" w:lineRule="auto"/>
        <w:ind w:left="1418" w:right="567" w:hanging="794"/>
        <w:jc w:val="both"/>
        <w:rPr>
          <w:rFonts w:ascii="Arial" w:hAnsi="Arial" w:cs="Arial"/>
          <w:sz w:val="24"/>
          <w:szCs w:val="24"/>
        </w:rPr>
      </w:pPr>
      <w:r>
        <w:rPr>
          <w:rFonts w:ascii="Arial" w:hAnsi="Arial" w:cs="Arial"/>
          <w:sz w:val="24"/>
          <w:szCs w:val="24"/>
        </w:rPr>
        <w:t>84.2.</w:t>
      </w:r>
      <w:r>
        <w:rPr>
          <w:rFonts w:ascii="Arial" w:hAnsi="Arial" w:cs="Arial"/>
          <w:sz w:val="24"/>
          <w:szCs w:val="24"/>
        </w:rPr>
        <w:tab/>
      </w:r>
      <w:r w:rsidR="00685F38" w:rsidRPr="00BB7B21">
        <w:rPr>
          <w:rFonts w:ascii="Arial" w:hAnsi="Arial" w:cs="Arial"/>
          <w:sz w:val="24"/>
          <w:szCs w:val="24"/>
        </w:rPr>
        <w:t xml:space="preserve">The plaintiff as the applicant is to pay the costs of the application, which include the costs of the </w:t>
      </w:r>
      <w:r w:rsidR="00F522AC" w:rsidRPr="00BB7B21">
        <w:rPr>
          <w:rFonts w:ascii="Arial" w:hAnsi="Arial" w:cs="Arial"/>
          <w:sz w:val="24"/>
          <w:szCs w:val="24"/>
        </w:rPr>
        <w:t xml:space="preserve">second defendant as the </w:t>
      </w:r>
      <w:r w:rsidR="00685F38" w:rsidRPr="00BB7B21">
        <w:rPr>
          <w:rFonts w:ascii="Arial" w:hAnsi="Arial" w:cs="Arial"/>
          <w:sz w:val="24"/>
          <w:szCs w:val="24"/>
        </w:rPr>
        <w:t xml:space="preserve">second respondent. </w:t>
      </w:r>
    </w:p>
    <w:p w14:paraId="171BC95F" w14:textId="77777777" w:rsidR="00696B20" w:rsidRDefault="00696B20" w:rsidP="00140EB0">
      <w:pPr>
        <w:keepNext/>
        <w:keepLines/>
        <w:tabs>
          <w:tab w:val="left" w:pos="-426"/>
        </w:tabs>
        <w:spacing w:after="240" w:line="480" w:lineRule="auto"/>
        <w:ind w:right="567"/>
        <w:contextualSpacing/>
        <w:jc w:val="both"/>
        <w:rPr>
          <w:rFonts w:ascii="Arial" w:hAnsi="Arial" w:cs="Arial"/>
          <w:sz w:val="24"/>
          <w:szCs w:val="24"/>
        </w:rPr>
      </w:pPr>
    </w:p>
    <w:p w14:paraId="63901FD2" w14:textId="672C2EBE" w:rsidR="00AD5454" w:rsidRPr="00DD1B08" w:rsidRDefault="00AD5454" w:rsidP="00140EB0">
      <w:pPr>
        <w:keepNext/>
        <w:keepLines/>
        <w:tabs>
          <w:tab w:val="left" w:pos="-426"/>
        </w:tabs>
        <w:spacing w:after="240" w:line="480" w:lineRule="auto"/>
        <w:ind w:right="567"/>
        <w:contextualSpacing/>
        <w:jc w:val="both"/>
        <w:rPr>
          <w:rFonts w:ascii="Arial" w:hAnsi="Arial" w:cs="Arial"/>
          <w:sz w:val="24"/>
          <w:szCs w:val="24"/>
        </w:rPr>
      </w:pPr>
      <w:r w:rsidRPr="00DD1B08">
        <w:rPr>
          <w:rFonts w:ascii="Arial" w:hAnsi="Arial" w:cs="Arial"/>
          <w:sz w:val="24"/>
          <w:szCs w:val="24"/>
        </w:rPr>
        <w:t>____________</w:t>
      </w:r>
      <w:r w:rsidR="004A6940" w:rsidRPr="00DD1B08">
        <w:rPr>
          <w:rFonts w:ascii="Arial" w:hAnsi="Arial" w:cs="Arial"/>
          <w:sz w:val="24"/>
          <w:szCs w:val="24"/>
        </w:rPr>
        <w:t>_____</w:t>
      </w:r>
      <w:r w:rsidRPr="00DD1B08">
        <w:rPr>
          <w:rFonts w:ascii="Arial" w:hAnsi="Arial" w:cs="Arial"/>
          <w:sz w:val="24"/>
          <w:szCs w:val="24"/>
        </w:rPr>
        <w:t>_____</w:t>
      </w:r>
    </w:p>
    <w:p w14:paraId="2B21A012" w14:textId="54DD690D" w:rsidR="00AD5454" w:rsidRPr="00DD1B08" w:rsidRDefault="00717A13" w:rsidP="00140EB0">
      <w:pPr>
        <w:keepNext/>
        <w:keepLines/>
        <w:tabs>
          <w:tab w:val="left" w:pos="-426"/>
        </w:tabs>
        <w:spacing w:after="240" w:line="480" w:lineRule="auto"/>
        <w:ind w:right="567"/>
        <w:contextualSpacing/>
        <w:jc w:val="both"/>
        <w:rPr>
          <w:rFonts w:ascii="Arial" w:hAnsi="Arial" w:cs="Arial"/>
          <w:sz w:val="24"/>
          <w:szCs w:val="24"/>
        </w:rPr>
      </w:pPr>
      <w:bookmarkStart w:id="1" w:name="_GoBack"/>
      <w:r w:rsidRPr="00DD1B08">
        <w:rPr>
          <w:rFonts w:ascii="Arial" w:hAnsi="Arial" w:cs="Arial"/>
          <w:sz w:val="24"/>
          <w:szCs w:val="24"/>
        </w:rPr>
        <w:t>Gilbert A</w:t>
      </w:r>
      <w:r w:rsidR="00AD5454" w:rsidRPr="00DD1B08">
        <w:rPr>
          <w:rFonts w:ascii="Arial" w:hAnsi="Arial" w:cs="Arial"/>
          <w:sz w:val="24"/>
          <w:szCs w:val="24"/>
        </w:rPr>
        <w:t>J</w:t>
      </w:r>
    </w:p>
    <w:bookmarkEnd w:id="1"/>
    <w:p w14:paraId="4D140412" w14:textId="77777777" w:rsidR="000E2703" w:rsidRPr="00DD1B08" w:rsidRDefault="000E2703" w:rsidP="00140EB0">
      <w:pPr>
        <w:keepNext/>
        <w:keepLines/>
        <w:tabs>
          <w:tab w:val="left" w:pos="-426"/>
        </w:tabs>
        <w:spacing w:after="240" w:line="480" w:lineRule="auto"/>
        <w:ind w:right="567"/>
        <w:contextualSpacing/>
        <w:jc w:val="both"/>
        <w:rPr>
          <w:rFonts w:ascii="Arial" w:hAnsi="Arial" w:cs="Arial"/>
          <w:sz w:val="24"/>
          <w:szCs w:val="24"/>
        </w:rPr>
      </w:pPr>
    </w:p>
    <w:p w14:paraId="440691C7" w14:textId="1CBF04E9" w:rsidR="00AD5454" w:rsidRPr="00DD1B08" w:rsidRDefault="00AD5454" w:rsidP="00D10BFE">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 xml:space="preserve">Date of </w:t>
      </w:r>
      <w:r w:rsidR="008E60BE" w:rsidRPr="00DD1B08">
        <w:rPr>
          <w:rFonts w:ascii="Arial" w:hAnsi="Arial" w:cs="Arial"/>
          <w:sz w:val="24"/>
          <w:szCs w:val="24"/>
        </w:rPr>
        <w:t>hearing</w:t>
      </w:r>
      <w:r w:rsidRPr="00DD1B08">
        <w:rPr>
          <w:rFonts w:ascii="Arial" w:hAnsi="Arial" w:cs="Arial"/>
          <w:sz w:val="24"/>
          <w:szCs w:val="24"/>
        </w:rPr>
        <w:t>:</w:t>
      </w:r>
      <w:r w:rsidR="001156A9" w:rsidRPr="00DD1B08">
        <w:rPr>
          <w:rFonts w:ascii="Arial" w:hAnsi="Arial" w:cs="Arial"/>
          <w:sz w:val="24"/>
          <w:szCs w:val="24"/>
        </w:rPr>
        <w:tab/>
      </w:r>
      <w:r w:rsidR="00C23CBE" w:rsidRPr="00DD1B08">
        <w:rPr>
          <w:rFonts w:ascii="Arial" w:hAnsi="Arial" w:cs="Arial"/>
          <w:sz w:val="24"/>
          <w:szCs w:val="24"/>
        </w:rPr>
        <w:tab/>
      </w:r>
      <w:r w:rsidR="00685F38">
        <w:rPr>
          <w:rFonts w:ascii="Arial" w:hAnsi="Arial" w:cs="Arial"/>
          <w:sz w:val="24"/>
          <w:szCs w:val="24"/>
        </w:rPr>
        <w:t>9 May 2023</w:t>
      </w:r>
    </w:p>
    <w:p w14:paraId="4DF5AF42" w14:textId="31DF8B3B" w:rsidR="004C2137" w:rsidRPr="00DD1B08" w:rsidRDefault="00AD5454" w:rsidP="00D10BFE">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 xml:space="preserve">Date of judgment: </w:t>
      </w:r>
      <w:r w:rsidR="00C23CBE" w:rsidRPr="00DD1B08">
        <w:rPr>
          <w:rFonts w:ascii="Arial" w:hAnsi="Arial" w:cs="Arial"/>
          <w:sz w:val="24"/>
          <w:szCs w:val="24"/>
        </w:rPr>
        <w:tab/>
      </w:r>
      <w:r w:rsidR="00C23CBE" w:rsidRPr="00DD1B08">
        <w:rPr>
          <w:rFonts w:ascii="Arial" w:hAnsi="Arial" w:cs="Arial"/>
          <w:sz w:val="24"/>
          <w:szCs w:val="24"/>
        </w:rPr>
        <w:tab/>
      </w:r>
      <w:r w:rsidR="00436AE5">
        <w:rPr>
          <w:rFonts w:ascii="Arial" w:hAnsi="Arial" w:cs="Arial"/>
          <w:sz w:val="24"/>
          <w:szCs w:val="24"/>
        </w:rPr>
        <w:t>6</w:t>
      </w:r>
      <w:r w:rsidR="00F522AC">
        <w:rPr>
          <w:rFonts w:ascii="Arial" w:hAnsi="Arial" w:cs="Arial"/>
          <w:sz w:val="24"/>
          <w:szCs w:val="24"/>
        </w:rPr>
        <w:t xml:space="preserve"> July 2023</w:t>
      </w:r>
      <w:r w:rsidR="00DD0348" w:rsidRPr="00DD1B08">
        <w:rPr>
          <w:rFonts w:ascii="Arial" w:hAnsi="Arial" w:cs="Arial"/>
          <w:sz w:val="24"/>
          <w:szCs w:val="24"/>
        </w:rPr>
        <w:t xml:space="preserve"> </w:t>
      </w:r>
    </w:p>
    <w:p w14:paraId="061E10AB" w14:textId="77777777" w:rsidR="00F51E73" w:rsidRDefault="00F51E73" w:rsidP="00D10BFE">
      <w:pPr>
        <w:tabs>
          <w:tab w:val="left" w:pos="-426"/>
          <w:tab w:val="left" w:pos="3969"/>
        </w:tabs>
        <w:spacing w:before="120" w:after="120"/>
        <w:ind w:right="567"/>
        <w:jc w:val="both"/>
        <w:rPr>
          <w:rFonts w:ascii="Arial" w:hAnsi="Arial" w:cs="Arial"/>
          <w:sz w:val="24"/>
          <w:szCs w:val="24"/>
        </w:rPr>
      </w:pPr>
    </w:p>
    <w:p w14:paraId="0DBAD18C" w14:textId="3930AE54" w:rsidR="001A6086" w:rsidRPr="00DD1B08" w:rsidRDefault="00696B20" w:rsidP="00D10BFE">
      <w:pPr>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C50A58">
        <w:rPr>
          <w:rFonts w:ascii="Arial" w:hAnsi="Arial" w:cs="Arial"/>
          <w:sz w:val="24"/>
          <w:szCs w:val="24"/>
        </w:rPr>
        <w:t xml:space="preserve"> </w:t>
      </w:r>
      <w:r w:rsidR="00F522AC">
        <w:rPr>
          <w:rFonts w:ascii="Arial" w:hAnsi="Arial" w:cs="Arial"/>
          <w:sz w:val="24"/>
          <w:szCs w:val="24"/>
        </w:rPr>
        <w:t>p</w:t>
      </w:r>
      <w:r w:rsidR="00685F38">
        <w:rPr>
          <w:rFonts w:ascii="Arial" w:hAnsi="Arial" w:cs="Arial"/>
          <w:sz w:val="24"/>
          <w:szCs w:val="24"/>
        </w:rPr>
        <w:t>laintiff (</w:t>
      </w:r>
      <w:r w:rsidR="00F522AC">
        <w:rPr>
          <w:rFonts w:ascii="Arial" w:hAnsi="Arial" w:cs="Arial"/>
          <w:sz w:val="24"/>
          <w:szCs w:val="24"/>
        </w:rPr>
        <w:t>a</w:t>
      </w:r>
      <w:r w:rsidR="00685F38">
        <w:rPr>
          <w:rFonts w:ascii="Arial" w:hAnsi="Arial" w:cs="Arial"/>
          <w:sz w:val="24"/>
          <w:szCs w:val="24"/>
        </w:rPr>
        <w:t>pplicant)</w:t>
      </w:r>
      <w:r w:rsidR="00C50A58">
        <w:rPr>
          <w:rFonts w:ascii="Arial" w:hAnsi="Arial" w:cs="Arial"/>
          <w:sz w:val="24"/>
          <w:szCs w:val="24"/>
        </w:rPr>
        <w:t xml:space="preserve">: </w:t>
      </w:r>
      <w:r w:rsidR="00C50A58">
        <w:rPr>
          <w:rFonts w:ascii="Arial" w:hAnsi="Arial" w:cs="Arial"/>
          <w:sz w:val="24"/>
          <w:szCs w:val="24"/>
        </w:rPr>
        <w:tab/>
      </w:r>
      <w:r w:rsidR="00C50A58">
        <w:rPr>
          <w:rFonts w:ascii="Arial" w:hAnsi="Arial" w:cs="Arial"/>
          <w:sz w:val="24"/>
          <w:szCs w:val="24"/>
        </w:rPr>
        <w:tab/>
      </w:r>
      <w:r w:rsidR="00685F38">
        <w:rPr>
          <w:rFonts w:ascii="Arial" w:hAnsi="Arial" w:cs="Arial"/>
          <w:sz w:val="24"/>
          <w:szCs w:val="24"/>
        </w:rPr>
        <w:t>I Miltz SC and C Bekker</w:t>
      </w:r>
    </w:p>
    <w:p w14:paraId="6DDE205B" w14:textId="7AD28EC3" w:rsidR="00F51E73" w:rsidRPr="00DD1B08" w:rsidRDefault="00D02D59" w:rsidP="00C50A58">
      <w:pPr>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Pr="00DD1B08">
        <w:rPr>
          <w:rFonts w:ascii="Arial" w:hAnsi="Arial" w:cs="Arial"/>
          <w:sz w:val="24"/>
          <w:szCs w:val="24"/>
        </w:rPr>
        <w:tab/>
      </w:r>
      <w:r w:rsidR="00685F38">
        <w:rPr>
          <w:rFonts w:ascii="Arial" w:hAnsi="Arial" w:cs="Arial"/>
          <w:sz w:val="24"/>
          <w:szCs w:val="24"/>
        </w:rPr>
        <w:t xml:space="preserve">CN Sweetnam Attorneys </w:t>
      </w:r>
    </w:p>
    <w:p w14:paraId="183111BB" w14:textId="77777777" w:rsidR="00F51E73" w:rsidRDefault="00F51E73" w:rsidP="00D10BFE">
      <w:pPr>
        <w:tabs>
          <w:tab w:val="left" w:pos="-426"/>
          <w:tab w:val="left" w:pos="3969"/>
        </w:tabs>
        <w:spacing w:before="120" w:after="120"/>
        <w:ind w:right="567"/>
        <w:jc w:val="both"/>
        <w:rPr>
          <w:rFonts w:ascii="Arial" w:hAnsi="Arial" w:cs="Arial"/>
          <w:sz w:val="24"/>
          <w:szCs w:val="24"/>
        </w:rPr>
      </w:pPr>
    </w:p>
    <w:p w14:paraId="2032D0B9" w14:textId="59DA3E58" w:rsidR="00685F38" w:rsidRDefault="00696B20" w:rsidP="000435D4">
      <w:pPr>
        <w:keepNext/>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DD0348" w:rsidRPr="00DD1B08">
        <w:rPr>
          <w:rFonts w:ascii="Arial" w:hAnsi="Arial" w:cs="Arial"/>
          <w:sz w:val="24"/>
          <w:szCs w:val="24"/>
        </w:rPr>
        <w:t xml:space="preserve"> </w:t>
      </w:r>
      <w:r w:rsidR="00F522AC">
        <w:rPr>
          <w:rFonts w:ascii="Arial" w:hAnsi="Arial" w:cs="Arial"/>
          <w:sz w:val="24"/>
          <w:szCs w:val="24"/>
        </w:rPr>
        <w:t>s</w:t>
      </w:r>
      <w:r w:rsidR="00C50A58">
        <w:rPr>
          <w:rFonts w:ascii="Arial" w:hAnsi="Arial" w:cs="Arial"/>
          <w:sz w:val="24"/>
          <w:szCs w:val="24"/>
        </w:rPr>
        <w:t xml:space="preserve">econd </w:t>
      </w:r>
      <w:r w:rsidR="00F522AC">
        <w:rPr>
          <w:rFonts w:ascii="Arial" w:hAnsi="Arial" w:cs="Arial"/>
          <w:sz w:val="24"/>
          <w:szCs w:val="24"/>
        </w:rPr>
        <w:t>d</w:t>
      </w:r>
      <w:r w:rsidR="00685F38">
        <w:rPr>
          <w:rFonts w:ascii="Arial" w:hAnsi="Arial" w:cs="Arial"/>
          <w:sz w:val="24"/>
          <w:szCs w:val="24"/>
        </w:rPr>
        <w:t>efendant</w:t>
      </w:r>
    </w:p>
    <w:p w14:paraId="5FB38347" w14:textId="34C4BEA5" w:rsidR="00C50A58" w:rsidRDefault="00685F38" w:rsidP="000435D4">
      <w:pPr>
        <w:keepNext/>
        <w:tabs>
          <w:tab w:val="left" w:pos="-426"/>
          <w:tab w:val="left" w:pos="3969"/>
        </w:tabs>
        <w:spacing w:before="120" w:after="120"/>
        <w:ind w:right="567"/>
        <w:jc w:val="both"/>
        <w:rPr>
          <w:rFonts w:ascii="Arial" w:hAnsi="Arial" w:cs="Arial"/>
          <w:sz w:val="24"/>
          <w:szCs w:val="24"/>
        </w:rPr>
      </w:pPr>
      <w:r>
        <w:rPr>
          <w:rFonts w:ascii="Arial" w:hAnsi="Arial" w:cs="Arial"/>
          <w:sz w:val="24"/>
          <w:szCs w:val="24"/>
        </w:rPr>
        <w:t>(</w:t>
      </w:r>
      <w:r w:rsidR="00F522AC">
        <w:rPr>
          <w:rFonts w:ascii="Arial" w:hAnsi="Arial" w:cs="Arial"/>
          <w:sz w:val="24"/>
          <w:szCs w:val="24"/>
        </w:rPr>
        <w:t>s</w:t>
      </w:r>
      <w:r>
        <w:rPr>
          <w:rFonts w:ascii="Arial" w:hAnsi="Arial" w:cs="Arial"/>
          <w:sz w:val="24"/>
          <w:szCs w:val="24"/>
        </w:rPr>
        <w:t xml:space="preserve">econd </w:t>
      </w:r>
      <w:r w:rsidR="00F522AC">
        <w:rPr>
          <w:rFonts w:ascii="Arial" w:hAnsi="Arial" w:cs="Arial"/>
          <w:sz w:val="24"/>
          <w:szCs w:val="24"/>
        </w:rPr>
        <w:t>r</w:t>
      </w:r>
      <w:r>
        <w:rPr>
          <w:rFonts w:ascii="Arial" w:hAnsi="Arial" w:cs="Arial"/>
          <w:sz w:val="24"/>
          <w:szCs w:val="24"/>
        </w:rPr>
        <w:t>espondent)</w:t>
      </w:r>
      <w:r w:rsidR="00C50A58">
        <w:rPr>
          <w:rFonts w:ascii="Arial" w:hAnsi="Arial" w:cs="Arial"/>
          <w:sz w:val="24"/>
          <w:szCs w:val="24"/>
        </w:rPr>
        <w:t>:</w:t>
      </w:r>
      <w:r w:rsidR="00C50A58">
        <w:rPr>
          <w:rFonts w:ascii="Arial" w:hAnsi="Arial" w:cs="Arial"/>
          <w:sz w:val="24"/>
          <w:szCs w:val="24"/>
        </w:rPr>
        <w:tab/>
      </w:r>
      <w:r w:rsidR="00C50A58">
        <w:rPr>
          <w:rFonts w:ascii="Arial" w:hAnsi="Arial" w:cs="Arial"/>
          <w:sz w:val="24"/>
          <w:szCs w:val="24"/>
        </w:rPr>
        <w:tab/>
      </w:r>
      <w:r>
        <w:rPr>
          <w:rFonts w:ascii="Arial" w:hAnsi="Arial" w:cs="Arial"/>
          <w:sz w:val="24"/>
          <w:szCs w:val="24"/>
        </w:rPr>
        <w:t xml:space="preserve">A Govender </w:t>
      </w:r>
    </w:p>
    <w:p w14:paraId="42F05C2E" w14:textId="7F774EA4" w:rsidR="00C50A58" w:rsidRDefault="00D02D59" w:rsidP="000435D4">
      <w:pPr>
        <w:keepNext/>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Pr="00DD1B08">
        <w:rPr>
          <w:rFonts w:ascii="Arial" w:hAnsi="Arial" w:cs="Arial"/>
          <w:sz w:val="24"/>
          <w:szCs w:val="24"/>
        </w:rPr>
        <w:tab/>
      </w:r>
      <w:r w:rsidR="00685F38">
        <w:rPr>
          <w:rFonts w:ascii="Arial" w:hAnsi="Arial" w:cs="Arial"/>
          <w:sz w:val="24"/>
          <w:szCs w:val="24"/>
        </w:rPr>
        <w:t>Clyde &amp; Co</w:t>
      </w:r>
    </w:p>
    <w:p w14:paraId="4FE6712B" w14:textId="77777777" w:rsidR="0040077D" w:rsidRDefault="0040077D" w:rsidP="000435D4">
      <w:pPr>
        <w:keepNext/>
        <w:tabs>
          <w:tab w:val="left" w:pos="-426"/>
          <w:tab w:val="left" w:pos="3969"/>
        </w:tabs>
        <w:spacing w:before="120" w:after="120"/>
        <w:ind w:right="567"/>
        <w:jc w:val="both"/>
        <w:rPr>
          <w:rFonts w:ascii="Arial" w:hAnsi="Arial" w:cs="Arial"/>
          <w:sz w:val="24"/>
          <w:szCs w:val="24"/>
        </w:rPr>
      </w:pPr>
    </w:p>
    <w:sectPr w:rsidR="0040077D" w:rsidSect="00081E44">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4E284" w14:textId="77777777" w:rsidR="00DA7729" w:rsidRDefault="00DA7729" w:rsidP="00AD5454">
      <w:pPr>
        <w:spacing w:after="0" w:line="240" w:lineRule="auto"/>
      </w:pPr>
      <w:r>
        <w:separator/>
      </w:r>
    </w:p>
  </w:endnote>
  <w:endnote w:type="continuationSeparator" w:id="0">
    <w:p w14:paraId="7E58F46F" w14:textId="77777777" w:rsidR="00DA7729" w:rsidRDefault="00DA7729" w:rsidP="00AD5454">
      <w:pPr>
        <w:spacing w:after="0" w:line="240" w:lineRule="auto"/>
      </w:pPr>
      <w:r>
        <w:continuationSeparator/>
      </w:r>
    </w:p>
  </w:endnote>
  <w:endnote w:type="continuationNotice" w:id="1">
    <w:p w14:paraId="44E71212" w14:textId="77777777" w:rsidR="00DA7729" w:rsidRDefault="00DA7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AF584" w14:textId="77777777" w:rsidR="00DA7729" w:rsidRDefault="00DA7729" w:rsidP="00AD5454">
      <w:pPr>
        <w:spacing w:after="0" w:line="240" w:lineRule="auto"/>
      </w:pPr>
      <w:r>
        <w:separator/>
      </w:r>
    </w:p>
  </w:footnote>
  <w:footnote w:type="continuationSeparator" w:id="0">
    <w:p w14:paraId="43B2B802" w14:textId="77777777" w:rsidR="00DA7729" w:rsidRDefault="00DA7729" w:rsidP="00AD5454">
      <w:pPr>
        <w:spacing w:after="0" w:line="240" w:lineRule="auto"/>
      </w:pPr>
      <w:r>
        <w:continuationSeparator/>
      </w:r>
    </w:p>
  </w:footnote>
  <w:footnote w:type="continuationNotice" w:id="1">
    <w:p w14:paraId="440E0E78" w14:textId="77777777" w:rsidR="00DA7729" w:rsidRDefault="00DA7729">
      <w:pPr>
        <w:spacing w:after="0" w:line="240" w:lineRule="auto"/>
      </w:pPr>
    </w:p>
  </w:footnote>
  <w:footnote w:id="2">
    <w:p w14:paraId="1BEC608A" w14:textId="751FFD6E" w:rsidR="00BB6361" w:rsidRPr="00BB6361" w:rsidRDefault="00BB6361">
      <w:pPr>
        <w:pStyle w:val="FootnoteText"/>
        <w:rPr>
          <w:lang w:val="en-US"/>
        </w:rPr>
      </w:pPr>
      <w:r>
        <w:rPr>
          <w:rStyle w:val="FootnoteReference"/>
        </w:rPr>
        <w:footnoteRef/>
      </w:r>
      <w:r>
        <w:t xml:space="preserve"> </w:t>
      </w:r>
      <w:r>
        <w:rPr>
          <w:lang w:val="en-US"/>
        </w:rPr>
        <w:t>My emphasis.</w:t>
      </w:r>
    </w:p>
  </w:footnote>
  <w:footnote w:id="3">
    <w:p w14:paraId="128B7B9C" w14:textId="6271D166" w:rsidR="00BB6361" w:rsidRPr="00BB6361" w:rsidRDefault="00BB6361">
      <w:pPr>
        <w:pStyle w:val="FootnoteText"/>
        <w:rPr>
          <w:lang w:val="en-US"/>
        </w:rPr>
      </w:pPr>
      <w:r>
        <w:rPr>
          <w:rStyle w:val="FootnoteReference"/>
        </w:rPr>
        <w:footnoteRef/>
      </w:r>
      <w:r>
        <w:t xml:space="preserve"> </w:t>
      </w:r>
      <w:r>
        <w:rPr>
          <w:lang w:val="en-US"/>
        </w:rPr>
        <w:t>My emphasis.</w:t>
      </w:r>
    </w:p>
  </w:footnote>
  <w:footnote w:id="4">
    <w:p w14:paraId="793F26E8" w14:textId="13CCEBDC" w:rsidR="00BB6361" w:rsidRPr="00BB6361" w:rsidRDefault="00BB6361">
      <w:pPr>
        <w:pStyle w:val="FootnoteText"/>
        <w:rPr>
          <w:lang w:val="en-US"/>
        </w:rPr>
      </w:pPr>
      <w:r>
        <w:rPr>
          <w:rStyle w:val="FootnoteReference"/>
        </w:rPr>
        <w:footnoteRef/>
      </w:r>
      <w:r>
        <w:t xml:space="preserve"> </w:t>
      </w:r>
      <w:r>
        <w:rPr>
          <w:lang w:val="en-US"/>
        </w:rPr>
        <w:t>My emphasis.</w:t>
      </w:r>
    </w:p>
  </w:footnote>
  <w:footnote w:id="5">
    <w:p w14:paraId="54602A10" w14:textId="1407A6AA" w:rsidR="00FC48C4" w:rsidRDefault="00FC48C4">
      <w:pPr>
        <w:pStyle w:val="FootnoteText"/>
      </w:pPr>
      <w:r>
        <w:rPr>
          <w:rStyle w:val="FootnoteReference"/>
        </w:rPr>
        <w:footnoteRef/>
      </w:r>
      <w:r>
        <w:t xml:space="preserve"> At 554H</w:t>
      </w:r>
      <w:r w:rsidR="001205A6">
        <w:t xml:space="preserve">, which reads </w:t>
      </w:r>
      <w:r w:rsidR="001205A6" w:rsidRPr="001205A6">
        <w:rPr>
          <w:i/>
          <w:iCs/>
        </w:rPr>
        <w:t xml:space="preserve">“[t]he merits of each application were considered and the court held that the leave of the court had to be obtained </w:t>
      </w:r>
      <w:r w:rsidR="001205A6" w:rsidRPr="001205A6">
        <w:rPr>
          <w:i/>
          <w:iCs/>
          <w:u w:val="single"/>
        </w:rPr>
        <w:t>before</w:t>
      </w:r>
      <w:r w:rsidR="001205A6" w:rsidRPr="001205A6">
        <w:rPr>
          <w:i/>
          <w:iCs/>
        </w:rPr>
        <w:t xml:space="preserve"> such wrongdoers could be sued regardless of the fact that no allegation had been made in the original action that they were joint wrongdoers.”</w:t>
      </w:r>
    </w:p>
  </w:footnote>
  <w:footnote w:id="6">
    <w:p w14:paraId="28D36633" w14:textId="3FA159CA" w:rsidR="00C1052A" w:rsidRPr="00C1052A" w:rsidRDefault="00C1052A">
      <w:pPr>
        <w:pStyle w:val="FootnoteText"/>
        <w:rPr>
          <w:lang w:val="en-US"/>
        </w:rPr>
      </w:pPr>
      <w:r>
        <w:rPr>
          <w:rStyle w:val="FootnoteReference"/>
        </w:rPr>
        <w:footnoteRef/>
      </w:r>
      <w:r>
        <w:t xml:space="preserve"> </w:t>
      </w:r>
      <w:r>
        <w:rPr>
          <w:lang w:val="en-US"/>
        </w:rPr>
        <w:t>A</w:t>
      </w:r>
      <w:r w:rsidR="00AB30DF">
        <w:rPr>
          <w:lang w:val="en-US"/>
        </w:rPr>
        <w:t>t</w:t>
      </w:r>
      <w:r>
        <w:rPr>
          <w:lang w:val="en-US"/>
        </w:rPr>
        <w:t xml:space="preserve"> 185A-C, as explained in </w:t>
      </w:r>
      <w:r w:rsidRPr="00C1052A">
        <w:rPr>
          <w:i/>
          <w:iCs/>
          <w:lang w:val="en-US"/>
        </w:rPr>
        <w:t>ABSA Brokers</w:t>
      </w:r>
      <w:r>
        <w:rPr>
          <w:lang w:val="en-US"/>
        </w:rPr>
        <w:t xml:space="preserve"> in para 12. </w:t>
      </w:r>
    </w:p>
  </w:footnote>
  <w:footnote w:id="7">
    <w:p w14:paraId="7D081286" w14:textId="0505E9F5" w:rsidR="00CB4E12" w:rsidRPr="00CB4E12" w:rsidRDefault="00CB4E12">
      <w:pPr>
        <w:pStyle w:val="FootnoteText"/>
        <w:rPr>
          <w:lang w:val="en-US"/>
        </w:rPr>
      </w:pPr>
      <w:r>
        <w:rPr>
          <w:rStyle w:val="FootnoteReference"/>
        </w:rPr>
        <w:footnoteRef/>
      </w:r>
      <w:r>
        <w:t xml:space="preserve"> </w:t>
      </w:r>
      <w:r>
        <w:rPr>
          <w:lang w:val="en-US"/>
        </w:rPr>
        <w:t>At para 14 and 17.</w:t>
      </w:r>
    </w:p>
  </w:footnote>
  <w:footnote w:id="8">
    <w:p w14:paraId="65243D53" w14:textId="3E22301A" w:rsidR="00FC48C4" w:rsidRDefault="00FC48C4">
      <w:pPr>
        <w:pStyle w:val="FootnoteText"/>
      </w:pPr>
      <w:r>
        <w:rPr>
          <w:rStyle w:val="FootnoteReference"/>
        </w:rPr>
        <w:footnoteRef/>
      </w:r>
      <w:r>
        <w:t xml:space="preserve"> At 554</w:t>
      </w:r>
      <w:r w:rsidR="00AB30DF">
        <w:t>G</w:t>
      </w:r>
      <w:r>
        <w:t xml:space="preserve"> to 555A. </w:t>
      </w:r>
    </w:p>
  </w:footnote>
  <w:footnote w:id="9">
    <w:p w14:paraId="1FC25455" w14:textId="3F930938" w:rsidR="009F5CFC" w:rsidRPr="009F5CFC" w:rsidRDefault="009F5CFC">
      <w:pPr>
        <w:pStyle w:val="FootnoteText"/>
      </w:pPr>
      <w:r>
        <w:rPr>
          <w:rStyle w:val="FootnoteReference"/>
        </w:rPr>
        <w:footnoteRef/>
      </w:r>
      <w:r>
        <w:t xml:space="preserve"> 2012 (4) SA 593 (SCA) para 18. </w:t>
      </w:r>
    </w:p>
  </w:footnote>
  <w:footnote w:id="10">
    <w:p w14:paraId="015B54DF" w14:textId="3D3B88A0" w:rsidR="00CD4A3D" w:rsidRPr="00CD4A3D" w:rsidRDefault="00CD4A3D">
      <w:pPr>
        <w:pStyle w:val="FootnoteText"/>
      </w:pPr>
      <w:r>
        <w:rPr>
          <w:rStyle w:val="FootnoteReference"/>
        </w:rPr>
        <w:footnoteRef/>
      </w:r>
      <w:r>
        <w:rPr>
          <w:i/>
          <w:iCs/>
        </w:rPr>
        <w:t>Tshwane City</w:t>
      </w:r>
      <w:r w:rsidR="002A10D4">
        <w:rPr>
          <w:i/>
          <w:iCs/>
        </w:rPr>
        <w:t xml:space="preserve"> v Blair Atholl Homeowners Association </w:t>
      </w:r>
      <w:r>
        <w:t>2019 (3) SA 398 (SCA)</w:t>
      </w:r>
      <w:r w:rsidR="006957A7">
        <w:t xml:space="preserve"> at para 63.</w:t>
      </w:r>
    </w:p>
  </w:footnote>
  <w:footnote w:id="11">
    <w:p w14:paraId="3955F005" w14:textId="6AD19213" w:rsidR="00513347" w:rsidRPr="00513347" w:rsidRDefault="00513347">
      <w:pPr>
        <w:pStyle w:val="FootnoteText"/>
      </w:pPr>
      <w:r>
        <w:rPr>
          <w:rStyle w:val="FootnoteReference"/>
        </w:rPr>
        <w:footnoteRef/>
      </w:r>
      <w:r>
        <w:t xml:space="preserve"> </w:t>
      </w:r>
      <w:r>
        <w:rPr>
          <w:i/>
          <w:iCs/>
        </w:rPr>
        <w:t xml:space="preserve">ABSA Brokers supra </w:t>
      </w:r>
      <w:r>
        <w:t xml:space="preserve">para 5. </w:t>
      </w:r>
    </w:p>
  </w:footnote>
  <w:footnote w:id="12">
    <w:p w14:paraId="28EC2A20" w14:textId="0F9DB5BA" w:rsidR="00513347" w:rsidRPr="00513347" w:rsidRDefault="00513347">
      <w:pPr>
        <w:pStyle w:val="FootnoteText"/>
      </w:pPr>
      <w:r>
        <w:rPr>
          <w:rStyle w:val="FootnoteReference"/>
        </w:rPr>
        <w:footnoteRef/>
      </w:r>
      <w:r>
        <w:t xml:space="preserve"> </w:t>
      </w:r>
      <w:r>
        <w:rPr>
          <w:i/>
          <w:iCs/>
        </w:rPr>
        <w:t xml:space="preserve">ABSA Brokers supra </w:t>
      </w:r>
      <w:r>
        <w:t xml:space="preserve">para 5. </w:t>
      </w:r>
    </w:p>
  </w:footnote>
  <w:footnote w:id="13">
    <w:p w14:paraId="5E43A911" w14:textId="33C67839" w:rsidR="00A364B8" w:rsidRPr="00513347" w:rsidRDefault="00A364B8" w:rsidP="00A364B8">
      <w:pPr>
        <w:pStyle w:val="FootnoteText"/>
      </w:pPr>
      <w:r>
        <w:rPr>
          <w:rStyle w:val="FootnoteReference"/>
        </w:rPr>
        <w:footnoteRef/>
      </w:r>
      <w:r>
        <w:t xml:space="preserve"> </w:t>
      </w:r>
      <w:r>
        <w:rPr>
          <w:i/>
          <w:iCs/>
        </w:rPr>
        <w:t xml:space="preserve">ABSA Brokers </w:t>
      </w:r>
      <w:r w:rsidR="00BA7530">
        <w:rPr>
          <w:i/>
          <w:iCs/>
        </w:rPr>
        <w:t xml:space="preserve">supra </w:t>
      </w:r>
      <w:r>
        <w:t xml:space="preserve">paras 5 and 6. </w:t>
      </w:r>
    </w:p>
  </w:footnote>
  <w:footnote w:id="14">
    <w:p w14:paraId="513F0658" w14:textId="33FFB14E" w:rsidR="00BA7530" w:rsidRPr="00BA7530" w:rsidRDefault="00BA7530">
      <w:pPr>
        <w:pStyle w:val="FootnoteText"/>
        <w:rPr>
          <w:lang w:val="en-US"/>
        </w:rPr>
      </w:pPr>
      <w:r>
        <w:rPr>
          <w:rStyle w:val="FootnoteReference"/>
        </w:rPr>
        <w:footnoteRef/>
      </w:r>
      <w:r>
        <w:t xml:space="preserve"> </w:t>
      </w:r>
      <w:r w:rsidRPr="00BA7530">
        <w:rPr>
          <w:i/>
          <w:iCs/>
          <w:lang w:val="en-US"/>
        </w:rPr>
        <w:t>ABSA Brokers</w:t>
      </w:r>
      <w:r>
        <w:rPr>
          <w:lang w:val="en-US"/>
        </w:rPr>
        <w:t xml:space="preserve"> para 6.</w:t>
      </w:r>
    </w:p>
  </w:footnote>
  <w:footnote w:id="15">
    <w:p w14:paraId="2FB5EE64" w14:textId="53C4EB45" w:rsidR="00863F4E" w:rsidRPr="00863F4E" w:rsidRDefault="00863F4E">
      <w:pPr>
        <w:pStyle w:val="FootnoteText"/>
        <w:rPr>
          <w:lang w:val="en-US"/>
        </w:rPr>
      </w:pPr>
      <w:r>
        <w:rPr>
          <w:rStyle w:val="FootnoteReference"/>
        </w:rPr>
        <w:footnoteRef/>
      </w:r>
      <w:r>
        <w:t xml:space="preserve"> </w:t>
      </w:r>
      <w:r>
        <w:rPr>
          <w:lang w:val="en-US"/>
        </w:rPr>
        <w:t>Section 15(1) as read with 15(6) of the Prescription Act, 1969.</w:t>
      </w:r>
    </w:p>
  </w:footnote>
  <w:footnote w:id="16">
    <w:p w14:paraId="749A436B" w14:textId="43CB7369" w:rsidR="000332C4" w:rsidRPr="00F860F5" w:rsidRDefault="000332C4" w:rsidP="000332C4">
      <w:pPr>
        <w:pStyle w:val="FootnoteText"/>
      </w:pPr>
      <w:r>
        <w:rPr>
          <w:rStyle w:val="FootnoteReference"/>
        </w:rPr>
        <w:footnoteRef/>
      </w:r>
      <w:r>
        <w:t xml:space="preserve"> </w:t>
      </w:r>
      <w:r>
        <w:rPr>
          <w:i/>
          <w:iCs/>
        </w:rPr>
        <w:t xml:space="preserve">Investigating Directorate: Serious Economic Offences and Others v Hyundai Motor Distributors and Others </w:t>
      </w:r>
      <w:r>
        <w:t>2001 (1) SA 545 (CC) at paras 23 to 2</w:t>
      </w:r>
      <w:r w:rsidR="0081214F">
        <w:t>6</w:t>
      </w:r>
      <w:r>
        <w:t xml:space="preserve">. </w:t>
      </w:r>
    </w:p>
  </w:footnote>
  <w:footnote w:id="17">
    <w:p w14:paraId="3AEA0D56" w14:textId="2486AF67" w:rsidR="00EF293A" w:rsidRPr="00EF293A" w:rsidRDefault="00EF293A">
      <w:pPr>
        <w:pStyle w:val="FootnoteText"/>
        <w:rPr>
          <w:lang w:val="en-US"/>
        </w:rPr>
      </w:pPr>
      <w:r>
        <w:rPr>
          <w:rStyle w:val="FootnoteReference"/>
        </w:rPr>
        <w:footnoteRef/>
      </w:r>
      <w:r>
        <w:t xml:space="preserve"> </w:t>
      </w:r>
      <w:r>
        <w:rPr>
          <w:lang w:val="en-US"/>
        </w:rPr>
        <w:t>At 885E-G.</w:t>
      </w:r>
    </w:p>
  </w:footnote>
  <w:footnote w:id="18">
    <w:p w14:paraId="3C336520" w14:textId="660CDBF2" w:rsidR="00A97318" w:rsidRDefault="00A97318">
      <w:pPr>
        <w:pStyle w:val="FootnoteText"/>
      </w:pPr>
      <w:r>
        <w:rPr>
          <w:rStyle w:val="FootnoteReference"/>
        </w:rPr>
        <w:footnoteRef/>
      </w:r>
      <w:r>
        <w:t xml:space="preserve"> </w:t>
      </w:r>
      <w:r w:rsidR="00536AAD">
        <w:t xml:space="preserve">Above at </w:t>
      </w:r>
      <w:r>
        <w:t xml:space="preserve">para 376A to C. </w:t>
      </w:r>
    </w:p>
  </w:footnote>
  <w:footnote w:id="19">
    <w:p w14:paraId="2C08A0C9" w14:textId="4EEE91CE" w:rsidR="00EF654E" w:rsidRPr="00EF654E" w:rsidRDefault="00EF654E">
      <w:pPr>
        <w:pStyle w:val="FootnoteText"/>
        <w:rPr>
          <w:lang w:val="en-US"/>
        </w:rPr>
      </w:pPr>
      <w:r>
        <w:rPr>
          <w:rStyle w:val="FootnoteReference"/>
        </w:rPr>
        <w:footnoteRef/>
      </w:r>
      <w:r>
        <w:t xml:space="preserve"> </w:t>
      </w:r>
      <w:r>
        <w:rPr>
          <w:lang w:val="en-US"/>
        </w:rPr>
        <w:t>At 376C.</w:t>
      </w:r>
    </w:p>
  </w:footnote>
  <w:footnote w:id="20">
    <w:p w14:paraId="1181520F" w14:textId="213E6FAB" w:rsidR="00A97318" w:rsidRPr="00A97318" w:rsidRDefault="00A97318">
      <w:pPr>
        <w:pStyle w:val="FootnoteText"/>
      </w:pPr>
      <w:r>
        <w:rPr>
          <w:rStyle w:val="FootnoteReference"/>
        </w:rPr>
        <w:footnoteRef/>
      </w:r>
      <w:r>
        <w:t xml:space="preserve"> </w:t>
      </w:r>
      <w:r w:rsidR="00536AAD">
        <w:t xml:space="preserve">Above. </w:t>
      </w:r>
      <w:r>
        <w:rPr>
          <w:i/>
          <w:iCs/>
        </w:rPr>
        <w:t xml:space="preserve"> </w:t>
      </w:r>
    </w:p>
  </w:footnote>
  <w:footnote w:id="21">
    <w:p w14:paraId="1B30A7B9" w14:textId="7BBFEF46" w:rsidR="00086AD7" w:rsidRPr="00086AD7" w:rsidRDefault="00086AD7">
      <w:pPr>
        <w:pStyle w:val="FootnoteText"/>
        <w:rPr>
          <w:lang w:val="en-US"/>
        </w:rPr>
      </w:pPr>
      <w:r>
        <w:rPr>
          <w:rStyle w:val="FootnoteReference"/>
        </w:rPr>
        <w:footnoteRef/>
      </w:r>
      <w:r>
        <w:t xml:space="preserve"> </w:t>
      </w:r>
      <w:r>
        <w:rPr>
          <w:lang w:val="en-US"/>
        </w:rPr>
        <w:t>At 422H.</w:t>
      </w:r>
    </w:p>
  </w:footnote>
  <w:footnote w:id="22">
    <w:p w14:paraId="3A642D72" w14:textId="4EBF7DE8" w:rsidR="00086AD7" w:rsidRPr="00086AD7" w:rsidRDefault="00086AD7">
      <w:pPr>
        <w:pStyle w:val="FootnoteText"/>
        <w:rPr>
          <w:lang w:val="en-US"/>
        </w:rPr>
      </w:pPr>
      <w:r>
        <w:rPr>
          <w:rStyle w:val="FootnoteReference"/>
        </w:rPr>
        <w:footnoteRef/>
      </w:r>
      <w:r>
        <w:t xml:space="preserve"> </w:t>
      </w:r>
      <w:r>
        <w:rPr>
          <w:lang w:val="en-US"/>
        </w:rPr>
        <w:t>At 422H-423A.</w:t>
      </w:r>
    </w:p>
  </w:footnote>
  <w:footnote w:id="23">
    <w:p w14:paraId="6C7D08A3" w14:textId="77777777" w:rsidR="003843ED" w:rsidRDefault="003843ED" w:rsidP="003843ED">
      <w:pPr>
        <w:pStyle w:val="FootnoteText"/>
      </w:pPr>
      <w:r>
        <w:rPr>
          <w:rStyle w:val="FootnoteReference"/>
        </w:rPr>
        <w:footnoteRef/>
      </w:r>
      <w:r>
        <w:t xml:space="preserve"> At paras 422H to 423C. </w:t>
      </w:r>
    </w:p>
  </w:footnote>
  <w:footnote w:id="24">
    <w:p w14:paraId="63ED91EC" w14:textId="2B890679" w:rsidR="004376F2" w:rsidRPr="004376F2" w:rsidRDefault="004376F2">
      <w:pPr>
        <w:pStyle w:val="FootnoteText"/>
        <w:rPr>
          <w:lang w:val="en-US"/>
        </w:rPr>
      </w:pPr>
      <w:r>
        <w:rPr>
          <w:rStyle w:val="FootnoteReference"/>
        </w:rPr>
        <w:footnoteRef/>
      </w:r>
      <w:r>
        <w:t xml:space="preserve"> </w:t>
      </w:r>
      <w:r>
        <w:rPr>
          <w:lang w:val="en-US"/>
        </w:rPr>
        <w:t>At 423D.</w:t>
      </w:r>
    </w:p>
  </w:footnote>
  <w:footnote w:id="25">
    <w:p w14:paraId="2A0A491A" w14:textId="232B0E77" w:rsidR="00CB42A3" w:rsidRPr="00CB42A3" w:rsidRDefault="00CB42A3">
      <w:pPr>
        <w:pStyle w:val="FootnoteText"/>
        <w:rPr>
          <w:lang w:val="en-US"/>
        </w:rPr>
      </w:pPr>
      <w:r>
        <w:rPr>
          <w:rStyle w:val="FootnoteReference"/>
        </w:rPr>
        <w:footnoteRef/>
      </w:r>
      <w:r>
        <w:t xml:space="preserve"> </w:t>
      </w:r>
      <w:r>
        <w:rPr>
          <w:lang w:val="en-US"/>
        </w:rPr>
        <w:t>A</w:t>
      </w:r>
      <w:r w:rsidR="00F81BFD">
        <w:rPr>
          <w:lang w:val="en-US"/>
        </w:rPr>
        <w:t>t</w:t>
      </w:r>
      <w:r>
        <w:rPr>
          <w:lang w:val="en-US"/>
        </w:rPr>
        <w:t xml:space="preserve"> 422D.</w:t>
      </w:r>
    </w:p>
  </w:footnote>
  <w:footnote w:id="26">
    <w:p w14:paraId="695CE6F6" w14:textId="7036E27F" w:rsidR="00C85F2F" w:rsidRPr="00C85F2F" w:rsidRDefault="00C85F2F">
      <w:pPr>
        <w:pStyle w:val="FootnoteText"/>
        <w:rPr>
          <w:lang w:val="en-US"/>
        </w:rPr>
      </w:pPr>
      <w:r>
        <w:rPr>
          <w:rStyle w:val="FootnoteReference"/>
        </w:rPr>
        <w:footnoteRef/>
      </w:r>
      <w:r>
        <w:t xml:space="preserve"> </w:t>
      </w:r>
      <w:r>
        <w:rPr>
          <w:lang w:val="en-US"/>
        </w:rPr>
        <w:t>See 422H, as cited above,</w:t>
      </w:r>
    </w:p>
  </w:footnote>
  <w:footnote w:id="27">
    <w:p w14:paraId="7110AC0C" w14:textId="0C889DE9" w:rsidR="006C75CF" w:rsidRPr="006C75CF" w:rsidRDefault="006C75CF">
      <w:pPr>
        <w:pStyle w:val="FootnoteText"/>
        <w:rPr>
          <w:lang w:val="en-US"/>
        </w:rPr>
      </w:pPr>
      <w:r>
        <w:rPr>
          <w:rStyle w:val="FootnoteReference"/>
        </w:rPr>
        <w:footnoteRef/>
      </w:r>
      <w:r>
        <w:t xml:space="preserve"> </w:t>
      </w:r>
      <w:r>
        <w:rPr>
          <w:lang w:val="en-US"/>
        </w:rPr>
        <w:t>AR 425D.</w:t>
      </w:r>
    </w:p>
  </w:footnote>
  <w:footnote w:id="28">
    <w:p w14:paraId="5BAB133C" w14:textId="2015E2F3" w:rsidR="00AE03EC" w:rsidRDefault="00AE03EC">
      <w:pPr>
        <w:pStyle w:val="FootnoteText"/>
      </w:pPr>
      <w:r>
        <w:rPr>
          <w:rStyle w:val="FootnoteReference"/>
        </w:rPr>
        <w:footnoteRef/>
      </w:r>
      <w:r>
        <w:t xml:space="preserve"> Para 9. </w:t>
      </w:r>
    </w:p>
  </w:footnote>
  <w:footnote w:id="29">
    <w:p w14:paraId="4EB4A1B2" w14:textId="0D22B276" w:rsidR="00AE03EC" w:rsidRDefault="00AE03EC">
      <w:pPr>
        <w:pStyle w:val="FootnoteText"/>
      </w:pPr>
      <w:r>
        <w:rPr>
          <w:rStyle w:val="FootnoteReference"/>
        </w:rPr>
        <w:footnoteRef/>
      </w:r>
      <w:r>
        <w:t xml:space="preserve"> At para 889G. </w:t>
      </w:r>
    </w:p>
  </w:footnote>
  <w:footnote w:id="30">
    <w:p w14:paraId="1A11837D" w14:textId="4D1BD1B2" w:rsidR="0031436B" w:rsidRPr="0031436B" w:rsidRDefault="0031436B">
      <w:pPr>
        <w:pStyle w:val="FootnoteText"/>
        <w:rPr>
          <w:lang w:val="en-US"/>
        </w:rPr>
      </w:pPr>
      <w:r>
        <w:rPr>
          <w:rStyle w:val="FootnoteReference"/>
        </w:rPr>
        <w:footnoteRef/>
      </w:r>
      <w:r>
        <w:t xml:space="preserve"> </w:t>
      </w:r>
      <w:r w:rsidR="00D660D0" w:rsidRPr="00F053B1">
        <w:rPr>
          <w:i/>
          <w:iCs/>
          <w:lang w:val="en-US"/>
        </w:rPr>
        <w:t>Pado</w:t>
      </w:r>
      <w:r w:rsidR="00F053B1" w:rsidRPr="00F053B1">
        <w:rPr>
          <w:i/>
          <w:iCs/>
          <w:lang w:val="en-US"/>
        </w:rPr>
        <w:t xml:space="preserve">ngelukkesfonds v Van den Berg en ‘n ander </w:t>
      </w:r>
      <w:r w:rsidR="00F053B1" w:rsidRPr="00F053B1">
        <w:rPr>
          <w:lang w:val="en-US"/>
        </w:rPr>
        <w:t>1999 (2) SA 876 (O) at 886B.</w:t>
      </w:r>
    </w:p>
  </w:footnote>
  <w:footnote w:id="31">
    <w:p w14:paraId="57A43FA1" w14:textId="2FA4FB98" w:rsidR="00F81BFD" w:rsidRPr="00F81BFD" w:rsidRDefault="00F81BFD">
      <w:pPr>
        <w:pStyle w:val="FootnoteText"/>
        <w:rPr>
          <w:lang w:val="en-US"/>
        </w:rPr>
      </w:pPr>
      <w:r>
        <w:rPr>
          <w:rStyle w:val="FootnoteReference"/>
        </w:rPr>
        <w:footnoteRef/>
      </w:r>
      <w:r>
        <w:t xml:space="preserve"> </w:t>
      </w:r>
      <w:r w:rsidRPr="00F81BFD">
        <w:rPr>
          <w:i/>
          <w:iCs/>
          <w:lang w:val="en-US"/>
        </w:rPr>
        <w:t xml:space="preserve">Wapnick </w:t>
      </w:r>
      <w:r>
        <w:rPr>
          <w:lang w:val="en-US"/>
        </w:rPr>
        <w:t>at 422D.</w:t>
      </w:r>
    </w:p>
  </w:footnote>
  <w:footnote w:id="32">
    <w:p w14:paraId="13CEA04C" w14:textId="77777777" w:rsidR="00F053B1" w:rsidRPr="00A83ED7" w:rsidRDefault="00F053B1" w:rsidP="00F053B1">
      <w:pPr>
        <w:pStyle w:val="FootnoteText"/>
        <w:rPr>
          <w:lang w:val="en-US"/>
        </w:rPr>
      </w:pPr>
      <w:r>
        <w:rPr>
          <w:rStyle w:val="FootnoteReference"/>
        </w:rPr>
        <w:footnoteRef/>
      </w:r>
      <w:r>
        <w:t xml:space="preserve"> Supra, </w:t>
      </w:r>
      <w:r>
        <w:rPr>
          <w:lang w:val="en-US"/>
        </w:rPr>
        <w:t>at 887B.</w:t>
      </w:r>
    </w:p>
  </w:footnote>
  <w:footnote w:id="33">
    <w:p w14:paraId="367D07C1" w14:textId="77777777" w:rsidR="007176C1" w:rsidRPr="007176C1" w:rsidRDefault="007176C1" w:rsidP="007176C1">
      <w:pPr>
        <w:pStyle w:val="FootnoteText"/>
        <w:rPr>
          <w:lang w:val="en-US"/>
        </w:rPr>
      </w:pPr>
      <w:r>
        <w:rPr>
          <w:rStyle w:val="FootnoteReference"/>
        </w:rPr>
        <w:footnoteRef/>
      </w:r>
      <w:r>
        <w:t xml:space="preserve"> </w:t>
      </w:r>
      <w:r w:rsidRPr="007176C1">
        <w:rPr>
          <w:i/>
          <w:iCs/>
        </w:rPr>
        <w:t>Zealand v Milborough</w:t>
      </w:r>
      <w:r>
        <w:t xml:space="preserve"> 1991 (4) SA 836 (SE) at 838D/E; </w:t>
      </w:r>
      <w:r w:rsidRPr="007176C1">
        <w:rPr>
          <w:i/>
          <w:iCs/>
        </w:rPr>
        <w:t>Carolus and another v Saambou Bank Ltd</w:t>
      </w:r>
      <w:r>
        <w:t xml:space="preserve"> 2002 (6) SA 346 (SE) at 349D-E</w:t>
      </w:r>
    </w:p>
  </w:footnote>
  <w:footnote w:id="34">
    <w:p w14:paraId="6CEDF18D" w14:textId="0E49A00D" w:rsidR="0035703F" w:rsidRPr="0035703F" w:rsidRDefault="0035703F">
      <w:pPr>
        <w:pStyle w:val="FootnoteText"/>
        <w:rPr>
          <w:lang w:val="en-US"/>
        </w:rPr>
      </w:pPr>
      <w:r>
        <w:rPr>
          <w:rStyle w:val="FootnoteReference"/>
        </w:rPr>
        <w:footnoteRef/>
      </w:r>
      <w:r>
        <w:t xml:space="preserve"> </w:t>
      </w:r>
      <w:r>
        <w:rPr>
          <w:lang w:val="en-US"/>
        </w:rPr>
        <w:t xml:space="preserve">See </w:t>
      </w:r>
      <w:r w:rsidRPr="0035703F">
        <w:rPr>
          <w:i/>
          <w:iCs/>
          <w:lang w:val="en-US"/>
        </w:rPr>
        <w:t>Van den Berg</w:t>
      </w:r>
      <w:r>
        <w:rPr>
          <w:lang w:val="en-US"/>
        </w:rPr>
        <w:t xml:space="preserve"> above, at 887D where the applicant for leave under section 2(4) in seeking an indulgence was ordered to pay the respondent’s costs as the opposition was reasonable.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2041B482"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233A98">
          <w:rPr>
            <w:rFonts w:ascii="Arial" w:hAnsi="Arial" w:cs="Arial"/>
            <w:noProof/>
            <w:sz w:val="24"/>
            <w:szCs w:val="24"/>
          </w:rPr>
          <w:t>31</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7">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4">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5">
    <w:nsid w:val="505B051A"/>
    <w:multiLevelType w:val="hybridMultilevel"/>
    <w:tmpl w:val="5904882A"/>
    <w:lvl w:ilvl="0" w:tplc="54081520">
      <w:start w:val="1"/>
      <w:numFmt w:val="lowerLetter"/>
      <w:lvlText w:val="(%1)"/>
      <w:lvlJc w:val="left"/>
      <w:pPr>
        <w:ind w:left="1778" w:hanging="360"/>
      </w:pPr>
      <w:rPr>
        <w:rFonts w:ascii="Arial" w:eastAsiaTheme="minorHAnsi" w:hAnsi="Arial" w:cs="Arial"/>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6">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7">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8">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30">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1">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4">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AE77543"/>
    <w:multiLevelType w:val="multilevel"/>
    <w:tmpl w:val="6E52BFEE"/>
    <w:lvl w:ilvl="0">
      <w:start w:val="1"/>
      <w:numFmt w:val="decimal"/>
      <w:lvlText w:val="%1."/>
      <w:lvlJc w:val="left"/>
      <w:pPr>
        <w:ind w:left="624" w:hanging="624"/>
      </w:pPr>
      <w:rPr>
        <w:rFonts w:hint="default"/>
      </w:rPr>
    </w:lvl>
    <w:lvl w:ilvl="1">
      <w:start w:val="1"/>
      <w:numFmt w:val="decimal"/>
      <w:lvlText w:val="%1.%2."/>
      <w:lvlJc w:val="left"/>
      <w:pPr>
        <w:ind w:left="1418" w:hanging="794"/>
      </w:pPr>
      <w:rPr>
        <w:rFonts w:ascii="Arial" w:hAnsi="Arial" w:cs="Arial" w:hint="default"/>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2"/>
  </w:num>
  <w:num w:numId="2">
    <w:abstractNumId w:val="32"/>
  </w:num>
  <w:num w:numId="3">
    <w:abstractNumId w:val="7"/>
  </w:num>
  <w:num w:numId="4">
    <w:abstractNumId w:val="4"/>
  </w:num>
  <w:num w:numId="5">
    <w:abstractNumId w:val="3"/>
  </w:num>
  <w:num w:numId="6">
    <w:abstractNumId w:val="28"/>
  </w:num>
  <w:num w:numId="7">
    <w:abstractNumId w:val="24"/>
  </w:num>
  <w:num w:numId="8">
    <w:abstractNumId w:val="27"/>
  </w:num>
  <w:num w:numId="9">
    <w:abstractNumId w:val="10"/>
  </w:num>
  <w:num w:numId="10">
    <w:abstractNumId w:val="18"/>
  </w:num>
  <w:num w:numId="11">
    <w:abstractNumId w:val="16"/>
  </w:num>
  <w:num w:numId="12">
    <w:abstractNumId w:val="6"/>
  </w:num>
  <w:num w:numId="13">
    <w:abstractNumId w:val="5"/>
  </w:num>
  <w:num w:numId="14">
    <w:abstractNumId w:val="26"/>
  </w:num>
  <w:num w:numId="15">
    <w:abstractNumId w:val="1"/>
  </w:num>
  <w:num w:numId="16">
    <w:abstractNumId w:val="12"/>
  </w:num>
  <w:num w:numId="17">
    <w:abstractNumId w:val="19"/>
  </w:num>
  <w:num w:numId="18">
    <w:abstractNumId w:val="8"/>
  </w:num>
  <w:num w:numId="19">
    <w:abstractNumId w:val="21"/>
  </w:num>
  <w:num w:numId="20">
    <w:abstractNumId w:val="22"/>
  </w:num>
  <w:num w:numId="21">
    <w:abstractNumId w:val="11"/>
  </w:num>
  <w:num w:numId="22">
    <w:abstractNumId w:val="0"/>
  </w:num>
  <w:num w:numId="23">
    <w:abstractNumId w:val="30"/>
  </w:num>
  <w:num w:numId="24">
    <w:abstractNumId w:val="13"/>
  </w:num>
  <w:num w:numId="25">
    <w:abstractNumId w:val="9"/>
  </w:num>
  <w:num w:numId="26">
    <w:abstractNumId w:val="34"/>
  </w:num>
  <w:num w:numId="27">
    <w:abstractNumId w:val="35"/>
  </w:num>
  <w:num w:numId="28">
    <w:abstractNumId w:val="1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3"/>
  </w:num>
  <w:num w:numId="35">
    <w:abstractNumId w:val="31"/>
  </w:num>
  <w:num w:numId="36">
    <w:abstractNumId w:val="20"/>
  </w:num>
  <w:num w:numId="37">
    <w:abstractNumId w:val="3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1340"/>
    <w:rsid w:val="00002D4E"/>
    <w:rsid w:val="000051DB"/>
    <w:rsid w:val="0000635F"/>
    <w:rsid w:val="00006C88"/>
    <w:rsid w:val="000103C5"/>
    <w:rsid w:val="00011F37"/>
    <w:rsid w:val="00012717"/>
    <w:rsid w:val="00013614"/>
    <w:rsid w:val="00014EC0"/>
    <w:rsid w:val="00015CAF"/>
    <w:rsid w:val="000162A6"/>
    <w:rsid w:val="000167EF"/>
    <w:rsid w:val="000171C5"/>
    <w:rsid w:val="00020E27"/>
    <w:rsid w:val="00020F18"/>
    <w:rsid w:val="000247CF"/>
    <w:rsid w:val="000248AB"/>
    <w:rsid w:val="00024978"/>
    <w:rsid w:val="000249CF"/>
    <w:rsid w:val="00024AF6"/>
    <w:rsid w:val="0002506C"/>
    <w:rsid w:val="00026A27"/>
    <w:rsid w:val="00027164"/>
    <w:rsid w:val="000277C2"/>
    <w:rsid w:val="0003036A"/>
    <w:rsid w:val="00031012"/>
    <w:rsid w:val="000332C4"/>
    <w:rsid w:val="00033361"/>
    <w:rsid w:val="00033D1D"/>
    <w:rsid w:val="00034FA8"/>
    <w:rsid w:val="000354D4"/>
    <w:rsid w:val="00035F31"/>
    <w:rsid w:val="00036130"/>
    <w:rsid w:val="000362DB"/>
    <w:rsid w:val="00037059"/>
    <w:rsid w:val="00037E60"/>
    <w:rsid w:val="00041C82"/>
    <w:rsid w:val="00041E3B"/>
    <w:rsid w:val="00042A5C"/>
    <w:rsid w:val="000435D4"/>
    <w:rsid w:val="00043835"/>
    <w:rsid w:val="00045449"/>
    <w:rsid w:val="000464A3"/>
    <w:rsid w:val="00046517"/>
    <w:rsid w:val="000479E6"/>
    <w:rsid w:val="0005047F"/>
    <w:rsid w:val="000504F9"/>
    <w:rsid w:val="0005318E"/>
    <w:rsid w:val="00053384"/>
    <w:rsid w:val="00053B61"/>
    <w:rsid w:val="00055E5A"/>
    <w:rsid w:val="000561D6"/>
    <w:rsid w:val="000562B4"/>
    <w:rsid w:val="00060019"/>
    <w:rsid w:val="00060214"/>
    <w:rsid w:val="00061700"/>
    <w:rsid w:val="0006183F"/>
    <w:rsid w:val="00061B03"/>
    <w:rsid w:val="00063AA1"/>
    <w:rsid w:val="00064BDC"/>
    <w:rsid w:val="0006503E"/>
    <w:rsid w:val="0006799E"/>
    <w:rsid w:val="00072827"/>
    <w:rsid w:val="0007355B"/>
    <w:rsid w:val="00076604"/>
    <w:rsid w:val="00076A81"/>
    <w:rsid w:val="00080096"/>
    <w:rsid w:val="00080BE4"/>
    <w:rsid w:val="00081E44"/>
    <w:rsid w:val="0008244B"/>
    <w:rsid w:val="00083284"/>
    <w:rsid w:val="00083D1A"/>
    <w:rsid w:val="00083F1D"/>
    <w:rsid w:val="00084FF7"/>
    <w:rsid w:val="00085BA2"/>
    <w:rsid w:val="00085BBD"/>
    <w:rsid w:val="00086297"/>
    <w:rsid w:val="00086AD7"/>
    <w:rsid w:val="00086C80"/>
    <w:rsid w:val="000900BB"/>
    <w:rsid w:val="00091058"/>
    <w:rsid w:val="000936BB"/>
    <w:rsid w:val="00093EF0"/>
    <w:rsid w:val="00094A84"/>
    <w:rsid w:val="00095889"/>
    <w:rsid w:val="00096794"/>
    <w:rsid w:val="00096809"/>
    <w:rsid w:val="000A0821"/>
    <w:rsid w:val="000A1941"/>
    <w:rsid w:val="000A1CD3"/>
    <w:rsid w:val="000A2AA3"/>
    <w:rsid w:val="000A4179"/>
    <w:rsid w:val="000A50C4"/>
    <w:rsid w:val="000A6DC5"/>
    <w:rsid w:val="000A6F5E"/>
    <w:rsid w:val="000A79CA"/>
    <w:rsid w:val="000B091F"/>
    <w:rsid w:val="000B0C34"/>
    <w:rsid w:val="000B166F"/>
    <w:rsid w:val="000B2611"/>
    <w:rsid w:val="000B2724"/>
    <w:rsid w:val="000B2F2E"/>
    <w:rsid w:val="000B2F36"/>
    <w:rsid w:val="000B5B27"/>
    <w:rsid w:val="000C09A4"/>
    <w:rsid w:val="000C323D"/>
    <w:rsid w:val="000C32C3"/>
    <w:rsid w:val="000C353B"/>
    <w:rsid w:val="000C3F7C"/>
    <w:rsid w:val="000C463B"/>
    <w:rsid w:val="000C5B47"/>
    <w:rsid w:val="000C7C1D"/>
    <w:rsid w:val="000D19DE"/>
    <w:rsid w:val="000D1A25"/>
    <w:rsid w:val="000D3205"/>
    <w:rsid w:val="000D3FDB"/>
    <w:rsid w:val="000D52CD"/>
    <w:rsid w:val="000D5DF2"/>
    <w:rsid w:val="000D7379"/>
    <w:rsid w:val="000D77E5"/>
    <w:rsid w:val="000E0054"/>
    <w:rsid w:val="000E071E"/>
    <w:rsid w:val="000E211A"/>
    <w:rsid w:val="000E2600"/>
    <w:rsid w:val="000E2703"/>
    <w:rsid w:val="000E48A4"/>
    <w:rsid w:val="000E55B0"/>
    <w:rsid w:val="000F0DFC"/>
    <w:rsid w:val="000F14E8"/>
    <w:rsid w:val="000F15DF"/>
    <w:rsid w:val="000F256A"/>
    <w:rsid w:val="000F2A50"/>
    <w:rsid w:val="000F3502"/>
    <w:rsid w:val="000F36EC"/>
    <w:rsid w:val="000F3A7A"/>
    <w:rsid w:val="000F4342"/>
    <w:rsid w:val="000F5B4D"/>
    <w:rsid w:val="000F5FFD"/>
    <w:rsid w:val="000F6A7B"/>
    <w:rsid w:val="000F6DFE"/>
    <w:rsid w:val="00101C80"/>
    <w:rsid w:val="001026FA"/>
    <w:rsid w:val="001029E5"/>
    <w:rsid w:val="00106019"/>
    <w:rsid w:val="001060E7"/>
    <w:rsid w:val="001067C5"/>
    <w:rsid w:val="001117FE"/>
    <w:rsid w:val="00111CC2"/>
    <w:rsid w:val="00112075"/>
    <w:rsid w:val="001154E5"/>
    <w:rsid w:val="001156A9"/>
    <w:rsid w:val="00115E80"/>
    <w:rsid w:val="00116270"/>
    <w:rsid w:val="00116DCF"/>
    <w:rsid w:val="001205A6"/>
    <w:rsid w:val="001227DD"/>
    <w:rsid w:val="00124012"/>
    <w:rsid w:val="00124B76"/>
    <w:rsid w:val="00124F65"/>
    <w:rsid w:val="001256BD"/>
    <w:rsid w:val="0012612C"/>
    <w:rsid w:val="001264DA"/>
    <w:rsid w:val="00126EB3"/>
    <w:rsid w:val="00127B29"/>
    <w:rsid w:val="00130128"/>
    <w:rsid w:val="0013048E"/>
    <w:rsid w:val="0013064E"/>
    <w:rsid w:val="00130DA8"/>
    <w:rsid w:val="001320B7"/>
    <w:rsid w:val="0013306E"/>
    <w:rsid w:val="001332E8"/>
    <w:rsid w:val="00136490"/>
    <w:rsid w:val="00137FAF"/>
    <w:rsid w:val="00140EB0"/>
    <w:rsid w:val="0014105F"/>
    <w:rsid w:val="0014148E"/>
    <w:rsid w:val="001416B2"/>
    <w:rsid w:val="001418DD"/>
    <w:rsid w:val="001431E6"/>
    <w:rsid w:val="001461D1"/>
    <w:rsid w:val="00146A5B"/>
    <w:rsid w:val="00147533"/>
    <w:rsid w:val="00150144"/>
    <w:rsid w:val="00150160"/>
    <w:rsid w:val="001516F3"/>
    <w:rsid w:val="00151ACB"/>
    <w:rsid w:val="00152D75"/>
    <w:rsid w:val="001547D7"/>
    <w:rsid w:val="00154935"/>
    <w:rsid w:val="001552D5"/>
    <w:rsid w:val="001557C1"/>
    <w:rsid w:val="001562E9"/>
    <w:rsid w:val="00156D6D"/>
    <w:rsid w:val="00162123"/>
    <w:rsid w:val="00163206"/>
    <w:rsid w:val="00163356"/>
    <w:rsid w:val="00164305"/>
    <w:rsid w:val="00164461"/>
    <w:rsid w:val="0016490E"/>
    <w:rsid w:val="0016642E"/>
    <w:rsid w:val="00166769"/>
    <w:rsid w:val="001673C5"/>
    <w:rsid w:val="00171524"/>
    <w:rsid w:val="00172B81"/>
    <w:rsid w:val="00173946"/>
    <w:rsid w:val="00174C2B"/>
    <w:rsid w:val="00180265"/>
    <w:rsid w:val="001802CA"/>
    <w:rsid w:val="00180D04"/>
    <w:rsid w:val="00181193"/>
    <w:rsid w:val="0018146D"/>
    <w:rsid w:val="00182C8F"/>
    <w:rsid w:val="00183059"/>
    <w:rsid w:val="00184211"/>
    <w:rsid w:val="00184688"/>
    <w:rsid w:val="00186E3C"/>
    <w:rsid w:val="001876CC"/>
    <w:rsid w:val="00187D0F"/>
    <w:rsid w:val="00187E09"/>
    <w:rsid w:val="0019071D"/>
    <w:rsid w:val="00190EB7"/>
    <w:rsid w:val="00191A86"/>
    <w:rsid w:val="0019512E"/>
    <w:rsid w:val="00195163"/>
    <w:rsid w:val="001A0515"/>
    <w:rsid w:val="001A09B6"/>
    <w:rsid w:val="001A0A03"/>
    <w:rsid w:val="001A0CE5"/>
    <w:rsid w:val="001A15B5"/>
    <w:rsid w:val="001A2CBE"/>
    <w:rsid w:val="001A321E"/>
    <w:rsid w:val="001A32DB"/>
    <w:rsid w:val="001A3C9E"/>
    <w:rsid w:val="001A4CD5"/>
    <w:rsid w:val="001A597B"/>
    <w:rsid w:val="001A6086"/>
    <w:rsid w:val="001A617E"/>
    <w:rsid w:val="001A69AE"/>
    <w:rsid w:val="001A6F44"/>
    <w:rsid w:val="001A77F5"/>
    <w:rsid w:val="001A7806"/>
    <w:rsid w:val="001B3E48"/>
    <w:rsid w:val="001B4444"/>
    <w:rsid w:val="001B5C0E"/>
    <w:rsid w:val="001B689E"/>
    <w:rsid w:val="001B716F"/>
    <w:rsid w:val="001B7585"/>
    <w:rsid w:val="001C10F3"/>
    <w:rsid w:val="001C1219"/>
    <w:rsid w:val="001C2DDC"/>
    <w:rsid w:val="001C68F0"/>
    <w:rsid w:val="001C6B80"/>
    <w:rsid w:val="001C78FE"/>
    <w:rsid w:val="001D3843"/>
    <w:rsid w:val="001D60E9"/>
    <w:rsid w:val="001D7E2D"/>
    <w:rsid w:val="001E03AB"/>
    <w:rsid w:val="001E10AD"/>
    <w:rsid w:val="001E3216"/>
    <w:rsid w:val="001E4DEF"/>
    <w:rsid w:val="001E564E"/>
    <w:rsid w:val="001E71A7"/>
    <w:rsid w:val="001E77F0"/>
    <w:rsid w:val="001E7BF2"/>
    <w:rsid w:val="001E7DE7"/>
    <w:rsid w:val="001F0ABA"/>
    <w:rsid w:val="001F17A7"/>
    <w:rsid w:val="001F1C4F"/>
    <w:rsid w:val="001F3B24"/>
    <w:rsid w:val="001F4534"/>
    <w:rsid w:val="001F76ED"/>
    <w:rsid w:val="00200446"/>
    <w:rsid w:val="00200953"/>
    <w:rsid w:val="00202241"/>
    <w:rsid w:val="002054DD"/>
    <w:rsid w:val="00205BF4"/>
    <w:rsid w:val="002069ED"/>
    <w:rsid w:val="00207DFA"/>
    <w:rsid w:val="00210292"/>
    <w:rsid w:val="00210463"/>
    <w:rsid w:val="00210C28"/>
    <w:rsid w:val="0021129B"/>
    <w:rsid w:val="002130D1"/>
    <w:rsid w:val="00213DE3"/>
    <w:rsid w:val="00222CCA"/>
    <w:rsid w:val="00222D58"/>
    <w:rsid w:val="00230586"/>
    <w:rsid w:val="00230763"/>
    <w:rsid w:val="00232619"/>
    <w:rsid w:val="00233A98"/>
    <w:rsid w:val="00233DCE"/>
    <w:rsid w:val="00234539"/>
    <w:rsid w:val="00235E10"/>
    <w:rsid w:val="00235FBE"/>
    <w:rsid w:val="00237C41"/>
    <w:rsid w:val="002409BA"/>
    <w:rsid w:val="00240C7D"/>
    <w:rsid w:val="00241A9F"/>
    <w:rsid w:val="00242A4F"/>
    <w:rsid w:val="002437C0"/>
    <w:rsid w:val="00243F04"/>
    <w:rsid w:val="00244D2E"/>
    <w:rsid w:val="002462DC"/>
    <w:rsid w:val="00246F85"/>
    <w:rsid w:val="00247B8B"/>
    <w:rsid w:val="00250054"/>
    <w:rsid w:val="00252472"/>
    <w:rsid w:val="00252C5D"/>
    <w:rsid w:val="002603E8"/>
    <w:rsid w:val="002605B6"/>
    <w:rsid w:val="002607C6"/>
    <w:rsid w:val="00260FB6"/>
    <w:rsid w:val="00261CA5"/>
    <w:rsid w:val="0026217C"/>
    <w:rsid w:val="002628C1"/>
    <w:rsid w:val="00263366"/>
    <w:rsid w:val="0026721F"/>
    <w:rsid w:val="002719AA"/>
    <w:rsid w:val="00271DC9"/>
    <w:rsid w:val="0027204F"/>
    <w:rsid w:val="00272CD0"/>
    <w:rsid w:val="00277305"/>
    <w:rsid w:val="00277395"/>
    <w:rsid w:val="002777C6"/>
    <w:rsid w:val="00277BA3"/>
    <w:rsid w:val="002807C0"/>
    <w:rsid w:val="0028196A"/>
    <w:rsid w:val="00281E5F"/>
    <w:rsid w:val="002829DC"/>
    <w:rsid w:val="00283E1B"/>
    <w:rsid w:val="002842C5"/>
    <w:rsid w:val="00285803"/>
    <w:rsid w:val="00287472"/>
    <w:rsid w:val="002905F3"/>
    <w:rsid w:val="00290E84"/>
    <w:rsid w:val="00294000"/>
    <w:rsid w:val="00294727"/>
    <w:rsid w:val="00295816"/>
    <w:rsid w:val="00295F96"/>
    <w:rsid w:val="00296150"/>
    <w:rsid w:val="0029781E"/>
    <w:rsid w:val="00297CC2"/>
    <w:rsid w:val="002A10D4"/>
    <w:rsid w:val="002A1EA7"/>
    <w:rsid w:val="002A378E"/>
    <w:rsid w:val="002A3E42"/>
    <w:rsid w:val="002A649E"/>
    <w:rsid w:val="002A7325"/>
    <w:rsid w:val="002B0661"/>
    <w:rsid w:val="002B08CA"/>
    <w:rsid w:val="002B281D"/>
    <w:rsid w:val="002B297A"/>
    <w:rsid w:val="002B3245"/>
    <w:rsid w:val="002B4EF1"/>
    <w:rsid w:val="002B526B"/>
    <w:rsid w:val="002B5CBD"/>
    <w:rsid w:val="002B5EAB"/>
    <w:rsid w:val="002B61C0"/>
    <w:rsid w:val="002C2AF6"/>
    <w:rsid w:val="002C383C"/>
    <w:rsid w:val="002C3E13"/>
    <w:rsid w:val="002C668E"/>
    <w:rsid w:val="002C7673"/>
    <w:rsid w:val="002D0198"/>
    <w:rsid w:val="002D0284"/>
    <w:rsid w:val="002D0786"/>
    <w:rsid w:val="002D0D22"/>
    <w:rsid w:val="002D188C"/>
    <w:rsid w:val="002D2351"/>
    <w:rsid w:val="002D2FF7"/>
    <w:rsid w:val="002D40AE"/>
    <w:rsid w:val="002D466A"/>
    <w:rsid w:val="002D4BBB"/>
    <w:rsid w:val="002D5424"/>
    <w:rsid w:val="002D6C4B"/>
    <w:rsid w:val="002E0DB5"/>
    <w:rsid w:val="002E1433"/>
    <w:rsid w:val="002E2399"/>
    <w:rsid w:val="002E64AD"/>
    <w:rsid w:val="002F0645"/>
    <w:rsid w:val="002F1231"/>
    <w:rsid w:val="002F220C"/>
    <w:rsid w:val="002F40FC"/>
    <w:rsid w:val="002F5BD0"/>
    <w:rsid w:val="002F6105"/>
    <w:rsid w:val="002F6E56"/>
    <w:rsid w:val="00300CAF"/>
    <w:rsid w:val="00303C6D"/>
    <w:rsid w:val="0030448F"/>
    <w:rsid w:val="00305E4B"/>
    <w:rsid w:val="00306063"/>
    <w:rsid w:val="00310D49"/>
    <w:rsid w:val="00312030"/>
    <w:rsid w:val="003142ED"/>
    <w:rsid w:val="00314333"/>
    <w:rsid w:val="0031436B"/>
    <w:rsid w:val="003169D3"/>
    <w:rsid w:val="00316CA2"/>
    <w:rsid w:val="0031727B"/>
    <w:rsid w:val="00317E95"/>
    <w:rsid w:val="003202CE"/>
    <w:rsid w:val="00320BF1"/>
    <w:rsid w:val="00320DDF"/>
    <w:rsid w:val="0032183F"/>
    <w:rsid w:val="00321A8F"/>
    <w:rsid w:val="00321B45"/>
    <w:rsid w:val="00322954"/>
    <w:rsid w:val="00323919"/>
    <w:rsid w:val="00323D21"/>
    <w:rsid w:val="003244BE"/>
    <w:rsid w:val="00326E21"/>
    <w:rsid w:val="00326E3E"/>
    <w:rsid w:val="00327206"/>
    <w:rsid w:val="003279FB"/>
    <w:rsid w:val="00327A45"/>
    <w:rsid w:val="003316C7"/>
    <w:rsid w:val="00332CBB"/>
    <w:rsid w:val="0033659F"/>
    <w:rsid w:val="0034040A"/>
    <w:rsid w:val="00341AD3"/>
    <w:rsid w:val="0034492F"/>
    <w:rsid w:val="003456A6"/>
    <w:rsid w:val="00346536"/>
    <w:rsid w:val="00346E1B"/>
    <w:rsid w:val="00347FB2"/>
    <w:rsid w:val="00351F20"/>
    <w:rsid w:val="00352518"/>
    <w:rsid w:val="00352F05"/>
    <w:rsid w:val="0035300F"/>
    <w:rsid w:val="00353D02"/>
    <w:rsid w:val="00354BBF"/>
    <w:rsid w:val="003557C0"/>
    <w:rsid w:val="0035703F"/>
    <w:rsid w:val="003571AA"/>
    <w:rsid w:val="00360034"/>
    <w:rsid w:val="00362D6D"/>
    <w:rsid w:val="00363B42"/>
    <w:rsid w:val="003656A1"/>
    <w:rsid w:val="00372A21"/>
    <w:rsid w:val="0037479C"/>
    <w:rsid w:val="003769F9"/>
    <w:rsid w:val="00376F5E"/>
    <w:rsid w:val="00377FBF"/>
    <w:rsid w:val="00380A0F"/>
    <w:rsid w:val="003834F6"/>
    <w:rsid w:val="0038351A"/>
    <w:rsid w:val="00383ACA"/>
    <w:rsid w:val="00383B36"/>
    <w:rsid w:val="003841B6"/>
    <w:rsid w:val="003843ED"/>
    <w:rsid w:val="00385CF6"/>
    <w:rsid w:val="00386B59"/>
    <w:rsid w:val="003872D3"/>
    <w:rsid w:val="003876CA"/>
    <w:rsid w:val="00387C6F"/>
    <w:rsid w:val="00387FF5"/>
    <w:rsid w:val="0039140A"/>
    <w:rsid w:val="0039274B"/>
    <w:rsid w:val="00392A75"/>
    <w:rsid w:val="003945E8"/>
    <w:rsid w:val="003A21BD"/>
    <w:rsid w:val="003A2AF5"/>
    <w:rsid w:val="003A3BD2"/>
    <w:rsid w:val="003A3D15"/>
    <w:rsid w:val="003A4B7A"/>
    <w:rsid w:val="003A51B4"/>
    <w:rsid w:val="003B0C5E"/>
    <w:rsid w:val="003B10EF"/>
    <w:rsid w:val="003B155F"/>
    <w:rsid w:val="003B311A"/>
    <w:rsid w:val="003B32B8"/>
    <w:rsid w:val="003B4177"/>
    <w:rsid w:val="003B47F3"/>
    <w:rsid w:val="003B60CD"/>
    <w:rsid w:val="003B68A8"/>
    <w:rsid w:val="003C0BFF"/>
    <w:rsid w:val="003C3732"/>
    <w:rsid w:val="003C529F"/>
    <w:rsid w:val="003C607A"/>
    <w:rsid w:val="003C7459"/>
    <w:rsid w:val="003C766D"/>
    <w:rsid w:val="003C7883"/>
    <w:rsid w:val="003D0064"/>
    <w:rsid w:val="003D1356"/>
    <w:rsid w:val="003D1565"/>
    <w:rsid w:val="003D2A10"/>
    <w:rsid w:val="003D500A"/>
    <w:rsid w:val="003D5268"/>
    <w:rsid w:val="003D57DA"/>
    <w:rsid w:val="003D5F3C"/>
    <w:rsid w:val="003E01A4"/>
    <w:rsid w:val="003E0505"/>
    <w:rsid w:val="003E11A2"/>
    <w:rsid w:val="003E2220"/>
    <w:rsid w:val="003E4447"/>
    <w:rsid w:val="003E450C"/>
    <w:rsid w:val="003E4E08"/>
    <w:rsid w:val="003E561F"/>
    <w:rsid w:val="003E66F6"/>
    <w:rsid w:val="003E6F56"/>
    <w:rsid w:val="003F02DB"/>
    <w:rsid w:val="003F0DB3"/>
    <w:rsid w:val="003F28FA"/>
    <w:rsid w:val="003F2C91"/>
    <w:rsid w:val="003F7365"/>
    <w:rsid w:val="0040077D"/>
    <w:rsid w:val="004008DC"/>
    <w:rsid w:val="00401B2F"/>
    <w:rsid w:val="00401FEB"/>
    <w:rsid w:val="00405135"/>
    <w:rsid w:val="00407066"/>
    <w:rsid w:val="0041153E"/>
    <w:rsid w:val="0041162D"/>
    <w:rsid w:val="00411E25"/>
    <w:rsid w:val="00413660"/>
    <w:rsid w:val="00413AFE"/>
    <w:rsid w:val="00413BC2"/>
    <w:rsid w:val="0041465A"/>
    <w:rsid w:val="00417477"/>
    <w:rsid w:val="00421950"/>
    <w:rsid w:val="00421D5A"/>
    <w:rsid w:val="00421E09"/>
    <w:rsid w:val="0042207F"/>
    <w:rsid w:val="00423779"/>
    <w:rsid w:val="0042582B"/>
    <w:rsid w:val="00426AF2"/>
    <w:rsid w:val="004276DC"/>
    <w:rsid w:val="00427D55"/>
    <w:rsid w:val="00431CAD"/>
    <w:rsid w:val="00432B11"/>
    <w:rsid w:val="00433A44"/>
    <w:rsid w:val="004347F9"/>
    <w:rsid w:val="00434991"/>
    <w:rsid w:val="00436781"/>
    <w:rsid w:val="00436AE4"/>
    <w:rsid w:val="00436AE5"/>
    <w:rsid w:val="004376F2"/>
    <w:rsid w:val="0044014D"/>
    <w:rsid w:val="00440220"/>
    <w:rsid w:val="00440D46"/>
    <w:rsid w:val="004412A6"/>
    <w:rsid w:val="0044161D"/>
    <w:rsid w:val="00441D04"/>
    <w:rsid w:val="00442382"/>
    <w:rsid w:val="004430D7"/>
    <w:rsid w:val="00443682"/>
    <w:rsid w:val="00443CEA"/>
    <w:rsid w:val="00443E6A"/>
    <w:rsid w:val="00444C2F"/>
    <w:rsid w:val="004475CE"/>
    <w:rsid w:val="004475D1"/>
    <w:rsid w:val="004478CD"/>
    <w:rsid w:val="0045263D"/>
    <w:rsid w:val="00452E78"/>
    <w:rsid w:val="004535A0"/>
    <w:rsid w:val="004535E8"/>
    <w:rsid w:val="004538A3"/>
    <w:rsid w:val="004547E8"/>
    <w:rsid w:val="004578D9"/>
    <w:rsid w:val="004601D7"/>
    <w:rsid w:val="004604B6"/>
    <w:rsid w:val="0046083F"/>
    <w:rsid w:val="004610FD"/>
    <w:rsid w:val="0046266A"/>
    <w:rsid w:val="004634B3"/>
    <w:rsid w:val="00463707"/>
    <w:rsid w:val="00466336"/>
    <w:rsid w:val="00473303"/>
    <w:rsid w:val="00475A48"/>
    <w:rsid w:val="00475E37"/>
    <w:rsid w:val="00480C8B"/>
    <w:rsid w:val="00481985"/>
    <w:rsid w:val="004835AF"/>
    <w:rsid w:val="00484B6D"/>
    <w:rsid w:val="0048554B"/>
    <w:rsid w:val="00485EAC"/>
    <w:rsid w:val="004865ED"/>
    <w:rsid w:val="00487CEB"/>
    <w:rsid w:val="00487EB3"/>
    <w:rsid w:val="00492161"/>
    <w:rsid w:val="00492919"/>
    <w:rsid w:val="004931E8"/>
    <w:rsid w:val="004956CD"/>
    <w:rsid w:val="00495FB7"/>
    <w:rsid w:val="004A1F2B"/>
    <w:rsid w:val="004A28B6"/>
    <w:rsid w:val="004A3909"/>
    <w:rsid w:val="004A4611"/>
    <w:rsid w:val="004A4627"/>
    <w:rsid w:val="004A4EEE"/>
    <w:rsid w:val="004A552B"/>
    <w:rsid w:val="004A64FE"/>
    <w:rsid w:val="004A6940"/>
    <w:rsid w:val="004A6CE6"/>
    <w:rsid w:val="004B0145"/>
    <w:rsid w:val="004B0E02"/>
    <w:rsid w:val="004B174D"/>
    <w:rsid w:val="004B24E1"/>
    <w:rsid w:val="004B2837"/>
    <w:rsid w:val="004B3F06"/>
    <w:rsid w:val="004B5528"/>
    <w:rsid w:val="004B56BF"/>
    <w:rsid w:val="004B5BC4"/>
    <w:rsid w:val="004C0892"/>
    <w:rsid w:val="004C0C07"/>
    <w:rsid w:val="004C1910"/>
    <w:rsid w:val="004C1953"/>
    <w:rsid w:val="004C2137"/>
    <w:rsid w:val="004C2C76"/>
    <w:rsid w:val="004C347B"/>
    <w:rsid w:val="004C3761"/>
    <w:rsid w:val="004C3B65"/>
    <w:rsid w:val="004C5D03"/>
    <w:rsid w:val="004C6FDD"/>
    <w:rsid w:val="004D1708"/>
    <w:rsid w:val="004D1CCB"/>
    <w:rsid w:val="004D4355"/>
    <w:rsid w:val="004D4D00"/>
    <w:rsid w:val="004D594A"/>
    <w:rsid w:val="004D5E82"/>
    <w:rsid w:val="004D6219"/>
    <w:rsid w:val="004E0CCA"/>
    <w:rsid w:val="004E1A7A"/>
    <w:rsid w:val="004E1CAE"/>
    <w:rsid w:val="004E27FF"/>
    <w:rsid w:val="004E3CE5"/>
    <w:rsid w:val="004E62C7"/>
    <w:rsid w:val="004E7C8C"/>
    <w:rsid w:val="004F1055"/>
    <w:rsid w:val="004F1070"/>
    <w:rsid w:val="004F13A6"/>
    <w:rsid w:val="004F1E5F"/>
    <w:rsid w:val="004F4B57"/>
    <w:rsid w:val="004F4CBE"/>
    <w:rsid w:val="004F4D31"/>
    <w:rsid w:val="004F5329"/>
    <w:rsid w:val="005009CA"/>
    <w:rsid w:val="00502BB0"/>
    <w:rsid w:val="00504084"/>
    <w:rsid w:val="0050583A"/>
    <w:rsid w:val="005065B0"/>
    <w:rsid w:val="00506B34"/>
    <w:rsid w:val="00507780"/>
    <w:rsid w:val="00510A85"/>
    <w:rsid w:val="00510A8B"/>
    <w:rsid w:val="00511228"/>
    <w:rsid w:val="00511237"/>
    <w:rsid w:val="00511C46"/>
    <w:rsid w:val="005129D3"/>
    <w:rsid w:val="00513347"/>
    <w:rsid w:val="00513418"/>
    <w:rsid w:val="00513BB3"/>
    <w:rsid w:val="0051408F"/>
    <w:rsid w:val="005171DF"/>
    <w:rsid w:val="005210DC"/>
    <w:rsid w:val="005219D2"/>
    <w:rsid w:val="00523351"/>
    <w:rsid w:val="005233AE"/>
    <w:rsid w:val="005235B6"/>
    <w:rsid w:val="005237BE"/>
    <w:rsid w:val="005238ED"/>
    <w:rsid w:val="00525100"/>
    <w:rsid w:val="005262D9"/>
    <w:rsid w:val="00526D7B"/>
    <w:rsid w:val="00531CF7"/>
    <w:rsid w:val="00531E5C"/>
    <w:rsid w:val="00533346"/>
    <w:rsid w:val="00534068"/>
    <w:rsid w:val="00534C3E"/>
    <w:rsid w:val="005354C6"/>
    <w:rsid w:val="00535B99"/>
    <w:rsid w:val="005360E7"/>
    <w:rsid w:val="00536AAD"/>
    <w:rsid w:val="00540546"/>
    <w:rsid w:val="005406A8"/>
    <w:rsid w:val="00540735"/>
    <w:rsid w:val="00540E4C"/>
    <w:rsid w:val="00540EC1"/>
    <w:rsid w:val="00543DFB"/>
    <w:rsid w:val="00543E22"/>
    <w:rsid w:val="00544606"/>
    <w:rsid w:val="005452F6"/>
    <w:rsid w:val="0054547A"/>
    <w:rsid w:val="00546492"/>
    <w:rsid w:val="00547016"/>
    <w:rsid w:val="0054706B"/>
    <w:rsid w:val="00547D54"/>
    <w:rsid w:val="0055027B"/>
    <w:rsid w:val="00550280"/>
    <w:rsid w:val="00553E31"/>
    <w:rsid w:val="00554040"/>
    <w:rsid w:val="00554568"/>
    <w:rsid w:val="00554ECB"/>
    <w:rsid w:val="00556302"/>
    <w:rsid w:val="005566B8"/>
    <w:rsid w:val="0056014B"/>
    <w:rsid w:val="00560D9D"/>
    <w:rsid w:val="00563A20"/>
    <w:rsid w:val="00563FD9"/>
    <w:rsid w:val="0056588C"/>
    <w:rsid w:val="00566EBC"/>
    <w:rsid w:val="00570917"/>
    <w:rsid w:val="00571166"/>
    <w:rsid w:val="0057222A"/>
    <w:rsid w:val="00572692"/>
    <w:rsid w:val="00572AAB"/>
    <w:rsid w:val="00572FA2"/>
    <w:rsid w:val="005740A5"/>
    <w:rsid w:val="0057431C"/>
    <w:rsid w:val="00575261"/>
    <w:rsid w:val="00575D16"/>
    <w:rsid w:val="005767B9"/>
    <w:rsid w:val="005773A2"/>
    <w:rsid w:val="00577685"/>
    <w:rsid w:val="00581315"/>
    <w:rsid w:val="00581E88"/>
    <w:rsid w:val="005825C2"/>
    <w:rsid w:val="00583769"/>
    <w:rsid w:val="005846FB"/>
    <w:rsid w:val="00584BA8"/>
    <w:rsid w:val="00585951"/>
    <w:rsid w:val="00585E3D"/>
    <w:rsid w:val="0058679B"/>
    <w:rsid w:val="005928A3"/>
    <w:rsid w:val="005952F1"/>
    <w:rsid w:val="00595F22"/>
    <w:rsid w:val="00596660"/>
    <w:rsid w:val="00596836"/>
    <w:rsid w:val="00596BEC"/>
    <w:rsid w:val="005971FD"/>
    <w:rsid w:val="005979CB"/>
    <w:rsid w:val="005A0600"/>
    <w:rsid w:val="005A0D0F"/>
    <w:rsid w:val="005A0D1E"/>
    <w:rsid w:val="005A1E76"/>
    <w:rsid w:val="005A2580"/>
    <w:rsid w:val="005A508B"/>
    <w:rsid w:val="005A59BD"/>
    <w:rsid w:val="005A5E8F"/>
    <w:rsid w:val="005A7B91"/>
    <w:rsid w:val="005B1366"/>
    <w:rsid w:val="005B14A7"/>
    <w:rsid w:val="005B186D"/>
    <w:rsid w:val="005B1C20"/>
    <w:rsid w:val="005B227E"/>
    <w:rsid w:val="005B243E"/>
    <w:rsid w:val="005B3E08"/>
    <w:rsid w:val="005B3E50"/>
    <w:rsid w:val="005B4855"/>
    <w:rsid w:val="005B5279"/>
    <w:rsid w:val="005B6FF7"/>
    <w:rsid w:val="005C120C"/>
    <w:rsid w:val="005C1ACD"/>
    <w:rsid w:val="005C5110"/>
    <w:rsid w:val="005C7A67"/>
    <w:rsid w:val="005C7F2F"/>
    <w:rsid w:val="005D12B7"/>
    <w:rsid w:val="005D2FA9"/>
    <w:rsid w:val="005D4310"/>
    <w:rsid w:val="005D4330"/>
    <w:rsid w:val="005D450F"/>
    <w:rsid w:val="005D5F25"/>
    <w:rsid w:val="005D6921"/>
    <w:rsid w:val="005D73FC"/>
    <w:rsid w:val="005E126D"/>
    <w:rsid w:val="005E14B7"/>
    <w:rsid w:val="005E2B74"/>
    <w:rsid w:val="005E2DAF"/>
    <w:rsid w:val="005E55DC"/>
    <w:rsid w:val="005E6592"/>
    <w:rsid w:val="005F183B"/>
    <w:rsid w:val="005F185D"/>
    <w:rsid w:val="005F1CA9"/>
    <w:rsid w:val="005F3A86"/>
    <w:rsid w:val="005F6B1C"/>
    <w:rsid w:val="005F76E2"/>
    <w:rsid w:val="005F7711"/>
    <w:rsid w:val="00600A47"/>
    <w:rsid w:val="00601CE4"/>
    <w:rsid w:val="00601FB4"/>
    <w:rsid w:val="006027B4"/>
    <w:rsid w:val="00602C9D"/>
    <w:rsid w:val="00604025"/>
    <w:rsid w:val="00604A95"/>
    <w:rsid w:val="00604F26"/>
    <w:rsid w:val="00604F56"/>
    <w:rsid w:val="006061C9"/>
    <w:rsid w:val="0060621A"/>
    <w:rsid w:val="0060799C"/>
    <w:rsid w:val="0061009A"/>
    <w:rsid w:val="006118C9"/>
    <w:rsid w:val="00611965"/>
    <w:rsid w:val="006126CD"/>
    <w:rsid w:val="00612C4D"/>
    <w:rsid w:val="00613F89"/>
    <w:rsid w:val="00615A47"/>
    <w:rsid w:val="006169DB"/>
    <w:rsid w:val="00617FF2"/>
    <w:rsid w:val="00620734"/>
    <w:rsid w:val="00622D32"/>
    <w:rsid w:val="00624F56"/>
    <w:rsid w:val="00626D7C"/>
    <w:rsid w:val="006273C1"/>
    <w:rsid w:val="00630046"/>
    <w:rsid w:val="00630152"/>
    <w:rsid w:val="0063053F"/>
    <w:rsid w:val="00630598"/>
    <w:rsid w:val="00630E27"/>
    <w:rsid w:val="006314DB"/>
    <w:rsid w:val="006315A4"/>
    <w:rsid w:val="006327BC"/>
    <w:rsid w:val="006329C2"/>
    <w:rsid w:val="006337DA"/>
    <w:rsid w:val="006343C9"/>
    <w:rsid w:val="006356A0"/>
    <w:rsid w:val="0063620E"/>
    <w:rsid w:val="00636383"/>
    <w:rsid w:val="0063690C"/>
    <w:rsid w:val="00636AD5"/>
    <w:rsid w:val="00637A53"/>
    <w:rsid w:val="00640BE3"/>
    <w:rsid w:val="006426EB"/>
    <w:rsid w:val="00643C81"/>
    <w:rsid w:val="006443B8"/>
    <w:rsid w:val="00644D7A"/>
    <w:rsid w:val="00646B65"/>
    <w:rsid w:val="00647CAB"/>
    <w:rsid w:val="006508A7"/>
    <w:rsid w:val="00651418"/>
    <w:rsid w:val="006517DC"/>
    <w:rsid w:val="006518C7"/>
    <w:rsid w:val="00651A40"/>
    <w:rsid w:val="006536B4"/>
    <w:rsid w:val="00654CF5"/>
    <w:rsid w:val="0065721F"/>
    <w:rsid w:val="00660298"/>
    <w:rsid w:val="00660756"/>
    <w:rsid w:val="0066205B"/>
    <w:rsid w:val="00662213"/>
    <w:rsid w:val="00662569"/>
    <w:rsid w:val="0066268A"/>
    <w:rsid w:val="00662CF9"/>
    <w:rsid w:val="0066492F"/>
    <w:rsid w:val="00664AED"/>
    <w:rsid w:val="00665127"/>
    <w:rsid w:val="0066663F"/>
    <w:rsid w:val="006671AD"/>
    <w:rsid w:val="00667384"/>
    <w:rsid w:val="00667BBE"/>
    <w:rsid w:val="0067028C"/>
    <w:rsid w:val="0067086E"/>
    <w:rsid w:val="006709EF"/>
    <w:rsid w:val="00671568"/>
    <w:rsid w:val="0067199A"/>
    <w:rsid w:val="0067301E"/>
    <w:rsid w:val="00677340"/>
    <w:rsid w:val="00681683"/>
    <w:rsid w:val="00681D69"/>
    <w:rsid w:val="00682956"/>
    <w:rsid w:val="0068438C"/>
    <w:rsid w:val="00685F38"/>
    <w:rsid w:val="006865B0"/>
    <w:rsid w:val="0068768B"/>
    <w:rsid w:val="00687FA6"/>
    <w:rsid w:val="006905FF"/>
    <w:rsid w:val="00692991"/>
    <w:rsid w:val="00693AA5"/>
    <w:rsid w:val="00694BBB"/>
    <w:rsid w:val="00694EFA"/>
    <w:rsid w:val="00695568"/>
    <w:rsid w:val="006957A7"/>
    <w:rsid w:val="00696B20"/>
    <w:rsid w:val="00696C7E"/>
    <w:rsid w:val="006A1367"/>
    <w:rsid w:val="006A1C95"/>
    <w:rsid w:val="006A26F7"/>
    <w:rsid w:val="006A28E9"/>
    <w:rsid w:val="006A2E60"/>
    <w:rsid w:val="006A4707"/>
    <w:rsid w:val="006A511F"/>
    <w:rsid w:val="006B03A7"/>
    <w:rsid w:val="006B0C21"/>
    <w:rsid w:val="006B2345"/>
    <w:rsid w:val="006B33C1"/>
    <w:rsid w:val="006B48EF"/>
    <w:rsid w:val="006B5D00"/>
    <w:rsid w:val="006C08FD"/>
    <w:rsid w:val="006C13B1"/>
    <w:rsid w:val="006C1DDA"/>
    <w:rsid w:val="006C36D7"/>
    <w:rsid w:val="006C4A01"/>
    <w:rsid w:val="006C51A0"/>
    <w:rsid w:val="006C5DA3"/>
    <w:rsid w:val="006C75CF"/>
    <w:rsid w:val="006C7772"/>
    <w:rsid w:val="006C7D7B"/>
    <w:rsid w:val="006D08D7"/>
    <w:rsid w:val="006D54AA"/>
    <w:rsid w:val="006D62EE"/>
    <w:rsid w:val="006D780E"/>
    <w:rsid w:val="006E011C"/>
    <w:rsid w:val="006E0E9B"/>
    <w:rsid w:val="006E1201"/>
    <w:rsid w:val="006E1B9C"/>
    <w:rsid w:val="006E1EE8"/>
    <w:rsid w:val="006E3CD1"/>
    <w:rsid w:val="006E4BE0"/>
    <w:rsid w:val="006E69B1"/>
    <w:rsid w:val="006F0225"/>
    <w:rsid w:val="006F204F"/>
    <w:rsid w:val="006F23B9"/>
    <w:rsid w:val="006F2427"/>
    <w:rsid w:val="006F2FB3"/>
    <w:rsid w:val="006F3621"/>
    <w:rsid w:val="006F4D8C"/>
    <w:rsid w:val="006F55B1"/>
    <w:rsid w:val="006F6115"/>
    <w:rsid w:val="006F63E7"/>
    <w:rsid w:val="006F665A"/>
    <w:rsid w:val="006F668C"/>
    <w:rsid w:val="006F685C"/>
    <w:rsid w:val="006F6A66"/>
    <w:rsid w:val="006F6D48"/>
    <w:rsid w:val="006F6EE9"/>
    <w:rsid w:val="006F7984"/>
    <w:rsid w:val="006F7C5C"/>
    <w:rsid w:val="007000D4"/>
    <w:rsid w:val="0070126A"/>
    <w:rsid w:val="0070317F"/>
    <w:rsid w:val="00704C6E"/>
    <w:rsid w:val="00704CE6"/>
    <w:rsid w:val="007072A9"/>
    <w:rsid w:val="007078B7"/>
    <w:rsid w:val="0070799F"/>
    <w:rsid w:val="00707E39"/>
    <w:rsid w:val="00707FEE"/>
    <w:rsid w:val="00711237"/>
    <w:rsid w:val="00711592"/>
    <w:rsid w:val="007117E0"/>
    <w:rsid w:val="007129B1"/>
    <w:rsid w:val="007136F6"/>
    <w:rsid w:val="0071458F"/>
    <w:rsid w:val="007145F7"/>
    <w:rsid w:val="00714B72"/>
    <w:rsid w:val="00715597"/>
    <w:rsid w:val="007157DC"/>
    <w:rsid w:val="00715AC5"/>
    <w:rsid w:val="0071606B"/>
    <w:rsid w:val="00716448"/>
    <w:rsid w:val="00716741"/>
    <w:rsid w:val="007176C1"/>
    <w:rsid w:val="00717A13"/>
    <w:rsid w:val="00723075"/>
    <w:rsid w:val="007240D9"/>
    <w:rsid w:val="0072503B"/>
    <w:rsid w:val="00727555"/>
    <w:rsid w:val="0073010C"/>
    <w:rsid w:val="007317F2"/>
    <w:rsid w:val="00731F39"/>
    <w:rsid w:val="007335F8"/>
    <w:rsid w:val="007337BD"/>
    <w:rsid w:val="00733BA5"/>
    <w:rsid w:val="00733EDD"/>
    <w:rsid w:val="007359FD"/>
    <w:rsid w:val="007379B3"/>
    <w:rsid w:val="00737F86"/>
    <w:rsid w:val="00740B95"/>
    <w:rsid w:val="007413CF"/>
    <w:rsid w:val="0074322E"/>
    <w:rsid w:val="007433A1"/>
    <w:rsid w:val="00750B22"/>
    <w:rsid w:val="00751770"/>
    <w:rsid w:val="007517EF"/>
    <w:rsid w:val="00752CA6"/>
    <w:rsid w:val="0075428E"/>
    <w:rsid w:val="007557C3"/>
    <w:rsid w:val="00760223"/>
    <w:rsid w:val="00760379"/>
    <w:rsid w:val="00761C32"/>
    <w:rsid w:val="00761CBB"/>
    <w:rsid w:val="00762785"/>
    <w:rsid w:val="00764229"/>
    <w:rsid w:val="00764C28"/>
    <w:rsid w:val="007660C7"/>
    <w:rsid w:val="00766B26"/>
    <w:rsid w:val="00770571"/>
    <w:rsid w:val="00770907"/>
    <w:rsid w:val="00770AA1"/>
    <w:rsid w:val="00770C69"/>
    <w:rsid w:val="00773542"/>
    <w:rsid w:val="00775343"/>
    <w:rsid w:val="00775370"/>
    <w:rsid w:val="00776BB2"/>
    <w:rsid w:val="007800BA"/>
    <w:rsid w:val="0078036B"/>
    <w:rsid w:val="007803AC"/>
    <w:rsid w:val="007803F4"/>
    <w:rsid w:val="00780709"/>
    <w:rsid w:val="007822EA"/>
    <w:rsid w:val="007826D4"/>
    <w:rsid w:val="00782EBF"/>
    <w:rsid w:val="0078385B"/>
    <w:rsid w:val="00785B72"/>
    <w:rsid w:val="00785B8A"/>
    <w:rsid w:val="007862F4"/>
    <w:rsid w:val="00787DCA"/>
    <w:rsid w:val="00787F54"/>
    <w:rsid w:val="0079247C"/>
    <w:rsid w:val="00796B85"/>
    <w:rsid w:val="0079762E"/>
    <w:rsid w:val="007979C3"/>
    <w:rsid w:val="00797A79"/>
    <w:rsid w:val="007A01DE"/>
    <w:rsid w:val="007A2299"/>
    <w:rsid w:val="007A2A29"/>
    <w:rsid w:val="007A436F"/>
    <w:rsid w:val="007A45F5"/>
    <w:rsid w:val="007A53AE"/>
    <w:rsid w:val="007A5474"/>
    <w:rsid w:val="007A5C95"/>
    <w:rsid w:val="007A69D5"/>
    <w:rsid w:val="007A7B40"/>
    <w:rsid w:val="007B1045"/>
    <w:rsid w:val="007B16A1"/>
    <w:rsid w:val="007B2FD5"/>
    <w:rsid w:val="007B3308"/>
    <w:rsid w:val="007B5435"/>
    <w:rsid w:val="007B558D"/>
    <w:rsid w:val="007C04ED"/>
    <w:rsid w:val="007C1594"/>
    <w:rsid w:val="007C16FF"/>
    <w:rsid w:val="007C1D16"/>
    <w:rsid w:val="007C2FAD"/>
    <w:rsid w:val="007C312C"/>
    <w:rsid w:val="007C3D87"/>
    <w:rsid w:val="007C3F49"/>
    <w:rsid w:val="007C4604"/>
    <w:rsid w:val="007C4BC0"/>
    <w:rsid w:val="007C4ED1"/>
    <w:rsid w:val="007C53FE"/>
    <w:rsid w:val="007C57A8"/>
    <w:rsid w:val="007C79DF"/>
    <w:rsid w:val="007D1BA9"/>
    <w:rsid w:val="007D42AE"/>
    <w:rsid w:val="007D762F"/>
    <w:rsid w:val="007D7691"/>
    <w:rsid w:val="007D7EE4"/>
    <w:rsid w:val="007E03EA"/>
    <w:rsid w:val="007E0D56"/>
    <w:rsid w:val="007E12E7"/>
    <w:rsid w:val="007E7A90"/>
    <w:rsid w:val="007F202E"/>
    <w:rsid w:val="007F2CFF"/>
    <w:rsid w:val="007F2D43"/>
    <w:rsid w:val="007F31C3"/>
    <w:rsid w:val="007F38BA"/>
    <w:rsid w:val="007F436B"/>
    <w:rsid w:val="007F466E"/>
    <w:rsid w:val="007F4980"/>
    <w:rsid w:val="007F707A"/>
    <w:rsid w:val="007F7977"/>
    <w:rsid w:val="00800536"/>
    <w:rsid w:val="008013A8"/>
    <w:rsid w:val="00801C6B"/>
    <w:rsid w:val="00802005"/>
    <w:rsid w:val="0080322F"/>
    <w:rsid w:val="00804251"/>
    <w:rsid w:val="0080496F"/>
    <w:rsid w:val="008051F9"/>
    <w:rsid w:val="0080572B"/>
    <w:rsid w:val="00805859"/>
    <w:rsid w:val="00805D18"/>
    <w:rsid w:val="00806B11"/>
    <w:rsid w:val="0081214F"/>
    <w:rsid w:val="0081263C"/>
    <w:rsid w:val="0081387B"/>
    <w:rsid w:val="00813EBF"/>
    <w:rsid w:val="00814040"/>
    <w:rsid w:val="00814367"/>
    <w:rsid w:val="0081486C"/>
    <w:rsid w:val="0081678B"/>
    <w:rsid w:val="0081747E"/>
    <w:rsid w:val="008178B9"/>
    <w:rsid w:val="008178CF"/>
    <w:rsid w:val="00817D49"/>
    <w:rsid w:val="00820867"/>
    <w:rsid w:val="00820B05"/>
    <w:rsid w:val="00824BAF"/>
    <w:rsid w:val="0082537B"/>
    <w:rsid w:val="008273E7"/>
    <w:rsid w:val="00827BA0"/>
    <w:rsid w:val="00827F3A"/>
    <w:rsid w:val="00830130"/>
    <w:rsid w:val="00830D24"/>
    <w:rsid w:val="00832DA1"/>
    <w:rsid w:val="00833F66"/>
    <w:rsid w:val="008340EA"/>
    <w:rsid w:val="008344E5"/>
    <w:rsid w:val="00835776"/>
    <w:rsid w:val="00836E54"/>
    <w:rsid w:val="00837093"/>
    <w:rsid w:val="008373C7"/>
    <w:rsid w:val="008378A7"/>
    <w:rsid w:val="008379F2"/>
    <w:rsid w:val="008403BC"/>
    <w:rsid w:val="00840450"/>
    <w:rsid w:val="00841E1C"/>
    <w:rsid w:val="00844C02"/>
    <w:rsid w:val="00844DA4"/>
    <w:rsid w:val="00845F1B"/>
    <w:rsid w:val="00846A91"/>
    <w:rsid w:val="0085062B"/>
    <w:rsid w:val="00850A5E"/>
    <w:rsid w:val="008511C2"/>
    <w:rsid w:val="0085288F"/>
    <w:rsid w:val="00854197"/>
    <w:rsid w:val="00855282"/>
    <w:rsid w:val="008559C8"/>
    <w:rsid w:val="00855DF4"/>
    <w:rsid w:val="00855E7D"/>
    <w:rsid w:val="0085685B"/>
    <w:rsid w:val="00857381"/>
    <w:rsid w:val="0085758E"/>
    <w:rsid w:val="00861514"/>
    <w:rsid w:val="0086274F"/>
    <w:rsid w:val="00862A31"/>
    <w:rsid w:val="00863CC6"/>
    <w:rsid w:val="00863F4E"/>
    <w:rsid w:val="00864AD8"/>
    <w:rsid w:val="00864C4D"/>
    <w:rsid w:val="0087188F"/>
    <w:rsid w:val="00871D57"/>
    <w:rsid w:val="00872A72"/>
    <w:rsid w:val="00872EEB"/>
    <w:rsid w:val="00873115"/>
    <w:rsid w:val="0087505F"/>
    <w:rsid w:val="00875610"/>
    <w:rsid w:val="0087572A"/>
    <w:rsid w:val="008770B9"/>
    <w:rsid w:val="0088121F"/>
    <w:rsid w:val="00881C67"/>
    <w:rsid w:val="008823E4"/>
    <w:rsid w:val="00883EDC"/>
    <w:rsid w:val="00885342"/>
    <w:rsid w:val="008854D1"/>
    <w:rsid w:val="0088745C"/>
    <w:rsid w:val="00887F9C"/>
    <w:rsid w:val="008903B0"/>
    <w:rsid w:val="008905FD"/>
    <w:rsid w:val="00891B8B"/>
    <w:rsid w:val="008921D3"/>
    <w:rsid w:val="008921FD"/>
    <w:rsid w:val="00892222"/>
    <w:rsid w:val="00894BF4"/>
    <w:rsid w:val="00895DE5"/>
    <w:rsid w:val="008A0A96"/>
    <w:rsid w:val="008A0E06"/>
    <w:rsid w:val="008A26FF"/>
    <w:rsid w:val="008A3764"/>
    <w:rsid w:val="008A46FC"/>
    <w:rsid w:val="008A5266"/>
    <w:rsid w:val="008A54E7"/>
    <w:rsid w:val="008A59B1"/>
    <w:rsid w:val="008A5EC4"/>
    <w:rsid w:val="008A61F4"/>
    <w:rsid w:val="008A764B"/>
    <w:rsid w:val="008B096F"/>
    <w:rsid w:val="008B2871"/>
    <w:rsid w:val="008B2BD9"/>
    <w:rsid w:val="008B2DB8"/>
    <w:rsid w:val="008B3497"/>
    <w:rsid w:val="008B484B"/>
    <w:rsid w:val="008B65D6"/>
    <w:rsid w:val="008C0B22"/>
    <w:rsid w:val="008C1B60"/>
    <w:rsid w:val="008C40FC"/>
    <w:rsid w:val="008C4871"/>
    <w:rsid w:val="008C5B3E"/>
    <w:rsid w:val="008C5FC4"/>
    <w:rsid w:val="008C7B01"/>
    <w:rsid w:val="008D0BA5"/>
    <w:rsid w:val="008D0E13"/>
    <w:rsid w:val="008D29C7"/>
    <w:rsid w:val="008D3275"/>
    <w:rsid w:val="008D3791"/>
    <w:rsid w:val="008D4052"/>
    <w:rsid w:val="008D4C88"/>
    <w:rsid w:val="008D67C0"/>
    <w:rsid w:val="008D794C"/>
    <w:rsid w:val="008E14A0"/>
    <w:rsid w:val="008E17F0"/>
    <w:rsid w:val="008E1950"/>
    <w:rsid w:val="008E1A65"/>
    <w:rsid w:val="008E235C"/>
    <w:rsid w:val="008E2C1B"/>
    <w:rsid w:val="008E2C9B"/>
    <w:rsid w:val="008E368E"/>
    <w:rsid w:val="008E493D"/>
    <w:rsid w:val="008E4C01"/>
    <w:rsid w:val="008E5675"/>
    <w:rsid w:val="008E60BE"/>
    <w:rsid w:val="008E755F"/>
    <w:rsid w:val="008F0A97"/>
    <w:rsid w:val="008F0FC3"/>
    <w:rsid w:val="008F1977"/>
    <w:rsid w:val="008F38F3"/>
    <w:rsid w:val="008F4A23"/>
    <w:rsid w:val="008F5154"/>
    <w:rsid w:val="008F53BA"/>
    <w:rsid w:val="008F5DF5"/>
    <w:rsid w:val="008F681C"/>
    <w:rsid w:val="00901FC9"/>
    <w:rsid w:val="00902D22"/>
    <w:rsid w:val="00902E4F"/>
    <w:rsid w:val="0090451F"/>
    <w:rsid w:val="009053AB"/>
    <w:rsid w:val="00905A56"/>
    <w:rsid w:val="00905CDA"/>
    <w:rsid w:val="00907D90"/>
    <w:rsid w:val="0091131E"/>
    <w:rsid w:val="00911623"/>
    <w:rsid w:val="00911775"/>
    <w:rsid w:val="00912AF9"/>
    <w:rsid w:val="0091390C"/>
    <w:rsid w:val="009141CF"/>
    <w:rsid w:val="00914487"/>
    <w:rsid w:val="00920665"/>
    <w:rsid w:val="009208D8"/>
    <w:rsid w:val="0092092F"/>
    <w:rsid w:val="00920CF2"/>
    <w:rsid w:val="00920FF4"/>
    <w:rsid w:val="009220FF"/>
    <w:rsid w:val="00923233"/>
    <w:rsid w:val="0092379D"/>
    <w:rsid w:val="00926396"/>
    <w:rsid w:val="00927D26"/>
    <w:rsid w:val="009318EF"/>
    <w:rsid w:val="00932E70"/>
    <w:rsid w:val="0093524F"/>
    <w:rsid w:val="009359E1"/>
    <w:rsid w:val="00937243"/>
    <w:rsid w:val="00940244"/>
    <w:rsid w:val="00944954"/>
    <w:rsid w:val="00946988"/>
    <w:rsid w:val="00950BD2"/>
    <w:rsid w:val="00951BAD"/>
    <w:rsid w:val="00953418"/>
    <w:rsid w:val="00954CEB"/>
    <w:rsid w:val="009556CF"/>
    <w:rsid w:val="00955A8E"/>
    <w:rsid w:val="00956E4A"/>
    <w:rsid w:val="00956EC7"/>
    <w:rsid w:val="00957E9B"/>
    <w:rsid w:val="0096008D"/>
    <w:rsid w:val="009620B5"/>
    <w:rsid w:val="00962DD4"/>
    <w:rsid w:val="00963CC7"/>
    <w:rsid w:val="00963E06"/>
    <w:rsid w:val="009653E5"/>
    <w:rsid w:val="00966113"/>
    <w:rsid w:val="00966DB2"/>
    <w:rsid w:val="00970FF7"/>
    <w:rsid w:val="009711B5"/>
    <w:rsid w:val="009716B7"/>
    <w:rsid w:val="009720AA"/>
    <w:rsid w:val="00973296"/>
    <w:rsid w:val="00974067"/>
    <w:rsid w:val="00974CA6"/>
    <w:rsid w:val="00974F5F"/>
    <w:rsid w:val="00975313"/>
    <w:rsid w:val="00975FAC"/>
    <w:rsid w:val="00982C9A"/>
    <w:rsid w:val="009841E5"/>
    <w:rsid w:val="009847C4"/>
    <w:rsid w:val="00984C87"/>
    <w:rsid w:val="00985A5E"/>
    <w:rsid w:val="00986290"/>
    <w:rsid w:val="0098666E"/>
    <w:rsid w:val="009866CB"/>
    <w:rsid w:val="00986FBD"/>
    <w:rsid w:val="00987A76"/>
    <w:rsid w:val="009913C5"/>
    <w:rsid w:val="00991B6F"/>
    <w:rsid w:val="00992299"/>
    <w:rsid w:val="00992969"/>
    <w:rsid w:val="00992DFF"/>
    <w:rsid w:val="009952C9"/>
    <w:rsid w:val="00995CD6"/>
    <w:rsid w:val="00995E7C"/>
    <w:rsid w:val="00996D5C"/>
    <w:rsid w:val="00997751"/>
    <w:rsid w:val="00997CE1"/>
    <w:rsid w:val="009A02CD"/>
    <w:rsid w:val="009A1E39"/>
    <w:rsid w:val="009A3CED"/>
    <w:rsid w:val="009A40B4"/>
    <w:rsid w:val="009A45A5"/>
    <w:rsid w:val="009A611F"/>
    <w:rsid w:val="009A623D"/>
    <w:rsid w:val="009A7278"/>
    <w:rsid w:val="009A7385"/>
    <w:rsid w:val="009A7955"/>
    <w:rsid w:val="009B010B"/>
    <w:rsid w:val="009B017E"/>
    <w:rsid w:val="009B12A3"/>
    <w:rsid w:val="009B2835"/>
    <w:rsid w:val="009B4E09"/>
    <w:rsid w:val="009B6A8C"/>
    <w:rsid w:val="009B6EBD"/>
    <w:rsid w:val="009C0442"/>
    <w:rsid w:val="009C08B8"/>
    <w:rsid w:val="009C202A"/>
    <w:rsid w:val="009C2E77"/>
    <w:rsid w:val="009C5427"/>
    <w:rsid w:val="009C5565"/>
    <w:rsid w:val="009C5EC0"/>
    <w:rsid w:val="009C5F42"/>
    <w:rsid w:val="009C6574"/>
    <w:rsid w:val="009C6E83"/>
    <w:rsid w:val="009C7197"/>
    <w:rsid w:val="009C75B4"/>
    <w:rsid w:val="009D0950"/>
    <w:rsid w:val="009D389F"/>
    <w:rsid w:val="009D3A07"/>
    <w:rsid w:val="009D48D5"/>
    <w:rsid w:val="009D49D4"/>
    <w:rsid w:val="009D6100"/>
    <w:rsid w:val="009E02CB"/>
    <w:rsid w:val="009E1AA6"/>
    <w:rsid w:val="009E2342"/>
    <w:rsid w:val="009E300E"/>
    <w:rsid w:val="009E3762"/>
    <w:rsid w:val="009E37FD"/>
    <w:rsid w:val="009E413C"/>
    <w:rsid w:val="009E45BD"/>
    <w:rsid w:val="009E5DC1"/>
    <w:rsid w:val="009E5F7F"/>
    <w:rsid w:val="009E7267"/>
    <w:rsid w:val="009E7CB7"/>
    <w:rsid w:val="009F0392"/>
    <w:rsid w:val="009F0991"/>
    <w:rsid w:val="009F2490"/>
    <w:rsid w:val="009F2A51"/>
    <w:rsid w:val="009F2CD4"/>
    <w:rsid w:val="009F31A0"/>
    <w:rsid w:val="009F3B25"/>
    <w:rsid w:val="009F409D"/>
    <w:rsid w:val="009F511B"/>
    <w:rsid w:val="009F5B69"/>
    <w:rsid w:val="009F5CFC"/>
    <w:rsid w:val="009F5FF0"/>
    <w:rsid w:val="009F74F4"/>
    <w:rsid w:val="009F7625"/>
    <w:rsid w:val="00A002F6"/>
    <w:rsid w:val="00A009B7"/>
    <w:rsid w:val="00A0269E"/>
    <w:rsid w:val="00A02D03"/>
    <w:rsid w:val="00A047B6"/>
    <w:rsid w:val="00A04A7C"/>
    <w:rsid w:val="00A06389"/>
    <w:rsid w:val="00A06AF0"/>
    <w:rsid w:val="00A10031"/>
    <w:rsid w:val="00A100B1"/>
    <w:rsid w:val="00A10CC0"/>
    <w:rsid w:val="00A12160"/>
    <w:rsid w:val="00A12382"/>
    <w:rsid w:val="00A12D51"/>
    <w:rsid w:val="00A135CC"/>
    <w:rsid w:val="00A161DB"/>
    <w:rsid w:val="00A17CF0"/>
    <w:rsid w:val="00A20D36"/>
    <w:rsid w:val="00A217CB"/>
    <w:rsid w:val="00A21BCA"/>
    <w:rsid w:val="00A221B7"/>
    <w:rsid w:val="00A22627"/>
    <w:rsid w:val="00A23255"/>
    <w:rsid w:val="00A23936"/>
    <w:rsid w:val="00A24F92"/>
    <w:rsid w:val="00A251A2"/>
    <w:rsid w:val="00A258C4"/>
    <w:rsid w:val="00A259AA"/>
    <w:rsid w:val="00A260BB"/>
    <w:rsid w:val="00A30A50"/>
    <w:rsid w:val="00A318A0"/>
    <w:rsid w:val="00A34338"/>
    <w:rsid w:val="00A344D0"/>
    <w:rsid w:val="00A34500"/>
    <w:rsid w:val="00A364B8"/>
    <w:rsid w:val="00A367DB"/>
    <w:rsid w:val="00A36A9A"/>
    <w:rsid w:val="00A375B0"/>
    <w:rsid w:val="00A40451"/>
    <w:rsid w:val="00A4076F"/>
    <w:rsid w:val="00A413F3"/>
    <w:rsid w:val="00A42C6C"/>
    <w:rsid w:val="00A42CF0"/>
    <w:rsid w:val="00A43D8B"/>
    <w:rsid w:val="00A4424E"/>
    <w:rsid w:val="00A442EA"/>
    <w:rsid w:val="00A45391"/>
    <w:rsid w:val="00A457D2"/>
    <w:rsid w:val="00A4649A"/>
    <w:rsid w:val="00A466D7"/>
    <w:rsid w:val="00A50E4F"/>
    <w:rsid w:val="00A5150A"/>
    <w:rsid w:val="00A529FC"/>
    <w:rsid w:val="00A53B62"/>
    <w:rsid w:val="00A54442"/>
    <w:rsid w:val="00A54FAD"/>
    <w:rsid w:val="00A54FB3"/>
    <w:rsid w:val="00A55494"/>
    <w:rsid w:val="00A55F95"/>
    <w:rsid w:val="00A609DC"/>
    <w:rsid w:val="00A61942"/>
    <w:rsid w:val="00A6216B"/>
    <w:rsid w:val="00A62E76"/>
    <w:rsid w:val="00A6328D"/>
    <w:rsid w:val="00A6345B"/>
    <w:rsid w:val="00A64298"/>
    <w:rsid w:val="00A6441F"/>
    <w:rsid w:val="00A65FFE"/>
    <w:rsid w:val="00A703A4"/>
    <w:rsid w:val="00A706FC"/>
    <w:rsid w:val="00A71579"/>
    <w:rsid w:val="00A71A2B"/>
    <w:rsid w:val="00A72A02"/>
    <w:rsid w:val="00A7500E"/>
    <w:rsid w:val="00A7566E"/>
    <w:rsid w:val="00A76593"/>
    <w:rsid w:val="00A76D7A"/>
    <w:rsid w:val="00A7731A"/>
    <w:rsid w:val="00A80249"/>
    <w:rsid w:val="00A81688"/>
    <w:rsid w:val="00A81E22"/>
    <w:rsid w:val="00A82EB9"/>
    <w:rsid w:val="00A838A9"/>
    <w:rsid w:val="00A83ED7"/>
    <w:rsid w:val="00A84531"/>
    <w:rsid w:val="00A84CF2"/>
    <w:rsid w:val="00A84F5E"/>
    <w:rsid w:val="00A87086"/>
    <w:rsid w:val="00A87435"/>
    <w:rsid w:val="00A907B3"/>
    <w:rsid w:val="00A922AC"/>
    <w:rsid w:val="00A93495"/>
    <w:rsid w:val="00A936E6"/>
    <w:rsid w:val="00A94622"/>
    <w:rsid w:val="00A949DC"/>
    <w:rsid w:val="00A9661A"/>
    <w:rsid w:val="00A97318"/>
    <w:rsid w:val="00AA1792"/>
    <w:rsid w:val="00AA226C"/>
    <w:rsid w:val="00AA31EB"/>
    <w:rsid w:val="00AA33A4"/>
    <w:rsid w:val="00AA48FC"/>
    <w:rsid w:val="00AA62D8"/>
    <w:rsid w:val="00AA6A04"/>
    <w:rsid w:val="00AA7015"/>
    <w:rsid w:val="00AA7905"/>
    <w:rsid w:val="00AB20A3"/>
    <w:rsid w:val="00AB24E2"/>
    <w:rsid w:val="00AB30DF"/>
    <w:rsid w:val="00AB4E7E"/>
    <w:rsid w:val="00AB597B"/>
    <w:rsid w:val="00AB623D"/>
    <w:rsid w:val="00AB73AF"/>
    <w:rsid w:val="00AC160B"/>
    <w:rsid w:val="00AC17AD"/>
    <w:rsid w:val="00AC3728"/>
    <w:rsid w:val="00AC4D91"/>
    <w:rsid w:val="00AD09FD"/>
    <w:rsid w:val="00AD2412"/>
    <w:rsid w:val="00AD29AD"/>
    <w:rsid w:val="00AD480F"/>
    <w:rsid w:val="00AD4C3D"/>
    <w:rsid w:val="00AD4F74"/>
    <w:rsid w:val="00AD5454"/>
    <w:rsid w:val="00AD56BA"/>
    <w:rsid w:val="00AD6405"/>
    <w:rsid w:val="00AD70BE"/>
    <w:rsid w:val="00AD7376"/>
    <w:rsid w:val="00AE03EC"/>
    <w:rsid w:val="00AE0E6F"/>
    <w:rsid w:val="00AE19FF"/>
    <w:rsid w:val="00AE2431"/>
    <w:rsid w:val="00AE661A"/>
    <w:rsid w:val="00AE6722"/>
    <w:rsid w:val="00AE6F17"/>
    <w:rsid w:val="00AF07B3"/>
    <w:rsid w:val="00AF0B49"/>
    <w:rsid w:val="00AF121C"/>
    <w:rsid w:val="00AF12FA"/>
    <w:rsid w:val="00AF1443"/>
    <w:rsid w:val="00AF2ADA"/>
    <w:rsid w:val="00AF3E24"/>
    <w:rsid w:val="00AF3FDE"/>
    <w:rsid w:val="00AF5F42"/>
    <w:rsid w:val="00AF746F"/>
    <w:rsid w:val="00AF7778"/>
    <w:rsid w:val="00AF7E56"/>
    <w:rsid w:val="00B00861"/>
    <w:rsid w:val="00B027C4"/>
    <w:rsid w:val="00B035C2"/>
    <w:rsid w:val="00B0538C"/>
    <w:rsid w:val="00B053E7"/>
    <w:rsid w:val="00B05DD8"/>
    <w:rsid w:val="00B063DB"/>
    <w:rsid w:val="00B065DB"/>
    <w:rsid w:val="00B07231"/>
    <w:rsid w:val="00B07B46"/>
    <w:rsid w:val="00B101C9"/>
    <w:rsid w:val="00B108A3"/>
    <w:rsid w:val="00B10D7C"/>
    <w:rsid w:val="00B128F3"/>
    <w:rsid w:val="00B1340C"/>
    <w:rsid w:val="00B14A7A"/>
    <w:rsid w:val="00B14F11"/>
    <w:rsid w:val="00B1520A"/>
    <w:rsid w:val="00B16F88"/>
    <w:rsid w:val="00B21A42"/>
    <w:rsid w:val="00B23099"/>
    <w:rsid w:val="00B234FB"/>
    <w:rsid w:val="00B23707"/>
    <w:rsid w:val="00B23E76"/>
    <w:rsid w:val="00B247C0"/>
    <w:rsid w:val="00B25000"/>
    <w:rsid w:val="00B25A5D"/>
    <w:rsid w:val="00B27669"/>
    <w:rsid w:val="00B33CEE"/>
    <w:rsid w:val="00B37392"/>
    <w:rsid w:val="00B3789B"/>
    <w:rsid w:val="00B400FB"/>
    <w:rsid w:val="00B407D6"/>
    <w:rsid w:val="00B41345"/>
    <w:rsid w:val="00B421B6"/>
    <w:rsid w:val="00B433EB"/>
    <w:rsid w:val="00B4420C"/>
    <w:rsid w:val="00B453E1"/>
    <w:rsid w:val="00B47184"/>
    <w:rsid w:val="00B47874"/>
    <w:rsid w:val="00B47E99"/>
    <w:rsid w:val="00B51AFC"/>
    <w:rsid w:val="00B520F4"/>
    <w:rsid w:val="00B52590"/>
    <w:rsid w:val="00B533CC"/>
    <w:rsid w:val="00B57722"/>
    <w:rsid w:val="00B60508"/>
    <w:rsid w:val="00B608B2"/>
    <w:rsid w:val="00B60FCB"/>
    <w:rsid w:val="00B61323"/>
    <w:rsid w:val="00B61CD7"/>
    <w:rsid w:val="00B62C53"/>
    <w:rsid w:val="00B6578F"/>
    <w:rsid w:val="00B65C7A"/>
    <w:rsid w:val="00B660F5"/>
    <w:rsid w:val="00B67FCD"/>
    <w:rsid w:val="00B7042D"/>
    <w:rsid w:val="00B712DC"/>
    <w:rsid w:val="00B71340"/>
    <w:rsid w:val="00B721D1"/>
    <w:rsid w:val="00B72B30"/>
    <w:rsid w:val="00B73806"/>
    <w:rsid w:val="00B750FD"/>
    <w:rsid w:val="00B76D75"/>
    <w:rsid w:val="00B76E1C"/>
    <w:rsid w:val="00B77AFD"/>
    <w:rsid w:val="00B8096E"/>
    <w:rsid w:val="00B80C66"/>
    <w:rsid w:val="00B81BB3"/>
    <w:rsid w:val="00B820E8"/>
    <w:rsid w:val="00B835AC"/>
    <w:rsid w:val="00B83802"/>
    <w:rsid w:val="00B865E1"/>
    <w:rsid w:val="00B869AE"/>
    <w:rsid w:val="00B903D2"/>
    <w:rsid w:val="00B9102F"/>
    <w:rsid w:val="00B91EEF"/>
    <w:rsid w:val="00B922B9"/>
    <w:rsid w:val="00B92CB8"/>
    <w:rsid w:val="00B92D3F"/>
    <w:rsid w:val="00B9327E"/>
    <w:rsid w:val="00B941A6"/>
    <w:rsid w:val="00B944B6"/>
    <w:rsid w:val="00B9494E"/>
    <w:rsid w:val="00B94EA8"/>
    <w:rsid w:val="00B94ED5"/>
    <w:rsid w:val="00B973B4"/>
    <w:rsid w:val="00B97757"/>
    <w:rsid w:val="00B9779F"/>
    <w:rsid w:val="00BA07DC"/>
    <w:rsid w:val="00BA0BC2"/>
    <w:rsid w:val="00BA3529"/>
    <w:rsid w:val="00BA4739"/>
    <w:rsid w:val="00BA5F03"/>
    <w:rsid w:val="00BA609D"/>
    <w:rsid w:val="00BA6C19"/>
    <w:rsid w:val="00BA7530"/>
    <w:rsid w:val="00BA76D1"/>
    <w:rsid w:val="00BA77C2"/>
    <w:rsid w:val="00BA7839"/>
    <w:rsid w:val="00BB032B"/>
    <w:rsid w:val="00BB18EC"/>
    <w:rsid w:val="00BB2338"/>
    <w:rsid w:val="00BB3D79"/>
    <w:rsid w:val="00BB4168"/>
    <w:rsid w:val="00BB4690"/>
    <w:rsid w:val="00BB6361"/>
    <w:rsid w:val="00BB7706"/>
    <w:rsid w:val="00BB7A31"/>
    <w:rsid w:val="00BB7B21"/>
    <w:rsid w:val="00BC1252"/>
    <w:rsid w:val="00BC325C"/>
    <w:rsid w:val="00BC4337"/>
    <w:rsid w:val="00BC6E6A"/>
    <w:rsid w:val="00BD0544"/>
    <w:rsid w:val="00BD40F6"/>
    <w:rsid w:val="00BD4F97"/>
    <w:rsid w:val="00BD783C"/>
    <w:rsid w:val="00BE0ECC"/>
    <w:rsid w:val="00BE0FCE"/>
    <w:rsid w:val="00BE2291"/>
    <w:rsid w:val="00BE22B3"/>
    <w:rsid w:val="00BE278F"/>
    <w:rsid w:val="00BE289A"/>
    <w:rsid w:val="00BE38FE"/>
    <w:rsid w:val="00BE492A"/>
    <w:rsid w:val="00BE4CF3"/>
    <w:rsid w:val="00BE5BE0"/>
    <w:rsid w:val="00BE6488"/>
    <w:rsid w:val="00BF3005"/>
    <w:rsid w:val="00BF3D01"/>
    <w:rsid w:val="00BF3F24"/>
    <w:rsid w:val="00BF4E86"/>
    <w:rsid w:val="00BF73C5"/>
    <w:rsid w:val="00BF78E8"/>
    <w:rsid w:val="00BF7BE1"/>
    <w:rsid w:val="00C00486"/>
    <w:rsid w:val="00C03DA4"/>
    <w:rsid w:val="00C04319"/>
    <w:rsid w:val="00C06740"/>
    <w:rsid w:val="00C07264"/>
    <w:rsid w:val="00C07DAA"/>
    <w:rsid w:val="00C1052A"/>
    <w:rsid w:val="00C1053E"/>
    <w:rsid w:val="00C10DEE"/>
    <w:rsid w:val="00C1239C"/>
    <w:rsid w:val="00C1314D"/>
    <w:rsid w:val="00C1369E"/>
    <w:rsid w:val="00C13A2E"/>
    <w:rsid w:val="00C13E6A"/>
    <w:rsid w:val="00C14DFF"/>
    <w:rsid w:val="00C172FA"/>
    <w:rsid w:val="00C22340"/>
    <w:rsid w:val="00C22755"/>
    <w:rsid w:val="00C22D06"/>
    <w:rsid w:val="00C23CBE"/>
    <w:rsid w:val="00C24DF9"/>
    <w:rsid w:val="00C25F8D"/>
    <w:rsid w:val="00C262DA"/>
    <w:rsid w:val="00C268C0"/>
    <w:rsid w:val="00C274B9"/>
    <w:rsid w:val="00C275AE"/>
    <w:rsid w:val="00C305A0"/>
    <w:rsid w:val="00C30D60"/>
    <w:rsid w:val="00C30E91"/>
    <w:rsid w:val="00C361A4"/>
    <w:rsid w:val="00C36498"/>
    <w:rsid w:val="00C4092C"/>
    <w:rsid w:val="00C41FB7"/>
    <w:rsid w:val="00C42DFF"/>
    <w:rsid w:val="00C42F23"/>
    <w:rsid w:val="00C43811"/>
    <w:rsid w:val="00C47D28"/>
    <w:rsid w:val="00C50893"/>
    <w:rsid w:val="00C50A58"/>
    <w:rsid w:val="00C51AC1"/>
    <w:rsid w:val="00C53D57"/>
    <w:rsid w:val="00C5461E"/>
    <w:rsid w:val="00C55F7C"/>
    <w:rsid w:val="00C56E0B"/>
    <w:rsid w:val="00C57EA8"/>
    <w:rsid w:val="00C6141C"/>
    <w:rsid w:val="00C6284D"/>
    <w:rsid w:val="00C638A7"/>
    <w:rsid w:val="00C63D31"/>
    <w:rsid w:val="00C641E0"/>
    <w:rsid w:val="00C643B0"/>
    <w:rsid w:val="00C64FE2"/>
    <w:rsid w:val="00C66BC5"/>
    <w:rsid w:val="00C67F38"/>
    <w:rsid w:val="00C72AA9"/>
    <w:rsid w:val="00C74179"/>
    <w:rsid w:val="00C74ECB"/>
    <w:rsid w:val="00C75396"/>
    <w:rsid w:val="00C754E1"/>
    <w:rsid w:val="00C75B0D"/>
    <w:rsid w:val="00C766C3"/>
    <w:rsid w:val="00C770A9"/>
    <w:rsid w:val="00C77A86"/>
    <w:rsid w:val="00C77C8C"/>
    <w:rsid w:val="00C80E67"/>
    <w:rsid w:val="00C8157E"/>
    <w:rsid w:val="00C825EF"/>
    <w:rsid w:val="00C82B41"/>
    <w:rsid w:val="00C82C39"/>
    <w:rsid w:val="00C83275"/>
    <w:rsid w:val="00C83D11"/>
    <w:rsid w:val="00C85E7F"/>
    <w:rsid w:val="00C85F2F"/>
    <w:rsid w:val="00C85F95"/>
    <w:rsid w:val="00C86109"/>
    <w:rsid w:val="00C86DC8"/>
    <w:rsid w:val="00C874AA"/>
    <w:rsid w:val="00C9015C"/>
    <w:rsid w:val="00C90B7E"/>
    <w:rsid w:val="00C91B5C"/>
    <w:rsid w:val="00C91D50"/>
    <w:rsid w:val="00C92256"/>
    <w:rsid w:val="00C93ED8"/>
    <w:rsid w:val="00C9485D"/>
    <w:rsid w:val="00C95605"/>
    <w:rsid w:val="00C96DF5"/>
    <w:rsid w:val="00C96F94"/>
    <w:rsid w:val="00C97178"/>
    <w:rsid w:val="00C97511"/>
    <w:rsid w:val="00CA2716"/>
    <w:rsid w:val="00CA3248"/>
    <w:rsid w:val="00CA4462"/>
    <w:rsid w:val="00CA541D"/>
    <w:rsid w:val="00CA6E26"/>
    <w:rsid w:val="00CA7794"/>
    <w:rsid w:val="00CB0718"/>
    <w:rsid w:val="00CB0C73"/>
    <w:rsid w:val="00CB1C5F"/>
    <w:rsid w:val="00CB3501"/>
    <w:rsid w:val="00CB42A3"/>
    <w:rsid w:val="00CB4E12"/>
    <w:rsid w:val="00CB54E6"/>
    <w:rsid w:val="00CB7CF8"/>
    <w:rsid w:val="00CC0AA0"/>
    <w:rsid w:val="00CC362E"/>
    <w:rsid w:val="00CC367F"/>
    <w:rsid w:val="00CC3D6B"/>
    <w:rsid w:val="00CC4037"/>
    <w:rsid w:val="00CC63C3"/>
    <w:rsid w:val="00CC7C78"/>
    <w:rsid w:val="00CD0F76"/>
    <w:rsid w:val="00CD1781"/>
    <w:rsid w:val="00CD231C"/>
    <w:rsid w:val="00CD378C"/>
    <w:rsid w:val="00CD4A3D"/>
    <w:rsid w:val="00CD71A2"/>
    <w:rsid w:val="00CD7243"/>
    <w:rsid w:val="00CD7585"/>
    <w:rsid w:val="00CD7F53"/>
    <w:rsid w:val="00CE00CD"/>
    <w:rsid w:val="00CE13EC"/>
    <w:rsid w:val="00CE5519"/>
    <w:rsid w:val="00CE5A43"/>
    <w:rsid w:val="00CE6477"/>
    <w:rsid w:val="00CE6780"/>
    <w:rsid w:val="00CE77BB"/>
    <w:rsid w:val="00CE7D31"/>
    <w:rsid w:val="00CF0383"/>
    <w:rsid w:val="00CF0387"/>
    <w:rsid w:val="00CF127A"/>
    <w:rsid w:val="00CF1C35"/>
    <w:rsid w:val="00CF228C"/>
    <w:rsid w:val="00CF267B"/>
    <w:rsid w:val="00CF3DD9"/>
    <w:rsid w:val="00CF3F92"/>
    <w:rsid w:val="00CF455C"/>
    <w:rsid w:val="00CF7B11"/>
    <w:rsid w:val="00CF7BB8"/>
    <w:rsid w:val="00D01C7D"/>
    <w:rsid w:val="00D027BE"/>
    <w:rsid w:val="00D02D55"/>
    <w:rsid w:val="00D02D59"/>
    <w:rsid w:val="00D03512"/>
    <w:rsid w:val="00D0476C"/>
    <w:rsid w:val="00D0571E"/>
    <w:rsid w:val="00D058E6"/>
    <w:rsid w:val="00D06A07"/>
    <w:rsid w:val="00D10B61"/>
    <w:rsid w:val="00D10BFE"/>
    <w:rsid w:val="00D111D2"/>
    <w:rsid w:val="00D1281A"/>
    <w:rsid w:val="00D12AAF"/>
    <w:rsid w:val="00D12FE1"/>
    <w:rsid w:val="00D13276"/>
    <w:rsid w:val="00D13A97"/>
    <w:rsid w:val="00D14784"/>
    <w:rsid w:val="00D14DCB"/>
    <w:rsid w:val="00D14E02"/>
    <w:rsid w:val="00D155D7"/>
    <w:rsid w:val="00D15A7B"/>
    <w:rsid w:val="00D15C5C"/>
    <w:rsid w:val="00D20FF2"/>
    <w:rsid w:val="00D21820"/>
    <w:rsid w:val="00D21962"/>
    <w:rsid w:val="00D21B00"/>
    <w:rsid w:val="00D2244F"/>
    <w:rsid w:val="00D22941"/>
    <w:rsid w:val="00D22E84"/>
    <w:rsid w:val="00D237C7"/>
    <w:rsid w:val="00D24D5A"/>
    <w:rsid w:val="00D25BCC"/>
    <w:rsid w:val="00D26F5D"/>
    <w:rsid w:val="00D2724C"/>
    <w:rsid w:val="00D3103B"/>
    <w:rsid w:val="00D332A2"/>
    <w:rsid w:val="00D332E8"/>
    <w:rsid w:val="00D338C5"/>
    <w:rsid w:val="00D355DC"/>
    <w:rsid w:val="00D35A09"/>
    <w:rsid w:val="00D35C08"/>
    <w:rsid w:val="00D36053"/>
    <w:rsid w:val="00D379FA"/>
    <w:rsid w:val="00D41DF1"/>
    <w:rsid w:val="00D42948"/>
    <w:rsid w:val="00D43C37"/>
    <w:rsid w:val="00D43EC9"/>
    <w:rsid w:val="00D4401E"/>
    <w:rsid w:val="00D45759"/>
    <w:rsid w:val="00D50AE7"/>
    <w:rsid w:val="00D50DBB"/>
    <w:rsid w:val="00D50DE8"/>
    <w:rsid w:val="00D51AB3"/>
    <w:rsid w:val="00D5282E"/>
    <w:rsid w:val="00D55921"/>
    <w:rsid w:val="00D56917"/>
    <w:rsid w:val="00D576FB"/>
    <w:rsid w:val="00D57937"/>
    <w:rsid w:val="00D606B3"/>
    <w:rsid w:val="00D615A7"/>
    <w:rsid w:val="00D63B04"/>
    <w:rsid w:val="00D63EB2"/>
    <w:rsid w:val="00D64780"/>
    <w:rsid w:val="00D6539C"/>
    <w:rsid w:val="00D660D0"/>
    <w:rsid w:val="00D7051A"/>
    <w:rsid w:val="00D706A6"/>
    <w:rsid w:val="00D7161D"/>
    <w:rsid w:val="00D71C14"/>
    <w:rsid w:val="00D7215C"/>
    <w:rsid w:val="00D72EF3"/>
    <w:rsid w:val="00D74972"/>
    <w:rsid w:val="00D74E19"/>
    <w:rsid w:val="00D74F57"/>
    <w:rsid w:val="00D750B4"/>
    <w:rsid w:val="00D75103"/>
    <w:rsid w:val="00D75B4F"/>
    <w:rsid w:val="00D76CD1"/>
    <w:rsid w:val="00D80923"/>
    <w:rsid w:val="00D81DE7"/>
    <w:rsid w:val="00D845C8"/>
    <w:rsid w:val="00D84A41"/>
    <w:rsid w:val="00D864A5"/>
    <w:rsid w:val="00D87602"/>
    <w:rsid w:val="00D876AC"/>
    <w:rsid w:val="00D90907"/>
    <w:rsid w:val="00D90C2C"/>
    <w:rsid w:val="00D914B9"/>
    <w:rsid w:val="00D91AAE"/>
    <w:rsid w:val="00D93944"/>
    <w:rsid w:val="00D943DF"/>
    <w:rsid w:val="00D94992"/>
    <w:rsid w:val="00D94A16"/>
    <w:rsid w:val="00D95253"/>
    <w:rsid w:val="00D9611B"/>
    <w:rsid w:val="00D9632A"/>
    <w:rsid w:val="00DA10B8"/>
    <w:rsid w:val="00DA12DD"/>
    <w:rsid w:val="00DA40E4"/>
    <w:rsid w:val="00DA4F6D"/>
    <w:rsid w:val="00DA5697"/>
    <w:rsid w:val="00DA5765"/>
    <w:rsid w:val="00DA6DAC"/>
    <w:rsid w:val="00DA7729"/>
    <w:rsid w:val="00DA7BDD"/>
    <w:rsid w:val="00DB07C6"/>
    <w:rsid w:val="00DB0E78"/>
    <w:rsid w:val="00DB1A81"/>
    <w:rsid w:val="00DB1FD4"/>
    <w:rsid w:val="00DB2094"/>
    <w:rsid w:val="00DB28A3"/>
    <w:rsid w:val="00DB40D3"/>
    <w:rsid w:val="00DB4224"/>
    <w:rsid w:val="00DB604A"/>
    <w:rsid w:val="00DB7AF3"/>
    <w:rsid w:val="00DB7B1C"/>
    <w:rsid w:val="00DC042C"/>
    <w:rsid w:val="00DC195D"/>
    <w:rsid w:val="00DC27A9"/>
    <w:rsid w:val="00DC2F97"/>
    <w:rsid w:val="00DC3731"/>
    <w:rsid w:val="00DC37FF"/>
    <w:rsid w:val="00DC416E"/>
    <w:rsid w:val="00DC51A2"/>
    <w:rsid w:val="00DD0348"/>
    <w:rsid w:val="00DD0D61"/>
    <w:rsid w:val="00DD1220"/>
    <w:rsid w:val="00DD1B08"/>
    <w:rsid w:val="00DD48EE"/>
    <w:rsid w:val="00DD5DB4"/>
    <w:rsid w:val="00DD5F64"/>
    <w:rsid w:val="00DD6B47"/>
    <w:rsid w:val="00DD6BF7"/>
    <w:rsid w:val="00DE09E6"/>
    <w:rsid w:val="00DE133C"/>
    <w:rsid w:val="00DE1E19"/>
    <w:rsid w:val="00DE2DBD"/>
    <w:rsid w:val="00DE33D6"/>
    <w:rsid w:val="00DE3B4C"/>
    <w:rsid w:val="00DE5E6B"/>
    <w:rsid w:val="00DF226A"/>
    <w:rsid w:val="00DF4E81"/>
    <w:rsid w:val="00DF627A"/>
    <w:rsid w:val="00DF6D53"/>
    <w:rsid w:val="00E00836"/>
    <w:rsid w:val="00E0164F"/>
    <w:rsid w:val="00E02153"/>
    <w:rsid w:val="00E028FA"/>
    <w:rsid w:val="00E02CC7"/>
    <w:rsid w:val="00E0761B"/>
    <w:rsid w:val="00E117C7"/>
    <w:rsid w:val="00E130C7"/>
    <w:rsid w:val="00E1560C"/>
    <w:rsid w:val="00E1625D"/>
    <w:rsid w:val="00E16487"/>
    <w:rsid w:val="00E17000"/>
    <w:rsid w:val="00E17881"/>
    <w:rsid w:val="00E17902"/>
    <w:rsid w:val="00E21601"/>
    <w:rsid w:val="00E25472"/>
    <w:rsid w:val="00E25A3A"/>
    <w:rsid w:val="00E3111A"/>
    <w:rsid w:val="00E314BE"/>
    <w:rsid w:val="00E3260C"/>
    <w:rsid w:val="00E3368F"/>
    <w:rsid w:val="00E345EC"/>
    <w:rsid w:val="00E349F9"/>
    <w:rsid w:val="00E34F00"/>
    <w:rsid w:val="00E354BE"/>
    <w:rsid w:val="00E35D0D"/>
    <w:rsid w:val="00E36C8D"/>
    <w:rsid w:val="00E406A5"/>
    <w:rsid w:val="00E41EF5"/>
    <w:rsid w:val="00E436C1"/>
    <w:rsid w:val="00E45AB4"/>
    <w:rsid w:val="00E46EA2"/>
    <w:rsid w:val="00E473E0"/>
    <w:rsid w:val="00E511DA"/>
    <w:rsid w:val="00E52CAF"/>
    <w:rsid w:val="00E537EC"/>
    <w:rsid w:val="00E537FE"/>
    <w:rsid w:val="00E571C1"/>
    <w:rsid w:val="00E57767"/>
    <w:rsid w:val="00E5779A"/>
    <w:rsid w:val="00E60992"/>
    <w:rsid w:val="00E60F1B"/>
    <w:rsid w:val="00E60F7B"/>
    <w:rsid w:val="00E64083"/>
    <w:rsid w:val="00E67503"/>
    <w:rsid w:val="00E67852"/>
    <w:rsid w:val="00E67C99"/>
    <w:rsid w:val="00E7060B"/>
    <w:rsid w:val="00E71AE0"/>
    <w:rsid w:val="00E71BCE"/>
    <w:rsid w:val="00E7276A"/>
    <w:rsid w:val="00E727B3"/>
    <w:rsid w:val="00E72EB5"/>
    <w:rsid w:val="00E74065"/>
    <w:rsid w:val="00E7433F"/>
    <w:rsid w:val="00E7776E"/>
    <w:rsid w:val="00E8179F"/>
    <w:rsid w:val="00E82431"/>
    <w:rsid w:val="00E83724"/>
    <w:rsid w:val="00E84496"/>
    <w:rsid w:val="00E8687C"/>
    <w:rsid w:val="00E92558"/>
    <w:rsid w:val="00E9281D"/>
    <w:rsid w:val="00E92B3B"/>
    <w:rsid w:val="00E935A3"/>
    <w:rsid w:val="00E94C65"/>
    <w:rsid w:val="00E95033"/>
    <w:rsid w:val="00E95B7C"/>
    <w:rsid w:val="00E95F92"/>
    <w:rsid w:val="00E965BF"/>
    <w:rsid w:val="00E9732B"/>
    <w:rsid w:val="00EA0980"/>
    <w:rsid w:val="00EA23C6"/>
    <w:rsid w:val="00EA2BC0"/>
    <w:rsid w:val="00EA2E42"/>
    <w:rsid w:val="00EA390D"/>
    <w:rsid w:val="00EA4EF4"/>
    <w:rsid w:val="00EA54E7"/>
    <w:rsid w:val="00EA5554"/>
    <w:rsid w:val="00EA62EE"/>
    <w:rsid w:val="00EA6865"/>
    <w:rsid w:val="00EA7F2E"/>
    <w:rsid w:val="00EB0986"/>
    <w:rsid w:val="00EB1F2D"/>
    <w:rsid w:val="00EB257E"/>
    <w:rsid w:val="00EB3646"/>
    <w:rsid w:val="00EB41C8"/>
    <w:rsid w:val="00EB67DE"/>
    <w:rsid w:val="00EC0233"/>
    <w:rsid w:val="00EC1CE3"/>
    <w:rsid w:val="00EC2238"/>
    <w:rsid w:val="00EC26D7"/>
    <w:rsid w:val="00EC3B1D"/>
    <w:rsid w:val="00EC5C57"/>
    <w:rsid w:val="00EC5D9E"/>
    <w:rsid w:val="00EC7237"/>
    <w:rsid w:val="00ED02E1"/>
    <w:rsid w:val="00ED3466"/>
    <w:rsid w:val="00ED4048"/>
    <w:rsid w:val="00ED43BA"/>
    <w:rsid w:val="00ED57D5"/>
    <w:rsid w:val="00ED5CD9"/>
    <w:rsid w:val="00ED70B7"/>
    <w:rsid w:val="00EE091C"/>
    <w:rsid w:val="00EE0B25"/>
    <w:rsid w:val="00EE3EDB"/>
    <w:rsid w:val="00EE56D0"/>
    <w:rsid w:val="00EE5CAA"/>
    <w:rsid w:val="00EE5D88"/>
    <w:rsid w:val="00EE61FB"/>
    <w:rsid w:val="00EE680D"/>
    <w:rsid w:val="00EE7262"/>
    <w:rsid w:val="00EF058A"/>
    <w:rsid w:val="00EF0767"/>
    <w:rsid w:val="00EF2480"/>
    <w:rsid w:val="00EF293A"/>
    <w:rsid w:val="00EF423A"/>
    <w:rsid w:val="00EF4723"/>
    <w:rsid w:val="00EF5504"/>
    <w:rsid w:val="00EF58B0"/>
    <w:rsid w:val="00EF6329"/>
    <w:rsid w:val="00EF654E"/>
    <w:rsid w:val="00F03175"/>
    <w:rsid w:val="00F04064"/>
    <w:rsid w:val="00F0411F"/>
    <w:rsid w:val="00F050BD"/>
    <w:rsid w:val="00F053B1"/>
    <w:rsid w:val="00F05745"/>
    <w:rsid w:val="00F06BD5"/>
    <w:rsid w:val="00F06EE5"/>
    <w:rsid w:val="00F10543"/>
    <w:rsid w:val="00F121EC"/>
    <w:rsid w:val="00F12826"/>
    <w:rsid w:val="00F137BC"/>
    <w:rsid w:val="00F13FCA"/>
    <w:rsid w:val="00F140D8"/>
    <w:rsid w:val="00F15519"/>
    <w:rsid w:val="00F157CB"/>
    <w:rsid w:val="00F15868"/>
    <w:rsid w:val="00F17E17"/>
    <w:rsid w:val="00F2108C"/>
    <w:rsid w:val="00F2273E"/>
    <w:rsid w:val="00F231B9"/>
    <w:rsid w:val="00F24809"/>
    <w:rsid w:val="00F2526E"/>
    <w:rsid w:val="00F261E1"/>
    <w:rsid w:val="00F270DC"/>
    <w:rsid w:val="00F27344"/>
    <w:rsid w:val="00F3190D"/>
    <w:rsid w:val="00F31F03"/>
    <w:rsid w:val="00F32319"/>
    <w:rsid w:val="00F324C8"/>
    <w:rsid w:val="00F33B5A"/>
    <w:rsid w:val="00F33B73"/>
    <w:rsid w:val="00F3493B"/>
    <w:rsid w:val="00F350E2"/>
    <w:rsid w:val="00F3551E"/>
    <w:rsid w:val="00F373A1"/>
    <w:rsid w:val="00F376EF"/>
    <w:rsid w:val="00F37BFA"/>
    <w:rsid w:val="00F40029"/>
    <w:rsid w:val="00F41031"/>
    <w:rsid w:val="00F43E27"/>
    <w:rsid w:val="00F43EAF"/>
    <w:rsid w:val="00F5057B"/>
    <w:rsid w:val="00F50CA1"/>
    <w:rsid w:val="00F51A46"/>
    <w:rsid w:val="00F51E73"/>
    <w:rsid w:val="00F522AC"/>
    <w:rsid w:val="00F52354"/>
    <w:rsid w:val="00F5398B"/>
    <w:rsid w:val="00F550B1"/>
    <w:rsid w:val="00F567D0"/>
    <w:rsid w:val="00F56849"/>
    <w:rsid w:val="00F60ACF"/>
    <w:rsid w:val="00F61137"/>
    <w:rsid w:val="00F62424"/>
    <w:rsid w:val="00F62AFE"/>
    <w:rsid w:val="00F63045"/>
    <w:rsid w:val="00F64AB1"/>
    <w:rsid w:val="00F661CF"/>
    <w:rsid w:val="00F66EE0"/>
    <w:rsid w:val="00F703EA"/>
    <w:rsid w:val="00F711AE"/>
    <w:rsid w:val="00F72A07"/>
    <w:rsid w:val="00F73774"/>
    <w:rsid w:val="00F74907"/>
    <w:rsid w:val="00F7523A"/>
    <w:rsid w:val="00F7583C"/>
    <w:rsid w:val="00F76429"/>
    <w:rsid w:val="00F7707A"/>
    <w:rsid w:val="00F77386"/>
    <w:rsid w:val="00F77714"/>
    <w:rsid w:val="00F80461"/>
    <w:rsid w:val="00F811C3"/>
    <w:rsid w:val="00F813BA"/>
    <w:rsid w:val="00F817B9"/>
    <w:rsid w:val="00F819DC"/>
    <w:rsid w:val="00F81BFD"/>
    <w:rsid w:val="00F820C9"/>
    <w:rsid w:val="00F82E1F"/>
    <w:rsid w:val="00F837A3"/>
    <w:rsid w:val="00F8474A"/>
    <w:rsid w:val="00F860F5"/>
    <w:rsid w:val="00F864ED"/>
    <w:rsid w:val="00F8723F"/>
    <w:rsid w:val="00F872FF"/>
    <w:rsid w:val="00F90196"/>
    <w:rsid w:val="00F9169F"/>
    <w:rsid w:val="00F9200A"/>
    <w:rsid w:val="00F92412"/>
    <w:rsid w:val="00F92A0F"/>
    <w:rsid w:val="00F92EF6"/>
    <w:rsid w:val="00F93204"/>
    <w:rsid w:val="00F94F30"/>
    <w:rsid w:val="00F956C0"/>
    <w:rsid w:val="00F96766"/>
    <w:rsid w:val="00FA05D5"/>
    <w:rsid w:val="00FA12D1"/>
    <w:rsid w:val="00FA3F2F"/>
    <w:rsid w:val="00FA4487"/>
    <w:rsid w:val="00FA627D"/>
    <w:rsid w:val="00FA7638"/>
    <w:rsid w:val="00FB0C81"/>
    <w:rsid w:val="00FB24A6"/>
    <w:rsid w:val="00FB29F2"/>
    <w:rsid w:val="00FB2D03"/>
    <w:rsid w:val="00FB3FAD"/>
    <w:rsid w:val="00FB4813"/>
    <w:rsid w:val="00FB6C2F"/>
    <w:rsid w:val="00FB7346"/>
    <w:rsid w:val="00FC0CC7"/>
    <w:rsid w:val="00FC3C27"/>
    <w:rsid w:val="00FC4895"/>
    <w:rsid w:val="00FC48C4"/>
    <w:rsid w:val="00FC4CF9"/>
    <w:rsid w:val="00FC4E21"/>
    <w:rsid w:val="00FC5894"/>
    <w:rsid w:val="00FC76D0"/>
    <w:rsid w:val="00FD0B13"/>
    <w:rsid w:val="00FD10A8"/>
    <w:rsid w:val="00FD202D"/>
    <w:rsid w:val="00FD45E2"/>
    <w:rsid w:val="00FD799B"/>
    <w:rsid w:val="00FE3A58"/>
    <w:rsid w:val="00FE51BE"/>
    <w:rsid w:val="00FE52CD"/>
    <w:rsid w:val="00FE562B"/>
    <w:rsid w:val="00FE5D7A"/>
    <w:rsid w:val="00FE62A7"/>
    <w:rsid w:val="00FE66D8"/>
    <w:rsid w:val="00FE7452"/>
    <w:rsid w:val="00FF3F65"/>
    <w:rsid w:val="00FF4756"/>
    <w:rsid w:val="00FF4B62"/>
    <w:rsid w:val="00FF51A9"/>
    <w:rsid w:val="00FF69AC"/>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 w:type="paragraph" w:customStyle="1" w:styleId="Quotation-New">
    <w:name w:val="Quotation-New"/>
    <w:basedOn w:val="Quotation"/>
    <w:link w:val="Quotation-NewChar"/>
    <w:qFormat/>
    <w:rsid w:val="006E011C"/>
    <w:pPr>
      <w:tabs>
        <w:tab w:val="clear" w:pos="2127"/>
      </w:tabs>
      <w:ind w:left="1418" w:firstLine="0"/>
    </w:pPr>
  </w:style>
  <w:style w:type="character" w:customStyle="1" w:styleId="Quotation-NewChar">
    <w:name w:val="Quotation-New Char"/>
    <w:basedOn w:val="QuotationChar"/>
    <w:link w:val="Quotation-New"/>
    <w:rsid w:val="006E011C"/>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3.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9426E-ACA5-4002-ADE7-B66306A0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6414</Words>
  <Characters>36564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2</cp:revision>
  <cp:lastPrinted>2020-08-04T14:38:00Z</cp:lastPrinted>
  <dcterms:created xsi:type="dcterms:W3CDTF">2023-07-11T14:13:00Z</dcterms:created>
  <dcterms:modified xsi:type="dcterms:W3CDTF">2023-07-11T14:13:00Z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