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B6EA5" w14:textId="77777777" w:rsidR="000B56E9" w:rsidRPr="00B178EF" w:rsidRDefault="000B56E9" w:rsidP="000B56E9">
      <w:pPr>
        <w:jc w:val="center"/>
        <w:rPr>
          <w:rFonts w:ascii="Arial" w:hAnsi="Arial" w:cs="Arial"/>
          <w:b/>
        </w:rPr>
      </w:pPr>
      <w:r w:rsidRPr="00B178EF">
        <w:rPr>
          <w:rFonts w:ascii="Arial" w:hAnsi="Arial" w:cs="Arial"/>
        </w:rPr>
        <w:t xml:space="preserve">          </w:t>
      </w:r>
      <w:r w:rsidRPr="00B178EF">
        <w:rPr>
          <w:rFonts w:ascii="Arial" w:hAnsi="Arial" w:cs="Arial"/>
          <w:noProof/>
          <w:lang w:val="en-US"/>
        </w:rPr>
        <w:drawing>
          <wp:inline distT="0" distB="0" distL="0" distR="0" wp14:anchorId="01241D0B" wp14:editId="617AD50F">
            <wp:extent cx="1438275" cy="1438275"/>
            <wp:effectExtent l="0" t="0" r="9525" b="9525"/>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Pr="00B178EF">
        <w:rPr>
          <w:noProof/>
          <w:lang w:val="en-US"/>
        </w:rPr>
        <mc:AlternateContent>
          <mc:Choice Requires="wpg">
            <w:drawing>
              <wp:inline distT="0" distB="0" distL="0" distR="0" wp14:anchorId="404C84C8" wp14:editId="528EB3EA">
                <wp:extent cx="673100" cy="863600"/>
                <wp:effectExtent l="0" t="0" r="3175"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863600"/>
                          <a:chOff x="0" y="0"/>
                          <a:chExt cx="1060" cy="1360"/>
                        </a:xfrm>
                      </wpg:grpSpPr>
                      <wps:wsp>
                        <wps:cNvPr id="4" name="AutoShape 3"/>
                        <wps:cNvSpPr>
                          <a:spLocks noChangeAspect="1" noChangeArrowheads="1"/>
                        </wps:cNvSpPr>
                        <wps:spPr bwMode="auto">
                          <a:xfrm>
                            <a:off x="0" y="0"/>
                            <a:ext cx="106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4B72A130" id="Group 3" o:spid="_x0000_s1026" style="width:53pt;height:68pt;mso-position-horizontal-relative:char;mso-position-vertical-relative:line" coordsize="106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">
                <v:rect id="AutoShape 3" o:spid="_x0000_s1027" style="position:absolute;width:1060;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w10:anchorlock/>
              </v:group>
            </w:pict>
          </mc:Fallback>
        </mc:AlternateContent>
      </w:r>
    </w:p>
    <w:p w14:paraId="527098C4" w14:textId="77777777" w:rsidR="000B56E9" w:rsidRPr="00B178EF" w:rsidRDefault="000B56E9" w:rsidP="000B56E9">
      <w:pPr>
        <w:jc w:val="center"/>
        <w:rPr>
          <w:rFonts w:ascii="Arial" w:hAnsi="Arial" w:cs="Arial"/>
          <w:b/>
        </w:rPr>
      </w:pPr>
      <w:r w:rsidRPr="00B178EF">
        <w:rPr>
          <w:rFonts w:ascii="Arial" w:hAnsi="Arial" w:cs="Arial"/>
          <w:b/>
        </w:rPr>
        <w:t xml:space="preserve">IN THE HIGH COURT OF SOUTH AFRICA, </w:t>
      </w:r>
    </w:p>
    <w:p w14:paraId="3698F328" w14:textId="44A17577" w:rsidR="00A3512C" w:rsidRPr="00A3512C" w:rsidRDefault="000B56E9" w:rsidP="000B56E9">
      <w:pPr>
        <w:spacing w:line="480" w:lineRule="auto"/>
        <w:ind w:left="360" w:hanging="360"/>
        <w:jc w:val="center"/>
        <w:rPr>
          <w:rFonts w:ascii="Arial" w:hAnsi="Arial" w:cs="Arial"/>
        </w:rPr>
      </w:pPr>
      <w:r w:rsidRPr="00B178EF">
        <w:rPr>
          <w:rFonts w:ascii="Arial" w:hAnsi="Arial" w:cs="Arial"/>
          <w:b/>
        </w:rPr>
        <w:t xml:space="preserve">GAUTENG DIVISION, </w:t>
      </w:r>
      <w:r>
        <w:rPr>
          <w:rFonts w:ascii="Arial" w:hAnsi="Arial" w:cs="Arial"/>
          <w:b/>
        </w:rPr>
        <w:t>JOHANNESBURG</w:t>
      </w:r>
    </w:p>
    <w:p w14:paraId="08DDFE59" w14:textId="2C3220F4" w:rsidR="000B56E9" w:rsidRPr="007266D7" w:rsidRDefault="00A3512C" w:rsidP="007266D7">
      <w:pPr>
        <w:spacing w:line="480" w:lineRule="auto"/>
        <w:ind w:left="4680" w:firstLine="360"/>
        <w:jc w:val="center"/>
        <w:rPr>
          <w:rFonts w:ascii="Arial" w:hAnsi="Arial" w:cs="Arial"/>
        </w:rPr>
      </w:pPr>
      <w:r w:rsidRPr="00A3512C">
        <w:rPr>
          <w:rFonts w:ascii="Arial" w:hAnsi="Arial" w:cs="Arial"/>
        </w:rPr>
        <w:t xml:space="preserve">CASE NUMBER: </w:t>
      </w:r>
      <w:r w:rsidR="0096202A">
        <w:rPr>
          <w:rFonts w:ascii="Arial" w:hAnsi="Arial" w:cs="Arial"/>
        </w:rPr>
        <w:t>2021/5</w:t>
      </w:r>
      <w:r w:rsidR="00D56DBE">
        <w:rPr>
          <w:rFonts w:ascii="Arial" w:hAnsi="Arial" w:cs="Arial"/>
        </w:rPr>
        <w:t>1</w:t>
      </w:r>
      <w:r w:rsidR="0096202A">
        <w:rPr>
          <w:rFonts w:ascii="Arial" w:hAnsi="Arial" w:cs="Arial"/>
        </w:rPr>
        <w:t>099</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5"/>
      </w:tblGrid>
      <w:tr w:rsidR="000B56E9" w14:paraId="0C2A8B72" w14:textId="77777777" w:rsidTr="000B56E9">
        <w:trPr>
          <w:trHeight w:val="2325"/>
        </w:trPr>
        <w:tc>
          <w:tcPr>
            <w:tcW w:w="4605" w:type="dxa"/>
          </w:tcPr>
          <w:p w14:paraId="57345A05" w14:textId="77777777" w:rsidR="000B56E9" w:rsidRDefault="000B56E9" w:rsidP="000B56E9">
            <w:pPr>
              <w:spacing w:line="480" w:lineRule="auto"/>
              <w:ind w:left="90"/>
              <w:rPr>
                <w:rFonts w:ascii="Century Gothic" w:hAnsi="Century Gothic"/>
                <w:bCs/>
                <w:sz w:val="18"/>
                <w:szCs w:val="18"/>
              </w:rPr>
            </w:pPr>
            <w:r>
              <w:rPr>
                <w:rFonts w:ascii="Century Gothic" w:hAnsi="Century Gothic"/>
                <w:bCs/>
                <w:sz w:val="18"/>
                <w:szCs w:val="18"/>
              </w:rPr>
              <w:t xml:space="preserve">[1] </w:t>
            </w:r>
            <w:r>
              <w:rPr>
                <w:rFonts w:ascii="Century Gothic" w:hAnsi="Century Gothic"/>
                <w:bCs/>
                <w:sz w:val="18"/>
                <w:szCs w:val="18"/>
              </w:rPr>
              <w:tab/>
              <w:t>REPORTABLE: YES/</w:t>
            </w:r>
            <w:r w:rsidRPr="00AD321B">
              <w:rPr>
                <w:rFonts w:ascii="Century Gothic" w:hAnsi="Century Gothic"/>
                <w:b/>
                <w:sz w:val="18"/>
                <w:szCs w:val="18"/>
              </w:rPr>
              <w:t>NO</w:t>
            </w:r>
          </w:p>
          <w:p w14:paraId="0E6E6835" w14:textId="77777777" w:rsidR="000B56E9" w:rsidRDefault="000B56E9" w:rsidP="000B56E9">
            <w:pPr>
              <w:spacing w:line="480" w:lineRule="auto"/>
              <w:ind w:left="90"/>
              <w:rPr>
                <w:rFonts w:ascii="Century Gothic" w:hAnsi="Century Gothic"/>
                <w:bCs/>
                <w:sz w:val="18"/>
                <w:szCs w:val="18"/>
              </w:rPr>
            </w:pPr>
            <w:r>
              <w:rPr>
                <w:rFonts w:ascii="Century Gothic" w:hAnsi="Century Gothic"/>
                <w:bCs/>
                <w:sz w:val="18"/>
                <w:szCs w:val="18"/>
              </w:rPr>
              <w:t>[2]</w:t>
            </w:r>
            <w:r>
              <w:rPr>
                <w:rFonts w:ascii="Century Gothic" w:hAnsi="Century Gothic"/>
                <w:bCs/>
                <w:sz w:val="18"/>
                <w:szCs w:val="18"/>
              </w:rPr>
              <w:tab/>
              <w:t>OF INTERENST TO OTHER JUDGES: YES/</w:t>
            </w:r>
            <w:r w:rsidRPr="00AD321B">
              <w:rPr>
                <w:rFonts w:ascii="Century Gothic" w:hAnsi="Century Gothic"/>
                <w:b/>
                <w:sz w:val="18"/>
                <w:szCs w:val="18"/>
              </w:rPr>
              <w:t>NO</w:t>
            </w:r>
          </w:p>
          <w:p w14:paraId="3CA06C6E" w14:textId="77777777" w:rsidR="000B56E9" w:rsidRDefault="000B56E9" w:rsidP="000B56E9">
            <w:pPr>
              <w:spacing w:line="480" w:lineRule="auto"/>
              <w:ind w:left="90"/>
              <w:rPr>
                <w:rFonts w:ascii="Century Gothic" w:hAnsi="Century Gothic"/>
                <w:bCs/>
                <w:sz w:val="18"/>
                <w:szCs w:val="18"/>
              </w:rPr>
            </w:pPr>
            <w:r>
              <w:rPr>
                <w:rFonts w:ascii="Century Gothic" w:hAnsi="Century Gothic"/>
                <w:bCs/>
                <w:sz w:val="18"/>
                <w:szCs w:val="18"/>
              </w:rPr>
              <w:t>[3]</w:t>
            </w:r>
            <w:r>
              <w:rPr>
                <w:rFonts w:ascii="Century Gothic" w:hAnsi="Century Gothic"/>
                <w:bCs/>
                <w:sz w:val="18"/>
                <w:szCs w:val="18"/>
              </w:rPr>
              <w:tab/>
              <w:t xml:space="preserve">REVISED: </w:t>
            </w:r>
          </w:p>
          <w:p w14:paraId="53BA0367" w14:textId="49177986" w:rsidR="000B56E9" w:rsidRDefault="000B56E9" w:rsidP="000B56E9">
            <w:pPr>
              <w:spacing w:line="480" w:lineRule="auto"/>
              <w:ind w:left="90"/>
              <w:rPr>
                <w:rFonts w:ascii="Arial" w:hAnsi="Arial" w:cs="Arial"/>
              </w:rPr>
            </w:pPr>
            <w:r>
              <w:rPr>
                <w:rFonts w:ascii="Arial" w:hAnsi="Arial" w:cs="Arial"/>
              </w:rPr>
              <w:tab/>
            </w:r>
            <w:r w:rsidR="00AD321B">
              <w:rPr>
                <w:rFonts w:ascii="Arial" w:hAnsi="Arial" w:cs="Arial"/>
              </w:rPr>
              <w:t>12 July 2023</w:t>
            </w:r>
            <w:r>
              <w:rPr>
                <w:rFonts w:ascii="Arial" w:hAnsi="Arial" w:cs="Arial"/>
              </w:rPr>
              <w:tab/>
            </w:r>
            <w:r w:rsidR="00AD321B">
              <w:rPr>
                <w:rFonts w:ascii="Arial" w:hAnsi="Arial" w:cs="Arial"/>
              </w:rPr>
              <w:t xml:space="preserve">         </w:t>
            </w:r>
            <w:r>
              <w:rPr>
                <w:rFonts w:ascii="Arial" w:hAnsi="Arial" w:cs="Arial"/>
              </w:rPr>
              <w:t>……………</w:t>
            </w:r>
          </w:p>
          <w:p w14:paraId="2098420C" w14:textId="50B4DCBB" w:rsidR="000B56E9" w:rsidRDefault="000B56E9" w:rsidP="000B56E9">
            <w:pPr>
              <w:spacing w:line="480" w:lineRule="auto"/>
              <w:ind w:left="90"/>
              <w:rPr>
                <w:rFonts w:ascii="Century Gothic" w:hAnsi="Century Gothic"/>
                <w:bCs/>
                <w:sz w:val="18"/>
                <w:szCs w:val="18"/>
              </w:rPr>
            </w:pPr>
            <w:r>
              <w:rPr>
                <w:rFonts w:ascii="Century Gothic" w:hAnsi="Century Gothic"/>
                <w:bCs/>
                <w:sz w:val="18"/>
                <w:szCs w:val="18"/>
              </w:rPr>
              <w:t xml:space="preserve">             DATE                                   SIGNATURE</w:t>
            </w:r>
          </w:p>
        </w:tc>
      </w:tr>
    </w:tbl>
    <w:p w14:paraId="6B0C9A83" w14:textId="32ED5926" w:rsidR="00A3512C" w:rsidRPr="0062413D" w:rsidRDefault="00A3512C" w:rsidP="00A3512C">
      <w:pPr>
        <w:spacing w:line="480" w:lineRule="auto"/>
        <w:rPr>
          <w:rFonts w:ascii="Arial" w:hAnsi="Arial" w:cs="Arial"/>
        </w:rPr>
      </w:pPr>
      <w:r w:rsidRPr="00A3512C">
        <w:rPr>
          <w:rFonts w:ascii="Arial" w:hAnsi="Arial" w:cs="Arial"/>
        </w:rPr>
        <w:t>In the matter between:</w:t>
      </w:r>
    </w:p>
    <w:p w14:paraId="0B8EA66F" w14:textId="4A7BDC0E" w:rsidR="00A3512C" w:rsidRPr="00A3512C" w:rsidRDefault="0096202A" w:rsidP="00A3512C">
      <w:pPr>
        <w:spacing w:line="480" w:lineRule="auto"/>
        <w:rPr>
          <w:rFonts w:ascii="Arial" w:hAnsi="Arial" w:cs="Arial"/>
        </w:rPr>
      </w:pPr>
      <w:r>
        <w:rPr>
          <w:rFonts w:ascii="Arial" w:hAnsi="Arial" w:cs="Arial"/>
          <w:b/>
          <w:bCs/>
        </w:rPr>
        <w:t>ISAACS MALCOLM</w:t>
      </w:r>
      <w:r w:rsidR="00A3512C" w:rsidRPr="00A3512C">
        <w:rPr>
          <w:rFonts w:ascii="Arial" w:hAnsi="Arial" w:cs="Arial"/>
          <w:b/>
          <w:bCs/>
        </w:rPr>
        <w:tab/>
      </w:r>
      <w:r w:rsidR="00A3512C" w:rsidRPr="00A3512C">
        <w:rPr>
          <w:rFonts w:ascii="Arial" w:hAnsi="Arial" w:cs="Arial"/>
        </w:rPr>
        <w:tab/>
      </w:r>
      <w:r w:rsidR="00A3512C" w:rsidRPr="00A3512C">
        <w:rPr>
          <w:rFonts w:ascii="Arial" w:hAnsi="Arial" w:cs="Arial"/>
        </w:rPr>
        <w:tab/>
      </w:r>
      <w:r w:rsidR="00A3512C">
        <w:rPr>
          <w:rFonts w:ascii="Arial" w:hAnsi="Arial" w:cs="Arial"/>
        </w:rPr>
        <w:tab/>
      </w:r>
      <w:r w:rsidR="00A3512C">
        <w:rPr>
          <w:rFonts w:ascii="Arial" w:hAnsi="Arial" w:cs="Arial"/>
        </w:rPr>
        <w:tab/>
      </w:r>
      <w:r w:rsidR="00A3512C">
        <w:rPr>
          <w:rFonts w:ascii="Arial" w:hAnsi="Arial" w:cs="Arial"/>
        </w:rPr>
        <w:tab/>
      </w:r>
      <w:r w:rsidR="00A3512C">
        <w:rPr>
          <w:rFonts w:ascii="Arial" w:hAnsi="Arial" w:cs="Arial"/>
        </w:rPr>
        <w:tab/>
      </w:r>
      <w:r w:rsidR="00A3512C" w:rsidRPr="00A3512C">
        <w:rPr>
          <w:rFonts w:ascii="Arial" w:hAnsi="Arial" w:cs="Arial"/>
        </w:rPr>
        <w:t>Plaintiff</w:t>
      </w:r>
    </w:p>
    <w:p w14:paraId="2204CA65" w14:textId="77777777" w:rsidR="00A3512C" w:rsidRPr="00A3512C" w:rsidRDefault="00A3512C" w:rsidP="00A3512C">
      <w:pPr>
        <w:spacing w:line="480" w:lineRule="auto"/>
        <w:rPr>
          <w:rFonts w:ascii="Arial" w:hAnsi="Arial" w:cs="Arial"/>
        </w:rPr>
      </w:pPr>
    </w:p>
    <w:p w14:paraId="0D457F5D" w14:textId="51DC43CC" w:rsidR="00A3512C" w:rsidRPr="00A3512C" w:rsidRDefault="00A3512C" w:rsidP="00A3512C">
      <w:pPr>
        <w:spacing w:line="480" w:lineRule="auto"/>
        <w:rPr>
          <w:rFonts w:ascii="Arial" w:hAnsi="Arial" w:cs="Arial"/>
        </w:rPr>
      </w:pPr>
      <w:r w:rsidRPr="00A3512C">
        <w:rPr>
          <w:rFonts w:ascii="Arial" w:hAnsi="Arial" w:cs="Arial"/>
        </w:rPr>
        <w:t>And</w:t>
      </w:r>
    </w:p>
    <w:p w14:paraId="162195CF" w14:textId="77777777" w:rsidR="00A3512C" w:rsidRPr="00A3512C" w:rsidRDefault="00A3512C" w:rsidP="00A3512C">
      <w:pPr>
        <w:spacing w:line="480" w:lineRule="auto"/>
        <w:rPr>
          <w:rFonts w:ascii="Arial" w:hAnsi="Arial" w:cs="Arial"/>
        </w:rPr>
      </w:pPr>
    </w:p>
    <w:p w14:paraId="4E433ECD" w14:textId="68E1C323" w:rsidR="00A3512C" w:rsidRPr="00A3512C" w:rsidRDefault="0096202A" w:rsidP="00A3512C">
      <w:pPr>
        <w:pBdr>
          <w:bottom w:val="single" w:sz="12" w:space="1" w:color="auto"/>
        </w:pBdr>
        <w:spacing w:line="480" w:lineRule="auto"/>
        <w:rPr>
          <w:rFonts w:ascii="Arial" w:hAnsi="Arial" w:cs="Arial"/>
          <w:b/>
          <w:bCs/>
        </w:rPr>
      </w:pPr>
      <w:r>
        <w:rPr>
          <w:rFonts w:ascii="Arial" w:hAnsi="Arial" w:cs="Arial"/>
          <w:b/>
          <w:bCs/>
        </w:rPr>
        <w:t>MANGERA ATTORNEYS</w:t>
      </w:r>
      <w:r w:rsidR="00A3512C">
        <w:rPr>
          <w:rFonts w:ascii="Arial" w:hAnsi="Arial" w:cs="Arial"/>
          <w:b/>
          <w:bCs/>
        </w:rPr>
        <w:tab/>
      </w:r>
      <w:r w:rsidR="00A3512C">
        <w:rPr>
          <w:rFonts w:ascii="Arial" w:hAnsi="Arial" w:cs="Arial"/>
          <w:b/>
          <w:bCs/>
        </w:rPr>
        <w:tab/>
      </w:r>
      <w:r w:rsidR="00A3512C">
        <w:rPr>
          <w:rFonts w:ascii="Arial" w:hAnsi="Arial" w:cs="Arial"/>
          <w:b/>
          <w:bCs/>
        </w:rPr>
        <w:tab/>
      </w:r>
      <w:r w:rsidR="00A3512C">
        <w:rPr>
          <w:rFonts w:ascii="Arial" w:hAnsi="Arial" w:cs="Arial"/>
          <w:b/>
          <w:bCs/>
        </w:rPr>
        <w:tab/>
      </w:r>
      <w:r w:rsidR="00A3512C">
        <w:rPr>
          <w:rFonts w:ascii="Arial" w:hAnsi="Arial" w:cs="Arial"/>
          <w:b/>
          <w:bCs/>
        </w:rPr>
        <w:tab/>
      </w:r>
      <w:r w:rsidR="00A3512C">
        <w:rPr>
          <w:rFonts w:ascii="Arial" w:hAnsi="Arial" w:cs="Arial"/>
          <w:b/>
          <w:bCs/>
        </w:rPr>
        <w:tab/>
      </w:r>
      <w:r w:rsidR="00A3512C" w:rsidRPr="00A3512C">
        <w:rPr>
          <w:rFonts w:ascii="Arial" w:hAnsi="Arial" w:cs="Arial"/>
        </w:rPr>
        <w:tab/>
        <w:t>Defendant</w:t>
      </w:r>
    </w:p>
    <w:p w14:paraId="68D4586E" w14:textId="77777777" w:rsidR="00A3512C" w:rsidRPr="00A3512C" w:rsidRDefault="00A3512C" w:rsidP="00A3512C">
      <w:pPr>
        <w:spacing w:line="480" w:lineRule="auto"/>
        <w:rPr>
          <w:rFonts w:ascii="Arial" w:hAnsi="Arial" w:cs="Arial"/>
        </w:rPr>
      </w:pPr>
    </w:p>
    <w:p w14:paraId="665BFB3F" w14:textId="5681D82D" w:rsidR="00A3512C" w:rsidRPr="0062413D" w:rsidRDefault="00A3512C" w:rsidP="0062413D">
      <w:pPr>
        <w:spacing w:line="480" w:lineRule="auto"/>
        <w:jc w:val="center"/>
        <w:rPr>
          <w:rFonts w:ascii="Arial" w:hAnsi="Arial" w:cs="Arial"/>
        </w:rPr>
      </w:pPr>
      <w:r w:rsidRPr="00A3512C">
        <w:rPr>
          <w:rFonts w:ascii="Arial" w:hAnsi="Arial" w:cs="Arial"/>
        </w:rPr>
        <w:t>JUDGEMENT</w:t>
      </w:r>
      <w:r w:rsidRPr="00A3512C">
        <w:rPr>
          <w:rFonts w:ascii="Arial" w:hAnsi="Arial" w:cs="Arial"/>
        </w:rPr>
        <w:br/>
        <w:t>___________________________________________________________________</w:t>
      </w:r>
    </w:p>
    <w:p w14:paraId="446254FC" w14:textId="4C4DF926" w:rsidR="00A3512C" w:rsidRPr="00A3512C" w:rsidRDefault="00A3512C" w:rsidP="00A3512C">
      <w:pPr>
        <w:spacing w:line="480" w:lineRule="auto"/>
        <w:rPr>
          <w:rFonts w:ascii="Arial" w:hAnsi="Arial" w:cs="Arial"/>
          <w:b/>
          <w:bCs/>
        </w:rPr>
      </w:pPr>
      <w:r w:rsidRPr="00A3512C">
        <w:rPr>
          <w:rFonts w:ascii="Arial" w:hAnsi="Arial" w:cs="Arial"/>
          <w:b/>
          <w:bCs/>
        </w:rPr>
        <w:t>T LIPSHITZ AJ</w:t>
      </w:r>
    </w:p>
    <w:p w14:paraId="11D8FC26" w14:textId="77777777" w:rsidR="00A3512C" w:rsidRPr="00A3512C" w:rsidRDefault="00A3512C" w:rsidP="00A3512C">
      <w:pPr>
        <w:spacing w:line="480" w:lineRule="auto"/>
        <w:rPr>
          <w:rFonts w:ascii="Arial" w:hAnsi="Arial" w:cs="Arial"/>
          <w:b/>
          <w:bCs/>
        </w:rPr>
      </w:pPr>
    </w:p>
    <w:p w14:paraId="76C51075" w14:textId="2601CF4A" w:rsidR="00A3512C" w:rsidRPr="00A3512C" w:rsidRDefault="00A3512C" w:rsidP="00A3512C">
      <w:pPr>
        <w:spacing w:line="480" w:lineRule="auto"/>
        <w:rPr>
          <w:rFonts w:ascii="Arial" w:hAnsi="Arial" w:cs="Arial"/>
          <w:b/>
          <w:bCs/>
        </w:rPr>
      </w:pPr>
      <w:r>
        <w:rPr>
          <w:rFonts w:ascii="Arial" w:hAnsi="Arial" w:cs="Arial"/>
          <w:b/>
          <w:bCs/>
        </w:rPr>
        <w:t>The matter</w:t>
      </w:r>
      <w:r w:rsidRPr="00A3512C">
        <w:rPr>
          <w:rFonts w:ascii="Arial" w:hAnsi="Arial" w:cs="Arial"/>
          <w:b/>
          <w:bCs/>
        </w:rPr>
        <w:t xml:space="preserve"> was heard on 1</w:t>
      </w:r>
      <w:r w:rsidR="0096202A">
        <w:rPr>
          <w:rFonts w:ascii="Arial" w:hAnsi="Arial" w:cs="Arial"/>
          <w:b/>
          <w:bCs/>
        </w:rPr>
        <w:t>3</w:t>
      </w:r>
      <w:r w:rsidRPr="00A3512C">
        <w:rPr>
          <w:rFonts w:ascii="Arial" w:hAnsi="Arial" w:cs="Arial"/>
          <w:b/>
          <w:bCs/>
        </w:rPr>
        <w:t xml:space="preserve"> April 2023</w:t>
      </w:r>
    </w:p>
    <w:p w14:paraId="30C9274D" w14:textId="662AEFB6" w:rsidR="00A3512C" w:rsidRDefault="00A3512C" w:rsidP="00A3512C">
      <w:pPr>
        <w:spacing w:line="480" w:lineRule="auto"/>
        <w:rPr>
          <w:rFonts w:ascii="Arial" w:hAnsi="Arial" w:cs="Arial"/>
          <w:b/>
          <w:bCs/>
        </w:rPr>
      </w:pPr>
      <w:r w:rsidRPr="00A3512C">
        <w:rPr>
          <w:rFonts w:ascii="Arial" w:hAnsi="Arial" w:cs="Arial"/>
          <w:b/>
          <w:bCs/>
        </w:rPr>
        <w:t xml:space="preserve">Judgment Delivered on </w:t>
      </w:r>
      <w:r w:rsidR="0096202A">
        <w:rPr>
          <w:rFonts w:ascii="Arial" w:hAnsi="Arial" w:cs="Arial"/>
          <w:b/>
          <w:bCs/>
        </w:rPr>
        <w:t>12</w:t>
      </w:r>
      <w:r w:rsidRPr="00A3512C">
        <w:rPr>
          <w:rFonts w:ascii="Arial" w:hAnsi="Arial" w:cs="Arial"/>
          <w:b/>
          <w:bCs/>
        </w:rPr>
        <w:t xml:space="preserve"> July 2023</w:t>
      </w:r>
    </w:p>
    <w:p w14:paraId="46A1271A" w14:textId="77777777" w:rsidR="001C374C" w:rsidRDefault="001C374C" w:rsidP="0096202A">
      <w:pPr>
        <w:spacing w:line="480" w:lineRule="auto"/>
        <w:jc w:val="both"/>
        <w:rPr>
          <w:rFonts w:ascii="Arial" w:hAnsi="Arial" w:cs="Arial"/>
          <w:b/>
          <w:bCs/>
          <w:lang w:val="en-US"/>
        </w:rPr>
      </w:pPr>
    </w:p>
    <w:p w14:paraId="4F1919A1" w14:textId="5F39C756" w:rsidR="0096202A" w:rsidRPr="00AD20EE" w:rsidRDefault="0096202A" w:rsidP="0096202A">
      <w:pPr>
        <w:spacing w:line="480" w:lineRule="auto"/>
        <w:jc w:val="both"/>
        <w:rPr>
          <w:rFonts w:ascii="Arial" w:hAnsi="Arial" w:cs="Arial"/>
          <w:b/>
          <w:bCs/>
          <w:lang w:val="en-US"/>
        </w:rPr>
      </w:pPr>
      <w:r w:rsidRPr="00AD20EE">
        <w:rPr>
          <w:rFonts w:ascii="Arial" w:hAnsi="Arial" w:cs="Arial"/>
          <w:b/>
          <w:bCs/>
          <w:lang w:val="en-US"/>
        </w:rPr>
        <w:lastRenderedPageBreak/>
        <w:t>Introduction</w:t>
      </w:r>
    </w:p>
    <w:p w14:paraId="10F91447" w14:textId="77777777" w:rsidR="0096202A" w:rsidRPr="00AD20EE" w:rsidRDefault="0096202A" w:rsidP="0096202A">
      <w:pPr>
        <w:spacing w:line="480" w:lineRule="auto"/>
        <w:jc w:val="both"/>
        <w:rPr>
          <w:rFonts w:ascii="Arial" w:hAnsi="Arial" w:cs="Arial"/>
          <w:lang w:val="en-US"/>
        </w:rPr>
      </w:pPr>
    </w:p>
    <w:p w14:paraId="3E8B92A7" w14:textId="23C3FA3D" w:rsidR="0096202A" w:rsidRPr="008B4054" w:rsidRDefault="008B4054" w:rsidP="008B4054">
      <w:pPr>
        <w:spacing w:line="480" w:lineRule="auto"/>
        <w:ind w:left="360" w:hanging="360"/>
        <w:jc w:val="both"/>
        <w:rPr>
          <w:rFonts w:ascii="Arial" w:hAnsi="Arial" w:cs="Arial"/>
          <w:lang w:val="en-US"/>
        </w:rPr>
      </w:pPr>
      <w:r w:rsidRPr="00AD20EE">
        <w:rPr>
          <w:rFonts w:ascii="Arial" w:hAnsi="Arial" w:cs="Arial"/>
          <w:lang w:val="en-US"/>
        </w:rPr>
        <w:t>1.</w:t>
      </w:r>
      <w:r w:rsidRPr="00AD20EE">
        <w:rPr>
          <w:rFonts w:ascii="Arial" w:hAnsi="Arial" w:cs="Arial"/>
          <w:lang w:val="en-US"/>
        </w:rPr>
        <w:tab/>
      </w:r>
      <w:r w:rsidR="0096202A" w:rsidRPr="008B4054">
        <w:rPr>
          <w:rFonts w:ascii="Arial" w:hAnsi="Arial" w:cs="Arial"/>
          <w:lang w:val="en-GB"/>
        </w:rPr>
        <w:t>This is an opposed application in terms of Rule 35(7) of the Uniform Rules of Court, whereby the applicant is seeking an order that the respondent complies with a  Rule 35(3) notice to produce the following listed “document/s”:- “</w:t>
      </w:r>
      <w:r w:rsidR="0096202A" w:rsidRPr="008B4054">
        <w:rPr>
          <w:rFonts w:ascii="Arial" w:hAnsi="Arial" w:cs="Arial"/>
          <w:b/>
          <w:bCs/>
          <w:i/>
          <w:iCs/>
          <w:lang w:val="en-GB"/>
        </w:rPr>
        <w:t>Proof of the recipient’s details into which the defendant transferred the funds of R 2 Million”.</w:t>
      </w:r>
    </w:p>
    <w:p w14:paraId="0B85E69D" w14:textId="77777777" w:rsidR="0096202A" w:rsidRPr="00AD20EE" w:rsidRDefault="0096202A" w:rsidP="0096202A">
      <w:pPr>
        <w:pStyle w:val="ListParagraph"/>
        <w:spacing w:line="480" w:lineRule="auto"/>
        <w:ind w:left="360"/>
        <w:jc w:val="both"/>
        <w:rPr>
          <w:rFonts w:ascii="Arial" w:hAnsi="Arial" w:cs="Arial"/>
          <w:lang w:val="en-US"/>
        </w:rPr>
      </w:pPr>
    </w:p>
    <w:p w14:paraId="2AECD5A0" w14:textId="1D90DDAA" w:rsidR="0096202A" w:rsidRPr="008B4054" w:rsidRDefault="008B4054" w:rsidP="008B4054">
      <w:pPr>
        <w:spacing w:line="480" w:lineRule="auto"/>
        <w:ind w:left="360" w:hanging="360"/>
        <w:jc w:val="both"/>
        <w:rPr>
          <w:rFonts w:ascii="Arial" w:hAnsi="Arial" w:cs="Arial"/>
          <w:lang w:val="en-US"/>
        </w:rPr>
      </w:pPr>
      <w:r w:rsidRPr="00AD20EE">
        <w:rPr>
          <w:rFonts w:ascii="Arial" w:hAnsi="Arial" w:cs="Arial"/>
          <w:lang w:val="en-US"/>
        </w:rPr>
        <w:t>2.</w:t>
      </w:r>
      <w:r w:rsidRPr="00AD20EE">
        <w:rPr>
          <w:rFonts w:ascii="Arial" w:hAnsi="Arial" w:cs="Arial"/>
          <w:lang w:val="en-US"/>
        </w:rPr>
        <w:tab/>
      </w:r>
      <w:r w:rsidR="0096202A" w:rsidRPr="008B4054">
        <w:rPr>
          <w:rFonts w:ascii="Arial" w:hAnsi="Arial" w:cs="Arial"/>
          <w:lang w:val="en-GB"/>
        </w:rPr>
        <w:t>The respondent has opposed this application and contends that the applicant is not entitled to the documents sought and has raised various challenges in this regard, including:-</w:t>
      </w:r>
    </w:p>
    <w:p w14:paraId="5ACC24A1" w14:textId="77777777" w:rsidR="0096202A" w:rsidRPr="00AD20EE" w:rsidRDefault="0096202A" w:rsidP="0096202A">
      <w:pPr>
        <w:pStyle w:val="ListParagraph"/>
        <w:spacing w:line="480" w:lineRule="auto"/>
        <w:jc w:val="both"/>
        <w:rPr>
          <w:rFonts w:ascii="Arial" w:hAnsi="Arial" w:cs="Arial"/>
          <w:lang w:val="en-US"/>
        </w:rPr>
      </w:pPr>
    </w:p>
    <w:p w14:paraId="64A61598" w14:textId="00E2FCC4" w:rsidR="0096202A" w:rsidRPr="008B4054" w:rsidRDefault="008B4054" w:rsidP="008B4054">
      <w:pPr>
        <w:spacing w:line="480" w:lineRule="auto"/>
        <w:ind w:left="1531" w:hanging="1171"/>
        <w:jc w:val="both"/>
        <w:rPr>
          <w:rFonts w:ascii="Arial" w:hAnsi="Arial" w:cs="Arial"/>
          <w:lang w:val="en-US"/>
        </w:rPr>
      </w:pPr>
      <w:r w:rsidRPr="00AD20EE">
        <w:rPr>
          <w:rFonts w:ascii="Arial" w:hAnsi="Arial" w:cs="Arial"/>
          <w:lang w:val="en-US"/>
        </w:rPr>
        <w:t>2.1.</w:t>
      </w:r>
      <w:r w:rsidRPr="00AD20EE">
        <w:rPr>
          <w:rFonts w:ascii="Arial" w:hAnsi="Arial" w:cs="Arial"/>
          <w:lang w:val="en-US"/>
        </w:rPr>
        <w:tab/>
      </w:r>
      <w:r w:rsidR="0096202A" w:rsidRPr="008B4054">
        <w:rPr>
          <w:rFonts w:ascii="Arial" w:hAnsi="Arial" w:cs="Arial"/>
          <w:lang w:val="en-US"/>
        </w:rPr>
        <w:t>The documents sought are not relevant to the issues in dispute;</w:t>
      </w:r>
    </w:p>
    <w:p w14:paraId="529751A4" w14:textId="77777777" w:rsidR="0096202A" w:rsidRPr="00AD20EE" w:rsidRDefault="0096202A" w:rsidP="0096202A">
      <w:pPr>
        <w:pStyle w:val="ListParagraph"/>
        <w:spacing w:line="480" w:lineRule="auto"/>
        <w:ind w:left="792"/>
        <w:jc w:val="both"/>
        <w:rPr>
          <w:rFonts w:ascii="Arial" w:hAnsi="Arial" w:cs="Arial"/>
          <w:lang w:val="en-US"/>
        </w:rPr>
      </w:pPr>
    </w:p>
    <w:p w14:paraId="1223F039" w14:textId="6EAD4372" w:rsidR="0096202A" w:rsidRPr="008B4054" w:rsidRDefault="008B4054" w:rsidP="008B4054">
      <w:pPr>
        <w:spacing w:line="480" w:lineRule="auto"/>
        <w:ind w:left="1531" w:hanging="1171"/>
        <w:jc w:val="both"/>
        <w:rPr>
          <w:rFonts w:ascii="Arial" w:hAnsi="Arial" w:cs="Arial"/>
          <w:lang w:val="en-US"/>
        </w:rPr>
      </w:pPr>
      <w:r w:rsidRPr="00AD20EE">
        <w:rPr>
          <w:rFonts w:ascii="Arial" w:hAnsi="Arial" w:cs="Arial"/>
          <w:lang w:val="en-US"/>
        </w:rPr>
        <w:t>2.2.</w:t>
      </w:r>
      <w:r w:rsidRPr="00AD20EE">
        <w:rPr>
          <w:rFonts w:ascii="Arial" w:hAnsi="Arial" w:cs="Arial"/>
          <w:lang w:val="en-US"/>
        </w:rPr>
        <w:tab/>
      </w:r>
      <w:r w:rsidR="0096202A" w:rsidRPr="008B4054">
        <w:rPr>
          <w:rFonts w:ascii="Arial" w:hAnsi="Arial" w:cs="Arial"/>
          <w:lang w:val="en-US"/>
        </w:rPr>
        <w:t>The applicant has alternate remedies to source the documents sought;</w:t>
      </w:r>
    </w:p>
    <w:p w14:paraId="07C386EA" w14:textId="77777777" w:rsidR="0096202A" w:rsidRPr="00AD20EE" w:rsidRDefault="0096202A" w:rsidP="0096202A">
      <w:pPr>
        <w:pStyle w:val="ListParagraph"/>
        <w:spacing w:line="480" w:lineRule="auto"/>
        <w:jc w:val="both"/>
        <w:rPr>
          <w:rFonts w:ascii="Arial" w:hAnsi="Arial" w:cs="Arial"/>
          <w:lang w:val="en-US"/>
        </w:rPr>
      </w:pPr>
    </w:p>
    <w:p w14:paraId="731B6811" w14:textId="03B37E09" w:rsidR="0096202A" w:rsidRPr="008B4054" w:rsidRDefault="008B4054" w:rsidP="008B4054">
      <w:pPr>
        <w:spacing w:line="480" w:lineRule="auto"/>
        <w:ind w:left="1531" w:hanging="1171"/>
        <w:jc w:val="both"/>
        <w:rPr>
          <w:rFonts w:ascii="Arial" w:hAnsi="Arial" w:cs="Arial"/>
          <w:lang w:val="en-US"/>
        </w:rPr>
      </w:pPr>
      <w:r w:rsidRPr="00AD20EE">
        <w:rPr>
          <w:rFonts w:ascii="Arial" w:hAnsi="Arial" w:cs="Arial"/>
          <w:lang w:val="en-US"/>
        </w:rPr>
        <w:t>2.3.</w:t>
      </w:r>
      <w:r w:rsidRPr="00AD20EE">
        <w:rPr>
          <w:rFonts w:ascii="Arial" w:hAnsi="Arial" w:cs="Arial"/>
          <w:lang w:val="en-US"/>
        </w:rPr>
        <w:tab/>
      </w:r>
      <w:r w:rsidR="0096202A" w:rsidRPr="008B4054">
        <w:rPr>
          <w:rFonts w:ascii="Arial" w:hAnsi="Arial" w:cs="Arial"/>
          <w:lang w:val="en-US"/>
        </w:rPr>
        <w:t>The documents sought are privileged both in terms of an attorney-client relationship and under the Protection of Personal Information Act  4 of 2013 (“Popia”);</w:t>
      </w:r>
    </w:p>
    <w:p w14:paraId="7D7442B1" w14:textId="77777777" w:rsidR="0096202A" w:rsidRPr="00AD20EE" w:rsidRDefault="0096202A" w:rsidP="0096202A">
      <w:pPr>
        <w:pStyle w:val="ListParagraph"/>
        <w:spacing w:line="480" w:lineRule="auto"/>
        <w:jc w:val="both"/>
        <w:rPr>
          <w:rFonts w:ascii="Arial" w:hAnsi="Arial" w:cs="Arial"/>
          <w:lang w:val="en-US"/>
        </w:rPr>
      </w:pPr>
    </w:p>
    <w:p w14:paraId="702F7D81" w14:textId="5BD26980" w:rsidR="0096202A" w:rsidRPr="008B4054" w:rsidRDefault="008B4054" w:rsidP="008B4054">
      <w:pPr>
        <w:spacing w:line="480" w:lineRule="auto"/>
        <w:ind w:left="1531" w:hanging="1171"/>
        <w:jc w:val="both"/>
        <w:rPr>
          <w:rFonts w:ascii="Arial" w:hAnsi="Arial" w:cs="Arial"/>
          <w:lang w:val="en-US"/>
        </w:rPr>
      </w:pPr>
      <w:r w:rsidRPr="00AD20EE">
        <w:rPr>
          <w:rFonts w:ascii="Arial" w:hAnsi="Arial" w:cs="Arial"/>
          <w:lang w:val="en-US"/>
        </w:rPr>
        <w:t>2.</w:t>
      </w:r>
      <w:bookmarkStart w:id="0" w:name="_GoBack"/>
      <w:bookmarkEnd w:id="0"/>
      <w:r w:rsidRPr="00AD20EE">
        <w:rPr>
          <w:rFonts w:ascii="Arial" w:hAnsi="Arial" w:cs="Arial"/>
          <w:lang w:val="en-US"/>
        </w:rPr>
        <w:t>4.</w:t>
      </w:r>
      <w:r w:rsidRPr="00AD20EE">
        <w:rPr>
          <w:rFonts w:ascii="Arial" w:hAnsi="Arial" w:cs="Arial"/>
          <w:lang w:val="en-US"/>
        </w:rPr>
        <w:tab/>
      </w:r>
      <w:r w:rsidR="0096202A" w:rsidRPr="008B4054">
        <w:rPr>
          <w:rFonts w:ascii="Arial" w:hAnsi="Arial" w:cs="Arial"/>
          <w:lang w:val="en-US"/>
        </w:rPr>
        <w:t>No documents have been requested; and</w:t>
      </w:r>
    </w:p>
    <w:p w14:paraId="68EEABC8" w14:textId="77777777" w:rsidR="0096202A" w:rsidRPr="00AD20EE" w:rsidRDefault="0096202A" w:rsidP="0096202A">
      <w:pPr>
        <w:pStyle w:val="ListParagraph"/>
        <w:spacing w:line="480" w:lineRule="auto"/>
        <w:jc w:val="both"/>
        <w:rPr>
          <w:rFonts w:ascii="Arial" w:hAnsi="Arial" w:cs="Arial"/>
          <w:lang w:val="en-US"/>
        </w:rPr>
      </w:pPr>
    </w:p>
    <w:p w14:paraId="2741037B" w14:textId="33711221" w:rsidR="0096202A" w:rsidRPr="008B4054" w:rsidRDefault="008B4054" w:rsidP="008B4054">
      <w:pPr>
        <w:spacing w:line="480" w:lineRule="auto"/>
        <w:ind w:left="1531" w:hanging="1171"/>
        <w:jc w:val="both"/>
        <w:rPr>
          <w:rFonts w:ascii="Arial" w:hAnsi="Arial" w:cs="Arial"/>
          <w:lang w:val="en-US"/>
        </w:rPr>
      </w:pPr>
      <w:r w:rsidRPr="00AD20EE">
        <w:rPr>
          <w:rFonts w:ascii="Arial" w:hAnsi="Arial" w:cs="Arial"/>
          <w:lang w:val="en-US"/>
        </w:rPr>
        <w:t>2.5.</w:t>
      </w:r>
      <w:r w:rsidRPr="00AD20EE">
        <w:rPr>
          <w:rFonts w:ascii="Arial" w:hAnsi="Arial" w:cs="Arial"/>
          <w:lang w:val="en-US"/>
        </w:rPr>
        <w:tab/>
      </w:r>
      <w:r w:rsidR="0096202A" w:rsidRPr="008B4054">
        <w:rPr>
          <w:rFonts w:ascii="Arial" w:hAnsi="Arial" w:cs="Arial"/>
          <w:lang w:val="en-US"/>
        </w:rPr>
        <w:t xml:space="preserve">The request does not sufficiently describe what document the applicant seeks the respondent to produce, which would result in an ineffective </w:t>
      </w:r>
      <w:r w:rsidR="0096202A" w:rsidRPr="008B4054">
        <w:rPr>
          <w:rFonts w:ascii="Arial" w:hAnsi="Arial" w:cs="Arial"/>
          <w:lang w:val="en-US"/>
        </w:rPr>
        <w:lastRenderedPageBreak/>
        <w:t>order and exposing the defendant to possible contempt of court proceedings.</w:t>
      </w:r>
    </w:p>
    <w:p w14:paraId="6E555BBE" w14:textId="77777777" w:rsidR="0096202A" w:rsidRPr="00AD20EE" w:rsidRDefault="0096202A" w:rsidP="0096202A">
      <w:pPr>
        <w:spacing w:line="480" w:lineRule="auto"/>
        <w:jc w:val="both"/>
        <w:rPr>
          <w:rFonts w:ascii="Arial" w:hAnsi="Arial" w:cs="Arial"/>
          <w:b/>
          <w:bCs/>
          <w:lang w:val="en-US"/>
        </w:rPr>
      </w:pPr>
    </w:p>
    <w:p w14:paraId="5BAD78F0" w14:textId="77777777" w:rsidR="0096202A" w:rsidRPr="00AD20EE" w:rsidRDefault="0096202A" w:rsidP="0096202A">
      <w:pPr>
        <w:spacing w:line="480" w:lineRule="auto"/>
        <w:jc w:val="both"/>
        <w:rPr>
          <w:rFonts w:ascii="Arial" w:hAnsi="Arial" w:cs="Arial"/>
          <w:b/>
          <w:bCs/>
          <w:lang w:val="en-US"/>
        </w:rPr>
      </w:pPr>
      <w:r w:rsidRPr="00AD20EE">
        <w:rPr>
          <w:rFonts w:ascii="Arial" w:hAnsi="Arial" w:cs="Arial"/>
          <w:b/>
          <w:bCs/>
          <w:lang w:val="en-US"/>
        </w:rPr>
        <w:t>Issues for Determination</w:t>
      </w:r>
    </w:p>
    <w:p w14:paraId="29058534" w14:textId="77777777" w:rsidR="0096202A" w:rsidRPr="00AD20EE" w:rsidRDefault="0096202A" w:rsidP="0096202A">
      <w:pPr>
        <w:spacing w:line="480" w:lineRule="auto"/>
        <w:jc w:val="both"/>
        <w:rPr>
          <w:rFonts w:ascii="Arial" w:hAnsi="Arial" w:cs="Arial"/>
          <w:b/>
          <w:bCs/>
          <w:lang w:val="en-US"/>
        </w:rPr>
      </w:pPr>
    </w:p>
    <w:p w14:paraId="53D3D296" w14:textId="054305ED" w:rsidR="0096202A" w:rsidRPr="008B4054" w:rsidRDefault="008B4054" w:rsidP="008B4054">
      <w:pPr>
        <w:spacing w:line="480" w:lineRule="auto"/>
        <w:ind w:left="360" w:hanging="360"/>
        <w:jc w:val="both"/>
        <w:rPr>
          <w:rFonts w:ascii="Arial" w:hAnsi="Arial" w:cs="Arial"/>
          <w:lang w:val="en-US"/>
        </w:rPr>
      </w:pPr>
      <w:r w:rsidRPr="00AD20EE">
        <w:rPr>
          <w:rFonts w:ascii="Arial" w:hAnsi="Arial" w:cs="Arial"/>
          <w:lang w:val="en-US"/>
        </w:rPr>
        <w:t>3.</w:t>
      </w:r>
      <w:r w:rsidRPr="00AD20EE">
        <w:rPr>
          <w:rFonts w:ascii="Arial" w:hAnsi="Arial" w:cs="Arial"/>
          <w:lang w:val="en-US"/>
        </w:rPr>
        <w:tab/>
      </w:r>
      <w:r w:rsidR="0096202A" w:rsidRPr="008B4054">
        <w:rPr>
          <w:rFonts w:ascii="Arial" w:hAnsi="Arial" w:cs="Arial"/>
          <w:lang w:val="en-US"/>
        </w:rPr>
        <w:t>The first issue of determination is whether the plaintiff has made a case to compel the second respondent to produce documents listed in the Rule 35(3) Notice.</w:t>
      </w:r>
    </w:p>
    <w:p w14:paraId="0042B543" w14:textId="77777777" w:rsidR="0096202A" w:rsidRPr="00AD20EE" w:rsidRDefault="0096202A" w:rsidP="0096202A">
      <w:pPr>
        <w:pStyle w:val="ListParagraph"/>
        <w:spacing w:line="480" w:lineRule="auto"/>
        <w:ind w:left="360"/>
        <w:jc w:val="both"/>
        <w:rPr>
          <w:rFonts w:ascii="Arial" w:hAnsi="Arial" w:cs="Arial"/>
          <w:lang w:val="en-US"/>
        </w:rPr>
      </w:pPr>
    </w:p>
    <w:p w14:paraId="1A308CFB" w14:textId="19876F83" w:rsidR="0096202A" w:rsidRPr="008B4054" w:rsidRDefault="008B4054" w:rsidP="008B4054">
      <w:pPr>
        <w:spacing w:line="480" w:lineRule="auto"/>
        <w:ind w:left="360" w:hanging="360"/>
        <w:jc w:val="both"/>
        <w:rPr>
          <w:rFonts w:ascii="Arial" w:hAnsi="Arial" w:cs="Arial"/>
          <w:lang w:val="en-US"/>
        </w:rPr>
      </w:pPr>
      <w:r w:rsidRPr="00AD20EE">
        <w:rPr>
          <w:rFonts w:ascii="Arial" w:hAnsi="Arial" w:cs="Arial"/>
          <w:lang w:val="en-US"/>
        </w:rPr>
        <w:t>4.</w:t>
      </w:r>
      <w:r w:rsidRPr="00AD20EE">
        <w:rPr>
          <w:rFonts w:ascii="Arial" w:hAnsi="Arial" w:cs="Arial"/>
          <w:lang w:val="en-US"/>
        </w:rPr>
        <w:tab/>
      </w:r>
      <w:r w:rsidR="0096202A" w:rsidRPr="008B4054">
        <w:rPr>
          <w:rFonts w:ascii="Arial" w:hAnsi="Arial" w:cs="Arial"/>
          <w:lang w:val="en-US"/>
        </w:rPr>
        <w:t>If the answer is affirmative, then whether the documents sought are privileged and, therefore, ought not to be produced.</w:t>
      </w:r>
    </w:p>
    <w:p w14:paraId="539D3128" w14:textId="77777777" w:rsidR="0096202A" w:rsidRPr="00AD20EE" w:rsidRDefault="0096202A" w:rsidP="0096202A">
      <w:pPr>
        <w:pStyle w:val="ListParagraph"/>
        <w:spacing w:line="480" w:lineRule="auto"/>
        <w:ind w:left="360"/>
        <w:jc w:val="both"/>
        <w:rPr>
          <w:rFonts w:ascii="Arial" w:hAnsi="Arial" w:cs="Arial"/>
          <w:lang w:val="en-US"/>
        </w:rPr>
      </w:pPr>
    </w:p>
    <w:p w14:paraId="5073A7AC" w14:textId="4F5F3004" w:rsidR="0096202A" w:rsidRPr="008B4054" w:rsidRDefault="008B4054" w:rsidP="008B4054">
      <w:pPr>
        <w:spacing w:line="480" w:lineRule="auto"/>
        <w:ind w:left="360" w:hanging="360"/>
        <w:jc w:val="both"/>
        <w:rPr>
          <w:rFonts w:ascii="Arial" w:hAnsi="Arial" w:cs="Arial"/>
          <w:lang w:val="en-US"/>
        </w:rPr>
      </w:pPr>
      <w:r w:rsidRPr="00AD20EE">
        <w:rPr>
          <w:rFonts w:ascii="Arial" w:hAnsi="Arial" w:cs="Arial"/>
          <w:lang w:val="en-US"/>
        </w:rPr>
        <w:t>5.</w:t>
      </w:r>
      <w:r w:rsidRPr="00AD20EE">
        <w:rPr>
          <w:rFonts w:ascii="Arial" w:hAnsi="Arial" w:cs="Arial"/>
          <w:lang w:val="en-US"/>
        </w:rPr>
        <w:tab/>
      </w:r>
      <w:r w:rsidR="0096202A" w:rsidRPr="008B4054">
        <w:rPr>
          <w:rFonts w:ascii="Arial" w:hAnsi="Arial" w:cs="Arial"/>
          <w:lang w:val="en-US"/>
        </w:rPr>
        <w:t>For ease of reference, I will, from here on out, refer to the parties by their nomenclatures in the main action – the applicant is the plaintiff, and the respondent is the defendant.</w:t>
      </w:r>
    </w:p>
    <w:p w14:paraId="7FF46339" w14:textId="77777777" w:rsidR="0096202A" w:rsidRPr="00AD20EE" w:rsidRDefault="0096202A" w:rsidP="0096202A">
      <w:pPr>
        <w:pStyle w:val="ListParagraph"/>
        <w:spacing w:line="480" w:lineRule="auto"/>
        <w:jc w:val="both"/>
        <w:rPr>
          <w:rFonts w:ascii="Arial" w:hAnsi="Arial" w:cs="Arial"/>
          <w:b/>
          <w:bCs/>
          <w:lang w:val="en-US"/>
        </w:rPr>
      </w:pPr>
    </w:p>
    <w:p w14:paraId="5D8F7791" w14:textId="77777777" w:rsidR="0096202A" w:rsidRPr="00AD20EE" w:rsidRDefault="0096202A" w:rsidP="0096202A">
      <w:pPr>
        <w:spacing w:line="480" w:lineRule="auto"/>
        <w:jc w:val="both"/>
        <w:rPr>
          <w:rFonts w:ascii="Arial" w:hAnsi="Arial" w:cs="Arial"/>
          <w:b/>
          <w:bCs/>
          <w:lang w:val="en-US"/>
        </w:rPr>
      </w:pPr>
      <w:r w:rsidRPr="00AD20EE">
        <w:rPr>
          <w:rFonts w:ascii="Arial" w:hAnsi="Arial" w:cs="Arial"/>
          <w:b/>
          <w:bCs/>
          <w:lang w:val="en-US"/>
        </w:rPr>
        <w:t>FACTUAL BACKGROUND</w:t>
      </w:r>
    </w:p>
    <w:p w14:paraId="63EAEB3D" w14:textId="77777777" w:rsidR="0096202A" w:rsidRPr="00AD20EE" w:rsidRDefault="0096202A" w:rsidP="0096202A">
      <w:pPr>
        <w:spacing w:line="480" w:lineRule="auto"/>
        <w:jc w:val="both"/>
        <w:rPr>
          <w:rFonts w:ascii="Arial" w:hAnsi="Arial" w:cs="Arial"/>
          <w:b/>
          <w:bCs/>
          <w:lang w:val="en-US"/>
        </w:rPr>
      </w:pPr>
    </w:p>
    <w:p w14:paraId="464F5CC6" w14:textId="65F3CB7B" w:rsidR="0096202A" w:rsidRPr="008B4054" w:rsidRDefault="008B4054" w:rsidP="008B4054">
      <w:pPr>
        <w:spacing w:line="480" w:lineRule="auto"/>
        <w:ind w:left="360" w:hanging="360"/>
        <w:jc w:val="both"/>
        <w:rPr>
          <w:rFonts w:ascii="Arial" w:hAnsi="Arial" w:cs="Arial"/>
          <w:b/>
          <w:bCs/>
          <w:lang w:val="en-US"/>
        </w:rPr>
      </w:pPr>
      <w:r w:rsidRPr="00AD20EE">
        <w:rPr>
          <w:rFonts w:ascii="Arial" w:hAnsi="Arial" w:cs="Arial"/>
          <w:b/>
          <w:bCs/>
          <w:lang w:val="en-US"/>
        </w:rPr>
        <w:t>6.</w:t>
      </w:r>
      <w:r w:rsidRPr="00AD20EE">
        <w:rPr>
          <w:rFonts w:ascii="Arial" w:hAnsi="Arial" w:cs="Arial"/>
          <w:b/>
          <w:bCs/>
          <w:lang w:val="en-US"/>
        </w:rPr>
        <w:tab/>
      </w:r>
      <w:r w:rsidR="0096202A" w:rsidRPr="008B4054">
        <w:rPr>
          <w:rFonts w:ascii="Arial" w:hAnsi="Arial" w:cs="Arial"/>
          <w:lang w:val="en-GB"/>
        </w:rPr>
        <w:t xml:space="preserve">The plaintiff's case against the defendant, as pleaded in the main action, is based in delict. It arises from the following set of pleaded allegations:- </w:t>
      </w:r>
      <w:r w:rsidR="0096202A" w:rsidRPr="008B4054">
        <w:rPr>
          <w:rFonts w:ascii="Arial" w:hAnsi="Arial" w:cs="Arial"/>
          <w:lang w:val="en-GB"/>
        </w:rPr>
        <w:tab/>
      </w:r>
    </w:p>
    <w:p w14:paraId="6DA6FB0F" w14:textId="77777777" w:rsidR="0096202A" w:rsidRPr="00AD20EE" w:rsidRDefault="0096202A" w:rsidP="0096202A">
      <w:pPr>
        <w:pStyle w:val="ListParagraph"/>
        <w:spacing w:line="480" w:lineRule="auto"/>
        <w:ind w:left="360"/>
        <w:jc w:val="both"/>
        <w:rPr>
          <w:rFonts w:ascii="Arial" w:hAnsi="Arial" w:cs="Arial"/>
          <w:b/>
          <w:bCs/>
          <w:lang w:val="en-US"/>
        </w:rPr>
      </w:pPr>
    </w:p>
    <w:p w14:paraId="39FA5434" w14:textId="37AC9336" w:rsidR="0096202A" w:rsidRPr="008B4054" w:rsidRDefault="008B4054" w:rsidP="008B4054">
      <w:pPr>
        <w:spacing w:line="480" w:lineRule="auto"/>
        <w:ind w:left="1531" w:hanging="1171"/>
        <w:jc w:val="both"/>
        <w:rPr>
          <w:rFonts w:ascii="Arial" w:hAnsi="Arial" w:cs="Arial"/>
          <w:b/>
          <w:bCs/>
          <w:lang w:val="en-US"/>
        </w:rPr>
      </w:pPr>
      <w:r w:rsidRPr="00AD20EE">
        <w:rPr>
          <w:rFonts w:ascii="Arial" w:hAnsi="Arial" w:cs="Arial"/>
          <w:b/>
          <w:bCs/>
          <w:lang w:val="en-US"/>
        </w:rPr>
        <w:t>6.1.</w:t>
      </w:r>
      <w:r w:rsidRPr="00AD20EE">
        <w:rPr>
          <w:rFonts w:ascii="Arial" w:hAnsi="Arial" w:cs="Arial"/>
          <w:b/>
          <w:bCs/>
          <w:lang w:val="en-US"/>
        </w:rPr>
        <w:tab/>
      </w:r>
      <w:r w:rsidR="0096202A" w:rsidRPr="008B4054">
        <w:rPr>
          <w:rFonts w:ascii="Arial" w:hAnsi="Arial" w:cs="Arial"/>
          <w:lang w:val="en-GB"/>
        </w:rPr>
        <w:t xml:space="preserve">The plaintiff concluded an oral agreement with a certain Mr Sharma (“Sharma”) in September 2019 relating to the plaintiff acquiring certain distribution rights from Photonic Global (“the transaction”). </w:t>
      </w:r>
    </w:p>
    <w:p w14:paraId="537D1BFE" w14:textId="77777777" w:rsidR="0096202A" w:rsidRPr="00AD20EE" w:rsidRDefault="0096202A" w:rsidP="0096202A">
      <w:pPr>
        <w:pStyle w:val="ListParagraph"/>
        <w:spacing w:line="480" w:lineRule="auto"/>
        <w:ind w:left="792"/>
        <w:jc w:val="both"/>
        <w:rPr>
          <w:rFonts w:ascii="Arial" w:hAnsi="Arial" w:cs="Arial"/>
          <w:b/>
          <w:bCs/>
          <w:lang w:val="en-US"/>
        </w:rPr>
      </w:pPr>
    </w:p>
    <w:p w14:paraId="01A7B598" w14:textId="77FA9C32" w:rsidR="0096202A" w:rsidRPr="008B4054" w:rsidRDefault="008B4054" w:rsidP="008B4054">
      <w:pPr>
        <w:spacing w:line="480" w:lineRule="auto"/>
        <w:ind w:left="1531" w:hanging="1171"/>
        <w:jc w:val="both"/>
        <w:rPr>
          <w:rFonts w:ascii="Arial" w:hAnsi="Arial" w:cs="Arial"/>
          <w:b/>
          <w:bCs/>
          <w:lang w:val="en-US"/>
        </w:rPr>
      </w:pPr>
      <w:r w:rsidRPr="00AD20EE">
        <w:rPr>
          <w:rFonts w:ascii="Arial" w:hAnsi="Arial" w:cs="Arial"/>
          <w:b/>
          <w:bCs/>
          <w:lang w:val="en-US"/>
        </w:rPr>
        <w:lastRenderedPageBreak/>
        <w:t>6.2.</w:t>
      </w:r>
      <w:r w:rsidRPr="00AD20EE">
        <w:rPr>
          <w:rFonts w:ascii="Arial" w:hAnsi="Arial" w:cs="Arial"/>
          <w:b/>
          <w:bCs/>
          <w:lang w:val="en-US"/>
        </w:rPr>
        <w:tab/>
      </w:r>
      <w:r w:rsidR="0096202A" w:rsidRPr="008B4054">
        <w:rPr>
          <w:rFonts w:ascii="Arial" w:hAnsi="Arial" w:cs="Arial"/>
          <w:lang w:val="en-GB"/>
        </w:rPr>
        <w:t xml:space="preserve">To facilitate this transaction, the plaintiff elected to use the defendant’s services (as an attorney) to administer the funds for the transaction. </w:t>
      </w:r>
    </w:p>
    <w:p w14:paraId="19EE454A" w14:textId="77777777" w:rsidR="0096202A" w:rsidRPr="00AD20EE" w:rsidRDefault="0096202A" w:rsidP="0096202A">
      <w:pPr>
        <w:pStyle w:val="ListParagraph"/>
        <w:spacing w:line="480" w:lineRule="auto"/>
        <w:jc w:val="both"/>
        <w:rPr>
          <w:rFonts w:ascii="Arial" w:hAnsi="Arial" w:cs="Arial"/>
          <w:lang w:val="en-GB"/>
        </w:rPr>
      </w:pPr>
    </w:p>
    <w:p w14:paraId="64E4DCC8" w14:textId="39FA45CA" w:rsidR="0096202A" w:rsidRPr="008B4054" w:rsidRDefault="008B4054" w:rsidP="008B4054">
      <w:pPr>
        <w:spacing w:line="480" w:lineRule="auto"/>
        <w:ind w:left="1531" w:hanging="1171"/>
        <w:jc w:val="both"/>
        <w:rPr>
          <w:rFonts w:ascii="Arial" w:hAnsi="Arial" w:cs="Arial"/>
          <w:b/>
          <w:bCs/>
          <w:lang w:val="en-US"/>
        </w:rPr>
      </w:pPr>
      <w:r w:rsidRPr="00AD20EE">
        <w:rPr>
          <w:rFonts w:ascii="Arial" w:hAnsi="Arial" w:cs="Arial"/>
          <w:b/>
          <w:bCs/>
          <w:lang w:val="en-US"/>
        </w:rPr>
        <w:t>6.3.</w:t>
      </w:r>
      <w:r w:rsidRPr="00AD20EE">
        <w:rPr>
          <w:rFonts w:ascii="Arial" w:hAnsi="Arial" w:cs="Arial"/>
          <w:b/>
          <w:bCs/>
          <w:lang w:val="en-US"/>
        </w:rPr>
        <w:tab/>
      </w:r>
      <w:r w:rsidR="0096202A" w:rsidRPr="008B4054">
        <w:rPr>
          <w:rFonts w:ascii="Arial" w:hAnsi="Arial" w:cs="Arial"/>
          <w:lang w:val="en-GB"/>
        </w:rPr>
        <w:t xml:space="preserve">In September 2019, the plaintiff transferred 2 Million Rand into the defendant's trust account. </w:t>
      </w:r>
    </w:p>
    <w:p w14:paraId="3AF6D323" w14:textId="77777777" w:rsidR="0096202A" w:rsidRPr="00AD20EE" w:rsidRDefault="0096202A" w:rsidP="0096202A">
      <w:pPr>
        <w:pStyle w:val="ListParagraph"/>
        <w:spacing w:line="480" w:lineRule="auto"/>
        <w:jc w:val="both"/>
        <w:rPr>
          <w:rFonts w:ascii="Arial" w:hAnsi="Arial" w:cs="Arial"/>
          <w:lang w:val="en-GB"/>
        </w:rPr>
      </w:pPr>
    </w:p>
    <w:p w14:paraId="2A0ECC38" w14:textId="16388302" w:rsidR="0096202A" w:rsidRPr="008B4054" w:rsidRDefault="008B4054" w:rsidP="008B4054">
      <w:pPr>
        <w:spacing w:line="480" w:lineRule="auto"/>
        <w:ind w:left="1531" w:hanging="1171"/>
        <w:jc w:val="both"/>
        <w:rPr>
          <w:rFonts w:ascii="Arial" w:hAnsi="Arial" w:cs="Arial"/>
          <w:b/>
          <w:bCs/>
          <w:lang w:val="en-US"/>
        </w:rPr>
      </w:pPr>
      <w:r w:rsidRPr="00AD20EE">
        <w:rPr>
          <w:rFonts w:ascii="Arial" w:hAnsi="Arial" w:cs="Arial"/>
          <w:b/>
          <w:bCs/>
          <w:lang w:val="en-US"/>
        </w:rPr>
        <w:t>6.4.</w:t>
      </w:r>
      <w:r w:rsidRPr="00AD20EE">
        <w:rPr>
          <w:rFonts w:ascii="Arial" w:hAnsi="Arial" w:cs="Arial"/>
          <w:b/>
          <w:bCs/>
          <w:lang w:val="en-US"/>
        </w:rPr>
        <w:tab/>
      </w:r>
      <w:r w:rsidR="0096202A" w:rsidRPr="008B4054">
        <w:rPr>
          <w:rFonts w:ascii="Arial" w:hAnsi="Arial" w:cs="Arial"/>
          <w:lang w:val="en-GB"/>
        </w:rPr>
        <w:t>The money held in the trust account by the defendant was held for the plaintiff’s benefit.</w:t>
      </w:r>
    </w:p>
    <w:p w14:paraId="14BD4668" w14:textId="77777777" w:rsidR="0096202A" w:rsidRPr="00AD20EE" w:rsidRDefault="0096202A" w:rsidP="0096202A">
      <w:pPr>
        <w:pStyle w:val="ListParagraph"/>
        <w:spacing w:line="480" w:lineRule="auto"/>
        <w:jc w:val="both"/>
        <w:rPr>
          <w:rFonts w:ascii="Arial" w:hAnsi="Arial" w:cs="Arial"/>
          <w:lang w:val="en-GB"/>
        </w:rPr>
      </w:pPr>
    </w:p>
    <w:p w14:paraId="3C42B0E3" w14:textId="12CFDA2E" w:rsidR="0096202A" w:rsidRPr="008B4054" w:rsidRDefault="008B4054" w:rsidP="008B4054">
      <w:pPr>
        <w:spacing w:line="480" w:lineRule="auto"/>
        <w:ind w:left="1531" w:hanging="1171"/>
        <w:jc w:val="both"/>
        <w:rPr>
          <w:rFonts w:ascii="Arial" w:hAnsi="Arial" w:cs="Arial"/>
          <w:b/>
          <w:bCs/>
          <w:lang w:val="en-US"/>
        </w:rPr>
      </w:pPr>
      <w:r w:rsidRPr="00AD20EE">
        <w:rPr>
          <w:rFonts w:ascii="Arial" w:hAnsi="Arial" w:cs="Arial"/>
          <w:b/>
          <w:bCs/>
          <w:lang w:val="en-US"/>
        </w:rPr>
        <w:t>6.5.</w:t>
      </w:r>
      <w:r w:rsidRPr="00AD20EE">
        <w:rPr>
          <w:rFonts w:ascii="Arial" w:hAnsi="Arial" w:cs="Arial"/>
          <w:b/>
          <w:bCs/>
          <w:lang w:val="en-US"/>
        </w:rPr>
        <w:tab/>
      </w:r>
      <w:r w:rsidR="0096202A" w:rsidRPr="008B4054">
        <w:rPr>
          <w:rFonts w:ascii="Arial" w:hAnsi="Arial" w:cs="Arial"/>
          <w:lang w:val="en-GB"/>
        </w:rPr>
        <w:t>The defendant had a legal duty as an attorney to diligently deal with the money held in its trust, to retain the money on the plaintiff’s behalf and only transfer it to third parties on his instruction.</w:t>
      </w:r>
    </w:p>
    <w:p w14:paraId="6588DBA4" w14:textId="77777777" w:rsidR="0096202A" w:rsidRPr="00AD20EE" w:rsidRDefault="0096202A" w:rsidP="0096202A">
      <w:pPr>
        <w:pStyle w:val="ListParagraph"/>
        <w:spacing w:line="480" w:lineRule="auto"/>
        <w:jc w:val="both"/>
        <w:rPr>
          <w:rFonts w:ascii="Arial" w:hAnsi="Arial" w:cs="Arial"/>
          <w:lang w:val="en-GB"/>
        </w:rPr>
      </w:pPr>
    </w:p>
    <w:p w14:paraId="4E5F00FD" w14:textId="1D3C1FB9" w:rsidR="0096202A" w:rsidRPr="008B4054" w:rsidRDefault="008B4054" w:rsidP="008B4054">
      <w:pPr>
        <w:spacing w:line="480" w:lineRule="auto"/>
        <w:ind w:left="1531" w:hanging="1171"/>
        <w:jc w:val="both"/>
        <w:rPr>
          <w:rFonts w:ascii="Arial" w:hAnsi="Arial" w:cs="Arial"/>
          <w:b/>
          <w:bCs/>
          <w:lang w:val="en-US"/>
        </w:rPr>
      </w:pPr>
      <w:r w:rsidRPr="00AD20EE">
        <w:rPr>
          <w:rFonts w:ascii="Arial" w:hAnsi="Arial" w:cs="Arial"/>
          <w:b/>
          <w:bCs/>
          <w:lang w:val="en-US"/>
        </w:rPr>
        <w:t>6.6.</w:t>
      </w:r>
      <w:r w:rsidRPr="00AD20EE">
        <w:rPr>
          <w:rFonts w:ascii="Arial" w:hAnsi="Arial" w:cs="Arial"/>
          <w:b/>
          <w:bCs/>
          <w:lang w:val="en-US"/>
        </w:rPr>
        <w:tab/>
      </w:r>
      <w:r w:rsidR="0096202A" w:rsidRPr="008B4054">
        <w:rPr>
          <w:rFonts w:ascii="Arial" w:hAnsi="Arial" w:cs="Arial"/>
          <w:lang w:val="en-GB"/>
        </w:rPr>
        <w:t xml:space="preserve">The transaction between the plaintiff and Sharma did not materialise. </w:t>
      </w:r>
    </w:p>
    <w:p w14:paraId="2DB5BEA8" w14:textId="77777777" w:rsidR="0096202A" w:rsidRPr="00AD20EE" w:rsidRDefault="0096202A" w:rsidP="0096202A">
      <w:pPr>
        <w:pStyle w:val="ListParagraph"/>
        <w:spacing w:line="480" w:lineRule="auto"/>
        <w:jc w:val="both"/>
        <w:rPr>
          <w:rFonts w:ascii="Arial" w:hAnsi="Arial" w:cs="Arial"/>
          <w:lang w:val="en-GB"/>
        </w:rPr>
      </w:pPr>
    </w:p>
    <w:p w14:paraId="305FF738" w14:textId="571B8233" w:rsidR="0096202A" w:rsidRPr="008B4054" w:rsidRDefault="008B4054" w:rsidP="008B4054">
      <w:pPr>
        <w:spacing w:line="480" w:lineRule="auto"/>
        <w:ind w:left="1531" w:hanging="1171"/>
        <w:jc w:val="both"/>
        <w:rPr>
          <w:rFonts w:ascii="Arial" w:hAnsi="Arial" w:cs="Arial"/>
          <w:b/>
          <w:bCs/>
          <w:lang w:val="en-US"/>
        </w:rPr>
      </w:pPr>
      <w:r w:rsidRPr="00AD20EE">
        <w:rPr>
          <w:rFonts w:ascii="Arial" w:hAnsi="Arial" w:cs="Arial"/>
          <w:b/>
          <w:bCs/>
          <w:lang w:val="en-US"/>
        </w:rPr>
        <w:t>6.7.</w:t>
      </w:r>
      <w:r w:rsidRPr="00AD20EE">
        <w:rPr>
          <w:rFonts w:ascii="Arial" w:hAnsi="Arial" w:cs="Arial"/>
          <w:b/>
          <w:bCs/>
          <w:lang w:val="en-US"/>
        </w:rPr>
        <w:tab/>
      </w:r>
      <w:r w:rsidR="0096202A" w:rsidRPr="008B4054">
        <w:rPr>
          <w:rFonts w:ascii="Arial" w:hAnsi="Arial" w:cs="Arial"/>
          <w:lang w:val="en-GB"/>
        </w:rPr>
        <w:t xml:space="preserve">The defendant informed the plaintiff on or about 12 May 2020 that the defendant had transferred the money to Sharma without the plaintiff’s instruction. </w:t>
      </w:r>
    </w:p>
    <w:p w14:paraId="6C9BDE0E" w14:textId="77777777" w:rsidR="0096202A" w:rsidRPr="00AD20EE" w:rsidRDefault="0096202A" w:rsidP="0096202A">
      <w:pPr>
        <w:pStyle w:val="ListParagraph"/>
        <w:spacing w:line="480" w:lineRule="auto"/>
        <w:jc w:val="both"/>
        <w:rPr>
          <w:rFonts w:ascii="Arial" w:hAnsi="Arial" w:cs="Arial"/>
          <w:b/>
          <w:bCs/>
          <w:lang w:val="en-US"/>
        </w:rPr>
      </w:pPr>
    </w:p>
    <w:p w14:paraId="32A2C090" w14:textId="17092BA3" w:rsidR="0096202A" w:rsidRPr="008B4054" w:rsidRDefault="008B4054" w:rsidP="008B4054">
      <w:pPr>
        <w:spacing w:line="480" w:lineRule="auto"/>
        <w:ind w:left="1531" w:hanging="1171"/>
        <w:jc w:val="both"/>
        <w:rPr>
          <w:rFonts w:ascii="Arial" w:hAnsi="Arial" w:cs="Arial"/>
          <w:lang w:val="en-US"/>
        </w:rPr>
      </w:pPr>
      <w:r w:rsidRPr="00AD20EE">
        <w:rPr>
          <w:rFonts w:ascii="Arial" w:hAnsi="Arial" w:cs="Arial"/>
          <w:lang w:val="en-US"/>
        </w:rPr>
        <w:t>6.8.</w:t>
      </w:r>
      <w:r w:rsidRPr="00AD20EE">
        <w:rPr>
          <w:rFonts w:ascii="Arial" w:hAnsi="Arial" w:cs="Arial"/>
          <w:lang w:val="en-US"/>
        </w:rPr>
        <w:tab/>
      </w:r>
      <w:r w:rsidR="0096202A" w:rsidRPr="008B4054">
        <w:rPr>
          <w:rFonts w:ascii="Arial" w:hAnsi="Arial" w:cs="Arial"/>
          <w:lang w:val="en-US"/>
        </w:rPr>
        <w:t>The defendant was negligent and breached his legal duty by transferring the money to Sharma without the plaintiff’s instruction.</w:t>
      </w:r>
    </w:p>
    <w:p w14:paraId="28C2295C" w14:textId="77777777" w:rsidR="0096202A" w:rsidRPr="00AD20EE" w:rsidRDefault="0096202A" w:rsidP="0096202A">
      <w:pPr>
        <w:pStyle w:val="ListParagraph"/>
        <w:spacing w:line="480" w:lineRule="auto"/>
        <w:jc w:val="both"/>
        <w:rPr>
          <w:rFonts w:ascii="Arial" w:hAnsi="Arial" w:cs="Arial"/>
          <w:lang w:val="en-GB"/>
        </w:rPr>
      </w:pPr>
    </w:p>
    <w:p w14:paraId="3BB9681E" w14:textId="51CD8EB0" w:rsidR="0096202A" w:rsidRPr="008B4054" w:rsidRDefault="008B4054" w:rsidP="008B4054">
      <w:pPr>
        <w:spacing w:line="480" w:lineRule="auto"/>
        <w:ind w:left="1531" w:hanging="1171"/>
        <w:jc w:val="both"/>
        <w:rPr>
          <w:rFonts w:ascii="Arial" w:hAnsi="Arial" w:cs="Arial"/>
          <w:b/>
          <w:bCs/>
          <w:lang w:val="en-US"/>
        </w:rPr>
      </w:pPr>
      <w:r w:rsidRPr="00AD20EE">
        <w:rPr>
          <w:rFonts w:ascii="Arial" w:hAnsi="Arial" w:cs="Arial"/>
          <w:b/>
          <w:bCs/>
          <w:lang w:val="en-US"/>
        </w:rPr>
        <w:t>6.9.</w:t>
      </w:r>
      <w:r w:rsidRPr="00AD20EE">
        <w:rPr>
          <w:rFonts w:ascii="Arial" w:hAnsi="Arial" w:cs="Arial"/>
          <w:b/>
          <w:bCs/>
          <w:lang w:val="en-US"/>
        </w:rPr>
        <w:tab/>
      </w:r>
      <w:r w:rsidR="0096202A" w:rsidRPr="008B4054">
        <w:rPr>
          <w:rFonts w:ascii="Arial" w:hAnsi="Arial" w:cs="Arial"/>
          <w:lang w:val="en-GB"/>
        </w:rPr>
        <w:t>The plaintiff recovered an amount of R 1 million from Sharma;</w:t>
      </w:r>
    </w:p>
    <w:p w14:paraId="52DC1B7E" w14:textId="77777777" w:rsidR="0096202A" w:rsidRPr="00AD20EE" w:rsidRDefault="0096202A" w:rsidP="0096202A">
      <w:pPr>
        <w:pStyle w:val="ListParagraph"/>
        <w:spacing w:line="480" w:lineRule="auto"/>
        <w:jc w:val="both"/>
        <w:rPr>
          <w:rFonts w:ascii="Arial" w:hAnsi="Arial" w:cs="Arial"/>
          <w:lang w:val="en-GB"/>
        </w:rPr>
      </w:pPr>
    </w:p>
    <w:p w14:paraId="61178D62" w14:textId="38420AAB" w:rsidR="0096202A" w:rsidRPr="008B4054" w:rsidRDefault="008B4054" w:rsidP="008B4054">
      <w:pPr>
        <w:spacing w:line="480" w:lineRule="auto"/>
        <w:ind w:left="1531" w:hanging="1171"/>
        <w:jc w:val="both"/>
        <w:rPr>
          <w:rFonts w:ascii="Arial" w:hAnsi="Arial" w:cs="Arial"/>
          <w:b/>
          <w:bCs/>
          <w:lang w:val="en-US"/>
        </w:rPr>
      </w:pPr>
      <w:r w:rsidRPr="00AD20EE">
        <w:rPr>
          <w:rFonts w:ascii="Arial" w:hAnsi="Arial" w:cs="Arial"/>
          <w:b/>
          <w:bCs/>
          <w:lang w:val="en-US"/>
        </w:rPr>
        <w:lastRenderedPageBreak/>
        <w:t>6.10.</w:t>
      </w:r>
      <w:r w:rsidRPr="00AD20EE">
        <w:rPr>
          <w:rFonts w:ascii="Arial" w:hAnsi="Arial" w:cs="Arial"/>
          <w:b/>
          <w:bCs/>
          <w:lang w:val="en-US"/>
        </w:rPr>
        <w:tab/>
      </w:r>
      <w:r w:rsidR="0096202A" w:rsidRPr="008B4054">
        <w:rPr>
          <w:rFonts w:ascii="Arial" w:hAnsi="Arial" w:cs="Arial"/>
          <w:lang w:val="en-GB"/>
        </w:rPr>
        <w:t>Accordingly, the amount the plaintiff claims in delictual damages is R 1 million, with interest and costs.</w:t>
      </w:r>
    </w:p>
    <w:p w14:paraId="5F97D5EC" w14:textId="77777777" w:rsidR="0096202A" w:rsidRPr="00AD20EE" w:rsidRDefault="0096202A" w:rsidP="0096202A">
      <w:pPr>
        <w:pStyle w:val="ListParagraph"/>
        <w:spacing w:line="480" w:lineRule="auto"/>
        <w:ind w:left="360"/>
        <w:jc w:val="both"/>
        <w:rPr>
          <w:rFonts w:ascii="Arial" w:hAnsi="Arial" w:cs="Arial"/>
          <w:b/>
          <w:bCs/>
          <w:lang w:val="en-US"/>
        </w:rPr>
      </w:pPr>
    </w:p>
    <w:p w14:paraId="5EF69919" w14:textId="71FF84CB" w:rsidR="0096202A" w:rsidRPr="008B4054" w:rsidRDefault="008B4054" w:rsidP="008B4054">
      <w:pPr>
        <w:spacing w:line="480" w:lineRule="auto"/>
        <w:ind w:left="360" w:hanging="360"/>
        <w:jc w:val="both"/>
        <w:rPr>
          <w:rFonts w:ascii="Arial" w:hAnsi="Arial" w:cs="Arial"/>
          <w:lang w:val="en-US"/>
        </w:rPr>
      </w:pPr>
      <w:r w:rsidRPr="00AD20EE">
        <w:rPr>
          <w:rFonts w:ascii="Arial" w:hAnsi="Arial" w:cs="Arial"/>
          <w:lang w:val="en-US"/>
        </w:rPr>
        <w:t>7.</w:t>
      </w:r>
      <w:r w:rsidRPr="00AD20EE">
        <w:rPr>
          <w:rFonts w:ascii="Arial" w:hAnsi="Arial" w:cs="Arial"/>
          <w:lang w:val="en-US"/>
        </w:rPr>
        <w:tab/>
      </w:r>
      <w:r w:rsidR="0096202A" w:rsidRPr="008B4054">
        <w:rPr>
          <w:rFonts w:ascii="Arial" w:hAnsi="Arial" w:cs="Arial"/>
          <w:lang w:val="en-US"/>
        </w:rPr>
        <w:t xml:space="preserve">The defendant filed a plea. He raises a special plea of non-joinder alleging that Sharma should have been joined to the proceedings. The defendant pleads that the monies paid into his trust account were a payment made towards Sharma. Accordingly, once the money was paid into his trust account, it was held for Sharma’s benefit. </w:t>
      </w:r>
    </w:p>
    <w:p w14:paraId="355C302B" w14:textId="77777777" w:rsidR="0096202A" w:rsidRPr="00AD20EE" w:rsidRDefault="0096202A" w:rsidP="0096202A">
      <w:pPr>
        <w:pStyle w:val="ListParagraph"/>
        <w:spacing w:line="480" w:lineRule="auto"/>
        <w:ind w:left="360"/>
        <w:jc w:val="both"/>
        <w:rPr>
          <w:rFonts w:ascii="Arial" w:hAnsi="Arial" w:cs="Arial"/>
          <w:lang w:val="en-US"/>
        </w:rPr>
      </w:pPr>
    </w:p>
    <w:p w14:paraId="2CB0C487" w14:textId="711ECC4B" w:rsidR="0096202A" w:rsidRPr="008B4054" w:rsidRDefault="008B4054" w:rsidP="008B4054">
      <w:pPr>
        <w:spacing w:line="480" w:lineRule="auto"/>
        <w:ind w:left="360" w:hanging="360"/>
        <w:jc w:val="both"/>
        <w:rPr>
          <w:rFonts w:ascii="Arial" w:hAnsi="Arial" w:cs="Arial"/>
          <w:lang w:val="en-US"/>
        </w:rPr>
      </w:pPr>
      <w:r w:rsidRPr="00AD20EE">
        <w:rPr>
          <w:rFonts w:ascii="Arial" w:hAnsi="Arial" w:cs="Arial"/>
          <w:lang w:val="en-US"/>
        </w:rPr>
        <w:t>8.</w:t>
      </w:r>
      <w:r w:rsidRPr="00AD20EE">
        <w:rPr>
          <w:rFonts w:ascii="Arial" w:hAnsi="Arial" w:cs="Arial"/>
          <w:lang w:val="en-US"/>
        </w:rPr>
        <w:tab/>
      </w:r>
      <w:r w:rsidR="0096202A" w:rsidRPr="008B4054">
        <w:rPr>
          <w:rFonts w:ascii="Arial" w:hAnsi="Arial" w:cs="Arial"/>
          <w:lang w:val="en-US"/>
        </w:rPr>
        <w:t>In the defendant’s plea to the particulars of the claim:-</w:t>
      </w:r>
    </w:p>
    <w:p w14:paraId="14703FE5" w14:textId="77777777" w:rsidR="0096202A" w:rsidRPr="00AD20EE" w:rsidRDefault="0096202A" w:rsidP="0096202A">
      <w:pPr>
        <w:pStyle w:val="ListParagraph"/>
        <w:spacing w:line="480" w:lineRule="auto"/>
        <w:jc w:val="both"/>
        <w:rPr>
          <w:rFonts w:ascii="Arial" w:hAnsi="Arial" w:cs="Arial"/>
          <w:lang w:val="en-US"/>
        </w:rPr>
      </w:pPr>
    </w:p>
    <w:p w14:paraId="314FE74B" w14:textId="382BF633" w:rsidR="0096202A" w:rsidRPr="008B4054" w:rsidRDefault="008B4054" w:rsidP="008B4054">
      <w:pPr>
        <w:spacing w:line="480" w:lineRule="auto"/>
        <w:ind w:left="1531" w:hanging="1171"/>
        <w:jc w:val="both"/>
        <w:rPr>
          <w:rFonts w:ascii="Arial" w:hAnsi="Arial" w:cs="Arial"/>
          <w:lang w:val="en-US"/>
        </w:rPr>
      </w:pPr>
      <w:r w:rsidRPr="00AD20EE">
        <w:rPr>
          <w:rFonts w:ascii="Arial" w:hAnsi="Arial" w:cs="Arial"/>
          <w:lang w:val="en-US"/>
        </w:rPr>
        <w:t>8.1.</w:t>
      </w:r>
      <w:r w:rsidRPr="00AD20EE">
        <w:rPr>
          <w:rFonts w:ascii="Arial" w:hAnsi="Arial" w:cs="Arial"/>
          <w:lang w:val="en-US"/>
        </w:rPr>
        <w:tab/>
      </w:r>
      <w:r w:rsidR="0096202A" w:rsidRPr="008B4054">
        <w:rPr>
          <w:rFonts w:ascii="Arial" w:hAnsi="Arial" w:cs="Arial"/>
          <w:lang w:val="en-US"/>
        </w:rPr>
        <w:t xml:space="preserve">The defendant admits that the R2 million was paid into his trust account by the plaintiff in September 2020; </w:t>
      </w:r>
    </w:p>
    <w:p w14:paraId="6168FD70" w14:textId="77777777" w:rsidR="0096202A" w:rsidRPr="00AD20EE" w:rsidRDefault="0096202A" w:rsidP="0096202A">
      <w:pPr>
        <w:pStyle w:val="ListParagraph"/>
        <w:spacing w:line="480" w:lineRule="auto"/>
        <w:ind w:left="1531"/>
        <w:jc w:val="both"/>
        <w:rPr>
          <w:rFonts w:ascii="Arial" w:hAnsi="Arial" w:cs="Arial"/>
          <w:lang w:val="en-US"/>
        </w:rPr>
      </w:pPr>
    </w:p>
    <w:p w14:paraId="13CF9FAF" w14:textId="6852405C" w:rsidR="0096202A" w:rsidRPr="008B4054" w:rsidRDefault="008B4054" w:rsidP="008B4054">
      <w:pPr>
        <w:spacing w:line="480" w:lineRule="auto"/>
        <w:ind w:left="1531" w:hanging="1171"/>
        <w:jc w:val="both"/>
        <w:rPr>
          <w:rFonts w:ascii="Arial" w:hAnsi="Arial" w:cs="Arial"/>
          <w:lang w:val="en-US"/>
        </w:rPr>
      </w:pPr>
      <w:r w:rsidRPr="00AD20EE">
        <w:rPr>
          <w:rFonts w:ascii="Arial" w:hAnsi="Arial" w:cs="Arial"/>
          <w:lang w:val="en-US"/>
        </w:rPr>
        <w:t>8.2.</w:t>
      </w:r>
      <w:r w:rsidRPr="00AD20EE">
        <w:rPr>
          <w:rFonts w:ascii="Arial" w:hAnsi="Arial" w:cs="Arial"/>
          <w:lang w:val="en-US"/>
        </w:rPr>
        <w:tab/>
      </w:r>
      <w:r w:rsidR="0096202A" w:rsidRPr="008B4054">
        <w:rPr>
          <w:rFonts w:ascii="Arial" w:hAnsi="Arial" w:cs="Arial"/>
          <w:lang w:val="en-US"/>
        </w:rPr>
        <w:t>The plaintiff had represented to him that the funds being paid into his trust account were a payment to Sharma;</w:t>
      </w:r>
    </w:p>
    <w:p w14:paraId="1F2DC8EE" w14:textId="77777777" w:rsidR="0096202A" w:rsidRPr="00AD20EE" w:rsidRDefault="0096202A" w:rsidP="0096202A">
      <w:pPr>
        <w:pStyle w:val="ListParagraph"/>
        <w:spacing w:line="480" w:lineRule="auto"/>
        <w:jc w:val="both"/>
        <w:rPr>
          <w:rFonts w:ascii="Arial" w:hAnsi="Arial" w:cs="Arial"/>
          <w:lang w:val="en-US"/>
        </w:rPr>
      </w:pPr>
    </w:p>
    <w:p w14:paraId="3A820975" w14:textId="544BFAF4" w:rsidR="0096202A" w:rsidRPr="008B4054" w:rsidRDefault="008B4054" w:rsidP="008B4054">
      <w:pPr>
        <w:spacing w:line="480" w:lineRule="auto"/>
        <w:ind w:left="1531" w:hanging="1171"/>
        <w:jc w:val="both"/>
        <w:rPr>
          <w:rFonts w:ascii="Arial" w:hAnsi="Arial" w:cs="Arial"/>
          <w:lang w:val="en-US"/>
        </w:rPr>
      </w:pPr>
      <w:r w:rsidRPr="00AD20EE">
        <w:rPr>
          <w:rFonts w:ascii="Arial" w:hAnsi="Arial" w:cs="Arial"/>
          <w:lang w:val="en-US"/>
        </w:rPr>
        <w:t>8.3.</w:t>
      </w:r>
      <w:r w:rsidRPr="00AD20EE">
        <w:rPr>
          <w:rFonts w:ascii="Arial" w:hAnsi="Arial" w:cs="Arial"/>
          <w:lang w:val="en-US"/>
        </w:rPr>
        <w:tab/>
      </w:r>
      <w:r w:rsidR="0096202A" w:rsidRPr="008B4054">
        <w:rPr>
          <w:rFonts w:ascii="Arial" w:hAnsi="Arial" w:cs="Arial"/>
          <w:lang w:val="en-US"/>
        </w:rPr>
        <w:t>He admits that he released the funds to Sharma without the plaintiff’s instruction;</w:t>
      </w:r>
    </w:p>
    <w:p w14:paraId="29B1B3C8" w14:textId="77777777" w:rsidR="0096202A" w:rsidRPr="00AD20EE" w:rsidRDefault="0096202A" w:rsidP="0096202A">
      <w:pPr>
        <w:pStyle w:val="ListParagraph"/>
        <w:spacing w:line="480" w:lineRule="auto"/>
        <w:jc w:val="both"/>
        <w:rPr>
          <w:rFonts w:ascii="Arial" w:hAnsi="Arial" w:cs="Arial"/>
          <w:lang w:val="en-US"/>
        </w:rPr>
      </w:pPr>
    </w:p>
    <w:p w14:paraId="214AD72D" w14:textId="400E0E56" w:rsidR="0096202A" w:rsidRPr="008B4054" w:rsidRDefault="008B4054" w:rsidP="008B4054">
      <w:pPr>
        <w:spacing w:line="480" w:lineRule="auto"/>
        <w:ind w:left="1531" w:hanging="1171"/>
        <w:jc w:val="both"/>
        <w:rPr>
          <w:rFonts w:ascii="Arial" w:hAnsi="Arial" w:cs="Arial"/>
          <w:lang w:val="en-US"/>
        </w:rPr>
      </w:pPr>
      <w:r w:rsidRPr="00AD20EE">
        <w:rPr>
          <w:rFonts w:ascii="Arial" w:hAnsi="Arial" w:cs="Arial"/>
          <w:lang w:val="en-US"/>
        </w:rPr>
        <w:t>8.4.</w:t>
      </w:r>
      <w:r w:rsidRPr="00AD20EE">
        <w:rPr>
          <w:rFonts w:ascii="Arial" w:hAnsi="Arial" w:cs="Arial"/>
          <w:lang w:val="en-US"/>
        </w:rPr>
        <w:tab/>
      </w:r>
      <w:r w:rsidR="0096202A" w:rsidRPr="008B4054">
        <w:rPr>
          <w:rFonts w:ascii="Arial" w:hAnsi="Arial" w:cs="Arial"/>
          <w:lang w:val="en-US"/>
        </w:rPr>
        <w:t xml:space="preserve">The defendant pleads that the money was being held on behalf of Sharma and not on behalf of the plaintiff. </w:t>
      </w:r>
    </w:p>
    <w:p w14:paraId="4F2D92D1" w14:textId="77777777" w:rsidR="0096202A" w:rsidRPr="00AD20EE" w:rsidRDefault="0096202A" w:rsidP="0096202A">
      <w:pPr>
        <w:pStyle w:val="ListParagraph"/>
        <w:spacing w:line="480" w:lineRule="auto"/>
        <w:jc w:val="both"/>
        <w:rPr>
          <w:rFonts w:ascii="Arial" w:hAnsi="Arial" w:cs="Arial"/>
          <w:lang w:val="en-US"/>
        </w:rPr>
      </w:pPr>
    </w:p>
    <w:p w14:paraId="226641FB" w14:textId="2E6BA0DD" w:rsidR="0096202A" w:rsidRPr="008B4054" w:rsidRDefault="008B4054" w:rsidP="008B4054">
      <w:pPr>
        <w:spacing w:line="480" w:lineRule="auto"/>
        <w:ind w:left="1531" w:hanging="1171"/>
        <w:jc w:val="both"/>
        <w:rPr>
          <w:rFonts w:ascii="Arial" w:hAnsi="Arial" w:cs="Arial"/>
          <w:lang w:val="en-US"/>
        </w:rPr>
      </w:pPr>
      <w:r w:rsidRPr="00AD20EE">
        <w:rPr>
          <w:rFonts w:ascii="Arial" w:hAnsi="Arial" w:cs="Arial"/>
          <w:lang w:val="en-US"/>
        </w:rPr>
        <w:t>8.5.</w:t>
      </w:r>
      <w:r w:rsidRPr="00AD20EE">
        <w:rPr>
          <w:rFonts w:ascii="Arial" w:hAnsi="Arial" w:cs="Arial"/>
          <w:lang w:val="en-US"/>
        </w:rPr>
        <w:tab/>
      </w:r>
      <w:r w:rsidR="0096202A" w:rsidRPr="008B4054">
        <w:rPr>
          <w:rFonts w:ascii="Arial" w:hAnsi="Arial" w:cs="Arial"/>
          <w:lang w:val="en-US"/>
        </w:rPr>
        <w:t>He denies that he owed the plaintiff a legal duty as the monies he held in his trust account were being held for Sharma’s benefit;</w:t>
      </w:r>
    </w:p>
    <w:p w14:paraId="47FDFCCB" w14:textId="77777777" w:rsidR="0096202A" w:rsidRPr="00AD20EE" w:rsidRDefault="0096202A" w:rsidP="0096202A">
      <w:pPr>
        <w:pStyle w:val="ListParagraph"/>
        <w:spacing w:line="480" w:lineRule="auto"/>
        <w:jc w:val="both"/>
        <w:rPr>
          <w:rFonts w:ascii="Arial" w:hAnsi="Arial" w:cs="Arial"/>
          <w:lang w:val="en-US"/>
        </w:rPr>
      </w:pPr>
    </w:p>
    <w:p w14:paraId="75D7E3F1" w14:textId="2EBDB9E4" w:rsidR="0096202A" w:rsidRPr="008B4054" w:rsidRDefault="008B4054" w:rsidP="008B4054">
      <w:pPr>
        <w:spacing w:line="480" w:lineRule="auto"/>
        <w:ind w:left="1531" w:hanging="1171"/>
        <w:jc w:val="both"/>
        <w:rPr>
          <w:rFonts w:ascii="Arial" w:hAnsi="Arial" w:cs="Arial"/>
          <w:lang w:val="en-US"/>
        </w:rPr>
      </w:pPr>
      <w:r w:rsidRPr="00AD20EE">
        <w:rPr>
          <w:rFonts w:ascii="Arial" w:hAnsi="Arial" w:cs="Arial"/>
          <w:lang w:val="en-US"/>
        </w:rPr>
        <w:t>8.6.</w:t>
      </w:r>
      <w:r w:rsidRPr="00AD20EE">
        <w:rPr>
          <w:rFonts w:ascii="Arial" w:hAnsi="Arial" w:cs="Arial"/>
          <w:lang w:val="en-US"/>
        </w:rPr>
        <w:tab/>
      </w:r>
      <w:r w:rsidR="0096202A" w:rsidRPr="008B4054">
        <w:rPr>
          <w:rFonts w:ascii="Arial" w:hAnsi="Arial" w:cs="Arial"/>
          <w:lang w:val="en-US"/>
        </w:rPr>
        <w:t>The defendant pleads no knowledge of the remainder of the allegations contained in the particulars of claim.</w:t>
      </w:r>
    </w:p>
    <w:p w14:paraId="7650797A" w14:textId="77777777" w:rsidR="0096202A" w:rsidRPr="00AD20EE" w:rsidRDefault="0096202A" w:rsidP="0096202A">
      <w:pPr>
        <w:pStyle w:val="ListParagraph"/>
        <w:spacing w:line="480" w:lineRule="auto"/>
        <w:jc w:val="both"/>
        <w:rPr>
          <w:rFonts w:ascii="Arial" w:hAnsi="Arial" w:cs="Arial"/>
          <w:lang w:val="en-US"/>
        </w:rPr>
      </w:pPr>
    </w:p>
    <w:p w14:paraId="085130F0" w14:textId="291F5E62" w:rsidR="0096202A" w:rsidRPr="008B4054" w:rsidRDefault="008B4054" w:rsidP="008B4054">
      <w:pPr>
        <w:spacing w:line="480" w:lineRule="auto"/>
        <w:ind w:left="360" w:hanging="360"/>
        <w:jc w:val="both"/>
        <w:rPr>
          <w:rFonts w:ascii="Arial" w:hAnsi="Arial" w:cs="Arial"/>
          <w:lang w:val="en-US"/>
        </w:rPr>
      </w:pPr>
      <w:r w:rsidRPr="00AD20EE">
        <w:rPr>
          <w:rFonts w:ascii="Arial" w:hAnsi="Arial" w:cs="Arial"/>
          <w:lang w:val="en-US"/>
        </w:rPr>
        <w:t>9.</w:t>
      </w:r>
      <w:r w:rsidRPr="00AD20EE">
        <w:rPr>
          <w:rFonts w:ascii="Arial" w:hAnsi="Arial" w:cs="Arial"/>
          <w:lang w:val="en-US"/>
        </w:rPr>
        <w:tab/>
      </w:r>
      <w:r w:rsidR="0096202A" w:rsidRPr="008B4054">
        <w:rPr>
          <w:rFonts w:ascii="Arial" w:hAnsi="Arial" w:cs="Arial"/>
          <w:lang w:val="en-US"/>
        </w:rPr>
        <w:t>Accordingly, the issues in dispute in the main action are:-</w:t>
      </w:r>
    </w:p>
    <w:p w14:paraId="2DCF2528" w14:textId="77777777" w:rsidR="0096202A" w:rsidRPr="00AD20EE" w:rsidRDefault="0096202A" w:rsidP="0096202A">
      <w:pPr>
        <w:pStyle w:val="ListParagraph"/>
        <w:spacing w:line="480" w:lineRule="auto"/>
        <w:ind w:left="360"/>
        <w:jc w:val="both"/>
        <w:rPr>
          <w:rFonts w:ascii="Arial" w:hAnsi="Arial" w:cs="Arial"/>
          <w:lang w:val="en-US"/>
        </w:rPr>
      </w:pPr>
    </w:p>
    <w:p w14:paraId="7ED12B52" w14:textId="4B0DC799" w:rsidR="0096202A" w:rsidRPr="008B4054" w:rsidRDefault="008B4054" w:rsidP="008B4054">
      <w:pPr>
        <w:spacing w:line="480" w:lineRule="auto"/>
        <w:ind w:left="1531" w:hanging="1171"/>
        <w:jc w:val="both"/>
        <w:rPr>
          <w:rFonts w:ascii="Arial" w:hAnsi="Arial" w:cs="Arial"/>
          <w:lang w:val="en-US"/>
        </w:rPr>
      </w:pPr>
      <w:r w:rsidRPr="00AD20EE">
        <w:rPr>
          <w:rFonts w:ascii="Arial" w:hAnsi="Arial" w:cs="Arial"/>
          <w:lang w:val="en-US"/>
        </w:rPr>
        <w:t>9.1.</w:t>
      </w:r>
      <w:r w:rsidRPr="00AD20EE">
        <w:rPr>
          <w:rFonts w:ascii="Arial" w:hAnsi="Arial" w:cs="Arial"/>
          <w:lang w:val="en-US"/>
        </w:rPr>
        <w:tab/>
      </w:r>
      <w:r w:rsidR="0096202A" w:rsidRPr="008B4054">
        <w:rPr>
          <w:rFonts w:ascii="Arial" w:hAnsi="Arial" w:cs="Arial"/>
          <w:lang w:val="en-US"/>
        </w:rPr>
        <w:t>Whether the payment of R2 million by the plaintiff to the defendant was a payment to Sharma?</w:t>
      </w:r>
    </w:p>
    <w:p w14:paraId="3977E70B" w14:textId="77777777" w:rsidR="0096202A" w:rsidRPr="00AD20EE" w:rsidRDefault="0096202A" w:rsidP="0096202A">
      <w:pPr>
        <w:pStyle w:val="ListParagraph"/>
        <w:spacing w:line="480" w:lineRule="auto"/>
        <w:ind w:left="1531"/>
        <w:jc w:val="both"/>
        <w:rPr>
          <w:rFonts w:ascii="Arial" w:hAnsi="Arial" w:cs="Arial"/>
          <w:lang w:val="en-US"/>
        </w:rPr>
      </w:pPr>
    </w:p>
    <w:p w14:paraId="47E76D62" w14:textId="0DF4FB7E" w:rsidR="0096202A" w:rsidRPr="008B4054" w:rsidRDefault="008B4054" w:rsidP="008B4054">
      <w:pPr>
        <w:spacing w:line="480" w:lineRule="auto"/>
        <w:ind w:left="1531" w:hanging="1171"/>
        <w:jc w:val="both"/>
        <w:rPr>
          <w:rFonts w:ascii="Arial" w:hAnsi="Arial" w:cs="Arial"/>
          <w:lang w:val="en-US"/>
        </w:rPr>
      </w:pPr>
      <w:r w:rsidRPr="00AD20EE">
        <w:rPr>
          <w:rFonts w:ascii="Arial" w:hAnsi="Arial" w:cs="Arial"/>
          <w:lang w:val="en-US"/>
        </w:rPr>
        <w:t>9.2.</w:t>
      </w:r>
      <w:r w:rsidRPr="00AD20EE">
        <w:rPr>
          <w:rFonts w:ascii="Arial" w:hAnsi="Arial" w:cs="Arial"/>
          <w:lang w:val="en-US"/>
        </w:rPr>
        <w:tab/>
      </w:r>
      <w:r w:rsidR="0096202A" w:rsidRPr="008B4054">
        <w:rPr>
          <w:rFonts w:ascii="Arial" w:hAnsi="Arial" w:cs="Arial"/>
          <w:lang w:val="en-US"/>
        </w:rPr>
        <w:t xml:space="preserve">Whether the monies held in trust by the defendant were for the benefit of Sharma or the plaintiff.  </w:t>
      </w:r>
    </w:p>
    <w:p w14:paraId="145C2105" w14:textId="77777777" w:rsidR="0096202A" w:rsidRPr="00AD20EE" w:rsidRDefault="0096202A" w:rsidP="0096202A">
      <w:pPr>
        <w:pStyle w:val="ListParagraph"/>
        <w:spacing w:line="480" w:lineRule="auto"/>
        <w:jc w:val="both"/>
        <w:rPr>
          <w:rFonts w:ascii="Arial" w:hAnsi="Arial" w:cs="Arial"/>
          <w:lang w:val="en-US"/>
        </w:rPr>
      </w:pPr>
    </w:p>
    <w:p w14:paraId="275B3BF5" w14:textId="6BE2AA24" w:rsidR="0096202A" w:rsidRPr="008B4054" w:rsidRDefault="008B4054" w:rsidP="008B4054">
      <w:pPr>
        <w:spacing w:line="480" w:lineRule="auto"/>
        <w:ind w:left="1531" w:hanging="1171"/>
        <w:jc w:val="both"/>
        <w:rPr>
          <w:rFonts w:ascii="Arial" w:hAnsi="Arial" w:cs="Arial"/>
          <w:lang w:val="en-US"/>
        </w:rPr>
      </w:pPr>
      <w:r w:rsidRPr="001C374C">
        <w:rPr>
          <w:rFonts w:ascii="Arial" w:hAnsi="Arial" w:cs="Arial"/>
          <w:lang w:val="en-US"/>
        </w:rPr>
        <w:t>9.3.</w:t>
      </w:r>
      <w:r w:rsidRPr="001C374C">
        <w:rPr>
          <w:rFonts w:ascii="Arial" w:hAnsi="Arial" w:cs="Arial"/>
          <w:lang w:val="en-US"/>
        </w:rPr>
        <w:tab/>
      </w:r>
      <w:r w:rsidR="0096202A" w:rsidRPr="008B4054">
        <w:rPr>
          <w:rFonts w:ascii="Arial" w:hAnsi="Arial" w:cs="Arial"/>
          <w:lang w:val="en-US"/>
        </w:rPr>
        <w:t>If the funds were held on behalf of the plaintiff, then:-</w:t>
      </w:r>
      <w:r w:rsidR="001C374C" w:rsidRPr="008B4054">
        <w:rPr>
          <w:rFonts w:ascii="Arial" w:hAnsi="Arial" w:cs="Arial"/>
          <w:lang w:val="en-US"/>
        </w:rPr>
        <w:t xml:space="preserve"> </w:t>
      </w:r>
      <w:r w:rsidR="0096202A" w:rsidRPr="008B4054">
        <w:rPr>
          <w:rFonts w:ascii="Arial" w:hAnsi="Arial" w:cs="Arial"/>
          <w:lang w:val="en-US"/>
        </w:rPr>
        <w:t xml:space="preserve">Whether the defendant owed a legal duty to the plaintiff </w:t>
      </w:r>
      <w:r w:rsidR="0096202A" w:rsidRPr="008B4054">
        <w:rPr>
          <w:rFonts w:ascii="Arial" w:hAnsi="Arial" w:cs="Arial"/>
          <w:lang w:val="en-GB"/>
        </w:rPr>
        <w:t>to deal with the money held in its trust diligently, to retain the money on the plaintiff’s behalf and only transfer the funds to third parties on the plaintiff’s instruction and whether he acted contrary to this duty.</w:t>
      </w:r>
    </w:p>
    <w:p w14:paraId="7217E7F0" w14:textId="77777777" w:rsidR="0096202A" w:rsidRPr="00AD20EE" w:rsidRDefault="0096202A" w:rsidP="0096202A">
      <w:pPr>
        <w:spacing w:line="480" w:lineRule="auto"/>
        <w:jc w:val="both"/>
        <w:rPr>
          <w:rFonts w:ascii="Arial" w:hAnsi="Arial" w:cs="Arial"/>
          <w:lang w:val="en-US"/>
        </w:rPr>
      </w:pPr>
    </w:p>
    <w:p w14:paraId="1A29DC66" w14:textId="4231D5A5" w:rsidR="0096202A" w:rsidRPr="008B4054" w:rsidRDefault="008B4054" w:rsidP="008B4054">
      <w:pPr>
        <w:spacing w:line="480" w:lineRule="auto"/>
        <w:ind w:left="360" w:hanging="360"/>
        <w:jc w:val="both"/>
        <w:rPr>
          <w:rFonts w:ascii="Arial" w:hAnsi="Arial" w:cs="Arial"/>
          <w:lang w:val="en-US"/>
        </w:rPr>
      </w:pPr>
      <w:r w:rsidRPr="00AD20EE">
        <w:rPr>
          <w:rFonts w:ascii="Arial" w:hAnsi="Arial" w:cs="Arial"/>
          <w:lang w:val="en-US"/>
        </w:rPr>
        <w:t>10.</w:t>
      </w:r>
      <w:r w:rsidRPr="00AD20EE">
        <w:rPr>
          <w:rFonts w:ascii="Arial" w:hAnsi="Arial" w:cs="Arial"/>
          <w:lang w:val="en-US"/>
        </w:rPr>
        <w:tab/>
      </w:r>
      <w:r w:rsidR="0096202A" w:rsidRPr="008B4054">
        <w:rPr>
          <w:rFonts w:ascii="Arial" w:hAnsi="Arial" w:cs="Arial"/>
          <w:lang w:val="en-US"/>
        </w:rPr>
        <w:t xml:space="preserve">Both parties have both discovered. </w:t>
      </w:r>
    </w:p>
    <w:p w14:paraId="52F8F26C" w14:textId="77777777" w:rsidR="0096202A" w:rsidRPr="00AD20EE" w:rsidRDefault="0096202A" w:rsidP="0096202A">
      <w:pPr>
        <w:pStyle w:val="ListParagraph"/>
        <w:spacing w:line="480" w:lineRule="auto"/>
        <w:ind w:left="360"/>
        <w:jc w:val="both"/>
        <w:rPr>
          <w:rFonts w:ascii="Arial" w:hAnsi="Arial" w:cs="Arial"/>
          <w:lang w:val="en-US"/>
        </w:rPr>
      </w:pPr>
    </w:p>
    <w:p w14:paraId="3378EA02" w14:textId="42CB8385" w:rsidR="0096202A" w:rsidRPr="008B4054" w:rsidRDefault="008B4054" w:rsidP="008B4054">
      <w:pPr>
        <w:spacing w:line="480" w:lineRule="auto"/>
        <w:ind w:left="360" w:hanging="360"/>
        <w:jc w:val="both"/>
        <w:rPr>
          <w:rFonts w:ascii="Arial" w:hAnsi="Arial" w:cs="Arial"/>
          <w:lang w:val="en-US"/>
        </w:rPr>
      </w:pPr>
      <w:r w:rsidRPr="00AD20EE">
        <w:rPr>
          <w:rFonts w:ascii="Arial" w:hAnsi="Arial" w:cs="Arial"/>
          <w:lang w:val="en-US"/>
        </w:rPr>
        <w:t>11.</w:t>
      </w:r>
      <w:r w:rsidRPr="00AD20EE">
        <w:rPr>
          <w:rFonts w:ascii="Arial" w:hAnsi="Arial" w:cs="Arial"/>
          <w:lang w:val="en-US"/>
        </w:rPr>
        <w:tab/>
      </w:r>
      <w:r w:rsidR="0096202A" w:rsidRPr="008B4054">
        <w:rPr>
          <w:rFonts w:ascii="Arial" w:hAnsi="Arial" w:cs="Arial"/>
          <w:lang w:val="en-US"/>
        </w:rPr>
        <w:t>On 03 August 2022, the plaintiff served a notice in terms of Rule 35(3) on the defendant wherein he sought that the defendant produces “</w:t>
      </w:r>
      <w:r w:rsidR="0096202A" w:rsidRPr="008B4054">
        <w:rPr>
          <w:rFonts w:ascii="Arial" w:hAnsi="Arial" w:cs="Arial"/>
          <w:b/>
          <w:bCs/>
          <w:i/>
          <w:iCs/>
          <w:lang w:val="en-GB"/>
        </w:rPr>
        <w:t>Proof of the recipient’s details into which the defendant transferred the funds of R 2 Million”.</w:t>
      </w:r>
    </w:p>
    <w:p w14:paraId="40B62139" w14:textId="77777777" w:rsidR="0096202A" w:rsidRPr="00AD20EE" w:rsidRDefault="0096202A" w:rsidP="0096202A">
      <w:pPr>
        <w:pStyle w:val="ListParagraph"/>
        <w:spacing w:line="480" w:lineRule="auto"/>
        <w:jc w:val="both"/>
        <w:rPr>
          <w:rFonts w:ascii="Arial" w:hAnsi="Arial" w:cs="Arial"/>
          <w:lang w:val="en-US"/>
        </w:rPr>
      </w:pPr>
    </w:p>
    <w:p w14:paraId="26256106" w14:textId="67DF70FC" w:rsidR="0096202A" w:rsidRPr="008B4054" w:rsidRDefault="008B4054" w:rsidP="008B4054">
      <w:pPr>
        <w:spacing w:line="480" w:lineRule="auto"/>
        <w:ind w:left="360" w:hanging="360"/>
        <w:jc w:val="both"/>
        <w:rPr>
          <w:rFonts w:ascii="Arial" w:hAnsi="Arial" w:cs="Arial"/>
          <w:lang w:val="en-US"/>
        </w:rPr>
      </w:pPr>
      <w:r w:rsidRPr="00AD20EE">
        <w:rPr>
          <w:rFonts w:ascii="Arial" w:hAnsi="Arial" w:cs="Arial"/>
          <w:lang w:val="en-US"/>
        </w:rPr>
        <w:lastRenderedPageBreak/>
        <w:t>12.</w:t>
      </w:r>
      <w:r w:rsidRPr="00AD20EE">
        <w:rPr>
          <w:rFonts w:ascii="Arial" w:hAnsi="Arial" w:cs="Arial"/>
          <w:lang w:val="en-US"/>
        </w:rPr>
        <w:tab/>
      </w:r>
      <w:r w:rsidR="0096202A" w:rsidRPr="008B4054">
        <w:rPr>
          <w:rFonts w:ascii="Arial" w:hAnsi="Arial" w:cs="Arial"/>
          <w:lang w:val="en-US"/>
        </w:rPr>
        <w:t>The defendant did not reply to the notice under Rule 35(3).</w:t>
      </w:r>
    </w:p>
    <w:p w14:paraId="0307EA71" w14:textId="77777777" w:rsidR="0096202A" w:rsidRPr="00AD20EE" w:rsidRDefault="0096202A" w:rsidP="0096202A">
      <w:pPr>
        <w:pStyle w:val="ListParagraph"/>
        <w:spacing w:line="480" w:lineRule="auto"/>
        <w:jc w:val="both"/>
        <w:rPr>
          <w:rFonts w:ascii="Arial" w:hAnsi="Arial" w:cs="Arial"/>
          <w:lang w:val="en-US"/>
        </w:rPr>
      </w:pPr>
    </w:p>
    <w:p w14:paraId="61B99A8F" w14:textId="4F6B5A9F" w:rsidR="0096202A" w:rsidRPr="008B4054" w:rsidRDefault="008B4054" w:rsidP="008B4054">
      <w:pPr>
        <w:spacing w:line="480" w:lineRule="auto"/>
        <w:ind w:left="360" w:hanging="360"/>
        <w:jc w:val="both"/>
        <w:rPr>
          <w:rFonts w:ascii="Arial" w:hAnsi="Arial" w:cs="Arial"/>
          <w:lang w:val="en-US"/>
        </w:rPr>
      </w:pPr>
      <w:r w:rsidRPr="00AD20EE">
        <w:rPr>
          <w:rFonts w:ascii="Arial" w:hAnsi="Arial" w:cs="Arial"/>
          <w:lang w:val="en-US"/>
        </w:rPr>
        <w:t>13.</w:t>
      </w:r>
      <w:r w:rsidRPr="00AD20EE">
        <w:rPr>
          <w:rFonts w:ascii="Arial" w:hAnsi="Arial" w:cs="Arial"/>
          <w:lang w:val="en-US"/>
        </w:rPr>
        <w:tab/>
      </w:r>
      <w:r w:rsidR="0096202A" w:rsidRPr="008B4054">
        <w:rPr>
          <w:rFonts w:ascii="Arial" w:hAnsi="Arial" w:cs="Arial"/>
          <w:lang w:val="en-US"/>
        </w:rPr>
        <w:t xml:space="preserve">The plaintiff thereafter launched an application in terms of Rule 35(7) to compel the defendant to comply with his notice in terms of Rule 35(3), which application the defendant opposed on the grounds listed above. </w:t>
      </w:r>
    </w:p>
    <w:p w14:paraId="286B51EB" w14:textId="77777777" w:rsidR="0096202A" w:rsidRPr="00AD20EE" w:rsidRDefault="0096202A" w:rsidP="0096202A">
      <w:pPr>
        <w:pStyle w:val="ListParagraph"/>
        <w:spacing w:line="480" w:lineRule="auto"/>
        <w:jc w:val="both"/>
        <w:rPr>
          <w:rFonts w:ascii="Arial" w:hAnsi="Arial" w:cs="Arial"/>
          <w:lang w:val="en-US"/>
        </w:rPr>
      </w:pPr>
    </w:p>
    <w:p w14:paraId="3832796A" w14:textId="7DAF8D22" w:rsidR="0096202A" w:rsidRPr="008B4054" w:rsidRDefault="008B4054" w:rsidP="008B4054">
      <w:pPr>
        <w:spacing w:line="480" w:lineRule="auto"/>
        <w:ind w:left="360" w:hanging="360"/>
        <w:jc w:val="both"/>
        <w:rPr>
          <w:rFonts w:ascii="Arial" w:hAnsi="Arial" w:cs="Arial"/>
          <w:lang w:val="en-US"/>
        </w:rPr>
      </w:pPr>
      <w:r w:rsidRPr="00AD20EE">
        <w:rPr>
          <w:rFonts w:ascii="Arial" w:hAnsi="Arial" w:cs="Arial"/>
          <w:lang w:val="en-US"/>
        </w:rPr>
        <w:t>14.</w:t>
      </w:r>
      <w:r w:rsidRPr="00AD20EE">
        <w:rPr>
          <w:rFonts w:ascii="Arial" w:hAnsi="Arial" w:cs="Arial"/>
          <w:lang w:val="en-US"/>
        </w:rPr>
        <w:tab/>
      </w:r>
      <w:r w:rsidR="0096202A" w:rsidRPr="008B4054">
        <w:rPr>
          <w:rFonts w:ascii="Arial" w:hAnsi="Arial" w:cs="Arial"/>
          <w:lang w:val="en-US"/>
        </w:rPr>
        <w:t>The defendant filed his answering affidavit late and sought condonation for the late filing thereof. The plaintiff took issue with the condonation sought.</w:t>
      </w:r>
    </w:p>
    <w:p w14:paraId="63570A45" w14:textId="77777777" w:rsidR="0096202A" w:rsidRPr="00AD20EE" w:rsidRDefault="0096202A" w:rsidP="0096202A">
      <w:pPr>
        <w:spacing w:line="480" w:lineRule="auto"/>
        <w:jc w:val="both"/>
        <w:rPr>
          <w:rFonts w:ascii="Arial" w:hAnsi="Arial" w:cs="Arial"/>
          <w:b/>
          <w:bCs/>
          <w:lang w:val="en-US"/>
        </w:rPr>
      </w:pPr>
    </w:p>
    <w:p w14:paraId="1D31D5AE" w14:textId="77777777" w:rsidR="0096202A" w:rsidRPr="00AD20EE" w:rsidRDefault="0096202A" w:rsidP="0096202A">
      <w:pPr>
        <w:spacing w:line="480" w:lineRule="auto"/>
        <w:jc w:val="both"/>
        <w:rPr>
          <w:rFonts w:ascii="Arial" w:hAnsi="Arial" w:cs="Arial"/>
          <w:b/>
          <w:bCs/>
          <w:lang w:val="en-US"/>
        </w:rPr>
      </w:pPr>
      <w:r w:rsidRPr="00AD20EE">
        <w:rPr>
          <w:rFonts w:ascii="Arial" w:hAnsi="Arial" w:cs="Arial"/>
          <w:b/>
          <w:bCs/>
          <w:lang w:val="en-US"/>
        </w:rPr>
        <w:t>Defendant’s Condonation Application</w:t>
      </w:r>
    </w:p>
    <w:p w14:paraId="1BDF3B2C" w14:textId="77777777" w:rsidR="0096202A" w:rsidRPr="00AD20EE" w:rsidRDefault="0096202A" w:rsidP="0096202A">
      <w:pPr>
        <w:spacing w:line="480" w:lineRule="auto"/>
        <w:jc w:val="both"/>
        <w:rPr>
          <w:rFonts w:ascii="Arial" w:hAnsi="Arial" w:cs="Arial"/>
          <w:lang w:val="en-US"/>
        </w:rPr>
      </w:pPr>
    </w:p>
    <w:p w14:paraId="5DEDBAFC" w14:textId="17D03758" w:rsidR="0096202A" w:rsidRPr="008B4054" w:rsidRDefault="008B4054" w:rsidP="008B4054">
      <w:pPr>
        <w:spacing w:line="480" w:lineRule="auto"/>
        <w:ind w:left="360" w:hanging="360"/>
        <w:jc w:val="both"/>
        <w:rPr>
          <w:rFonts w:ascii="Arial" w:hAnsi="Arial" w:cs="Arial"/>
          <w:lang w:val="en-US"/>
        </w:rPr>
      </w:pPr>
      <w:r w:rsidRPr="00AD20EE">
        <w:rPr>
          <w:rFonts w:ascii="Arial" w:hAnsi="Arial" w:cs="Arial"/>
          <w:lang w:val="en-US"/>
        </w:rPr>
        <w:t>15.</w:t>
      </w:r>
      <w:r w:rsidRPr="00AD20EE">
        <w:rPr>
          <w:rFonts w:ascii="Arial" w:hAnsi="Arial" w:cs="Arial"/>
          <w:lang w:val="en-US"/>
        </w:rPr>
        <w:tab/>
      </w:r>
      <w:r w:rsidR="0096202A" w:rsidRPr="008B4054">
        <w:rPr>
          <w:rFonts w:ascii="Arial" w:hAnsi="Arial" w:cs="Arial"/>
          <w:lang w:val="en-US"/>
        </w:rPr>
        <w:t xml:space="preserve">The application in terms of Rule 35(7) was filed on 16 September 2022. It is trite that there are no provisions in the rules relating to periods for filing of answering affidavits in interlocutory proceedings and that same should be filed within a reasonable time, which is </w:t>
      </w:r>
      <w:r w:rsidR="0096202A" w:rsidRPr="008B4054">
        <w:rPr>
          <w:rFonts w:ascii="Arial" w:hAnsi="Arial" w:cs="Arial"/>
          <w:i/>
          <w:iCs/>
          <w:lang w:val="en-US"/>
        </w:rPr>
        <w:t>prima facie</w:t>
      </w:r>
      <w:r w:rsidR="0096202A" w:rsidRPr="008B4054">
        <w:rPr>
          <w:rFonts w:ascii="Arial" w:hAnsi="Arial" w:cs="Arial"/>
          <w:lang w:val="en-US"/>
        </w:rPr>
        <w:t xml:space="preserve"> no longer </w:t>
      </w:r>
      <w:r w:rsidR="0096202A" w:rsidRPr="008B4054">
        <w:rPr>
          <w:rFonts w:ascii="Arial" w:hAnsi="Arial" w:cs="Arial"/>
          <w:lang w:val="en-GB"/>
        </w:rPr>
        <w:t>prescribed by Rule (6)(5)(d) of the Uniform Rules of Court</w:t>
      </w:r>
      <w:r w:rsidR="0096202A" w:rsidRPr="00AD20EE">
        <w:rPr>
          <w:rStyle w:val="FootnoteReference"/>
          <w:rFonts w:ascii="Arial" w:hAnsi="Arial" w:cs="Arial"/>
          <w:lang w:val="en-GB"/>
        </w:rPr>
        <w:footnoteReference w:id="1"/>
      </w:r>
      <w:r w:rsidR="0096202A" w:rsidRPr="008B4054">
        <w:rPr>
          <w:rFonts w:ascii="Arial" w:hAnsi="Arial" w:cs="Arial"/>
          <w:lang w:val="en-GB"/>
        </w:rPr>
        <w:t>.</w:t>
      </w:r>
    </w:p>
    <w:p w14:paraId="042B31A3" w14:textId="77777777" w:rsidR="0096202A" w:rsidRPr="00AD20EE" w:rsidRDefault="0096202A" w:rsidP="0096202A">
      <w:pPr>
        <w:pStyle w:val="ListParagraph"/>
        <w:spacing w:line="480" w:lineRule="auto"/>
        <w:ind w:left="360"/>
        <w:jc w:val="both"/>
        <w:rPr>
          <w:rFonts w:ascii="Arial" w:hAnsi="Arial" w:cs="Arial"/>
          <w:lang w:val="en-US"/>
        </w:rPr>
      </w:pPr>
    </w:p>
    <w:p w14:paraId="081BF6C3" w14:textId="439B5BA0" w:rsidR="0096202A" w:rsidRPr="008B4054" w:rsidRDefault="008B4054" w:rsidP="008B4054">
      <w:pPr>
        <w:spacing w:line="480" w:lineRule="auto"/>
        <w:ind w:left="360" w:hanging="360"/>
        <w:jc w:val="both"/>
        <w:rPr>
          <w:rFonts w:ascii="Arial" w:hAnsi="Arial" w:cs="Arial"/>
          <w:lang w:val="en-US"/>
        </w:rPr>
      </w:pPr>
      <w:r w:rsidRPr="00AD20EE">
        <w:rPr>
          <w:rFonts w:ascii="Arial" w:hAnsi="Arial" w:cs="Arial"/>
          <w:lang w:val="en-US"/>
        </w:rPr>
        <w:t>16.</w:t>
      </w:r>
      <w:r w:rsidRPr="00AD20EE">
        <w:rPr>
          <w:rFonts w:ascii="Arial" w:hAnsi="Arial" w:cs="Arial"/>
          <w:lang w:val="en-US"/>
        </w:rPr>
        <w:tab/>
      </w:r>
      <w:r w:rsidR="0096202A" w:rsidRPr="008B4054">
        <w:rPr>
          <w:rFonts w:ascii="Arial" w:hAnsi="Arial" w:cs="Arial"/>
          <w:lang w:val="en-GB"/>
        </w:rPr>
        <w:t>Accordingly, at the latest, the defendant should have filed his answering affidavit on 21 September 2022. The defendant filed his answering affidavit on 19 October 2022 - approximately one month late.</w:t>
      </w:r>
    </w:p>
    <w:p w14:paraId="33D64153" w14:textId="77777777" w:rsidR="0096202A" w:rsidRPr="00AD20EE" w:rsidRDefault="0096202A" w:rsidP="0096202A">
      <w:pPr>
        <w:pStyle w:val="ListParagraph"/>
        <w:spacing w:line="480" w:lineRule="auto"/>
        <w:jc w:val="both"/>
        <w:rPr>
          <w:rFonts w:ascii="Arial" w:hAnsi="Arial" w:cs="Arial"/>
          <w:lang w:val="en-US"/>
        </w:rPr>
      </w:pPr>
    </w:p>
    <w:p w14:paraId="3D94E69E" w14:textId="52AB5A97" w:rsidR="0096202A" w:rsidRPr="008B4054" w:rsidRDefault="008B4054" w:rsidP="008B4054">
      <w:pPr>
        <w:spacing w:line="480" w:lineRule="auto"/>
        <w:ind w:left="360" w:hanging="360"/>
        <w:jc w:val="both"/>
        <w:rPr>
          <w:rFonts w:ascii="Arial" w:hAnsi="Arial" w:cs="Arial"/>
          <w:lang w:val="en-US"/>
        </w:rPr>
      </w:pPr>
      <w:r w:rsidRPr="00AD20EE">
        <w:rPr>
          <w:rFonts w:ascii="Arial" w:hAnsi="Arial" w:cs="Arial"/>
          <w:lang w:val="en-US"/>
        </w:rPr>
        <w:t>17.</w:t>
      </w:r>
      <w:r w:rsidRPr="00AD20EE">
        <w:rPr>
          <w:rFonts w:ascii="Arial" w:hAnsi="Arial" w:cs="Arial"/>
          <w:lang w:val="en-US"/>
        </w:rPr>
        <w:tab/>
      </w:r>
      <w:r w:rsidR="0096202A" w:rsidRPr="008B4054">
        <w:rPr>
          <w:rFonts w:ascii="Arial" w:hAnsi="Arial" w:cs="Arial"/>
          <w:lang w:val="en-GB"/>
        </w:rPr>
        <w:t xml:space="preserve">The defendant’s explanation for his delay in filing his answering affidavit stems from his view that the documents sought by the plaintiff are protected in terms of </w:t>
      </w:r>
      <w:r w:rsidR="0096202A" w:rsidRPr="008B4054">
        <w:rPr>
          <w:rFonts w:ascii="Arial" w:hAnsi="Arial" w:cs="Arial"/>
          <w:lang w:val="en-GB"/>
        </w:rPr>
        <w:lastRenderedPageBreak/>
        <w:t>attorney-client privilege owing by the defendant to Sharma, and such privilege can only be waived by Sharma. He accordingly sets out that he attempted to set up a meeting to discuss with Sharma to ascertain whether Sharma would waive his privilege and permit the defendant to disclose this information. Sharma received independent legal advice, and his attorneys informed the defendant on 13 October 2022 that Sharma does not waive his privilege. He contends that he had to wait for Sharma’s instruction before responding to the application in terms of Rule 35(7).</w:t>
      </w:r>
    </w:p>
    <w:p w14:paraId="14601098" w14:textId="77777777" w:rsidR="0096202A" w:rsidRPr="00AD20EE" w:rsidRDefault="0096202A" w:rsidP="0096202A">
      <w:pPr>
        <w:pStyle w:val="ListParagraph"/>
        <w:spacing w:line="480" w:lineRule="auto"/>
        <w:jc w:val="both"/>
        <w:rPr>
          <w:rFonts w:ascii="Arial" w:hAnsi="Arial" w:cs="Arial"/>
          <w:lang w:val="en-GB"/>
        </w:rPr>
      </w:pPr>
    </w:p>
    <w:p w14:paraId="44695EDA" w14:textId="2A66152B" w:rsidR="0096202A" w:rsidRPr="008B4054" w:rsidRDefault="008B4054" w:rsidP="008B4054">
      <w:pPr>
        <w:spacing w:line="480" w:lineRule="auto"/>
        <w:ind w:left="360" w:hanging="360"/>
        <w:jc w:val="both"/>
        <w:rPr>
          <w:rFonts w:ascii="Arial" w:hAnsi="Arial" w:cs="Arial"/>
          <w:lang w:val="en-US"/>
        </w:rPr>
      </w:pPr>
      <w:r w:rsidRPr="00AD20EE">
        <w:rPr>
          <w:rFonts w:ascii="Arial" w:hAnsi="Arial" w:cs="Arial"/>
          <w:lang w:val="en-US"/>
        </w:rPr>
        <w:t>18.</w:t>
      </w:r>
      <w:r w:rsidRPr="00AD20EE">
        <w:rPr>
          <w:rFonts w:ascii="Arial" w:hAnsi="Arial" w:cs="Arial"/>
          <w:lang w:val="en-US"/>
        </w:rPr>
        <w:tab/>
      </w:r>
      <w:r w:rsidR="0096202A" w:rsidRPr="008B4054">
        <w:rPr>
          <w:rFonts w:ascii="Arial" w:hAnsi="Arial" w:cs="Arial"/>
          <w:lang w:val="en-GB"/>
        </w:rPr>
        <w:t>As an aside, I am not convinced that the documents sought by the plaintiff attract attorney-client privilege, as this privilege only extends to communication between the client and his legal advisor for the purposes of obtaining legal advice.</w:t>
      </w:r>
      <w:r w:rsidR="0096202A" w:rsidRPr="00AD20EE">
        <w:rPr>
          <w:rStyle w:val="FootnoteReference"/>
          <w:rFonts w:ascii="Arial" w:hAnsi="Arial" w:cs="Arial"/>
          <w:lang w:val="en-GB"/>
        </w:rPr>
        <w:footnoteReference w:id="2"/>
      </w:r>
      <w:r w:rsidR="0096202A" w:rsidRPr="008B4054">
        <w:rPr>
          <w:rFonts w:ascii="Arial" w:hAnsi="Arial" w:cs="Arial"/>
          <w:lang w:val="en-GB"/>
        </w:rPr>
        <w:t xml:space="preserve">  It was not sufficiently explained how the document sought, namely, proof of the recipient of the R2 million, constituted communication for the purposes of obtaining legal advice. That being said, I am persuaded that the defendant genuinely believed that he needed to elicit Sharma’s instructions in this regard, and he was awaiting his instruction before knowing how to respond to the application.</w:t>
      </w:r>
    </w:p>
    <w:p w14:paraId="19689D8D" w14:textId="77777777" w:rsidR="0096202A" w:rsidRPr="00AD20EE" w:rsidRDefault="0096202A" w:rsidP="0096202A">
      <w:pPr>
        <w:pStyle w:val="ListParagraph"/>
        <w:spacing w:line="480" w:lineRule="auto"/>
        <w:jc w:val="both"/>
        <w:rPr>
          <w:rFonts w:ascii="Arial" w:hAnsi="Arial" w:cs="Arial"/>
          <w:lang w:val="en-US"/>
        </w:rPr>
      </w:pPr>
    </w:p>
    <w:p w14:paraId="5D70E138" w14:textId="151AECB8" w:rsidR="0096202A" w:rsidRPr="008B4054" w:rsidRDefault="008B4054" w:rsidP="008B4054">
      <w:pPr>
        <w:spacing w:line="480" w:lineRule="auto"/>
        <w:ind w:left="360" w:hanging="360"/>
        <w:jc w:val="both"/>
        <w:rPr>
          <w:rFonts w:ascii="Arial" w:hAnsi="Arial" w:cs="Arial"/>
          <w:lang w:val="en-US"/>
        </w:rPr>
      </w:pPr>
      <w:r w:rsidRPr="00AD20EE">
        <w:rPr>
          <w:rFonts w:ascii="Arial" w:hAnsi="Arial" w:cs="Arial"/>
          <w:lang w:val="en-US"/>
        </w:rPr>
        <w:t>19.</w:t>
      </w:r>
      <w:r w:rsidRPr="00AD20EE">
        <w:rPr>
          <w:rFonts w:ascii="Arial" w:hAnsi="Arial" w:cs="Arial"/>
          <w:lang w:val="en-US"/>
        </w:rPr>
        <w:tab/>
      </w:r>
      <w:r w:rsidR="0096202A" w:rsidRPr="008B4054">
        <w:rPr>
          <w:rFonts w:ascii="Arial" w:hAnsi="Arial" w:cs="Arial"/>
          <w:lang w:val="en-US"/>
        </w:rPr>
        <w:t>I am therefore persuaded that the defendant has provided an explanation for the delay, which is bona fide and was not made with the intention of delaying the finalisation of the application. Moreover, I am satisfied that the defendant has a bona fide defence to the application, which will be dealt with more fully below. He has therefore shown good cause as he is required to do to succeed in a condonation application.</w:t>
      </w:r>
      <w:r w:rsidR="0096202A" w:rsidRPr="00AD20EE">
        <w:rPr>
          <w:rStyle w:val="FootnoteReference"/>
          <w:rFonts w:ascii="Arial" w:hAnsi="Arial" w:cs="Arial"/>
          <w:lang w:val="en-US"/>
        </w:rPr>
        <w:footnoteReference w:id="3"/>
      </w:r>
      <w:r w:rsidR="0096202A" w:rsidRPr="008B4054">
        <w:rPr>
          <w:rFonts w:ascii="Arial" w:hAnsi="Arial" w:cs="Arial"/>
          <w:lang w:val="en-US"/>
        </w:rPr>
        <w:t xml:space="preserve"> </w:t>
      </w:r>
    </w:p>
    <w:p w14:paraId="4E7D079F" w14:textId="77777777" w:rsidR="0096202A" w:rsidRPr="00AD20EE" w:rsidRDefault="0096202A" w:rsidP="0096202A">
      <w:pPr>
        <w:pStyle w:val="ListParagraph"/>
        <w:spacing w:line="480" w:lineRule="auto"/>
        <w:jc w:val="both"/>
        <w:rPr>
          <w:rFonts w:ascii="Arial" w:hAnsi="Arial" w:cs="Arial"/>
          <w:lang w:val="en-US"/>
        </w:rPr>
      </w:pPr>
    </w:p>
    <w:p w14:paraId="2D9A3648" w14:textId="45B7B53F" w:rsidR="0096202A" w:rsidRPr="008B4054" w:rsidRDefault="008B4054" w:rsidP="008B4054">
      <w:pPr>
        <w:spacing w:line="480" w:lineRule="auto"/>
        <w:ind w:left="360" w:hanging="360"/>
        <w:jc w:val="both"/>
        <w:rPr>
          <w:rFonts w:ascii="Arial" w:hAnsi="Arial" w:cs="Arial"/>
          <w:lang w:val="en-US"/>
        </w:rPr>
      </w:pPr>
      <w:r w:rsidRPr="00AD20EE">
        <w:rPr>
          <w:rFonts w:ascii="Arial" w:hAnsi="Arial" w:cs="Arial"/>
          <w:lang w:val="en-US"/>
        </w:rPr>
        <w:t>20.</w:t>
      </w:r>
      <w:r w:rsidRPr="00AD20EE">
        <w:rPr>
          <w:rFonts w:ascii="Arial" w:hAnsi="Arial" w:cs="Arial"/>
          <w:lang w:val="en-US"/>
        </w:rPr>
        <w:tab/>
      </w:r>
      <w:r w:rsidR="0096202A" w:rsidRPr="008B4054">
        <w:rPr>
          <w:rFonts w:ascii="Arial" w:hAnsi="Arial" w:cs="Arial"/>
          <w:lang w:val="en-US"/>
        </w:rPr>
        <w:t>Accordingly, I am inclined to grant condonation to the defendant for the late filing of his answering affidavit with no order as to costs.</w:t>
      </w:r>
    </w:p>
    <w:p w14:paraId="102121A1" w14:textId="77777777" w:rsidR="0096202A" w:rsidRPr="00AD20EE" w:rsidRDefault="0096202A" w:rsidP="0096202A">
      <w:pPr>
        <w:spacing w:line="480" w:lineRule="auto"/>
        <w:jc w:val="both"/>
        <w:rPr>
          <w:rFonts w:ascii="Arial" w:hAnsi="Arial" w:cs="Arial"/>
          <w:b/>
          <w:bCs/>
          <w:lang w:val="en-US"/>
        </w:rPr>
      </w:pPr>
      <w:r w:rsidRPr="00AD20EE">
        <w:rPr>
          <w:rFonts w:ascii="Arial" w:hAnsi="Arial" w:cs="Arial"/>
          <w:b/>
          <w:bCs/>
          <w:lang w:val="en-US"/>
        </w:rPr>
        <w:t xml:space="preserve"> </w:t>
      </w:r>
    </w:p>
    <w:p w14:paraId="6213DD2D" w14:textId="77777777" w:rsidR="0096202A" w:rsidRPr="00AD20EE" w:rsidRDefault="0096202A" w:rsidP="0096202A">
      <w:pPr>
        <w:spacing w:line="480" w:lineRule="auto"/>
        <w:jc w:val="both"/>
        <w:rPr>
          <w:rFonts w:ascii="Arial" w:hAnsi="Arial" w:cs="Arial"/>
          <w:b/>
          <w:bCs/>
          <w:lang w:val="en-US"/>
        </w:rPr>
      </w:pPr>
      <w:r w:rsidRPr="00AD20EE">
        <w:rPr>
          <w:rFonts w:ascii="Arial" w:hAnsi="Arial" w:cs="Arial"/>
          <w:b/>
          <w:bCs/>
          <w:lang w:val="en-US"/>
        </w:rPr>
        <w:t>Legal Principles relating to Rule 35(3) notices.</w:t>
      </w:r>
    </w:p>
    <w:p w14:paraId="2F18F053" w14:textId="77777777" w:rsidR="0096202A" w:rsidRPr="00AD20EE" w:rsidRDefault="0096202A" w:rsidP="0096202A">
      <w:pPr>
        <w:spacing w:line="480" w:lineRule="auto"/>
        <w:jc w:val="both"/>
        <w:rPr>
          <w:rFonts w:ascii="Arial" w:hAnsi="Arial" w:cs="Arial"/>
          <w:b/>
          <w:bCs/>
          <w:lang w:val="en-US"/>
        </w:rPr>
      </w:pPr>
    </w:p>
    <w:p w14:paraId="6AC865FC" w14:textId="2C83D75F" w:rsidR="0096202A" w:rsidRPr="008B4054" w:rsidRDefault="008B4054" w:rsidP="008B4054">
      <w:pPr>
        <w:spacing w:line="480" w:lineRule="auto"/>
        <w:ind w:left="360" w:hanging="360"/>
        <w:jc w:val="both"/>
        <w:rPr>
          <w:rFonts w:ascii="Arial" w:hAnsi="Arial" w:cs="Arial"/>
        </w:rPr>
      </w:pPr>
      <w:r w:rsidRPr="00AD20EE">
        <w:rPr>
          <w:rFonts w:ascii="Arial" w:hAnsi="Arial" w:cs="Arial"/>
        </w:rPr>
        <w:t>21.</w:t>
      </w:r>
      <w:r w:rsidRPr="00AD20EE">
        <w:rPr>
          <w:rFonts w:ascii="Arial" w:hAnsi="Arial" w:cs="Arial"/>
        </w:rPr>
        <w:tab/>
      </w:r>
      <w:r w:rsidR="0096202A" w:rsidRPr="008B4054">
        <w:rPr>
          <w:rFonts w:ascii="Arial" w:hAnsi="Arial" w:cs="Arial"/>
        </w:rPr>
        <w:t>Rule 35(3) sets out that:- “</w:t>
      </w:r>
      <w:r w:rsidR="0096202A" w:rsidRPr="008B4054">
        <w:rPr>
          <w:rFonts w:ascii="Arial" w:hAnsi="Arial" w:cs="Arial"/>
          <w:i/>
          <w:iCs/>
        </w:rPr>
        <w:t xml:space="preserve">If any party believes that there are, in addition to documents or tape recordings disclosed as aforesaid, other documents (including copies thereof) or tape recordings </w:t>
      </w:r>
      <w:r w:rsidR="0096202A" w:rsidRPr="008B4054">
        <w:rPr>
          <w:rFonts w:ascii="Arial" w:hAnsi="Arial" w:cs="Arial"/>
          <w:i/>
          <w:iCs/>
          <w:u w:val="single"/>
        </w:rPr>
        <w:t>which may be relevant to any matter in question</w:t>
      </w:r>
      <w:r w:rsidR="0096202A" w:rsidRPr="008B4054">
        <w:rPr>
          <w:rFonts w:ascii="Arial" w:hAnsi="Arial" w:cs="Arial"/>
          <w:i/>
          <w:iCs/>
        </w:rPr>
        <w:t xml:space="preserve"> in the possession of any party thereto, the former may give notice to the latter requiring such party to make the same available for inspection in accordance with subrule (6), or to state on oath within 10 days that such documents or tape recordings are not in such party’s possession, in which event the party making the disclosure shall state their whereabouts if known.” </w:t>
      </w:r>
      <w:r w:rsidR="0096202A" w:rsidRPr="008B4054">
        <w:rPr>
          <w:rFonts w:ascii="Arial" w:hAnsi="Arial" w:cs="Arial"/>
        </w:rPr>
        <w:t>(underlining my emphasis)</w:t>
      </w:r>
    </w:p>
    <w:p w14:paraId="24FD597A" w14:textId="77777777" w:rsidR="0096202A" w:rsidRPr="00AD20EE" w:rsidRDefault="0096202A" w:rsidP="0096202A">
      <w:pPr>
        <w:pStyle w:val="ListParagraph"/>
        <w:spacing w:line="480" w:lineRule="auto"/>
        <w:ind w:left="360"/>
        <w:jc w:val="both"/>
        <w:rPr>
          <w:rFonts w:ascii="Arial" w:hAnsi="Arial" w:cs="Arial"/>
        </w:rPr>
      </w:pPr>
    </w:p>
    <w:p w14:paraId="265E6A93" w14:textId="652B807D" w:rsidR="0096202A" w:rsidRPr="008B4054" w:rsidRDefault="008B4054" w:rsidP="008B4054">
      <w:pPr>
        <w:spacing w:line="480" w:lineRule="auto"/>
        <w:ind w:left="360" w:hanging="360"/>
        <w:jc w:val="both"/>
        <w:rPr>
          <w:rFonts w:ascii="Arial" w:hAnsi="Arial" w:cs="Arial"/>
        </w:rPr>
      </w:pPr>
      <w:r w:rsidRPr="00AD20EE">
        <w:rPr>
          <w:rFonts w:ascii="Arial" w:hAnsi="Arial" w:cs="Arial"/>
        </w:rPr>
        <w:t>22.</w:t>
      </w:r>
      <w:r w:rsidRPr="00AD20EE">
        <w:rPr>
          <w:rFonts w:ascii="Arial" w:hAnsi="Arial" w:cs="Arial"/>
        </w:rPr>
        <w:tab/>
      </w:r>
      <w:r w:rsidR="0096202A" w:rsidRPr="008B4054">
        <w:rPr>
          <w:rFonts w:ascii="Arial" w:hAnsi="Arial" w:cs="Arial"/>
        </w:rPr>
        <w:t>In Swissborough Diamond Mines (Pty) Ltd V Government of the Republic of South Africa 1999 (2) SA 297 (T) at 320F-H</w:t>
      </w:r>
      <w:r w:rsidR="0096202A" w:rsidRPr="008B4054">
        <w:rPr>
          <w:rFonts w:ascii="Arial" w:hAnsi="Arial" w:cs="Arial"/>
          <w:b/>
          <w:bCs/>
        </w:rPr>
        <w:t>,</w:t>
      </w:r>
      <w:r w:rsidR="0096202A" w:rsidRPr="008B4054">
        <w:rPr>
          <w:rFonts w:ascii="Arial" w:hAnsi="Arial" w:cs="Arial"/>
        </w:rPr>
        <w:t xml:space="preserve"> Joffe J held that the party seeking to go behind the discovery affidavit bears the onus before explaining on what that party may rely on discharging that onus:</w:t>
      </w:r>
    </w:p>
    <w:p w14:paraId="0F2B474C" w14:textId="77777777" w:rsidR="0096202A" w:rsidRPr="00AD20EE" w:rsidRDefault="0096202A" w:rsidP="0096202A">
      <w:pPr>
        <w:spacing w:line="480" w:lineRule="auto"/>
        <w:jc w:val="both"/>
        <w:rPr>
          <w:rFonts w:ascii="Arial" w:hAnsi="Arial" w:cs="Arial"/>
          <w:i/>
          <w:iCs/>
        </w:rPr>
      </w:pPr>
    </w:p>
    <w:p w14:paraId="0A5AE370" w14:textId="77777777" w:rsidR="0096202A" w:rsidRPr="00AD20EE" w:rsidRDefault="0096202A" w:rsidP="0096202A">
      <w:pPr>
        <w:pStyle w:val="ListParagraph"/>
        <w:spacing w:line="480" w:lineRule="auto"/>
        <w:jc w:val="both"/>
        <w:rPr>
          <w:rFonts w:ascii="Arial" w:hAnsi="Arial" w:cs="Arial"/>
          <w:i/>
          <w:iCs/>
        </w:rPr>
      </w:pPr>
      <w:r w:rsidRPr="00AD20EE">
        <w:rPr>
          <w:rFonts w:ascii="Arial" w:hAnsi="Arial" w:cs="Arial"/>
          <w:i/>
          <w:iCs/>
        </w:rPr>
        <w:t>“Accepting that the onus is in the party seeking to go behind the discovery affidavit, the Court, in determining whether to go behind the discovery affidavit, will only have regard to the following:-</w:t>
      </w:r>
    </w:p>
    <w:p w14:paraId="5BD3F556" w14:textId="77777777" w:rsidR="0096202A" w:rsidRPr="00AD20EE" w:rsidRDefault="0096202A" w:rsidP="0096202A">
      <w:pPr>
        <w:pStyle w:val="ListParagraph"/>
        <w:spacing w:line="480" w:lineRule="auto"/>
        <w:jc w:val="both"/>
        <w:rPr>
          <w:rFonts w:ascii="Arial" w:hAnsi="Arial" w:cs="Arial"/>
          <w:i/>
          <w:iCs/>
        </w:rPr>
      </w:pPr>
    </w:p>
    <w:p w14:paraId="6D77C02D" w14:textId="0A40C27F" w:rsidR="0096202A" w:rsidRPr="008B4054" w:rsidRDefault="008B4054" w:rsidP="008B4054">
      <w:pPr>
        <w:spacing w:line="480" w:lineRule="auto"/>
        <w:ind w:left="1440" w:hanging="720"/>
        <w:jc w:val="both"/>
        <w:rPr>
          <w:rFonts w:ascii="Arial" w:hAnsi="Arial" w:cs="Arial"/>
          <w:i/>
          <w:iCs/>
        </w:rPr>
      </w:pPr>
      <w:r w:rsidRPr="00AD20EE">
        <w:rPr>
          <w:rFonts w:ascii="Arial" w:hAnsi="Arial" w:cs="Arial"/>
          <w:i/>
          <w:iCs/>
        </w:rPr>
        <w:t>(i)</w:t>
      </w:r>
      <w:r w:rsidRPr="00AD20EE">
        <w:rPr>
          <w:rFonts w:ascii="Arial" w:hAnsi="Arial" w:cs="Arial"/>
          <w:i/>
          <w:iCs/>
        </w:rPr>
        <w:tab/>
      </w:r>
      <w:r w:rsidR="0096202A" w:rsidRPr="008B4054">
        <w:rPr>
          <w:rFonts w:ascii="Arial" w:hAnsi="Arial" w:cs="Arial"/>
          <w:i/>
          <w:iCs/>
        </w:rPr>
        <w:t>The discovery affidavit itself; or</w:t>
      </w:r>
    </w:p>
    <w:p w14:paraId="261479AE" w14:textId="577D22CD" w:rsidR="0096202A" w:rsidRPr="008B4054" w:rsidRDefault="008B4054" w:rsidP="008B4054">
      <w:pPr>
        <w:spacing w:line="480" w:lineRule="auto"/>
        <w:ind w:left="1440" w:hanging="720"/>
        <w:jc w:val="both"/>
        <w:rPr>
          <w:rFonts w:ascii="Arial" w:hAnsi="Arial" w:cs="Arial"/>
          <w:i/>
          <w:iCs/>
        </w:rPr>
      </w:pPr>
      <w:r w:rsidRPr="00AD20EE">
        <w:rPr>
          <w:rFonts w:ascii="Arial" w:hAnsi="Arial" w:cs="Arial"/>
          <w:i/>
          <w:iCs/>
        </w:rPr>
        <w:lastRenderedPageBreak/>
        <w:t>(ii)</w:t>
      </w:r>
      <w:r w:rsidRPr="00AD20EE">
        <w:rPr>
          <w:rFonts w:ascii="Arial" w:hAnsi="Arial" w:cs="Arial"/>
          <w:i/>
          <w:iCs/>
        </w:rPr>
        <w:tab/>
      </w:r>
      <w:r w:rsidR="0096202A" w:rsidRPr="008B4054">
        <w:rPr>
          <w:rFonts w:ascii="Arial" w:hAnsi="Arial" w:cs="Arial"/>
          <w:i/>
          <w:iCs/>
        </w:rPr>
        <w:t>The documents referred to in the discovery affidavit; or</w:t>
      </w:r>
    </w:p>
    <w:p w14:paraId="7A8CE14C" w14:textId="64809561" w:rsidR="0096202A" w:rsidRPr="008B4054" w:rsidRDefault="008B4054" w:rsidP="008B4054">
      <w:pPr>
        <w:spacing w:line="480" w:lineRule="auto"/>
        <w:ind w:left="1440" w:hanging="720"/>
        <w:jc w:val="both"/>
        <w:rPr>
          <w:rFonts w:ascii="Arial" w:hAnsi="Arial" w:cs="Arial"/>
          <w:i/>
          <w:iCs/>
        </w:rPr>
      </w:pPr>
      <w:r w:rsidRPr="00AD20EE">
        <w:rPr>
          <w:rFonts w:ascii="Arial" w:hAnsi="Arial" w:cs="Arial"/>
          <w:i/>
          <w:iCs/>
        </w:rPr>
        <w:t>(iii)</w:t>
      </w:r>
      <w:r w:rsidRPr="00AD20EE">
        <w:rPr>
          <w:rFonts w:ascii="Arial" w:hAnsi="Arial" w:cs="Arial"/>
          <w:i/>
          <w:iCs/>
        </w:rPr>
        <w:tab/>
      </w:r>
      <w:r w:rsidR="0096202A" w:rsidRPr="008B4054">
        <w:rPr>
          <w:rFonts w:ascii="Arial" w:hAnsi="Arial" w:cs="Arial"/>
          <w:i/>
          <w:iCs/>
          <w:u w:val="single"/>
        </w:rPr>
        <w:t>The pleadings in the action</w:t>
      </w:r>
      <w:r w:rsidR="0096202A" w:rsidRPr="008B4054">
        <w:rPr>
          <w:rFonts w:ascii="Arial" w:hAnsi="Arial" w:cs="Arial"/>
          <w:i/>
          <w:iCs/>
        </w:rPr>
        <w:t>; or</w:t>
      </w:r>
    </w:p>
    <w:p w14:paraId="09AC1FB1" w14:textId="04114B4B" w:rsidR="0096202A" w:rsidRPr="008B4054" w:rsidRDefault="008B4054" w:rsidP="008B4054">
      <w:pPr>
        <w:spacing w:line="480" w:lineRule="auto"/>
        <w:ind w:left="1440" w:hanging="720"/>
        <w:jc w:val="both"/>
        <w:rPr>
          <w:rFonts w:ascii="Arial" w:hAnsi="Arial" w:cs="Arial"/>
          <w:i/>
          <w:iCs/>
        </w:rPr>
      </w:pPr>
      <w:r w:rsidRPr="00AD20EE">
        <w:rPr>
          <w:rFonts w:ascii="Arial" w:hAnsi="Arial" w:cs="Arial"/>
          <w:i/>
          <w:iCs/>
        </w:rPr>
        <w:t>(iv)</w:t>
      </w:r>
      <w:r w:rsidRPr="00AD20EE">
        <w:rPr>
          <w:rFonts w:ascii="Arial" w:hAnsi="Arial" w:cs="Arial"/>
          <w:i/>
          <w:iCs/>
        </w:rPr>
        <w:tab/>
      </w:r>
      <w:r w:rsidR="0096202A" w:rsidRPr="008B4054">
        <w:rPr>
          <w:rFonts w:ascii="Arial" w:hAnsi="Arial" w:cs="Arial"/>
          <w:i/>
          <w:iCs/>
        </w:rPr>
        <w:t>Any admissions made by the party making the discovery affidavit; or</w:t>
      </w:r>
    </w:p>
    <w:p w14:paraId="2B487F2D" w14:textId="695618B2" w:rsidR="0096202A" w:rsidRPr="008B4054" w:rsidRDefault="008B4054" w:rsidP="008B4054">
      <w:pPr>
        <w:spacing w:line="480" w:lineRule="auto"/>
        <w:ind w:left="1440" w:hanging="720"/>
        <w:jc w:val="both"/>
        <w:rPr>
          <w:rFonts w:ascii="Arial" w:hAnsi="Arial" w:cs="Arial"/>
          <w:i/>
          <w:iCs/>
        </w:rPr>
      </w:pPr>
      <w:r w:rsidRPr="00AD20EE">
        <w:rPr>
          <w:rFonts w:ascii="Arial" w:hAnsi="Arial" w:cs="Arial"/>
          <w:i/>
          <w:iCs/>
        </w:rPr>
        <w:t>(v)</w:t>
      </w:r>
      <w:r w:rsidRPr="00AD20EE">
        <w:rPr>
          <w:rFonts w:ascii="Arial" w:hAnsi="Arial" w:cs="Arial"/>
          <w:i/>
          <w:iCs/>
        </w:rPr>
        <w:tab/>
      </w:r>
      <w:r w:rsidR="0096202A" w:rsidRPr="008B4054">
        <w:rPr>
          <w:rFonts w:ascii="Arial" w:hAnsi="Arial" w:cs="Arial"/>
          <w:i/>
          <w:iCs/>
          <w:u w:val="single"/>
        </w:rPr>
        <w:t>The nature of the case</w:t>
      </w:r>
      <w:r w:rsidR="0096202A" w:rsidRPr="008B4054">
        <w:rPr>
          <w:rFonts w:ascii="Arial" w:hAnsi="Arial" w:cs="Arial"/>
          <w:i/>
          <w:iCs/>
        </w:rPr>
        <w:t xml:space="preserve"> or the documents in the issue.”</w:t>
      </w:r>
      <w:r w:rsidR="0096202A" w:rsidRPr="00AD20EE">
        <w:rPr>
          <w:rStyle w:val="FootnoteReference"/>
          <w:rFonts w:ascii="Arial" w:hAnsi="Arial" w:cs="Arial"/>
          <w:i/>
          <w:iCs/>
        </w:rPr>
        <w:footnoteReference w:id="4"/>
      </w:r>
    </w:p>
    <w:p w14:paraId="1743ABD4" w14:textId="77777777" w:rsidR="0096202A" w:rsidRPr="00AD20EE" w:rsidRDefault="0096202A" w:rsidP="0096202A">
      <w:pPr>
        <w:spacing w:line="480" w:lineRule="auto"/>
        <w:jc w:val="both"/>
        <w:rPr>
          <w:rFonts w:ascii="Arial" w:hAnsi="Arial" w:cs="Arial"/>
        </w:rPr>
      </w:pPr>
    </w:p>
    <w:p w14:paraId="1A23ACA0" w14:textId="538CCCBA" w:rsidR="0096202A" w:rsidRPr="008B4054" w:rsidRDefault="008B4054" w:rsidP="008B4054">
      <w:pPr>
        <w:spacing w:line="480" w:lineRule="auto"/>
        <w:ind w:left="360" w:hanging="360"/>
        <w:jc w:val="both"/>
        <w:rPr>
          <w:rFonts w:ascii="Arial" w:hAnsi="Arial" w:cs="Arial"/>
        </w:rPr>
      </w:pPr>
      <w:r w:rsidRPr="00AD20EE">
        <w:rPr>
          <w:rFonts w:ascii="Arial" w:hAnsi="Arial" w:cs="Arial"/>
        </w:rPr>
        <w:t>23.</w:t>
      </w:r>
      <w:r w:rsidRPr="00AD20EE">
        <w:rPr>
          <w:rFonts w:ascii="Arial" w:hAnsi="Arial" w:cs="Arial"/>
        </w:rPr>
        <w:tab/>
      </w:r>
      <w:r w:rsidR="0096202A" w:rsidRPr="008B4054">
        <w:rPr>
          <w:rFonts w:ascii="Arial" w:hAnsi="Arial" w:cs="Arial"/>
        </w:rPr>
        <w:t>Before a party can be entitled to the documents sought, it must show that they may be relevant to any matter or question.  The issues raised in the pleadings need to be considered for the Court to determine relevance</w:t>
      </w:r>
      <w:r w:rsidR="0096202A" w:rsidRPr="00AD20EE">
        <w:rPr>
          <w:rStyle w:val="FootnoteReference"/>
          <w:rFonts w:ascii="Arial" w:hAnsi="Arial" w:cs="Arial"/>
        </w:rPr>
        <w:footnoteReference w:id="5"/>
      </w:r>
      <w:r w:rsidR="0096202A" w:rsidRPr="008B4054">
        <w:rPr>
          <w:rFonts w:ascii="Arial" w:hAnsi="Arial" w:cs="Arial"/>
        </w:rPr>
        <w:t>.</w:t>
      </w:r>
    </w:p>
    <w:p w14:paraId="65A229F9" w14:textId="77777777" w:rsidR="0096202A" w:rsidRPr="00AD20EE" w:rsidRDefault="0096202A" w:rsidP="0096202A">
      <w:pPr>
        <w:pStyle w:val="ListParagraph"/>
        <w:spacing w:line="480" w:lineRule="auto"/>
        <w:ind w:left="360"/>
        <w:jc w:val="both"/>
        <w:rPr>
          <w:rFonts w:ascii="Arial" w:hAnsi="Arial" w:cs="Arial"/>
        </w:rPr>
      </w:pPr>
      <w:r w:rsidRPr="00AD20EE">
        <w:rPr>
          <w:rFonts w:ascii="Arial" w:hAnsi="Arial" w:cs="Arial"/>
        </w:rPr>
        <w:t xml:space="preserve"> </w:t>
      </w:r>
    </w:p>
    <w:p w14:paraId="193129F9" w14:textId="3E946791" w:rsidR="0096202A" w:rsidRPr="008B4054" w:rsidRDefault="008B4054" w:rsidP="008B4054">
      <w:pPr>
        <w:spacing w:line="480" w:lineRule="auto"/>
        <w:ind w:left="360" w:hanging="360"/>
        <w:jc w:val="both"/>
        <w:rPr>
          <w:rFonts w:ascii="Arial" w:hAnsi="Arial" w:cs="Arial"/>
        </w:rPr>
      </w:pPr>
      <w:r w:rsidRPr="00AD20EE">
        <w:rPr>
          <w:rFonts w:ascii="Arial" w:hAnsi="Arial" w:cs="Arial"/>
        </w:rPr>
        <w:t>24.</w:t>
      </w:r>
      <w:r w:rsidRPr="00AD20EE">
        <w:rPr>
          <w:rFonts w:ascii="Arial" w:hAnsi="Arial" w:cs="Arial"/>
        </w:rPr>
        <w:tab/>
      </w:r>
      <w:r w:rsidR="0096202A" w:rsidRPr="008B4054">
        <w:rPr>
          <w:rFonts w:ascii="Arial" w:hAnsi="Arial" w:cs="Arial"/>
        </w:rPr>
        <w:t xml:space="preserve">In </w:t>
      </w:r>
      <w:r w:rsidR="0096202A" w:rsidRPr="008B4054">
        <w:rPr>
          <w:rFonts w:ascii="Arial" w:hAnsi="Arial" w:cs="Arial"/>
          <w:lang w:val="en-US"/>
        </w:rPr>
        <w:t xml:space="preserve">Rellams (Pty) Ltd V James Brown &amp; Hamer Ltd 1983 (1) SA 556 (N) on page 560, it was held as follows:- </w:t>
      </w:r>
    </w:p>
    <w:p w14:paraId="0E23FA3F" w14:textId="77777777" w:rsidR="0096202A" w:rsidRPr="00AD20EE" w:rsidRDefault="0096202A" w:rsidP="0096202A">
      <w:pPr>
        <w:pStyle w:val="ListParagraph"/>
        <w:spacing w:line="480" w:lineRule="auto"/>
        <w:jc w:val="both"/>
        <w:rPr>
          <w:rFonts w:ascii="Arial" w:hAnsi="Arial" w:cs="Arial"/>
        </w:rPr>
      </w:pPr>
    </w:p>
    <w:p w14:paraId="1543ECA0" w14:textId="77777777" w:rsidR="0096202A" w:rsidRPr="00AD20EE" w:rsidRDefault="0096202A" w:rsidP="0096202A">
      <w:pPr>
        <w:pStyle w:val="ListParagraph"/>
        <w:spacing w:line="480" w:lineRule="auto"/>
        <w:jc w:val="both"/>
        <w:rPr>
          <w:rFonts w:ascii="Arial" w:hAnsi="Arial" w:cs="Arial"/>
          <w:i/>
          <w:iCs/>
          <w:color w:val="000000" w:themeColor="text1"/>
          <w:shd w:val="clear" w:color="auto" w:fill="FFFFFF"/>
        </w:rPr>
      </w:pPr>
      <w:r w:rsidRPr="00AD20EE">
        <w:rPr>
          <w:rFonts w:ascii="Arial" w:hAnsi="Arial" w:cs="Arial"/>
          <w:i/>
          <w:iCs/>
          <w:color w:val="000000" w:themeColor="text1"/>
          <w:shd w:val="clear" w:color="auto" w:fill="FFFFFF"/>
        </w:rPr>
        <w:t>“It is, generally speaking, no doubt true that, whilst the Court should not and would not go behind a party's affidavit that the contents of a document are not relevant, such affidavit is nevertheless as far as the Court is concerned not conclusive. After an examination and consideration of the recognised sources as well as the pleadings and the nature of the case the Court may come to the conclusion that the party making discovery in all probability has other relevant and disclosable documents in his possession or power and may order further and better discovery or production in conflict with the claim in the affidavit.</w:t>
      </w:r>
    </w:p>
    <w:p w14:paraId="69D97044" w14:textId="77777777" w:rsidR="0096202A" w:rsidRPr="00AD20EE" w:rsidRDefault="0096202A" w:rsidP="0096202A">
      <w:pPr>
        <w:spacing w:line="480" w:lineRule="auto"/>
        <w:jc w:val="both"/>
        <w:rPr>
          <w:rFonts w:ascii="Arial" w:hAnsi="Arial" w:cs="Arial"/>
          <w:i/>
          <w:iCs/>
        </w:rPr>
      </w:pPr>
    </w:p>
    <w:p w14:paraId="55B4DF1B" w14:textId="21ABC600" w:rsidR="0096202A" w:rsidRPr="008B4054" w:rsidRDefault="008B4054" w:rsidP="008B4054">
      <w:pPr>
        <w:spacing w:line="480" w:lineRule="auto"/>
        <w:ind w:left="360" w:hanging="360"/>
        <w:jc w:val="both"/>
        <w:rPr>
          <w:rFonts w:ascii="Arial" w:hAnsi="Arial" w:cs="Arial"/>
        </w:rPr>
      </w:pPr>
      <w:r w:rsidRPr="00AD20EE">
        <w:rPr>
          <w:rFonts w:ascii="Arial" w:hAnsi="Arial" w:cs="Arial"/>
        </w:rPr>
        <w:t>25.</w:t>
      </w:r>
      <w:r w:rsidRPr="00AD20EE">
        <w:rPr>
          <w:rFonts w:ascii="Arial" w:hAnsi="Arial" w:cs="Arial"/>
        </w:rPr>
        <w:tab/>
      </w:r>
      <w:r w:rsidR="0096202A" w:rsidRPr="008B4054">
        <w:rPr>
          <w:rFonts w:ascii="Arial" w:hAnsi="Arial" w:cs="Arial"/>
        </w:rPr>
        <w:t>Relevancy is determined from the pleadings and not extraneously therefrom</w:t>
      </w:r>
      <w:r w:rsidR="0096202A" w:rsidRPr="00AD20EE">
        <w:rPr>
          <w:rStyle w:val="FootnoteReference"/>
          <w:rFonts w:ascii="Arial" w:hAnsi="Arial" w:cs="Arial"/>
        </w:rPr>
        <w:footnoteReference w:id="6"/>
      </w:r>
      <w:r w:rsidR="0096202A" w:rsidRPr="008B4054">
        <w:rPr>
          <w:rFonts w:ascii="Arial" w:hAnsi="Arial" w:cs="Arial"/>
        </w:rPr>
        <w:t xml:space="preserve">. The test for determining relevancy has been set out in the </w:t>
      </w:r>
      <w:r w:rsidR="0096202A" w:rsidRPr="008B4054">
        <w:rPr>
          <w:rFonts w:ascii="Arial" w:hAnsi="Arial" w:cs="Arial"/>
          <w:i/>
          <w:iCs/>
        </w:rPr>
        <w:t>locus classicus</w:t>
      </w:r>
      <w:r w:rsidR="0096202A" w:rsidRPr="008B4054">
        <w:rPr>
          <w:rFonts w:ascii="Arial" w:hAnsi="Arial" w:cs="Arial"/>
        </w:rPr>
        <w:t xml:space="preserve"> case of </w:t>
      </w:r>
      <w:r w:rsidR="0096202A" w:rsidRPr="008B4054">
        <w:rPr>
          <w:rFonts w:ascii="Arial" w:hAnsi="Arial" w:cs="Arial"/>
          <w:b/>
          <w:bCs/>
        </w:rPr>
        <w:lastRenderedPageBreak/>
        <w:t>Compagnie Financiere et Commerciale Du Pacifique V Peruvian Guano Co (1882) 11 QBD 55 (“Compagnie case”),</w:t>
      </w:r>
      <w:r w:rsidR="0096202A" w:rsidRPr="008B4054">
        <w:rPr>
          <w:rFonts w:ascii="Arial" w:hAnsi="Arial" w:cs="Arial"/>
        </w:rPr>
        <w:t xml:space="preserve"> which has often been accepted and applied in our Courts and which sets out “</w:t>
      </w:r>
      <w:r w:rsidR="0096202A" w:rsidRPr="008B4054">
        <w:rPr>
          <w:rFonts w:ascii="Arial" w:hAnsi="Arial" w:cs="Arial"/>
          <w:i/>
          <w:iCs/>
        </w:rPr>
        <w:t xml:space="preserve">It seems to me that every document relates to the matter in question in the action, which it reasonable to suppose, contained information which </w:t>
      </w:r>
      <w:r w:rsidR="0096202A" w:rsidRPr="008B4054">
        <w:rPr>
          <w:rFonts w:ascii="Arial" w:hAnsi="Arial" w:cs="Arial"/>
          <w:i/>
          <w:iCs/>
          <w:u w:val="single"/>
        </w:rPr>
        <w:t>may</w:t>
      </w:r>
      <w:r w:rsidR="0096202A" w:rsidRPr="008B4054">
        <w:rPr>
          <w:rFonts w:ascii="Arial" w:hAnsi="Arial" w:cs="Arial"/>
          <w:i/>
          <w:iCs/>
        </w:rPr>
        <w:t xml:space="preserve"> – not which must – either </w:t>
      </w:r>
      <w:r w:rsidR="0096202A" w:rsidRPr="008B4054">
        <w:rPr>
          <w:rFonts w:ascii="Arial" w:hAnsi="Arial" w:cs="Arial"/>
          <w:i/>
          <w:iCs/>
          <w:u w:val="single"/>
        </w:rPr>
        <w:t>directly or indirectly</w:t>
      </w:r>
      <w:r w:rsidR="0096202A" w:rsidRPr="008B4054">
        <w:rPr>
          <w:rFonts w:ascii="Arial" w:hAnsi="Arial" w:cs="Arial"/>
          <w:i/>
          <w:iCs/>
        </w:rPr>
        <w:t xml:space="preserve"> enable the party requiring the affidavit </w:t>
      </w:r>
      <w:r w:rsidR="0096202A" w:rsidRPr="008B4054">
        <w:rPr>
          <w:rFonts w:ascii="Arial" w:hAnsi="Arial" w:cs="Arial"/>
          <w:i/>
          <w:iCs/>
          <w:u w:val="single"/>
        </w:rPr>
        <w:t xml:space="preserve">either to advance his own case or to damage the case of his adversary. </w:t>
      </w:r>
      <w:r w:rsidR="0096202A" w:rsidRPr="008B4054">
        <w:rPr>
          <w:rFonts w:ascii="Arial" w:hAnsi="Arial" w:cs="Arial"/>
          <w:i/>
          <w:iCs/>
        </w:rPr>
        <w:t xml:space="preserve">I have put in the words ‘either directly or indirectly’ because it seems to me, a document can properly be said to contain information which may enable the party requiring the affidavit either to advance his own case or to damage the cause of his adversary, if it is a document which may fairly lead him to a train of enquiry which may have either of these two consequences”. </w:t>
      </w:r>
      <w:r w:rsidR="0096202A" w:rsidRPr="008B4054">
        <w:rPr>
          <w:rFonts w:ascii="Arial" w:hAnsi="Arial" w:cs="Arial"/>
        </w:rPr>
        <w:t xml:space="preserve">It is furthermore held in the Compagnie case that it is desirable to give a wide interpretation to the words </w:t>
      </w:r>
      <w:r w:rsidR="0096202A" w:rsidRPr="008B4054">
        <w:rPr>
          <w:rFonts w:ascii="Arial" w:hAnsi="Arial" w:cs="Arial"/>
          <w:i/>
          <w:iCs/>
        </w:rPr>
        <w:t>“a document relating to any matter in question in the action”.</w:t>
      </w:r>
      <w:r w:rsidR="0096202A" w:rsidRPr="008B4054">
        <w:rPr>
          <w:rFonts w:ascii="Arial" w:hAnsi="Arial" w:cs="Arial"/>
        </w:rPr>
        <w:t xml:space="preserve"> </w:t>
      </w:r>
    </w:p>
    <w:p w14:paraId="16DFF90F" w14:textId="77777777" w:rsidR="0096202A" w:rsidRPr="00AD20EE" w:rsidRDefault="0096202A" w:rsidP="0096202A">
      <w:pPr>
        <w:pStyle w:val="ListParagraph"/>
        <w:spacing w:line="480" w:lineRule="auto"/>
        <w:jc w:val="both"/>
        <w:rPr>
          <w:rFonts w:ascii="Arial" w:hAnsi="Arial" w:cs="Arial"/>
        </w:rPr>
      </w:pPr>
    </w:p>
    <w:p w14:paraId="29627DA8" w14:textId="2180AFF1" w:rsidR="0096202A" w:rsidRPr="008B4054" w:rsidRDefault="008B4054" w:rsidP="008B4054">
      <w:pPr>
        <w:spacing w:line="480" w:lineRule="auto"/>
        <w:ind w:left="360" w:hanging="360"/>
        <w:jc w:val="both"/>
        <w:rPr>
          <w:rFonts w:ascii="Arial" w:hAnsi="Arial" w:cs="Arial"/>
        </w:rPr>
      </w:pPr>
      <w:r w:rsidRPr="00AD20EE">
        <w:rPr>
          <w:rFonts w:ascii="Arial" w:hAnsi="Arial" w:cs="Arial"/>
        </w:rPr>
        <w:t>26.</w:t>
      </w:r>
      <w:r w:rsidRPr="00AD20EE">
        <w:rPr>
          <w:rFonts w:ascii="Arial" w:hAnsi="Arial" w:cs="Arial"/>
        </w:rPr>
        <w:tab/>
      </w:r>
      <w:r w:rsidR="0096202A" w:rsidRPr="008B4054">
        <w:rPr>
          <w:rFonts w:ascii="Arial" w:hAnsi="Arial" w:cs="Arial"/>
        </w:rPr>
        <w:t xml:space="preserve">In the unreported decision of </w:t>
      </w:r>
      <w:r w:rsidR="0096202A" w:rsidRPr="008B4054">
        <w:rPr>
          <w:rFonts w:ascii="Arial" w:hAnsi="Arial" w:cs="Arial"/>
          <w:b/>
          <w:bCs/>
          <w:color w:val="2C3E50"/>
          <w:shd w:val="clear" w:color="auto" w:fill="FFFFFF"/>
        </w:rPr>
        <w:t>Louw v Grobler</w:t>
      </w:r>
      <w:r w:rsidR="0096202A" w:rsidRPr="008B4054">
        <w:rPr>
          <w:rStyle w:val="FootnoteReference"/>
          <w:rFonts w:ascii="Arial" w:hAnsi="Arial" w:cs="Arial"/>
          <w:color w:val="2C3E50"/>
          <w:shd w:val="clear" w:color="auto" w:fill="FFFFFF"/>
        </w:rPr>
        <w:t>,</w:t>
      </w:r>
      <w:r w:rsidR="0096202A" w:rsidRPr="00AD20EE">
        <w:rPr>
          <w:rStyle w:val="FootnoteReference"/>
          <w:rFonts w:ascii="Arial" w:hAnsi="Arial" w:cs="Arial"/>
          <w:color w:val="2C3E50"/>
          <w:shd w:val="clear" w:color="auto" w:fill="FFFFFF"/>
        </w:rPr>
        <w:footnoteReference w:id="7"/>
      </w:r>
      <w:r w:rsidR="0096202A" w:rsidRPr="008B4054">
        <w:rPr>
          <w:rFonts w:ascii="Arial" w:hAnsi="Arial" w:cs="Arial"/>
          <w:color w:val="2C3E50"/>
          <w:shd w:val="clear" w:color="auto" w:fill="FFFFFF"/>
        </w:rPr>
        <w:t> it is set out that the purpose of presenting evidence during trial is “</w:t>
      </w:r>
      <w:r w:rsidR="0096202A" w:rsidRPr="008B4054">
        <w:rPr>
          <w:rFonts w:ascii="Arial" w:hAnsi="Arial" w:cs="Arial"/>
          <w:i/>
          <w:iCs/>
          <w:color w:val="2C3E50"/>
          <w:shd w:val="clear" w:color="auto" w:fill="FFFFFF"/>
        </w:rPr>
        <w:t>to establish the probability of the facts upon which the success of a party’s case depends in law</w:t>
      </w:r>
      <w:r w:rsidR="0096202A" w:rsidRPr="008B4054">
        <w:rPr>
          <w:rFonts w:ascii="Arial" w:hAnsi="Arial" w:cs="Arial"/>
          <w:color w:val="2C3E50"/>
          <w:shd w:val="clear" w:color="auto" w:fill="FFFFFF"/>
        </w:rPr>
        <w:t>”. The meaning of relevance has been the subject of many cases, and the definition of relevance is a matter of degree. It has been found as follows “</w:t>
      </w:r>
      <w:r w:rsidR="0096202A" w:rsidRPr="008B4054">
        <w:rPr>
          <w:rFonts w:ascii="Arial" w:hAnsi="Arial" w:cs="Arial"/>
          <w:i/>
          <w:iCs/>
          <w:color w:val="2C3E50"/>
          <w:shd w:val="clear" w:color="auto" w:fill="FFFFFF"/>
        </w:rPr>
        <w:t xml:space="preserve">The word relevant means that any two facts to which it is applied are so related to each other that according to the common course of events one either taken by itself or in connection with the other facts proves or renders probable the past, present or future existence of non-existence of the other”. </w:t>
      </w:r>
      <w:r w:rsidR="0096202A" w:rsidRPr="008B4054">
        <w:rPr>
          <w:rFonts w:ascii="Arial" w:hAnsi="Arial" w:cs="Arial"/>
          <w:color w:val="2C3E50"/>
          <w:shd w:val="clear" w:color="auto" w:fill="FFFFFF"/>
        </w:rPr>
        <w:t xml:space="preserve">The facts and the issues in dispute of the particular case before the </w:t>
      </w:r>
      <w:r w:rsidR="0096202A" w:rsidRPr="008B4054">
        <w:rPr>
          <w:rFonts w:ascii="Arial" w:hAnsi="Arial" w:cs="Arial"/>
          <w:color w:val="2C3E50"/>
          <w:shd w:val="clear" w:color="auto" w:fill="FFFFFF"/>
        </w:rPr>
        <w:lastRenderedPageBreak/>
        <w:t xml:space="preserve">court will decide the question of relevance. Therefore, relevance cannot be resolved in a vacuum. </w:t>
      </w:r>
    </w:p>
    <w:p w14:paraId="427B5B44" w14:textId="77777777" w:rsidR="0096202A" w:rsidRPr="00AD20EE" w:rsidRDefault="0096202A" w:rsidP="0096202A">
      <w:pPr>
        <w:spacing w:line="480" w:lineRule="auto"/>
        <w:jc w:val="both"/>
        <w:rPr>
          <w:rFonts w:ascii="Arial" w:hAnsi="Arial" w:cs="Arial"/>
          <w:b/>
          <w:bCs/>
        </w:rPr>
      </w:pPr>
    </w:p>
    <w:p w14:paraId="2FCF7B32" w14:textId="7FD19D82" w:rsidR="0096202A" w:rsidRDefault="0096202A" w:rsidP="001C374C">
      <w:pPr>
        <w:spacing w:line="480" w:lineRule="auto"/>
        <w:ind w:left="360"/>
        <w:jc w:val="both"/>
        <w:rPr>
          <w:rFonts w:ascii="Arial" w:hAnsi="Arial" w:cs="Arial"/>
        </w:rPr>
      </w:pPr>
      <w:r w:rsidRPr="00AD20EE">
        <w:rPr>
          <w:rFonts w:ascii="Arial" w:hAnsi="Arial" w:cs="Arial"/>
          <w:b/>
          <w:bCs/>
        </w:rPr>
        <w:t>Are the documents sought relevant to the issues in dispute in the main action?</w:t>
      </w:r>
    </w:p>
    <w:p w14:paraId="061C938F" w14:textId="77777777" w:rsidR="001C374C" w:rsidRPr="00AD20EE" w:rsidRDefault="001C374C" w:rsidP="001C374C">
      <w:pPr>
        <w:spacing w:line="480" w:lineRule="auto"/>
        <w:ind w:left="360"/>
        <w:jc w:val="both"/>
        <w:rPr>
          <w:rFonts w:ascii="Arial" w:hAnsi="Arial" w:cs="Arial"/>
        </w:rPr>
      </w:pPr>
    </w:p>
    <w:p w14:paraId="45B60248" w14:textId="79768390" w:rsidR="0096202A" w:rsidRPr="008B4054" w:rsidRDefault="008B4054" w:rsidP="008B4054">
      <w:pPr>
        <w:spacing w:line="480" w:lineRule="auto"/>
        <w:ind w:left="360" w:hanging="360"/>
        <w:jc w:val="both"/>
        <w:rPr>
          <w:rFonts w:ascii="Arial" w:hAnsi="Arial" w:cs="Arial"/>
          <w:b/>
          <w:bCs/>
          <w:lang w:val="en-US"/>
        </w:rPr>
      </w:pPr>
      <w:r w:rsidRPr="00AD20EE">
        <w:rPr>
          <w:rFonts w:ascii="Arial" w:hAnsi="Arial" w:cs="Arial"/>
          <w:b/>
          <w:bCs/>
          <w:lang w:val="en-US"/>
        </w:rPr>
        <w:t>27.</w:t>
      </w:r>
      <w:r w:rsidRPr="00AD20EE">
        <w:rPr>
          <w:rFonts w:ascii="Arial" w:hAnsi="Arial" w:cs="Arial"/>
          <w:b/>
          <w:bCs/>
          <w:lang w:val="en-US"/>
        </w:rPr>
        <w:tab/>
      </w:r>
      <w:r w:rsidR="0096202A" w:rsidRPr="008B4054">
        <w:rPr>
          <w:rFonts w:ascii="Arial" w:hAnsi="Arial" w:cs="Arial"/>
        </w:rPr>
        <w:t xml:space="preserve">The documents sought relate to the payment made by the defendant of R2 million, which he was holding in his trust account either for the benefit of the plaintiff or for the benefit of Sharma.   </w:t>
      </w:r>
    </w:p>
    <w:p w14:paraId="72826B2E" w14:textId="77777777" w:rsidR="0096202A" w:rsidRPr="00AD20EE" w:rsidRDefault="0096202A" w:rsidP="0096202A">
      <w:pPr>
        <w:pStyle w:val="ListParagraph"/>
        <w:spacing w:line="480" w:lineRule="auto"/>
        <w:ind w:left="360"/>
        <w:jc w:val="both"/>
        <w:rPr>
          <w:rFonts w:ascii="Arial" w:hAnsi="Arial" w:cs="Arial"/>
          <w:b/>
          <w:bCs/>
          <w:lang w:val="en-US"/>
        </w:rPr>
      </w:pPr>
    </w:p>
    <w:p w14:paraId="1056BA8D" w14:textId="50DB4D16" w:rsidR="0096202A" w:rsidRPr="008B4054" w:rsidRDefault="008B4054" w:rsidP="008B4054">
      <w:pPr>
        <w:spacing w:line="480" w:lineRule="auto"/>
        <w:ind w:left="360" w:hanging="360"/>
        <w:jc w:val="both"/>
        <w:rPr>
          <w:rFonts w:ascii="Arial" w:hAnsi="Arial" w:cs="Arial"/>
          <w:lang w:val="en-US"/>
        </w:rPr>
      </w:pPr>
      <w:r w:rsidRPr="00AD20EE">
        <w:rPr>
          <w:rFonts w:ascii="Arial" w:hAnsi="Arial" w:cs="Arial"/>
          <w:lang w:val="en-US"/>
        </w:rPr>
        <w:t>28.</w:t>
      </w:r>
      <w:r w:rsidRPr="00AD20EE">
        <w:rPr>
          <w:rFonts w:ascii="Arial" w:hAnsi="Arial" w:cs="Arial"/>
          <w:lang w:val="en-US"/>
        </w:rPr>
        <w:tab/>
      </w:r>
      <w:r w:rsidR="0096202A" w:rsidRPr="008B4054">
        <w:rPr>
          <w:rFonts w:ascii="Arial" w:hAnsi="Arial" w:cs="Arial"/>
          <w:lang w:val="en-US"/>
        </w:rPr>
        <w:t xml:space="preserve">In this regard, </w:t>
      </w:r>
    </w:p>
    <w:p w14:paraId="6A3F69D8" w14:textId="77777777" w:rsidR="0096202A" w:rsidRPr="00AD20EE" w:rsidRDefault="0096202A" w:rsidP="0096202A">
      <w:pPr>
        <w:pStyle w:val="ListParagraph"/>
        <w:spacing w:line="480" w:lineRule="auto"/>
        <w:jc w:val="both"/>
        <w:rPr>
          <w:rFonts w:ascii="Arial" w:hAnsi="Arial" w:cs="Arial"/>
          <w:lang w:val="en-US"/>
        </w:rPr>
      </w:pPr>
    </w:p>
    <w:p w14:paraId="1DCC6D45" w14:textId="77777777" w:rsidR="0096202A" w:rsidRPr="00AD20EE" w:rsidRDefault="0096202A" w:rsidP="0096202A">
      <w:pPr>
        <w:pStyle w:val="ListParagraph"/>
        <w:spacing w:line="480" w:lineRule="auto"/>
        <w:ind w:left="360"/>
        <w:jc w:val="both"/>
        <w:rPr>
          <w:rFonts w:ascii="Arial" w:hAnsi="Arial" w:cs="Arial"/>
          <w:lang w:val="en-US"/>
        </w:rPr>
      </w:pPr>
      <w:r w:rsidRPr="00AD20EE">
        <w:rPr>
          <w:rFonts w:ascii="Arial" w:hAnsi="Arial" w:cs="Arial"/>
          <w:lang w:val="en-US"/>
        </w:rPr>
        <w:t>the plaintiff pleaded as follows:-</w:t>
      </w:r>
    </w:p>
    <w:p w14:paraId="4688B5D3" w14:textId="77777777" w:rsidR="0096202A" w:rsidRPr="00AD20EE" w:rsidRDefault="0096202A" w:rsidP="0096202A">
      <w:pPr>
        <w:pStyle w:val="ListParagraph"/>
        <w:spacing w:line="480" w:lineRule="auto"/>
        <w:jc w:val="both"/>
        <w:rPr>
          <w:rFonts w:ascii="Arial" w:hAnsi="Arial" w:cs="Arial"/>
          <w:i/>
          <w:iCs/>
          <w:lang w:val="en-US"/>
        </w:rPr>
      </w:pPr>
    </w:p>
    <w:p w14:paraId="05B43D9E" w14:textId="77777777" w:rsidR="0096202A" w:rsidRPr="00AD20EE" w:rsidRDefault="0096202A" w:rsidP="0096202A">
      <w:pPr>
        <w:pStyle w:val="ListParagraph"/>
        <w:spacing w:line="480" w:lineRule="auto"/>
        <w:ind w:left="1440" w:hanging="720"/>
        <w:jc w:val="both"/>
        <w:rPr>
          <w:rFonts w:ascii="Arial" w:hAnsi="Arial" w:cs="Arial"/>
          <w:i/>
          <w:iCs/>
          <w:lang w:val="en-GB"/>
        </w:rPr>
      </w:pPr>
      <w:r w:rsidRPr="00AD20EE">
        <w:rPr>
          <w:rFonts w:ascii="Arial" w:hAnsi="Arial" w:cs="Arial"/>
          <w:i/>
          <w:iCs/>
          <w:lang w:val="en-US"/>
        </w:rPr>
        <w:t>“3.7.</w:t>
      </w:r>
      <w:r w:rsidRPr="00AD20EE">
        <w:rPr>
          <w:rFonts w:ascii="Arial" w:hAnsi="Arial" w:cs="Arial"/>
          <w:i/>
          <w:iCs/>
          <w:lang w:val="en-US"/>
        </w:rPr>
        <w:tab/>
        <w:t xml:space="preserve">The defendant verbally informed the </w:t>
      </w:r>
      <w:r w:rsidRPr="00AD20EE">
        <w:rPr>
          <w:rFonts w:ascii="Arial" w:hAnsi="Arial" w:cs="Arial"/>
          <w:i/>
          <w:iCs/>
          <w:lang w:val="en-GB"/>
        </w:rPr>
        <w:t>plaintiff on or about 12 May 2020 that the amount that was transferred into the trust account of the defendant had already been transferred to Mr Sharma.”</w:t>
      </w:r>
    </w:p>
    <w:p w14:paraId="6EAC8154" w14:textId="77777777" w:rsidR="0096202A" w:rsidRPr="00AD20EE" w:rsidRDefault="0096202A" w:rsidP="0096202A">
      <w:pPr>
        <w:pStyle w:val="ListParagraph"/>
        <w:spacing w:line="480" w:lineRule="auto"/>
        <w:jc w:val="both"/>
        <w:rPr>
          <w:rFonts w:ascii="Arial" w:hAnsi="Arial" w:cs="Arial"/>
          <w:i/>
          <w:iCs/>
          <w:lang w:val="en-GB"/>
        </w:rPr>
      </w:pPr>
    </w:p>
    <w:p w14:paraId="6AEA76CA" w14:textId="77777777" w:rsidR="0096202A" w:rsidRPr="00AD20EE" w:rsidRDefault="0096202A" w:rsidP="0096202A">
      <w:pPr>
        <w:pStyle w:val="ListParagraph"/>
        <w:spacing w:line="480" w:lineRule="auto"/>
        <w:ind w:left="1440" w:hanging="720"/>
        <w:jc w:val="both"/>
        <w:rPr>
          <w:rFonts w:ascii="Arial" w:hAnsi="Arial" w:cs="Arial"/>
          <w:i/>
          <w:iCs/>
          <w:lang w:val="en-GB"/>
        </w:rPr>
      </w:pPr>
      <w:r w:rsidRPr="00AD20EE">
        <w:rPr>
          <w:rFonts w:ascii="Arial" w:hAnsi="Arial" w:cs="Arial"/>
          <w:i/>
          <w:iCs/>
          <w:lang w:val="en-GB"/>
        </w:rPr>
        <w:t>3.8</w:t>
      </w:r>
      <w:r w:rsidRPr="00AD20EE">
        <w:rPr>
          <w:rFonts w:ascii="Arial" w:hAnsi="Arial" w:cs="Arial"/>
          <w:i/>
          <w:iCs/>
          <w:lang w:val="en-GB"/>
        </w:rPr>
        <w:tab/>
        <w:t>Accordingly, the defendant transferred the funds out of their trust account and into the bank account of Mr Sharma, without receiving a formal, alternatively, express, further alternatively implied instruction from the plaintiff.”</w:t>
      </w:r>
    </w:p>
    <w:p w14:paraId="3FDC0637" w14:textId="77777777" w:rsidR="0096202A" w:rsidRPr="00AD20EE" w:rsidRDefault="0096202A" w:rsidP="0096202A">
      <w:pPr>
        <w:pStyle w:val="ListParagraph"/>
        <w:spacing w:line="480" w:lineRule="auto"/>
        <w:jc w:val="both"/>
        <w:rPr>
          <w:rFonts w:ascii="Arial" w:hAnsi="Arial" w:cs="Arial"/>
          <w:i/>
          <w:iCs/>
          <w:lang w:val="en-GB"/>
        </w:rPr>
      </w:pPr>
    </w:p>
    <w:p w14:paraId="76E735EF" w14:textId="77777777" w:rsidR="0096202A" w:rsidRPr="00AD20EE" w:rsidRDefault="0096202A" w:rsidP="0096202A">
      <w:pPr>
        <w:spacing w:line="480" w:lineRule="auto"/>
        <w:ind w:firstLine="720"/>
        <w:jc w:val="both"/>
        <w:rPr>
          <w:rFonts w:ascii="Arial" w:hAnsi="Arial" w:cs="Arial"/>
          <w:lang w:val="en-US"/>
        </w:rPr>
      </w:pPr>
      <w:r w:rsidRPr="00AD20EE">
        <w:rPr>
          <w:rFonts w:ascii="Arial" w:hAnsi="Arial" w:cs="Arial"/>
          <w:lang w:val="en-US"/>
        </w:rPr>
        <w:t>The defendant pleaded as follows:-</w:t>
      </w:r>
      <w:r w:rsidRPr="00AD20EE">
        <w:rPr>
          <w:rFonts w:ascii="Arial" w:hAnsi="Arial" w:cs="Arial"/>
          <w:lang w:val="en-US"/>
        </w:rPr>
        <w:tab/>
      </w:r>
    </w:p>
    <w:p w14:paraId="1F0CF661" w14:textId="77777777" w:rsidR="0096202A" w:rsidRPr="00AD20EE" w:rsidRDefault="0096202A" w:rsidP="0096202A">
      <w:pPr>
        <w:spacing w:line="480" w:lineRule="auto"/>
        <w:ind w:firstLine="720"/>
        <w:jc w:val="both"/>
        <w:rPr>
          <w:rFonts w:ascii="Arial" w:hAnsi="Arial" w:cs="Arial"/>
          <w:i/>
          <w:iCs/>
          <w:lang w:val="en-US"/>
        </w:rPr>
      </w:pPr>
    </w:p>
    <w:p w14:paraId="4F54B7EF" w14:textId="77777777" w:rsidR="0096202A" w:rsidRPr="00AD20EE" w:rsidRDefault="0096202A" w:rsidP="0096202A">
      <w:pPr>
        <w:spacing w:line="480" w:lineRule="auto"/>
        <w:ind w:firstLine="720"/>
        <w:jc w:val="both"/>
        <w:rPr>
          <w:rFonts w:ascii="Arial" w:hAnsi="Arial" w:cs="Arial"/>
          <w:i/>
          <w:iCs/>
          <w:lang w:val="en-US"/>
        </w:rPr>
      </w:pPr>
      <w:r w:rsidRPr="00AD20EE">
        <w:rPr>
          <w:rFonts w:ascii="Arial" w:hAnsi="Arial" w:cs="Arial"/>
          <w:i/>
          <w:iCs/>
          <w:lang w:val="en-US"/>
        </w:rPr>
        <w:lastRenderedPageBreak/>
        <w:t>“ AD PARAGRAPH 3.7.</w:t>
      </w:r>
    </w:p>
    <w:p w14:paraId="00213DB8" w14:textId="77777777" w:rsidR="0096202A" w:rsidRPr="00AD20EE" w:rsidRDefault="0096202A" w:rsidP="0096202A">
      <w:pPr>
        <w:spacing w:line="480" w:lineRule="auto"/>
        <w:ind w:firstLine="720"/>
        <w:jc w:val="both"/>
        <w:rPr>
          <w:rFonts w:ascii="Arial" w:hAnsi="Arial" w:cs="Arial"/>
          <w:i/>
          <w:iCs/>
          <w:lang w:val="en-US"/>
        </w:rPr>
      </w:pPr>
      <w:r w:rsidRPr="00AD20EE">
        <w:rPr>
          <w:rFonts w:ascii="Arial" w:hAnsi="Arial" w:cs="Arial"/>
          <w:i/>
          <w:iCs/>
          <w:lang w:val="en-US"/>
        </w:rPr>
        <w:t xml:space="preserve"> </w:t>
      </w:r>
    </w:p>
    <w:p w14:paraId="164972EB" w14:textId="77777777" w:rsidR="0096202A" w:rsidRPr="00AD20EE" w:rsidRDefault="0096202A" w:rsidP="0096202A">
      <w:pPr>
        <w:spacing w:line="480" w:lineRule="auto"/>
        <w:ind w:firstLine="720"/>
        <w:jc w:val="both"/>
        <w:rPr>
          <w:rFonts w:ascii="Arial" w:hAnsi="Arial" w:cs="Arial"/>
          <w:i/>
          <w:iCs/>
          <w:lang w:val="en-GB"/>
        </w:rPr>
      </w:pPr>
      <w:r w:rsidRPr="00AD20EE">
        <w:rPr>
          <w:rFonts w:ascii="Arial" w:hAnsi="Arial" w:cs="Arial"/>
          <w:i/>
          <w:iCs/>
          <w:lang w:val="en-GB"/>
        </w:rPr>
        <w:t>The contents hereof are admitted.</w:t>
      </w:r>
    </w:p>
    <w:p w14:paraId="1ACA6842" w14:textId="77777777" w:rsidR="0096202A" w:rsidRPr="00AD20EE" w:rsidRDefault="0096202A" w:rsidP="0096202A">
      <w:pPr>
        <w:spacing w:line="480" w:lineRule="auto"/>
        <w:ind w:firstLine="720"/>
        <w:jc w:val="both"/>
        <w:rPr>
          <w:rFonts w:ascii="Arial" w:hAnsi="Arial" w:cs="Arial"/>
          <w:i/>
          <w:iCs/>
          <w:lang w:val="en-GB"/>
        </w:rPr>
      </w:pPr>
    </w:p>
    <w:p w14:paraId="620E6760" w14:textId="77777777" w:rsidR="0096202A" w:rsidRPr="00AD20EE" w:rsidRDefault="0096202A" w:rsidP="0096202A">
      <w:pPr>
        <w:spacing w:line="480" w:lineRule="auto"/>
        <w:ind w:firstLine="720"/>
        <w:jc w:val="both"/>
        <w:rPr>
          <w:rFonts w:ascii="Arial" w:hAnsi="Arial" w:cs="Arial"/>
          <w:i/>
          <w:iCs/>
          <w:lang w:val="en-GB"/>
        </w:rPr>
      </w:pPr>
      <w:r w:rsidRPr="00AD20EE">
        <w:rPr>
          <w:rFonts w:ascii="Arial" w:hAnsi="Arial" w:cs="Arial"/>
          <w:i/>
          <w:iCs/>
          <w:lang w:val="en-GB"/>
        </w:rPr>
        <w:t>AD PARAGRAPH 3.8 – 3.10</w:t>
      </w:r>
    </w:p>
    <w:p w14:paraId="5DA0B127" w14:textId="77777777" w:rsidR="0096202A" w:rsidRPr="00AD20EE" w:rsidRDefault="0096202A" w:rsidP="0096202A">
      <w:pPr>
        <w:spacing w:line="480" w:lineRule="auto"/>
        <w:ind w:left="720"/>
        <w:jc w:val="both"/>
        <w:rPr>
          <w:rFonts w:ascii="Arial" w:hAnsi="Arial" w:cs="Arial"/>
          <w:i/>
          <w:iCs/>
          <w:lang w:val="en-GB"/>
        </w:rPr>
      </w:pPr>
    </w:p>
    <w:p w14:paraId="78B918DB" w14:textId="77777777" w:rsidR="0096202A" w:rsidRPr="00AD20EE" w:rsidRDefault="0096202A" w:rsidP="0096202A">
      <w:pPr>
        <w:spacing w:line="480" w:lineRule="auto"/>
        <w:ind w:left="720"/>
        <w:jc w:val="both"/>
        <w:rPr>
          <w:rFonts w:ascii="Arial" w:hAnsi="Arial" w:cs="Arial"/>
          <w:i/>
          <w:iCs/>
          <w:lang w:val="en-US"/>
        </w:rPr>
      </w:pPr>
      <w:r w:rsidRPr="00AD20EE">
        <w:rPr>
          <w:rFonts w:ascii="Arial" w:hAnsi="Arial" w:cs="Arial"/>
          <w:i/>
          <w:iCs/>
          <w:lang w:val="en-GB"/>
        </w:rPr>
        <w:t>The contents hereof are denied as if specifically traversed, and the plaintiff is put to the proof thereof.”</w:t>
      </w:r>
    </w:p>
    <w:p w14:paraId="6FFB74C7" w14:textId="77777777" w:rsidR="0096202A" w:rsidRPr="00AD20EE" w:rsidRDefault="0096202A" w:rsidP="0096202A">
      <w:pPr>
        <w:pStyle w:val="ListParagraph"/>
        <w:spacing w:line="480" w:lineRule="auto"/>
        <w:jc w:val="both"/>
        <w:rPr>
          <w:rFonts w:ascii="Arial" w:hAnsi="Arial" w:cs="Arial"/>
          <w:lang w:val="en-US"/>
        </w:rPr>
      </w:pPr>
    </w:p>
    <w:p w14:paraId="1CBBF3CD" w14:textId="63F2DF17" w:rsidR="0096202A" w:rsidRPr="008B4054" w:rsidRDefault="008B4054" w:rsidP="008B4054">
      <w:pPr>
        <w:spacing w:line="480" w:lineRule="auto"/>
        <w:ind w:left="360" w:hanging="360"/>
        <w:jc w:val="both"/>
        <w:rPr>
          <w:rFonts w:ascii="Arial" w:hAnsi="Arial" w:cs="Arial"/>
          <w:lang w:val="en-US"/>
        </w:rPr>
      </w:pPr>
      <w:r w:rsidRPr="00AD20EE">
        <w:rPr>
          <w:rFonts w:ascii="Arial" w:hAnsi="Arial" w:cs="Arial"/>
          <w:lang w:val="en-US"/>
        </w:rPr>
        <w:t>29.</w:t>
      </w:r>
      <w:r w:rsidRPr="00AD20EE">
        <w:rPr>
          <w:rFonts w:ascii="Arial" w:hAnsi="Arial" w:cs="Arial"/>
          <w:lang w:val="en-US"/>
        </w:rPr>
        <w:tab/>
      </w:r>
      <w:r w:rsidR="0096202A" w:rsidRPr="008B4054">
        <w:rPr>
          <w:rFonts w:ascii="Arial" w:hAnsi="Arial" w:cs="Arial"/>
          <w:lang w:val="en-GB"/>
        </w:rPr>
        <w:t>It is apparent from the pleadings</w:t>
      </w:r>
      <w:r w:rsidR="0096202A" w:rsidRPr="008B4054">
        <w:rPr>
          <w:rFonts w:ascii="Arial" w:hAnsi="Arial" w:cs="Arial"/>
          <w:i/>
          <w:iCs/>
          <w:lang w:val="en-GB"/>
        </w:rPr>
        <w:t xml:space="preserve"> </w:t>
      </w:r>
      <w:r w:rsidR="0096202A" w:rsidRPr="008B4054">
        <w:rPr>
          <w:rFonts w:ascii="Arial" w:hAnsi="Arial" w:cs="Arial"/>
          <w:lang w:val="en-GB"/>
        </w:rPr>
        <w:t>that it is common cause between the parties that the defendant transferred the funds from his trust account to Sharma. Accordingly, the payment of the funds by the defendant to a third party other than the plaintiff is not an issue in dispute. A party cannot seek the other litigant to produce documents related to common cause issues. This is so as the wording of the rule is unambiguous in that the documents which can be sought under the subrule are documents which may be relevant to any matte</w:t>
      </w:r>
      <w:r w:rsidR="0096202A" w:rsidRPr="008B4054">
        <w:rPr>
          <w:rFonts w:ascii="Arial" w:hAnsi="Arial" w:cs="Arial"/>
          <w:u w:val="single"/>
          <w:lang w:val="en-GB"/>
        </w:rPr>
        <w:t xml:space="preserve">r in question.  </w:t>
      </w:r>
    </w:p>
    <w:p w14:paraId="7184BC89" w14:textId="77777777" w:rsidR="0096202A" w:rsidRPr="00AD20EE" w:rsidRDefault="0096202A" w:rsidP="0096202A">
      <w:pPr>
        <w:pStyle w:val="ListParagraph"/>
        <w:spacing w:line="480" w:lineRule="auto"/>
        <w:ind w:left="360"/>
        <w:jc w:val="both"/>
        <w:rPr>
          <w:rFonts w:ascii="Arial" w:hAnsi="Arial" w:cs="Arial"/>
          <w:lang w:val="en-US"/>
        </w:rPr>
      </w:pPr>
    </w:p>
    <w:p w14:paraId="0C41D566" w14:textId="103C34FF" w:rsidR="0096202A" w:rsidRPr="008B4054" w:rsidRDefault="008B4054" w:rsidP="008B4054">
      <w:pPr>
        <w:spacing w:line="480" w:lineRule="auto"/>
        <w:ind w:left="360" w:hanging="360"/>
        <w:jc w:val="both"/>
        <w:rPr>
          <w:rFonts w:ascii="Arial" w:hAnsi="Arial" w:cs="Arial"/>
          <w:lang w:val="en-US"/>
        </w:rPr>
      </w:pPr>
      <w:r w:rsidRPr="00AD20EE">
        <w:rPr>
          <w:rFonts w:ascii="Arial" w:hAnsi="Arial" w:cs="Arial"/>
          <w:lang w:val="en-US"/>
        </w:rPr>
        <w:t>30.</w:t>
      </w:r>
      <w:r w:rsidRPr="00AD20EE">
        <w:rPr>
          <w:rFonts w:ascii="Arial" w:hAnsi="Arial" w:cs="Arial"/>
          <w:lang w:val="en-US"/>
        </w:rPr>
        <w:tab/>
      </w:r>
      <w:r w:rsidR="0096202A" w:rsidRPr="008B4054">
        <w:rPr>
          <w:rFonts w:ascii="Arial" w:hAnsi="Arial" w:cs="Arial"/>
          <w:lang w:val="en-GB"/>
        </w:rPr>
        <w:t xml:space="preserve">Counsel for the plaintiff argued that the defendant’s denial of paragraph 3.8 of its particulars of claim renders the payment an issue in dispute. I don’t see it that way. From a reading of the pleadings as a whole, it is clear that the defendant admits transferring the funds to Mr. Shwarma but denies requiring the plaintiff’s instruction to transfer the monies as the defendant contends that he was holding the money on Shwarma’s behalf, which was he alleges was in terms of the plaintiff’s representations made to the defendant. This is what the defendant was conveying that it was denying. The pleadings need to be read as a whole. </w:t>
      </w:r>
    </w:p>
    <w:p w14:paraId="54A466AC" w14:textId="77777777" w:rsidR="0096202A" w:rsidRPr="00AD20EE" w:rsidRDefault="0096202A" w:rsidP="0096202A">
      <w:pPr>
        <w:pStyle w:val="ListParagraph"/>
        <w:spacing w:line="480" w:lineRule="auto"/>
        <w:jc w:val="both"/>
        <w:rPr>
          <w:rFonts w:ascii="Arial" w:hAnsi="Arial" w:cs="Arial"/>
          <w:lang w:val="en-US"/>
        </w:rPr>
      </w:pPr>
    </w:p>
    <w:p w14:paraId="4203AC4D" w14:textId="6710AFC6" w:rsidR="0096202A" w:rsidRPr="008B4054" w:rsidRDefault="008B4054" w:rsidP="008B4054">
      <w:pPr>
        <w:spacing w:line="480" w:lineRule="auto"/>
        <w:ind w:left="360" w:hanging="360"/>
        <w:jc w:val="both"/>
        <w:rPr>
          <w:rFonts w:ascii="Arial" w:hAnsi="Arial" w:cs="Arial"/>
          <w:lang w:val="en-US"/>
        </w:rPr>
      </w:pPr>
      <w:r w:rsidRPr="00AD20EE">
        <w:rPr>
          <w:rFonts w:ascii="Arial" w:hAnsi="Arial" w:cs="Arial"/>
          <w:lang w:val="en-US"/>
        </w:rPr>
        <w:t>31.</w:t>
      </w:r>
      <w:r w:rsidRPr="00AD20EE">
        <w:rPr>
          <w:rFonts w:ascii="Arial" w:hAnsi="Arial" w:cs="Arial"/>
          <w:lang w:val="en-US"/>
        </w:rPr>
        <w:tab/>
      </w:r>
      <w:r w:rsidR="0096202A" w:rsidRPr="008B4054">
        <w:rPr>
          <w:rFonts w:ascii="Arial" w:hAnsi="Arial" w:cs="Arial"/>
          <w:lang w:val="en-US"/>
        </w:rPr>
        <w:t xml:space="preserve">Counsel for the plaintiff also argued that the defendant had provided contradictory versions. He expands on this and argues that, on the one hand, the plaintiff admits that he transferred the funds out of the trust account without an instruction from the plaintiff, as the plaintiff represented to him that the monies held in trust were for the benefit of Sharma, and yet in direct contrast on the other hand, the defendant admitted in a letter annexed to the plaintiff’s application in terms of rule 35(3) dated 27 July 2021 that the plaintiff expressly instructed the defendant to release the payment. That may be so. However, this has no bearing on the relevancy of the documents sought, as relevancy is determined from the pleadings and not extraneous evidence. Secondly, this contradictory version does not deal with the issue of payment but rather with the central issue in the action, which will be ventilated at trial and the plaintiff will have his opportunity to cross-examine the defendant. </w:t>
      </w:r>
    </w:p>
    <w:p w14:paraId="21F5DB51" w14:textId="77777777" w:rsidR="0096202A" w:rsidRPr="00AD20EE" w:rsidRDefault="0096202A" w:rsidP="0096202A">
      <w:pPr>
        <w:pStyle w:val="ListParagraph"/>
        <w:spacing w:line="480" w:lineRule="auto"/>
        <w:jc w:val="both"/>
        <w:rPr>
          <w:rFonts w:ascii="Arial" w:hAnsi="Arial" w:cs="Arial"/>
          <w:lang w:val="en-US"/>
        </w:rPr>
      </w:pPr>
    </w:p>
    <w:p w14:paraId="6FEB87FE" w14:textId="709195F9" w:rsidR="0096202A" w:rsidRPr="008B4054" w:rsidRDefault="008B4054" w:rsidP="008B4054">
      <w:pPr>
        <w:spacing w:line="480" w:lineRule="auto"/>
        <w:ind w:left="360" w:hanging="360"/>
        <w:jc w:val="both"/>
        <w:rPr>
          <w:rFonts w:ascii="Arial" w:hAnsi="Arial" w:cs="Arial"/>
          <w:lang w:val="en-US"/>
        </w:rPr>
      </w:pPr>
      <w:r w:rsidRPr="00AD20EE">
        <w:rPr>
          <w:rFonts w:ascii="Arial" w:hAnsi="Arial" w:cs="Arial"/>
          <w:lang w:val="en-US"/>
        </w:rPr>
        <w:t>32.</w:t>
      </w:r>
      <w:r w:rsidRPr="00AD20EE">
        <w:rPr>
          <w:rFonts w:ascii="Arial" w:hAnsi="Arial" w:cs="Arial"/>
          <w:lang w:val="en-US"/>
        </w:rPr>
        <w:tab/>
      </w:r>
      <w:r w:rsidR="0096202A" w:rsidRPr="008B4054">
        <w:rPr>
          <w:rFonts w:ascii="Arial" w:hAnsi="Arial" w:cs="Arial"/>
          <w:lang w:val="en-US"/>
        </w:rPr>
        <w:t xml:space="preserve">Counsel for the plaintiff could not answer how this document would advance the plaintiff’s case or damage the case for the defendant. At best, he alleged that it may show that the monies were paid to a third party other than Sharma. The defendant’s counsel argued that this in and of itself demonstrates that the request is nothing short of a fishing expedition to obtain this information for an ulterior purpose: establishing further facts to seek to recover the monies from some third party. He further explained by example that even if funds were paid to a third party, this may have been at Sharma’s request and would be tantamount to payment to Sharma. Counsel for the defendant correctly asserted that the identity of the recipient of the money is irrelevant to this matter. The difficulty for the plaintiff is </w:t>
      </w:r>
      <w:r w:rsidR="0096202A" w:rsidRPr="008B4054">
        <w:rPr>
          <w:rFonts w:ascii="Arial" w:hAnsi="Arial" w:cs="Arial"/>
          <w:lang w:val="en-US"/>
        </w:rPr>
        <w:lastRenderedPageBreak/>
        <w:t>that it is not his case that funds were paid to a third party, and this is not an issue per the pleadings.</w:t>
      </w:r>
    </w:p>
    <w:p w14:paraId="39CD05BF" w14:textId="77777777" w:rsidR="0096202A" w:rsidRPr="00AD20EE" w:rsidRDefault="0096202A" w:rsidP="0096202A">
      <w:pPr>
        <w:pStyle w:val="ListParagraph"/>
        <w:spacing w:line="480" w:lineRule="auto"/>
        <w:jc w:val="both"/>
        <w:rPr>
          <w:rFonts w:ascii="Arial" w:hAnsi="Arial" w:cs="Arial"/>
          <w:lang w:val="en-US"/>
        </w:rPr>
      </w:pPr>
    </w:p>
    <w:p w14:paraId="09624E93" w14:textId="3EB2DEFB" w:rsidR="0096202A" w:rsidRPr="008B4054" w:rsidRDefault="008B4054" w:rsidP="008B4054">
      <w:pPr>
        <w:spacing w:line="480" w:lineRule="auto"/>
        <w:ind w:left="360" w:hanging="360"/>
        <w:jc w:val="both"/>
        <w:rPr>
          <w:rFonts w:ascii="Arial" w:hAnsi="Arial" w:cs="Arial"/>
          <w:lang w:val="en-US"/>
        </w:rPr>
      </w:pPr>
      <w:r w:rsidRPr="00AD20EE">
        <w:rPr>
          <w:rFonts w:ascii="Arial" w:hAnsi="Arial" w:cs="Arial"/>
          <w:lang w:val="en-US"/>
        </w:rPr>
        <w:t>33.</w:t>
      </w:r>
      <w:r w:rsidRPr="00AD20EE">
        <w:rPr>
          <w:rFonts w:ascii="Arial" w:hAnsi="Arial" w:cs="Arial"/>
          <w:lang w:val="en-US"/>
        </w:rPr>
        <w:tab/>
      </w:r>
      <w:r w:rsidR="0096202A" w:rsidRPr="008B4054">
        <w:rPr>
          <w:rFonts w:ascii="Arial" w:hAnsi="Arial" w:cs="Arial"/>
          <w:lang w:val="en-US"/>
        </w:rPr>
        <w:t xml:space="preserve">Accordingly, I find that the documents sought in Rule 35(3) are irrelevant to the issues in dispute, and consequently, the plaintiff is not entitled to them. As I have already found that the plaintiff is not entitled to the documents sought, I don't need to deal with the defendant’s other challenges to the Rule 35(7) application. </w:t>
      </w:r>
    </w:p>
    <w:p w14:paraId="1B6D1D3E" w14:textId="77777777" w:rsidR="0096202A" w:rsidRPr="00AD20EE" w:rsidRDefault="0096202A" w:rsidP="0096202A">
      <w:pPr>
        <w:pStyle w:val="ListParagraph"/>
        <w:spacing w:line="480" w:lineRule="auto"/>
        <w:jc w:val="both"/>
        <w:rPr>
          <w:rFonts w:ascii="Arial" w:hAnsi="Arial" w:cs="Arial"/>
          <w:lang w:val="en-US"/>
        </w:rPr>
      </w:pPr>
    </w:p>
    <w:p w14:paraId="4407A412" w14:textId="70F1A3A1" w:rsidR="0096202A" w:rsidRPr="008B4054" w:rsidRDefault="008B4054" w:rsidP="008B4054">
      <w:pPr>
        <w:spacing w:line="480" w:lineRule="auto"/>
        <w:ind w:left="360" w:hanging="360"/>
        <w:jc w:val="both"/>
        <w:rPr>
          <w:rFonts w:ascii="Arial" w:hAnsi="Arial" w:cs="Arial"/>
          <w:lang w:val="en-US"/>
        </w:rPr>
      </w:pPr>
      <w:r w:rsidRPr="00AD20EE">
        <w:rPr>
          <w:rFonts w:ascii="Arial" w:hAnsi="Arial" w:cs="Arial"/>
          <w:lang w:val="en-US"/>
        </w:rPr>
        <w:t>34.</w:t>
      </w:r>
      <w:r w:rsidRPr="00AD20EE">
        <w:rPr>
          <w:rFonts w:ascii="Arial" w:hAnsi="Arial" w:cs="Arial"/>
          <w:lang w:val="en-US"/>
        </w:rPr>
        <w:tab/>
      </w:r>
      <w:r w:rsidR="0096202A" w:rsidRPr="008B4054">
        <w:rPr>
          <w:rFonts w:ascii="Arial" w:hAnsi="Arial" w:cs="Arial"/>
          <w:lang w:val="en-US"/>
        </w:rPr>
        <w:t>I find no reason to deviate from the ordinary rule that costs follow the result.</w:t>
      </w:r>
    </w:p>
    <w:p w14:paraId="742E2A7E" w14:textId="77777777" w:rsidR="0096202A" w:rsidRPr="00AD20EE" w:rsidRDefault="0096202A" w:rsidP="0096202A">
      <w:pPr>
        <w:pStyle w:val="ListParagraph"/>
        <w:spacing w:line="480" w:lineRule="auto"/>
        <w:jc w:val="both"/>
        <w:rPr>
          <w:rFonts w:ascii="Arial" w:hAnsi="Arial" w:cs="Arial"/>
          <w:lang w:val="en-US"/>
        </w:rPr>
      </w:pPr>
    </w:p>
    <w:p w14:paraId="2A210974" w14:textId="142769CA" w:rsidR="0096202A" w:rsidRPr="008B4054" w:rsidRDefault="008B4054" w:rsidP="008B4054">
      <w:pPr>
        <w:spacing w:line="480" w:lineRule="auto"/>
        <w:ind w:left="360" w:hanging="360"/>
        <w:jc w:val="both"/>
        <w:rPr>
          <w:rFonts w:ascii="Arial" w:hAnsi="Arial" w:cs="Arial"/>
          <w:lang w:val="en-US"/>
        </w:rPr>
      </w:pPr>
      <w:r w:rsidRPr="00AD20EE">
        <w:rPr>
          <w:rFonts w:ascii="Arial" w:hAnsi="Arial" w:cs="Arial"/>
          <w:lang w:val="en-US"/>
        </w:rPr>
        <w:t>35.</w:t>
      </w:r>
      <w:r w:rsidRPr="00AD20EE">
        <w:rPr>
          <w:rFonts w:ascii="Arial" w:hAnsi="Arial" w:cs="Arial"/>
          <w:lang w:val="en-US"/>
        </w:rPr>
        <w:tab/>
      </w:r>
      <w:r w:rsidR="0096202A" w:rsidRPr="008B4054">
        <w:rPr>
          <w:rFonts w:ascii="Arial" w:hAnsi="Arial" w:cs="Arial"/>
          <w:lang w:val="en-US"/>
        </w:rPr>
        <w:t>Consequently, I make the following order:</w:t>
      </w:r>
    </w:p>
    <w:p w14:paraId="50746D59" w14:textId="77777777" w:rsidR="0096202A" w:rsidRPr="00AD20EE" w:rsidRDefault="0096202A" w:rsidP="0096202A">
      <w:pPr>
        <w:pStyle w:val="ListParagraph"/>
        <w:spacing w:line="480" w:lineRule="auto"/>
        <w:jc w:val="both"/>
        <w:rPr>
          <w:rFonts w:ascii="Arial" w:hAnsi="Arial" w:cs="Arial"/>
          <w:lang w:val="en-US"/>
        </w:rPr>
      </w:pPr>
    </w:p>
    <w:p w14:paraId="1D93D0BE" w14:textId="77777777" w:rsidR="0096202A" w:rsidRPr="00AD20EE" w:rsidRDefault="0096202A" w:rsidP="0096202A">
      <w:pPr>
        <w:pStyle w:val="ListParagraph"/>
        <w:spacing w:line="480" w:lineRule="auto"/>
        <w:ind w:left="360"/>
        <w:jc w:val="both"/>
        <w:rPr>
          <w:rFonts w:ascii="Arial" w:hAnsi="Arial" w:cs="Arial"/>
          <w:b/>
          <w:bCs/>
          <w:lang w:val="en-US"/>
        </w:rPr>
      </w:pPr>
      <w:r w:rsidRPr="00AD20EE">
        <w:rPr>
          <w:rFonts w:ascii="Arial" w:hAnsi="Arial" w:cs="Arial"/>
          <w:b/>
          <w:bCs/>
          <w:lang w:val="en-US"/>
        </w:rPr>
        <w:t>Order</w:t>
      </w:r>
    </w:p>
    <w:p w14:paraId="4ABBC198" w14:textId="77777777" w:rsidR="0096202A" w:rsidRPr="00AD20EE" w:rsidRDefault="0096202A" w:rsidP="0096202A">
      <w:pPr>
        <w:pStyle w:val="ListParagraph"/>
        <w:spacing w:line="480" w:lineRule="auto"/>
        <w:ind w:left="360"/>
        <w:jc w:val="both"/>
        <w:rPr>
          <w:rFonts w:ascii="Arial" w:hAnsi="Arial" w:cs="Arial"/>
          <w:lang w:val="en-US"/>
        </w:rPr>
      </w:pPr>
    </w:p>
    <w:p w14:paraId="1FFEC361" w14:textId="77777777" w:rsidR="0096202A" w:rsidRPr="00AD20EE" w:rsidRDefault="0096202A" w:rsidP="0096202A">
      <w:pPr>
        <w:spacing w:line="480" w:lineRule="auto"/>
        <w:jc w:val="both"/>
        <w:rPr>
          <w:rFonts w:ascii="Arial" w:hAnsi="Arial" w:cs="Arial"/>
          <w:lang w:val="en-US"/>
        </w:rPr>
      </w:pPr>
      <w:r w:rsidRPr="00AD20EE">
        <w:rPr>
          <w:rFonts w:ascii="Arial" w:hAnsi="Arial" w:cs="Arial"/>
          <w:lang w:val="en-US"/>
        </w:rPr>
        <w:t xml:space="preserve">The application is dismissed with costs. </w:t>
      </w:r>
    </w:p>
    <w:p w14:paraId="0B9A2DF1" w14:textId="77777777" w:rsidR="0096202A" w:rsidRDefault="0096202A" w:rsidP="0096202A">
      <w:pPr>
        <w:spacing w:line="480" w:lineRule="auto"/>
        <w:jc w:val="both"/>
        <w:rPr>
          <w:rFonts w:ascii="Arial" w:hAnsi="Arial" w:cs="Arial"/>
          <w:lang w:val="en-US"/>
        </w:rPr>
      </w:pPr>
    </w:p>
    <w:p w14:paraId="34E137E4" w14:textId="77777777" w:rsidR="0096202A" w:rsidRDefault="0096202A" w:rsidP="0096202A">
      <w:pPr>
        <w:spacing w:line="480" w:lineRule="auto"/>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_____________________</w:t>
      </w:r>
    </w:p>
    <w:p w14:paraId="3F29E84A" w14:textId="77777777" w:rsidR="0096202A" w:rsidRPr="00214EC6" w:rsidRDefault="0096202A" w:rsidP="0096202A">
      <w:pPr>
        <w:spacing w:line="480" w:lineRule="auto"/>
        <w:jc w:val="both"/>
        <w:rPr>
          <w:rFonts w:ascii="Arial" w:hAnsi="Arial" w:cs="Arial"/>
          <w:b/>
          <w:bCs/>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214EC6">
        <w:rPr>
          <w:rFonts w:ascii="Arial" w:hAnsi="Arial" w:cs="Arial"/>
          <w:b/>
          <w:bCs/>
          <w:lang w:val="en-US"/>
        </w:rPr>
        <w:t>T Lipshitz AJ</w:t>
      </w:r>
    </w:p>
    <w:p w14:paraId="45C13D24" w14:textId="77777777" w:rsidR="0096202A" w:rsidRDefault="0096202A" w:rsidP="0096202A">
      <w:pPr>
        <w:spacing w:line="480" w:lineRule="auto"/>
        <w:ind w:left="1440"/>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Acting Judge: Gauteng Division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Johannesburg</w:t>
      </w:r>
    </w:p>
    <w:p w14:paraId="21537B40" w14:textId="77777777" w:rsidR="0096202A" w:rsidRDefault="0096202A" w:rsidP="0096202A">
      <w:pPr>
        <w:spacing w:line="480" w:lineRule="auto"/>
        <w:ind w:left="1440"/>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(electronic signature appended)</w:t>
      </w:r>
    </w:p>
    <w:p w14:paraId="1AAC12AE" w14:textId="77777777" w:rsidR="0096202A" w:rsidRPr="003408FB" w:rsidRDefault="0096202A" w:rsidP="0096202A">
      <w:pPr>
        <w:spacing w:line="480" w:lineRule="auto"/>
        <w:ind w:left="1440"/>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11 July 2023</w:t>
      </w:r>
    </w:p>
    <w:p w14:paraId="56555B2D" w14:textId="77777777" w:rsidR="0096202A" w:rsidRDefault="0096202A" w:rsidP="0096202A">
      <w:pPr>
        <w:spacing w:line="480" w:lineRule="auto"/>
        <w:jc w:val="both"/>
        <w:rPr>
          <w:rFonts w:ascii="Arial" w:hAnsi="Arial" w:cs="Arial"/>
          <w:lang w:val="en-GB"/>
        </w:rPr>
      </w:pPr>
    </w:p>
    <w:p w14:paraId="2397AF81" w14:textId="77777777" w:rsidR="0096202A" w:rsidRPr="00A3512C" w:rsidRDefault="0096202A" w:rsidP="0096202A">
      <w:pPr>
        <w:spacing w:line="480" w:lineRule="auto"/>
        <w:jc w:val="both"/>
        <w:rPr>
          <w:rFonts w:ascii="Arial" w:hAnsi="Arial" w:cs="Arial"/>
          <w:lang w:val="en-GB"/>
        </w:rPr>
      </w:pPr>
      <w:r w:rsidRPr="00A3512C">
        <w:rPr>
          <w:rFonts w:ascii="Arial" w:hAnsi="Arial" w:cs="Arial"/>
          <w:lang w:val="en-GB"/>
        </w:rPr>
        <w:t xml:space="preserve">Attorneys for the </w:t>
      </w:r>
      <w:r>
        <w:rPr>
          <w:rFonts w:ascii="Arial" w:hAnsi="Arial" w:cs="Arial"/>
          <w:lang w:val="en-GB"/>
        </w:rPr>
        <w:t>Applicant</w:t>
      </w:r>
    </w:p>
    <w:p w14:paraId="0D34BFC2" w14:textId="77777777" w:rsidR="0096202A" w:rsidRPr="00A3512C" w:rsidRDefault="0096202A" w:rsidP="0096202A">
      <w:pPr>
        <w:spacing w:line="480" w:lineRule="auto"/>
        <w:jc w:val="both"/>
        <w:rPr>
          <w:rFonts w:ascii="Arial" w:hAnsi="Arial" w:cs="Arial"/>
          <w:b/>
          <w:bCs/>
          <w:lang w:val="en-GB"/>
        </w:rPr>
      </w:pPr>
      <w:r>
        <w:rPr>
          <w:rFonts w:ascii="Arial" w:hAnsi="Arial" w:cs="Arial"/>
          <w:b/>
          <w:bCs/>
          <w:lang w:val="en-GB"/>
        </w:rPr>
        <w:t>Primerio Law Inc</w:t>
      </w:r>
    </w:p>
    <w:p w14:paraId="3BAD2B6D" w14:textId="77777777" w:rsidR="0096202A" w:rsidRPr="00A3512C" w:rsidRDefault="0096202A" w:rsidP="0096202A">
      <w:pPr>
        <w:spacing w:line="480" w:lineRule="auto"/>
        <w:jc w:val="both"/>
        <w:rPr>
          <w:rFonts w:ascii="Arial" w:hAnsi="Arial" w:cs="Arial"/>
          <w:lang w:val="en-GB"/>
        </w:rPr>
      </w:pPr>
      <w:r w:rsidRPr="00A3512C">
        <w:rPr>
          <w:rFonts w:ascii="Arial" w:hAnsi="Arial" w:cs="Arial"/>
          <w:lang w:val="en-GB"/>
        </w:rPr>
        <w:lastRenderedPageBreak/>
        <w:t xml:space="preserve">Counsel for the </w:t>
      </w:r>
      <w:r>
        <w:rPr>
          <w:rFonts w:ascii="Arial" w:hAnsi="Arial" w:cs="Arial"/>
          <w:lang w:val="en-GB"/>
        </w:rPr>
        <w:t>Applicant</w:t>
      </w:r>
    </w:p>
    <w:p w14:paraId="7D67C60B" w14:textId="77777777" w:rsidR="0096202A" w:rsidRPr="00A3512C" w:rsidRDefault="0096202A" w:rsidP="0096202A">
      <w:pPr>
        <w:spacing w:line="480" w:lineRule="auto"/>
        <w:jc w:val="both"/>
        <w:rPr>
          <w:rFonts w:ascii="Arial" w:hAnsi="Arial" w:cs="Arial"/>
          <w:b/>
          <w:bCs/>
          <w:lang w:val="en-GB"/>
        </w:rPr>
      </w:pPr>
      <w:r>
        <w:rPr>
          <w:rFonts w:ascii="Arial" w:hAnsi="Arial" w:cs="Arial"/>
          <w:b/>
          <w:bCs/>
          <w:lang w:val="en-GB"/>
        </w:rPr>
        <w:t>W K C Pretsch</w:t>
      </w:r>
    </w:p>
    <w:p w14:paraId="11257ED9" w14:textId="77777777" w:rsidR="0096202A" w:rsidRDefault="0096202A" w:rsidP="0096202A">
      <w:pPr>
        <w:pStyle w:val="ListParagraph"/>
        <w:spacing w:line="480" w:lineRule="auto"/>
        <w:ind w:left="360"/>
        <w:jc w:val="both"/>
        <w:rPr>
          <w:rFonts w:ascii="Arial" w:hAnsi="Arial" w:cs="Arial"/>
          <w:lang w:val="en-GB"/>
        </w:rPr>
      </w:pPr>
    </w:p>
    <w:p w14:paraId="667FFF0E" w14:textId="77777777" w:rsidR="0096202A" w:rsidRPr="00A3512C" w:rsidRDefault="0096202A" w:rsidP="0096202A">
      <w:pPr>
        <w:spacing w:line="480" w:lineRule="auto"/>
        <w:jc w:val="both"/>
        <w:rPr>
          <w:rFonts w:ascii="Arial" w:hAnsi="Arial" w:cs="Arial"/>
          <w:lang w:val="en-GB"/>
        </w:rPr>
      </w:pPr>
      <w:r w:rsidRPr="00A3512C">
        <w:rPr>
          <w:rFonts w:ascii="Arial" w:hAnsi="Arial" w:cs="Arial"/>
          <w:lang w:val="en-GB"/>
        </w:rPr>
        <w:t xml:space="preserve">Attorneys for the </w:t>
      </w:r>
      <w:r>
        <w:rPr>
          <w:rFonts w:ascii="Arial" w:hAnsi="Arial" w:cs="Arial"/>
          <w:lang w:val="en-GB"/>
        </w:rPr>
        <w:t>Respondent</w:t>
      </w:r>
      <w:r w:rsidRPr="00A3512C">
        <w:rPr>
          <w:rFonts w:ascii="Arial" w:hAnsi="Arial" w:cs="Arial"/>
          <w:lang w:val="en-GB"/>
        </w:rPr>
        <w:t xml:space="preserve"> </w:t>
      </w:r>
    </w:p>
    <w:p w14:paraId="5768AD14" w14:textId="77777777" w:rsidR="0096202A" w:rsidRPr="00A3512C" w:rsidRDefault="0096202A" w:rsidP="0096202A">
      <w:pPr>
        <w:spacing w:line="480" w:lineRule="auto"/>
        <w:jc w:val="both"/>
        <w:rPr>
          <w:rFonts w:ascii="Arial" w:hAnsi="Arial" w:cs="Arial"/>
          <w:b/>
          <w:bCs/>
          <w:lang w:val="en-GB"/>
        </w:rPr>
      </w:pPr>
      <w:r>
        <w:rPr>
          <w:rFonts w:ascii="Arial" w:hAnsi="Arial" w:cs="Arial"/>
          <w:b/>
          <w:bCs/>
          <w:lang w:val="en-GB"/>
        </w:rPr>
        <w:t>Mangera Attorneys</w:t>
      </w:r>
    </w:p>
    <w:p w14:paraId="65C4AECE" w14:textId="77777777" w:rsidR="0096202A" w:rsidRPr="00A3512C" w:rsidRDefault="0096202A" w:rsidP="0096202A">
      <w:pPr>
        <w:spacing w:line="480" w:lineRule="auto"/>
        <w:jc w:val="both"/>
        <w:rPr>
          <w:rFonts w:ascii="Arial" w:hAnsi="Arial" w:cs="Arial"/>
          <w:lang w:val="en-GB"/>
        </w:rPr>
      </w:pPr>
      <w:r w:rsidRPr="00A3512C">
        <w:rPr>
          <w:rFonts w:ascii="Arial" w:hAnsi="Arial" w:cs="Arial"/>
          <w:lang w:val="en-GB"/>
        </w:rPr>
        <w:t xml:space="preserve">Counsel for the </w:t>
      </w:r>
      <w:r>
        <w:rPr>
          <w:rFonts w:ascii="Arial" w:hAnsi="Arial" w:cs="Arial"/>
          <w:lang w:val="en-GB"/>
        </w:rPr>
        <w:t>Respondent</w:t>
      </w:r>
    </w:p>
    <w:p w14:paraId="7840DD82" w14:textId="7C94D2CA" w:rsidR="00A3512C" w:rsidRPr="00A3512C" w:rsidRDefault="0096202A" w:rsidP="00CF20B2">
      <w:pPr>
        <w:spacing w:line="480" w:lineRule="auto"/>
        <w:rPr>
          <w:rFonts w:ascii="Arial" w:hAnsi="Arial" w:cs="Arial"/>
          <w:b/>
          <w:bCs/>
          <w:lang w:val="en-GB"/>
        </w:rPr>
      </w:pPr>
      <w:r w:rsidRPr="00572BEA">
        <w:rPr>
          <w:rFonts w:ascii="Arial" w:hAnsi="Arial" w:cs="Arial"/>
          <w:b/>
          <w:bCs/>
          <w:lang w:val="en-US"/>
        </w:rPr>
        <w:t>Z KHAN</w:t>
      </w:r>
    </w:p>
    <w:p w14:paraId="6A73DBBF" w14:textId="77777777" w:rsidR="00A3512C" w:rsidRPr="00F87BCB" w:rsidRDefault="00A3512C" w:rsidP="00493B8E">
      <w:pPr>
        <w:pStyle w:val="ListParagraph"/>
        <w:spacing w:line="480" w:lineRule="auto"/>
        <w:ind w:left="360"/>
        <w:jc w:val="both"/>
        <w:rPr>
          <w:rFonts w:ascii="Arial" w:hAnsi="Arial" w:cs="Arial"/>
          <w:lang w:val="en-US"/>
        </w:rPr>
      </w:pPr>
    </w:p>
    <w:sectPr w:rsidR="00A3512C" w:rsidRPr="00F87BCB">
      <w:headerReference w:type="even" r:id="rId1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FA357" w14:textId="77777777" w:rsidR="00CA09A0" w:rsidRDefault="00CA09A0" w:rsidP="007109C7">
      <w:r>
        <w:separator/>
      </w:r>
    </w:p>
  </w:endnote>
  <w:endnote w:type="continuationSeparator" w:id="0">
    <w:p w14:paraId="6B65B45B" w14:textId="77777777" w:rsidR="00CA09A0" w:rsidRDefault="00CA09A0" w:rsidP="0071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B9DF2" w14:textId="77777777" w:rsidR="00CA09A0" w:rsidRDefault="00CA09A0" w:rsidP="007109C7">
      <w:r>
        <w:separator/>
      </w:r>
    </w:p>
  </w:footnote>
  <w:footnote w:type="continuationSeparator" w:id="0">
    <w:p w14:paraId="3409CD14" w14:textId="77777777" w:rsidR="00CA09A0" w:rsidRDefault="00CA09A0" w:rsidP="007109C7">
      <w:r>
        <w:continuationSeparator/>
      </w:r>
    </w:p>
  </w:footnote>
  <w:footnote w:id="1">
    <w:p w14:paraId="69CD1FE2" w14:textId="77777777" w:rsidR="0096202A" w:rsidRPr="001C374C" w:rsidRDefault="0096202A" w:rsidP="0096202A">
      <w:pPr>
        <w:pStyle w:val="Heading2"/>
        <w:shd w:val="clear" w:color="auto" w:fill="FFFFFF"/>
        <w:spacing w:before="0" w:beforeAutospacing="0" w:after="0" w:afterAutospacing="0"/>
        <w:jc w:val="both"/>
        <w:rPr>
          <w:rFonts w:ascii="Arial" w:hAnsi="Arial" w:cs="Arial"/>
          <w:sz w:val="20"/>
          <w:szCs w:val="20"/>
        </w:rPr>
      </w:pPr>
      <w:r w:rsidRPr="001C374C">
        <w:rPr>
          <w:rStyle w:val="FootnoteReference"/>
          <w:sz w:val="20"/>
          <w:szCs w:val="20"/>
        </w:rPr>
        <w:footnoteRef/>
      </w:r>
      <w:r w:rsidRPr="001C374C">
        <w:rPr>
          <w:sz w:val="20"/>
          <w:szCs w:val="20"/>
        </w:rPr>
        <w:t xml:space="preserve"> </w:t>
      </w:r>
      <w:r w:rsidRPr="001C374C">
        <w:rPr>
          <w:rFonts w:ascii="Arial" w:hAnsi="Arial" w:cs="Arial"/>
          <w:b w:val="0"/>
          <w:bCs w:val="0"/>
          <w:sz w:val="20"/>
          <w:szCs w:val="20"/>
        </w:rPr>
        <w:t>Gisman Mining and Engineering Co (Pty) Ltd (In Liquidation) v LTA Earthworks (Pty) Ltd - 1977 (4) SA 25 (W)</w:t>
      </w:r>
    </w:p>
  </w:footnote>
  <w:footnote w:id="2">
    <w:p w14:paraId="7D4D0534" w14:textId="77777777" w:rsidR="0096202A" w:rsidRPr="00BE142D" w:rsidRDefault="0096202A" w:rsidP="0096202A">
      <w:pPr>
        <w:pStyle w:val="FootnoteText"/>
        <w:jc w:val="both"/>
        <w:rPr>
          <w:rFonts w:ascii="Arial" w:hAnsi="Arial" w:cs="Arial"/>
          <w:lang w:val="en-US"/>
        </w:rPr>
      </w:pPr>
      <w:r w:rsidRPr="00BE142D">
        <w:rPr>
          <w:rStyle w:val="FootnoteReference"/>
          <w:rFonts w:ascii="Arial" w:hAnsi="Arial" w:cs="Arial"/>
        </w:rPr>
        <w:footnoteRef/>
      </w:r>
      <w:r w:rsidRPr="00BE142D">
        <w:rPr>
          <w:rFonts w:ascii="Arial" w:hAnsi="Arial" w:cs="Arial"/>
        </w:rPr>
        <w:t xml:space="preserve"> </w:t>
      </w:r>
      <w:r w:rsidRPr="00BE142D">
        <w:rPr>
          <w:rFonts w:ascii="Arial" w:hAnsi="Arial" w:cs="Arial"/>
          <w:lang w:val="en-US"/>
        </w:rPr>
        <w:t>Amabuhungane Centre for Investigative Journalism NPC V Minister of Justice and Correctional Services 2021 (3) SA 246 (CC) at paragraph 115 - 119</w:t>
      </w:r>
    </w:p>
  </w:footnote>
  <w:footnote w:id="3">
    <w:p w14:paraId="0ECD8F82" w14:textId="77777777" w:rsidR="0096202A" w:rsidRPr="0029636F" w:rsidRDefault="0096202A" w:rsidP="0096202A">
      <w:pPr>
        <w:pStyle w:val="FootnoteText"/>
        <w:jc w:val="both"/>
        <w:rPr>
          <w:lang w:val="en-US"/>
        </w:rPr>
      </w:pPr>
      <w:r w:rsidRPr="00BE142D">
        <w:rPr>
          <w:rStyle w:val="FootnoteReference"/>
          <w:rFonts w:ascii="Arial" w:hAnsi="Arial" w:cs="Arial"/>
        </w:rPr>
        <w:footnoteRef/>
      </w:r>
      <w:r w:rsidRPr="00BE142D">
        <w:rPr>
          <w:rFonts w:ascii="Arial" w:hAnsi="Arial" w:cs="Arial"/>
        </w:rPr>
        <w:t xml:space="preserve"> </w:t>
      </w:r>
      <w:r w:rsidRPr="00BE142D">
        <w:rPr>
          <w:rFonts w:ascii="Arial" w:eastAsia="Times New Roman" w:hAnsi="Arial" w:cs="Arial"/>
          <w:color w:val="000000" w:themeColor="text1"/>
          <w:shd w:val="clear" w:color="auto" w:fill="FFFFFF"/>
          <w:lang w:eastAsia="en-GB"/>
        </w:rPr>
        <w:t>Van Wyk v Unitas Hospital (Open Democratic Advice Centre as Amicus Curiae) </w:t>
      </w:r>
      <w:hyperlink r:id="rId1" w:anchor="y2008v2SApg472" w:history="1">
        <w:r w:rsidRPr="00BE142D">
          <w:rPr>
            <w:rFonts w:ascii="Arial" w:eastAsia="Times New Roman" w:hAnsi="Arial" w:cs="Arial"/>
            <w:color w:val="000000" w:themeColor="text1"/>
            <w:u w:val="single"/>
            <w:shd w:val="clear" w:color="auto" w:fill="FFFFFF"/>
            <w:lang w:eastAsia="en-GB"/>
          </w:rPr>
          <w:t>2008 (2) SA 472 (CC)</w:t>
        </w:r>
      </w:hyperlink>
      <w:r w:rsidRPr="00BE142D">
        <w:rPr>
          <w:rFonts w:ascii="Arial" w:eastAsia="Times New Roman" w:hAnsi="Arial" w:cs="Arial"/>
          <w:color w:val="000000" w:themeColor="text1"/>
          <w:shd w:val="clear" w:color="auto" w:fill="FFFFFF"/>
          <w:lang w:eastAsia="en-GB"/>
        </w:rPr>
        <w:t> at 477E–G</w:t>
      </w:r>
    </w:p>
  </w:footnote>
  <w:footnote w:id="4">
    <w:p w14:paraId="7F072C30" w14:textId="77777777" w:rsidR="0096202A" w:rsidRPr="000836E3" w:rsidRDefault="0096202A" w:rsidP="0096202A">
      <w:pPr>
        <w:pStyle w:val="FootnoteText"/>
        <w:rPr>
          <w:lang w:val="en-US"/>
        </w:rPr>
      </w:pPr>
    </w:p>
  </w:footnote>
  <w:footnote w:id="5">
    <w:p w14:paraId="513735F5" w14:textId="77777777" w:rsidR="0096202A" w:rsidRPr="0054503D" w:rsidRDefault="0096202A" w:rsidP="0096202A">
      <w:pPr>
        <w:pStyle w:val="FootnoteText"/>
        <w:rPr>
          <w:lang w:val="en-US"/>
        </w:rPr>
      </w:pPr>
      <w:r>
        <w:rPr>
          <w:rStyle w:val="FootnoteReference"/>
        </w:rPr>
        <w:footnoteRef/>
      </w:r>
      <w:r>
        <w:t xml:space="preserve"> </w:t>
      </w:r>
      <w:r>
        <w:rPr>
          <w:lang w:val="en-US"/>
        </w:rPr>
        <w:t>Schlesinger V Donaldson and Another 1929 WLD 54 at 57</w:t>
      </w:r>
    </w:p>
  </w:footnote>
  <w:footnote w:id="6">
    <w:p w14:paraId="4E1DCFE5" w14:textId="77777777" w:rsidR="0096202A" w:rsidRPr="00FB1D92" w:rsidRDefault="0096202A" w:rsidP="0096202A">
      <w:pPr>
        <w:pStyle w:val="FootnoteText"/>
        <w:rPr>
          <w:lang w:val="en-US"/>
        </w:rPr>
      </w:pPr>
      <w:r>
        <w:rPr>
          <w:rStyle w:val="FootnoteReference"/>
        </w:rPr>
        <w:footnoteRef/>
      </w:r>
      <w:r>
        <w:t xml:space="preserve"> </w:t>
      </w:r>
      <w:r w:rsidRPr="00BE142D">
        <w:rPr>
          <w:rFonts w:ascii="Arial" w:hAnsi="Arial" w:cs="Arial"/>
        </w:rPr>
        <w:t>Swissborough Diamond Mines (Pty) Ltd V Government of the Republic of South Africa 1999 (2) SA 297 (T) at 3</w:t>
      </w:r>
      <w:r>
        <w:rPr>
          <w:rFonts w:ascii="Arial" w:hAnsi="Arial" w:cs="Arial"/>
        </w:rPr>
        <w:t xml:space="preserve">11A and </w:t>
      </w:r>
    </w:p>
  </w:footnote>
  <w:footnote w:id="7">
    <w:p w14:paraId="68BD6080" w14:textId="77777777" w:rsidR="0096202A" w:rsidRPr="0054503D" w:rsidRDefault="0096202A" w:rsidP="0096202A">
      <w:pPr>
        <w:pStyle w:val="FootnoteText"/>
        <w:rPr>
          <w:lang w:val="en-US"/>
        </w:rPr>
      </w:pPr>
      <w:r>
        <w:rPr>
          <w:rStyle w:val="FootnoteReference"/>
        </w:rPr>
        <w:footnoteRef/>
      </w:r>
      <w:r>
        <w:t xml:space="preserve"> </w:t>
      </w:r>
      <w:r>
        <w:rPr>
          <w:lang w:val="en-US"/>
        </w:rPr>
        <w:t>Louw V Grobler (unreported FB Case No 3074/2016 dated 28 September 2021) at paragraph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25674674"/>
      <w:docPartObj>
        <w:docPartGallery w:val="Page Numbers (Top of Page)"/>
        <w:docPartUnique/>
      </w:docPartObj>
    </w:sdtPr>
    <w:sdtEndPr>
      <w:rPr>
        <w:rStyle w:val="PageNumber"/>
      </w:rPr>
    </w:sdtEndPr>
    <w:sdtContent>
      <w:p w14:paraId="370429EE" w14:textId="0869BCB6" w:rsidR="00E1708C" w:rsidRDefault="00E1708C" w:rsidP="0060686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0CED9C" w14:textId="77777777" w:rsidR="00E1708C" w:rsidRDefault="00E170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77405942"/>
      <w:docPartObj>
        <w:docPartGallery w:val="Page Numbers (Top of Page)"/>
        <w:docPartUnique/>
      </w:docPartObj>
    </w:sdtPr>
    <w:sdtEndPr>
      <w:rPr>
        <w:rStyle w:val="PageNumber"/>
      </w:rPr>
    </w:sdtEndPr>
    <w:sdtContent>
      <w:p w14:paraId="4E76FF53" w14:textId="7BCC2365" w:rsidR="00E1708C" w:rsidRDefault="00E1708C" w:rsidP="0060686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B4054">
          <w:rPr>
            <w:rStyle w:val="PageNumber"/>
            <w:noProof/>
          </w:rPr>
          <w:t>3</w:t>
        </w:r>
        <w:r>
          <w:rPr>
            <w:rStyle w:val="PageNumber"/>
          </w:rPr>
          <w:fldChar w:fldCharType="end"/>
        </w:r>
      </w:p>
    </w:sdtContent>
  </w:sdt>
  <w:p w14:paraId="52CE4697" w14:textId="77777777" w:rsidR="00E1708C" w:rsidRDefault="00E1708C">
    <w:pPr>
      <w:pStyle w:val="Header"/>
    </w:pPr>
  </w:p>
  <w:p w14:paraId="3BF3CF16" w14:textId="77777777" w:rsidR="00A3512C" w:rsidRDefault="00A35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F5A88"/>
    <w:multiLevelType w:val="multilevel"/>
    <w:tmpl w:val="D834D704"/>
    <w:lvl w:ilvl="0">
      <w:start w:val="1"/>
      <w:numFmt w:val="decimal"/>
      <w:lvlText w:val="%1."/>
      <w:lvlJc w:val="left"/>
      <w:pPr>
        <w:ind w:left="502" w:hanging="360"/>
      </w:pPr>
      <w:rPr>
        <w:rFonts w:hint="default"/>
      </w:rPr>
    </w:lvl>
    <w:lvl w:ilvl="1">
      <w:start w:val="1"/>
      <w:numFmt w:val="decimal"/>
      <w:lvlText w:val="%1.%2."/>
      <w:lvlJc w:val="left"/>
      <w:pPr>
        <w:ind w:left="1588" w:hanging="1228"/>
      </w:pPr>
      <w:rPr>
        <w:rFonts w:hint="default"/>
      </w:rPr>
    </w:lvl>
    <w:lvl w:ilvl="2">
      <w:start w:val="1"/>
      <w:numFmt w:val="decimal"/>
      <w:lvlText w:val="%1.%2.%3."/>
      <w:lvlJc w:val="left"/>
      <w:pPr>
        <w:ind w:left="2778" w:hanging="205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DA7AD3"/>
    <w:multiLevelType w:val="multilevel"/>
    <w:tmpl w:val="E0EE886A"/>
    <w:lvl w:ilvl="0">
      <w:start w:val="1"/>
      <w:numFmt w:val="decimal"/>
      <w:pStyle w:val="SIUaffidavitnumbering"/>
      <w:lvlText w:val="%1"/>
      <w:lvlJc w:val="left"/>
      <w:pPr>
        <w:tabs>
          <w:tab w:val="num" w:pos="567"/>
        </w:tabs>
        <w:ind w:left="567" w:hanging="567"/>
      </w:pPr>
      <w:rPr>
        <w:rFonts w:ascii="Arial" w:hAnsi="Arial" w:cs="Arial" w:hint="default"/>
        <w:b w:val="0"/>
        <w:i w:val="0"/>
        <w:color w:val="000000" w:themeColor="text1"/>
        <w:sz w:val="22"/>
      </w:rPr>
    </w:lvl>
    <w:lvl w:ilvl="1">
      <w:start w:val="1"/>
      <w:numFmt w:val="decimal"/>
      <w:lvlText w:val="%1.%2"/>
      <w:lvlJc w:val="left"/>
      <w:pPr>
        <w:tabs>
          <w:tab w:val="num" w:pos="1134"/>
        </w:tabs>
        <w:ind w:left="1134" w:hanging="567"/>
      </w:pPr>
      <w:rPr>
        <w:rFonts w:ascii="Arial" w:hAnsi="Arial" w:cs="Arial" w:hint="default"/>
        <w:b w:val="0"/>
        <w:i w:val="0"/>
        <w:color w:val="000000" w:themeColor="text1"/>
        <w:sz w:val="22"/>
      </w:rPr>
    </w:lvl>
    <w:lvl w:ilvl="2">
      <w:start w:val="1"/>
      <w:numFmt w:val="decimal"/>
      <w:lvlText w:val="%1.%2.%3"/>
      <w:lvlJc w:val="left"/>
      <w:pPr>
        <w:tabs>
          <w:tab w:val="num" w:pos="1985"/>
        </w:tabs>
        <w:ind w:left="1985" w:hanging="851"/>
      </w:pPr>
      <w:rPr>
        <w:rFonts w:ascii="Arial" w:hAnsi="Arial" w:cs="Arial" w:hint="default"/>
        <w:b w:val="0"/>
      </w:rPr>
    </w:lvl>
    <w:lvl w:ilvl="3">
      <w:start w:val="1"/>
      <w:numFmt w:val="decimal"/>
      <w:lvlText w:val="%1.%2.%3.%4"/>
      <w:lvlJc w:val="left"/>
      <w:pPr>
        <w:tabs>
          <w:tab w:val="num" w:pos="567"/>
        </w:tabs>
        <w:ind w:left="2835" w:hanging="567"/>
      </w:pPr>
      <w:rPr>
        <w:rFonts w:hint="default"/>
      </w:rPr>
    </w:lvl>
    <w:lvl w:ilvl="4">
      <w:start w:val="1"/>
      <w:numFmt w:val="decimal"/>
      <w:lvlText w:val="%1.%2.%3.%4.%5."/>
      <w:lvlJc w:val="left"/>
      <w:pPr>
        <w:tabs>
          <w:tab w:val="num" w:pos="567"/>
        </w:tabs>
        <w:ind w:left="3402" w:hanging="567"/>
      </w:pPr>
      <w:rPr>
        <w:rFonts w:hint="default"/>
      </w:rPr>
    </w:lvl>
    <w:lvl w:ilvl="5">
      <w:start w:val="1"/>
      <w:numFmt w:val="decimal"/>
      <w:lvlText w:val="%1.%2.%3.%4.%5.%6."/>
      <w:lvlJc w:val="left"/>
      <w:pPr>
        <w:tabs>
          <w:tab w:val="num" w:pos="567"/>
        </w:tabs>
        <w:ind w:left="3969" w:hanging="567"/>
      </w:pPr>
      <w:rPr>
        <w:rFonts w:hint="default"/>
      </w:rPr>
    </w:lvl>
    <w:lvl w:ilvl="6">
      <w:start w:val="1"/>
      <w:numFmt w:val="decimal"/>
      <w:lvlText w:val="%1.%2.%3.%4.%5.%6.%7."/>
      <w:lvlJc w:val="left"/>
      <w:pPr>
        <w:tabs>
          <w:tab w:val="num" w:pos="567"/>
        </w:tabs>
        <w:ind w:left="4536" w:hanging="567"/>
      </w:pPr>
      <w:rPr>
        <w:rFonts w:hint="default"/>
      </w:rPr>
    </w:lvl>
    <w:lvl w:ilvl="7">
      <w:start w:val="1"/>
      <w:numFmt w:val="decimal"/>
      <w:lvlText w:val="%1.%2.%3.%4.%5.%6.%7.%8."/>
      <w:lvlJc w:val="left"/>
      <w:pPr>
        <w:tabs>
          <w:tab w:val="num" w:pos="567"/>
        </w:tabs>
        <w:ind w:left="5103" w:hanging="567"/>
      </w:pPr>
      <w:rPr>
        <w:rFonts w:hint="default"/>
      </w:rPr>
    </w:lvl>
    <w:lvl w:ilvl="8">
      <w:start w:val="1"/>
      <w:numFmt w:val="decimal"/>
      <w:lvlText w:val="%1.%2.%3.%4.%5.%6.%7.%8.%9."/>
      <w:lvlJc w:val="left"/>
      <w:pPr>
        <w:tabs>
          <w:tab w:val="num" w:pos="567"/>
        </w:tabs>
        <w:ind w:left="5670" w:hanging="567"/>
      </w:pPr>
      <w:rPr>
        <w:rFonts w:hint="default"/>
      </w:rPr>
    </w:lvl>
  </w:abstractNum>
  <w:abstractNum w:abstractNumId="2">
    <w:nsid w:val="521C4B22"/>
    <w:multiLevelType w:val="multilevel"/>
    <w:tmpl w:val="CCD80082"/>
    <w:lvl w:ilvl="0">
      <w:start w:val="1"/>
      <w:numFmt w:val="decimal"/>
      <w:lvlText w:val="%1."/>
      <w:lvlJc w:val="left"/>
      <w:pPr>
        <w:ind w:left="360" w:hanging="360"/>
      </w:pPr>
      <w:rPr>
        <w:rFonts w:hint="default"/>
      </w:rPr>
    </w:lvl>
    <w:lvl w:ilvl="1">
      <w:start w:val="1"/>
      <w:numFmt w:val="decimal"/>
      <w:lvlText w:val="%1.%2."/>
      <w:lvlJc w:val="left"/>
      <w:pPr>
        <w:ind w:left="1531" w:hanging="11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7897D2E"/>
    <w:multiLevelType w:val="hybridMultilevel"/>
    <w:tmpl w:val="BBC89568"/>
    <w:lvl w:ilvl="0" w:tplc="F96E98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4DF1673"/>
    <w:multiLevelType w:val="multilevel"/>
    <w:tmpl w:val="F1421780"/>
    <w:lvl w:ilvl="0">
      <w:start w:val="2"/>
      <w:numFmt w:val="decimal"/>
      <w:lvlText w:val="%1"/>
      <w:lvlJc w:val="left"/>
      <w:pPr>
        <w:ind w:left="360" w:hanging="360"/>
      </w:pPr>
      <w:rPr>
        <w:rFonts w:hint="default"/>
      </w:rPr>
    </w:lvl>
    <w:lvl w:ilvl="1">
      <w:start w:val="4"/>
      <w:numFmt w:val="decimal"/>
      <w:lvlText w:val="%1.%2"/>
      <w:lvlJc w:val="left"/>
      <w:pPr>
        <w:ind w:left="2004" w:hanging="360"/>
      </w:pPr>
      <w:rPr>
        <w:rFonts w:hint="default"/>
      </w:rPr>
    </w:lvl>
    <w:lvl w:ilvl="2">
      <w:start w:val="1"/>
      <w:numFmt w:val="decimal"/>
      <w:lvlText w:val="%1.%2.%3"/>
      <w:lvlJc w:val="left"/>
      <w:pPr>
        <w:ind w:left="4008" w:hanging="720"/>
      </w:pPr>
      <w:rPr>
        <w:rFonts w:hint="default"/>
      </w:rPr>
    </w:lvl>
    <w:lvl w:ilvl="3">
      <w:start w:val="1"/>
      <w:numFmt w:val="decimal"/>
      <w:lvlText w:val="%1.%2.%3.%4"/>
      <w:lvlJc w:val="left"/>
      <w:pPr>
        <w:ind w:left="6012" w:hanging="1080"/>
      </w:pPr>
      <w:rPr>
        <w:rFonts w:hint="default"/>
      </w:rPr>
    </w:lvl>
    <w:lvl w:ilvl="4">
      <w:start w:val="1"/>
      <w:numFmt w:val="decimal"/>
      <w:lvlText w:val="%1.%2.%3.%4.%5"/>
      <w:lvlJc w:val="left"/>
      <w:pPr>
        <w:ind w:left="7656" w:hanging="1080"/>
      </w:pPr>
      <w:rPr>
        <w:rFonts w:hint="default"/>
      </w:rPr>
    </w:lvl>
    <w:lvl w:ilvl="5">
      <w:start w:val="1"/>
      <w:numFmt w:val="decimal"/>
      <w:lvlText w:val="%1.%2.%3.%4.%5.%6"/>
      <w:lvlJc w:val="left"/>
      <w:pPr>
        <w:ind w:left="9660" w:hanging="1440"/>
      </w:pPr>
      <w:rPr>
        <w:rFonts w:hint="default"/>
      </w:rPr>
    </w:lvl>
    <w:lvl w:ilvl="6">
      <w:start w:val="1"/>
      <w:numFmt w:val="decimal"/>
      <w:lvlText w:val="%1.%2.%3.%4.%5.%6.%7"/>
      <w:lvlJc w:val="left"/>
      <w:pPr>
        <w:ind w:left="11304" w:hanging="1440"/>
      </w:pPr>
      <w:rPr>
        <w:rFonts w:hint="default"/>
      </w:rPr>
    </w:lvl>
    <w:lvl w:ilvl="7">
      <w:start w:val="1"/>
      <w:numFmt w:val="decimal"/>
      <w:lvlText w:val="%1.%2.%3.%4.%5.%6.%7.%8"/>
      <w:lvlJc w:val="left"/>
      <w:pPr>
        <w:ind w:left="13308" w:hanging="1800"/>
      </w:pPr>
      <w:rPr>
        <w:rFonts w:hint="default"/>
      </w:rPr>
    </w:lvl>
    <w:lvl w:ilvl="8">
      <w:start w:val="1"/>
      <w:numFmt w:val="decimal"/>
      <w:lvlText w:val="%1.%2.%3.%4.%5.%6.%7.%8.%9"/>
      <w:lvlJc w:val="left"/>
      <w:pPr>
        <w:ind w:left="14952" w:hanging="1800"/>
      </w:pPr>
      <w:rPr>
        <w:rFonts w:hint="default"/>
      </w:rPr>
    </w:lvl>
  </w:abstractNum>
  <w:abstractNum w:abstractNumId="5">
    <w:nsid w:val="6DA22AB2"/>
    <w:multiLevelType w:val="multilevel"/>
    <w:tmpl w:val="C0A4D84E"/>
    <w:lvl w:ilvl="0">
      <w:start w:val="1"/>
      <w:numFmt w:val="decimal"/>
      <w:lvlText w:val="%1."/>
      <w:lvlJc w:val="left"/>
      <w:pPr>
        <w:ind w:left="360" w:hanging="360"/>
      </w:pPr>
      <w:rPr>
        <w:rFonts w:hint="default"/>
      </w:rPr>
    </w:lvl>
    <w:lvl w:ilvl="1">
      <w:start w:val="1"/>
      <w:numFmt w:val="decimal"/>
      <w:lvlText w:val="%1.%2."/>
      <w:lvlJc w:val="left"/>
      <w:pPr>
        <w:ind w:left="1644" w:hanging="1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E0C1C8D"/>
    <w:multiLevelType w:val="hybridMultilevel"/>
    <w:tmpl w:val="FE2EBFC2"/>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42"/>
    <w:rsid w:val="00011990"/>
    <w:rsid w:val="00033FF9"/>
    <w:rsid w:val="00044A1F"/>
    <w:rsid w:val="000471A6"/>
    <w:rsid w:val="000B56E9"/>
    <w:rsid w:val="000D64EE"/>
    <w:rsid w:val="00154B69"/>
    <w:rsid w:val="00157C06"/>
    <w:rsid w:val="00177C5B"/>
    <w:rsid w:val="001A4095"/>
    <w:rsid w:val="001B67C7"/>
    <w:rsid w:val="001C374C"/>
    <w:rsid w:val="001D1EC4"/>
    <w:rsid w:val="001E38EB"/>
    <w:rsid w:val="0020653A"/>
    <w:rsid w:val="00214EC6"/>
    <w:rsid w:val="002C5788"/>
    <w:rsid w:val="00315614"/>
    <w:rsid w:val="00325D0B"/>
    <w:rsid w:val="003978E3"/>
    <w:rsid w:val="003E36C8"/>
    <w:rsid w:val="00410FB9"/>
    <w:rsid w:val="00444977"/>
    <w:rsid w:val="0049121F"/>
    <w:rsid w:val="0049312A"/>
    <w:rsid w:val="00493B8E"/>
    <w:rsid w:val="00495F9A"/>
    <w:rsid w:val="004F10FD"/>
    <w:rsid w:val="005037EB"/>
    <w:rsid w:val="00523860"/>
    <w:rsid w:val="0053016A"/>
    <w:rsid w:val="005354CB"/>
    <w:rsid w:val="005614C4"/>
    <w:rsid w:val="005621ED"/>
    <w:rsid w:val="00565119"/>
    <w:rsid w:val="005E38AB"/>
    <w:rsid w:val="00603A34"/>
    <w:rsid w:val="0062413D"/>
    <w:rsid w:val="00637450"/>
    <w:rsid w:val="0064346F"/>
    <w:rsid w:val="006E17B9"/>
    <w:rsid w:val="007109C7"/>
    <w:rsid w:val="007266D7"/>
    <w:rsid w:val="0073414E"/>
    <w:rsid w:val="00744773"/>
    <w:rsid w:val="00764F22"/>
    <w:rsid w:val="007829CD"/>
    <w:rsid w:val="00786E15"/>
    <w:rsid w:val="007A3AB9"/>
    <w:rsid w:val="007F21A1"/>
    <w:rsid w:val="008225AF"/>
    <w:rsid w:val="00827820"/>
    <w:rsid w:val="008335D9"/>
    <w:rsid w:val="0083524D"/>
    <w:rsid w:val="00841A43"/>
    <w:rsid w:val="008758E8"/>
    <w:rsid w:val="00884FC4"/>
    <w:rsid w:val="0089600C"/>
    <w:rsid w:val="008A37B2"/>
    <w:rsid w:val="008B0F97"/>
    <w:rsid w:val="008B4054"/>
    <w:rsid w:val="008C76FC"/>
    <w:rsid w:val="0096202A"/>
    <w:rsid w:val="00965329"/>
    <w:rsid w:val="009869DD"/>
    <w:rsid w:val="009C706F"/>
    <w:rsid w:val="009D048A"/>
    <w:rsid w:val="00A12523"/>
    <w:rsid w:val="00A16703"/>
    <w:rsid w:val="00A24AAA"/>
    <w:rsid w:val="00A25921"/>
    <w:rsid w:val="00A3512C"/>
    <w:rsid w:val="00A426DD"/>
    <w:rsid w:val="00A72A32"/>
    <w:rsid w:val="00A93397"/>
    <w:rsid w:val="00AC59F9"/>
    <w:rsid w:val="00AD321B"/>
    <w:rsid w:val="00B26402"/>
    <w:rsid w:val="00B37692"/>
    <w:rsid w:val="00BF00FE"/>
    <w:rsid w:val="00BF1BA9"/>
    <w:rsid w:val="00BF596B"/>
    <w:rsid w:val="00C7677D"/>
    <w:rsid w:val="00CA09A0"/>
    <w:rsid w:val="00CA77FD"/>
    <w:rsid w:val="00CD11C0"/>
    <w:rsid w:val="00CF20B2"/>
    <w:rsid w:val="00CF2E69"/>
    <w:rsid w:val="00D41F56"/>
    <w:rsid w:val="00D5000D"/>
    <w:rsid w:val="00D54ECF"/>
    <w:rsid w:val="00D56DBE"/>
    <w:rsid w:val="00DB4989"/>
    <w:rsid w:val="00DD3979"/>
    <w:rsid w:val="00E1708C"/>
    <w:rsid w:val="00E232F8"/>
    <w:rsid w:val="00E246E8"/>
    <w:rsid w:val="00E40362"/>
    <w:rsid w:val="00E4575C"/>
    <w:rsid w:val="00E620CC"/>
    <w:rsid w:val="00E86FD3"/>
    <w:rsid w:val="00ED4FD3"/>
    <w:rsid w:val="00EE42E1"/>
    <w:rsid w:val="00EE6E92"/>
    <w:rsid w:val="00EF3696"/>
    <w:rsid w:val="00EF6CB9"/>
    <w:rsid w:val="00F0399D"/>
    <w:rsid w:val="00F0494B"/>
    <w:rsid w:val="00F322A2"/>
    <w:rsid w:val="00F841BD"/>
    <w:rsid w:val="00F8671D"/>
    <w:rsid w:val="00F87BCB"/>
    <w:rsid w:val="00FA67F5"/>
    <w:rsid w:val="00FC6E85"/>
    <w:rsid w:val="00FD2642"/>
    <w:rsid w:val="00FE1C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6D0E"/>
  <w15:chartTrackingRefBased/>
  <w15:docId w15:val="{C0A67CA9-9C6D-D141-B8A1-18ECF02D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A37B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6FD3"/>
    <w:pPr>
      <w:ind w:left="720"/>
      <w:contextualSpacing/>
    </w:pPr>
  </w:style>
  <w:style w:type="character" w:styleId="Hyperlink">
    <w:name w:val="Hyperlink"/>
    <w:basedOn w:val="DefaultParagraphFont"/>
    <w:uiPriority w:val="99"/>
    <w:semiHidden/>
    <w:unhideWhenUsed/>
    <w:rsid w:val="00DB4989"/>
    <w:rPr>
      <w:color w:val="0000FF"/>
      <w:u w:val="single"/>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
    <w:basedOn w:val="Normal"/>
    <w:link w:val="FootnoteTextChar"/>
    <w:uiPriority w:val="99"/>
    <w:unhideWhenUsed/>
    <w:qFormat/>
    <w:rsid w:val="007109C7"/>
    <w:rPr>
      <w:sz w:val="20"/>
      <w:szCs w:val="20"/>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
    <w:basedOn w:val="DefaultParagraphFont"/>
    <w:link w:val="FootnoteText"/>
    <w:uiPriority w:val="99"/>
    <w:rsid w:val="007109C7"/>
    <w:rPr>
      <w:sz w:val="20"/>
      <w:szCs w:val="20"/>
    </w:rPr>
  </w:style>
  <w:style w:type="character" w:styleId="FootnoteReference">
    <w:name w:val="footnote reference"/>
    <w:basedOn w:val="DefaultParagraphFont"/>
    <w:uiPriority w:val="99"/>
    <w:unhideWhenUsed/>
    <w:rsid w:val="007109C7"/>
    <w:rPr>
      <w:vertAlign w:val="superscript"/>
    </w:rPr>
  </w:style>
  <w:style w:type="paragraph" w:customStyle="1" w:styleId="SIUaffidavitnumbering">
    <w:name w:val="SIU affidavit numbering"/>
    <w:basedOn w:val="Normal"/>
    <w:semiHidden/>
    <w:rsid w:val="008758E8"/>
    <w:pPr>
      <w:numPr>
        <w:numId w:val="3"/>
      </w:numPr>
      <w:spacing w:before="240" w:after="240" w:line="276" w:lineRule="auto"/>
      <w:jc w:val="both"/>
    </w:pPr>
    <w:rPr>
      <w:rFonts w:ascii="Calibri" w:eastAsia="Times New Roman" w:hAnsi="Calibri" w:cs="Times New Roman"/>
      <w:sz w:val="22"/>
      <w:szCs w:val="22"/>
      <w:lang w:val="en-GB" w:bidi="en-US"/>
    </w:rPr>
  </w:style>
  <w:style w:type="paragraph" w:customStyle="1" w:styleId="fnotetext">
    <w:name w:val="fnotetext"/>
    <w:basedOn w:val="Normal"/>
    <w:rsid w:val="008758E8"/>
    <w:pPr>
      <w:spacing w:before="100" w:beforeAutospacing="1" w:after="100" w:afterAutospacing="1"/>
    </w:pPr>
    <w:rPr>
      <w:rFonts w:ascii="Times New Roman" w:eastAsia="Times New Roman" w:hAnsi="Times New Roman" w:cs="Times New Roman"/>
      <w:lang w:eastAsia="en-GB"/>
    </w:rPr>
  </w:style>
  <w:style w:type="paragraph" w:customStyle="1" w:styleId="lrpara">
    <w:name w:val="lrpara"/>
    <w:basedOn w:val="Normal"/>
    <w:rsid w:val="005354CB"/>
    <w:pPr>
      <w:spacing w:before="100" w:beforeAutospacing="1" w:after="100" w:afterAutospacing="1"/>
    </w:pPr>
    <w:rPr>
      <w:rFonts w:ascii="Times New Roman" w:eastAsia="Times New Roman" w:hAnsi="Times New Roman" w:cs="Times New Roman"/>
      <w:lang w:eastAsia="en-GB"/>
    </w:rPr>
  </w:style>
  <w:style w:type="character" w:customStyle="1" w:styleId="mc">
    <w:name w:val="mc"/>
    <w:basedOn w:val="DefaultParagraphFont"/>
    <w:rsid w:val="005354CB"/>
  </w:style>
  <w:style w:type="paragraph" w:customStyle="1" w:styleId="lrquote">
    <w:name w:val="lrquote"/>
    <w:basedOn w:val="Normal"/>
    <w:rsid w:val="005354CB"/>
    <w:pPr>
      <w:spacing w:before="100" w:beforeAutospacing="1" w:after="100" w:afterAutospacing="1"/>
    </w:pPr>
    <w:rPr>
      <w:rFonts w:ascii="Times New Roman" w:eastAsia="Times New Roman" w:hAnsi="Times New Roman" w:cs="Times New Roman"/>
      <w:lang w:eastAsia="en-GB"/>
    </w:rPr>
  </w:style>
  <w:style w:type="character" w:customStyle="1" w:styleId="footnoteanchor">
    <w:name w:val="footnoteanchor"/>
    <w:basedOn w:val="DefaultParagraphFont"/>
    <w:rsid w:val="005354CB"/>
  </w:style>
  <w:style w:type="paragraph" w:customStyle="1" w:styleId="pageno">
    <w:name w:val="pageno"/>
    <w:basedOn w:val="Normal"/>
    <w:rsid w:val="005354CB"/>
    <w:pPr>
      <w:spacing w:before="100" w:beforeAutospacing="1" w:after="100" w:afterAutospacing="1"/>
    </w:pPr>
    <w:rPr>
      <w:rFonts w:ascii="Times New Roman" w:eastAsia="Times New Roman" w:hAnsi="Times New Roman" w:cs="Times New Roman"/>
      <w:lang w:eastAsia="en-GB"/>
    </w:rPr>
  </w:style>
  <w:style w:type="paragraph" w:customStyle="1" w:styleId="lrjudgecont">
    <w:name w:val="lrjudgecont"/>
    <w:basedOn w:val="Normal"/>
    <w:rsid w:val="005354CB"/>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E1708C"/>
    <w:pPr>
      <w:tabs>
        <w:tab w:val="center" w:pos="4513"/>
        <w:tab w:val="right" w:pos="9026"/>
      </w:tabs>
    </w:pPr>
  </w:style>
  <w:style w:type="character" w:customStyle="1" w:styleId="HeaderChar">
    <w:name w:val="Header Char"/>
    <w:basedOn w:val="DefaultParagraphFont"/>
    <w:link w:val="Header"/>
    <w:uiPriority w:val="99"/>
    <w:rsid w:val="00E1708C"/>
  </w:style>
  <w:style w:type="character" w:styleId="PageNumber">
    <w:name w:val="page number"/>
    <w:basedOn w:val="DefaultParagraphFont"/>
    <w:uiPriority w:val="99"/>
    <w:semiHidden/>
    <w:unhideWhenUsed/>
    <w:rsid w:val="00E1708C"/>
  </w:style>
  <w:style w:type="character" w:customStyle="1" w:styleId="Heading2Char">
    <w:name w:val="Heading 2 Char"/>
    <w:basedOn w:val="DefaultParagraphFont"/>
    <w:link w:val="Heading2"/>
    <w:uiPriority w:val="9"/>
    <w:rsid w:val="008A37B2"/>
    <w:rPr>
      <w:rFonts w:ascii="Times New Roman" w:eastAsia="Times New Roman" w:hAnsi="Times New Roman" w:cs="Times New Roman"/>
      <w:b/>
      <w:bCs/>
      <w:sz w:val="36"/>
      <w:szCs w:val="36"/>
      <w:lang w:eastAsia="en-GB"/>
    </w:rPr>
  </w:style>
  <w:style w:type="paragraph" w:styleId="Footer">
    <w:name w:val="footer"/>
    <w:basedOn w:val="Normal"/>
    <w:link w:val="FooterChar"/>
    <w:uiPriority w:val="99"/>
    <w:unhideWhenUsed/>
    <w:rsid w:val="00A3512C"/>
    <w:pPr>
      <w:tabs>
        <w:tab w:val="center" w:pos="4513"/>
        <w:tab w:val="right" w:pos="9026"/>
      </w:tabs>
    </w:pPr>
  </w:style>
  <w:style w:type="character" w:customStyle="1" w:styleId="FooterChar">
    <w:name w:val="Footer Char"/>
    <w:basedOn w:val="DefaultParagraphFont"/>
    <w:link w:val="Footer"/>
    <w:uiPriority w:val="99"/>
    <w:rsid w:val="00A3512C"/>
  </w:style>
  <w:style w:type="character" w:customStyle="1" w:styleId="ListParagraphChar">
    <w:name w:val="List Paragraph Char"/>
    <w:basedOn w:val="DefaultParagraphFont"/>
    <w:link w:val="ListParagraph"/>
    <w:uiPriority w:val="34"/>
    <w:rsid w:val="00962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1171">
      <w:bodyDiv w:val="1"/>
      <w:marLeft w:val="0"/>
      <w:marRight w:val="0"/>
      <w:marTop w:val="0"/>
      <w:marBottom w:val="0"/>
      <w:divBdr>
        <w:top w:val="none" w:sz="0" w:space="0" w:color="auto"/>
        <w:left w:val="none" w:sz="0" w:space="0" w:color="auto"/>
        <w:bottom w:val="none" w:sz="0" w:space="0" w:color="auto"/>
        <w:right w:val="none" w:sz="0" w:space="0" w:color="auto"/>
      </w:divBdr>
      <w:divsChild>
        <w:div w:id="28727678">
          <w:marLeft w:val="0"/>
          <w:marRight w:val="0"/>
          <w:marTop w:val="120"/>
          <w:marBottom w:val="0"/>
          <w:divBdr>
            <w:top w:val="none" w:sz="0" w:space="0" w:color="auto"/>
            <w:left w:val="none" w:sz="0" w:space="0" w:color="auto"/>
            <w:bottom w:val="none" w:sz="0" w:space="0" w:color="auto"/>
            <w:right w:val="none" w:sz="0" w:space="0" w:color="auto"/>
          </w:divBdr>
        </w:div>
        <w:div w:id="1494418777">
          <w:marLeft w:val="1134"/>
          <w:marRight w:val="0"/>
          <w:marTop w:val="60"/>
          <w:marBottom w:val="0"/>
          <w:divBdr>
            <w:top w:val="none" w:sz="0" w:space="0" w:color="auto"/>
            <w:left w:val="none" w:sz="0" w:space="0" w:color="auto"/>
            <w:bottom w:val="none" w:sz="0" w:space="0" w:color="auto"/>
            <w:right w:val="none" w:sz="0" w:space="0" w:color="auto"/>
          </w:divBdr>
        </w:div>
        <w:div w:id="655651944">
          <w:marLeft w:val="1134"/>
          <w:marRight w:val="0"/>
          <w:marTop w:val="60"/>
          <w:marBottom w:val="0"/>
          <w:divBdr>
            <w:top w:val="none" w:sz="0" w:space="0" w:color="auto"/>
            <w:left w:val="none" w:sz="0" w:space="0" w:color="auto"/>
            <w:bottom w:val="none" w:sz="0" w:space="0" w:color="auto"/>
            <w:right w:val="none" w:sz="0" w:space="0" w:color="auto"/>
          </w:divBdr>
        </w:div>
        <w:div w:id="1955088701">
          <w:marLeft w:val="1985"/>
          <w:marRight w:val="0"/>
          <w:marTop w:val="60"/>
          <w:marBottom w:val="0"/>
          <w:divBdr>
            <w:top w:val="none" w:sz="0" w:space="0" w:color="auto"/>
            <w:left w:val="none" w:sz="0" w:space="0" w:color="auto"/>
            <w:bottom w:val="none" w:sz="0" w:space="0" w:color="auto"/>
            <w:right w:val="none" w:sz="0" w:space="0" w:color="auto"/>
          </w:divBdr>
        </w:div>
        <w:div w:id="951982992">
          <w:marLeft w:val="2580"/>
          <w:marRight w:val="0"/>
          <w:marTop w:val="60"/>
          <w:marBottom w:val="0"/>
          <w:divBdr>
            <w:top w:val="none" w:sz="0" w:space="0" w:color="auto"/>
            <w:left w:val="none" w:sz="0" w:space="0" w:color="auto"/>
            <w:bottom w:val="none" w:sz="0" w:space="0" w:color="auto"/>
            <w:right w:val="none" w:sz="0" w:space="0" w:color="auto"/>
          </w:divBdr>
        </w:div>
        <w:div w:id="2119058392">
          <w:marLeft w:val="2580"/>
          <w:marRight w:val="0"/>
          <w:marTop w:val="60"/>
          <w:marBottom w:val="0"/>
          <w:divBdr>
            <w:top w:val="none" w:sz="0" w:space="0" w:color="auto"/>
            <w:left w:val="none" w:sz="0" w:space="0" w:color="auto"/>
            <w:bottom w:val="none" w:sz="0" w:space="0" w:color="auto"/>
            <w:right w:val="none" w:sz="0" w:space="0" w:color="auto"/>
          </w:divBdr>
        </w:div>
        <w:div w:id="1339698306">
          <w:marLeft w:val="1985"/>
          <w:marRight w:val="0"/>
          <w:marTop w:val="60"/>
          <w:marBottom w:val="0"/>
          <w:divBdr>
            <w:top w:val="none" w:sz="0" w:space="0" w:color="auto"/>
            <w:left w:val="none" w:sz="0" w:space="0" w:color="auto"/>
            <w:bottom w:val="none" w:sz="0" w:space="0" w:color="auto"/>
            <w:right w:val="none" w:sz="0" w:space="0" w:color="auto"/>
          </w:divBdr>
        </w:div>
      </w:divsChild>
    </w:div>
    <w:div w:id="980380882">
      <w:bodyDiv w:val="1"/>
      <w:marLeft w:val="0"/>
      <w:marRight w:val="0"/>
      <w:marTop w:val="0"/>
      <w:marBottom w:val="0"/>
      <w:divBdr>
        <w:top w:val="none" w:sz="0" w:space="0" w:color="auto"/>
        <w:left w:val="none" w:sz="0" w:space="0" w:color="auto"/>
        <w:bottom w:val="none" w:sz="0" w:space="0" w:color="auto"/>
        <w:right w:val="none" w:sz="0" w:space="0" w:color="auto"/>
      </w:divBdr>
    </w:div>
    <w:div w:id="1529754638">
      <w:bodyDiv w:val="1"/>
      <w:marLeft w:val="0"/>
      <w:marRight w:val="0"/>
      <w:marTop w:val="0"/>
      <w:marBottom w:val="0"/>
      <w:divBdr>
        <w:top w:val="none" w:sz="0" w:space="0" w:color="auto"/>
        <w:left w:val="none" w:sz="0" w:space="0" w:color="auto"/>
        <w:bottom w:val="none" w:sz="0" w:space="0" w:color="auto"/>
        <w:right w:val="none" w:sz="0" w:space="0" w:color="auto"/>
      </w:divBdr>
    </w:div>
    <w:div w:id="1633175490">
      <w:bodyDiv w:val="1"/>
      <w:marLeft w:val="0"/>
      <w:marRight w:val="0"/>
      <w:marTop w:val="0"/>
      <w:marBottom w:val="0"/>
      <w:divBdr>
        <w:top w:val="none" w:sz="0" w:space="0" w:color="auto"/>
        <w:left w:val="none" w:sz="0" w:space="0" w:color="auto"/>
        <w:bottom w:val="none" w:sz="0" w:space="0" w:color="auto"/>
        <w:right w:val="none" w:sz="0" w:space="0" w:color="auto"/>
      </w:divBdr>
    </w:div>
    <w:div w:id="175593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pp.jutastatevolve.co.za/y2008v2SApg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8CFE9-8E4D-4715-9961-1D3D795E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2698</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Lipshitz</dc:creator>
  <cp:keywords/>
  <dc:description/>
  <cp:lastModifiedBy>Mokone</cp:lastModifiedBy>
  <cp:revision>3</cp:revision>
  <cp:lastPrinted>2023-07-11T18:37:00Z</cp:lastPrinted>
  <dcterms:created xsi:type="dcterms:W3CDTF">2023-07-12T14:42:00Z</dcterms:created>
  <dcterms:modified xsi:type="dcterms:W3CDTF">2023-07-12T14:43:00Z</dcterms:modified>
</cp:coreProperties>
</file>