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D16E3" w14:textId="3BFEF531" w:rsidR="00B16DB4" w:rsidRDefault="00F86C8F" w:rsidP="00C82197">
      <w:pPr>
        <w:pStyle w:val="Title"/>
        <w:rPr>
          <w:sz w:val="24"/>
          <w:szCs w:val="24"/>
        </w:rPr>
      </w:pPr>
      <w:r>
        <w:rPr>
          <w:sz w:val="24"/>
          <w:szCs w:val="24"/>
        </w:rPr>
        <w:t xml:space="preserve"> </w:t>
      </w:r>
      <w:r w:rsidR="00B16DB4">
        <w:rPr>
          <w:noProof/>
          <w:sz w:val="24"/>
          <w:szCs w:val="24"/>
          <w:lang w:val="en-US" w:eastAsia="en-US"/>
        </w:rPr>
        <w:drawing>
          <wp:inline distT="0" distB="0" distL="0" distR="0" wp14:anchorId="7D8A5A3D" wp14:editId="41A361F2">
            <wp:extent cx="1562100" cy="1492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90" cy="1509221"/>
                    </a:xfrm>
                    <a:prstGeom prst="rect">
                      <a:avLst/>
                    </a:prstGeom>
                    <a:noFill/>
                  </pic:spPr>
                </pic:pic>
              </a:graphicData>
            </a:graphic>
          </wp:inline>
        </w:drawing>
      </w:r>
    </w:p>
    <w:p w14:paraId="5EA3D050" w14:textId="77777777" w:rsidR="00B16DB4" w:rsidRDefault="00B16DB4" w:rsidP="00C82197">
      <w:pPr>
        <w:pStyle w:val="Title"/>
        <w:rPr>
          <w:sz w:val="24"/>
          <w:szCs w:val="24"/>
        </w:rPr>
      </w:pPr>
    </w:p>
    <w:p w14:paraId="4D7B82B3" w14:textId="634BC725" w:rsidR="00C82197" w:rsidRDefault="00C82197" w:rsidP="00C82197">
      <w:pPr>
        <w:pStyle w:val="Title"/>
        <w:rPr>
          <w:sz w:val="24"/>
          <w:szCs w:val="24"/>
        </w:rPr>
      </w:pPr>
      <w:r>
        <w:rPr>
          <w:sz w:val="24"/>
          <w:szCs w:val="24"/>
        </w:rPr>
        <w:t>IN THE HIGH COURT OF SOUTH AFRICA</w:t>
      </w:r>
    </w:p>
    <w:p w14:paraId="1651ED9D" w14:textId="5BC9BF08" w:rsidR="00C82197" w:rsidRPr="003B7BDC" w:rsidRDefault="00C82197" w:rsidP="00C82197">
      <w:pPr>
        <w:pStyle w:val="Title"/>
        <w:rPr>
          <w:sz w:val="24"/>
          <w:szCs w:val="24"/>
        </w:rPr>
      </w:pPr>
      <w:r>
        <w:rPr>
          <w:sz w:val="24"/>
          <w:szCs w:val="24"/>
        </w:rPr>
        <w:t>(</w:t>
      </w:r>
      <w:r w:rsidR="00B16DB4">
        <w:rPr>
          <w:sz w:val="24"/>
          <w:szCs w:val="24"/>
        </w:rPr>
        <w:t xml:space="preserve">GAUTENG DIVISION, </w:t>
      </w:r>
      <w:r w:rsidR="006A79C3">
        <w:rPr>
          <w:sz w:val="24"/>
          <w:szCs w:val="24"/>
        </w:rPr>
        <w:t>JOHANNESBURG</w:t>
      </w:r>
      <w:r>
        <w:rPr>
          <w:sz w:val="24"/>
          <w:szCs w:val="24"/>
        </w:rPr>
        <w:t>)</w:t>
      </w:r>
    </w:p>
    <w:p w14:paraId="601558AE" w14:textId="3D083F8C" w:rsidR="006D4C73" w:rsidRDefault="00FA0C61" w:rsidP="00054B4E">
      <w:pPr>
        <w:jc w:val="right"/>
        <w:rPr>
          <w:rFonts w:ascii="Arial" w:hAnsi="Arial"/>
          <w:b/>
        </w:rPr>
      </w:pPr>
      <w:r>
        <w:rPr>
          <w:rFonts w:ascii="Arial" w:hAnsi="Arial"/>
          <w:b/>
          <w:noProof/>
          <w:lang w:val="en-US"/>
        </w:rPr>
        <mc:AlternateContent>
          <mc:Choice Requires="wps">
            <w:drawing>
              <wp:anchor distT="0" distB="0" distL="114300" distR="114300" simplePos="0" relativeHeight="251658240" behindDoc="0" locked="0" layoutInCell="1" allowOverlap="1" wp14:anchorId="18D2710D" wp14:editId="637963A1">
                <wp:simplePos x="0" y="0"/>
                <wp:positionH relativeFrom="column">
                  <wp:posOffset>-200660</wp:posOffset>
                </wp:positionH>
                <wp:positionV relativeFrom="paragraph">
                  <wp:posOffset>102870</wp:posOffset>
                </wp:positionV>
                <wp:extent cx="3343275" cy="14573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57325"/>
                        </a:xfrm>
                        <a:prstGeom prst="rect">
                          <a:avLst/>
                        </a:prstGeom>
                        <a:solidFill>
                          <a:srgbClr val="FFFFFF"/>
                        </a:solidFill>
                        <a:ln w="9525">
                          <a:solidFill>
                            <a:srgbClr val="000000"/>
                          </a:solidFill>
                          <a:miter lim="800000"/>
                          <a:headEnd/>
                          <a:tailEnd/>
                        </a:ln>
                      </wps:spPr>
                      <wps:txbx>
                        <w:txbxContent>
                          <w:p w14:paraId="639CCB7F" w14:textId="5185ED07" w:rsidR="005226FC" w:rsidRDefault="009B6FD3" w:rsidP="009B6FD3">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5226FC" w:rsidRPr="004D209A">
                              <w:rPr>
                                <w:rFonts w:ascii="Century Gothic" w:hAnsi="Century Gothic"/>
                                <w:sz w:val="20"/>
                                <w:szCs w:val="20"/>
                              </w:rPr>
                              <w:t xml:space="preserve">REPORTABLE: </w:t>
                            </w:r>
                            <w:r w:rsidR="00F91E9A">
                              <w:rPr>
                                <w:rFonts w:ascii="Century Gothic" w:hAnsi="Century Gothic"/>
                                <w:sz w:val="20"/>
                                <w:szCs w:val="20"/>
                              </w:rPr>
                              <w:t>Yes</w:t>
                            </w:r>
                          </w:p>
                          <w:p w14:paraId="300C0173" w14:textId="45CC8137" w:rsidR="005226FC" w:rsidRPr="004D209A" w:rsidRDefault="009B6FD3" w:rsidP="009B6FD3">
                            <w:pPr>
                              <w:tabs>
                                <w:tab w:val="left" w:pos="900"/>
                              </w:tabs>
                              <w:ind w:left="900" w:hanging="720"/>
                              <w:rPr>
                                <w:rFonts w:ascii="Century Gothic" w:hAnsi="Century Gothic"/>
                                <w:sz w:val="20"/>
                                <w:szCs w:val="20"/>
                              </w:rPr>
                            </w:pPr>
                            <w:r w:rsidRPr="004D209A">
                              <w:rPr>
                                <w:rFonts w:ascii="Century Gothic" w:hAnsi="Century Gothic"/>
                                <w:sz w:val="20"/>
                                <w:szCs w:val="20"/>
                              </w:rPr>
                              <w:t>(2)</w:t>
                            </w:r>
                            <w:r w:rsidRPr="004D209A">
                              <w:rPr>
                                <w:rFonts w:ascii="Century Gothic" w:hAnsi="Century Gothic"/>
                                <w:sz w:val="20"/>
                                <w:szCs w:val="20"/>
                              </w:rPr>
                              <w:tab/>
                            </w:r>
                            <w:r w:rsidR="005226FC" w:rsidRPr="004D209A">
                              <w:rPr>
                                <w:rFonts w:ascii="Century Gothic" w:hAnsi="Century Gothic"/>
                                <w:sz w:val="20"/>
                                <w:szCs w:val="20"/>
                              </w:rPr>
                              <w:t xml:space="preserve">OF INTEREST TO OTHER JUDGES: </w:t>
                            </w:r>
                            <w:r w:rsidR="00F91E9A">
                              <w:rPr>
                                <w:rFonts w:ascii="Century Gothic" w:hAnsi="Century Gothic"/>
                                <w:sz w:val="20"/>
                                <w:szCs w:val="20"/>
                              </w:rPr>
                              <w:t>Yes</w:t>
                            </w:r>
                          </w:p>
                          <w:p w14:paraId="57A058C4" w14:textId="481AC38B" w:rsidR="005226FC" w:rsidRDefault="009B6FD3" w:rsidP="009B6FD3">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5226FC">
                              <w:rPr>
                                <w:rFonts w:ascii="Century Gothic" w:hAnsi="Century Gothic"/>
                                <w:sz w:val="20"/>
                                <w:szCs w:val="20"/>
                              </w:rPr>
                              <w:t xml:space="preserve">REVISED.  </w:t>
                            </w:r>
                          </w:p>
                          <w:p w14:paraId="00DE972E" w14:textId="51A09B17" w:rsidR="005226FC" w:rsidRDefault="005226FC" w:rsidP="006D4C73">
                            <w:pPr>
                              <w:rPr>
                                <w:rFonts w:ascii="Century Gothic" w:hAnsi="Century Gothic"/>
                                <w:b/>
                                <w:noProof/>
                                <w:sz w:val="18"/>
                                <w:szCs w:val="18"/>
                              </w:rPr>
                            </w:pPr>
                            <w:r>
                              <w:rPr>
                                <w:rFonts w:ascii="Century Gothic" w:hAnsi="Century Gothic"/>
                                <w:b/>
                                <w:sz w:val="18"/>
                                <w:szCs w:val="18"/>
                              </w:rPr>
                              <w:t xml:space="preserve"> </w:t>
                            </w:r>
                          </w:p>
                          <w:p w14:paraId="146A7CA7" w14:textId="5A1B530C" w:rsidR="005226FC" w:rsidRDefault="005226FC" w:rsidP="006D4C73">
                            <w:pPr>
                              <w:rPr>
                                <w:rFonts w:ascii="Century Gothic" w:hAnsi="Century Gothic"/>
                                <w:sz w:val="18"/>
                                <w:szCs w:val="18"/>
                              </w:rPr>
                            </w:pPr>
                            <w:r>
                              <w:rPr>
                                <w:rFonts w:ascii="Century Gothic" w:hAnsi="Century Gothic"/>
                                <w:b/>
                                <w:sz w:val="18"/>
                                <w:szCs w:val="18"/>
                              </w:rPr>
                              <w:t xml:space="preserve">   </w:t>
                            </w:r>
                          </w:p>
                          <w:p w14:paraId="543CD2BB" w14:textId="120B55AC" w:rsidR="005226FC" w:rsidRDefault="00495938"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DATE:</w:t>
                            </w:r>
                            <w:r w:rsidR="00B5029D">
                              <w:rPr>
                                <w:rFonts w:ascii="Century Gothic" w:hAnsi="Century Gothic"/>
                                <w:sz w:val="18"/>
                                <w:szCs w:val="18"/>
                              </w:rPr>
                              <w:t xml:space="preserve"> 13 July 2023</w:t>
                            </w:r>
                          </w:p>
                          <w:p w14:paraId="3C6D3563" w14:textId="77777777" w:rsidR="005226FC" w:rsidRPr="0046498E" w:rsidRDefault="005226FC" w:rsidP="0046498E">
                            <w:pPr>
                              <w:rPr>
                                <w:rFonts w:ascii="Century Gothic" w:hAnsi="Century Gothic"/>
                                <w:b/>
                                <w:sz w:val="18"/>
                                <w:szCs w:val="18"/>
                              </w:rPr>
                            </w:pP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15.8pt;margin-top:8.1pt;width:263.25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">
                <v:textbox>
                  <w:txbxContent>
                    <w:p w14:paraId="639CCB7F" w14:textId="5185ED07" w:rsidR="005226FC" w:rsidRDefault="009B6FD3" w:rsidP="009B6FD3">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5226FC" w:rsidRPr="004D209A">
                        <w:rPr>
                          <w:rFonts w:ascii="Century Gothic" w:hAnsi="Century Gothic"/>
                          <w:sz w:val="20"/>
                          <w:szCs w:val="20"/>
                        </w:rPr>
                        <w:t xml:space="preserve">REPORTABLE: </w:t>
                      </w:r>
                      <w:r w:rsidR="00F91E9A">
                        <w:rPr>
                          <w:rFonts w:ascii="Century Gothic" w:hAnsi="Century Gothic"/>
                          <w:sz w:val="20"/>
                          <w:szCs w:val="20"/>
                        </w:rPr>
                        <w:t>Yes</w:t>
                      </w:r>
                    </w:p>
                    <w:p w14:paraId="300C0173" w14:textId="45CC8137" w:rsidR="005226FC" w:rsidRPr="004D209A" w:rsidRDefault="009B6FD3" w:rsidP="009B6FD3">
                      <w:pPr>
                        <w:tabs>
                          <w:tab w:val="left" w:pos="900"/>
                        </w:tabs>
                        <w:ind w:left="900" w:hanging="720"/>
                        <w:rPr>
                          <w:rFonts w:ascii="Century Gothic" w:hAnsi="Century Gothic"/>
                          <w:sz w:val="20"/>
                          <w:szCs w:val="20"/>
                        </w:rPr>
                      </w:pPr>
                      <w:r w:rsidRPr="004D209A">
                        <w:rPr>
                          <w:rFonts w:ascii="Century Gothic" w:hAnsi="Century Gothic"/>
                          <w:sz w:val="20"/>
                          <w:szCs w:val="20"/>
                        </w:rPr>
                        <w:t>(2)</w:t>
                      </w:r>
                      <w:r w:rsidRPr="004D209A">
                        <w:rPr>
                          <w:rFonts w:ascii="Century Gothic" w:hAnsi="Century Gothic"/>
                          <w:sz w:val="20"/>
                          <w:szCs w:val="20"/>
                        </w:rPr>
                        <w:tab/>
                      </w:r>
                      <w:r w:rsidR="005226FC" w:rsidRPr="004D209A">
                        <w:rPr>
                          <w:rFonts w:ascii="Century Gothic" w:hAnsi="Century Gothic"/>
                          <w:sz w:val="20"/>
                          <w:szCs w:val="20"/>
                        </w:rPr>
                        <w:t xml:space="preserve">OF INTEREST TO OTHER JUDGES: </w:t>
                      </w:r>
                      <w:r w:rsidR="00F91E9A">
                        <w:rPr>
                          <w:rFonts w:ascii="Century Gothic" w:hAnsi="Century Gothic"/>
                          <w:sz w:val="20"/>
                          <w:szCs w:val="20"/>
                        </w:rPr>
                        <w:t>Yes</w:t>
                      </w:r>
                    </w:p>
                    <w:p w14:paraId="57A058C4" w14:textId="481AC38B" w:rsidR="005226FC" w:rsidRDefault="009B6FD3" w:rsidP="009B6FD3">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5226FC">
                        <w:rPr>
                          <w:rFonts w:ascii="Century Gothic" w:hAnsi="Century Gothic"/>
                          <w:sz w:val="20"/>
                          <w:szCs w:val="20"/>
                        </w:rPr>
                        <w:t xml:space="preserve">REVISED.  </w:t>
                      </w:r>
                    </w:p>
                    <w:p w14:paraId="00DE972E" w14:textId="51A09B17" w:rsidR="005226FC" w:rsidRDefault="005226FC" w:rsidP="006D4C73">
                      <w:pPr>
                        <w:rPr>
                          <w:rFonts w:ascii="Century Gothic" w:hAnsi="Century Gothic"/>
                          <w:b/>
                          <w:noProof/>
                          <w:sz w:val="18"/>
                          <w:szCs w:val="18"/>
                        </w:rPr>
                      </w:pPr>
                      <w:r>
                        <w:rPr>
                          <w:rFonts w:ascii="Century Gothic" w:hAnsi="Century Gothic"/>
                          <w:b/>
                          <w:sz w:val="18"/>
                          <w:szCs w:val="18"/>
                        </w:rPr>
                        <w:t xml:space="preserve"> </w:t>
                      </w:r>
                    </w:p>
                    <w:p w14:paraId="146A7CA7" w14:textId="5A1B530C" w:rsidR="005226FC" w:rsidRDefault="005226FC" w:rsidP="006D4C73">
                      <w:pPr>
                        <w:rPr>
                          <w:rFonts w:ascii="Century Gothic" w:hAnsi="Century Gothic"/>
                          <w:sz w:val="18"/>
                          <w:szCs w:val="18"/>
                        </w:rPr>
                      </w:pPr>
                      <w:r>
                        <w:rPr>
                          <w:rFonts w:ascii="Century Gothic" w:hAnsi="Century Gothic"/>
                          <w:b/>
                          <w:sz w:val="18"/>
                          <w:szCs w:val="18"/>
                        </w:rPr>
                        <w:t xml:space="preserve">   </w:t>
                      </w:r>
                    </w:p>
                    <w:p w14:paraId="543CD2BB" w14:textId="120B55AC" w:rsidR="005226FC" w:rsidRDefault="00495938"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DATE:</w:t>
                      </w:r>
                      <w:r w:rsidR="00B5029D">
                        <w:rPr>
                          <w:rFonts w:ascii="Century Gothic" w:hAnsi="Century Gothic"/>
                          <w:sz w:val="18"/>
                          <w:szCs w:val="18"/>
                        </w:rPr>
                        <w:t xml:space="preserve"> 13 July 2023</w:t>
                      </w:r>
                    </w:p>
                    <w:p w14:paraId="3C6D3563" w14:textId="77777777" w:rsidR="005226FC" w:rsidRPr="0046498E" w:rsidRDefault="005226FC" w:rsidP="0046498E">
                      <w:pPr>
                        <w:rPr>
                          <w:rFonts w:ascii="Century Gothic" w:hAnsi="Century Gothic"/>
                          <w:b/>
                          <w:sz w:val="18"/>
                          <w:szCs w:val="18"/>
                        </w:rPr>
                      </w:pPr>
                      <w:r>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5A26E0E1" w14:textId="4C4E4F58" w:rsidR="00C97ADB" w:rsidRDefault="00C97ADB" w:rsidP="00C97ADB">
      <w:pPr>
        <w:rPr>
          <w:rFonts w:ascii="Arial" w:hAnsi="Arial"/>
          <w:b/>
        </w:rPr>
      </w:pPr>
    </w:p>
    <w:p w14:paraId="683455A1" w14:textId="77777777" w:rsidR="00F91E9A" w:rsidRDefault="00FA0C61" w:rsidP="00F91E9A">
      <w:pPr>
        <w:pStyle w:val="NormalWeb"/>
        <w:shd w:val="clear" w:color="auto" w:fill="FFFFFF"/>
        <w:jc w:val="right"/>
        <w:rPr>
          <w:rFonts w:ascii="Arial" w:hAnsi="Arial" w:cs="Arial"/>
        </w:rPr>
      </w:pPr>
      <w:r w:rsidRPr="0094712D">
        <w:rPr>
          <w:rFonts w:ascii="Arial" w:hAnsi="Arial" w:cs="Arial"/>
          <w:lang w:val="en-US"/>
        </w:rPr>
        <w:t>Case No.</w:t>
      </w:r>
      <w:r w:rsidR="00D261C3" w:rsidRPr="0094712D">
        <w:rPr>
          <w:rFonts w:ascii="Arial" w:hAnsi="Arial" w:cs="Arial"/>
          <w:b/>
          <w:bCs/>
          <w:lang w:val="en-US"/>
        </w:rPr>
        <w:t xml:space="preserve"> </w:t>
      </w:r>
      <w:r w:rsidR="005D4285">
        <w:rPr>
          <w:rFonts w:ascii="Arial" w:hAnsi="Arial" w:cs="Arial"/>
        </w:rPr>
        <w:t>A3079/2021</w:t>
      </w:r>
    </w:p>
    <w:p w14:paraId="343FDF89" w14:textId="52638650" w:rsidR="00D261C3" w:rsidRPr="00F91E9A" w:rsidRDefault="00D261C3" w:rsidP="00F91E9A">
      <w:pPr>
        <w:pStyle w:val="NormalWeb"/>
        <w:shd w:val="clear" w:color="auto" w:fill="FFFFFF"/>
        <w:rPr>
          <w:rFonts w:ascii="Arial" w:hAnsi="Arial" w:cs="Arial"/>
        </w:rPr>
      </w:pPr>
      <w:r w:rsidRPr="00D261C3">
        <w:rPr>
          <w:rFonts w:ascii="Arial" w:hAnsi="Arial"/>
        </w:rPr>
        <w:t>In the matter between:</w:t>
      </w:r>
    </w:p>
    <w:p w14:paraId="75FB4E4D" w14:textId="6F7043A9" w:rsidR="00D261C3" w:rsidRDefault="005D4285" w:rsidP="00D261C3">
      <w:pPr>
        <w:tabs>
          <w:tab w:val="right" w:pos="8646"/>
        </w:tabs>
        <w:rPr>
          <w:rFonts w:ascii="Arial" w:hAnsi="Arial"/>
        </w:rPr>
      </w:pPr>
      <w:r>
        <w:rPr>
          <w:rFonts w:ascii="Arial" w:hAnsi="Arial"/>
          <w:b/>
        </w:rPr>
        <w:t>LDB</w:t>
      </w:r>
      <w:r w:rsidR="00D7474F">
        <w:rPr>
          <w:rFonts w:ascii="Arial" w:hAnsi="Arial"/>
        </w:rPr>
        <w:tab/>
      </w:r>
      <w:r>
        <w:rPr>
          <w:rFonts w:ascii="Arial" w:hAnsi="Arial"/>
        </w:rPr>
        <w:t>Appellant</w:t>
      </w:r>
    </w:p>
    <w:p w14:paraId="546584BE" w14:textId="77777777" w:rsidR="000976E0" w:rsidRDefault="000976E0" w:rsidP="00D261C3">
      <w:pPr>
        <w:tabs>
          <w:tab w:val="right" w:pos="8646"/>
        </w:tabs>
        <w:rPr>
          <w:rFonts w:ascii="Arial" w:hAnsi="Arial"/>
        </w:rPr>
      </w:pPr>
    </w:p>
    <w:p w14:paraId="44F7E725" w14:textId="77777777" w:rsidR="00D261C3" w:rsidRPr="00D261C3" w:rsidRDefault="00D261C3" w:rsidP="00D261C3">
      <w:pPr>
        <w:tabs>
          <w:tab w:val="right" w:pos="8646"/>
        </w:tabs>
        <w:rPr>
          <w:rFonts w:ascii="Arial" w:hAnsi="Arial"/>
        </w:rPr>
      </w:pPr>
      <w:r w:rsidRPr="00D261C3">
        <w:rPr>
          <w:rFonts w:ascii="Arial" w:hAnsi="Arial"/>
        </w:rPr>
        <w:t>and</w:t>
      </w:r>
    </w:p>
    <w:p w14:paraId="756B43FD" w14:textId="77777777" w:rsidR="00D261C3" w:rsidRPr="00D261C3" w:rsidRDefault="00D261C3" w:rsidP="00D261C3">
      <w:pPr>
        <w:tabs>
          <w:tab w:val="right" w:pos="8646"/>
        </w:tabs>
        <w:rPr>
          <w:rFonts w:ascii="Arial" w:hAnsi="Arial"/>
          <w:b/>
        </w:rPr>
      </w:pPr>
    </w:p>
    <w:p w14:paraId="2F1C410A" w14:textId="6228DFA7" w:rsidR="00D261C3" w:rsidRDefault="005D4285" w:rsidP="00D261C3">
      <w:pPr>
        <w:tabs>
          <w:tab w:val="right" w:pos="8646"/>
        </w:tabs>
        <w:rPr>
          <w:rFonts w:ascii="Arial" w:hAnsi="Arial"/>
          <w:bCs/>
        </w:rPr>
      </w:pPr>
      <w:r>
        <w:rPr>
          <w:rFonts w:ascii="Arial" w:hAnsi="Arial"/>
          <w:b/>
        </w:rPr>
        <w:t>JSB</w:t>
      </w:r>
      <w:r w:rsidR="004D209A">
        <w:rPr>
          <w:rFonts w:ascii="Arial" w:hAnsi="Arial"/>
          <w:b/>
        </w:rPr>
        <w:tab/>
      </w:r>
      <w:r>
        <w:rPr>
          <w:rFonts w:ascii="Arial" w:hAnsi="Arial"/>
          <w:bCs/>
        </w:rPr>
        <w:t>Respondent</w:t>
      </w:r>
    </w:p>
    <w:p w14:paraId="26948356" w14:textId="77777777" w:rsidR="006267CF" w:rsidRDefault="006267CF" w:rsidP="00D261C3">
      <w:pPr>
        <w:tabs>
          <w:tab w:val="right" w:pos="8646"/>
        </w:tabs>
        <w:rPr>
          <w:rFonts w:ascii="Arial" w:hAnsi="Arial"/>
          <w:bCs/>
        </w:rPr>
      </w:pPr>
    </w:p>
    <w:p w14:paraId="7DA15382" w14:textId="702BDB2D" w:rsidR="00F91E9A" w:rsidRDefault="00F91E9A" w:rsidP="00D261C3">
      <w:pPr>
        <w:tabs>
          <w:tab w:val="right" w:pos="8646"/>
        </w:tabs>
        <w:rPr>
          <w:rFonts w:ascii="Arial" w:hAnsi="Arial"/>
          <w:bCs/>
          <w:u w:val="single"/>
        </w:rPr>
      </w:pPr>
      <w:r w:rsidRPr="00F91E9A">
        <w:rPr>
          <w:rFonts w:ascii="Arial" w:hAnsi="Arial"/>
          <w:bCs/>
          <w:u w:val="single"/>
        </w:rPr>
        <w:t>Summary</w:t>
      </w:r>
    </w:p>
    <w:p w14:paraId="0273D706" w14:textId="77777777" w:rsidR="00F91E9A" w:rsidRDefault="00F91E9A" w:rsidP="00D261C3">
      <w:pPr>
        <w:tabs>
          <w:tab w:val="right" w:pos="8646"/>
        </w:tabs>
        <w:rPr>
          <w:rFonts w:ascii="Arial" w:hAnsi="Arial"/>
          <w:bCs/>
          <w:u w:val="single"/>
        </w:rPr>
      </w:pPr>
    </w:p>
    <w:p w14:paraId="662BA2C5" w14:textId="482F7136" w:rsidR="00F91E9A" w:rsidRPr="00F91E9A" w:rsidRDefault="00F91E9A" w:rsidP="00F91E9A">
      <w:pPr>
        <w:tabs>
          <w:tab w:val="right" w:pos="8646"/>
        </w:tabs>
        <w:jc w:val="both"/>
        <w:rPr>
          <w:rFonts w:ascii="Arial" w:hAnsi="Arial"/>
          <w:bCs/>
        </w:rPr>
      </w:pPr>
      <w:r>
        <w:rPr>
          <w:rFonts w:ascii="Arial" w:hAnsi="Arial"/>
          <w:bCs/>
        </w:rPr>
        <w:t xml:space="preserve">Maintenance Act 99 of 1998 – application for discharge or substitution of maintenance order on good cause shown in terms of section 6 (1) (b) – “good cause” not established where a </w:t>
      </w:r>
      <w:r w:rsidR="0079626C">
        <w:rPr>
          <w:rFonts w:ascii="Arial" w:hAnsi="Arial"/>
          <w:bCs/>
        </w:rPr>
        <w:t>M</w:t>
      </w:r>
      <w:r>
        <w:rPr>
          <w:rFonts w:ascii="Arial" w:hAnsi="Arial"/>
          <w:bCs/>
        </w:rPr>
        <w:t xml:space="preserve">aintenance </w:t>
      </w:r>
      <w:r w:rsidR="0079626C">
        <w:rPr>
          <w:rFonts w:ascii="Arial" w:hAnsi="Arial"/>
          <w:bCs/>
        </w:rPr>
        <w:t>C</w:t>
      </w:r>
      <w:r>
        <w:rPr>
          <w:rFonts w:ascii="Arial" w:hAnsi="Arial"/>
          <w:bCs/>
        </w:rPr>
        <w:t>ourt fails to</w:t>
      </w:r>
      <w:r w:rsidR="00B671F7">
        <w:rPr>
          <w:rFonts w:ascii="Arial" w:hAnsi="Arial"/>
          <w:bCs/>
        </w:rPr>
        <w:t xml:space="preserve"> consider</w:t>
      </w:r>
      <w:r>
        <w:rPr>
          <w:rFonts w:ascii="Arial" w:hAnsi="Arial"/>
          <w:bCs/>
        </w:rPr>
        <w:t xml:space="preserve"> the provisions of a settlement agreement </w:t>
      </w:r>
      <w:r w:rsidR="00B671F7">
        <w:rPr>
          <w:rFonts w:ascii="Arial" w:hAnsi="Arial"/>
          <w:bCs/>
        </w:rPr>
        <w:t>setting</w:t>
      </w:r>
      <w:r>
        <w:rPr>
          <w:rFonts w:ascii="Arial" w:hAnsi="Arial"/>
          <w:bCs/>
        </w:rPr>
        <w:t xml:space="preserve"> the terms for any future variation of the maintenance obligation. </w:t>
      </w:r>
    </w:p>
    <w:p w14:paraId="205651E3" w14:textId="77777777" w:rsidR="005226FC" w:rsidRPr="005226FC" w:rsidRDefault="005226FC" w:rsidP="00D261C3">
      <w:pPr>
        <w:pBdr>
          <w:bottom w:val="single" w:sz="12" w:space="1" w:color="auto"/>
        </w:pBdr>
        <w:rPr>
          <w:rFonts w:ascii="Arial" w:hAnsi="Arial"/>
          <w:u w:val="single"/>
        </w:rPr>
      </w:pPr>
    </w:p>
    <w:p w14:paraId="194B2097" w14:textId="77777777" w:rsidR="00A746DF" w:rsidRDefault="00A746DF" w:rsidP="00A746DF">
      <w:pPr>
        <w:pStyle w:val="Heading5"/>
        <w:rPr>
          <w:sz w:val="16"/>
          <w:szCs w:val="16"/>
        </w:rPr>
      </w:pPr>
    </w:p>
    <w:p w14:paraId="722DED6F" w14:textId="6A4FA883" w:rsidR="00A746DF" w:rsidRDefault="00D261C3" w:rsidP="00A746DF">
      <w:pPr>
        <w:pStyle w:val="Heading5"/>
        <w:rPr>
          <w:sz w:val="24"/>
          <w:szCs w:val="24"/>
        </w:rPr>
      </w:pPr>
      <w:r>
        <w:rPr>
          <w:sz w:val="24"/>
          <w:szCs w:val="24"/>
        </w:rPr>
        <w:t>JUDGMENT</w:t>
      </w:r>
    </w:p>
    <w:p w14:paraId="66FABE72" w14:textId="77777777" w:rsidR="00A746DF" w:rsidRDefault="00A746DF" w:rsidP="00A746DF">
      <w:pPr>
        <w:pBdr>
          <w:bottom w:val="single" w:sz="12" w:space="1" w:color="auto"/>
        </w:pBdr>
        <w:jc w:val="center"/>
        <w:rPr>
          <w:rFonts w:ascii="Arial" w:hAnsi="Arial"/>
          <w:b/>
          <w:sz w:val="16"/>
          <w:szCs w:val="16"/>
        </w:rPr>
      </w:pPr>
    </w:p>
    <w:p w14:paraId="08307DBB" w14:textId="77777777" w:rsidR="006A79C3" w:rsidRDefault="006A79C3" w:rsidP="00A746DF">
      <w:pPr>
        <w:spacing w:line="360" w:lineRule="auto"/>
        <w:contextualSpacing/>
        <w:jc w:val="both"/>
        <w:rPr>
          <w:rFonts w:ascii="Arial" w:eastAsia="Calibri" w:hAnsi="Arial" w:cs="Arial"/>
          <w:b/>
          <w:bCs/>
          <w:color w:val="000000" w:themeColor="text1"/>
          <w:u w:val="single"/>
        </w:rPr>
      </w:pPr>
    </w:p>
    <w:p w14:paraId="76BE77F5" w14:textId="3014EE54" w:rsidR="00D6496D" w:rsidRPr="00A00DAC" w:rsidRDefault="00B16DB4" w:rsidP="00A746DF">
      <w:pPr>
        <w:spacing w:line="360" w:lineRule="auto"/>
        <w:contextualSpacing/>
        <w:jc w:val="both"/>
        <w:rPr>
          <w:rFonts w:ascii="Arial" w:eastAsia="Calibri" w:hAnsi="Arial" w:cs="Arial"/>
          <w:b/>
          <w:bCs/>
          <w:color w:val="000000" w:themeColor="text1"/>
        </w:rPr>
      </w:pPr>
      <w:r w:rsidRPr="00A00DAC">
        <w:rPr>
          <w:rFonts w:ascii="Arial" w:eastAsia="Calibri" w:hAnsi="Arial" w:cs="Arial"/>
          <w:b/>
          <w:bCs/>
          <w:color w:val="000000" w:themeColor="text1"/>
          <w:u w:val="single"/>
        </w:rPr>
        <w:t>WILSON J</w:t>
      </w:r>
      <w:r w:rsidR="00B5029D">
        <w:rPr>
          <w:rFonts w:ascii="Arial" w:eastAsia="Calibri" w:hAnsi="Arial" w:cs="Arial"/>
          <w:b/>
          <w:bCs/>
          <w:color w:val="000000" w:themeColor="text1"/>
          <w:u w:val="single"/>
        </w:rPr>
        <w:t>:</w:t>
      </w:r>
    </w:p>
    <w:p w14:paraId="15DC96D1" w14:textId="77777777" w:rsidR="00C82197" w:rsidRDefault="00C82197" w:rsidP="00C82197">
      <w:pPr>
        <w:spacing w:line="360" w:lineRule="auto"/>
        <w:contextualSpacing/>
        <w:rPr>
          <w:rFonts w:ascii="Arial" w:eastAsia="Calibri" w:hAnsi="Arial" w:cs="Arial"/>
        </w:rPr>
      </w:pPr>
    </w:p>
    <w:p w14:paraId="1AE13D7A" w14:textId="4F1DDFAD" w:rsidR="00956E82" w:rsidRDefault="009B6FD3" w:rsidP="009B6FD3">
      <w:pPr>
        <w:pStyle w:val="Paragraph12pt"/>
        <w:tabs>
          <w:tab w:val="left" w:pos="851"/>
        </w:tabs>
        <w:ind w:left="851" w:hanging="851"/>
      </w:pPr>
      <w:r>
        <w:rPr>
          <w:rFonts w:cs="Arial"/>
          <w:color w:val="000000"/>
          <w:szCs w:val="24"/>
        </w:rPr>
        <w:t>1</w:t>
      </w:r>
      <w:r>
        <w:rPr>
          <w:rFonts w:cs="Arial"/>
          <w:color w:val="000000"/>
          <w:szCs w:val="24"/>
        </w:rPr>
        <w:tab/>
      </w:r>
      <w:r w:rsidR="005D4285">
        <w:t>On 31 January 2014, the respondent</w:t>
      </w:r>
      <w:r w:rsidR="00A43FC3">
        <w:t>,</w:t>
      </w:r>
      <w:r w:rsidR="005D4285">
        <w:t xml:space="preserve"> JSB, divorced the appellant, LDB. The terms of the divorce were set out in a settlement agreement which the Randburg Regional Court endorsed. </w:t>
      </w:r>
    </w:p>
    <w:p w14:paraId="46A50692" w14:textId="3ED6BD03" w:rsidR="005D4285" w:rsidRDefault="009B6FD3" w:rsidP="009B6FD3">
      <w:pPr>
        <w:pStyle w:val="Paragraph12pt"/>
        <w:tabs>
          <w:tab w:val="left" w:pos="851"/>
        </w:tabs>
        <w:ind w:left="851" w:hanging="851"/>
      </w:pPr>
      <w:r>
        <w:rPr>
          <w:rFonts w:cs="Arial"/>
          <w:color w:val="000000"/>
          <w:szCs w:val="24"/>
        </w:rPr>
        <w:lastRenderedPageBreak/>
        <w:t>2</w:t>
      </w:r>
      <w:r>
        <w:rPr>
          <w:rFonts w:cs="Arial"/>
          <w:color w:val="000000"/>
          <w:szCs w:val="24"/>
        </w:rPr>
        <w:tab/>
      </w:r>
      <w:r w:rsidR="005D4285">
        <w:t>Clause 3 of the settlement agreement records that JSB will pay R30 000 per month in mainten</w:t>
      </w:r>
      <w:r w:rsidR="00C64A9A">
        <w:t>an</w:t>
      </w:r>
      <w:r w:rsidR="005D4285">
        <w:t xml:space="preserve">ce from the day on which LDB vacates the marital home (clauses 3.1 and 3.2); that this obligation will </w:t>
      </w:r>
      <w:r w:rsidR="00E560AE">
        <w:t>terminate</w:t>
      </w:r>
      <w:r w:rsidR="005D4285">
        <w:t xml:space="preserve"> </w:t>
      </w:r>
      <w:r w:rsidR="00E560AE">
        <w:t>if</w:t>
      </w:r>
      <w:r w:rsidR="005D4285">
        <w:t xml:space="preserve"> LDB</w:t>
      </w:r>
      <w:r w:rsidR="00E560AE">
        <w:t xml:space="preserve"> dies,</w:t>
      </w:r>
      <w:r w:rsidR="005D4285">
        <w:t xml:space="preserve"> </w:t>
      </w:r>
      <w:r w:rsidR="00E560AE">
        <w:t xml:space="preserve">remarries, or </w:t>
      </w:r>
      <w:r w:rsidR="00E30A55">
        <w:t>cohabits</w:t>
      </w:r>
      <w:r w:rsidR="00E560AE">
        <w:t xml:space="preserve"> with anyone other than </w:t>
      </w:r>
      <w:r w:rsidR="00965DA6">
        <w:t>t</w:t>
      </w:r>
      <w:r w:rsidR="00E560AE">
        <w:t>he</w:t>
      </w:r>
      <w:r w:rsidR="00965DA6">
        <w:t>i</w:t>
      </w:r>
      <w:r w:rsidR="00E560AE">
        <w:t>r mother (clause 3.3); and that JSB</w:t>
      </w:r>
      <w:r w:rsidR="001F60DB">
        <w:t xml:space="preserve"> will</w:t>
      </w:r>
      <w:r w:rsidR="00E560AE">
        <w:t xml:space="preserve"> reimburse LD</w:t>
      </w:r>
      <w:r w:rsidR="00C30498">
        <w:t>B</w:t>
      </w:r>
      <w:r w:rsidR="00E560AE">
        <w:t>’s vehicle maintenance and repair expenses not covered by LD</w:t>
      </w:r>
      <w:r w:rsidR="00C30498">
        <w:t>B</w:t>
      </w:r>
      <w:r w:rsidR="00E560AE">
        <w:t xml:space="preserve">’s insurer, on presentation of proof of such expenditure (clause 3.4).  </w:t>
      </w:r>
    </w:p>
    <w:p w14:paraId="161A4D4A" w14:textId="2432759D" w:rsidR="00E560AE" w:rsidRDefault="009B6FD3" w:rsidP="009B6FD3">
      <w:pPr>
        <w:pStyle w:val="Paragraph12pt"/>
        <w:tabs>
          <w:tab w:val="left" w:pos="851"/>
        </w:tabs>
        <w:ind w:left="851" w:hanging="851"/>
      </w:pPr>
      <w:r>
        <w:rPr>
          <w:rFonts w:cs="Arial"/>
          <w:color w:val="000000"/>
          <w:szCs w:val="24"/>
        </w:rPr>
        <w:t>3</w:t>
      </w:r>
      <w:r>
        <w:rPr>
          <w:rFonts w:cs="Arial"/>
          <w:color w:val="000000"/>
          <w:szCs w:val="24"/>
        </w:rPr>
        <w:tab/>
      </w:r>
      <w:r w:rsidR="00E560AE">
        <w:t>Clause 3 also records that JSB and LD</w:t>
      </w:r>
      <w:r w:rsidR="00C30498">
        <w:t>B</w:t>
      </w:r>
      <w:r w:rsidR="00E560AE">
        <w:t xml:space="preserve"> agreed that the maintenance provided for was “fair and necessary” (clause 3.5). The maintenance payments provided for would track </w:t>
      </w:r>
      <w:r w:rsidR="009D38F1">
        <w:t>JSB’s professional fee income, and notice of any change in that income would be provided to L</w:t>
      </w:r>
      <w:r w:rsidR="00C30498">
        <w:t>D</w:t>
      </w:r>
      <w:r w:rsidR="009D38F1">
        <w:t>B annually (clause 3.6). Finally, in the event JSB’s professional fee income being affected by “regulatory factors”, “political interference”, “illness” or any other development over which JSB has no control, JSB would be entitled to apply for a “review” of the agreement</w:t>
      </w:r>
      <w:r w:rsidR="00B5029D">
        <w:t xml:space="preserve"> (clause 3.7)</w:t>
      </w:r>
      <w:r w:rsidR="009D38F1">
        <w:t>.</w:t>
      </w:r>
    </w:p>
    <w:p w14:paraId="1DC092DD" w14:textId="716AAB17" w:rsidR="009D38F1" w:rsidRDefault="009B6FD3" w:rsidP="009B6FD3">
      <w:pPr>
        <w:pStyle w:val="Paragraph12pt"/>
        <w:tabs>
          <w:tab w:val="left" w:pos="851"/>
        </w:tabs>
        <w:ind w:left="851" w:hanging="851"/>
      </w:pPr>
      <w:r>
        <w:rPr>
          <w:rFonts w:cs="Arial"/>
          <w:color w:val="000000"/>
          <w:szCs w:val="24"/>
        </w:rPr>
        <w:t>4</w:t>
      </w:r>
      <w:r>
        <w:rPr>
          <w:rFonts w:cs="Arial"/>
          <w:color w:val="000000"/>
          <w:szCs w:val="24"/>
        </w:rPr>
        <w:tab/>
      </w:r>
      <w:r w:rsidR="009D38F1">
        <w:t xml:space="preserve">JSB honoured </w:t>
      </w:r>
      <w:r w:rsidR="001F60DB">
        <w:t>clause 3</w:t>
      </w:r>
      <w:r w:rsidR="009D38F1">
        <w:t xml:space="preserve"> until early 2020. In April 2020, JSB ceased all payments under it. JSB then applied</w:t>
      </w:r>
      <w:r w:rsidR="00447C30">
        <w:t>, in June 2020,</w:t>
      </w:r>
      <w:r w:rsidR="009D38F1">
        <w:t xml:space="preserve"> to the Randburg Magistrates’ Court under section 6 of the Maintenance Act </w:t>
      </w:r>
      <w:r w:rsidR="008F16F6">
        <w:t xml:space="preserve">99 of 1998 for a complete discharge of their obligations under the agreement. Apparently contrary to the detailed provisions of the Act, the matter was dealt with as if it were an ordinary civil claim. After hearing seven days of evidence spread out over </w:t>
      </w:r>
      <w:r w:rsidR="00956E82">
        <w:t xml:space="preserve">the </w:t>
      </w:r>
      <w:r w:rsidR="00EE247B">
        <w:t>six</w:t>
      </w:r>
      <w:r w:rsidR="008F16F6">
        <w:t xml:space="preserve"> months</w:t>
      </w:r>
      <w:r w:rsidR="00956E82">
        <w:t xml:space="preserve"> between 20 October 2020 and 29 April 2021</w:t>
      </w:r>
      <w:r w:rsidR="008F16F6">
        <w:t xml:space="preserve">, the Magistrate, on 17 June 2021, </w:t>
      </w:r>
      <w:r w:rsidR="00B5029D">
        <w:t>granted an order in which she</w:t>
      </w:r>
      <w:r w:rsidR="00C30498">
        <w:t xml:space="preserve"> permanently</w:t>
      </w:r>
      <w:r w:rsidR="008F16F6">
        <w:t xml:space="preserve"> relieve</w:t>
      </w:r>
      <w:r w:rsidR="00DD3A4F">
        <w:t>d</w:t>
      </w:r>
      <w:r w:rsidR="008F16F6">
        <w:t xml:space="preserve"> JSB of all their cash maintenance obligations under clause 3 of the agreement.   </w:t>
      </w:r>
    </w:p>
    <w:p w14:paraId="30BCBFEA" w14:textId="5F4EE9C2" w:rsidR="00956E82" w:rsidRDefault="009B6FD3" w:rsidP="009B6FD3">
      <w:pPr>
        <w:pStyle w:val="Paragraph12pt"/>
        <w:tabs>
          <w:tab w:val="left" w:pos="851"/>
        </w:tabs>
        <w:ind w:left="851" w:hanging="851"/>
      </w:pPr>
      <w:r>
        <w:rPr>
          <w:rFonts w:cs="Arial"/>
          <w:color w:val="000000"/>
          <w:szCs w:val="24"/>
        </w:rPr>
        <w:lastRenderedPageBreak/>
        <w:t>5</w:t>
      </w:r>
      <w:r>
        <w:rPr>
          <w:rFonts w:cs="Arial"/>
          <w:color w:val="000000"/>
          <w:szCs w:val="24"/>
        </w:rPr>
        <w:tab/>
      </w:r>
      <w:r w:rsidR="00956E82">
        <w:t xml:space="preserve">On 23 June 2021, LDB asked that the Magistrate give written reasons for her decision. Those </w:t>
      </w:r>
      <w:r w:rsidR="00C30498">
        <w:t xml:space="preserve">reasons </w:t>
      </w:r>
      <w:r w:rsidR="00956E82">
        <w:t xml:space="preserve">were not produced until 1 April 2022. They consisted of 13 terse sentences which amounted to the propositions that, in the Magistrate’s view, JSB’s earning capacity had decreased “tremendously” as a result of the Covid-19 pandemic and JSB’s “own personal health”; that JSB was reliant on their savings to meet their expenses; that LDB did not need the maintenance provided for in the agreement; and that the parties’ relative financial positions were more or less identical. </w:t>
      </w:r>
    </w:p>
    <w:p w14:paraId="1102F748" w14:textId="7C658FE9" w:rsidR="006F6CDA" w:rsidRDefault="009B6FD3" w:rsidP="009B6FD3">
      <w:pPr>
        <w:pStyle w:val="Paragraph12pt"/>
        <w:tabs>
          <w:tab w:val="left" w:pos="851"/>
        </w:tabs>
        <w:ind w:left="851" w:hanging="851"/>
      </w:pPr>
      <w:r>
        <w:rPr>
          <w:rFonts w:cs="Arial"/>
          <w:color w:val="000000"/>
          <w:szCs w:val="24"/>
        </w:rPr>
        <w:t>6</w:t>
      </w:r>
      <w:r>
        <w:rPr>
          <w:rFonts w:cs="Arial"/>
          <w:color w:val="000000"/>
          <w:szCs w:val="24"/>
        </w:rPr>
        <w:tab/>
      </w:r>
      <w:r w:rsidR="006F6CDA">
        <w:t>LD</w:t>
      </w:r>
      <w:r w:rsidR="00C30498">
        <w:t>B</w:t>
      </w:r>
      <w:r w:rsidR="006F6CDA">
        <w:t xml:space="preserve"> now appeals to us against the Magistrate’s order. </w:t>
      </w:r>
      <w:r w:rsidR="00956E82">
        <w:t>An examination of the record reveals that none of the</w:t>
      </w:r>
      <w:r w:rsidR="006F6CDA">
        <w:t xml:space="preserve"> Magistrate’s</w:t>
      </w:r>
      <w:r w:rsidR="00956E82">
        <w:t xml:space="preserve"> </w:t>
      </w:r>
      <w:r w:rsidR="006F6CDA">
        <w:t>factual findings</w:t>
      </w:r>
      <w:r w:rsidR="00956E82">
        <w:t xml:space="preserve"> has any reliable foundation in it. But the biggest difficulty with the Magistrate’s reasons (aside from their</w:t>
      </w:r>
      <w:r w:rsidR="00C30498">
        <w:t xml:space="preserve"> unexplained and, on the face of it,</w:t>
      </w:r>
      <w:r w:rsidR="00956E82">
        <w:t xml:space="preserve"> inexcusable lateness) </w:t>
      </w:r>
      <w:r w:rsidR="006F6CDA">
        <w:t>is</w:t>
      </w:r>
      <w:r w:rsidR="00956E82">
        <w:t xml:space="preserve"> that they d</w:t>
      </w:r>
      <w:r w:rsidR="006F6CDA">
        <w:t>o</w:t>
      </w:r>
      <w:r w:rsidR="00956E82">
        <w:t xml:space="preserve"> not engage at all with the provisions of the settlement agreement that ended the parties’ marriage. The Magistrate, quite wrongly, </w:t>
      </w:r>
      <w:r w:rsidR="006F6CDA">
        <w:t xml:space="preserve">approached the matter on the basis that the parties’ relative means could be considered afresh in a vacuum, and that there was no burden on JSB to justify the nature and extent of any departure from the agreement. In view of the provisions of the settlement agreement I set out above, which explicitly record the parties’ consensus that the maintenance obligations JSB assumed were “fair and necessary” and that they could only be departed from in defined circumstances, the Magistrate’s decision cannot stand. </w:t>
      </w:r>
    </w:p>
    <w:p w14:paraId="45F0E5AF" w14:textId="3EAFE15D" w:rsidR="00956E82" w:rsidRDefault="009B6FD3" w:rsidP="009B6FD3">
      <w:pPr>
        <w:pStyle w:val="Paragraph12pt"/>
        <w:tabs>
          <w:tab w:val="left" w:pos="851"/>
        </w:tabs>
        <w:ind w:left="851" w:hanging="851"/>
      </w:pPr>
      <w:r>
        <w:rPr>
          <w:rFonts w:cs="Arial"/>
          <w:color w:val="000000"/>
          <w:szCs w:val="24"/>
        </w:rPr>
        <w:t>7</w:t>
      </w:r>
      <w:r>
        <w:rPr>
          <w:rFonts w:cs="Arial"/>
          <w:color w:val="000000"/>
          <w:szCs w:val="24"/>
        </w:rPr>
        <w:tab/>
      </w:r>
      <w:r w:rsidR="006F6CDA">
        <w:t xml:space="preserve">On a proper analysis of the evidence before the Magistrate, there was no justification for the </w:t>
      </w:r>
      <w:r w:rsidR="00AC31F4">
        <w:t xml:space="preserve">discharge of JSB’s maintenance obligations. The most that could have been justified was a suspension of the cash payments due under </w:t>
      </w:r>
      <w:r w:rsidR="00AC31F4">
        <w:lastRenderedPageBreak/>
        <w:t xml:space="preserve">clause 3.1 to reflect </w:t>
      </w:r>
      <w:r w:rsidR="00E4663E">
        <w:t>what appears to have been a</w:t>
      </w:r>
      <w:r w:rsidR="00AC31F4">
        <w:t xml:space="preserve"> temporary collapse of JSB’s fee income during the very early months of the pandemic. Interpreting the evidence before the Magistrate in the manner that is most generous to JSB, that temporary suspension could only have been justified between the months of April and </w:t>
      </w:r>
      <w:r w:rsidR="00B5029D">
        <w:t>September</w:t>
      </w:r>
      <w:r w:rsidR="00AC31F4">
        <w:t xml:space="preserve"> 2020. </w:t>
      </w:r>
    </w:p>
    <w:p w14:paraId="6CF433D0" w14:textId="68772ABF" w:rsidR="00AC31F4" w:rsidRDefault="009B6FD3" w:rsidP="009B6FD3">
      <w:pPr>
        <w:pStyle w:val="Paragraph12pt"/>
        <w:tabs>
          <w:tab w:val="left" w:pos="851"/>
        </w:tabs>
        <w:ind w:left="851" w:hanging="851"/>
      </w:pPr>
      <w:r>
        <w:rPr>
          <w:rFonts w:cs="Arial"/>
          <w:color w:val="000000"/>
          <w:szCs w:val="24"/>
        </w:rPr>
        <w:t>8</w:t>
      </w:r>
      <w:r>
        <w:rPr>
          <w:rFonts w:cs="Arial"/>
          <w:color w:val="000000"/>
          <w:szCs w:val="24"/>
        </w:rPr>
        <w:tab/>
      </w:r>
      <w:r w:rsidR="00AC31F4">
        <w:t>It follows that the appeal must be upheld, and that the Magistrate’s order must be substituted for one dismissing the application for a discharge of JSB’s obligations</w:t>
      </w:r>
      <w:r w:rsidR="001F60DB">
        <w:t>,</w:t>
      </w:r>
      <w:r w:rsidR="00AC31F4">
        <w:t xml:space="preserve"> but suspending the operation of clause 3.1 of the settlement agreement between the months of April and </w:t>
      </w:r>
      <w:r w:rsidR="00B5029D">
        <w:t>September</w:t>
      </w:r>
      <w:r w:rsidR="00AC31F4">
        <w:t xml:space="preserve"> 2020.</w:t>
      </w:r>
      <w:r w:rsidR="00414129">
        <w:t xml:space="preserve"> This conclusion follows from the analysis of the applicable law and the relevant evidence I elaborate below. </w:t>
      </w:r>
    </w:p>
    <w:p w14:paraId="2850AD1C" w14:textId="407B0B1B" w:rsidR="00AC31F4" w:rsidRPr="00AC31F4" w:rsidRDefault="00AC31F4" w:rsidP="00AC31F4">
      <w:pPr>
        <w:pStyle w:val="Paragraph12pt"/>
        <w:rPr>
          <w:b/>
          <w:bCs/>
        </w:rPr>
      </w:pPr>
      <w:r w:rsidRPr="00AC31F4">
        <w:rPr>
          <w:b/>
          <w:bCs/>
        </w:rPr>
        <w:t>The approach adopted in the court below</w:t>
      </w:r>
    </w:p>
    <w:p w14:paraId="2ED04AA0" w14:textId="15BF56F1" w:rsidR="00AC31F4" w:rsidRDefault="009B6FD3" w:rsidP="009B6FD3">
      <w:pPr>
        <w:pStyle w:val="Paragraph12pt"/>
        <w:tabs>
          <w:tab w:val="left" w:pos="851"/>
        </w:tabs>
        <w:ind w:left="851" w:hanging="851"/>
      </w:pPr>
      <w:r>
        <w:rPr>
          <w:rFonts w:cs="Arial"/>
          <w:color w:val="000000"/>
          <w:szCs w:val="24"/>
        </w:rPr>
        <w:t>9</w:t>
      </w:r>
      <w:r>
        <w:rPr>
          <w:rFonts w:cs="Arial"/>
          <w:color w:val="000000"/>
          <w:szCs w:val="24"/>
        </w:rPr>
        <w:tab/>
      </w:r>
      <w:r w:rsidR="00E4315A">
        <w:t xml:space="preserve">Anyone who has ever had to participate in proceedings determining spousal maintenance appreciates that the exercise is fraught with difficulty. The principal source of that difficulty is that, by the time the matter has reached a Judge or a Magistrate for decision, the facts are hotly contested, and neither party can really be relied upon to give a frank and straightforward account of their means and needs. In this court, that difficulty is addressed by the requirement that the parties make the financial disclosures enumerated in </w:t>
      </w:r>
      <w:r w:rsidR="00E4315A" w:rsidRPr="00E4315A">
        <w:rPr>
          <w:i/>
          <w:iCs/>
        </w:rPr>
        <w:t>E v E</w:t>
      </w:r>
      <w:r w:rsidR="00E4315A" w:rsidRPr="00E4315A">
        <w:t xml:space="preserve"> 2019 (5) SA 566 (GJ)</w:t>
      </w:r>
      <w:r w:rsidR="00E4315A">
        <w:t>.</w:t>
      </w:r>
    </w:p>
    <w:p w14:paraId="2A609027" w14:textId="5C431D13" w:rsidR="00E4315A" w:rsidRDefault="009B6FD3" w:rsidP="009B6FD3">
      <w:pPr>
        <w:pStyle w:val="Paragraph12pt"/>
        <w:tabs>
          <w:tab w:val="left" w:pos="851"/>
        </w:tabs>
        <w:ind w:left="851" w:hanging="851"/>
      </w:pPr>
      <w:r>
        <w:rPr>
          <w:rFonts w:cs="Arial"/>
          <w:color w:val="000000"/>
          <w:szCs w:val="24"/>
        </w:rPr>
        <w:t>10</w:t>
      </w:r>
      <w:bookmarkStart w:id="0" w:name="_GoBack"/>
      <w:bookmarkEnd w:id="0"/>
      <w:r>
        <w:rPr>
          <w:rFonts w:cs="Arial"/>
          <w:color w:val="000000"/>
          <w:szCs w:val="24"/>
        </w:rPr>
        <w:tab/>
      </w:r>
      <w:r w:rsidR="00E4315A">
        <w:t xml:space="preserve">The enquiry in the Maintenance Court is regulated much more closely. The Maintenance Act sets out a detailed set of procedures </w:t>
      </w:r>
      <w:r w:rsidR="00EE247B">
        <w:t xml:space="preserve">designed to seek out relevant information and make orders giving effect to legal duties of support across a wide variety of situations. The process is triggered under section 6 </w:t>
      </w:r>
      <w:r w:rsidR="00EE247B">
        <w:lastRenderedPageBreak/>
        <w:t xml:space="preserve">of the Act, which provides for the institution of complaints where (a) the complainant alleges and seeks to enforce a legal duty of support, (b) the complainant seeks the </w:t>
      </w:r>
      <w:r w:rsidR="002B423A">
        <w:t>substitution</w:t>
      </w:r>
      <w:r w:rsidR="00EE247B">
        <w:t xml:space="preserve"> o</w:t>
      </w:r>
      <w:r w:rsidR="002B423A">
        <w:t>r</w:t>
      </w:r>
      <w:r w:rsidR="00EE247B">
        <w:t xml:space="preserve"> discharge of an existing maintenance order or (c) where the complainant seeks the </w:t>
      </w:r>
      <w:r w:rsidR="003F5C78">
        <w:t>substitution</w:t>
      </w:r>
      <w:r w:rsidR="00EE247B">
        <w:t xml:space="preserve"> or discharge of an obligation embodied in a maintenance agreement. </w:t>
      </w:r>
    </w:p>
    <w:p w14:paraId="71B9CE55" w14:textId="22095D0A" w:rsidR="001F60DB" w:rsidRDefault="009B6FD3" w:rsidP="009B6FD3">
      <w:pPr>
        <w:pStyle w:val="Paragraph12pt"/>
        <w:tabs>
          <w:tab w:val="left" w:pos="851"/>
        </w:tabs>
        <w:ind w:left="851" w:hanging="851"/>
      </w:pPr>
      <w:r>
        <w:rPr>
          <w:rFonts w:cs="Arial"/>
          <w:color w:val="000000"/>
          <w:szCs w:val="24"/>
        </w:rPr>
        <w:t>11</w:t>
      </w:r>
      <w:r>
        <w:rPr>
          <w:rFonts w:cs="Arial"/>
          <w:color w:val="000000"/>
          <w:szCs w:val="24"/>
        </w:rPr>
        <w:tab/>
      </w:r>
      <w:r w:rsidR="00EE247B">
        <w:t xml:space="preserve">JSB made their application under section 6 (1) (b) of the Act, which provides for the </w:t>
      </w:r>
      <w:r w:rsidR="002B423A">
        <w:t>substitution or discharge of an existing maintenance order on good cause shown. Once such a complaint is lodged, a maintenance officer must investigate it in the manner prescribed in sections 7, 8 and 9 of the Act</w:t>
      </w:r>
      <w:r w:rsidR="001F60DB">
        <w:t xml:space="preserve">. These sections </w:t>
      </w:r>
      <w:r w:rsidR="002B423A">
        <w:t>set out a wide range of fact-finding powers, including the power to do what is necessary to trace any person</w:t>
      </w:r>
      <w:r w:rsidR="00C30498">
        <w:t xml:space="preserve"> against whom a complaint is made</w:t>
      </w:r>
      <w:r w:rsidR="002B423A">
        <w:t>, or to call for information concerning “</w:t>
      </w:r>
      <w:r w:rsidR="002B423A" w:rsidRPr="002B423A">
        <w:t>the financial position of any person</w:t>
      </w:r>
      <w:r w:rsidR="002B423A">
        <w:t xml:space="preserve"> affected” by the legal duty to pay maintenance (section 7 (2) (e) (ii)). In doing so, a maintenance officer may be assisted by a maintenance investigator, </w:t>
      </w:r>
      <w:r w:rsidR="00C30498">
        <w:t>who performs</w:t>
      </w:r>
      <w:r w:rsidR="002B423A">
        <w:t xml:space="preserve"> a separate statutory role, endowed with its own powers and duties. It is only once such an investigation is complete that the maintenance officer </w:t>
      </w:r>
      <w:r w:rsidR="003F5C78">
        <w:t xml:space="preserve">may institute a maintenance enquiry before a Magistrate (section 6 (2)). </w:t>
      </w:r>
    </w:p>
    <w:p w14:paraId="374B9230" w14:textId="77A57869" w:rsidR="002B423A" w:rsidRDefault="009B6FD3" w:rsidP="009B6FD3">
      <w:pPr>
        <w:pStyle w:val="Paragraph12pt"/>
        <w:tabs>
          <w:tab w:val="left" w:pos="851"/>
        </w:tabs>
        <w:ind w:left="851" w:hanging="851"/>
      </w:pPr>
      <w:r>
        <w:rPr>
          <w:rFonts w:cs="Arial"/>
          <w:color w:val="000000"/>
          <w:szCs w:val="24"/>
        </w:rPr>
        <w:t>12</w:t>
      </w:r>
      <w:r>
        <w:rPr>
          <w:rFonts w:cs="Arial"/>
          <w:color w:val="000000"/>
          <w:szCs w:val="24"/>
        </w:rPr>
        <w:tab/>
      </w:r>
      <w:r w:rsidR="003F5C78">
        <w:t>The purpose of this manner of proceeding should be obvious. It is to ensure that the parameters of any dispute about a duty to maintain are established, that a body of basic, hopefully uncontested, information about the parties’ financial positions is compiled, and, where disputes about the parties</w:t>
      </w:r>
      <w:r w:rsidR="001F60DB">
        <w:t>’</w:t>
      </w:r>
      <w:r w:rsidR="003F5C78">
        <w:t xml:space="preserve"> relative means and needs have emerged, the contours of that dispute and the information necessary to resolve it ha</w:t>
      </w:r>
      <w:r w:rsidR="00C30498">
        <w:t>ve</w:t>
      </w:r>
      <w:r w:rsidR="003F5C78">
        <w:t xml:space="preserve">, as far as possible, been established. </w:t>
      </w:r>
    </w:p>
    <w:p w14:paraId="7BE14ED4" w14:textId="4F046BB9" w:rsidR="003F5C78" w:rsidRDefault="009B6FD3" w:rsidP="009B6FD3">
      <w:pPr>
        <w:pStyle w:val="Paragraph12pt"/>
        <w:tabs>
          <w:tab w:val="left" w:pos="851"/>
        </w:tabs>
        <w:ind w:left="851" w:hanging="851"/>
      </w:pPr>
      <w:r>
        <w:rPr>
          <w:rFonts w:cs="Arial"/>
          <w:color w:val="000000"/>
          <w:szCs w:val="24"/>
        </w:rPr>
        <w:lastRenderedPageBreak/>
        <w:t>13</w:t>
      </w:r>
      <w:r>
        <w:rPr>
          <w:rFonts w:cs="Arial"/>
          <w:color w:val="000000"/>
          <w:szCs w:val="24"/>
        </w:rPr>
        <w:tab/>
      </w:r>
      <w:r w:rsidR="003F5C78">
        <w:t xml:space="preserve">All of this prevents the Magistrate that will ultimately be seized with the </w:t>
      </w:r>
      <w:r w:rsidR="00C30498">
        <w:t>e</w:t>
      </w:r>
      <w:r w:rsidR="003F5C78">
        <w:t xml:space="preserve">nquiry from deciding the issues in a vacuum, or from having to run what would otherwise turn out to be a lengthy civil trial in order to determine whether to make a maintenance order under section 16 of the Act, and what order should be made. The object is cheap and efficient identification of a just and fair set of maintenance arrangements between those subject to the Act, using as little court time as possible. </w:t>
      </w:r>
    </w:p>
    <w:p w14:paraId="492F0DFF" w14:textId="18494C65" w:rsidR="008D588C" w:rsidRDefault="009B6FD3" w:rsidP="009B6FD3">
      <w:pPr>
        <w:pStyle w:val="Paragraph12pt"/>
        <w:tabs>
          <w:tab w:val="left" w:pos="851"/>
        </w:tabs>
        <w:ind w:left="851" w:hanging="851"/>
      </w:pPr>
      <w:r>
        <w:rPr>
          <w:rFonts w:cs="Arial"/>
          <w:color w:val="000000"/>
          <w:szCs w:val="24"/>
        </w:rPr>
        <w:t>14</w:t>
      </w:r>
      <w:r>
        <w:rPr>
          <w:rFonts w:cs="Arial"/>
          <w:color w:val="000000"/>
          <w:szCs w:val="24"/>
        </w:rPr>
        <w:tab/>
      </w:r>
      <w:r w:rsidR="003F5C78">
        <w:t xml:space="preserve">That is not what happened in this case. As far as I can see, there was no maintenance investigation, no attempt to identify and narrow the real issues between the parties and no attempt to compile a reliable set of financial information against which JSB’s complaint could be considered. The maintenance officer referred JSB’s complaint to the Magistrate for an enquiry under section 10 apparently without </w:t>
      </w:r>
      <w:r w:rsidR="00447C30">
        <w:t xml:space="preserve">attempting to define the terms of the dispute </w:t>
      </w:r>
      <w:r w:rsidR="00095684">
        <w:t xml:space="preserve">and without </w:t>
      </w:r>
      <w:r w:rsidR="003F5C78">
        <w:t xml:space="preserve">discharging any of their statutory functions. </w:t>
      </w:r>
    </w:p>
    <w:p w14:paraId="6ADD5281" w14:textId="74450E7A" w:rsidR="00447C30" w:rsidRDefault="009B6FD3" w:rsidP="009B6FD3">
      <w:pPr>
        <w:pStyle w:val="Paragraph12pt"/>
        <w:tabs>
          <w:tab w:val="left" w:pos="851"/>
        </w:tabs>
        <w:ind w:left="851" w:hanging="851"/>
      </w:pPr>
      <w:r>
        <w:rPr>
          <w:rFonts w:cs="Arial"/>
          <w:color w:val="000000"/>
          <w:szCs w:val="24"/>
        </w:rPr>
        <w:t>15</w:t>
      </w:r>
      <w:r>
        <w:rPr>
          <w:rFonts w:cs="Arial"/>
          <w:color w:val="000000"/>
          <w:szCs w:val="24"/>
        </w:rPr>
        <w:tab/>
      </w:r>
      <w:r w:rsidR="003F5C78">
        <w:t>The outcome was</w:t>
      </w:r>
      <w:r w:rsidR="00447C30">
        <w:t xml:space="preserve"> predictable. The parties and the Magistrate treated the proceedings in the court below as an ordinary civil trial. JSB gave wide-ranging evidence of what they said was their inability to discharge their obligations. They were extensively cross-examined. It was then L</w:t>
      </w:r>
      <w:r w:rsidR="00C30498">
        <w:t>D</w:t>
      </w:r>
      <w:r w:rsidR="00447C30">
        <w:t>B’s turn to give evidence of their need for maintenance, and their own means of support. The enquiry last</w:t>
      </w:r>
      <w:r w:rsidR="00095684">
        <w:t>ed</w:t>
      </w:r>
      <w:r w:rsidR="00447C30">
        <w:t xml:space="preserve"> seven court days (not including the days on which no evidence was </w:t>
      </w:r>
      <w:r w:rsidR="00C30498">
        <w:t>led</w:t>
      </w:r>
      <w:r w:rsidR="00447C30">
        <w:t xml:space="preserve">). Notwithstanding the Act’s injunction that a </w:t>
      </w:r>
      <w:r w:rsidR="00E30A55">
        <w:t>maintenance</w:t>
      </w:r>
      <w:r w:rsidR="00447C30">
        <w:t xml:space="preserve"> court ensures that “</w:t>
      </w:r>
      <w:r w:rsidR="00447C30" w:rsidRPr="00447C30">
        <w:t>postponements are limited in number and in duration</w:t>
      </w:r>
      <w:r w:rsidR="00447C30">
        <w:t>”, the evidence was eked out</w:t>
      </w:r>
      <w:r w:rsidR="00095684">
        <w:t>, one day at a time,</w:t>
      </w:r>
      <w:r w:rsidR="00447C30">
        <w:t xml:space="preserve"> over months. The whole process, from the institution of the complaint, to the point at which the Magistrate gave </w:t>
      </w:r>
      <w:r w:rsidR="00447C30">
        <w:lastRenderedPageBreak/>
        <w:t xml:space="preserve">her reasons, lasted just short of two years. I have little doubt that if those responsible for framing the Act were asked to set out the sort of situation the Act was designed to avoid, they would have described a scenario with many, if not all, of the features of this case. </w:t>
      </w:r>
    </w:p>
    <w:p w14:paraId="2FBAC480" w14:textId="3F62871E" w:rsidR="00095684" w:rsidRPr="00095684" w:rsidRDefault="00095684" w:rsidP="00095684">
      <w:pPr>
        <w:pStyle w:val="Paragraph12pt"/>
        <w:rPr>
          <w:b/>
          <w:bCs/>
        </w:rPr>
      </w:pPr>
      <w:r w:rsidRPr="008D588C">
        <w:rPr>
          <w:b/>
          <w:bCs/>
        </w:rPr>
        <w:t xml:space="preserve">The evidence </w:t>
      </w:r>
    </w:p>
    <w:p w14:paraId="533ED6AE" w14:textId="706BD7DC" w:rsidR="00F92A50" w:rsidRDefault="009B6FD3" w:rsidP="009B6FD3">
      <w:pPr>
        <w:pStyle w:val="Paragraph12pt"/>
        <w:tabs>
          <w:tab w:val="left" w:pos="851"/>
        </w:tabs>
        <w:ind w:left="851" w:hanging="851"/>
      </w:pPr>
      <w:r>
        <w:rPr>
          <w:rFonts w:cs="Arial"/>
          <w:color w:val="000000"/>
          <w:szCs w:val="24"/>
        </w:rPr>
        <w:t>16</w:t>
      </w:r>
      <w:r>
        <w:rPr>
          <w:rFonts w:cs="Arial"/>
          <w:color w:val="000000"/>
          <w:szCs w:val="24"/>
        </w:rPr>
        <w:tab/>
      </w:r>
      <w:r w:rsidR="00C64A9A">
        <w:t xml:space="preserve">No doubt because nothing was done to investigate the case, and to shape the terms of the maintenance enquiry, </w:t>
      </w:r>
      <w:r w:rsidR="00DD3A4F">
        <w:t>the court below</w:t>
      </w:r>
      <w:r w:rsidR="00C64A9A">
        <w:t xml:space="preserve"> lost sight of the </w:t>
      </w:r>
      <w:r w:rsidR="00447C30">
        <w:t xml:space="preserve">fact that the parties had already </w:t>
      </w:r>
      <w:r w:rsidR="00C30498">
        <w:t>decided in the settlement agreement</w:t>
      </w:r>
      <w:r w:rsidR="00447C30">
        <w:t xml:space="preserve"> what the maintenance regime should be, and had identified for themselves the circumstances under which that obligation </w:t>
      </w:r>
      <w:r w:rsidR="00C64A9A">
        <w:t xml:space="preserve">could be varied. </w:t>
      </w:r>
    </w:p>
    <w:p w14:paraId="17290BB4" w14:textId="5F2D859E" w:rsidR="003F5C78" w:rsidRDefault="009B6FD3" w:rsidP="009B6FD3">
      <w:pPr>
        <w:pStyle w:val="Paragraph12pt"/>
        <w:tabs>
          <w:tab w:val="left" w:pos="851"/>
        </w:tabs>
        <w:ind w:left="851" w:hanging="851"/>
      </w:pPr>
      <w:r>
        <w:rPr>
          <w:rFonts w:cs="Arial"/>
          <w:color w:val="000000"/>
          <w:szCs w:val="24"/>
        </w:rPr>
        <w:t>17</w:t>
      </w:r>
      <w:r>
        <w:rPr>
          <w:rFonts w:cs="Arial"/>
          <w:color w:val="000000"/>
          <w:szCs w:val="24"/>
        </w:rPr>
        <w:tab/>
      </w:r>
      <w:r w:rsidR="00C64A9A">
        <w:t>There were two such situations. The first was a change in JSB’s professional fee income. Clause 3.6 makes abundantly clear that the maintenance due to LD</w:t>
      </w:r>
      <w:r w:rsidR="00F92A50">
        <w:t>B</w:t>
      </w:r>
      <w:r w:rsidR="00C64A9A">
        <w:t xml:space="preserve"> would vary with JSB’s professional fee income. Clause 3.6 is unfortunately vaguely worded, but its unmistakable purpose is that the maintenance due to LD</w:t>
      </w:r>
      <w:r w:rsidR="00095684">
        <w:t>B</w:t>
      </w:r>
      <w:r w:rsidR="00C64A9A">
        <w:t xml:space="preserve"> would vary in proportion to the rise or fall of JSB’s professional fee income, taking </w:t>
      </w:r>
      <w:r w:rsidR="00F92A50">
        <w:t>JSB’s</w:t>
      </w:r>
      <w:r w:rsidR="00C64A9A">
        <w:t xml:space="preserve"> income </w:t>
      </w:r>
      <w:r w:rsidR="00F92A50">
        <w:t>as at 31 January 2014, and the amount of R30 000 per month in maintenance</w:t>
      </w:r>
      <w:r w:rsidR="00095684">
        <w:t>,</w:t>
      </w:r>
      <w:r w:rsidR="00F92A50">
        <w:t xml:space="preserve"> as the starting point</w:t>
      </w:r>
      <w:r w:rsidR="00095684">
        <w:t>s</w:t>
      </w:r>
      <w:r w:rsidR="00F92A50">
        <w:t xml:space="preserve">. The second </w:t>
      </w:r>
      <w:r w:rsidR="00095684">
        <w:t xml:space="preserve">situation </w:t>
      </w:r>
      <w:r w:rsidR="00F92A50">
        <w:t xml:space="preserve">was any other change in JSB’s fee-earning capacity that was beyond their control, including, but not limited to illness, political manipulation of JSB’s profession or what is somewhat cryptically referred to as “regulatory factors”. </w:t>
      </w:r>
    </w:p>
    <w:p w14:paraId="5BC7F74A" w14:textId="2F801189" w:rsidR="00F92A50" w:rsidRDefault="009B6FD3" w:rsidP="009B6FD3">
      <w:pPr>
        <w:pStyle w:val="Paragraph12pt"/>
        <w:tabs>
          <w:tab w:val="left" w:pos="851"/>
        </w:tabs>
        <w:ind w:left="851" w:hanging="851"/>
      </w:pPr>
      <w:r>
        <w:rPr>
          <w:rFonts w:cs="Arial"/>
          <w:color w:val="000000"/>
          <w:szCs w:val="24"/>
        </w:rPr>
        <w:t>18</w:t>
      </w:r>
      <w:r>
        <w:rPr>
          <w:rFonts w:cs="Arial"/>
          <w:color w:val="000000"/>
          <w:szCs w:val="24"/>
        </w:rPr>
        <w:tab/>
      </w:r>
      <w:r w:rsidR="00F92A50">
        <w:t xml:space="preserve">In order to vary the maintenance payable to LDB by substituting the settlement agreement for a new maintenance regime, the </w:t>
      </w:r>
      <w:r w:rsidR="00453701">
        <w:t>M</w:t>
      </w:r>
      <w:r w:rsidR="00F92A50">
        <w:t>agistrate had to be satisfied that there was “good cause” to do so</w:t>
      </w:r>
      <w:r w:rsidR="00F92A50" w:rsidRPr="00F92A50">
        <w:t xml:space="preserve"> </w:t>
      </w:r>
      <w:r w:rsidR="00F92A50">
        <w:t xml:space="preserve">in terms of section 6 (1) (b) of the Act.  </w:t>
      </w:r>
      <w:r w:rsidR="00F92A50">
        <w:lastRenderedPageBreak/>
        <w:t xml:space="preserve">While the terms of the settlement agreement were obviously not binding on the </w:t>
      </w:r>
      <w:r w:rsidR="00453701">
        <w:t>M</w:t>
      </w:r>
      <w:r w:rsidR="00F92A50">
        <w:t xml:space="preserve">agistrate, any evaluation of whether there was “good cause” </w:t>
      </w:r>
      <w:r w:rsidR="00453701">
        <w:t>in this sense ought to have started with the terms of the agreement</w:t>
      </w:r>
      <w:r w:rsidR="00095684">
        <w:t>,</w:t>
      </w:r>
      <w:r w:rsidR="00453701">
        <w:t xml:space="preserve"> because that is where the parties had decided for themselves what good cause entailed. If there was good cause to depart from the agreement’s terms, by completely extinguishing the cash maintenance obligation provided for in clause 3.1, that ought to have been identified and recorded in the Magistrate’s reasons. </w:t>
      </w:r>
    </w:p>
    <w:p w14:paraId="660C0083" w14:textId="2FFD9D16" w:rsidR="00095684" w:rsidRDefault="009B6FD3" w:rsidP="009B6FD3">
      <w:pPr>
        <w:pStyle w:val="Paragraph12pt"/>
        <w:tabs>
          <w:tab w:val="left" w:pos="851"/>
        </w:tabs>
        <w:ind w:left="851" w:hanging="851"/>
      </w:pPr>
      <w:r>
        <w:rPr>
          <w:rFonts w:cs="Arial"/>
          <w:color w:val="000000"/>
          <w:szCs w:val="24"/>
        </w:rPr>
        <w:t>19</w:t>
      </w:r>
      <w:r>
        <w:rPr>
          <w:rFonts w:cs="Arial"/>
          <w:color w:val="000000"/>
          <w:szCs w:val="24"/>
        </w:rPr>
        <w:tab/>
      </w:r>
      <w:r w:rsidR="00453701">
        <w:t>The Magistrate unfortunately said nothing at all about the</w:t>
      </w:r>
      <w:r w:rsidR="00C30498">
        <w:t xml:space="preserve"> settlement</w:t>
      </w:r>
      <w:r w:rsidR="00453701">
        <w:t xml:space="preserve"> agreement in her reasons. However, it can be inferred from what she did say that she found what she described as a “tremendous” decrease in JSB’s earning capacity caused by illness and the Covid-19 pandemic. The finding that JSB’s earnings had suffered because of illness is not supported by the evidence. JSB was diagnosed with a dread illness, but the evidence was that they had recovered from it by late 2019, in time for an increase in the maintenance payable to LDB to be implemented in January 2020. </w:t>
      </w:r>
      <w:r w:rsidR="00BB5E6D">
        <w:t>There is little gainsaying that JSB suffered a very severe dip in their income during the early part of the Covid-19 lockdown. But the evidence is that</w:t>
      </w:r>
      <w:r w:rsidR="00B5029D">
        <w:t xml:space="preserve"> JSB was able to resume their work from mid-August 2022 and that</w:t>
      </w:r>
      <w:r w:rsidR="00BB5E6D">
        <w:t xml:space="preserve"> their practice had recovered by October 2020 at the latest. </w:t>
      </w:r>
    </w:p>
    <w:p w14:paraId="11354155" w14:textId="2E23D70B" w:rsidR="00095684" w:rsidRDefault="009B6FD3" w:rsidP="009B6FD3">
      <w:pPr>
        <w:pStyle w:val="Paragraph12pt"/>
        <w:tabs>
          <w:tab w:val="left" w:pos="851"/>
        </w:tabs>
        <w:ind w:left="851" w:hanging="851"/>
      </w:pPr>
      <w:r>
        <w:rPr>
          <w:rFonts w:cs="Arial"/>
          <w:color w:val="000000"/>
          <w:szCs w:val="24"/>
        </w:rPr>
        <w:t>20</w:t>
      </w:r>
      <w:r>
        <w:rPr>
          <w:rFonts w:cs="Arial"/>
          <w:color w:val="000000"/>
          <w:szCs w:val="24"/>
        </w:rPr>
        <w:tab/>
      </w:r>
      <w:r w:rsidR="00095684">
        <w:t>Moreover</w:t>
      </w:r>
      <w:r w:rsidR="00BB5E6D">
        <w:t>,</w:t>
      </w:r>
      <w:r w:rsidR="008159FE">
        <w:t xml:space="preserve"> much of</w:t>
      </w:r>
      <w:r w:rsidR="00241278">
        <w:t xml:space="preserve"> </w:t>
      </w:r>
      <w:r w:rsidR="00BB5E6D">
        <w:t xml:space="preserve">the evidence </w:t>
      </w:r>
      <w:r w:rsidR="00095684">
        <w:t xml:space="preserve">of JSB’s income </w:t>
      </w:r>
      <w:r w:rsidR="00BB5E6D">
        <w:t>presented to the Magistrate was</w:t>
      </w:r>
      <w:r w:rsidR="00095684">
        <w:t xml:space="preserve"> unreliable. In the first place, it relied on self-produced fee books and audit trails, with little attempt at independent verification. Under cross-examination, counsel for LDB identified critical shortcomings and contradictions in the information provided, such that very little of it can safely be relied upon. </w:t>
      </w:r>
    </w:p>
    <w:p w14:paraId="34608DC8" w14:textId="78E61796" w:rsidR="00BB5E6D" w:rsidRDefault="009B6FD3" w:rsidP="009B6FD3">
      <w:pPr>
        <w:pStyle w:val="Paragraph12pt"/>
        <w:tabs>
          <w:tab w:val="left" w:pos="851"/>
        </w:tabs>
        <w:ind w:left="851" w:hanging="851"/>
      </w:pPr>
      <w:r>
        <w:rPr>
          <w:rFonts w:cs="Arial"/>
          <w:color w:val="000000"/>
          <w:szCs w:val="24"/>
        </w:rPr>
        <w:lastRenderedPageBreak/>
        <w:t>21</w:t>
      </w:r>
      <w:r>
        <w:rPr>
          <w:rFonts w:cs="Arial"/>
          <w:color w:val="000000"/>
          <w:szCs w:val="24"/>
        </w:rPr>
        <w:tab/>
      </w:r>
      <w:r w:rsidR="00095684">
        <w:t xml:space="preserve">In any event, the evidence JSB relied upon was </w:t>
      </w:r>
      <w:r w:rsidR="00BB5E6D">
        <w:t xml:space="preserve">marred by a failure to identify what JSB’s income was at the time the settlement agreement was concluded, and to track the extent to which it had been adjusted since then. Unless there was good cause to depart completely from the terms of the agreement that governed those adjustments (I can find none), then any argument JSB made about their changed earning capacity would have to have commenced with an account of that capacity when the settlement agreement was concluded. That is nowhere in evidence. </w:t>
      </w:r>
    </w:p>
    <w:p w14:paraId="69C3014B" w14:textId="52C55F4E" w:rsidR="006D23D8" w:rsidRDefault="009B6FD3" w:rsidP="009B6FD3">
      <w:pPr>
        <w:pStyle w:val="Paragraph12pt"/>
        <w:tabs>
          <w:tab w:val="left" w:pos="851"/>
        </w:tabs>
        <w:ind w:left="851" w:hanging="851"/>
      </w:pPr>
      <w:r>
        <w:rPr>
          <w:rFonts w:cs="Arial"/>
          <w:color w:val="000000"/>
          <w:szCs w:val="24"/>
        </w:rPr>
        <w:t>22</w:t>
      </w:r>
      <w:r>
        <w:rPr>
          <w:rFonts w:cs="Arial"/>
          <w:color w:val="000000"/>
          <w:szCs w:val="24"/>
        </w:rPr>
        <w:tab/>
      </w:r>
      <w:r w:rsidR="00BB5E6D">
        <w:t>It follows that, other than the obvious and precipitous drop in income in the middle six months of 2020,</w:t>
      </w:r>
      <w:r w:rsidR="00095684">
        <w:t xml:space="preserve"> which is to some extent explained and corroborated by objective facts related to the impact of the Covid-19 pandemic,</w:t>
      </w:r>
      <w:r w:rsidR="00BB5E6D">
        <w:t xml:space="preserve"> JSB’s evidence fell woefully short of establishing that there was any change in their income that could not be dealt with by simply applying the terms of the settlement agreement. </w:t>
      </w:r>
    </w:p>
    <w:p w14:paraId="491B8A41" w14:textId="1207DD66" w:rsidR="006D23D8" w:rsidRDefault="009B6FD3" w:rsidP="009B6FD3">
      <w:pPr>
        <w:pStyle w:val="Paragraph12pt"/>
        <w:tabs>
          <w:tab w:val="left" w:pos="851"/>
        </w:tabs>
        <w:ind w:left="851" w:hanging="851"/>
      </w:pPr>
      <w:r>
        <w:rPr>
          <w:rFonts w:cs="Arial"/>
          <w:color w:val="000000"/>
          <w:szCs w:val="24"/>
        </w:rPr>
        <w:t>23</w:t>
      </w:r>
      <w:r>
        <w:rPr>
          <w:rFonts w:cs="Arial"/>
          <w:color w:val="000000"/>
          <w:szCs w:val="24"/>
        </w:rPr>
        <w:tab/>
      </w:r>
      <w:r w:rsidR="006D23D8">
        <w:t>The other reasons the Magistrate gave for her order were, it seems to me, wholly irrelevant to the issues she had to decide. It matters not that LDB owns their own home</w:t>
      </w:r>
      <w:r w:rsidR="00C30498">
        <w:t>. T</w:t>
      </w:r>
      <w:r w:rsidR="00EC780C">
        <w:t xml:space="preserve">hat home was </w:t>
      </w:r>
      <w:r w:rsidR="006D23D8">
        <w:t>itself purchased pursuant to the terms of the settlement agreement</w:t>
      </w:r>
      <w:r w:rsidR="00EC780C">
        <w:t xml:space="preserve">, and so </w:t>
      </w:r>
      <w:r w:rsidR="00C30498">
        <w:t xml:space="preserve">was </w:t>
      </w:r>
      <w:r w:rsidR="00EC780C">
        <w:t>part of the bargain in which the cash maintenance payments were thought to be “fair and necessary”</w:t>
      </w:r>
      <w:r w:rsidR="006D23D8">
        <w:t>. Nor does it matter that LDB has built up significant savings since the agreement was entered into. The Magistrate did not identify the facts on which she concluded that the maintenance payable under the agreement was more than LDB needs. In the absence of such facts, the conclusion cannot be justified</w:t>
      </w:r>
      <w:r w:rsidR="00C30498">
        <w:t xml:space="preserve"> –</w:t>
      </w:r>
      <w:r w:rsidR="006D23D8">
        <w:t>especially</w:t>
      </w:r>
      <w:r w:rsidR="00EC780C">
        <w:t>, it bears repeating,</w:t>
      </w:r>
      <w:r w:rsidR="006D23D8">
        <w:t xml:space="preserve"> in the face of the parties’ consensus, recorded </w:t>
      </w:r>
      <w:r w:rsidR="006D23D8">
        <w:lastRenderedPageBreak/>
        <w:t xml:space="preserve">in the settlement agreement that </w:t>
      </w:r>
      <w:r w:rsidR="0079626C">
        <w:t>the</w:t>
      </w:r>
      <w:r w:rsidR="006D23D8">
        <w:t xml:space="preserve"> maintenance payments are “fair and necessary”.</w:t>
      </w:r>
    </w:p>
    <w:p w14:paraId="05C263B7" w14:textId="735153C7" w:rsidR="00DB2498" w:rsidRDefault="009B6FD3" w:rsidP="009B6FD3">
      <w:pPr>
        <w:pStyle w:val="Paragraph12pt"/>
        <w:tabs>
          <w:tab w:val="left" w:pos="851"/>
        </w:tabs>
        <w:ind w:left="851" w:hanging="851"/>
      </w:pPr>
      <w:r>
        <w:rPr>
          <w:rFonts w:cs="Arial"/>
          <w:color w:val="000000"/>
          <w:szCs w:val="24"/>
        </w:rPr>
        <w:t>24</w:t>
      </w:r>
      <w:r>
        <w:rPr>
          <w:rFonts w:cs="Arial"/>
          <w:color w:val="000000"/>
          <w:szCs w:val="24"/>
        </w:rPr>
        <w:tab/>
      </w:r>
      <w:r w:rsidR="00C30498">
        <w:t>Accordingly</w:t>
      </w:r>
      <w:r w:rsidR="00BB5E6D">
        <w:t xml:space="preserve">, but for an order adjusting the maintenance payable during </w:t>
      </w:r>
      <w:r w:rsidR="006D23D8">
        <w:t xml:space="preserve">the middle </w:t>
      </w:r>
      <w:r w:rsidR="00BB5E6D">
        <w:t xml:space="preserve">six months </w:t>
      </w:r>
      <w:r w:rsidR="006D23D8">
        <w:t xml:space="preserve">of 2020 </w:t>
      </w:r>
      <w:r w:rsidR="00BB5E6D">
        <w:t xml:space="preserve">(which would itself have been little more than an application of the agreement’s own terms, the Covid-19 pandemic very clearly being a situation beyond </w:t>
      </w:r>
      <w:r w:rsidR="00DB2498">
        <w:t xml:space="preserve">JSB’s control), JSB’s complaint should have been dismissed. While section 16 of the Act does not explicitly allow for the dismissal of a maintenance complaint, in the context of this case, that would have been the effect of the exercise of the power to “make no order” in section 16 (1) (c) of the Act. </w:t>
      </w:r>
    </w:p>
    <w:p w14:paraId="4B8974A2" w14:textId="2D882A35" w:rsidR="008D588C" w:rsidRPr="00F92A50" w:rsidRDefault="008D588C" w:rsidP="00F92A50">
      <w:pPr>
        <w:pStyle w:val="Paragraph12pt"/>
      </w:pPr>
      <w:r w:rsidRPr="00F92A50">
        <w:rPr>
          <w:b/>
          <w:bCs/>
        </w:rPr>
        <w:t>Order</w:t>
      </w:r>
    </w:p>
    <w:p w14:paraId="3A92BE16" w14:textId="5D0A6854" w:rsidR="00DB2498" w:rsidRDefault="009B6FD3" w:rsidP="009B6FD3">
      <w:pPr>
        <w:pStyle w:val="Paragraph12pt"/>
        <w:tabs>
          <w:tab w:val="left" w:pos="851"/>
        </w:tabs>
        <w:ind w:left="851" w:hanging="851"/>
      </w:pPr>
      <w:r>
        <w:rPr>
          <w:rFonts w:cs="Arial"/>
          <w:color w:val="000000"/>
          <w:szCs w:val="24"/>
        </w:rPr>
        <w:t>25</w:t>
      </w:r>
      <w:r>
        <w:rPr>
          <w:rFonts w:cs="Arial"/>
          <w:color w:val="000000"/>
          <w:szCs w:val="24"/>
        </w:rPr>
        <w:tab/>
      </w:r>
      <w:r w:rsidR="00C30498">
        <w:t>T</w:t>
      </w:r>
      <w:r w:rsidR="006D23D8">
        <w:t xml:space="preserve">he appeal must be allowed. </w:t>
      </w:r>
      <w:r w:rsidR="00DB2498">
        <w:t xml:space="preserve">In a cross-appeal, JSB asks that the Magistrate’s discharge of their cash maintenance obligation be back-dated to </w:t>
      </w:r>
      <w:r w:rsidR="006D23D8">
        <w:t xml:space="preserve">1 June 2020. In light of the conclusions I have reached, the cross-appeal must obviously be dismissed. </w:t>
      </w:r>
    </w:p>
    <w:p w14:paraId="6288B4F7" w14:textId="0D5A520D" w:rsidR="008D588C" w:rsidRDefault="009B6FD3" w:rsidP="009B6FD3">
      <w:pPr>
        <w:pStyle w:val="Paragraph12pt"/>
        <w:tabs>
          <w:tab w:val="left" w:pos="851"/>
        </w:tabs>
        <w:ind w:left="851" w:hanging="851"/>
      </w:pPr>
      <w:r>
        <w:rPr>
          <w:rFonts w:cs="Arial"/>
          <w:color w:val="000000"/>
          <w:szCs w:val="24"/>
        </w:rPr>
        <w:t>26</w:t>
      </w:r>
      <w:r>
        <w:rPr>
          <w:rFonts w:cs="Arial"/>
          <w:color w:val="000000"/>
          <w:szCs w:val="24"/>
        </w:rPr>
        <w:tab/>
      </w:r>
      <w:r w:rsidR="00EC780C">
        <w:t>T</w:t>
      </w:r>
      <w:r w:rsidR="008D588C">
        <w:t>he Maintenance Act does not provide for a Maintenance Court to award costs, save in defined circumstances, which are not applicable here. The implication is that each party generally pays their own costs in maintenance proceedings dealt with under the Act. There is, however, no reason why costs should not follow the result in the appeal. LDB</w:t>
      </w:r>
      <w:r w:rsidR="00EC780C">
        <w:t>,</w:t>
      </w:r>
      <w:r w:rsidR="008D588C">
        <w:t xml:space="preserve"> having been substantially successful, is entitled to those costs.</w:t>
      </w:r>
    </w:p>
    <w:p w14:paraId="73883F7A" w14:textId="27268F75" w:rsidR="00B5029D" w:rsidRDefault="009B6FD3" w:rsidP="009B6FD3">
      <w:pPr>
        <w:pStyle w:val="Paragraph12pt"/>
        <w:tabs>
          <w:tab w:val="left" w:pos="851"/>
        </w:tabs>
        <w:ind w:left="851" w:hanging="851"/>
      </w:pPr>
      <w:r>
        <w:rPr>
          <w:rFonts w:cs="Arial"/>
          <w:color w:val="000000"/>
          <w:szCs w:val="24"/>
        </w:rPr>
        <w:t>27</w:t>
      </w:r>
      <w:r>
        <w:rPr>
          <w:rFonts w:cs="Arial"/>
          <w:color w:val="000000"/>
          <w:szCs w:val="24"/>
        </w:rPr>
        <w:tab/>
      </w:r>
      <w:r w:rsidR="00B5029D">
        <w:t>For all these reasons, I would make the following order –</w:t>
      </w:r>
    </w:p>
    <w:p w14:paraId="4CF80E9A" w14:textId="0DE862E4" w:rsidR="00B5029D" w:rsidRDefault="009B6FD3" w:rsidP="009B6FD3">
      <w:pPr>
        <w:pStyle w:val="Paragraph12pt"/>
        <w:tabs>
          <w:tab w:val="left" w:pos="1814"/>
        </w:tabs>
        <w:ind w:left="1814" w:hanging="963"/>
      </w:pPr>
      <w:r>
        <w:t>27.1</w:t>
      </w:r>
      <w:r>
        <w:tab/>
      </w:r>
      <w:r w:rsidR="00B5029D">
        <w:t xml:space="preserve">The appeal is allowed, with costs. </w:t>
      </w:r>
    </w:p>
    <w:p w14:paraId="6354F758" w14:textId="3370EAB1" w:rsidR="00B5029D" w:rsidRDefault="009B6FD3" w:rsidP="009B6FD3">
      <w:pPr>
        <w:pStyle w:val="Paragraph12pt"/>
        <w:tabs>
          <w:tab w:val="left" w:pos="1814"/>
        </w:tabs>
        <w:ind w:left="1814" w:hanging="963"/>
      </w:pPr>
      <w:r>
        <w:lastRenderedPageBreak/>
        <w:t>27.2</w:t>
      </w:r>
      <w:r>
        <w:tab/>
      </w:r>
      <w:r w:rsidR="00B5029D">
        <w:t xml:space="preserve">The cross-appeal is dismissed, with costs. </w:t>
      </w:r>
    </w:p>
    <w:p w14:paraId="4DA1DD29" w14:textId="106951B9" w:rsidR="00B5029D" w:rsidRDefault="009B6FD3" w:rsidP="009B6FD3">
      <w:pPr>
        <w:pStyle w:val="Paragraph12pt"/>
        <w:tabs>
          <w:tab w:val="left" w:pos="1814"/>
        </w:tabs>
        <w:ind w:left="1814" w:hanging="963"/>
      </w:pPr>
      <w:r>
        <w:t>27.3</w:t>
      </w:r>
      <w:r>
        <w:tab/>
      </w:r>
      <w:r w:rsidR="00B5029D">
        <w:t xml:space="preserve">The order of the court below is set aside and replaced with the following order – </w:t>
      </w:r>
    </w:p>
    <w:p w14:paraId="55AE40D7" w14:textId="1BC930FE" w:rsidR="00B5029D" w:rsidRDefault="009B6FD3" w:rsidP="009B6FD3">
      <w:pPr>
        <w:pStyle w:val="Paragraph12pt"/>
        <w:spacing w:line="240" w:lineRule="auto"/>
        <w:ind w:left="2174" w:hanging="360"/>
      </w:pPr>
      <w:r>
        <w:t>1.</w:t>
      </w:r>
      <w:r>
        <w:tab/>
      </w:r>
      <w:r w:rsidR="00B5029D">
        <w:t>The complainant’s obligations under clause 3.1 of the settlement agreement entered into between the parties and made an order of court on 31 January 2014 are suspended during the period between 1 April 2020 and 30 September 2020.</w:t>
      </w:r>
    </w:p>
    <w:p w14:paraId="18FA54DF" w14:textId="7D1B4F96" w:rsidR="00B5029D" w:rsidRDefault="009B6FD3" w:rsidP="009B6FD3">
      <w:pPr>
        <w:pStyle w:val="Paragraph12pt"/>
        <w:spacing w:line="240" w:lineRule="auto"/>
        <w:ind w:left="2174" w:hanging="360"/>
      </w:pPr>
      <w:r>
        <w:t>2.</w:t>
      </w:r>
      <w:r>
        <w:tab/>
      </w:r>
      <w:r w:rsidR="00B5029D">
        <w:t xml:space="preserve">No order is otherwise made on the complainant’s complaint. </w:t>
      </w:r>
    </w:p>
    <w:p w14:paraId="56969D8B" w14:textId="154E6F94" w:rsidR="00B5029D" w:rsidRPr="006A79C3" w:rsidRDefault="009B6FD3" w:rsidP="009B6FD3">
      <w:pPr>
        <w:pStyle w:val="Paragraph12pt"/>
        <w:spacing w:line="240" w:lineRule="auto"/>
        <w:ind w:left="2174" w:hanging="360"/>
      </w:pPr>
      <w:r w:rsidRPr="006A79C3">
        <w:t>3.</w:t>
      </w:r>
      <w:r w:rsidRPr="006A79C3">
        <w:tab/>
      </w:r>
      <w:r w:rsidR="00B5029D">
        <w:t xml:space="preserve">Each party will pay their own costs.   </w:t>
      </w:r>
    </w:p>
    <w:p w14:paraId="6B26AF9D" w14:textId="77777777" w:rsidR="00B5029D" w:rsidRDefault="00B5029D" w:rsidP="00B5029D">
      <w:pPr>
        <w:pStyle w:val="Paragraph12pt"/>
        <w:spacing w:after="0"/>
        <w:ind w:left="851"/>
        <w:jc w:val="right"/>
      </w:pPr>
      <w:r>
        <w:rPr>
          <w:noProof/>
          <w:lang w:val="en-US" w:eastAsia="en-US"/>
        </w:rPr>
        <w:drawing>
          <wp:inline distT="0" distB="0" distL="0" distR="0" wp14:anchorId="7D5A9B43" wp14:editId="180358CC">
            <wp:extent cx="898445" cy="688063"/>
            <wp:effectExtent l="0" t="0" r="381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2723" cy="852165"/>
                    </a:xfrm>
                    <a:prstGeom prst="rect">
                      <a:avLst/>
                    </a:prstGeom>
                  </pic:spPr>
                </pic:pic>
              </a:graphicData>
            </a:graphic>
          </wp:inline>
        </w:drawing>
      </w:r>
    </w:p>
    <w:p w14:paraId="462C1D3C" w14:textId="77777777" w:rsidR="00B5029D" w:rsidRPr="00FE593E" w:rsidRDefault="00B5029D" w:rsidP="00B5029D">
      <w:pPr>
        <w:pStyle w:val="Paragraph12pt"/>
        <w:spacing w:after="0" w:line="240" w:lineRule="auto"/>
        <w:jc w:val="right"/>
        <w:rPr>
          <w:b/>
          <w:bCs/>
        </w:rPr>
      </w:pPr>
      <w:r w:rsidRPr="00FE593E">
        <w:rPr>
          <w:b/>
          <w:bCs/>
        </w:rPr>
        <w:t>S D J WILSON</w:t>
      </w:r>
    </w:p>
    <w:p w14:paraId="2999275F" w14:textId="6ECDBBA9" w:rsidR="00B5029D" w:rsidRDefault="00B5029D" w:rsidP="00B5029D">
      <w:pPr>
        <w:pStyle w:val="Paragraph12pt"/>
        <w:spacing w:after="0" w:line="240" w:lineRule="auto"/>
        <w:jc w:val="right"/>
      </w:pPr>
      <w:r w:rsidRPr="00FE593E">
        <w:t>Judge of the High Court</w:t>
      </w:r>
    </w:p>
    <w:p w14:paraId="4E18B0E5" w14:textId="77777777" w:rsidR="00B5029D" w:rsidRDefault="00B5029D" w:rsidP="00B5029D">
      <w:pPr>
        <w:pStyle w:val="Paragraph12pt"/>
        <w:spacing w:after="0" w:line="240" w:lineRule="auto"/>
        <w:jc w:val="center"/>
      </w:pPr>
    </w:p>
    <w:p w14:paraId="2E0E45DF" w14:textId="48EBB368" w:rsidR="00B5029D" w:rsidRDefault="009B6FD3" w:rsidP="009B6FD3">
      <w:pPr>
        <w:pStyle w:val="Paragraph12pt"/>
        <w:tabs>
          <w:tab w:val="left" w:pos="851"/>
        </w:tabs>
        <w:ind w:left="851" w:hanging="851"/>
      </w:pPr>
      <w:r>
        <w:rPr>
          <w:rFonts w:cs="Arial"/>
          <w:color w:val="000000"/>
          <w:szCs w:val="24"/>
        </w:rPr>
        <w:t>28</w:t>
      </w:r>
      <w:r>
        <w:rPr>
          <w:rFonts w:cs="Arial"/>
          <w:color w:val="000000"/>
          <w:szCs w:val="24"/>
        </w:rPr>
        <w:tab/>
      </w:r>
      <w:r w:rsidR="00B5029D">
        <w:t xml:space="preserve">I agree, and it is so ordered. </w:t>
      </w:r>
    </w:p>
    <w:p w14:paraId="749B39D3" w14:textId="382364CA" w:rsidR="00B5029D" w:rsidRDefault="00B5029D" w:rsidP="00B5029D">
      <w:pPr>
        <w:pStyle w:val="Paragraph12pt"/>
        <w:spacing w:after="0" w:line="240" w:lineRule="auto"/>
        <w:jc w:val="right"/>
      </w:pPr>
      <w:r>
        <w:rPr>
          <w:noProof/>
          <w:lang w:val="en-US" w:eastAsia="en-US"/>
        </w:rPr>
        <w:drawing>
          <wp:inline distT="0" distB="0" distL="0" distR="0" wp14:anchorId="40DE6DFA" wp14:editId="5E29300D">
            <wp:extent cx="1812290" cy="835269"/>
            <wp:effectExtent l="0" t="0" r="3810" b="3175"/>
            <wp:docPr id="1478123849" name="Picture 1478123849" descr="A signature on a white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78123849" name="Picture 1478123849" descr="A signature on a white background&#10;&#10;Description automatically generated"/>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9712" cy="847908"/>
                    </a:xfrm>
                    <a:prstGeom prst="rect">
                      <a:avLst/>
                    </a:prstGeom>
                    <a:noFill/>
                    <a:ln>
                      <a:noFill/>
                    </a:ln>
                  </pic:spPr>
                </pic:pic>
              </a:graphicData>
            </a:graphic>
          </wp:inline>
        </w:drawing>
      </w:r>
    </w:p>
    <w:p w14:paraId="02064E3D" w14:textId="77777777" w:rsidR="00B5029D" w:rsidRPr="00B5029D" w:rsidRDefault="00B5029D" w:rsidP="00B5029D">
      <w:pPr>
        <w:pStyle w:val="Paragraph12pt"/>
        <w:spacing w:after="0" w:line="240" w:lineRule="auto"/>
        <w:jc w:val="right"/>
        <w:rPr>
          <w:b/>
          <w:bCs/>
        </w:rPr>
      </w:pPr>
      <w:r w:rsidRPr="00B5029D">
        <w:rPr>
          <w:b/>
          <w:bCs/>
        </w:rPr>
        <w:t>S KUNY</w:t>
      </w:r>
    </w:p>
    <w:p w14:paraId="46F433EE" w14:textId="7FC90D20" w:rsidR="00B5029D" w:rsidRDefault="00B5029D" w:rsidP="00B5029D">
      <w:pPr>
        <w:pStyle w:val="Paragraph12pt"/>
        <w:spacing w:after="0" w:line="240" w:lineRule="auto"/>
        <w:jc w:val="right"/>
      </w:pPr>
      <w:r>
        <w:t>Judge of the High Court</w:t>
      </w:r>
    </w:p>
    <w:p w14:paraId="4EC7ACFB" w14:textId="77777777" w:rsidR="00B5029D" w:rsidRDefault="00B5029D" w:rsidP="00A00DAC">
      <w:pPr>
        <w:pStyle w:val="Paragraph12pt"/>
        <w:spacing w:after="0" w:line="240" w:lineRule="auto"/>
        <w:jc w:val="right"/>
      </w:pPr>
    </w:p>
    <w:p w14:paraId="5A9D8F92" w14:textId="7DAD52F7" w:rsidR="00350C7E" w:rsidRDefault="00350C7E" w:rsidP="00350C7E">
      <w:pPr>
        <w:pStyle w:val="Paragraph12pt"/>
        <w:spacing w:after="0" w:line="240" w:lineRule="auto"/>
      </w:pPr>
      <w:r w:rsidRPr="00973E9F">
        <w:t>This judgment was prepared by Judge</w:t>
      </w:r>
      <w:r w:rsidR="0009737F">
        <w:t>s</w:t>
      </w:r>
      <w:r w:rsidRPr="00973E9F">
        <w:t xml:space="preserve"> Wilson</w:t>
      </w:r>
      <w:r w:rsidR="0009737F">
        <w:t xml:space="preserve"> and Kuny</w:t>
      </w:r>
      <w:r w:rsidRPr="00973E9F">
        <w:t>. It is handed down electronically by circulation to the parties or their legal representatives by email, by uploading it to the electronic file of this matter on Caselines, and by publication of the judgment to the South African Legal Information Institute. The dat</w:t>
      </w:r>
      <w:r w:rsidR="005226FC">
        <w:t xml:space="preserve">e </w:t>
      </w:r>
      <w:r w:rsidR="003314B1">
        <w:t xml:space="preserve">for hand-down is deemed to be </w:t>
      </w:r>
      <w:r w:rsidR="00B5029D">
        <w:t>13 July</w:t>
      </w:r>
      <w:r w:rsidR="005226FC">
        <w:t xml:space="preserve"> </w:t>
      </w:r>
      <w:r w:rsidRPr="00973E9F">
        <w:t>2023.</w:t>
      </w:r>
    </w:p>
    <w:p w14:paraId="4B73C0A9" w14:textId="77777777" w:rsidR="00594DE5" w:rsidRDefault="00594DE5" w:rsidP="00973E9F">
      <w:pPr>
        <w:pStyle w:val="Paragraph12pt"/>
        <w:spacing w:after="0" w:line="240" w:lineRule="auto"/>
      </w:pPr>
    </w:p>
    <w:p w14:paraId="21605095" w14:textId="06E49745" w:rsidR="000315F7" w:rsidRDefault="0051403A" w:rsidP="00A63062">
      <w:pPr>
        <w:pStyle w:val="Paragraph12pt"/>
        <w:spacing w:after="0" w:line="240" w:lineRule="auto"/>
        <w:jc w:val="left"/>
      </w:pPr>
      <w:r>
        <w:t>HEARD ON:</w:t>
      </w:r>
      <w:r>
        <w:tab/>
      </w:r>
      <w:r w:rsidR="00A63062">
        <w:tab/>
      </w:r>
      <w:r w:rsidR="00A63062">
        <w:tab/>
      </w:r>
      <w:r w:rsidR="00A63062">
        <w:tab/>
      </w:r>
      <w:r w:rsidR="005D4285">
        <w:t>6</w:t>
      </w:r>
      <w:r w:rsidR="006A79C3">
        <w:t xml:space="preserve"> </w:t>
      </w:r>
      <w:r w:rsidR="000976E0">
        <w:t>June</w:t>
      </w:r>
      <w:r w:rsidR="003B5150">
        <w:t xml:space="preserve"> 2023</w:t>
      </w:r>
    </w:p>
    <w:p w14:paraId="6EC5111B" w14:textId="00BF2805" w:rsidR="00FA0C61" w:rsidRDefault="00FA0C61" w:rsidP="004F6A2D">
      <w:pPr>
        <w:pStyle w:val="Paragraph12pt"/>
        <w:spacing w:after="0" w:line="240" w:lineRule="auto"/>
        <w:ind w:left="3600" w:hanging="3600"/>
        <w:jc w:val="left"/>
      </w:pPr>
    </w:p>
    <w:p w14:paraId="1B8E4969" w14:textId="1F6B50E1" w:rsidR="004D209A" w:rsidRDefault="0051403A" w:rsidP="004A0E4E">
      <w:pPr>
        <w:pStyle w:val="Paragraph12pt"/>
        <w:spacing w:after="0" w:line="240" w:lineRule="auto"/>
        <w:jc w:val="left"/>
      </w:pPr>
      <w:r>
        <w:t>DECIDED ON:</w:t>
      </w:r>
      <w:r>
        <w:tab/>
      </w:r>
      <w:r w:rsidR="00226B2D">
        <w:tab/>
      </w:r>
      <w:r w:rsidR="00226B2D">
        <w:tab/>
      </w:r>
      <w:r w:rsidR="00B5029D">
        <w:t>13 July 2023</w:t>
      </w:r>
    </w:p>
    <w:p w14:paraId="27A5F16E" w14:textId="77777777" w:rsidR="00B06BF0" w:rsidRDefault="00B06BF0" w:rsidP="00A31389">
      <w:pPr>
        <w:pStyle w:val="Paragraph12pt"/>
        <w:spacing w:after="0" w:line="240" w:lineRule="auto"/>
        <w:jc w:val="left"/>
      </w:pPr>
    </w:p>
    <w:p w14:paraId="05C3EC0D" w14:textId="6350D247" w:rsidR="00A43FC3" w:rsidRDefault="0051403A" w:rsidP="005D4285">
      <w:pPr>
        <w:pStyle w:val="Paragraph12pt"/>
        <w:spacing w:after="0" w:line="240" w:lineRule="auto"/>
        <w:jc w:val="left"/>
      </w:pPr>
      <w:r>
        <w:t>For the</w:t>
      </w:r>
      <w:r w:rsidR="00226B2D">
        <w:t xml:space="preserve"> </w:t>
      </w:r>
      <w:r w:rsidR="005D4285">
        <w:t>Appellant</w:t>
      </w:r>
      <w:r w:rsidR="004A0E4E">
        <w:t>:</w:t>
      </w:r>
      <w:r>
        <w:t xml:space="preserve"> </w:t>
      </w:r>
      <w:r>
        <w:tab/>
      </w:r>
      <w:r>
        <w:tab/>
      </w:r>
      <w:r>
        <w:tab/>
      </w:r>
      <w:r w:rsidR="005D4285">
        <w:t>H Gray</w:t>
      </w:r>
    </w:p>
    <w:p w14:paraId="40CBF14C" w14:textId="1F2B5607" w:rsidR="00C00F8A" w:rsidRDefault="004A0E4E" w:rsidP="004A0E4E">
      <w:pPr>
        <w:pStyle w:val="Paragraph12pt"/>
        <w:spacing w:after="0" w:line="240" w:lineRule="auto"/>
        <w:ind w:left="3600"/>
        <w:jc w:val="left"/>
      </w:pPr>
      <w:r>
        <w:t xml:space="preserve">Instructed by </w:t>
      </w:r>
      <w:r w:rsidR="005D4285">
        <w:t xml:space="preserve">Philippa Kruger Attorneys </w:t>
      </w:r>
    </w:p>
    <w:p w14:paraId="4B3EBF8B" w14:textId="77777777" w:rsidR="000F77C7" w:rsidRDefault="000F77C7" w:rsidP="00B06BF0">
      <w:pPr>
        <w:pStyle w:val="Paragraph12pt"/>
        <w:spacing w:after="0" w:line="240" w:lineRule="auto"/>
        <w:jc w:val="left"/>
      </w:pPr>
    </w:p>
    <w:p w14:paraId="7C924640" w14:textId="1EA87A6F" w:rsidR="006A79C3" w:rsidRDefault="003B5150" w:rsidP="004D209A">
      <w:pPr>
        <w:pStyle w:val="Paragraph12pt"/>
        <w:spacing w:after="0" w:line="240" w:lineRule="auto"/>
        <w:ind w:left="3600" w:hanging="3600"/>
        <w:jc w:val="left"/>
      </w:pPr>
      <w:r>
        <w:t xml:space="preserve">For </w:t>
      </w:r>
      <w:r w:rsidR="006A79C3">
        <w:t>the</w:t>
      </w:r>
      <w:r w:rsidR="00A43FC3">
        <w:t xml:space="preserve"> </w:t>
      </w:r>
      <w:r w:rsidR="005D4285">
        <w:t>Respondent</w:t>
      </w:r>
      <w:r w:rsidR="00A43FC3">
        <w:t>:</w:t>
      </w:r>
      <w:r w:rsidR="004A0E4E">
        <w:tab/>
      </w:r>
      <w:r w:rsidR="005D4285">
        <w:t>G Olwagen-Meyer</w:t>
      </w:r>
    </w:p>
    <w:p w14:paraId="571E37D4" w14:textId="123C73D6" w:rsidR="004A0E4E" w:rsidRDefault="00A43FC3" w:rsidP="00B5029D">
      <w:pPr>
        <w:pStyle w:val="Paragraph12pt"/>
        <w:spacing w:after="0" w:line="240" w:lineRule="auto"/>
        <w:jc w:val="left"/>
        <w:rPr>
          <w:lang w:val="en-GB"/>
        </w:rPr>
      </w:pPr>
      <w:r>
        <w:rPr>
          <w:lang w:val="en-GB"/>
        </w:rPr>
        <w:tab/>
      </w:r>
      <w:r>
        <w:rPr>
          <w:lang w:val="en-GB"/>
        </w:rPr>
        <w:tab/>
      </w:r>
      <w:r>
        <w:rPr>
          <w:lang w:val="en-GB"/>
        </w:rPr>
        <w:tab/>
      </w:r>
      <w:r w:rsidR="000976E0">
        <w:rPr>
          <w:lang w:val="en-GB"/>
        </w:rPr>
        <w:tab/>
      </w:r>
      <w:r w:rsidR="000976E0">
        <w:rPr>
          <w:lang w:val="en-GB"/>
        </w:rPr>
        <w:tab/>
      </w:r>
      <w:r w:rsidR="004A0E4E" w:rsidRPr="004A0E4E">
        <w:rPr>
          <w:lang w:val="en-GB"/>
        </w:rPr>
        <w:t xml:space="preserve">Instructed by </w:t>
      </w:r>
      <w:r w:rsidR="005D4285">
        <w:rPr>
          <w:lang w:val="en-GB"/>
        </w:rPr>
        <w:t>Alan Jose</w:t>
      </w:r>
      <w:r w:rsidR="00B5029D">
        <w:rPr>
          <w:lang w:val="en-GB"/>
        </w:rPr>
        <w:t xml:space="preserve"> </w:t>
      </w:r>
      <w:r w:rsidR="000976E0">
        <w:rPr>
          <w:lang w:val="en-GB"/>
        </w:rPr>
        <w:t>Inc</w:t>
      </w:r>
    </w:p>
    <w:sectPr w:rsidR="004A0E4E" w:rsidSect="007416C3">
      <w:footerReference w:type="default" r:id="rId1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8BFC2" w14:textId="77777777" w:rsidR="005A017E" w:rsidRDefault="005A017E" w:rsidP="00023136">
      <w:r>
        <w:separator/>
      </w:r>
    </w:p>
  </w:endnote>
  <w:endnote w:type="continuationSeparator" w:id="0">
    <w:p w14:paraId="19F831FC" w14:textId="77777777" w:rsidR="005A017E" w:rsidRDefault="005A017E"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357904"/>
      <w:docPartObj>
        <w:docPartGallery w:val="Page Numbers (Bottom of Page)"/>
        <w:docPartUnique/>
      </w:docPartObj>
    </w:sdtPr>
    <w:sdtEndPr>
      <w:rPr>
        <w:noProof/>
        <w:sz w:val="24"/>
        <w:szCs w:val="24"/>
      </w:rPr>
    </w:sdtEndPr>
    <w:sdtContent>
      <w:p w14:paraId="526B1D6E" w14:textId="62420E3D" w:rsidR="005226FC" w:rsidRPr="00E34C05" w:rsidRDefault="005226FC">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9B6FD3">
          <w:rPr>
            <w:noProof/>
            <w:sz w:val="24"/>
            <w:szCs w:val="24"/>
          </w:rPr>
          <w:t>5</w:t>
        </w:r>
        <w:r w:rsidRPr="00E34C05">
          <w:rPr>
            <w:noProof/>
            <w:sz w:val="24"/>
            <w:szCs w:val="24"/>
          </w:rPr>
          <w:fldChar w:fldCharType="end"/>
        </w:r>
      </w:p>
    </w:sdtContent>
  </w:sdt>
  <w:p w14:paraId="2DCAAB9C" w14:textId="77777777" w:rsidR="005226FC" w:rsidRDefault="005226FC" w:rsidP="0051403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BD0A1" w14:textId="77777777" w:rsidR="005A017E" w:rsidRDefault="005A017E" w:rsidP="00023136">
      <w:r>
        <w:separator/>
      </w:r>
    </w:p>
  </w:footnote>
  <w:footnote w:type="continuationSeparator" w:id="0">
    <w:p w14:paraId="591E8963" w14:textId="77777777" w:rsidR="005A017E" w:rsidRDefault="005A017E" w:rsidP="00023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409001F"/>
    <w:numStyleLink w:val="111111"/>
  </w:abstractNum>
  <w:abstractNum w:abstractNumId="1">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2">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20504D54"/>
    <w:multiLevelType w:val="hybridMultilevel"/>
    <w:tmpl w:val="4C34E3B2"/>
    <w:lvl w:ilvl="0" w:tplc="011A868C">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4">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5">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6">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9">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20">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2">
    <w:nsid w:val="439D238B"/>
    <w:multiLevelType w:val="hybridMultilevel"/>
    <w:tmpl w:val="073CCBC8"/>
    <w:lvl w:ilvl="0" w:tplc="9EA481F4">
      <w:start w:val="1"/>
      <w:numFmt w:val="decimal"/>
      <w:lvlText w:val="%1."/>
      <w:lvlJc w:val="left"/>
      <w:pPr>
        <w:ind w:left="2174" w:hanging="360"/>
      </w:pPr>
      <w:rPr>
        <w:rFonts w:hint="default"/>
      </w:rPr>
    </w:lvl>
    <w:lvl w:ilvl="1" w:tplc="1C090019" w:tentative="1">
      <w:start w:val="1"/>
      <w:numFmt w:val="lowerLetter"/>
      <w:lvlText w:val="%2."/>
      <w:lvlJc w:val="left"/>
      <w:pPr>
        <w:ind w:left="2894" w:hanging="360"/>
      </w:pPr>
    </w:lvl>
    <w:lvl w:ilvl="2" w:tplc="1C09001B" w:tentative="1">
      <w:start w:val="1"/>
      <w:numFmt w:val="lowerRoman"/>
      <w:lvlText w:val="%3."/>
      <w:lvlJc w:val="right"/>
      <w:pPr>
        <w:ind w:left="3614" w:hanging="180"/>
      </w:pPr>
    </w:lvl>
    <w:lvl w:ilvl="3" w:tplc="1C09000F" w:tentative="1">
      <w:start w:val="1"/>
      <w:numFmt w:val="decimal"/>
      <w:lvlText w:val="%4."/>
      <w:lvlJc w:val="left"/>
      <w:pPr>
        <w:ind w:left="4334" w:hanging="360"/>
      </w:pPr>
    </w:lvl>
    <w:lvl w:ilvl="4" w:tplc="1C090019" w:tentative="1">
      <w:start w:val="1"/>
      <w:numFmt w:val="lowerLetter"/>
      <w:lvlText w:val="%5."/>
      <w:lvlJc w:val="left"/>
      <w:pPr>
        <w:ind w:left="5054" w:hanging="360"/>
      </w:pPr>
    </w:lvl>
    <w:lvl w:ilvl="5" w:tplc="1C09001B" w:tentative="1">
      <w:start w:val="1"/>
      <w:numFmt w:val="lowerRoman"/>
      <w:lvlText w:val="%6."/>
      <w:lvlJc w:val="right"/>
      <w:pPr>
        <w:ind w:left="5774" w:hanging="180"/>
      </w:pPr>
    </w:lvl>
    <w:lvl w:ilvl="6" w:tplc="1C09000F" w:tentative="1">
      <w:start w:val="1"/>
      <w:numFmt w:val="decimal"/>
      <w:lvlText w:val="%7."/>
      <w:lvlJc w:val="left"/>
      <w:pPr>
        <w:ind w:left="6494" w:hanging="360"/>
      </w:pPr>
    </w:lvl>
    <w:lvl w:ilvl="7" w:tplc="1C090019" w:tentative="1">
      <w:start w:val="1"/>
      <w:numFmt w:val="lowerLetter"/>
      <w:lvlText w:val="%8."/>
      <w:lvlJc w:val="left"/>
      <w:pPr>
        <w:ind w:left="7214" w:hanging="360"/>
      </w:pPr>
    </w:lvl>
    <w:lvl w:ilvl="8" w:tplc="1C09001B" w:tentative="1">
      <w:start w:val="1"/>
      <w:numFmt w:val="lowerRoman"/>
      <w:lvlText w:val="%9."/>
      <w:lvlJc w:val="right"/>
      <w:pPr>
        <w:ind w:left="7934" w:hanging="180"/>
      </w:pPr>
    </w:lvl>
  </w:abstractNum>
  <w:abstractNum w:abstractNumId="23">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4">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5">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9">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0">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3">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4">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5">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0506B60"/>
    <w:multiLevelType w:val="hybridMultilevel"/>
    <w:tmpl w:val="92CE8686"/>
    <w:lvl w:ilvl="0" w:tplc="0BD09F4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7">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7"/>
  </w:num>
  <w:num w:numId="3">
    <w:abstractNumId w:val="14"/>
  </w:num>
  <w:num w:numId="4">
    <w:abstractNumId w:val="9"/>
  </w:num>
  <w:num w:numId="5">
    <w:abstractNumId w:val="32"/>
  </w:num>
  <w:num w:numId="6">
    <w:abstractNumId w:val="18"/>
  </w:num>
  <w:num w:numId="7">
    <w:abstractNumId w:val="21"/>
  </w:num>
  <w:num w:numId="8">
    <w:abstractNumId w:val="3"/>
  </w:num>
  <w:num w:numId="9">
    <w:abstractNumId w:val="19"/>
  </w:num>
  <w:num w:numId="10">
    <w:abstractNumId w:val="28"/>
  </w:num>
  <w:num w:numId="11">
    <w:abstractNumId w:val="33"/>
  </w:num>
  <w:num w:numId="12">
    <w:abstractNumId w:val="24"/>
  </w:num>
  <w:num w:numId="13">
    <w:abstractNumId w:val="27"/>
  </w:num>
  <w:num w:numId="14">
    <w:abstractNumId w:val="40"/>
  </w:num>
  <w:num w:numId="15">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30"/>
  </w:num>
  <w:num w:numId="17">
    <w:abstractNumId w:val="34"/>
  </w:num>
  <w:num w:numId="18">
    <w:abstractNumId w:val="17"/>
  </w:num>
  <w:num w:numId="19">
    <w:abstractNumId w:val="39"/>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6"/>
  </w:num>
  <w:num w:numId="23">
    <w:abstractNumId w:val="1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0"/>
  </w:num>
  <w:num w:numId="27">
    <w:abstractNumId w:val="0"/>
  </w:num>
  <w:num w:numId="28">
    <w:abstractNumId w:val="2"/>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7"/>
  </w:num>
  <w:num w:numId="32">
    <w:abstractNumId w:val="35"/>
  </w:num>
  <w:num w:numId="33">
    <w:abstractNumId w:val="25"/>
  </w:num>
  <w:num w:numId="34">
    <w:abstractNumId w:val="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3"/>
  </w:num>
  <w:num w:numId="38">
    <w:abstractNumId w:val="11"/>
  </w:num>
  <w:num w:numId="39">
    <w:abstractNumId w:val="38"/>
  </w:num>
  <w:num w:numId="40">
    <w:abstractNumId w:val="36"/>
  </w:num>
  <w:num w:numId="41">
    <w:abstractNumId w:val="13"/>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97"/>
    <w:rsid w:val="000006CD"/>
    <w:rsid w:val="00000C1B"/>
    <w:rsid w:val="00001E06"/>
    <w:rsid w:val="00003764"/>
    <w:rsid w:val="00003910"/>
    <w:rsid w:val="00003E89"/>
    <w:rsid w:val="0000401D"/>
    <w:rsid w:val="00004E33"/>
    <w:rsid w:val="00005460"/>
    <w:rsid w:val="00005573"/>
    <w:rsid w:val="00005831"/>
    <w:rsid w:val="00005987"/>
    <w:rsid w:val="000069E0"/>
    <w:rsid w:val="000078CF"/>
    <w:rsid w:val="00007909"/>
    <w:rsid w:val="0001207E"/>
    <w:rsid w:val="000142F6"/>
    <w:rsid w:val="00016FD5"/>
    <w:rsid w:val="000175D2"/>
    <w:rsid w:val="00020278"/>
    <w:rsid w:val="000227EB"/>
    <w:rsid w:val="00022A59"/>
    <w:rsid w:val="00023136"/>
    <w:rsid w:val="00023953"/>
    <w:rsid w:val="000242E6"/>
    <w:rsid w:val="00025BD3"/>
    <w:rsid w:val="00025CAF"/>
    <w:rsid w:val="000271F7"/>
    <w:rsid w:val="0002756E"/>
    <w:rsid w:val="000315F7"/>
    <w:rsid w:val="00032CF6"/>
    <w:rsid w:val="00032FF8"/>
    <w:rsid w:val="0003308F"/>
    <w:rsid w:val="00035C84"/>
    <w:rsid w:val="00035D43"/>
    <w:rsid w:val="0003611F"/>
    <w:rsid w:val="00037B84"/>
    <w:rsid w:val="00040A7D"/>
    <w:rsid w:val="000419C2"/>
    <w:rsid w:val="000420E9"/>
    <w:rsid w:val="000438D7"/>
    <w:rsid w:val="00044F54"/>
    <w:rsid w:val="00044F81"/>
    <w:rsid w:val="00045569"/>
    <w:rsid w:val="000458A6"/>
    <w:rsid w:val="00046872"/>
    <w:rsid w:val="00047880"/>
    <w:rsid w:val="00047A21"/>
    <w:rsid w:val="00052896"/>
    <w:rsid w:val="000528BA"/>
    <w:rsid w:val="00053C2B"/>
    <w:rsid w:val="00054B4E"/>
    <w:rsid w:val="00055586"/>
    <w:rsid w:val="000559FB"/>
    <w:rsid w:val="000607DF"/>
    <w:rsid w:val="000610BF"/>
    <w:rsid w:val="00061450"/>
    <w:rsid w:val="0006303F"/>
    <w:rsid w:val="000649FE"/>
    <w:rsid w:val="000739D3"/>
    <w:rsid w:val="00073EA4"/>
    <w:rsid w:val="000777D8"/>
    <w:rsid w:val="00080804"/>
    <w:rsid w:val="000814E5"/>
    <w:rsid w:val="00081A58"/>
    <w:rsid w:val="000827F8"/>
    <w:rsid w:val="00082D7A"/>
    <w:rsid w:val="0008326D"/>
    <w:rsid w:val="000834C6"/>
    <w:rsid w:val="00084C3D"/>
    <w:rsid w:val="00084ED7"/>
    <w:rsid w:val="00085056"/>
    <w:rsid w:val="00086307"/>
    <w:rsid w:val="00086B11"/>
    <w:rsid w:val="00090691"/>
    <w:rsid w:val="000907F6"/>
    <w:rsid w:val="00091E84"/>
    <w:rsid w:val="00091FC7"/>
    <w:rsid w:val="00092644"/>
    <w:rsid w:val="00094A3E"/>
    <w:rsid w:val="00095684"/>
    <w:rsid w:val="0009673F"/>
    <w:rsid w:val="0009737F"/>
    <w:rsid w:val="000976E0"/>
    <w:rsid w:val="00097961"/>
    <w:rsid w:val="000A002D"/>
    <w:rsid w:val="000A02A8"/>
    <w:rsid w:val="000A108F"/>
    <w:rsid w:val="000A17A7"/>
    <w:rsid w:val="000A2F1E"/>
    <w:rsid w:val="000A346F"/>
    <w:rsid w:val="000A5C36"/>
    <w:rsid w:val="000A5D41"/>
    <w:rsid w:val="000A63B7"/>
    <w:rsid w:val="000A67F2"/>
    <w:rsid w:val="000A6CCE"/>
    <w:rsid w:val="000A6DE9"/>
    <w:rsid w:val="000A7A01"/>
    <w:rsid w:val="000A7E6C"/>
    <w:rsid w:val="000B0260"/>
    <w:rsid w:val="000B0F27"/>
    <w:rsid w:val="000B1A09"/>
    <w:rsid w:val="000B23EA"/>
    <w:rsid w:val="000B433A"/>
    <w:rsid w:val="000B6B3F"/>
    <w:rsid w:val="000C0419"/>
    <w:rsid w:val="000C111B"/>
    <w:rsid w:val="000C520A"/>
    <w:rsid w:val="000C5F37"/>
    <w:rsid w:val="000C7667"/>
    <w:rsid w:val="000D0125"/>
    <w:rsid w:val="000D0844"/>
    <w:rsid w:val="000D1822"/>
    <w:rsid w:val="000D3FCD"/>
    <w:rsid w:val="000D4AB1"/>
    <w:rsid w:val="000D4C35"/>
    <w:rsid w:val="000D54BF"/>
    <w:rsid w:val="000D716E"/>
    <w:rsid w:val="000D7679"/>
    <w:rsid w:val="000E0FCE"/>
    <w:rsid w:val="000E118F"/>
    <w:rsid w:val="000E15F1"/>
    <w:rsid w:val="000E2B7C"/>
    <w:rsid w:val="000E3412"/>
    <w:rsid w:val="000E799F"/>
    <w:rsid w:val="000F0A27"/>
    <w:rsid w:val="000F1501"/>
    <w:rsid w:val="000F4D80"/>
    <w:rsid w:val="000F4FA4"/>
    <w:rsid w:val="000F77C7"/>
    <w:rsid w:val="00102D51"/>
    <w:rsid w:val="0010320B"/>
    <w:rsid w:val="001049AD"/>
    <w:rsid w:val="001052DD"/>
    <w:rsid w:val="00105EBE"/>
    <w:rsid w:val="001078E4"/>
    <w:rsid w:val="001079A9"/>
    <w:rsid w:val="00112426"/>
    <w:rsid w:val="0011340A"/>
    <w:rsid w:val="00117216"/>
    <w:rsid w:val="00120072"/>
    <w:rsid w:val="00121815"/>
    <w:rsid w:val="00121FF8"/>
    <w:rsid w:val="001223D9"/>
    <w:rsid w:val="00123BF9"/>
    <w:rsid w:val="00124B72"/>
    <w:rsid w:val="001252A4"/>
    <w:rsid w:val="00127B1D"/>
    <w:rsid w:val="00130083"/>
    <w:rsid w:val="0013238A"/>
    <w:rsid w:val="00132BB9"/>
    <w:rsid w:val="00135544"/>
    <w:rsid w:val="00135E43"/>
    <w:rsid w:val="00136002"/>
    <w:rsid w:val="00136040"/>
    <w:rsid w:val="00137E50"/>
    <w:rsid w:val="001446DD"/>
    <w:rsid w:val="0014691E"/>
    <w:rsid w:val="0014792D"/>
    <w:rsid w:val="00147CF8"/>
    <w:rsid w:val="001505EB"/>
    <w:rsid w:val="00150CA8"/>
    <w:rsid w:val="0015187C"/>
    <w:rsid w:val="00154598"/>
    <w:rsid w:val="001559B6"/>
    <w:rsid w:val="00156C9A"/>
    <w:rsid w:val="00157307"/>
    <w:rsid w:val="00157DC4"/>
    <w:rsid w:val="0016022C"/>
    <w:rsid w:val="001606DC"/>
    <w:rsid w:val="00160B29"/>
    <w:rsid w:val="001619C7"/>
    <w:rsid w:val="0016237E"/>
    <w:rsid w:val="001625E9"/>
    <w:rsid w:val="0016547C"/>
    <w:rsid w:val="00166B77"/>
    <w:rsid w:val="00167627"/>
    <w:rsid w:val="00167FFD"/>
    <w:rsid w:val="0017083E"/>
    <w:rsid w:val="00170977"/>
    <w:rsid w:val="00174EB2"/>
    <w:rsid w:val="0017523E"/>
    <w:rsid w:val="00175BBE"/>
    <w:rsid w:val="0017623F"/>
    <w:rsid w:val="00176D1F"/>
    <w:rsid w:val="00177EE4"/>
    <w:rsid w:val="00181A11"/>
    <w:rsid w:val="00183089"/>
    <w:rsid w:val="00183346"/>
    <w:rsid w:val="00185028"/>
    <w:rsid w:val="00186C6C"/>
    <w:rsid w:val="00186FF2"/>
    <w:rsid w:val="0019057E"/>
    <w:rsid w:val="00192954"/>
    <w:rsid w:val="00193C5C"/>
    <w:rsid w:val="001951AD"/>
    <w:rsid w:val="001A0440"/>
    <w:rsid w:val="001A07D0"/>
    <w:rsid w:val="001A143C"/>
    <w:rsid w:val="001A16EA"/>
    <w:rsid w:val="001A1D01"/>
    <w:rsid w:val="001A462C"/>
    <w:rsid w:val="001A4DA6"/>
    <w:rsid w:val="001A532C"/>
    <w:rsid w:val="001A6922"/>
    <w:rsid w:val="001A7483"/>
    <w:rsid w:val="001B011B"/>
    <w:rsid w:val="001B0CD4"/>
    <w:rsid w:val="001B29BB"/>
    <w:rsid w:val="001B50EB"/>
    <w:rsid w:val="001B595B"/>
    <w:rsid w:val="001B5F23"/>
    <w:rsid w:val="001C0737"/>
    <w:rsid w:val="001C0CE2"/>
    <w:rsid w:val="001C2122"/>
    <w:rsid w:val="001C30FF"/>
    <w:rsid w:val="001C324E"/>
    <w:rsid w:val="001C3CEE"/>
    <w:rsid w:val="001C4DBE"/>
    <w:rsid w:val="001C4F4C"/>
    <w:rsid w:val="001C63A0"/>
    <w:rsid w:val="001D248E"/>
    <w:rsid w:val="001D2DAF"/>
    <w:rsid w:val="001D351D"/>
    <w:rsid w:val="001D54BC"/>
    <w:rsid w:val="001D77DF"/>
    <w:rsid w:val="001E0C36"/>
    <w:rsid w:val="001E3C28"/>
    <w:rsid w:val="001E4132"/>
    <w:rsid w:val="001E413C"/>
    <w:rsid w:val="001E4400"/>
    <w:rsid w:val="001E450F"/>
    <w:rsid w:val="001E4520"/>
    <w:rsid w:val="001E4F79"/>
    <w:rsid w:val="001E5F6A"/>
    <w:rsid w:val="001E699D"/>
    <w:rsid w:val="001E7CC4"/>
    <w:rsid w:val="001F0ED5"/>
    <w:rsid w:val="001F16C5"/>
    <w:rsid w:val="001F2896"/>
    <w:rsid w:val="001F28EE"/>
    <w:rsid w:val="001F2FB2"/>
    <w:rsid w:val="001F3681"/>
    <w:rsid w:val="001F3A43"/>
    <w:rsid w:val="001F4149"/>
    <w:rsid w:val="001F4842"/>
    <w:rsid w:val="001F4CC9"/>
    <w:rsid w:val="001F60DB"/>
    <w:rsid w:val="001F6B3A"/>
    <w:rsid w:val="001F727F"/>
    <w:rsid w:val="001F799C"/>
    <w:rsid w:val="00204A99"/>
    <w:rsid w:val="00204F2B"/>
    <w:rsid w:val="002055DF"/>
    <w:rsid w:val="00207532"/>
    <w:rsid w:val="00207C68"/>
    <w:rsid w:val="002115A6"/>
    <w:rsid w:val="002115E1"/>
    <w:rsid w:val="002115F6"/>
    <w:rsid w:val="00212C81"/>
    <w:rsid w:val="00213078"/>
    <w:rsid w:val="00215B41"/>
    <w:rsid w:val="00217A4E"/>
    <w:rsid w:val="00220654"/>
    <w:rsid w:val="0022152D"/>
    <w:rsid w:val="00222737"/>
    <w:rsid w:val="00224200"/>
    <w:rsid w:val="00225614"/>
    <w:rsid w:val="00225EF9"/>
    <w:rsid w:val="00226B2D"/>
    <w:rsid w:val="00235ED1"/>
    <w:rsid w:val="002377F5"/>
    <w:rsid w:val="00237B58"/>
    <w:rsid w:val="00241005"/>
    <w:rsid w:val="00241278"/>
    <w:rsid w:val="002420C3"/>
    <w:rsid w:val="00242954"/>
    <w:rsid w:val="00242C0C"/>
    <w:rsid w:val="00244DB2"/>
    <w:rsid w:val="002457FF"/>
    <w:rsid w:val="00246AB3"/>
    <w:rsid w:val="00246BE5"/>
    <w:rsid w:val="00247F5A"/>
    <w:rsid w:val="00251CBA"/>
    <w:rsid w:val="0025235A"/>
    <w:rsid w:val="002523B1"/>
    <w:rsid w:val="002539AA"/>
    <w:rsid w:val="00254775"/>
    <w:rsid w:val="002552E0"/>
    <w:rsid w:val="00255A2A"/>
    <w:rsid w:val="00256240"/>
    <w:rsid w:val="002564F7"/>
    <w:rsid w:val="002566CB"/>
    <w:rsid w:val="00257ED1"/>
    <w:rsid w:val="002676AC"/>
    <w:rsid w:val="002704AE"/>
    <w:rsid w:val="00271DB2"/>
    <w:rsid w:val="002739CC"/>
    <w:rsid w:val="00274E16"/>
    <w:rsid w:val="0027676E"/>
    <w:rsid w:val="002769E1"/>
    <w:rsid w:val="00277325"/>
    <w:rsid w:val="00281207"/>
    <w:rsid w:val="00281E6E"/>
    <w:rsid w:val="0028361E"/>
    <w:rsid w:val="00283797"/>
    <w:rsid w:val="00283D24"/>
    <w:rsid w:val="00290383"/>
    <w:rsid w:val="00290C1B"/>
    <w:rsid w:val="00291174"/>
    <w:rsid w:val="002916DF"/>
    <w:rsid w:val="00291B14"/>
    <w:rsid w:val="002927AF"/>
    <w:rsid w:val="00292C2F"/>
    <w:rsid w:val="002937B0"/>
    <w:rsid w:val="00294B0B"/>
    <w:rsid w:val="00295341"/>
    <w:rsid w:val="0029536E"/>
    <w:rsid w:val="002A30D3"/>
    <w:rsid w:val="002A33F4"/>
    <w:rsid w:val="002A6607"/>
    <w:rsid w:val="002B021B"/>
    <w:rsid w:val="002B02F1"/>
    <w:rsid w:val="002B0351"/>
    <w:rsid w:val="002B30C6"/>
    <w:rsid w:val="002B423A"/>
    <w:rsid w:val="002B4772"/>
    <w:rsid w:val="002B485D"/>
    <w:rsid w:val="002B4A76"/>
    <w:rsid w:val="002B5548"/>
    <w:rsid w:val="002B6285"/>
    <w:rsid w:val="002B6DE9"/>
    <w:rsid w:val="002C0728"/>
    <w:rsid w:val="002C14FA"/>
    <w:rsid w:val="002C16B4"/>
    <w:rsid w:val="002C1A93"/>
    <w:rsid w:val="002C2A8D"/>
    <w:rsid w:val="002C47F5"/>
    <w:rsid w:val="002C4C5A"/>
    <w:rsid w:val="002C58DD"/>
    <w:rsid w:val="002C6C6E"/>
    <w:rsid w:val="002D0141"/>
    <w:rsid w:val="002D1911"/>
    <w:rsid w:val="002D4B37"/>
    <w:rsid w:val="002D4EC2"/>
    <w:rsid w:val="002D5667"/>
    <w:rsid w:val="002D701F"/>
    <w:rsid w:val="002D7817"/>
    <w:rsid w:val="002E0238"/>
    <w:rsid w:val="002E2969"/>
    <w:rsid w:val="002E2B97"/>
    <w:rsid w:val="002E3D19"/>
    <w:rsid w:val="002E3F5D"/>
    <w:rsid w:val="002E5C39"/>
    <w:rsid w:val="002E62BD"/>
    <w:rsid w:val="002E7595"/>
    <w:rsid w:val="002E75F0"/>
    <w:rsid w:val="002E7E63"/>
    <w:rsid w:val="002F216B"/>
    <w:rsid w:val="002F229A"/>
    <w:rsid w:val="002F2C49"/>
    <w:rsid w:val="002F456D"/>
    <w:rsid w:val="002F48B6"/>
    <w:rsid w:val="002F529B"/>
    <w:rsid w:val="002F5702"/>
    <w:rsid w:val="002F623B"/>
    <w:rsid w:val="002F6526"/>
    <w:rsid w:val="003001C5"/>
    <w:rsid w:val="0030048B"/>
    <w:rsid w:val="00303B86"/>
    <w:rsid w:val="00303DB2"/>
    <w:rsid w:val="0030416C"/>
    <w:rsid w:val="0030418E"/>
    <w:rsid w:val="00305097"/>
    <w:rsid w:val="003051AE"/>
    <w:rsid w:val="003059D9"/>
    <w:rsid w:val="00305E0F"/>
    <w:rsid w:val="003100CB"/>
    <w:rsid w:val="00310523"/>
    <w:rsid w:val="00312F1C"/>
    <w:rsid w:val="003130AF"/>
    <w:rsid w:val="0031589B"/>
    <w:rsid w:val="0031632A"/>
    <w:rsid w:val="003178C5"/>
    <w:rsid w:val="00321A27"/>
    <w:rsid w:val="003239E3"/>
    <w:rsid w:val="00323CC5"/>
    <w:rsid w:val="00324ABF"/>
    <w:rsid w:val="003257D4"/>
    <w:rsid w:val="00330567"/>
    <w:rsid w:val="00331120"/>
    <w:rsid w:val="00331296"/>
    <w:rsid w:val="003314B1"/>
    <w:rsid w:val="00331601"/>
    <w:rsid w:val="003318DA"/>
    <w:rsid w:val="00335B03"/>
    <w:rsid w:val="00336589"/>
    <w:rsid w:val="00336644"/>
    <w:rsid w:val="00336D7B"/>
    <w:rsid w:val="00336EBA"/>
    <w:rsid w:val="003379AB"/>
    <w:rsid w:val="003422F0"/>
    <w:rsid w:val="00344163"/>
    <w:rsid w:val="003441A3"/>
    <w:rsid w:val="003442CA"/>
    <w:rsid w:val="0034660F"/>
    <w:rsid w:val="00350C7E"/>
    <w:rsid w:val="00351249"/>
    <w:rsid w:val="0035132A"/>
    <w:rsid w:val="003537AA"/>
    <w:rsid w:val="00354471"/>
    <w:rsid w:val="00354BAC"/>
    <w:rsid w:val="003554E6"/>
    <w:rsid w:val="00355802"/>
    <w:rsid w:val="00355CE6"/>
    <w:rsid w:val="00355D85"/>
    <w:rsid w:val="00357647"/>
    <w:rsid w:val="00360569"/>
    <w:rsid w:val="003610CA"/>
    <w:rsid w:val="00361553"/>
    <w:rsid w:val="00361B23"/>
    <w:rsid w:val="0036237F"/>
    <w:rsid w:val="003630F5"/>
    <w:rsid w:val="00364F74"/>
    <w:rsid w:val="00366969"/>
    <w:rsid w:val="00370346"/>
    <w:rsid w:val="00371110"/>
    <w:rsid w:val="00371284"/>
    <w:rsid w:val="00372C1E"/>
    <w:rsid w:val="00375125"/>
    <w:rsid w:val="0037538A"/>
    <w:rsid w:val="00376473"/>
    <w:rsid w:val="00377ADF"/>
    <w:rsid w:val="00377BF0"/>
    <w:rsid w:val="00377C65"/>
    <w:rsid w:val="00381046"/>
    <w:rsid w:val="0038112D"/>
    <w:rsid w:val="00381FD3"/>
    <w:rsid w:val="00382141"/>
    <w:rsid w:val="00382F43"/>
    <w:rsid w:val="0038320D"/>
    <w:rsid w:val="003834BD"/>
    <w:rsid w:val="003857A0"/>
    <w:rsid w:val="00385CE3"/>
    <w:rsid w:val="0038630D"/>
    <w:rsid w:val="0038727F"/>
    <w:rsid w:val="0038751A"/>
    <w:rsid w:val="00387983"/>
    <w:rsid w:val="00390062"/>
    <w:rsid w:val="003900FB"/>
    <w:rsid w:val="003908EC"/>
    <w:rsid w:val="00392DB5"/>
    <w:rsid w:val="00393310"/>
    <w:rsid w:val="00393838"/>
    <w:rsid w:val="003966CC"/>
    <w:rsid w:val="00396EED"/>
    <w:rsid w:val="00396FC9"/>
    <w:rsid w:val="00397185"/>
    <w:rsid w:val="003A12FA"/>
    <w:rsid w:val="003A6359"/>
    <w:rsid w:val="003A6A44"/>
    <w:rsid w:val="003A6D47"/>
    <w:rsid w:val="003A7271"/>
    <w:rsid w:val="003B1DBF"/>
    <w:rsid w:val="003B2874"/>
    <w:rsid w:val="003B2A56"/>
    <w:rsid w:val="003B5150"/>
    <w:rsid w:val="003B58F0"/>
    <w:rsid w:val="003B6888"/>
    <w:rsid w:val="003B782C"/>
    <w:rsid w:val="003C0ED3"/>
    <w:rsid w:val="003C0EF3"/>
    <w:rsid w:val="003C0F51"/>
    <w:rsid w:val="003C16CF"/>
    <w:rsid w:val="003C3125"/>
    <w:rsid w:val="003C499A"/>
    <w:rsid w:val="003C5B1A"/>
    <w:rsid w:val="003C5BCF"/>
    <w:rsid w:val="003C7B79"/>
    <w:rsid w:val="003C7F90"/>
    <w:rsid w:val="003D051F"/>
    <w:rsid w:val="003D0ECF"/>
    <w:rsid w:val="003D1021"/>
    <w:rsid w:val="003D17F4"/>
    <w:rsid w:val="003D1CC4"/>
    <w:rsid w:val="003D3CB5"/>
    <w:rsid w:val="003D413C"/>
    <w:rsid w:val="003D4D89"/>
    <w:rsid w:val="003D54F8"/>
    <w:rsid w:val="003D6095"/>
    <w:rsid w:val="003D6C09"/>
    <w:rsid w:val="003D711A"/>
    <w:rsid w:val="003D7413"/>
    <w:rsid w:val="003E0BF9"/>
    <w:rsid w:val="003E1C14"/>
    <w:rsid w:val="003E3D71"/>
    <w:rsid w:val="003E447A"/>
    <w:rsid w:val="003E4CA1"/>
    <w:rsid w:val="003E4F7C"/>
    <w:rsid w:val="003E53E5"/>
    <w:rsid w:val="003E6414"/>
    <w:rsid w:val="003E6E82"/>
    <w:rsid w:val="003E7D6C"/>
    <w:rsid w:val="003F188D"/>
    <w:rsid w:val="003F1DB2"/>
    <w:rsid w:val="003F2743"/>
    <w:rsid w:val="003F4D3A"/>
    <w:rsid w:val="003F5C78"/>
    <w:rsid w:val="003F65F3"/>
    <w:rsid w:val="003F73A7"/>
    <w:rsid w:val="003F75BB"/>
    <w:rsid w:val="003F7952"/>
    <w:rsid w:val="0040019C"/>
    <w:rsid w:val="0040023A"/>
    <w:rsid w:val="0040054A"/>
    <w:rsid w:val="004019D1"/>
    <w:rsid w:val="00401BA1"/>
    <w:rsid w:val="004025B7"/>
    <w:rsid w:val="00403723"/>
    <w:rsid w:val="00403FFC"/>
    <w:rsid w:val="004042FF"/>
    <w:rsid w:val="00404F43"/>
    <w:rsid w:val="0041099B"/>
    <w:rsid w:val="00413484"/>
    <w:rsid w:val="004138DE"/>
    <w:rsid w:val="00414129"/>
    <w:rsid w:val="00414A43"/>
    <w:rsid w:val="004154E2"/>
    <w:rsid w:val="00416719"/>
    <w:rsid w:val="0042093E"/>
    <w:rsid w:val="00421357"/>
    <w:rsid w:val="0042272B"/>
    <w:rsid w:val="0042290C"/>
    <w:rsid w:val="00423481"/>
    <w:rsid w:val="00424137"/>
    <w:rsid w:val="004244E1"/>
    <w:rsid w:val="0042553B"/>
    <w:rsid w:val="00426F8B"/>
    <w:rsid w:val="00432FDB"/>
    <w:rsid w:val="00433EBD"/>
    <w:rsid w:val="004405D8"/>
    <w:rsid w:val="00440BFC"/>
    <w:rsid w:val="0044115D"/>
    <w:rsid w:val="004415B7"/>
    <w:rsid w:val="004419F5"/>
    <w:rsid w:val="00441BEC"/>
    <w:rsid w:val="00442213"/>
    <w:rsid w:val="0044241E"/>
    <w:rsid w:val="00442E62"/>
    <w:rsid w:val="00443F19"/>
    <w:rsid w:val="004443B9"/>
    <w:rsid w:val="00444593"/>
    <w:rsid w:val="00444CE8"/>
    <w:rsid w:val="00445605"/>
    <w:rsid w:val="00445BDD"/>
    <w:rsid w:val="00447C30"/>
    <w:rsid w:val="00451274"/>
    <w:rsid w:val="0045186E"/>
    <w:rsid w:val="00451E8D"/>
    <w:rsid w:val="00453701"/>
    <w:rsid w:val="00453B1F"/>
    <w:rsid w:val="00453DDF"/>
    <w:rsid w:val="00453E29"/>
    <w:rsid w:val="00454560"/>
    <w:rsid w:val="00456455"/>
    <w:rsid w:val="0046049B"/>
    <w:rsid w:val="00462885"/>
    <w:rsid w:val="0046498E"/>
    <w:rsid w:val="004656AB"/>
    <w:rsid w:val="004667FB"/>
    <w:rsid w:val="00466803"/>
    <w:rsid w:val="00467186"/>
    <w:rsid w:val="004701EE"/>
    <w:rsid w:val="00470703"/>
    <w:rsid w:val="00472029"/>
    <w:rsid w:val="004728FC"/>
    <w:rsid w:val="00473766"/>
    <w:rsid w:val="00473C00"/>
    <w:rsid w:val="004740CD"/>
    <w:rsid w:val="00474D78"/>
    <w:rsid w:val="00475201"/>
    <w:rsid w:val="00477028"/>
    <w:rsid w:val="00477127"/>
    <w:rsid w:val="0048014C"/>
    <w:rsid w:val="00480203"/>
    <w:rsid w:val="0048377D"/>
    <w:rsid w:val="00485754"/>
    <w:rsid w:val="00486242"/>
    <w:rsid w:val="00490019"/>
    <w:rsid w:val="00491A30"/>
    <w:rsid w:val="00492262"/>
    <w:rsid w:val="00493F3D"/>
    <w:rsid w:val="004945EF"/>
    <w:rsid w:val="004946EC"/>
    <w:rsid w:val="00494D5A"/>
    <w:rsid w:val="00495938"/>
    <w:rsid w:val="00496DF0"/>
    <w:rsid w:val="0049771D"/>
    <w:rsid w:val="00497AFE"/>
    <w:rsid w:val="004A0E4E"/>
    <w:rsid w:val="004A105A"/>
    <w:rsid w:val="004A2C32"/>
    <w:rsid w:val="004A2C8C"/>
    <w:rsid w:val="004A3077"/>
    <w:rsid w:val="004A3209"/>
    <w:rsid w:val="004A32DC"/>
    <w:rsid w:val="004A4575"/>
    <w:rsid w:val="004B0356"/>
    <w:rsid w:val="004B0906"/>
    <w:rsid w:val="004B1002"/>
    <w:rsid w:val="004B36F4"/>
    <w:rsid w:val="004B5424"/>
    <w:rsid w:val="004B615F"/>
    <w:rsid w:val="004B631C"/>
    <w:rsid w:val="004B6C09"/>
    <w:rsid w:val="004B72E9"/>
    <w:rsid w:val="004C0A7B"/>
    <w:rsid w:val="004C2C11"/>
    <w:rsid w:val="004C318D"/>
    <w:rsid w:val="004C7405"/>
    <w:rsid w:val="004C7D6F"/>
    <w:rsid w:val="004D0A7F"/>
    <w:rsid w:val="004D209A"/>
    <w:rsid w:val="004D37DE"/>
    <w:rsid w:val="004D5A6B"/>
    <w:rsid w:val="004D7372"/>
    <w:rsid w:val="004E02F6"/>
    <w:rsid w:val="004E0D2A"/>
    <w:rsid w:val="004E3E99"/>
    <w:rsid w:val="004E435D"/>
    <w:rsid w:val="004E4AF7"/>
    <w:rsid w:val="004F103A"/>
    <w:rsid w:val="004F17B7"/>
    <w:rsid w:val="004F1F85"/>
    <w:rsid w:val="004F2C17"/>
    <w:rsid w:val="004F351A"/>
    <w:rsid w:val="004F45C3"/>
    <w:rsid w:val="004F4F7E"/>
    <w:rsid w:val="004F5837"/>
    <w:rsid w:val="004F5B65"/>
    <w:rsid w:val="004F6152"/>
    <w:rsid w:val="004F6614"/>
    <w:rsid w:val="004F6A2D"/>
    <w:rsid w:val="004F6B70"/>
    <w:rsid w:val="005000FC"/>
    <w:rsid w:val="0050027D"/>
    <w:rsid w:val="00500760"/>
    <w:rsid w:val="00502403"/>
    <w:rsid w:val="00503094"/>
    <w:rsid w:val="00505088"/>
    <w:rsid w:val="00507434"/>
    <w:rsid w:val="005106AD"/>
    <w:rsid w:val="00511F87"/>
    <w:rsid w:val="0051403A"/>
    <w:rsid w:val="005152CE"/>
    <w:rsid w:val="00515D76"/>
    <w:rsid w:val="00520C15"/>
    <w:rsid w:val="00521A6F"/>
    <w:rsid w:val="005226FC"/>
    <w:rsid w:val="00522C54"/>
    <w:rsid w:val="00523907"/>
    <w:rsid w:val="005240A6"/>
    <w:rsid w:val="00524A8D"/>
    <w:rsid w:val="00526D55"/>
    <w:rsid w:val="005271E9"/>
    <w:rsid w:val="00527861"/>
    <w:rsid w:val="00531F76"/>
    <w:rsid w:val="005330CF"/>
    <w:rsid w:val="00533927"/>
    <w:rsid w:val="00533AFF"/>
    <w:rsid w:val="005342E1"/>
    <w:rsid w:val="00534EEF"/>
    <w:rsid w:val="00534FF1"/>
    <w:rsid w:val="005357B8"/>
    <w:rsid w:val="0053646E"/>
    <w:rsid w:val="005425DC"/>
    <w:rsid w:val="00542E2F"/>
    <w:rsid w:val="00544704"/>
    <w:rsid w:val="00544A2E"/>
    <w:rsid w:val="005457EA"/>
    <w:rsid w:val="00545F51"/>
    <w:rsid w:val="005461E8"/>
    <w:rsid w:val="0055038F"/>
    <w:rsid w:val="00551283"/>
    <w:rsid w:val="00551BEC"/>
    <w:rsid w:val="00552A93"/>
    <w:rsid w:val="00553141"/>
    <w:rsid w:val="00553322"/>
    <w:rsid w:val="005537EC"/>
    <w:rsid w:val="005539D4"/>
    <w:rsid w:val="0055516E"/>
    <w:rsid w:val="00555925"/>
    <w:rsid w:val="0055620E"/>
    <w:rsid w:val="00557A6D"/>
    <w:rsid w:val="00557C67"/>
    <w:rsid w:val="005607C0"/>
    <w:rsid w:val="00561119"/>
    <w:rsid w:val="00561816"/>
    <w:rsid w:val="00562A60"/>
    <w:rsid w:val="00562C44"/>
    <w:rsid w:val="0056353E"/>
    <w:rsid w:val="00563768"/>
    <w:rsid w:val="00563CAD"/>
    <w:rsid w:val="0056532E"/>
    <w:rsid w:val="0056587F"/>
    <w:rsid w:val="00567057"/>
    <w:rsid w:val="005672F3"/>
    <w:rsid w:val="0057137B"/>
    <w:rsid w:val="00572941"/>
    <w:rsid w:val="0057332F"/>
    <w:rsid w:val="00576C1A"/>
    <w:rsid w:val="0058158A"/>
    <w:rsid w:val="00581DDF"/>
    <w:rsid w:val="00582AC3"/>
    <w:rsid w:val="0058373C"/>
    <w:rsid w:val="00583C1D"/>
    <w:rsid w:val="00585A9C"/>
    <w:rsid w:val="00586068"/>
    <w:rsid w:val="005861E0"/>
    <w:rsid w:val="005867B9"/>
    <w:rsid w:val="0058697E"/>
    <w:rsid w:val="00587A48"/>
    <w:rsid w:val="00587D3E"/>
    <w:rsid w:val="005901C0"/>
    <w:rsid w:val="005906E6"/>
    <w:rsid w:val="00590BC1"/>
    <w:rsid w:val="00591864"/>
    <w:rsid w:val="00592870"/>
    <w:rsid w:val="00593432"/>
    <w:rsid w:val="00594DE5"/>
    <w:rsid w:val="00596BD2"/>
    <w:rsid w:val="0059713B"/>
    <w:rsid w:val="005A017E"/>
    <w:rsid w:val="005A032A"/>
    <w:rsid w:val="005A0910"/>
    <w:rsid w:val="005A2316"/>
    <w:rsid w:val="005A6E16"/>
    <w:rsid w:val="005A6F5A"/>
    <w:rsid w:val="005A7F6E"/>
    <w:rsid w:val="005B06DE"/>
    <w:rsid w:val="005B3125"/>
    <w:rsid w:val="005B3FB7"/>
    <w:rsid w:val="005B43A5"/>
    <w:rsid w:val="005B577C"/>
    <w:rsid w:val="005B6074"/>
    <w:rsid w:val="005B7564"/>
    <w:rsid w:val="005B7F63"/>
    <w:rsid w:val="005C0D5D"/>
    <w:rsid w:val="005C36D6"/>
    <w:rsid w:val="005C3847"/>
    <w:rsid w:val="005C429C"/>
    <w:rsid w:val="005C4A01"/>
    <w:rsid w:val="005C73B3"/>
    <w:rsid w:val="005D0973"/>
    <w:rsid w:val="005D170D"/>
    <w:rsid w:val="005D2223"/>
    <w:rsid w:val="005D2E79"/>
    <w:rsid w:val="005D2EA5"/>
    <w:rsid w:val="005D4285"/>
    <w:rsid w:val="005D4360"/>
    <w:rsid w:val="005D4A9F"/>
    <w:rsid w:val="005D6269"/>
    <w:rsid w:val="005D7499"/>
    <w:rsid w:val="005D758A"/>
    <w:rsid w:val="005E3A9A"/>
    <w:rsid w:val="005E3B15"/>
    <w:rsid w:val="005E4E43"/>
    <w:rsid w:val="005E661B"/>
    <w:rsid w:val="005E6A50"/>
    <w:rsid w:val="005F0D75"/>
    <w:rsid w:val="005F207D"/>
    <w:rsid w:val="005F2BF3"/>
    <w:rsid w:val="005F33BD"/>
    <w:rsid w:val="005F383B"/>
    <w:rsid w:val="005F3907"/>
    <w:rsid w:val="005F3BD6"/>
    <w:rsid w:val="005F4947"/>
    <w:rsid w:val="005F5290"/>
    <w:rsid w:val="005F6B9E"/>
    <w:rsid w:val="0060002C"/>
    <w:rsid w:val="0060137B"/>
    <w:rsid w:val="00601D93"/>
    <w:rsid w:val="0060211F"/>
    <w:rsid w:val="0060226C"/>
    <w:rsid w:val="00602762"/>
    <w:rsid w:val="006029D8"/>
    <w:rsid w:val="0060571F"/>
    <w:rsid w:val="00606A42"/>
    <w:rsid w:val="0061057F"/>
    <w:rsid w:val="006114B3"/>
    <w:rsid w:val="00611631"/>
    <w:rsid w:val="00611B2A"/>
    <w:rsid w:val="006127D0"/>
    <w:rsid w:val="00612A04"/>
    <w:rsid w:val="00612BDE"/>
    <w:rsid w:val="00612DD1"/>
    <w:rsid w:val="00612F21"/>
    <w:rsid w:val="00613FE8"/>
    <w:rsid w:val="006141E3"/>
    <w:rsid w:val="00614B3E"/>
    <w:rsid w:val="00614D8C"/>
    <w:rsid w:val="00616283"/>
    <w:rsid w:val="00616C95"/>
    <w:rsid w:val="006170C0"/>
    <w:rsid w:val="00617EFF"/>
    <w:rsid w:val="00620788"/>
    <w:rsid w:val="00621553"/>
    <w:rsid w:val="00622C6A"/>
    <w:rsid w:val="00623177"/>
    <w:rsid w:val="00623E41"/>
    <w:rsid w:val="006243C2"/>
    <w:rsid w:val="00626069"/>
    <w:rsid w:val="006267CF"/>
    <w:rsid w:val="00627EA9"/>
    <w:rsid w:val="0063031C"/>
    <w:rsid w:val="00632912"/>
    <w:rsid w:val="00636076"/>
    <w:rsid w:val="00636146"/>
    <w:rsid w:val="00636596"/>
    <w:rsid w:val="006368E1"/>
    <w:rsid w:val="006368E3"/>
    <w:rsid w:val="00640A3B"/>
    <w:rsid w:val="006411DF"/>
    <w:rsid w:val="006414D1"/>
    <w:rsid w:val="006454F7"/>
    <w:rsid w:val="00645C75"/>
    <w:rsid w:val="006478AB"/>
    <w:rsid w:val="0065107D"/>
    <w:rsid w:val="00651D8A"/>
    <w:rsid w:val="006520E4"/>
    <w:rsid w:val="0065404C"/>
    <w:rsid w:val="00655D46"/>
    <w:rsid w:val="00656231"/>
    <w:rsid w:val="00656306"/>
    <w:rsid w:val="0065650F"/>
    <w:rsid w:val="00657395"/>
    <w:rsid w:val="00657EEC"/>
    <w:rsid w:val="0066135C"/>
    <w:rsid w:val="00663B5F"/>
    <w:rsid w:val="006644DC"/>
    <w:rsid w:val="006649BB"/>
    <w:rsid w:val="00666F66"/>
    <w:rsid w:val="00667036"/>
    <w:rsid w:val="00667B82"/>
    <w:rsid w:val="00667FED"/>
    <w:rsid w:val="00667FFB"/>
    <w:rsid w:val="006710E5"/>
    <w:rsid w:val="00671776"/>
    <w:rsid w:val="00672DEE"/>
    <w:rsid w:val="00675417"/>
    <w:rsid w:val="006761B3"/>
    <w:rsid w:val="00676666"/>
    <w:rsid w:val="00676B87"/>
    <w:rsid w:val="00677356"/>
    <w:rsid w:val="006775AE"/>
    <w:rsid w:val="00680A88"/>
    <w:rsid w:val="00680F44"/>
    <w:rsid w:val="00681608"/>
    <w:rsid w:val="00684366"/>
    <w:rsid w:val="00687164"/>
    <w:rsid w:val="0068746C"/>
    <w:rsid w:val="00687614"/>
    <w:rsid w:val="006918A4"/>
    <w:rsid w:val="00692473"/>
    <w:rsid w:val="00692F19"/>
    <w:rsid w:val="00693824"/>
    <w:rsid w:val="00693B36"/>
    <w:rsid w:val="00695012"/>
    <w:rsid w:val="00695D5F"/>
    <w:rsid w:val="006960BB"/>
    <w:rsid w:val="00696305"/>
    <w:rsid w:val="0069648D"/>
    <w:rsid w:val="00696F8C"/>
    <w:rsid w:val="00697231"/>
    <w:rsid w:val="006A0323"/>
    <w:rsid w:val="006A05CE"/>
    <w:rsid w:val="006A0935"/>
    <w:rsid w:val="006A14D2"/>
    <w:rsid w:val="006A27F4"/>
    <w:rsid w:val="006A4261"/>
    <w:rsid w:val="006A79C3"/>
    <w:rsid w:val="006B0082"/>
    <w:rsid w:val="006B0801"/>
    <w:rsid w:val="006B0C30"/>
    <w:rsid w:val="006B0DF2"/>
    <w:rsid w:val="006B0E86"/>
    <w:rsid w:val="006B0ED5"/>
    <w:rsid w:val="006B1FFC"/>
    <w:rsid w:val="006B3475"/>
    <w:rsid w:val="006B367A"/>
    <w:rsid w:val="006B590D"/>
    <w:rsid w:val="006C2621"/>
    <w:rsid w:val="006C492B"/>
    <w:rsid w:val="006C54B6"/>
    <w:rsid w:val="006C5589"/>
    <w:rsid w:val="006C5F7B"/>
    <w:rsid w:val="006D03EC"/>
    <w:rsid w:val="006D08BA"/>
    <w:rsid w:val="006D23D8"/>
    <w:rsid w:val="006D2F0E"/>
    <w:rsid w:val="006D3FDA"/>
    <w:rsid w:val="006D4C73"/>
    <w:rsid w:val="006D4EE0"/>
    <w:rsid w:val="006D5834"/>
    <w:rsid w:val="006D5AF1"/>
    <w:rsid w:val="006D6598"/>
    <w:rsid w:val="006D6652"/>
    <w:rsid w:val="006D7DF0"/>
    <w:rsid w:val="006E026B"/>
    <w:rsid w:val="006E1EE3"/>
    <w:rsid w:val="006E4B23"/>
    <w:rsid w:val="006E7173"/>
    <w:rsid w:val="006F0178"/>
    <w:rsid w:val="006F0770"/>
    <w:rsid w:val="006F2997"/>
    <w:rsid w:val="006F2EC1"/>
    <w:rsid w:val="006F33D4"/>
    <w:rsid w:val="006F4F6A"/>
    <w:rsid w:val="006F5477"/>
    <w:rsid w:val="006F6CDA"/>
    <w:rsid w:val="007002E9"/>
    <w:rsid w:val="00701B6F"/>
    <w:rsid w:val="00702A45"/>
    <w:rsid w:val="00702F3D"/>
    <w:rsid w:val="0070606A"/>
    <w:rsid w:val="00706542"/>
    <w:rsid w:val="007075E0"/>
    <w:rsid w:val="00707B54"/>
    <w:rsid w:val="0071086D"/>
    <w:rsid w:val="00711265"/>
    <w:rsid w:val="00711F5C"/>
    <w:rsid w:val="00717B12"/>
    <w:rsid w:val="00717EF5"/>
    <w:rsid w:val="0072092A"/>
    <w:rsid w:val="00720B37"/>
    <w:rsid w:val="00720F65"/>
    <w:rsid w:val="00724671"/>
    <w:rsid w:val="00724768"/>
    <w:rsid w:val="0072657E"/>
    <w:rsid w:val="0072759C"/>
    <w:rsid w:val="00730AF6"/>
    <w:rsid w:val="0073155E"/>
    <w:rsid w:val="00733A21"/>
    <w:rsid w:val="00733BE5"/>
    <w:rsid w:val="007369BE"/>
    <w:rsid w:val="00736E02"/>
    <w:rsid w:val="00737554"/>
    <w:rsid w:val="0074005C"/>
    <w:rsid w:val="007416C3"/>
    <w:rsid w:val="00743443"/>
    <w:rsid w:val="0074351B"/>
    <w:rsid w:val="00746354"/>
    <w:rsid w:val="007466AB"/>
    <w:rsid w:val="0074692A"/>
    <w:rsid w:val="007517F4"/>
    <w:rsid w:val="00751A42"/>
    <w:rsid w:val="0075333F"/>
    <w:rsid w:val="007540F4"/>
    <w:rsid w:val="007543B2"/>
    <w:rsid w:val="00754D03"/>
    <w:rsid w:val="00755AE8"/>
    <w:rsid w:val="00760570"/>
    <w:rsid w:val="00763191"/>
    <w:rsid w:val="0076589A"/>
    <w:rsid w:val="0076756F"/>
    <w:rsid w:val="007716A2"/>
    <w:rsid w:val="00771A13"/>
    <w:rsid w:val="0077312E"/>
    <w:rsid w:val="007734E2"/>
    <w:rsid w:val="00773930"/>
    <w:rsid w:val="007777D3"/>
    <w:rsid w:val="00780BBC"/>
    <w:rsid w:val="00782AA7"/>
    <w:rsid w:val="007843FF"/>
    <w:rsid w:val="007846C9"/>
    <w:rsid w:val="007856D1"/>
    <w:rsid w:val="0078645E"/>
    <w:rsid w:val="00786C3D"/>
    <w:rsid w:val="00790C6D"/>
    <w:rsid w:val="007910FE"/>
    <w:rsid w:val="007911DB"/>
    <w:rsid w:val="00791B77"/>
    <w:rsid w:val="00792A54"/>
    <w:rsid w:val="00792AB6"/>
    <w:rsid w:val="00793610"/>
    <w:rsid w:val="007937E4"/>
    <w:rsid w:val="0079395A"/>
    <w:rsid w:val="007944E8"/>
    <w:rsid w:val="007958BB"/>
    <w:rsid w:val="0079626C"/>
    <w:rsid w:val="0079693B"/>
    <w:rsid w:val="00796EEE"/>
    <w:rsid w:val="0079776C"/>
    <w:rsid w:val="00797A78"/>
    <w:rsid w:val="007A1D31"/>
    <w:rsid w:val="007A287F"/>
    <w:rsid w:val="007A4AC2"/>
    <w:rsid w:val="007A555E"/>
    <w:rsid w:val="007A6F2B"/>
    <w:rsid w:val="007B0A11"/>
    <w:rsid w:val="007B1EBD"/>
    <w:rsid w:val="007B5277"/>
    <w:rsid w:val="007B5296"/>
    <w:rsid w:val="007B5EE5"/>
    <w:rsid w:val="007B683A"/>
    <w:rsid w:val="007C0693"/>
    <w:rsid w:val="007C0887"/>
    <w:rsid w:val="007C2104"/>
    <w:rsid w:val="007C6957"/>
    <w:rsid w:val="007C7EA4"/>
    <w:rsid w:val="007D016A"/>
    <w:rsid w:val="007D1939"/>
    <w:rsid w:val="007D29D7"/>
    <w:rsid w:val="007D53AE"/>
    <w:rsid w:val="007D53CE"/>
    <w:rsid w:val="007D57A4"/>
    <w:rsid w:val="007D5890"/>
    <w:rsid w:val="007D62F3"/>
    <w:rsid w:val="007D647E"/>
    <w:rsid w:val="007D68BE"/>
    <w:rsid w:val="007E2776"/>
    <w:rsid w:val="007E3C22"/>
    <w:rsid w:val="007E435A"/>
    <w:rsid w:val="007E44CE"/>
    <w:rsid w:val="007E49DE"/>
    <w:rsid w:val="007E500D"/>
    <w:rsid w:val="007E54D1"/>
    <w:rsid w:val="007E5B9A"/>
    <w:rsid w:val="007E66CB"/>
    <w:rsid w:val="007E6915"/>
    <w:rsid w:val="007E74BD"/>
    <w:rsid w:val="007F0DF6"/>
    <w:rsid w:val="007F1345"/>
    <w:rsid w:val="007F1736"/>
    <w:rsid w:val="007F2F6C"/>
    <w:rsid w:val="007F3DEC"/>
    <w:rsid w:val="007F4887"/>
    <w:rsid w:val="007F48CC"/>
    <w:rsid w:val="007F623D"/>
    <w:rsid w:val="007F6AE7"/>
    <w:rsid w:val="007F7122"/>
    <w:rsid w:val="0080019C"/>
    <w:rsid w:val="00800694"/>
    <w:rsid w:val="00800EBB"/>
    <w:rsid w:val="00800F69"/>
    <w:rsid w:val="008010E8"/>
    <w:rsid w:val="008023C4"/>
    <w:rsid w:val="008050E5"/>
    <w:rsid w:val="0080570F"/>
    <w:rsid w:val="00806946"/>
    <w:rsid w:val="00806985"/>
    <w:rsid w:val="0081435E"/>
    <w:rsid w:val="008159FE"/>
    <w:rsid w:val="008162BC"/>
    <w:rsid w:val="00816A69"/>
    <w:rsid w:val="00817F36"/>
    <w:rsid w:val="008209EE"/>
    <w:rsid w:val="0082202A"/>
    <w:rsid w:val="00822C4A"/>
    <w:rsid w:val="008231D9"/>
    <w:rsid w:val="00823993"/>
    <w:rsid w:val="00827AE6"/>
    <w:rsid w:val="00827EA0"/>
    <w:rsid w:val="0083030A"/>
    <w:rsid w:val="00831D7F"/>
    <w:rsid w:val="00833258"/>
    <w:rsid w:val="0083346E"/>
    <w:rsid w:val="00833771"/>
    <w:rsid w:val="00833C05"/>
    <w:rsid w:val="00835032"/>
    <w:rsid w:val="00835443"/>
    <w:rsid w:val="00835C68"/>
    <w:rsid w:val="008361F6"/>
    <w:rsid w:val="00836320"/>
    <w:rsid w:val="00837070"/>
    <w:rsid w:val="0084045A"/>
    <w:rsid w:val="0084094A"/>
    <w:rsid w:val="00841418"/>
    <w:rsid w:val="00844F54"/>
    <w:rsid w:val="00845722"/>
    <w:rsid w:val="00845ABE"/>
    <w:rsid w:val="00846418"/>
    <w:rsid w:val="00846425"/>
    <w:rsid w:val="00846EB8"/>
    <w:rsid w:val="00850713"/>
    <w:rsid w:val="0085245B"/>
    <w:rsid w:val="00852A7C"/>
    <w:rsid w:val="00854F39"/>
    <w:rsid w:val="00857DE5"/>
    <w:rsid w:val="008601DB"/>
    <w:rsid w:val="008604BF"/>
    <w:rsid w:val="0086140B"/>
    <w:rsid w:val="00861518"/>
    <w:rsid w:val="00861532"/>
    <w:rsid w:val="0086193A"/>
    <w:rsid w:val="00862400"/>
    <w:rsid w:val="00862CD3"/>
    <w:rsid w:val="00862F42"/>
    <w:rsid w:val="008630E7"/>
    <w:rsid w:val="00865FF4"/>
    <w:rsid w:val="00866B56"/>
    <w:rsid w:val="00866C7F"/>
    <w:rsid w:val="0087282C"/>
    <w:rsid w:val="00872C4B"/>
    <w:rsid w:val="008735D2"/>
    <w:rsid w:val="008741FA"/>
    <w:rsid w:val="00874CAA"/>
    <w:rsid w:val="008757BD"/>
    <w:rsid w:val="00875E25"/>
    <w:rsid w:val="00875ED9"/>
    <w:rsid w:val="00877096"/>
    <w:rsid w:val="008822F2"/>
    <w:rsid w:val="008849AB"/>
    <w:rsid w:val="008853F7"/>
    <w:rsid w:val="00885BA8"/>
    <w:rsid w:val="00890F54"/>
    <w:rsid w:val="008916BB"/>
    <w:rsid w:val="00892484"/>
    <w:rsid w:val="008925E0"/>
    <w:rsid w:val="00892F89"/>
    <w:rsid w:val="00894C54"/>
    <w:rsid w:val="0089740A"/>
    <w:rsid w:val="00897915"/>
    <w:rsid w:val="008979E4"/>
    <w:rsid w:val="008A05DA"/>
    <w:rsid w:val="008A0FE1"/>
    <w:rsid w:val="008A1146"/>
    <w:rsid w:val="008A142E"/>
    <w:rsid w:val="008A208A"/>
    <w:rsid w:val="008A2236"/>
    <w:rsid w:val="008A2E3E"/>
    <w:rsid w:val="008A3DA7"/>
    <w:rsid w:val="008A464C"/>
    <w:rsid w:val="008A4966"/>
    <w:rsid w:val="008B0C49"/>
    <w:rsid w:val="008B3732"/>
    <w:rsid w:val="008B4C2B"/>
    <w:rsid w:val="008B7385"/>
    <w:rsid w:val="008B7929"/>
    <w:rsid w:val="008C0C5D"/>
    <w:rsid w:val="008C134E"/>
    <w:rsid w:val="008C14C9"/>
    <w:rsid w:val="008C32EC"/>
    <w:rsid w:val="008C3766"/>
    <w:rsid w:val="008C4009"/>
    <w:rsid w:val="008C6275"/>
    <w:rsid w:val="008D2B4C"/>
    <w:rsid w:val="008D35F4"/>
    <w:rsid w:val="008D3ACD"/>
    <w:rsid w:val="008D3C4E"/>
    <w:rsid w:val="008D3D6B"/>
    <w:rsid w:val="008D46C8"/>
    <w:rsid w:val="008D588C"/>
    <w:rsid w:val="008D6D8D"/>
    <w:rsid w:val="008E02B5"/>
    <w:rsid w:val="008E38E8"/>
    <w:rsid w:val="008E3D27"/>
    <w:rsid w:val="008E3E12"/>
    <w:rsid w:val="008E3E1A"/>
    <w:rsid w:val="008E6042"/>
    <w:rsid w:val="008E6DA3"/>
    <w:rsid w:val="008E734E"/>
    <w:rsid w:val="008E73E3"/>
    <w:rsid w:val="008E74D3"/>
    <w:rsid w:val="008E7A6A"/>
    <w:rsid w:val="008E7C59"/>
    <w:rsid w:val="008E7DEC"/>
    <w:rsid w:val="008E7F77"/>
    <w:rsid w:val="008F0F8B"/>
    <w:rsid w:val="008F14E6"/>
    <w:rsid w:val="008F16F6"/>
    <w:rsid w:val="008F1DB7"/>
    <w:rsid w:val="008F263C"/>
    <w:rsid w:val="008F2EA6"/>
    <w:rsid w:val="008F4486"/>
    <w:rsid w:val="00900A71"/>
    <w:rsid w:val="00901D65"/>
    <w:rsid w:val="009038A4"/>
    <w:rsid w:val="00903953"/>
    <w:rsid w:val="00903C32"/>
    <w:rsid w:val="00904073"/>
    <w:rsid w:val="0090487F"/>
    <w:rsid w:val="00904DBD"/>
    <w:rsid w:val="009103A3"/>
    <w:rsid w:val="009105F0"/>
    <w:rsid w:val="00911535"/>
    <w:rsid w:val="0091274D"/>
    <w:rsid w:val="00912B3A"/>
    <w:rsid w:val="00914F33"/>
    <w:rsid w:val="00915B38"/>
    <w:rsid w:val="00916043"/>
    <w:rsid w:val="00917BA1"/>
    <w:rsid w:val="00920540"/>
    <w:rsid w:val="00920778"/>
    <w:rsid w:val="00920DC1"/>
    <w:rsid w:val="00921FEB"/>
    <w:rsid w:val="00922321"/>
    <w:rsid w:val="009229D4"/>
    <w:rsid w:val="0092425B"/>
    <w:rsid w:val="00925406"/>
    <w:rsid w:val="00925A62"/>
    <w:rsid w:val="00926422"/>
    <w:rsid w:val="009267EE"/>
    <w:rsid w:val="009268FB"/>
    <w:rsid w:val="00930618"/>
    <w:rsid w:val="00933D47"/>
    <w:rsid w:val="009340A3"/>
    <w:rsid w:val="00935C3A"/>
    <w:rsid w:val="009375BF"/>
    <w:rsid w:val="00937D20"/>
    <w:rsid w:val="00941666"/>
    <w:rsid w:val="0094247E"/>
    <w:rsid w:val="00942801"/>
    <w:rsid w:val="00943A1A"/>
    <w:rsid w:val="0094509A"/>
    <w:rsid w:val="00946291"/>
    <w:rsid w:val="0094712D"/>
    <w:rsid w:val="009503AB"/>
    <w:rsid w:val="009507F5"/>
    <w:rsid w:val="00950F5D"/>
    <w:rsid w:val="00952D3C"/>
    <w:rsid w:val="009536D2"/>
    <w:rsid w:val="00953D1F"/>
    <w:rsid w:val="0095400D"/>
    <w:rsid w:val="00954545"/>
    <w:rsid w:val="00955A98"/>
    <w:rsid w:val="00955B3E"/>
    <w:rsid w:val="009563AF"/>
    <w:rsid w:val="00956C15"/>
    <w:rsid w:val="00956CEB"/>
    <w:rsid w:val="00956E82"/>
    <w:rsid w:val="009570AD"/>
    <w:rsid w:val="009606C5"/>
    <w:rsid w:val="00961DDA"/>
    <w:rsid w:val="009626AA"/>
    <w:rsid w:val="00962C71"/>
    <w:rsid w:val="009634BE"/>
    <w:rsid w:val="00965DA6"/>
    <w:rsid w:val="00970902"/>
    <w:rsid w:val="00970C48"/>
    <w:rsid w:val="00970FB0"/>
    <w:rsid w:val="009710E6"/>
    <w:rsid w:val="00971E3F"/>
    <w:rsid w:val="00972287"/>
    <w:rsid w:val="009735FF"/>
    <w:rsid w:val="00973E9F"/>
    <w:rsid w:val="00980682"/>
    <w:rsid w:val="00980FA6"/>
    <w:rsid w:val="009811E9"/>
    <w:rsid w:val="00983D90"/>
    <w:rsid w:val="00984F1D"/>
    <w:rsid w:val="00985C74"/>
    <w:rsid w:val="0098747C"/>
    <w:rsid w:val="00990090"/>
    <w:rsid w:val="00990143"/>
    <w:rsid w:val="00992637"/>
    <w:rsid w:val="009969EB"/>
    <w:rsid w:val="009A0487"/>
    <w:rsid w:val="009A1920"/>
    <w:rsid w:val="009A194C"/>
    <w:rsid w:val="009A1D18"/>
    <w:rsid w:val="009A2626"/>
    <w:rsid w:val="009A3D72"/>
    <w:rsid w:val="009A4E92"/>
    <w:rsid w:val="009B02E8"/>
    <w:rsid w:val="009B10C5"/>
    <w:rsid w:val="009B2916"/>
    <w:rsid w:val="009B3638"/>
    <w:rsid w:val="009B3F8C"/>
    <w:rsid w:val="009B472E"/>
    <w:rsid w:val="009B5239"/>
    <w:rsid w:val="009B5914"/>
    <w:rsid w:val="009B6831"/>
    <w:rsid w:val="009B6FD3"/>
    <w:rsid w:val="009B77CA"/>
    <w:rsid w:val="009C01E8"/>
    <w:rsid w:val="009C1B6B"/>
    <w:rsid w:val="009C5F46"/>
    <w:rsid w:val="009C6A0C"/>
    <w:rsid w:val="009C6A7E"/>
    <w:rsid w:val="009C70E6"/>
    <w:rsid w:val="009D1B25"/>
    <w:rsid w:val="009D1F6B"/>
    <w:rsid w:val="009D277B"/>
    <w:rsid w:val="009D3680"/>
    <w:rsid w:val="009D38F1"/>
    <w:rsid w:val="009D3D53"/>
    <w:rsid w:val="009D4303"/>
    <w:rsid w:val="009D4331"/>
    <w:rsid w:val="009D55ED"/>
    <w:rsid w:val="009D5A8E"/>
    <w:rsid w:val="009D629D"/>
    <w:rsid w:val="009D7040"/>
    <w:rsid w:val="009E0560"/>
    <w:rsid w:val="009E08BF"/>
    <w:rsid w:val="009E1568"/>
    <w:rsid w:val="009E34C2"/>
    <w:rsid w:val="009E5532"/>
    <w:rsid w:val="009E5EF1"/>
    <w:rsid w:val="009E65B8"/>
    <w:rsid w:val="009F0548"/>
    <w:rsid w:val="009F1CE6"/>
    <w:rsid w:val="009F4620"/>
    <w:rsid w:val="009F4872"/>
    <w:rsid w:val="009F6E29"/>
    <w:rsid w:val="009F6F21"/>
    <w:rsid w:val="009F783D"/>
    <w:rsid w:val="00A004E2"/>
    <w:rsid w:val="00A0093D"/>
    <w:rsid w:val="00A00DAC"/>
    <w:rsid w:val="00A01416"/>
    <w:rsid w:val="00A0142A"/>
    <w:rsid w:val="00A02B2D"/>
    <w:rsid w:val="00A054F1"/>
    <w:rsid w:val="00A06130"/>
    <w:rsid w:val="00A069C9"/>
    <w:rsid w:val="00A139DC"/>
    <w:rsid w:val="00A15B8D"/>
    <w:rsid w:val="00A15D6A"/>
    <w:rsid w:val="00A1786A"/>
    <w:rsid w:val="00A2166C"/>
    <w:rsid w:val="00A23587"/>
    <w:rsid w:val="00A2403C"/>
    <w:rsid w:val="00A24578"/>
    <w:rsid w:val="00A24C2A"/>
    <w:rsid w:val="00A252E9"/>
    <w:rsid w:val="00A26727"/>
    <w:rsid w:val="00A3119C"/>
    <w:rsid w:val="00A31389"/>
    <w:rsid w:val="00A32E29"/>
    <w:rsid w:val="00A34485"/>
    <w:rsid w:val="00A40C93"/>
    <w:rsid w:val="00A423C7"/>
    <w:rsid w:val="00A4269B"/>
    <w:rsid w:val="00A42FCC"/>
    <w:rsid w:val="00A43B07"/>
    <w:rsid w:val="00A43DBC"/>
    <w:rsid w:val="00A43FC3"/>
    <w:rsid w:val="00A44BA6"/>
    <w:rsid w:val="00A4512F"/>
    <w:rsid w:val="00A45214"/>
    <w:rsid w:val="00A455C0"/>
    <w:rsid w:val="00A45B89"/>
    <w:rsid w:val="00A47050"/>
    <w:rsid w:val="00A506C2"/>
    <w:rsid w:val="00A517DE"/>
    <w:rsid w:val="00A5410E"/>
    <w:rsid w:val="00A56307"/>
    <w:rsid w:val="00A56920"/>
    <w:rsid w:val="00A56B65"/>
    <w:rsid w:val="00A578D2"/>
    <w:rsid w:val="00A619A0"/>
    <w:rsid w:val="00A63062"/>
    <w:rsid w:val="00A64B7B"/>
    <w:rsid w:val="00A67A51"/>
    <w:rsid w:val="00A67BF0"/>
    <w:rsid w:val="00A70419"/>
    <w:rsid w:val="00A70D8F"/>
    <w:rsid w:val="00A70F50"/>
    <w:rsid w:val="00A746DF"/>
    <w:rsid w:val="00A74A02"/>
    <w:rsid w:val="00A74A8A"/>
    <w:rsid w:val="00A75587"/>
    <w:rsid w:val="00A760AA"/>
    <w:rsid w:val="00A76795"/>
    <w:rsid w:val="00A7753E"/>
    <w:rsid w:val="00A80B07"/>
    <w:rsid w:val="00A825C7"/>
    <w:rsid w:val="00A8309D"/>
    <w:rsid w:val="00A83DD8"/>
    <w:rsid w:val="00A850AC"/>
    <w:rsid w:val="00A8547C"/>
    <w:rsid w:val="00A86479"/>
    <w:rsid w:val="00A910D5"/>
    <w:rsid w:val="00A92AC1"/>
    <w:rsid w:val="00A93498"/>
    <w:rsid w:val="00A93C9C"/>
    <w:rsid w:val="00A93CDE"/>
    <w:rsid w:val="00A948EC"/>
    <w:rsid w:val="00A94B79"/>
    <w:rsid w:val="00A96E5D"/>
    <w:rsid w:val="00AA00C9"/>
    <w:rsid w:val="00AA0E2B"/>
    <w:rsid w:val="00AA1B11"/>
    <w:rsid w:val="00AA3BD9"/>
    <w:rsid w:val="00AA4035"/>
    <w:rsid w:val="00AA47A0"/>
    <w:rsid w:val="00AA4A11"/>
    <w:rsid w:val="00AA4B84"/>
    <w:rsid w:val="00AA68D5"/>
    <w:rsid w:val="00AA7752"/>
    <w:rsid w:val="00AA7F56"/>
    <w:rsid w:val="00AB0BE5"/>
    <w:rsid w:val="00AB0E5C"/>
    <w:rsid w:val="00AB31FE"/>
    <w:rsid w:val="00AB321F"/>
    <w:rsid w:val="00AB4344"/>
    <w:rsid w:val="00AB6440"/>
    <w:rsid w:val="00AB7D63"/>
    <w:rsid w:val="00AC1BE1"/>
    <w:rsid w:val="00AC1D1B"/>
    <w:rsid w:val="00AC2BDE"/>
    <w:rsid w:val="00AC31F4"/>
    <w:rsid w:val="00AC64A8"/>
    <w:rsid w:val="00AD1A65"/>
    <w:rsid w:val="00AD2906"/>
    <w:rsid w:val="00AD30BA"/>
    <w:rsid w:val="00AD31A7"/>
    <w:rsid w:val="00AD3DE5"/>
    <w:rsid w:val="00AD4280"/>
    <w:rsid w:val="00AD4747"/>
    <w:rsid w:val="00AD4981"/>
    <w:rsid w:val="00AD6331"/>
    <w:rsid w:val="00AE060F"/>
    <w:rsid w:val="00AE0C6B"/>
    <w:rsid w:val="00AE21FF"/>
    <w:rsid w:val="00AE2AE0"/>
    <w:rsid w:val="00AE546D"/>
    <w:rsid w:val="00AE57DE"/>
    <w:rsid w:val="00AE69F7"/>
    <w:rsid w:val="00AE7456"/>
    <w:rsid w:val="00AF0322"/>
    <w:rsid w:val="00AF07D8"/>
    <w:rsid w:val="00AF0847"/>
    <w:rsid w:val="00AF106C"/>
    <w:rsid w:val="00AF1812"/>
    <w:rsid w:val="00AF2C07"/>
    <w:rsid w:val="00AF2C98"/>
    <w:rsid w:val="00AF316D"/>
    <w:rsid w:val="00AF3CD3"/>
    <w:rsid w:val="00AF3F82"/>
    <w:rsid w:val="00AF4CB2"/>
    <w:rsid w:val="00AF537A"/>
    <w:rsid w:val="00AF631C"/>
    <w:rsid w:val="00AF739D"/>
    <w:rsid w:val="00AF76DD"/>
    <w:rsid w:val="00B001C6"/>
    <w:rsid w:val="00B00409"/>
    <w:rsid w:val="00B02891"/>
    <w:rsid w:val="00B02F42"/>
    <w:rsid w:val="00B0332F"/>
    <w:rsid w:val="00B03855"/>
    <w:rsid w:val="00B0514D"/>
    <w:rsid w:val="00B05AED"/>
    <w:rsid w:val="00B06BF0"/>
    <w:rsid w:val="00B0739C"/>
    <w:rsid w:val="00B110E1"/>
    <w:rsid w:val="00B1127F"/>
    <w:rsid w:val="00B1143B"/>
    <w:rsid w:val="00B11691"/>
    <w:rsid w:val="00B12559"/>
    <w:rsid w:val="00B1288D"/>
    <w:rsid w:val="00B12B1E"/>
    <w:rsid w:val="00B13FEC"/>
    <w:rsid w:val="00B146F2"/>
    <w:rsid w:val="00B152B1"/>
    <w:rsid w:val="00B15F5C"/>
    <w:rsid w:val="00B16DB4"/>
    <w:rsid w:val="00B2021B"/>
    <w:rsid w:val="00B22378"/>
    <w:rsid w:val="00B22C69"/>
    <w:rsid w:val="00B22EB2"/>
    <w:rsid w:val="00B23406"/>
    <w:rsid w:val="00B24855"/>
    <w:rsid w:val="00B24DF0"/>
    <w:rsid w:val="00B25274"/>
    <w:rsid w:val="00B25F31"/>
    <w:rsid w:val="00B26CE3"/>
    <w:rsid w:val="00B27EC5"/>
    <w:rsid w:val="00B30976"/>
    <w:rsid w:val="00B325F1"/>
    <w:rsid w:val="00B35360"/>
    <w:rsid w:val="00B355DC"/>
    <w:rsid w:val="00B36FEB"/>
    <w:rsid w:val="00B37175"/>
    <w:rsid w:val="00B3738E"/>
    <w:rsid w:val="00B40E4A"/>
    <w:rsid w:val="00B418D7"/>
    <w:rsid w:val="00B43589"/>
    <w:rsid w:val="00B43658"/>
    <w:rsid w:val="00B4433D"/>
    <w:rsid w:val="00B4511C"/>
    <w:rsid w:val="00B45894"/>
    <w:rsid w:val="00B45982"/>
    <w:rsid w:val="00B45BC1"/>
    <w:rsid w:val="00B4651B"/>
    <w:rsid w:val="00B500B8"/>
    <w:rsid w:val="00B5029D"/>
    <w:rsid w:val="00B502CD"/>
    <w:rsid w:val="00B5091C"/>
    <w:rsid w:val="00B51390"/>
    <w:rsid w:val="00B52C78"/>
    <w:rsid w:val="00B54367"/>
    <w:rsid w:val="00B54E78"/>
    <w:rsid w:val="00B56037"/>
    <w:rsid w:val="00B56188"/>
    <w:rsid w:val="00B568A2"/>
    <w:rsid w:val="00B577D1"/>
    <w:rsid w:val="00B611C3"/>
    <w:rsid w:val="00B629E2"/>
    <w:rsid w:val="00B62A9A"/>
    <w:rsid w:val="00B63217"/>
    <w:rsid w:val="00B63551"/>
    <w:rsid w:val="00B667C4"/>
    <w:rsid w:val="00B671F7"/>
    <w:rsid w:val="00B67971"/>
    <w:rsid w:val="00B70059"/>
    <w:rsid w:val="00B70EC8"/>
    <w:rsid w:val="00B70F13"/>
    <w:rsid w:val="00B74DF6"/>
    <w:rsid w:val="00B75125"/>
    <w:rsid w:val="00B77058"/>
    <w:rsid w:val="00B77551"/>
    <w:rsid w:val="00B80948"/>
    <w:rsid w:val="00B81409"/>
    <w:rsid w:val="00B83CA4"/>
    <w:rsid w:val="00B84610"/>
    <w:rsid w:val="00B85517"/>
    <w:rsid w:val="00B86990"/>
    <w:rsid w:val="00B86A88"/>
    <w:rsid w:val="00B9033C"/>
    <w:rsid w:val="00B90D01"/>
    <w:rsid w:val="00B92B28"/>
    <w:rsid w:val="00B93A36"/>
    <w:rsid w:val="00B93BD3"/>
    <w:rsid w:val="00B93BD9"/>
    <w:rsid w:val="00B93E36"/>
    <w:rsid w:val="00B94BE4"/>
    <w:rsid w:val="00B94DA4"/>
    <w:rsid w:val="00B9532E"/>
    <w:rsid w:val="00B95BF2"/>
    <w:rsid w:val="00B96F28"/>
    <w:rsid w:val="00B9737E"/>
    <w:rsid w:val="00BA05C6"/>
    <w:rsid w:val="00BA4860"/>
    <w:rsid w:val="00BA4DD6"/>
    <w:rsid w:val="00BA4ED8"/>
    <w:rsid w:val="00BA74A1"/>
    <w:rsid w:val="00BA7A07"/>
    <w:rsid w:val="00BA7B84"/>
    <w:rsid w:val="00BA7FE0"/>
    <w:rsid w:val="00BB0A10"/>
    <w:rsid w:val="00BB0AB1"/>
    <w:rsid w:val="00BB10E0"/>
    <w:rsid w:val="00BB277F"/>
    <w:rsid w:val="00BB2936"/>
    <w:rsid w:val="00BB30E7"/>
    <w:rsid w:val="00BB36D2"/>
    <w:rsid w:val="00BB3F72"/>
    <w:rsid w:val="00BB4D83"/>
    <w:rsid w:val="00BB5682"/>
    <w:rsid w:val="00BB572D"/>
    <w:rsid w:val="00BB5A0B"/>
    <w:rsid w:val="00BB5B8B"/>
    <w:rsid w:val="00BB5E6D"/>
    <w:rsid w:val="00BB6378"/>
    <w:rsid w:val="00BC1E9B"/>
    <w:rsid w:val="00BC237B"/>
    <w:rsid w:val="00BC2520"/>
    <w:rsid w:val="00BC35EB"/>
    <w:rsid w:val="00BC3DEB"/>
    <w:rsid w:val="00BC5867"/>
    <w:rsid w:val="00BC5A8D"/>
    <w:rsid w:val="00BC7FA5"/>
    <w:rsid w:val="00BD03B3"/>
    <w:rsid w:val="00BD0FD8"/>
    <w:rsid w:val="00BD1DE7"/>
    <w:rsid w:val="00BD2183"/>
    <w:rsid w:val="00BD35F5"/>
    <w:rsid w:val="00BD50A8"/>
    <w:rsid w:val="00BD576D"/>
    <w:rsid w:val="00BD7083"/>
    <w:rsid w:val="00BD712F"/>
    <w:rsid w:val="00BD71DA"/>
    <w:rsid w:val="00BE1868"/>
    <w:rsid w:val="00BE2ADD"/>
    <w:rsid w:val="00BE2DAF"/>
    <w:rsid w:val="00BE40B7"/>
    <w:rsid w:val="00BE44CE"/>
    <w:rsid w:val="00BE4656"/>
    <w:rsid w:val="00BE6DA1"/>
    <w:rsid w:val="00BE76EF"/>
    <w:rsid w:val="00BF0A6E"/>
    <w:rsid w:val="00BF14AB"/>
    <w:rsid w:val="00BF245D"/>
    <w:rsid w:val="00BF2D91"/>
    <w:rsid w:val="00BF37A0"/>
    <w:rsid w:val="00BF5DA7"/>
    <w:rsid w:val="00BF666F"/>
    <w:rsid w:val="00C00ED7"/>
    <w:rsid w:val="00C00F8A"/>
    <w:rsid w:val="00C02878"/>
    <w:rsid w:val="00C02B96"/>
    <w:rsid w:val="00C0480B"/>
    <w:rsid w:val="00C04A6C"/>
    <w:rsid w:val="00C0605D"/>
    <w:rsid w:val="00C10321"/>
    <w:rsid w:val="00C1034C"/>
    <w:rsid w:val="00C142AB"/>
    <w:rsid w:val="00C1467F"/>
    <w:rsid w:val="00C15596"/>
    <w:rsid w:val="00C15A80"/>
    <w:rsid w:val="00C173CA"/>
    <w:rsid w:val="00C20CC8"/>
    <w:rsid w:val="00C21428"/>
    <w:rsid w:val="00C24059"/>
    <w:rsid w:val="00C25F74"/>
    <w:rsid w:val="00C2609F"/>
    <w:rsid w:val="00C26372"/>
    <w:rsid w:val="00C2709A"/>
    <w:rsid w:val="00C30498"/>
    <w:rsid w:val="00C30C15"/>
    <w:rsid w:val="00C32013"/>
    <w:rsid w:val="00C3204F"/>
    <w:rsid w:val="00C32B32"/>
    <w:rsid w:val="00C32C91"/>
    <w:rsid w:val="00C33724"/>
    <w:rsid w:val="00C34842"/>
    <w:rsid w:val="00C35E38"/>
    <w:rsid w:val="00C3796E"/>
    <w:rsid w:val="00C40F21"/>
    <w:rsid w:val="00C414CB"/>
    <w:rsid w:val="00C45553"/>
    <w:rsid w:val="00C471C1"/>
    <w:rsid w:val="00C53BE7"/>
    <w:rsid w:val="00C54F90"/>
    <w:rsid w:val="00C57C38"/>
    <w:rsid w:val="00C61B1F"/>
    <w:rsid w:val="00C62EE5"/>
    <w:rsid w:val="00C64A9A"/>
    <w:rsid w:val="00C6570F"/>
    <w:rsid w:val="00C670E9"/>
    <w:rsid w:val="00C67196"/>
    <w:rsid w:val="00C67440"/>
    <w:rsid w:val="00C70405"/>
    <w:rsid w:val="00C709C4"/>
    <w:rsid w:val="00C71314"/>
    <w:rsid w:val="00C7153F"/>
    <w:rsid w:val="00C7330B"/>
    <w:rsid w:val="00C73727"/>
    <w:rsid w:val="00C76221"/>
    <w:rsid w:val="00C80708"/>
    <w:rsid w:val="00C80FD9"/>
    <w:rsid w:val="00C81706"/>
    <w:rsid w:val="00C81BB9"/>
    <w:rsid w:val="00C82197"/>
    <w:rsid w:val="00C82C79"/>
    <w:rsid w:val="00C84EFA"/>
    <w:rsid w:val="00C850CB"/>
    <w:rsid w:val="00C851E7"/>
    <w:rsid w:val="00C85731"/>
    <w:rsid w:val="00C86E08"/>
    <w:rsid w:val="00C8757F"/>
    <w:rsid w:val="00C90BA1"/>
    <w:rsid w:val="00C92B66"/>
    <w:rsid w:val="00C92D8F"/>
    <w:rsid w:val="00C92DF1"/>
    <w:rsid w:val="00C92DFC"/>
    <w:rsid w:val="00C93224"/>
    <w:rsid w:val="00C96147"/>
    <w:rsid w:val="00C96F60"/>
    <w:rsid w:val="00C97ADB"/>
    <w:rsid w:val="00CA08EC"/>
    <w:rsid w:val="00CA0D52"/>
    <w:rsid w:val="00CA15BD"/>
    <w:rsid w:val="00CA195F"/>
    <w:rsid w:val="00CA1DF0"/>
    <w:rsid w:val="00CA670F"/>
    <w:rsid w:val="00CA7E0F"/>
    <w:rsid w:val="00CB2319"/>
    <w:rsid w:val="00CB279F"/>
    <w:rsid w:val="00CB2917"/>
    <w:rsid w:val="00CB326D"/>
    <w:rsid w:val="00CB349A"/>
    <w:rsid w:val="00CB4421"/>
    <w:rsid w:val="00CB5563"/>
    <w:rsid w:val="00CB5B82"/>
    <w:rsid w:val="00CB5BB3"/>
    <w:rsid w:val="00CB7B58"/>
    <w:rsid w:val="00CC0657"/>
    <w:rsid w:val="00CC2AA7"/>
    <w:rsid w:val="00CC3546"/>
    <w:rsid w:val="00CC3598"/>
    <w:rsid w:val="00CC36FE"/>
    <w:rsid w:val="00CC489C"/>
    <w:rsid w:val="00CC5A07"/>
    <w:rsid w:val="00CC6AC5"/>
    <w:rsid w:val="00CD064F"/>
    <w:rsid w:val="00CD1091"/>
    <w:rsid w:val="00CD16CE"/>
    <w:rsid w:val="00CD218D"/>
    <w:rsid w:val="00CD2D41"/>
    <w:rsid w:val="00CD3AAC"/>
    <w:rsid w:val="00CD4C07"/>
    <w:rsid w:val="00CD5A60"/>
    <w:rsid w:val="00CD6941"/>
    <w:rsid w:val="00CE04DA"/>
    <w:rsid w:val="00CE0C3B"/>
    <w:rsid w:val="00CE272A"/>
    <w:rsid w:val="00CE2896"/>
    <w:rsid w:val="00CE57E8"/>
    <w:rsid w:val="00CE7694"/>
    <w:rsid w:val="00CF0005"/>
    <w:rsid w:val="00CF2941"/>
    <w:rsid w:val="00CF362F"/>
    <w:rsid w:val="00CF3632"/>
    <w:rsid w:val="00CF4547"/>
    <w:rsid w:val="00CF5ED6"/>
    <w:rsid w:val="00CF66B7"/>
    <w:rsid w:val="00CF76B6"/>
    <w:rsid w:val="00CF7D82"/>
    <w:rsid w:val="00CF7E2E"/>
    <w:rsid w:val="00D001DF"/>
    <w:rsid w:val="00D01D5D"/>
    <w:rsid w:val="00D026CD"/>
    <w:rsid w:val="00D04512"/>
    <w:rsid w:val="00D0461D"/>
    <w:rsid w:val="00D047EB"/>
    <w:rsid w:val="00D04F00"/>
    <w:rsid w:val="00D05EB3"/>
    <w:rsid w:val="00D070B7"/>
    <w:rsid w:val="00D072D9"/>
    <w:rsid w:val="00D074CE"/>
    <w:rsid w:val="00D07DB6"/>
    <w:rsid w:val="00D101DC"/>
    <w:rsid w:val="00D12313"/>
    <w:rsid w:val="00D12AB0"/>
    <w:rsid w:val="00D13D42"/>
    <w:rsid w:val="00D14278"/>
    <w:rsid w:val="00D1447F"/>
    <w:rsid w:val="00D164DE"/>
    <w:rsid w:val="00D16588"/>
    <w:rsid w:val="00D169FA"/>
    <w:rsid w:val="00D20BAE"/>
    <w:rsid w:val="00D21C4D"/>
    <w:rsid w:val="00D2373F"/>
    <w:rsid w:val="00D247ED"/>
    <w:rsid w:val="00D2495A"/>
    <w:rsid w:val="00D24C29"/>
    <w:rsid w:val="00D2597E"/>
    <w:rsid w:val="00D25B16"/>
    <w:rsid w:val="00D261C3"/>
    <w:rsid w:val="00D26B90"/>
    <w:rsid w:val="00D26FBF"/>
    <w:rsid w:val="00D31C0E"/>
    <w:rsid w:val="00D328DC"/>
    <w:rsid w:val="00D33899"/>
    <w:rsid w:val="00D349EE"/>
    <w:rsid w:val="00D36A21"/>
    <w:rsid w:val="00D37AB6"/>
    <w:rsid w:val="00D402FC"/>
    <w:rsid w:val="00D43135"/>
    <w:rsid w:val="00D44C38"/>
    <w:rsid w:val="00D46728"/>
    <w:rsid w:val="00D501D7"/>
    <w:rsid w:val="00D5212B"/>
    <w:rsid w:val="00D52D34"/>
    <w:rsid w:val="00D53288"/>
    <w:rsid w:val="00D53629"/>
    <w:rsid w:val="00D5441C"/>
    <w:rsid w:val="00D56BD2"/>
    <w:rsid w:val="00D60BFE"/>
    <w:rsid w:val="00D62B7C"/>
    <w:rsid w:val="00D62F2B"/>
    <w:rsid w:val="00D62F55"/>
    <w:rsid w:val="00D6496D"/>
    <w:rsid w:val="00D65DDB"/>
    <w:rsid w:val="00D66791"/>
    <w:rsid w:val="00D67153"/>
    <w:rsid w:val="00D67E23"/>
    <w:rsid w:val="00D70241"/>
    <w:rsid w:val="00D70920"/>
    <w:rsid w:val="00D70C62"/>
    <w:rsid w:val="00D71A05"/>
    <w:rsid w:val="00D71E5E"/>
    <w:rsid w:val="00D725E0"/>
    <w:rsid w:val="00D7474F"/>
    <w:rsid w:val="00D747FF"/>
    <w:rsid w:val="00D7559B"/>
    <w:rsid w:val="00D76077"/>
    <w:rsid w:val="00D76220"/>
    <w:rsid w:val="00D762ED"/>
    <w:rsid w:val="00D76554"/>
    <w:rsid w:val="00D76C62"/>
    <w:rsid w:val="00D809A9"/>
    <w:rsid w:val="00D80C52"/>
    <w:rsid w:val="00D8192D"/>
    <w:rsid w:val="00D819EF"/>
    <w:rsid w:val="00D81A61"/>
    <w:rsid w:val="00D831DD"/>
    <w:rsid w:val="00D83EBD"/>
    <w:rsid w:val="00D84E09"/>
    <w:rsid w:val="00D8506C"/>
    <w:rsid w:val="00D85110"/>
    <w:rsid w:val="00D87B09"/>
    <w:rsid w:val="00D87FE0"/>
    <w:rsid w:val="00D906B2"/>
    <w:rsid w:val="00D9115E"/>
    <w:rsid w:val="00D94595"/>
    <w:rsid w:val="00D9490B"/>
    <w:rsid w:val="00D956E1"/>
    <w:rsid w:val="00D95F56"/>
    <w:rsid w:val="00D9606E"/>
    <w:rsid w:val="00D97B78"/>
    <w:rsid w:val="00D97FD0"/>
    <w:rsid w:val="00DA2200"/>
    <w:rsid w:val="00DA56E9"/>
    <w:rsid w:val="00DA7DB8"/>
    <w:rsid w:val="00DB0D8C"/>
    <w:rsid w:val="00DB0F30"/>
    <w:rsid w:val="00DB11B8"/>
    <w:rsid w:val="00DB1749"/>
    <w:rsid w:val="00DB200D"/>
    <w:rsid w:val="00DB2498"/>
    <w:rsid w:val="00DB4519"/>
    <w:rsid w:val="00DB4710"/>
    <w:rsid w:val="00DB495C"/>
    <w:rsid w:val="00DB535E"/>
    <w:rsid w:val="00DB657E"/>
    <w:rsid w:val="00DB76B8"/>
    <w:rsid w:val="00DB7717"/>
    <w:rsid w:val="00DC1B7D"/>
    <w:rsid w:val="00DC22F7"/>
    <w:rsid w:val="00DC340A"/>
    <w:rsid w:val="00DC369C"/>
    <w:rsid w:val="00DC3C53"/>
    <w:rsid w:val="00DC4667"/>
    <w:rsid w:val="00DC5125"/>
    <w:rsid w:val="00DD0A3E"/>
    <w:rsid w:val="00DD0E55"/>
    <w:rsid w:val="00DD250C"/>
    <w:rsid w:val="00DD2524"/>
    <w:rsid w:val="00DD3864"/>
    <w:rsid w:val="00DD3A4F"/>
    <w:rsid w:val="00DD4D90"/>
    <w:rsid w:val="00DD70EA"/>
    <w:rsid w:val="00DD7321"/>
    <w:rsid w:val="00DD7E93"/>
    <w:rsid w:val="00DE0006"/>
    <w:rsid w:val="00DE0275"/>
    <w:rsid w:val="00DE08A8"/>
    <w:rsid w:val="00DE55B4"/>
    <w:rsid w:val="00DE60BE"/>
    <w:rsid w:val="00DE7272"/>
    <w:rsid w:val="00DE77C4"/>
    <w:rsid w:val="00DE7D66"/>
    <w:rsid w:val="00DF04E6"/>
    <w:rsid w:val="00DF0563"/>
    <w:rsid w:val="00DF12E5"/>
    <w:rsid w:val="00DF1B16"/>
    <w:rsid w:val="00DF3F5A"/>
    <w:rsid w:val="00DF55AB"/>
    <w:rsid w:val="00DF61C7"/>
    <w:rsid w:val="00DF70AF"/>
    <w:rsid w:val="00E00072"/>
    <w:rsid w:val="00E0123E"/>
    <w:rsid w:val="00E014A2"/>
    <w:rsid w:val="00E01B06"/>
    <w:rsid w:val="00E02C74"/>
    <w:rsid w:val="00E05DEB"/>
    <w:rsid w:val="00E0650B"/>
    <w:rsid w:val="00E0666C"/>
    <w:rsid w:val="00E06E9E"/>
    <w:rsid w:val="00E104C0"/>
    <w:rsid w:val="00E1079B"/>
    <w:rsid w:val="00E13F69"/>
    <w:rsid w:val="00E14983"/>
    <w:rsid w:val="00E14DCD"/>
    <w:rsid w:val="00E15639"/>
    <w:rsid w:val="00E1626C"/>
    <w:rsid w:val="00E17181"/>
    <w:rsid w:val="00E20B3E"/>
    <w:rsid w:val="00E20C71"/>
    <w:rsid w:val="00E2362C"/>
    <w:rsid w:val="00E2388C"/>
    <w:rsid w:val="00E25526"/>
    <w:rsid w:val="00E25BFC"/>
    <w:rsid w:val="00E25C7C"/>
    <w:rsid w:val="00E27305"/>
    <w:rsid w:val="00E3043C"/>
    <w:rsid w:val="00E30570"/>
    <w:rsid w:val="00E30A55"/>
    <w:rsid w:val="00E31181"/>
    <w:rsid w:val="00E31E70"/>
    <w:rsid w:val="00E337FD"/>
    <w:rsid w:val="00E34C05"/>
    <w:rsid w:val="00E34F10"/>
    <w:rsid w:val="00E362B0"/>
    <w:rsid w:val="00E36B48"/>
    <w:rsid w:val="00E40159"/>
    <w:rsid w:val="00E42E9C"/>
    <w:rsid w:val="00E4315A"/>
    <w:rsid w:val="00E434FE"/>
    <w:rsid w:val="00E462A2"/>
    <w:rsid w:val="00E4663E"/>
    <w:rsid w:val="00E469B4"/>
    <w:rsid w:val="00E46DD6"/>
    <w:rsid w:val="00E46EA0"/>
    <w:rsid w:val="00E47A33"/>
    <w:rsid w:val="00E50B04"/>
    <w:rsid w:val="00E50F24"/>
    <w:rsid w:val="00E52D10"/>
    <w:rsid w:val="00E5504F"/>
    <w:rsid w:val="00E560AE"/>
    <w:rsid w:val="00E60EB5"/>
    <w:rsid w:val="00E62B5B"/>
    <w:rsid w:val="00E66D95"/>
    <w:rsid w:val="00E674F6"/>
    <w:rsid w:val="00E67D87"/>
    <w:rsid w:val="00E70467"/>
    <w:rsid w:val="00E71468"/>
    <w:rsid w:val="00E7203C"/>
    <w:rsid w:val="00E723D7"/>
    <w:rsid w:val="00E7367D"/>
    <w:rsid w:val="00E74645"/>
    <w:rsid w:val="00E76643"/>
    <w:rsid w:val="00E76C98"/>
    <w:rsid w:val="00E80CF5"/>
    <w:rsid w:val="00E831B2"/>
    <w:rsid w:val="00E83E1E"/>
    <w:rsid w:val="00E83EDD"/>
    <w:rsid w:val="00E84C5A"/>
    <w:rsid w:val="00E8533B"/>
    <w:rsid w:val="00E8577A"/>
    <w:rsid w:val="00E86DD7"/>
    <w:rsid w:val="00E86DF2"/>
    <w:rsid w:val="00E906B5"/>
    <w:rsid w:val="00E9302A"/>
    <w:rsid w:val="00E93893"/>
    <w:rsid w:val="00E93A1D"/>
    <w:rsid w:val="00E93C50"/>
    <w:rsid w:val="00E95A89"/>
    <w:rsid w:val="00E96FC2"/>
    <w:rsid w:val="00E97A76"/>
    <w:rsid w:val="00E97B90"/>
    <w:rsid w:val="00EA0267"/>
    <w:rsid w:val="00EA0F27"/>
    <w:rsid w:val="00EA36A7"/>
    <w:rsid w:val="00EA6D62"/>
    <w:rsid w:val="00EA7284"/>
    <w:rsid w:val="00EA74AF"/>
    <w:rsid w:val="00EA76F1"/>
    <w:rsid w:val="00EB07E9"/>
    <w:rsid w:val="00EB2866"/>
    <w:rsid w:val="00EB2FF4"/>
    <w:rsid w:val="00EB3B21"/>
    <w:rsid w:val="00EB3E67"/>
    <w:rsid w:val="00EB44CC"/>
    <w:rsid w:val="00EB47BE"/>
    <w:rsid w:val="00EC1537"/>
    <w:rsid w:val="00EC1695"/>
    <w:rsid w:val="00EC21CF"/>
    <w:rsid w:val="00EC4DDE"/>
    <w:rsid w:val="00EC579E"/>
    <w:rsid w:val="00EC700B"/>
    <w:rsid w:val="00EC780C"/>
    <w:rsid w:val="00ED0136"/>
    <w:rsid w:val="00ED0DA9"/>
    <w:rsid w:val="00ED3275"/>
    <w:rsid w:val="00ED329F"/>
    <w:rsid w:val="00ED487F"/>
    <w:rsid w:val="00ED6B80"/>
    <w:rsid w:val="00EE247B"/>
    <w:rsid w:val="00EE2F5F"/>
    <w:rsid w:val="00EE3528"/>
    <w:rsid w:val="00EE3BB0"/>
    <w:rsid w:val="00EE4245"/>
    <w:rsid w:val="00EE45AD"/>
    <w:rsid w:val="00EE4A48"/>
    <w:rsid w:val="00EE6D64"/>
    <w:rsid w:val="00EF20C4"/>
    <w:rsid w:val="00EF5E2A"/>
    <w:rsid w:val="00EF64B1"/>
    <w:rsid w:val="00EF6548"/>
    <w:rsid w:val="00EF71A8"/>
    <w:rsid w:val="00EF7510"/>
    <w:rsid w:val="00F00D98"/>
    <w:rsid w:val="00F017D9"/>
    <w:rsid w:val="00F01BC4"/>
    <w:rsid w:val="00F02574"/>
    <w:rsid w:val="00F041CF"/>
    <w:rsid w:val="00F05966"/>
    <w:rsid w:val="00F05E3C"/>
    <w:rsid w:val="00F07248"/>
    <w:rsid w:val="00F07903"/>
    <w:rsid w:val="00F07B0D"/>
    <w:rsid w:val="00F07C34"/>
    <w:rsid w:val="00F10664"/>
    <w:rsid w:val="00F12C0F"/>
    <w:rsid w:val="00F1367B"/>
    <w:rsid w:val="00F146B3"/>
    <w:rsid w:val="00F14B6E"/>
    <w:rsid w:val="00F14C98"/>
    <w:rsid w:val="00F17215"/>
    <w:rsid w:val="00F176AB"/>
    <w:rsid w:val="00F21FBB"/>
    <w:rsid w:val="00F24423"/>
    <w:rsid w:val="00F24680"/>
    <w:rsid w:val="00F25FA6"/>
    <w:rsid w:val="00F260A9"/>
    <w:rsid w:val="00F2730E"/>
    <w:rsid w:val="00F311C0"/>
    <w:rsid w:val="00F31375"/>
    <w:rsid w:val="00F31F4A"/>
    <w:rsid w:val="00F32FF7"/>
    <w:rsid w:val="00F335BE"/>
    <w:rsid w:val="00F34E44"/>
    <w:rsid w:val="00F36B70"/>
    <w:rsid w:val="00F373D4"/>
    <w:rsid w:val="00F37488"/>
    <w:rsid w:val="00F42672"/>
    <w:rsid w:val="00F44A9F"/>
    <w:rsid w:val="00F464F4"/>
    <w:rsid w:val="00F474A5"/>
    <w:rsid w:val="00F47DCF"/>
    <w:rsid w:val="00F510D8"/>
    <w:rsid w:val="00F528DD"/>
    <w:rsid w:val="00F53CBC"/>
    <w:rsid w:val="00F57E0A"/>
    <w:rsid w:val="00F60713"/>
    <w:rsid w:val="00F60861"/>
    <w:rsid w:val="00F61938"/>
    <w:rsid w:val="00F65366"/>
    <w:rsid w:val="00F660A6"/>
    <w:rsid w:val="00F71ABB"/>
    <w:rsid w:val="00F73F8E"/>
    <w:rsid w:val="00F741FB"/>
    <w:rsid w:val="00F751B5"/>
    <w:rsid w:val="00F75EAA"/>
    <w:rsid w:val="00F769AB"/>
    <w:rsid w:val="00F7734F"/>
    <w:rsid w:val="00F806EE"/>
    <w:rsid w:val="00F80D46"/>
    <w:rsid w:val="00F816DF"/>
    <w:rsid w:val="00F83C2B"/>
    <w:rsid w:val="00F83E07"/>
    <w:rsid w:val="00F84FD8"/>
    <w:rsid w:val="00F8617A"/>
    <w:rsid w:val="00F86C8F"/>
    <w:rsid w:val="00F86D9B"/>
    <w:rsid w:val="00F901AD"/>
    <w:rsid w:val="00F904BB"/>
    <w:rsid w:val="00F9152C"/>
    <w:rsid w:val="00F9173C"/>
    <w:rsid w:val="00F91C33"/>
    <w:rsid w:val="00F91E9A"/>
    <w:rsid w:val="00F92A50"/>
    <w:rsid w:val="00F96ADD"/>
    <w:rsid w:val="00F97379"/>
    <w:rsid w:val="00F97E5B"/>
    <w:rsid w:val="00FA0C61"/>
    <w:rsid w:val="00FA170C"/>
    <w:rsid w:val="00FA3DB8"/>
    <w:rsid w:val="00FA42CC"/>
    <w:rsid w:val="00FA4357"/>
    <w:rsid w:val="00FA51DC"/>
    <w:rsid w:val="00FA62D6"/>
    <w:rsid w:val="00FB1ED9"/>
    <w:rsid w:val="00FB2578"/>
    <w:rsid w:val="00FB3154"/>
    <w:rsid w:val="00FB42BD"/>
    <w:rsid w:val="00FB6614"/>
    <w:rsid w:val="00FB6BBA"/>
    <w:rsid w:val="00FC27CC"/>
    <w:rsid w:val="00FC2AEC"/>
    <w:rsid w:val="00FC4772"/>
    <w:rsid w:val="00FC58E0"/>
    <w:rsid w:val="00FC6173"/>
    <w:rsid w:val="00FC61A7"/>
    <w:rsid w:val="00FC6303"/>
    <w:rsid w:val="00FC6EE9"/>
    <w:rsid w:val="00FC7C35"/>
    <w:rsid w:val="00FC7FB1"/>
    <w:rsid w:val="00FD15E5"/>
    <w:rsid w:val="00FD1A59"/>
    <w:rsid w:val="00FD2AD0"/>
    <w:rsid w:val="00FD42CD"/>
    <w:rsid w:val="00FD4871"/>
    <w:rsid w:val="00FD5DB5"/>
    <w:rsid w:val="00FE339D"/>
    <w:rsid w:val="00FE4935"/>
    <w:rsid w:val="00FE593E"/>
    <w:rsid w:val="00FE596A"/>
    <w:rsid w:val="00FE65DC"/>
    <w:rsid w:val="00FE72B1"/>
    <w:rsid w:val="00FF0A16"/>
    <w:rsid w:val="00FF1607"/>
    <w:rsid w:val="00FF168A"/>
    <w:rsid w:val="00FF267A"/>
    <w:rsid w:val="00FF3263"/>
    <w:rsid w:val="00FF333E"/>
    <w:rsid w:val="00FF430C"/>
    <w:rsid w:val="00FF47E5"/>
    <w:rsid w:val="00FF50FE"/>
    <w:rsid w:val="00FF5FC8"/>
    <w:rsid w:val="00FF680C"/>
  </w:rsids>
  <m:mathPr>
    <m:mathFont m:val="Cambria Math"/>
    <m:brkBin m:val="before"/>
    <m:brkBinSub m:val="--"/>
    <m:smallFrac m:val="0"/>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19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777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uiPriority w:val="99"/>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 w:type="paragraph" w:styleId="Revision">
    <w:name w:val="Revision"/>
    <w:hidden/>
    <w:uiPriority w:val="99"/>
    <w:semiHidden/>
    <w:rsid w:val="00DF12E5"/>
    <w:p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0777D8"/>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44594390">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1146502">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454760275">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919482508">
      <w:bodyDiv w:val="1"/>
      <w:marLeft w:val="0"/>
      <w:marRight w:val="0"/>
      <w:marTop w:val="0"/>
      <w:marBottom w:val="0"/>
      <w:divBdr>
        <w:top w:val="none" w:sz="0" w:space="0" w:color="auto"/>
        <w:left w:val="none" w:sz="0" w:space="0" w:color="auto"/>
        <w:bottom w:val="none" w:sz="0" w:space="0" w:color="auto"/>
        <w:right w:val="none" w:sz="0" w:space="0" w:color="auto"/>
      </w:divBdr>
      <w:divsChild>
        <w:div w:id="805586954">
          <w:marLeft w:val="0"/>
          <w:marRight w:val="0"/>
          <w:marTop w:val="0"/>
          <w:marBottom w:val="0"/>
          <w:divBdr>
            <w:top w:val="none" w:sz="0" w:space="0" w:color="auto"/>
            <w:left w:val="none" w:sz="0" w:space="0" w:color="auto"/>
            <w:bottom w:val="none" w:sz="0" w:space="0" w:color="auto"/>
            <w:right w:val="none" w:sz="0" w:space="0" w:color="auto"/>
          </w:divBdr>
          <w:divsChild>
            <w:div w:id="1913269786">
              <w:marLeft w:val="0"/>
              <w:marRight w:val="0"/>
              <w:marTop w:val="0"/>
              <w:marBottom w:val="0"/>
              <w:divBdr>
                <w:top w:val="none" w:sz="0" w:space="0" w:color="auto"/>
                <w:left w:val="none" w:sz="0" w:space="0" w:color="auto"/>
                <w:bottom w:val="none" w:sz="0" w:space="0" w:color="auto"/>
                <w:right w:val="none" w:sz="0" w:space="0" w:color="auto"/>
              </w:divBdr>
              <w:divsChild>
                <w:div w:id="1053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376272871">
      <w:bodyDiv w:val="1"/>
      <w:marLeft w:val="0"/>
      <w:marRight w:val="0"/>
      <w:marTop w:val="0"/>
      <w:marBottom w:val="0"/>
      <w:divBdr>
        <w:top w:val="none" w:sz="0" w:space="0" w:color="auto"/>
        <w:left w:val="none" w:sz="0" w:space="0" w:color="auto"/>
        <w:bottom w:val="none" w:sz="0" w:space="0" w:color="auto"/>
        <w:right w:val="none" w:sz="0" w:space="0" w:color="auto"/>
      </w:divBdr>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598637569">
      <w:bodyDiv w:val="1"/>
      <w:marLeft w:val="0"/>
      <w:marRight w:val="0"/>
      <w:marTop w:val="0"/>
      <w:marBottom w:val="0"/>
      <w:divBdr>
        <w:top w:val="none" w:sz="0" w:space="0" w:color="auto"/>
        <w:left w:val="none" w:sz="0" w:space="0" w:color="auto"/>
        <w:bottom w:val="none" w:sz="0" w:space="0" w:color="auto"/>
        <w:right w:val="none" w:sz="0" w:space="0" w:color="auto"/>
      </w:divBdr>
    </w:div>
    <w:div w:id="1685012770">
      <w:bodyDiv w:val="1"/>
      <w:marLeft w:val="0"/>
      <w:marRight w:val="0"/>
      <w:marTop w:val="0"/>
      <w:marBottom w:val="0"/>
      <w:divBdr>
        <w:top w:val="none" w:sz="0" w:space="0" w:color="auto"/>
        <w:left w:val="none" w:sz="0" w:space="0" w:color="auto"/>
        <w:bottom w:val="none" w:sz="0" w:space="0" w:color="auto"/>
        <w:right w:val="none" w:sz="0" w:space="0" w:color="auto"/>
      </w:divBdr>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2094011241">
      <w:bodyDiv w:val="1"/>
      <w:marLeft w:val="0"/>
      <w:marRight w:val="0"/>
      <w:marTop w:val="0"/>
      <w:marBottom w:val="0"/>
      <w:divBdr>
        <w:top w:val="none" w:sz="0" w:space="0" w:color="auto"/>
        <w:left w:val="none" w:sz="0" w:space="0" w:color="auto"/>
        <w:bottom w:val="none" w:sz="0" w:space="0" w:color="auto"/>
        <w:right w:val="none" w:sz="0" w:space="0" w:color="auto"/>
      </w:divBdr>
      <w:divsChild>
        <w:div w:id="2017489551">
          <w:marLeft w:val="0"/>
          <w:marRight w:val="0"/>
          <w:marTop w:val="120"/>
          <w:marBottom w:val="0"/>
          <w:divBdr>
            <w:top w:val="none" w:sz="0" w:space="0" w:color="auto"/>
            <w:left w:val="none" w:sz="0" w:space="0" w:color="auto"/>
            <w:bottom w:val="none" w:sz="0" w:space="0" w:color="auto"/>
            <w:right w:val="none" w:sz="0" w:space="0" w:color="auto"/>
          </w:divBdr>
        </w:div>
      </w:divsChild>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1704C-422E-4EB4-B40C-6A9F4D3F2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2538</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Mokone</cp:lastModifiedBy>
  <cp:revision>3</cp:revision>
  <cp:lastPrinted>2023-07-12T10:47:00Z</cp:lastPrinted>
  <dcterms:created xsi:type="dcterms:W3CDTF">2023-07-17T08:07:00Z</dcterms:created>
  <dcterms:modified xsi:type="dcterms:W3CDTF">2023-07-17T08:10:00Z</dcterms:modified>
</cp:coreProperties>
</file>