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B4EE6"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41FE9855"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p>
    <w:p w14:paraId="5F26D95B"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7080D0A8" wp14:editId="18D1B8F7">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06D6826" w14:textId="77777777" w:rsidR="00C0309A" w:rsidRPr="007B7F59" w:rsidRDefault="00C0309A" w:rsidP="00C0309A">
      <w:pPr>
        <w:spacing w:after="0" w:line="240" w:lineRule="auto"/>
        <w:ind w:left="0"/>
        <w:jc w:val="center"/>
        <w:outlineLvl w:val="0"/>
        <w:rPr>
          <w:rFonts w:eastAsia="Times New Roman" w:cs="Arial"/>
          <w:b/>
          <w:szCs w:val="24"/>
          <w:lang w:val="en-ZA"/>
        </w:rPr>
      </w:pPr>
    </w:p>
    <w:p w14:paraId="30416FD1"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596B820F"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0C697130" w14:textId="77777777" w:rsidR="00C0309A" w:rsidRPr="007B7F59" w:rsidRDefault="00C0309A" w:rsidP="00C0309A">
      <w:pPr>
        <w:spacing w:after="0" w:line="240" w:lineRule="auto"/>
        <w:ind w:left="0"/>
        <w:rPr>
          <w:rFonts w:eastAsia="Times New Roman" w:cs="Arial"/>
          <w:szCs w:val="24"/>
          <w:lang w:val="en-ZA"/>
        </w:rPr>
      </w:pPr>
    </w:p>
    <w:p w14:paraId="4427FBF4" w14:textId="77777777" w:rsidR="00C0309A" w:rsidRPr="007B7F59" w:rsidRDefault="00C0309A" w:rsidP="00C0309A">
      <w:pPr>
        <w:spacing w:after="0" w:line="240" w:lineRule="auto"/>
        <w:ind w:left="0"/>
        <w:rPr>
          <w:rFonts w:eastAsia="Times New Roman" w:cs="Arial"/>
          <w:szCs w:val="24"/>
          <w:lang w:val="en-ZA"/>
        </w:rPr>
      </w:pPr>
    </w:p>
    <w:p w14:paraId="4CF99E59" w14:textId="323E8FB0" w:rsidR="00C0309A" w:rsidRPr="007B7F59" w:rsidRDefault="00C0309A" w:rsidP="00C0309A">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EE3A1F">
        <w:rPr>
          <w:rFonts w:eastAsia="Times New Roman" w:cs="Arial"/>
          <w:bCs/>
          <w:szCs w:val="24"/>
          <w:lang w:val="en-ZA"/>
        </w:rPr>
        <w:t>16945</w:t>
      </w:r>
      <w:r w:rsidR="00D92EED">
        <w:rPr>
          <w:rFonts w:eastAsia="Times New Roman" w:cs="Arial"/>
          <w:bCs/>
          <w:szCs w:val="24"/>
          <w:lang w:val="en-ZA"/>
        </w:rPr>
        <w:t>/202</w:t>
      </w:r>
      <w:r w:rsidR="00EE3A1F">
        <w:rPr>
          <w:rFonts w:eastAsia="Times New Roman" w:cs="Arial"/>
          <w:bCs/>
          <w:szCs w:val="24"/>
          <w:lang w:val="en-ZA"/>
        </w:rPr>
        <w:t>0</w:t>
      </w:r>
    </w:p>
    <w:p w14:paraId="1F3CACF4" w14:textId="77777777" w:rsidR="00C0309A" w:rsidRPr="007B7F59" w:rsidRDefault="00C0309A" w:rsidP="00C0309A">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40B19FFE" wp14:editId="795398F4">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7FA02C38" w14:textId="7911CD1E" w:rsidR="00C0309A" w:rsidRPr="009433D9" w:rsidRDefault="000E2670" w:rsidP="000E2670">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C0309A" w:rsidRPr="003B746C">
                              <w:rPr>
                                <w:rFonts w:cs="Arial"/>
                                <w:sz w:val="18"/>
                                <w:szCs w:val="20"/>
                              </w:rPr>
                              <w:t>REPORTABLE</w:t>
                            </w:r>
                            <w:r w:rsidR="00C0309A" w:rsidRPr="009433D9">
                              <w:rPr>
                                <w:rFonts w:cs="Arial"/>
                                <w:sz w:val="18"/>
                                <w:szCs w:val="20"/>
                              </w:rPr>
                              <w:t>:  NO</w:t>
                            </w:r>
                          </w:p>
                          <w:p w14:paraId="3ECD6FD5" w14:textId="6F1AFABB" w:rsidR="00C0309A" w:rsidRPr="009433D9" w:rsidRDefault="000E2670" w:rsidP="000E2670">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C0309A" w:rsidRPr="009433D9">
                              <w:rPr>
                                <w:rFonts w:cs="Arial"/>
                                <w:sz w:val="18"/>
                                <w:szCs w:val="20"/>
                              </w:rPr>
                              <w:t>OF INTEREST TO OTHER JUDGES: NO</w:t>
                            </w:r>
                          </w:p>
                          <w:p w14:paraId="6A481239" w14:textId="13F668B1" w:rsidR="00C0309A" w:rsidRPr="009433D9" w:rsidRDefault="000E2670" w:rsidP="000E2670">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C0309A" w:rsidRPr="009433D9">
                              <w:rPr>
                                <w:rFonts w:cs="Arial"/>
                                <w:sz w:val="18"/>
                                <w:szCs w:val="20"/>
                              </w:rPr>
                              <w:t>REVISED: NO</w:t>
                            </w:r>
                          </w:p>
                          <w:p w14:paraId="69EFF85C" w14:textId="7022BD9F" w:rsidR="00C0309A" w:rsidRPr="003B746C" w:rsidRDefault="00C0309A" w:rsidP="008049CC">
                            <w:pPr>
                              <w:spacing w:before="240" w:after="0"/>
                              <w:ind w:left="0"/>
                              <w:rPr>
                                <w:rFonts w:cs="Arial"/>
                                <w:b/>
                                <w:sz w:val="18"/>
                                <w:szCs w:val="20"/>
                              </w:rPr>
                            </w:pPr>
                            <w:r w:rsidRPr="009433D9">
                              <w:rPr>
                                <w:rFonts w:cs="Arial"/>
                                <w:b/>
                                <w:sz w:val="18"/>
                                <w:szCs w:val="20"/>
                              </w:rPr>
                              <w:tab/>
                            </w:r>
                            <w:r w:rsidR="008049CC">
                              <w:rPr>
                                <w:rFonts w:cs="Arial"/>
                                <w:b/>
                                <w:sz w:val="18"/>
                                <w:szCs w:val="20"/>
                              </w:rPr>
                              <w:t xml:space="preserve">                            </w:t>
                            </w:r>
                            <w:r w:rsidRPr="009433D9">
                              <w:rPr>
                                <w:rFonts w:cs="Arial"/>
                                <w:b/>
                                <w:sz w:val="18"/>
                                <w:szCs w:val="20"/>
                              </w:rPr>
                              <w:t>_________________________</w:t>
                            </w:r>
                          </w:p>
                          <w:p w14:paraId="3617D197" w14:textId="7A941E34" w:rsidR="00C0309A" w:rsidRPr="003B746C" w:rsidRDefault="00C0309A" w:rsidP="008049CC">
                            <w:pPr>
                              <w:ind w:left="0"/>
                              <w:rPr>
                                <w:rFonts w:cs="Arial"/>
                                <w:sz w:val="18"/>
                                <w:szCs w:val="20"/>
                              </w:rPr>
                            </w:pPr>
                            <w:r w:rsidRPr="003B746C">
                              <w:rPr>
                                <w:rFonts w:cs="Arial"/>
                                <w:sz w:val="18"/>
                                <w:szCs w:val="20"/>
                              </w:rPr>
                              <w:t>DATE</w:t>
                            </w:r>
                            <w:r w:rsidR="008049CC">
                              <w:rPr>
                                <w:rFonts w:cs="Arial"/>
                                <w:sz w:val="18"/>
                                <w:szCs w:val="20"/>
                              </w:rPr>
                              <w:t xml:space="preserve"> 17/7/23</w:t>
                            </w:r>
                            <w:r w:rsidRPr="003B746C">
                              <w:rPr>
                                <w:rFonts w:cs="Arial"/>
                                <w:sz w:val="18"/>
                                <w:szCs w:val="20"/>
                              </w:rPr>
                              <w:tab/>
                            </w:r>
                            <w:r w:rsidRPr="003B746C">
                              <w:rPr>
                                <w:rFonts w:cs="Arial"/>
                                <w:sz w:val="18"/>
                                <w:szCs w:val="20"/>
                              </w:rPr>
                              <w:tab/>
                              <w:t xml:space="preserve"> </w:t>
                            </w:r>
                            <w:r w:rsidR="008049CC">
                              <w:rPr>
                                <w:rFonts w:cs="Arial"/>
                                <w:sz w:val="18"/>
                                <w:szCs w:val="20"/>
                              </w:rPr>
                              <w:t xml:space="preserve">                </w:t>
                            </w:r>
                            <w:r w:rsidRPr="003B746C">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19FFE"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7FA02C38" w14:textId="7911CD1E" w:rsidR="00C0309A" w:rsidRPr="009433D9" w:rsidRDefault="000E2670" w:rsidP="000E2670">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C0309A" w:rsidRPr="003B746C">
                        <w:rPr>
                          <w:rFonts w:cs="Arial"/>
                          <w:sz w:val="18"/>
                          <w:szCs w:val="20"/>
                        </w:rPr>
                        <w:t>REPORTABLE</w:t>
                      </w:r>
                      <w:r w:rsidR="00C0309A" w:rsidRPr="009433D9">
                        <w:rPr>
                          <w:rFonts w:cs="Arial"/>
                          <w:sz w:val="18"/>
                          <w:szCs w:val="20"/>
                        </w:rPr>
                        <w:t>:  NO</w:t>
                      </w:r>
                    </w:p>
                    <w:p w14:paraId="3ECD6FD5" w14:textId="6F1AFABB" w:rsidR="00C0309A" w:rsidRPr="009433D9" w:rsidRDefault="000E2670" w:rsidP="000E2670">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C0309A" w:rsidRPr="009433D9">
                        <w:rPr>
                          <w:rFonts w:cs="Arial"/>
                          <w:sz w:val="18"/>
                          <w:szCs w:val="20"/>
                        </w:rPr>
                        <w:t>OF INTEREST TO OTHER JUDGES: NO</w:t>
                      </w:r>
                    </w:p>
                    <w:p w14:paraId="6A481239" w14:textId="13F668B1" w:rsidR="00C0309A" w:rsidRPr="009433D9" w:rsidRDefault="000E2670" w:rsidP="000E2670">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C0309A" w:rsidRPr="009433D9">
                        <w:rPr>
                          <w:rFonts w:cs="Arial"/>
                          <w:sz w:val="18"/>
                          <w:szCs w:val="20"/>
                        </w:rPr>
                        <w:t>REVISED: NO</w:t>
                      </w:r>
                    </w:p>
                    <w:p w14:paraId="69EFF85C" w14:textId="7022BD9F" w:rsidR="00C0309A" w:rsidRPr="003B746C" w:rsidRDefault="00C0309A" w:rsidP="008049CC">
                      <w:pPr>
                        <w:spacing w:before="240" w:after="0"/>
                        <w:ind w:left="0"/>
                        <w:rPr>
                          <w:rFonts w:cs="Arial"/>
                          <w:b/>
                          <w:sz w:val="18"/>
                          <w:szCs w:val="20"/>
                        </w:rPr>
                      </w:pPr>
                      <w:r w:rsidRPr="009433D9">
                        <w:rPr>
                          <w:rFonts w:cs="Arial"/>
                          <w:b/>
                          <w:sz w:val="18"/>
                          <w:szCs w:val="20"/>
                        </w:rPr>
                        <w:tab/>
                      </w:r>
                      <w:r w:rsidR="008049CC">
                        <w:rPr>
                          <w:rFonts w:cs="Arial"/>
                          <w:b/>
                          <w:sz w:val="18"/>
                          <w:szCs w:val="20"/>
                        </w:rPr>
                        <w:t xml:space="preserve">                            </w:t>
                      </w:r>
                      <w:r w:rsidRPr="009433D9">
                        <w:rPr>
                          <w:rFonts w:cs="Arial"/>
                          <w:b/>
                          <w:sz w:val="18"/>
                          <w:szCs w:val="20"/>
                        </w:rPr>
                        <w:t>_________________________</w:t>
                      </w:r>
                    </w:p>
                    <w:p w14:paraId="3617D197" w14:textId="7A941E34" w:rsidR="00C0309A" w:rsidRPr="003B746C" w:rsidRDefault="00C0309A" w:rsidP="008049CC">
                      <w:pPr>
                        <w:ind w:left="0"/>
                        <w:rPr>
                          <w:rFonts w:cs="Arial"/>
                          <w:sz w:val="18"/>
                          <w:szCs w:val="20"/>
                        </w:rPr>
                      </w:pPr>
                      <w:r w:rsidRPr="003B746C">
                        <w:rPr>
                          <w:rFonts w:cs="Arial"/>
                          <w:sz w:val="18"/>
                          <w:szCs w:val="20"/>
                        </w:rPr>
                        <w:t>DATE</w:t>
                      </w:r>
                      <w:r w:rsidR="008049CC">
                        <w:rPr>
                          <w:rFonts w:cs="Arial"/>
                          <w:sz w:val="18"/>
                          <w:szCs w:val="20"/>
                        </w:rPr>
                        <w:t xml:space="preserve"> 17/7/23</w:t>
                      </w:r>
                      <w:r w:rsidRPr="003B746C">
                        <w:rPr>
                          <w:rFonts w:cs="Arial"/>
                          <w:sz w:val="18"/>
                          <w:szCs w:val="20"/>
                        </w:rPr>
                        <w:tab/>
                      </w:r>
                      <w:r w:rsidRPr="003B746C">
                        <w:rPr>
                          <w:rFonts w:cs="Arial"/>
                          <w:sz w:val="18"/>
                          <w:szCs w:val="20"/>
                        </w:rPr>
                        <w:tab/>
                        <w:t xml:space="preserve"> </w:t>
                      </w:r>
                      <w:r w:rsidR="008049CC">
                        <w:rPr>
                          <w:rFonts w:cs="Arial"/>
                          <w:sz w:val="18"/>
                          <w:szCs w:val="20"/>
                        </w:rPr>
                        <w:t xml:space="preserve">                </w:t>
                      </w:r>
                      <w:r w:rsidRPr="003B746C">
                        <w:rPr>
                          <w:rFonts w:cs="Arial"/>
                          <w:sz w:val="18"/>
                          <w:szCs w:val="20"/>
                        </w:rPr>
                        <w:t>SIGNATURE</w:t>
                      </w:r>
                    </w:p>
                  </w:txbxContent>
                </v:textbox>
                <w10:wrap anchorx="margin"/>
              </v:shape>
            </w:pict>
          </mc:Fallback>
        </mc:AlternateContent>
      </w:r>
    </w:p>
    <w:p w14:paraId="75C3C057" w14:textId="54F41178" w:rsidR="00C0309A" w:rsidRPr="007B7F59" w:rsidRDefault="00C0309A" w:rsidP="00C0309A">
      <w:pPr>
        <w:tabs>
          <w:tab w:val="left" w:pos="8998"/>
        </w:tabs>
        <w:spacing w:after="0" w:line="240" w:lineRule="auto"/>
        <w:ind w:left="0"/>
        <w:rPr>
          <w:rFonts w:eastAsia="Times New Roman" w:cs="Arial"/>
          <w:szCs w:val="24"/>
          <w:lang w:val="en-ZA"/>
        </w:rPr>
      </w:pPr>
    </w:p>
    <w:p w14:paraId="71B6B02E" w14:textId="75B364F4" w:rsidR="00C0309A" w:rsidRPr="007B7F59" w:rsidRDefault="00C0309A" w:rsidP="00C0309A">
      <w:pPr>
        <w:tabs>
          <w:tab w:val="left" w:pos="8998"/>
        </w:tabs>
        <w:spacing w:after="0" w:line="240" w:lineRule="auto"/>
        <w:ind w:left="0"/>
        <w:rPr>
          <w:rFonts w:eastAsia="Times New Roman" w:cs="Arial"/>
          <w:szCs w:val="24"/>
          <w:lang w:val="en-ZA"/>
        </w:rPr>
      </w:pPr>
    </w:p>
    <w:p w14:paraId="0891C82E" w14:textId="77777777" w:rsidR="00C0309A" w:rsidRPr="007B7F59" w:rsidRDefault="00C0309A" w:rsidP="00C0309A">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5BB93CBD" w14:textId="77777777" w:rsidR="00C0309A" w:rsidRPr="007B7F59" w:rsidRDefault="00C0309A" w:rsidP="00C0309A">
      <w:pPr>
        <w:tabs>
          <w:tab w:val="right" w:pos="9029"/>
        </w:tabs>
        <w:spacing w:after="0" w:line="240" w:lineRule="auto"/>
        <w:ind w:left="0"/>
        <w:rPr>
          <w:rFonts w:eastAsia="Times New Roman" w:cs="Arial"/>
          <w:szCs w:val="24"/>
          <w:lang w:val="en-ZA"/>
        </w:rPr>
      </w:pPr>
    </w:p>
    <w:p w14:paraId="6C5C090E" w14:textId="77777777" w:rsidR="00C0309A" w:rsidRPr="007B7F59" w:rsidRDefault="00C0309A" w:rsidP="00C0309A">
      <w:pPr>
        <w:tabs>
          <w:tab w:val="right" w:pos="9029"/>
        </w:tabs>
        <w:spacing w:after="0" w:line="240" w:lineRule="auto"/>
        <w:ind w:left="0"/>
        <w:rPr>
          <w:rFonts w:eastAsia="Times New Roman" w:cs="Arial"/>
          <w:szCs w:val="24"/>
          <w:lang w:val="en-ZA"/>
        </w:rPr>
      </w:pPr>
    </w:p>
    <w:p w14:paraId="21D45B98"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6ACA9348"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788132C7" w14:textId="77777777" w:rsidR="00C0309A" w:rsidRPr="007B7F59" w:rsidRDefault="00C0309A" w:rsidP="00C0309A">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0F8605CA"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2398D5D9"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3950B9E7" w14:textId="49F1903F" w:rsidR="00C0309A" w:rsidRPr="007B7F59" w:rsidRDefault="00EE3A1F" w:rsidP="00C0309A">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RUDY LOURENCO</w:t>
      </w:r>
      <w:r w:rsidR="00C0309A" w:rsidRPr="007B7F59">
        <w:rPr>
          <w:rFonts w:eastAsia="Times New Roman" w:cs="Arial"/>
          <w:b/>
          <w:szCs w:val="24"/>
          <w:lang w:val="en-ZA"/>
        </w:rPr>
        <w:tab/>
      </w:r>
      <w:r>
        <w:rPr>
          <w:rFonts w:eastAsia="Times New Roman" w:cs="Arial"/>
          <w:szCs w:val="24"/>
          <w:lang w:val="en-ZA"/>
        </w:rPr>
        <w:t>First Applicant</w:t>
      </w:r>
    </w:p>
    <w:p w14:paraId="174F3A59" w14:textId="77777777" w:rsidR="00C0309A" w:rsidRPr="007B7F59" w:rsidRDefault="00C0309A" w:rsidP="00C0309A">
      <w:pPr>
        <w:tabs>
          <w:tab w:val="right" w:pos="9029"/>
        </w:tabs>
        <w:spacing w:after="0" w:line="240" w:lineRule="auto"/>
        <w:ind w:left="0"/>
        <w:contextualSpacing/>
        <w:rPr>
          <w:rFonts w:eastAsia="Times New Roman" w:cs="Arial"/>
          <w:szCs w:val="24"/>
          <w:lang w:val="en-ZA"/>
        </w:rPr>
      </w:pPr>
    </w:p>
    <w:p w14:paraId="167D9CA9" w14:textId="1E3C5590" w:rsidR="00EE3A1F" w:rsidRPr="007B7F59" w:rsidRDefault="00EE3A1F" w:rsidP="00EE3A1F">
      <w:pPr>
        <w:tabs>
          <w:tab w:val="right" w:pos="9029"/>
        </w:tabs>
        <w:spacing w:after="0" w:line="240" w:lineRule="auto"/>
        <w:ind w:left="0"/>
        <w:contextualSpacing/>
        <w:rPr>
          <w:rFonts w:eastAsia="Times New Roman" w:cs="Arial"/>
          <w:szCs w:val="24"/>
          <w:lang w:val="en-ZA"/>
        </w:rPr>
      </w:pPr>
      <w:r>
        <w:rPr>
          <w:rFonts w:eastAsia="Times New Roman" w:cs="Times New Roman"/>
          <w:b/>
          <w:kern w:val="28"/>
          <w:szCs w:val="24"/>
          <w:lang w:eastAsia="en-GB"/>
        </w:rPr>
        <w:t>TANYA CHAMMAS</w:t>
      </w:r>
      <w:r w:rsidRPr="007B7F59">
        <w:rPr>
          <w:rFonts w:eastAsia="Times New Roman" w:cs="Arial"/>
          <w:b/>
          <w:szCs w:val="24"/>
          <w:lang w:val="en-ZA"/>
        </w:rPr>
        <w:tab/>
      </w:r>
      <w:r>
        <w:rPr>
          <w:rFonts w:eastAsia="Times New Roman" w:cs="Arial"/>
          <w:szCs w:val="24"/>
          <w:lang w:val="en-ZA"/>
        </w:rPr>
        <w:t xml:space="preserve">Second </w:t>
      </w:r>
      <w:r w:rsidRPr="007B7F59">
        <w:rPr>
          <w:rFonts w:eastAsia="Times New Roman" w:cs="Arial"/>
          <w:szCs w:val="24"/>
          <w:lang w:val="en-ZA"/>
        </w:rPr>
        <w:t>Applicant</w:t>
      </w:r>
    </w:p>
    <w:p w14:paraId="6596E7B7" w14:textId="4BB5BE78" w:rsidR="00EE3A1F" w:rsidRPr="007B7F59" w:rsidRDefault="00EE3A1F" w:rsidP="00EE3A1F">
      <w:pPr>
        <w:tabs>
          <w:tab w:val="right" w:pos="9029"/>
        </w:tabs>
        <w:spacing w:after="0" w:line="240" w:lineRule="auto"/>
        <w:ind w:left="0"/>
        <w:contextualSpacing/>
        <w:rPr>
          <w:rFonts w:eastAsia="Times New Roman" w:cs="Arial"/>
          <w:b/>
          <w:szCs w:val="24"/>
          <w:lang w:val="en-ZA"/>
        </w:rPr>
      </w:pPr>
    </w:p>
    <w:p w14:paraId="557E36B5" w14:textId="77777777" w:rsidR="00C0309A" w:rsidRPr="007B7F59" w:rsidRDefault="00C0309A" w:rsidP="00C0309A">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66059771" w14:textId="77777777" w:rsidR="00C0309A" w:rsidRPr="007B7F59" w:rsidRDefault="00C0309A" w:rsidP="00C0309A">
      <w:pPr>
        <w:tabs>
          <w:tab w:val="right" w:pos="9029"/>
        </w:tabs>
        <w:spacing w:after="0" w:line="240" w:lineRule="auto"/>
        <w:ind w:left="0"/>
        <w:contextualSpacing/>
        <w:rPr>
          <w:rFonts w:eastAsia="Times New Roman" w:cs="Arial"/>
          <w:szCs w:val="24"/>
          <w:lang w:val="en-ZA"/>
        </w:rPr>
      </w:pPr>
    </w:p>
    <w:p w14:paraId="7F8FB425" w14:textId="422C4016" w:rsidR="00C0309A" w:rsidRPr="007B7F59" w:rsidRDefault="00EE3A1F" w:rsidP="00C0309A">
      <w:pPr>
        <w:tabs>
          <w:tab w:val="right" w:pos="9029"/>
        </w:tabs>
        <w:spacing w:after="0" w:line="240" w:lineRule="auto"/>
        <w:ind w:left="0"/>
        <w:contextualSpacing/>
        <w:rPr>
          <w:rFonts w:eastAsia="Times New Roman" w:cs="Arial"/>
          <w:szCs w:val="24"/>
          <w:lang w:val="en-ZA"/>
        </w:rPr>
      </w:pPr>
      <w:r>
        <w:rPr>
          <w:rFonts w:cs="Arial"/>
          <w:b/>
          <w:szCs w:val="24"/>
        </w:rPr>
        <w:t>TRACEY LOURENCO</w:t>
      </w:r>
      <w:r w:rsidR="00C0309A" w:rsidRPr="007B7F59">
        <w:rPr>
          <w:rFonts w:cs="Arial"/>
          <w:b/>
          <w:szCs w:val="24"/>
          <w:lang w:val="en-ZA"/>
        </w:rPr>
        <w:tab/>
      </w:r>
      <w:r w:rsidR="00D92EED">
        <w:rPr>
          <w:rFonts w:cs="Arial"/>
          <w:bCs/>
          <w:szCs w:val="24"/>
          <w:lang w:val="en-ZA"/>
        </w:rPr>
        <w:t xml:space="preserve">First </w:t>
      </w:r>
      <w:r w:rsidR="00C0309A" w:rsidRPr="007B7F59">
        <w:rPr>
          <w:rFonts w:eastAsia="Times New Roman" w:cs="Arial"/>
          <w:szCs w:val="24"/>
          <w:lang w:val="en-ZA"/>
        </w:rPr>
        <w:t>Respondent</w:t>
      </w:r>
    </w:p>
    <w:p w14:paraId="46FEF770" w14:textId="77777777" w:rsidR="00C0309A" w:rsidRPr="007B7F59" w:rsidRDefault="00C0309A" w:rsidP="00C0309A">
      <w:pPr>
        <w:tabs>
          <w:tab w:val="right" w:pos="9029"/>
        </w:tabs>
        <w:spacing w:after="0" w:line="240" w:lineRule="auto"/>
        <w:ind w:left="0"/>
        <w:contextualSpacing/>
        <w:rPr>
          <w:rFonts w:cs="Arial"/>
          <w:b/>
          <w:szCs w:val="24"/>
        </w:rPr>
      </w:pPr>
    </w:p>
    <w:p w14:paraId="571A4170" w14:textId="08ED84E7" w:rsidR="00D92EED" w:rsidRPr="007B7F59" w:rsidRDefault="00EE3A1F" w:rsidP="00D92EED">
      <w:pPr>
        <w:tabs>
          <w:tab w:val="right" w:pos="9029"/>
        </w:tabs>
        <w:spacing w:after="0" w:line="240" w:lineRule="auto"/>
        <w:ind w:left="0"/>
        <w:contextualSpacing/>
        <w:rPr>
          <w:rFonts w:eastAsia="Times New Roman" w:cs="Arial"/>
          <w:b/>
          <w:szCs w:val="24"/>
          <w:lang w:val="en-ZA"/>
        </w:rPr>
      </w:pPr>
      <w:bookmarkStart w:id="0" w:name="_Hlk140479949"/>
      <w:r>
        <w:rPr>
          <w:rFonts w:eastAsia="Times New Roman" w:cs="Arial"/>
          <w:b/>
          <w:szCs w:val="24"/>
          <w:lang w:val="en-ZA"/>
        </w:rPr>
        <w:t>THE MASTER OF THE HIGH COURT, JOHANNESBURG</w:t>
      </w:r>
      <w:r w:rsidR="00D92EED" w:rsidRPr="007B7F59">
        <w:rPr>
          <w:rFonts w:eastAsia="Times New Roman" w:cs="Arial"/>
          <w:b/>
          <w:szCs w:val="24"/>
          <w:lang w:val="en-ZA"/>
        </w:rPr>
        <w:tab/>
      </w:r>
      <w:r w:rsidR="00D92EED" w:rsidRPr="007B7F59">
        <w:rPr>
          <w:rFonts w:eastAsia="Times New Roman" w:cs="Arial"/>
          <w:szCs w:val="24"/>
          <w:lang w:val="en-ZA"/>
        </w:rPr>
        <w:t xml:space="preserve">Second </w:t>
      </w:r>
      <w:r w:rsidR="00D92EED">
        <w:rPr>
          <w:rFonts w:eastAsia="Times New Roman" w:cs="Arial"/>
          <w:szCs w:val="24"/>
          <w:lang w:val="en-ZA"/>
        </w:rPr>
        <w:t>Respondent</w:t>
      </w:r>
    </w:p>
    <w:p w14:paraId="6DF56702" w14:textId="77777777" w:rsidR="00EE3A1F" w:rsidRPr="007B7F59" w:rsidRDefault="00EE3A1F" w:rsidP="00EE3A1F">
      <w:pPr>
        <w:tabs>
          <w:tab w:val="right" w:pos="9029"/>
        </w:tabs>
        <w:spacing w:after="0" w:line="240" w:lineRule="auto"/>
        <w:ind w:left="0"/>
        <w:contextualSpacing/>
        <w:rPr>
          <w:rFonts w:eastAsia="Times New Roman" w:cs="Arial"/>
          <w:szCs w:val="24"/>
          <w:lang w:val="en-ZA"/>
        </w:rPr>
      </w:pPr>
    </w:p>
    <w:p w14:paraId="7A7DB4B5" w14:textId="3BD1FE5A" w:rsidR="00EE3A1F" w:rsidRPr="007B7F59" w:rsidRDefault="00EE3A1F" w:rsidP="00EE3A1F">
      <w:pPr>
        <w:tabs>
          <w:tab w:val="right" w:pos="9029"/>
        </w:tabs>
        <w:spacing w:after="0" w:line="240" w:lineRule="auto"/>
        <w:ind w:left="0"/>
        <w:contextualSpacing/>
        <w:rPr>
          <w:rFonts w:eastAsia="Times New Roman" w:cs="Arial"/>
          <w:szCs w:val="24"/>
          <w:lang w:val="en-ZA"/>
        </w:rPr>
      </w:pPr>
      <w:bookmarkStart w:id="1" w:name="_Hlk140479922"/>
      <w:r>
        <w:rPr>
          <w:rFonts w:cs="Arial"/>
          <w:b/>
          <w:szCs w:val="24"/>
        </w:rPr>
        <w:t>CAPITAL LEGACY (PTY) LTD</w:t>
      </w:r>
      <w:r w:rsidRPr="007B7F59">
        <w:rPr>
          <w:rFonts w:cs="Arial"/>
          <w:b/>
          <w:szCs w:val="24"/>
          <w:lang w:val="en-ZA"/>
        </w:rPr>
        <w:tab/>
      </w:r>
      <w:r>
        <w:rPr>
          <w:rFonts w:cs="Arial"/>
          <w:bCs/>
          <w:szCs w:val="24"/>
          <w:lang w:val="en-ZA"/>
        </w:rPr>
        <w:t xml:space="preserve">Third </w:t>
      </w:r>
      <w:r w:rsidRPr="007B7F59">
        <w:rPr>
          <w:rFonts w:eastAsia="Times New Roman" w:cs="Arial"/>
          <w:szCs w:val="24"/>
          <w:lang w:val="en-ZA"/>
        </w:rPr>
        <w:t>Respondent</w:t>
      </w:r>
    </w:p>
    <w:bookmarkEnd w:id="0"/>
    <w:bookmarkEnd w:id="1"/>
    <w:p w14:paraId="438A73C6" w14:textId="77777777" w:rsidR="00EE3A1F" w:rsidRPr="007B7F59" w:rsidRDefault="00EE3A1F" w:rsidP="00EE3A1F">
      <w:pPr>
        <w:tabs>
          <w:tab w:val="right" w:pos="9029"/>
        </w:tabs>
        <w:spacing w:after="0" w:line="240" w:lineRule="auto"/>
        <w:ind w:left="0"/>
        <w:contextualSpacing/>
        <w:rPr>
          <w:rFonts w:cs="Arial"/>
          <w:b/>
          <w:szCs w:val="24"/>
        </w:rPr>
      </w:pPr>
    </w:p>
    <w:p w14:paraId="31883BB0" w14:textId="278DD6F5" w:rsidR="00EE3A1F" w:rsidRPr="007B7F59" w:rsidRDefault="00FD650B" w:rsidP="00EE3A1F">
      <w:pPr>
        <w:tabs>
          <w:tab w:val="right" w:pos="9029"/>
        </w:tabs>
        <w:spacing w:after="0" w:line="240" w:lineRule="auto"/>
        <w:ind w:left="0"/>
        <w:contextualSpacing/>
        <w:rPr>
          <w:rFonts w:eastAsia="Times New Roman" w:cs="Arial"/>
          <w:b/>
          <w:szCs w:val="24"/>
          <w:lang w:val="en-ZA"/>
        </w:rPr>
      </w:pPr>
      <w:r w:rsidRPr="00FD650B">
        <w:rPr>
          <w:rFonts w:eastAsia="Times New Roman" w:cs="Arial"/>
          <w:bCs/>
          <w:szCs w:val="24"/>
          <w:lang w:val="en-ZA"/>
        </w:rPr>
        <w:t>In re:</w:t>
      </w:r>
      <w:r w:rsidR="00EE3A1F" w:rsidRPr="007B7F59">
        <w:rPr>
          <w:rFonts w:eastAsia="Times New Roman" w:cs="Arial"/>
          <w:b/>
          <w:szCs w:val="24"/>
          <w:lang w:val="en-ZA"/>
        </w:rPr>
        <w:tab/>
      </w:r>
    </w:p>
    <w:p w14:paraId="2AD80D50" w14:textId="77777777" w:rsidR="00FD650B" w:rsidRPr="007B7F59" w:rsidRDefault="00FD650B" w:rsidP="00FD650B">
      <w:pPr>
        <w:tabs>
          <w:tab w:val="right" w:pos="9029"/>
        </w:tabs>
        <w:spacing w:after="0" w:line="240" w:lineRule="auto"/>
        <w:ind w:left="0"/>
        <w:contextualSpacing/>
        <w:rPr>
          <w:rFonts w:eastAsia="Times New Roman" w:cs="Arial"/>
          <w:szCs w:val="24"/>
          <w:lang w:val="en-ZA"/>
        </w:rPr>
      </w:pPr>
    </w:p>
    <w:p w14:paraId="3D838D21" w14:textId="116635D0" w:rsidR="00FD650B" w:rsidRPr="007B7F59" w:rsidRDefault="00FD650B" w:rsidP="00FD650B">
      <w:pPr>
        <w:tabs>
          <w:tab w:val="right" w:pos="9029"/>
        </w:tabs>
        <w:spacing w:after="0" w:line="240" w:lineRule="auto"/>
        <w:ind w:left="0"/>
        <w:contextualSpacing/>
        <w:rPr>
          <w:rFonts w:eastAsia="Times New Roman" w:cs="Arial"/>
          <w:szCs w:val="24"/>
          <w:lang w:val="en-ZA"/>
        </w:rPr>
      </w:pPr>
      <w:r>
        <w:rPr>
          <w:rFonts w:cs="Arial"/>
          <w:b/>
          <w:szCs w:val="24"/>
        </w:rPr>
        <w:t>TRACEY LOURENCO</w:t>
      </w:r>
      <w:r w:rsidRPr="007B7F59">
        <w:rPr>
          <w:rFonts w:cs="Arial"/>
          <w:b/>
          <w:szCs w:val="24"/>
          <w:lang w:val="en-ZA"/>
        </w:rPr>
        <w:tab/>
      </w:r>
      <w:r>
        <w:rPr>
          <w:rFonts w:cs="Arial"/>
          <w:bCs/>
          <w:szCs w:val="24"/>
          <w:lang w:val="en-ZA"/>
        </w:rPr>
        <w:t>Applicant</w:t>
      </w:r>
    </w:p>
    <w:p w14:paraId="7ACA075F" w14:textId="77777777" w:rsidR="00FD650B" w:rsidRPr="007B7F59" w:rsidRDefault="00FD650B" w:rsidP="00FD650B">
      <w:pPr>
        <w:tabs>
          <w:tab w:val="right" w:pos="9029"/>
        </w:tabs>
        <w:spacing w:after="0" w:line="240" w:lineRule="auto"/>
        <w:ind w:left="0"/>
        <w:contextualSpacing/>
        <w:rPr>
          <w:rFonts w:cs="Arial"/>
          <w:b/>
          <w:szCs w:val="24"/>
        </w:rPr>
      </w:pPr>
    </w:p>
    <w:p w14:paraId="3389C64B" w14:textId="2752A7CB" w:rsidR="00FD650B" w:rsidRPr="007B7F59" w:rsidRDefault="00FD650B" w:rsidP="00FD650B">
      <w:pPr>
        <w:tabs>
          <w:tab w:val="right" w:pos="9029"/>
        </w:tabs>
        <w:spacing w:after="0" w:line="240" w:lineRule="auto"/>
        <w:ind w:left="0"/>
        <w:contextualSpacing/>
        <w:rPr>
          <w:rFonts w:eastAsia="Times New Roman" w:cs="Arial"/>
          <w:b/>
          <w:szCs w:val="24"/>
          <w:lang w:val="en-ZA"/>
        </w:rPr>
      </w:pPr>
      <w:r>
        <w:rPr>
          <w:rFonts w:eastAsia="Times New Roman" w:cs="Arial"/>
          <w:bCs/>
          <w:szCs w:val="24"/>
          <w:lang w:val="en-ZA"/>
        </w:rPr>
        <w:t>and</w:t>
      </w:r>
    </w:p>
    <w:p w14:paraId="0E505D33" w14:textId="77777777" w:rsidR="00FD650B" w:rsidRPr="007B7F59" w:rsidRDefault="00FD650B" w:rsidP="00FD650B">
      <w:pPr>
        <w:tabs>
          <w:tab w:val="right" w:pos="9029"/>
        </w:tabs>
        <w:spacing w:after="0" w:line="240" w:lineRule="auto"/>
        <w:ind w:left="0"/>
        <w:contextualSpacing/>
        <w:rPr>
          <w:rFonts w:cs="Arial"/>
          <w:b/>
          <w:szCs w:val="24"/>
        </w:rPr>
      </w:pPr>
    </w:p>
    <w:p w14:paraId="526690B9" w14:textId="0679567B" w:rsidR="00EE3A1F" w:rsidRPr="00FD650B" w:rsidRDefault="00FD650B" w:rsidP="00FD650B">
      <w:pPr>
        <w:tabs>
          <w:tab w:val="right" w:pos="9029"/>
        </w:tabs>
        <w:spacing w:after="0" w:line="240" w:lineRule="auto"/>
        <w:ind w:left="0"/>
        <w:contextualSpacing/>
        <w:rPr>
          <w:rFonts w:eastAsia="Times New Roman" w:cs="Arial"/>
          <w:b/>
          <w:szCs w:val="24"/>
          <w:lang w:val="en-ZA"/>
        </w:rPr>
      </w:pPr>
      <w:r w:rsidRPr="00FD650B">
        <w:rPr>
          <w:rFonts w:eastAsia="Times New Roman" w:cs="Arial"/>
          <w:b/>
          <w:szCs w:val="24"/>
          <w:lang w:val="en-ZA"/>
        </w:rPr>
        <w:t>THE MASTER OF THE HIGH COURT, JOHANNESBURG</w:t>
      </w:r>
      <w:r w:rsidRPr="007B7F59">
        <w:rPr>
          <w:rFonts w:eastAsia="Times New Roman" w:cs="Arial"/>
          <w:b/>
          <w:szCs w:val="24"/>
          <w:lang w:val="en-ZA"/>
        </w:rPr>
        <w:tab/>
      </w:r>
      <w:r>
        <w:rPr>
          <w:rFonts w:eastAsia="Times New Roman" w:cs="Arial"/>
          <w:szCs w:val="24"/>
          <w:lang w:val="en-ZA"/>
        </w:rPr>
        <w:t>Respondent</w:t>
      </w:r>
    </w:p>
    <w:p w14:paraId="3E67513D" w14:textId="77777777" w:rsidR="00C0309A" w:rsidRPr="007B7F59" w:rsidRDefault="00C0309A" w:rsidP="00C0309A">
      <w:pPr>
        <w:pBdr>
          <w:bottom w:val="single" w:sz="12" w:space="1" w:color="auto"/>
        </w:pBdr>
        <w:spacing w:after="0" w:line="240" w:lineRule="auto"/>
        <w:ind w:left="0"/>
        <w:jc w:val="left"/>
        <w:rPr>
          <w:rFonts w:cs="Arial"/>
          <w:b/>
          <w:szCs w:val="24"/>
          <w:lang w:val="en-ZA"/>
        </w:rPr>
      </w:pPr>
    </w:p>
    <w:p w14:paraId="1CA46AED" w14:textId="77777777" w:rsidR="00C0309A" w:rsidRPr="007B7F59" w:rsidRDefault="00C0309A" w:rsidP="00C0309A">
      <w:pPr>
        <w:spacing w:after="0" w:line="240" w:lineRule="auto"/>
        <w:ind w:left="1440" w:hanging="1440"/>
        <w:jc w:val="left"/>
        <w:rPr>
          <w:rFonts w:cs="Arial"/>
          <w:b/>
          <w:szCs w:val="24"/>
        </w:rPr>
      </w:pPr>
    </w:p>
    <w:p w14:paraId="6AA6D0CD" w14:textId="77777777" w:rsidR="00C0309A" w:rsidRPr="007B7F59" w:rsidRDefault="00C0309A" w:rsidP="00C0309A">
      <w:pPr>
        <w:pBdr>
          <w:bottom w:val="single" w:sz="12" w:space="1" w:color="auto"/>
        </w:pBdr>
        <w:spacing w:line="480" w:lineRule="auto"/>
        <w:ind w:left="0"/>
        <w:jc w:val="center"/>
        <w:rPr>
          <w:rFonts w:cs="Arial"/>
          <w:b/>
          <w:szCs w:val="24"/>
          <w:lang w:val="en-ZA"/>
        </w:rPr>
      </w:pPr>
      <w:r>
        <w:rPr>
          <w:rFonts w:cs="Arial"/>
          <w:b/>
          <w:szCs w:val="24"/>
          <w:lang w:val="en-ZA"/>
        </w:rPr>
        <w:t>ORDER</w:t>
      </w:r>
    </w:p>
    <w:p w14:paraId="2EB0837C" w14:textId="4F0528AE" w:rsidR="00661188" w:rsidRDefault="000E2670" w:rsidP="000E2670">
      <w:pPr>
        <w:pStyle w:val="JudgmentNumbered"/>
        <w:numPr>
          <w:ilvl w:val="0"/>
          <w:numId w:val="0"/>
        </w:numPr>
        <w:ind w:left="567" w:hanging="567"/>
      </w:pPr>
      <w:r>
        <w:lastRenderedPageBreak/>
        <w:t>[1]</w:t>
      </w:r>
      <w:r>
        <w:tab/>
      </w:r>
      <w:r w:rsidR="00C0309A">
        <w:t>T</w:t>
      </w:r>
      <w:r w:rsidR="00661188">
        <w:t>he order under this case number handed down on 07 December 2020 by this court is rescinded.</w:t>
      </w:r>
    </w:p>
    <w:p w14:paraId="3AB6A33A" w14:textId="677D5A7C" w:rsidR="00D92EED" w:rsidRPr="00D92EED" w:rsidRDefault="000E2670" w:rsidP="000E2670">
      <w:pPr>
        <w:pStyle w:val="JudgmentNumbered"/>
        <w:numPr>
          <w:ilvl w:val="0"/>
          <w:numId w:val="0"/>
        </w:numPr>
        <w:ind w:left="567" w:hanging="567"/>
      </w:pPr>
      <w:r w:rsidRPr="00D92EED">
        <w:t>[2]</w:t>
      </w:r>
      <w:r w:rsidRPr="00D92EED">
        <w:tab/>
      </w:r>
      <w:r w:rsidR="00661188">
        <w:t>The respondent is to pay the costs of this rescission application on the scale as between attorney and client.</w:t>
      </w:r>
    </w:p>
    <w:p w14:paraId="11C0C11A" w14:textId="77777777" w:rsidR="00C0309A" w:rsidRPr="007B7F59" w:rsidRDefault="00C0309A" w:rsidP="00C0309A">
      <w:pPr>
        <w:pBdr>
          <w:bottom w:val="single" w:sz="12" w:space="1" w:color="auto"/>
        </w:pBdr>
        <w:spacing w:after="0" w:line="240" w:lineRule="auto"/>
        <w:ind w:left="0"/>
        <w:jc w:val="left"/>
        <w:rPr>
          <w:rFonts w:cs="Arial"/>
          <w:b/>
          <w:szCs w:val="24"/>
          <w:lang w:val="en-ZA"/>
        </w:rPr>
      </w:pPr>
    </w:p>
    <w:p w14:paraId="2ABCBB18" w14:textId="77777777" w:rsidR="00C0309A" w:rsidRPr="007B7F59" w:rsidRDefault="00C0309A" w:rsidP="00C0309A">
      <w:pPr>
        <w:spacing w:after="0" w:line="240" w:lineRule="auto"/>
        <w:ind w:left="1440" w:hanging="1440"/>
        <w:jc w:val="left"/>
        <w:rPr>
          <w:rFonts w:cs="Arial"/>
          <w:b/>
          <w:szCs w:val="24"/>
        </w:rPr>
      </w:pPr>
    </w:p>
    <w:p w14:paraId="25625E7D" w14:textId="77777777" w:rsidR="00C0309A" w:rsidRPr="00B021F2" w:rsidRDefault="00C0309A" w:rsidP="00C0309A">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49CFA1EC" w14:textId="77777777" w:rsidR="00C0309A" w:rsidRPr="007B7F59" w:rsidRDefault="00C0309A" w:rsidP="00C0309A">
      <w:pPr>
        <w:spacing w:after="0" w:line="240" w:lineRule="auto"/>
        <w:ind w:left="0"/>
        <w:jc w:val="left"/>
        <w:rPr>
          <w:rFonts w:cs="Arial"/>
          <w:szCs w:val="24"/>
        </w:rPr>
      </w:pPr>
      <w:r>
        <w:rPr>
          <w:rFonts w:cs="Arial"/>
          <w:szCs w:val="24"/>
        </w:rPr>
        <w:t>Fisher J</w:t>
      </w:r>
    </w:p>
    <w:p w14:paraId="3D83C3A2" w14:textId="77777777" w:rsidR="00C0309A" w:rsidRPr="007B7F59" w:rsidRDefault="00C0309A" w:rsidP="00C0309A">
      <w:pPr>
        <w:spacing w:after="0" w:line="240" w:lineRule="auto"/>
        <w:ind w:left="0"/>
        <w:jc w:val="left"/>
        <w:rPr>
          <w:rFonts w:cs="Arial"/>
          <w:szCs w:val="24"/>
        </w:rPr>
      </w:pPr>
    </w:p>
    <w:p w14:paraId="02F50315" w14:textId="77777777" w:rsidR="00C0309A" w:rsidRPr="007B7F59" w:rsidRDefault="00C0309A" w:rsidP="00C0309A">
      <w:pPr>
        <w:spacing w:after="0" w:line="240" w:lineRule="auto"/>
        <w:ind w:left="0"/>
        <w:jc w:val="left"/>
        <w:rPr>
          <w:rFonts w:cs="Arial"/>
          <w:szCs w:val="24"/>
        </w:rPr>
      </w:pPr>
    </w:p>
    <w:p w14:paraId="20726558" w14:textId="4819ACF8" w:rsidR="00D87AA7" w:rsidRPr="0065585A" w:rsidRDefault="00C0309A" w:rsidP="0065585A">
      <w:pPr>
        <w:pStyle w:val="JudgmentHeading"/>
      </w:pPr>
      <w:r>
        <w:t>Introduction</w:t>
      </w:r>
    </w:p>
    <w:p w14:paraId="02EF6EEF" w14:textId="757A14D0" w:rsidR="008049CC" w:rsidRDefault="000E2670" w:rsidP="000E2670">
      <w:pPr>
        <w:pStyle w:val="JudgmentNumbered"/>
        <w:numPr>
          <w:ilvl w:val="0"/>
          <w:numId w:val="0"/>
        </w:numPr>
        <w:ind w:left="567" w:hanging="567"/>
      </w:pPr>
      <w:r>
        <w:t>[1]</w:t>
      </w:r>
      <w:r>
        <w:tab/>
      </w:r>
      <w:r w:rsidR="00D87AA7">
        <w:t>The applicants seek to rescind a declaratory order granted by default under section 2 of the Wills Act.</w:t>
      </w:r>
      <w:r w:rsidR="00D87AA7">
        <w:rPr>
          <w:rStyle w:val="FootnoteReference"/>
        </w:rPr>
        <w:footnoteReference w:id="1"/>
      </w:r>
      <w:r w:rsidR="00D87AA7">
        <w:t xml:space="preserve"> </w:t>
      </w:r>
    </w:p>
    <w:p w14:paraId="27742FB3" w14:textId="30818FE5" w:rsidR="00D87AA7" w:rsidRDefault="000E2670" w:rsidP="000E2670">
      <w:pPr>
        <w:pStyle w:val="JudgmentNumbered"/>
        <w:numPr>
          <w:ilvl w:val="0"/>
          <w:numId w:val="0"/>
        </w:numPr>
        <w:ind w:left="567" w:hanging="567"/>
      </w:pPr>
      <w:r>
        <w:t>[2]</w:t>
      </w:r>
      <w:r>
        <w:tab/>
      </w:r>
      <w:r w:rsidR="00D87AA7">
        <w:t>The order declares a certain document which</w:t>
      </w:r>
      <w:r w:rsidR="00E139A6">
        <w:t>,</w:t>
      </w:r>
      <w:r w:rsidR="00D87AA7">
        <w:t xml:space="preserve"> on the face of it</w:t>
      </w:r>
      <w:r w:rsidR="00E139A6">
        <w:t>,</w:t>
      </w:r>
      <w:r w:rsidR="00D87AA7">
        <w:t xml:space="preserve"> comprises instructions and information provided to a company, Legacy Capital (Pty)</w:t>
      </w:r>
      <w:r w:rsidR="00CB1BB3">
        <w:t xml:space="preserve"> </w:t>
      </w:r>
      <w:r w:rsidR="00D87AA7">
        <w:t>Ltd</w:t>
      </w:r>
      <w:r w:rsidR="00CB1BB3">
        <w:t xml:space="preserve"> </w:t>
      </w:r>
      <w:r w:rsidR="00D87AA7">
        <w:t>(</w:t>
      </w:r>
      <w:r w:rsidR="00CB1BB3">
        <w:t>“</w:t>
      </w:r>
      <w:r w:rsidR="00D87AA7">
        <w:t>Legacy</w:t>
      </w:r>
      <w:r w:rsidR="00CB1BB3">
        <w:t>”</w:t>
      </w:r>
      <w:r w:rsidR="00D87AA7">
        <w:t>)</w:t>
      </w:r>
      <w:r w:rsidR="00CB1BB3">
        <w:t xml:space="preserve"> </w:t>
      </w:r>
      <w:r w:rsidR="00D87AA7">
        <w:t>which specialises in drafting of wills and the administration of estates, to be the last will of Jose Manual Lourenco (</w:t>
      </w:r>
      <w:r w:rsidR="00CB1BB3">
        <w:t>“</w:t>
      </w:r>
      <w:r w:rsidR="00D87AA7">
        <w:t>the deceased</w:t>
      </w:r>
      <w:r w:rsidR="00CB1BB3">
        <w:t>”</w:t>
      </w:r>
      <w:r w:rsidR="00D87AA7">
        <w:t xml:space="preserve">). </w:t>
      </w:r>
    </w:p>
    <w:p w14:paraId="2F56A5B8" w14:textId="69DF2454" w:rsidR="00D87AA7" w:rsidRDefault="000E2670" w:rsidP="000E2670">
      <w:pPr>
        <w:pStyle w:val="JudgmentNumbered"/>
        <w:numPr>
          <w:ilvl w:val="0"/>
          <w:numId w:val="0"/>
        </w:numPr>
        <w:ind w:left="567" w:hanging="567"/>
      </w:pPr>
      <w:r>
        <w:t>[3]</w:t>
      </w:r>
      <w:r>
        <w:tab/>
      </w:r>
      <w:r w:rsidR="00D87AA7">
        <w:t xml:space="preserve">The application is brought in terms of rule 42(1)(a) in that it was essentially taken </w:t>
      </w:r>
      <w:r w:rsidR="00D87AA7" w:rsidRPr="00CB1BB3">
        <w:rPr>
          <w:i/>
          <w:iCs/>
        </w:rPr>
        <w:t>ex parte</w:t>
      </w:r>
      <w:r w:rsidR="00D87AA7">
        <w:t xml:space="preserve"> in that only the Master was cited.</w:t>
      </w:r>
    </w:p>
    <w:p w14:paraId="53F98858" w14:textId="1882B825" w:rsidR="008049CC" w:rsidRDefault="000E2670" w:rsidP="000E2670">
      <w:pPr>
        <w:pStyle w:val="JudgmentNumbered"/>
        <w:numPr>
          <w:ilvl w:val="0"/>
          <w:numId w:val="0"/>
        </w:numPr>
        <w:ind w:left="567" w:hanging="567"/>
      </w:pPr>
      <w:r>
        <w:t>[4]</w:t>
      </w:r>
      <w:r>
        <w:tab/>
      </w:r>
      <w:r w:rsidR="00D87AA7">
        <w:t>The question to be determined is whether the applicants, on the facts, had an interest in the proceedings such that they should have been joined or at least given notice of the application.</w:t>
      </w:r>
    </w:p>
    <w:p w14:paraId="62D04F41" w14:textId="3A92458B" w:rsidR="00D92EED" w:rsidRDefault="000E2670" w:rsidP="000E2670">
      <w:pPr>
        <w:pStyle w:val="JudgmentNumbered"/>
        <w:numPr>
          <w:ilvl w:val="0"/>
          <w:numId w:val="0"/>
        </w:numPr>
        <w:ind w:left="567" w:hanging="567"/>
      </w:pPr>
      <w:r>
        <w:t>[5]</w:t>
      </w:r>
      <w:r>
        <w:tab/>
      </w:r>
      <w:r w:rsidR="00CB1BB3">
        <w:t xml:space="preserve"> </w:t>
      </w:r>
      <w:r w:rsidR="00D87AA7">
        <w:t>I turn to the material fact with this question in mind.</w:t>
      </w:r>
    </w:p>
    <w:p w14:paraId="2138B202" w14:textId="09403ECB" w:rsidR="00CB1BB3" w:rsidRPr="00CB1BB3" w:rsidRDefault="00CB1BB3" w:rsidP="00CB1BB3">
      <w:pPr>
        <w:pStyle w:val="JudgmentNumbered"/>
        <w:numPr>
          <w:ilvl w:val="0"/>
          <w:numId w:val="0"/>
        </w:numPr>
        <w:rPr>
          <w:i/>
          <w:iCs/>
        </w:rPr>
      </w:pPr>
      <w:r>
        <w:rPr>
          <w:i/>
          <w:iCs/>
        </w:rPr>
        <w:t>Material facts</w:t>
      </w:r>
    </w:p>
    <w:p w14:paraId="1CCB565B" w14:textId="26FFB367" w:rsidR="00CB1BB3" w:rsidRDefault="000E2670" w:rsidP="000E2670">
      <w:pPr>
        <w:pStyle w:val="JudgmentNumbered"/>
        <w:numPr>
          <w:ilvl w:val="0"/>
          <w:numId w:val="0"/>
        </w:numPr>
        <w:ind w:left="567" w:hanging="567"/>
      </w:pPr>
      <w:r>
        <w:t>[6]</w:t>
      </w:r>
      <w:r>
        <w:tab/>
      </w:r>
      <w:r w:rsidR="00CB1BB3">
        <w:t xml:space="preserve">The deceased was the father of the applicants. The respondent is the widow of the deceased. I will refer to the first and second applicants collectively as “the </w:t>
      </w:r>
      <w:r w:rsidR="00CB1BB3">
        <w:lastRenderedPageBreak/>
        <w:t>applicants” and independently as Rudi and Tanya. I will refer to the first respondent as</w:t>
      </w:r>
      <w:r w:rsidR="008049CC">
        <w:t xml:space="preserve"> </w:t>
      </w:r>
      <w:r w:rsidR="00E139A6">
        <w:t>“the</w:t>
      </w:r>
      <w:r w:rsidR="00CB1BB3">
        <w:t xml:space="preserve"> respondent</w:t>
      </w:r>
      <w:r w:rsidR="00E139A6">
        <w:t>”</w:t>
      </w:r>
      <w:r w:rsidR="00CB1BB3">
        <w:t>.</w:t>
      </w:r>
    </w:p>
    <w:p w14:paraId="424A4A0B" w14:textId="51398713" w:rsidR="00CB1BB3" w:rsidRDefault="000E2670" w:rsidP="000E2670">
      <w:pPr>
        <w:pStyle w:val="JudgmentNumbered"/>
        <w:numPr>
          <w:ilvl w:val="0"/>
          <w:numId w:val="0"/>
        </w:numPr>
        <w:ind w:left="567" w:hanging="567"/>
      </w:pPr>
      <w:r>
        <w:t>[7]</w:t>
      </w:r>
      <w:r>
        <w:tab/>
      </w:r>
      <w:r w:rsidR="00CB1BB3">
        <w:t>Tanya and the respondent have been duly appointed as co-executors of the deceased estate.</w:t>
      </w:r>
    </w:p>
    <w:p w14:paraId="37075D0A" w14:textId="244A4B5A" w:rsidR="00CB1BB3" w:rsidRDefault="000E2670" w:rsidP="000E2670">
      <w:pPr>
        <w:pStyle w:val="JudgmentNumbered"/>
        <w:numPr>
          <w:ilvl w:val="0"/>
          <w:numId w:val="0"/>
        </w:numPr>
        <w:ind w:left="567" w:hanging="567"/>
      </w:pPr>
      <w:r>
        <w:t>[8]</w:t>
      </w:r>
      <w:r>
        <w:tab/>
      </w:r>
      <w:r w:rsidR="00CB1BB3">
        <w:t>In terms of the document so declared as will of the deceased, the applicants would receive no inheritance. Their contention has been that the deceased estate should devolve according to the laws of intestacy which would allow the applicants to share in the division of the estate.</w:t>
      </w:r>
    </w:p>
    <w:p w14:paraId="3DE6EB93" w14:textId="162BAAF6" w:rsidR="008049CC" w:rsidRDefault="000E2670" w:rsidP="000E2670">
      <w:pPr>
        <w:pStyle w:val="JudgmentNumbered"/>
        <w:numPr>
          <w:ilvl w:val="0"/>
          <w:numId w:val="0"/>
        </w:numPr>
        <w:ind w:left="567" w:hanging="567"/>
      </w:pPr>
      <w:r>
        <w:t>[</w:t>
      </w:r>
      <w:bookmarkStart w:id="2" w:name="_GoBack"/>
      <w:bookmarkEnd w:id="2"/>
      <w:r>
        <w:t>9]</w:t>
      </w:r>
      <w:r>
        <w:tab/>
      </w:r>
      <w:r w:rsidR="00CB1BB3">
        <w:t>It seems that there</w:t>
      </w:r>
      <w:r w:rsidR="008049CC">
        <w:t xml:space="preserve"> were</w:t>
      </w:r>
      <w:r w:rsidR="00CB1BB3">
        <w:t xml:space="preserve"> initially </w:t>
      </w:r>
      <w:r w:rsidR="008049CC">
        <w:t>discussions</w:t>
      </w:r>
      <w:r w:rsidR="00CB1BB3">
        <w:t xml:space="preserve"> between the parties</w:t>
      </w:r>
      <w:r w:rsidR="008049CC">
        <w:t xml:space="preserve"> to the effect</w:t>
      </w:r>
      <w:r w:rsidR="00CB1BB3">
        <w:t xml:space="preserve"> that the estate would devolve as if intestate. </w:t>
      </w:r>
      <w:r w:rsidR="006E1B34">
        <w:t xml:space="preserve">There were also attempts to agree on the distribution of assets. </w:t>
      </w:r>
      <w:r w:rsidR="00CB1BB3">
        <w:t>The first and final liquidation report was initially drawn by Legacy wh</w:t>
      </w:r>
      <w:r w:rsidR="00EA284B">
        <w:t>ich</w:t>
      </w:r>
      <w:r w:rsidR="00CB1BB3">
        <w:t xml:space="preserve"> was assisting Tanya and the respondent to wind up the estate.</w:t>
      </w:r>
    </w:p>
    <w:p w14:paraId="308928B1" w14:textId="30DC801D" w:rsidR="00CB1BB3" w:rsidRDefault="000E2670" w:rsidP="000E2670">
      <w:pPr>
        <w:pStyle w:val="JudgmentNumbered"/>
        <w:numPr>
          <w:ilvl w:val="0"/>
          <w:numId w:val="0"/>
        </w:numPr>
        <w:ind w:left="567" w:hanging="567"/>
      </w:pPr>
      <w:r>
        <w:t>[10]</w:t>
      </w:r>
      <w:r>
        <w:tab/>
      </w:r>
      <w:r w:rsidR="00CB1BB3">
        <w:t xml:space="preserve"> During this administration of the estate</w:t>
      </w:r>
      <w:r w:rsidR="00A8524C">
        <w:t>,</w:t>
      </w:r>
      <w:r w:rsidR="00CB1BB3">
        <w:t xml:space="preserve"> the relationship between the respondent and the applicants broke down over</w:t>
      </w:r>
      <w:r w:rsidR="008049CC">
        <w:t>,</w:t>
      </w:r>
      <w:r w:rsidR="00CB1BB3">
        <w:t xml:space="preserve"> </w:t>
      </w:r>
      <w:r w:rsidR="00CB1BB3" w:rsidRPr="00AE1F2D">
        <w:rPr>
          <w:i/>
          <w:iCs/>
        </w:rPr>
        <w:t>inter alia</w:t>
      </w:r>
      <w:r w:rsidR="008049CC">
        <w:rPr>
          <w:i/>
          <w:iCs/>
        </w:rPr>
        <w:t>,</w:t>
      </w:r>
      <w:r w:rsidR="00CB1BB3">
        <w:t xml:space="preserve"> the distribution of certain assets in Portugal and amounts claimed by Rudi from the estate. </w:t>
      </w:r>
    </w:p>
    <w:p w14:paraId="18EAE2E6" w14:textId="576DF854" w:rsidR="00CB1BB3" w:rsidRDefault="000E2670" w:rsidP="000E2670">
      <w:pPr>
        <w:pStyle w:val="JudgmentNumbered"/>
        <w:numPr>
          <w:ilvl w:val="0"/>
          <w:numId w:val="0"/>
        </w:numPr>
        <w:ind w:left="567" w:hanging="567"/>
      </w:pPr>
      <w:r>
        <w:t>[11]</w:t>
      </w:r>
      <w:r>
        <w:tab/>
      </w:r>
      <w:r w:rsidR="00CB1BB3">
        <w:t xml:space="preserve">This disagreement appears to have </w:t>
      </w:r>
      <w:r w:rsidR="00AE1F2D">
        <w:t>been a</w:t>
      </w:r>
      <w:r w:rsidR="00CB1BB3">
        <w:t xml:space="preserve"> catalyst for the bringing by the respondent of the main application which was launched on 13 July 2020. The application was heard on 07 December 2020 and the order granted by default.</w:t>
      </w:r>
    </w:p>
    <w:p w14:paraId="134270CC" w14:textId="4FF725B2" w:rsidR="00CB1BB3" w:rsidRDefault="000E2670" w:rsidP="000E2670">
      <w:pPr>
        <w:pStyle w:val="JudgmentNumbered"/>
        <w:numPr>
          <w:ilvl w:val="0"/>
          <w:numId w:val="0"/>
        </w:numPr>
        <w:ind w:left="567" w:hanging="567"/>
      </w:pPr>
      <w:r>
        <w:t>[12]</w:t>
      </w:r>
      <w:r>
        <w:tab/>
      </w:r>
      <w:r w:rsidR="00CB1BB3">
        <w:t>The applicants first gained knowledge of the application</w:t>
      </w:r>
      <w:r w:rsidR="006E1B34">
        <w:t xml:space="preserve"> on 19 February 2021</w:t>
      </w:r>
      <w:r w:rsidR="00CB1BB3">
        <w:t xml:space="preserve"> by email from a consultant at Legacy, Mr Spamer Durr who had been involved for some time in the administration of the estate.</w:t>
      </w:r>
    </w:p>
    <w:p w14:paraId="76EDF61B" w14:textId="0FDA979D" w:rsidR="00CB1BB3" w:rsidRDefault="000E2670" w:rsidP="000E2670">
      <w:pPr>
        <w:pStyle w:val="JudgmentNumbered"/>
        <w:numPr>
          <w:ilvl w:val="0"/>
          <w:numId w:val="0"/>
        </w:numPr>
        <w:ind w:left="567" w:hanging="567"/>
      </w:pPr>
      <w:r>
        <w:t>[13]</w:t>
      </w:r>
      <w:r>
        <w:tab/>
      </w:r>
      <w:r w:rsidR="00CB1BB3">
        <w:t xml:space="preserve">The applicants </w:t>
      </w:r>
      <w:r w:rsidR="006E1B34">
        <w:t>contend</w:t>
      </w:r>
      <w:r w:rsidR="00CB1BB3">
        <w:t xml:space="preserve"> that they should have been given notice of the application. They</w:t>
      </w:r>
      <w:r w:rsidR="00BA583C">
        <w:t>,</w:t>
      </w:r>
      <w:r w:rsidR="00CB1BB3">
        <w:t xml:space="preserve"> thus</w:t>
      </w:r>
      <w:r w:rsidR="00BA583C">
        <w:t>,</w:t>
      </w:r>
      <w:r w:rsidR="00CB1BB3">
        <w:t xml:space="preserve"> seek that the order declaring the document to be the </w:t>
      </w:r>
      <w:r w:rsidR="00AE1F2D">
        <w:t>will of</w:t>
      </w:r>
      <w:r w:rsidR="00CB1BB3">
        <w:t xml:space="preserve"> deceased be set aside in terms of rule 42(1)(a) on the basis that the order was taken in their absence and that they are interested parties.</w:t>
      </w:r>
    </w:p>
    <w:p w14:paraId="22076C43" w14:textId="331D8DED" w:rsidR="00CB1BB3" w:rsidRDefault="000E2670" w:rsidP="000E2670">
      <w:pPr>
        <w:pStyle w:val="JudgmentNumbered"/>
        <w:numPr>
          <w:ilvl w:val="0"/>
          <w:numId w:val="0"/>
        </w:numPr>
        <w:ind w:left="567" w:hanging="567"/>
      </w:pPr>
      <w:r>
        <w:t>[14]</w:t>
      </w:r>
      <w:r>
        <w:tab/>
      </w:r>
      <w:r w:rsidR="00CB1BB3">
        <w:t>It appears that they wish</w:t>
      </w:r>
      <w:r w:rsidR="00BA583C">
        <w:t>,</w:t>
      </w:r>
      <w:r w:rsidR="00CB1BB3">
        <w:t xml:space="preserve"> in due course</w:t>
      </w:r>
      <w:r w:rsidR="00BA583C">
        <w:t>,</w:t>
      </w:r>
      <w:r w:rsidR="00CB1BB3">
        <w:t xml:space="preserve"> to challenge the proceedings on the basis that the document is not a will as well as on the basis that the deceased did not have the mental capacity to make any will at the time of execution due to severe ill health.</w:t>
      </w:r>
    </w:p>
    <w:p w14:paraId="45F12E52" w14:textId="121E6536" w:rsidR="00CB1BB3" w:rsidRDefault="000E2670" w:rsidP="000E2670">
      <w:pPr>
        <w:pStyle w:val="JudgmentNumbered"/>
        <w:numPr>
          <w:ilvl w:val="0"/>
          <w:numId w:val="0"/>
        </w:numPr>
        <w:ind w:left="567" w:hanging="567"/>
      </w:pPr>
      <w:r>
        <w:lastRenderedPageBreak/>
        <w:t>[15]</w:t>
      </w:r>
      <w:r>
        <w:tab/>
      </w:r>
      <w:r w:rsidR="00CB1BB3">
        <w:t>It emerged from the founding affidavit in th</w:t>
      </w:r>
      <w:r w:rsidR="00BA583C">
        <w:t>e</w:t>
      </w:r>
      <w:r w:rsidR="00CB1BB3">
        <w:t xml:space="preserve"> rescission application that there is another will in existence. This</w:t>
      </w:r>
      <w:r w:rsidR="00A8524C">
        <w:t xml:space="preserve"> is</w:t>
      </w:r>
      <w:r w:rsidR="00CB1BB3">
        <w:t xml:space="preserve"> </w:t>
      </w:r>
      <w:r w:rsidR="00A8524C">
        <w:t>a joint will</w:t>
      </w:r>
      <w:r w:rsidR="00CB1BB3">
        <w:t xml:space="preserve"> which was executed by the deceased and the mother of the applicants at a time when they were married to each other in community of property.</w:t>
      </w:r>
      <w:r w:rsidR="006E1B34">
        <w:t xml:space="preserve"> This will </w:t>
      </w:r>
      <w:r w:rsidR="00BA583C">
        <w:t>was</w:t>
      </w:r>
      <w:r w:rsidR="006E1B34">
        <w:t xml:space="preserve"> allegedly never revoked.</w:t>
      </w:r>
    </w:p>
    <w:p w14:paraId="61749898" w14:textId="6DA63D89" w:rsidR="00DC2151" w:rsidRPr="00DC2151" w:rsidRDefault="00DC2151" w:rsidP="00DC2151">
      <w:pPr>
        <w:pStyle w:val="JudgmentNumbered"/>
        <w:numPr>
          <w:ilvl w:val="0"/>
          <w:numId w:val="0"/>
        </w:numPr>
        <w:rPr>
          <w:i/>
          <w:iCs/>
        </w:rPr>
      </w:pPr>
      <w:r>
        <w:rPr>
          <w:i/>
          <w:iCs/>
        </w:rPr>
        <w:t>Arguments</w:t>
      </w:r>
    </w:p>
    <w:p w14:paraId="521E6E50" w14:textId="3A921AE4" w:rsidR="00DC2151" w:rsidRDefault="000E2670" w:rsidP="000E2670">
      <w:pPr>
        <w:pStyle w:val="JudgmentNumbered"/>
        <w:numPr>
          <w:ilvl w:val="0"/>
          <w:numId w:val="0"/>
        </w:numPr>
        <w:ind w:left="567" w:hanging="567"/>
      </w:pPr>
      <w:r>
        <w:t>[16]</w:t>
      </w:r>
      <w:r>
        <w:tab/>
      </w:r>
      <w:r w:rsidR="00DC2151">
        <w:t>Mr Marumoagae, the respondent’s attorney, made an able argument based on this joint will. He sought</w:t>
      </w:r>
      <w:r w:rsidR="006E1B34">
        <w:t xml:space="preserve"> thereby</w:t>
      </w:r>
      <w:r w:rsidR="00DC2151">
        <w:t xml:space="preserve"> to challenge the </w:t>
      </w:r>
      <w:r w:rsidR="00DC2151" w:rsidRPr="00DC2151">
        <w:rPr>
          <w:i/>
          <w:iCs/>
        </w:rPr>
        <w:t>locus standi</w:t>
      </w:r>
      <w:r w:rsidR="00DC2151">
        <w:t xml:space="preserve"> of the applicants. The argument raised is that</w:t>
      </w:r>
      <w:r w:rsidR="006E1B34">
        <w:t>,</w:t>
      </w:r>
      <w:r w:rsidR="00DC2151">
        <w:t xml:space="preserve"> because the joint will was not revoked within the </w:t>
      </w:r>
      <w:r w:rsidR="00BA583C">
        <w:t xml:space="preserve">legally </w:t>
      </w:r>
      <w:r w:rsidR="00DC2151">
        <w:t xml:space="preserve">permitted three months after the divorce of the deceased and the children’s mother, the joint will arguably </w:t>
      </w:r>
      <w:r w:rsidR="00BA583C">
        <w:t>remains</w:t>
      </w:r>
      <w:r w:rsidR="00DC2151">
        <w:t xml:space="preserve"> valid in the event that the document was not declared to be the last will of the deceased. Under such joint will the children are not heirs. It is thus argued that the children had no interest in the declaration of the will and that it was their mother that had the interest.</w:t>
      </w:r>
    </w:p>
    <w:p w14:paraId="747AC34F" w14:textId="0ECBC6B1" w:rsidR="00DC2151" w:rsidRDefault="000E2670" w:rsidP="000E2670">
      <w:pPr>
        <w:pStyle w:val="JudgmentNumbered"/>
        <w:numPr>
          <w:ilvl w:val="0"/>
          <w:numId w:val="0"/>
        </w:numPr>
        <w:ind w:left="567" w:hanging="567"/>
      </w:pPr>
      <w:r>
        <w:t>[17]</w:t>
      </w:r>
      <w:r>
        <w:tab/>
      </w:r>
      <w:r w:rsidR="00DC2151">
        <w:t>Adv Posthumus raises that the difficulty with this argument is that it is based on the concession that order was indeed taken in the absence of an interested party in the form of the children’s mother.</w:t>
      </w:r>
    </w:p>
    <w:p w14:paraId="24A39C25" w14:textId="7696B5DD" w:rsidR="00DC2151" w:rsidRDefault="000E2670" w:rsidP="000E2670">
      <w:pPr>
        <w:pStyle w:val="JudgmentNumbered"/>
        <w:numPr>
          <w:ilvl w:val="0"/>
          <w:numId w:val="0"/>
        </w:numPr>
        <w:ind w:left="567" w:hanging="567"/>
      </w:pPr>
      <w:r>
        <w:t>[18]</w:t>
      </w:r>
      <w:r>
        <w:tab/>
      </w:r>
      <w:r w:rsidR="00DC2151">
        <w:t>A further difficulty is that the respondent</w:t>
      </w:r>
      <w:r w:rsidR="00A8524C">
        <w:t xml:space="preserve">, </w:t>
      </w:r>
      <w:r w:rsidR="00DC2151">
        <w:t xml:space="preserve">in her founding affidavit alleged </w:t>
      </w:r>
      <w:r w:rsidR="00D0157D">
        <w:t>that there were</w:t>
      </w:r>
      <w:r w:rsidR="00DC2151">
        <w:t xml:space="preserve"> no other heirs and no other interested person in relation t</w:t>
      </w:r>
      <w:r w:rsidR="00D0157D">
        <w:t>o t</w:t>
      </w:r>
      <w:r w:rsidR="00DC2151">
        <w:t xml:space="preserve">he declaration sought. On the respondent’s own admission this </w:t>
      </w:r>
      <w:r w:rsidR="006E1B34">
        <w:t>is</w:t>
      </w:r>
      <w:r w:rsidR="00DC2151">
        <w:t xml:space="preserve"> </w:t>
      </w:r>
      <w:r w:rsidR="00D0157D">
        <w:t>false</w:t>
      </w:r>
      <w:r w:rsidR="00DC2151">
        <w:t>.</w:t>
      </w:r>
    </w:p>
    <w:p w14:paraId="4657EDDC" w14:textId="46A9AE76" w:rsidR="00DC2151" w:rsidRDefault="000E2670" w:rsidP="000E2670">
      <w:pPr>
        <w:pStyle w:val="JudgmentNumbered"/>
        <w:numPr>
          <w:ilvl w:val="0"/>
          <w:numId w:val="0"/>
        </w:numPr>
        <w:ind w:left="567" w:hanging="567"/>
      </w:pPr>
      <w:r>
        <w:t>[19]</w:t>
      </w:r>
      <w:r>
        <w:tab/>
      </w:r>
      <w:r w:rsidR="00DC2151">
        <w:t>Adv Posthumus notes that Tanya is also joint executor of the estate. On this basis at</w:t>
      </w:r>
      <w:r w:rsidR="00A8524C">
        <w:t>,</w:t>
      </w:r>
      <w:r w:rsidR="00DC2151">
        <w:t xml:space="preserve"> very least</w:t>
      </w:r>
      <w:r w:rsidR="00A8524C">
        <w:t>,</w:t>
      </w:r>
      <w:r w:rsidR="00DC2151">
        <w:t xml:space="preserve"> she would have an interest </w:t>
      </w:r>
      <w:r w:rsidR="00DC2151" w:rsidRPr="00D0157D">
        <w:rPr>
          <w:i/>
          <w:iCs/>
        </w:rPr>
        <w:t>nomino officio</w:t>
      </w:r>
      <w:r w:rsidR="00DC2151">
        <w:t xml:space="preserve"> in proceedings </w:t>
      </w:r>
      <w:r w:rsidR="006E1B34">
        <w:t>relating to the instrument under which the administration of the estate would take place.</w:t>
      </w:r>
    </w:p>
    <w:p w14:paraId="62E7E7D6" w14:textId="661A2E08" w:rsidR="00C73B7E" w:rsidRPr="00C73B7E" w:rsidRDefault="00C73B7E" w:rsidP="00C73B7E">
      <w:pPr>
        <w:pStyle w:val="JudgmentNumbered"/>
        <w:numPr>
          <w:ilvl w:val="0"/>
          <w:numId w:val="0"/>
        </w:numPr>
        <w:ind w:left="567"/>
        <w:rPr>
          <w:i/>
          <w:iCs/>
        </w:rPr>
      </w:pPr>
      <w:r w:rsidRPr="00C73B7E">
        <w:rPr>
          <w:i/>
          <w:iCs/>
        </w:rPr>
        <w:t xml:space="preserve">Discussion </w:t>
      </w:r>
      <w:r>
        <w:rPr>
          <w:i/>
          <w:iCs/>
        </w:rPr>
        <w:t>of arguments with reference to general principles</w:t>
      </w:r>
    </w:p>
    <w:p w14:paraId="2970A8DE" w14:textId="50EA46C4" w:rsidR="00C73B7E" w:rsidRDefault="000E2670" w:rsidP="000E2670">
      <w:pPr>
        <w:pStyle w:val="JudgmentNumbered"/>
        <w:numPr>
          <w:ilvl w:val="0"/>
          <w:numId w:val="0"/>
        </w:numPr>
        <w:ind w:left="567" w:hanging="567"/>
      </w:pPr>
      <w:r>
        <w:t>[20]</w:t>
      </w:r>
      <w:r>
        <w:tab/>
      </w:r>
      <w:r w:rsidR="00D0157D">
        <w:t>On a plain reading of the rule, an applicant for rescission need not necessarily be the affected party in whose absence the order or judgment was erroneously sought or granted.</w:t>
      </w:r>
    </w:p>
    <w:p w14:paraId="76A6A4A8" w14:textId="595299FC" w:rsidR="00C73B7E" w:rsidRDefault="000E2670" w:rsidP="000E2670">
      <w:pPr>
        <w:pStyle w:val="JudgmentNumbered"/>
        <w:numPr>
          <w:ilvl w:val="0"/>
          <w:numId w:val="0"/>
        </w:numPr>
        <w:ind w:left="567" w:hanging="567"/>
      </w:pPr>
      <w:r>
        <w:lastRenderedPageBreak/>
        <w:t>[21]</w:t>
      </w:r>
      <w:r>
        <w:tab/>
      </w:r>
      <w:r w:rsidR="00C73B7E">
        <w:t xml:space="preserve"> Thus, the fact that it is conceded that the applicants’ mother has an interest means that</w:t>
      </w:r>
      <w:r w:rsidR="00A8524C">
        <w:t>,</w:t>
      </w:r>
      <w:r w:rsidR="00C73B7E">
        <w:t xml:space="preserve"> even on the case of the respondent</w:t>
      </w:r>
      <w:r w:rsidR="00A8524C">
        <w:t>,</w:t>
      </w:r>
      <w:r w:rsidR="00C73B7E">
        <w:t xml:space="preserve"> there was an interested party in whose absence the order was taken.</w:t>
      </w:r>
    </w:p>
    <w:p w14:paraId="1BC26137" w14:textId="04916815" w:rsidR="00D0157D" w:rsidRDefault="000E2670" w:rsidP="000E2670">
      <w:pPr>
        <w:pStyle w:val="JudgmentNumbered"/>
        <w:numPr>
          <w:ilvl w:val="0"/>
          <w:numId w:val="0"/>
        </w:numPr>
        <w:ind w:left="567" w:hanging="567"/>
      </w:pPr>
      <w:r>
        <w:t>[22]</w:t>
      </w:r>
      <w:r>
        <w:tab/>
      </w:r>
      <w:r w:rsidR="00574025">
        <w:t xml:space="preserve"> </w:t>
      </w:r>
      <w:r w:rsidR="00D0157D">
        <w:t>In general terms</w:t>
      </w:r>
      <w:r w:rsidR="00C73B7E">
        <w:t>,</w:t>
      </w:r>
      <w:r w:rsidR="00D0157D">
        <w:t xml:space="preserve"> a judgment is erroneously granted if there existed</w:t>
      </w:r>
      <w:r w:rsidR="00A8524C">
        <w:t>,</w:t>
      </w:r>
      <w:r w:rsidR="00D0157D">
        <w:t xml:space="preserve"> at the time of its issue</w:t>
      </w:r>
      <w:r w:rsidR="00A8524C">
        <w:t>,</w:t>
      </w:r>
      <w:r w:rsidR="00D0157D">
        <w:t xml:space="preserve"> a fact of which the court was unaware, which would have precluded the granting of the judgment and which would have induced the court, if aware of it, not to grant the judgment.</w:t>
      </w:r>
      <w:r w:rsidR="00FD650B">
        <w:rPr>
          <w:rStyle w:val="FootnoteReference"/>
        </w:rPr>
        <w:footnoteReference w:id="2"/>
      </w:r>
    </w:p>
    <w:p w14:paraId="0B1842B1" w14:textId="218EF673" w:rsidR="00D0157D" w:rsidRDefault="000E2670" w:rsidP="000E2670">
      <w:pPr>
        <w:pStyle w:val="JudgmentNumbered"/>
        <w:numPr>
          <w:ilvl w:val="0"/>
          <w:numId w:val="0"/>
        </w:numPr>
        <w:ind w:left="567" w:hanging="567"/>
      </w:pPr>
      <w:r>
        <w:t>[23]</w:t>
      </w:r>
      <w:r>
        <w:tab/>
      </w:r>
      <w:r w:rsidR="00D0157D">
        <w:t xml:space="preserve">The main application was brought by the respondent on the express basis that there was no party who would or could dispute the relief. This was patently false. </w:t>
      </w:r>
    </w:p>
    <w:p w14:paraId="3CC32D42" w14:textId="74CAC25A" w:rsidR="00D0157D" w:rsidRDefault="000E2670" w:rsidP="000E2670">
      <w:pPr>
        <w:pStyle w:val="JudgmentNumbered"/>
        <w:numPr>
          <w:ilvl w:val="0"/>
          <w:numId w:val="0"/>
        </w:numPr>
        <w:ind w:left="567" w:hanging="567"/>
      </w:pPr>
      <w:r>
        <w:t>[24]</w:t>
      </w:r>
      <w:r>
        <w:tab/>
      </w:r>
      <w:r w:rsidR="00C73B7E">
        <w:t>The respondent was</w:t>
      </w:r>
      <w:r w:rsidR="00D0157D">
        <w:t xml:space="preserve"> aware also that Tanya as her co-executor</w:t>
      </w:r>
      <w:r w:rsidR="00C73B7E">
        <w:t xml:space="preserve"> was of the impression that the administration the</w:t>
      </w:r>
      <w:r w:rsidR="00D0157D">
        <w:t xml:space="preserve"> estate</w:t>
      </w:r>
      <w:r w:rsidR="00C73B7E">
        <w:t xml:space="preserve"> would take place</w:t>
      </w:r>
      <w:r w:rsidR="00D0157D">
        <w:t xml:space="preserve"> in accordance with </w:t>
      </w:r>
      <w:r w:rsidR="00C73B7E">
        <w:t xml:space="preserve">the laws relating to </w:t>
      </w:r>
      <w:r w:rsidR="00D0157D">
        <w:t>intestacy</w:t>
      </w:r>
      <w:r w:rsidR="00C73B7E">
        <w:t xml:space="preserve">. The respondent must have been aware </w:t>
      </w:r>
      <w:r w:rsidR="00A8524C">
        <w:t>that,</w:t>
      </w:r>
      <w:r w:rsidR="00C73B7E">
        <w:t xml:space="preserve"> at least in her official capacity, Tanya </w:t>
      </w:r>
      <w:r w:rsidR="00A8524C">
        <w:t>had a</w:t>
      </w:r>
      <w:r w:rsidR="00D0157D">
        <w:t xml:space="preserve"> direct and legal interest in a change in the administration</w:t>
      </w:r>
      <w:r w:rsidR="00E139A6">
        <w:t xml:space="preserve"> of the estate</w:t>
      </w:r>
      <w:r w:rsidR="00D0157D">
        <w:t>.</w:t>
      </w:r>
    </w:p>
    <w:p w14:paraId="11E83555" w14:textId="7F33798B" w:rsidR="00D0157D" w:rsidRDefault="000E2670" w:rsidP="000E2670">
      <w:pPr>
        <w:pStyle w:val="JudgmentNumbered"/>
        <w:numPr>
          <w:ilvl w:val="0"/>
          <w:numId w:val="0"/>
        </w:numPr>
        <w:ind w:left="567" w:hanging="567"/>
      </w:pPr>
      <w:r>
        <w:t>[25]</w:t>
      </w:r>
      <w:r>
        <w:tab/>
      </w:r>
      <w:r w:rsidR="00D0157D">
        <w:t>There is</w:t>
      </w:r>
      <w:r w:rsidR="00C73B7E">
        <w:t>,</w:t>
      </w:r>
      <w:r w:rsidR="00D0157D">
        <w:t xml:space="preserve"> to my mind</w:t>
      </w:r>
      <w:r w:rsidR="00C73B7E">
        <w:t>,</w:t>
      </w:r>
      <w:r w:rsidR="00D0157D">
        <w:t xml:space="preserve"> no doubt that the applicants</w:t>
      </w:r>
      <w:r w:rsidR="00E139A6">
        <w:t>’</w:t>
      </w:r>
      <w:r w:rsidR="00D0157D">
        <w:t xml:space="preserve"> or at very least Tanya qua co</w:t>
      </w:r>
      <w:r w:rsidR="00D0157D">
        <w:noBreakHyphen/>
        <w:t>executor had the necessary legal interest in the subject matter of application, which could be prejudicially affected by the order of the court.</w:t>
      </w:r>
      <w:r w:rsidR="00574025">
        <w:rPr>
          <w:rStyle w:val="FootnoteReference"/>
        </w:rPr>
        <w:footnoteReference w:id="3"/>
      </w:r>
    </w:p>
    <w:p w14:paraId="0AA430ED" w14:textId="68294880" w:rsidR="00661188" w:rsidRPr="00661188" w:rsidRDefault="00661188" w:rsidP="00661188">
      <w:pPr>
        <w:pStyle w:val="JudgmentNumbered"/>
        <w:numPr>
          <w:ilvl w:val="0"/>
          <w:numId w:val="0"/>
        </w:numPr>
        <w:rPr>
          <w:i/>
          <w:iCs/>
        </w:rPr>
      </w:pPr>
      <w:r>
        <w:rPr>
          <w:i/>
          <w:iCs/>
        </w:rPr>
        <w:t>Conclusion</w:t>
      </w:r>
    </w:p>
    <w:p w14:paraId="350AA269" w14:textId="169765E8" w:rsidR="00661188" w:rsidRDefault="000E2670" w:rsidP="000E2670">
      <w:pPr>
        <w:pStyle w:val="JudgmentNumbered"/>
        <w:numPr>
          <w:ilvl w:val="0"/>
          <w:numId w:val="0"/>
        </w:numPr>
        <w:ind w:left="567" w:hanging="567"/>
      </w:pPr>
      <w:r>
        <w:t>[26]</w:t>
      </w:r>
      <w:r>
        <w:tab/>
      </w:r>
      <w:r w:rsidR="00661188" w:rsidRPr="00661188">
        <w:t>On the facts of this case, there can be no conclusion other than that the order was taken by stealth in the midst of a process which dictated that</w:t>
      </w:r>
      <w:r w:rsidR="00A8524C">
        <w:t>,</w:t>
      </w:r>
      <w:r w:rsidR="00661188" w:rsidRPr="00661188">
        <w:t xml:space="preserve"> at very least</w:t>
      </w:r>
      <w:r w:rsidR="00A8524C">
        <w:t>,</w:t>
      </w:r>
      <w:r w:rsidR="00661188" w:rsidRPr="00661188">
        <w:t xml:space="preserve"> there should be notice to the applicants.</w:t>
      </w:r>
    </w:p>
    <w:p w14:paraId="76A0E6F3" w14:textId="72D97218" w:rsidR="00661188" w:rsidRPr="00661188" w:rsidRDefault="00661188" w:rsidP="00661188">
      <w:pPr>
        <w:pStyle w:val="JudgmentNumbered"/>
        <w:numPr>
          <w:ilvl w:val="0"/>
          <w:numId w:val="0"/>
        </w:numPr>
        <w:rPr>
          <w:i/>
          <w:iCs/>
        </w:rPr>
      </w:pPr>
      <w:r>
        <w:rPr>
          <w:i/>
          <w:iCs/>
        </w:rPr>
        <w:t>Costs</w:t>
      </w:r>
    </w:p>
    <w:p w14:paraId="29A09596" w14:textId="611C528A" w:rsidR="00661188" w:rsidRDefault="000E2670" w:rsidP="000E2670">
      <w:pPr>
        <w:pStyle w:val="JudgmentNumbered"/>
        <w:numPr>
          <w:ilvl w:val="0"/>
          <w:numId w:val="0"/>
        </w:numPr>
        <w:ind w:left="567" w:hanging="567"/>
      </w:pPr>
      <w:r>
        <w:t>[27]</w:t>
      </w:r>
      <w:r>
        <w:tab/>
      </w:r>
      <w:r w:rsidR="00661188">
        <w:t>The respondent’s assertion in the main application that there were no other interested parties was false, to her knowledge.</w:t>
      </w:r>
    </w:p>
    <w:p w14:paraId="244F9703" w14:textId="08C3F861" w:rsidR="00661188" w:rsidRDefault="000E2670" w:rsidP="000E2670">
      <w:pPr>
        <w:pStyle w:val="JudgmentNumbered"/>
        <w:numPr>
          <w:ilvl w:val="0"/>
          <w:numId w:val="0"/>
        </w:numPr>
        <w:ind w:left="567" w:hanging="567"/>
      </w:pPr>
      <w:r>
        <w:t>[28]</w:t>
      </w:r>
      <w:r>
        <w:tab/>
      </w:r>
      <w:r w:rsidR="00661188">
        <w:t xml:space="preserve">The respondent acted in bad faith in seeking and taking the order. She also acted in breach of her fiduciary </w:t>
      </w:r>
      <w:r w:rsidR="000469F5">
        <w:t>responsibilities as</w:t>
      </w:r>
      <w:r w:rsidR="00661188">
        <w:t xml:space="preserve"> executor of the estate.</w:t>
      </w:r>
    </w:p>
    <w:p w14:paraId="4BF2AE78" w14:textId="5420C8CB" w:rsidR="00661188" w:rsidRDefault="000E2670" w:rsidP="000E2670">
      <w:pPr>
        <w:pStyle w:val="JudgmentNumbered"/>
        <w:numPr>
          <w:ilvl w:val="0"/>
          <w:numId w:val="0"/>
        </w:numPr>
        <w:ind w:left="567" w:hanging="567"/>
      </w:pPr>
      <w:r>
        <w:lastRenderedPageBreak/>
        <w:t>[29]</w:t>
      </w:r>
      <w:r>
        <w:tab/>
      </w:r>
      <w:r w:rsidR="00661188">
        <w:t xml:space="preserve">The applicants seek costs on a punitive scale. Not only did the respondent bring the application without notice to the applicants, she </w:t>
      </w:r>
      <w:r w:rsidR="00BA583C">
        <w:t xml:space="preserve">also </w:t>
      </w:r>
      <w:r w:rsidR="00661188">
        <w:t>persisted in opposing the application for rescission when there was no sound basis therefor.</w:t>
      </w:r>
    </w:p>
    <w:p w14:paraId="062CBB6E" w14:textId="2E12E3DE" w:rsidR="000204C0" w:rsidRPr="000204C0" w:rsidRDefault="000204C0" w:rsidP="000204C0">
      <w:pPr>
        <w:pStyle w:val="JudgmentNumbered"/>
        <w:numPr>
          <w:ilvl w:val="0"/>
          <w:numId w:val="0"/>
        </w:numPr>
        <w:rPr>
          <w:i/>
          <w:iCs/>
        </w:rPr>
      </w:pPr>
      <w:r>
        <w:rPr>
          <w:i/>
          <w:iCs/>
        </w:rPr>
        <w:t>Order</w:t>
      </w:r>
    </w:p>
    <w:p w14:paraId="48C441B3" w14:textId="6FEF8DD3" w:rsidR="00661188" w:rsidRDefault="000E2670" w:rsidP="000E2670">
      <w:pPr>
        <w:pStyle w:val="JudgmentNumbered"/>
        <w:numPr>
          <w:ilvl w:val="0"/>
          <w:numId w:val="0"/>
        </w:numPr>
        <w:ind w:left="567" w:hanging="567"/>
      </w:pPr>
      <w:r>
        <w:t>[30]</w:t>
      </w:r>
      <w:r>
        <w:tab/>
      </w:r>
      <w:r w:rsidR="00661188">
        <w:t>I make the following order:</w:t>
      </w:r>
    </w:p>
    <w:p w14:paraId="70E74A64" w14:textId="7FA5168C" w:rsidR="000204C0" w:rsidRDefault="000E2670" w:rsidP="000E2670">
      <w:pPr>
        <w:pStyle w:val="JudgmentNumbered"/>
        <w:numPr>
          <w:ilvl w:val="0"/>
          <w:numId w:val="0"/>
        </w:numPr>
        <w:ind w:left="1134" w:hanging="567"/>
      </w:pPr>
      <w:bookmarkStart w:id="3" w:name="_Hlk140479139"/>
      <w:r>
        <w:t>[1]</w:t>
      </w:r>
      <w:r>
        <w:tab/>
      </w:r>
      <w:r w:rsidR="000204C0">
        <w:t xml:space="preserve">The </w:t>
      </w:r>
      <w:r w:rsidR="00661188">
        <w:t>order under this case number handed down on 07 December 2020 by this court is rescinded.</w:t>
      </w:r>
    </w:p>
    <w:p w14:paraId="53C4715E" w14:textId="5BB9BD6E" w:rsidR="00661188" w:rsidRDefault="000E2670" w:rsidP="000E2670">
      <w:pPr>
        <w:pStyle w:val="JudgmentNumbered"/>
        <w:numPr>
          <w:ilvl w:val="0"/>
          <w:numId w:val="0"/>
        </w:numPr>
        <w:ind w:left="1134" w:hanging="567"/>
      </w:pPr>
      <w:r>
        <w:t>[2]</w:t>
      </w:r>
      <w:r>
        <w:tab/>
      </w:r>
      <w:r w:rsidR="00661188">
        <w:t>The respondent is to pay the costs of this rescission application on the scale as between attorney and client.</w:t>
      </w:r>
    </w:p>
    <w:bookmarkEnd w:id="3"/>
    <w:p w14:paraId="2C0AEF26" w14:textId="77777777" w:rsidR="00783F20" w:rsidRDefault="00783F20" w:rsidP="00783F20">
      <w:pPr>
        <w:pStyle w:val="JudgmentNumbered"/>
        <w:numPr>
          <w:ilvl w:val="0"/>
          <w:numId w:val="0"/>
        </w:numPr>
        <w:ind w:left="567" w:hanging="567"/>
      </w:pPr>
    </w:p>
    <w:p w14:paraId="31D57DDD" w14:textId="77777777" w:rsidR="00783F20" w:rsidRDefault="00783F20" w:rsidP="00783F20">
      <w:pPr>
        <w:pStyle w:val="JudgmentNumbered"/>
        <w:numPr>
          <w:ilvl w:val="0"/>
          <w:numId w:val="0"/>
        </w:numPr>
        <w:ind w:left="567" w:hanging="567"/>
      </w:pPr>
    </w:p>
    <w:p w14:paraId="45EDADC2" w14:textId="2CEB5C83" w:rsidR="00783F20" w:rsidRDefault="00783F20" w:rsidP="00783F20">
      <w:pPr>
        <w:ind w:left="0"/>
      </w:pPr>
    </w:p>
    <w:p w14:paraId="4A2FB73B" w14:textId="76A55417" w:rsidR="00783F20" w:rsidRPr="000A0652" w:rsidRDefault="00783F20" w:rsidP="00783F20">
      <w:pPr>
        <w:spacing w:after="0"/>
        <w:ind w:hanging="567"/>
        <w:jc w:val="right"/>
        <w:rPr>
          <w:rFonts w:eastAsia="Calibri" w:cs="Arial"/>
        </w:rPr>
      </w:pPr>
      <w:r w:rsidRPr="000A0652">
        <w:rPr>
          <w:rFonts w:eastAsia="Calibri" w:cs="Arial"/>
        </w:rPr>
        <w:t>___________________________</w:t>
      </w:r>
    </w:p>
    <w:p w14:paraId="23951E6A" w14:textId="0DCA8209" w:rsidR="00783F20" w:rsidRPr="000A0652" w:rsidRDefault="00783F20" w:rsidP="00783F20">
      <w:pPr>
        <w:spacing w:after="0"/>
        <w:ind w:hanging="567"/>
        <w:jc w:val="right"/>
        <w:rPr>
          <w:rFonts w:eastAsia="Calibri" w:cs="Arial"/>
          <w:b/>
        </w:rPr>
      </w:pPr>
      <w:r w:rsidRPr="000A0652">
        <w:rPr>
          <w:rFonts w:eastAsia="Calibri" w:cs="Arial"/>
          <w:b/>
        </w:rPr>
        <w:t>D FISHER</w:t>
      </w:r>
    </w:p>
    <w:p w14:paraId="2ABC8307" w14:textId="77777777" w:rsidR="00783F20" w:rsidRPr="000A0652" w:rsidRDefault="00783F20" w:rsidP="00783F20">
      <w:pPr>
        <w:spacing w:after="0"/>
        <w:ind w:hanging="567"/>
        <w:jc w:val="right"/>
        <w:rPr>
          <w:rFonts w:eastAsia="Calibri" w:cs="Arial"/>
          <w:b/>
        </w:rPr>
      </w:pPr>
      <w:r w:rsidRPr="000A0652">
        <w:rPr>
          <w:rFonts w:eastAsia="Calibri" w:cs="Arial"/>
          <w:b/>
        </w:rPr>
        <w:t>JUDGE OF THE HIGH COURT</w:t>
      </w:r>
    </w:p>
    <w:p w14:paraId="1CFB7811" w14:textId="77777777" w:rsidR="00783F20" w:rsidRPr="000A0652" w:rsidRDefault="00783F20" w:rsidP="00783F20">
      <w:pPr>
        <w:spacing w:after="0"/>
        <w:ind w:hanging="567"/>
        <w:jc w:val="right"/>
        <w:rPr>
          <w:rFonts w:eastAsia="Calibri" w:cs="Arial"/>
          <w:b/>
        </w:rPr>
      </w:pPr>
      <w:r w:rsidRPr="000A0652">
        <w:rPr>
          <w:rFonts w:eastAsia="Calibri" w:cs="Arial"/>
          <w:b/>
        </w:rPr>
        <w:t>JOHANNESBURG</w:t>
      </w:r>
    </w:p>
    <w:p w14:paraId="7639D374" w14:textId="77777777" w:rsidR="00783F20" w:rsidRDefault="00783F20" w:rsidP="00783F20">
      <w:pPr>
        <w:tabs>
          <w:tab w:val="left" w:pos="3969"/>
        </w:tabs>
        <w:ind w:left="0"/>
      </w:pPr>
    </w:p>
    <w:p w14:paraId="2371FA96" w14:textId="77777777" w:rsidR="00783F20" w:rsidRDefault="00783F20" w:rsidP="00783F20">
      <w:pPr>
        <w:tabs>
          <w:tab w:val="left" w:pos="3969"/>
        </w:tabs>
        <w:ind w:left="0"/>
      </w:pPr>
    </w:p>
    <w:p w14:paraId="66A70044" w14:textId="77777777" w:rsidR="00783F20" w:rsidRDefault="00783F20" w:rsidP="00783F20">
      <w:pPr>
        <w:tabs>
          <w:tab w:val="left" w:pos="3969"/>
        </w:tabs>
        <w:ind w:left="0"/>
      </w:pPr>
    </w:p>
    <w:p w14:paraId="2FC21E40" w14:textId="77777777" w:rsidR="00783F20" w:rsidRPr="0093305D" w:rsidRDefault="00783F20" w:rsidP="00783F20">
      <w:pPr>
        <w:tabs>
          <w:tab w:val="left" w:pos="3969"/>
        </w:tabs>
        <w:ind w:left="0"/>
        <w:rPr>
          <w:rFonts w:eastAsia="Calibri" w:cs="Arial"/>
          <w:b/>
        </w:rPr>
      </w:pPr>
      <w:r>
        <w:t xml:space="preserve"> </w:t>
      </w:r>
      <w:r w:rsidRPr="0093305D">
        <w:rPr>
          <w:rFonts w:eastAsia="Calibri" w:cs="Arial"/>
          <w:b/>
        </w:rPr>
        <w:t>Heard:</w:t>
      </w:r>
      <w:r w:rsidRPr="0093305D">
        <w:rPr>
          <w:rFonts w:eastAsia="Calibri" w:cs="Arial"/>
          <w:b/>
        </w:rPr>
        <w:tab/>
      </w:r>
      <w:r w:rsidRPr="0093305D">
        <w:rPr>
          <w:rFonts w:eastAsia="Calibri" w:cs="Arial"/>
        </w:rPr>
        <w:t>2 May 2023</w:t>
      </w:r>
      <w:r w:rsidRPr="0093305D">
        <w:rPr>
          <w:rFonts w:eastAsia="Calibri" w:cs="Arial"/>
          <w:b/>
        </w:rPr>
        <w:tab/>
      </w:r>
      <w:r w:rsidRPr="0093305D">
        <w:rPr>
          <w:rFonts w:eastAsia="Calibri" w:cs="Arial"/>
          <w:b/>
        </w:rPr>
        <w:tab/>
      </w:r>
    </w:p>
    <w:p w14:paraId="450F4628" w14:textId="048B3A8E" w:rsidR="00783F20" w:rsidRPr="0093305D" w:rsidRDefault="00783F20" w:rsidP="00783F20">
      <w:pPr>
        <w:ind w:hanging="567"/>
        <w:rPr>
          <w:rFonts w:eastAsia="Calibri" w:cs="Arial"/>
        </w:rPr>
      </w:pPr>
      <w:r w:rsidRPr="0093305D">
        <w:rPr>
          <w:rFonts w:eastAsia="Calibri" w:cs="Arial"/>
          <w:b/>
        </w:rPr>
        <w:t>Delivered:</w:t>
      </w:r>
      <w:r w:rsidRPr="0093305D">
        <w:rPr>
          <w:rFonts w:eastAsia="Calibri" w:cs="Arial"/>
          <w:b/>
        </w:rPr>
        <w:tab/>
      </w:r>
      <w:r w:rsidRPr="0093305D">
        <w:rPr>
          <w:rFonts w:eastAsia="Calibri" w:cs="Arial"/>
          <w:b/>
        </w:rPr>
        <w:tab/>
      </w:r>
      <w:r w:rsidRPr="0093305D">
        <w:rPr>
          <w:rFonts w:eastAsia="Calibri" w:cs="Arial"/>
          <w:b/>
        </w:rPr>
        <w:tab/>
      </w:r>
      <w:r w:rsidRPr="0093305D">
        <w:rPr>
          <w:rFonts w:eastAsia="Calibri" w:cs="Arial"/>
          <w:b/>
        </w:rPr>
        <w:tab/>
      </w:r>
      <w:r w:rsidRPr="000469F5">
        <w:rPr>
          <w:rFonts w:eastAsia="Calibri" w:cs="Arial"/>
          <w:bCs/>
        </w:rPr>
        <w:t xml:space="preserve">   </w:t>
      </w:r>
      <w:r w:rsidR="000469F5" w:rsidRPr="000469F5">
        <w:rPr>
          <w:rFonts w:eastAsia="Calibri" w:cs="Arial"/>
          <w:bCs/>
        </w:rPr>
        <w:t>17</w:t>
      </w:r>
      <w:r w:rsidRPr="0093305D">
        <w:rPr>
          <w:rFonts w:eastAsia="Calibri" w:cs="Arial"/>
          <w:b/>
        </w:rPr>
        <w:t xml:space="preserve"> </w:t>
      </w:r>
      <w:r w:rsidRPr="0093305D">
        <w:rPr>
          <w:rFonts w:eastAsia="Calibri" w:cs="Arial"/>
        </w:rPr>
        <w:t>July 2023</w:t>
      </w:r>
      <w:r w:rsidRPr="0093305D">
        <w:rPr>
          <w:rFonts w:eastAsia="Calibri" w:cs="Arial"/>
          <w:b/>
        </w:rPr>
        <w:tab/>
      </w:r>
      <w:r w:rsidRPr="0093305D">
        <w:rPr>
          <w:rFonts w:eastAsia="Calibri" w:cs="Arial"/>
          <w:b/>
        </w:rPr>
        <w:tab/>
      </w:r>
      <w:r w:rsidRPr="0093305D">
        <w:rPr>
          <w:rFonts w:eastAsia="Calibri" w:cs="Arial"/>
          <w:b/>
        </w:rPr>
        <w:tab/>
      </w:r>
      <w:r w:rsidRPr="0093305D">
        <w:rPr>
          <w:rFonts w:eastAsia="Calibri" w:cs="Arial"/>
          <w:b/>
        </w:rPr>
        <w:tab/>
      </w:r>
      <w:r w:rsidRPr="0093305D">
        <w:rPr>
          <w:rFonts w:eastAsia="Calibri" w:cs="Arial"/>
          <w:b/>
        </w:rPr>
        <w:tab/>
      </w:r>
    </w:p>
    <w:p w14:paraId="76033C41" w14:textId="77777777" w:rsidR="00783F20" w:rsidRPr="0093305D" w:rsidRDefault="00783F20" w:rsidP="00783F20">
      <w:pPr>
        <w:ind w:hanging="567"/>
        <w:rPr>
          <w:rFonts w:eastAsia="Calibri" w:cs="Arial"/>
          <w:b/>
        </w:rPr>
      </w:pPr>
      <w:r w:rsidRPr="0093305D">
        <w:rPr>
          <w:rFonts w:eastAsia="Calibri" w:cs="Arial"/>
          <w:b/>
        </w:rPr>
        <w:t>APPEARANCES:</w:t>
      </w:r>
    </w:p>
    <w:p w14:paraId="752B6DA4" w14:textId="77777777" w:rsidR="00783F20" w:rsidRPr="0093305D" w:rsidRDefault="00783F20" w:rsidP="00783F20">
      <w:pPr>
        <w:tabs>
          <w:tab w:val="left" w:pos="3969"/>
        </w:tabs>
        <w:ind w:hanging="567"/>
        <w:rPr>
          <w:rFonts w:eastAsia="Calibri" w:cs="Arial"/>
          <w:b/>
        </w:rPr>
      </w:pPr>
      <w:r w:rsidRPr="0093305D">
        <w:rPr>
          <w:rFonts w:eastAsia="Calibri" w:cs="Arial"/>
          <w:b/>
        </w:rPr>
        <w:t>For the applicants:</w:t>
      </w:r>
      <w:r w:rsidRPr="0093305D">
        <w:rPr>
          <w:rFonts w:eastAsia="Calibri" w:cs="Arial"/>
          <w:b/>
        </w:rPr>
        <w:tab/>
      </w:r>
      <w:r w:rsidRPr="0093305D">
        <w:rPr>
          <w:rFonts w:eastAsia="Calibri" w:cs="Arial"/>
        </w:rPr>
        <w:t>Adv I L Posthumus</w:t>
      </w:r>
      <w:r w:rsidRPr="0093305D">
        <w:rPr>
          <w:rFonts w:eastAsia="Calibri" w:cs="Arial"/>
          <w:b/>
        </w:rPr>
        <w:tab/>
      </w:r>
    </w:p>
    <w:p w14:paraId="1E1A194D" w14:textId="77777777" w:rsidR="00783F20" w:rsidRPr="0093305D" w:rsidRDefault="00783F20" w:rsidP="00783F20">
      <w:pPr>
        <w:tabs>
          <w:tab w:val="left" w:pos="3969"/>
        </w:tabs>
        <w:ind w:left="0"/>
        <w:rPr>
          <w:rFonts w:eastAsia="Calibri" w:cs="Arial"/>
          <w:bCs/>
        </w:rPr>
      </w:pPr>
      <w:r w:rsidRPr="0093305D">
        <w:rPr>
          <w:rFonts w:eastAsia="Calibri" w:cs="Arial"/>
          <w:bCs/>
        </w:rPr>
        <w:t>Instructed by:</w:t>
      </w:r>
      <w:r w:rsidRPr="0093305D">
        <w:rPr>
          <w:rFonts w:eastAsia="Calibri" w:cs="Arial"/>
          <w:bCs/>
        </w:rPr>
        <w:tab/>
        <w:t>Marto Lafitte &amp; Associates Inc</w:t>
      </w:r>
    </w:p>
    <w:p w14:paraId="6A496807" w14:textId="77777777" w:rsidR="00783F20" w:rsidRPr="0093305D" w:rsidRDefault="00783F20" w:rsidP="00783F20">
      <w:pPr>
        <w:tabs>
          <w:tab w:val="left" w:pos="3969"/>
        </w:tabs>
        <w:ind w:left="3969" w:hanging="3969"/>
        <w:rPr>
          <w:rFonts w:eastAsia="Calibri" w:cs="Arial"/>
          <w:b/>
        </w:rPr>
      </w:pPr>
      <w:r w:rsidRPr="0093305D">
        <w:rPr>
          <w:rFonts w:eastAsia="Calibri" w:cs="Arial"/>
          <w:b/>
        </w:rPr>
        <w:lastRenderedPageBreak/>
        <w:t>For the respondent:</w:t>
      </w:r>
      <w:r w:rsidRPr="0093305D">
        <w:rPr>
          <w:rFonts w:eastAsia="Calibri" w:cs="Arial"/>
          <w:b/>
        </w:rPr>
        <w:tab/>
      </w:r>
      <w:r w:rsidRPr="0093305D">
        <w:rPr>
          <w:rFonts w:eastAsia="Calibri" w:cs="Arial"/>
          <w:bCs/>
        </w:rPr>
        <w:t>Clement Marumoagae (with rights of the                  appearance at the High Court)</w:t>
      </w:r>
      <w:r>
        <w:rPr>
          <w:rFonts w:eastAsia="Calibri" w:cs="Arial"/>
          <w:bCs/>
        </w:rPr>
        <w:t>.</w:t>
      </w:r>
    </w:p>
    <w:p w14:paraId="0944661B" w14:textId="4346F331" w:rsidR="005818DD" w:rsidRDefault="005818DD" w:rsidP="00783F20">
      <w:pPr>
        <w:pStyle w:val="JudgmentNumbered"/>
        <w:numPr>
          <w:ilvl w:val="0"/>
          <w:numId w:val="0"/>
        </w:numPr>
        <w:ind w:left="567" w:hanging="567"/>
      </w:pPr>
    </w:p>
    <w:p w14:paraId="75F22691" w14:textId="77777777" w:rsidR="00783F20" w:rsidRDefault="00783F20" w:rsidP="00783F20">
      <w:pPr>
        <w:pStyle w:val="JudgmentNumbered"/>
        <w:numPr>
          <w:ilvl w:val="0"/>
          <w:numId w:val="0"/>
        </w:numPr>
        <w:ind w:left="567" w:hanging="567"/>
      </w:pPr>
    </w:p>
    <w:p w14:paraId="7E495DDF" w14:textId="7B5FA03F" w:rsidR="00783F20" w:rsidRDefault="00783F20" w:rsidP="00783F20">
      <w:pPr>
        <w:pStyle w:val="JudgmentNumbered"/>
        <w:numPr>
          <w:ilvl w:val="0"/>
          <w:numId w:val="0"/>
        </w:numPr>
        <w:ind w:left="567" w:hanging="567"/>
      </w:pPr>
    </w:p>
    <w:p w14:paraId="1E9377D7" w14:textId="77777777" w:rsidR="00783F20" w:rsidRDefault="00783F20" w:rsidP="00783F20">
      <w:pPr>
        <w:pStyle w:val="JudgmentNumbered"/>
        <w:numPr>
          <w:ilvl w:val="0"/>
          <w:numId w:val="0"/>
        </w:numPr>
        <w:ind w:left="567" w:hanging="567"/>
      </w:pPr>
    </w:p>
    <w:p w14:paraId="60386AD3" w14:textId="4BD2EA25" w:rsidR="008564B8" w:rsidRPr="0065585A" w:rsidRDefault="000204C0" w:rsidP="0065585A">
      <w:pPr>
        <w:tabs>
          <w:tab w:val="left" w:pos="3969"/>
          <w:tab w:val="left" w:pos="4536"/>
        </w:tabs>
        <w:ind w:left="0"/>
        <w:rPr>
          <w:rFonts w:eastAsia="Calibri" w:cs="Arial"/>
          <w:b/>
        </w:rPr>
      </w:pPr>
      <w:r>
        <w:rPr>
          <w:rFonts w:eastAsia="Calibri" w:cs="Arial"/>
          <w:bCs/>
        </w:rPr>
        <w:tab/>
      </w:r>
      <w:r w:rsidR="006704F5">
        <w:rPr>
          <w:rFonts w:eastAsia="Calibri" w:cs="Arial"/>
          <w:bCs/>
        </w:rPr>
        <w:tab/>
      </w:r>
    </w:p>
    <w:sectPr w:rsidR="008564B8" w:rsidRPr="0065585A" w:rsidSect="008F6C98">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ED43F" w14:textId="77777777" w:rsidR="00F80613" w:rsidRDefault="00F80613" w:rsidP="00C0309A">
      <w:pPr>
        <w:spacing w:after="0" w:line="240" w:lineRule="auto"/>
      </w:pPr>
      <w:r>
        <w:separator/>
      </w:r>
    </w:p>
  </w:endnote>
  <w:endnote w:type="continuationSeparator" w:id="0">
    <w:p w14:paraId="4719C4EA" w14:textId="77777777" w:rsidR="00F80613" w:rsidRDefault="00F80613" w:rsidP="00C0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727638"/>
      <w:docPartObj>
        <w:docPartGallery w:val="Page Numbers (Bottom of Page)"/>
        <w:docPartUnique/>
      </w:docPartObj>
    </w:sdtPr>
    <w:sdtEndPr>
      <w:rPr>
        <w:noProof/>
      </w:rPr>
    </w:sdtEndPr>
    <w:sdtContent>
      <w:p w14:paraId="7FBA5D8A" w14:textId="73AD792B" w:rsidR="008F6C98" w:rsidRDefault="008F6C98">
        <w:pPr>
          <w:pStyle w:val="Footer"/>
          <w:jc w:val="right"/>
        </w:pPr>
        <w:r>
          <w:fldChar w:fldCharType="begin"/>
        </w:r>
        <w:r>
          <w:instrText xml:space="preserve"> PAGE   \* MERGEFORMAT </w:instrText>
        </w:r>
        <w:r>
          <w:fldChar w:fldCharType="separate"/>
        </w:r>
        <w:r w:rsidR="000E2670">
          <w:rPr>
            <w:noProof/>
          </w:rPr>
          <w:t>3</w:t>
        </w:r>
        <w:r>
          <w:rPr>
            <w:noProof/>
          </w:rPr>
          <w:fldChar w:fldCharType="end"/>
        </w:r>
      </w:p>
    </w:sdtContent>
  </w:sdt>
  <w:p w14:paraId="1FCBFB09" w14:textId="77777777" w:rsidR="008F6C98" w:rsidRDefault="008F6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FAC7D" w14:textId="77777777" w:rsidR="00F80613" w:rsidRDefault="00F80613" w:rsidP="006779AB">
      <w:pPr>
        <w:spacing w:after="0" w:line="240" w:lineRule="auto"/>
        <w:ind w:left="0"/>
      </w:pPr>
      <w:r>
        <w:separator/>
      </w:r>
    </w:p>
  </w:footnote>
  <w:footnote w:type="continuationSeparator" w:id="0">
    <w:p w14:paraId="46C3E8CE" w14:textId="77777777" w:rsidR="00F80613" w:rsidRDefault="00F80613" w:rsidP="00C0309A">
      <w:pPr>
        <w:spacing w:after="0" w:line="240" w:lineRule="auto"/>
      </w:pPr>
      <w:r>
        <w:continuationSeparator/>
      </w:r>
    </w:p>
  </w:footnote>
  <w:footnote w:id="1">
    <w:p w14:paraId="48E0C287" w14:textId="74FCDBA9" w:rsidR="00D87AA7" w:rsidRPr="00AF22B7" w:rsidRDefault="00D87AA7" w:rsidP="00D87AA7">
      <w:pPr>
        <w:pStyle w:val="FootnoteText"/>
        <w:ind w:left="0"/>
        <w:rPr>
          <w:sz w:val="18"/>
          <w:szCs w:val="18"/>
          <w:lang w:val="en-ZA"/>
        </w:rPr>
      </w:pPr>
      <w:r w:rsidRPr="00AF22B7">
        <w:rPr>
          <w:rStyle w:val="FootnoteReference"/>
          <w:sz w:val="18"/>
          <w:szCs w:val="18"/>
        </w:rPr>
        <w:footnoteRef/>
      </w:r>
      <w:r w:rsidRPr="00AF22B7">
        <w:rPr>
          <w:sz w:val="18"/>
          <w:szCs w:val="18"/>
        </w:rPr>
        <w:t xml:space="preserve"> 7 of 1953.</w:t>
      </w:r>
    </w:p>
  </w:footnote>
  <w:footnote w:id="2">
    <w:p w14:paraId="440107A3" w14:textId="58E10693" w:rsidR="00FD650B" w:rsidRPr="00AF22B7" w:rsidRDefault="00FD650B" w:rsidP="00FD650B">
      <w:pPr>
        <w:pStyle w:val="FootnoteText"/>
        <w:ind w:left="0"/>
        <w:rPr>
          <w:sz w:val="18"/>
          <w:szCs w:val="18"/>
          <w:lang w:val="en-ZA"/>
        </w:rPr>
      </w:pPr>
      <w:r w:rsidRPr="00AF22B7">
        <w:rPr>
          <w:rStyle w:val="FootnoteReference"/>
          <w:sz w:val="18"/>
          <w:szCs w:val="18"/>
        </w:rPr>
        <w:footnoteRef/>
      </w:r>
      <w:r w:rsidRPr="00AF22B7">
        <w:rPr>
          <w:sz w:val="18"/>
          <w:szCs w:val="18"/>
        </w:rPr>
        <w:t xml:space="preserve"> </w:t>
      </w:r>
      <w:r w:rsidRPr="00AF22B7">
        <w:rPr>
          <w:i/>
          <w:iCs/>
          <w:sz w:val="18"/>
          <w:szCs w:val="18"/>
        </w:rPr>
        <w:t>Naidoo v Matlala N.O</w:t>
      </w:r>
      <w:r w:rsidRPr="00AF22B7">
        <w:rPr>
          <w:sz w:val="18"/>
          <w:szCs w:val="18"/>
        </w:rPr>
        <w:t>. 2012 (1) SA 143 (GNP)</w:t>
      </w:r>
      <w:r w:rsidR="00574025" w:rsidRPr="00AF22B7">
        <w:rPr>
          <w:sz w:val="18"/>
          <w:szCs w:val="18"/>
        </w:rPr>
        <w:t xml:space="preserve"> </w:t>
      </w:r>
      <w:r w:rsidR="0065585A">
        <w:rPr>
          <w:sz w:val="18"/>
          <w:szCs w:val="18"/>
        </w:rPr>
        <w:t>153C-E</w:t>
      </w:r>
      <w:r w:rsidR="00574025" w:rsidRPr="00AF22B7">
        <w:rPr>
          <w:sz w:val="18"/>
          <w:szCs w:val="18"/>
        </w:rPr>
        <w:t>.</w:t>
      </w:r>
    </w:p>
  </w:footnote>
  <w:footnote w:id="3">
    <w:p w14:paraId="46B63E08" w14:textId="7E5E569E" w:rsidR="00574025" w:rsidRPr="00AF22B7" w:rsidRDefault="00574025" w:rsidP="00574025">
      <w:pPr>
        <w:pStyle w:val="FootnoteText"/>
        <w:ind w:left="0"/>
        <w:rPr>
          <w:sz w:val="18"/>
          <w:szCs w:val="18"/>
          <w:lang w:val="en-ZA"/>
        </w:rPr>
      </w:pPr>
      <w:r w:rsidRPr="00AF22B7">
        <w:rPr>
          <w:rStyle w:val="FootnoteReference"/>
          <w:sz w:val="18"/>
          <w:szCs w:val="18"/>
        </w:rPr>
        <w:footnoteRef/>
      </w:r>
      <w:r w:rsidRPr="00AF22B7">
        <w:rPr>
          <w:sz w:val="18"/>
          <w:szCs w:val="18"/>
        </w:rPr>
        <w:t xml:space="preserve"> </w:t>
      </w:r>
      <w:r w:rsidRPr="00AF22B7">
        <w:rPr>
          <w:i/>
          <w:iCs/>
          <w:sz w:val="18"/>
          <w:szCs w:val="18"/>
        </w:rPr>
        <w:t xml:space="preserve">De Villiers v Gjn Trust </w:t>
      </w:r>
      <w:r w:rsidRPr="00AF22B7">
        <w:rPr>
          <w:sz w:val="18"/>
          <w:szCs w:val="18"/>
        </w:rPr>
        <w:t>[2018] ZASCA 80</w:t>
      </w:r>
      <w:r w:rsidRPr="00AF22B7">
        <w:rPr>
          <w:i/>
          <w:iCs/>
          <w:sz w:val="18"/>
          <w:szCs w:val="18"/>
        </w:rPr>
        <w:t xml:space="preserve">; </w:t>
      </w:r>
      <w:r w:rsidRPr="00AF22B7">
        <w:rPr>
          <w:sz w:val="18"/>
          <w:szCs w:val="18"/>
        </w:rPr>
        <w:t>2019 (1) SA 120 (SCA)</w:t>
      </w:r>
      <w:r w:rsidR="0065585A">
        <w:rPr>
          <w:sz w:val="18"/>
          <w:szCs w:val="18"/>
        </w:rPr>
        <w:t xml:space="preserve"> 128A-129C</w:t>
      </w:r>
      <w:r w:rsidRPr="00AF22B7">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8CC0DBB"/>
    <w:multiLevelType w:val="multilevel"/>
    <w:tmpl w:val="EF1E0BF0"/>
    <w:lvl w:ilvl="0">
      <w:start w:val="8"/>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nsid w:val="1F45473B"/>
    <w:multiLevelType w:val="multilevel"/>
    <w:tmpl w:val="9678E4CA"/>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nsid w:val="24E33F8B"/>
    <w:multiLevelType w:val="hybridMultilevel"/>
    <w:tmpl w:val="0A4ED1CA"/>
    <w:lvl w:ilvl="0" w:tplc="4BE26D42">
      <w:start w:val="1"/>
      <w:numFmt w:val="lowerRoman"/>
      <w:lvlText w:val="(%1)"/>
      <w:lvlJc w:val="left"/>
      <w:pPr>
        <w:ind w:left="1359" w:hanging="720"/>
      </w:pPr>
      <w:rPr>
        <w:rFonts w:hint="default"/>
      </w:rPr>
    </w:lvl>
    <w:lvl w:ilvl="1" w:tplc="1C090019" w:tentative="1">
      <w:start w:val="1"/>
      <w:numFmt w:val="lowerLetter"/>
      <w:lvlText w:val="%2."/>
      <w:lvlJc w:val="left"/>
      <w:pPr>
        <w:ind w:left="1719" w:hanging="360"/>
      </w:pPr>
    </w:lvl>
    <w:lvl w:ilvl="2" w:tplc="1C09001B" w:tentative="1">
      <w:start w:val="1"/>
      <w:numFmt w:val="lowerRoman"/>
      <w:lvlText w:val="%3."/>
      <w:lvlJc w:val="right"/>
      <w:pPr>
        <w:ind w:left="2439" w:hanging="180"/>
      </w:pPr>
    </w:lvl>
    <w:lvl w:ilvl="3" w:tplc="1C09000F" w:tentative="1">
      <w:start w:val="1"/>
      <w:numFmt w:val="decimal"/>
      <w:lvlText w:val="%4."/>
      <w:lvlJc w:val="left"/>
      <w:pPr>
        <w:ind w:left="3159" w:hanging="360"/>
      </w:pPr>
    </w:lvl>
    <w:lvl w:ilvl="4" w:tplc="1C090019" w:tentative="1">
      <w:start w:val="1"/>
      <w:numFmt w:val="lowerLetter"/>
      <w:lvlText w:val="%5."/>
      <w:lvlJc w:val="left"/>
      <w:pPr>
        <w:ind w:left="3879" w:hanging="360"/>
      </w:pPr>
    </w:lvl>
    <w:lvl w:ilvl="5" w:tplc="1C09001B" w:tentative="1">
      <w:start w:val="1"/>
      <w:numFmt w:val="lowerRoman"/>
      <w:lvlText w:val="%6."/>
      <w:lvlJc w:val="right"/>
      <w:pPr>
        <w:ind w:left="4599" w:hanging="180"/>
      </w:pPr>
    </w:lvl>
    <w:lvl w:ilvl="6" w:tplc="1C09000F" w:tentative="1">
      <w:start w:val="1"/>
      <w:numFmt w:val="decimal"/>
      <w:lvlText w:val="%7."/>
      <w:lvlJc w:val="left"/>
      <w:pPr>
        <w:ind w:left="5319" w:hanging="360"/>
      </w:pPr>
    </w:lvl>
    <w:lvl w:ilvl="7" w:tplc="1C090019" w:tentative="1">
      <w:start w:val="1"/>
      <w:numFmt w:val="lowerLetter"/>
      <w:lvlText w:val="%8."/>
      <w:lvlJc w:val="left"/>
      <w:pPr>
        <w:ind w:left="6039" w:hanging="360"/>
      </w:pPr>
    </w:lvl>
    <w:lvl w:ilvl="8" w:tplc="1C09001B" w:tentative="1">
      <w:start w:val="1"/>
      <w:numFmt w:val="lowerRoman"/>
      <w:lvlText w:val="%9."/>
      <w:lvlJc w:val="right"/>
      <w:pPr>
        <w:ind w:left="6759" w:hanging="180"/>
      </w:pPr>
    </w:lvl>
  </w:abstractNum>
  <w:abstractNum w:abstractNumId="4">
    <w:nsid w:val="291971A1"/>
    <w:multiLevelType w:val="hybridMultilevel"/>
    <w:tmpl w:val="F3F0C61A"/>
    <w:lvl w:ilvl="0" w:tplc="E6443F3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
    <w:nsid w:val="345A1DEA"/>
    <w:multiLevelType w:val="hybridMultilevel"/>
    <w:tmpl w:val="8DE86FD6"/>
    <w:lvl w:ilvl="0" w:tplc="12B63BB4">
      <w:start w:val="1"/>
      <w:numFmt w:val="lowerRoman"/>
      <w:lvlText w:val="(%1)"/>
      <w:lvlJc w:val="right"/>
      <w:pPr>
        <w:ind w:left="1356" w:hanging="360"/>
      </w:pPr>
      <w:rPr>
        <w:rFonts w:hint="default"/>
      </w:rPr>
    </w:lvl>
    <w:lvl w:ilvl="1" w:tplc="1C090019" w:tentative="1">
      <w:start w:val="1"/>
      <w:numFmt w:val="lowerLetter"/>
      <w:lvlText w:val="%2."/>
      <w:lvlJc w:val="left"/>
      <w:pPr>
        <w:ind w:left="2076" w:hanging="360"/>
      </w:pPr>
    </w:lvl>
    <w:lvl w:ilvl="2" w:tplc="1C09001B" w:tentative="1">
      <w:start w:val="1"/>
      <w:numFmt w:val="lowerRoman"/>
      <w:lvlText w:val="%3."/>
      <w:lvlJc w:val="right"/>
      <w:pPr>
        <w:ind w:left="2796" w:hanging="180"/>
      </w:pPr>
    </w:lvl>
    <w:lvl w:ilvl="3" w:tplc="1C09000F" w:tentative="1">
      <w:start w:val="1"/>
      <w:numFmt w:val="decimal"/>
      <w:lvlText w:val="%4."/>
      <w:lvlJc w:val="left"/>
      <w:pPr>
        <w:ind w:left="3516" w:hanging="360"/>
      </w:pPr>
    </w:lvl>
    <w:lvl w:ilvl="4" w:tplc="1C090019" w:tentative="1">
      <w:start w:val="1"/>
      <w:numFmt w:val="lowerLetter"/>
      <w:lvlText w:val="%5."/>
      <w:lvlJc w:val="left"/>
      <w:pPr>
        <w:ind w:left="4236" w:hanging="360"/>
      </w:pPr>
    </w:lvl>
    <w:lvl w:ilvl="5" w:tplc="1C09001B" w:tentative="1">
      <w:start w:val="1"/>
      <w:numFmt w:val="lowerRoman"/>
      <w:lvlText w:val="%6."/>
      <w:lvlJc w:val="right"/>
      <w:pPr>
        <w:ind w:left="4956" w:hanging="180"/>
      </w:pPr>
    </w:lvl>
    <w:lvl w:ilvl="6" w:tplc="1C09000F" w:tentative="1">
      <w:start w:val="1"/>
      <w:numFmt w:val="decimal"/>
      <w:lvlText w:val="%7."/>
      <w:lvlJc w:val="left"/>
      <w:pPr>
        <w:ind w:left="5676" w:hanging="360"/>
      </w:pPr>
    </w:lvl>
    <w:lvl w:ilvl="7" w:tplc="1C090019" w:tentative="1">
      <w:start w:val="1"/>
      <w:numFmt w:val="lowerLetter"/>
      <w:lvlText w:val="%8."/>
      <w:lvlJc w:val="left"/>
      <w:pPr>
        <w:ind w:left="6396" w:hanging="360"/>
      </w:pPr>
    </w:lvl>
    <w:lvl w:ilvl="8" w:tplc="1C09001B" w:tentative="1">
      <w:start w:val="1"/>
      <w:numFmt w:val="lowerRoman"/>
      <w:lvlText w:val="%9."/>
      <w:lvlJc w:val="right"/>
      <w:pPr>
        <w:ind w:left="7116" w:hanging="180"/>
      </w:pPr>
    </w:lvl>
  </w:abstractNum>
  <w:abstractNum w:abstractNumId="6">
    <w:nsid w:val="6B4A37CA"/>
    <w:multiLevelType w:val="hybridMultilevel"/>
    <w:tmpl w:val="DEF26BAA"/>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A"/>
    <w:rsid w:val="000204C0"/>
    <w:rsid w:val="000446F7"/>
    <w:rsid w:val="000469F5"/>
    <w:rsid w:val="00057E4A"/>
    <w:rsid w:val="000C1011"/>
    <w:rsid w:val="000E2670"/>
    <w:rsid w:val="001348B2"/>
    <w:rsid w:val="001D78F2"/>
    <w:rsid w:val="001F7CE3"/>
    <w:rsid w:val="00283FA6"/>
    <w:rsid w:val="003B417F"/>
    <w:rsid w:val="003E3419"/>
    <w:rsid w:val="004003FB"/>
    <w:rsid w:val="00496314"/>
    <w:rsid w:val="004A0FC4"/>
    <w:rsid w:val="004A1729"/>
    <w:rsid w:val="00574025"/>
    <w:rsid w:val="005818DD"/>
    <w:rsid w:val="005A5732"/>
    <w:rsid w:val="005C6769"/>
    <w:rsid w:val="00616F14"/>
    <w:rsid w:val="00630B67"/>
    <w:rsid w:val="0065585A"/>
    <w:rsid w:val="00661188"/>
    <w:rsid w:val="006704F5"/>
    <w:rsid w:val="006779AB"/>
    <w:rsid w:val="006D0181"/>
    <w:rsid w:val="006E1B34"/>
    <w:rsid w:val="006F1A4B"/>
    <w:rsid w:val="0074716F"/>
    <w:rsid w:val="0075338F"/>
    <w:rsid w:val="00783F20"/>
    <w:rsid w:val="007858AB"/>
    <w:rsid w:val="008049CC"/>
    <w:rsid w:val="008564B8"/>
    <w:rsid w:val="008F6C98"/>
    <w:rsid w:val="00A020CD"/>
    <w:rsid w:val="00A1695F"/>
    <w:rsid w:val="00A8524C"/>
    <w:rsid w:val="00AE1F2D"/>
    <w:rsid w:val="00AF22B7"/>
    <w:rsid w:val="00BA583C"/>
    <w:rsid w:val="00BF5455"/>
    <w:rsid w:val="00C0309A"/>
    <w:rsid w:val="00C73B7E"/>
    <w:rsid w:val="00CB1BB3"/>
    <w:rsid w:val="00CC4D63"/>
    <w:rsid w:val="00D0157D"/>
    <w:rsid w:val="00D223BF"/>
    <w:rsid w:val="00D87AA7"/>
    <w:rsid w:val="00D92EED"/>
    <w:rsid w:val="00DC14FD"/>
    <w:rsid w:val="00DC2151"/>
    <w:rsid w:val="00E139A6"/>
    <w:rsid w:val="00EA284B"/>
    <w:rsid w:val="00EB1E1F"/>
    <w:rsid w:val="00EE3A1F"/>
    <w:rsid w:val="00F80613"/>
    <w:rsid w:val="00FD65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A38F"/>
  <w15:chartTrackingRefBased/>
  <w15:docId w15:val="{CD6549E0-3F2C-48AE-8623-32FE35F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C0309A"/>
    <w:pPr>
      <w:spacing w:after="240" w:line="360" w:lineRule="auto"/>
      <w:ind w:left="567"/>
      <w:jc w:val="both"/>
    </w:pPr>
    <w:rPr>
      <w:rFonts w:ascii="Arial" w:hAnsi="Arial"/>
      <w:kern w:val="0"/>
      <w:sz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C0309A"/>
    <w:pPr>
      <w:numPr>
        <w:numId w:val="1"/>
      </w:numPr>
    </w:pPr>
    <w:rPr>
      <w:rFonts w:cs="Arial"/>
    </w:rPr>
  </w:style>
  <w:style w:type="paragraph" w:customStyle="1" w:styleId="JudgmentHeading">
    <w:name w:val="Judgment Heading"/>
    <w:basedOn w:val="JudgmentNumbered"/>
    <w:next w:val="JudgmentNumbered"/>
    <w:link w:val="JudgmentHeadingChar"/>
    <w:qFormat/>
    <w:rsid w:val="00C0309A"/>
    <w:pPr>
      <w:numPr>
        <w:numId w:val="0"/>
      </w:numPr>
    </w:pPr>
    <w:rPr>
      <w:i/>
    </w:rPr>
  </w:style>
  <w:style w:type="character" w:customStyle="1" w:styleId="JudgmentNumberedChar">
    <w:name w:val="Judgment Numbered Char"/>
    <w:basedOn w:val="DefaultParagraphFont"/>
    <w:link w:val="JudgmentNumbered"/>
    <w:rsid w:val="00C0309A"/>
    <w:rPr>
      <w:rFonts w:ascii="Arial" w:hAnsi="Arial" w:cs="Arial"/>
      <w:kern w:val="0"/>
      <w:sz w:val="24"/>
      <w:lang w:val="en-GB"/>
      <w14:ligatures w14:val="none"/>
    </w:rPr>
  </w:style>
  <w:style w:type="character" w:customStyle="1" w:styleId="JudgmentHeadingChar">
    <w:name w:val="Judgment Heading Char"/>
    <w:basedOn w:val="JudgmentNumberedChar"/>
    <w:link w:val="JudgmentHeading"/>
    <w:rsid w:val="00C0309A"/>
    <w:rPr>
      <w:rFonts w:ascii="Arial" w:hAnsi="Arial" w:cs="Arial"/>
      <w:i/>
      <w:kern w:val="0"/>
      <w:sz w:val="24"/>
      <w:lang w:val="en-GB"/>
      <w14:ligatures w14:val="none"/>
    </w:rPr>
  </w:style>
  <w:style w:type="paragraph" w:styleId="FootnoteText">
    <w:name w:val="footnote text"/>
    <w:basedOn w:val="Normal"/>
    <w:link w:val="FootnoteTextChar"/>
    <w:uiPriority w:val="99"/>
    <w:semiHidden/>
    <w:unhideWhenUsed/>
    <w:rsid w:val="00C03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09A"/>
    <w:rPr>
      <w:rFonts w:ascii="Arial" w:hAnsi="Arial"/>
      <w:kern w:val="0"/>
      <w:sz w:val="20"/>
      <w:szCs w:val="20"/>
      <w:lang w:val="en-GB"/>
      <w14:ligatures w14:val="none"/>
    </w:rPr>
  </w:style>
  <w:style w:type="character" w:styleId="FootnoteReference">
    <w:name w:val="footnote reference"/>
    <w:basedOn w:val="DefaultParagraphFont"/>
    <w:uiPriority w:val="99"/>
    <w:semiHidden/>
    <w:unhideWhenUsed/>
    <w:rsid w:val="00C0309A"/>
    <w:rPr>
      <w:vertAlign w:val="superscript"/>
    </w:rPr>
  </w:style>
  <w:style w:type="character" w:customStyle="1" w:styleId="markedcontent">
    <w:name w:val="markedcontent"/>
    <w:basedOn w:val="DefaultParagraphFont"/>
    <w:rsid w:val="00C0309A"/>
  </w:style>
  <w:style w:type="paragraph" w:styleId="Header">
    <w:name w:val="header"/>
    <w:basedOn w:val="Normal"/>
    <w:link w:val="HeaderChar"/>
    <w:uiPriority w:val="99"/>
    <w:unhideWhenUsed/>
    <w:rsid w:val="008F6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98"/>
    <w:rPr>
      <w:rFonts w:ascii="Arial" w:hAnsi="Arial"/>
      <w:kern w:val="0"/>
      <w:sz w:val="24"/>
      <w:lang w:val="en-GB"/>
      <w14:ligatures w14:val="none"/>
    </w:rPr>
  </w:style>
  <w:style w:type="paragraph" w:styleId="Footer">
    <w:name w:val="footer"/>
    <w:basedOn w:val="Normal"/>
    <w:link w:val="FooterChar"/>
    <w:uiPriority w:val="99"/>
    <w:unhideWhenUsed/>
    <w:rsid w:val="008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98"/>
    <w:rPr>
      <w:rFonts w:ascii="Arial" w:hAnsi="Arial"/>
      <w:kern w:val="0"/>
      <w:sz w:val="24"/>
      <w:lang w:val="en-GB"/>
      <w14:ligatures w14:val="none"/>
    </w:rPr>
  </w:style>
  <w:style w:type="character" w:styleId="CommentReference">
    <w:name w:val="annotation reference"/>
    <w:basedOn w:val="DefaultParagraphFont"/>
    <w:uiPriority w:val="99"/>
    <w:semiHidden/>
    <w:unhideWhenUsed/>
    <w:rsid w:val="00DC2151"/>
    <w:rPr>
      <w:sz w:val="16"/>
      <w:szCs w:val="16"/>
    </w:rPr>
  </w:style>
  <w:style w:type="paragraph" w:styleId="CommentText">
    <w:name w:val="annotation text"/>
    <w:basedOn w:val="Normal"/>
    <w:link w:val="CommentTextChar"/>
    <w:uiPriority w:val="99"/>
    <w:unhideWhenUsed/>
    <w:rsid w:val="00DC2151"/>
    <w:pPr>
      <w:spacing w:line="240" w:lineRule="auto"/>
    </w:pPr>
    <w:rPr>
      <w:sz w:val="20"/>
      <w:szCs w:val="20"/>
    </w:rPr>
  </w:style>
  <w:style w:type="character" w:customStyle="1" w:styleId="CommentTextChar">
    <w:name w:val="Comment Text Char"/>
    <w:basedOn w:val="DefaultParagraphFont"/>
    <w:link w:val="CommentText"/>
    <w:uiPriority w:val="99"/>
    <w:rsid w:val="00DC2151"/>
    <w:rPr>
      <w:rFonts w:ascii="Arial" w:hAnsi="Arial"/>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DC2151"/>
    <w:rPr>
      <w:b/>
      <w:bCs/>
    </w:rPr>
  </w:style>
  <w:style w:type="character" w:customStyle="1" w:styleId="CommentSubjectChar">
    <w:name w:val="Comment Subject Char"/>
    <w:basedOn w:val="CommentTextChar"/>
    <w:link w:val="CommentSubject"/>
    <w:uiPriority w:val="99"/>
    <w:semiHidden/>
    <w:rsid w:val="00DC2151"/>
    <w:rPr>
      <w:rFonts w:ascii="Arial" w:hAnsi="Arial"/>
      <w:b/>
      <w:bCs/>
      <w:kern w:val="0"/>
      <w:sz w:val="20"/>
      <w:szCs w:val="20"/>
      <w:lang w:val="en-GB"/>
      <w14:ligatures w14:val="none"/>
    </w:rPr>
  </w:style>
  <w:style w:type="paragraph" w:styleId="BalloonText">
    <w:name w:val="Balloon Text"/>
    <w:basedOn w:val="Normal"/>
    <w:link w:val="BalloonTextChar"/>
    <w:uiPriority w:val="99"/>
    <w:semiHidden/>
    <w:unhideWhenUsed/>
    <w:rsid w:val="00783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F20"/>
    <w:rPr>
      <w:rFonts w:ascii="Segoe UI"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88827">
      <w:bodyDiv w:val="1"/>
      <w:marLeft w:val="0"/>
      <w:marRight w:val="0"/>
      <w:marTop w:val="0"/>
      <w:marBottom w:val="0"/>
      <w:divBdr>
        <w:top w:val="none" w:sz="0" w:space="0" w:color="auto"/>
        <w:left w:val="none" w:sz="0" w:space="0" w:color="auto"/>
        <w:bottom w:val="none" w:sz="0" w:space="0" w:color="auto"/>
        <w:right w:val="none" w:sz="0" w:space="0" w:color="auto"/>
      </w:divBdr>
    </w:div>
    <w:div w:id="17854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3" ma:contentTypeDescription="Create a new document." ma:contentTypeScope="" ma:versionID="859d5e4513c354fdd9f9bedc2dc40414">
  <xsd:schema xmlns:xsd="http://www.w3.org/2001/XMLSchema" xmlns:xs="http://www.w3.org/2001/XMLSchema" xmlns:p="http://schemas.microsoft.com/office/2006/metadata/properties" xmlns:ns3="7803ae50-825d-4e06-9055-d98ed2079135" targetNamespace="http://schemas.microsoft.com/office/2006/metadata/properties" ma:root="true" ma:fieldsID="092e27f2b1c1da72e443ef033b8e7d9a" ns3:_="">
    <xsd:import namespace="7803ae50-825d-4e06-9055-d98ed207913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62563-94D0-45C6-BE95-F6D185827519}">
  <ds:schemaRefs>
    <ds:schemaRef ds:uri="http://schemas.microsoft.com/sharepoint/v3/contenttype/forms"/>
  </ds:schemaRefs>
</ds:datastoreItem>
</file>

<file path=customXml/itemProps2.xml><?xml version="1.0" encoding="utf-8"?>
<ds:datastoreItem xmlns:ds="http://schemas.openxmlformats.org/officeDocument/2006/customXml" ds:itemID="{56293771-2B93-4FC7-B102-98B961C02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9FF92-1393-4EB4-996E-216384FEC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36BCB2-A353-4020-8115-3E5E77CE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Mmatlala Kekana</dc:creator>
  <cp:keywords/>
  <dc:description/>
  <cp:lastModifiedBy>Mokone</cp:lastModifiedBy>
  <cp:revision>3</cp:revision>
  <dcterms:created xsi:type="dcterms:W3CDTF">2023-07-17T14:33:00Z</dcterms:created>
  <dcterms:modified xsi:type="dcterms:W3CDTF">2023-07-17T14:34:00Z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