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22737" w14:textId="77777777" w:rsidR="0014483C" w:rsidRPr="0014483C" w:rsidRDefault="00CC77D6" w:rsidP="0014483C">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14483C">
        <w:rPr>
          <w:rFonts w:ascii="Arial Unicode MS" w:eastAsia="Arial Unicode MS" w:hAnsi="Arial Unicode MS" w:cs="Arial Unicode MS"/>
          <w:noProof/>
          <w:sz w:val="24"/>
          <w:szCs w:val="20"/>
          <w:lang w:val="en-US"/>
        </w:rPr>
        <w:drawing>
          <wp:inline distT="0" distB="0" distL="0" distR="0" wp14:anchorId="09B4B889" wp14:editId="751802D5">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972000" cy="972000"/>
                    </a:xfrm>
                    <a:prstGeom prst="rect">
                      <a:avLst/>
                    </a:prstGeom>
                    <a:noFill/>
                    <a:ln>
                      <a:noFill/>
                    </a:ln>
                  </pic:spPr>
                </pic:pic>
              </a:graphicData>
            </a:graphic>
          </wp:inline>
        </w:drawing>
      </w:r>
    </w:p>
    <w:p w14:paraId="329732DC" w14:textId="77777777" w:rsidR="0014483C" w:rsidRPr="0014483C" w:rsidRDefault="00CC77D6" w:rsidP="0014483C">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r w:rsidRPr="0014483C">
        <w:rPr>
          <w:rFonts w:ascii="Times New Roman" w:eastAsia="Arial Unicode MS" w:hAnsi="Times New Roman" w:cs="Times New Roman"/>
          <w:b/>
          <w:color w:val="222222"/>
          <w:sz w:val="28"/>
          <w:szCs w:val="28"/>
          <w:lang w:val="af-ZA"/>
        </w:rPr>
        <w:t>IN THE HIGH COURT OF SOUTH AFRICA</w:t>
      </w:r>
    </w:p>
    <w:p w14:paraId="6D86FF81" w14:textId="77777777" w:rsidR="0014483C" w:rsidRPr="0014483C" w:rsidRDefault="00CC77D6" w:rsidP="0014483C">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r w:rsidRPr="0014483C">
        <w:rPr>
          <w:rFonts w:ascii="Times New Roman" w:eastAsia="Arial Unicode MS" w:hAnsi="Times New Roman" w:cs="Times New Roman"/>
          <w:b/>
          <w:color w:val="222222"/>
          <w:sz w:val="28"/>
          <w:szCs w:val="28"/>
          <w:lang w:val="af-ZA"/>
        </w:rPr>
        <w:t>GAUTENG LOCAL DIVISION, JOHANNESBURG</w:t>
      </w:r>
    </w:p>
    <w:p w14:paraId="6F04F30B" w14:textId="77777777" w:rsidR="0014483C" w:rsidRPr="0014483C" w:rsidRDefault="00CC77D6" w:rsidP="0014483C">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r w:rsidRPr="0014483C">
        <w:rPr>
          <w:rFonts w:ascii="Times New Roman" w:eastAsia="Arial Unicode MS" w:hAnsi="Times New Roman" w:cs="Times New Roman"/>
          <w:b/>
          <w:sz w:val="28"/>
          <w:szCs w:val="28"/>
        </w:rPr>
        <w:t>REPUBLIC OF SOUTH AFRICA</w:t>
      </w:r>
    </w:p>
    <w:p w14:paraId="2BECDE84" w14:textId="77777777" w:rsidR="0014483C" w:rsidRPr="0014483C" w:rsidRDefault="00CC77D6" w:rsidP="0014483C">
      <w:pPr>
        <w:suppressAutoHyphens/>
        <w:spacing w:after="0" w:line="480" w:lineRule="auto"/>
        <w:jc w:val="right"/>
        <w:rPr>
          <w:rFonts w:ascii="Times New Roman" w:eastAsia="Times New Roman" w:hAnsi="Times New Roman" w:cs="Times New Roman"/>
          <w:sz w:val="28"/>
          <w:szCs w:val="28"/>
        </w:rPr>
      </w:pPr>
      <w:r w:rsidRPr="0014483C">
        <w:rPr>
          <w:rFonts w:ascii="Times New Roman" w:eastAsia="Times New Roman" w:hAnsi="Times New Roman" w:cs="Times New Roman"/>
          <w:b/>
          <w:bCs/>
          <w:sz w:val="28"/>
          <w:szCs w:val="28"/>
        </w:rPr>
        <w:t>CASE NO</w:t>
      </w:r>
      <w:r w:rsidRPr="0014483C">
        <w:rPr>
          <w:rFonts w:ascii="Times New Roman" w:eastAsia="Times New Roman" w:hAnsi="Times New Roman" w:cs="Times New Roman"/>
          <w:sz w:val="28"/>
          <w:szCs w:val="28"/>
        </w:rPr>
        <w:t xml:space="preserve">: </w:t>
      </w:r>
      <w:r w:rsidRPr="0014483C">
        <w:rPr>
          <w:rFonts w:ascii="Times New Roman" w:eastAsia="Times New Roman" w:hAnsi="Times New Roman" w:cs="Times New Roman"/>
          <w:b/>
          <w:bCs/>
          <w:sz w:val="28"/>
          <w:szCs w:val="28"/>
        </w:rPr>
        <w:t>0021549/2021</w:t>
      </w:r>
    </w:p>
    <w:p w14:paraId="3921289F" w14:textId="77777777" w:rsidR="0014483C" w:rsidRPr="0014483C" w:rsidRDefault="0014483C" w:rsidP="0014483C">
      <w:pPr>
        <w:suppressAutoHyphens/>
        <w:spacing w:after="0" w:line="480" w:lineRule="auto"/>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5"/>
      </w:tblGrid>
      <w:tr w:rsidR="00EB261C" w14:paraId="3DD9B60C" w14:textId="77777777" w:rsidTr="00ED36A9">
        <w:trPr>
          <w:trHeight w:val="2455"/>
        </w:trPr>
        <w:tc>
          <w:tcPr>
            <w:tcW w:w="5035" w:type="dxa"/>
          </w:tcPr>
          <w:p w14:paraId="48203E38" w14:textId="77777777" w:rsidR="0014483C" w:rsidRPr="00ED36A9" w:rsidRDefault="00CC77D6" w:rsidP="0014483C">
            <w:pPr>
              <w:suppressAutoHyphens/>
              <w:spacing w:after="0" w:line="360" w:lineRule="auto"/>
              <w:jc w:val="both"/>
              <w:rPr>
                <w:rFonts w:ascii="Times New Roman" w:eastAsia="Arial Unicode MS" w:hAnsi="Times New Roman" w:cs="Times New Roman"/>
                <w:b/>
                <w:sz w:val="18"/>
                <w:szCs w:val="18"/>
              </w:rPr>
            </w:pPr>
            <w:r w:rsidRPr="00ED36A9">
              <w:rPr>
                <w:rFonts w:ascii="Times New Roman" w:eastAsia="Arial Unicode MS" w:hAnsi="Times New Roman" w:cs="Times New Roman"/>
                <w:b/>
                <w:sz w:val="18"/>
                <w:szCs w:val="18"/>
              </w:rPr>
              <w:t>DELETE WHICHEVER IS NOT APPLICABLE</w:t>
            </w:r>
          </w:p>
          <w:p w14:paraId="17FFB7BF" w14:textId="77777777" w:rsidR="0014483C" w:rsidRPr="00ED36A9" w:rsidRDefault="00CC77D6" w:rsidP="0014483C">
            <w:pPr>
              <w:suppressAutoHyphens/>
              <w:spacing w:after="0" w:line="480" w:lineRule="auto"/>
              <w:jc w:val="both"/>
              <w:rPr>
                <w:rFonts w:ascii="Times New Roman" w:eastAsia="Arial Unicode MS" w:hAnsi="Times New Roman" w:cs="Times New Roman"/>
                <w:sz w:val="18"/>
                <w:szCs w:val="18"/>
              </w:rPr>
            </w:pPr>
            <w:r w:rsidRPr="00ED36A9">
              <w:rPr>
                <w:rFonts w:ascii="Times New Roman" w:eastAsia="Arial Unicode MS" w:hAnsi="Times New Roman" w:cs="Times New Roman"/>
                <w:sz w:val="18"/>
                <w:szCs w:val="18"/>
              </w:rPr>
              <w:t>(1)</w:t>
            </w:r>
            <w:r w:rsidRPr="00ED36A9">
              <w:rPr>
                <w:rFonts w:ascii="Times New Roman" w:eastAsia="Arial Unicode MS" w:hAnsi="Times New Roman" w:cs="Times New Roman"/>
                <w:sz w:val="18"/>
                <w:szCs w:val="18"/>
              </w:rPr>
              <w:tab/>
              <w:t>REPORTABLE:  NO</w:t>
            </w:r>
          </w:p>
          <w:p w14:paraId="4838E637" w14:textId="77777777" w:rsidR="0014483C" w:rsidRPr="00ED36A9" w:rsidRDefault="00CC77D6" w:rsidP="0014483C">
            <w:pPr>
              <w:suppressAutoHyphens/>
              <w:spacing w:after="0" w:line="480" w:lineRule="auto"/>
              <w:jc w:val="both"/>
              <w:rPr>
                <w:rFonts w:ascii="Times New Roman" w:eastAsia="Arial Unicode MS" w:hAnsi="Times New Roman" w:cs="Times New Roman"/>
                <w:sz w:val="18"/>
                <w:szCs w:val="18"/>
              </w:rPr>
            </w:pPr>
            <w:r w:rsidRPr="00ED36A9">
              <w:rPr>
                <w:rFonts w:ascii="Times New Roman" w:eastAsia="Arial Unicode MS" w:hAnsi="Times New Roman" w:cs="Times New Roman"/>
                <w:sz w:val="18"/>
                <w:szCs w:val="18"/>
              </w:rPr>
              <w:t>(2)</w:t>
            </w:r>
            <w:r w:rsidRPr="00ED36A9">
              <w:rPr>
                <w:rFonts w:ascii="Times New Roman" w:eastAsia="Arial Unicode MS" w:hAnsi="Times New Roman" w:cs="Times New Roman"/>
                <w:sz w:val="18"/>
                <w:szCs w:val="18"/>
              </w:rPr>
              <w:tab/>
              <w:t>OF INTEREST TO OTHER JUDGES: NO</w:t>
            </w:r>
          </w:p>
          <w:p w14:paraId="49E49EED" w14:textId="77777777" w:rsidR="0014483C" w:rsidRPr="00ED36A9" w:rsidRDefault="00CC77D6" w:rsidP="0014483C">
            <w:pPr>
              <w:suppressAutoHyphens/>
              <w:spacing w:after="0" w:line="480" w:lineRule="auto"/>
              <w:jc w:val="both"/>
              <w:rPr>
                <w:rFonts w:ascii="Times New Roman" w:eastAsia="Arial Unicode MS" w:hAnsi="Times New Roman" w:cs="Times New Roman"/>
                <w:sz w:val="18"/>
                <w:szCs w:val="18"/>
              </w:rPr>
            </w:pPr>
            <w:r w:rsidRPr="00ED36A9">
              <w:rPr>
                <w:rFonts w:ascii="Times New Roman" w:eastAsia="Arial Unicode MS" w:hAnsi="Times New Roman" w:cs="Times New Roman"/>
                <w:sz w:val="18"/>
                <w:szCs w:val="18"/>
              </w:rPr>
              <w:t>(3)</w:t>
            </w:r>
            <w:r w:rsidRPr="00ED36A9">
              <w:rPr>
                <w:rFonts w:ascii="Times New Roman" w:eastAsia="Arial Unicode MS" w:hAnsi="Times New Roman" w:cs="Times New Roman"/>
                <w:sz w:val="18"/>
                <w:szCs w:val="18"/>
              </w:rPr>
              <w:tab/>
              <w:t xml:space="preserve">REVISED: </w:t>
            </w:r>
            <w:r w:rsidR="00D73B45">
              <w:rPr>
                <w:rFonts w:ascii="Times New Roman" w:eastAsia="Arial Unicode MS" w:hAnsi="Times New Roman" w:cs="Times New Roman"/>
                <w:sz w:val="18"/>
                <w:szCs w:val="18"/>
              </w:rPr>
              <w:t>NO</w:t>
            </w:r>
          </w:p>
          <w:p w14:paraId="62B1C6DB" w14:textId="77777777" w:rsidR="0014483C" w:rsidRPr="00ED36A9" w:rsidRDefault="00CC77D6" w:rsidP="0014483C">
            <w:pPr>
              <w:suppressAutoHyphens/>
              <w:spacing w:after="0" w:line="480" w:lineRule="auto"/>
              <w:jc w:val="both"/>
              <w:rPr>
                <w:rFonts w:ascii="Times New Roman" w:eastAsia="Arial Unicode MS" w:hAnsi="Times New Roman" w:cs="Times New Roman"/>
                <w:b/>
                <w:sz w:val="18"/>
                <w:szCs w:val="18"/>
              </w:rPr>
            </w:pPr>
            <w:r w:rsidRPr="00ED36A9">
              <w:rPr>
                <w:rFonts w:ascii="Times New Roman" w:eastAsia="Arial Unicode MS" w:hAnsi="Times New Roman" w:cs="Times New Roman"/>
                <w:sz w:val="18"/>
                <w:szCs w:val="18"/>
              </w:rPr>
              <w:t>(4)</w:t>
            </w:r>
            <w:r w:rsidRPr="00ED36A9">
              <w:rPr>
                <w:rFonts w:ascii="Times New Roman" w:eastAsia="Arial Unicode MS" w:hAnsi="Times New Roman" w:cs="Times New Roman"/>
                <w:sz w:val="18"/>
                <w:szCs w:val="18"/>
              </w:rPr>
              <w:tab/>
              <w:t xml:space="preserve">DATE: </w:t>
            </w:r>
            <w:r w:rsidR="00D73B45">
              <w:rPr>
                <w:rFonts w:ascii="Times New Roman" w:eastAsia="Arial Unicode MS" w:hAnsi="Times New Roman" w:cs="Times New Roman"/>
                <w:sz w:val="18"/>
                <w:szCs w:val="18"/>
              </w:rPr>
              <w:t>17 JULY</w:t>
            </w:r>
            <w:r w:rsidRPr="00ED36A9">
              <w:rPr>
                <w:rFonts w:ascii="Times New Roman" w:eastAsia="Arial Unicode MS" w:hAnsi="Times New Roman" w:cs="Times New Roman"/>
                <w:sz w:val="18"/>
                <w:szCs w:val="18"/>
              </w:rPr>
              <w:t xml:space="preserve"> 2023</w:t>
            </w:r>
          </w:p>
          <w:p w14:paraId="5926BAD0" w14:textId="77777777" w:rsidR="0014483C" w:rsidRPr="00ED36A9" w:rsidRDefault="00CC77D6" w:rsidP="0014483C">
            <w:pPr>
              <w:suppressAutoHyphens/>
              <w:spacing w:after="0" w:line="480" w:lineRule="auto"/>
              <w:jc w:val="both"/>
              <w:rPr>
                <w:rFonts w:ascii="Times New Roman" w:eastAsia="Arial Unicode MS" w:hAnsi="Times New Roman" w:cs="Times New Roman"/>
                <w:sz w:val="18"/>
                <w:szCs w:val="18"/>
              </w:rPr>
            </w:pPr>
            <w:r w:rsidRPr="00ED36A9">
              <w:rPr>
                <w:rFonts w:ascii="Times New Roman" w:eastAsia="Arial Unicode MS" w:hAnsi="Times New Roman" w:cs="Times New Roman"/>
                <w:sz w:val="18"/>
                <w:szCs w:val="18"/>
              </w:rPr>
              <w:t>(5)</w:t>
            </w:r>
            <w:r w:rsidRPr="00ED36A9">
              <w:rPr>
                <w:rFonts w:ascii="Times New Roman" w:eastAsia="Arial Unicode MS" w:hAnsi="Times New Roman" w:cs="Times New Roman"/>
                <w:sz w:val="18"/>
                <w:szCs w:val="18"/>
              </w:rPr>
              <w:tab/>
              <w:t xml:space="preserve">SIGNATURE: </w:t>
            </w:r>
            <w:r w:rsidRPr="00ED36A9">
              <w:rPr>
                <w:rFonts w:ascii="Times New Roman" w:eastAsia="Arial Unicode MS" w:hAnsi="Times New Roman" w:cs="Times New Roman"/>
                <w:b/>
                <w:i/>
                <w:sz w:val="18"/>
                <w:szCs w:val="18"/>
              </w:rPr>
              <w:t>ML SENYATSI</w:t>
            </w:r>
          </w:p>
        </w:tc>
      </w:tr>
    </w:tbl>
    <w:p w14:paraId="6429C732" w14:textId="77777777" w:rsidR="0014483C" w:rsidRPr="0014483C" w:rsidRDefault="0014483C" w:rsidP="0014483C">
      <w:pPr>
        <w:suppressAutoHyphens/>
        <w:spacing w:after="0" w:line="480" w:lineRule="auto"/>
        <w:jc w:val="both"/>
        <w:rPr>
          <w:rFonts w:ascii="Times New Roman" w:eastAsia="Times New Roman" w:hAnsi="Times New Roman" w:cs="Times New Roman"/>
          <w:sz w:val="28"/>
          <w:szCs w:val="28"/>
        </w:rPr>
      </w:pPr>
    </w:p>
    <w:p w14:paraId="31CBA507" w14:textId="77777777" w:rsidR="0014483C" w:rsidRPr="0014483C" w:rsidRDefault="00CC77D6" w:rsidP="0014483C">
      <w:pPr>
        <w:suppressAutoHyphens/>
        <w:spacing w:after="0" w:line="480" w:lineRule="auto"/>
        <w:rPr>
          <w:rFonts w:ascii="Times New Roman" w:eastAsia="Times New Roman" w:hAnsi="Times New Roman" w:cs="Times New Roman"/>
          <w:sz w:val="28"/>
          <w:szCs w:val="28"/>
        </w:rPr>
      </w:pPr>
      <w:r w:rsidRPr="0014483C">
        <w:rPr>
          <w:rFonts w:ascii="Times New Roman" w:eastAsia="Times New Roman" w:hAnsi="Times New Roman" w:cs="Times New Roman"/>
          <w:sz w:val="28"/>
          <w:szCs w:val="28"/>
        </w:rPr>
        <w:t>In the matter between:</w:t>
      </w:r>
    </w:p>
    <w:p w14:paraId="6C86CB8A" w14:textId="77777777" w:rsidR="0014483C" w:rsidRPr="0014483C" w:rsidRDefault="00CC77D6" w:rsidP="0014483C">
      <w:pPr>
        <w:spacing w:before="120" w:after="120"/>
        <w:rPr>
          <w:rFonts w:ascii="Times New Roman" w:eastAsia="Calibri" w:hAnsi="Times New Roman" w:cs="Times New Roman"/>
          <w:b/>
          <w:bCs/>
          <w:sz w:val="28"/>
          <w:szCs w:val="28"/>
          <w:lang w:val="en-US"/>
        </w:rPr>
      </w:pPr>
      <w:r w:rsidRPr="0014483C">
        <w:rPr>
          <w:rFonts w:ascii="Times New Roman" w:eastAsia="Calibri" w:hAnsi="Times New Roman" w:cs="Times New Roman"/>
          <w:b/>
          <w:sz w:val="28"/>
          <w:szCs w:val="28"/>
          <w:lang w:val="en-US"/>
        </w:rPr>
        <w:t xml:space="preserve">KREETIV COMMUNICATION CC               </w:t>
      </w:r>
      <w:r w:rsidRPr="00A03D05">
        <w:rPr>
          <w:rFonts w:ascii="Times New Roman" w:eastAsia="Calibri" w:hAnsi="Times New Roman" w:cs="Times New Roman"/>
          <w:bCs/>
          <w:sz w:val="28"/>
          <w:szCs w:val="28"/>
          <w:lang w:val="en-US"/>
        </w:rPr>
        <w:t>RESPONDENT/PLAINTIFF</w:t>
      </w:r>
      <w:r w:rsidRPr="0014483C">
        <w:rPr>
          <w:rFonts w:ascii="Times New Roman" w:eastAsia="Calibri" w:hAnsi="Times New Roman" w:cs="Times New Roman"/>
          <w:sz w:val="28"/>
          <w:szCs w:val="28"/>
          <w:lang w:val="en-US"/>
        </w:rPr>
        <w:t xml:space="preserve">         </w:t>
      </w:r>
    </w:p>
    <w:p w14:paraId="0A3B70B6" w14:textId="77777777" w:rsidR="00ED36A9" w:rsidRPr="00ED36A9" w:rsidRDefault="00CC77D6" w:rsidP="0014483C">
      <w:pPr>
        <w:tabs>
          <w:tab w:val="left" w:pos="7822"/>
        </w:tabs>
        <w:rPr>
          <w:rFonts w:ascii="Times New Roman" w:eastAsia="Calibri" w:hAnsi="Times New Roman" w:cs="Times New Roman"/>
          <w:bCs/>
          <w:sz w:val="28"/>
          <w:szCs w:val="28"/>
          <w:lang w:val="en-US"/>
        </w:rPr>
      </w:pPr>
      <w:r w:rsidRPr="00ED36A9">
        <w:rPr>
          <w:rFonts w:ascii="Times New Roman" w:eastAsia="Calibri" w:hAnsi="Times New Roman" w:cs="Times New Roman"/>
          <w:bCs/>
          <w:sz w:val="28"/>
          <w:szCs w:val="28"/>
          <w:lang w:val="en-US"/>
        </w:rPr>
        <w:t xml:space="preserve">And </w:t>
      </w:r>
    </w:p>
    <w:p w14:paraId="255FA819" w14:textId="77777777" w:rsidR="0014483C" w:rsidRDefault="00CC77D6" w:rsidP="0014483C">
      <w:pPr>
        <w:tabs>
          <w:tab w:val="left" w:pos="7822"/>
        </w:tabs>
        <w:rPr>
          <w:rFonts w:ascii="Times New Roman" w:eastAsia="Calibri" w:hAnsi="Times New Roman" w:cs="Times New Roman"/>
          <w:b/>
          <w:bCs/>
          <w:sz w:val="28"/>
          <w:szCs w:val="28"/>
          <w:lang w:val="en-US"/>
        </w:rPr>
      </w:pPr>
      <w:r w:rsidRPr="0014483C">
        <w:rPr>
          <w:rFonts w:ascii="Times New Roman" w:eastAsia="Calibri" w:hAnsi="Times New Roman" w:cs="Times New Roman"/>
          <w:b/>
          <w:bCs/>
          <w:sz w:val="28"/>
          <w:szCs w:val="28"/>
          <w:lang w:val="en-US"/>
        </w:rPr>
        <w:t xml:space="preserve">ANDREW JAMES </w:t>
      </w:r>
      <w:r w:rsidR="00ED36A9">
        <w:rPr>
          <w:rFonts w:ascii="Times New Roman" w:eastAsia="Calibri" w:hAnsi="Times New Roman" w:cs="Times New Roman"/>
          <w:b/>
          <w:bCs/>
          <w:sz w:val="28"/>
          <w:szCs w:val="28"/>
          <w:lang w:val="en-US"/>
        </w:rPr>
        <w:t xml:space="preserve">                                 </w:t>
      </w:r>
      <w:r w:rsidRPr="00A03D05">
        <w:rPr>
          <w:rFonts w:ascii="Times New Roman" w:eastAsia="Calibri" w:hAnsi="Times New Roman" w:cs="Times New Roman"/>
          <w:sz w:val="28"/>
          <w:szCs w:val="28"/>
          <w:lang w:val="en-US"/>
        </w:rPr>
        <w:t>FIRST APPLICANT/DEFENDANT</w:t>
      </w:r>
    </w:p>
    <w:p w14:paraId="61C0807A" w14:textId="77777777" w:rsidR="0014483C" w:rsidRDefault="00CC77D6" w:rsidP="0014483C">
      <w:pPr>
        <w:tabs>
          <w:tab w:val="left" w:pos="7822"/>
        </w:tabs>
        <w:rPr>
          <w:rFonts w:ascii="Times New Roman" w:eastAsia="Calibri" w:hAnsi="Times New Roman" w:cs="Times New Roman"/>
          <w:b/>
          <w:bCs/>
          <w:sz w:val="28"/>
          <w:szCs w:val="28"/>
          <w:lang w:val="en-US"/>
        </w:rPr>
      </w:pPr>
      <w:r w:rsidRPr="0014483C">
        <w:rPr>
          <w:rFonts w:ascii="Times New Roman" w:eastAsia="Calibri" w:hAnsi="Times New Roman" w:cs="Times New Roman"/>
          <w:b/>
          <w:bCs/>
          <w:sz w:val="28"/>
          <w:szCs w:val="28"/>
          <w:lang w:val="en-US"/>
        </w:rPr>
        <w:t xml:space="preserve">HARRINGTON N.O.  </w:t>
      </w:r>
    </w:p>
    <w:p w14:paraId="310DA768" w14:textId="77777777" w:rsidR="00ED36A9" w:rsidRPr="0014483C" w:rsidRDefault="00ED36A9" w:rsidP="0014483C">
      <w:pPr>
        <w:tabs>
          <w:tab w:val="left" w:pos="7822"/>
        </w:tabs>
        <w:rPr>
          <w:rFonts w:ascii="Times New Roman" w:eastAsia="Calibri" w:hAnsi="Times New Roman" w:cs="Times New Roman"/>
          <w:b/>
          <w:bCs/>
          <w:sz w:val="28"/>
          <w:szCs w:val="28"/>
          <w:lang w:val="en-US"/>
        </w:rPr>
      </w:pPr>
    </w:p>
    <w:p w14:paraId="73DC0783" w14:textId="77777777" w:rsidR="0014483C" w:rsidRDefault="00CC77D6" w:rsidP="0014483C">
      <w:pPr>
        <w:tabs>
          <w:tab w:val="left" w:pos="7822"/>
        </w:tabs>
        <w:rPr>
          <w:rFonts w:ascii="Times New Roman" w:eastAsia="Calibri" w:hAnsi="Times New Roman" w:cs="Times New Roman"/>
          <w:b/>
          <w:bCs/>
          <w:sz w:val="28"/>
          <w:szCs w:val="28"/>
          <w:lang w:val="en-US"/>
        </w:rPr>
      </w:pPr>
      <w:r w:rsidRPr="0014483C">
        <w:rPr>
          <w:rFonts w:ascii="Times New Roman" w:eastAsia="Calibri" w:hAnsi="Times New Roman" w:cs="Times New Roman"/>
          <w:b/>
          <w:bCs/>
          <w:sz w:val="28"/>
          <w:szCs w:val="28"/>
          <w:lang w:val="en-US"/>
        </w:rPr>
        <w:t xml:space="preserve">MARIUS HOFF MULLER N.O.  </w:t>
      </w:r>
      <w:r w:rsidR="00ED36A9">
        <w:rPr>
          <w:rFonts w:ascii="Times New Roman" w:eastAsia="Calibri" w:hAnsi="Times New Roman" w:cs="Times New Roman"/>
          <w:b/>
          <w:bCs/>
          <w:sz w:val="28"/>
          <w:szCs w:val="28"/>
          <w:lang w:val="en-US"/>
        </w:rPr>
        <w:t xml:space="preserve">   </w:t>
      </w:r>
      <w:r w:rsidRPr="00A03D05">
        <w:rPr>
          <w:rFonts w:ascii="Times New Roman" w:eastAsia="Calibri" w:hAnsi="Times New Roman" w:cs="Times New Roman"/>
          <w:sz w:val="28"/>
          <w:szCs w:val="28"/>
          <w:lang w:val="en-US"/>
        </w:rPr>
        <w:t>SECOND APPLICANT/DEFENDANT</w:t>
      </w:r>
    </w:p>
    <w:p w14:paraId="5B191869" w14:textId="77777777" w:rsidR="00ED36A9" w:rsidRPr="0014483C" w:rsidRDefault="00ED36A9" w:rsidP="0014483C">
      <w:pPr>
        <w:tabs>
          <w:tab w:val="left" w:pos="7822"/>
        </w:tabs>
        <w:rPr>
          <w:rFonts w:ascii="Times New Roman" w:eastAsia="Calibri" w:hAnsi="Times New Roman" w:cs="Times New Roman"/>
          <w:b/>
          <w:bCs/>
          <w:sz w:val="28"/>
          <w:szCs w:val="28"/>
          <w:lang w:val="en-US"/>
        </w:rPr>
      </w:pPr>
    </w:p>
    <w:p w14:paraId="6CCA5CAB" w14:textId="77777777" w:rsidR="0014483C" w:rsidRPr="00A03D05" w:rsidRDefault="00CC77D6" w:rsidP="0014483C">
      <w:pPr>
        <w:tabs>
          <w:tab w:val="left" w:pos="7822"/>
        </w:tabs>
        <w:rPr>
          <w:rFonts w:ascii="Times New Roman" w:eastAsia="Calibri" w:hAnsi="Times New Roman" w:cs="Times New Roman"/>
          <w:sz w:val="28"/>
          <w:szCs w:val="28"/>
          <w:lang w:val="en-US"/>
        </w:rPr>
      </w:pPr>
      <w:r w:rsidRPr="0014483C">
        <w:rPr>
          <w:rFonts w:ascii="Times New Roman" w:eastAsia="Calibri" w:hAnsi="Times New Roman" w:cs="Times New Roman"/>
          <w:b/>
          <w:bCs/>
          <w:sz w:val="28"/>
          <w:szCs w:val="28"/>
          <w:lang w:val="en-US"/>
        </w:rPr>
        <w:t>JOHN RUSSEL MACKEY N</w:t>
      </w:r>
      <w:r w:rsidR="00ED36A9">
        <w:rPr>
          <w:rFonts w:ascii="Times New Roman" w:eastAsia="Calibri" w:hAnsi="Times New Roman" w:cs="Times New Roman"/>
          <w:b/>
          <w:bCs/>
          <w:sz w:val="28"/>
          <w:szCs w:val="28"/>
          <w:lang w:val="en-US"/>
        </w:rPr>
        <w:t>.</w:t>
      </w:r>
      <w:r w:rsidRPr="0014483C">
        <w:rPr>
          <w:rFonts w:ascii="Times New Roman" w:eastAsia="Calibri" w:hAnsi="Times New Roman" w:cs="Times New Roman"/>
          <w:b/>
          <w:bCs/>
          <w:sz w:val="28"/>
          <w:szCs w:val="28"/>
          <w:lang w:val="en-US"/>
        </w:rPr>
        <w:t>O</w:t>
      </w:r>
      <w:r w:rsidR="00ED36A9">
        <w:rPr>
          <w:rFonts w:ascii="Times New Roman" w:eastAsia="Calibri" w:hAnsi="Times New Roman" w:cs="Times New Roman"/>
          <w:b/>
          <w:bCs/>
          <w:sz w:val="28"/>
          <w:szCs w:val="28"/>
          <w:lang w:val="en-US"/>
        </w:rPr>
        <w:t>.</w:t>
      </w:r>
      <w:r w:rsidRPr="0014483C">
        <w:rPr>
          <w:rFonts w:ascii="Times New Roman" w:eastAsia="Calibri" w:hAnsi="Times New Roman" w:cs="Times New Roman"/>
          <w:b/>
          <w:bCs/>
          <w:sz w:val="28"/>
          <w:szCs w:val="28"/>
          <w:lang w:val="en-US"/>
        </w:rPr>
        <w:t xml:space="preserve"> </w:t>
      </w:r>
      <w:r w:rsidR="00ED36A9">
        <w:rPr>
          <w:rFonts w:ascii="Times New Roman" w:eastAsia="Calibri" w:hAnsi="Times New Roman" w:cs="Times New Roman"/>
          <w:b/>
          <w:bCs/>
          <w:sz w:val="28"/>
          <w:szCs w:val="28"/>
          <w:lang w:val="en-US"/>
        </w:rPr>
        <w:t xml:space="preserve">        </w:t>
      </w:r>
      <w:r w:rsidRPr="00A03D05">
        <w:rPr>
          <w:rFonts w:ascii="Times New Roman" w:eastAsia="Calibri" w:hAnsi="Times New Roman" w:cs="Times New Roman"/>
          <w:sz w:val="28"/>
          <w:szCs w:val="28"/>
          <w:lang w:val="en-US"/>
        </w:rPr>
        <w:t>THIRD APPLICANT/DEFENDANT</w:t>
      </w:r>
    </w:p>
    <w:p w14:paraId="2A51F4DF" w14:textId="77777777" w:rsidR="00ED36A9" w:rsidRPr="0014483C" w:rsidRDefault="00ED36A9" w:rsidP="0014483C">
      <w:pPr>
        <w:tabs>
          <w:tab w:val="left" w:pos="7822"/>
        </w:tabs>
        <w:rPr>
          <w:rFonts w:ascii="Times New Roman" w:eastAsia="Calibri" w:hAnsi="Times New Roman" w:cs="Times New Roman"/>
          <w:b/>
          <w:bCs/>
          <w:sz w:val="28"/>
          <w:szCs w:val="28"/>
          <w:lang w:val="en-US"/>
        </w:rPr>
      </w:pPr>
    </w:p>
    <w:p w14:paraId="252BE674" w14:textId="77777777" w:rsidR="0014483C" w:rsidRPr="0014483C" w:rsidRDefault="00CC77D6" w:rsidP="0014483C">
      <w:pPr>
        <w:tabs>
          <w:tab w:val="left" w:pos="7822"/>
        </w:tabs>
        <w:rPr>
          <w:rFonts w:ascii="Times New Roman" w:eastAsia="Calibri" w:hAnsi="Times New Roman" w:cs="Times New Roman"/>
          <w:b/>
          <w:bCs/>
          <w:sz w:val="28"/>
          <w:szCs w:val="28"/>
          <w:lang w:val="en-US"/>
        </w:rPr>
      </w:pPr>
      <w:r w:rsidRPr="0014483C">
        <w:rPr>
          <w:rFonts w:ascii="Times New Roman" w:eastAsia="Calibri" w:hAnsi="Times New Roman" w:cs="Times New Roman"/>
          <w:b/>
          <w:bCs/>
          <w:sz w:val="28"/>
          <w:szCs w:val="28"/>
          <w:lang w:val="en-US"/>
        </w:rPr>
        <w:t>INGE FRANCES PICK N</w:t>
      </w:r>
      <w:r w:rsidR="00ED36A9">
        <w:rPr>
          <w:rFonts w:ascii="Times New Roman" w:eastAsia="Calibri" w:hAnsi="Times New Roman" w:cs="Times New Roman"/>
          <w:b/>
          <w:bCs/>
          <w:sz w:val="28"/>
          <w:szCs w:val="28"/>
          <w:lang w:val="en-US"/>
        </w:rPr>
        <w:t>.</w:t>
      </w:r>
      <w:r w:rsidRPr="0014483C">
        <w:rPr>
          <w:rFonts w:ascii="Times New Roman" w:eastAsia="Calibri" w:hAnsi="Times New Roman" w:cs="Times New Roman"/>
          <w:b/>
          <w:bCs/>
          <w:sz w:val="28"/>
          <w:szCs w:val="28"/>
          <w:lang w:val="en-US"/>
        </w:rPr>
        <w:t>O</w:t>
      </w:r>
      <w:r w:rsidR="00ED36A9">
        <w:rPr>
          <w:rFonts w:ascii="Times New Roman" w:eastAsia="Calibri" w:hAnsi="Times New Roman" w:cs="Times New Roman"/>
          <w:b/>
          <w:bCs/>
          <w:sz w:val="28"/>
          <w:szCs w:val="28"/>
          <w:lang w:val="en-US"/>
        </w:rPr>
        <w:t>.</w:t>
      </w:r>
      <w:r w:rsidRPr="0014483C">
        <w:rPr>
          <w:rFonts w:ascii="Times New Roman" w:eastAsia="Calibri" w:hAnsi="Times New Roman" w:cs="Times New Roman"/>
          <w:b/>
          <w:bCs/>
          <w:sz w:val="28"/>
          <w:szCs w:val="28"/>
          <w:lang w:val="en-US"/>
        </w:rPr>
        <w:t xml:space="preserve">   </w:t>
      </w:r>
      <w:r w:rsidR="00ED36A9">
        <w:rPr>
          <w:rFonts w:ascii="Times New Roman" w:eastAsia="Calibri" w:hAnsi="Times New Roman" w:cs="Times New Roman"/>
          <w:b/>
          <w:bCs/>
          <w:sz w:val="28"/>
          <w:szCs w:val="28"/>
          <w:lang w:val="en-US"/>
        </w:rPr>
        <w:t xml:space="preserve">        </w:t>
      </w:r>
      <w:r w:rsidRPr="00A03D05">
        <w:rPr>
          <w:rFonts w:ascii="Times New Roman" w:eastAsia="Calibri" w:hAnsi="Times New Roman" w:cs="Times New Roman"/>
          <w:sz w:val="28"/>
          <w:szCs w:val="28"/>
          <w:lang w:val="en-US"/>
        </w:rPr>
        <w:t>FOURTH APPLICANT/DEFENDANT</w:t>
      </w:r>
      <w:r w:rsidRPr="0014483C">
        <w:rPr>
          <w:rFonts w:ascii="Times New Roman" w:eastAsia="Calibri" w:hAnsi="Times New Roman" w:cs="Times New Roman"/>
          <w:b/>
          <w:bCs/>
          <w:sz w:val="28"/>
          <w:szCs w:val="28"/>
          <w:lang w:val="en-US"/>
        </w:rPr>
        <w:t xml:space="preserve"> </w:t>
      </w:r>
    </w:p>
    <w:p w14:paraId="2034C902" w14:textId="77777777" w:rsidR="0014483C" w:rsidRPr="0014483C" w:rsidRDefault="00CC77D6" w:rsidP="0014483C">
      <w:pPr>
        <w:tabs>
          <w:tab w:val="left" w:pos="7822"/>
        </w:tabs>
        <w:rPr>
          <w:rFonts w:ascii="Times New Roman" w:eastAsia="Calibri" w:hAnsi="Times New Roman" w:cs="Times New Roman"/>
          <w:sz w:val="28"/>
          <w:szCs w:val="28"/>
          <w:lang w:val="en-US"/>
        </w:rPr>
      </w:pPr>
      <w:r w:rsidRPr="0014483C">
        <w:rPr>
          <w:rFonts w:ascii="Times New Roman" w:eastAsia="Calibri" w:hAnsi="Times New Roman" w:cs="Times New Roman"/>
          <w:sz w:val="28"/>
          <w:szCs w:val="28"/>
          <w:lang w:val="en-US"/>
        </w:rPr>
        <w:lastRenderedPageBreak/>
        <w:t>In their capacities as the duly appointed</w:t>
      </w:r>
    </w:p>
    <w:p w14:paraId="2410158A" w14:textId="77777777" w:rsidR="0014483C" w:rsidRPr="00D73B45" w:rsidRDefault="00CC77D6" w:rsidP="0014483C">
      <w:pPr>
        <w:tabs>
          <w:tab w:val="left" w:pos="7822"/>
        </w:tabs>
        <w:rPr>
          <w:rFonts w:ascii="Times New Roman" w:eastAsia="Calibri" w:hAnsi="Times New Roman" w:cs="Times New Roman"/>
          <w:b/>
          <w:bCs/>
          <w:sz w:val="28"/>
          <w:szCs w:val="28"/>
          <w:lang w:val="en-US"/>
        </w:rPr>
      </w:pPr>
      <w:r w:rsidRPr="0014483C">
        <w:rPr>
          <w:rFonts w:ascii="Times New Roman" w:eastAsia="Calibri" w:hAnsi="Times New Roman" w:cs="Times New Roman"/>
          <w:sz w:val="28"/>
          <w:szCs w:val="28"/>
          <w:lang w:val="en-US"/>
        </w:rPr>
        <w:t xml:space="preserve">Trustees for the time being of </w:t>
      </w:r>
      <w:r w:rsidRPr="00D73B45">
        <w:rPr>
          <w:rFonts w:ascii="Times New Roman" w:eastAsia="Calibri" w:hAnsi="Times New Roman" w:cs="Times New Roman"/>
          <w:b/>
          <w:bCs/>
          <w:sz w:val="28"/>
          <w:szCs w:val="28"/>
          <w:lang w:val="en-US"/>
        </w:rPr>
        <w:t>VUNANI</w:t>
      </w:r>
    </w:p>
    <w:p w14:paraId="1817115F" w14:textId="77777777" w:rsidR="0014483C" w:rsidRPr="00421BAD" w:rsidRDefault="00CC77D6" w:rsidP="0014483C">
      <w:pPr>
        <w:tabs>
          <w:tab w:val="left" w:pos="7822"/>
        </w:tabs>
        <w:rPr>
          <w:rFonts w:ascii="Times New Roman" w:eastAsia="Calibri" w:hAnsi="Times New Roman" w:cs="Times New Roman"/>
          <w:b/>
          <w:bCs/>
          <w:sz w:val="28"/>
          <w:szCs w:val="28"/>
          <w:lang w:val="en-US"/>
        </w:rPr>
      </w:pPr>
      <w:r w:rsidRPr="00D73B45">
        <w:rPr>
          <w:rFonts w:ascii="Times New Roman" w:eastAsia="Calibri" w:hAnsi="Times New Roman" w:cs="Times New Roman"/>
          <w:b/>
          <w:bCs/>
          <w:sz w:val="28"/>
          <w:szCs w:val="28"/>
          <w:lang w:val="en-US"/>
        </w:rPr>
        <w:t>PROPERTY INVESTMENT TRUST</w:t>
      </w:r>
      <w:r w:rsidRPr="0014483C">
        <w:rPr>
          <w:rFonts w:ascii="Times New Roman" w:eastAsia="Calibri" w:hAnsi="Times New Roman" w:cs="Times New Roman"/>
          <w:sz w:val="28"/>
          <w:szCs w:val="28"/>
          <w:lang w:val="en-US"/>
        </w:rPr>
        <w:t xml:space="preserve"> </w:t>
      </w:r>
      <w:r w:rsidRPr="00421BAD">
        <w:rPr>
          <w:rFonts w:ascii="Times New Roman" w:eastAsia="Calibri" w:hAnsi="Times New Roman" w:cs="Times New Roman"/>
          <w:b/>
          <w:bCs/>
          <w:sz w:val="28"/>
          <w:szCs w:val="28"/>
          <w:lang w:val="en-US"/>
        </w:rPr>
        <w:t>IT</w:t>
      </w:r>
    </w:p>
    <w:p w14:paraId="480232DE" w14:textId="2882E69B" w:rsidR="0014483C" w:rsidRPr="0014483C" w:rsidRDefault="00CC77D6" w:rsidP="0014483C">
      <w:pPr>
        <w:tabs>
          <w:tab w:val="left" w:pos="7822"/>
        </w:tabs>
        <w:rPr>
          <w:rFonts w:ascii="Times New Roman" w:eastAsia="Calibri" w:hAnsi="Times New Roman" w:cs="Times New Roman"/>
          <w:b/>
          <w:sz w:val="28"/>
          <w:szCs w:val="28"/>
          <w:lang w:val="en-US"/>
        </w:rPr>
      </w:pPr>
      <w:r w:rsidRPr="0014483C">
        <w:rPr>
          <w:rFonts w:ascii="Times New Roman" w:eastAsia="Calibri" w:hAnsi="Times New Roman" w:cs="Times New Roman"/>
          <w:sz w:val="28"/>
          <w:szCs w:val="28"/>
          <w:lang w:val="en-US"/>
        </w:rPr>
        <w:t>No</w:t>
      </w:r>
      <w:r w:rsidR="00421BAD">
        <w:rPr>
          <w:rFonts w:ascii="Times New Roman" w:eastAsia="Calibri" w:hAnsi="Times New Roman" w:cs="Times New Roman"/>
          <w:b/>
          <w:bCs/>
          <w:sz w:val="28"/>
          <w:szCs w:val="28"/>
          <w:lang w:val="en-US"/>
        </w:rPr>
        <w:t>: 6363/2006</w:t>
      </w:r>
      <w:r w:rsidRPr="0014483C">
        <w:rPr>
          <w:rFonts w:ascii="Times New Roman" w:eastAsia="Calibri" w:hAnsi="Times New Roman" w:cs="Times New Roman"/>
          <w:b/>
          <w:bCs/>
          <w:sz w:val="28"/>
          <w:szCs w:val="28"/>
          <w:lang w:val="en-US"/>
        </w:rPr>
        <w:t xml:space="preserve">     </w:t>
      </w:r>
    </w:p>
    <w:p w14:paraId="176641D2" w14:textId="77777777" w:rsidR="0014483C" w:rsidRDefault="00CC77D6" w:rsidP="0014483C">
      <w:pPr>
        <w:tabs>
          <w:tab w:val="right" w:pos="9072"/>
        </w:tabs>
        <w:suppressAutoHyphens/>
        <w:spacing w:after="0" w:line="240" w:lineRule="auto"/>
        <w:jc w:val="both"/>
        <w:rPr>
          <w:rFonts w:ascii="Times New Roman" w:eastAsia="Calibri" w:hAnsi="Times New Roman" w:cs="Times New Roman"/>
          <w:sz w:val="28"/>
          <w:szCs w:val="28"/>
        </w:rPr>
      </w:pPr>
      <w:r w:rsidRPr="00A03D05">
        <w:rPr>
          <w:rFonts w:ascii="Times New Roman" w:eastAsia="Calibri" w:hAnsi="Times New Roman" w:cs="Times New Roman"/>
          <w:b/>
          <w:spacing w:val="-3"/>
          <w:kern w:val="24"/>
          <w:sz w:val="28"/>
          <w:szCs w:val="28"/>
          <w:lang w:eastAsia="en-GB"/>
        </w:rPr>
        <w:t>KUPER LEGH PROPERTY</w:t>
      </w:r>
      <w:r w:rsidRPr="00A03D05">
        <w:rPr>
          <w:rFonts w:ascii="Times New Roman" w:eastAsia="Calibri" w:hAnsi="Times New Roman" w:cs="Times New Roman"/>
          <w:b/>
          <w:spacing w:val="-3"/>
          <w:kern w:val="24"/>
          <w:sz w:val="28"/>
          <w:szCs w:val="28"/>
          <w:lang w:eastAsia="en-GB"/>
        </w:rPr>
        <w:tab/>
      </w:r>
      <w:r w:rsidRPr="00A03D05">
        <w:rPr>
          <w:rFonts w:ascii="Times New Roman" w:eastAsia="Calibri" w:hAnsi="Times New Roman" w:cs="Times New Roman"/>
          <w:bCs/>
          <w:spacing w:val="-3"/>
          <w:kern w:val="24"/>
          <w:sz w:val="28"/>
          <w:szCs w:val="28"/>
          <w:lang w:eastAsia="en-GB"/>
        </w:rPr>
        <w:t>F</w:t>
      </w:r>
      <w:r>
        <w:rPr>
          <w:rFonts w:ascii="Times New Roman" w:eastAsia="Calibri" w:hAnsi="Times New Roman" w:cs="Times New Roman"/>
          <w:bCs/>
          <w:spacing w:val="-3"/>
          <w:kern w:val="24"/>
          <w:sz w:val="28"/>
          <w:szCs w:val="28"/>
          <w:lang w:eastAsia="en-GB"/>
        </w:rPr>
        <w:t>IFTH APPLICANT</w:t>
      </w:r>
      <w:r w:rsidRPr="00A03D05">
        <w:rPr>
          <w:rFonts w:ascii="Times New Roman" w:eastAsia="Calibri" w:hAnsi="Times New Roman" w:cs="Times New Roman"/>
          <w:bCs/>
          <w:spacing w:val="-3"/>
          <w:kern w:val="24"/>
          <w:sz w:val="28"/>
          <w:szCs w:val="28"/>
          <w:lang w:eastAsia="en-GB"/>
        </w:rPr>
        <w:t xml:space="preserve"> </w:t>
      </w:r>
      <w:r w:rsidRPr="00A03D05">
        <w:rPr>
          <w:rFonts w:ascii="Times New Roman" w:eastAsia="Calibri" w:hAnsi="Times New Roman" w:cs="Times New Roman"/>
          <w:sz w:val="28"/>
          <w:szCs w:val="28"/>
        </w:rPr>
        <w:t xml:space="preserve">/ </w:t>
      </w:r>
      <w:r>
        <w:rPr>
          <w:rFonts w:ascii="Times New Roman" w:eastAsia="Calibri" w:hAnsi="Times New Roman" w:cs="Times New Roman"/>
          <w:sz w:val="28"/>
          <w:szCs w:val="28"/>
        </w:rPr>
        <w:t>DEFENDANT</w:t>
      </w:r>
    </w:p>
    <w:p w14:paraId="48F7E097" w14:textId="77777777" w:rsidR="00A03D05" w:rsidRDefault="00A03D05" w:rsidP="0014483C">
      <w:pPr>
        <w:tabs>
          <w:tab w:val="right" w:pos="9072"/>
        </w:tabs>
        <w:suppressAutoHyphens/>
        <w:spacing w:after="0" w:line="240" w:lineRule="auto"/>
        <w:jc w:val="both"/>
        <w:rPr>
          <w:rFonts w:ascii="Times New Roman" w:eastAsia="Calibri" w:hAnsi="Times New Roman" w:cs="Times New Roman"/>
          <w:sz w:val="28"/>
          <w:szCs w:val="28"/>
        </w:rPr>
      </w:pPr>
    </w:p>
    <w:p w14:paraId="686FEFBF" w14:textId="77777777" w:rsidR="00A03D05" w:rsidRPr="00A03D05" w:rsidRDefault="00CC77D6" w:rsidP="0014483C">
      <w:pPr>
        <w:tabs>
          <w:tab w:val="right" w:pos="9072"/>
        </w:tabs>
        <w:suppressAutoHyphens/>
        <w:spacing w:after="0" w:line="240" w:lineRule="auto"/>
        <w:jc w:val="both"/>
        <w:rPr>
          <w:rFonts w:ascii="Times New Roman" w:eastAsia="Times New Roman" w:hAnsi="Times New Roman" w:cs="Times New Roman"/>
          <w:sz w:val="28"/>
          <w:szCs w:val="28"/>
        </w:rPr>
      </w:pPr>
      <w:r w:rsidRPr="008F7CEB">
        <w:rPr>
          <w:rFonts w:ascii="Times New Roman" w:eastAsia="Calibri" w:hAnsi="Times New Roman" w:cs="Times New Roman"/>
          <w:b/>
          <w:spacing w:val="-3"/>
          <w:kern w:val="24"/>
          <w:sz w:val="28"/>
          <w:szCs w:val="28"/>
          <w:lang w:eastAsia="en-GB"/>
        </w:rPr>
        <w:t>MANAGERS (PTY) LTD</w:t>
      </w:r>
    </w:p>
    <w:p w14:paraId="294D6BFF" w14:textId="77777777" w:rsidR="0014483C" w:rsidRPr="0014483C" w:rsidRDefault="00CC77D6" w:rsidP="0014483C">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sidRPr="0014483C">
        <w:rPr>
          <w:rFonts w:ascii="Times New Roman" w:eastAsia="Arial Unicode MS" w:hAnsi="Times New Roman" w:cs="Times New Roman"/>
          <w:b/>
          <w:sz w:val="28"/>
          <w:szCs w:val="28"/>
        </w:rPr>
        <w:t>JUDGMENT</w:t>
      </w:r>
    </w:p>
    <w:p w14:paraId="1A34E7E9" w14:textId="77777777" w:rsidR="0014483C" w:rsidRPr="0014483C" w:rsidRDefault="0014483C" w:rsidP="0014483C">
      <w:pPr>
        <w:tabs>
          <w:tab w:val="right" w:pos="9072"/>
        </w:tabs>
        <w:suppressAutoHyphens/>
        <w:spacing w:after="0" w:line="240" w:lineRule="auto"/>
        <w:jc w:val="both"/>
        <w:rPr>
          <w:rFonts w:ascii="Times New Roman" w:eastAsia="Times New Roman" w:hAnsi="Times New Roman" w:cs="Times New Roman"/>
          <w:sz w:val="28"/>
          <w:szCs w:val="28"/>
        </w:rPr>
      </w:pPr>
    </w:p>
    <w:p w14:paraId="7AB19A0D" w14:textId="195F8859" w:rsidR="0014483C" w:rsidRPr="000F3DED" w:rsidRDefault="00CC77D6" w:rsidP="0014483C">
      <w:pPr>
        <w:suppressAutoHyphens/>
        <w:spacing w:before="320" w:after="320" w:line="480" w:lineRule="auto"/>
        <w:ind w:left="567" w:hanging="567"/>
        <w:jc w:val="both"/>
        <w:outlineLvl w:val="0"/>
        <w:rPr>
          <w:rFonts w:ascii="Times New Roman" w:eastAsia="Times New Roman" w:hAnsi="Times New Roman" w:cs="Times New Roman"/>
          <w:b/>
          <w:bCs/>
          <w:sz w:val="28"/>
          <w:szCs w:val="28"/>
        </w:rPr>
      </w:pPr>
      <w:r w:rsidRPr="000F3DED">
        <w:rPr>
          <w:rFonts w:ascii="Times New Roman" w:eastAsia="Times New Roman" w:hAnsi="Times New Roman" w:cs="Times New Roman"/>
          <w:b/>
          <w:bCs/>
          <w:sz w:val="28"/>
          <w:szCs w:val="28"/>
        </w:rPr>
        <w:t>SENYATSI J</w:t>
      </w:r>
    </w:p>
    <w:p w14:paraId="0A6FDEB6" w14:textId="77777777" w:rsidR="0014483C" w:rsidRPr="0014483C" w:rsidRDefault="00CC77D6" w:rsidP="00A03D05">
      <w:pPr>
        <w:suppressAutoHyphens/>
        <w:spacing w:before="320" w:after="320" w:line="360" w:lineRule="auto"/>
        <w:ind w:left="567" w:hanging="567"/>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rPr>
        <w:t>[1]</w:t>
      </w:r>
      <w:r w:rsidRPr="0014483C">
        <w:rPr>
          <w:rFonts w:ascii="Times New Roman" w:eastAsia="Times New Roman" w:hAnsi="Times New Roman" w:cs="Times New Roman"/>
          <w:sz w:val="28"/>
          <w:szCs w:val="28"/>
          <w:lang w:val="en-GB"/>
        </w:rPr>
        <w:t xml:space="preserve"> </w:t>
      </w:r>
      <w:r w:rsidR="00ED36A9">
        <w:rPr>
          <w:rFonts w:ascii="Times New Roman" w:eastAsia="Times New Roman" w:hAnsi="Times New Roman" w:cs="Times New Roman"/>
          <w:sz w:val="28"/>
          <w:szCs w:val="28"/>
          <w:lang w:val="en-GB"/>
        </w:rPr>
        <w:tab/>
      </w:r>
      <w:r w:rsidRPr="0014483C">
        <w:rPr>
          <w:rFonts w:ascii="Times New Roman" w:eastAsia="Times New Roman" w:hAnsi="Times New Roman" w:cs="Times New Roman"/>
          <w:sz w:val="28"/>
          <w:szCs w:val="28"/>
          <w:lang w:val="en-GB"/>
        </w:rPr>
        <w:t xml:space="preserve">This is an application </w:t>
      </w:r>
      <w:r w:rsidR="00B0607A">
        <w:rPr>
          <w:rFonts w:ascii="Times New Roman" w:eastAsia="Times New Roman" w:hAnsi="Times New Roman" w:cs="Times New Roman"/>
          <w:sz w:val="28"/>
          <w:szCs w:val="28"/>
          <w:lang w:val="en-GB"/>
        </w:rPr>
        <w:t xml:space="preserve">for leave to </w:t>
      </w:r>
      <w:r w:rsidR="00ED36A9">
        <w:rPr>
          <w:rFonts w:ascii="Times New Roman" w:eastAsia="Times New Roman" w:hAnsi="Times New Roman" w:cs="Times New Roman"/>
          <w:sz w:val="28"/>
          <w:szCs w:val="28"/>
          <w:lang w:val="en-GB"/>
        </w:rPr>
        <w:t xml:space="preserve">a </w:t>
      </w:r>
      <w:r w:rsidR="00B0607A">
        <w:rPr>
          <w:rFonts w:ascii="Times New Roman" w:eastAsia="Times New Roman" w:hAnsi="Times New Roman" w:cs="Times New Roman"/>
          <w:sz w:val="28"/>
          <w:szCs w:val="28"/>
          <w:lang w:val="en-GB"/>
        </w:rPr>
        <w:t>file supplem</w:t>
      </w:r>
      <w:r w:rsidR="00BC38C1">
        <w:rPr>
          <w:rFonts w:ascii="Times New Roman" w:eastAsia="Times New Roman" w:hAnsi="Times New Roman" w:cs="Times New Roman"/>
          <w:sz w:val="28"/>
          <w:szCs w:val="28"/>
          <w:lang w:val="en-GB"/>
        </w:rPr>
        <w:t>entary aff</w:t>
      </w:r>
      <w:r w:rsidR="00E43CD0">
        <w:rPr>
          <w:rFonts w:ascii="Times New Roman" w:eastAsia="Times New Roman" w:hAnsi="Times New Roman" w:cs="Times New Roman"/>
          <w:sz w:val="28"/>
          <w:szCs w:val="28"/>
          <w:lang w:val="en-GB"/>
        </w:rPr>
        <w:t xml:space="preserve">idavit to the extent that the </w:t>
      </w:r>
      <w:r w:rsidR="00631073">
        <w:rPr>
          <w:rFonts w:ascii="Times New Roman" w:eastAsia="Times New Roman" w:hAnsi="Times New Roman" w:cs="Times New Roman"/>
          <w:sz w:val="28"/>
          <w:szCs w:val="28"/>
          <w:lang w:val="en-GB"/>
        </w:rPr>
        <w:t>applicants</w:t>
      </w:r>
      <w:r w:rsidR="00ED36A9">
        <w:rPr>
          <w:rFonts w:ascii="Times New Roman" w:eastAsia="Times New Roman" w:hAnsi="Times New Roman" w:cs="Times New Roman"/>
          <w:sz w:val="28"/>
          <w:szCs w:val="28"/>
          <w:lang w:val="en-GB"/>
        </w:rPr>
        <w:t xml:space="preserve"> </w:t>
      </w:r>
      <w:r w:rsidR="00631073">
        <w:rPr>
          <w:rFonts w:ascii="Times New Roman" w:eastAsia="Times New Roman" w:hAnsi="Times New Roman" w:cs="Times New Roman"/>
          <w:sz w:val="28"/>
          <w:szCs w:val="28"/>
          <w:lang w:val="en-GB"/>
        </w:rPr>
        <w:t>(defendants)</w:t>
      </w:r>
      <w:r w:rsidR="00E43CD0">
        <w:rPr>
          <w:rFonts w:ascii="Times New Roman" w:eastAsia="Times New Roman" w:hAnsi="Times New Roman" w:cs="Times New Roman"/>
          <w:sz w:val="28"/>
          <w:szCs w:val="28"/>
          <w:lang w:val="en-GB"/>
        </w:rPr>
        <w:t xml:space="preserve"> </w:t>
      </w:r>
      <w:r w:rsidR="00D706C1">
        <w:rPr>
          <w:rFonts w:ascii="Times New Roman" w:eastAsia="Times New Roman" w:hAnsi="Times New Roman" w:cs="Times New Roman"/>
          <w:sz w:val="28"/>
          <w:szCs w:val="28"/>
          <w:lang w:val="en-GB"/>
        </w:rPr>
        <w:t>intend to introduce the annexures ref</w:t>
      </w:r>
      <w:r w:rsidR="00D87D74">
        <w:rPr>
          <w:rFonts w:ascii="Times New Roman" w:eastAsia="Times New Roman" w:hAnsi="Times New Roman" w:cs="Times New Roman"/>
          <w:sz w:val="28"/>
          <w:szCs w:val="28"/>
          <w:lang w:val="en-GB"/>
        </w:rPr>
        <w:t xml:space="preserve">erred to in </w:t>
      </w:r>
      <w:r w:rsidR="004F4936">
        <w:rPr>
          <w:rFonts w:ascii="Times New Roman" w:eastAsia="Times New Roman" w:hAnsi="Times New Roman" w:cs="Times New Roman"/>
          <w:sz w:val="28"/>
          <w:szCs w:val="28"/>
          <w:lang w:val="en-GB"/>
        </w:rPr>
        <w:t>the answering affidavit in the main application and</w:t>
      </w:r>
      <w:r w:rsidRPr="0014483C">
        <w:rPr>
          <w:rFonts w:ascii="Times New Roman" w:eastAsia="Times New Roman" w:hAnsi="Times New Roman" w:cs="Times New Roman"/>
          <w:sz w:val="28"/>
          <w:szCs w:val="28"/>
          <w:lang w:val="en-GB"/>
        </w:rPr>
        <w:t xml:space="preserve"> for security of costs of R500 000 to be put up by the respondent (the plaintiff in the main case). </w:t>
      </w:r>
      <w:r w:rsidR="004C2F85">
        <w:rPr>
          <w:rFonts w:ascii="Times New Roman" w:eastAsia="Times New Roman" w:hAnsi="Times New Roman" w:cs="Times New Roman"/>
          <w:sz w:val="28"/>
          <w:szCs w:val="28"/>
          <w:lang w:val="en-GB"/>
        </w:rPr>
        <w:t>The le</w:t>
      </w:r>
      <w:r w:rsidR="00BD57DF">
        <w:rPr>
          <w:rFonts w:ascii="Times New Roman" w:eastAsia="Times New Roman" w:hAnsi="Times New Roman" w:cs="Times New Roman"/>
          <w:sz w:val="28"/>
          <w:szCs w:val="28"/>
          <w:lang w:val="en-GB"/>
        </w:rPr>
        <w:t xml:space="preserve">ave to introduce the annexures is not opposed. </w:t>
      </w:r>
      <w:r w:rsidRPr="0014483C">
        <w:rPr>
          <w:rFonts w:ascii="Times New Roman" w:eastAsia="Times New Roman" w:hAnsi="Times New Roman" w:cs="Times New Roman"/>
          <w:sz w:val="28"/>
          <w:szCs w:val="28"/>
          <w:lang w:val="en-GB"/>
        </w:rPr>
        <w:t>The application</w:t>
      </w:r>
      <w:r w:rsidR="00BD57DF">
        <w:rPr>
          <w:rFonts w:ascii="Times New Roman" w:eastAsia="Times New Roman" w:hAnsi="Times New Roman" w:cs="Times New Roman"/>
          <w:sz w:val="28"/>
          <w:szCs w:val="28"/>
          <w:lang w:val="en-GB"/>
        </w:rPr>
        <w:t xml:space="preserve"> for security for costs</w:t>
      </w:r>
      <w:r w:rsidRPr="0014483C">
        <w:rPr>
          <w:rFonts w:ascii="Times New Roman" w:eastAsia="Times New Roman" w:hAnsi="Times New Roman" w:cs="Times New Roman"/>
          <w:sz w:val="28"/>
          <w:szCs w:val="28"/>
          <w:lang w:val="en-GB"/>
        </w:rPr>
        <w:t xml:space="preserve"> is brought in terms of Rule 47(1) as the respondent is not trading and has admitted that it has no assets. For convenience’s sake the parties would be referred to as in the main case.</w:t>
      </w:r>
    </w:p>
    <w:p w14:paraId="00BF9482" w14:textId="77777777" w:rsidR="0014483C" w:rsidRPr="0014483C" w:rsidRDefault="00CC77D6" w:rsidP="00A03D05">
      <w:pPr>
        <w:suppressAutoHyphens/>
        <w:spacing w:before="320" w:after="320" w:line="360" w:lineRule="auto"/>
        <w:ind w:left="567" w:hanging="567"/>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lang w:val="en-GB"/>
        </w:rPr>
        <w:t xml:space="preserve">[2] </w:t>
      </w:r>
      <w:r w:rsidR="00ED36A9">
        <w:rPr>
          <w:rFonts w:ascii="Times New Roman" w:eastAsia="Times New Roman" w:hAnsi="Times New Roman" w:cs="Times New Roman"/>
          <w:sz w:val="28"/>
          <w:szCs w:val="28"/>
          <w:lang w:val="en-GB"/>
        </w:rPr>
        <w:tab/>
      </w:r>
      <w:r w:rsidRPr="0014483C">
        <w:rPr>
          <w:rFonts w:ascii="Times New Roman" w:eastAsia="Times New Roman" w:hAnsi="Times New Roman" w:cs="Times New Roman"/>
          <w:sz w:val="28"/>
          <w:szCs w:val="28"/>
          <w:lang w:val="en-GB"/>
        </w:rPr>
        <w:t xml:space="preserve">The plaintiff opposes the application on the ground that if the application is sustained, it would be denied its constitutional right of access to court. It contends that the amount sought to be put up as security is not just and equitable in the circumstances and that although it is an impecunious corporation, it is a </w:t>
      </w:r>
      <w:r w:rsidR="00841254">
        <w:rPr>
          <w:rFonts w:ascii="Times New Roman" w:eastAsia="Times New Roman" w:hAnsi="Times New Roman" w:cs="Times New Roman"/>
          <w:sz w:val="28"/>
          <w:szCs w:val="28"/>
          <w:lang w:val="en-GB"/>
        </w:rPr>
        <w:t xml:space="preserve">registered </w:t>
      </w:r>
      <w:r w:rsidRPr="0014483C">
        <w:rPr>
          <w:rFonts w:ascii="Times New Roman" w:eastAsia="Times New Roman" w:hAnsi="Times New Roman" w:cs="Times New Roman"/>
          <w:sz w:val="28"/>
          <w:szCs w:val="28"/>
          <w:lang w:val="en-GB"/>
        </w:rPr>
        <w:t xml:space="preserve">South African close corporation and that its action is not </w:t>
      </w:r>
      <w:r w:rsidRPr="00841254">
        <w:rPr>
          <w:rFonts w:ascii="Times New Roman" w:eastAsia="Times New Roman" w:hAnsi="Times New Roman" w:cs="Times New Roman"/>
          <w:i/>
          <w:iCs/>
          <w:sz w:val="28"/>
          <w:szCs w:val="28"/>
          <w:lang w:val="en-GB"/>
        </w:rPr>
        <w:t>mala fides</w:t>
      </w:r>
      <w:r w:rsidR="00841254">
        <w:rPr>
          <w:rFonts w:ascii="Times New Roman" w:eastAsia="Times New Roman" w:hAnsi="Times New Roman" w:cs="Times New Roman"/>
          <w:sz w:val="28"/>
          <w:szCs w:val="28"/>
          <w:lang w:val="en-GB"/>
        </w:rPr>
        <w:t>,</w:t>
      </w:r>
      <w:r w:rsidRPr="0014483C">
        <w:rPr>
          <w:rFonts w:ascii="Times New Roman" w:eastAsia="Times New Roman" w:hAnsi="Times New Roman" w:cs="Times New Roman"/>
          <w:sz w:val="28"/>
          <w:szCs w:val="28"/>
          <w:lang w:val="en-GB"/>
        </w:rPr>
        <w:t xml:space="preserve"> vexatious and/or frivolous. Consequently, it argues, it does not need to put up any security for costs.</w:t>
      </w:r>
    </w:p>
    <w:p w14:paraId="50B0EF08" w14:textId="77777777" w:rsidR="0014483C" w:rsidRPr="0014483C" w:rsidRDefault="00CC77D6" w:rsidP="00A03D05">
      <w:pPr>
        <w:suppressAutoHyphens/>
        <w:spacing w:before="320" w:after="320" w:line="360" w:lineRule="auto"/>
        <w:ind w:left="567" w:hanging="567"/>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lang w:val="en-GB"/>
        </w:rPr>
        <w:lastRenderedPageBreak/>
        <w:t xml:space="preserve">[3] </w:t>
      </w:r>
      <w:r w:rsidR="00841254">
        <w:rPr>
          <w:rFonts w:ascii="Times New Roman" w:eastAsia="Times New Roman" w:hAnsi="Times New Roman" w:cs="Times New Roman"/>
          <w:sz w:val="28"/>
          <w:szCs w:val="28"/>
          <w:lang w:val="en-GB"/>
        </w:rPr>
        <w:tab/>
      </w:r>
      <w:r w:rsidRPr="0014483C">
        <w:rPr>
          <w:rFonts w:ascii="Times New Roman" w:eastAsia="Times New Roman" w:hAnsi="Times New Roman" w:cs="Times New Roman"/>
          <w:sz w:val="28"/>
          <w:szCs w:val="28"/>
          <w:lang w:val="en-GB"/>
        </w:rPr>
        <w:t>The plaintiff, who admitted that it has not traded since August 2020 and that its net asset value is zero, sued the defendants in their representative capacities for what it calls loss of value which it alleges is wrongful and negligent</w:t>
      </w:r>
      <w:r w:rsidR="00841254">
        <w:rPr>
          <w:rFonts w:ascii="Times New Roman" w:eastAsia="Times New Roman" w:hAnsi="Times New Roman" w:cs="Times New Roman"/>
          <w:sz w:val="28"/>
          <w:szCs w:val="28"/>
          <w:lang w:val="en-GB"/>
        </w:rPr>
        <w:t>.</w:t>
      </w:r>
      <w:r w:rsidRPr="0014483C">
        <w:rPr>
          <w:rFonts w:ascii="Times New Roman" w:eastAsia="Times New Roman" w:hAnsi="Times New Roman" w:cs="Times New Roman"/>
          <w:sz w:val="28"/>
          <w:szCs w:val="28"/>
          <w:lang w:val="en-GB"/>
        </w:rPr>
        <w:t xml:space="preserve"> </w:t>
      </w:r>
      <w:r w:rsidR="00841254">
        <w:rPr>
          <w:rFonts w:ascii="Times New Roman" w:eastAsia="Times New Roman" w:hAnsi="Times New Roman" w:cs="Times New Roman"/>
          <w:sz w:val="28"/>
          <w:szCs w:val="28"/>
          <w:lang w:val="en-GB"/>
        </w:rPr>
        <w:t>T</w:t>
      </w:r>
      <w:r w:rsidRPr="0014483C">
        <w:rPr>
          <w:rFonts w:ascii="Times New Roman" w:eastAsia="Times New Roman" w:hAnsi="Times New Roman" w:cs="Times New Roman"/>
          <w:sz w:val="28"/>
          <w:szCs w:val="28"/>
          <w:lang w:val="en-GB"/>
        </w:rPr>
        <w:t>he second claim is premised on the alleged defamation. It claims over R11 million for loss of value and R300 000 for defamation.</w:t>
      </w:r>
      <w:r w:rsidR="00B95552">
        <w:rPr>
          <w:rFonts w:ascii="Times New Roman" w:eastAsia="Times New Roman" w:hAnsi="Times New Roman" w:cs="Times New Roman"/>
          <w:sz w:val="28"/>
          <w:szCs w:val="28"/>
          <w:lang w:val="en-GB"/>
        </w:rPr>
        <w:t xml:space="preserve"> </w:t>
      </w:r>
      <w:r w:rsidRPr="0014483C">
        <w:rPr>
          <w:rFonts w:ascii="Times New Roman" w:eastAsia="Times New Roman" w:hAnsi="Times New Roman" w:cs="Times New Roman"/>
          <w:sz w:val="28"/>
          <w:szCs w:val="28"/>
          <w:lang w:val="en-GB"/>
        </w:rPr>
        <w:t>In response to Rule 35, the plaintiff also stated that Nedbank Ltd was its sole client but does not state how its relationship came to an end.</w:t>
      </w:r>
    </w:p>
    <w:p w14:paraId="2ECEDB67" w14:textId="77777777" w:rsidR="0014483C" w:rsidRPr="0014483C" w:rsidRDefault="00CC77D6" w:rsidP="00A03D05">
      <w:pPr>
        <w:suppressAutoHyphens/>
        <w:spacing w:before="320" w:after="320" w:line="360" w:lineRule="auto"/>
        <w:ind w:left="567" w:hanging="567"/>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lang w:val="en-GB"/>
        </w:rPr>
        <w:t xml:space="preserve">[4] </w:t>
      </w:r>
      <w:r w:rsidR="00841254">
        <w:rPr>
          <w:rFonts w:ascii="Times New Roman" w:eastAsia="Times New Roman" w:hAnsi="Times New Roman" w:cs="Times New Roman"/>
          <w:sz w:val="28"/>
          <w:szCs w:val="28"/>
          <w:lang w:val="en-GB"/>
        </w:rPr>
        <w:tab/>
      </w:r>
      <w:r w:rsidRPr="0014483C">
        <w:rPr>
          <w:rFonts w:ascii="Times New Roman" w:eastAsia="Times New Roman" w:hAnsi="Times New Roman" w:cs="Times New Roman"/>
          <w:sz w:val="28"/>
          <w:szCs w:val="28"/>
          <w:lang w:val="en-GB"/>
        </w:rPr>
        <w:t>The basis for the alleged loss of value of the business is based on the ground that two investors withdrew from the transaction it was busy with to sell 20 % equity said to be worth R 1 milli</w:t>
      </w:r>
      <w:r w:rsidR="00841254">
        <w:rPr>
          <w:rFonts w:ascii="Times New Roman" w:eastAsia="Times New Roman" w:hAnsi="Times New Roman" w:cs="Times New Roman"/>
          <w:sz w:val="28"/>
          <w:szCs w:val="28"/>
          <w:lang w:val="en-GB"/>
        </w:rPr>
        <w:t>o</w:t>
      </w:r>
      <w:r w:rsidRPr="0014483C">
        <w:rPr>
          <w:rFonts w:ascii="Times New Roman" w:eastAsia="Times New Roman" w:hAnsi="Times New Roman" w:cs="Times New Roman"/>
          <w:sz w:val="28"/>
          <w:szCs w:val="28"/>
          <w:lang w:val="en-GB"/>
        </w:rPr>
        <w:t>n as each investor was prepared to acquire 10% equity in the plaintiff. The plaintiff, in its particulars of claim, states that the notification which was made during July 2020 in the credit bureau caused the two investors to withdraw from the transaction as a direct result of the adverse report concerning its alleged failure to pay rental for March, April, May and June 2020.</w:t>
      </w:r>
    </w:p>
    <w:p w14:paraId="50C3C706" w14:textId="77777777" w:rsidR="0014483C" w:rsidRPr="0014483C" w:rsidRDefault="00CC77D6" w:rsidP="00A03D05">
      <w:pPr>
        <w:suppressAutoHyphens/>
        <w:spacing w:before="320" w:after="320" w:line="360" w:lineRule="auto"/>
        <w:ind w:left="567" w:hanging="567"/>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lang w:val="en-GB"/>
        </w:rPr>
        <w:t xml:space="preserve">[5] </w:t>
      </w:r>
      <w:r w:rsidR="00841254">
        <w:rPr>
          <w:rFonts w:ascii="Times New Roman" w:eastAsia="Times New Roman" w:hAnsi="Times New Roman" w:cs="Times New Roman"/>
          <w:sz w:val="28"/>
          <w:szCs w:val="28"/>
          <w:lang w:val="en-GB"/>
        </w:rPr>
        <w:tab/>
      </w:r>
      <w:r w:rsidRPr="0014483C">
        <w:rPr>
          <w:rFonts w:ascii="Times New Roman" w:eastAsia="Times New Roman" w:hAnsi="Times New Roman" w:cs="Times New Roman"/>
          <w:sz w:val="28"/>
          <w:szCs w:val="28"/>
          <w:lang w:val="en-GB"/>
        </w:rPr>
        <w:t>The plaintiff avers that because of the incorrect notification and publication of an adverse report in TPN</w:t>
      </w:r>
      <w:r w:rsidR="00F055D0">
        <w:rPr>
          <w:rFonts w:ascii="Times New Roman" w:eastAsia="Times New Roman" w:hAnsi="Times New Roman" w:cs="Times New Roman"/>
          <w:sz w:val="28"/>
          <w:szCs w:val="28"/>
          <w:lang w:val="en-GB"/>
        </w:rPr>
        <w:t>,</w:t>
      </w:r>
      <w:r w:rsidRPr="0014483C">
        <w:rPr>
          <w:rFonts w:ascii="Times New Roman" w:eastAsia="Times New Roman" w:hAnsi="Times New Roman" w:cs="Times New Roman"/>
          <w:sz w:val="28"/>
          <w:szCs w:val="28"/>
          <w:lang w:val="en-GB"/>
        </w:rPr>
        <w:t xml:space="preserve"> it failed to pay Vunani Property Management.</w:t>
      </w:r>
      <w:r w:rsidR="00F055D0">
        <w:rPr>
          <w:rFonts w:ascii="Times New Roman" w:eastAsia="Times New Roman" w:hAnsi="Times New Roman" w:cs="Times New Roman"/>
          <w:sz w:val="28"/>
          <w:szCs w:val="28"/>
          <w:lang w:val="en-GB"/>
        </w:rPr>
        <w:t xml:space="preserve"> </w:t>
      </w:r>
      <w:r w:rsidRPr="0014483C">
        <w:rPr>
          <w:rFonts w:ascii="Times New Roman" w:eastAsia="Times New Roman" w:hAnsi="Times New Roman" w:cs="Times New Roman"/>
          <w:sz w:val="28"/>
          <w:szCs w:val="28"/>
          <w:lang w:val="en-GB"/>
        </w:rPr>
        <w:t xml:space="preserve">The publication was allegedly made by Kuper Legh Property Management, the fifth defendant who was the agent of Vunani Property Management. The defendants have been cited as its trustees and the fifth defendant was cited in its </w:t>
      </w:r>
      <w:r w:rsidR="00F055D0">
        <w:rPr>
          <w:rFonts w:ascii="Times New Roman" w:eastAsia="Times New Roman" w:hAnsi="Times New Roman" w:cs="Times New Roman"/>
          <w:sz w:val="28"/>
          <w:szCs w:val="28"/>
          <w:lang w:val="en-GB"/>
        </w:rPr>
        <w:t xml:space="preserve">capacity </w:t>
      </w:r>
      <w:r w:rsidRPr="0014483C">
        <w:rPr>
          <w:rFonts w:ascii="Times New Roman" w:eastAsia="Times New Roman" w:hAnsi="Times New Roman" w:cs="Times New Roman"/>
          <w:sz w:val="28"/>
          <w:szCs w:val="28"/>
          <w:lang w:val="en-GB"/>
        </w:rPr>
        <w:t xml:space="preserve">as the agent of the other defendants.  </w:t>
      </w:r>
    </w:p>
    <w:p w14:paraId="01B70B66" w14:textId="77777777" w:rsidR="0014483C" w:rsidRPr="0014483C" w:rsidRDefault="00CC77D6" w:rsidP="00A03D05">
      <w:pPr>
        <w:suppressAutoHyphens/>
        <w:spacing w:before="320" w:after="320" w:line="360" w:lineRule="auto"/>
        <w:ind w:left="567" w:hanging="567"/>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lang w:val="en-GB"/>
        </w:rPr>
        <w:t xml:space="preserve">[6] </w:t>
      </w:r>
      <w:r w:rsidR="00F055D0">
        <w:rPr>
          <w:rFonts w:ascii="Times New Roman" w:eastAsia="Times New Roman" w:hAnsi="Times New Roman" w:cs="Times New Roman"/>
          <w:sz w:val="28"/>
          <w:szCs w:val="28"/>
          <w:lang w:val="en-GB"/>
        </w:rPr>
        <w:tab/>
      </w:r>
      <w:r w:rsidRPr="0014483C">
        <w:rPr>
          <w:rFonts w:ascii="Times New Roman" w:eastAsia="Times New Roman" w:hAnsi="Times New Roman" w:cs="Times New Roman"/>
          <w:sz w:val="28"/>
          <w:szCs w:val="28"/>
          <w:lang w:val="en-GB"/>
        </w:rPr>
        <w:t>The plaintiff states in its particulars of claim that it is impecunious because it ceased its operation</w:t>
      </w:r>
      <w:r w:rsidR="00F055D0">
        <w:rPr>
          <w:rFonts w:ascii="Times New Roman" w:eastAsia="Times New Roman" w:hAnsi="Times New Roman" w:cs="Times New Roman"/>
          <w:sz w:val="28"/>
          <w:szCs w:val="28"/>
          <w:lang w:val="en-GB"/>
        </w:rPr>
        <w:t>s</w:t>
      </w:r>
      <w:r w:rsidRPr="0014483C">
        <w:rPr>
          <w:rFonts w:ascii="Times New Roman" w:eastAsia="Times New Roman" w:hAnsi="Times New Roman" w:cs="Times New Roman"/>
          <w:sz w:val="28"/>
          <w:szCs w:val="28"/>
          <w:lang w:val="en-GB"/>
        </w:rPr>
        <w:t xml:space="preserve"> during August 2020 and by February 2021 it</w:t>
      </w:r>
      <w:r w:rsidR="00F055D0">
        <w:rPr>
          <w:rFonts w:ascii="Times New Roman" w:eastAsia="Times New Roman" w:hAnsi="Times New Roman" w:cs="Times New Roman"/>
          <w:sz w:val="28"/>
          <w:szCs w:val="28"/>
          <w:lang w:val="en-GB"/>
        </w:rPr>
        <w:t>s</w:t>
      </w:r>
      <w:r w:rsidRPr="0014483C">
        <w:rPr>
          <w:rFonts w:ascii="Times New Roman" w:eastAsia="Times New Roman" w:hAnsi="Times New Roman" w:cs="Times New Roman"/>
          <w:sz w:val="28"/>
          <w:szCs w:val="28"/>
          <w:lang w:val="en-GB"/>
        </w:rPr>
        <w:t xml:space="preserve"> nett asset value was nil. Following the exchange of pleadings and upon admission that the plaintiff has zero nett asset value because, </w:t>
      </w:r>
      <w:r w:rsidRPr="00F055D0">
        <w:rPr>
          <w:rFonts w:ascii="Times New Roman" w:eastAsia="Times New Roman" w:hAnsi="Times New Roman" w:cs="Times New Roman"/>
          <w:i/>
          <w:iCs/>
          <w:sz w:val="28"/>
          <w:szCs w:val="28"/>
          <w:lang w:val="en-GB"/>
        </w:rPr>
        <w:t>inter alia</w:t>
      </w:r>
      <w:r w:rsidRPr="0014483C">
        <w:rPr>
          <w:rFonts w:ascii="Times New Roman" w:eastAsia="Times New Roman" w:hAnsi="Times New Roman" w:cs="Times New Roman"/>
          <w:sz w:val="28"/>
          <w:szCs w:val="28"/>
          <w:lang w:val="en-GB"/>
        </w:rPr>
        <w:t xml:space="preserve">, it has become impecunious and had only one client, the defendants sought the </w:t>
      </w:r>
      <w:r w:rsidRPr="0014483C">
        <w:rPr>
          <w:rFonts w:ascii="Times New Roman" w:eastAsia="Times New Roman" w:hAnsi="Times New Roman" w:cs="Times New Roman"/>
          <w:sz w:val="28"/>
          <w:szCs w:val="28"/>
          <w:lang w:val="en-GB"/>
        </w:rPr>
        <w:lastRenderedPageBreak/>
        <w:t xml:space="preserve">security for costs as stated above as they contend that the claims are </w:t>
      </w:r>
      <w:r w:rsidRPr="002B6352">
        <w:rPr>
          <w:rFonts w:ascii="Times New Roman" w:eastAsia="Times New Roman" w:hAnsi="Times New Roman" w:cs="Times New Roman"/>
          <w:i/>
          <w:iCs/>
          <w:sz w:val="28"/>
          <w:szCs w:val="28"/>
          <w:lang w:val="en-GB"/>
        </w:rPr>
        <w:t>mala fide</w:t>
      </w:r>
      <w:r w:rsidRPr="0014483C">
        <w:rPr>
          <w:rFonts w:ascii="Times New Roman" w:eastAsia="Times New Roman" w:hAnsi="Times New Roman" w:cs="Times New Roman"/>
          <w:sz w:val="28"/>
          <w:szCs w:val="28"/>
          <w:lang w:val="en-GB"/>
        </w:rPr>
        <w:t xml:space="preserve">, vexatious and frivolous with no prospect of success. </w:t>
      </w:r>
    </w:p>
    <w:p w14:paraId="663CEFD7" w14:textId="77777777" w:rsidR="0014483C" w:rsidRPr="0014483C" w:rsidRDefault="00CC77D6" w:rsidP="00A03D05">
      <w:pPr>
        <w:suppressAutoHyphens/>
        <w:spacing w:before="320" w:after="320" w:line="360" w:lineRule="auto"/>
        <w:ind w:left="567" w:hanging="567"/>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lang w:val="en-GB"/>
        </w:rPr>
        <w:t xml:space="preserve">[7]  </w:t>
      </w:r>
      <w:r w:rsidR="002B6352">
        <w:rPr>
          <w:rFonts w:ascii="Times New Roman" w:eastAsia="Times New Roman" w:hAnsi="Times New Roman" w:cs="Times New Roman"/>
          <w:sz w:val="28"/>
          <w:szCs w:val="28"/>
          <w:lang w:val="en-GB"/>
        </w:rPr>
        <w:tab/>
      </w:r>
      <w:r w:rsidRPr="0014483C">
        <w:rPr>
          <w:rFonts w:ascii="Times New Roman" w:eastAsia="Times New Roman" w:hAnsi="Times New Roman" w:cs="Times New Roman"/>
          <w:sz w:val="28"/>
          <w:szCs w:val="28"/>
          <w:lang w:val="en-GB"/>
        </w:rPr>
        <w:t>The defence raised on behalf of the plaintiff by its sole shareholder is that</w:t>
      </w:r>
      <w:r w:rsidR="002B6352">
        <w:rPr>
          <w:rFonts w:ascii="Times New Roman" w:eastAsia="Times New Roman" w:hAnsi="Times New Roman" w:cs="Times New Roman"/>
          <w:sz w:val="28"/>
          <w:szCs w:val="28"/>
          <w:lang w:val="en-GB"/>
        </w:rPr>
        <w:t xml:space="preserve"> </w:t>
      </w:r>
      <w:r w:rsidRPr="0014483C">
        <w:rPr>
          <w:rFonts w:ascii="Times New Roman" w:eastAsia="Times New Roman" w:hAnsi="Times New Roman" w:cs="Times New Roman"/>
          <w:sz w:val="28"/>
          <w:szCs w:val="28"/>
          <w:lang w:val="en-GB"/>
        </w:rPr>
        <w:t>the plaintiff should not be required to put up security as it is impecunious; the plaintiff would be deprived of its constitutional right to access to courts if the plaintiff is ordered to pay for costs and that it would be the end of the matter.</w:t>
      </w:r>
    </w:p>
    <w:p w14:paraId="4AC9F641" w14:textId="77777777" w:rsidR="002B6352" w:rsidRDefault="00CC77D6" w:rsidP="00A03D05">
      <w:pPr>
        <w:suppressAutoHyphens/>
        <w:spacing w:before="320" w:after="320" w:line="360" w:lineRule="auto"/>
        <w:ind w:left="570" w:hanging="570"/>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lang w:val="en-GB"/>
        </w:rPr>
        <w:t xml:space="preserve">[8] </w:t>
      </w:r>
      <w:r>
        <w:rPr>
          <w:rFonts w:ascii="Times New Roman" w:eastAsia="Times New Roman" w:hAnsi="Times New Roman" w:cs="Times New Roman"/>
          <w:sz w:val="28"/>
          <w:szCs w:val="28"/>
          <w:lang w:val="en-GB"/>
        </w:rPr>
        <w:tab/>
      </w:r>
      <w:r w:rsidRPr="0014483C">
        <w:rPr>
          <w:rFonts w:ascii="Times New Roman" w:eastAsia="Times New Roman" w:hAnsi="Times New Roman" w:cs="Times New Roman"/>
          <w:sz w:val="28"/>
          <w:szCs w:val="28"/>
          <w:lang w:val="en-GB"/>
        </w:rPr>
        <w:t>The issue for determination is whether the defendants are entitled, under the circumstances, to be provided with security for costs.</w:t>
      </w:r>
      <w:r w:rsidR="00D10EA9" w:rsidRPr="00D10EA9">
        <w:rPr>
          <w:rFonts w:ascii="Times New Roman" w:eastAsia="Times New Roman" w:hAnsi="Times New Roman" w:cs="Times New Roman"/>
          <w:sz w:val="28"/>
          <w:szCs w:val="28"/>
          <w:lang w:val="en-GB"/>
        </w:rPr>
        <w:t xml:space="preserve"> </w:t>
      </w:r>
      <w:r w:rsidR="00D10EA9" w:rsidRPr="0014483C">
        <w:rPr>
          <w:rFonts w:ascii="Times New Roman" w:eastAsia="Times New Roman" w:hAnsi="Times New Roman" w:cs="Times New Roman"/>
          <w:sz w:val="28"/>
          <w:szCs w:val="28"/>
          <w:lang w:val="en-GB"/>
        </w:rPr>
        <w:t>Rule 47(1) states that:</w:t>
      </w:r>
    </w:p>
    <w:p w14:paraId="40F902B7" w14:textId="77777777" w:rsidR="00D10EA9" w:rsidRDefault="00CC77D6" w:rsidP="00A03D05">
      <w:pPr>
        <w:suppressAutoHyphens/>
        <w:spacing w:before="320" w:after="320" w:line="360" w:lineRule="auto"/>
        <w:ind w:left="720"/>
        <w:jc w:val="both"/>
        <w:outlineLvl w:val="0"/>
        <w:rPr>
          <w:rFonts w:ascii="Times New Roman" w:eastAsia="Times New Roman" w:hAnsi="Times New Roman" w:cs="Times New Roman"/>
          <w:sz w:val="28"/>
          <w:szCs w:val="28"/>
        </w:rPr>
      </w:pPr>
      <w:r w:rsidRPr="0014483C">
        <w:rPr>
          <w:rFonts w:ascii="Times New Roman" w:eastAsia="Times New Roman" w:hAnsi="Times New Roman" w:cs="Times New Roman"/>
          <w:sz w:val="28"/>
          <w:szCs w:val="28"/>
          <w:lang w:val="en-GB"/>
        </w:rPr>
        <w:t xml:space="preserve">“(1) </w:t>
      </w:r>
      <w:r w:rsidRPr="0014483C">
        <w:rPr>
          <w:rFonts w:ascii="Times New Roman" w:eastAsia="Times New Roman" w:hAnsi="Times New Roman" w:cs="Times New Roman"/>
          <w:sz w:val="28"/>
          <w:szCs w:val="28"/>
        </w:rPr>
        <w:t>A party entitled and desiring to demand security for costs from another shall, as soon as practicable after the commencement of proceedings, deliver a notice setting forth the grounds upon which such security is claimed, and the amount demanded.”</w:t>
      </w:r>
    </w:p>
    <w:p w14:paraId="2BE9FDEC" w14:textId="77777777" w:rsidR="005F74BD" w:rsidRDefault="00CC77D6" w:rsidP="00A03D05">
      <w:pPr>
        <w:suppressAutoHyphens/>
        <w:spacing w:before="320" w:after="320" w:line="360" w:lineRule="auto"/>
        <w:ind w:left="567" w:hanging="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2B635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Furthermore, </w:t>
      </w:r>
      <w:r w:rsidR="00EC41E0">
        <w:rPr>
          <w:rFonts w:ascii="Times New Roman" w:eastAsia="Times New Roman" w:hAnsi="Times New Roman" w:cs="Times New Roman"/>
          <w:sz w:val="28"/>
          <w:szCs w:val="28"/>
        </w:rPr>
        <w:t>the old Companies Act, 1973 had a provision in section 13 which states that:</w:t>
      </w:r>
    </w:p>
    <w:p w14:paraId="4ABF1F99" w14:textId="77777777" w:rsidR="00EA76E8" w:rsidRDefault="00CC77D6" w:rsidP="00A03D05">
      <w:pPr>
        <w:suppressAutoHyphens/>
        <w:spacing w:before="320" w:after="320" w:line="360" w:lineRule="auto"/>
        <w:ind w:left="72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74BD" w:rsidRPr="0014483C">
        <w:rPr>
          <w:rFonts w:ascii="Times New Roman" w:eastAsia="Times New Roman" w:hAnsi="Times New Roman" w:cs="Times New Roman"/>
          <w:sz w:val="28"/>
          <w:szCs w:val="28"/>
        </w:rPr>
        <w:t>Where a company or other body corporate is plaintiff or applicant in any legal proceedings, the Court may at any stage, if it appears by credible testimony that there is reason to believe that the company or body corporate or, if it is being</w:t>
      </w:r>
      <w:r w:rsidR="005F74BD" w:rsidRPr="0014483C">
        <w:rPr>
          <w:rFonts w:ascii="Arial" w:eastAsia="Times New Roman" w:hAnsi="Arial" w:cs="Times New Roman"/>
          <w:sz w:val="28"/>
          <w:szCs w:val="28"/>
        </w:rPr>
        <w:t xml:space="preserve"> </w:t>
      </w:r>
      <w:r w:rsidR="005F74BD" w:rsidRPr="0014483C">
        <w:rPr>
          <w:rFonts w:ascii="Times New Roman" w:eastAsia="Times New Roman" w:hAnsi="Times New Roman" w:cs="Times New Roman"/>
          <w:sz w:val="28"/>
          <w:szCs w:val="28"/>
        </w:rPr>
        <w:t>wound up, the liquidator thereof, will be unable to pay the costs of the defendant or respondent if successful in his defence, require sufficient security to be given for those costs and may stay all proceedings till the security is given.</w:t>
      </w:r>
      <w:r>
        <w:rPr>
          <w:rFonts w:ascii="Times New Roman" w:eastAsia="Times New Roman" w:hAnsi="Times New Roman" w:cs="Times New Roman"/>
          <w:sz w:val="28"/>
          <w:szCs w:val="28"/>
        </w:rPr>
        <w:t>”</w:t>
      </w:r>
    </w:p>
    <w:p w14:paraId="212C1AC2" w14:textId="77777777" w:rsidR="00E808B9" w:rsidRDefault="00CC77D6" w:rsidP="00A03D05">
      <w:pPr>
        <w:suppressAutoHyphens/>
        <w:spacing w:before="320" w:after="320" w:line="360" w:lineRule="auto"/>
        <w:ind w:left="720" w:hanging="720"/>
        <w:jc w:val="both"/>
        <w:outlineLvl w:val="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 xml:space="preserve">[10] </w:t>
      </w:r>
      <w:r w:rsidR="002B6352">
        <w:rPr>
          <w:rFonts w:ascii="Times New Roman" w:eastAsia="Times New Roman" w:hAnsi="Times New Roman" w:cs="Times New Roman"/>
          <w:sz w:val="28"/>
          <w:szCs w:val="28"/>
        </w:rPr>
        <w:tab/>
      </w:r>
      <w:r>
        <w:rPr>
          <w:rFonts w:ascii="Times New Roman" w:eastAsia="Times New Roman" w:hAnsi="Times New Roman" w:cs="Times New Roman"/>
          <w:sz w:val="28"/>
          <w:szCs w:val="28"/>
        </w:rPr>
        <w:t>A similar provision is found in section</w:t>
      </w:r>
      <w:r w:rsidR="00E25FB0">
        <w:rPr>
          <w:rFonts w:ascii="Times New Roman" w:eastAsia="Times New Roman" w:hAnsi="Times New Roman" w:cs="Times New Roman"/>
          <w:sz w:val="28"/>
          <w:szCs w:val="28"/>
        </w:rPr>
        <w:t xml:space="preserve"> 8</w:t>
      </w:r>
      <w:r w:rsidR="00BE2F51">
        <w:rPr>
          <w:rFonts w:ascii="Times New Roman" w:eastAsia="Times New Roman" w:hAnsi="Times New Roman" w:cs="Times New Roman"/>
          <w:sz w:val="28"/>
          <w:szCs w:val="28"/>
        </w:rPr>
        <w:t xml:space="preserve"> </w:t>
      </w:r>
      <w:r w:rsidR="00E25FB0" w:rsidRPr="0014483C">
        <w:rPr>
          <w:rFonts w:ascii="Times New Roman" w:eastAsia="Times New Roman" w:hAnsi="Times New Roman" w:cs="Times New Roman"/>
          <w:sz w:val="28"/>
          <w:szCs w:val="28"/>
          <w:lang w:val="en-GB"/>
        </w:rPr>
        <w:t>of the Close Corporation Act No: 69 of 1984 (“the Act”)</w:t>
      </w:r>
      <w:r w:rsidR="00BE2F51">
        <w:rPr>
          <w:rFonts w:ascii="Times New Roman" w:eastAsia="Times New Roman" w:hAnsi="Times New Roman" w:cs="Times New Roman"/>
          <w:sz w:val="28"/>
          <w:szCs w:val="28"/>
          <w:lang w:val="en-GB"/>
        </w:rPr>
        <w:t xml:space="preserve"> w</w:t>
      </w:r>
      <w:r w:rsidR="00FC0D31">
        <w:rPr>
          <w:rFonts w:ascii="Times New Roman" w:eastAsia="Times New Roman" w:hAnsi="Times New Roman" w:cs="Times New Roman"/>
          <w:sz w:val="28"/>
          <w:szCs w:val="28"/>
          <w:lang w:val="en-GB"/>
        </w:rPr>
        <w:t>hich provides that:</w:t>
      </w:r>
    </w:p>
    <w:p w14:paraId="340B46B7" w14:textId="03AB249E" w:rsidR="00FC0D31" w:rsidRPr="0014483C" w:rsidRDefault="00CC77D6" w:rsidP="00A03D05">
      <w:pPr>
        <w:suppressAutoHyphens/>
        <w:spacing w:before="320" w:after="320" w:line="360" w:lineRule="auto"/>
        <w:ind w:left="1440"/>
        <w:jc w:val="both"/>
        <w:outlineLvl w:val="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w:t>
      </w:r>
      <w:r w:rsidRPr="0014483C">
        <w:rPr>
          <w:rFonts w:ascii="Times New Roman" w:eastAsia="Times New Roman" w:hAnsi="Times New Roman" w:cs="Times New Roman"/>
          <w:sz w:val="28"/>
          <w:szCs w:val="28"/>
          <w:lang w:val="en-GB"/>
        </w:rPr>
        <w:t>When a corporation in any legal proceedings is a plaintiff or applicant or brings a counterclaim or counter application, the court concerned may at any time during the proceedings if it appears that there is a reason to believe that the corporation or, if it is being wound up, the liquidator thereof, will it be unable to pay the costs of the defendant or respondent, or the defendant or respondent in reconvention, if he is successful in his defence, require security to be given for those costs and may stay all proceedings</w:t>
      </w:r>
      <w:r w:rsidR="002A7DA3">
        <w:rPr>
          <w:rFonts w:ascii="Times New Roman" w:eastAsia="Times New Roman" w:hAnsi="Times New Roman" w:cs="Times New Roman"/>
          <w:sz w:val="28"/>
          <w:szCs w:val="28"/>
          <w:lang w:val="en-GB"/>
        </w:rPr>
        <w:t>,</w:t>
      </w:r>
      <w:r w:rsidRPr="0014483C">
        <w:rPr>
          <w:rFonts w:ascii="Times New Roman" w:eastAsia="Times New Roman" w:hAnsi="Times New Roman" w:cs="Times New Roman"/>
          <w:sz w:val="28"/>
          <w:szCs w:val="28"/>
          <w:lang w:val="en-GB"/>
        </w:rPr>
        <w:t xml:space="preserve"> the security is given.” </w:t>
      </w:r>
    </w:p>
    <w:p w14:paraId="2FA4A3D6" w14:textId="77777777" w:rsidR="00FC0D31" w:rsidRPr="0014483C" w:rsidRDefault="00CC77D6" w:rsidP="00A03D05">
      <w:pPr>
        <w:suppressAutoHyphens/>
        <w:spacing w:before="320" w:after="320" w:line="360" w:lineRule="auto"/>
        <w:ind w:left="720" w:hanging="72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rPr>
        <w:t xml:space="preserve">[11] </w:t>
      </w:r>
      <w:r w:rsidR="002B6352">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There is no comparable section in the new Companies Act</w:t>
      </w:r>
      <w:r w:rsidR="0097621E">
        <w:rPr>
          <w:rFonts w:ascii="Times New Roman" w:eastAsia="Times New Roman" w:hAnsi="Times New Roman" w:cs="Times New Roman"/>
          <w:sz w:val="28"/>
          <w:szCs w:val="28"/>
          <w:lang w:val="en-GB"/>
        </w:rPr>
        <w:t xml:space="preserve"> 71 of 2008</w:t>
      </w:r>
      <w:r w:rsidR="002B6352">
        <w:rPr>
          <w:rFonts w:ascii="Times New Roman" w:eastAsia="Times New Roman" w:hAnsi="Times New Roman" w:cs="Times New Roman"/>
          <w:sz w:val="28"/>
          <w:szCs w:val="28"/>
          <w:lang w:val="en-GB"/>
        </w:rPr>
        <w:t xml:space="preserve"> </w:t>
      </w:r>
      <w:r w:rsidR="0097621E">
        <w:rPr>
          <w:rFonts w:ascii="Times New Roman" w:eastAsia="Times New Roman" w:hAnsi="Times New Roman" w:cs="Times New Roman"/>
          <w:sz w:val="28"/>
          <w:szCs w:val="28"/>
          <w:lang w:val="en-GB"/>
        </w:rPr>
        <w:t>(the new Act)</w:t>
      </w:r>
      <w:r w:rsidR="00C83EB7">
        <w:rPr>
          <w:rFonts w:ascii="Times New Roman" w:eastAsia="Times New Roman" w:hAnsi="Times New Roman" w:cs="Times New Roman"/>
          <w:sz w:val="28"/>
          <w:szCs w:val="28"/>
          <w:lang w:val="en-GB"/>
        </w:rPr>
        <w:t>. However, our courts have made pronouncement on this point after the promulgation of the new Act.</w:t>
      </w:r>
      <w:r>
        <w:rPr>
          <w:rStyle w:val="FootnoteReference"/>
          <w:rFonts w:ascii="Times New Roman" w:eastAsia="Times New Roman" w:hAnsi="Times New Roman" w:cs="Times New Roman"/>
          <w:sz w:val="28"/>
          <w:szCs w:val="28"/>
          <w:lang w:val="en-GB"/>
        </w:rPr>
        <w:footnoteReference w:id="1"/>
      </w:r>
      <w:r w:rsidR="002B6352">
        <w:rPr>
          <w:rFonts w:ascii="Times New Roman" w:eastAsia="Times New Roman" w:hAnsi="Times New Roman" w:cs="Times New Roman"/>
          <w:sz w:val="28"/>
          <w:szCs w:val="28"/>
          <w:lang w:val="en-GB"/>
        </w:rPr>
        <w:t xml:space="preserve"> </w:t>
      </w:r>
      <w:r w:rsidR="00916D57">
        <w:rPr>
          <w:rFonts w:ascii="Times New Roman" w:eastAsia="Times New Roman" w:hAnsi="Times New Roman" w:cs="Times New Roman"/>
          <w:sz w:val="28"/>
          <w:szCs w:val="28"/>
          <w:lang w:val="en-GB"/>
        </w:rPr>
        <w:t>The requirement for security for costs can therefore in appropriate circumstances be ordered.</w:t>
      </w:r>
    </w:p>
    <w:p w14:paraId="5A2E1BE9" w14:textId="77777777" w:rsidR="003C3284" w:rsidRDefault="00CC77D6" w:rsidP="00A03D05">
      <w:pPr>
        <w:suppressAutoHyphens/>
        <w:spacing w:before="320" w:after="320" w:line="360" w:lineRule="auto"/>
        <w:ind w:left="720" w:hanging="720"/>
        <w:jc w:val="both"/>
        <w:outlineLvl w:val="0"/>
        <w:rPr>
          <w:rFonts w:ascii="Times New Roman" w:eastAsia="Times New Roman" w:hAnsi="Times New Roman" w:cs="Times New Roman"/>
          <w:sz w:val="28"/>
          <w:szCs w:val="28"/>
          <w:lang w:val="en-GB"/>
        </w:rPr>
      </w:pPr>
      <w:r w:rsidRPr="0014483C">
        <w:rPr>
          <w:rFonts w:ascii="Times New Roman" w:eastAsia="Times New Roman" w:hAnsi="Times New Roman" w:cs="Times New Roman"/>
          <w:sz w:val="28"/>
          <w:szCs w:val="28"/>
          <w:lang w:val="en-GB"/>
        </w:rPr>
        <w:t>[</w:t>
      </w:r>
      <w:r w:rsidR="00916D57">
        <w:rPr>
          <w:rFonts w:ascii="Times New Roman" w:eastAsia="Times New Roman" w:hAnsi="Times New Roman" w:cs="Times New Roman"/>
          <w:sz w:val="28"/>
          <w:szCs w:val="28"/>
          <w:lang w:val="en-GB"/>
        </w:rPr>
        <w:t>12</w:t>
      </w:r>
      <w:r w:rsidRPr="0014483C">
        <w:rPr>
          <w:rFonts w:ascii="Times New Roman" w:eastAsia="Times New Roman" w:hAnsi="Times New Roman" w:cs="Times New Roman"/>
          <w:sz w:val="28"/>
          <w:szCs w:val="28"/>
          <w:lang w:val="en-GB"/>
        </w:rPr>
        <w:t xml:space="preserve">] </w:t>
      </w:r>
      <w:r w:rsidR="002B6352">
        <w:rPr>
          <w:rFonts w:ascii="Times New Roman" w:eastAsia="Times New Roman" w:hAnsi="Times New Roman" w:cs="Times New Roman"/>
          <w:sz w:val="28"/>
          <w:szCs w:val="28"/>
          <w:lang w:val="en-GB"/>
        </w:rPr>
        <w:tab/>
      </w:r>
      <w:r w:rsidR="00F629C7">
        <w:rPr>
          <w:rFonts w:ascii="Times New Roman" w:eastAsia="Times New Roman" w:hAnsi="Times New Roman" w:cs="Times New Roman"/>
          <w:sz w:val="28"/>
          <w:szCs w:val="28"/>
          <w:lang w:val="en-GB"/>
        </w:rPr>
        <w:t>The onus is on the party seeking securit</w:t>
      </w:r>
      <w:r w:rsidR="00713609">
        <w:rPr>
          <w:rFonts w:ascii="Times New Roman" w:eastAsia="Times New Roman" w:hAnsi="Times New Roman" w:cs="Times New Roman"/>
          <w:sz w:val="28"/>
          <w:szCs w:val="28"/>
          <w:lang w:val="en-GB"/>
        </w:rPr>
        <w:t xml:space="preserve">y for costs </w:t>
      </w:r>
      <w:r w:rsidR="00C73F24">
        <w:rPr>
          <w:rFonts w:ascii="Times New Roman" w:eastAsia="Times New Roman" w:hAnsi="Times New Roman" w:cs="Times New Roman"/>
          <w:sz w:val="28"/>
          <w:szCs w:val="28"/>
          <w:lang w:val="en-GB"/>
        </w:rPr>
        <w:t>to convince the Court that security should be ordered.</w:t>
      </w:r>
      <w:r>
        <w:rPr>
          <w:rStyle w:val="FootnoteReference"/>
          <w:rFonts w:ascii="Times New Roman" w:eastAsia="Times New Roman" w:hAnsi="Times New Roman" w:cs="Times New Roman"/>
          <w:sz w:val="28"/>
          <w:szCs w:val="28"/>
          <w:lang w:val="en-GB"/>
        </w:rPr>
        <w:footnoteReference w:id="2"/>
      </w:r>
      <w:r w:rsidR="00916D57">
        <w:rPr>
          <w:rFonts w:ascii="Times New Roman" w:eastAsia="Times New Roman" w:hAnsi="Times New Roman" w:cs="Times New Roman"/>
          <w:sz w:val="28"/>
          <w:szCs w:val="28"/>
          <w:lang w:val="en-GB"/>
        </w:rPr>
        <w:t xml:space="preserve"> </w:t>
      </w:r>
      <w:r w:rsidR="00E85C60">
        <w:rPr>
          <w:rFonts w:ascii="Times New Roman" w:eastAsia="Times New Roman" w:hAnsi="Times New Roman" w:cs="Times New Roman"/>
          <w:sz w:val="28"/>
          <w:szCs w:val="28"/>
          <w:lang w:val="en-GB"/>
        </w:rPr>
        <w:t xml:space="preserve">Rule </w:t>
      </w:r>
      <w:r w:rsidR="000C1414">
        <w:rPr>
          <w:rFonts w:ascii="Times New Roman" w:eastAsia="Times New Roman" w:hAnsi="Times New Roman" w:cs="Times New Roman"/>
          <w:sz w:val="28"/>
          <w:szCs w:val="28"/>
          <w:lang w:val="en-GB"/>
        </w:rPr>
        <w:t>47 governs the procedure to be followed in case a party in the legal proc</w:t>
      </w:r>
      <w:r w:rsidR="005B691F">
        <w:rPr>
          <w:rFonts w:ascii="Times New Roman" w:eastAsia="Times New Roman" w:hAnsi="Times New Roman" w:cs="Times New Roman"/>
          <w:sz w:val="28"/>
          <w:szCs w:val="28"/>
          <w:lang w:val="en-GB"/>
        </w:rPr>
        <w:t>eedings seeks the Court to order that secu</w:t>
      </w:r>
      <w:r w:rsidR="00EA4AA4">
        <w:rPr>
          <w:rFonts w:ascii="Times New Roman" w:eastAsia="Times New Roman" w:hAnsi="Times New Roman" w:cs="Times New Roman"/>
          <w:sz w:val="28"/>
          <w:szCs w:val="28"/>
          <w:lang w:val="en-GB"/>
        </w:rPr>
        <w:t xml:space="preserve">rity for costs be provided. </w:t>
      </w:r>
      <w:r w:rsidR="00A10FC4">
        <w:rPr>
          <w:rFonts w:ascii="Times New Roman" w:eastAsia="Times New Roman" w:hAnsi="Times New Roman" w:cs="Times New Roman"/>
          <w:sz w:val="28"/>
          <w:szCs w:val="28"/>
          <w:lang w:val="en-GB"/>
        </w:rPr>
        <w:t xml:space="preserve">In </w:t>
      </w:r>
      <w:r w:rsidR="00A10FC4" w:rsidRPr="00D5181E">
        <w:rPr>
          <w:rFonts w:ascii="Times New Roman" w:eastAsia="Times New Roman" w:hAnsi="Times New Roman" w:cs="Times New Roman"/>
          <w:sz w:val="28"/>
          <w:szCs w:val="28"/>
          <w:u w:val="single"/>
          <w:lang w:val="en-GB"/>
        </w:rPr>
        <w:t xml:space="preserve">Boost </w:t>
      </w:r>
      <w:r w:rsidR="00D85AE8" w:rsidRPr="00D5181E">
        <w:rPr>
          <w:rFonts w:ascii="Times New Roman" w:eastAsia="Times New Roman" w:hAnsi="Times New Roman" w:cs="Times New Roman"/>
          <w:sz w:val="28"/>
          <w:szCs w:val="28"/>
          <w:u w:val="single"/>
          <w:lang w:val="en-GB"/>
        </w:rPr>
        <w:t xml:space="preserve">Sports Africa (Pty) Ltd v </w:t>
      </w:r>
      <w:r w:rsidR="00121782" w:rsidRPr="00D5181E">
        <w:rPr>
          <w:rFonts w:ascii="Times New Roman" w:eastAsia="Times New Roman" w:hAnsi="Times New Roman" w:cs="Times New Roman"/>
          <w:sz w:val="28"/>
          <w:szCs w:val="28"/>
          <w:u w:val="single"/>
          <w:lang w:val="en-GB"/>
        </w:rPr>
        <w:t>South African Breweries (Pty) Ltd</w:t>
      </w:r>
      <w:r w:rsidR="00D5181E" w:rsidRPr="00D5181E">
        <w:rPr>
          <w:rFonts w:ascii="Times New Roman" w:eastAsia="Times New Roman" w:hAnsi="Times New Roman" w:cs="Times New Roman"/>
          <w:sz w:val="28"/>
          <w:szCs w:val="28"/>
          <w:u w:val="single"/>
          <w:lang w:val="en-GB"/>
        </w:rPr>
        <w:t xml:space="preserve"> </w:t>
      </w:r>
      <w:r>
        <w:rPr>
          <w:rStyle w:val="FootnoteReference"/>
          <w:rFonts w:ascii="Times New Roman" w:eastAsia="Times New Roman" w:hAnsi="Times New Roman" w:cs="Times New Roman"/>
          <w:sz w:val="28"/>
          <w:szCs w:val="28"/>
          <w:u w:val="single"/>
          <w:lang w:val="en-GB"/>
        </w:rPr>
        <w:footnoteReference w:id="3"/>
      </w:r>
      <w:r w:rsidR="00D5181E">
        <w:rPr>
          <w:rFonts w:ascii="Times New Roman" w:eastAsia="Times New Roman" w:hAnsi="Times New Roman" w:cs="Times New Roman"/>
          <w:sz w:val="28"/>
          <w:szCs w:val="28"/>
          <w:u w:val="single"/>
          <w:lang w:val="en-GB"/>
        </w:rPr>
        <w:t xml:space="preserve"> </w:t>
      </w:r>
      <w:r w:rsidR="00311784" w:rsidRPr="00311784">
        <w:rPr>
          <w:rFonts w:ascii="Times New Roman" w:eastAsia="Times New Roman" w:hAnsi="Times New Roman" w:cs="Times New Roman"/>
          <w:sz w:val="28"/>
          <w:szCs w:val="28"/>
          <w:lang w:val="en-GB"/>
        </w:rPr>
        <w:t>it was held as follows</w:t>
      </w:r>
      <w:r w:rsidR="00AE013D">
        <w:rPr>
          <w:rFonts w:ascii="Times New Roman" w:eastAsia="Times New Roman" w:hAnsi="Times New Roman" w:cs="Times New Roman"/>
          <w:sz w:val="28"/>
          <w:szCs w:val="28"/>
          <w:lang w:val="en-GB"/>
        </w:rPr>
        <w:t xml:space="preserve"> regarding security for costs</w:t>
      </w:r>
      <w:r w:rsidR="00311784">
        <w:rPr>
          <w:rFonts w:ascii="Times New Roman" w:eastAsia="Times New Roman" w:hAnsi="Times New Roman" w:cs="Times New Roman"/>
          <w:sz w:val="28"/>
          <w:szCs w:val="28"/>
          <w:lang w:val="en-GB"/>
        </w:rPr>
        <w:t>:</w:t>
      </w:r>
    </w:p>
    <w:p w14:paraId="35F1AB50" w14:textId="77777777" w:rsidR="00FB1C9D" w:rsidRPr="008940C5" w:rsidRDefault="00CC77D6" w:rsidP="00A03D05">
      <w:pPr>
        <w:pStyle w:val="NormalWeb"/>
        <w:shd w:val="clear" w:color="auto" w:fill="FFFFFF"/>
        <w:spacing w:before="144" w:beforeAutospacing="0" w:after="288" w:afterAutospacing="0" w:line="360" w:lineRule="auto"/>
        <w:ind w:left="840"/>
        <w:jc w:val="both"/>
        <w:rPr>
          <w:color w:val="242121"/>
          <w:sz w:val="28"/>
          <w:szCs w:val="28"/>
          <w:lang w:val="en-GB"/>
        </w:rPr>
      </w:pPr>
      <w:r w:rsidRPr="008940C5">
        <w:rPr>
          <w:sz w:val="28"/>
          <w:szCs w:val="28"/>
          <w:lang w:val="en-GB"/>
        </w:rPr>
        <w:t>“</w:t>
      </w:r>
      <w:r w:rsidRPr="008940C5">
        <w:rPr>
          <w:color w:val="242121"/>
          <w:sz w:val="28"/>
          <w:szCs w:val="28"/>
          <w:lang w:val="en-GB"/>
        </w:rPr>
        <w:t>A similar provision was to be found in s 13 of the Companies Act 61 of 1973, which read:</w:t>
      </w:r>
    </w:p>
    <w:p w14:paraId="1345E499" w14:textId="77777777" w:rsidR="00FB1C9D" w:rsidRPr="008940C5" w:rsidRDefault="00CC77D6" w:rsidP="00A03D05">
      <w:pPr>
        <w:pStyle w:val="NormalWeb"/>
        <w:shd w:val="clear" w:color="auto" w:fill="FFFFFF"/>
        <w:spacing w:before="144" w:beforeAutospacing="0" w:after="288" w:afterAutospacing="0" w:line="360" w:lineRule="auto"/>
        <w:ind w:left="1440"/>
        <w:jc w:val="both"/>
        <w:rPr>
          <w:color w:val="242121"/>
          <w:sz w:val="28"/>
          <w:szCs w:val="28"/>
        </w:rPr>
      </w:pPr>
      <w:r w:rsidRPr="008940C5">
        <w:rPr>
          <w:color w:val="242121"/>
          <w:sz w:val="28"/>
          <w:szCs w:val="28"/>
        </w:rPr>
        <w:lastRenderedPageBreak/>
        <w:t>‘</w:t>
      </w:r>
      <w:r w:rsidRPr="008940C5">
        <w:rPr>
          <w:color w:val="242121"/>
          <w:sz w:val="28"/>
          <w:szCs w:val="28"/>
          <w:lang w:val="en-GB"/>
        </w:rPr>
        <w:t>Where a company or other body corporate is plaintiff in any legal proceedings, the Court may at any stage, if it appears by credible testimony that there is reason to believe that the company or body corporate or if it is being wound up, the liquidator thereof, will be unable to pay the costs of the defendant or respondent if successful in his defence, require sufficient security to be given for those costs and may stay all proceedings till the security is given.’</w:t>
      </w:r>
    </w:p>
    <w:p w14:paraId="7B5F6E76" w14:textId="77777777" w:rsidR="00FB1C9D" w:rsidRPr="008940C5" w:rsidRDefault="00CC77D6" w:rsidP="00A03D05">
      <w:pPr>
        <w:pStyle w:val="NormalWeb"/>
        <w:shd w:val="clear" w:color="auto" w:fill="FFFFFF"/>
        <w:spacing w:before="144" w:beforeAutospacing="0" w:after="288" w:afterAutospacing="0" w:line="360" w:lineRule="auto"/>
        <w:ind w:left="720" w:hanging="720"/>
        <w:jc w:val="both"/>
        <w:rPr>
          <w:rFonts w:ascii="Verdana" w:hAnsi="Verdana"/>
          <w:color w:val="242121"/>
          <w:sz w:val="28"/>
          <w:szCs w:val="28"/>
        </w:rPr>
      </w:pPr>
      <w:bookmarkStart w:id="0" w:name="0-0-0-29641"/>
      <w:bookmarkEnd w:id="0"/>
      <w:r w:rsidRPr="008940C5">
        <w:rPr>
          <w:color w:val="242121"/>
          <w:sz w:val="28"/>
          <w:szCs w:val="28"/>
          <w:lang w:val="en-GB"/>
        </w:rPr>
        <w:t xml:space="preserve">[9] </w:t>
      </w:r>
      <w:r w:rsidR="00312FC1">
        <w:rPr>
          <w:color w:val="242121"/>
          <w:sz w:val="28"/>
          <w:szCs w:val="28"/>
          <w:lang w:val="en-GB"/>
        </w:rPr>
        <w:tab/>
      </w:r>
      <w:r w:rsidRPr="008940C5">
        <w:rPr>
          <w:color w:val="242121"/>
          <w:sz w:val="28"/>
          <w:szCs w:val="28"/>
          <w:lang w:val="en-GB"/>
        </w:rPr>
        <w:t>Section 216 (and its successor, s13, which mirrors provisions in certain other Commonwealth jurisdictions),</w:t>
      </w:r>
      <w:r>
        <w:rPr>
          <w:rStyle w:val="FootnoteReference"/>
          <w:color w:val="242121"/>
          <w:sz w:val="28"/>
          <w:szCs w:val="28"/>
          <w:lang w:val="en-GB"/>
        </w:rPr>
        <w:footnoteReference w:id="4"/>
      </w:r>
      <w:r w:rsidR="006C6129" w:rsidRPr="008940C5">
        <w:rPr>
          <w:color w:val="242121"/>
          <w:sz w:val="28"/>
          <w:szCs w:val="28"/>
          <w:lang w:val="en-GB"/>
        </w:rPr>
        <w:t xml:space="preserve"> </w:t>
      </w:r>
      <w:r w:rsidRPr="008940C5">
        <w:rPr>
          <w:color w:val="242121"/>
          <w:sz w:val="28"/>
          <w:szCs w:val="28"/>
          <w:lang w:val="en-GB"/>
        </w:rPr>
        <w:t>meant that the issue under the common law whether an</w:t>
      </w:r>
      <w:r w:rsidRPr="00AE013D">
        <w:rPr>
          <w:color w:val="242121"/>
          <w:lang w:val="en-GB"/>
        </w:rPr>
        <w:t xml:space="preserve"> </w:t>
      </w:r>
      <w:r w:rsidRPr="008940C5">
        <w:rPr>
          <w:color w:val="242121"/>
          <w:sz w:val="28"/>
          <w:szCs w:val="28"/>
          <w:lang w:val="en-GB"/>
        </w:rPr>
        <w:t>impecunious </w:t>
      </w:r>
      <w:r w:rsidRPr="008940C5">
        <w:rPr>
          <w:i/>
          <w:iCs/>
          <w:color w:val="242121"/>
          <w:sz w:val="28"/>
          <w:szCs w:val="28"/>
          <w:lang w:val="en-GB"/>
        </w:rPr>
        <w:t>incola</w:t>
      </w:r>
      <w:r w:rsidRPr="008940C5">
        <w:rPr>
          <w:color w:val="242121"/>
          <w:sz w:val="28"/>
          <w:szCs w:val="28"/>
          <w:lang w:val="en-GB"/>
        </w:rPr>
        <w:t> company can be required to give security for the costs of proceedings instituted by it, was left unresolved. The object of s13 was to protect persons against liability for costs in regard to any action instituted by bankrupt companies.</w:t>
      </w:r>
      <w:r>
        <w:rPr>
          <w:rStyle w:val="FootnoteReference"/>
          <w:color w:val="242121"/>
          <w:sz w:val="28"/>
          <w:szCs w:val="28"/>
          <w:lang w:val="en-GB"/>
        </w:rPr>
        <w:footnoteReference w:id="5"/>
      </w:r>
      <w:r w:rsidRPr="008940C5">
        <w:rPr>
          <w:color w:val="242121"/>
          <w:sz w:val="28"/>
          <w:szCs w:val="28"/>
        </w:rPr>
        <w:t> </w:t>
      </w:r>
      <w:r w:rsidRPr="008940C5">
        <w:rPr>
          <w:color w:val="242121"/>
          <w:sz w:val="28"/>
          <w:szCs w:val="28"/>
          <w:lang w:val="en-GB"/>
        </w:rPr>
        <w:t>Its main purpose was to ensure that companies, who were unlikely to be able to pay costs and therefore not effectively at risk of an adverse costs order if unsuccessful, did not institute litigation in circumstances where they had no prospects of success thus causing their opponents unnecessary and irrecoverable expenses. As is apparent from s13, if a company ordered to provide security for costs was unable to do so, it could have been prevented from proceeding with its action. The section, like its predecessor</w:t>
      </w:r>
      <w:r w:rsidRPr="008940C5">
        <w:rPr>
          <w:color w:val="242121"/>
          <w:sz w:val="28"/>
          <w:szCs w:val="28"/>
        </w:rPr>
        <w:t> </w:t>
      </w:r>
      <w:r w:rsidRPr="008940C5">
        <w:rPr>
          <w:color w:val="242121"/>
          <w:sz w:val="28"/>
          <w:szCs w:val="28"/>
          <w:lang w:val="en-GB"/>
        </w:rPr>
        <w:t>s 216 of the 1926 Act,</w:t>
      </w:r>
      <w:r w:rsidRPr="008940C5">
        <w:rPr>
          <w:color w:val="242121"/>
          <w:sz w:val="28"/>
          <w:szCs w:val="28"/>
        </w:rPr>
        <w:t> </w:t>
      </w:r>
      <w:r w:rsidRPr="008940C5">
        <w:rPr>
          <w:color w:val="242121"/>
          <w:sz w:val="28"/>
          <w:szCs w:val="28"/>
          <w:lang w:val="en-GB"/>
        </w:rPr>
        <w:t xml:space="preserve">vested a court with a discretion to order a company that had </w:t>
      </w:r>
      <w:r w:rsidRPr="008940C5">
        <w:rPr>
          <w:color w:val="242121"/>
          <w:sz w:val="28"/>
          <w:szCs w:val="28"/>
          <w:lang w:val="en-GB"/>
        </w:rPr>
        <w:lastRenderedPageBreak/>
        <w:t>instituted an action to furnish security for costs if there was reason to believe that it would be unable to pay the costs of its opponent.</w:t>
      </w:r>
    </w:p>
    <w:p w14:paraId="171D9D81" w14:textId="77777777" w:rsidR="0014483C" w:rsidRPr="0014483C" w:rsidRDefault="00CC77D6" w:rsidP="00A03D05">
      <w:pPr>
        <w:pStyle w:val="NormalWeb"/>
        <w:shd w:val="clear" w:color="auto" w:fill="FFFFFF"/>
        <w:spacing w:before="144" w:beforeAutospacing="0" w:after="288" w:afterAutospacing="0" w:line="360" w:lineRule="auto"/>
        <w:ind w:left="720" w:hanging="720"/>
        <w:jc w:val="both"/>
        <w:rPr>
          <w:rFonts w:ascii="Verdana" w:hAnsi="Verdana"/>
          <w:color w:val="242121"/>
          <w:sz w:val="28"/>
          <w:szCs w:val="28"/>
        </w:rPr>
      </w:pPr>
      <w:bookmarkStart w:id="1" w:name="0-0-0-29703"/>
      <w:bookmarkStart w:id="2" w:name="0-0-0-29707"/>
      <w:bookmarkStart w:id="3" w:name="0-0-0-29711"/>
      <w:bookmarkStart w:id="4" w:name="0-0-0-29715"/>
      <w:bookmarkStart w:id="5" w:name="0-0-0-29719"/>
      <w:bookmarkEnd w:id="1"/>
      <w:bookmarkEnd w:id="2"/>
      <w:bookmarkEnd w:id="3"/>
      <w:bookmarkEnd w:id="4"/>
      <w:bookmarkEnd w:id="5"/>
      <w:r w:rsidRPr="008940C5">
        <w:rPr>
          <w:color w:val="242121"/>
          <w:sz w:val="28"/>
          <w:szCs w:val="28"/>
          <w:lang w:val="en-GB"/>
        </w:rPr>
        <w:t xml:space="preserve">[10] </w:t>
      </w:r>
      <w:r w:rsidR="003B058F">
        <w:rPr>
          <w:color w:val="242121"/>
          <w:sz w:val="28"/>
          <w:szCs w:val="28"/>
          <w:lang w:val="en-GB"/>
        </w:rPr>
        <w:tab/>
      </w:r>
      <w:r w:rsidRPr="008940C5">
        <w:rPr>
          <w:color w:val="242121"/>
          <w:sz w:val="28"/>
          <w:szCs w:val="28"/>
          <w:lang w:val="en-GB"/>
        </w:rPr>
        <w:t>The phrase 'if it appears that there is reason to believe' in s 13 placed a much lighter burden of proof on an applicant for security.</w:t>
      </w:r>
      <w:r>
        <w:rPr>
          <w:rStyle w:val="FootnoteReference"/>
          <w:color w:val="242121"/>
          <w:sz w:val="28"/>
          <w:szCs w:val="28"/>
          <w:lang w:val="en-GB"/>
        </w:rPr>
        <w:footnoteReference w:id="6"/>
      </w:r>
      <w:r w:rsidRPr="008940C5">
        <w:rPr>
          <w:color w:val="242121"/>
          <w:sz w:val="28"/>
          <w:szCs w:val="28"/>
        </w:rPr>
        <w:t> </w:t>
      </w:r>
      <w:r w:rsidRPr="008940C5">
        <w:rPr>
          <w:color w:val="242121"/>
          <w:sz w:val="28"/>
          <w:szCs w:val="28"/>
          <w:lang w:val="en-GB"/>
        </w:rPr>
        <w:t xml:space="preserve">In terms of s 13, a </w:t>
      </w:r>
      <w:r w:rsidR="003B058F" w:rsidRPr="008940C5">
        <w:rPr>
          <w:color w:val="242121"/>
          <w:sz w:val="28"/>
          <w:szCs w:val="28"/>
          <w:lang w:val="en-GB"/>
        </w:rPr>
        <w:t>two-stage</w:t>
      </w:r>
      <w:r w:rsidRPr="008940C5">
        <w:rPr>
          <w:color w:val="242121"/>
          <w:sz w:val="28"/>
          <w:szCs w:val="28"/>
          <w:lang w:val="en-GB"/>
        </w:rPr>
        <w:t xml:space="preserve"> enquiry was required. At the initial stage, and in order to discharge the onus, the applicant for security had to adduce facts on which the court could conclude that there was reason to believe that the plaintiff would be unable to satisfy an adverse costs order. If the court could not come to such a conclusion that was the end of the matter and the application was bound to be refused. However, if the court was satisfied that a case had been made out, it had, at the second stage, to decide, in the exercise of its discretion, whether or not to order the company to furnish security. (</w:t>
      </w:r>
      <w:r w:rsidRPr="004D3C60">
        <w:rPr>
          <w:color w:val="242121"/>
          <w:sz w:val="28"/>
          <w:szCs w:val="28"/>
          <w:lang w:val="en-GB"/>
        </w:rPr>
        <w:t>See</w:t>
      </w:r>
      <w:r w:rsidRPr="004D3C60">
        <w:rPr>
          <w:color w:val="242121"/>
          <w:sz w:val="28"/>
          <w:szCs w:val="28"/>
        </w:rPr>
        <w:t xml:space="preserve"> MTN Service Provider (Pty) Ltd v Afro Call (Pty) </w:t>
      </w:r>
      <w:r w:rsidRPr="004D3C60">
        <w:rPr>
          <w:color w:val="000000" w:themeColor="text1"/>
          <w:sz w:val="28"/>
          <w:szCs w:val="28"/>
        </w:rPr>
        <w:t>Ltd </w:t>
      </w:r>
      <w:hyperlink r:id="rId13" w:tooltip="View LawCiteRecord" w:history="1">
        <w:r w:rsidRPr="004D3C60">
          <w:rPr>
            <w:rStyle w:val="Hyperlink"/>
            <w:color w:val="000000" w:themeColor="text1"/>
            <w:sz w:val="28"/>
            <w:szCs w:val="28"/>
            <w:u w:val="none"/>
          </w:rPr>
          <w:t>2007 (6) SA 620</w:t>
        </w:r>
      </w:hyperlink>
      <w:r w:rsidRPr="004D3C60">
        <w:rPr>
          <w:color w:val="242121"/>
          <w:sz w:val="28"/>
          <w:szCs w:val="28"/>
        </w:rPr>
        <w:t> (SCA) </w:t>
      </w:r>
      <w:r w:rsidRPr="004D3C60">
        <w:rPr>
          <w:color w:val="242121"/>
          <w:sz w:val="28"/>
          <w:szCs w:val="28"/>
          <w:lang w:val="en-GB"/>
        </w:rPr>
        <w:t>at 622H</w:t>
      </w:r>
      <w:r w:rsidR="003A4B67" w:rsidRPr="004D3C60">
        <w:rPr>
          <w:color w:val="242121"/>
          <w:sz w:val="28"/>
          <w:szCs w:val="28"/>
          <w:lang w:val="en-GB"/>
        </w:rPr>
        <w:t>).</w:t>
      </w:r>
      <w:r w:rsidR="00B3798F">
        <w:rPr>
          <w:color w:val="242121"/>
          <w:sz w:val="28"/>
          <w:szCs w:val="28"/>
          <w:lang w:val="en-GB"/>
        </w:rPr>
        <w:t>”</w:t>
      </w:r>
      <w:r w:rsidR="004862D6">
        <w:rPr>
          <w:color w:val="242121"/>
          <w:sz w:val="28"/>
          <w:szCs w:val="28"/>
          <w:lang w:val="en-GB"/>
        </w:rPr>
        <w:t xml:space="preserve"> The passages quoted </w:t>
      </w:r>
      <w:r w:rsidR="00DB372D">
        <w:rPr>
          <w:color w:val="242121"/>
          <w:sz w:val="28"/>
          <w:szCs w:val="28"/>
          <w:lang w:val="en-GB"/>
        </w:rPr>
        <w:t>restate the history behind the need to order security for costs in appropriate circumstances.</w:t>
      </w:r>
    </w:p>
    <w:p w14:paraId="6630226C" w14:textId="77777777" w:rsidR="0014483C" w:rsidRPr="0014483C" w:rsidRDefault="00CC77D6" w:rsidP="00A03D05">
      <w:pPr>
        <w:spacing w:after="0" w:line="360" w:lineRule="auto"/>
        <w:ind w:left="720" w:hanging="720"/>
        <w:jc w:val="both"/>
        <w:rPr>
          <w:rFonts w:ascii="Times New Roman" w:eastAsia="Times New Roman" w:hAnsi="Times New Roman" w:cs="Times New Roman"/>
          <w:color w:val="000000"/>
          <w:sz w:val="28"/>
          <w:szCs w:val="28"/>
          <w:lang w:eastAsia="en-ZA"/>
        </w:rPr>
      </w:pPr>
      <w:r w:rsidRPr="0014483C">
        <w:rPr>
          <w:rFonts w:ascii="Times New Roman" w:eastAsia="Times New Roman" w:hAnsi="Times New Roman" w:cs="Times New Roman"/>
          <w:sz w:val="28"/>
          <w:szCs w:val="28"/>
        </w:rPr>
        <w:t>[1</w:t>
      </w:r>
      <w:r w:rsidR="00B3798F">
        <w:rPr>
          <w:rFonts w:ascii="Times New Roman" w:eastAsia="Times New Roman" w:hAnsi="Times New Roman" w:cs="Times New Roman"/>
          <w:sz w:val="28"/>
          <w:szCs w:val="28"/>
        </w:rPr>
        <w:t>3</w:t>
      </w:r>
      <w:r w:rsidRPr="0014483C">
        <w:rPr>
          <w:rFonts w:ascii="Times New Roman" w:eastAsia="Times New Roman" w:hAnsi="Times New Roman" w:cs="Times New Roman"/>
          <w:sz w:val="28"/>
          <w:szCs w:val="28"/>
        </w:rPr>
        <w:t>]</w:t>
      </w:r>
      <w:r w:rsidRPr="0014483C">
        <w:rPr>
          <w:rFonts w:ascii="Times New Roman" w:eastAsia="Times New Roman" w:hAnsi="Times New Roman" w:cs="Times New Roman"/>
          <w:sz w:val="24"/>
          <w:szCs w:val="20"/>
        </w:rPr>
        <w:t xml:space="preserve"> </w:t>
      </w:r>
      <w:r w:rsidR="003B058F">
        <w:rPr>
          <w:rFonts w:ascii="Times New Roman" w:eastAsia="Times New Roman" w:hAnsi="Times New Roman" w:cs="Times New Roman"/>
          <w:sz w:val="24"/>
          <w:szCs w:val="20"/>
        </w:rPr>
        <w:tab/>
      </w:r>
      <w:r w:rsidRPr="0014483C">
        <w:rPr>
          <w:rFonts w:ascii="Times New Roman" w:eastAsia="Times New Roman" w:hAnsi="Times New Roman" w:cs="Times New Roman"/>
          <w:sz w:val="28"/>
          <w:szCs w:val="28"/>
        </w:rPr>
        <w:t>Whether or not security for costs should be ordered by court depends on the facts of each case and in the discretion of Court.</w:t>
      </w:r>
      <w:r>
        <w:rPr>
          <w:rFonts w:ascii="Times New Roman" w:eastAsia="Times New Roman" w:hAnsi="Times New Roman" w:cs="Times New Roman"/>
          <w:sz w:val="28"/>
          <w:szCs w:val="28"/>
          <w:vertAlign w:val="superscript"/>
        </w:rPr>
        <w:footnoteReference w:id="7"/>
      </w:r>
      <w:r w:rsidRPr="0014483C">
        <w:rPr>
          <w:rFonts w:ascii="Times New Roman" w:eastAsia="Times New Roman" w:hAnsi="Times New Roman" w:cs="Times New Roman"/>
          <w:color w:val="000000"/>
          <w:sz w:val="28"/>
          <w:szCs w:val="28"/>
          <w:lang w:eastAsia="en-ZA"/>
        </w:rPr>
        <w:t xml:space="preserve"> The Court has inherent jurisdiction to order a litigant to give security for the costs of the other side when it is satisfied that the litigation is vexatious.</w:t>
      </w:r>
      <w:r>
        <w:rPr>
          <w:rFonts w:ascii="Times New Roman" w:eastAsia="Times New Roman" w:hAnsi="Times New Roman" w:cs="Times New Roman"/>
          <w:color w:val="000000"/>
          <w:sz w:val="28"/>
          <w:szCs w:val="28"/>
          <w:vertAlign w:val="superscript"/>
          <w:lang w:eastAsia="en-ZA"/>
        </w:rPr>
        <w:footnoteReference w:id="8"/>
      </w:r>
      <w:r w:rsidRPr="0014483C">
        <w:rPr>
          <w:rFonts w:ascii="Times New Roman" w:eastAsia="Times New Roman" w:hAnsi="Times New Roman" w:cs="Times New Roman"/>
          <w:color w:val="000000"/>
          <w:sz w:val="28"/>
          <w:szCs w:val="28"/>
          <w:lang w:eastAsia="en-ZA"/>
        </w:rPr>
        <w:t> </w:t>
      </w:r>
      <w:bookmarkStart w:id="6" w:name="0-0-0-14327"/>
      <w:bookmarkEnd w:id="6"/>
      <w:r w:rsidRPr="0014483C">
        <w:rPr>
          <w:rFonts w:ascii="Times New Roman" w:eastAsia="Times New Roman" w:hAnsi="Times New Roman" w:cs="Times New Roman"/>
          <w:color w:val="000000"/>
          <w:sz w:val="28"/>
          <w:szCs w:val="28"/>
          <w:lang w:eastAsia="en-ZA"/>
        </w:rPr>
        <w:t xml:space="preserve"> Thus, Curlewis CJ (four other judges concurring) in the Appellate Division said the following:</w:t>
      </w:r>
    </w:p>
    <w:p w14:paraId="5FA56ACA" w14:textId="308DE4C7" w:rsidR="0014483C" w:rsidRPr="0014483C" w:rsidRDefault="00CC77D6" w:rsidP="00D73B45">
      <w:pPr>
        <w:spacing w:after="0" w:line="360" w:lineRule="auto"/>
        <w:ind w:left="1440"/>
        <w:jc w:val="both"/>
        <w:rPr>
          <w:rFonts w:ascii="Times New Roman" w:eastAsia="Times New Roman" w:hAnsi="Times New Roman" w:cs="Times New Roman"/>
          <w:color w:val="000000"/>
          <w:sz w:val="28"/>
          <w:szCs w:val="28"/>
          <w:lang w:eastAsia="en-ZA"/>
        </w:rPr>
      </w:pPr>
      <w:r w:rsidRPr="0014483C">
        <w:rPr>
          <w:rFonts w:ascii="Times New Roman" w:eastAsia="Times New Roman" w:hAnsi="Times New Roman" w:cs="Times New Roman"/>
          <w:color w:val="000000"/>
          <w:sz w:val="28"/>
          <w:szCs w:val="28"/>
          <w:lang w:eastAsia="en-ZA"/>
        </w:rPr>
        <w:t>“In </w:t>
      </w:r>
      <w:r w:rsidRPr="0014483C">
        <w:rPr>
          <w:rFonts w:ascii="Times New Roman" w:eastAsia="Times New Roman" w:hAnsi="Times New Roman" w:cs="Times New Roman"/>
          <w:color w:val="000000"/>
          <w:sz w:val="28"/>
          <w:szCs w:val="28"/>
          <w:u w:val="single"/>
          <w:lang w:eastAsia="en-ZA"/>
        </w:rPr>
        <w:t>Western Assurance Co v Caldwell's Trustee </w:t>
      </w:r>
      <w:hyperlink r:id="rId14" w:tgtFrame="main" w:history="1">
        <w:r w:rsidRPr="0014483C">
          <w:rPr>
            <w:rFonts w:ascii="Times New Roman" w:eastAsia="Times New Roman" w:hAnsi="Times New Roman" w:cs="Times New Roman"/>
            <w:sz w:val="28"/>
            <w:szCs w:val="28"/>
            <w:u w:val="single"/>
            <w:lang w:eastAsia="en-ZA"/>
          </w:rPr>
          <w:t>1918 AD 262</w:t>
        </w:r>
      </w:hyperlink>
      <w:r w:rsidRPr="0014483C">
        <w:rPr>
          <w:rFonts w:ascii="Times New Roman" w:eastAsia="Times New Roman" w:hAnsi="Times New Roman" w:cs="Times New Roman"/>
          <w:sz w:val="28"/>
          <w:szCs w:val="28"/>
          <w:lang w:eastAsia="en-ZA"/>
        </w:rPr>
        <w:t> </w:t>
      </w:r>
      <w:r w:rsidRPr="0014483C">
        <w:rPr>
          <w:rFonts w:ascii="Times New Roman" w:eastAsia="Times New Roman" w:hAnsi="Times New Roman" w:cs="Times New Roman"/>
          <w:color w:val="000000"/>
          <w:sz w:val="28"/>
          <w:szCs w:val="28"/>
          <w:lang w:eastAsia="en-ZA"/>
        </w:rPr>
        <w:t>this Court laid down that a Court of law had inherent jurisdiction to stop or prevent a vexatious action as being an abuse of the process of the Court; one of the ways of doing so is by ordering the vexatious litigant to give security for the costs of the other side,  </w:t>
      </w:r>
      <w:bookmarkStart w:id="7" w:name="0-0-0-14333"/>
      <w:bookmarkEnd w:id="7"/>
      <w:r w:rsidRPr="0014483C">
        <w:rPr>
          <w:rFonts w:ascii="Times New Roman" w:eastAsia="Times New Roman" w:hAnsi="Times New Roman" w:cs="Times New Roman"/>
          <w:color w:val="000000"/>
          <w:sz w:val="28"/>
          <w:szCs w:val="28"/>
          <w:lang w:eastAsia="en-ZA"/>
        </w:rPr>
        <w:t>and </w:t>
      </w:r>
      <w:hyperlink r:id="rId15" w:tgtFrame="main" w:history="1">
        <w:r w:rsidRPr="0014483C">
          <w:rPr>
            <w:rFonts w:ascii="Times New Roman" w:eastAsia="Times New Roman" w:hAnsi="Times New Roman" w:cs="Times New Roman"/>
            <w:color w:val="000000"/>
            <w:sz w:val="28"/>
            <w:szCs w:val="28"/>
            <w:lang w:eastAsia="en-ZA"/>
          </w:rPr>
          <w:t>I</w:t>
        </w:r>
      </w:hyperlink>
      <w:r w:rsidRPr="0014483C">
        <w:rPr>
          <w:rFonts w:ascii="Times New Roman" w:eastAsia="Times New Roman" w:hAnsi="Times New Roman" w:cs="Times New Roman"/>
          <w:color w:val="000000"/>
          <w:sz w:val="28"/>
          <w:szCs w:val="28"/>
          <w:lang w:eastAsia="en-ZA"/>
        </w:rPr>
        <w:t xml:space="preserve"> know of </w:t>
      </w:r>
      <w:r w:rsidRPr="0014483C">
        <w:rPr>
          <w:rFonts w:ascii="Times New Roman" w:eastAsia="Times New Roman" w:hAnsi="Times New Roman" w:cs="Times New Roman"/>
          <w:color w:val="000000"/>
          <w:sz w:val="28"/>
          <w:szCs w:val="28"/>
          <w:lang w:eastAsia="en-ZA"/>
        </w:rPr>
        <w:lastRenderedPageBreak/>
        <w:t>no reason why the court below should not have, and exercise, such an inherent jurisdiction.’’</w:t>
      </w:r>
      <w:r>
        <w:rPr>
          <w:rFonts w:ascii="Times New Roman" w:eastAsia="Times New Roman" w:hAnsi="Times New Roman" w:cs="Times New Roman"/>
          <w:color w:val="000000"/>
          <w:sz w:val="28"/>
          <w:szCs w:val="28"/>
          <w:vertAlign w:val="superscript"/>
          <w:lang w:eastAsia="en-ZA"/>
        </w:rPr>
        <w:footnoteReference w:id="9"/>
      </w:r>
      <w:r w:rsidRPr="0014483C">
        <w:rPr>
          <w:rFonts w:ascii="Times New Roman" w:eastAsia="Times New Roman" w:hAnsi="Times New Roman" w:cs="Times New Roman"/>
          <w:color w:val="000000"/>
          <w:sz w:val="28"/>
          <w:szCs w:val="28"/>
          <w:lang w:eastAsia="en-ZA"/>
        </w:rPr>
        <w:t> </w:t>
      </w:r>
      <w:bookmarkStart w:id="8" w:name="0-0-0-14337"/>
      <w:bookmarkEnd w:id="8"/>
    </w:p>
    <w:p w14:paraId="67FEB440" w14:textId="77777777" w:rsidR="0014483C" w:rsidRPr="0014483C" w:rsidRDefault="0014483C" w:rsidP="00A03D05">
      <w:pPr>
        <w:spacing w:after="0" w:line="360" w:lineRule="auto"/>
        <w:jc w:val="both"/>
        <w:rPr>
          <w:rFonts w:ascii="Times New Roman" w:eastAsia="Times New Roman" w:hAnsi="Times New Roman" w:cs="Times New Roman"/>
          <w:color w:val="000000"/>
          <w:sz w:val="28"/>
          <w:szCs w:val="28"/>
          <w:lang w:eastAsia="en-ZA"/>
        </w:rPr>
      </w:pPr>
    </w:p>
    <w:p w14:paraId="3155F888" w14:textId="5D963037" w:rsidR="0014483C" w:rsidRDefault="00CC77D6" w:rsidP="00A03D05">
      <w:pPr>
        <w:spacing w:after="0" w:line="360" w:lineRule="auto"/>
        <w:ind w:left="720" w:hanging="720"/>
        <w:jc w:val="both"/>
        <w:rPr>
          <w:rFonts w:ascii="Times New Roman" w:eastAsia="Times New Roman" w:hAnsi="Times New Roman" w:cs="Times New Roman"/>
          <w:color w:val="000000"/>
          <w:sz w:val="28"/>
          <w:szCs w:val="28"/>
          <w:u w:val="single"/>
          <w:lang w:val="en-GB" w:eastAsia="en-ZA"/>
        </w:rPr>
      </w:pPr>
      <w:r w:rsidRPr="0014483C">
        <w:rPr>
          <w:rFonts w:ascii="Times New Roman" w:eastAsia="Times New Roman" w:hAnsi="Times New Roman" w:cs="Times New Roman"/>
          <w:color w:val="000000"/>
          <w:sz w:val="28"/>
          <w:szCs w:val="28"/>
          <w:lang w:eastAsia="en-ZA"/>
        </w:rPr>
        <w:t>[1</w:t>
      </w:r>
      <w:r w:rsidR="00B3798F">
        <w:rPr>
          <w:rFonts w:ascii="Times New Roman" w:eastAsia="Times New Roman" w:hAnsi="Times New Roman" w:cs="Times New Roman"/>
          <w:color w:val="000000"/>
          <w:sz w:val="28"/>
          <w:szCs w:val="28"/>
          <w:lang w:eastAsia="en-ZA"/>
        </w:rPr>
        <w:t>4</w:t>
      </w:r>
      <w:r w:rsidRPr="0014483C">
        <w:rPr>
          <w:rFonts w:ascii="Times New Roman" w:eastAsia="Times New Roman" w:hAnsi="Times New Roman" w:cs="Times New Roman"/>
          <w:color w:val="000000"/>
          <w:sz w:val="28"/>
          <w:szCs w:val="28"/>
          <w:lang w:eastAsia="en-ZA"/>
        </w:rPr>
        <w:t xml:space="preserve">]   </w:t>
      </w:r>
      <w:r w:rsidR="003B058F">
        <w:rPr>
          <w:rFonts w:ascii="Times New Roman" w:eastAsia="Times New Roman" w:hAnsi="Times New Roman" w:cs="Times New Roman"/>
          <w:color w:val="000000"/>
          <w:sz w:val="28"/>
          <w:szCs w:val="28"/>
          <w:lang w:eastAsia="en-ZA"/>
        </w:rPr>
        <w:tab/>
      </w:r>
      <w:r w:rsidRPr="0014483C">
        <w:rPr>
          <w:rFonts w:ascii="Times New Roman" w:eastAsia="Times New Roman" w:hAnsi="Times New Roman" w:cs="Times New Roman"/>
          <w:color w:val="000000"/>
          <w:sz w:val="28"/>
          <w:szCs w:val="28"/>
          <w:lang w:eastAsia="en-ZA"/>
        </w:rPr>
        <w:t xml:space="preserve">The power of the </w:t>
      </w:r>
      <w:r w:rsidR="000F3DED" w:rsidRPr="000F3DED">
        <w:rPr>
          <w:rFonts w:ascii="Times New Roman" w:eastAsia="Times New Roman" w:hAnsi="Times New Roman" w:cs="Times New Roman"/>
          <w:sz w:val="28"/>
          <w:szCs w:val="28"/>
          <w:lang w:eastAsia="en-ZA"/>
        </w:rPr>
        <w:t>C</w:t>
      </w:r>
      <w:r w:rsidRPr="0014483C">
        <w:rPr>
          <w:rFonts w:ascii="Times New Roman" w:eastAsia="Times New Roman" w:hAnsi="Times New Roman" w:cs="Times New Roman"/>
          <w:color w:val="000000"/>
          <w:sz w:val="28"/>
          <w:szCs w:val="28"/>
          <w:lang w:eastAsia="en-ZA"/>
        </w:rPr>
        <w:t>ourt to order security for costs on the basis of vexatiousness is, however, exercised sparingly and only in exceptional circumstances.</w:t>
      </w:r>
      <w:r>
        <w:rPr>
          <w:rFonts w:ascii="Times New Roman" w:eastAsia="Times New Roman" w:hAnsi="Times New Roman" w:cs="Times New Roman"/>
          <w:color w:val="000000"/>
          <w:sz w:val="28"/>
          <w:szCs w:val="28"/>
          <w:vertAlign w:val="superscript"/>
          <w:lang w:eastAsia="en-ZA"/>
        </w:rPr>
        <w:footnoteReference w:id="10"/>
      </w:r>
      <w:r w:rsidRPr="0014483C">
        <w:rPr>
          <w:rFonts w:ascii="Times New Roman" w:eastAsia="Times New Roman" w:hAnsi="Times New Roman" w:cs="Times New Roman"/>
          <w:color w:val="000000"/>
          <w:sz w:val="28"/>
          <w:szCs w:val="28"/>
          <w:lang w:eastAsia="en-ZA"/>
        </w:rPr>
        <w:t> </w:t>
      </w:r>
      <w:bookmarkStart w:id="9" w:name="0-0-0-14341"/>
      <w:bookmarkEnd w:id="9"/>
      <w:r w:rsidRPr="0014483C">
        <w:rPr>
          <w:rFonts w:ascii="Times New Roman" w:eastAsia="Times New Roman" w:hAnsi="Times New Roman" w:cs="Times New Roman"/>
          <w:color w:val="000000"/>
          <w:sz w:val="28"/>
          <w:szCs w:val="28"/>
          <w:lang w:eastAsia="en-ZA"/>
        </w:rPr>
        <w:t xml:space="preserve"> In </w:t>
      </w:r>
      <w:r w:rsidRPr="0014483C">
        <w:rPr>
          <w:rFonts w:ascii="Times New Roman" w:eastAsia="Times New Roman" w:hAnsi="Times New Roman" w:cs="Times New Roman"/>
          <w:color w:val="000000"/>
          <w:sz w:val="28"/>
          <w:szCs w:val="28"/>
          <w:u w:val="single"/>
          <w:lang w:val="en-GB" w:eastAsia="en-ZA"/>
        </w:rPr>
        <w:t>Fusion Properties 233 CC v Stellenbosch Municipality</w:t>
      </w:r>
      <w:r>
        <w:rPr>
          <w:rStyle w:val="FootnoteReference"/>
          <w:rFonts w:ascii="Times New Roman" w:eastAsia="Times New Roman" w:hAnsi="Times New Roman" w:cs="Times New Roman"/>
          <w:color w:val="000000"/>
          <w:sz w:val="28"/>
          <w:szCs w:val="28"/>
          <w:lang w:val="en-GB" w:eastAsia="en-ZA"/>
        </w:rPr>
        <w:footnoteReference w:id="11"/>
      </w:r>
      <w:r w:rsidR="00A03CB8" w:rsidRPr="00A03CB8">
        <w:rPr>
          <w:rFonts w:ascii="Times New Roman" w:eastAsia="Times New Roman" w:hAnsi="Times New Roman" w:cs="Times New Roman"/>
          <w:color w:val="000000"/>
          <w:sz w:val="28"/>
          <w:szCs w:val="28"/>
          <w:lang w:val="en-GB" w:eastAsia="en-ZA"/>
        </w:rPr>
        <w:t xml:space="preserve"> it</w:t>
      </w:r>
      <w:r w:rsidR="00A03CB8" w:rsidRPr="002A7DA3">
        <w:rPr>
          <w:rFonts w:ascii="Times New Roman" w:eastAsia="Times New Roman" w:hAnsi="Times New Roman" w:cs="Times New Roman"/>
          <w:color w:val="000000"/>
          <w:sz w:val="28"/>
          <w:szCs w:val="28"/>
          <w:lang w:val="en-GB" w:eastAsia="en-ZA"/>
        </w:rPr>
        <w:t xml:space="preserve"> </w:t>
      </w:r>
      <w:r w:rsidR="00A03CB8" w:rsidRPr="00A03CB8">
        <w:rPr>
          <w:rFonts w:ascii="Times New Roman" w:eastAsia="Times New Roman" w:hAnsi="Times New Roman" w:cs="Times New Roman"/>
          <w:color w:val="000000"/>
          <w:sz w:val="28"/>
          <w:szCs w:val="28"/>
          <w:lang w:val="en-GB" w:eastAsia="en-ZA"/>
        </w:rPr>
        <w:t>was held that:</w:t>
      </w:r>
    </w:p>
    <w:p w14:paraId="4A2C47DB" w14:textId="77777777" w:rsidR="00A03CB8" w:rsidRPr="00DB372D" w:rsidRDefault="00CC77D6" w:rsidP="00A03D05">
      <w:pPr>
        <w:pStyle w:val="NormalWeb"/>
        <w:shd w:val="clear" w:color="auto" w:fill="FFFFFF"/>
        <w:spacing w:before="144" w:beforeAutospacing="0" w:after="0" w:afterAutospacing="0" w:line="360" w:lineRule="auto"/>
        <w:ind w:left="720"/>
        <w:jc w:val="both"/>
        <w:rPr>
          <w:color w:val="242121"/>
          <w:sz w:val="28"/>
          <w:szCs w:val="28"/>
        </w:rPr>
      </w:pPr>
      <w:r>
        <w:rPr>
          <w:rFonts w:ascii="Verdana" w:hAnsi="Verdana"/>
          <w:color w:val="242121"/>
        </w:rPr>
        <w:t>“</w:t>
      </w:r>
      <w:r w:rsidRPr="00DB372D">
        <w:rPr>
          <w:color w:val="242121"/>
          <w:sz w:val="28"/>
          <w:szCs w:val="28"/>
        </w:rPr>
        <w:t>As already mentioned, that Fusion has no assets whatsoever and indeed is impecunious, is uncontentious in these proceedings. And this is precisely what prompted the municipality to demand security for costs from Fusion by invoking </w:t>
      </w:r>
      <w:hyperlink r:id="rId16" w:anchor="s8" w:history="1">
        <w:r w:rsidRPr="00DB372D">
          <w:rPr>
            <w:rStyle w:val="Hyperlink"/>
            <w:color w:val="0B4B0B"/>
            <w:sz w:val="28"/>
            <w:szCs w:val="28"/>
            <w:u w:val="none"/>
          </w:rPr>
          <w:t>s 8</w:t>
        </w:r>
      </w:hyperlink>
      <w:r w:rsidRPr="00DB372D">
        <w:rPr>
          <w:color w:val="242121"/>
          <w:sz w:val="28"/>
          <w:szCs w:val="28"/>
        </w:rPr>
        <w:t> of the </w:t>
      </w:r>
      <w:hyperlink r:id="rId17" w:history="1">
        <w:r w:rsidRPr="00DB372D">
          <w:rPr>
            <w:rStyle w:val="Hyperlink"/>
            <w:color w:val="0B4B0B"/>
            <w:sz w:val="28"/>
            <w:szCs w:val="28"/>
            <w:u w:val="none"/>
          </w:rPr>
          <w:t>Close Corporations Act. Section</w:t>
        </w:r>
      </w:hyperlink>
      <w:r w:rsidRPr="00DB372D">
        <w:rPr>
          <w:color w:val="242121"/>
          <w:sz w:val="28"/>
          <w:szCs w:val="28"/>
        </w:rPr>
        <w:t> 8 has already been quoted in paragraph 13 above.</w:t>
      </w:r>
    </w:p>
    <w:p w14:paraId="1FCD7D38" w14:textId="77777777" w:rsidR="00A03CB8" w:rsidRPr="00DB372D" w:rsidRDefault="00CC77D6" w:rsidP="00A03D05">
      <w:pPr>
        <w:pStyle w:val="NormalWeb"/>
        <w:shd w:val="clear" w:color="auto" w:fill="FFFFFF"/>
        <w:spacing w:before="144" w:beforeAutospacing="0" w:after="0" w:afterAutospacing="0" w:line="360" w:lineRule="auto"/>
        <w:ind w:left="720"/>
        <w:jc w:val="both"/>
        <w:rPr>
          <w:color w:val="242121"/>
          <w:sz w:val="28"/>
          <w:szCs w:val="28"/>
        </w:rPr>
      </w:pPr>
      <w:r w:rsidRPr="00DB372D">
        <w:rPr>
          <w:color w:val="242121"/>
          <w:sz w:val="28"/>
          <w:szCs w:val="28"/>
        </w:rPr>
        <w:t>[20]   The procedure for security and the powers of the court are regulated by Uniform </w:t>
      </w:r>
      <w:hyperlink r:id="rId18" w:anchor="s47" w:history="1">
        <w:r w:rsidRPr="00DB372D">
          <w:rPr>
            <w:rStyle w:val="Hyperlink"/>
            <w:color w:val="0B4B0B"/>
            <w:sz w:val="28"/>
            <w:szCs w:val="28"/>
            <w:u w:val="none"/>
          </w:rPr>
          <w:t>rules 47(1)</w:t>
        </w:r>
      </w:hyperlink>
      <w:r w:rsidRPr="00DB372D">
        <w:rPr>
          <w:color w:val="242121"/>
          <w:sz w:val="28"/>
          <w:szCs w:val="28"/>
        </w:rPr>
        <w:t> and </w:t>
      </w:r>
      <w:hyperlink r:id="rId19" w:anchor="s47" w:history="1">
        <w:r w:rsidRPr="00DB372D">
          <w:rPr>
            <w:rStyle w:val="Hyperlink"/>
            <w:color w:val="0B4B0B"/>
            <w:sz w:val="28"/>
            <w:szCs w:val="28"/>
            <w:u w:val="none"/>
          </w:rPr>
          <w:t>47</w:t>
        </w:r>
      </w:hyperlink>
      <w:r w:rsidRPr="00DB372D">
        <w:rPr>
          <w:color w:val="242121"/>
          <w:sz w:val="28"/>
          <w:szCs w:val="28"/>
        </w:rPr>
        <w:t>(4), which provide:</w:t>
      </w:r>
    </w:p>
    <w:p w14:paraId="29498CF6" w14:textId="77777777" w:rsidR="00A03CB8" w:rsidRPr="00A03D05" w:rsidRDefault="00CC77D6" w:rsidP="00D73B45">
      <w:pPr>
        <w:pStyle w:val="NormalWeb"/>
        <w:shd w:val="clear" w:color="auto" w:fill="FFFFFF"/>
        <w:spacing w:before="144" w:beforeAutospacing="0" w:after="0" w:afterAutospacing="0" w:line="360" w:lineRule="auto"/>
        <w:ind w:left="720" w:firstLine="11"/>
        <w:jc w:val="both"/>
        <w:rPr>
          <w:rFonts w:ascii="Verdana" w:hAnsi="Verdana"/>
          <w:color w:val="242121"/>
          <w:sz w:val="28"/>
          <w:szCs w:val="28"/>
        </w:rPr>
      </w:pPr>
      <w:r w:rsidRPr="00A03D05">
        <w:rPr>
          <w:color w:val="242121"/>
          <w:sz w:val="28"/>
          <w:szCs w:val="28"/>
        </w:rPr>
        <w:t>'(1)   A party entitled and desiring to demand security for costs from another shall, as soon as practicable after the commencement of proceedings, deliver a notice setting forth the grounds upon which such security is claimed, and the amount demanded</w:t>
      </w:r>
      <w:r w:rsidRPr="00A03D05">
        <w:rPr>
          <w:rFonts w:ascii="Verdana" w:hAnsi="Verdana"/>
          <w:color w:val="242121"/>
          <w:sz w:val="28"/>
          <w:szCs w:val="28"/>
        </w:rPr>
        <w:t>.</w:t>
      </w:r>
    </w:p>
    <w:p w14:paraId="05B17504" w14:textId="77777777" w:rsidR="00A03CB8" w:rsidRDefault="00CC77D6" w:rsidP="00A03D05">
      <w:pPr>
        <w:pStyle w:val="NormalWeb"/>
        <w:shd w:val="clear" w:color="auto" w:fill="FFFFFF"/>
        <w:spacing w:before="144" w:beforeAutospacing="0" w:after="0" w:afterAutospacing="0" w:line="360" w:lineRule="auto"/>
        <w:ind w:left="709"/>
        <w:jc w:val="both"/>
        <w:rPr>
          <w:rFonts w:ascii="Verdana" w:hAnsi="Verdana"/>
          <w:color w:val="242121"/>
          <w:sz w:val="27"/>
          <w:szCs w:val="27"/>
        </w:rPr>
      </w:pPr>
      <w:r>
        <w:rPr>
          <w:rFonts w:ascii="Verdana" w:hAnsi="Verdana"/>
          <w:color w:val="242121"/>
        </w:rPr>
        <w:t>. . .</w:t>
      </w:r>
    </w:p>
    <w:p w14:paraId="03E2BE0C" w14:textId="77777777" w:rsidR="00A03CB8" w:rsidRPr="002946B1" w:rsidRDefault="00CC77D6" w:rsidP="00A03D05">
      <w:pPr>
        <w:pStyle w:val="NormalWeb"/>
        <w:shd w:val="clear" w:color="auto" w:fill="FFFFFF"/>
        <w:spacing w:before="144" w:beforeAutospacing="0" w:after="0" w:afterAutospacing="0" w:line="360" w:lineRule="auto"/>
        <w:ind w:left="709"/>
        <w:jc w:val="both"/>
        <w:rPr>
          <w:color w:val="242121"/>
          <w:sz w:val="28"/>
          <w:szCs w:val="28"/>
        </w:rPr>
      </w:pPr>
      <w:r w:rsidRPr="002A7DA3">
        <w:rPr>
          <w:color w:val="242121"/>
          <w:sz w:val="28"/>
          <w:szCs w:val="28"/>
        </w:rPr>
        <w:t>(4)</w:t>
      </w:r>
      <w:r w:rsidRPr="002946B1">
        <w:rPr>
          <w:color w:val="242121"/>
          <w:sz w:val="28"/>
          <w:szCs w:val="28"/>
        </w:rPr>
        <w:t xml:space="preserve">  The court may, if security be not given within a reasonable time, dismiss any proceedings instituted or strike out any pleadings filed by the party in default, or make such other order as to it may seem fit.'</w:t>
      </w:r>
    </w:p>
    <w:p w14:paraId="2CA1908D" w14:textId="77777777" w:rsidR="00A03CB8" w:rsidRPr="002946B1" w:rsidRDefault="00CC77D6" w:rsidP="00A03D05">
      <w:pPr>
        <w:pStyle w:val="NormalWeb"/>
        <w:shd w:val="clear" w:color="auto" w:fill="FFFFFF"/>
        <w:spacing w:before="144" w:beforeAutospacing="0" w:after="0" w:afterAutospacing="0" w:line="360" w:lineRule="auto"/>
        <w:ind w:left="709"/>
        <w:jc w:val="both"/>
        <w:rPr>
          <w:color w:val="242121"/>
          <w:sz w:val="28"/>
          <w:szCs w:val="28"/>
        </w:rPr>
      </w:pPr>
      <w:r w:rsidRPr="002946B1">
        <w:rPr>
          <w:color w:val="242121"/>
          <w:sz w:val="28"/>
          <w:szCs w:val="28"/>
        </w:rPr>
        <w:lastRenderedPageBreak/>
        <w:t>The high court rightly observed that </w:t>
      </w:r>
      <w:hyperlink r:id="rId20" w:anchor="s47" w:history="1">
        <w:r w:rsidRPr="002946B1">
          <w:rPr>
            <w:rStyle w:val="Hyperlink"/>
            <w:color w:val="0B4B0B"/>
            <w:sz w:val="28"/>
            <w:szCs w:val="28"/>
            <w:u w:val="none"/>
          </w:rPr>
          <w:t>rules 47(1)</w:t>
        </w:r>
      </w:hyperlink>
      <w:r w:rsidRPr="002946B1">
        <w:rPr>
          <w:color w:val="242121"/>
          <w:sz w:val="28"/>
          <w:szCs w:val="28"/>
        </w:rPr>
        <w:t> and </w:t>
      </w:r>
      <w:hyperlink r:id="rId21" w:anchor="s47" w:history="1">
        <w:r w:rsidRPr="003D1207">
          <w:rPr>
            <w:rStyle w:val="Hyperlink"/>
            <w:color w:val="000000" w:themeColor="text1"/>
            <w:sz w:val="28"/>
            <w:szCs w:val="28"/>
            <w:u w:val="none"/>
          </w:rPr>
          <w:t>47</w:t>
        </w:r>
      </w:hyperlink>
      <w:r w:rsidRPr="002946B1">
        <w:rPr>
          <w:color w:val="242121"/>
          <w:sz w:val="28"/>
          <w:szCs w:val="28"/>
        </w:rPr>
        <w:t>(4) cater for the procedure to be adopted whenever security for costs is required and do not themselves deal with matters of substance.</w:t>
      </w:r>
      <w:bookmarkStart w:id="10" w:name="_ftnref5"/>
      <w:r>
        <w:rPr>
          <w:rStyle w:val="FootnoteReference"/>
          <w:color w:val="242121"/>
          <w:sz w:val="28"/>
          <w:szCs w:val="28"/>
        </w:rPr>
        <w:footnoteReference w:id="12"/>
      </w:r>
      <w:bookmarkEnd w:id="10"/>
      <w:r w:rsidR="008F7388" w:rsidRPr="002946B1">
        <w:rPr>
          <w:color w:val="242121"/>
          <w:sz w:val="28"/>
          <w:szCs w:val="28"/>
        </w:rPr>
        <w:t xml:space="preserve"> </w:t>
      </w:r>
    </w:p>
    <w:p w14:paraId="4FE2B9D7" w14:textId="77777777" w:rsidR="004902FB" w:rsidRDefault="00CC77D6" w:rsidP="00A03D05">
      <w:pPr>
        <w:pStyle w:val="NormalWeb"/>
        <w:shd w:val="clear" w:color="auto" w:fill="FFFFFF"/>
        <w:spacing w:before="144" w:beforeAutospacing="0" w:after="0" w:afterAutospacing="0" w:line="360" w:lineRule="auto"/>
        <w:ind w:left="709"/>
        <w:jc w:val="both"/>
        <w:rPr>
          <w:color w:val="242121"/>
        </w:rPr>
      </w:pPr>
      <w:r w:rsidRPr="000E11A2">
        <w:rPr>
          <w:color w:val="242121"/>
          <w:sz w:val="28"/>
          <w:szCs w:val="28"/>
        </w:rPr>
        <w:t>[21]   </w:t>
      </w:r>
      <w:hyperlink r:id="rId22" w:anchor="s8" w:history="1">
        <w:r w:rsidRPr="000E11A2">
          <w:rPr>
            <w:rStyle w:val="Hyperlink"/>
            <w:color w:val="auto"/>
            <w:sz w:val="28"/>
            <w:szCs w:val="28"/>
          </w:rPr>
          <w:t>Section 8</w:t>
        </w:r>
      </w:hyperlink>
      <w:r w:rsidRPr="000E11A2">
        <w:rPr>
          <w:color w:val="242121"/>
          <w:sz w:val="28"/>
          <w:szCs w:val="28"/>
        </w:rPr>
        <w:t> of the Close Corporations Act, in substance, mirrors s 13 of the Companies Act 61 of 1973.</w:t>
      </w:r>
      <w:r>
        <w:rPr>
          <w:rStyle w:val="FootnoteReference"/>
          <w:color w:val="242121"/>
          <w:sz w:val="28"/>
          <w:szCs w:val="28"/>
        </w:rPr>
        <w:footnoteReference w:id="13"/>
      </w:r>
      <w:r w:rsidRPr="000E11A2">
        <w:rPr>
          <w:color w:val="242121"/>
          <w:sz w:val="28"/>
          <w:szCs w:val="28"/>
        </w:rPr>
        <w:t> Section 13 did not find its way into the 2008 Companies Act when the 1973 Companies Act was repealed and substituted by the former. Nevertheless, counsel agreed that the jurisprudence that had developed over the years in regard to the interpretation of s 13 still offers useful guidance and insights in ascertaining the object and purpose to which s 8 of the Close Corporations Act is directed</w:t>
      </w:r>
      <w:r w:rsidR="004902FB">
        <w:rPr>
          <w:color w:val="242121"/>
          <w:sz w:val="28"/>
          <w:szCs w:val="28"/>
        </w:rPr>
        <w:t>.</w:t>
      </w:r>
      <w:r w:rsidR="0010432E" w:rsidRPr="0002683B">
        <w:rPr>
          <w:color w:val="242121"/>
        </w:rPr>
        <w:t>”</w:t>
      </w:r>
      <w:r w:rsidR="001E0045">
        <w:rPr>
          <w:color w:val="242121"/>
        </w:rPr>
        <w:t xml:space="preserve"> </w:t>
      </w:r>
    </w:p>
    <w:p w14:paraId="4D3341EC" w14:textId="5A8F8B60" w:rsidR="00196848" w:rsidRDefault="001E0045" w:rsidP="00A03D05">
      <w:pPr>
        <w:pStyle w:val="NormalWeb"/>
        <w:shd w:val="clear" w:color="auto" w:fill="FFFFFF"/>
        <w:spacing w:before="144" w:beforeAutospacing="0" w:after="0" w:afterAutospacing="0" w:line="360" w:lineRule="auto"/>
        <w:ind w:left="709"/>
        <w:jc w:val="both"/>
        <w:rPr>
          <w:color w:val="242121"/>
          <w:sz w:val="28"/>
          <w:szCs w:val="28"/>
          <w:lang w:val="en-GB"/>
        </w:rPr>
      </w:pPr>
      <w:r w:rsidRPr="003558B6">
        <w:rPr>
          <w:color w:val="242121"/>
          <w:sz w:val="28"/>
          <w:szCs w:val="28"/>
          <w:lang w:val="en-GB"/>
        </w:rPr>
        <w:t>The common feature of the passages quoted</w:t>
      </w:r>
      <w:r w:rsidR="003558B6" w:rsidRPr="003558B6">
        <w:rPr>
          <w:color w:val="242121"/>
          <w:sz w:val="28"/>
          <w:szCs w:val="28"/>
          <w:lang w:val="en-GB"/>
        </w:rPr>
        <w:t xml:space="preserve"> in this judgment reveals that the demand for security for costs </w:t>
      </w:r>
      <w:r w:rsidR="00764B2A" w:rsidRPr="00764B2A">
        <w:rPr>
          <w:color w:val="242121"/>
          <w:sz w:val="28"/>
          <w:szCs w:val="28"/>
          <w:lang w:val="en-GB"/>
        </w:rPr>
        <w:t>is part of our jurisprudence</w:t>
      </w:r>
      <w:r w:rsidR="00E8326A" w:rsidRPr="00E8326A">
        <w:rPr>
          <w:color w:val="242121"/>
          <w:sz w:val="28"/>
          <w:szCs w:val="28"/>
          <w:lang w:val="en-GB"/>
        </w:rPr>
        <w:t xml:space="preserve">. </w:t>
      </w:r>
    </w:p>
    <w:p w14:paraId="4274C643" w14:textId="6AC138DD" w:rsidR="00A03CB8" w:rsidRDefault="00CC77D6" w:rsidP="00A03D05">
      <w:pPr>
        <w:pStyle w:val="NormalWeb"/>
        <w:shd w:val="clear" w:color="auto" w:fill="FFFFFF"/>
        <w:spacing w:before="144" w:beforeAutospacing="0" w:after="0" w:afterAutospacing="0" w:line="360" w:lineRule="auto"/>
        <w:ind w:left="709" w:hanging="709"/>
        <w:jc w:val="both"/>
        <w:rPr>
          <w:color w:val="000000"/>
          <w:sz w:val="28"/>
          <w:szCs w:val="28"/>
        </w:rPr>
      </w:pPr>
      <w:r>
        <w:rPr>
          <w:color w:val="242121"/>
          <w:sz w:val="28"/>
          <w:szCs w:val="28"/>
          <w:lang w:val="en-GB"/>
        </w:rPr>
        <w:t>[</w:t>
      </w:r>
      <w:r w:rsidR="00E3600B">
        <w:rPr>
          <w:color w:val="242121"/>
          <w:sz w:val="28"/>
          <w:szCs w:val="28"/>
          <w:lang w:val="en-GB"/>
        </w:rPr>
        <w:t xml:space="preserve">15] </w:t>
      </w:r>
      <w:r w:rsidR="003B058F">
        <w:rPr>
          <w:color w:val="242121"/>
          <w:sz w:val="28"/>
          <w:szCs w:val="28"/>
          <w:lang w:val="en-GB"/>
        </w:rPr>
        <w:tab/>
      </w:r>
      <w:r w:rsidR="00E8326A" w:rsidRPr="00E8326A">
        <w:rPr>
          <w:color w:val="242121"/>
          <w:sz w:val="28"/>
          <w:szCs w:val="28"/>
          <w:lang w:val="en-GB"/>
        </w:rPr>
        <w:t>This is so</w:t>
      </w:r>
      <w:r w:rsidR="000F3DED" w:rsidRPr="000F3DED">
        <w:rPr>
          <w:color w:val="000000" w:themeColor="text1"/>
          <w:sz w:val="28"/>
          <w:szCs w:val="28"/>
          <w:lang w:val="en-GB"/>
        </w:rPr>
        <w:t>,</w:t>
      </w:r>
      <w:r w:rsidR="00E8326A" w:rsidRPr="00E8326A">
        <w:rPr>
          <w:color w:val="242121"/>
          <w:sz w:val="28"/>
          <w:szCs w:val="28"/>
          <w:lang w:val="en-GB"/>
        </w:rPr>
        <w:t xml:space="preserve"> despite</w:t>
      </w:r>
      <w:r w:rsidR="00496283" w:rsidRPr="00496283">
        <w:rPr>
          <w:color w:val="242121"/>
          <w:sz w:val="28"/>
          <w:szCs w:val="28"/>
          <w:lang w:val="en-GB"/>
        </w:rPr>
        <w:t xml:space="preserve"> the provisions of section 34 of our </w:t>
      </w:r>
      <w:r w:rsidR="00E8509A">
        <w:rPr>
          <w:color w:val="242121"/>
          <w:sz w:val="28"/>
          <w:szCs w:val="28"/>
          <w:lang w:val="en-GB"/>
        </w:rPr>
        <w:t>C</w:t>
      </w:r>
      <w:r w:rsidR="00496283" w:rsidRPr="00496283">
        <w:rPr>
          <w:color w:val="242121"/>
          <w:sz w:val="28"/>
          <w:szCs w:val="28"/>
          <w:lang w:val="en-GB"/>
        </w:rPr>
        <w:t xml:space="preserve">onstitution with regards </w:t>
      </w:r>
      <w:r w:rsidR="00300A10">
        <w:rPr>
          <w:color w:val="242121"/>
          <w:sz w:val="28"/>
          <w:szCs w:val="28"/>
          <w:lang w:val="en-GB"/>
        </w:rPr>
        <w:t>to</w:t>
      </w:r>
      <w:r w:rsidR="00496283" w:rsidRPr="00496283">
        <w:rPr>
          <w:color w:val="242121"/>
          <w:sz w:val="28"/>
          <w:szCs w:val="28"/>
          <w:lang w:val="en-GB"/>
        </w:rPr>
        <w:t xml:space="preserve"> the right to have a matter adjudicated at</w:t>
      </w:r>
      <w:r w:rsidR="00300A10" w:rsidRPr="00300A10">
        <w:rPr>
          <w:color w:val="242121"/>
          <w:sz w:val="28"/>
          <w:szCs w:val="28"/>
          <w:lang w:val="en-GB"/>
        </w:rPr>
        <w:t xml:space="preserve"> our </w:t>
      </w:r>
      <w:r w:rsidR="00300A10">
        <w:rPr>
          <w:color w:val="242121"/>
          <w:sz w:val="28"/>
          <w:szCs w:val="28"/>
          <w:lang w:val="en-GB"/>
        </w:rPr>
        <w:t>Courts.</w:t>
      </w:r>
      <w:r w:rsidRPr="00196848">
        <w:rPr>
          <w:color w:val="242121"/>
          <w:sz w:val="28"/>
          <w:szCs w:val="28"/>
          <w:lang w:val="en-GB"/>
        </w:rPr>
        <w:t xml:space="preserve"> </w:t>
      </w:r>
      <w:r w:rsidR="00E3600B">
        <w:rPr>
          <w:color w:val="242121"/>
          <w:sz w:val="28"/>
          <w:szCs w:val="28"/>
          <w:lang w:val="en-GB"/>
        </w:rPr>
        <w:t>T</w:t>
      </w:r>
      <w:r w:rsidRPr="00196848">
        <w:rPr>
          <w:color w:val="242121"/>
          <w:sz w:val="28"/>
          <w:szCs w:val="28"/>
          <w:lang w:val="en-GB"/>
        </w:rPr>
        <w:t>he court</w:t>
      </w:r>
      <w:r w:rsidR="00342D1F" w:rsidRPr="00342D1F">
        <w:rPr>
          <w:color w:val="242121"/>
          <w:sz w:val="28"/>
          <w:szCs w:val="28"/>
          <w:lang w:val="en-GB"/>
        </w:rPr>
        <w:t xml:space="preserve"> seized with the application for</w:t>
      </w:r>
      <w:r w:rsidR="00342D1F">
        <w:rPr>
          <w:color w:val="242121"/>
          <w:sz w:val="28"/>
          <w:szCs w:val="28"/>
          <w:lang w:val="en-GB"/>
        </w:rPr>
        <w:t xml:space="preserve"> </w:t>
      </w:r>
      <w:r w:rsidR="00342D1F" w:rsidRPr="00342D1F">
        <w:rPr>
          <w:color w:val="242121"/>
          <w:sz w:val="28"/>
          <w:szCs w:val="28"/>
          <w:lang w:val="en-GB"/>
        </w:rPr>
        <w:t>security for</w:t>
      </w:r>
      <w:r w:rsidR="00342D1F">
        <w:rPr>
          <w:color w:val="242121"/>
          <w:sz w:val="28"/>
          <w:szCs w:val="28"/>
          <w:lang w:val="en-GB"/>
        </w:rPr>
        <w:t xml:space="preserve"> </w:t>
      </w:r>
      <w:r w:rsidR="00342D1F" w:rsidRPr="00342D1F">
        <w:rPr>
          <w:color w:val="242121"/>
          <w:sz w:val="28"/>
          <w:szCs w:val="28"/>
          <w:lang w:val="en-GB"/>
        </w:rPr>
        <w:t>c</w:t>
      </w:r>
      <w:r w:rsidR="00342D1F">
        <w:rPr>
          <w:color w:val="242121"/>
          <w:sz w:val="28"/>
          <w:szCs w:val="28"/>
          <w:lang w:val="en-GB"/>
        </w:rPr>
        <w:t>o</w:t>
      </w:r>
      <w:r w:rsidR="00342D1F" w:rsidRPr="00342D1F">
        <w:rPr>
          <w:color w:val="242121"/>
          <w:sz w:val="28"/>
          <w:szCs w:val="28"/>
          <w:lang w:val="en-GB"/>
        </w:rPr>
        <w:t>st</w:t>
      </w:r>
      <w:r w:rsidR="009213E3">
        <w:rPr>
          <w:color w:val="242121"/>
          <w:sz w:val="28"/>
          <w:szCs w:val="28"/>
          <w:lang w:val="en-GB"/>
        </w:rPr>
        <w:t>s</w:t>
      </w:r>
      <w:r w:rsidR="009213E3" w:rsidRPr="009213E3">
        <w:rPr>
          <w:color w:val="242121"/>
          <w:sz w:val="28"/>
          <w:szCs w:val="28"/>
          <w:lang w:val="en-GB"/>
        </w:rPr>
        <w:t xml:space="preserve"> and should perform a balancing act of ensuring that access to justice is not denied purely</w:t>
      </w:r>
      <w:r w:rsidR="00EB424D" w:rsidRPr="00EB424D">
        <w:rPr>
          <w:color w:val="242121"/>
          <w:sz w:val="28"/>
          <w:szCs w:val="28"/>
          <w:lang w:val="en-GB"/>
        </w:rPr>
        <w:t xml:space="preserve"> on the basis of the inability to provide security for costs.</w:t>
      </w:r>
      <w:r>
        <w:rPr>
          <w:rStyle w:val="FootnoteReference"/>
          <w:color w:val="242121"/>
          <w:sz w:val="28"/>
          <w:szCs w:val="28"/>
          <w:lang w:val="en-GB"/>
        </w:rPr>
        <w:footnoteReference w:id="14"/>
      </w:r>
      <w:r w:rsidR="000A6C9A">
        <w:rPr>
          <w:color w:val="242121"/>
          <w:sz w:val="28"/>
          <w:szCs w:val="28"/>
          <w:lang w:val="en-GB"/>
        </w:rPr>
        <w:t xml:space="preserve"> </w:t>
      </w:r>
      <w:r w:rsidR="00EB21AE">
        <w:rPr>
          <w:color w:val="242121"/>
          <w:sz w:val="28"/>
          <w:szCs w:val="28"/>
          <w:lang w:val="en-GB"/>
        </w:rPr>
        <w:t xml:space="preserve">It is for this reason that </w:t>
      </w:r>
      <w:r w:rsidR="00E8509A">
        <w:rPr>
          <w:color w:val="000000"/>
          <w:sz w:val="28"/>
          <w:szCs w:val="28"/>
        </w:rPr>
        <w:t>t</w:t>
      </w:r>
      <w:r w:rsidR="00EB21AE" w:rsidRPr="00EB21AE">
        <w:rPr>
          <w:color w:val="000000"/>
          <w:sz w:val="28"/>
          <w:szCs w:val="28"/>
        </w:rPr>
        <w:t>he court's discretion ought not to be fettered by preconceived points of departure</w:t>
      </w:r>
      <w:r w:rsidR="00E70838">
        <w:rPr>
          <w:color w:val="000000"/>
          <w:sz w:val="28"/>
          <w:szCs w:val="28"/>
        </w:rPr>
        <w:t>.</w:t>
      </w:r>
      <w:r>
        <w:rPr>
          <w:rStyle w:val="FootnoteReference"/>
          <w:color w:val="000000"/>
          <w:sz w:val="28"/>
          <w:szCs w:val="28"/>
        </w:rPr>
        <w:footnoteReference w:id="15"/>
      </w:r>
      <w:r w:rsidR="008F7388">
        <w:rPr>
          <w:color w:val="000000"/>
          <w:sz w:val="28"/>
          <w:szCs w:val="28"/>
        </w:rPr>
        <w:t xml:space="preserve">It is important in exercising its discretion </w:t>
      </w:r>
      <w:r w:rsidR="003C5335">
        <w:rPr>
          <w:color w:val="000000"/>
          <w:sz w:val="28"/>
          <w:szCs w:val="28"/>
        </w:rPr>
        <w:t xml:space="preserve">and balancing the interests of the parties that the Court should not deny </w:t>
      </w:r>
      <w:r w:rsidR="00654EA2">
        <w:rPr>
          <w:color w:val="000000"/>
          <w:sz w:val="28"/>
          <w:szCs w:val="28"/>
        </w:rPr>
        <w:t>justice to any of the parties on the basis of security for co</w:t>
      </w:r>
      <w:r w:rsidR="00B87CFC">
        <w:rPr>
          <w:color w:val="000000"/>
          <w:sz w:val="28"/>
          <w:szCs w:val="28"/>
        </w:rPr>
        <w:t>sts especially where any of the parties has a good c</w:t>
      </w:r>
      <w:r w:rsidR="00723C6A">
        <w:rPr>
          <w:color w:val="000000"/>
          <w:sz w:val="28"/>
          <w:szCs w:val="28"/>
        </w:rPr>
        <w:t xml:space="preserve">ase in the form of either claim or defence. The jurisprudence on security for costs </w:t>
      </w:r>
      <w:r w:rsidR="002F1C86">
        <w:rPr>
          <w:color w:val="000000"/>
          <w:sz w:val="28"/>
          <w:szCs w:val="28"/>
        </w:rPr>
        <w:t xml:space="preserve">has been developed to root out litigation in cases which are </w:t>
      </w:r>
      <w:r w:rsidR="007C6F1E">
        <w:rPr>
          <w:color w:val="000000"/>
          <w:sz w:val="28"/>
          <w:szCs w:val="28"/>
        </w:rPr>
        <w:t xml:space="preserve">vexatious or </w:t>
      </w:r>
      <w:r w:rsidR="003B058F">
        <w:rPr>
          <w:color w:val="000000"/>
          <w:sz w:val="28"/>
          <w:szCs w:val="28"/>
        </w:rPr>
        <w:t>frivolous</w:t>
      </w:r>
      <w:r w:rsidR="007C6F1E">
        <w:rPr>
          <w:color w:val="000000"/>
          <w:sz w:val="28"/>
          <w:szCs w:val="28"/>
        </w:rPr>
        <w:t>.</w:t>
      </w:r>
    </w:p>
    <w:p w14:paraId="14E6D5C7" w14:textId="2476A366" w:rsidR="00F17ED1" w:rsidRDefault="00CC77D6" w:rsidP="00A03D05">
      <w:pPr>
        <w:pStyle w:val="NormalWeb"/>
        <w:shd w:val="clear" w:color="auto" w:fill="FFFFFF"/>
        <w:spacing w:before="144" w:beforeAutospacing="0" w:after="0" w:afterAutospacing="0" w:line="360" w:lineRule="auto"/>
        <w:ind w:left="709" w:hanging="709"/>
        <w:jc w:val="both"/>
        <w:rPr>
          <w:color w:val="000000"/>
          <w:sz w:val="28"/>
          <w:szCs w:val="28"/>
        </w:rPr>
      </w:pPr>
      <w:r>
        <w:rPr>
          <w:color w:val="000000"/>
          <w:sz w:val="28"/>
          <w:szCs w:val="28"/>
        </w:rPr>
        <w:lastRenderedPageBreak/>
        <w:t>[16]</w:t>
      </w:r>
      <w:r w:rsidRPr="00F17ED1">
        <w:rPr>
          <w:rFonts w:ascii="Verdana" w:hAnsi="Verdana"/>
          <w:color w:val="000000"/>
          <w:sz w:val="20"/>
          <w:szCs w:val="20"/>
        </w:rPr>
        <w:t xml:space="preserve"> </w:t>
      </w:r>
      <w:r w:rsidR="003B058F">
        <w:rPr>
          <w:rFonts w:ascii="Verdana" w:hAnsi="Verdana"/>
          <w:color w:val="000000"/>
          <w:sz w:val="20"/>
          <w:szCs w:val="20"/>
        </w:rPr>
        <w:tab/>
      </w:r>
      <w:r w:rsidRPr="00F17ED1">
        <w:rPr>
          <w:color w:val="000000"/>
          <w:sz w:val="28"/>
          <w:szCs w:val="28"/>
        </w:rPr>
        <w:t xml:space="preserve">In coming to a decision as to how it should exercise its discretion to order or refuse security for costs, the </w:t>
      </w:r>
      <w:r w:rsidR="000F3DED">
        <w:rPr>
          <w:color w:val="000000"/>
          <w:sz w:val="28"/>
          <w:szCs w:val="28"/>
        </w:rPr>
        <w:t>C</w:t>
      </w:r>
      <w:r w:rsidRPr="00F17ED1">
        <w:rPr>
          <w:color w:val="000000"/>
          <w:sz w:val="28"/>
          <w:szCs w:val="28"/>
        </w:rPr>
        <w:t>ourt may take into consideration the nature of the claim and the defence, but the merits of the dispute are almost invariably irrelevant in deciding whether a plaintiff or applicant company should be ordered to furnish security for the costs of the proceedings. </w:t>
      </w:r>
      <w:bookmarkStart w:id="11" w:name="0-0-0-14199"/>
      <w:bookmarkEnd w:id="11"/>
      <w:r>
        <w:rPr>
          <w:rStyle w:val="FootnoteReference"/>
          <w:color w:val="000000"/>
          <w:sz w:val="28"/>
          <w:szCs w:val="28"/>
        </w:rPr>
        <w:footnoteReference w:id="16"/>
      </w:r>
      <w:r w:rsidRPr="00F17ED1">
        <w:rPr>
          <w:color w:val="000000"/>
          <w:sz w:val="28"/>
          <w:szCs w:val="28"/>
        </w:rPr>
        <w:t xml:space="preserve"> In addition to the particular circumstances of the case, the </w:t>
      </w:r>
      <w:r w:rsidR="000F3DED">
        <w:rPr>
          <w:color w:val="000000"/>
          <w:sz w:val="28"/>
          <w:szCs w:val="28"/>
        </w:rPr>
        <w:t>C</w:t>
      </w:r>
      <w:r w:rsidRPr="00F17ED1">
        <w:rPr>
          <w:color w:val="000000"/>
          <w:sz w:val="28"/>
          <w:szCs w:val="28"/>
        </w:rPr>
        <w:t xml:space="preserve">ourt considering whether or not security should be ordered should also have regard to considerations of equity and fairness to both parties. It may, in the exercise of its discretion enquire into the conduct of a party which has reduced the other party to penury. </w:t>
      </w:r>
      <w:bookmarkStart w:id="12" w:name="0-0-0-14203"/>
      <w:bookmarkEnd w:id="12"/>
      <w:r>
        <w:rPr>
          <w:rStyle w:val="FootnoteReference"/>
          <w:color w:val="000000"/>
          <w:sz w:val="28"/>
          <w:szCs w:val="28"/>
        </w:rPr>
        <w:footnoteReference w:id="17"/>
      </w:r>
    </w:p>
    <w:p w14:paraId="76A3FA2C" w14:textId="77777777" w:rsidR="00792A53" w:rsidRDefault="00792A53" w:rsidP="00A03D05">
      <w:pPr>
        <w:pStyle w:val="NormalWeb"/>
        <w:shd w:val="clear" w:color="auto" w:fill="FFFFFF"/>
        <w:spacing w:before="144" w:beforeAutospacing="0" w:after="0" w:afterAutospacing="0" w:line="360" w:lineRule="auto"/>
        <w:jc w:val="both"/>
        <w:rPr>
          <w:rStyle w:val="g1"/>
          <w:color w:val="808080"/>
          <w:sz w:val="28"/>
          <w:szCs w:val="28"/>
          <w:u w:val="single"/>
        </w:rPr>
      </w:pPr>
    </w:p>
    <w:p w14:paraId="0BC163BF" w14:textId="410B69C1" w:rsidR="00792A53" w:rsidRDefault="00CC77D6" w:rsidP="00A03D05">
      <w:pPr>
        <w:spacing w:line="360" w:lineRule="auto"/>
        <w:ind w:left="709" w:hanging="709"/>
        <w:jc w:val="both"/>
        <w:rPr>
          <w:rFonts w:ascii="Times New Roman" w:eastAsia="Times New Roman" w:hAnsi="Times New Roman" w:cs="Times New Roman"/>
          <w:color w:val="000000"/>
          <w:sz w:val="28"/>
          <w:szCs w:val="28"/>
          <w:lang w:eastAsia="en-ZA"/>
        </w:rPr>
      </w:pPr>
      <w:r w:rsidRPr="0012627C">
        <w:rPr>
          <w:rStyle w:val="g1"/>
          <w:rFonts w:ascii="Times New Roman" w:hAnsi="Times New Roman" w:cs="Times New Roman"/>
          <w:color w:val="000000" w:themeColor="text1"/>
          <w:sz w:val="28"/>
          <w:szCs w:val="28"/>
        </w:rPr>
        <w:t>[17]</w:t>
      </w:r>
      <w:r w:rsidRPr="0012627C">
        <w:rPr>
          <w:rFonts w:ascii="Verdana" w:eastAsia="Times New Roman" w:hAnsi="Verdana" w:cs="Times New Roman"/>
          <w:color w:val="000000" w:themeColor="text1"/>
          <w:sz w:val="20"/>
          <w:szCs w:val="20"/>
          <w:lang w:eastAsia="en-ZA"/>
        </w:rPr>
        <w:t xml:space="preserve"> </w:t>
      </w:r>
      <w:r w:rsidR="00F86222">
        <w:rPr>
          <w:rFonts w:ascii="Verdana" w:eastAsia="Times New Roman" w:hAnsi="Verdana" w:cs="Times New Roman"/>
          <w:color w:val="000000" w:themeColor="text1"/>
          <w:sz w:val="20"/>
          <w:szCs w:val="20"/>
          <w:lang w:eastAsia="en-ZA"/>
        </w:rPr>
        <w:tab/>
      </w:r>
      <w:r w:rsidRPr="00792A53">
        <w:rPr>
          <w:rFonts w:ascii="Times New Roman" w:eastAsia="Times New Roman" w:hAnsi="Times New Roman" w:cs="Times New Roman"/>
          <w:color w:val="000000"/>
          <w:sz w:val="28"/>
          <w:szCs w:val="28"/>
          <w:lang w:eastAsia="en-ZA"/>
        </w:rPr>
        <w:t xml:space="preserve">Where it is clear that if the action fails, the company will be unable to pay the costs, there is a duty on the </w:t>
      </w:r>
      <w:r w:rsidR="00FF74B6">
        <w:rPr>
          <w:rFonts w:ascii="Times New Roman" w:eastAsia="Times New Roman" w:hAnsi="Times New Roman" w:cs="Times New Roman"/>
          <w:color w:val="000000"/>
          <w:sz w:val="28"/>
          <w:szCs w:val="28"/>
          <w:lang w:eastAsia="en-ZA"/>
        </w:rPr>
        <w:t>C</w:t>
      </w:r>
      <w:r w:rsidRPr="00792A53">
        <w:rPr>
          <w:rFonts w:ascii="Times New Roman" w:eastAsia="Times New Roman" w:hAnsi="Times New Roman" w:cs="Times New Roman"/>
          <w:color w:val="000000"/>
          <w:sz w:val="28"/>
          <w:szCs w:val="28"/>
          <w:lang w:eastAsia="en-ZA"/>
        </w:rPr>
        <w:t>ourt to exercise its discretion in favour of the applicant and to order security to be given. </w:t>
      </w:r>
      <w:bookmarkStart w:id="13" w:name="0-0-0-14255"/>
      <w:bookmarkEnd w:id="13"/>
      <w:r>
        <w:rPr>
          <w:rStyle w:val="FootnoteReference"/>
          <w:rFonts w:ascii="Times New Roman" w:eastAsia="Times New Roman" w:hAnsi="Times New Roman" w:cs="Times New Roman"/>
          <w:color w:val="000000"/>
          <w:sz w:val="28"/>
          <w:szCs w:val="28"/>
          <w:lang w:eastAsia="en-ZA"/>
        </w:rPr>
        <w:footnoteReference w:id="18"/>
      </w:r>
      <w:r w:rsidRPr="00792A53">
        <w:rPr>
          <w:rFonts w:ascii="Times New Roman" w:eastAsia="Times New Roman" w:hAnsi="Times New Roman" w:cs="Times New Roman"/>
          <w:color w:val="000000"/>
          <w:sz w:val="28"/>
          <w:szCs w:val="28"/>
          <w:lang w:eastAsia="en-ZA"/>
        </w:rPr>
        <w:t xml:space="preserve">The </w:t>
      </w:r>
      <w:r w:rsidR="00F218AE">
        <w:rPr>
          <w:rFonts w:ascii="Times New Roman" w:eastAsia="Times New Roman" w:hAnsi="Times New Roman" w:cs="Times New Roman"/>
          <w:color w:val="000000"/>
          <w:sz w:val="28"/>
          <w:szCs w:val="28"/>
          <w:lang w:eastAsia="en-ZA"/>
        </w:rPr>
        <w:t>C</w:t>
      </w:r>
      <w:r w:rsidRPr="00792A53">
        <w:rPr>
          <w:rFonts w:ascii="Times New Roman" w:eastAsia="Times New Roman" w:hAnsi="Times New Roman" w:cs="Times New Roman"/>
          <w:color w:val="000000"/>
          <w:sz w:val="28"/>
          <w:szCs w:val="28"/>
          <w:lang w:eastAsia="en-ZA"/>
        </w:rPr>
        <w:t>ourt is not, however, bound to order security in every case where it is plain that if the action fails, the company will be unable to pay the defendant's costs: the court is entitled to consider the nature of the particular case, although it need not inquire fully into the merits and form an opinion of the plaintiff's prospects of success.</w:t>
      </w:r>
      <w:r>
        <w:rPr>
          <w:rStyle w:val="FootnoteReference"/>
          <w:rFonts w:ascii="Times New Roman" w:eastAsia="Times New Roman" w:hAnsi="Times New Roman" w:cs="Times New Roman"/>
          <w:color w:val="000000"/>
          <w:sz w:val="28"/>
          <w:szCs w:val="28"/>
          <w:lang w:eastAsia="en-ZA"/>
        </w:rPr>
        <w:footnoteReference w:id="19"/>
      </w:r>
      <w:r w:rsidRPr="00792A53">
        <w:rPr>
          <w:rFonts w:ascii="Times New Roman" w:eastAsia="Times New Roman" w:hAnsi="Times New Roman" w:cs="Times New Roman"/>
          <w:color w:val="000000"/>
          <w:sz w:val="28"/>
          <w:szCs w:val="28"/>
          <w:lang w:eastAsia="en-ZA"/>
        </w:rPr>
        <w:t>  </w:t>
      </w:r>
      <w:bookmarkStart w:id="14" w:name="0-0-0-14259"/>
      <w:bookmarkEnd w:id="14"/>
      <w:r w:rsidR="002510B6" w:rsidRPr="00792A53">
        <w:rPr>
          <w:rFonts w:ascii="Times New Roman" w:eastAsia="Times New Roman" w:hAnsi="Times New Roman" w:cs="Times New Roman"/>
          <w:color w:val="000000"/>
          <w:sz w:val="28"/>
          <w:szCs w:val="28"/>
          <w:lang w:eastAsia="en-ZA"/>
        </w:rPr>
        <w:t xml:space="preserve"> </w:t>
      </w:r>
      <w:r w:rsidRPr="00792A53">
        <w:rPr>
          <w:rFonts w:ascii="Times New Roman" w:eastAsia="Times New Roman" w:hAnsi="Times New Roman" w:cs="Times New Roman"/>
          <w:color w:val="000000"/>
          <w:sz w:val="28"/>
          <w:szCs w:val="28"/>
          <w:lang w:eastAsia="en-ZA"/>
        </w:rPr>
        <w:t xml:space="preserve">The </w:t>
      </w:r>
      <w:r w:rsidR="00F218AE">
        <w:rPr>
          <w:rFonts w:ascii="Times New Roman" w:eastAsia="Times New Roman" w:hAnsi="Times New Roman" w:cs="Times New Roman"/>
          <w:color w:val="000000"/>
          <w:sz w:val="28"/>
          <w:szCs w:val="28"/>
          <w:lang w:eastAsia="en-ZA"/>
        </w:rPr>
        <w:t>C</w:t>
      </w:r>
      <w:r w:rsidRPr="00792A53">
        <w:rPr>
          <w:rFonts w:ascii="Times New Roman" w:eastAsia="Times New Roman" w:hAnsi="Times New Roman" w:cs="Times New Roman"/>
          <w:color w:val="000000"/>
          <w:sz w:val="28"/>
          <w:szCs w:val="28"/>
          <w:lang w:eastAsia="en-ZA"/>
        </w:rPr>
        <w:t xml:space="preserve">ourt will take into consideration the financial position of the company at the time of the application for security, what the position is likely to be if the company loses the action and the nature of the claim. </w:t>
      </w:r>
      <w:bookmarkStart w:id="15" w:name="0-0-0-14263"/>
      <w:bookmarkEnd w:id="15"/>
      <w:r>
        <w:rPr>
          <w:rStyle w:val="FootnoteReference"/>
          <w:rFonts w:ascii="Times New Roman" w:eastAsia="Times New Roman" w:hAnsi="Times New Roman" w:cs="Times New Roman"/>
          <w:color w:val="000000"/>
          <w:sz w:val="28"/>
          <w:szCs w:val="28"/>
          <w:lang w:eastAsia="en-ZA"/>
        </w:rPr>
        <w:footnoteReference w:id="20"/>
      </w:r>
      <w:r w:rsidRPr="00792A53">
        <w:rPr>
          <w:rFonts w:ascii="Times New Roman" w:eastAsia="Times New Roman" w:hAnsi="Times New Roman" w:cs="Times New Roman"/>
          <w:color w:val="000000"/>
          <w:sz w:val="28"/>
          <w:szCs w:val="28"/>
          <w:lang w:eastAsia="en-ZA"/>
        </w:rPr>
        <w:t xml:space="preserve"> It is entitled to take into account the kind of action brought against the person </w:t>
      </w:r>
      <w:r w:rsidRPr="00792A53">
        <w:rPr>
          <w:rFonts w:ascii="Times New Roman" w:eastAsia="Times New Roman" w:hAnsi="Times New Roman" w:cs="Times New Roman"/>
          <w:color w:val="000000"/>
          <w:sz w:val="28"/>
          <w:szCs w:val="28"/>
          <w:lang w:eastAsia="en-ZA"/>
        </w:rPr>
        <w:lastRenderedPageBreak/>
        <w:t>claiming security in order to decide whether it is right in all the circumstances to order the company to furnish security.</w:t>
      </w:r>
      <w:r>
        <w:rPr>
          <w:rStyle w:val="FootnoteReference"/>
          <w:rFonts w:ascii="Times New Roman" w:eastAsia="Times New Roman" w:hAnsi="Times New Roman" w:cs="Times New Roman"/>
          <w:color w:val="000000"/>
          <w:sz w:val="28"/>
          <w:szCs w:val="28"/>
          <w:lang w:eastAsia="en-ZA"/>
        </w:rPr>
        <w:footnoteReference w:id="21"/>
      </w:r>
      <w:r w:rsidRPr="00792A53">
        <w:rPr>
          <w:rFonts w:ascii="Times New Roman" w:eastAsia="Times New Roman" w:hAnsi="Times New Roman" w:cs="Times New Roman"/>
          <w:color w:val="000000"/>
          <w:sz w:val="28"/>
          <w:szCs w:val="28"/>
          <w:lang w:eastAsia="en-ZA"/>
        </w:rPr>
        <w:t> </w:t>
      </w:r>
      <w:bookmarkStart w:id="16" w:name="0-0-0-14267"/>
      <w:bookmarkEnd w:id="16"/>
      <w:r w:rsidR="00392834" w:rsidRPr="00792A53">
        <w:rPr>
          <w:rFonts w:ascii="Times New Roman" w:eastAsia="Times New Roman" w:hAnsi="Times New Roman" w:cs="Times New Roman"/>
          <w:color w:val="000000"/>
          <w:sz w:val="28"/>
          <w:szCs w:val="28"/>
          <w:lang w:eastAsia="en-ZA"/>
        </w:rPr>
        <w:t xml:space="preserve"> </w:t>
      </w:r>
    </w:p>
    <w:p w14:paraId="151C504F" w14:textId="77777777" w:rsidR="0012627C" w:rsidRDefault="00CC77D6" w:rsidP="00A03D05">
      <w:pPr>
        <w:spacing w:line="360" w:lineRule="auto"/>
        <w:ind w:left="709" w:hanging="709"/>
        <w:jc w:val="both"/>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 xml:space="preserve">[18] </w:t>
      </w:r>
      <w:r w:rsidR="00F86222">
        <w:rPr>
          <w:rFonts w:ascii="Times New Roman" w:eastAsia="Times New Roman" w:hAnsi="Times New Roman" w:cs="Times New Roman"/>
          <w:color w:val="000000"/>
          <w:sz w:val="28"/>
          <w:szCs w:val="28"/>
          <w:lang w:eastAsia="en-ZA"/>
        </w:rPr>
        <w:tab/>
      </w:r>
      <w:r>
        <w:rPr>
          <w:rFonts w:ascii="Times New Roman" w:eastAsia="Times New Roman" w:hAnsi="Times New Roman" w:cs="Times New Roman"/>
          <w:color w:val="000000"/>
          <w:sz w:val="28"/>
          <w:szCs w:val="28"/>
          <w:lang w:eastAsia="en-ZA"/>
        </w:rPr>
        <w:t xml:space="preserve">In the instant case, the </w:t>
      </w:r>
      <w:r w:rsidR="000B1BB1">
        <w:rPr>
          <w:rFonts w:ascii="Times New Roman" w:eastAsia="Times New Roman" w:hAnsi="Times New Roman" w:cs="Times New Roman"/>
          <w:color w:val="000000"/>
          <w:sz w:val="28"/>
          <w:szCs w:val="28"/>
          <w:lang w:eastAsia="en-ZA"/>
        </w:rPr>
        <w:t xml:space="preserve">plaintiff has admitted that it has ceased trading. It is also evident from the </w:t>
      </w:r>
      <w:r w:rsidR="0087305C">
        <w:rPr>
          <w:rFonts w:ascii="Times New Roman" w:eastAsia="Times New Roman" w:hAnsi="Times New Roman" w:cs="Times New Roman"/>
          <w:color w:val="000000"/>
          <w:sz w:val="28"/>
          <w:szCs w:val="28"/>
          <w:lang w:eastAsia="en-ZA"/>
        </w:rPr>
        <w:t>pleadings that its only customer was Nedbank.</w:t>
      </w:r>
      <w:r w:rsidR="002A1402">
        <w:rPr>
          <w:rFonts w:ascii="Times New Roman" w:eastAsia="Times New Roman" w:hAnsi="Times New Roman" w:cs="Times New Roman"/>
          <w:color w:val="000000"/>
          <w:sz w:val="28"/>
          <w:szCs w:val="28"/>
          <w:lang w:eastAsia="en-ZA"/>
        </w:rPr>
        <w:t xml:space="preserve"> It ceased its operation during August 2020 and by February 2021, its nett asset value was nil. It alleges that it was not able to </w:t>
      </w:r>
      <w:r w:rsidR="00152D4C">
        <w:rPr>
          <w:rFonts w:ascii="Times New Roman" w:eastAsia="Times New Roman" w:hAnsi="Times New Roman" w:cs="Times New Roman"/>
          <w:color w:val="000000"/>
          <w:sz w:val="28"/>
          <w:szCs w:val="28"/>
          <w:lang w:eastAsia="en-ZA"/>
        </w:rPr>
        <w:t xml:space="preserve">conclude investment by selling its equity to two potential shareholders who backed off the deal </w:t>
      </w:r>
      <w:r w:rsidR="001C4536">
        <w:rPr>
          <w:rFonts w:ascii="Times New Roman" w:eastAsia="Times New Roman" w:hAnsi="Times New Roman" w:cs="Times New Roman"/>
          <w:color w:val="000000"/>
          <w:sz w:val="28"/>
          <w:szCs w:val="28"/>
          <w:lang w:eastAsia="en-ZA"/>
        </w:rPr>
        <w:t xml:space="preserve">upon becoming aware of the adverse notification in the credit </w:t>
      </w:r>
      <w:r w:rsidR="008E5C31">
        <w:rPr>
          <w:rFonts w:ascii="Times New Roman" w:eastAsia="Times New Roman" w:hAnsi="Times New Roman" w:cs="Times New Roman"/>
          <w:color w:val="000000"/>
          <w:sz w:val="28"/>
          <w:szCs w:val="28"/>
          <w:lang w:eastAsia="en-ZA"/>
        </w:rPr>
        <w:t>bureau</w:t>
      </w:r>
      <w:r w:rsidR="001C4536">
        <w:rPr>
          <w:rFonts w:ascii="Times New Roman" w:eastAsia="Times New Roman" w:hAnsi="Times New Roman" w:cs="Times New Roman"/>
          <w:color w:val="000000"/>
          <w:sz w:val="28"/>
          <w:szCs w:val="28"/>
          <w:lang w:eastAsia="en-ZA"/>
        </w:rPr>
        <w:t xml:space="preserve"> which was </w:t>
      </w:r>
      <w:r w:rsidR="008E5C31">
        <w:rPr>
          <w:rFonts w:ascii="Times New Roman" w:eastAsia="Times New Roman" w:hAnsi="Times New Roman" w:cs="Times New Roman"/>
          <w:color w:val="000000"/>
          <w:sz w:val="28"/>
          <w:szCs w:val="28"/>
          <w:lang w:eastAsia="en-ZA"/>
        </w:rPr>
        <w:t xml:space="preserve">allegedly </w:t>
      </w:r>
      <w:r w:rsidR="001C4536">
        <w:rPr>
          <w:rFonts w:ascii="Times New Roman" w:eastAsia="Times New Roman" w:hAnsi="Times New Roman" w:cs="Times New Roman"/>
          <w:color w:val="000000"/>
          <w:sz w:val="28"/>
          <w:szCs w:val="28"/>
          <w:lang w:eastAsia="en-ZA"/>
        </w:rPr>
        <w:t xml:space="preserve">caused by the </w:t>
      </w:r>
      <w:r w:rsidR="008E5C31">
        <w:rPr>
          <w:rFonts w:ascii="Times New Roman" w:eastAsia="Times New Roman" w:hAnsi="Times New Roman" w:cs="Times New Roman"/>
          <w:color w:val="000000"/>
          <w:sz w:val="28"/>
          <w:szCs w:val="28"/>
          <w:lang w:eastAsia="en-ZA"/>
        </w:rPr>
        <w:t>defendants.</w:t>
      </w:r>
    </w:p>
    <w:p w14:paraId="7A41A9D5" w14:textId="6085DE80" w:rsidR="00C66F17" w:rsidRDefault="00CC77D6" w:rsidP="00A03D05">
      <w:pPr>
        <w:spacing w:line="360" w:lineRule="auto"/>
        <w:ind w:left="709" w:hanging="709"/>
        <w:jc w:val="both"/>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 xml:space="preserve">[19] </w:t>
      </w:r>
      <w:r w:rsidR="00F86222">
        <w:rPr>
          <w:rFonts w:ascii="Times New Roman" w:eastAsia="Times New Roman" w:hAnsi="Times New Roman" w:cs="Times New Roman"/>
          <w:color w:val="000000"/>
          <w:sz w:val="28"/>
          <w:szCs w:val="28"/>
          <w:lang w:eastAsia="en-ZA"/>
        </w:rPr>
        <w:tab/>
      </w:r>
      <w:r>
        <w:rPr>
          <w:rFonts w:ascii="Times New Roman" w:eastAsia="Times New Roman" w:hAnsi="Times New Roman" w:cs="Times New Roman"/>
          <w:color w:val="000000"/>
          <w:sz w:val="28"/>
          <w:szCs w:val="28"/>
          <w:lang w:eastAsia="en-ZA"/>
        </w:rPr>
        <w:t xml:space="preserve">Having regard to the principles restated above and the facts of this case, I am persuaded that the </w:t>
      </w:r>
      <w:r w:rsidR="00FE5E11">
        <w:rPr>
          <w:rFonts w:ascii="Times New Roman" w:eastAsia="Times New Roman" w:hAnsi="Times New Roman" w:cs="Times New Roman"/>
          <w:color w:val="000000"/>
          <w:sz w:val="28"/>
          <w:szCs w:val="28"/>
          <w:lang w:eastAsia="en-ZA"/>
        </w:rPr>
        <w:t xml:space="preserve">defendants have discharged the onus to prove that they are entitled to the security for costs. I am further </w:t>
      </w:r>
      <w:r w:rsidR="00C87D65">
        <w:rPr>
          <w:rFonts w:ascii="Times New Roman" w:eastAsia="Times New Roman" w:hAnsi="Times New Roman" w:cs="Times New Roman"/>
          <w:color w:val="000000"/>
          <w:sz w:val="28"/>
          <w:szCs w:val="28"/>
          <w:lang w:eastAsia="en-ZA"/>
        </w:rPr>
        <w:t xml:space="preserve">of the view that the claim by the plaintiff has no prospect of success </w:t>
      </w:r>
      <w:r w:rsidR="00AE7BEC">
        <w:rPr>
          <w:rFonts w:ascii="Times New Roman" w:eastAsia="Times New Roman" w:hAnsi="Times New Roman" w:cs="Times New Roman"/>
          <w:color w:val="000000"/>
          <w:sz w:val="28"/>
          <w:szCs w:val="28"/>
          <w:lang w:eastAsia="en-ZA"/>
        </w:rPr>
        <w:t xml:space="preserve">and therefore vexatious. </w:t>
      </w:r>
      <w:r w:rsidR="00725E67">
        <w:rPr>
          <w:rFonts w:ascii="Times New Roman" w:eastAsia="Times New Roman" w:hAnsi="Times New Roman" w:cs="Times New Roman"/>
          <w:color w:val="000000"/>
          <w:sz w:val="28"/>
          <w:szCs w:val="28"/>
          <w:lang w:eastAsia="en-ZA"/>
        </w:rPr>
        <w:t xml:space="preserve">I say so because </w:t>
      </w:r>
      <w:r w:rsidR="00D03933">
        <w:rPr>
          <w:rFonts w:ascii="Times New Roman" w:eastAsia="Times New Roman" w:hAnsi="Times New Roman" w:cs="Times New Roman"/>
          <w:color w:val="000000"/>
          <w:sz w:val="28"/>
          <w:szCs w:val="28"/>
          <w:lang w:eastAsia="en-ZA"/>
        </w:rPr>
        <w:t>it is highly unlikely that the adv</w:t>
      </w:r>
      <w:r w:rsidR="005364B9">
        <w:rPr>
          <w:rFonts w:ascii="Times New Roman" w:eastAsia="Times New Roman" w:hAnsi="Times New Roman" w:cs="Times New Roman"/>
          <w:color w:val="000000"/>
          <w:sz w:val="28"/>
          <w:szCs w:val="28"/>
          <w:lang w:eastAsia="en-ZA"/>
        </w:rPr>
        <w:t xml:space="preserve">erse notification could have had such a catastrophic impact </w:t>
      </w:r>
      <w:r w:rsidR="00DA0452">
        <w:rPr>
          <w:rFonts w:ascii="Times New Roman" w:eastAsia="Times New Roman" w:hAnsi="Times New Roman" w:cs="Times New Roman"/>
          <w:color w:val="000000"/>
          <w:sz w:val="28"/>
          <w:szCs w:val="28"/>
          <w:lang w:eastAsia="en-ZA"/>
        </w:rPr>
        <w:t xml:space="preserve">as to reduce a thriving company to zero. In my view, </w:t>
      </w:r>
      <w:r w:rsidR="00E15B1C">
        <w:rPr>
          <w:rFonts w:ascii="Times New Roman" w:eastAsia="Times New Roman" w:hAnsi="Times New Roman" w:cs="Times New Roman"/>
          <w:color w:val="000000"/>
          <w:sz w:val="28"/>
          <w:szCs w:val="28"/>
          <w:lang w:eastAsia="en-ZA"/>
        </w:rPr>
        <w:t xml:space="preserve">it can be reasonably inferred from the papers that </w:t>
      </w:r>
      <w:r w:rsidR="0008581E">
        <w:rPr>
          <w:rFonts w:ascii="Times New Roman" w:eastAsia="Times New Roman" w:hAnsi="Times New Roman" w:cs="Times New Roman"/>
          <w:color w:val="000000"/>
          <w:sz w:val="28"/>
          <w:szCs w:val="28"/>
          <w:lang w:eastAsia="en-ZA"/>
        </w:rPr>
        <w:t>the company did not have any other asset other than the book debt made up of Ned</w:t>
      </w:r>
      <w:r w:rsidR="00845447">
        <w:rPr>
          <w:rFonts w:ascii="Times New Roman" w:eastAsia="Times New Roman" w:hAnsi="Times New Roman" w:cs="Times New Roman"/>
          <w:color w:val="000000"/>
          <w:sz w:val="28"/>
          <w:szCs w:val="28"/>
          <w:lang w:eastAsia="en-ZA"/>
        </w:rPr>
        <w:t>bank for what it was worth when it still rendered services to it. There is also no evidence on papers as to the size of the business it had with Ned</w:t>
      </w:r>
      <w:r>
        <w:rPr>
          <w:rFonts w:ascii="Times New Roman" w:eastAsia="Times New Roman" w:hAnsi="Times New Roman" w:cs="Times New Roman"/>
          <w:color w:val="000000"/>
          <w:sz w:val="28"/>
          <w:szCs w:val="28"/>
          <w:lang w:eastAsia="en-ZA"/>
        </w:rPr>
        <w:t xml:space="preserve">bank and why the relationship came to an end. </w:t>
      </w:r>
    </w:p>
    <w:p w14:paraId="441D46FE" w14:textId="269F6D5E" w:rsidR="00A139D4" w:rsidRDefault="00CC77D6" w:rsidP="00A03D05">
      <w:pPr>
        <w:spacing w:line="360" w:lineRule="auto"/>
        <w:ind w:left="709" w:hanging="709"/>
        <w:jc w:val="both"/>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 xml:space="preserve">[20] </w:t>
      </w:r>
      <w:r w:rsidR="00F86222">
        <w:rPr>
          <w:rFonts w:ascii="Times New Roman" w:eastAsia="Times New Roman" w:hAnsi="Times New Roman" w:cs="Times New Roman"/>
          <w:color w:val="000000"/>
          <w:sz w:val="28"/>
          <w:szCs w:val="28"/>
          <w:lang w:eastAsia="en-ZA"/>
        </w:rPr>
        <w:tab/>
      </w:r>
      <w:r w:rsidR="00C66F17">
        <w:rPr>
          <w:rFonts w:ascii="Times New Roman" w:eastAsia="Times New Roman" w:hAnsi="Times New Roman" w:cs="Times New Roman"/>
          <w:color w:val="000000"/>
          <w:sz w:val="28"/>
          <w:szCs w:val="28"/>
          <w:lang w:eastAsia="en-ZA"/>
        </w:rPr>
        <w:t>T</w:t>
      </w:r>
      <w:r w:rsidR="00725E67">
        <w:rPr>
          <w:rFonts w:ascii="Times New Roman" w:eastAsia="Times New Roman" w:hAnsi="Times New Roman" w:cs="Times New Roman"/>
          <w:color w:val="000000"/>
          <w:sz w:val="28"/>
          <w:szCs w:val="28"/>
          <w:lang w:eastAsia="en-ZA"/>
        </w:rPr>
        <w:t xml:space="preserve">he only interested party who </w:t>
      </w:r>
      <w:r w:rsidR="00237462">
        <w:rPr>
          <w:rFonts w:ascii="Times New Roman" w:eastAsia="Times New Roman" w:hAnsi="Times New Roman" w:cs="Times New Roman"/>
          <w:color w:val="000000"/>
          <w:sz w:val="28"/>
          <w:szCs w:val="28"/>
          <w:lang w:eastAsia="en-ZA"/>
        </w:rPr>
        <w:t xml:space="preserve">probably stands to benefit from the litigation is its sole shareholder. There is no evidence on the papers about </w:t>
      </w:r>
      <w:r w:rsidR="00D03933">
        <w:rPr>
          <w:rFonts w:ascii="Times New Roman" w:eastAsia="Times New Roman" w:hAnsi="Times New Roman" w:cs="Times New Roman"/>
          <w:color w:val="000000"/>
          <w:sz w:val="28"/>
          <w:szCs w:val="28"/>
          <w:lang w:eastAsia="en-ZA"/>
        </w:rPr>
        <w:t>any creditor of the plaintiff.</w:t>
      </w:r>
      <w:r>
        <w:rPr>
          <w:rFonts w:ascii="Times New Roman" w:eastAsia="Times New Roman" w:hAnsi="Times New Roman" w:cs="Times New Roman"/>
          <w:color w:val="000000"/>
          <w:sz w:val="28"/>
          <w:szCs w:val="28"/>
          <w:lang w:eastAsia="en-ZA"/>
        </w:rPr>
        <w:t xml:space="preserve"> </w:t>
      </w:r>
      <w:r w:rsidR="00AE7BEC">
        <w:rPr>
          <w:rFonts w:ascii="Times New Roman" w:eastAsia="Times New Roman" w:hAnsi="Times New Roman" w:cs="Times New Roman"/>
          <w:color w:val="000000"/>
          <w:sz w:val="28"/>
          <w:szCs w:val="28"/>
          <w:lang w:eastAsia="en-ZA"/>
        </w:rPr>
        <w:t>Accordingly, it follows that the defendants are entitled to the security for costs</w:t>
      </w:r>
      <w:r w:rsidR="000E3CDA">
        <w:rPr>
          <w:rFonts w:ascii="Times New Roman" w:eastAsia="Times New Roman" w:hAnsi="Times New Roman" w:cs="Times New Roman"/>
          <w:color w:val="000000"/>
          <w:sz w:val="28"/>
          <w:szCs w:val="28"/>
          <w:lang w:eastAsia="en-ZA"/>
        </w:rPr>
        <w:t xml:space="preserve"> as </w:t>
      </w:r>
      <w:r w:rsidR="001D1BCB">
        <w:rPr>
          <w:rFonts w:ascii="Times New Roman" w:eastAsia="Times New Roman" w:hAnsi="Times New Roman" w:cs="Times New Roman"/>
          <w:color w:val="000000"/>
          <w:sz w:val="28"/>
          <w:szCs w:val="28"/>
          <w:lang w:eastAsia="en-ZA"/>
        </w:rPr>
        <w:t>the plaintiff would not be able to meet the costs order should the main case go against it</w:t>
      </w:r>
      <w:r w:rsidR="00AE7BEC">
        <w:rPr>
          <w:rFonts w:ascii="Times New Roman" w:eastAsia="Times New Roman" w:hAnsi="Times New Roman" w:cs="Times New Roman"/>
          <w:color w:val="000000"/>
          <w:sz w:val="28"/>
          <w:szCs w:val="28"/>
          <w:lang w:eastAsia="en-ZA"/>
        </w:rPr>
        <w:t>.</w:t>
      </w:r>
    </w:p>
    <w:p w14:paraId="3239466E" w14:textId="77777777" w:rsidR="00F86222" w:rsidRDefault="00F86222" w:rsidP="00A03D05">
      <w:pPr>
        <w:spacing w:line="360" w:lineRule="auto"/>
        <w:jc w:val="both"/>
        <w:rPr>
          <w:rFonts w:ascii="Times New Roman" w:eastAsia="Times New Roman" w:hAnsi="Times New Roman" w:cs="Times New Roman"/>
          <w:color w:val="000000"/>
          <w:sz w:val="28"/>
          <w:szCs w:val="28"/>
          <w:lang w:eastAsia="en-ZA"/>
        </w:rPr>
      </w:pPr>
    </w:p>
    <w:p w14:paraId="5A4FC0BA" w14:textId="77777777" w:rsidR="00A03D05" w:rsidRDefault="00A03D05" w:rsidP="00A03D05">
      <w:pPr>
        <w:spacing w:line="360" w:lineRule="auto"/>
        <w:jc w:val="both"/>
        <w:rPr>
          <w:rFonts w:ascii="Times New Roman" w:eastAsia="Times New Roman" w:hAnsi="Times New Roman" w:cs="Times New Roman"/>
          <w:color w:val="000000"/>
          <w:sz w:val="28"/>
          <w:szCs w:val="28"/>
          <w:lang w:eastAsia="en-ZA"/>
        </w:rPr>
      </w:pPr>
    </w:p>
    <w:p w14:paraId="40A18672" w14:textId="77777777" w:rsidR="006A7B43" w:rsidRPr="00A03D05" w:rsidRDefault="00CC77D6" w:rsidP="00A03D05">
      <w:pPr>
        <w:spacing w:line="360" w:lineRule="auto"/>
        <w:ind w:firstLine="709"/>
        <w:jc w:val="both"/>
        <w:rPr>
          <w:rFonts w:ascii="Times New Roman" w:eastAsia="Times New Roman" w:hAnsi="Times New Roman" w:cs="Times New Roman"/>
          <w:b/>
          <w:bCs/>
          <w:color w:val="000000"/>
          <w:sz w:val="28"/>
          <w:szCs w:val="28"/>
          <w:u w:val="single"/>
          <w:lang w:eastAsia="en-ZA"/>
        </w:rPr>
      </w:pPr>
      <w:r w:rsidRPr="00A03D05">
        <w:rPr>
          <w:rFonts w:ascii="Times New Roman" w:eastAsia="Times New Roman" w:hAnsi="Times New Roman" w:cs="Times New Roman"/>
          <w:b/>
          <w:bCs/>
          <w:color w:val="000000"/>
          <w:sz w:val="28"/>
          <w:szCs w:val="28"/>
          <w:u w:val="single"/>
          <w:lang w:eastAsia="en-ZA"/>
        </w:rPr>
        <w:t>ORDER</w:t>
      </w:r>
    </w:p>
    <w:p w14:paraId="0FAFAC51" w14:textId="6F0D0008" w:rsidR="006A7B43" w:rsidRPr="00DC4C06" w:rsidRDefault="00CC77D6" w:rsidP="00A03D05">
      <w:pPr>
        <w:spacing w:line="360" w:lineRule="auto"/>
        <w:jc w:val="both"/>
        <w:rPr>
          <w:rFonts w:ascii="Times New Roman" w:eastAsia="Times New Roman" w:hAnsi="Times New Roman" w:cs="Times New Roman"/>
          <w:b/>
          <w:bCs/>
          <w:color w:val="000000"/>
          <w:sz w:val="28"/>
          <w:szCs w:val="28"/>
          <w:lang w:eastAsia="en-ZA"/>
        </w:rPr>
      </w:pPr>
      <w:r>
        <w:rPr>
          <w:rFonts w:ascii="Times New Roman" w:eastAsia="Times New Roman" w:hAnsi="Times New Roman" w:cs="Times New Roman"/>
          <w:color w:val="000000"/>
          <w:sz w:val="28"/>
          <w:szCs w:val="28"/>
          <w:lang w:eastAsia="en-ZA"/>
        </w:rPr>
        <w:t xml:space="preserve">[21] </w:t>
      </w:r>
      <w:r w:rsidR="00F86222">
        <w:rPr>
          <w:rFonts w:ascii="Times New Roman" w:eastAsia="Times New Roman" w:hAnsi="Times New Roman" w:cs="Times New Roman"/>
          <w:color w:val="000000"/>
          <w:sz w:val="28"/>
          <w:szCs w:val="28"/>
          <w:lang w:eastAsia="en-ZA"/>
        </w:rPr>
        <w:tab/>
      </w:r>
      <w:r w:rsidR="004902FB">
        <w:rPr>
          <w:rFonts w:ascii="Times New Roman" w:eastAsia="Times New Roman" w:hAnsi="Times New Roman" w:cs="Times New Roman"/>
          <w:color w:val="000000"/>
          <w:sz w:val="28"/>
          <w:szCs w:val="28"/>
          <w:lang w:eastAsia="en-ZA"/>
        </w:rPr>
        <w:t>As a result, the</w:t>
      </w:r>
      <w:r>
        <w:rPr>
          <w:rFonts w:ascii="Times New Roman" w:eastAsia="Times New Roman" w:hAnsi="Times New Roman" w:cs="Times New Roman"/>
          <w:color w:val="000000"/>
          <w:sz w:val="28"/>
          <w:szCs w:val="28"/>
          <w:lang w:eastAsia="en-ZA"/>
        </w:rPr>
        <w:t xml:space="preserve"> following order is made</w:t>
      </w:r>
      <w:r w:rsidR="00BA5ADD">
        <w:rPr>
          <w:rFonts w:ascii="Times New Roman" w:eastAsia="Times New Roman" w:hAnsi="Times New Roman" w:cs="Times New Roman"/>
          <w:color w:val="000000"/>
          <w:sz w:val="28"/>
          <w:szCs w:val="28"/>
          <w:lang w:eastAsia="en-ZA"/>
        </w:rPr>
        <w:t>:</w:t>
      </w:r>
      <w:r w:rsidR="007C6F1E">
        <w:rPr>
          <w:rFonts w:ascii="Times New Roman" w:eastAsia="Times New Roman" w:hAnsi="Times New Roman" w:cs="Times New Roman"/>
          <w:color w:val="000000"/>
          <w:sz w:val="28"/>
          <w:szCs w:val="28"/>
          <w:lang w:eastAsia="en-ZA"/>
        </w:rPr>
        <w:t xml:space="preserve"> </w:t>
      </w:r>
    </w:p>
    <w:p w14:paraId="61725E4A" w14:textId="77777777" w:rsidR="00A03D05" w:rsidRPr="00A03D05" w:rsidRDefault="00CC77D6" w:rsidP="00D73B45">
      <w:pPr>
        <w:spacing w:after="480" w:line="360" w:lineRule="auto"/>
        <w:ind w:left="1436" w:hanging="585"/>
        <w:jc w:val="both"/>
        <w:rPr>
          <w:rFonts w:ascii="Times New Roman" w:hAnsi="Times New Roman" w:cs="Times New Roman"/>
          <w:sz w:val="28"/>
          <w:szCs w:val="28"/>
        </w:rPr>
      </w:pPr>
      <w:r w:rsidRPr="00A03D05">
        <w:rPr>
          <w:rFonts w:ascii="Times New Roman" w:eastAsia="Times New Roman" w:hAnsi="Times New Roman" w:cs="Times New Roman"/>
          <w:sz w:val="28"/>
          <w:szCs w:val="28"/>
          <w:lang w:eastAsia="en-ZA"/>
        </w:rPr>
        <w:t>(a)</w:t>
      </w:r>
      <w:r w:rsidRPr="00A03D05">
        <w:rPr>
          <w:rFonts w:ascii="Times New Roman" w:hAnsi="Times New Roman" w:cs="Times New Roman"/>
          <w:sz w:val="28"/>
          <w:szCs w:val="28"/>
        </w:rPr>
        <w:t xml:space="preserve"> </w:t>
      </w:r>
      <w:r w:rsidRPr="00A03D05">
        <w:rPr>
          <w:rFonts w:ascii="Times New Roman" w:hAnsi="Times New Roman" w:cs="Times New Roman"/>
          <w:sz w:val="28"/>
          <w:szCs w:val="28"/>
        </w:rPr>
        <w:tab/>
        <w:t>The application for leave to file a supplementary affidavit is granted only to the extent that the respondent intends to introduce the annexures referred to in its answering affidavit in the main application.</w:t>
      </w:r>
    </w:p>
    <w:p w14:paraId="7B9825EE" w14:textId="058AC663" w:rsidR="00A03D05" w:rsidRPr="00A03D05" w:rsidRDefault="00CC77D6" w:rsidP="00D73B45">
      <w:pPr>
        <w:spacing w:after="480" w:line="360" w:lineRule="auto"/>
        <w:ind w:left="1436" w:hanging="585"/>
        <w:jc w:val="both"/>
        <w:rPr>
          <w:rFonts w:ascii="Times New Roman" w:hAnsi="Times New Roman" w:cs="Times New Roman"/>
          <w:sz w:val="28"/>
          <w:szCs w:val="28"/>
        </w:rPr>
      </w:pPr>
      <w:r w:rsidRPr="00A03D05">
        <w:rPr>
          <w:rFonts w:ascii="Times New Roman" w:hAnsi="Times New Roman" w:cs="Times New Roman"/>
          <w:sz w:val="28"/>
          <w:szCs w:val="28"/>
        </w:rPr>
        <w:t>(b)</w:t>
      </w:r>
      <w:r w:rsidR="0022301F">
        <w:rPr>
          <w:rFonts w:ascii="Times New Roman" w:hAnsi="Times New Roman" w:cs="Times New Roman"/>
          <w:sz w:val="28"/>
          <w:szCs w:val="28"/>
        </w:rPr>
        <w:tab/>
      </w:r>
      <w:r w:rsidR="0062237C">
        <w:rPr>
          <w:rFonts w:ascii="Times New Roman" w:hAnsi="Times New Roman" w:cs="Times New Roman"/>
          <w:sz w:val="28"/>
          <w:szCs w:val="28"/>
        </w:rPr>
        <w:t>No order as to cost is made against the</w:t>
      </w:r>
      <w:r w:rsidRPr="00A03D05">
        <w:rPr>
          <w:rFonts w:ascii="Times New Roman" w:hAnsi="Times New Roman" w:cs="Times New Roman"/>
          <w:sz w:val="28"/>
          <w:szCs w:val="28"/>
        </w:rPr>
        <w:t xml:space="preserve"> </w:t>
      </w:r>
      <w:r w:rsidR="00486E43">
        <w:rPr>
          <w:rFonts w:ascii="Times New Roman" w:hAnsi="Times New Roman" w:cs="Times New Roman"/>
          <w:sz w:val="28"/>
          <w:szCs w:val="28"/>
        </w:rPr>
        <w:t xml:space="preserve">plaintiff </w:t>
      </w:r>
      <w:r w:rsidRPr="00A03D05">
        <w:rPr>
          <w:rFonts w:ascii="Times New Roman" w:hAnsi="Times New Roman" w:cs="Times New Roman"/>
          <w:sz w:val="28"/>
          <w:szCs w:val="28"/>
        </w:rPr>
        <w:t>in respect of the application for leave to introduce a supplementary affidavit</w:t>
      </w:r>
      <w:r w:rsidR="00486E43">
        <w:rPr>
          <w:rFonts w:ascii="Times New Roman" w:hAnsi="Times New Roman" w:cs="Times New Roman"/>
          <w:sz w:val="28"/>
          <w:szCs w:val="28"/>
        </w:rPr>
        <w:t xml:space="preserve"> as the application was not opp</w:t>
      </w:r>
      <w:r w:rsidR="00671953">
        <w:rPr>
          <w:rFonts w:ascii="Times New Roman" w:hAnsi="Times New Roman" w:cs="Times New Roman"/>
          <w:sz w:val="28"/>
          <w:szCs w:val="28"/>
        </w:rPr>
        <w:t>osed</w:t>
      </w:r>
      <w:r w:rsidRPr="00A03D05">
        <w:rPr>
          <w:rFonts w:ascii="Times New Roman" w:hAnsi="Times New Roman" w:cs="Times New Roman"/>
          <w:sz w:val="28"/>
          <w:szCs w:val="28"/>
        </w:rPr>
        <w:t>.</w:t>
      </w:r>
    </w:p>
    <w:p w14:paraId="16F40EA1" w14:textId="77777777" w:rsidR="00A03D05" w:rsidRPr="00A03D05" w:rsidRDefault="00CC77D6" w:rsidP="00D73B45">
      <w:pPr>
        <w:spacing w:after="480" w:line="360" w:lineRule="auto"/>
        <w:ind w:left="1436" w:hanging="585"/>
        <w:jc w:val="both"/>
        <w:rPr>
          <w:rFonts w:ascii="Times New Roman" w:hAnsi="Times New Roman" w:cs="Times New Roman"/>
          <w:sz w:val="28"/>
          <w:szCs w:val="28"/>
        </w:rPr>
      </w:pPr>
      <w:r w:rsidRPr="00A03D05">
        <w:rPr>
          <w:rFonts w:ascii="Times New Roman" w:hAnsi="Times New Roman" w:cs="Times New Roman"/>
          <w:sz w:val="28"/>
          <w:szCs w:val="28"/>
        </w:rPr>
        <w:t>(c)</w:t>
      </w:r>
      <w:r w:rsidRPr="00A03D05">
        <w:rPr>
          <w:rFonts w:ascii="Times New Roman" w:hAnsi="Times New Roman" w:cs="Times New Roman"/>
          <w:sz w:val="28"/>
          <w:szCs w:val="28"/>
        </w:rPr>
        <w:tab/>
        <w:t>The respondent (plaintiff in the action) is directed to put up security for costs in the amount of R 500 000.00 (five hundred thousand rand) in the form of a bank guarantee in favor of the applicant or any other form acceptable to the applicants.</w:t>
      </w:r>
    </w:p>
    <w:p w14:paraId="2BE1F102" w14:textId="4F140B3D" w:rsidR="00A03D05" w:rsidRPr="00A03D05" w:rsidRDefault="00CC77D6" w:rsidP="00D73B45">
      <w:pPr>
        <w:spacing w:after="480" w:line="360" w:lineRule="auto"/>
        <w:ind w:left="1436" w:hanging="585"/>
        <w:jc w:val="both"/>
        <w:rPr>
          <w:rFonts w:ascii="Times New Roman" w:hAnsi="Times New Roman" w:cs="Times New Roman"/>
          <w:sz w:val="28"/>
          <w:szCs w:val="28"/>
        </w:rPr>
      </w:pPr>
      <w:r w:rsidRPr="00A03D05">
        <w:rPr>
          <w:rFonts w:ascii="Times New Roman" w:hAnsi="Times New Roman" w:cs="Times New Roman"/>
          <w:sz w:val="28"/>
          <w:szCs w:val="28"/>
        </w:rPr>
        <w:t>(d)</w:t>
      </w:r>
      <w:r w:rsidRPr="00A03D05">
        <w:rPr>
          <w:rFonts w:ascii="Times New Roman" w:hAnsi="Times New Roman" w:cs="Times New Roman"/>
          <w:sz w:val="28"/>
          <w:szCs w:val="28"/>
        </w:rPr>
        <w:tab/>
        <w:t xml:space="preserve">The respondent (plaintiff in the main action) is directed to pay the applicants’ costs of the application in terms of Uniform Rule 47. </w:t>
      </w:r>
    </w:p>
    <w:p w14:paraId="74147C87" w14:textId="77777777" w:rsidR="0014483C" w:rsidRPr="0014483C" w:rsidRDefault="0014483C" w:rsidP="00A03D05">
      <w:pPr>
        <w:spacing w:after="200" w:line="360" w:lineRule="auto"/>
        <w:jc w:val="both"/>
        <w:rPr>
          <w:rFonts w:ascii="Times New Roman" w:eastAsia="MS Mincho" w:hAnsi="Times New Roman" w:cs="Times New Roman"/>
          <w:color w:val="000000"/>
          <w:sz w:val="28"/>
          <w:szCs w:val="28"/>
          <w:lang w:val="en-GB" w:eastAsia="ja-JP"/>
        </w:rPr>
      </w:pPr>
    </w:p>
    <w:p w14:paraId="50FA387C" w14:textId="77777777" w:rsidR="0014483C" w:rsidRPr="0014483C" w:rsidRDefault="0014483C" w:rsidP="00A03D05">
      <w:pPr>
        <w:spacing w:after="200" w:line="360" w:lineRule="auto"/>
        <w:jc w:val="both"/>
        <w:rPr>
          <w:rFonts w:ascii="Times New Roman" w:eastAsia="MS Mincho" w:hAnsi="Times New Roman" w:cs="Times New Roman"/>
          <w:color w:val="000000"/>
          <w:sz w:val="28"/>
          <w:szCs w:val="28"/>
          <w:lang w:val="en-GB" w:eastAsia="ja-JP"/>
        </w:rPr>
      </w:pPr>
    </w:p>
    <w:p w14:paraId="2A55C730" w14:textId="77777777" w:rsidR="00A03D05" w:rsidRDefault="00CC77D6" w:rsidP="00A03D05">
      <w:pPr>
        <w:widowControl w:val="0"/>
        <w:autoSpaceDE w:val="0"/>
        <w:autoSpaceDN w:val="0"/>
        <w:spacing w:before="9" w:after="0" w:line="360" w:lineRule="auto"/>
        <w:jc w:val="both"/>
        <w:rPr>
          <w:rFonts w:ascii="Times New Roman" w:eastAsia="Arial" w:hAnsi="Times New Roman" w:cs="Times New Roman"/>
          <w:b/>
          <w:color w:val="000000"/>
          <w:sz w:val="28"/>
          <w:szCs w:val="28"/>
          <w:lang w:val="en-US"/>
        </w:rPr>
      </w:pPr>
      <w:r w:rsidRPr="0014483C">
        <w:rPr>
          <w:rFonts w:ascii="Times New Roman" w:eastAsia="Arial" w:hAnsi="Times New Roman" w:cs="Times New Roman"/>
          <w:noProof/>
          <w:color w:val="000000"/>
          <w:sz w:val="28"/>
          <w:szCs w:val="28"/>
          <w:lang w:val="en-US"/>
        </w:rPr>
        <mc:AlternateContent>
          <mc:Choice Requires="wps">
            <w:drawing>
              <wp:anchor distT="0" distB="0" distL="0" distR="0" simplePos="0" relativeHeight="251658240" behindDoc="1" locked="0" layoutInCell="1" allowOverlap="1" wp14:anchorId="3531A5E2" wp14:editId="4CB5965C">
                <wp:simplePos x="0" y="0"/>
                <wp:positionH relativeFrom="page">
                  <wp:posOffset>825500</wp:posOffset>
                </wp:positionH>
                <wp:positionV relativeFrom="paragraph">
                  <wp:posOffset>219075</wp:posOffset>
                </wp:positionV>
                <wp:extent cx="3436620" cy="1270"/>
                <wp:effectExtent l="0" t="0" r="0" b="0"/>
                <wp:wrapTopAndBottom/>
                <wp:docPr id="1875625001" name="Freeform: Shape 1875625001"/>
                <wp:cNvGraphicFramePr/>
                <a:graphic xmlns:a="http://schemas.openxmlformats.org/drawingml/2006/main">
                  <a:graphicData uri="http://schemas.microsoft.com/office/word/2010/wordprocessingShape">
                    <wps:wsp>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5DA517C" id="Freeform: Shape 1875625001" o:spid="_x0000_s1026" style="position:absolute;margin-left:65pt;margin-top:17.25pt;width:270.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" path="m,l5413,e" filled="f" strokeweight=".37678mm">
                <v:path arrowok="t" o:connecttype="custom" o:connectlocs="0,0;3437255,0" o:connectangles="0,0"/>
                <w10:wrap type="topAndBottom" anchorx="page"/>
              </v:shape>
            </w:pict>
          </mc:Fallback>
        </mc:AlternateContent>
      </w:r>
    </w:p>
    <w:p w14:paraId="37C7439F" w14:textId="77777777" w:rsidR="0022301F" w:rsidRDefault="00CC77D6" w:rsidP="0022301F">
      <w:pPr>
        <w:widowControl w:val="0"/>
        <w:autoSpaceDE w:val="0"/>
        <w:autoSpaceDN w:val="0"/>
        <w:spacing w:after="0" w:line="360" w:lineRule="auto"/>
        <w:jc w:val="both"/>
        <w:rPr>
          <w:rFonts w:ascii="Times New Roman" w:eastAsia="Arial" w:hAnsi="Times New Roman" w:cs="Times New Roman"/>
          <w:b/>
          <w:color w:val="000000"/>
          <w:sz w:val="28"/>
          <w:szCs w:val="28"/>
          <w:lang w:val="en-US"/>
        </w:rPr>
      </w:pPr>
      <w:r w:rsidRPr="0014483C">
        <w:rPr>
          <w:rFonts w:ascii="Times New Roman" w:eastAsia="Arial" w:hAnsi="Times New Roman" w:cs="Times New Roman"/>
          <w:b/>
          <w:color w:val="000000"/>
          <w:sz w:val="28"/>
          <w:szCs w:val="28"/>
          <w:lang w:val="en-US"/>
        </w:rPr>
        <w:t xml:space="preserve">ML </w:t>
      </w:r>
      <w:bookmarkStart w:id="17" w:name="_GoBack"/>
      <w:r w:rsidRPr="0014483C">
        <w:rPr>
          <w:rFonts w:ascii="Times New Roman" w:eastAsia="Arial" w:hAnsi="Times New Roman" w:cs="Times New Roman"/>
          <w:b/>
          <w:color w:val="000000"/>
          <w:sz w:val="28"/>
          <w:szCs w:val="28"/>
          <w:lang w:val="en-US"/>
        </w:rPr>
        <w:t>SENYATSI</w:t>
      </w:r>
    </w:p>
    <w:bookmarkEnd w:id="17"/>
    <w:p w14:paraId="7279F3AA" w14:textId="77777777" w:rsidR="0014483C" w:rsidRPr="0014483C" w:rsidRDefault="00CC77D6" w:rsidP="0022301F">
      <w:pPr>
        <w:widowControl w:val="0"/>
        <w:autoSpaceDE w:val="0"/>
        <w:autoSpaceDN w:val="0"/>
        <w:spacing w:after="0" w:line="360" w:lineRule="auto"/>
        <w:jc w:val="both"/>
        <w:rPr>
          <w:rFonts w:ascii="Times New Roman" w:eastAsia="Arial" w:hAnsi="Times New Roman" w:cs="Times New Roman"/>
          <w:b/>
          <w:color w:val="000000"/>
          <w:spacing w:val="-2"/>
          <w:sz w:val="28"/>
          <w:szCs w:val="28"/>
          <w:lang w:val="en-US"/>
        </w:rPr>
      </w:pPr>
      <w:r w:rsidRPr="0014483C">
        <w:rPr>
          <w:rFonts w:ascii="Times New Roman" w:eastAsia="Arial" w:hAnsi="Times New Roman" w:cs="Times New Roman"/>
          <w:b/>
          <w:color w:val="000000"/>
          <w:sz w:val="28"/>
          <w:szCs w:val="28"/>
          <w:lang w:val="en-US"/>
        </w:rPr>
        <w:t>JUDGE</w:t>
      </w:r>
      <w:r w:rsidRPr="0014483C">
        <w:rPr>
          <w:rFonts w:ascii="Times New Roman" w:eastAsia="Arial" w:hAnsi="Times New Roman" w:cs="Times New Roman"/>
          <w:b/>
          <w:color w:val="000000"/>
          <w:spacing w:val="-3"/>
          <w:sz w:val="28"/>
          <w:szCs w:val="28"/>
          <w:lang w:val="en-US"/>
        </w:rPr>
        <w:t xml:space="preserve"> </w:t>
      </w:r>
      <w:r w:rsidRPr="0014483C">
        <w:rPr>
          <w:rFonts w:ascii="Times New Roman" w:eastAsia="Arial" w:hAnsi="Times New Roman" w:cs="Times New Roman"/>
          <w:b/>
          <w:color w:val="000000"/>
          <w:sz w:val="28"/>
          <w:szCs w:val="28"/>
          <w:lang w:val="en-US"/>
        </w:rPr>
        <w:t>OF</w:t>
      </w:r>
      <w:r w:rsidRPr="0014483C">
        <w:rPr>
          <w:rFonts w:ascii="Times New Roman" w:eastAsia="Arial" w:hAnsi="Times New Roman" w:cs="Times New Roman"/>
          <w:b/>
          <w:color w:val="000000"/>
          <w:spacing w:val="-1"/>
          <w:sz w:val="28"/>
          <w:szCs w:val="28"/>
          <w:lang w:val="en-US"/>
        </w:rPr>
        <w:t xml:space="preserve"> </w:t>
      </w:r>
      <w:r w:rsidRPr="0014483C">
        <w:rPr>
          <w:rFonts w:ascii="Times New Roman" w:eastAsia="Arial" w:hAnsi="Times New Roman" w:cs="Times New Roman"/>
          <w:b/>
          <w:color w:val="000000"/>
          <w:sz w:val="28"/>
          <w:szCs w:val="28"/>
          <w:lang w:val="en-US"/>
        </w:rPr>
        <w:t>THE</w:t>
      </w:r>
      <w:r w:rsidRPr="0014483C">
        <w:rPr>
          <w:rFonts w:ascii="Times New Roman" w:eastAsia="Arial" w:hAnsi="Times New Roman" w:cs="Times New Roman"/>
          <w:b/>
          <w:color w:val="000000"/>
          <w:spacing w:val="-13"/>
          <w:sz w:val="28"/>
          <w:szCs w:val="28"/>
          <w:lang w:val="en-US"/>
        </w:rPr>
        <w:t xml:space="preserve"> </w:t>
      </w:r>
      <w:r w:rsidRPr="0014483C">
        <w:rPr>
          <w:rFonts w:ascii="Times New Roman" w:eastAsia="Arial" w:hAnsi="Times New Roman" w:cs="Times New Roman"/>
          <w:b/>
          <w:color w:val="000000"/>
          <w:sz w:val="28"/>
          <w:szCs w:val="28"/>
          <w:lang w:val="en-US"/>
        </w:rPr>
        <w:t>HIGH</w:t>
      </w:r>
      <w:r w:rsidRPr="0014483C">
        <w:rPr>
          <w:rFonts w:ascii="Times New Roman" w:eastAsia="Arial" w:hAnsi="Times New Roman" w:cs="Times New Roman"/>
          <w:b/>
          <w:color w:val="000000"/>
          <w:spacing w:val="-4"/>
          <w:sz w:val="28"/>
          <w:szCs w:val="28"/>
          <w:lang w:val="en-US"/>
        </w:rPr>
        <w:t xml:space="preserve"> </w:t>
      </w:r>
      <w:r w:rsidRPr="0014483C">
        <w:rPr>
          <w:rFonts w:ascii="Times New Roman" w:eastAsia="Arial" w:hAnsi="Times New Roman" w:cs="Times New Roman"/>
          <w:b/>
          <w:color w:val="000000"/>
          <w:sz w:val="28"/>
          <w:szCs w:val="28"/>
          <w:lang w:val="en-US"/>
        </w:rPr>
        <w:t>COURT</w:t>
      </w:r>
      <w:r w:rsidRPr="0014483C">
        <w:rPr>
          <w:rFonts w:ascii="Times New Roman" w:eastAsia="Arial" w:hAnsi="Times New Roman" w:cs="Times New Roman"/>
          <w:b/>
          <w:color w:val="000000"/>
          <w:spacing w:val="-1"/>
          <w:sz w:val="28"/>
          <w:szCs w:val="28"/>
          <w:lang w:val="en-US"/>
        </w:rPr>
        <w:t xml:space="preserve"> </w:t>
      </w:r>
      <w:r w:rsidRPr="0014483C">
        <w:rPr>
          <w:rFonts w:ascii="Times New Roman" w:eastAsia="Arial" w:hAnsi="Times New Roman" w:cs="Times New Roman"/>
          <w:b/>
          <w:color w:val="000000"/>
          <w:sz w:val="28"/>
          <w:szCs w:val="28"/>
          <w:lang w:val="en-US"/>
        </w:rPr>
        <w:t>OF</w:t>
      </w:r>
      <w:r w:rsidRPr="0014483C">
        <w:rPr>
          <w:rFonts w:ascii="Times New Roman" w:eastAsia="Arial" w:hAnsi="Times New Roman" w:cs="Times New Roman"/>
          <w:b/>
          <w:color w:val="000000"/>
          <w:spacing w:val="-2"/>
          <w:sz w:val="28"/>
          <w:szCs w:val="28"/>
          <w:lang w:val="en-US"/>
        </w:rPr>
        <w:t xml:space="preserve"> </w:t>
      </w:r>
      <w:r w:rsidRPr="0014483C">
        <w:rPr>
          <w:rFonts w:ascii="Times New Roman" w:eastAsia="Arial" w:hAnsi="Times New Roman" w:cs="Times New Roman"/>
          <w:b/>
          <w:color w:val="000000"/>
          <w:sz w:val="28"/>
          <w:szCs w:val="28"/>
          <w:lang w:val="en-US"/>
        </w:rPr>
        <w:t>SOUTH</w:t>
      </w:r>
      <w:r w:rsidRPr="0014483C">
        <w:rPr>
          <w:rFonts w:ascii="Times New Roman" w:eastAsia="Arial" w:hAnsi="Times New Roman" w:cs="Times New Roman"/>
          <w:b/>
          <w:color w:val="000000"/>
          <w:spacing w:val="-14"/>
          <w:sz w:val="28"/>
          <w:szCs w:val="28"/>
          <w:lang w:val="en-US"/>
        </w:rPr>
        <w:t xml:space="preserve"> </w:t>
      </w:r>
      <w:r w:rsidRPr="0014483C">
        <w:rPr>
          <w:rFonts w:ascii="Times New Roman" w:eastAsia="Arial" w:hAnsi="Times New Roman" w:cs="Times New Roman"/>
          <w:b/>
          <w:color w:val="000000"/>
          <w:spacing w:val="-2"/>
          <w:sz w:val="28"/>
          <w:szCs w:val="28"/>
          <w:lang w:val="en-US"/>
        </w:rPr>
        <w:t>AFRICA</w:t>
      </w:r>
    </w:p>
    <w:p w14:paraId="4B85B6D8" w14:textId="77777777" w:rsidR="0014483C" w:rsidRPr="0014483C" w:rsidRDefault="00CC77D6" w:rsidP="0022301F">
      <w:pPr>
        <w:suppressAutoHyphens/>
        <w:spacing w:after="120" w:line="360" w:lineRule="auto"/>
        <w:jc w:val="both"/>
        <w:rPr>
          <w:rFonts w:ascii="Times New Roman" w:eastAsia="Arial Unicode MS" w:hAnsi="Times New Roman" w:cs="Times New Roman"/>
          <w:b/>
          <w:sz w:val="28"/>
          <w:szCs w:val="28"/>
          <w:u w:val="single"/>
        </w:rPr>
      </w:pPr>
      <w:r w:rsidRPr="0014483C">
        <w:rPr>
          <w:rFonts w:ascii="Times New Roman" w:eastAsia="Arial" w:hAnsi="Times New Roman" w:cs="Times New Roman"/>
          <w:b/>
          <w:color w:val="000000"/>
          <w:spacing w:val="-2"/>
          <w:sz w:val="28"/>
          <w:szCs w:val="28"/>
          <w:lang w:val="en-US"/>
        </w:rPr>
        <w:t>GAUTENG DIVISION, JOHANNESBURG</w:t>
      </w:r>
    </w:p>
    <w:p w14:paraId="63C4607F" w14:textId="77777777" w:rsidR="0014483C" w:rsidRPr="0014483C" w:rsidRDefault="0014483C" w:rsidP="00A03D05">
      <w:pPr>
        <w:suppressAutoHyphens/>
        <w:spacing w:before="120" w:after="120" w:line="360" w:lineRule="auto"/>
        <w:jc w:val="both"/>
        <w:rPr>
          <w:rFonts w:ascii="Times New Roman" w:eastAsia="Arial Unicode MS" w:hAnsi="Times New Roman" w:cs="Times New Roman"/>
          <w:b/>
          <w:sz w:val="28"/>
          <w:szCs w:val="28"/>
          <w:u w:val="single"/>
        </w:rPr>
      </w:pPr>
    </w:p>
    <w:p w14:paraId="7FB6D4C7" w14:textId="77777777" w:rsidR="00D73B45" w:rsidRDefault="00CC77D6" w:rsidP="00D73B45">
      <w:pPr>
        <w:spacing w:before="120" w:after="120" w:line="360" w:lineRule="auto"/>
        <w:rPr>
          <w:rFonts w:ascii="Times New Roman" w:eastAsia="Arial Unicode MS" w:hAnsi="Times New Roman"/>
          <w:bCs/>
          <w:sz w:val="28"/>
          <w:szCs w:val="28"/>
        </w:rPr>
      </w:pPr>
      <w:r w:rsidRPr="009D75D2">
        <w:rPr>
          <w:rFonts w:ascii="Times New Roman" w:eastAsia="Arial Unicode MS" w:hAnsi="Times New Roman"/>
          <w:bCs/>
          <w:sz w:val="28"/>
          <w:szCs w:val="28"/>
        </w:rPr>
        <w:lastRenderedPageBreak/>
        <w:t>Delivered: This Judgment was handed down electronically by circulation to</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the</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parties/ their legal representatives by email and by uploading to the electronic</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 xml:space="preserve">file on Case Lines. The date for hand-down is deemed to be </w:t>
      </w:r>
      <w:r>
        <w:rPr>
          <w:rFonts w:ascii="Times New Roman" w:eastAsia="Arial Unicode MS" w:hAnsi="Times New Roman"/>
          <w:bCs/>
          <w:sz w:val="28"/>
          <w:szCs w:val="28"/>
        </w:rPr>
        <w:t>17 July</w:t>
      </w:r>
      <w:r w:rsidRPr="009D75D2">
        <w:rPr>
          <w:rFonts w:ascii="Times New Roman" w:eastAsia="Arial Unicode MS" w:hAnsi="Times New Roman"/>
          <w:bCs/>
          <w:sz w:val="28"/>
          <w:szCs w:val="28"/>
        </w:rPr>
        <w:t xml:space="preserve"> 2023</w:t>
      </w:r>
      <w:r>
        <w:rPr>
          <w:rFonts w:ascii="Times New Roman" w:eastAsia="Arial Unicode MS" w:hAnsi="Times New Roman"/>
          <w:bCs/>
          <w:sz w:val="28"/>
          <w:szCs w:val="28"/>
        </w:rPr>
        <w:t>.</w:t>
      </w:r>
    </w:p>
    <w:p w14:paraId="240DE509" w14:textId="77777777" w:rsidR="0014483C" w:rsidRPr="0014483C" w:rsidRDefault="0014483C" w:rsidP="00A03D05">
      <w:pPr>
        <w:suppressAutoHyphens/>
        <w:spacing w:before="120" w:after="120" w:line="360" w:lineRule="auto"/>
        <w:jc w:val="both"/>
        <w:rPr>
          <w:rFonts w:ascii="Times New Roman" w:eastAsia="Arial Unicode MS" w:hAnsi="Times New Roman" w:cs="Times New Roman"/>
          <w:b/>
          <w:sz w:val="28"/>
          <w:szCs w:val="28"/>
          <w:u w:val="single"/>
        </w:rPr>
      </w:pPr>
    </w:p>
    <w:p w14:paraId="44183ECB" w14:textId="77777777" w:rsidR="0014483C" w:rsidRPr="0014483C" w:rsidRDefault="00CC77D6" w:rsidP="00A03D05">
      <w:pPr>
        <w:suppressAutoHyphens/>
        <w:spacing w:before="120" w:after="120" w:line="360" w:lineRule="auto"/>
        <w:ind w:left="720" w:hanging="720"/>
        <w:jc w:val="both"/>
        <w:rPr>
          <w:rFonts w:ascii="Times New Roman" w:eastAsia="Arial Unicode MS" w:hAnsi="Times New Roman" w:cs="Times New Roman"/>
          <w:b/>
          <w:sz w:val="28"/>
          <w:szCs w:val="28"/>
        </w:rPr>
      </w:pPr>
      <w:r w:rsidRPr="0014483C">
        <w:rPr>
          <w:rFonts w:ascii="Times New Roman" w:eastAsia="Arial Unicode MS" w:hAnsi="Times New Roman" w:cs="Times New Roman"/>
          <w:b/>
          <w:sz w:val="28"/>
          <w:szCs w:val="28"/>
          <w:u w:val="single"/>
        </w:rPr>
        <w:t>DATE APPLICATION HEARD</w:t>
      </w:r>
      <w:r w:rsidRPr="0014483C">
        <w:rPr>
          <w:rFonts w:ascii="Times New Roman" w:eastAsia="Arial Unicode MS" w:hAnsi="Times New Roman" w:cs="Times New Roman"/>
          <w:sz w:val="28"/>
          <w:szCs w:val="28"/>
        </w:rPr>
        <w:t xml:space="preserve">: </w:t>
      </w:r>
      <w:r w:rsidRPr="0014483C">
        <w:rPr>
          <w:rFonts w:ascii="Times New Roman" w:eastAsia="Arial Unicode MS" w:hAnsi="Times New Roman" w:cs="Times New Roman"/>
          <w:sz w:val="28"/>
          <w:szCs w:val="28"/>
        </w:rPr>
        <w:tab/>
      </w:r>
      <w:r w:rsidR="00F86222">
        <w:rPr>
          <w:rFonts w:ascii="Times New Roman" w:eastAsia="Arial Unicode MS" w:hAnsi="Times New Roman" w:cs="Times New Roman"/>
          <w:sz w:val="28"/>
          <w:szCs w:val="28"/>
        </w:rPr>
        <w:t>24 April 2023</w:t>
      </w:r>
    </w:p>
    <w:p w14:paraId="712DD83F" w14:textId="77777777" w:rsidR="0014483C" w:rsidRPr="0014483C" w:rsidRDefault="00CC77D6" w:rsidP="00A03D05">
      <w:pPr>
        <w:suppressAutoHyphens/>
        <w:spacing w:after="0" w:line="360" w:lineRule="auto"/>
        <w:jc w:val="both"/>
        <w:rPr>
          <w:rFonts w:ascii="Times New Roman" w:eastAsia="Arial Unicode MS" w:hAnsi="Times New Roman" w:cs="Times New Roman"/>
          <w:sz w:val="28"/>
          <w:szCs w:val="28"/>
          <w:u w:val="single"/>
        </w:rPr>
      </w:pPr>
      <w:r w:rsidRPr="0014483C">
        <w:rPr>
          <w:rFonts w:ascii="Times New Roman" w:eastAsia="Arial Unicode MS" w:hAnsi="Times New Roman" w:cs="Times New Roman"/>
          <w:b/>
          <w:sz w:val="28"/>
          <w:szCs w:val="28"/>
          <w:u w:val="single"/>
        </w:rPr>
        <w:t>DATE JUDGMENT HANDED DOWN</w:t>
      </w:r>
      <w:r w:rsidRPr="0014483C">
        <w:rPr>
          <w:rFonts w:ascii="Times New Roman" w:eastAsia="Arial Unicode MS" w:hAnsi="Times New Roman" w:cs="Times New Roman"/>
          <w:sz w:val="28"/>
          <w:szCs w:val="28"/>
          <w:u w:val="single"/>
        </w:rPr>
        <w:t>:</w:t>
      </w:r>
      <w:r w:rsidRPr="0014483C">
        <w:rPr>
          <w:rFonts w:ascii="Times New Roman" w:eastAsia="Arial Unicode MS" w:hAnsi="Times New Roman" w:cs="Times New Roman"/>
          <w:sz w:val="28"/>
          <w:szCs w:val="28"/>
        </w:rPr>
        <w:t xml:space="preserve">  </w:t>
      </w:r>
      <w:r w:rsidR="00F86222">
        <w:rPr>
          <w:rFonts w:ascii="Times New Roman" w:eastAsia="Arial Unicode MS" w:hAnsi="Times New Roman" w:cs="Times New Roman"/>
          <w:sz w:val="28"/>
          <w:szCs w:val="28"/>
        </w:rPr>
        <w:t>17 July 2023</w:t>
      </w:r>
    </w:p>
    <w:p w14:paraId="06CDD550" w14:textId="77777777" w:rsidR="0014483C" w:rsidRPr="0014483C" w:rsidRDefault="0014483C" w:rsidP="00A03D05">
      <w:pPr>
        <w:suppressAutoHyphens/>
        <w:spacing w:after="0" w:line="360" w:lineRule="auto"/>
        <w:jc w:val="both"/>
        <w:rPr>
          <w:rFonts w:ascii="Times New Roman" w:eastAsia="Arial Unicode MS" w:hAnsi="Times New Roman" w:cs="Times New Roman"/>
          <w:b/>
          <w:sz w:val="28"/>
          <w:szCs w:val="28"/>
          <w:u w:val="single"/>
        </w:rPr>
      </w:pPr>
    </w:p>
    <w:p w14:paraId="217D0B3F" w14:textId="77777777" w:rsidR="0014483C" w:rsidRPr="0014483C" w:rsidRDefault="00CC77D6" w:rsidP="00A03D05">
      <w:pPr>
        <w:suppressAutoHyphens/>
        <w:spacing w:after="0" w:line="360" w:lineRule="auto"/>
        <w:jc w:val="both"/>
        <w:rPr>
          <w:rFonts w:ascii="Times New Roman" w:eastAsia="Arial Unicode MS" w:hAnsi="Times New Roman" w:cs="Times New Roman"/>
          <w:b/>
          <w:sz w:val="28"/>
          <w:szCs w:val="28"/>
          <w:u w:val="single"/>
        </w:rPr>
      </w:pPr>
      <w:r w:rsidRPr="0014483C">
        <w:rPr>
          <w:rFonts w:ascii="Times New Roman" w:eastAsia="Arial Unicode MS" w:hAnsi="Times New Roman" w:cs="Times New Roman"/>
          <w:b/>
          <w:sz w:val="28"/>
          <w:szCs w:val="28"/>
          <w:u w:val="single"/>
        </w:rPr>
        <w:t>APPEARANCES</w:t>
      </w:r>
    </w:p>
    <w:p w14:paraId="552537AB" w14:textId="77777777" w:rsidR="0014483C" w:rsidRPr="0014483C" w:rsidRDefault="0014483C" w:rsidP="00A03D05">
      <w:pPr>
        <w:suppressAutoHyphens/>
        <w:spacing w:after="0" w:line="360" w:lineRule="auto"/>
        <w:jc w:val="both"/>
        <w:rPr>
          <w:rFonts w:ascii="Times New Roman" w:eastAsia="Arial Unicode MS" w:hAnsi="Times New Roman" w:cs="Times New Roman"/>
          <w:sz w:val="28"/>
          <w:szCs w:val="28"/>
          <w:u w:val="single"/>
        </w:rPr>
      </w:pPr>
    </w:p>
    <w:p w14:paraId="0FD5756A" w14:textId="77777777" w:rsidR="0014483C" w:rsidRPr="0014483C" w:rsidRDefault="00CC77D6" w:rsidP="0022301F">
      <w:pPr>
        <w:suppressAutoHyphens/>
        <w:spacing w:after="0" w:line="240" w:lineRule="auto"/>
        <w:jc w:val="both"/>
        <w:rPr>
          <w:rFonts w:ascii="Times New Roman" w:eastAsia="Arial Unicode MS" w:hAnsi="Times New Roman" w:cs="Times New Roman"/>
          <w:bCs/>
          <w:sz w:val="28"/>
          <w:szCs w:val="28"/>
          <w:shd w:val="clear" w:color="auto" w:fill="FFFFFF"/>
        </w:rPr>
      </w:pPr>
      <w:r w:rsidRPr="0014483C">
        <w:rPr>
          <w:rFonts w:ascii="Times New Roman" w:eastAsia="Arial Unicode MS" w:hAnsi="Times New Roman" w:cs="Times New Roman"/>
          <w:sz w:val="28"/>
          <w:szCs w:val="28"/>
        </w:rPr>
        <w:t>Counsel for the Applicant</w:t>
      </w:r>
      <w:r w:rsidR="00F86222">
        <w:rPr>
          <w:rFonts w:ascii="Times New Roman" w:eastAsia="Arial Unicode MS" w:hAnsi="Times New Roman" w:cs="Times New Roman"/>
          <w:sz w:val="28"/>
          <w:szCs w:val="28"/>
        </w:rPr>
        <w:t>s: Adv S Mc Turk</w:t>
      </w:r>
      <w:r w:rsidRPr="0014483C">
        <w:rPr>
          <w:rFonts w:ascii="Times New Roman" w:eastAsia="Arial Unicode MS" w:hAnsi="Times New Roman" w:cs="Times New Roman"/>
          <w:sz w:val="28"/>
          <w:szCs w:val="28"/>
        </w:rPr>
        <w:tab/>
      </w:r>
      <w:r w:rsidRPr="0014483C">
        <w:rPr>
          <w:rFonts w:ascii="Times New Roman" w:eastAsia="Arial Unicode MS" w:hAnsi="Times New Roman" w:cs="Times New Roman"/>
          <w:sz w:val="28"/>
          <w:szCs w:val="28"/>
        </w:rPr>
        <w:tab/>
      </w:r>
      <w:r w:rsidRPr="0014483C">
        <w:rPr>
          <w:rFonts w:ascii="Times New Roman" w:eastAsia="Arial Unicode MS" w:hAnsi="Times New Roman" w:cs="Times New Roman"/>
          <w:sz w:val="28"/>
          <w:szCs w:val="28"/>
        </w:rPr>
        <w:tab/>
      </w:r>
    </w:p>
    <w:p w14:paraId="0B061244" w14:textId="77777777" w:rsidR="0014483C" w:rsidRPr="0014483C" w:rsidRDefault="0014483C" w:rsidP="0022301F">
      <w:pPr>
        <w:suppressAutoHyphens/>
        <w:spacing w:after="0" w:line="240" w:lineRule="auto"/>
        <w:jc w:val="both"/>
        <w:rPr>
          <w:rFonts w:ascii="Times New Roman" w:eastAsia="Arial Unicode MS" w:hAnsi="Times New Roman" w:cs="Times New Roman"/>
          <w:bCs/>
          <w:sz w:val="28"/>
          <w:szCs w:val="28"/>
          <w:shd w:val="clear" w:color="auto" w:fill="FFFFFF"/>
        </w:rPr>
      </w:pPr>
    </w:p>
    <w:p w14:paraId="02F77B5F" w14:textId="77777777" w:rsidR="0014483C" w:rsidRPr="0014483C" w:rsidRDefault="00CC77D6" w:rsidP="0022301F">
      <w:pPr>
        <w:suppressAutoHyphens/>
        <w:spacing w:after="0" w:line="240" w:lineRule="auto"/>
        <w:jc w:val="both"/>
        <w:rPr>
          <w:rFonts w:ascii="Times New Roman" w:eastAsia="Arial Unicode MS" w:hAnsi="Times New Roman" w:cs="Times New Roman"/>
          <w:bCs/>
          <w:sz w:val="28"/>
          <w:szCs w:val="28"/>
          <w:shd w:val="clear" w:color="auto" w:fill="FFFFFF"/>
        </w:rPr>
      </w:pPr>
      <w:r w:rsidRPr="0014483C">
        <w:rPr>
          <w:rFonts w:ascii="Times New Roman" w:eastAsia="Arial Unicode MS" w:hAnsi="Times New Roman" w:cs="Times New Roman"/>
          <w:bCs/>
          <w:sz w:val="28"/>
          <w:szCs w:val="28"/>
          <w:shd w:val="clear" w:color="auto" w:fill="FFFFFF"/>
        </w:rPr>
        <w:t>Instructed by</w:t>
      </w:r>
      <w:r w:rsidR="00F86222">
        <w:rPr>
          <w:rFonts w:ascii="Times New Roman" w:eastAsia="Arial Unicode MS" w:hAnsi="Times New Roman" w:cs="Times New Roman"/>
          <w:bCs/>
          <w:sz w:val="28"/>
          <w:szCs w:val="28"/>
          <w:shd w:val="clear" w:color="auto" w:fill="FFFFFF"/>
        </w:rPr>
        <w:t>: Uys Matyeka Schwartz Attorneys</w:t>
      </w:r>
      <w:r w:rsidRPr="0014483C">
        <w:rPr>
          <w:rFonts w:ascii="Times New Roman" w:eastAsia="Arial Unicode MS" w:hAnsi="Times New Roman" w:cs="Times New Roman"/>
          <w:bCs/>
          <w:sz w:val="28"/>
          <w:szCs w:val="28"/>
          <w:shd w:val="clear" w:color="auto" w:fill="FFFFFF"/>
        </w:rPr>
        <w:tab/>
      </w:r>
      <w:r w:rsidRPr="0014483C">
        <w:rPr>
          <w:rFonts w:ascii="Times New Roman" w:eastAsia="Arial Unicode MS" w:hAnsi="Times New Roman" w:cs="Times New Roman"/>
          <w:bCs/>
          <w:sz w:val="28"/>
          <w:szCs w:val="28"/>
          <w:shd w:val="clear" w:color="auto" w:fill="FFFFFF"/>
        </w:rPr>
        <w:tab/>
      </w:r>
      <w:r w:rsidRPr="0014483C">
        <w:rPr>
          <w:rFonts w:ascii="Times New Roman" w:eastAsia="Arial Unicode MS" w:hAnsi="Times New Roman" w:cs="Times New Roman"/>
          <w:bCs/>
          <w:sz w:val="28"/>
          <w:szCs w:val="28"/>
          <w:shd w:val="clear" w:color="auto" w:fill="FFFFFF"/>
        </w:rPr>
        <w:tab/>
      </w:r>
      <w:r w:rsidRPr="0014483C">
        <w:rPr>
          <w:rFonts w:ascii="Times New Roman" w:eastAsia="Arial Unicode MS" w:hAnsi="Times New Roman" w:cs="Times New Roman"/>
          <w:bCs/>
          <w:sz w:val="28"/>
          <w:szCs w:val="28"/>
          <w:shd w:val="clear" w:color="auto" w:fill="FFFFFF"/>
        </w:rPr>
        <w:tab/>
      </w:r>
    </w:p>
    <w:p w14:paraId="6B44959E" w14:textId="77777777" w:rsidR="0014483C" w:rsidRPr="0014483C" w:rsidRDefault="00CC77D6" w:rsidP="0022301F">
      <w:pPr>
        <w:widowControl w:val="0"/>
        <w:suppressAutoHyphens/>
        <w:autoSpaceDN w:val="0"/>
        <w:spacing w:after="0" w:line="240" w:lineRule="auto"/>
        <w:jc w:val="both"/>
        <w:textAlignment w:val="baseline"/>
        <w:rPr>
          <w:rFonts w:ascii="Times New Roman" w:eastAsia="Arial Unicode MS" w:hAnsi="Times New Roman" w:cs="Times New Roman"/>
          <w:sz w:val="28"/>
          <w:szCs w:val="28"/>
        </w:rPr>
      </w:pPr>
      <w:r w:rsidRPr="0014483C">
        <w:rPr>
          <w:rFonts w:ascii="Times New Roman" w:eastAsia="Arial Unicode MS" w:hAnsi="Times New Roman" w:cs="Times New Roman"/>
          <w:b/>
          <w:bCs/>
          <w:sz w:val="28"/>
          <w:szCs w:val="28"/>
          <w:shd w:val="clear" w:color="auto" w:fill="FFFFFF"/>
        </w:rPr>
        <w:tab/>
      </w:r>
      <w:r w:rsidRPr="0014483C">
        <w:rPr>
          <w:rFonts w:ascii="Times New Roman" w:eastAsia="Arial Unicode MS" w:hAnsi="Times New Roman" w:cs="Times New Roman"/>
          <w:b/>
          <w:bCs/>
          <w:sz w:val="28"/>
          <w:szCs w:val="28"/>
          <w:shd w:val="clear" w:color="auto" w:fill="FFFFFF"/>
        </w:rPr>
        <w:tab/>
      </w:r>
      <w:r w:rsidRPr="0014483C">
        <w:rPr>
          <w:rFonts w:ascii="Times New Roman" w:eastAsia="Arial Unicode MS" w:hAnsi="Times New Roman" w:cs="Times New Roman"/>
          <w:b/>
          <w:bCs/>
          <w:sz w:val="28"/>
          <w:szCs w:val="28"/>
          <w:shd w:val="clear" w:color="auto" w:fill="FFFFFF"/>
        </w:rPr>
        <w:tab/>
      </w:r>
      <w:r w:rsidRPr="0014483C">
        <w:rPr>
          <w:rFonts w:ascii="Times New Roman" w:eastAsia="Arial Unicode MS" w:hAnsi="Times New Roman" w:cs="Times New Roman"/>
          <w:b/>
          <w:bCs/>
          <w:sz w:val="28"/>
          <w:szCs w:val="28"/>
          <w:shd w:val="clear" w:color="auto" w:fill="FFFFFF"/>
        </w:rPr>
        <w:tab/>
      </w:r>
    </w:p>
    <w:p w14:paraId="412CD1C0" w14:textId="77777777" w:rsidR="0014483C" w:rsidRPr="0014483C" w:rsidRDefault="00CC77D6" w:rsidP="0022301F">
      <w:pPr>
        <w:suppressAutoHyphens/>
        <w:spacing w:after="0" w:line="240" w:lineRule="auto"/>
        <w:jc w:val="both"/>
        <w:rPr>
          <w:rFonts w:ascii="Times New Roman" w:eastAsia="Arial Unicode MS" w:hAnsi="Times New Roman" w:cs="Times New Roman"/>
          <w:color w:val="000000"/>
          <w:sz w:val="28"/>
          <w:szCs w:val="28"/>
          <w:u w:color="000000"/>
          <w:lang w:val="en-US"/>
        </w:rPr>
      </w:pPr>
      <w:r w:rsidRPr="0014483C">
        <w:rPr>
          <w:rFonts w:ascii="Times New Roman" w:eastAsia="Arial Unicode MS" w:hAnsi="Times New Roman" w:cs="Times New Roman"/>
          <w:color w:val="000000"/>
          <w:sz w:val="28"/>
          <w:szCs w:val="28"/>
          <w:u w:color="000000"/>
          <w:lang w:val="en-US"/>
        </w:rPr>
        <w:t xml:space="preserve">Counsel for the </w:t>
      </w:r>
    </w:p>
    <w:p w14:paraId="6F778D30" w14:textId="77777777" w:rsidR="0014483C" w:rsidRPr="0014483C" w:rsidRDefault="00CC77D6" w:rsidP="0022301F">
      <w:pPr>
        <w:suppressAutoHyphens/>
        <w:spacing w:after="0" w:line="240" w:lineRule="auto"/>
        <w:jc w:val="both"/>
        <w:rPr>
          <w:rFonts w:ascii="Times New Roman" w:eastAsia="Arial Unicode MS" w:hAnsi="Times New Roman" w:cs="Times New Roman"/>
          <w:bCs/>
          <w:sz w:val="28"/>
          <w:szCs w:val="28"/>
          <w:u w:color="000000"/>
          <w:shd w:val="clear" w:color="auto" w:fill="FFFFFF"/>
          <w:lang w:val="en-US"/>
        </w:rPr>
      </w:pPr>
      <w:r w:rsidRPr="0014483C">
        <w:rPr>
          <w:rFonts w:ascii="Times New Roman" w:eastAsia="Arial Unicode MS" w:hAnsi="Times New Roman" w:cs="Times New Roman"/>
          <w:color w:val="000000"/>
          <w:sz w:val="28"/>
          <w:szCs w:val="28"/>
          <w:u w:color="000000"/>
          <w:lang w:val="en-US"/>
        </w:rPr>
        <w:t>Respondents:</w:t>
      </w:r>
      <w:r w:rsidRPr="0014483C">
        <w:rPr>
          <w:rFonts w:ascii="Times New Roman" w:eastAsia="Arial Unicode MS" w:hAnsi="Times New Roman" w:cs="Times New Roman"/>
          <w:color w:val="000000"/>
          <w:sz w:val="28"/>
          <w:szCs w:val="28"/>
          <w:u w:color="000000"/>
          <w:lang w:val="en-US"/>
        </w:rPr>
        <w:tab/>
      </w:r>
      <w:r w:rsidR="00F86222">
        <w:rPr>
          <w:rFonts w:ascii="Times New Roman" w:eastAsia="Arial Unicode MS" w:hAnsi="Times New Roman" w:cs="Times New Roman"/>
          <w:color w:val="000000"/>
          <w:sz w:val="28"/>
          <w:szCs w:val="28"/>
          <w:u w:color="000000"/>
          <w:lang w:val="en-US"/>
        </w:rPr>
        <w:t>Adv R Bhima</w:t>
      </w:r>
      <w:r w:rsidRPr="0014483C">
        <w:rPr>
          <w:rFonts w:ascii="Times New Roman" w:eastAsia="Arial Unicode MS" w:hAnsi="Times New Roman" w:cs="Times New Roman"/>
          <w:color w:val="000000"/>
          <w:sz w:val="28"/>
          <w:szCs w:val="28"/>
          <w:u w:color="000000"/>
          <w:lang w:val="en-US"/>
        </w:rPr>
        <w:tab/>
      </w:r>
      <w:r w:rsidRPr="0014483C">
        <w:rPr>
          <w:rFonts w:ascii="Times New Roman" w:eastAsia="Arial Unicode MS" w:hAnsi="Times New Roman" w:cs="Times New Roman"/>
          <w:color w:val="000000"/>
          <w:sz w:val="28"/>
          <w:szCs w:val="28"/>
          <w:u w:color="000000"/>
          <w:lang w:val="en-US"/>
        </w:rPr>
        <w:tab/>
      </w:r>
    </w:p>
    <w:p w14:paraId="58704D7E" w14:textId="77777777" w:rsidR="0014483C" w:rsidRPr="0014483C" w:rsidRDefault="00CC77D6" w:rsidP="0022301F">
      <w:pPr>
        <w:suppressAutoHyphens/>
        <w:spacing w:after="0" w:line="240" w:lineRule="auto"/>
        <w:jc w:val="both"/>
        <w:rPr>
          <w:rFonts w:ascii="Times New Roman" w:eastAsia="Arial Unicode MS" w:hAnsi="Times New Roman" w:cs="Times New Roman"/>
          <w:bCs/>
          <w:sz w:val="28"/>
          <w:szCs w:val="28"/>
          <w:u w:color="000000"/>
          <w:shd w:val="clear" w:color="auto" w:fill="FFFFFF"/>
          <w:lang w:val="en-US"/>
        </w:rPr>
      </w:pPr>
      <w:r w:rsidRPr="0014483C">
        <w:rPr>
          <w:rFonts w:ascii="Times New Roman" w:eastAsia="Arial Unicode MS" w:hAnsi="Times New Roman" w:cs="Times New Roman"/>
          <w:bCs/>
          <w:sz w:val="28"/>
          <w:szCs w:val="28"/>
          <w:u w:color="000000"/>
          <w:shd w:val="clear" w:color="auto" w:fill="FFFFFF"/>
          <w:lang w:val="en-US"/>
        </w:rPr>
        <w:tab/>
      </w:r>
      <w:r w:rsidRPr="0014483C">
        <w:rPr>
          <w:rFonts w:ascii="Times New Roman" w:eastAsia="Arial Unicode MS" w:hAnsi="Times New Roman" w:cs="Times New Roman"/>
          <w:bCs/>
          <w:sz w:val="28"/>
          <w:szCs w:val="28"/>
          <w:u w:color="000000"/>
          <w:shd w:val="clear" w:color="auto" w:fill="FFFFFF"/>
          <w:lang w:val="en-US"/>
        </w:rPr>
        <w:tab/>
      </w:r>
      <w:r w:rsidRPr="0014483C">
        <w:rPr>
          <w:rFonts w:ascii="Times New Roman" w:eastAsia="Arial Unicode MS" w:hAnsi="Times New Roman" w:cs="Times New Roman"/>
          <w:bCs/>
          <w:sz w:val="28"/>
          <w:szCs w:val="28"/>
          <w:u w:color="000000"/>
          <w:shd w:val="clear" w:color="auto" w:fill="FFFFFF"/>
          <w:lang w:val="en-US"/>
        </w:rPr>
        <w:tab/>
      </w:r>
      <w:r w:rsidRPr="0014483C">
        <w:rPr>
          <w:rFonts w:ascii="Times New Roman" w:eastAsia="Arial Unicode MS" w:hAnsi="Times New Roman" w:cs="Times New Roman"/>
          <w:bCs/>
          <w:sz w:val="28"/>
          <w:szCs w:val="28"/>
          <w:u w:color="000000"/>
          <w:shd w:val="clear" w:color="auto" w:fill="FFFFFF"/>
          <w:lang w:val="en-US"/>
        </w:rPr>
        <w:tab/>
      </w:r>
      <w:r w:rsidRPr="0014483C">
        <w:rPr>
          <w:rFonts w:ascii="Times New Roman" w:eastAsia="Arial Unicode MS" w:hAnsi="Times New Roman" w:cs="Times New Roman"/>
          <w:bCs/>
          <w:sz w:val="28"/>
          <w:szCs w:val="28"/>
          <w:u w:color="000000"/>
          <w:shd w:val="clear" w:color="auto" w:fill="FFFFFF"/>
          <w:lang w:val="en-US"/>
        </w:rPr>
        <w:tab/>
      </w:r>
      <w:r w:rsidRPr="0014483C">
        <w:rPr>
          <w:rFonts w:ascii="Times New Roman" w:eastAsia="Arial Unicode MS" w:hAnsi="Times New Roman" w:cs="Times New Roman"/>
          <w:bCs/>
          <w:sz w:val="28"/>
          <w:szCs w:val="28"/>
          <w:u w:color="000000"/>
          <w:shd w:val="clear" w:color="auto" w:fill="FFFFFF"/>
          <w:lang w:val="en-US"/>
        </w:rPr>
        <w:tab/>
      </w:r>
      <w:r w:rsidRPr="0014483C">
        <w:rPr>
          <w:rFonts w:ascii="Times New Roman" w:eastAsia="Arial Unicode MS" w:hAnsi="Times New Roman" w:cs="Times New Roman"/>
          <w:bCs/>
          <w:sz w:val="28"/>
          <w:szCs w:val="28"/>
          <w:u w:color="000000"/>
          <w:shd w:val="clear" w:color="auto" w:fill="FFFFFF"/>
          <w:lang w:val="en-US"/>
        </w:rPr>
        <w:tab/>
      </w:r>
    </w:p>
    <w:p w14:paraId="6759B9B5" w14:textId="77777777" w:rsidR="0014483C" w:rsidRPr="0014483C" w:rsidRDefault="00CC77D6" w:rsidP="0022301F">
      <w:pPr>
        <w:suppressAutoHyphens/>
        <w:spacing w:after="0" w:line="240" w:lineRule="auto"/>
        <w:jc w:val="both"/>
        <w:rPr>
          <w:rFonts w:ascii="Times New Roman" w:eastAsia="Arial Unicode MS" w:hAnsi="Times New Roman" w:cs="Times New Roman"/>
          <w:bCs/>
          <w:sz w:val="28"/>
          <w:szCs w:val="28"/>
          <w:u w:color="000000"/>
          <w:shd w:val="clear" w:color="auto" w:fill="FFFFFF"/>
          <w:lang w:val="en-US"/>
        </w:rPr>
      </w:pPr>
      <w:r w:rsidRPr="0014483C">
        <w:rPr>
          <w:rFonts w:ascii="Times New Roman" w:eastAsia="Arial Unicode MS" w:hAnsi="Times New Roman" w:cs="Times New Roman"/>
          <w:color w:val="000000"/>
          <w:sz w:val="28"/>
          <w:szCs w:val="28"/>
          <w:u w:color="000000"/>
          <w:lang w:val="en-US"/>
        </w:rPr>
        <w:t>Instructed by:</w:t>
      </w:r>
      <w:r w:rsidRPr="0014483C">
        <w:rPr>
          <w:rFonts w:ascii="Times New Roman" w:eastAsia="Arial Unicode MS" w:hAnsi="Times New Roman" w:cs="Times New Roman"/>
          <w:color w:val="000000"/>
          <w:sz w:val="28"/>
          <w:szCs w:val="28"/>
          <w:u w:color="000000"/>
          <w:lang w:val="en-US"/>
        </w:rPr>
        <w:tab/>
      </w:r>
      <w:r w:rsidR="00F86222">
        <w:rPr>
          <w:rFonts w:ascii="Times New Roman" w:eastAsia="Arial Unicode MS" w:hAnsi="Times New Roman" w:cs="Times New Roman"/>
          <w:color w:val="000000"/>
          <w:sz w:val="28"/>
          <w:szCs w:val="28"/>
          <w:u w:color="000000"/>
          <w:lang w:val="en-US"/>
        </w:rPr>
        <w:t>Du Toit Attorneys</w:t>
      </w:r>
      <w:r w:rsidRPr="0014483C">
        <w:rPr>
          <w:rFonts w:ascii="Times New Roman" w:eastAsia="Arial Unicode MS" w:hAnsi="Times New Roman" w:cs="Times New Roman"/>
          <w:color w:val="000000"/>
          <w:sz w:val="28"/>
          <w:szCs w:val="28"/>
          <w:u w:color="000000"/>
          <w:lang w:val="en-US"/>
        </w:rPr>
        <w:tab/>
      </w:r>
      <w:r w:rsidRPr="0014483C">
        <w:rPr>
          <w:rFonts w:ascii="Times New Roman" w:eastAsia="Arial Unicode MS" w:hAnsi="Times New Roman" w:cs="Times New Roman"/>
          <w:color w:val="000000"/>
          <w:sz w:val="28"/>
          <w:szCs w:val="28"/>
          <w:u w:color="000000"/>
          <w:lang w:val="en-US"/>
        </w:rPr>
        <w:tab/>
      </w:r>
      <w:r w:rsidRPr="0014483C">
        <w:rPr>
          <w:rFonts w:ascii="Times New Roman" w:eastAsia="Arial Unicode MS" w:hAnsi="Times New Roman" w:cs="Times New Roman"/>
          <w:color w:val="000000"/>
          <w:sz w:val="28"/>
          <w:szCs w:val="28"/>
          <w:u w:color="000000"/>
          <w:lang w:val="en-US"/>
        </w:rPr>
        <w:tab/>
      </w:r>
      <w:r w:rsidRPr="0014483C">
        <w:rPr>
          <w:rFonts w:ascii="Times New Roman" w:eastAsia="Arial Unicode MS" w:hAnsi="Times New Roman" w:cs="Times New Roman"/>
          <w:color w:val="000000"/>
          <w:sz w:val="28"/>
          <w:szCs w:val="28"/>
          <w:u w:color="000000"/>
          <w:lang w:val="en-US"/>
        </w:rPr>
        <w:tab/>
      </w:r>
      <w:r w:rsidRPr="0014483C">
        <w:rPr>
          <w:rFonts w:ascii="Times New Roman" w:eastAsia="Arial Unicode MS" w:hAnsi="Times New Roman" w:cs="Times New Roman"/>
          <w:color w:val="000000"/>
          <w:sz w:val="28"/>
          <w:szCs w:val="28"/>
          <w:u w:color="000000"/>
          <w:lang w:val="en-US"/>
        </w:rPr>
        <w:tab/>
      </w:r>
      <w:r w:rsidRPr="0014483C">
        <w:rPr>
          <w:rFonts w:ascii="Times New Roman" w:eastAsia="Arial Unicode MS" w:hAnsi="Times New Roman" w:cs="Times New Roman"/>
          <w:color w:val="000000"/>
          <w:sz w:val="28"/>
          <w:szCs w:val="28"/>
          <w:u w:color="000000"/>
          <w:lang w:val="en-US"/>
        </w:rPr>
        <w:tab/>
      </w:r>
    </w:p>
    <w:p w14:paraId="783633E9" w14:textId="77777777" w:rsidR="0014483C" w:rsidRPr="0014483C" w:rsidRDefault="0014483C" w:rsidP="0022301F">
      <w:pPr>
        <w:suppressAutoHyphens/>
        <w:spacing w:after="0" w:line="240" w:lineRule="auto"/>
        <w:jc w:val="both"/>
        <w:rPr>
          <w:rFonts w:ascii="Times New Roman" w:eastAsia="Times New Roman" w:hAnsi="Times New Roman" w:cs="Times New Roman"/>
          <w:sz w:val="28"/>
          <w:szCs w:val="28"/>
        </w:rPr>
      </w:pPr>
    </w:p>
    <w:p w14:paraId="527265B5" w14:textId="77777777" w:rsidR="00E309D1" w:rsidRDefault="00E309D1" w:rsidP="00A03D05">
      <w:pPr>
        <w:spacing w:line="360" w:lineRule="auto"/>
        <w:jc w:val="both"/>
      </w:pPr>
    </w:p>
    <w:sectPr w:rsidR="00E309D1">
      <w:headerReference w:type="even" r:id="rId23"/>
      <w:headerReference w:type="default" r:id="rId2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B44B9" w14:textId="77777777" w:rsidR="00B43A46" w:rsidRDefault="00B43A46">
      <w:pPr>
        <w:spacing w:after="0" w:line="240" w:lineRule="auto"/>
      </w:pPr>
      <w:r>
        <w:separator/>
      </w:r>
    </w:p>
  </w:endnote>
  <w:endnote w:type="continuationSeparator" w:id="0">
    <w:p w14:paraId="48940167" w14:textId="77777777" w:rsidR="00B43A46" w:rsidRDefault="00B4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A91D7" w14:textId="77777777" w:rsidR="00B43A46" w:rsidRDefault="00B43A46" w:rsidP="0014483C">
      <w:pPr>
        <w:spacing w:after="0" w:line="240" w:lineRule="auto"/>
      </w:pPr>
      <w:r>
        <w:separator/>
      </w:r>
    </w:p>
  </w:footnote>
  <w:footnote w:type="continuationSeparator" w:id="0">
    <w:p w14:paraId="32DB3268" w14:textId="77777777" w:rsidR="00B43A46" w:rsidRDefault="00B43A46" w:rsidP="0014483C">
      <w:pPr>
        <w:spacing w:after="0" w:line="240" w:lineRule="auto"/>
      </w:pPr>
      <w:r>
        <w:continuationSeparator/>
      </w:r>
    </w:p>
  </w:footnote>
  <w:footnote w:id="1">
    <w:p w14:paraId="0620E1E8" w14:textId="77777777" w:rsidR="000E3872" w:rsidRPr="00312FC1" w:rsidRDefault="00CC77D6">
      <w:pPr>
        <w:pStyle w:val="FootnoteText"/>
        <w:rPr>
          <w:rFonts w:ascii="Times New Roman" w:hAnsi="Times New Roman"/>
          <w:lang w:val="en-GB"/>
        </w:rPr>
      </w:pPr>
      <w:r w:rsidRPr="002A7DA3">
        <w:rPr>
          <w:rStyle w:val="FootnoteReference"/>
          <w:rFonts w:ascii="Times New Roman" w:hAnsi="Times New Roman"/>
        </w:rPr>
        <w:footnoteRef/>
      </w:r>
      <w:r w:rsidRPr="002A7DA3">
        <w:rPr>
          <w:rFonts w:ascii="Times New Roman" w:hAnsi="Times New Roman"/>
        </w:rPr>
        <w:t xml:space="preserve"> </w:t>
      </w:r>
      <w:r w:rsidR="009768C4" w:rsidRPr="002A7DA3">
        <w:rPr>
          <w:rFonts w:ascii="Times New Roman" w:hAnsi="Times New Roman"/>
        </w:rPr>
        <w:t>S</w:t>
      </w:r>
      <w:r w:rsidR="009768C4" w:rsidRPr="00312FC1">
        <w:rPr>
          <w:rFonts w:ascii="Times New Roman" w:hAnsi="Times New Roman"/>
        </w:rPr>
        <w:t xml:space="preserve">ee </w:t>
      </w:r>
      <w:r w:rsidR="003B2553" w:rsidRPr="00312FC1">
        <w:rPr>
          <w:rFonts w:ascii="Times New Roman" w:hAnsi="Times New Roman"/>
          <w:color w:val="242121"/>
          <w:shd w:val="clear" w:color="auto" w:fill="FFFFFF"/>
        </w:rPr>
        <w:t>Hiatas &amp; Others v Port Wild Props 12 (Pty) Ltd </w:t>
      </w:r>
      <w:hyperlink r:id="rId1" w:tooltip="View LawCiteRecord" w:history="1">
        <w:r w:rsidR="003B2553" w:rsidRPr="00312FC1">
          <w:rPr>
            <w:rStyle w:val="Hyperlink"/>
            <w:rFonts w:ascii="Times New Roman" w:hAnsi="Times New Roman"/>
            <w:color w:val="0B4B0B"/>
            <w:u w:val="none"/>
            <w:shd w:val="clear" w:color="auto" w:fill="FFFFFF"/>
          </w:rPr>
          <w:t>2011 (5) SA 562</w:t>
        </w:r>
      </w:hyperlink>
      <w:r w:rsidR="003B2553" w:rsidRPr="00312FC1">
        <w:rPr>
          <w:rFonts w:ascii="Times New Roman" w:hAnsi="Times New Roman"/>
          <w:color w:val="242121"/>
          <w:shd w:val="clear" w:color="auto" w:fill="FFFFFF"/>
        </w:rPr>
        <w:t> (GSJ); Ngwenda Gold (Pty) Ltd &amp; Another v Precious Prospect Trading 80 (Pty) Ltd unreported case number 2011/31664 (GSJ); Genesis on Fairmount Joint Venture v KNS Construction (Pty) Ltd &amp; Others unreported judgment, 28 November 2012, case number 2012/36204, SGJ; Siemens Telecommunications (Pty) Ltd v Datagenics (Pty) Ltd </w:t>
      </w:r>
      <w:hyperlink r:id="rId2" w:tooltip="View LawCiteRecord" w:history="1">
        <w:r w:rsidR="003B2553" w:rsidRPr="00312FC1">
          <w:rPr>
            <w:rStyle w:val="Hyperlink"/>
            <w:rFonts w:ascii="Times New Roman" w:hAnsi="Times New Roman"/>
            <w:color w:val="0B4B0B"/>
            <w:u w:val="none"/>
            <w:shd w:val="clear" w:color="auto" w:fill="FFFFFF"/>
          </w:rPr>
          <w:t>2013 (1) SA 65</w:t>
        </w:r>
      </w:hyperlink>
      <w:r w:rsidR="003B2553" w:rsidRPr="00312FC1">
        <w:rPr>
          <w:rFonts w:ascii="Times New Roman" w:hAnsi="Times New Roman"/>
          <w:color w:val="242121"/>
          <w:shd w:val="clear" w:color="auto" w:fill="FFFFFF"/>
        </w:rPr>
        <w:t xml:space="preserve"> (GNP); Hennie Lambrechts Architects v Bombenero Investments </w:t>
      </w:r>
      <w:r w:rsidR="003B2553" w:rsidRPr="00A03D05">
        <w:rPr>
          <w:rFonts w:ascii="Times New Roman" w:hAnsi="Times New Roman"/>
          <w:shd w:val="clear" w:color="auto" w:fill="FFFFFF"/>
        </w:rPr>
        <w:t>(Pty) Ltd </w:t>
      </w:r>
      <w:hyperlink r:id="rId3" w:tooltip="View LawCiteRecord" w:history="1">
        <w:r w:rsidR="003B2553" w:rsidRPr="00A03D05">
          <w:rPr>
            <w:rStyle w:val="Hyperlink"/>
            <w:rFonts w:ascii="Times New Roman" w:hAnsi="Times New Roman"/>
            <w:color w:val="auto"/>
            <w:u w:val="none"/>
            <w:shd w:val="clear" w:color="auto" w:fill="FFFFFF"/>
          </w:rPr>
          <w:t>2013 (2) SA 477</w:t>
        </w:r>
      </w:hyperlink>
      <w:r w:rsidR="003B2553" w:rsidRPr="00A03D05">
        <w:rPr>
          <w:rFonts w:ascii="Times New Roman" w:hAnsi="Times New Roman"/>
          <w:shd w:val="clear" w:color="auto" w:fill="FFFFFF"/>
        </w:rPr>
        <w:t> (FB); Maigret (Pty) Ltd (in liquidation) v Command Holdings Ltd &amp; Another </w:t>
      </w:r>
      <w:hyperlink r:id="rId4" w:tooltip="View LawCiteRecord" w:history="1">
        <w:r w:rsidR="003B2553" w:rsidRPr="00A03D05">
          <w:rPr>
            <w:rStyle w:val="Hyperlink"/>
            <w:rFonts w:ascii="Times New Roman" w:hAnsi="Times New Roman"/>
            <w:color w:val="auto"/>
            <w:u w:val="none"/>
            <w:shd w:val="clear" w:color="auto" w:fill="FFFFFF"/>
          </w:rPr>
          <w:t>2013 (2) SA 481</w:t>
        </w:r>
      </w:hyperlink>
      <w:r w:rsidR="003B2553" w:rsidRPr="00A03D05">
        <w:rPr>
          <w:rFonts w:ascii="Times New Roman" w:hAnsi="Times New Roman"/>
          <w:shd w:val="clear" w:color="auto" w:fill="FFFFFF"/>
        </w:rPr>
        <w:t> (WCC)</w:t>
      </w:r>
    </w:p>
  </w:footnote>
  <w:footnote w:id="2">
    <w:p w14:paraId="36873EE0" w14:textId="77777777" w:rsidR="00C73F24" w:rsidRPr="00312FC1" w:rsidRDefault="00CC77D6">
      <w:pPr>
        <w:pStyle w:val="FootnoteText"/>
        <w:rPr>
          <w:rFonts w:ascii="Times New Roman" w:hAnsi="Times New Roman"/>
          <w:lang w:val="en-GB"/>
        </w:rPr>
      </w:pPr>
      <w:r w:rsidRPr="00312FC1">
        <w:rPr>
          <w:rStyle w:val="FootnoteReference"/>
          <w:rFonts w:ascii="Times New Roman" w:hAnsi="Times New Roman"/>
        </w:rPr>
        <w:footnoteRef/>
      </w:r>
      <w:r w:rsidRPr="00312FC1">
        <w:rPr>
          <w:rFonts w:ascii="Times New Roman" w:hAnsi="Times New Roman"/>
        </w:rPr>
        <w:t xml:space="preserve"> </w:t>
      </w:r>
      <w:r w:rsidR="001F0D22" w:rsidRPr="00312FC1">
        <w:rPr>
          <w:rFonts w:ascii="Times New Roman" w:hAnsi="Times New Roman"/>
          <w:lang w:val="en-GB"/>
        </w:rPr>
        <w:t>See Boost Sports Africa (Pty) L</w:t>
      </w:r>
      <w:r w:rsidR="00125B58" w:rsidRPr="00312FC1">
        <w:rPr>
          <w:rFonts w:ascii="Times New Roman" w:hAnsi="Times New Roman"/>
          <w:lang w:val="en-GB"/>
        </w:rPr>
        <w:t>td v South African Breweries (Pty) Ltd 2015 (</w:t>
      </w:r>
      <w:r w:rsidR="00E83B30" w:rsidRPr="00312FC1">
        <w:rPr>
          <w:rFonts w:ascii="Times New Roman" w:hAnsi="Times New Roman"/>
          <w:lang w:val="en-GB"/>
        </w:rPr>
        <w:t>5) SA 38 (S</w:t>
      </w:r>
      <w:r w:rsidR="00127272" w:rsidRPr="00312FC1">
        <w:rPr>
          <w:rFonts w:ascii="Times New Roman" w:hAnsi="Times New Roman"/>
          <w:lang w:val="en-GB"/>
        </w:rPr>
        <w:t>CA) at para</w:t>
      </w:r>
      <w:r w:rsidR="00A10FC4" w:rsidRPr="00312FC1">
        <w:rPr>
          <w:rFonts w:ascii="Times New Roman" w:hAnsi="Times New Roman"/>
          <w:lang w:val="en-GB"/>
        </w:rPr>
        <w:t xml:space="preserve"> 10.</w:t>
      </w:r>
      <w:r w:rsidR="00127272" w:rsidRPr="00312FC1">
        <w:rPr>
          <w:rFonts w:ascii="Times New Roman" w:hAnsi="Times New Roman"/>
          <w:lang w:val="en-GB"/>
        </w:rPr>
        <w:t xml:space="preserve"> </w:t>
      </w:r>
    </w:p>
  </w:footnote>
  <w:footnote w:id="3">
    <w:p w14:paraId="7D83D6B0" w14:textId="77777777" w:rsidR="00D5181E" w:rsidRPr="00312FC1" w:rsidRDefault="00CC77D6">
      <w:pPr>
        <w:pStyle w:val="FootnoteText"/>
        <w:rPr>
          <w:rFonts w:ascii="Times New Roman" w:hAnsi="Times New Roman"/>
          <w:lang w:val="en-GB"/>
        </w:rPr>
      </w:pPr>
      <w:r w:rsidRPr="00312FC1">
        <w:rPr>
          <w:rStyle w:val="FootnoteReference"/>
          <w:rFonts w:ascii="Times New Roman" w:hAnsi="Times New Roman"/>
        </w:rPr>
        <w:footnoteRef/>
      </w:r>
      <w:r w:rsidRPr="00312FC1">
        <w:rPr>
          <w:rFonts w:ascii="Times New Roman" w:hAnsi="Times New Roman"/>
        </w:rPr>
        <w:t xml:space="preserve"> </w:t>
      </w:r>
      <w:r w:rsidRPr="00312FC1">
        <w:rPr>
          <w:rFonts w:ascii="Times New Roman" w:hAnsi="Times New Roman"/>
          <w:lang w:val="en-GB"/>
        </w:rPr>
        <w:t>Supra</w:t>
      </w:r>
    </w:p>
  </w:footnote>
  <w:footnote w:id="4">
    <w:p w14:paraId="45D00A6F" w14:textId="77777777" w:rsidR="00312FC1" w:rsidRPr="00A03D05" w:rsidRDefault="00CC77D6" w:rsidP="00A03D05">
      <w:pPr>
        <w:pStyle w:val="NormalWeb"/>
        <w:shd w:val="clear" w:color="auto" w:fill="FFFFFF"/>
        <w:spacing w:before="144" w:beforeAutospacing="0" w:after="0" w:afterAutospacing="0"/>
        <w:rPr>
          <w:color w:val="242121"/>
          <w:sz w:val="20"/>
          <w:szCs w:val="20"/>
        </w:rPr>
      </w:pPr>
      <w:r>
        <w:rPr>
          <w:rStyle w:val="FootnoteReference"/>
        </w:rPr>
        <w:footnoteRef/>
      </w:r>
      <w:r>
        <w:t xml:space="preserve"> </w:t>
      </w:r>
      <w:r w:rsidR="00B35B1D" w:rsidRPr="00A03D05">
        <w:rPr>
          <w:color w:val="242121"/>
          <w:sz w:val="20"/>
          <w:szCs w:val="20"/>
        </w:rPr>
        <w:t>See eg s 726(1) of the United Kingdom </w:t>
      </w:r>
      <w:hyperlink r:id="rId5" w:history="1">
        <w:r w:rsidR="00B35B1D" w:rsidRPr="00A03D05">
          <w:rPr>
            <w:rStyle w:val="Hyperlink"/>
            <w:color w:val="000000" w:themeColor="text1"/>
            <w:sz w:val="20"/>
            <w:szCs w:val="20"/>
            <w:u w:val="none"/>
          </w:rPr>
          <w:t>Companies Act, which</w:t>
        </w:r>
      </w:hyperlink>
      <w:r w:rsidR="00B35B1D" w:rsidRPr="00A03D05">
        <w:rPr>
          <w:color w:val="242121"/>
          <w:sz w:val="20"/>
          <w:szCs w:val="20"/>
        </w:rPr>
        <w:t> provides:</w:t>
      </w:r>
    </w:p>
    <w:p w14:paraId="592D1EC3" w14:textId="77777777" w:rsidR="00B35B1D" w:rsidRPr="00A03D05" w:rsidRDefault="00CC77D6" w:rsidP="00A03D05">
      <w:pPr>
        <w:pStyle w:val="NormalWeb"/>
        <w:shd w:val="clear" w:color="auto" w:fill="FFFFFF"/>
        <w:spacing w:before="144" w:beforeAutospacing="0" w:after="0" w:afterAutospacing="0"/>
        <w:rPr>
          <w:rFonts w:ascii="Verdana" w:hAnsi="Verdana"/>
          <w:color w:val="242121"/>
          <w:sz w:val="20"/>
          <w:szCs w:val="20"/>
        </w:rPr>
      </w:pPr>
      <w:r w:rsidRPr="00A03D05">
        <w:rPr>
          <w:rFonts w:ascii="Verdana" w:hAnsi="Verdana"/>
          <w:color w:val="242121"/>
          <w:sz w:val="20"/>
          <w:szCs w:val="20"/>
        </w:rPr>
        <w:t>‘</w:t>
      </w:r>
      <w:r w:rsidRPr="00A03D05">
        <w:rPr>
          <w:color w:val="242121"/>
          <w:sz w:val="20"/>
          <w:szCs w:val="20"/>
        </w:rPr>
        <w:t>(1) Where in England and Wales a limited company is plaintiff in an action or other legal proceedings, the court having jurisdiction in the matter may, if it appears by credible testimony that there is reason to believe that the company will be unable to pay the defendant's costs if successful in his defence, require sufficient security to be given for those costs, and may stay all proceedings until the security is given.’</w:t>
      </w:r>
    </w:p>
    <w:p w14:paraId="330201E5" w14:textId="77777777" w:rsidR="006C6129" w:rsidRPr="00312FC1" w:rsidRDefault="006C6129" w:rsidP="00312FC1">
      <w:pPr>
        <w:pStyle w:val="FootnoteText"/>
        <w:rPr>
          <w:lang w:val="en-GB"/>
        </w:rPr>
      </w:pPr>
    </w:p>
  </w:footnote>
  <w:footnote w:id="5">
    <w:p w14:paraId="6F0F8CF9" w14:textId="77777777" w:rsidR="00640586" w:rsidRPr="00312FC1" w:rsidRDefault="00CC77D6" w:rsidP="00312FC1">
      <w:pPr>
        <w:pStyle w:val="FootnoteText"/>
        <w:rPr>
          <w:rFonts w:ascii="Times New Roman" w:hAnsi="Times New Roman"/>
          <w:lang w:val="en-GB"/>
        </w:rPr>
      </w:pPr>
      <w:r w:rsidRPr="00312FC1">
        <w:rPr>
          <w:rStyle w:val="FootnoteReference"/>
          <w:rFonts w:ascii="Times New Roman" w:hAnsi="Times New Roman"/>
        </w:rPr>
        <w:footnoteRef/>
      </w:r>
      <w:r w:rsidRPr="00312FC1">
        <w:rPr>
          <w:rFonts w:ascii="Times New Roman" w:hAnsi="Times New Roman"/>
        </w:rPr>
        <w:t xml:space="preserve"> </w:t>
      </w:r>
      <w:r w:rsidR="00BD587A" w:rsidRPr="00A03D05">
        <w:rPr>
          <w:rFonts w:ascii="Times New Roman" w:hAnsi="Times New Roman"/>
          <w:color w:val="242121"/>
          <w:shd w:val="clear" w:color="auto" w:fill="FFFFFF"/>
        </w:rPr>
        <w:t>Hudson &amp; Son v London Trading Company Ltd </w:t>
      </w:r>
      <w:hyperlink r:id="rId6" w:tooltip="View LawCiteRecord" w:history="1">
        <w:r w:rsidR="00BD587A" w:rsidRPr="00A03D05">
          <w:rPr>
            <w:rStyle w:val="Hyperlink"/>
            <w:rFonts w:ascii="Times New Roman" w:hAnsi="Times New Roman"/>
            <w:color w:val="000000" w:themeColor="text1"/>
            <w:u w:val="none"/>
            <w:shd w:val="clear" w:color="auto" w:fill="FFFFFF"/>
          </w:rPr>
          <w:t>1930 WLD 288</w:t>
        </w:r>
      </w:hyperlink>
      <w:r w:rsidR="00BD587A" w:rsidRPr="00A03D05">
        <w:rPr>
          <w:rFonts w:ascii="Times New Roman" w:hAnsi="Times New Roman"/>
          <w:color w:val="242121"/>
          <w:shd w:val="clear" w:color="auto" w:fill="FFFFFF"/>
        </w:rPr>
        <w:t> at 291; D R Harms Civil Procedure in the Superior Courts (2014) para B47.16</w:t>
      </w:r>
      <w:r w:rsidR="00BD587A" w:rsidRPr="00312FC1">
        <w:rPr>
          <w:rFonts w:ascii="Times New Roman" w:hAnsi="Times New Roman"/>
          <w:color w:val="242121"/>
          <w:shd w:val="clear" w:color="auto" w:fill="FFFFFF"/>
        </w:rPr>
        <w:t>.</w:t>
      </w:r>
    </w:p>
  </w:footnote>
  <w:footnote w:id="6">
    <w:p w14:paraId="42A0240B" w14:textId="77777777" w:rsidR="00227C4F" w:rsidRPr="00A03D05" w:rsidRDefault="00CC77D6">
      <w:pPr>
        <w:pStyle w:val="FootnoteText"/>
        <w:rPr>
          <w:rFonts w:ascii="Times New Roman" w:hAnsi="Times New Roman"/>
          <w:lang w:val="en-GB"/>
        </w:rPr>
      </w:pPr>
      <w:r w:rsidRPr="00A03D05">
        <w:rPr>
          <w:rStyle w:val="FootnoteReference"/>
          <w:rFonts w:ascii="Times New Roman" w:hAnsi="Times New Roman"/>
        </w:rPr>
        <w:footnoteRef/>
      </w:r>
      <w:r w:rsidRPr="00A03D05">
        <w:rPr>
          <w:rFonts w:ascii="Times New Roman" w:hAnsi="Times New Roman"/>
        </w:rPr>
        <w:t xml:space="preserve"> </w:t>
      </w:r>
      <w:r w:rsidRPr="00A03D05">
        <w:rPr>
          <w:rFonts w:ascii="Times New Roman" w:hAnsi="Times New Roman"/>
          <w:color w:val="242121"/>
          <w:shd w:val="clear" w:color="auto" w:fill="FFFFFF"/>
        </w:rPr>
        <w:t>D R Harms op cit.</w:t>
      </w:r>
    </w:p>
  </w:footnote>
  <w:footnote w:id="7">
    <w:p w14:paraId="14938FF1" w14:textId="77777777" w:rsidR="0014483C" w:rsidRPr="00F86222" w:rsidRDefault="00CC77D6" w:rsidP="0014483C">
      <w:pPr>
        <w:pStyle w:val="FootnoteText"/>
        <w:rPr>
          <w:color w:val="000000"/>
          <w:lang w:val="en-GB"/>
        </w:rPr>
      </w:pPr>
      <w:r w:rsidRPr="00F86222">
        <w:rPr>
          <w:rStyle w:val="FootnoteReference"/>
        </w:rPr>
        <w:footnoteRef/>
      </w:r>
      <w:r w:rsidRPr="00F86222">
        <w:t xml:space="preserve"> </w:t>
      </w:r>
      <w:r w:rsidRPr="00A03D05">
        <w:rPr>
          <w:rFonts w:ascii="Times New Roman" w:hAnsi="Times New Roman"/>
          <w:color w:val="000000"/>
        </w:rPr>
        <w:t>Western Assurance Co v Caldwell's Trustee </w:t>
      </w:r>
      <w:hyperlink r:id="rId7" w:tgtFrame="main" w:history="1">
        <w:r w:rsidRPr="00A03D05">
          <w:rPr>
            <w:rFonts w:ascii="Times New Roman" w:hAnsi="Times New Roman"/>
            <w:color w:val="000000"/>
            <w:u w:val="single"/>
          </w:rPr>
          <w:t>1918 AD 262</w:t>
        </w:r>
      </w:hyperlink>
      <w:r w:rsidRPr="00A03D05">
        <w:rPr>
          <w:rFonts w:ascii="Verdana" w:hAnsi="Verdana"/>
          <w:color w:val="000000"/>
        </w:rPr>
        <w:t>.</w:t>
      </w:r>
    </w:p>
  </w:footnote>
  <w:footnote w:id="8">
    <w:p w14:paraId="7C05D123" w14:textId="77777777" w:rsidR="0014483C" w:rsidRPr="00F86222" w:rsidRDefault="00CC77D6" w:rsidP="0014483C">
      <w:pPr>
        <w:pStyle w:val="FootnoteText"/>
        <w:rPr>
          <w:rFonts w:ascii="Times New Roman" w:hAnsi="Times New Roman"/>
          <w:lang w:val="en-GB"/>
        </w:rPr>
      </w:pPr>
      <w:r w:rsidRPr="00F86222">
        <w:rPr>
          <w:rStyle w:val="FootnoteReference"/>
        </w:rPr>
        <w:footnoteRef/>
      </w:r>
      <w:r w:rsidRPr="00F86222">
        <w:t xml:space="preserve"> </w:t>
      </w:r>
      <w:r w:rsidRPr="00A03D05">
        <w:rPr>
          <w:rFonts w:ascii="Times New Roman" w:hAnsi="Times New Roman"/>
          <w:color w:val="000000"/>
        </w:rPr>
        <w:t>Ecker v Dean </w:t>
      </w:r>
      <w:hyperlink r:id="rId8" w:tgtFrame="main" w:history="1">
        <w:r w:rsidRPr="00A03D05">
          <w:rPr>
            <w:rFonts w:ascii="Times New Roman" w:hAnsi="Times New Roman"/>
            <w:color w:val="000000"/>
          </w:rPr>
          <w:t>1937 AD 254</w:t>
        </w:r>
      </w:hyperlink>
      <w:r w:rsidRPr="00A03D05">
        <w:rPr>
          <w:rFonts w:ascii="Times New Roman" w:hAnsi="Times New Roman"/>
          <w:color w:val="000000"/>
        </w:rPr>
        <w:t>. For the meaning of 'vexatious action' outside the parameters of the Vexatious Proceedings </w:t>
      </w:r>
      <w:hyperlink r:id="rId9" w:tgtFrame="main" w:history="1">
        <w:r w:rsidRPr="00A03D05">
          <w:rPr>
            <w:rFonts w:ascii="Times New Roman" w:hAnsi="Times New Roman"/>
            <w:color w:val="000000"/>
          </w:rPr>
          <w:t>Act 3 of 1956</w:t>
        </w:r>
      </w:hyperlink>
      <w:r w:rsidRPr="00A03D05">
        <w:rPr>
          <w:rFonts w:ascii="Times New Roman" w:hAnsi="Times New Roman"/>
          <w:color w:val="000000"/>
        </w:rPr>
        <w:t>, see Fitchet v Fitchet </w:t>
      </w:r>
      <w:hyperlink r:id="rId10" w:tgtFrame="main" w:history="1">
        <w:r w:rsidRPr="00A03D05">
          <w:rPr>
            <w:rFonts w:ascii="Times New Roman" w:hAnsi="Times New Roman"/>
            <w:color w:val="000000"/>
          </w:rPr>
          <w:t>1987 (1) SA 450 (E)</w:t>
        </w:r>
      </w:hyperlink>
      <w:r w:rsidRPr="00A03D05">
        <w:rPr>
          <w:rFonts w:ascii="Times New Roman" w:hAnsi="Times New Roman"/>
          <w:color w:val="000000"/>
        </w:rPr>
        <w:t xml:space="preserve"> at 454B–C. </w:t>
      </w:r>
    </w:p>
  </w:footnote>
  <w:footnote w:id="9">
    <w:p w14:paraId="06351B96" w14:textId="77777777" w:rsidR="0014483C" w:rsidRPr="00F86222" w:rsidRDefault="00CC77D6" w:rsidP="0014483C">
      <w:pPr>
        <w:pStyle w:val="FootnoteText"/>
        <w:rPr>
          <w:rFonts w:ascii="Times New Roman" w:hAnsi="Times New Roman"/>
          <w:color w:val="000000"/>
          <w:lang w:val="en-GB"/>
        </w:rPr>
      </w:pPr>
      <w:r w:rsidRPr="00F86222">
        <w:rPr>
          <w:rStyle w:val="FootnoteReference"/>
          <w:rFonts w:ascii="Times New Roman" w:hAnsi="Times New Roman"/>
        </w:rPr>
        <w:footnoteRef/>
      </w:r>
      <w:r w:rsidRPr="00F86222">
        <w:rPr>
          <w:rFonts w:ascii="Times New Roman" w:hAnsi="Times New Roman"/>
        </w:rPr>
        <w:t xml:space="preserve"> </w:t>
      </w:r>
      <w:r w:rsidRPr="00A03D05">
        <w:rPr>
          <w:rFonts w:ascii="Times New Roman" w:hAnsi="Times New Roman"/>
          <w:color w:val="000000"/>
        </w:rPr>
        <w:t>Ecker v Dean </w:t>
      </w:r>
      <w:hyperlink r:id="rId11" w:tgtFrame="main" w:history="1">
        <w:r w:rsidRPr="00A03D05">
          <w:rPr>
            <w:rFonts w:ascii="Times New Roman" w:hAnsi="Times New Roman"/>
            <w:color w:val="000000"/>
          </w:rPr>
          <w:t>1937 AD 254</w:t>
        </w:r>
      </w:hyperlink>
      <w:r w:rsidRPr="00A03D05">
        <w:rPr>
          <w:rFonts w:ascii="Times New Roman" w:hAnsi="Times New Roman"/>
          <w:color w:val="000000"/>
        </w:rPr>
        <w:t> at 259. See also Ecker v Dean </w:t>
      </w:r>
      <w:hyperlink r:id="rId12" w:tgtFrame="main" w:history="1">
        <w:r w:rsidRPr="00A03D05">
          <w:rPr>
            <w:rFonts w:ascii="Times New Roman" w:hAnsi="Times New Roman"/>
            <w:color w:val="000000"/>
          </w:rPr>
          <w:t>19</w:t>
        </w:r>
        <w:r w:rsidRPr="00A03D05">
          <w:rPr>
            <w:rFonts w:ascii="Times New Roman" w:hAnsi="Times New Roman"/>
          </w:rPr>
          <w:t>38 AD 102</w:t>
        </w:r>
      </w:hyperlink>
      <w:r w:rsidRPr="00A03D05">
        <w:rPr>
          <w:rFonts w:ascii="Times New Roman" w:hAnsi="Times New Roman"/>
          <w:color w:val="000000"/>
        </w:rPr>
        <w:t>; Ecker v Dean </w:t>
      </w:r>
      <w:hyperlink r:id="rId13" w:tgtFrame="main" w:history="1">
        <w:r w:rsidRPr="00A03D05">
          <w:rPr>
            <w:rFonts w:ascii="Times New Roman" w:hAnsi="Times New Roman"/>
            <w:color w:val="000000"/>
          </w:rPr>
          <w:t>1940 AD 206</w:t>
        </w:r>
      </w:hyperlink>
      <w:r w:rsidRPr="00A03D05">
        <w:rPr>
          <w:rFonts w:ascii="Times New Roman" w:hAnsi="Times New Roman"/>
          <w:color w:val="000000"/>
        </w:rPr>
        <w:t>; Caluza v Minister of Justice </w:t>
      </w:r>
      <w:hyperlink r:id="rId14" w:tgtFrame="main" w:history="1">
        <w:r w:rsidRPr="00A03D05">
          <w:rPr>
            <w:rFonts w:ascii="Times New Roman" w:hAnsi="Times New Roman"/>
            <w:color w:val="000000"/>
            <w:u w:val="single"/>
          </w:rPr>
          <w:t>1</w:t>
        </w:r>
        <w:r w:rsidRPr="00A03D05">
          <w:rPr>
            <w:rFonts w:ascii="Times New Roman" w:hAnsi="Times New Roman"/>
            <w:color w:val="000000"/>
          </w:rPr>
          <w:t>969 (1) SA 251 (N)</w:t>
        </w:r>
      </w:hyperlink>
      <w:r w:rsidRPr="00A03D05">
        <w:rPr>
          <w:rFonts w:ascii="Times New Roman" w:hAnsi="Times New Roman"/>
          <w:color w:val="000000"/>
        </w:rPr>
        <w:t>; Fitchet v Fitchet </w:t>
      </w:r>
      <w:hyperlink r:id="rId15" w:tgtFrame="main" w:history="1">
        <w:r w:rsidRPr="00A03D05">
          <w:rPr>
            <w:rFonts w:ascii="Times New Roman" w:hAnsi="Times New Roman"/>
            <w:color w:val="000000"/>
          </w:rPr>
          <w:t>1987 (1) SA 450 (E)</w:t>
        </w:r>
      </w:hyperlink>
      <w:r w:rsidRPr="00A03D05">
        <w:rPr>
          <w:rFonts w:ascii="Times New Roman" w:hAnsi="Times New Roman"/>
          <w:color w:val="000000"/>
        </w:rPr>
        <w:t> at 453J–454A.</w:t>
      </w:r>
    </w:p>
  </w:footnote>
  <w:footnote w:id="10">
    <w:p w14:paraId="3E700450" w14:textId="77777777" w:rsidR="0014483C" w:rsidRPr="00A03D05" w:rsidRDefault="00CC77D6" w:rsidP="0014483C">
      <w:pPr>
        <w:pStyle w:val="FootnoteText"/>
        <w:rPr>
          <w:rFonts w:ascii="Times New Roman" w:hAnsi="Times New Roman"/>
          <w:lang w:val="en-GB"/>
        </w:rPr>
      </w:pPr>
      <w:r w:rsidRPr="00F86222">
        <w:rPr>
          <w:rStyle w:val="FootnoteReference"/>
          <w:rFonts w:ascii="Times New Roman" w:hAnsi="Times New Roman"/>
        </w:rPr>
        <w:footnoteRef/>
      </w:r>
      <w:r w:rsidRPr="00F86222">
        <w:rPr>
          <w:rFonts w:ascii="Times New Roman" w:hAnsi="Times New Roman"/>
        </w:rPr>
        <w:t xml:space="preserve"> </w:t>
      </w:r>
      <w:r w:rsidRPr="00A03D05">
        <w:rPr>
          <w:rFonts w:ascii="Times New Roman" w:hAnsi="Times New Roman"/>
          <w:color w:val="000000"/>
        </w:rPr>
        <w:t>Western Assurance Co v Caldwell's Trustee </w:t>
      </w:r>
      <w:hyperlink r:id="rId16" w:tgtFrame="main" w:history="1">
        <w:r w:rsidRPr="00A03D05">
          <w:rPr>
            <w:rFonts w:ascii="Times New Roman" w:hAnsi="Times New Roman"/>
            <w:color w:val="000000"/>
          </w:rPr>
          <w:t>1918 AD 262</w:t>
        </w:r>
      </w:hyperlink>
      <w:r w:rsidRPr="00A03D05">
        <w:rPr>
          <w:rFonts w:ascii="Times New Roman" w:hAnsi="Times New Roman"/>
          <w:color w:val="000000"/>
        </w:rPr>
        <w:t> at 274; Ecker v Dean </w:t>
      </w:r>
      <w:hyperlink r:id="rId17" w:tgtFrame="main" w:history="1">
        <w:r w:rsidRPr="00A03D05">
          <w:rPr>
            <w:rFonts w:ascii="Times New Roman" w:hAnsi="Times New Roman"/>
            <w:color w:val="000000"/>
          </w:rPr>
          <w:t>1938 AD 102</w:t>
        </w:r>
      </w:hyperlink>
      <w:r w:rsidRPr="00A03D05">
        <w:rPr>
          <w:rFonts w:ascii="Times New Roman" w:hAnsi="Times New Roman"/>
          <w:color w:val="000000"/>
        </w:rPr>
        <w:t> at 111. See also Crest Enterprises (Pty) Ltd v Barnett &amp; Schlosberg </w:t>
      </w:r>
      <w:hyperlink r:id="rId18" w:tgtFrame="main" w:history="1">
        <w:r w:rsidRPr="00A03D05">
          <w:rPr>
            <w:rFonts w:ascii="Times New Roman" w:hAnsi="Times New Roman"/>
            <w:color w:val="000000"/>
          </w:rPr>
          <w:t>1986 (4) SA 19 (C)</w:t>
        </w:r>
      </w:hyperlink>
      <w:r w:rsidRPr="00A03D05">
        <w:rPr>
          <w:rFonts w:ascii="Times New Roman" w:hAnsi="Times New Roman"/>
          <w:color w:val="000000"/>
        </w:rPr>
        <w:t> at 22B–D .</w:t>
      </w:r>
    </w:p>
  </w:footnote>
  <w:footnote w:id="11">
    <w:p w14:paraId="6A623B17" w14:textId="77777777" w:rsidR="0014483C" w:rsidRPr="00A03D05" w:rsidRDefault="00CC77D6">
      <w:pPr>
        <w:pStyle w:val="FootnoteText"/>
        <w:rPr>
          <w:rFonts w:ascii="Times New Roman" w:hAnsi="Times New Roman"/>
          <w:lang w:val="en-GB"/>
        </w:rPr>
      </w:pPr>
      <w:r w:rsidRPr="00A03D05">
        <w:rPr>
          <w:rStyle w:val="FootnoteReference"/>
          <w:rFonts w:ascii="Times New Roman" w:hAnsi="Times New Roman"/>
        </w:rPr>
        <w:footnoteRef/>
      </w:r>
      <w:r w:rsidRPr="00A03D05">
        <w:rPr>
          <w:rFonts w:ascii="Times New Roman" w:hAnsi="Times New Roman"/>
        </w:rPr>
        <w:t xml:space="preserve"> </w:t>
      </w:r>
      <w:r w:rsidRPr="00A03D05">
        <w:rPr>
          <w:rFonts w:ascii="Times New Roman" w:hAnsi="Times New Roman"/>
          <w:lang w:val="en-GB"/>
        </w:rPr>
        <w:t>(932/2010[2021] ZASCA 10 (29 January 2021)</w:t>
      </w:r>
    </w:p>
  </w:footnote>
  <w:footnote w:id="12">
    <w:p w14:paraId="5581CCE0" w14:textId="77777777" w:rsidR="00EB0B45" w:rsidRPr="00F86222" w:rsidRDefault="00CC77D6">
      <w:pPr>
        <w:pStyle w:val="FootnoteText"/>
        <w:rPr>
          <w:lang w:val="en-GB"/>
        </w:rPr>
      </w:pPr>
      <w:r w:rsidRPr="00F86222">
        <w:rPr>
          <w:rStyle w:val="FootnoteReference"/>
        </w:rPr>
        <w:footnoteRef/>
      </w:r>
      <w:r w:rsidRPr="00F86222">
        <w:t xml:space="preserve"> </w:t>
      </w:r>
      <w:r w:rsidRPr="00A03D05">
        <w:rPr>
          <w:rFonts w:ascii="Times New Roman" w:hAnsi="Times New Roman"/>
          <w:color w:val="242121"/>
          <w:shd w:val="clear" w:color="auto" w:fill="FFFFFF"/>
        </w:rPr>
        <w:t>D F Scott (EP) (Pty) Ltd v Golden Valley Supermarket </w:t>
      </w:r>
      <w:hyperlink r:id="rId19" w:tooltip="View LawCiteRecord" w:history="1">
        <w:r w:rsidRPr="00A03D05">
          <w:rPr>
            <w:rStyle w:val="Hyperlink"/>
            <w:rFonts w:ascii="Times New Roman" w:hAnsi="Times New Roman"/>
            <w:color w:val="0B4B0B"/>
            <w:u w:val="none"/>
            <w:shd w:val="clear" w:color="auto" w:fill="FFFFFF"/>
          </w:rPr>
          <w:t>2002 (6) SA 297</w:t>
        </w:r>
      </w:hyperlink>
      <w:r w:rsidRPr="00A03D05">
        <w:rPr>
          <w:rFonts w:ascii="Times New Roman" w:hAnsi="Times New Roman"/>
          <w:color w:val="242121"/>
          <w:shd w:val="clear" w:color="auto" w:fill="FFFFFF"/>
        </w:rPr>
        <w:t> (SCA); </w:t>
      </w:r>
      <w:hyperlink r:id="rId20" w:tooltip="View LawCiteRecord" w:history="1">
        <w:r w:rsidRPr="00A03D05">
          <w:rPr>
            <w:rStyle w:val="Hyperlink"/>
            <w:rFonts w:ascii="Times New Roman" w:hAnsi="Times New Roman"/>
            <w:color w:val="000000" w:themeColor="text1"/>
            <w:u w:val="none"/>
            <w:shd w:val="clear" w:color="auto" w:fill="FFFFFF"/>
          </w:rPr>
          <w:t>[2003] 3 All SA 1</w:t>
        </w:r>
      </w:hyperlink>
      <w:r w:rsidRPr="00A03D05">
        <w:rPr>
          <w:rFonts w:ascii="Times New Roman" w:hAnsi="Times New Roman"/>
          <w:color w:val="000000" w:themeColor="text1"/>
          <w:shd w:val="clear" w:color="auto" w:fill="FFFFFF"/>
        </w:rPr>
        <w:t> (A) para 9</w:t>
      </w:r>
    </w:p>
  </w:footnote>
  <w:footnote w:id="13">
    <w:p w14:paraId="6F9DA050" w14:textId="77777777" w:rsidR="00E10678" w:rsidRPr="00F86222" w:rsidRDefault="00CC77D6">
      <w:pPr>
        <w:pStyle w:val="FootnoteText"/>
        <w:rPr>
          <w:lang w:val="en-GB"/>
        </w:rPr>
      </w:pPr>
      <w:r w:rsidRPr="00F86222">
        <w:rPr>
          <w:rStyle w:val="FootnoteReference"/>
        </w:rPr>
        <w:footnoteRef/>
      </w:r>
      <w:r w:rsidRPr="00F86222">
        <w:t xml:space="preserve"> </w:t>
      </w:r>
      <w:r w:rsidR="007707A4" w:rsidRPr="00A03D05">
        <w:rPr>
          <w:rFonts w:ascii="Times New Roman" w:hAnsi="Times New Roman"/>
          <w:color w:val="242121"/>
          <w:shd w:val="clear" w:color="auto" w:fill="FFFFFF"/>
        </w:rPr>
        <w:t>Section 13 of the Companies Act 61 of 1973</w:t>
      </w:r>
    </w:p>
  </w:footnote>
  <w:footnote w:id="14">
    <w:p w14:paraId="0D1C0F55" w14:textId="77777777" w:rsidR="00F73733" w:rsidRPr="00A03D05" w:rsidRDefault="00CC77D6">
      <w:pPr>
        <w:pStyle w:val="FootnoteText"/>
        <w:rPr>
          <w:rFonts w:ascii="Times New Roman" w:hAnsi="Times New Roman"/>
          <w:lang w:val="en-GB"/>
        </w:rPr>
      </w:pPr>
      <w:r w:rsidRPr="00F86222">
        <w:rPr>
          <w:rStyle w:val="FootnoteReference"/>
        </w:rPr>
        <w:footnoteRef/>
      </w:r>
      <w:r w:rsidRPr="00F86222">
        <w:t xml:space="preserve"> </w:t>
      </w:r>
      <w:r w:rsidR="00FA40AF" w:rsidRPr="00A03D05">
        <w:rPr>
          <w:rFonts w:ascii="Times New Roman" w:hAnsi="Times New Roman"/>
          <w:color w:val="000000"/>
        </w:rPr>
        <w:t>Lappeman Diamond Cutting Works (Pty) Ltd v MIB Group (Pty) Ltd (No 1</w:t>
      </w:r>
      <w:r w:rsidR="00FA40AF" w:rsidRPr="00A03D05">
        <w:rPr>
          <w:rFonts w:ascii="Times New Roman" w:hAnsi="Times New Roman"/>
          <w:color w:val="000000" w:themeColor="text1"/>
        </w:rPr>
        <w:t>) </w:t>
      </w:r>
      <w:hyperlink r:id="rId21" w:tgtFrame="main" w:history="1">
        <w:r w:rsidR="00FA40AF" w:rsidRPr="00A03D05">
          <w:rPr>
            <w:rStyle w:val="Hyperlink"/>
            <w:rFonts w:ascii="Times New Roman" w:hAnsi="Times New Roman"/>
            <w:color w:val="000000" w:themeColor="text1"/>
            <w:u w:val="none"/>
          </w:rPr>
          <w:t>1997 (4) SA 908 (W)</w:t>
        </w:r>
      </w:hyperlink>
      <w:r w:rsidR="00FA40AF" w:rsidRPr="00A03D05">
        <w:rPr>
          <w:rFonts w:ascii="Times New Roman" w:hAnsi="Times New Roman"/>
          <w:color w:val="000000"/>
        </w:rPr>
        <w:t> 919G–H; Wallace v Rooibos Tea Control Board </w:t>
      </w:r>
      <w:hyperlink r:id="rId22" w:tgtFrame="main" w:history="1">
        <w:r w:rsidR="00FA40AF" w:rsidRPr="00A03D05">
          <w:rPr>
            <w:rStyle w:val="Hyperlink"/>
            <w:rFonts w:ascii="Times New Roman" w:hAnsi="Times New Roman"/>
            <w:color w:val="000000" w:themeColor="text1"/>
            <w:u w:val="none"/>
          </w:rPr>
          <w:t>1989 (1) SA 137 (C)</w:t>
        </w:r>
      </w:hyperlink>
      <w:r w:rsidR="00FA40AF" w:rsidRPr="00A03D05">
        <w:rPr>
          <w:rFonts w:ascii="Times New Roman" w:hAnsi="Times New Roman"/>
          <w:color w:val="000000"/>
        </w:rPr>
        <w:t> 144B–D.</w:t>
      </w:r>
    </w:p>
  </w:footnote>
  <w:footnote w:id="15">
    <w:p w14:paraId="0884E382" w14:textId="77777777" w:rsidR="00E70838" w:rsidRPr="00F86222" w:rsidRDefault="00CC77D6">
      <w:pPr>
        <w:pStyle w:val="FootnoteText"/>
        <w:rPr>
          <w:color w:val="000000" w:themeColor="text1"/>
          <w:lang w:val="en-GB"/>
        </w:rPr>
      </w:pPr>
      <w:r w:rsidRPr="00F86222">
        <w:rPr>
          <w:rStyle w:val="FootnoteReference"/>
        </w:rPr>
        <w:footnoteRef/>
      </w:r>
      <w:r w:rsidRPr="00F86222">
        <w:t xml:space="preserve"> </w:t>
      </w:r>
      <w:r w:rsidR="007738D9" w:rsidRPr="00A03D05">
        <w:rPr>
          <w:rFonts w:ascii="Verdana" w:hAnsi="Verdana"/>
          <w:color w:val="000000"/>
        </w:rPr>
        <w:t> </w:t>
      </w:r>
      <w:r w:rsidR="007738D9" w:rsidRPr="00A03D05">
        <w:rPr>
          <w:rFonts w:ascii="Times New Roman" w:hAnsi="Times New Roman"/>
          <w:color w:val="000000"/>
        </w:rPr>
        <w:t>Cooper NNO v Mutual &amp; Federal Versekeringsmaatskappy Bpk </w:t>
      </w:r>
      <w:hyperlink r:id="rId23" w:tgtFrame="main" w:history="1">
        <w:r w:rsidR="007738D9" w:rsidRPr="00A03D05">
          <w:rPr>
            <w:rStyle w:val="Hyperlink"/>
            <w:rFonts w:ascii="Times New Roman" w:hAnsi="Times New Roman"/>
            <w:color w:val="000000" w:themeColor="text1"/>
            <w:u w:val="none"/>
          </w:rPr>
          <w:t>2002 (2) SA 863 (O)</w:t>
        </w:r>
      </w:hyperlink>
      <w:r w:rsidR="007738D9" w:rsidRPr="00A03D05">
        <w:rPr>
          <w:rFonts w:ascii="Times New Roman" w:hAnsi="Times New Roman"/>
          <w:color w:val="000000" w:themeColor="text1"/>
        </w:rPr>
        <w:t> 874B–C</w:t>
      </w:r>
      <w:r w:rsidR="007738D9" w:rsidRPr="00A03D05">
        <w:rPr>
          <w:rFonts w:ascii="Verdana" w:hAnsi="Verdana"/>
          <w:color w:val="000000" w:themeColor="text1"/>
        </w:rPr>
        <w:t>.</w:t>
      </w:r>
    </w:p>
  </w:footnote>
  <w:footnote w:id="16">
    <w:p w14:paraId="6D18AB78" w14:textId="77777777" w:rsidR="008E2DEC" w:rsidRPr="00A03D05" w:rsidRDefault="00CC77D6">
      <w:pPr>
        <w:pStyle w:val="FootnoteText"/>
        <w:rPr>
          <w:rFonts w:ascii="Times New Roman" w:hAnsi="Times New Roman"/>
          <w:lang w:val="en-GB"/>
        </w:rPr>
      </w:pPr>
      <w:r w:rsidRPr="00F86222">
        <w:rPr>
          <w:rStyle w:val="FootnoteReference"/>
        </w:rPr>
        <w:footnoteRef/>
      </w:r>
      <w:r w:rsidRPr="00F86222">
        <w:t xml:space="preserve"> </w:t>
      </w:r>
      <w:r w:rsidR="002529EA" w:rsidRPr="00A03D05">
        <w:rPr>
          <w:rFonts w:ascii="Times New Roman" w:hAnsi="Times New Roman"/>
          <w:color w:val="000000"/>
        </w:rPr>
        <w:t xml:space="preserve">ICC Car Importers (Pty) Ltd v A Hartrodt SA (Pty) </w:t>
      </w:r>
      <w:r w:rsidR="002529EA" w:rsidRPr="00A03D05">
        <w:rPr>
          <w:rFonts w:ascii="Times New Roman" w:hAnsi="Times New Roman"/>
          <w:color w:val="000000" w:themeColor="text1"/>
        </w:rPr>
        <w:t>Ltd </w:t>
      </w:r>
      <w:hyperlink r:id="rId24" w:tgtFrame="main" w:history="1">
        <w:r w:rsidR="002529EA" w:rsidRPr="00A03D05">
          <w:rPr>
            <w:rStyle w:val="Hyperlink"/>
            <w:rFonts w:ascii="Times New Roman" w:hAnsi="Times New Roman"/>
            <w:color w:val="000000" w:themeColor="text1"/>
            <w:u w:val="none"/>
          </w:rPr>
          <w:t>2004 (4) SA 607 (W)</w:t>
        </w:r>
      </w:hyperlink>
      <w:r w:rsidR="002529EA" w:rsidRPr="00A03D05">
        <w:rPr>
          <w:rFonts w:ascii="Times New Roman" w:hAnsi="Times New Roman"/>
          <w:color w:val="000000"/>
        </w:rPr>
        <w:t> 615.</w:t>
      </w:r>
    </w:p>
  </w:footnote>
  <w:footnote w:id="17">
    <w:p w14:paraId="6677121A" w14:textId="77777777" w:rsidR="00C909EB" w:rsidRPr="00A03D05" w:rsidRDefault="00CC77D6">
      <w:pPr>
        <w:pStyle w:val="FootnoteText"/>
        <w:rPr>
          <w:rFonts w:ascii="Times New Roman" w:hAnsi="Times New Roman"/>
          <w:lang w:val="en-GB"/>
        </w:rPr>
      </w:pPr>
      <w:r w:rsidRPr="00F86222">
        <w:rPr>
          <w:rStyle w:val="FootnoteReference"/>
        </w:rPr>
        <w:footnoteRef/>
      </w:r>
      <w:r w:rsidRPr="00F86222">
        <w:t xml:space="preserve"> </w:t>
      </w:r>
      <w:r w:rsidR="00341A19" w:rsidRPr="00A03D05">
        <w:rPr>
          <w:rFonts w:ascii="Times New Roman" w:hAnsi="Times New Roman"/>
          <w:color w:val="000000"/>
        </w:rPr>
        <w:t>Waste-Tech (Pty) Ltd v Van Zyl and Glanville </w:t>
      </w:r>
      <w:hyperlink r:id="rId25" w:tgtFrame="main" w:history="1">
        <w:r w:rsidR="00341A19" w:rsidRPr="00A03D05">
          <w:rPr>
            <w:rStyle w:val="Hyperlink"/>
            <w:rFonts w:ascii="Times New Roman" w:hAnsi="Times New Roman"/>
            <w:color w:val="000000" w:themeColor="text1"/>
            <w:u w:val="none"/>
          </w:rPr>
          <w:t>2000 (2) SA 400 (SE)</w:t>
        </w:r>
      </w:hyperlink>
      <w:r w:rsidR="00341A19" w:rsidRPr="00A03D05">
        <w:rPr>
          <w:rFonts w:ascii="Times New Roman" w:hAnsi="Times New Roman"/>
          <w:color w:val="000000"/>
        </w:rPr>
        <w:t> at 404C 404G–H.</w:t>
      </w:r>
    </w:p>
  </w:footnote>
  <w:footnote w:id="18">
    <w:p w14:paraId="00FE64DD" w14:textId="77777777" w:rsidR="00792A53" w:rsidRPr="00A03D05" w:rsidRDefault="00CC77D6">
      <w:pPr>
        <w:pStyle w:val="FootnoteText"/>
        <w:rPr>
          <w:rFonts w:ascii="Times New Roman" w:hAnsi="Times New Roman"/>
          <w:color w:val="000000" w:themeColor="text1"/>
          <w:lang w:val="en-GB"/>
        </w:rPr>
      </w:pPr>
      <w:r w:rsidRPr="00F86222">
        <w:rPr>
          <w:rStyle w:val="FootnoteReference"/>
        </w:rPr>
        <w:footnoteRef/>
      </w:r>
      <w:r w:rsidRPr="00F86222">
        <w:t xml:space="preserve"> </w:t>
      </w:r>
      <w:r w:rsidR="00B30E42" w:rsidRPr="00A03D05">
        <w:rPr>
          <w:rFonts w:ascii="Times New Roman" w:hAnsi="Times New Roman"/>
          <w:i/>
          <w:iCs/>
          <w:color w:val="000000"/>
        </w:rPr>
        <w:t>Lucerne Asbestos Co Ltd v Becker</w:t>
      </w:r>
      <w:r w:rsidR="00B30E42" w:rsidRPr="00A03D05">
        <w:rPr>
          <w:rFonts w:ascii="Times New Roman" w:hAnsi="Times New Roman"/>
          <w:color w:val="000000"/>
        </w:rPr>
        <w:t> 1928 WLD 168. </w:t>
      </w:r>
      <w:r w:rsidR="00B30E42" w:rsidRPr="00A03D05">
        <w:rPr>
          <w:rFonts w:ascii="Times New Roman" w:hAnsi="Times New Roman"/>
          <w:i/>
          <w:iCs/>
          <w:color w:val="000000"/>
        </w:rPr>
        <w:t>Aliter</w:t>
      </w:r>
      <w:r w:rsidR="00B30E42" w:rsidRPr="00A03D05">
        <w:rPr>
          <w:rFonts w:ascii="Times New Roman" w:hAnsi="Times New Roman"/>
          <w:color w:val="000000"/>
        </w:rPr>
        <w:t> where the applicant alleges that he has a </w:t>
      </w:r>
      <w:r w:rsidR="00B30E42" w:rsidRPr="00A03D05">
        <w:rPr>
          <w:rFonts w:ascii="Times New Roman" w:hAnsi="Times New Roman"/>
          <w:i/>
          <w:iCs/>
          <w:color w:val="000000"/>
        </w:rPr>
        <w:t>bona fide</w:t>
      </w:r>
      <w:r w:rsidR="00B30E42" w:rsidRPr="00A03D05">
        <w:rPr>
          <w:rFonts w:ascii="Times New Roman" w:hAnsi="Times New Roman"/>
          <w:color w:val="000000"/>
        </w:rPr>
        <w:t> defence which is denied by the respondent. </w:t>
      </w:r>
      <w:r w:rsidR="00B30E42" w:rsidRPr="00A03D05">
        <w:rPr>
          <w:rFonts w:ascii="Times New Roman" w:hAnsi="Times New Roman"/>
          <w:i/>
          <w:iCs/>
          <w:color w:val="000000"/>
        </w:rPr>
        <w:t>Ferreira v Arlinders Ltd</w:t>
      </w:r>
      <w:r w:rsidR="00B30E42" w:rsidRPr="00A03D05">
        <w:rPr>
          <w:rFonts w:ascii="Times New Roman" w:hAnsi="Times New Roman"/>
          <w:color w:val="000000"/>
        </w:rPr>
        <w:t> </w:t>
      </w:r>
      <w:hyperlink r:id="rId26" w:tgtFrame="main" w:history="1">
        <w:r w:rsidR="00B30E42" w:rsidRPr="00A03D05">
          <w:rPr>
            <w:rStyle w:val="Hyperlink"/>
            <w:rFonts w:ascii="Times New Roman" w:hAnsi="Times New Roman"/>
            <w:color w:val="000000" w:themeColor="text1"/>
            <w:u w:val="none"/>
          </w:rPr>
          <w:t>1964 (1) SA 631 (O)</w:t>
        </w:r>
      </w:hyperlink>
      <w:r w:rsidR="00B30E42" w:rsidRPr="00A03D05">
        <w:rPr>
          <w:rFonts w:ascii="Times New Roman" w:hAnsi="Times New Roman"/>
          <w:color w:val="000000" w:themeColor="text1"/>
        </w:rPr>
        <w:t> at 633D–E).</w:t>
      </w:r>
    </w:p>
  </w:footnote>
  <w:footnote w:id="19">
    <w:p w14:paraId="3A70179A" w14:textId="77777777" w:rsidR="009956D6" w:rsidRPr="00F86222" w:rsidRDefault="00CC77D6">
      <w:pPr>
        <w:pStyle w:val="FootnoteText"/>
        <w:rPr>
          <w:rFonts w:ascii="Times New Roman" w:hAnsi="Times New Roman"/>
          <w:lang w:val="en-GB"/>
        </w:rPr>
      </w:pPr>
      <w:r w:rsidRPr="00A03D05">
        <w:rPr>
          <w:rStyle w:val="FootnoteReference"/>
          <w:rFonts w:ascii="Times New Roman" w:hAnsi="Times New Roman"/>
          <w:color w:val="000000" w:themeColor="text1"/>
        </w:rPr>
        <w:footnoteRef/>
      </w:r>
      <w:r w:rsidRPr="00A03D05">
        <w:rPr>
          <w:rFonts w:ascii="Times New Roman" w:hAnsi="Times New Roman"/>
          <w:color w:val="000000" w:themeColor="text1"/>
        </w:rPr>
        <w:t xml:space="preserve"> </w:t>
      </w:r>
      <w:r w:rsidR="00E40512" w:rsidRPr="00A03D05">
        <w:rPr>
          <w:rFonts w:ascii="Times New Roman" w:hAnsi="Times New Roman"/>
          <w:color w:val="000000" w:themeColor="text1"/>
        </w:rPr>
        <w:t>Highlands North Investment Etc Co (Pty) Ltd v Land Values Ltd 1931 WLD 102 at 105; Trust Bank van Afrika Bpk v Lief </w:t>
      </w:r>
      <w:hyperlink r:id="rId27" w:tgtFrame="main" w:history="1">
        <w:r w:rsidR="00E40512" w:rsidRPr="00A03D05">
          <w:rPr>
            <w:rStyle w:val="Hyperlink"/>
            <w:rFonts w:ascii="Times New Roman" w:hAnsi="Times New Roman"/>
            <w:color w:val="000000" w:themeColor="text1"/>
            <w:u w:val="none"/>
          </w:rPr>
          <w:t>1963 (4) SA 752 (T)</w:t>
        </w:r>
      </w:hyperlink>
      <w:r w:rsidR="00E40512" w:rsidRPr="00A03D05">
        <w:rPr>
          <w:rFonts w:ascii="Times New Roman" w:hAnsi="Times New Roman"/>
          <w:color w:val="000000" w:themeColor="text1"/>
        </w:rPr>
        <w:t> at 754–755. See also Fraser v Lampert </w:t>
      </w:r>
      <w:hyperlink r:id="rId28" w:tgtFrame="main" w:history="1">
        <w:r w:rsidR="00E40512" w:rsidRPr="00A03D05">
          <w:rPr>
            <w:rStyle w:val="Hyperlink"/>
            <w:rFonts w:ascii="Times New Roman" w:hAnsi="Times New Roman"/>
            <w:color w:val="000000" w:themeColor="text1"/>
            <w:u w:val="none"/>
          </w:rPr>
          <w:t>1951 (4) SA 110 (T)</w:t>
        </w:r>
      </w:hyperlink>
      <w:r w:rsidR="00E40512" w:rsidRPr="00A03D05">
        <w:rPr>
          <w:rFonts w:ascii="Times New Roman" w:hAnsi="Times New Roman"/>
          <w:color w:val="000000" w:themeColor="text1"/>
        </w:rPr>
        <w:t> at 115; Kruger Stores (Pty) Ltd v Kopman </w:t>
      </w:r>
      <w:hyperlink r:id="rId29" w:tgtFrame="main" w:history="1">
        <w:r w:rsidR="00E40512" w:rsidRPr="00A03D05">
          <w:rPr>
            <w:rStyle w:val="Hyperlink"/>
            <w:rFonts w:ascii="Times New Roman" w:hAnsi="Times New Roman"/>
            <w:color w:val="000000" w:themeColor="text1"/>
            <w:u w:val="none"/>
          </w:rPr>
          <w:t>1957 (1) SA 645 (W)</w:t>
        </w:r>
      </w:hyperlink>
      <w:r w:rsidR="00E40512" w:rsidRPr="00A03D05">
        <w:rPr>
          <w:rFonts w:ascii="Times New Roman" w:hAnsi="Times New Roman"/>
          <w:color w:val="000000" w:themeColor="text1"/>
        </w:rPr>
        <w:t> at 649; Fedgen Insurance Co Ltd v Border Bag Manufacturing (Pty) Ltd </w:t>
      </w:r>
      <w:hyperlink r:id="rId30" w:tgtFrame="main" w:history="1">
        <w:r w:rsidR="00E40512" w:rsidRPr="00A03D05">
          <w:rPr>
            <w:rStyle w:val="Hyperlink"/>
            <w:rFonts w:ascii="Times New Roman" w:hAnsi="Times New Roman"/>
            <w:color w:val="000000" w:themeColor="text1"/>
            <w:u w:val="none"/>
          </w:rPr>
          <w:t>1995 (4) SA 355 (W)</w:t>
        </w:r>
      </w:hyperlink>
      <w:r w:rsidR="00E40512" w:rsidRPr="00A03D05">
        <w:rPr>
          <w:rFonts w:ascii="Times New Roman" w:hAnsi="Times New Roman"/>
          <w:color w:val="000000"/>
        </w:rPr>
        <w:t>.</w:t>
      </w:r>
    </w:p>
  </w:footnote>
  <w:footnote w:id="20">
    <w:p w14:paraId="794633F4" w14:textId="77777777" w:rsidR="002510B6" w:rsidRPr="00F86222" w:rsidRDefault="00CC77D6">
      <w:pPr>
        <w:pStyle w:val="FootnoteText"/>
        <w:rPr>
          <w:lang w:val="en-GB"/>
        </w:rPr>
      </w:pPr>
      <w:r w:rsidRPr="00F86222">
        <w:rPr>
          <w:rStyle w:val="FootnoteReference"/>
        </w:rPr>
        <w:footnoteRef/>
      </w:r>
      <w:r w:rsidRPr="00F86222">
        <w:t xml:space="preserve"> </w:t>
      </w:r>
      <w:r w:rsidR="00A5343D" w:rsidRPr="00A03D05">
        <w:rPr>
          <w:rFonts w:ascii="Times New Roman" w:hAnsi="Times New Roman"/>
          <w:color w:val="000000"/>
        </w:rPr>
        <w:t>Trust Bank van Afrika Bpk v Lief </w:t>
      </w:r>
      <w:hyperlink r:id="rId31" w:tgtFrame="main" w:history="1">
        <w:r w:rsidR="00A5343D" w:rsidRPr="00A03D05">
          <w:rPr>
            <w:rStyle w:val="Hyperlink"/>
            <w:rFonts w:ascii="Times New Roman" w:hAnsi="Times New Roman"/>
            <w:color w:val="000000" w:themeColor="text1"/>
            <w:u w:val="none"/>
          </w:rPr>
          <w:t>1963 (4) SA 752 (T)</w:t>
        </w:r>
      </w:hyperlink>
      <w:r w:rsidR="00A5343D" w:rsidRPr="00A03D05">
        <w:rPr>
          <w:rFonts w:ascii="Times New Roman" w:hAnsi="Times New Roman"/>
          <w:color w:val="000000" w:themeColor="text1"/>
        </w:rPr>
        <w:t> at 7</w:t>
      </w:r>
      <w:r w:rsidR="00A5343D" w:rsidRPr="00A03D05">
        <w:rPr>
          <w:rFonts w:ascii="Times New Roman" w:hAnsi="Times New Roman"/>
          <w:color w:val="000000"/>
        </w:rPr>
        <w:t>54–755</w:t>
      </w:r>
    </w:p>
  </w:footnote>
  <w:footnote w:id="21">
    <w:p w14:paraId="1544081C" w14:textId="77777777" w:rsidR="00012424" w:rsidRPr="00A03D05" w:rsidRDefault="00CC77D6">
      <w:pPr>
        <w:pStyle w:val="FootnoteText"/>
        <w:rPr>
          <w:rFonts w:ascii="Times New Roman" w:hAnsi="Times New Roman"/>
          <w:u w:val="single"/>
          <w:lang w:val="en-GB"/>
        </w:rPr>
      </w:pPr>
      <w:r w:rsidRPr="00A03D05">
        <w:rPr>
          <w:rStyle w:val="FootnoteReference"/>
          <w:rFonts w:ascii="Times New Roman" w:hAnsi="Times New Roman"/>
        </w:rPr>
        <w:footnoteRef/>
      </w:r>
      <w:r w:rsidRPr="00A03D05">
        <w:rPr>
          <w:rFonts w:ascii="Times New Roman" w:hAnsi="Times New Roman"/>
        </w:rPr>
        <w:t xml:space="preserve"> </w:t>
      </w:r>
      <w:r w:rsidR="00EF190B" w:rsidRPr="00A03D05">
        <w:rPr>
          <w:rFonts w:ascii="Times New Roman" w:hAnsi="Times New Roman"/>
          <w:color w:val="000000" w:themeColor="text1"/>
        </w:rPr>
        <w:t>Turkstra v Goldberg 1946 TPD 535. See also Beaton v SA Mining Supplies Ltd </w:t>
      </w:r>
      <w:hyperlink r:id="rId32" w:tgtFrame="main" w:history="1">
        <w:r w:rsidR="00EF190B" w:rsidRPr="00A03D05">
          <w:rPr>
            <w:rStyle w:val="Hyperlink"/>
            <w:rFonts w:ascii="Times New Roman" w:hAnsi="Times New Roman"/>
            <w:color w:val="000000" w:themeColor="text1"/>
            <w:u w:val="none"/>
          </w:rPr>
          <w:t>1957 (2) SA 436 (W)</w:t>
        </w:r>
      </w:hyperlink>
      <w:r w:rsidR="00EF190B" w:rsidRPr="00A03D05">
        <w:rPr>
          <w:rFonts w:ascii="Times New Roman" w:hAnsi="Times New Roman"/>
          <w:color w:val="000000"/>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CC16" w14:textId="77777777" w:rsidR="00A6467B" w:rsidRDefault="00CC77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1304C" w14:textId="77777777" w:rsidR="00A6467B" w:rsidRDefault="00A6467B">
    <w:pPr>
      <w:pStyle w:val="Header"/>
      <w:ind w:right="360"/>
    </w:pPr>
  </w:p>
  <w:p w14:paraId="06A6B851" w14:textId="77777777" w:rsidR="00A6467B" w:rsidRDefault="00A646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9D50" w14:textId="31D9846E" w:rsidR="00A6467B" w:rsidRDefault="00CC77D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50B8A">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0519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3C"/>
    <w:rsid w:val="00012424"/>
    <w:rsid w:val="0002683B"/>
    <w:rsid w:val="000813E0"/>
    <w:rsid w:val="0008149C"/>
    <w:rsid w:val="0008581E"/>
    <w:rsid w:val="00091ED0"/>
    <w:rsid w:val="000A6C9A"/>
    <w:rsid w:val="000B1BB1"/>
    <w:rsid w:val="000C1414"/>
    <w:rsid w:val="000E11A2"/>
    <w:rsid w:val="000E2336"/>
    <w:rsid w:val="000E3872"/>
    <w:rsid w:val="000E3CDA"/>
    <w:rsid w:val="000F3DED"/>
    <w:rsid w:val="0010432E"/>
    <w:rsid w:val="00121782"/>
    <w:rsid w:val="00125B58"/>
    <w:rsid w:val="0012627C"/>
    <w:rsid w:val="00127272"/>
    <w:rsid w:val="0014483C"/>
    <w:rsid w:val="00152D4C"/>
    <w:rsid w:val="00171062"/>
    <w:rsid w:val="001967A8"/>
    <w:rsid w:val="00196848"/>
    <w:rsid w:val="001B7128"/>
    <w:rsid w:val="001C4536"/>
    <w:rsid w:val="001D1BCB"/>
    <w:rsid w:val="001E0045"/>
    <w:rsid w:val="001F0D22"/>
    <w:rsid w:val="002227F4"/>
    <w:rsid w:val="0022301F"/>
    <w:rsid w:val="00227C4F"/>
    <w:rsid w:val="00237462"/>
    <w:rsid w:val="00242DDC"/>
    <w:rsid w:val="002510B6"/>
    <w:rsid w:val="002529EA"/>
    <w:rsid w:val="00273093"/>
    <w:rsid w:val="00281D2A"/>
    <w:rsid w:val="002878D4"/>
    <w:rsid w:val="00287DD1"/>
    <w:rsid w:val="002946B1"/>
    <w:rsid w:val="002A1402"/>
    <w:rsid w:val="002A7DA3"/>
    <w:rsid w:val="002B6352"/>
    <w:rsid w:val="002C03D2"/>
    <w:rsid w:val="002D77DA"/>
    <w:rsid w:val="002F1C86"/>
    <w:rsid w:val="00300A10"/>
    <w:rsid w:val="00311784"/>
    <w:rsid w:val="00312FC1"/>
    <w:rsid w:val="00341A19"/>
    <w:rsid w:val="00342D1F"/>
    <w:rsid w:val="003558B6"/>
    <w:rsid w:val="00383BBD"/>
    <w:rsid w:val="00392834"/>
    <w:rsid w:val="003A4B67"/>
    <w:rsid w:val="003B058F"/>
    <w:rsid w:val="003B2553"/>
    <w:rsid w:val="003C3284"/>
    <w:rsid w:val="003C5335"/>
    <w:rsid w:val="003D1207"/>
    <w:rsid w:val="003F40ED"/>
    <w:rsid w:val="00421BAD"/>
    <w:rsid w:val="00445CEB"/>
    <w:rsid w:val="004862D6"/>
    <w:rsid w:val="00486E43"/>
    <w:rsid w:val="004902FB"/>
    <w:rsid w:val="00496283"/>
    <w:rsid w:val="004C2F85"/>
    <w:rsid w:val="004D3C60"/>
    <w:rsid w:val="004F4936"/>
    <w:rsid w:val="005364B9"/>
    <w:rsid w:val="005B691F"/>
    <w:rsid w:val="005F74BD"/>
    <w:rsid w:val="00602DE3"/>
    <w:rsid w:val="0062237C"/>
    <w:rsid w:val="00631073"/>
    <w:rsid w:val="006346D6"/>
    <w:rsid w:val="00640586"/>
    <w:rsid w:val="00654EA2"/>
    <w:rsid w:val="00671953"/>
    <w:rsid w:val="006A7B43"/>
    <w:rsid w:val="006C6129"/>
    <w:rsid w:val="00713609"/>
    <w:rsid w:val="00723C6A"/>
    <w:rsid w:val="00725E67"/>
    <w:rsid w:val="00764B2A"/>
    <w:rsid w:val="007707A4"/>
    <w:rsid w:val="007738D9"/>
    <w:rsid w:val="00792A53"/>
    <w:rsid w:val="007B643A"/>
    <w:rsid w:val="007C6F1E"/>
    <w:rsid w:val="007E11CC"/>
    <w:rsid w:val="00841254"/>
    <w:rsid w:val="00845447"/>
    <w:rsid w:val="00850B8A"/>
    <w:rsid w:val="00852F0B"/>
    <w:rsid w:val="0087305C"/>
    <w:rsid w:val="008940C5"/>
    <w:rsid w:val="008E2DEC"/>
    <w:rsid w:val="008E5C31"/>
    <w:rsid w:val="008F7388"/>
    <w:rsid w:val="008F7CEB"/>
    <w:rsid w:val="00916D57"/>
    <w:rsid w:val="009213E3"/>
    <w:rsid w:val="0097621E"/>
    <w:rsid w:val="009768C4"/>
    <w:rsid w:val="009956D6"/>
    <w:rsid w:val="009D75D2"/>
    <w:rsid w:val="009D7C0A"/>
    <w:rsid w:val="00A03CB8"/>
    <w:rsid w:val="00A03D05"/>
    <w:rsid w:val="00A10FC4"/>
    <w:rsid w:val="00A139D4"/>
    <w:rsid w:val="00A371B9"/>
    <w:rsid w:val="00A5343D"/>
    <w:rsid w:val="00A60757"/>
    <w:rsid w:val="00A6467B"/>
    <w:rsid w:val="00A81558"/>
    <w:rsid w:val="00AA02C4"/>
    <w:rsid w:val="00AE013D"/>
    <w:rsid w:val="00AE7BEC"/>
    <w:rsid w:val="00B0607A"/>
    <w:rsid w:val="00B30E42"/>
    <w:rsid w:val="00B35B1D"/>
    <w:rsid w:val="00B3798F"/>
    <w:rsid w:val="00B43A46"/>
    <w:rsid w:val="00B87CFC"/>
    <w:rsid w:val="00B95552"/>
    <w:rsid w:val="00BA5ADD"/>
    <w:rsid w:val="00BC323D"/>
    <w:rsid w:val="00BC38C1"/>
    <w:rsid w:val="00BD57DF"/>
    <w:rsid w:val="00BD587A"/>
    <w:rsid w:val="00BE2F51"/>
    <w:rsid w:val="00C66F17"/>
    <w:rsid w:val="00C73F24"/>
    <w:rsid w:val="00C83EB7"/>
    <w:rsid w:val="00C8615E"/>
    <w:rsid w:val="00C87D65"/>
    <w:rsid w:val="00C909EB"/>
    <w:rsid w:val="00CC77D6"/>
    <w:rsid w:val="00D03933"/>
    <w:rsid w:val="00D10EA9"/>
    <w:rsid w:val="00D5181E"/>
    <w:rsid w:val="00D706C1"/>
    <w:rsid w:val="00D73B45"/>
    <w:rsid w:val="00D85AE8"/>
    <w:rsid w:val="00D87D74"/>
    <w:rsid w:val="00DA0452"/>
    <w:rsid w:val="00DB372D"/>
    <w:rsid w:val="00DC4C06"/>
    <w:rsid w:val="00E10678"/>
    <w:rsid w:val="00E13662"/>
    <w:rsid w:val="00E15B1C"/>
    <w:rsid w:val="00E25FB0"/>
    <w:rsid w:val="00E309D1"/>
    <w:rsid w:val="00E3600B"/>
    <w:rsid w:val="00E40512"/>
    <w:rsid w:val="00E43CD0"/>
    <w:rsid w:val="00E46053"/>
    <w:rsid w:val="00E70838"/>
    <w:rsid w:val="00E808B9"/>
    <w:rsid w:val="00E8326A"/>
    <w:rsid w:val="00E83B30"/>
    <w:rsid w:val="00E8509A"/>
    <w:rsid w:val="00E85C60"/>
    <w:rsid w:val="00EA4AA4"/>
    <w:rsid w:val="00EA76E8"/>
    <w:rsid w:val="00EB0B45"/>
    <w:rsid w:val="00EB21AE"/>
    <w:rsid w:val="00EB261C"/>
    <w:rsid w:val="00EB424D"/>
    <w:rsid w:val="00EC41E0"/>
    <w:rsid w:val="00ED36A9"/>
    <w:rsid w:val="00EF190B"/>
    <w:rsid w:val="00F055D0"/>
    <w:rsid w:val="00F17ED1"/>
    <w:rsid w:val="00F218AE"/>
    <w:rsid w:val="00F629C7"/>
    <w:rsid w:val="00F73733"/>
    <w:rsid w:val="00F86222"/>
    <w:rsid w:val="00FA40AF"/>
    <w:rsid w:val="00FB1C9D"/>
    <w:rsid w:val="00FC0D31"/>
    <w:rsid w:val="00FE5E11"/>
    <w:rsid w:val="00FF74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1220"/>
  <w15:chartTrackingRefBased/>
  <w15:docId w15:val="{1C023EA1-6DF8-4186-BCE6-BC6F3D2C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83C"/>
  </w:style>
  <w:style w:type="character" w:styleId="PageNumber">
    <w:name w:val="page number"/>
    <w:rsid w:val="0014483C"/>
    <w:rPr>
      <w:rFonts w:ascii="Arial" w:hAnsi="Arial"/>
      <w:sz w:val="24"/>
    </w:rPr>
  </w:style>
  <w:style w:type="paragraph" w:styleId="FootnoteText">
    <w:name w:val="footnote text"/>
    <w:basedOn w:val="Normal"/>
    <w:link w:val="FootnoteTextChar"/>
    <w:uiPriority w:val="99"/>
    <w:semiHidden/>
    <w:unhideWhenUsed/>
    <w:rsid w:val="0014483C"/>
    <w:pPr>
      <w:suppressAutoHyphen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4483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4483C"/>
    <w:rPr>
      <w:vertAlign w:val="superscript"/>
    </w:rPr>
  </w:style>
  <w:style w:type="paragraph" w:styleId="NormalWeb">
    <w:name w:val="Normal (Web)"/>
    <w:basedOn w:val="Normal"/>
    <w:uiPriority w:val="99"/>
    <w:unhideWhenUsed/>
    <w:rsid w:val="00FB1C9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FB1C9D"/>
    <w:rPr>
      <w:color w:val="0000FF"/>
      <w:u w:val="single"/>
    </w:rPr>
  </w:style>
  <w:style w:type="character" w:customStyle="1" w:styleId="g1">
    <w:name w:val="g1"/>
    <w:basedOn w:val="DefaultParagraphFont"/>
    <w:rsid w:val="00F17ED1"/>
  </w:style>
  <w:style w:type="paragraph" w:styleId="Revision">
    <w:name w:val="Revision"/>
    <w:hidden/>
    <w:uiPriority w:val="99"/>
    <w:semiHidden/>
    <w:rsid w:val="00841254"/>
    <w:pPr>
      <w:spacing w:after="0" w:line="240" w:lineRule="auto"/>
    </w:pPr>
  </w:style>
  <w:style w:type="paragraph" w:styleId="Footer">
    <w:name w:val="footer"/>
    <w:basedOn w:val="Normal"/>
    <w:link w:val="FooterChar"/>
    <w:uiPriority w:val="99"/>
    <w:unhideWhenUsed/>
    <w:rsid w:val="003B0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cgi-bin/LawCite?cit=2007%20%286%29%20SA%20620" TargetMode="External"/><Relationship Id="rId18" Type="http://schemas.openxmlformats.org/officeDocument/2006/relationships/hyperlink" Target="http://www.saflii.org/za/legis/consol_act/cca1984221/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flii.org/za/legis/consol_act/cca1984221/index.html" TargetMode="Externa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hyperlink" Target="http://www.saflii.org/za/legis/consol_act/cca19842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flii.org/za/legis/consol_act/cca1984221/index.html" TargetMode="External"/><Relationship Id="rId20" Type="http://schemas.openxmlformats.org/officeDocument/2006/relationships/hyperlink" Target="http://www.saflii.org/za/legis/consol_act/cca1984221/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jutastat.juta.co.za/nxt/foliolinks.asp?f=xhitlist&amp;xhitlist_x=Advanced&amp;xhitlist_vpc=first&amp;xhitlist_xsl=querylink.xsl&amp;xhitlist_sel=title;path;content-type;home-title&amp;xhitlist_d=%7bcphc%7d&amp;xhitlist_q=%5bfield%20folio-destination-name:%27com_CPHC_c13_pI%27%5d&amp;xhitlist_md=target-id=0-0-0-1349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flii.org/za/legis/consol_act/cca1984221/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18262%27%5d&amp;xhitlist_md=target-id=0-0-0-126375" TargetMode="External"/><Relationship Id="rId22" Type="http://schemas.openxmlformats.org/officeDocument/2006/relationships/hyperlink" Target="http://www.saflii.org/za/legis/consol_act/cca1984221/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37254%27%5d&amp;xhitlist_md=target-id=0-0-0-124499" TargetMode="External"/><Relationship Id="rId13"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40206%27%5d&amp;xhitlist_md=target-id=0-0-0-126053" TargetMode="External"/><Relationship Id="rId18"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6419%27%5d&amp;xhitlist_md=target-id=0-0-0-0" TargetMode="External"/><Relationship Id="rId26"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41631%27%5d&amp;xhitlist_md=target-id=0-0-0-0" TargetMode="External"/><Relationship Id="rId3" Type="http://schemas.openxmlformats.org/officeDocument/2006/relationships/hyperlink" Target="http://www.saflii.org/cgi-bin/LawCite?cit=2013%20%282%29%20SA%20477" TargetMode="External"/><Relationship Id="rId2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74908%27%5d&amp;xhitlist_md=target-id=0-0-0-0" TargetMode="External"/><Relationship Id="rId7"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18262%27%5d&amp;xhitlist_md=target-id=0-0-0-126375" TargetMode="External"/><Relationship Id="rId12"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38102%27%5d&amp;xhitlist_md=target-id=0-0-0-126373" TargetMode="External"/><Relationship Id="rId17"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38102%27%5d&amp;xhitlist_md=target-id=0-0-0-126373" TargetMode="External"/><Relationship Id="rId25"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02400%27%5d&amp;xhitlist_md=target-id=0-0-0-0" TargetMode="External"/><Relationship Id="rId2" Type="http://schemas.openxmlformats.org/officeDocument/2006/relationships/hyperlink" Target="http://www.saflii.org/cgi-bin/LawCite?cit=2013%20%281%29%20SA%2065" TargetMode="External"/><Relationship Id="rId16"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18262%27%5d&amp;xhitlist_md=target-id=0-0-0-126375" TargetMode="External"/><Relationship Id="rId20" Type="http://schemas.openxmlformats.org/officeDocument/2006/relationships/hyperlink" Target="http://www.saflii.org/cgi-bin/LawCite?cit=%5b2003%5d%203%20All%20SA%201" TargetMode="External"/><Relationship Id="rId2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71645%27%5d&amp;xhitlist_md=target-id=0-0-0-0" TargetMode="External"/><Relationship Id="rId1" Type="http://schemas.openxmlformats.org/officeDocument/2006/relationships/hyperlink" Target="http://www.saflii.org/cgi-bin/LawCite?cit=2011%20%285%29%20SA%20562" TargetMode="External"/><Relationship Id="rId6" Type="http://schemas.openxmlformats.org/officeDocument/2006/relationships/hyperlink" Target="http://www.saflii.org/cgi-bin/LawCite?cit=1930%20WLD%20288" TargetMode="External"/><Relationship Id="rId11"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37254%27%5d&amp;xhitlist_md=target-id=0-0-0-124499" TargetMode="External"/><Relationship Id="rId2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44607%27%5d&amp;xhitlist_md=target-id=0-0-0-0" TargetMode="External"/><Relationship Id="rId3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72436%27%5d&amp;xhitlist_md=target-id=0-0-0-0" TargetMode="External"/><Relationship Id="rId5" Type="http://schemas.openxmlformats.org/officeDocument/2006/relationships/hyperlink" Target="http://www.saflii.org/za/legis/consol_act/ca2008107/" TargetMode="External"/><Relationship Id="rId15"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71450%27%5d&amp;xhitlist_md=target-id=0-0-0-0" TargetMode="External"/><Relationship Id="rId2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22863%27%5d&amp;xhitlist_md=target-id=0-0-0-0" TargetMode="External"/><Relationship Id="rId28"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14110%27%5d&amp;xhitlist_md=target-id=0-0-0-0"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71450%27%5d&amp;xhitlist_md=target-id=0-0-0-0" TargetMode="External"/><Relationship Id="rId19" Type="http://schemas.openxmlformats.org/officeDocument/2006/relationships/hyperlink" Target="http://www.saflii.org/cgi-bin/LawCite?cit=2002%20%286%29%20SA%20297" TargetMode="External"/><Relationship Id="rId3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34752%27%5d&amp;xhitlist_md=target-id=0-0-0-0" TargetMode="External"/><Relationship Id="rId4" Type="http://schemas.openxmlformats.org/officeDocument/2006/relationships/hyperlink" Target="http://www.saflii.org/cgi-bin/LawCite?cit=2013%20%282%29%20SA%20481" TargetMode="Externa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y1956%27%5d&amp;xhitlist_md=target-id=0-0-0-176989"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91251%27%5d&amp;xhitlist_md=target-id=0-0-0-0" TargetMode="External"/><Relationship Id="rId2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91137%27%5d&amp;xhitlist_md=target-id=0-0-0-0" TargetMode="External"/><Relationship Id="rId27"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34752%27%5d&amp;xhitlist_md=target-id=0-0-0-0" TargetMode="External"/><Relationship Id="rId3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54355%27%5d&amp;xhitlist_md=target-id=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9EF8-0E6F-4AD5-8473-E9B3E29A3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9FF72-D705-4E40-AFCA-69343730FC78}">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A8F583A3-E6CE-4BBC-B128-282B1E9D0670}">
  <ds:schemaRefs>
    <ds:schemaRef ds:uri="http://schemas.microsoft.com/sharepoint/v3/contenttype/forms"/>
  </ds:schemaRefs>
</ds:datastoreItem>
</file>

<file path=customXml/itemProps4.xml><?xml version="1.0" encoding="utf-8"?>
<ds:datastoreItem xmlns:ds="http://schemas.openxmlformats.org/officeDocument/2006/customXml" ds:itemID="{9F343479-8E25-4022-AFDF-29D855AB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Judge-Marcus Senyatsi</dc:creator>
  <cp:lastModifiedBy>Mokone</cp:lastModifiedBy>
  <cp:revision>2</cp:revision>
  <cp:lastPrinted>2023-07-17T10:02:00Z</cp:lastPrinted>
  <dcterms:created xsi:type="dcterms:W3CDTF">2023-07-17T14:51:00Z</dcterms:created>
  <dcterms:modified xsi:type="dcterms:W3CDTF">2023-07-17T14:51:00Z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