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422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D49F33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9035F8B"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196B0067" wp14:editId="38FB1D5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1750893"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61D6C84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7CDC2E1" w14:textId="72E3DC83"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7BB9F3F9" w14:textId="77777777" w:rsidR="007B7F59" w:rsidRPr="007B7F59" w:rsidRDefault="007B7F59" w:rsidP="007B7F59">
      <w:pPr>
        <w:spacing w:after="0" w:line="240" w:lineRule="auto"/>
        <w:ind w:left="0"/>
        <w:rPr>
          <w:rFonts w:eastAsia="Times New Roman" w:cs="Arial"/>
          <w:szCs w:val="24"/>
          <w:lang w:val="en-ZA"/>
        </w:rPr>
      </w:pPr>
    </w:p>
    <w:p w14:paraId="27D1872D" w14:textId="77777777" w:rsidR="007B7F59" w:rsidRPr="007B7F59" w:rsidRDefault="007B7F59" w:rsidP="007B7F59">
      <w:pPr>
        <w:spacing w:after="0" w:line="240" w:lineRule="auto"/>
        <w:ind w:left="0"/>
        <w:rPr>
          <w:rFonts w:eastAsia="Times New Roman" w:cs="Arial"/>
          <w:szCs w:val="24"/>
          <w:lang w:val="en-ZA"/>
        </w:rPr>
      </w:pPr>
    </w:p>
    <w:p w14:paraId="2C3B9C98" w14:textId="610B8D62"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A576D9">
        <w:rPr>
          <w:rFonts w:eastAsia="Times New Roman" w:cs="Arial"/>
          <w:bCs/>
          <w:szCs w:val="24"/>
          <w:lang w:val="en-ZA"/>
        </w:rPr>
        <w:t xml:space="preserve"> </w:t>
      </w:r>
      <w:r w:rsidR="00A22BE4">
        <w:rPr>
          <w:rFonts w:eastAsia="Times New Roman" w:cs="Arial"/>
          <w:bCs/>
          <w:szCs w:val="24"/>
          <w:lang w:val="en-ZA"/>
        </w:rPr>
        <w:t>43325/2019</w:t>
      </w:r>
    </w:p>
    <w:p w14:paraId="05F3457E"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14A1C670" wp14:editId="1D4667C5">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EE7B48F" w14:textId="7F878A7D"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 xml:space="preserve">REPORTABLE: </w:t>
                            </w:r>
                            <w:r w:rsidR="007B7F59" w:rsidRPr="00087733">
                              <w:rPr>
                                <w:rFonts w:cs="Arial"/>
                                <w:sz w:val="18"/>
                                <w:szCs w:val="20"/>
                              </w:rPr>
                              <w:t>NO</w:t>
                            </w:r>
                          </w:p>
                          <w:p w14:paraId="2A06B77B" w14:textId="6AE21D36"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7B7F59" w:rsidRPr="00087733">
                              <w:rPr>
                                <w:rFonts w:cs="Arial"/>
                                <w:sz w:val="18"/>
                                <w:szCs w:val="20"/>
                              </w:rPr>
                              <w:t>NO</w:t>
                            </w:r>
                          </w:p>
                          <w:p w14:paraId="5EB9A1E1" w14:textId="63AC7A71"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083462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C670"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EE7B48F" w14:textId="7F878A7D"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 xml:space="preserve">REPORTABLE: </w:t>
                      </w:r>
                      <w:r w:rsidR="007B7F59" w:rsidRPr="00087733">
                        <w:rPr>
                          <w:rFonts w:cs="Arial"/>
                          <w:sz w:val="18"/>
                          <w:szCs w:val="20"/>
                        </w:rPr>
                        <w:t>NO</w:t>
                      </w:r>
                    </w:p>
                    <w:p w14:paraId="2A06B77B" w14:textId="6AE21D36"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7B7F59" w:rsidRPr="00087733">
                        <w:rPr>
                          <w:rFonts w:cs="Arial"/>
                          <w:sz w:val="18"/>
                          <w:szCs w:val="20"/>
                        </w:rPr>
                        <w:t>NO</w:t>
                      </w:r>
                    </w:p>
                    <w:p w14:paraId="5EB9A1E1" w14:textId="63AC7A71" w:rsidR="007B7F59" w:rsidRPr="00A22BE4" w:rsidRDefault="00170B17" w:rsidP="00170B17">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083462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0BDB72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92959B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262D069"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3E248AD"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B0AEA7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CD2AED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98ABB3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A3BD9A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51ADFB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3058B4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6BC2EA8" w14:textId="25A81A09" w:rsidR="007B7F59" w:rsidRPr="007B7F59" w:rsidRDefault="00393EB3"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 xml:space="preserve">DAVID </w:t>
      </w:r>
      <w:r w:rsidR="008D738E">
        <w:rPr>
          <w:rFonts w:eastAsia="Times New Roman" w:cs="Times New Roman"/>
          <w:b/>
          <w:kern w:val="28"/>
          <w:szCs w:val="24"/>
          <w:lang w:eastAsia="en-GB"/>
        </w:rPr>
        <w:t>DANIEL NKOSI</w:t>
      </w:r>
      <w:r w:rsidR="007B7F59" w:rsidRPr="007B7F59">
        <w:rPr>
          <w:rFonts w:eastAsia="Times New Roman" w:cs="Arial"/>
          <w:b/>
          <w:szCs w:val="24"/>
          <w:lang w:val="en-ZA"/>
        </w:rPr>
        <w:tab/>
      </w:r>
      <w:r w:rsidR="008D738E">
        <w:rPr>
          <w:rFonts w:eastAsia="Times New Roman" w:cs="Arial"/>
          <w:szCs w:val="24"/>
          <w:lang w:val="en-ZA"/>
        </w:rPr>
        <w:t>Plaintiff</w:t>
      </w:r>
    </w:p>
    <w:p w14:paraId="4C56A80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3796CA3" w14:textId="1911A1DA"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54497D5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25B0B9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19D8592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BE1EB77" w14:textId="6D183135" w:rsidR="007B7F59" w:rsidRDefault="00814763" w:rsidP="007B7F59">
      <w:pPr>
        <w:tabs>
          <w:tab w:val="right" w:pos="9029"/>
        </w:tabs>
        <w:spacing w:after="0" w:line="240" w:lineRule="auto"/>
        <w:ind w:left="0"/>
        <w:contextualSpacing/>
        <w:rPr>
          <w:rFonts w:eastAsia="Times New Roman" w:cs="Arial"/>
          <w:szCs w:val="24"/>
          <w:lang w:val="en-ZA"/>
        </w:rPr>
      </w:pPr>
      <w:r>
        <w:rPr>
          <w:rFonts w:cs="Arial"/>
          <w:b/>
          <w:szCs w:val="24"/>
        </w:rPr>
        <w:t>MINISTER OF POLICE</w:t>
      </w:r>
      <w:r w:rsidR="007B7F59" w:rsidRPr="007B7F59">
        <w:rPr>
          <w:rFonts w:cs="Arial"/>
          <w:b/>
          <w:szCs w:val="24"/>
          <w:lang w:val="en-ZA"/>
        </w:rPr>
        <w:tab/>
      </w:r>
      <w:r w:rsidR="007B7F59" w:rsidRPr="007B7F59">
        <w:rPr>
          <w:rFonts w:eastAsia="Times New Roman" w:cs="Arial"/>
          <w:szCs w:val="24"/>
          <w:lang w:val="en-ZA"/>
        </w:rPr>
        <w:t xml:space="preserve">First </w:t>
      </w:r>
      <w:r w:rsidR="00A576D9">
        <w:rPr>
          <w:rFonts w:eastAsia="Times New Roman" w:cs="Arial"/>
          <w:szCs w:val="24"/>
          <w:lang w:val="en-ZA"/>
        </w:rPr>
        <w:t>Defendant</w:t>
      </w:r>
    </w:p>
    <w:p w14:paraId="5424C2F3" w14:textId="77777777" w:rsidR="00813E53" w:rsidRPr="00813E53" w:rsidRDefault="00813E53" w:rsidP="00813E53">
      <w:pPr>
        <w:pStyle w:val="JudgmentNumbered"/>
        <w:numPr>
          <w:ilvl w:val="0"/>
          <w:numId w:val="0"/>
        </w:numPr>
        <w:ind w:left="567"/>
        <w:rPr>
          <w:lang w:val="en-ZA"/>
        </w:rPr>
      </w:pPr>
    </w:p>
    <w:p w14:paraId="4512FF1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4D0B414" w14:textId="0B30264B" w:rsidR="007B7F59" w:rsidRDefault="00814763"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NATIONAL </w:t>
      </w:r>
      <w:r w:rsidR="00A576D9">
        <w:rPr>
          <w:rFonts w:eastAsia="Times New Roman" w:cs="Arial"/>
          <w:b/>
          <w:szCs w:val="24"/>
          <w:lang w:val="en-ZA"/>
        </w:rPr>
        <w:t>PROSECUTING AUTHORY</w:t>
      </w:r>
      <w:r w:rsidR="007B7F59" w:rsidRPr="007B7F59">
        <w:rPr>
          <w:rFonts w:eastAsia="Times New Roman" w:cs="Arial"/>
          <w:szCs w:val="24"/>
          <w:lang w:val="en-ZA"/>
        </w:rPr>
        <w:tab/>
        <w:t xml:space="preserve">Second </w:t>
      </w:r>
      <w:r w:rsidR="00A576D9">
        <w:rPr>
          <w:rFonts w:eastAsia="Times New Roman" w:cs="Arial"/>
          <w:szCs w:val="24"/>
          <w:lang w:val="en-ZA"/>
        </w:rPr>
        <w:t>Defendant</w:t>
      </w:r>
    </w:p>
    <w:p w14:paraId="5139CAE6" w14:textId="77777777" w:rsidR="00813E53" w:rsidRPr="00813E53" w:rsidRDefault="00813E53" w:rsidP="00813E53">
      <w:pPr>
        <w:pStyle w:val="JudgmentNumbered"/>
        <w:numPr>
          <w:ilvl w:val="0"/>
          <w:numId w:val="0"/>
        </w:numPr>
        <w:ind w:left="567"/>
        <w:rPr>
          <w:lang w:val="en-ZA"/>
        </w:rPr>
      </w:pPr>
    </w:p>
    <w:p w14:paraId="559928DF" w14:textId="77777777" w:rsidR="007B7F59" w:rsidRPr="007B7F59" w:rsidRDefault="007B7F59" w:rsidP="007B7F59">
      <w:pPr>
        <w:tabs>
          <w:tab w:val="right" w:pos="9029"/>
        </w:tabs>
        <w:spacing w:after="0" w:line="240" w:lineRule="auto"/>
        <w:ind w:left="0"/>
        <w:contextualSpacing/>
        <w:rPr>
          <w:rFonts w:cs="Arial"/>
          <w:b/>
          <w:szCs w:val="24"/>
        </w:rPr>
      </w:pPr>
    </w:p>
    <w:p w14:paraId="6FC1E965"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D23C797" w14:textId="77777777" w:rsidR="007B7F59" w:rsidRPr="007B7F59" w:rsidRDefault="007B7F59" w:rsidP="007B7F59">
      <w:pPr>
        <w:spacing w:after="0" w:line="240" w:lineRule="auto"/>
        <w:ind w:left="1440" w:hanging="1440"/>
        <w:jc w:val="left"/>
        <w:rPr>
          <w:rFonts w:cs="Arial"/>
          <w:b/>
          <w:szCs w:val="24"/>
        </w:rPr>
      </w:pPr>
    </w:p>
    <w:p w14:paraId="60ACEE74"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6544C90E" w14:textId="72456149" w:rsidR="007B7F59" w:rsidRPr="007B7F59" w:rsidRDefault="006D32DC" w:rsidP="007B7F59">
      <w:pPr>
        <w:spacing w:after="0" w:line="240" w:lineRule="auto"/>
        <w:ind w:left="0"/>
        <w:jc w:val="left"/>
        <w:rPr>
          <w:rFonts w:cs="Arial"/>
          <w:szCs w:val="24"/>
        </w:rPr>
      </w:pPr>
      <w:r w:rsidRPr="00087733">
        <w:rPr>
          <w:rFonts w:cs="Arial"/>
          <w:szCs w:val="24"/>
        </w:rPr>
        <w:t>C</w:t>
      </w:r>
      <w:r w:rsidR="00393EB3" w:rsidRPr="00087733">
        <w:rPr>
          <w:rFonts w:cs="Arial"/>
          <w:szCs w:val="24"/>
        </w:rPr>
        <w:t>oertse</w:t>
      </w:r>
      <w:r w:rsidR="007B7F59" w:rsidRPr="00087733">
        <w:rPr>
          <w:rFonts w:cs="Arial"/>
          <w:szCs w:val="24"/>
        </w:rPr>
        <w:t xml:space="preserve">, </w:t>
      </w:r>
      <w:r w:rsidR="00874EA6">
        <w:rPr>
          <w:rFonts w:cs="Arial"/>
          <w:szCs w:val="24"/>
        </w:rPr>
        <w:t>A</w:t>
      </w:r>
      <w:r w:rsidR="007B7F59" w:rsidRPr="00087733">
        <w:rPr>
          <w:rFonts w:cs="Arial"/>
          <w:szCs w:val="24"/>
        </w:rPr>
        <w:t>J</w:t>
      </w:r>
    </w:p>
    <w:p w14:paraId="1AE21407" w14:textId="77777777" w:rsidR="007B7F59" w:rsidRPr="007B7F59" w:rsidRDefault="007B7F59" w:rsidP="007B7F59">
      <w:pPr>
        <w:spacing w:after="0" w:line="240" w:lineRule="auto"/>
        <w:ind w:left="0"/>
        <w:jc w:val="left"/>
        <w:rPr>
          <w:rFonts w:cs="Arial"/>
          <w:szCs w:val="24"/>
        </w:rPr>
      </w:pPr>
    </w:p>
    <w:p w14:paraId="6E270045" w14:textId="77777777" w:rsidR="007B7F59" w:rsidRPr="007B7F59" w:rsidRDefault="007B7F59" w:rsidP="007B7F59">
      <w:pPr>
        <w:spacing w:after="0" w:line="240" w:lineRule="auto"/>
        <w:ind w:left="0"/>
        <w:jc w:val="left"/>
        <w:rPr>
          <w:rFonts w:cs="Arial"/>
          <w:szCs w:val="24"/>
        </w:rPr>
      </w:pPr>
    </w:p>
    <w:p w14:paraId="39BFD35F" w14:textId="1EB36814" w:rsidR="0028460A" w:rsidRDefault="00170B17" w:rsidP="00170B17">
      <w:pPr>
        <w:pStyle w:val="JudgmentNumbered"/>
        <w:numPr>
          <w:ilvl w:val="0"/>
          <w:numId w:val="0"/>
        </w:numPr>
        <w:ind w:left="567" w:hanging="567"/>
      </w:pPr>
      <w:r>
        <w:lastRenderedPageBreak/>
        <w:t>[1</w:t>
      </w:r>
      <w:bookmarkStart w:id="0" w:name="_GoBack"/>
      <w:bookmarkEnd w:id="0"/>
      <w:r>
        <w:t>]</w:t>
      </w:r>
      <w:r>
        <w:tab/>
      </w:r>
      <w:r w:rsidR="0028460A">
        <w:t>This court is no stranger to these claims of the Plaintiff</w:t>
      </w:r>
      <w:r w:rsidR="007A4138">
        <w:t>.</w:t>
      </w:r>
      <w:r w:rsidR="0028460A">
        <w:t xml:space="preserve"> </w:t>
      </w:r>
      <w:r w:rsidR="007A4138">
        <w:t>I</w:t>
      </w:r>
      <w:r w:rsidR="0028460A">
        <w:t>n fact, it is having to adjudicate</w:t>
      </w:r>
      <w:r w:rsidR="007A4138">
        <w:t>,</w:t>
      </w:r>
      <w:r w:rsidR="0028460A">
        <w:t xml:space="preserve"> rather regularly with this kind of claims and I hasten to state with this kind of special pleas. And the law reports are replete with well-reasoned judgements of old to today. And I venture to say that this court would not be the last delivering judgment in similar matters.  </w:t>
      </w:r>
    </w:p>
    <w:p w14:paraId="6D012867" w14:textId="2A1FBD71" w:rsidR="0028460A" w:rsidRDefault="00170B17" w:rsidP="00170B17">
      <w:pPr>
        <w:pStyle w:val="JudgmentNumbered"/>
        <w:numPr>
          <w:ilvl w:val="0"/>
          <w:numId w:val="0"/>
        </w:numPr>
        <w:ind w:left="567" w:hanging="567"/>
      </w:pPr>
      <w:r>
        <w:t>[2]</w:t>
      </w:r>
      <w:r>
        <w:tab/>
      </w:r>
      <w:r w:rsidR="0028460A">
        <w:t>Plaintiff was</w:t>
      </w:r>
      <w:r w:rsidR="007A4138">
        <w:t xml:space="preserve"> </w:t>
      </w:r>
      <w:r w:rsidR="0028460A">
        <w:t>arrested at the Johannesburg Central Police Station on 19 August 2015</w:t>
      </w:r>
      <w:r w:rsidR="007A4138">
        <w:t>. H</w:t>
      </w:r>
      <w:r w:rsidR="0028460A">
        <w:t>e was detained until he applied for bail; it was granted and he was released on 21 August 2015</w:t>
      </w:r>
      <w:r w:rsidR="00D84BC9">
        <w:t xml:space="preserve">. </w:t>
      </w:r>
      <w:r w:rsidR="0028460A">
        <w:t>On 23 August 2019 he was discharged in terms of Section 174 of the Criminal Procedure Act 51 of 1977 as amended.</w:t>
      </w:r>
    </w:p>
    <w:p w14:paraId="71612EC0" w14:textId="2E4F0FD9" w:rsidR="0028460A" w:rsidRDefault="00170B17" w:rsidP="00170B17">
      <w:pPr>
        <w:pStyle w:val="JudgmentNumbered"/>
        <w:numPr>
          <w:ilvl w:val="0"/>
          <w:numId w:val="0"/>
        </w:numPr>
        <w:ind w:left="567" w:hanging="567"/>
      </w:pPr>
      <w:r>
        <w:t>[3]</w:t>
      </w:r>
      <w:r>
        <w:tab/>
      </w:r>
      <w:r w:rsidR="0028460A">
        <w:t>The view this court take</w:t>
      </w:r>
      <w:r w:rsidR="003526B6">
        <w:t>s</w:t>
      </w:r>
      <w:r w:rsidR="0028460A">
        <w:t xml:space="preserve"> of the above is th</w:t>
      </w:r>
      <w:r w:rsidR="002C4B25">
        <w:t>e above facts in paragraph 2 above are</w:t>
      </w:r>
      <w:r w:rsidR="0028460A">
        <w:t xml:space="preserve"> common cause facts between the parties.</w:t>
      </w:r>
      <w:r w:rsidR="00D84BC9">
        <w:t xml:space="preserve"> </w:t>
      </w:r>
      <w:r w:rsidR="0028460A">
        <w:t xml:space="preserve">These three dates are crucial in this matter and the outcome of the two Special Pleas depend on the view I take of this: do this court view these three dates as three separate incidents or do this court view it as one continuous incident? In other words, is it a continuous wrong or shall I view it as three separate wrongs? </w:t>
      </w:r>
    </w:p>
    <w:p w14:paraId="41274540" w14:textId="7434F2AF" w:rsidR="0028460A" w:rsidRDefault="00170B17" w:rsidP="00170B17">
      <w:pPr>
        <w:pStyle w:val="JudgmentNumbered"/>
        <w:numPr>
          <w:ilvl w:val="0"/>
          <w:numId w:val="0"/>
        </w:numPr>
        <w:ind w:left="567" w:hanging="567"/>
      </w:pPr>
      <w:r>
        <w:t>[4]</w:t>
      </w:r>
      <w:r>
        <w:tab/>
      </w:r>
      <w:r w:rsidR="0028460A">
        <w:t xml:space="preserve">A Combined Summons was issued 9 December 2019 after the necessary notices were served on both the Defendants. He claimed for the following: </w:t>
      </w:r>
    </w:p>
    <w:p w14:paraId="799BBE6F" w14:textId="6EA9692E" w:rsidR="00206C6F" w:rsidRDefault="00170B17" w:rsidP="00170B17">
      <w:pPr>
        <w:pStyle w:val="JudgmentNumbered"/>
        <w:numPr>
          <w:ilvl w:val="0"/>
          <w:numId w:val="0"/>
        </w:numPr>
        <w:ind w:left="1287" w:hanging="360"/>
      </w:pPr>
      <w:r>
        <w:t>a)</w:t>
      </w:r>
      <w:r>
        <w:tab/>
      </w:r>
      <w:r w:rsidR="0028460A">
        <w:t xml:space="preserve">Wrongful and unlawful arrest and detention </w:t>
      </w:r>
      <w:r w:rsidR="007D339E">
        <w:t xml:space="preserve">in the amount of </w:t>
      </w:r>
      <w:r w:rsidR="0028460A">
        <w:t>R385 000.00;</w:t>
      </w:r>
    </w:p>
    <w:p w14:paraId="0C9427C4" w14:textId="71D40AA6" w:rsidR="00206C6F" w:rsidRDefault="00170B17" w:rsidP="00170B17">
      <w:pPr>
        <w:pStyle w:val="JudgmentNumbered"/>
        <w:numPr>
          <w:ilvl w:val="0"/>
          <w:numId w:val="0"/>
        </w:numPr>
        <w:ind w:left="1287" w:hanging="360"/>
      </w:pPr>
      <w:r>
        <w:t>b)</w:t>
      </w:r>
      <w:r>
        <w:tab/>
      </w:r>
      <w:r w:rsidR="0028460A">
        <w:t xml:space="preserve">Wrongful, false and malicious prosecution </w:t>
      </w:r>
      <w:r w:rsidR="007D339E">
        <w:t xml:space="preserve">in the amount </w:t>
      </w:r>
      <w:r w:rsidR="004313D4">
        <w:t xml:space="preserve">of </w:t>
      </w:r>
      <w:r w:rsidR="0028460A">
        <w:t>R2</w:t>
      </w:r>
      <w:r w:rsidR="007D339E">
        <w:t> </w:t>
      </w:r>
      <w:r w:rsidR="0028460A">
        <w:t>000</w:t>
      </w:r>
      <w:r w:rsidR="007D339E">
        <w:t> </w:t>
      </w:r>
      <w:r w:rsidR="0028460A">
        <w:t>000,00</w:t>
      </w:r>
      <w:r w:rsidR="004313D4">
        <w:t>;</w:t>
      </w:r>
      <w:r w:rsidR="0028460A">
        <w:t xml:space="preserve"> </w:t>
      </w:r>
      <w:r w:rsidR="004313D4">
        <w:t>and</w:t>
      </w:r>
      <w:r w:rsidR="0028460A">
        <w:t xml:space="preserve"> </w:t>
      </w:r>
    </w:p>
    <w:p w14:paraId="5DCB95D9" w14:textId="6410C149" w:rsidR="0028460A" w:rsidRDefault="00170B17" w:rsidP="00170B17">
      <w:pPr>
        <w:pStyle w:val="JudgmentNumbered"/>
        <w:numPr>
          <w:ilvl w:val="0"/>
          <w:numId w:val="0"/>
        </w:numPr>
        <w:ind w:left="1287" w:hanging="360"/>
      </w:pPr>
      <w:r>
        <w:t>c)</w:t>
      </w:r>
      <w:r>
        <w:tab/>
      </w:r>
      <w:r w:rsidR="0028460A">
        <w:t xml:space="preserve">Loss of </w:t>
      </w:r>
      <w:r w:rsidR="004313D4">
        <w:t xml:space="preserve">earnings </w:t>
      </w:r>
      <w:r w:rsidR="007D339E">
        <w:t xml:space="preserve">in the amount </w:t>
      </w:r>
      <w:r w:rsidR="004313D4">
        <w:t xml:space="preserve">of </w:t>
      </w:r>
      <w:r w:rsidR="0028460A">
        <w:t>R3 281 880.00.</w:t>
      </w:r>
    </w:p>
    <w:p w14:paraId="664097F2" w14:textId="4BC1C789" w:rsidR="0028460A" w:rsidRDefault="00170B17" w:rsidP="00170B17">
      <w:pPr>
        <w:pStyle w:val="JudgmentNumbered"/>
        <w:numPr>
          <w:ilvl w:val="0"/>
          <w:numId w:val="0"/>
        </w:numPr>
        <w:ind w:left="567" w:hanging="567"/>
      </w:pPr>
      <w:r>
        <w:t>[5]</w:t>
      </w:r>
      <w:r>
        <w:tab/>
      </w:r>
      <w:r w:rsidR="0028460A">
        <w:t xml:space="preserve">Defendants filed </w:t>
      </w:r>
      <w:r w:rsidR="004313D4">
        <w:t xml:space="preserve">the following </w:t>
      </w:r>
      <w:r w:rsidR="0028460A">
        <w:t>four special pleas as well as pleas</w:t>
      </w:r>
      <w:r w:rsidR="001E578A">
        <w:t xml:space="preserve"> over</w:t>
      </w:r>
      <w:r w:rsidR="0028460A">
        <w:t>:</w:t>
      </w:r>
    </w:p>
    <w:p w14:paraId="57121141" w14:textId="4FDF7CC1" w:rsidR="0028460A" w:rsidRDefault="00170B17" w:rsidP="00170B17">
      <w:pPr>
        <w:pStyle w:val="JudgmentNumbered"/>
        <w:numPr>
          <w:ilvl w:val="0"/>
          <w:numId w:val="0"/>
        </w:numPr>
        <w:ind w:left="1287" w:hanging="360"/>
      </w:pPr>
      <w:r>
        <w:t>a)</w:t>
      </w:r>
      <w:r>
        <w:tab/>
      </w:r>
      <w:r w:rsidR="0028460A">
        <w:t>Non-compliance with Act 20 of 1957</w:t>
      </w:r>
      <w:r w:rsidR="00DF540A">
        <w:t>;</w:t>
      </w:r>
    </w:p>
    <w:p w14:paraId="6B2CCB7E" w14:textId="52F9AFF0" w:rsidR="0028460A" w:rsidRDefault="00170B17" w:rsidP="00170B17">
      <w:pPr>
        <w:pStyle w:val="JudgmentNumbered"/>
        <w:numPr>
          <w:ilvl w:val="0"/>
          <w:numId w:val="0"/>
        </w:numPr>
        <w:ind w:left="1287" w:hanging="360"/>
      </w:pPr>
      <w:r>
        <w:t>b)</w:t>
      </w:r>
      <w:r>
        <w:tab/>
      </w:r>
      <w:r w:rsidR="0028460A">
        <w:t xml:space="preserve">Non-compliance with </w:t>
      </w:r>
      <w:r w:rsidR="00DF540A" w:rsidRPr="00DF540A">
        <w:t>section 3(2) of the Legal Proceedings Against Certain Organs of State</w:t>
      </w:r>
      <w:r w:rsidR="00DF540A">
        <w:t xml:space="preserve"> </w:t>
      </w:r>
      <w:r w:rsidR="0028460A">
        <w:t>Act 40 of 2002</w:t>
      </w:r>
      <w:r w:rsidR="00DF540A">
        <w:t>;</w:t>
      </w:r>
    </w:p>
    <w:p w14:paraId="30879BA8" w14:textId="0E61A4BD" w:rsidR="0028460A" w:rsidRDefault="00170B17" w:rsidP="00170B17">
      <w:pPr>
        <w:pStyle w:val="JudgmentNumbered"/>
        <w:numPr>
          <w:ilvl w:val="0"/>
          <w:numId w:val="0"/>
        </w:numPr>
        <w:ind w:left="1287" w:hanging="360"/>
      </w:pPr>
      <w:r>
        <w:t>c)</w:t>
      </w:r>
      <w:r>
        <w:tab/>
      </w:r>
      <w:r w:rsidR="0028460A">
        <w:t>Non-compliance with Act 40 of 2002</w:t>
      </w:r>
      <w:r w:rsidR="00DF540A">
        <w:t>; and</w:t>
      </w:r>
    </w:p>
    <w:p w14:paraId="5D6B51AC" w14:textId="171B5391" w:rsidR="0028460A" w:rsidRDefault="00170B17" w:rsidP="00170B17">
      <w:pPr>
        <w:pStyle w:val="JudgmentNumbered"/>
        <w:numPr>
          <w:ilvl w:val="0"/>
          <w:numId w:val="0"/>
        </w:numPr>
        <w:ind w:left="1287" w:hanging="360"/>
      </w:pPr>
      <w:r>
        <w:lastRenderedPageBreak/>
        <w:t>d)</w:t>
      </w:r>
      <w:r>
        <w:tab/>
      </w:r>
      <w:r w:rsidR="0028460A">
        <w:t xml:space="preserve">Prescription in terms of the Prescription Act 68 of 1969 </w:t>
      </w:r>
      <w:r w:rsidR="004313D4">
        <w:t>(</w:t>
      </w:r>
      <w:r w:rsidR="0028460A">
        <w:t>the Prescription Act</w:t>
      </w:r>
      <w:r w:rsidR="004313D4">
        <w:t>)</w:t>
      </w:r>
    </w:p>
    <w:p w14:paraId="792924EC" w14:textId="3A778AF9" w:rsidR="0028460A" w:rsidRDefault="00170B17" w:rsidP="00170B17">
      <w:pPr>
        <w:pStyle w:val="JudgmentNumbered"/>
        <w:numPr>
          <w:ilvl w:val="0"/>
          <w:numId w:val="0"/>
        </w:numPr>
        <w:ind w:left="567" w:hanging="567"/>
      </w:pPr>
      <w:r>
        <w:t>[6]</w:t>
      </w:r>
      <w:r>
        <w:tab/>
      </w:r>
      <w:r w:rsidR="0028460A">
        <w:t xml:space="preserve">Counsel for both parties informed me in Chambers, and subsequently confirmed in open court, that </w:t>
      </w:r>
      <w:r w:rsidR="00536659">
        <w:t>the d</w:t>
      </w:r>
      <w:r w:rsidR="0028460A">
        <w:t xml:space="preserve">efendants abandon </w:t>
      </w:r>
      <w:r w:rsidR="00536659">
        <w:t xml:space="preserve">their </w:t>
      </w:r>
      <w:r w:rsidR="0028460A">
        <w:t xml:space="preserve">Special Plea </w:t>
      </w:r>
      <w:r w:rsidR="00CC0499">
        <w:t>(</w:t>
      </w:r>
      <w:r w:rsidR="00601884">
        <w:t>a</w:t>
      </w:r>
      <w:r w:rsidR="00CC0499">
        <w:t>)</w:t>
      </w:r>
      <w:r w:rsidR="0028460A">
        <w:t xml:space="preserve"> and </w:t>
      </w:r>
      <w:r w:rsidR="00CC0499">
        <w:t>(</w:t>
      </w:r>
      <w:r w:rsidR="00601884">
        <w:t>c</w:t>
      </w:r>
      <w:r w:rsidR="00CC0499">
        <w:t>) above</w:t>
      </w:r>
      <w:r w:rsidR="0028460A">
        <w:t xml:space="preserve">. Special Plea </w:t>
      </w:r>
      <w:r w:rsidR="00474E8E">
        <w:t>(b) and (d)</w:t>
      </w:r>
      <w:r w:rsidR="0028460A">
        <w:t xml:space="preserve"> were proceeded with and it was argued in open court. These two special pleas were only in respect of </w:t>
      </w:r>
      <w:r w:rsidR="00474E8E">
        <w:t>the first d</w:t>
      </w:r>
      <w:r w:rsidR="0028460A">
        <w:t>efendant.</w:t>
      </w:r>
    </w:p>
    <w:p w14:paraId="68B0E293" w14:textId="2CA7BFD8" w:rsidR="0028460A" w:rsidRDefault="00170B17" w:rsidP="00170B17">
      <w:pPr>
        <w:pStyle w:val="JudgmentNumbered"/>
        <w:numPr>
          <w:ilvl w:val="0"/>
          <w:numId w:val="0"/>
        </w:numPr>
        <w:ind w:left="567" w:hanging="567"/>
      </w:pPr>
      <w:r>
        <w:t>[7]</w:t>
      </w:r>
      <w:r>
        <w:tab/>
      </w:r>
      <w:r w:rsidR="0028460A">
        <w:t xml:space="preserve">In </w:t>
      </w:r>
      <w:r w:rsidR="0028460A" w:rsidRPr="00087733">
        <w:rPr>
          <w:i/>
          <w:iCs/>
        </w:rPr>
        <w:t>Makhwelo v Minister of Safety and Security</w:t>
      </w:r>
      <w:r w:rsidR="004313CC">
        <w:rPr>
          <w:rStyle w:val="FootnoteReference"/>
          <w:i/>
          <w:iCs/>
        </w:rPr>
        <w:footnoteReference w:id="1"/>
      </w:r>
      <w:r w:rsidR="0028460A">
        <w:t xml:space="preserve"> Spilg J concluded that arrest, detention thr</w:t>
      </w:r>
      <w:r w:rsidR="00E82884">
        <w:t>ough</w:t>
      </w:r>
      <w:r w:rsidR="0028460A">
        <w:t xml:space="preserve"> to discharge is continuous. </w:t>
      </w:r>
      <w:r w:rsidR="00E82884">
        <w:t>He further stated the following</w:t>
      </w:r>
      <w:r w:rsidR="00EA0D14">
        <w:rPr>
          <w:rStyle w:val="FootnoteReference"/>
        </w:rPr>
        <w:footnoteReference w:id="2"/>
      </w:r>
      <w:r w:rsidR="00E82884">
        <w:t>:</w:t>
      </w:r>
    </w:p>
    <w:p w14:paraId="64F10D5F" w14:textId="707A848E" w:rsidR="0028460A" w:rsidRPr="00087733" w:rsidRDefault="0028460A" w:rsidP="00087733">
      <w:pPr>
        <w:pStyle w:val="JudgmentNumbered"/>
        <w:numPr>
          <w:ilvl w:val="0"/>
          <w:numId w:val="0"/>
        </w:numPr>
        <w:ind w:left="1134"/>
        <w:rPr>
          <w:sz w:val="22"/>
        </w:rPr>
      </w:pPr>
      <w:r w:rsidRPr="00087733">
        <w:rPr>
          <w:sz w:val="22"/>
        </w:rPr>
        <w:t>“It is evident that all three cases confined the enquiry to whether there was a single wrongful act which had a continuing injurious effect or whether there was a continuing wrong which until it ceased created a series of individual debts.”</w:t>
      </w:r>
    </w:p>
    <w:p w14:paraId="0E9AEBE7" w14:textId="2E0882B0" w:rsidR="0028460A" w:rsidRPr="00087733" w:rsidRDefault="0028460A" w:rsidP="00087733">
      <w:pPr>
        <w:pStyle w:val="JudgmentNumbered"/>
        <w:numPr>
          <w:ilvl w:val="0"/>
          <w:numId w:val="0"/>
        </w:numPr>
        <w:ind w:left="1134"/>
        <w:rPr>
          <w:sz w:val="22"/>
        </w:rPr>
      </w:pPr>
      <w:r w:rsidRPr="00087733">
        <w:rPr>
          <w:sz w:val="22"/>
        </w:rPr>
        <w:t>In the case of an arrest and detention there is a deprivation of liberty and loss of dignity which will be justified if there is a conviction. It is difficult to appreciate how a debt can be immediately claimable and therefore justiciable which is the second requirement for a debt being due …  prior to the outcome of the criminal trial or prior to charges being dropped or otherwise withdrawn.</w:t>
      </w:r>
    </w:p>
    <w:p w14:paraId="6858B018" w14:textId="5EEDB8EB" w:rsidR="0028460A" w:rsidRPr="00087733" w:rsidRDefault="0028460A" w:rsidP="00087733">
      <w:pPr>
        <w:pStyle w:val="JudgmentNumbered"/>
        <w:numPr>
          <w:ilvl w:val="0"/>
          <w:numId w:val="0"/>
        </w:numPr>
        <w:ind w:left="1134"/>
        <w:rPr>
          <w:sz w:val="22"/>
        </w:rPr>
      </w:pPr>
      <w:r w:rsidRPr="00087733">
        <w:rPr>
          <w:sz w:val="22"/>
        </w:rPr>
        <w:t xml:space="preserve">“During my research I was fortunate to find that the SCA had considered this issue in </w:t>
      </w:r>
      <w:r w:rsidRPr="00087733">
        <w:rPr>
          <w:i/>
          <w:iCs/>
          <w:sz w:val="22"/>
        </w:rPr>
        <w:t>Unilever Bestfoods Robertsons (Pty) Ltd v Soomar</w:t>
      </w:r>
      <w:r w:rsidRPr="00087733">
        <w:rPr>
          <w:sz w:val="22"/>
        </w:rPr>
        <w:t xml:space="preserve"> 2007 (2) SA 347 (SCA). The case concerned a special plea of extinctive prescription on a debt that was claimed to be in part one of abuse of legal process.</w:t>
      </w:r>
    </w:p>
    <w:p w14:paraId="3782778D" w14:textId="60DBFD97" w:rsidR="004D41BC" w:rsidRDefault="004D41BC" w:rsidP="004D41BC">
      <w:pPr>
        <w:pStyle w:val="JudgmentNumbered"/>
        <w:numPr>
          <w:ilvl w:val="0"/>
          <w:numId w:val="0"/>
        </w:numPr>
        <w:ind w:left="1134"/>
      </w:pPr>
      <w:r>
        <w:t>… .</w:t>
      </w:r>
    </w:p>
    <w:p w14:paraId="2D6864E2" w14:textId="75C60888" w:rsidR="0028460A" w:rsidRPr="00087733" w:rsidRDefault="0028460A" w:rsidP="00087733">
      <w:pPr>
        <w:pStyle w:val="JudgmentNumbered"/>
        <w:numPr>
          <w:ilvl w:val="0"/>
          <w:numId w:val="0"/>
        </w:numPr>
        <w:ind w:left="1134"/>
        <w:rPr>
          <w:sz w:val="22"/>
        </w:rPr>
      </w:pPr>
      <w:r w:rsidRPr="00087733">
        <w:rPr>
          <w:sz w:val="22"/>
        </w:rPr>
        <w:t xml:space="preserve">The principle underlying the cases relied on was stated by De Villiers </w:t>
      </w:r>
      <w:r w:rsidR="00EA0D14" w:rsidRPr="00EA0D14">
        <w:rPr>
          <w:sz w:val="22"/>
        </w:rPr>
        <w:t>CJ in</w:t>
      </w:r>
      <w:r w:rsidRPr="00087733">
        <w:rPr>
          <w:sz w:val="22"/>
        </w:rPr>
        <w:t xml:space="preserve"> Lemue's case (at 407) in the following terms: 'While a prosecution is actually pending its result cannot be allowed to be prejudged in the civil action.' A different reason for the rule was given by Solomon J in </w:t>
      </w:r>
      <w:r w:rsidRPr="00087733">
        <w:rPr>
          <w:i/>
          <w:iCs/>
          <w:sz w:val="22"/>
        </w:rPr>
        <w:t>Bacon v Nettleton</w:t>
      </w:r>
      <w:r w:rsidRPr="00087733">
        <w:rPr>
          <w:sz w:val="22"/>
        </w:rPr>
        <w:t xml:space="preserve"> (supra). He said (at 142 - 3):</w:t>
      </w:r>
    </w:p>
    <w:p w14:paraId="3BC554C3" w14:textId="377592A0" w:rsidR="0028460A" w:rsidRDefault="00EA0D14" w:rsidP="00087733">
      <w:pPr>
        <w:pStyle w:val="JudgmentNumbered"/>
        <w:numPr>
          <w:ilvl w:val="0"/>
          <w:numId w:val="0"/>
        </w:numPr>
        <w:ind w:left="1701"/>
      </w:pPr>
      <w:r w:rsidRPr="00087733">
        <w:rPr>
          <w:sz w:val="20"/>
          <w:szCs w:val="20"/>
        </w:rPr>
        <w:lastRenderedPageBreak/>
        <w:t>‘</w:t>
      </w:r>
      <w:r w:rsidR="0028460A" w:rsidRPr="00087733">
        <w:rPr>
          <w:sz w:val="20"/>
          <w:szCs w:val="20"/>
        </w:rPr>
        <w:t>The proceedings from arrest to acquittal must be regarded as continuous, and no personal injury has been done to the accused until the prosecution has been determined by his discharge.</w:t>
      </w:r>
      <w:r>
        <w:t>’”</w:t>
      </w:r>
    </w:p>
    <w:p w14:paraId="1C5196AE" w14:textId="6FA87545" w:rsidR="0028460A" w:rsidRDefault="00170B17" w:rsidP="00170B17">
      <w:pPr>
        <w:pStyle w:val="JudgmentNumbered"/>
        <w:numPr>
          <w:ilvl w:val="0"/>
          <w:numId w:val="0"/>
        </w:numPr>
        <w:ind w:left="567" w:hanging="567"/>
      </w:pPr>
      <w:r>
        <w:t>[8]</w:t>
      </w:r>
      <w:r>
        <w:tab/>
      </w:r>
      <w:r w:rsidR="0028460A">
        <w:t xml:space="preserve">In </w:t>
      </w:r>
      <w:r w:rsidR="0028460A" w:rsidRPr="00087733">
        <w:rPr>
          <w:i/>
          <w:iCs/>
        </w:rPr>
        <w:t xml:space="preserve">Mothobi Albert Tlake v Minister of Police and </w:t>
      </w:r>
      <w:r w:rsidR="00F510A9" w:rsidRPr="00087733">
        <w:rPr>
          <w:i/>
          <w:iCs/>
        </w:rPr>
        <w:t>A</w:t>
      </w:r>
      <w:r w:rsidR="0028460A" w:rsidRPr="00087733">
        <w:rPr>
          <w:i/>
          <w:iCs/>
        </w:rPr>
        <w:t>nother</w:t>
      </w:r>
      <w:r w:rsidR="00F510A9">
        <w:rPr>
          <w:rStyle w:val="FootnoteReference"/>
          <w:i/>
          <w:iCs/>
        </w:rPr>
        <w:footnoteReference w:id="3"/>
      </w:r>
      <w:r w:rsidR="00570A48">
        <w:rPr>
          <w:i/>
          <w:iCs/>
        </w:rPr>
        <w:t xml:space="preserve"> </w:t>
      </w:r>
      <w:r w:rsidR="00570A48" w:rsidRPr="00087733">
        <w:t>it was</w:t>
      </w:r>
      <w:r w:rsidR="00570A48">
        <w:rPr>
          <w:i/>
          <w:iCs/>
        </w:rPr>
        <w:t xml:space="preserve"> </w:t>
      </w:r>
      <w:r w:rsidR="0028460A">
        <w:t xml:space="preserve">held that proceedings from arrest to acquittal must be regarded as continuous and no personal injury has been done to the accused [in the respect to the Plaintiff] until prosecution has been determined by a discharge. </w:t>
      </w:r>
    </w:p>
    <w:p w14:paraId="010E62E3" w14:textId="7A8B9327" w:rsidR="0028460A" w:rsidRDefault="00170B17" w:rsidP="00170B17">
      <w:pPr>
        <w:pStyle w:val="JudgmentNumbered"/>
        <w:numPr>
          <w:ilvl w:val="0"/>
          <w:numId w:val="0"/>
        </w:numPr>
        <w:ind w:left="567" w:hanging="567"/>
      </w:pPr>
      <w:r>
        <w:t>[9]</w:t>
      </w:r>
      <w:r>
        <w:tab/>
      </w:r>
      <w:r w:rsidR="0028460A">
        <w:t xml:space="preserve">On the pragmatic view I take of the matter, it may be approached thus: X walks on the streets of Johannesburg, members of SAPS approach him and arrest him on charges of corruption. The moment they arrest X, he is in detention and the prosecution has to start. The State is under a legal obligation to do something to X who is in detention. The prosecutor now reads the SAPS docket and must make a decision – either to decline to prosecute, or to prosecute. Decision is made to prosecute and subsequently X is either discharged in terms of </w:t>
      </w:r>
      <w:r w:rsidR="00E1558A">
        <w:t>s</w:t>
      </w:r>
      <w:r w:rsidR="0028460A">
        <w:t>ection 174 of the C</w:t>
      </w:r>
      <w:r w:rsidR="008F4D1F">
        <w:t xml:space="preserve">riminal </w:t>
      </w:r>
      <w:r w:rsidR="0028460A">
        <w:t>P</w:t>
      </w:r>
      <w:r w:rsidR="008F4D1F">
        <w:t>rocedure</w:t>
      </w:r>
      <w:r w:rsidR="0028460A">
        <w:t xml:space="preserve"> Act</w:t>
      </w:r>
      <w:r w:rsidR="006408CC">
        <w:t xml:space="preserve"> 51 of 1977 or</w:t>
      </w:r>
      <w:r w:rsidR="0028460A">
        <w:t xml:space="preserve"> is found not guilty and discharged. I find myself in agreement with the learned Farlam JA where he found it to be continuous; to hold otherwise, the court is then, to my mind, approaching it piecemeal as it were and that might lead to injustices to be done. </w:t>
      </w:r>
    </w:p>
    <w:p w14:paraId="7994FE99" w14:textId="4609A1A8" w:rsidR="00FF3DDA" w:rsidRDefault="00170B17" w:rsidP="00170B17">
      <w:pPr>
        <w:pStyle w:val="JudgmentNumbered"/>
        <w:numPr>
          <w:ilvl w:val="0"/>
          <w:numId w:val="0"/>
        </w:numPr>
        <w:ind w:left="567" w:hanging="567"/>
      </w:pPr>
      <w:r>
        <w:t>[10]</w:t>
      </w:r>
      <w:r>
        <w:tab/>
      </w:r>
      <w:r w:rsidR="00FF3DDA">
        <w:t xml:space="preserve">The court finds that the date of arrest of the Plaintiff, the date of his release on bail, </w:t>
      </w:r>
      <w:r w:rsidR="00254A6B">
        <w:t>and the date of his discharge by the learned Regional Court Magistrate in terms of Section 174 of the Criminal Procedure Act must be regarded as continuous and no personal injury has been done to the Plaintiff until the prosecution has been determined by his discharge as mentioned.</w:t>
      </w:r>
    </w:p>
    <w:p w14:paraId="1FF4517E" w14:textId="760F5A57" w:rsidR="0028460A" w:rsidRDefault="00170B17" w:rsidP="00170B17">
      <w:pPr>
        <w:pStyle w:val="JudgmentNumbered"/>
        <w:numPr>
          <w:ilvl w:val="0"/>
          <w:numId w:val="0"/>
        </w:numPr>
        <w:ind w:left="567" w:hanging="567"/>
      </w:pPr>
      <w:r>
        <w:t>[11]</w:t>
      </w:r>
      <w:r>
        <w:tab/>
      </w:r>
      <w:r w:rsidR="006408CC">
        <w:t>Accordingly, t</w:t>
      </w:r>
      <w:r w:rsidR="0028460A">
        <w:t xml:space="preserve">he two special pleas are dismissed with costs. </w:t>
      </w:r>
    </w:p>
    <w:p w14:paraId="3883CE97" w14:textId="77777777" w:rsidR="00A83A79" w:rsidRDefault="00A83A79" w:rsidP="00A83A79">
      <w:pPr>
        <w:pStyle w:val="JudgmentHeading"/>
      </w:pPr>
      <w:r w:rsidRPr="00087733">
        <w:t>Order</w:t>
      </w:r>
    </w:p>
    <w:p w14:paraId="705EA3CC" w14:textId="0F63786B" w:rsidR="00713450" w:rsidRPr="00713450" w:rsidRDefault="00170B17" w:rsidP="00170B17">
      <w:pPr>
        <w:pStyle w:val="JudgmentNumbered"/>
        <w:numPr>
          <w:ilvl w:val="0"/>
          <w:numId w:val="0"/>
        </w:numPr>
        <w:ind w:left="567" w:hanging="567"/>
      </w:pPr>
      <w:r w:rsidRPr="00713450">
        <w:t>[12]</w:t>
      </w:r>
      <w:r w:rsidRPr="00713450">
        <w:tab/>
      </w:r>
      <w:r w:rsidR="00713450">
        <w:t>The two special pleas are dismissed with costs.</w:t>
      </w:r>
    </w:p>
    <w:p w14:paraId="24BC3907" w14:textId="1BF48A1F" w:rsidR="0014579C" w:rsidRDefault="00170B17" w:rsidP="00170B17">
      <w:pPr>
        <w:pStyle w:val="JudgmentNumbered"/>
        <w:numPr>
          <w:ilvl w:val="0"/>
          <w:numId w:val="0"/>
        </w:numPr>
        <w:ind w:left="567" w:hanging="567"/>
      </w:pPr>
      <w:r>
        <w:t>[13]</w:t>
      </w:r>
      <w:r>
        <w:tab/>
      </w:r>
      <w:r w:rsidR="0014579C">
        <w:t>The matter is set down for trial</w:t>
      </w:r>
      <w:r w:rsidR="00711054">
        <w:t xml:space="preserve"> for 20 – 22 September 2023 and 26 – 27 September 2023, </w:t>
      </w:r>
    </w:p>
    <w:p w14:paraId="6F3C7DE5" w14:textId="2F199C40" w:rsidR="002B448C" w:rsidRDefault="002B448C" w:rsidP="00EB01DA">
      <w:pPr>
        <w:pStyle w:val="JudgmentNumbered"/>
        <w:numPr>
          <w:ilvl w:val="0"/>
          <w:numId w:val="0"/>
        </w:numPr>
        <w:spacing w:after="0"/>
        <w:ind w:left="567" w:hanging="567"/>
        <w:jc w:val="right"/>
      </w:pPr>
      <w:r>
        <w:lastRenderedPageBreak/>
        <w:t>___________</w:t>
      </w:r>
      <w:r w:rsidR="00EB01DA">
        <w:t>__</w:t>
      </w:r>
      <w:r>
        <w:t>________</w:t>
      </w:r>
    </w:p>
    <w:p w14:paraId="7EB6AE1A" w14:textId="205C355E" w:rsidR="002B448C" w:rsidRDefault="00185AE1" w:rsidP="00EB01DA">
      <w:pPr>
        <w:pStyle w:val="JudgmentNumbered"/>
        <w:numPr>
          <w:ilvl w:val="0"/>
          <w:numId w:val="0"/>
        </w:numPr>
        <w:spacing w:after="0"/>
        <w:ind w:left="567" w:hanging="567"/>
        <w:jc w:val="right"/>
        <w:rPr>
          <w:b/>
        </w:rPr>
      </w:pPr>
      <w:r>
        <w:rPr>
          <w:b/>
        </w:rPr>
        <w:t>C</w:t>
      </w:r>
      <w:r w:rsidR="00AF1C23">
        <w:rPr>
          <w:b/>
        </w:rPr>
        <w:t>OERTSE AJ</w:t>
      </w:r>
    </w:p>
    <w:p w14:paraId="63BFFA8A" w14:textId="77777777" w:rsidR="00711054" w:rsidRDefault="00711054" w:rsidP="00EB01DA">
      <w:pPr>
        <w:pStyle w:val="JudgmentNumbered"/>
        <w:numPr>
          <w:ilvl w:val="0"/>
          <w:numId w:val="0"/>
        </w:numPr>
        <w:spacing w:after="0"/>
        <w:ind w:left="567" w:hanging="567"/>
        <w:jc w:val="right"/>
        <w:rPr>
          <w:b/>
        </w:rPr>
      </w:pPr>
      <w:r>
        <w:rPr>
          <w:b/>
        </w:rPr>
        <w:t xml:space="preserve">ACTING </w:t>
      </w:r>
      <w:r w:rsidR="002B448C">
        <w:rPr>
          <w:b/>
        </w:rPr>
        <w:t xml:space="preserve">JUDGE OF THE </w:t>
      </w:r>
    </w:p>
    <w:p w14:paraId="41421BA6" w14:textId="744DB259" w:rsidR="002B448C" w:rsidRDefault="002B448C" w:rsidP="00EB01DA">
      <w:pPr>
        <w:pStyle w:val="JudgmentNumbered"/>
        <w:numPr>
          <w:ilvl w:val="0"/>
          <w:numId w:val="0"/>
        </w:numPr>
        <w:spacing w:after="0"/>
        <w:ind w:left="567" w:hanging="567"/>
        <w:jc w:val="right"/>
        <w:rPr>
          <w:b/>
        </w:rPr>
      </w:pPr>
      <w:r>
        <w:rPr>
          <w:b/>
        </w:rPr>
        <w:t>HIGH COURT</w:t>
      </w:r>
    </w:p>
    <w:p w14:paraId="4002B015" w14:textId="45F2F0A0" w:rsidR="00EB01DA" w:rsidRDefault="002B448C" w:rsidP="00EB01DA">
      <w:pPr>
        <w:pStyle w:val="JudgmentNumbered"/>
        <w:numPr>
          <w:ilvl w:val="0"/>
          <w:numId w:val="0"/>
        </w:numPr>
        <w:spacing w:after="0"/>
        <w:ind w:left="567" w:hanging="567"/>
        <w:jc w:val="right"/>
        <w:rPr>
          <w:b/>
        </w:rPr>
      </w:pPr>
      <w:r>
        <w:rPr>
          <w:b/>
        </w:rPr>
        <w:t>JOHANNESBURG</w:t>
      </w:r>
    </w:p>
    <w:p w14:paraId="140610B4" w14:textId="1A0A40B4" w:rsidR="00813E53" w:rsidRDefault="00813E53" w:rsidP="00EB01DA">
      <w:pPr>
        <w:pStyle w:val="JudgmentNumbered"/>
        <w:numPr>
          <w:ilvl w:val="0"/>
          <w:numId w:val="0"/>
        </w:numPr>
        <w:spacing w:after="0"/>
        <w:ind w:left="567" w:hanging="567"/>
        <w:jc w:val="right"/>
        <w:rPr>
          <w:b/>
        </w:rPr>
      </w:pPr>
    </w:p>
    <w:p w14:paraId="16610C44" w14:textId="77777777" w:rsidR="00813E53" w:rsidRDefault="00813E53" w:rsidP="00EB01DA">
      <w:pPr>
        <w:pStyle w:val="JudgmentNumbered"/>
        <w:numPr>
          <w:ilvl w:val="0"/>
          <w:numId w:val="0"/>
        </w:numPr>
        <w:spacing w:after="0"/>
        <w:ind w:left="567" w:hanging="567"/>
        <w:jc w:val="right"/>
        <w:rPr>
          <w:b/>
        </w:rPr>
        <w:sectPr w:rsidR="00813E53" w:rsidSect="00EB01DA">
          <w:footerReference w:type="default" r:id="rId13"/>
          <w:type w:val="continuous"/>
          <w:pgSz w:w="11906" w:h="16838"/>
          <w:pgMar w:top="1440" w:right="1440" w:bottom="1440" w:left="1440" w:header="708" w:footer="708" w:gutter="0"/>
          <w:cols w:space="708"/>
          <w:docGrid w:linePitch="360"/>
        </w:sectPr>
      </w:pPr>
    </w:p>
    <w:p w14:paraId="0C93FB75" w14:textId="2BA1DC42" w:rsidR="00813E53" w:rsidRPr="00813E53" w:rsidRDefault="00813E53" w:rsidP="00EB01DA">
      <w:pPr>
        <w:spacing w:after="0" w:line="240" w:lineRule="auto"/>
        <w:ind w:left="0"/>
        <w:rPr>
          <w:rFonts w:eastAsia="Times New Roman" w:cs="Arial"/>
          <w:b/>
          <w:szCs w:val="24"/>
          <w:u w:val="single"/>
          <w:lang w:val="en-ZA"/>
        </w:rPr>
      </w:pPr>
      <w:r w:rsidRPr="00813E53">
        <w:rPr>
          <w:rFonts w:eastAsia="Times New Roman" w:cs="Arial"/>
          <w:b/>
          <w:szCs w:val="24"/>
          <w:u w:val="single"/>
          <w:lang w:val="en-ZA"/>
        </w:rPr>
        <w:lastRenderedPageBreak/>
        <w:t>APPEARANCES:</w:t>
      </w:r>
    </w:p>
    <w:p w14:paraId="46C2DD17" w14:textId="77777777" w:rsidR="00813E53" w:rsidRDefault="00813E53" w:rsidP="00EB01DA">
      <w:pPr>
        <w:spacing w:after="0" w:line="240" w:lineRule="auto"/>
        <w:ind w:left="0"/>
        <w:rPr>
          <w:rFonts w:eastAsia="Times New Roman" w:cs="Arial"/>
          <w:szCs w:val="24"/>
          <w:lang w:val="en-ZA"/>
        </w:rPr>
      </w:pPr>
    </w:p>
    <w:p w14:paraId="4229DFBC" w14:textId="6AD977C0" w:rsidR="00EB01DA" w:rsidRPr="003673B7" w:rsidRDefault="00EB01DA" w:rsidP="00813E53">
      <w:pPr>
        <w:spacing w:after="0" w:line="240" w:lineRule="auto"/>
        <w:ind w:left="0"/>
        <w:jc w:val="left"/>
        <w:rPr>
          <w:rFonts w:eastAsia="Times New Roman" w:cs="Arial"/>
          <w:szCs w:val="24"/>
          <w:lang w:val="en-ZA"/>
        </w:rPr>
      </w:pPr>
      <w:r w:rsidRPr="003673B7">
        <w:rPr>
          <w:rFonts w:eastAsia="Times New Roman" w:cs="Arial"/>
          <w:szCs w:val="24"/>
          <w:lang w:val="en-ZA"/>
        </w:rPr>
        <w:t xml:space="preserve">For the </w:t>
      </w:r>
      <w:r w:rsidR="006F5568">
        <w:rPr>
          <w:rFonts w:eastAsia="Times New Roman" w:cs="Arial"/>
          <w:szCs w:val="24"/>
          <w:lang w:val="en-ZA"/>
        </w:rPr>
        <w:t>Plaintiff</w:t>
      </w:r>
      <w:r w:rsidRPr="003673B7">
        <w:rPr>
          <w:rFonts w:eastAsia="Times New Roman" w:cs="Arial"/>
          <w:szCs w:val="24"/>
          <w:lang w:val="en-ZA"/>
        </w:rPr>
        <w:t>:</w:t>
      </w:r>
      <w:r w:rsidR="00813E53">
        <w:rPr>
          <w:rFonts w:eastAsia="Times New Roman" w:cs="Arial"/>
          <w:szCs w:val="24"/>
          <w:lang w:val="en-ZA"/>
        </w:rPr>
        <w:t xml:space="preserve"> Advocate Ms B.B. Ntsimane instructed by TN Ramollo Inc. Attorneys </w:t>
      </w:r>
    </w:p>
    <w:p w14:paraId="4B524D0E" w14:textId="77777777" w:rsidR="00EB01DA" w:rsidRPr="003673B7" w:rsidRDefault="00EB01DA" w:rsidP="00813E53">
      <w:pPr>
        <w:spacing w:after="0" w:line="240" w:lineRule="auto"/>
        <w:ind w:left="0"/>
        <w:jc w:val="left"/>
        <w:rPr>
          <w:rFonts w:eastAsia="Times New Roman" w:cs="Arial"/>
          <w:szCs w:val="24"/>
          <w:lang w:val="en-ZA"/>
        </w:rPr>
      </w:pPr>
    </w:p>
    <w:p w14:paraId="46CF4A87" w14:textId="293EA7AE" w:rsidR="002B448C" w:rsidRDefault="00EB01DA" w:rsidP="00813E53">
      <w:pPr>
        <w:spacing w:after="0" w:line="240" w:lineRule="auto"/>
        <w:ind w:left="0"/>
        <w:jc w:val="left"/>
        <w:rPr>
          <w:rFonts w:eastAsia="Times New Roman" w:cs="Arial"/>
          <w:szCs w:val="24"/>
          <w:lang w:val="en-ZA"/>
        </w:rPr>
      </w:pPr>
      <w:r w:rsidRPr="003673B7">
        <w:rPr>
          <w:rFonts w:eastAsia="Times New Roman" w:cs="Arial"/>
          <w:szCs w:val="24"/>
          <w:lang w:val="en-ZA"/>
        </w:rPr>
        <w:t xml:space="preserve">For the </w:t>
      </w:r>
      <w:r w:rsidR="006F5568">
        <w:rPr>
          <w:rFonts w:eastAsia="Times New Roman" w:cs="Arial"/>
          <w:szCs w:val="24"/>
          <w:lang w:val="en-ZA"/>
        </w:rPr>
        <w:t>Defendants</w:t>
      </w:r>
      <w:r w:rsidRPr="003673B7">
        <w:rPr>
          <w:rFonts w:eastAsia="Times New Roman" w:cs="Arial"/>
          <w:szCs w:val="24"/>
          <w:lang w:val="en-ZA"/>
        </w:rPr>
        <w:t>:</w:t>
      </w:r>
      <w:r w:rsidR="006F5568">
        <w:rPr>
          <w:rFonts w:eastAsia="Times New Roman" w:cs="Arial"/>
          <w:szCs w:val="24"/>
          <w:lang w:val="en-ZA"/>
        </w:rPr>
        <w:t xml:space="preserve"> </w:t>
      </w:r>
      <w:r w:rsidR="00813E53">
        <w:rPr>
          <w:rFonts w:eastAsia="Times New Roman" w:cs="Arial"/>
          <w:szCs w:val="24"/>
          <w:lang w:val="en-ZA"/>
        </w:rPr>
        <w:t xml:space="preserve"> </w:t>
      </w:r>
      <w:r w:rsidR="006F5568">
        <w:rPr>
          <w:rFonts w:eastAsia="Times New Roman" w:cs="Arial"/>
          <w:szCs w:val="24"/>
          <w:lang w:val="en-ZA"/>
        </w:rPr>
        <w:t>Advocate Ms N Lekgetlo</w:t>
      </w:r>
      <w:r w:rsidR="00813E53">
        <w:rPr>
          <w:rFonts w:eastAsia="Times New Roman" w:cs="Arial"/>
          <w:szCs w:val="24"/>
          <w:lang w:val="en-ZA"/>
        </w:rPr>
        <w:t xml:space="preserve"> </w:t>
      </w:r>
      <w:r w:rsidRPr="00AF1C23">
        <w:rPr>
          <w:rFonts w:eastAsia="Times New Roman" w:cs="Arial"/>
          <w:szCs w:val="24"/>
          <w:lang w:val="en-ZA"/>
        </w:rPr>
        <w:t xml:space="preserve">instructed by </w:t>
      </w:r>
      <w:r w:rsidR="00713450">
        <w:rPr>
          <w:rFonts w:eastAsia="Times New Roman" w:cs="Arial"/>
          <w:szCs w:val="24"/>
          <w:lang w:val="en-ZA"/>
        </w:rPr>
        <w:t>the State Attorney</w:t>
      </w:r>
    </w:p>
    <w:p w14:paraId="63B3822B" w14:textId="1076D720" w:rsidR="00813E53" w:rsidRDefault="00813E53" w:rsidP="00813E53">
      <w:pPr>
        <w:pStyle w:val="JudgmentNumbered"/>
        <w:numPr>
          <w:ilvl w:val="0"/>
          <w:numId w:val="0"/>
        </w:numPr>
        <w:ind w:left="567" w:hanging="567"/>
        <w:jc w:val="left"/>
        <w:rPr>
          <w:lang w:val="en-ZA"/>
        </w:rPr>
      </w:pPr>
    </w:p>
    <w:p w14:paraId="3A279ADA" w14:textId="27110496" w:rsidR="00813E53" w:rsidRDefault="00813E53" w:rsidP="00813E53">
      <w:pPr>
        <w:pStyle w:val="JudgmentNumbered"/>
        <w:numPr>
          <w:ilvl w:val="0"/>
          <w:numId w:val="0"/>
        </w:numPr>
        <w:ind w:left="567" w:hanging="567"/>
        <w:jc w:val="left"/>
        <w:rPr>
          <w:lang w:val="en-ZA"/>
        </w:rPr>
      </w:pPr>
      <w:r>
        <w:rPr>
          <w:lang w:val="en-ZA"/>
        </w:rPr>
        <w:t>Date of hearing: 18, 19 &amp; 20 July 2023</w:t>
      </w:r>
    </w:p>
    <w:p w14:paraId="290961B5" w14:textId="154B99E3" w:rsidR="00813E53" w:rsidRPr="00813E53" w:rsidRDefault="00813E53" w:rsidP="00813E53">
      <w:pPr>
        <w:pStyle w:val="JudgmentNumbered"/>
        <w:numPr>
          <w:ilvl w:val="0"/>
          <w:numId w:val="0"/>
        </w:numPr>
        <w:ind w:left="567" w:hanging="567"/>
        <w:jc w:val="left"/>
        <w:rPr>
          <w:lang w:val="en-ZA"/>
        </w:rPr>
      </w:pPr>
      <w:r>
        <w:rPr>
          <w:lang w:val="en-ZA"/>
        </w:rPr>
        <w:t xml:space="preserve">Date of judgment: 27 July 2023 </w:t>
      </w:r>
    </w:p>
    <w:sectPr w:rsidR="00813E53" w:rsidRPr="00813E53" w:rsidSect="00E469E1">
      <w:footerReference w:type="default" r:id="rId14"/>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5C02" w14:textId="77777777" w:rsidR="00A440B5" w:rsidRDefault="00A440B5" w:rsidP="00E469E1">
      <w:pPr>
        <w:spacing w:after="0" w:line="240" w:lineRule="auto"/>
      </w:pPr>
      <w:r>
        <w:separator/>
      </w:r>
    </w:p>
  </w:endnote>
  <w:endnote w:type="continuationSeparator" w:id="0">
    <w:p w14:paraId="2A09074A" w14:textId="77777777" w:rsidR="00A440B5" w:rsidRDefault="00A440B5"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398E16FE" w14:textId="6AE9BD7D" w:rsidR="00E469E1" w:rsidRDefault="00E469E1" w:rsidP="00E469E1">
        <w:pPr>
          <w:pStyle w:val="Footer"/>
          <w:jc w:val="right"/>
        </w:pPr>
        <w:r>
          <w:fldChar w:fldCharType="begin"/>
        </w:r>
        <w:r>
          <w:instrText xml:space="preserve"> PAGE   \* MERGEFORMAT </w:instrText>
        </w:r>
        <w:r>
          <w:fldChar w:fldCharType="separate"/>
        </w:r>
        <w:r w:rsidR="00170B17">
          <w:rPr>
            <w:noProof/>
          </w:rPr>
          <w:t>2</w:t>
        </w:r>
        <w:r>
          <w:rPr>
            <w:noProof/>
          </w:rPr>
          <w:fldChar w:fldCharType="end"/>
        </w:r>
      </w:p>
    </w:sdtContent>
  </w:sdt>
  <w:p w14:paraId="1B14E112" w14:textId="77777777"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F91C" w14:textId="77777777"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E4B0" w14:textId="77777777" w:rsidR="00A440B5" w:rsidRDefault="00A440B5" w:rsidP="00E469E1">
      <w:pPr>
        <w:spacing w:after="0" w:line="240" w:lineRule="auto"/>
      </w:pPr>
      <w:r>
        <w:separator/>
      </w:r>
    </w:p>
  </w:footnote>
  <w:footnote w:type="continuationSeparator" w:id="0">
    <w:p w14:paraId="57318227" w14:textId="77777777" w:rsidR="00A440B5" w:rsidRDefault="00A440B5" w:rsidP="00E469E1">
      <w:pPr>
        <w:spacing w:after="0" w:line="240" w:lineRule="auto"/>
      </w:pPr>
      <w:r>
        <w:continuationSeparator/>
      </w:r>
    </w:p>
  </w:footnote>
  <w:footnote w:id="1">
    <w:p w14:paraId="4CD144EB" w14:textId="528BEED3" w:rsidR="004313CC" w:rsidRDefault="004313CC">
      <w:pPr>
        <w:pStyle w:val="FootnoteText"/>
      </w:pPr>
      <w:r>
        <w:rPr>
          <w:rStyle w:val="FootnoteReference"/>
        </w:rPr>
        <w:footnoteRef/>
      </w:r>
      <w:r>
        <w:t xml:space="preserve"> </w:t>
      </w:r>
      <w:r w:rsidRPr="004313CC">
        <w:t>2017 (1) 274 GLD</w:t>
      </w:r>
      <w:r>
        <w:t xml:space="preserve"> at </w:t>
      </w:r>
      <w:r w:rsidR="00A71317">
        <w:t>284C-D</w:t>
      </w:r>
    </w:p>
  </w:footnote>
  <w:footnote w:id="2">
    <w:p w14:paraId="25149761" w14:textId="1ADE7274" w:rsidR="00EA0D14" w:rsidRDefault="00EA0D14">
      <w:pPr>
        <w:pStyle w:val="FootnoteText"/>
      </w:pPr>
      <w:r>
        <w:rPr>
          <w:rStyle w:val="FootnoteReference"/>
        </w:rPr>
        <w:footnoteRef/>
      </w:r>
      <w:r>
        <w:t xml:space="preserve"> </w:t>
      </w:r>
      <w:r w:rsidRPr="00EA0D14">
        <w:rPr>
          <w:i/>
          <w:iCs/>
        </w:rPr>
        <w:t>Id</w:t>
      </w:r>
      <w:r w:rsidRPr="00EA0D14">
        <w:t xml:space="preserve"> at 288H; 289C-D.</w:t>
      </w:r>
    </w:p>
  </w:footnote>
  <w:footnote w:id="3">
    <w:p w14:paraId="3C7A95AB" w14:textId="109B38A5" w:rsidR="00F510A9" w:rsidRDefault="00F510A9">
      <w:pPr>
        <w:pStyle w:val="FootnoteText"/>
      </w:pPr>
      <w:r>
        <w:rPr>
          <w:rStyle w:val="FootnoteReference"/>
        </w:rPr>
        <w:footnoteRef/>
      </w:r>
      <w:r>
        <w:t xml:space="preserve"> </w:t>
      </w:r>
      <w:r w:rsidR="00570A48">
        <w:t>(</w:t>
      </w:r>
      <w:r w:rsidR="00570A48" w:rsidRPr="00570A48">
        <w:t>3777/2014</w:t>
      </w:r>
      <w:r w:rsidR="00570A48">
        <w:t>)</w:t>
      </w:r>
      <w:r w:rsidR="00570A48" w:rsidRPr="00570A48">
        <w:t xml:space="preserve"> FSHC </w:t>
      </w:r>
      <w:r w:rsidR="00570A48">
        <w:t>(</w:t>
      </w:r>
      <w:r w:rsidR="00570A48" w:rsidRPr="00570A48">
        <w:t>20 October 2017</w:t>
      </w:r>
      <w:r w:rsidR="00570A48">
        <w:t>)</w:t>
      </w:r>
      <w:r w:rsidR="00570A48" w:rsidRPr="00570A4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3CB23741"/>
    <w:multiLevelType w:val="hybridMultilevel"/>
    <w:tmpl w:val="0986A6A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nsid w:val="6C2E7F64"/>
    <w:multiLevelType w:val="hybridMultilevel"/>
    <w:tmpl w:val="991650C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1"/>
    <w:rsid w:val="00087733"/>
    <w:rsid w:val="000B75F9"/>
    <w:rsid w:val="000F0110"/>
    <w:rsid w:val="0014579C"/>
    <w:rsid w:val="00157B61"/>
    <w:rsid w:val="00170B17"/>
    <w:rsid w:val="00177605"/>
    <w:rsid w:val="00185AE1"/>
    <w:rsid w:val="001C3576"/>
    <w:rsid w:val="001C5042"/>
    <w:rsid w:val="001D03CA"/>
    <w:rsid w:val="001D69A4"/>
    <w:rsid w:val="001E578A"/>
    <w:rsid w:val="00206C6F"/>
    <w:rsid w:val="00254A6B"/>
    <w:rsid w:val="0028460A"/>
    <w:rsid w:val="002B448C"/>
    <w:rsid w:val="002C4B25"/>
    <w:rsid w:val="003133C4"/>
    <w:rsid w:val="00340270"/>
    <w:rsid w:val="003526B6"/>
    <w:rsid w:val="003673B7"/>
    <w:rsid w:val="00393EB3"/>
    <w:rsid w:val="003977E1"/>
    <w:rsid w:val="003B0BEA"/>
    <w:rsid w:val="004313CC"/>
    <w:rsid w:val="004313D4"/>
    <w:rsid w:val="00474E8E"/>
    <w:rsid w:val="004D41BC"/>
    <w:rsid w:val="00511893"/>
    <w:rsid w:val="00536659"/>
    <w:rsid w:val="00541FA5"/>
    <w:rsid w:val="00570A48"/>
    <w:rsid w:val="00593D28"/>
    <w:rsid w:val="00601884"/>
    <w:rsid w:val="006408CC"/>
    <w:rsid w:val="006D32DC"/>
    <w:rsid w:val="006F5568"/>
    <w:rsid w:val="00711054"/>
    <w:rsid w:val="00713450"/>
    <w:rsid w:val="007213CA"/>
    <w:rsid w:val="00794DCB"/>
    <w:rsid w:val="007A4138"/>
    <w:rsid w:val="007B7F59"/>
    <w:rsid w:val="007D339E"/>
    <w:rsid w:val="00813E53"/>
    <w:rsid w:val="00814763"/>
    <w:rsid w:val="008522F5"/>
    <w:rsid w:val="00874EA6"/>
    <w:rsid w:val="00897DA8"/>
    <w:rsid w:val="008D738E"/>
    <w:rsid w:val="008F4D1F"/>
    <w:rsid w:val="00960C24"/>
    <w:rsid w:val="009C08C0"/>
    <w:rsid w:val="00A0341F"/>
    <w:rsid w:val="00A22BE4"/>
    <w:rsid w:val="00A243ED"/>
    <w:rsid w:val="00A440B5"/>
    <w:rsid w:val="00A576D9"/>
    <w:rsid w:val="00A71317"/>
    <w:rsid w:val="00A83A79"/>
    <w:rsid w:val="00AF1C23"/>
    <w:rsid w:val="00B508AA"/>
    <w:rsid w:val="00BE4B42"/>
    <w:rsid w:val="00C96E91"/>
    <w:rsid w:val="00CC0499"/>
    <w:rsid w:val="00CD1622"/>
    <w:rsid w:val="00D03CF5"/>
    <w:rsid w:val="00D84BC9"/>
    <w:rsid w:val="00DD2B78"/>
    <w:rsid w:val="00DF5389"/>
    <w:rsid w:val="00DF540A"/>
    <w:rsid w:val="00E1558A"/>
    <w:rsid w:val="00E469E1"/>
    <w:rsid w:val="00E82884"/>
    <w:rsid w:val="00EA0D14"/>
    <w:rsid w:val="00EB01DA"/>
    <w:rsid w:val="00F510A9"/>
    <w:rsid w:val="00FF3D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44BE"/>
  <w15:chartTrackingRefBased/>
  <w15:docId w15:val="{658F4325-1F93-4F32-8520-1713862E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Revision">
    <w:name w:val="Revision"/>
    <w:hidden/>
    <w:uiPriority w:val="99"/>
    <w:semiHidden/>
    <w:rsid w:val="007A4138"/>
    <w:pPr>
      <w:spacing w:after="0" w:line="240" w:lineRule="auto"/>
    </w:pPr>
    <w:rPr>
      <w:rFonts w:ascii="Arial" w:hAnsi="Arial"/>
      <w:sz w:val="24"/>
      <w:lang w:val="en-GB"/>
    </w:rPr>
  </w:style>
  <w:style w:type="paragraph" w:styleId="FootnoteText">
    <w:name w:val="footnote text"/>
    <w:basedOn w:val="Normal"/>
    <w:link w:val="FootnoteTextChar"/>
    <w:uiPriority w:val="99"/>
    <w:semiHidden/>
    <w:unhideWhenUsed/>
    <w:rsid w:val="0043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3CC"/>
    <w:rPr>
      <w:rFonts w:ascii="Arial" w:hAnsi="Arial"/>
      <w:sz w:val="20"/>
      <w:szCs w:val="20"/>
      <w:lang w:val="en-GB"/>
    </w:rPr>
  </w:style>
  <w:style w:type="character" w:styleId="FootnoteReference">
    <w:name w:val="footnote reference"/>
    <w:basedOn w:val="DefaultParagraphFont"/>
    <w:uiPriority w:val="99"/>
    <w:semiHidden/>
    <w:unhideWhenUsed/>
    <w:rsid w:val="00431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8BBD-6AED-42F2-8E9D-DFA390AC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94731-615C-40A0-AD36-1495F0C94F6B}">
  <ds:schemaRefs>
    <ds:schemaRef ds:uri="http://schemas.microsoft.com/sharepoint/v3/contenttype/forms"/>
  </ds:schemaRefs>
</ds:datastoreItem>
</file>

<file path=customXml/itemProps3.xml><?xml version="1.0" encoding="utf-8"?>
<ds:datastoreItem xmlns:ds="http://schemas.openxmlformats.org/officeDocument/2006/customXml" ds:itemID="{A19A5AB1-5310-4B92-BE68-8FC1D5253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4EAB2-D2FB-4A56-BBC5-4F515198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Mandira Subramony</dc:creator>
  <cp:keywords/>
  <dc:description/>
  <cp:lastModifiedBy>Mokone</cp:lastModifiedBy>
  <cp:revision>3</cp:revision>
  <dcterms:created xsi:type="dcterms:W3CDTF">2023-07-28T13:59:00Z</dcterms:created>
  <dcterms:modified xsi:type="dcterms:W3CDTF">2023-07-28T14:00:00Z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