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3EA97"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7B7F59">
        <w:rPr>
          <w:rFonts w:eastAsia="Times New Roman" w:cs="Arial"/>
          <w:b/>
          <w:noProof/>
          <w:szCs w:val="24"/>
          <w:lang w:val="en-ZA" w:eastAsia="en-ZA"/>
        </w:rPr>
        <w:t>REPUBLIC OF SOUTH AFRICA</w:t>
      </w:r>
    </w:p>
    <w:p w14:paraId="16DB5609"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77804D1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28165946" wp14:editId="7C6B9989">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019860E"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3E388ABF"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A2F9C0D"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2F827052" w14:textId="77777777" w:rsidR="007B7F59" w:rsidRPr="007B7F59" w:rsidRDefault="007B7F59" w:rsidP="007B7F59">
      <w:pPr>
        <w:spacing w:after="0" w:line="240" w:lineRule="auto"/>
        <w:ind w:left="0"/>
        <w:rPr>
          <w:rFonts w:eastAsia="Times New Roman" w:cs="Arial"/>
          <w:szCs w:val="24"/>
          <w:lang w:val="en-ZA"/>
        </w:rPr>
      </w:pPr>
    </w:p>
    <w:p w14:paraId="3A1BCC36" w14:textId="77777777" w:rsidR="007B7F59" w:rsidRPr="007B7F59" w:rsidRDefault="007B7F59" w:rsidP="007B7F59">
      <w:pPr>
        <w:spacing w:after="0" w:line="240" w:lineRule="auto"/>
        <w:ind w:left="0"/>
        <w:rPr>
          <w:rFonts w:eastAsia="Times New Roman" w:cs="Arial"/>
          <w:szCs w:val="24"/>
          <w:lang w:val="en-ZA"/>
        </w:rPr>
      </w:pPr>
    </w:p>
    <w:p w14:paraId="577605F6"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BF1872">
        <w:t>7982/2020</w:t>
      </w:r>
    </w:p>
    <w:p w14:paraId="65CFA01B"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6EE0512" wp14:editId="34455763">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D45DA48" w14:textId="6FC808F1"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w:t>
                            </w:r>
                            <w:r w:rsidR="00B66E7B">
                              <w:rPr>
                                <w:rFonts w:cs="Arial"/>
                                <w:sz w:val="18"/>
                                <w:szCs w:val="20"/>
                              </w:rPr>
                              <w:t>YES</w:t>
                            </w:r>
                            <w:r w:rsidR="00B97C8C">
                              <w:rPr>
                                <w:rFonts w:cs="Arial"/>
                                <w:sz w:val="18"/>
                                <w:szCs w:val="20"/>
                              </w:rPr>
                              <w:t>/NO</w:t>
                            </w:r>
                          </w:p>
                          <w:p w14:paraId="6BD3CBBA"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373B9B07" w14:textId="6038AD2E" w:rsidR="00223B20" w:rsidRPr="003B746C" w:rsidRDefault="00912E3F" w:rsidP="00912E3F">
                            <w:pPr>
                              <w:spacing w:before="240" w:after="0"/>
                              <w:ind w:left="0"/>
                              <w:rPr>
                                <w:rFonts w:cs="Arial"/>
                                <w:b/>
                                <w:sz w:val="18"/>
                                <w:szCs w:val="20"/>
                              </w:rPr>
                            </w:pPr>
                            <w:r>
                              <w:rPr>
                                <w:rFonts w:cs="Arial"/>
                                <w:b/>
                                <w:sz w:val="18"/>
                                <w:szCs w:val="20"/>
                              </w:rPr>
                              <w:t xml:space="preserve">   31 July 2023</w:t>
                            </w:r>
                            <w:r w:rsidR="00223B20" w:rsidRPr="003B746C">
                              <w:rPr>
                                <w:rFonts w:cs="Arial"/>
                                <w:b/>
                                <w:sz w:val="18"/>
                                <w:szCs w:val="20"/>
                              </w:rPr>
                              <w:tab/>
                            </w:r>
                            <w:r>
                              <w:rPr>
                                <w:rFonts w:cs="Arial"/>
                                <w:b/>
                                <w:sz w:val="18"/>
                                <w:szCs w:val="20"/>
                              </w:rPr>
                              <w:t xml:space="preserve">    </w:t>
                            </w:r>
                            <w:r w:rsidR="00223B20" w:rsidRPr="003B746C">
                              <w:rPr>
                                <w:rFonts w:cs="Arial"/>
                                <w:b/>
                                <w:sz w:val="18"/>
                                <w:szCs w:val="20"/>
                              </w:rPr>
                              <w:t>_________________________</w:t>
                            </w:r>
                          </w:p>
                          <w:p w14:paraId="04B72A26"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6EE0512"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2D45DA48" w14:textId="6FC808F1"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Pr="001B48C8">
                        <w:rPr>
                          <w:rFonts w:cs="Arial"/>
                          <w:sz w:val="18"/>
                          <w:szCs w:val="20"/>
                        </w:rPr>
                        <w:t xml:space="preserve"> </w:t>
                      </w:r>
                      <w:r w:rsidR="00B66E7B">
                        <w:rPr>
                          <w:rFonts w:cs="Arial"/>
                          <w:sz w:val="18"/>
                          <w:szCs w:val="20"/>
                        </w:rPr>
                        <w:t>YES</w:t>
                      </w:r>
                      <w:r w:rsidR="00B97C8C">
                        <w:rPr>
                          <w:rFonts w:cs="Arial"/>
                          <w:sz w:val="18"/>
                          <w:szCs w:val="20"/>
                        </w:rPr>
                        <w:t>/NO</w:t>
                      </w:r>
                    </w:p>
                    <w:p w14:paraId="6BD3CBBA" w14:textId="77777777" w:rsidR="00223B20" w:rsidRPr="003B746C" w:rsidRDefault="00223B20"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Pr="001B48C8">
                        <w:rPr>
                          <w:rFonts w:cs="Arial"/>
                          <w:sz w:val="18"/>
                          <w:szCs w:val="20"/>
                        </w:rPr>
                        <w:t>NO</w:t>
                      </w:r>
                    </w:p>
                    <w:p w14:paraId="373B9B07" w14:textId="6038AD2E" w:rsidR="00223B20" w:rsidRPr="003B746C" w:rsidRDefault="00912E3F" w:rsidP="00912E3F">
                      <w:pPr>
                        <w:spacing w:before="240" w:after="0"/>
                        <w:ind w:left="0"/>
                        <w:rPr>
                          <w:rFonts w:cs="Arial"/>
                          <w:b/>
                          <w:sz w:val="18"/>
                          <w:szCs w:val="20"/>
                        </w:rPr>
                      </w:pPr>
                      <w:r>
                        <w:rPr>
                          <w:rFonts w:cs="Arial"/>
                          <w:b/>
                          <w:sz w:val="18"/>
                          <w:szCs w:val="20"/>
                        </w:rPr>
                        <w:t xml:space="preserve">   31 July 2023</w:t>
                      </w:r>
                      <w:r w:rsidR="00223B20" w:rsidRPr="003B746C">
                        <w:rPr>
                          <w:rFonts w:cs="Arial"/>
                          <w:b/>
                          <w:sz w:val="18"/>
                          <w:szCs w:val="20"/>
                        </w:rPr>
                        <w:tab/>
                      </w:r>
                      <w:r>
                        <w:rPr>
                          <w:rFonts w:cs="Arial"/>
                          <w:b/>
                          <w:sz w:val="18"/>
                          <w:szCs w:val="20"/>
                        </w:rPr>
                        <w:t xml:space="preserve">    </w:t>
                      </w:r>
                      <w:r w:rsidR="00223B20" w:rsidRPr="003B746C">
                        <w:rPr>
                          <w:rFonts w:cs="Arial"/>
                          <w:b/>
                          <w:sz w:val="18"/>
                          <w:szCs w:val="20"/>
                        </w:rPr>
                        <w:t>_________________________</w:t>
                      </w:r>
                    </w:p>
                    <w:p w14:paraId="04B72A26" w14:textId="77777777" w:rsidR="00223B20" w:rsidRPr="003B746C" w:rsidRDefault="00223B20"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693E21AB"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0F9E929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516B3D51"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1A1C33A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46F7593A"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1A26D6B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5F072F39" w14:textId="680C0A9F" w:rsidR="007B7F59" w:rsidRPr="007B7F59" w:rsidRDefault="00B97C8C" w:rsidP="007B7F59">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w:t>
      </w:r>
    </w:p>
    <w:p w14:paraId="31AB7F44"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1B3E1A37"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8806089"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GOLDEN FALLS TRADING 125 (PTY) LTD </w:t>
      </w:r>
      <w:r>
        <w:rPr>
          <w:rFonts w:eastAsia="Times New Roman" w:cs="Arial"/>
          <w:b/>
          <w:szCs w:val="24"/>
          <w:lang w:val="en-ZA"/>
        </w:rPr>
        <w:tab/>
      </w:r>
      <w:r w:rsidRPr="00E23FF0">
        <w:rPr>
          <w:rFonts w:eastAsia="Times New Roman" w:cs="Arial"/>
          <w:szCs w:val="24"/>
          <w:lang w:val="en-ZA"/>
        </w:rPr>
        <w:t>Applicant</w:t>
      </w:r>
    </w:p>
    <w:p w14:paraId="30043639" w14:textId="77777777" w:rsidR="00854E7F" w:rsidRDefault="00854E7F" w:rsidP="00592483">
      <w:pPr>
        <w:tabs>
          <w:tab w:val="right" w:pos="9029"/>
        </w:tabs>
        <w:spacing w:after="0" w:line="240" w:lineRule="auto"/>
        <w:ind w:left="0"/>
        <w:contextualSpacing/>
        <w:rPr>
          <w:rFonts w:cs="Arial"/>
          <w:lang w:val="en-ZA"/>
        </w:rPr>
      </w:pPr>
    </w:p>
    <w:p w14:paraId="2CA0E301"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AND</w:t>
      </w:r>
    </w:p>
    <w:p w14:paraId="33315CFA" w14:textId="77777777" w:rsidR="00854E7F" w:rsidRDefault="00854E7F" w:rsidP="00592483">
      <w:pPr>
        <w:tabs>
          <w:tab w:val="right" w:pos="9029"/>
        </w:tabs>
        <w:spacing w:after="0" w:line="240" w:lineRule="auto"/>
        <w:ind w:left="0"/>
        <w:contextualSpacing/>
        <w:rPr>
          <w:rFonts w:cs="Arial"/>
          <w:lang w:val="en-ZA"/>
        </w:rPr>
      </w:pPr>
    </w:p>
    <w:p w14:paraId="07C8C4D5"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THE CITY OF EKURHULENI METROPOLITAN MUNICIPALITY </w:t>
      </w:r>
      <w:r>
        <w:rPr>
          <w:rFonts w:eastAsia="Times New Roman" w:cs="Arial"/>
          <w:b/>
          <w:szCs w:val="24"/>
          <w:lang w:val="en-ZA"/>
        </w:rPr>
        <w:tab/>
      </w:r>
      <w:r w:rsidRPr="007A264E">
        <w:rPr>
          <w:rFonts w:eastAsia="Times New Roman" w:cs="Arial"/>
          <w:szCs w:val="24"/>
          <w:lang w:val="en-ZA"/>
        </w:rPr>
        <w:t>1st Respondent</w:t>
      </w:r>
    </w:p>
    <w:p w14:paraId="3C33C2F8" w14:textId="77777777" w:rsidR="00854E7F" w:rsidRDefault="00854E7F" w:rsidP="00592483">
      <w:pPr>
        <w:tabs>
          <w:tab w:val="right" w:pos="9029"/>
        </w:tabs>
        <w:spacing w:after="0" w:line="240" w:lineRule="auto"/>
        <w:ind w:left="0"/>
        <w:contextualSpacing/>
        <w:rPr>
          <w:rFonts w:cs="Arial"/>
          <w:lang w:val="en-ZA"/>
        </w:rPr>
      </w:pPr>
    </w:p>
    <w:p w14:paraId="28CB88A6" w14:textId="77777777" w:rsidR="00592483" w:rsidRP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THE BUILDING CONTROL OFFICER OF THE CITY OF</w:t>
      </w:r>
    </w:p>
    <w:p w14:paraId="23461901"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EKURH</w:t>
      </w:r>
      <w:r>
        <w:rPr>
          <w:rFonts w:eastAsia="Times New Roman" w:cs="Arial"/>
          <w:b/>
          <w:szCs w:val="24"/>
          <w:lang w:val="en-ZA"/>
        </w:rPr>
        <w:t>ULENI METROPOLITAN MUNICIPALITY</w:t>
      </w:r>
      <w:r>
        <w:rPr>
          <w:rFonts w:eastAsia="Times New Roman" w:cs="Arial"/>
          <w:b/>
          <w:szCs w:val="24"/>
          <w:lang w:val="en-ZA"/>
        </w:rPr>
        <w:tab/>
      </w:r>
      <w:r w:rsidRPr="007A264E">
        <w:rPr>
          <w:rFonts w:eastAsia="Times New Roman" w:cs="Arial"/>
          <w:szCs w:val="24"/>
          <w:lang w:val="en-ZA"/>
        </w:rPr>
        <w:t>2nd Respondent</w:t>
      </w:r>
    </w:p>
    <w:p w14:paraId="533A06E4" w14:textId="77777777" w:rsidR="00854E7F" w:rsidRDefault="00854E7F" w:rsidP="00592483">
      <w:pPr>
        <w:tabs>
          <w:tab w:val="right" w:pos="9029"/>
        </w:tabs>
        <w:spacing w:after="0" w:line="240" w:lineRule="auto"/>
        <w:ind w:left="0"/>
        <w:contextualSpacing/>
        <w:rPr>
          <w:rFonts w:cs="Arial"/>
          <w:lang w:val="en-ZA"/>
        </w:rPr>
      </w:pPr>
    </w:p>
    <w:p w14:paraId="74273643" w14:textId="43169B62"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CARNIVAL JUNCTION</w:t>
      </w:r>
      <w:r>
        <w:rPr>
          <w:rFonts w:eastAsia="Times New Roman" w:cs="Arial"/>
          <w:b/>
          <w:szCs w:val="24"/>
          <w:lang w:val="en-ZA"/>
        </w:rPr>
        <w:t xml:space="preserve"> PROPER</w:t>
      </w:r>
      <w:r w:rsidR="00E17085">
        <w:rPr>
          <w:rFonts w:eastAsia="Times New Roman" w:cs="Arial"/>
          <w:b/>
          <w:szCs w:val="24"/>
          <w:lang w:val="en-ZA"/>
        </w:rPr>
        <w:t>TY</w:t>
      </w:r>
      <w:r>
        <w:rPr>
          <w:rFonts w:eastAsia="Times New Roman" w:cs="Arial"/>
          <w:b/>
          <w:szCs w:val="24"/>
          <w:lang w:val="en-ZA"/>
        </w:rPr>
        <w:t xml:space="preserve"> DEVELOPMENT (PTY) LTD </w:t>
      </w:r>
      <w:r>
        <w:rPr>
          <w:rFonts w:eastAsia="Times New Roman" w:cs="Arial"/>
          <w:b/>
          <w:szCs w:val="24"/>
          <w:lang w:val="en-ZA"/>
        </w:rPr>
        <w:tab/>
      </w:r>
      <w:r w:rsidRPr="007A264E">
        <w:rPr>
          <w:rFonts w:eastAsia="Times New Roman" w:cs="Arial"/>
          <w:szCs w:val="24"/>
          <w:lang w:val="en-ZA"/>
        </w:rPr>
        <w:t>3rd Respondent</w:t>
      </w:r>
    </w:p>
    <w:p w14:paraId="1F599596" w14:textId="77777777" w:rsidR="00854E7F" w:rsidRDefault="00854E7F" w:rsidP="00592483">
      <w:pPr>
        <w:tabs>
          <w:tab w:val="right" w:pos="9029"/>
        </w:tabs>
        <w:spacing w:after="0" w:line="240" w:lineRule="auto"/>
        <w:ind w:left="0"/>
        <w:contextualSpacing/>
        <w:rPr>
          <w:rFonts w:cs="Arial"/>
          <w:lang w:val="en-ZA"/>
        </w:rPr>
      </w:pPr>
    </w:p>
    <w:p w14:paraId="4ACC6F09" w14:textId="77777777" w:rsidR="00592483" w:rsidRDefault="00854E7F" w:rsidP="00592483">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 xml:space="preserve">BROOKWAY PROPERTIES (PTY) LTD </w:t>
      </w:r>
      <w:r>
        <w:rPr>
          <w:rFonts w:eastAsia="Times New Roman" w:cs="Arial"/>
          <w:b/>
          <w:szCs w:val="24"/>
          <w:lang w:val="en-ZA"/>
        </w:rPr>
        <w:tab/>
      </w:r>
      <w:r w:rsidRPr="007A264E">
        <w:rPr>
          <w:rFonts w:eastAsia="Times New Roman" w:cs="Arial"/>
          <w:szCs w:val="24"/>
          <w:lang w:val="en-ZA"/>
        </w:rPr>
        <w:t>4</w:t>
      </w:r>
      <w:r w:rsidR="00592483" w:rsidRPr="007A264E">
        <w:rPr>
          <w:rFonts w:eastAsia="Times New Roman" w:cs="Arial"/>
          <w:szCs w:val="24"/>
          <w:lang w:val="en-ZA"/>
        </w:rPr>
        <w:t>th Respondent</w:t>
      </w:r>
    </w:p>
    <w:p w14:paraId="1FCC9A6B" w14:textId="77777777" w:rsidR="00854E7F" w:rsidRDefault="00854E7F" w:rsidP="00592483">
      <w:pPr>
        <w:tabs>
          <w:tab w:val="right" w:pos="9029"/>
        </w:tabs>
        <w:spacing w:after="0" w:line="240" w:lineRule="auto"/>
        <w:ind w:left="0"/>
        <w:contextualSpacing/>
        <w:rPr>
          <w:rFonts w:cs="Arial"/>
          <w:lang w:val="en-ZA"/>
        </w:rPr>
      </w:pPr>
    </w:p>
    <w:p w14:paraId="074CAECD"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DALMAR KONSTRUKSIE</w:t>
      </w:r>
      <w:r w:rsidR="00854E7F">
        <w:rPr>
          <w:rFonts w:eastAsia="Times New Roman" w:cs="Arial"/>
          <w:b/>
          <w:szCs w:val="24"/>
          <w:lang w:val="en-ZA"/>
        </w:rPr>
        <w:t xml:space="preserve"> (PTY) LTD </w:t>
      </w:r>
      <w:r w:rsidR="00854E7F">
        <w:rPr>
          <w:rFonts w:eastAsia="Times New Roman" w:cs="Arial"/>
          <w:b/>
          <w:szCs w:val="24"/>
          <w:lang w:val="en-ZA"/>
        </w:rPr>
        <w:tab/>
      </w:r>
      <w:r w:rsidR="00854E7F" w:rsidRPr="007A264E">
        <w:rPr>
          <w:rFonts w:eastAsia="Times New Roman" w:cs="Arial"/>
          <w:szCs w:val="24"/>
          <w:lang w:val="en-ZA"/>
        </w:rPr>
        <w:t>5</w:t>
      </w:r>
      <w:r w:rsidRPr="007A264E">
        <w:rPr>
          <w:rFonts w:eastAsia="Times New Roman" w:cs="Arial"/>
          <w:szCs w:val="24"/>
          <w:lang w:val="en-ZA"/>
        </w:rPr>
        <w:t>th Respondent</w:t>
      </w:r>
    </w:p>
    <w:p w14:paraId="23DA9D3B" w14:textId="77777777" w:rsidR="00854E7F" w:rsidRDefault="00854E7F" w:rsidP="00592483">
      <w:pPr>
        <w:tabs>
          <w:tab w:val="right" w:pos="9029"/>
        </w:tabs>
        <w:spacing w:after="0" w:line="240" w:lineRule="auto"/>
        <w:ind w:left="0"/>
        <w:contextualSpacing/>
        <w:rPr>
          <w:rFonts w:cs="Arial"/>
          <w:lang w:val="en-ZA"/>
        </w:rPr>
      </w:pPr>
    </w:p>
    <w:p w14:paraId="14CEA11A"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THE MEC: GAUTENG DEPARTMENT OF AGRICULTURE AND</w:t>
      </w:r>
    </w:p>
    <w:p w14:paraId="56070C8E" w14:textId="77777777" w:rsidR="00592483" w:rsidRDefault="00854E7F" w:rsidP="00592483">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RURAL DEVELOPMENT</w:t>
      </w:r>
      <w:r>
        <w:rPr>
          <w:rFonts w:eastAsia="Times New Roman" w:cs="Arial"/>
          <w:b/>
          <w:szCs w:val="24"/>
          <w:lang w:val="en-ZA"/>
        </w:rPr>
        <w:tab/>
      </w:r>
      <w:r w:rsidRPr="007A264E">
        <w:rPr>
          <w:rFonts w:eastAsia="Times New Roman" w:cs="Arial"/>
          <w:szCs w:val="24"/>
          <w:lang w:val="en-ZA"/>
        </w:rPr>
        <w:t>6</w:t>
      </w:r>
      <w:r w:rsidR="00592483" w:rsidRPr="007A264E">
        <w:rPr>
          <w:rFonts w:eastAsia="Times New Roman" w:cs="Arial"/>
          <w:szCs w:val="24"/>
          <w:lang w:val="en-ZA"/>
        </w:rPr>
        <w:t>th Respondent</w:t>
      </w:r>
    </w:p>
    <w:p w14:paraId="67798092" w14:textId="77777777" w:rsidR="00854E7F" w:rsidRDefault="00854E7F" w:rsidP="00592483">
      <w:pPr>
        <w:tabs>
          <w:tab w:val="right" w:pos="9029"/>
        </w:tabs>
        <w:spacing w:after="0" w:line="240" w:lineRule="auto"/>
        <w:ind w:left="0"/>
        <w:contextualSpacing/>
        <w:rPr>
          <w:rFonts w:cs="Arial"/>
          <w:lang w:val="en-ZA"/>
        </w:rPr>
      </w:pPr>
    </w:p>
    <w:p w14:paraId="3B464AD7" w14:textId="77777777" w:rsidR="00592483" w:rsidRDefault="00854E7F" w:rsidP="00592483">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 xml:space="preserve">MORBEI INVESTMENTS (PTY) LTD </w:t>
      </w:r>
      <w:r>
        <w:rPr>
          <w:rFonts w:eastAsia="Times New Roman" w:cs="Arial"/>
          <w:b/>
          <w:szCs w:val="24"/>
          <w:lang w:val="en-ZA"/>
        </w:rPr>
        <w:tab/>
      </w:r>
      <w:r w:rsidRPr="007A264E">
        <w:rPr>
          <w:rFonts w:eastAsia="Times New Roman" w:cs="Arial"/>
          <w:szCs w:val="24"/>
          <w:lang w:val="en-ZA"/>
        </w:rPr>
        <w:t>7</w:t>
      </w:r>
      <w:r w:rsidR="00592483" w:rsidRPr="007A264E">
        <w:rPr>
          <w:rFonts w:eastAsia="Times New Roman" w:cs="Arial"/>
          <w:szCs w:val="24"/>
          <w:lang w:val="en-ZA"/>
        </w:rPr>
        <w:t>th Respondent</w:t>
      </w:r>
    </w:p>
    <w:p w14:paraId="12B1DFDE" w14:textId="77777777" w:rsidR="00854E7F" w:rsidRDefault="00854E7F" w:rsidP="00592483">
      <w:pPr>
        <w:tabs>
          <w:tab w:val="right" w:pos="9029"/>
        </w:tabs>
        <w:spacing w:after="0" w:line="240" w:lineRule="auto"/>
        <w:ind w:left="0"/>
        <w:contextualSpacing/>
        <w:rPr>
          <w:rFonts w:cs="Arial"/>
          <w:lang w:val="en-ZA"/>
        </w:rPr>
      </w:pPr>
    </w:p>
    <w:p w14:paraId="4CE5FF3F" w14:textId="77777777" w:rsidR="00592483" w:rsidRDefault="00854E7F" w:rsidP="00592483">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 xml:space="preserve">RILAREX (PTY) LTD </w:t>
      </w:r>
      <w:r>
        <w:rPr>
          <w:rFonts w:eastAsia="Times New Roman" w:cs="Arial"/>
          <w:b/>
          <w:szCs w:val="24"/>
          <w:lang w:val="en-ZA"/>
        </w:rPr>
        <w:tab/>
      </w:r>
      <w:r w:rsidRPr="007A264E">
        <w:rPr>
          <w:rFonts w:eastAsia="Times New Roman" w:cs="Arial"/>
          <w:szCs w:val="24"/>
          <w:lang w:val="en-ZA"/>
        </w:rPr>
        <w:t>8</w:t>
      </w:r>
      <w:r w:rsidR="00592483" w:rsidRPr="007A264E">
        <w:rPr>
          <w:rFonts w:eastAsia="Times New Roman" w:cs="Arial"/>
          <w:szCs w:val="24"/>
          <w:lang w:val="en-ZA"/>
        </w:rPr>
        <w:t>th Respondent</w:t>
      </w:r>
    </w:p>
    <w:p w14:paraId="2E7DE52F" w14:textId="77777777" w:rsidR="00854E7F" w:rsidRDefault="00854E7F" w:rsidP="00592483">
      <w:pPr>
        <w:tabs>
          <w:tab w:val="right" w:pos="9029"/>
        </w:tabs>
        <w:spacing w:after="0" w:line="240" w:lineRule="auto"/>
        <w:ind w:left="0"/>
        <w:contextualSpacing/>
        <w:rPr>
          <w:rFonts w:cs="Arial"/>
          <w:lang w:val="en-ZA"/>
        </w:rPr>
      </w:pPr>
    </w:p>
    <w:p w14:paraId="2ECE18FD" w14:textId="77777777" w:rsidR="00592483" w:rsidRDefault="00854E7F" w:rsidP="00592483">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 xml:space="preserve">ELEFNIX (PTY) LTD </w:t>
      </w:r>
      <w:r>
        <w:rPr>
          <w:rFonts w:eastAsia="Times New Roman" w:cs="Arial"/>
          <w:b/>
          <w:szCs w:val="24"/>
          <w:lang w:val="en-ZA"/>
        </w:rPr>
        <w:tab/>
      </w:r>
      <w:r w:rsidRPr="007A264E">
        <w:rPr>
          <w:rFonts w:eastAsia="Times New Roman" w:cs="Arial"/>
          <w:szCs w:val="24"/>
          <w:lang w:val="en-ZA"/>
        </w:rPr>
        <w:t>9</w:t>
      </w:r>
      <w:r w:rsidR="00592483" w:rsidRPr="007A264E">
        <w:rPr>
          <w:rFonts w:eastAsia="Times New Roman" w:cs="Arial"/>
          <w:szCs w:val="24"/>
          <w:lang w:val="en-ZA"/>
        </w:rPr>
        <w:t>th Respondent</w:t>
      </w:r>
    </w:p>
    <w:p w14:paraId="33A15E61" w14:textId="77777777" w:rsidR="00854E7F" w:rsidRDefault="00854E7F" w:rsidP="00592483">
      <w:pPr>
        <w:tabs>
          <w:tab w:val="right" w:pos="9029"/>
        </w:tabs>
        <w:spacing w:after="0" w:line="240" w:lineRule="auto"/>
        <w:ind w:left="0"/>
        <w:contextualSpacing/>
        <w:rPr>
          <w:rFonts w:cs="Arial"/>
          <w:lang w:val="en-ZA"/>
        </w:rPr>
      </w:pPr>
    </w:p>
    <w:p w14:paraId="50AE791E" w14:textId="77777777" w:rsidR="00854E7F" w:rsidRDefault="00592483" w:rsidP="00854E7F">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lastRenderedPageBreak/>
        <w:t xml:space="preserve">OLGARS INVESTMENTS (PTY) LTD </w:t>
      </w:r>
      <w:r w:rsidR="00854E7F">
        <w:rPr>
          <w:rFonts w:eastAsia="Times New Roman" w:cs="Arial"/>
          <w:b/>
          <w:szCs w:val="24"/>
          <w:lang w:val="en-ZA"/>
        </w:rPr>
        <w:tab/>
      </w:r>
      <w:r w:rsidRPr="007A264E">
        <w:rPr>
          <w:rFonts w:eastAsia="Times New Roman" w:cs="Arial"/>
          <w:szCs w:val="24"/>
          <w:lang w:val="en-ZA"/>
        </w:rPr>
        <w:t>10th Respondent</w:t>
      </w:r>
    </w:p>
    <w:p w14:paraId="5069517C" w14:textId="77777777" w:rsidR="00854E7F" w:rsidRDefault="00854E7F" w:rsidP="00592483">
      <w:pPr>
        <w:tabs>
          <w:tab w:val="right" w:pos="9029"/>
        </w:tabs>
        <w:spacing w:after="0" w:line="240" w:lineRule="auto"/>
        <w:ind w:left="0"/>
        <w:contextualSpacing/>
        <w:rPr>
          <w:rFonts w:cs="Arial"/>
          <w:lang w:val="en-ZA"/>
        </w:rPr>
      </w:pPr>
    </w:p>
    <w:p w14:paraId="7367D6DD" w14:textId="77777777" w:rsidR="00592483" w:rsidRPr="007A264E" w:rsidRDefault="00592483" w:rsidP="00592483">
      <w:pPr>
        <w:tabs>
          <w:tab w:val="right" w:pos="9029"/>
        </w:tabs>
        <w:spacing w:after="0" w:line="240" w:lineRule="auto"/>
        <w:ind w:left="0"/>
        <w:contextualSpacing/>
        <w:rPr>
          <w:rFonts w:eastAsia="Times New Roman" w:cs="Arial"/>
          <w:szCs w:val="24"/>
          <w:lang w:val="en-ZA"/>
        </w:rPr>
      </w:pPr>
      <w:r w:rsidRPr="00592483">
        <w:rPr>
          <w:rFonts w:eastAsia="Times New Roman" w:cs="Arial"/>
          <w:b/>
          <w:szCs w:val="24"/>
          <w:lang w:val="en-ZA"/>
        </w:rPr>
        <w:t xml:space="preserve">MOTUS CORPORATION (PTY) LTD </w:t>
      </w:r>
      <w:r w:rsidR="00854E7F">
        <w:rPr>
          <w:rFonts w:eastAsia="Times New Roman" w:cs="Arial"/>
          <w:b/>
          <w:szCs w:val="24"/>
          <w:lang w:val="en-ZA"/>
        </w:rPr>
        <w:tab/>
      </w:r>
      <w:r w:rsidRPr="007A264E">
        <w:rPr>
          <w:rFonts w:eastAsia="Times New Roman" w:cs="Arial"/>
          <w:szCs w:val="24"/>
          <w:lang w:val="en-ZA"/>
        </w:rPr>
        <w:t>11th Respondent</w:t>
      </w:r>
    </w:p>
    <w:p w14:paraId="71AACDCC" w14:textId="77777777" w:rsidR="00854E7F" w:rsidRDefault="00854E7F" w:rsidP="00592483">
      <w:pPr>
        <w:tabs>
          <w:tab w:val="right" w:pos="9029"/>
        </w:tabs>
        <w:spacing w:after="0" w:line="240" w:lineRule="auto"/>
        <w:ind w:left="0"/>
        <w:contextualSpacing/>
        <w:rPr>
          <w:rFonts w:cs="Arial"/>
          <w:lang w:val="en-ZA"/>
        </w:rPr>
      </w:pPr>
    </w:p>
    <w:p w14:paraId="40A61281"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ARCH IMPORT AND EXPORT CC </w:t>
      </w:r>
      <w:r w:rsidR="00854E7F">
        <w:rPr>
          <w:rFonts w:eastAsia="Times New Roman" w:cs="Arial"/>
          <w:b/>
          <w:szCs w:val="24"/>
          <w:lang w:val="en-ZA"/>
        </w:rPr>
        <w:tab/>
      </w:r>
      <w:r w:rsidRPr="007A264E">
        <w:rPr>
          <w:rFonts w:eastAsia="Times New Roman" w:cs="Arial"/>
          <w:szCs w:val="24"/>
          <w:lang w:val="en-ZA"/>
        </w:rPr>
        <w:t>12th Respondent</w:t>
      </w:r>
    </w:p>
    <w:p w14:paraId="3E20C165" w14:textId="77777777" w:rsidR="00854E7F" w:rsidRDefault="00854E7F" w:rsidP="00592483">
      <w:pPr>
        <w:tabs>
          <w:tab w:val="right" w:pos="9029"/>
        </w:tabs>
        <w:spacing w:after="0" w:line="240" w:lineRule="auto"/>
        <w:ind w:left="0"/>
        <w:contextualSpacing/>
        <w:rPr>
          <w:rFonts w:cs="Arial"/>
          <w:lang w:val="en-ZA"/>
        </w:rPr>
      </w:pPr>
    </w:p>
    <w:p w14:paraId="09A81410"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JSF PROPERTIES (PTY) LTD </w:t>
      </w:r>
      <w:r w:rsidR="00854E7F">
        <w:rPr>
          <w:rFonts w:eastAsia="Times New Roman" w:cs="Arial"/>
          <w:b/>
          <w:szCs w:val="24"/>
          <w:lang w:val="en-ZA"/>
        </w:rPr>
        <w:tab/>
      </w:r>
      <w:r w:rsidRPr="007A264E">
        <w:rPr>
          <w:rFonts w:eastAsia="Times New Roman" w:cs="Arial"/>
          <w:szCs w:val="24"/>
          <w:lang w:val="en-ZA"/>
        </w:rPr>
        <w:t>13th Respondent</w:t>
      </w:r>
    </w:p>
    <w:p w14:paraId="10167186" w14:textId="77777777" w:rsidR="00854E7F" w:rsidRDefault="00854E7F" w:rsidP="00592483">
      <w:pPr>
        <w:tabs>
          <w:tab w:val="right" w:pos="9029"/>
        </w:tabs>
        <w:spacing w:after="0" w:line="240" w:lineRule="auto"/>
        <w:ind w:left="0"/>
        <w:contextualSpacing/>
        <w:rPr>
          <w:rFonts w:cs="Arial"/>
          <w:lang w:val="en-ZA"/>
        </w:rPr>
      </w:pPr>
    </w:p>
    <w:p w14:paraId="480DCEA3" w14:textId="77777777" w:rsidR="00592483" w:rsidRDefault="00592483" w:rsidP="00592483">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SURVEYOR-GENERAL, PRETORIA </w:t>
      </w:r>
      <w:r w:rsidR="00854E7F">
        <w:rPr>
          <w:rFonts w:eastAsia="Times New Roman" w:cs="Arial"/>
          <w:b/>
          <w:szCs w:val="24"/>
          <w:lang w:val="en-ZA"/>
        </w:rPr>
        <w:tab/>
      </w:r>
      <w:r w:rsidRPr="007A264E">
        <w:rPr>
          <w:rFonts w:eastAsia="Times New Roman" w:cs="Arial"/>
          <w:szCs w:val="24"/>
          <w:lang w:val="en-ZA"/>
        </w:rPr>
        <w:t>14th Respondent</w:t>
      </w:r>
    </w:p>
    <w:p w14:paraId="54BD1C74" w14:textId="77777777" w:rsidR="00854E7F" w:rsidRDefault="00854E7F" w:rsidP="00592483">
      <w:pPr>
        <w:tabs>
          <w:tab w:val="right" w:pos="9029"/>
        </w:tabs>
        <w:spacing w:after="0" w:line="240" w:lineRule="auto"/>
        <w:ind w:left="0"/>
        <w:contextualSpacing/>
        <w:rPr>
          <w:rFonts w:cs="Arial"/>
          <w:lang w:val="en-ZA"/>
        </w:rPr>
      </w:pPr>
    </w:p>
    <w:p w14:paraId="75F974CA" w14:textId="77777777" w:rsidR="00854E7F" w:rsidRDefault="00592483" w:rsidP="00854E7F">
      <w:pPr>
        <w:tabs>
          <w:tab w:val="right" w:pos="9029"/>
        </w:tabs>
        <w:spacing w:after="0" w:line="240" w:lineRule="auto"/>
        <w:ind w:left="0"/>
        <w:contextualSpacing/>
        <w:rPr>
          <w:rFonts w:eastAsia="Times New Roman" w:cs="Arial"/>
          <w:b/>
          <w:szCs w:val="24"/>
          <w:lang w:val="en-ZA"/>
        </w:rPr>
      </w:pPr>
      <w:r w:rsidRPr="00592483">
        <w:rPr>
          <w:rFonts w:eastAsia="Times New Roman" w:cs="Arial"/>
          <w:b/>
          <w:szCs w:val="24"/>
          <w:lang w:val="en-ZA"/>
        </w:rPr>
        <w:t xml:space="preserve">REGISTRAR OF DEEDS, JOHANNESBURG </w:t>
      </w:r>
      <w:r w:rsidR="00854E7F">
        <w:rPr>
          <w:rFonts w:eastAsia="Times New Roman" w:cs="Arial"/>
          <w:b/>
          <w:szCs w:val="24"/>
          <w:lang w:val="en-ZA"/>
        </w:rPr>
        <w:tab/>
      </w:r>
      <w:r w:rsidRPr="007A264E">
        <w:rPr>
          <w:rFonts w:eastAsia="Times New Roman" w:cs="Arial"/>
          <w:szCs w:val="24"/>
          <w:lang w:val="en-ZA"/>
        </w:rPr>
        <w:t>15th Respondent</w:t>
      </w:r>
    </w:p>
    <w:p w14:paraId="7E0263BD" w14:textId="77777777" w:rsidR="007A264E" w:rsidRPr="007A264E" w:rsidRDefault="007A264E" w:rsidP="007A264E">
      <w:pPr>
        <w:pStyle w:val="JudgmentNumbered"/>
        <w:numPr>
          <w:ilvl w:val="0"/>
          <w:numId w:val="0"/>
        </w:numPr>
        <w:ind w:left="567" w:hanging="567"/>
        <w:rPr>
          <w:lang w:val="en-ZA"/>
        </w:rPr>
      </w:pPr>
    </w:p>
    <w:p w14:paraId="3CB93B54" w14:textId="77777777" w:rsidR="007A264E" w:rsidRPr="007A264E" w:rsidRDefault="00854E7F" w:rsidP="007A264E">
      <w:pPr>
        <w:ind w:left="0"/>
        <w:rPr>
          <w:b/>
        </w:rPr>
      </w:pPr>
      <w:r w:rsidRPr="007A264E">
        <w:rPr>
          <w:b/>
        </w:rPr>
        <w:t xml:space="preserve">MINISTER: SOUTH AFRICAN DEPARTMENT OF WATER </w:t>
      </w:r>
    </w:p>
    <w:p w14:paraId="2925CE1F" w14:textId="77777777" w:rsidR="00854E7F" w:rsidRDefault="00854E7F" w:rsidP="007A264E">
      <w:pPr>
        <w:ind w:left="0"/>
      </w:pPr>
      <w:r w:rsidRPr="007A264E">
        <w:rPr>
          <w:b/>
        </w:rPr>
        <w:t>AND SANITATION</w:t>
      </w:r>
      <w:r w:rsidR="007A264E">
        <w:tab/>
      </w:r>
      <w:r w:rsidR="007A264E">
        <w:tab/>
      </w:r>
      <w:r w:rsidR="007A264E">
        <w:tab/>
      </w:r>
      <w:r w:rsidR="007A264E">
        <w:tab/>
      </w:r>
      <w:r w:rsidR="007A264E">
        <w:tab/>
      </w:r>
      <w:r w:rsidR="007A264E">
        <w:tab/>
      </w:r>
      <w:r w:rsidR="007A264E">
        <w:tab/>
        <w:t xml:space="preserve">        </w:t>
      </w:r>
      <w:r w:rsidR="007A264E">
        <w:tab/>
        <w:t>16th</w:t>
      </w:r>
      <w:r w:rsidR="007A264E" w:rsidRPr="007A264E">
        <w:t xml:space="preserve"> Respondent</w:t>
      </w:r>
    </w:p>
    <w:p w14:paraId="2A61557A" w14:textId="77777777" w:rsidR="007A264E" w:rsidRPr="007A264E" w:rsidRDefault="007A264E" w:rsidP="007A264E">
      <w:pPr>
        <w:pStyle w:val="JudgmentNumbered"/>
        <w:numPr>
          <w:ilvl w:val="0"/>
          <w:numId w:val="0"/>
        </w:numPr>
        <w:ind w:left="567" w:hanging="567"/>
        <w:rPr>
          <w:b/>
        </w:rPr>
      </w:pPr>
      <w:r w:rsidRPr="007A264E">
        <w:rPr>
          <w:b/>
        </w:rPr>
        <w:t xml:space="preserve">BODY CORPORATE OF THE SS CARNIVAL JUNCTION </w:t>
      </w:r>
    </w:p>
    <w:p w14:paraId="7318F778" w14:textId="77777777" w:rsidR="007A264E" w:rsidRPr="007A264E" w:rsidRDefault="007A264E" w:rsidP="007A264E">
      <w:pPr>
        <w:pStyle w:val="JudgmentNumbered"/>
        <w:numPr>
          <w:ilvl w:val="0"/>
          <w:numId w:val="0"/>
        </w:numPr>
        <w:ind w:left="567" w:hanging="567"/>
      </w:pPr>
      <w:r w:rsidRPr="007A264E">
        <w:rPr>
          <w:b/>
        </w:rPr>
        <w:t>BUSINESS PARK</w:t>
      </w:r>
      <w:r>
        <w:tab/>
      </w:r>
      <w:r>
        <w:tab/>
      </w:r>
      <w:r>
        <w:tab/>
      </w:r>
      <w:r>
        <w:tab/>
      </w:r>
      <w:r>
        <w:tab/>
      </w:r>
      <w:r>
        <w:tab/>
      </w:r>
      <w:r>
        <w:tab/>
        <w:t xml:space="preserve">         </w:t>
      </w:r>
      <w:r>
        <w:tab/>
        <w:t>17th</w:t>
      </w:r>
      <w:r>
        <w:rPr>
          <w:vertAlign w:val="superscript"/>
        </w:rPr>
        <w:t xml:space="preserve"> </w:t>
      </w:r>
      <w:r>
        <w:t>Respondent</w:t>
      </w:r>
      <w:r>
        <w:tab/>
      </w:r>
      <w:r>
        <w:tab/>
      </w:r>
      <w:r>
        <w:tab/>
      </w:r>
      <w:r>
        <w:tab/>
      </w:r>
      <w:r>
        <w:tab/>
      </w:r>
    </w:p>
    <w:p w14:paraId="1FDAA1BE"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217BC646" w14:textId="77777777" w:rsidR="007B7F59" w:rsidRPr="007B7F59" w:rsidRDefault="007B7F59" w:rsidP="007B7F59">
      <w:pPr>
        <w:spacing w:after="0" w:line="240" w:lineRule="auto"/>
        <w:ind w:left="1440" w:hanging="1440"/>
        <w:jc w:val="left"/>
        <w:rPr>
          <w:rFonts w:cs="Arial"/>
          <w:b/>
          <w:szCs w:val="24"/>
        </w:rPr>
      </w:pPr>
    </w:p>
    <w:p w14:paraId="24723383"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547D97C" w14:textId="6B91AE20" w:rsidR="00287F3D" w:rsidRDefault="00287F3D" w:rsidP="00154C89">
      <w:pPr>
        <w:pStyle w:val="JudgmentNumbered"/>
        <w:numPr>
          <w:ilvl w:val="0"/>
          <w:numId w:val="0"/>
        </w:numPr>
        <w:spacing w:after="0"/>
        <w:ind w:left="567" w:hanging="567"/>
      </w:pPr>
      <w:r>
        <w:t>Mia, J</w:t>
      </w:r>
    </w:p>
    <w:p w14:paraId="5482B035" w14:textId="32F0049C" w:rsidR="0023093A" w:rsidRPr="0023093A" w:rsidRDefault="0023093A" w:rsidP="00154C89">
      <w:pPr>
        <w:pStyle w:val="JudgmentNumbered"/>
        <w:numPr>
          <w:ilvl w:val="0"/>
          <w:numId w:val="0"/>
        </w:numPr>
        <w:spacing w:after="0"/>
        <w:ind w:left="567" w:hanging="567"/>
        <w:rPr>
          <w:b/>
          <w:bCs/>
          <w:u w:val="single"/>
        </w:rPr>
      </w:pPr>
      <w:r>
        <w:tab/>
      </w:r>
      <w:r w:rsidRPr="0023093A">
        <w:rPr>
          <w:b/>
          <w:bCs/>
          <w:u w:val="single"/>
        </w:rPr>
        <w:t>Introduction</w:t>
      </w:r>
    </w:p>
    <w:p w14:paraId="5ECEDAB3" w14:textId="41FEA789" w:rsidR="00477BA2" w:rsidRDefault="00154C89" w:rsidP="00154C89">
      <w:pPr>
        <w:pStyle w:val="JudgmentNumbered"/>
        <w:numPr>
          <w:ilvl w:val="0"/>
          <w:numId w:val="0"/>
        </w:numPr>
        <w:spacing w:after="0"/>
        <w:ind w:left="567" w:hanging="567"/>
      </w:pPr>
      <w:r>
        <w:t>[1]</w:t>
      </w:r>
      <w:r>
        <w:tab/>
      </w:r>
      <w:r w:rsidR="00E17085">
        <w:t xml:space="preserve">In earlier proceedings before this court </w:t>
      </w:r>
      <w:r w:rsidR="002156E8">
        <w:t xml:space="preserve">under the same case number, </w:t>
      </w:r>
      <w:r w:rsidR="00E17085">
        <w:t xml:space="preserve">the </w:t>
      </w:r>
      <w:r>
        <w:t xml:space="preserve">applicant </w:t>
      </w:r>
      <w:r w:rsidR="00477BA2">
        <w:t>brought an application on an urgent basis to obtain interdictory relief to prevent</w:t>
      </w:r>
      <w:r w:rsidR="002741D9">
        <w:t>:</w:t>
      </w:r>
      <w:r w:rsidR="00477BA2">
        <w:t xml:space="preserve"> </w:t>
      </w:r>
    </w:p>
    <w:p w14:paraId="5DD0752A" w14:textId="651090A6" w:rsidR="00477BA2" w:rsidRDefault="00477BA2" w:rsidP="00477BA2">
      <w:pPr>
        <w:pStyle w:val="JudgmentNumbered"/>
        <w:numPr>
          <w:ilvl w:val="0"/>
          <w:numId w:val="0"/>
        </w:numPr>
        <w:spacing w:after="0"/>
        <w:ind w:left="1440" w:hanging="720"/>
      </w:pPr>
      <w:r>
        <w:t>1.1</w:t>
      </w:r>
      <w:r>
        <w:tab/>
        <w:t>the developer from commencing with construction activities on the property;</w:t>
      </w:r>
    </w:p>
    <w:p w14:paraId="77D8778B" w14:textId="50BC0E69" w:rsidR="00477BA2" w:rsidRDefault="00477BA2" w:rsidP="00477BA2">
      <w:pPr>
        <w:pStyle w:val="JudgmentNumbered"/>
        <w:numPr>
          <w:ilvl w:val="0"/>
          <w:numId w:val="0"/>
        </w:numPr>
        <w:spacing w:after="0"/>
        <w:ind w:left="1440" w:hanging="720"/>
      </w:pPr>
      <w:r>
        <w:t>1.2</w:t>
      </w:r>
      <w:r>
        <w:tab/>
        <w:t>the municipality from processing any applications in terms of the N</w:t>
      </w:r>
      <w:r w:rsidR="0087283D">
        <w:t xml:space="preserve">ational </w:t>
      </w:r>
      <w:r>
        <w:t>B</w:t>
      </w:r>
      <w:r w:rsidR="0087283D">
        <w:t xml:space="preserve">uilding </w:t>
      </w:r>
      <w:r>
        <w:t>R</w:t>
      </w:r>
      <w:r w:rsidR="0087283D">
        <w:t xml:space="preserve">egulations and </w:t>
      </w:r>
      <w:r>
        <w:t>B</w:t>
      </w:r>
      <w:r w:rsidR="0087283D">
        <w:t xml:space="preserve">uilding </w:t>
      </w:r>
      <w:r>
        <w:t>S</w:t>
      </w:r>
      <w:r w:rsidR="004E0D0C">
        <w:t xml:space="preserve">tandards </w:t>
      </w:r>
      <w:r>
        <w:t>A</w:t>
      </w:r>
      <w:r w:rsidR="004E0D0C">
        <w:t xml:space="preserve">ct </w:t>
      </w:r>
      <w:r w:rsidR="00463925">
        <w:t>103 of 1977 (NBRBSA)</w:t>
      </w:r>
      <w:r>
        <w:t>;</w:t>
      </w:r>
    </w:p>
    <w:p w14:paraId="25C1A4F0" w14:textId="77777777" w:rsidR="00EE78B2" w:rsidRDefault="00477BA2" w:rsidP="00477BA2">
      <w:pPr>
        <w:pStyle w:val="JudgmentNumbered"/>
        <w:numPr>
          <w:ilvl w:val="0"/>
          <w:numId w:val="0"/>
        </w:numPr>
        <w:spacing w:after="0"/>
        <w:ind w:left="1440" w:hanging="720"/>
      </w:pPr>
      <w:r>
        <w:t>1.3</w:t>
      </w:r>
      <w:r>
        <w:tab/>
        <w:t xml:space="preserve">the municipality from concluding any </w:t>
      </w:r>
      <w:r w:rsidR="00EE78B2">
        <w:t>engineering service agreements with the developers;</w:t>
      </w:r>
    </w:p>
    <w:p w14:paraId="4C2EF863" w14:textId="17438D24" w:rsidR="00482911" w:rsidRDefault="00EE78B2" w:rsidP="00477BA2">
      <w:pPr>
        <w:pStyle w:val="JudgmentNumbered"/>
        <w:numPr>
          <w:ilvl w:val="0"/>
          <w:numId w:val="0"/>
        </w:numPr>
        <w:spacing w:after="0"/>
        <w:ind w:left="1440" w:hanging="720"/>
      </w:pPr>
      <w:r>
        <w:t>1.4</w:t>
      </w:r>
      <w:r>
        <w:tab/>
        <w:t xml:space="preserve">the municipality and developers from giving effect to the impugned decisions in Part </w:t>
      </w:r>
      <w:r w:rsidR="005F5548">
        <w:t>B</w:t>
      </w:r>
      <w:r>
        <w:t xml:space="preserve"> of the application and </w:t>
      </w:r>
    </w:p>
    <w:p w14:paraId="00D23DE8" w14:textId="098F2BF9" w:rsidR="00EE78B2" w:rsidRDefault="00EE78B2" w:rsidP="00477BA2">
      <w:pPr>
        <w:pStyle w:val="JudgmentNumbered"/>
        <w:numPr>
          <w:ilvl w:val="0"/>
          <w:numId w:val="0"/>
        </w:numPr>
        <w:spacing w:after="0"/>
        <w:ind w:left="1440" w:hanging="720"/>
      </w:pPr>
      <w:r>
        <w:lastRenderedPageBreak/>
        <w:t>1.5</w:t>
      </w:r>
      <w:r>
        <w:tab/>
        <w:t xml:space="preserve">the sixth respondent from considering and processing new applications for environmental authorisation in respect of the subject properties. </w:t>
      </w:r>
    </w:p>
    <w:p w14:paraId="445CD225" w14:textId="37F6BBB8" w:rsidR="00BF7BF1" w:rsidRDefault="00931D97" w:rsidP="00477BA2">
      <w:pPr>
        <w:pStyle w:val="JudgmentNumbered"/>
        <w:numPr>
          <w:ilvl w:val="0"/>
          <w:numId w:val="0"/>
        </w:numPr>
        <w:spacing w:after="0"/>
        <w:ind w:left="1440" w:hanging="720"/>
      </w:pPr>
      <w:r>
        <w:t xml:space="preserve">The developer </w:t>
      </w:r>
      <w:r w:rsidR="001F3A34">
        <w:t xml:space="preserve">gave an </w:t>
      </w:r>
      <w:r>
        <w:t>undertaking not</w:t>
      </w:r>
      <w:r w:rsidR="001F3A34">
        <w:t xml:space="preserve"> to </w:t>
      </w:r>
      <w:r>
        <w:t>commence construction activities</w:t>
      </w:r>
      <w:r w:rsidR="00BF7BF1">
        <w:t>,</w:t>
      </w:r>
    </w:p>
    <w:p w14:paraId="3364005B" w14:textId="77777777" w:rsidR="00E5053C" w:rsidRDefault="00416A9A" w:rsidP="00477BA2">
      <w:pPr>
        <w:pStyle w:val="JudgmentNumbered"/>
        <w:numPr>
          <w:ilvl w:val="0"/>
          <w:numId w:val="0"/>
        </w:numPr>
        <w:spacing w:after="0"/>
        <w:ind w:left="1440" w:hanging="720"/>
      </w:pPr>
      <w:r>
        <w:t>initially until June 2020 and extended it until December 2020</w:t>
      </w:r>
      <w:r w:rsidR="00931D97">
        <w:t>.</w:t>
      </w:r>
      <w:r w:rsidR="00E5053C">
        <w:t xml:space="preserve"> </w:t>
      </w:r>
      <w:r w:rsidR="006705D8">
        <w:t>For th</w:t>
      </w:r>
      <w:r w:rsidR="00E5053C">
        <w:t>is</w:t>
      </w:r>
      <w:r w:rsidR="006705D8">
        <w:t xml:space="preserve"> reason</w:t>
      </w:r>
      <w:r w:rsidR="00D44355">
        <w:t>,</w:t>
      </w:r>
    </w:p>
    <w:p w14:paraId="7E9168B5" w14:textId="379B7FE1" w:rsidR="009F6BE4" w:rsidRDefault="006705D8" w:rsidP="00C316F8">
      <w:pPr>
        <w:pStyle w:val="JudgmentNumbered"/>
        <w:numPr>
          <w:ilvl w:val="0"/>
          <w:numId w:val="0"/>
        </w:numPr>
        <w:spacing w:after="0"/>
        <w:ind w:left="1440" w:hanging="720"/>
      </w:pPr>
      <w:r>
        <w:t xml:space="preserve">the application was </w:t>
      </w:r>
      <w:r w:rsidR="001F3DA6">
        <w:t>removed from the urgent roll</w:t>
      </w:r>
      <w:r w:rsidR="00C92333">
        <w:t xml:space="preserve">. </w:t>
      </w:r>
      <w:r w:rsidR="00C316F8">
        <w:t>T</w:t>
      </w:r>
      <w:r w:rsidR="00E5053C">
        <w:t xml:space="preserve">he applicant </w:t>
      </w:r>
      <w:r w:rsidR="009F6BE4">
        <w:t>maintains it</w:t>
      </w:r>
    </w:p>
    <w:p w14:paraId="464DCE58" w14:textId="41D7785F" w:rsidR="00CE697F" w:rsidRDefault="009F6BE4" w:rsidP="00477BA2">
      <w:pPr>
        <w:pStyle w:val="JudgmentNumbered"/>
        <w:numPr>
          <w:ilvl w:val="0"/>
          <w:numId w:val="0"/>
        </w:numPr>
        <w:spacing w:after="0"/>
        <w:ind w:left="1440" w:hanging="720"/>
      </w:pPr>
      <w:r>
        <w:t xml:space="preserve">is </w:t>
      </w:r>
      <w:r w:rsidR="00C316F8">
        <w:t>academic</w:t>
      </w:r>
      <w:r w:rsidR="00CE697F">
        <w:t>,</w:t>
      </w:r>
      <w:r w:rsidR="00395525">
        <w:t xml:space="preserve"> and </w:t>
      </w:r>
      <w:r w:rsidR="00CE697F">
        <w:t xml:space="preserve">it is </w:t>
      </w:r>
      <w:r>
        <w:t>not required</w:t>
      </w:r>
      <w:r w:rsidR="007D1DEA">
        <w:t>.</w:t>
      </w:r>
      <w:r w:rsidR="003A0275">
        <w:t xml:space="preserve"> </w:t>
      </w:r>
    </w:p>
    <w:p w14:paraId="5D1EE8A0" w14:textId="77777777" w:rsidR="00CE697F" w:rsidRDefault="00CE697F" w:rsidP="00CE697F">
      <w:pPr>
        <w:pStyle w:val="JudgmentNumbered"/>
        <w:numPr>
          <w:ilvl w:val="0"/>
          <w:numId w:val="0"/>
        </w:numPr>
        <w:spacing w:after="0"/>
        <w:ind w:left="567" w:hanging="567"/>
      </w:pPr>
    </w:p>
    <w:p w14:paraId="663C385D" w14:textId="482B22B8" w:rsidR="00E44033" w:rsidRDefault="00CE697F" w:rsidP="00CE697F">
      <w:pPr>
        <w:pStyle w:val="JudgmentNumbered"/>
        <w:numPr>
          <w:ilvl w:val="0"/>
          <w:numId w:val="0"/>
        </w:numPr>
        <w:spacing w:after="0"/>
        <w:ind w:left="567" w:hanging="567"/>
      </w:pPr>
      <w:r>
        <w:t>[2]</w:t>
      </w:r>
      <w:r>
        <w:tab/>
      </w:r>
      <w:r w:rsidR="003A0275">
        <w:t xml:space="preserve">The parties proceeded </w:t>
      </w:r>
      <w:r w:rsidR="00F70114">
        <w:t xml:space="preserve">on Part </w:t>
      </w:r>
      <w:r w:rsidR="005C0091">
        <w:t>B</w:t>
      </w:r>
      <w:r w:rsidR="00F70114">
        <w:t xml:space="preserve"> of</w:t>
      </w:r>
      <w:r>
        <w:t xml:space="preserve"> </w:t>
      </w:r>
      <w:r w:rsidR="00F70114">
        <w:t xml:space="preserve">the application. </w:t>
      </w:r>
      <w:r w:rsidR="00FA740E">
        <w:t xml:space="preserve">The relief sought </w:t>
      </w:r>
      <w:r w:rsidR="00954D7E">
        <w:t>there</w:t>
      </w:r>
      <w:r w:rsidR="00FA740E">
        <w:t>under is in the following terms:</w:t>
      </w:r>
    </w:p>
    <w:p w14:paraId="3E97DBC6" w14:textId="77777777" w:rsidR="00A372E2" w:rsidRPr="004820CC" w:rsidRDefault="00A372E2" w:rsidP="00A372E2">
      <w:pPr>
        <w:pStyle w:val="JudgmentNumbered"/>
        <w:numPr>
          <w:ilvl w:val="0"/>
          <w:numId w:val="0"/>
        </w:numPr>
        <w:spacing w:after="0"/>
        <w:ind w:left="1437" w:hanging="870"/>
        <w:rPr>
          <w:sz w:val="22"/>
        </w:rPr>
      </w:pPr>
      <w:r w:rsidRPr="004820CC">
        <w:rPr>
          <w:sz w:val="22"/>
        </w:rPr>
        <w:t xml:space="preserve">“B1. </w:t>
      </w:r>
      <w:r w:rsidRPr="004820CC">
        <w:rPr>
          <w:sz w:val="22"/>
        </w:rPr>
        <w:tab/>
        <w:t>That the decisions of the first respondent dated 23 January 2013 and 26 September 2016(to be found on pages 79, 128, and 134 of the record), by virtue of which all pending land development applications lodged in terms of the Development Facilitation Act, 67 of 1995 (Act) were converted into purported land use change applications, lodged in terms of the Town Planning and Townships Ordinance(Ordinance 15 of 1986), be reviewed and set aside;</w:t>
      </w:r>
    </w:p>
    <w:p w14:paraId="62D71F1B" w14:textId="24066F9C" w:rsidR="00A372E2" w:rsidRPr="004820CC" w:rsidRDefault="00A372E2" w:rsidP="00A372E2">
      <w:pPr>
        <w:pStyle w:val="JudgmentNumbered"/>
        <w:numPr>
          <w:ilvl w:val="0"/>
          <w:numId w:val="0"/>
        </w:numPr>
        <w:spacing w:after="0"/>
        <w:ind w:left="1437" w:hanging="870"/>
        <w:rPr>
          <w:sz w:val="22"/>
        </w:rPr>
      </w:pPr>
      <w:r w:rsidRPr="004820CC">
        <w:rPr>
          <w:sz w:val="22"/>
        </w:rPr>
        <w:t xml:space="preserve">B2. </w:t>
      </w:r>
      <w:r w:rsidRPr="004820CC">
        <w:rPr>
          <w:sz w:val="22"/>
        </w:rPr>
        <w:tab/>
        <w:t xml:space="preserve"> That the decisions of the first respondent, by virtue of which the approval of the Township Dalpark Extension 19, by the erstwhile Development Tribunal on 20 October 2011, in terms of the Development Facilitation Act</w:t>
      </w:r>
      <w:r w:rsidR="004E0A6A">
        <w:rPr>
          <w:sz w:val="22"/>
        </w:rPr>
        <w:t xml:space="preserve"> </w:t>
      </w:r>
      <w:r w:rsidRPr="004820CC">
        <w:rPr>
          <w:sz w:val="22"/>
        </w:rPr>
        <w:t xml:space="preserve">(Act 67 of 1995), </w:t>
      </w:r>
      <w:r>
        <w:rPr>
          <w:sz w:val="22"/>
        </w:rPr>
        <w:t>has</w:t>
      </w:r>
      <w:r w:rsidRPr="004820CC">
        <w:rPr>
          <w:sz w:val="22"/>
        </w:rPr>
        <w:t xml:space="preserve"> been proclaimed </w:t>
      </w:r>
      <w:r>
        <w:rPr>
          <w:sz w:val="22"/>
        </w:rPr>
        <w:t xml:space="preserve">on </w:t>
      </w:r>
      <w:r w:rsidRPr="004820CC">
        <w:rPr>
          <w:sz w:val="22"/>
        </w:rPr>
        <w:t>13 December</w:t>
      </w:r>
      <w:r>
        <w:rPr>
          <w:sz w:val="22"/>
        </w:rPr>
        <w:t xml:space="preserve"> </w:t>
      </w:r>
      <w:r w:rsidRPr="004820CC">
        <w:rPr>
          <w:sz w:val="22"/>
        </w:rPr>
        <w:t>2012, alternatively on 20 November 2014, by way of notices attached hereto and marked as annexures A and B respectively, be reviewed and set aside;</w:t>
      </w:r>
    </w:p>
    <w:p w14:paraId="71D14963" w14:textId="7B16B164" w:rsidR="00A372E2" w:rsidRPr="004820CC" w:rsidRDefault="00BF0EAE" w:rsidP="00A372E2">
      <w:pPr>
        <w:pStyle w:val="JudgmentNumbered"/>
        <w:numPr>
          <w:ilvl w:val="0"/>
          <w:numId w:val="0"/>
        </w:numPr>
        <w:spacing w:after="0"/>
        <w:ind w:left="1437" w:hanging="870"/>
        <w:rPr>
          <w:sz w:val="22"/>
        </w:rPr>
      </w:pPr>
      <w:r>
        <w:rPr>
          <w:sz w:val="22"/>
        </w:rPr>
        <w:t>B3.</w:t>
      </w:r>
      <w:r w:rsidR="00A372E2" w:rsidRPr="004820CC">
        <w:rPr>
          <w:sz w:val="22"/>
        </w:rPr>
        <w:t xml:space="preserve"> </w:t>
      </w:r>
      <w:r w:rsidR="00A372E2" w:rsidRPr="004820CC">
        <w:rPr>
          <w:sz w:val="22"/>
        </w:rPr>
        <w:tab/>
        <w:t xml:space="preserve">That the decision of the first respondent to amend the conditions of the approval imposed by the </w:t>
      </w:r>
      <w:r w:rsidR="00A372E2">
        <w:rPr>
          <w:sz w:val="22"/>
        </w:rPr>
        <w:t>erstwhile</w:t>
      </w:r>
      <w:r w:rsidR="00A372E2" w:rsidRPr="004820CC">
        <w:rPr>
          <w:sz w:val="22"/>
        </w:rPr>
        <w:t xml:space="preserve"> Gauteng Development Tribunal in terms of the Development Facilitation Act (Act 67 of 1995), in respect of the Township known as Dalpark Extension 19 on 2 December 2014, purportedly in terms of the Township Planning and Townships Ordinance</w:t>
      </w:r>
      <w:r w:rsidR="00A372E2">
        <w:rPr>
          <w:sz w:val="22"/>
        </w:rPr>
        <w:t xml:space="preserve"> </w:t>
      </w:r>
      <w:r w:rsidR="00A372E2" w:rsidRPr="004820CC">
        <w:rPr>
          <w:sz w:val="22"/>
        </w:rPr>
        <w:t>(Ordinance 15 of 1986)(pages 95-100 of the record) be reviewed and set aside;</w:t>
      </w:r>
    </w:p>
    <w:p w14:paraId="04F96177" w14:textId="2D350245" w:rsidR="00A372E2" w:rsidRPr="004820CC" w:rsidRDefault="00BF0EAE" w:rsidP="00BF0EAE">
      <w:pPr>
        <w:pStyle w:val="JudgmentNumbered"/>
        <w:numPr>
          <w:ilvl w:val="0"/>
          <w:numId w:val="0"/>
        </w:numPr>
        <w:spacing w:after="0"/>
        <w:ind w:left="1437" w:hanging="870"/>
        <w:rPr>
          <w:sz w:val="22"/>
        </w:rPr>
      </w:pPr>
      <w:r>
        <w:rPr>
          <w:sz w:val="22"/>
        </w:rPr>
        <w:t>B4.</w:t>
      </w:r>
      <w:r>
        <w:rPr>
          <w:sz w:val="22"/>
        </w:rPr>
        <w:tab/>
      </w:r>
      <w:r w:rsidR="00A372E2" w:rsidRPr="004820CC">
        <w:rPr>
          <w:sz w:val="22"/>
        </w:rPr>
        <w:t>That the decisions of the first respondent to proclaim amendment scheme 619 (approved in terms of the Development Facilitation Act 67 of 1995) by the erstwhile Gauteng Development Tribunal on 20 October 2011) in terms of s 125 of the Town Planning and Townships Ordinance (Ordinance 15 of 1986) on 22 November 2019 and 13 February 2020 respectively, insofar as same pertain</w:t>
      </w:r>
      <w:r w:rsidR="00E90B86">
        <w:rPr>
          <w:sz w:val="22"/>
        </w:rPr>
        <w:t>s</w:t>
      </w:r>
      <w:r w:rsidR="00A372E2" w:rsidRPr="004820CC">
        <w:rPr>
          <w:sz w:val="22"/>
        </w:rPr>
        <w:t xml:space="preserve"> to Erven 3110 and 3087 of the Township Dalpark Ext 19, copies of which are attached hereto marked Annexure C and D respectively, be reviewed and  set aside;</w:t>
      </w:r>
    </w:p>
    <w:p w14:paraId="6E1CC781" w14:textId="5933BC2A" w:rsidR="00A372E2" w:rsidRPr="004820CC" w:rsidRDefault="00A372E2" w:rsidP="00A372E2">
      <w:pPr>
        <w:pStyle w:val="JudgmentNumbered"/>
        <w:numPr>
          <w:ilvl w:val="0"/>
          <w:numId w:val="0"/>
        </w:numPr>
        <w:spacing w:after="0"/>
        <w:ind w:left="1437" w:hanging="870"/>
        <w:rPr>
          <w:sz w:val="22"/>
        </w:rPr>
      </w:pPr>
      <w:r w:rsidRPr="004820CC">
        <w:rPr>
          <w:sz w:val="22"/>
        </w:rPr>
        <w:lastRenderedPageBreak/>
        <w:t xml:space="preserve">B5. </w:t>
      </w:r>
      <w:r w:rsidRPr="004820CC">
        <w:rPr>
          <w:sz w:val="22"/>
        </w:rPr>
        <w:tab/>
        <w:t>That the decision of the first respondent by virtue of which the rezoning of the property known as E</w:t>
      </w:r>
      <w:r w:rsidR="00E90B86">
        <w:rPr>
          <w:sz w:val="22"/>
        </w:rPr>
        <w:t>rf</w:t>
      </w:r>
      <w:r w:rsidRPr="004820CC">
        <w:rPr>
          <w:sz w:val="22"/>
        </w:rPr>
        <w:t xml:space="preserve"> 3087 Dalpark Extension 19 and Amendment scheme R0104 have been approved on 5 and 13 February 2020 respectively, be reviewed and set aside and the consequential publication of this approval in the provincial Gazette on 21 February 2020, a copy of which is attached hereto and marked as Annexure G, be declared null and void and of no further force or effect;</w:t>
      </w:r>
    </w:p>
    <w:p w14:paraId="611E7F52" w14:textId="1DE3105F" w:rsidR="00A372E2" w:rsidRPr="004820CC" w:rsidRDefault="00A372E2" w:rsidP="00A372E2">
      <w:pPr>
        <w:pStyle w:val="JudgmentNumbered"/>
        <w:numPr>
          <w:ilvl w:val="0"/>
          <w:numId w:val="0"/>
        </w:numPr>
        <w:spacing w:after="0"/>
        <w:ind w:left="1437" w:hanging="870"/>
        <w:rPr>
          <w:sz w:val="22"/>
        </w:rPr>
      </w:pPr>
      <w:r w:rsidRPr="004820CC">
        <w:rPr>
          <w:sz w:val="22"/>
        </w:rPr>
        <w:t xml:space="preserve">B6. </w:t>
      </w:r>
      <w:r w:rsidRPr="004820CC">
        <w:rPr>
          <w:sz w:val="22"/>
        </w:rPr>
        <w:tab/>
        <w:t xml:space="preserve">That the current pending Rezoning Application lodged during August 2015 with the first </w:t>
      </w:r>
      <w:r w:rsidR="005E18C4">
        <w:rPr>
          <w:sz w:val="22"/>
        </w:rPr>
        <w:t>r</w:t>
      </w:r>
      <w:r w:rsidRPr="004820CC">
        <w:rPr>
          <w:sz w:val="22"/>
        </w:rPr>
        <w:t xml:space="preserve">espondent </w:t>
      </w:r>
      <w:r>
        <w:rPr>
          <w:sz w:val="22"/>
        </w:rPr>
        <w:t>in</w:t>
      </w:r>
      <w:r w:rsidRPr="004820CC">
        <w:rPr>
          <w:sz w:val="22"/>
        </w:rPr>
        <w:t xml:space="preserve"> respect of the property known as Erf 3110 Dalpark Extension 19 Township, be declared invalid and not processable by the </w:t>
      </w:r>
      <w:r w:rsidR="005E18C4">
        <w:rPr>
          <w:sz w:val="22"/>
        </w:rPr>
        <w:t>f</w:t>
      </w:r>
      <w:r w:rsidRPr="004820CC">
        <w:rPr>
          <w:sz w:val="22"/>
        </w:rPr>
        <w:t xml:space="preserve">irst </w:t>
      </w:r>
      <w:r w:rsidR="005E18C4">
        <w:rPr>
          <w:sz w:val="22"/>
        </w:rPr>
        <w:t>r</w:t>
      </w:r>
      <w:r w:rsidRPr="004820CC">
        <w:rPr>
          <w:sz w:val="22"/>
        </w:rPr>
        <w:t>espondent.</w:t>
      </w:r>
    </w:p>
    <w:p w14:paraId="6A075683" w14:textId="0535E617" w:rsidR="00A372E2" w:rsidRPr="004820CC" w:rsidRDefault="00A372E2" w:rsidP="00A372E2">
      <w:pPr>
        <w:pStyle w:val="JudgmentNumbered"/>
        <w:numPr>
          <w:ilvl w:val="0"/>
          <w:numId w:val="0"/>
        </w:numPr>
        <w:spacing w:after="0"/>
        <w:ind w:left="1437" w:hanging="870"/>
        <w:rPr>
          <w:sz w:val="22"/>
        </w:rPr>
      </w:pPr>
      <w:r w:rsidRPr="004820CC">
        <w:rPr>
          <w:sz w:val="22"/>
        </w:rPr>
        <w:t xml:space="preserve">B7. </w:t>
      </w:r>
      <w:r w:rsidRPr="004820CC">
        <w:rPr>
          <w:sz w:val="22"/>
        </w:rPr>
        <w:tab/>
        <w:t xml:space="preserve">That the decision of the </w:t>
      </w:r>
      <w:r w:rsidR="005E18C4">
        <w:rPr>
          <w:sz w:val="22"/>
        </w:rPr>
        <w:t>f</w:t>
      </w:r>
      <w:r w:rsidRPr="004820CC">
        <w:rPr>
          <w:sz w:val="22"/>
        </w:rPr>
        <w:t xml:space="preserve">irst </w:t>
      </w:r>
      <w:r w:rsidR="005E18C4">
        <w:rPr>
          <w:sz w:val="22"/>
        </w:rPr>
        <w:t>r</w:t>
      </w:r>
      <w:r w:rsidRPr="004820CC">
        <w:rPr>
          <w:sz w:val="22"/>
        </w:rPr>
        <w:t>espondent to, on 27 February 2019, alternatively 9 March 2020, approve of site Development plans in respect of Erf 3087 in the Township Dalpark Extension 19 (pages 331 and 374 of the Record), be reviewed and set aside;</w:t>
      </w:r>
    </w:p>
    <w:p w14:paraId="368EC4BE" w14:textId="1EC8F1F0" w:rsidR="00A372E2" w:rsidRPr="004820CC" w:rsidRDefault="00A372E2" w:rsidP="00A372E2">
      <w:pPr>
        <w:pStyle w:val="JudgmentNumbered"/>
        <w:numPr>
          <w:ilvl w:val="0"/>
          <w:numId w:val="0"/>
        </w:numPr>
        <w:spacing w:after="0"/>
        <w:ind w:left="1437" w:hanging="870"/>
        <w:rPr>
          <w:sz w:val="22"/>
        </w:rPr>
      </w:pPr>
      <w:r w:rsidRPr="004820CC">
        <w:rPr>
          <w:sz w:val="22"/>
        </w:rPr>
        <w:t xml:space="preserve">B8. </w:t>
      </w:r>
      <w:r w:rsidRPr="004820CC">
        <w:rPr>
          <w:sz w:val="22"/>
        </w:rPr>
        <w:tab/>
        <w:t xml:space="preserve">That the decision of the </w:t>
      </w:r>
      <w:r w:rsidR="005B14FC">
        <w:rPr>
          <w:sz w:val="22"/>
        </w:rPr>
        <w:t>s</w:t>
      </w:r>
      <w:r w:rsidRPr="004820CC">
        <w:rPr>
          <w:sz w:val="22"/>
        </w:rPr>
        <w:t xml:space="preserve">ixth </w:t>
      </w:r>
      <w:r w:rsidR="005B14FC">
        <w:rPr>
          <w:sz w:val="22"/>
        </w:rPr>
        <w:t>r</w:t>
      </w:r>
      <w:r w:rsidRPr="004820CC">
        <w:rPr>
          <w:sz w:val="22"/>
        </w:rPr>
        <w:t>espondent dated 14 September 2011 (pages 672 to 674 of the record), by virtue of which the existing “wetland” or “watercourse” on Erf 3110 has been declared “manmade’, not worthy of protection and that encroachment thereon shall be exempted from water use licence requirements in terms of section 21 of the National Water Act (Act 36 of 1998), be reviewed and set aside;</w:t>
      </w:r>
    </w:p>
    <w:p w14:paraId="1E1E8F1B" w14:textId="0DBBEFA8" w:rsidR="00A372E2" w:rsidRPr="004820CC" w:rsidRDefault="00A372E2" w:rsidP="00A372E2">
      <w:pPr>
        <w:pStyle w:val="JudgmentNumbered"/>
        <w:numPr>
          <w:ilvl w:val="0"/>
          <w:numId w:val="0"/>
        </w:numPr>
        <w:spacing w:after="0"/>
        <w:ind w:left="1437" w:hanging="870"/>
        <w:rPr>
          <w:sz w:val="22"/>
        </w:rPr>
      </w:pPr>
      <w:r w:rsidRPr="004820CC">
        <w:rPr>
          <w:sz w:val="22"/>
        </w:rPr>
        <w:t xml:space="preserve">B9. </w:t>
      </w:r>
      <w:r w:rsidRPr="004820CC">
        <w:rPr>
          <w:sz w:val="22"/>
        </w:rPr>
        <w:tab/>
        <w:t xml:space="preserve">That the decision of the sixth </w:t>
      </w:r>
      <w:r w:rsidR="005B14FC">
        <w:rPr>
          <w:sz w:val="22"/>
        </w:rPr>
        <w:t>r</w:t>
      </w:r>
      <w:r w:rsidRPr="004820CC">
        <w:rPr>
          <w:sz w:val="22"/>
        </w:rPr>
        <w:t>espondent dated 3 September 2012 (page 622 of the record), by virtue of which the site sensitivity Layout Plan has been approved without reflecting the watercourse on Erf 3110 as a sensitive Environmental Feature to be retained and to be protected, a copy of which is attached hereto marked as Annexure H, be reviewed and set aside;</w:t>
      </w:r>
    </w:p>
    <w:p w14:paraId="1564CFBC" w14:textId="7B08007E" w:rsidR="00A372E2" w:rsidRPr="004820CC" w:rsidRDefault="00A372E2" w:rsidP="00A372E2">
      <w:pPr>
        <w:pStyle w:val="JudgmentNumbered"/>
        <w:numPr>
          <w:ilvl w:val="0"/>
          <w:numId w:val="0"/>
        </w:numPr>
        <w:spacing w:after="0"/>
        <w:ind w:left="1437" w:hanging="870"/>
        <w:rPr>
          <w:sz w:val="22"/>
        </w:rPr>
      </w:pPr>
      <w:r w:rsidRPr="004820CC">
        <w:rPr>
          <w:sz w:val="22"/>
        </w:rPr>
        <w:t xml:space="preserve">B10. </w:t>
      </w:r>
      <w:r w:rsidRPr="004820CC">
        <w:rPr>
          <w:sz w:val="22"/>
        </w:rPr>
        <w:tab/>
        <w:t xml:space="preserve">That the decision of the </w:t>
      </w:r>
      <w:r w:rsidR="005B14FC">
        <w:rPr>
          <w:sz w:val="22"/>
        </w:rPr>
        <w:t>s</w:t>
      </w:r>
      <w:r w:rsidRPr="004820CC">
        <w:rPr>
          <w:sz w:val="22"/>
        </w:rPr>
        <w:t xml:space="preserve">ixth </w:t>
      </w:r>
      <w:r w:rsidR="005B14FC">
        <w:rPr>
          <w:sz w:val="22"/>
        </w:rPr>
        <w:t>r</w:t>
      </w:r>
      <w:r w:rsidRPr="004820CC">
        <w:rPr>
          <w:sz w:val="22"/>
        </w:rPr>
        <w:t>espondent dated 17 March 2016, by virtue of which the Environmental Authorisation issued on 3 December 2009 in terms of the National Environmental Management Act (Act 107 of 1998), inter alia in respect of the property mentioned in paragraph B5 above, has been amended and a new Environmental Authorisation in respect of such property has been approved, a copy of which is attached hereto marked as annexure I, be reviewed and set aside;</w:t>
      </w:r>
    </w:p>
    <w:p w14:paraId="5782195D" w14:textId="505076C5" w:rsidR="00A372E2" w:rsidRPr="004820CC" w:rsidRDefault="00A372E2" w:rsidP="00A372E2">
      <w:pPr>
        <w:pStyle w:val="JudgmentNumbered"/>
        <w:numPr>
          <w:ilvl w:val="0"/>
          <w:numId w:val="0"/>
        </w:numPr>
        <w:spacing w:after="0"/>
        <w:ind w:left="1437" w:hanging="870"/>
        <w:rPr>
          <w:sz w:val="22"/>
        </w:rPr>
      </w:pPr>
      <w:r w:rsidRPr="004820CC">
        <w:rPr>
          <w:sz w:val="22"/>
        </w:rPr>
        <w:t xml:space="preserve">B11. </w:t>
      </w:r>
      <w:r w:rsidRPr="004820CC">
        <w:rPr>
          <w:sz w:val="22"/>
        </w:rPr>
        <w:tab/>
        <w:t xml:space="preserve">That any other approvals, consents and authorisations given or granted by the </w:t>
      </w:r>
      <w:r w:rsidR="0083338A">
        <w:rPr>
          <w:sz w:val="22"/>
        </w:rPr>
        <w:t>f</w:t>
      </w:r>
      <w:r w:rsidRPr="004820CC">
        <w:rPr>
          <w:sz w:val="22"/>
        </w:rPr>
        <w:t xml:space="preserve">irst, </w:t>
      </w:r>
      <w:r w:rsidR="0083338A">
        <w:rPr>
          <w:sz w:val="22"/>
        </w:rPr>
        <w:t>s</w:t>
      </w:r>
      <w:r w:rsidRPr="004820CC">
        <w:rPr>
          <w:sz w:val="22"/>
        </w:rPr>
        <w:t xml:space="preserve">econd and </w:t>
      </w:r>
      <w:r w:rsidR="0083338A">
        <w:rPr>
          <w:sz w:val="22"/>
        </w:rPr>
        <w:t>s</w:t>
      </w:r>
      <w:r w:rsidRPr="004820CC">
        <w:rPr>
          <w:sz w:val="22"/>
        </w:rPr>
        <w:t xml:space="preserve">ixth </w:t>
      </w:r>
      <w:r w:rsidR="0083338A">
        <w:rPr>
          <w:sz w:val="22"/>
        </w:rPr>
        <w:t>r</w:t>
      </w:r>
      <w:r w:rsidRPr="004820CC">
        <w:rPr>
          <w:sz w:val="22"/>
        </w:rPr>
        <w:t xml:space="preserve">espondent in execution of the decisions mentioned in paragraphs B1, B2, B3, B4, B5, B6, B7, B8, B9 and B10 above, in respect of </w:t>
      </w:r>
      <w:r w:rsidRPr="004820CC">
        <w:rPr>
          <w:sz w:val="22"/>
        </w:rPr>
        <w:lastRenderedPageBreak/>
        <w:t>the properties mentioned in paragraphs B5 and B6 above, be declared null and void and of no further force or effect;</w:t>
      </w:r>
    </w:p>
    <w:p w14:paraId="3513FC39" w14:textId="51FA6278" w:rsidR="00A372E2" w:rsidRPr="004820CC" w:rsidRDefault="00A372E2" w:rsidP="00A372E2">
      <w:pPr>
        <w:pStyle w:val="JudgmentNumbered"/>
        <w:numPr>
          <w:ilvl w:val="0"/>
          <w:numId w:val="0"/>
        </w:numPr>
        <w:spacing w:after="0"/>
        <w:ind w:left="1437" w:hanging="870"/>
        <w:rPr>
          <w:sz w:val="22"/>
        </w:rPr>
      </w:pPr>
      <w:r w:rsidRPr="004820CC">
        <w:rPr>
          <w:sz w:val="22"/>
        </w:rPr>
        <w:t xml:space="preserve">B12. </w:t>
      </w:r>
      <w:r w:rsidRPr="004820CC">
        <w:rPr>
          <w:sz w:val="22"/>
        </w:rPr>
        <w:tab/>
        <w:t xml:space="preserve">That the relief sought in paragraphs B1 to B11 above shall not have the effect of divesting the </w:t>
      </w:r>
      <w:r w:rsidR="0044716A">
        <w:rPr>
          <w:sz w:val="22"/>
        </w:rPr>
        <w:t>s</w:t>
      </w:r>
      <w:r w:rsidRPr="004820CC">
        <w:rPr>
          <w:sz w:val="22"/>
        </w:rPr>
        <w:t xml:space="preserve">eventh to the </w:t>
      </w:r>
      <w:r w:rsidR="0044716A">
        <w:rPr>
          <w:sz w:val="22"/>
        </w:rPr>
        <w:t>t</w:t>
      </w:r>
      <w:r w:rsidRPr="004820CC">
        <w:rPr>
          <w:sz w:val="22"/>
        </w:rPr>
        <w:t xml:space="preserve">hirteenth </w:t>
      </w:r>
      <w:r w:rsidR="0044716A">
        <w:rPr>
          <w:sz w:val="22"/>
        </w:rPr>
        <w:t>r</w:t>
      </w:r>
      <w:r w:rsidRPr="004820CC">
        <w:rPr>
          <w:sz w:val="22"/>
        </w:rPr>
        <w:t xml:space="preserve">espondents as well as the </w:t>
      </w:r>
      <w:r w:rsidR="0044716A">
        <w:rPr>
          <w:sz w:val="22"/>
        </w:rPr>
        <w:t>s</w:t>
      </w:r>
      <w:r w:rsidRPr="004820CC">
        <w:rPr>
          <w:sz w:val="22"/>
        </w:rPr>
        <w:t xml:space="preserve">eventeenth </w:t>
      </w:r>
      <w:r w:rsidR="0044716A">
        <w:rPr>
          <w:sz w:val="22"/>
        </w:rPr>
        <w:t>r</w:t>
      </w:r>
      <w:r w:rsidRPr="004820CC">
        <w:rPr>
          <w:sz w:val="22"/>
        </w:rPr>
        <w:t>espondent of any rights they would have been entitled to, but for the review and setting aside of the relevant decisions;</w:t>
      </w:r>
    </w:p>
    <w:p w14:paraId="5ABFDEB6" w14:textId="51D11C17" w:rsidR="00A372E2" w:rsidRPr="004820CC" w:rsidRDefault="00A372E2" w:rsidP="00A372E2">
      <w:pPr>
        <w:pStyle w:val="JudgmentNumbered"/>
        <w:numPr>
          <w:ilvl w:val="0"/>
          <w:numId w:val="0"/>
        </w:numPr>
        <w:spacing w:after="0"/>
        <w:ind w:left="1437" w:hanging="870"/>
        <w:rPr>
          <w:sz w:val="22"/>
        </w:rPr>
      </w:pPr>
      <w:r w:rsidRPr="004820CC">
        <w:rPr>
          <w:sz w:val="22"/>
        </w:rPr>
        <w:t xml:space="preserve">B13. </w:t>
      </w:r>
      <w:r w:rsidRPr="004820CC">
        <w:rPr>
          <w:sz w:val="22"/>
        </w:rPr>
        <w:tab/>
        <w:t xml:space="preserve">That the </w:t>
      </w:r>
      <w:r w:rsidR="003D6BE2">
        <w:rPr>
          <w:sz w:val="22"/>
        </w:rPr>
        <w:t>t</w:t>
      </w:r>
      <w:r w:rsidRPr="004820CC">
        <w:rPr>
          <w:sz w:val="22"/>
        </w:rPr>
        <w:t xml:space="preserve">welfth and </w:t>
      </w:r>
      <w:r w:rsidR="003D6BE2">
        <w:rPr>
          <w:sz w:val="22"/>
        </w:rPr>
        <w:t>t</w:t>
      </w:r>
      <w:r w:rsidRPr="004820CC">
        <w:rPr>
          <w:sz w:val="22"/>
        </w:rPr>
        <w:t xml:space="preserve">hirteenth </w:t>
      </w:r>
      <w:r w:rsidR="003D6BE2">
        <w:rPr>
          <w:sz w:val="22"/>
        </w:rPr>
        <w:t>r</w:t>
      </w:r>
      <w:r w:rsidRPr="004820CC">
        <w:rPr>
          <w:sz w:val="22"/>
        </w:rPr>
        <w:t>espondents respectively be directed to administratively give effect to the orders granted above insofar as same pertain to their respective data, records and offices;</w:t>
      </w:r>
    </w:p>
    <w:p w14:paraId="0DCFDB50" w14:textId="60EBC7C3" w:rsidR="00A372E2" w:rsidRPr="004820CC" w:rsidRDefault="00A372E2" w:rsidP="00A372E2">
      <w:pPr>
        <w:pStyle w:val="JudgmentNumbered"/>
        <w:numPr>
          <w:ilvl w:val="0"/>
          <w:numId w:val="0"/>
        </w:numPr>
        <w:spacing w:after="0"/>
        <w:ind w:left="1437" w:hanging="870"/>
        <w:rPr>
          <w:sz w:val="22"/>
        </w:rPr>
      </w:pPr>
      <w:r w:rsidRPr="004820CC">
        <w:rPr>
          <w:sz w:val="22"/>
        </w:rPr>
        <w:t xml:space="preserve">B14. </w:t>
      </w:r>
      <w:r w:rsidRPr="004820CC">
        <w:rPr>
          <w:sz w:val="22"/>
        </w:rPr>
        <w:tab/>
        <w:t xml:space="preserve">That insofar as it may be required, condonation be granted to the </w:t>
      </w:r>
      <w:r w:rsidR="003D6BE2">
        <w:rPr>
          <w:sz w:val="22"/>
        </w:rPr>
        <w:t>a</w:t>
      </w:r>
      <w:r w:rsidRPr="004820CC">
        <w:rPr>
          <w:sz w:val="22"/>
        </w:rPr>
        <w:t>pplicant in terms of section 9 of the Promotion of Administrative Justice Act (Act 3 of 2000) for any delay in the filing of this Application for Review and more specifically the relief sought in terms of paragraphs B1, B2, B3, B8 and B9 above;</w:t>
      </w:r>
    </w:p>
    <w:p w14:paraId="0B9A9E04" w14:textId="055297A5" w:rsidR="00C37CB3" w:rsidRPr="004820CC" w:rsidRDefault="00A372E2" w:rsidP="00C37CB3">
      <w:pPr>
        <w:pStyle w:val="JudgmentNumbered"/>
        <w:numPr>
          <w:ilvl w:val="0"/>
          <w:numId w:val="0"/>
        </w:numPr>
        <w:spacing w:after="0"/>
        <w:ind w:left="1437" w:hanging="870"/>
        <w:rPr>
          <w:sz w:val="22"/>
        </w:rPr>
      </w:pPr>
      <w:r w:rsidRPr="004820CC">
        <w:rPr>
          <w:sz w:val="22"/>
        </w:rPr>
        <w:t xml:space="preserve">B15. </w:t>
      </w:r>
      <w:r w:rsidRPr="004820CC">
        <w:rPr>
          <w:sz w:val="22"/>
        </w:rPr>
        <w:tab/>
        <w:t xml:space="preserve">That any of the </w:t>
      </w:r>
      <w:r w:rsidR="004831F5">
        <w:rPr>
          <w:sz w:val="22"/>
        </w:rPr>
        <w:t>r</w:t>
      </w:r>
      <w:r w:rsidRPr="004820CC">
        <w:rPr>
          <w:sz w:val="22"/>
        </w:rPr>
        <w:t xml:space="preserve">espondents opposing the relief sought in Part B of this Notice of Motion be ordered to pay the costs, jointly and/or severally, the one paying the others to be absolved, which costs shall include the costs consequent to the employment of 2 (two) counsel.” </w:t>
      </w:r>
    </w:p>
    <w:p w14:paraId="6F519D2A" w14:textId="45A0ADEF" w:rsidR="008C1B4D" w:rsidRPr="004820CC" w:rsidRDefault="008C1B4D" w:rsidP="00264C21">
      <w:pPr>
        <w:pStyle w:val="JudgmentNumbered"/>
        <w:numPr>
          <w:ilvl w:val="0"/>
          <w:numId w:val="0"/>
        </w:numPr>
        <w:spacing w:after="0"/>
        <w:ind w:left="1437" w:hanging="870"/>
        <w:rPr>
          <w:sz w:val="22"/>
        </w:rPr>
      </w:pPr>
    </w:p>
    <w:p w14:paraId="206E171C" w14:textId="2436BE20" w:rsidR="001D2515" w:rsidRDefault="00F3534D" w:rsidP="008E45CB">
      <w:pPr>
        <w:pStyle w:val="JudgmentNumbered"/>
        <w:numPr>
          <w:ilvl w:val="0"/>
          <w:numId w:val="0"/>
        </w:numPr>
        <w:spacing w:after="0"/>
        <w:ind w:left="567" w:hanging="567"/>
      </w:pPr>
      <w:r>
        <w:t>The</w:t>
      </w:r>
      <w:r w:rsidR="00E25922">
        <w:t xml:space="preserve"> first respondent</w:t>
      </w:r>
      <w:r w:rsidR="00954D7E">
        <w:t>,</w:t>
      </w:r>
      <w:r w:rsidR="00E25922">
        <w:t xml:space="preserve"> the </w:t>
      </w:r>
      <w:r w:rsidR="00444458">
        <w:t xml:space="preserve">City of Ekurhuleni Metropolitan </w:t>
      </w:r>
      <w:r>
        <w:t>Municipality</w:t>
      </w:r>
      <w:r w:rsidR="001D2515">
        <w:t xml:space="preserve"> </w:t>
      </w:r>
      <w:r w:rsidR="00444458">
        <w:t>(</w:t>
      </w:r>
      <w:r w:rsidR="00B97C8C">
        <w:t>the</w:t>
      </w:r>
    </w:p>
    <w:p w14:paraId="565C4CA6" w14:textId="77777777" w:rsidR="001674AE" w:rsidRDefault="00B97C8C" w:rsidP="008E45CB">
      <w:pPr>
        <w:pStyle w:val="JudgmentNumbered"/>
        <w:numPr>
          <w:ilvl w:val="0"/>
          <w:numId w:val="0"/>
        </w:numPr>
        <w:spacing w:after="0"/>
        <w:ind w:left="567" w:hanging="567"/>
      </w:pPr>
      <w:r>
        <w:t>Municipality</w:t>
      </w:r>
      <w:r w:rsidR="003B18AD">
        <w:t>)</w:t>
      </w:r>
      <w:r w:rsidR="00A15A21">
        <w:t xml:space="preserve">, </w:t>
      </w:r>
      <w:r w:rsidR="00D53A18">
        <w:t xml:space="preserve">as well as the </w:t>
      </w:r>
      <w:r w:rsidR="00954D7E">
        <w:t xml:space="preserve">second </w:t>
      </w:r>
      <w:r w:rsidR="00B73417">
        <w:t xml:space="preserve">to </w:t>
      </w:r>
      <w:r w:rsidR="004831F5">
        <w:t xml:space="preserve">seventeenth </w:t>
      </w:r>
      <w:r w:rsidR="00D53A18">
        <w:t>respondents</w:t>
      </w:r>
      <w:r w:rsidR="00B73417">
        <w:t xml:space="preserve"> oppose the</w:t>
      </w:r>
    </w:p>
    <w:p w14:paraId="59A3FEE9" w14:textId="6932A121" w:rsidR="002D5652" w:rsidRDefault="0038294A" w:rsidP="008E45CB">
      <w:pPr>
        <w:pStyle w:val="JudgmentNumbered"/>
        <w:numPr>
          <w:ilvl w:val="0"/>
          <w:numId w:val="0"/>
        </w:numPr>
        <w:spacing w:after="0"/>
        <w:ind w:left="567" w:hanging="567"/>
      </w:pPr>
      <w:r>
        <w:t>application</w:t>
      </w:r>
      <w:r w:rsidR="00692632">
        <w:t>.</w:t>
      </w:r>
      <w:r w:rsidR="00302D31">
        <w:t xml:space="preserve"> </w:t>
      </w:r>
    </w:p>
    <w:p w14:paraId="44AEEF6C" w14:textId="77777777" w:rsidR="00CE08BB" w:rsidRDefault="00CE08BB" w:rsidP="00693922">
      <w:pPr>
        <w:pStyle w:val="JudgmentNumbered"/>
        <w:numPr>
          <w:ilvl w:val="0"/>
          <w:numId w:val="0"/>
        </w:numPr>
        <w:spacing w:after="0"/>
        <w:ind w:left="567" w:hanging="567"/>
      </w:pPr>
    </w:p>
    <w:p w14:paraId="149FC5D7" w14:textId="124313BB" w:rsidR="00111067" w:rsidRDefault="00BF0EAE" w:rsidP="00BF0EAE">
      <w:pPr>
        <w:ind w:hanging="567"/>
      </w:pPr>
      <w:r>
        <w:t>[3]</w:t>
      </w:r>
      <w:r>
        <w:tab/>
      </w:r>
      <w:r w:rsidR="00865D30">
        <w:t>The applicant</w:t>
      </w:r>
      <w:r w:rsidR="008216A8">
        <w:t xml:space="preserve">, </w:t>
      </w:r>
      <w:r w:rsidR="00B97C8C">
        <w:t xml:space="preserve">Golden Falls </w:t>
      </w:r>
      <w:r w:rsidR="008216A8">
        <w:t>Trading 125</w:t>
      </w:r>
      <w:r w:rsidR="00746404">
        <w:t xml:space="preserve"> (Pty) </w:t>
      </w:r>
      <w:r w:rsidR="000D77E2">
        <w:t>Ltd, is</w:t>
      </w:r>
      <w:r w:rsidR="00865D30">
        <w:t xml:space="preserve"> the owner of </w:t>
      </w:r>
      <w:r>
        <w:t xml:space="preserve">a large regional </w:t>
      </w:r>
      <w:r w:rsidR="0044425C">
        <w:t>shopping mall in Brakpan, Ekurhuleni, known as</w:t>
      </w:r>
      <w:r w:rsidR="004328A7">
        <w:t xml:space="preserve"> Carnival Mall. </w:t>
      </w:r>
      <w:r w:rsidR="004B6EC2">
        <w:t>The first</w:t>
      </w:r>
      <w:r w:rsidR="001631BE">
        <w:t xml:space="preserve"> </w:t>
      </w:r>
      <w:r w:rsidR="002968EA">
        <w:t xml:space="preserve">respondent </w:t>
      </w:r>
      <w:r w:rsidR="004B6EC2">
        <w:t xml:space="preserve">is the </w:t>
      </w:r>
      <w:r w:rsidR="00C10365">
        <w:t xml:space="preserve">City of </w:t>
      </w:r>
      <w:r w:rsidR="004B6EC2">
        <w:t>Ekurhuleni Metropolitan Municipality</w:t>
      </w:r>
      <w:r w:rsidR="00F042E0">
        <w:t xml:space="preserve"> </w:t>
      </w:r>
      <w:r w:rsidR="00726E31">
        <w:t>(</w:t>
      </w:r>
      <w:r w:rsidR="00B97C8C">
        <w:t>the Municipality</w:t>
      </w:r>
      <w:r w:rsidR="00726E31">
        <w:t>)</w:t>
      </w:r>
      <w:r w:rsidR="001929A7">
        <w:t xml:space="preserve">. The second respondent is </w:t>
      </w:r>
      <w:r w:rsidR="0068761F">
        <w:t>the Building Control Officer of the Municipality</w:t>
      </w:r>
      <w:r w:rsidR="00726E31">
        <w:t xml:space="preserve">. </w:t>
      </w:r>
      <w:r w:rsidR="0067217F">
        <w:t xml:space="preserve">The </w:t>
      </w:r>
      <w:r w:rsidR="00726E31">
        <w:t>t</w:t>
      </w:r>
      <w:r w:rsidR="0067217F">
        <w:t>hird respondent</w:t>
      </w:r>
      <w:r w:rsidR="00C23D63">
        <w:t>,</w:t>
      </w:r>
      <w:r w:rsidR="0067217F">
        <w:t xml:space="preserve"> </w:t>
      </w:r>
      <w:r>
        <w:t>Carnival Junction Property</w:t>
      </w:r>
      <w:r w:rsidR="00562DCB">
        <w:t xml:space="preserve"> Development (Pty) Ltd</w:t>
      </w:r>
      <w:r w:rsidR="00B97C8C">
        <w:t xml:space="preserve"> (the Developer)</w:t>
      </w:r>
      <w:r w:rsidR="00562DCB">
        <w:t xml:space="preserve">, is a </w:t>
      </w:r>
      <w:r w:rsidR="005B280C">
        <w:t xml:space="preserve">registered </w:t>
      </w:r>
      <w:r w:rsidR="0099056C">
        <w:t>compa</w:t>
      </w:r>
      <w:r w:rsidR="000C6C3D">
        <w:t>ny</w:t>
      </w:r>
      <w:r w:rsidR="005B280C">
        <w:t xml:space="preserve"> and the</w:t>
      </w:r>
      <w:r w:rsidR="00F178BD">
        <w:t xml:space="preserve"> </w:t>
      </w:r>
      <w:r w:rsidR="0067217F">
        <w:t>owner of Dalpark Extension 19</w:t>
      </w:r>
      <w:r w:rsidR="00511ADB">
        <w:t xml:space="preserve">. It has developed various erven and sold some </w:t>
      </w:r>
      <w:r w:rsidR="00F011B3">
        <w:t>erven in the township to</w:t>
      </w:r>
      <w:r w:rsidR="00C23D63">
        <w:t xml:space="preserve"> </w:t>
      </w:r>
      <w:r w:rsidR="00F011B3">
        <w:t>parties who are not cited</w:t>
      </w:r>
      <w:r w:rsidR="00C50D59">
        <w:t>,</w:t>
      </w:r>
      <w:r w:rsidR="00F011B3">
        <w:t xml:space="preserve"> </w:t>
      </w:r>
      <w:r w:rsidR="00C17E0F">
        <w:t xml:space="preserve">although they </w:t>
      </w:r>
      <w:r w:rsidR="00443963">
        <w:t>have an interest in the matter.</w:t>
      </w:r>
      <w:r w:rsidR="006B7019">
        <w:t xml:space="preserve"> </w:t>
      </w:r>
      <w:r w:rsidR="00C23D63">
        <w:t xml:space="preserve">The fourth respondent is </w:t>
      </w:r>
      <w:r w:rsidR="00BF014A">
        <w:t>Brookway Properties</w:t>
      </w:r>
      <w:r w:rsidR="00C17E0F">
        <w:t xml:space="preserve">, </w:t>
      </w:r>
      <w:r w:rsidR="00BF014A">
        <w:t xml:space="preserve">a private company duly registered </w:t>
      </w:r>
      <w:r w:rsidR="002C4513">
        <w:t>in terms of the company law</w:t>
      </w:r>
      <w:r w:rsidR="001A5B1C">
        <w:t>s</w:t>
      </w:r>
      <w:r w:rsidR="002C4513">
        <w:t xml:space="preserve"> of South Africa with its address at </w:t>
      </w:r>
      <w:r w:rsidR="001363D7">
        <w:t>Unit 1</w:t>
      </w:r>
      <w:r w:rsidR="00C50D59">
        <w:t>,</w:t>
      </w:r>
      <w:r w:rsidR="001363D7">
        <w:t xml:space="preserve"> </w:t>
      </w:r>
      <w:r w:rsidR="00C50D59">
        <w:t>K</w:t>
      </w:r>
      <w:r w:rsidR="001363D7">
        <w:t xml:space="preserve">109, </w:t>
      </w:r>
      <w:r w:rsidR="0043016D">
        <w:t xml:space="preserve">1 Tinus de Jongh Street, Van Eck Park, Brakpan. The fifth respondent </w:t>
      </w:r>
      <w:r w:rsidR="00BE2420">
        <w:t>Dalmar Konstruksie (Pty) Ltd</w:t>
      </w:r>
      <w:r w:rsidR="00CA74FB">
        <w:t xml:space="preserve"> </w:t>
      </w:r>
      <w:r w:rsidR="00C17E0F">
        <w:t xml:space="preserve">is </w:t>
      </w:r>
      <w:r w:rsidR="00BE2420">
        <w:t>a private company duly registered</w:t>
      </w:r>
      <w:r w:rsidR="00983870">
        <w:t xml:space="preserve"> </w:t>
      </w:r>
      <w:r w:rsidR="00374BFC">
        <w:t xml:space="preserve">in terms of the company laws of South Africa with its address </w:t>
      </w:r>
      <w:r>
        <w:t>at Unit</w:t>
      </w:r>
      <w:r w:rsidR="001363D7">
        <w:t xml:space="preserve"> </w:t>
      </w:r>
      <w:r>
        <w:t>1, K</w:t>
      </w:r>
      <w:r w:rsidR="001363D7">
        <w:t xml:space="preserve">109, 1 Tinus de Jongh Street, Van Eck Park, </w:t>
      </w:r>
      <w:r w:rsidR="001363D7">
        <w:lastRenderedPageBreak/>
        <w:t>Brakpan.</w:t>
      </w:r>
      <w:r w:rsidR="00F054EA">
        <w:t xml:space="preserve"> The si</w:t>
      </w:r>
      <w:r w:rsidR="008861B1">
        <w:t>x</w:t>
      </w:r>
      <w:r w:rsidR="00F054EA">
        <w:t>th respondent is</w:t>
      </w:r>
      <w:r w:rsidR="008861B1">
        <w:t xml:space="preserve"> </w:t>
      </w:r>
      <w:r w:rsidR="00C17E0F">
        <w:t xml:space="preserve">the </w:t>
      </w:r>
      <w:r w:rsidR="008861B1">
        <w:t>MEC</w:t>
      </w:r>
      <w:r w:rsidR="00F50D48">
        <w:t xml:space="preserve">: </w:t>
      </w:r>
      <w:r w:rsidR="00C17E0F">
        <w:t>Department of Agriculture: Gauteng</w:t>
      </w:r>
      <w:r w:rsidR="00B664C9">
        <w:t xml:space="preserve"> (the MEC)</w:t>
      </w:r>
      <w:r w:rsidR="00F50D48">
        <w:t xml:space="preserve">, </w:t>
      </w:r>
      <w:r w:rsidR="008861B1">
        <w:t xml:space="preserve">in </w:t>
      </w:r>
      <w:r w:rsidR="00F3740B">
        <w:t xml:space="preserve">his capacity as </w:t>
      </w:r>
      <w:r w:rsidR="00C17E0F">
        <w:t xml:space="preserve">the </w:t>
      </w:r>
      <w:r w:rsidR="00F3740B">
        <w:t xml:space="preserve">authorised </w:t>
      </w:r>
      <w:r w:rsidR="006B54D3">
        <w:t xml:space="preserve">Environmental Authority for the province of Gauteng, </w:t>
      </w:r>
      <w:r w:rsidR="00FE5374">
        <w:t>in terms of the National Environmental Management Act</w:t>
      </w:r>
      <w:r w:rsidR="00D111FB">
        <w:t xml:space="preserve"> 108 of 1998</w:t>
      </w:r>
      <w:r w:rsidR="00983870">
        <w:t xml:space="preserve"> (NEMA).  The seventh respondent </w:t>
      </w:r>
      <w:r w:rsidR="00BB3E01">
        <w:t xml:space="preserve">is Morbei investments (Pty) Ltd, </w:t>
      </w:r>
      <w:r w:rsidR="00125F60">
        <w:t>a private company registered in terms of the company law</w:t>
      </w:r>
      <w:r w:rsidR="002C2909">
        <w:t>s</w:t>
      </w:r>
      <w:r w:rsidR="00125F60">
        <w:t xml:space="preserve"> of the </w:t>
      </w:r>
      <w:r w:rsidR="002C2909">
        <w:t>Republic</w:t>
      </w:r>
      <w:r w:rsidR="00125F60">
        <w:t xml:space="preserve"> of South Africa</w:t>
      </w:r>
      <w:r w:rsidR="002C2909">
        <w:t xml:space="preserve">, with its registered address at Eastwood Office Park, </w:t>
      </w:r>
      <w:r w:rsidR="000570DF">
        <w:t xml:space="preserve">Baobab House, 290 Liz John Street, </w:t>
      </w:r>
      <w:r w:rsidR="00664283">
        <w:t xml:space="preserve">Lynwood Ridge, Pretoria, Gauteng 0040. </w:t>
      </w:r>
      <w:r w:rsidR="00B60CDF">
        <w:t>The eight</w:t>
      </w:r>
      <w:r w:rsidR="007D693D">
        <w:t>h</w:t>
      </w:r>
      <w:r w:rsidR="00B60CDF">
        <w:t xml:space="preserve"> respondent is Rilarex (Pty) Ltd</w:t>
      </w:r>
      <w:r w:rsidR="00325E01">
        <w:t xml:space="preserve">, a private company duly registered in terms of the company laws of the Republic of South Africa with its address at 3 Gwen Lane, Sandton. The ninth respondent is </w:t>
      </w:r>
      <w:r w:rsidR="00A50A8C">
        <w:t>Elefnix (Pty) Ltd</w:t>
      </w:r>
      <w:r w:rsidR="00AE126A">
        <w:t xml:space="preserve">, a private company duly registered in terms of the company laws of South Africa with its </w:t>
      </w:r>
      <w:r w:rsidR="004350BA">
        <w:t>registered address at 11 Beechwood Street, Dalpark Extension 19</w:t>
      </w:r>
      <w:r w:rsidR="00EC26F2">
        <w:t xml:space="preserve">, Brakpan, Gauteng. </w:t>
      </w:r>
      <w:r w:rsidR="00AE126A">
        <w:t xml:space="preserve"> </w:t>
      </w:r>
    </w:p>
    <w:p w14:paraId="466FCF58" w14:textId="77777777" w:rsidR="00111067" w:rsidRDefault="00111067" w:rsidP="00685CE0">
      <w:pPr>
        <w:ind w:left="1440" w:hanging="1440"/>
      </w:pPr>
    </w:p>
    <w:p w14:paraId="7498783E" w14:textId="4656C2C9" w:rsidR="00685CE0" w:rsidRPr="00EB385E" w:rsidRDefault="00BF0EAE" w:rsidP="00BF0EAE">
      <w:pPr>
        <w:ind w:hanging="567"/>
        <w:rPr>
          <w:rFonts w:cs="Arial"/>
          <w:szCs w:val="24"/>
        </w:rPr>
      </w:pPr>
      <w:r>
        <w:t>[4]</w:t>
      </w:r>
      <w:r>
        <w:tab/>
      </w:r>
      <w:r w:rsidR="00685CE0" w:rsidRPr="00EB385E">
        <w:rPr>
          <w:rFonts w:cs="Arial"/>
          <w:szCs w:val="24"/>
        </w:rPr>
        <w:t xml:space="preserve">The </w:t>
      </w:r>
      <w:r w:rsidR="00111067">
        <w:rPr>
          <w:rFonts w:cs="Arial"/>
          <w:szCs w:val="24"/>
        </w:rPr>
        <w:t>tenth r</w:t>
      </w:r>
      <w:r w:rsidR="00685CE0" w:rsidRPr="00EB385E">
        <w:rPr>
          <w:rFonts w:cs="Arial"/>
          <w:szCs w:val="24"/>
        </w:rPr>
        <w:t>espondent is Olgars Investments (Pty) L</w:t>
      </w:r>
      <w:r w:rsidR="00CE2C2E">
        <w:rPr>
          <w:rFonts w:cs="Arial"/>
          <w:szCs w:val="24"/>
        </w:rPr>
        <w:t>t</w:t>
      </w:r>
      <w:r w:rsidR="00685CE0" w:rsidRPr="00EB385E">
        <w:rPr>
          <w:rFonts w:cs="Arial"/>
          <w:szCs w:val="24"/>
        </w:rPr>
        <w:t xml:space="preserve">d, a </w:t>
      </w:r>
      <w:r w:rsidR="00111067">
        <w:rPr>
          <w:rFonts w:cs="Arial"/>
          <w:szCs w:val="24"/>
        </w:rPr>
        <w:t>p</w:t>
      </w:r>
      <w:r w:rsidR="00685CE0" w:rsidRPr="00EB385E">
        <w:rPr>
          <w:rFonts w:cs="Arial"/>
          <w:szCs w:val="24"/>
        </w:rPr>
        <w:t xml:space="preserve">rivate </w:t>
      </w:r>
      <w:r w:rsidR="00111067">
        <w:rPr>
          <w:rFonts w:cs="Arial"/>
          <w:szCs w:val="24"/>
        </w:rPr>
        <w:t>c</w:t>
      </w:r>
      <w:r w:rsidR="00685CE0" w:rsidRPr="00EB385E">
        <w:rPr>
          <w:rFonts w:cs="Arial"/>
          <w:szCs w:val="24"/>
        </w:rPr>
        <w:t>ompany duly registered as such in terms of the</w:t>
      </w:r>
      <w:r w:rsidR="00685CE0">
        <w:rPr>
          <w:rFonts w:cs="Arial"/>
          <w:szCs w:val="24"/>
        </w:rPr>
        <w:t xml:space="preserve"> </w:t>
      </w:r>
      <w:r w:rsidR="00111067">
        <w:rPr>
          <w:rFonts w:cs="Arial"/>
          <w:szCs w:val="24"/>
        </w:rPr>
        <w:t>c</w:t>
      </w:r>
      <w:r w:rsidR="00685CE0" w:rsidRPr="00EB385E">
        <w:rPr>
          <w:rFonts w:cs="Arial"/>
          <w:szCs w:val="24"/>
        </w:rPr>
        <w:t xml:space="preserve">ompany </w:t>
      </w:r>
      <w:r w:rsidR="00111067">
        <w:rPr>
          <w:rFonts w:cs="Arial"/>
          <w:szCs w:val="24"/>
        </w:rPr>
        <w:t>l</w:t>
      </w:r>
      <w:r w:rsidR="00685CE0" w:rsidRPr="00EB385E">
        <w:rPr>
          <w:rFonts w:cs="Arial"/>
          <w:szCs w:val="24"/>
        </w:rPr>
        <w:t xml:space="preserve">aws applicable in the Republic of South Africa, with registered address at 2 Hull Road, </w:t>
      </w:r>
      <w:r w:rsidR="007C7059">
        <w:rPr>
          <w:rFonts w:cs="Arial"/>
          <w:szCs w:val="24"/>
        </w:rPr>
        <w:t>F</w:t>
      </w:r>
      <w:r w:rsidR="00685CE0" w:rsidRPr="00EB385E">
        <w:rPr>
          <w:rFonts w:cs="Arial"/>
          <w:szCs w:val="24"/>
        </w:rPr>
        <w:t>erryvale, Nigel, Gauteng, 1490.</w:t>
      </w:r>
      <w:r w:rsidR="008149CC">
        <w:rPr>
          <w:rFonts w:cs="Arial"/>
          <w:szCs w:val="24"/>
        </w:rPr>
        <w:t xml:space="preserve"> </w:t>
      </w:r>
      <w:r w:rsidR="006D456D">
        <w:rPr>
          <w:rFonts w:cs="Arial"/>
          <w:szCs w:val="24"/>
        </w:rPr>
        <w:tab/>
      </w:r>
      <w:r w:rsidR="00A049CB">
        <w:rPr>
          <w:rFonts w:cs="Arial"/>
          <w:szCs w:val="24"/>
        </w:rPr>
        <w:t>T</w:t>
      </w:r>
      <w:r w:rsidR="00A049CB" w:rsidRPr="00A049CB">
        <w:rPr>
          <w:rFonts w:cs="Arial"/>
          <w:szCs w:val="24"/>
          <w:lang w:val="en-CA"/>
        </w:rPr>
        <w:t xml:space="preserve">he </w:t>
      </w:r>
      <w:r w:rsidR="00A049CB">
        <w:rPr>
          <w:rFonts w:cs="Arial"/>
          <w:szCs w:val="24"/>
          <w:lang w:val="en-CA"/>
        </w:rPr>
        <w:t xml:space="preserve">tenth </w:t>
      </w:r>
      <w:r w:rsidR="00A049CB" w:rsidRPr="00A049CB">
        <w:rPr>
          <w:rFonts w:cs="Arial"/>
          <w:szCs w:val="24"/>
          <w:lang w:val="en-CA"/>
        </w:rPr>
        <w:t>respondent is the registered owner of the alleged</w:t>
      </w:r>
      <w:r w:rsidR="008149CC">
        <w:rPr>
          <w:rFonts w:cs="Arial"/>
          <w:szCs w:val="24"/>
          <w:lang w:val="en-CA"/>
        </w:rPr>
        <w:t xml:space="preserve"> </w:t>
      </w:r>
      <w:r w:rsidR="00A049CB">
        <w:rPr>
          <w:rFonts w:cs="Arial"/>
          <w:szCs w:val="24"/>
          <w:lang w:val="en-CA"/>
        </w:rPr>
        <w:t>R</w:t>
      </w:r>
      <w:r w:rsidR="00A049CB" w:rsidRPr="00A049CB">
        <w:rPr>
          <w:rFonts w:cs="Arial"/>
          <w:szCs w:val="24"/>
          <w:lang w:val="en-CA"/>
        </w:rPr>
        <w:t xml:space="preserve">emainder </w:t>
      </w:r>
      <w:r w:rsidR="00685CE0" w:rsidRPr="00EB385E">
        <w:rPr>
          <w:rFonts w:cs="Arial"/>
          <w:szCs w:val="24"/>
        </w:rPr>
        <w:t>of Erf 3111 in the Township.</w:t>
      </w:r>
      <w:r w:rsidR="002F656B">
        <w:rPr>
          <w:rFonts w:cs="Arial"/>
          <w:szCs w:val="24"/>
        </w:rPr>
        <w:t xml:space="preserve"> </w:t>
      </w:r>
      <w:r w:rsidR="00B97C8C">
        <w:rPr>
          <w:rFonts w:cs="Arial"/>
          <w:szCs w:val="24"/>
        </w:rPr>
        <w:t xml:space="preserve">The applicant </w:t>
      </w:r>
      <w:r w:rsidR="00154376">
        <w:rPr>
          <w:rFonts w:cs="Arial"/>
          <w:szCs w:val="24"/>
        </w:rPr>
        <w:t xml:space="preserve">cited </w:t>
      </w:r>
      <w:r w:rsidR="00F40D85">
        <w:rPr>
          <w:rFonts w:cs="Arial"/>
          <w:szCs w:val="24"/>
        </w:rPr>
        <w:t>Olgar</w:t>
      </w:r>
      <w:r w:rsidR="00555900">
        <w:rPr>
          <w:rFonts w:cs="Arial"/>
          <w:szCs w:val="24"/>
        </w:rPr>
        <w:t xml:space="preserve">s </w:t>
      </w:r>
      <w:r w:rsidR="00685CE0" w:rsidRPr="00EB385E">
        <w:rPr>
          <w:rFonts w:cs="Arial"/>
          <w:szCs w:val="24"/>
        </w:rPr>
        <w:t xml:space="preserve">in this </w:t>
      </w:r>
      <w:r w:rsidR="00555900">
        <w:rPr>
          <w:rFonts w:cs="Arial"/>
          <w:szCs w:val="24"/>
        </w:rPr>
        <w:t>a</w:t>
      </w:r>
      <w:r w:rsidR="00685CE0" w:rsidRPr="00EB385E">
        <w:rPr>
          <w:rFonts w:cs="Arial"/>
          <w:szCs w:val="24"/>
        </w:rPr>
        <w:t xml:space="preserve">pplication insofar as it may have an interest in the relief sought in terms of </w:t>
      </w:r>
      <w:r w:rsidR="00555900">
        <w:rPr>
          <w:rFonts w:cs="Arial"/>
          <w:szCs w:val="24"/>
        </w:rPr>
        <w:t>p</w:t>
      </w:r>
      <w:r w:rsidR="00685CE0" w:rsidRPr="00EB385E">
        <w:rPr>
          <w:rFonts w:cs="Arial"/>
          <w:szCs w:val="24"/>
        </w:rPr>
        <w:t xml:space="preserve">aragraphs 2 and 3 of the Amended Notice of Motion. </w:t>
      </w:r>
      <w:r w:rsidR="00555900">
        <w:rPr>
          <w:rFonts w:cs="Arial"/>
          <w:szCs w:val="24"/>
        </w:rPr>
        <w:t xml:space="preserve">Whilst it does not seek relief </w:t>
      </w:r>
      <w:r w:rsidR="00685CE0" w:rsidRPr="00EB385E">
        <w:rPr>
          <w:rFonts w:cs="Arial"/>
          <w:szCs w:val="24"/>
        </w:rPr>
        <w:t>against the</w:t>
      </w:r>
      <w:r w:rsidR="00B97C8C">
        <w:rPr>
          <w:rFonts w:cs="Arial"/>
          <w:szCs w:val="24"/>
        </w:rPr>
        <w:t xml:space="preserve"> tenth respondent,</w:t>
      </w:r>
      <w:r w:rsidR="007B3DF1">
        <w:rPr>
          <w:rFonts w:cs="Arial"/>
          <w:szCs w:val="24"/>
        </w:rPr>
        <w:t xml:space="preserve"> </w:t>
      </w:r>
      <w:r w:rsidR="00685CE0" w:rsidRPr="00EB385E">
        <w:rPr>
          <w:rFonts w:cs="Arial"/>
          <w:szCs w:val="24"/>
        </w:rPr>
        <w:t xml:space="preserve">and </w:t>
      </w:r>
      <w:r w:rsidR="00555900">
        <w:rPr>
          <w:rFonts w:cs="Arial"/>
          <w:szCs w:val="24"/>
        </w:rPr>
        <w:t xml:space="preserve">does not seek a </w:t>
      </w:r>
      <w:r w:rsidR="00685CE0" w:rsidRPr="00EB385E">
        <w:rPr>
          <w:rFonts w:cs="Arial"/>
          <w:szCs w:val="24"/>
        </w:rPr>
        <w:t xml:space="preserve">cost order against </w:t>
      </w:r>
      <w:r w:rsidR="007B3DF1">
        <w:rPr>
          <w:rFonts w:cs="Arial"/>
          <w:szCs w:val="24"/>
        </w:rPr>
        <w:t>it</w:t>
      </w:r>
      <w:r w:rsidR="00CE2C2E">
        <w:rPr>
          <w:rFonts w:cs="Arial"/>
          <w:szCs w:val="24"/>
        </w:rPr>
        <w:t xml:space="preserve">, </w:t>
      </w:r>
      <w:r w:rsidR="00685CE0" w:rsidRPr="00EB385E">
        <w:rPr>
          <w:rFonts w:cs="Arial"/>
          <w:szCs w:val="24"/>
        </w:rPr>
        <w:t xml:space="preserve">unless the </w:t>
      </w:r>
      <w:r w:rsidR="00CE2C2E">
        <w:rPr>
          <w:rFonts w:cs="Arial"/>
          <w:szCs w:val="24"/>
        </w:rPr>
        <w:t>a</w:t>
      </w:r>
      <w:r w:rsidR="00685CE0" w:rsidRPr="00EB385E">
        <w:rPr>
          <w:rFonts w:cs="Arial"/>
          <w:szCs w:val="24"/>
        </w:rPr>
        <w:t>pplication is opposed</w:t>
      </w:r>
      <w:r w:rsidR="00B13A75">
        <w:rPr>
          <w:rFonts w:cs="Arial"/>
          <w:szCs w:val="24"/>
        </w:rPr>
        <w:t>. T</w:t>
      </w:r>
      <w:r w:rsidR="00E91FE6">
        <w:rPr>
          <w:rFonts w:cs="Arial"/>
          <w:szCs w:val="24"/>
        </w:rPr>
        <w:t xml:space="preserve">he tenth respondent opposed the application </w:t>
      </w:r>
      <w:r w:rsidR="00950538">
        <w:rPr>
          <w:rFonts w:cs="Arial"/>
          <w:szCs w:val="24"/>
        </w:rPr>
        <w:t xml:space="preserve">as they </w:t>
      </w:r>
      <w:r w:rsidR="00284A57">
        <w:rPr>
          <w:rFonts w:cs="Arial"/>
          <w:szCs w:val="24"/>
        </w:rPr>
        <w:t xml:space="preserve">allege their interests are </w:t>
      </w:r>
      <w:r w:rsidR="00B13A75">
        <w:rPr>
          <w:rFonts w:cs="Arial"/>
          <w:szCs w:val="24"/>
        </w:rPr>
        <w:t>severely compromised</w:t>
      </w:r>
      <w:r w:rsidR="00950538">
        <w:rPr>
          <w:rFonts w:cs="Arial"/>
          <w:szCs w:val="24"/>
        </w:rPr>
        <w:t xml:space="preserve">, for reasons that will become apparent below. </w:t>
      </w:r>
      <w:r w:rsidR="00E91FE6">
        <w:rPr>
          <w:rFonts w:cs="Arial"/>
          <w:szCs w:val="24"/>
        </w:rPr>
        <w:t xml:space="preserve"> </w:t>
      </w:r>
    </w:p>
    <w:p w14:paraId="0BDCC227" w14:textId="77777777" w:rsidR="00BC266E" w:rsidRDefault="00BC266E" w:rsidP="00693922">
      <w:pPr>
        <w:pStyle w:val="JudgmentNumbered"/>
        <w:numPr>
          <w:ilvl w:val="0"/>
          <w:numId w:val="0"/>
        </w:numPr>
        <w:spacing w:after="0"/>
        <w:ind w:left="567" w:hanging="567"/>
      </w:pPr>
    </w:p>
    <w:p w14:paraId="45115FC0" w14:textId="367A8754" w:rsidR="002B3CC9" w:rsidRDefault="00BF0EAE" w:rsidP="00BF0EAE">
      <w:pPr>
        <w:pStyle w:val="JudgmentNumbered"/>
        <w:numPr>
          <w:ilvl w:val="0"/>
          <w:numId w:val="0"/>
        </w:numPr>
        <w:spacing w:after="0"/>
        <w:ind w:left="567" w:hanging="567"/>
      </w:pPr>
      <w:r>
        <w:t>[5]</w:t>
      </w:r>
      <w:r>
        <w:tab/>
      </w:r>
      <w:r w:rsidR="006B7019">
        <w:t xml:space="preserve">The applicant joined the </w:t>
      </w:r>
      <w:r>
        <w:t>eleventh to</w:t>
      </w:r>
      <w:r w:rsidR="00E2635B">
        <w:t xml:space="preserve"> </w:t>
      </w:r>
      <w:r>
        <w:t>seventeenth respondents</w:t>
      </w:r>
      <w:r w:rsidR="00E2635B">
        <w:t xml:space="preserve"> </w:t>
      </w:r>
      <w:r w:rsidR="00A3659A">
        <w:t xml:space="preserve">in this application </w:t>
      </w:r>
      <w:r w:rsidR="00C94E11">
        <w:t xml:space="preserve">almost a year </w:t>
      </w:r>
      <w:r w:rsidR="00E2635B">
        <w:t xml:space="preserve">after </w:t>
      </w:r>
      <w:r w:rsidR="007206F5">
        <w:t xml:space="preserve">the application </w:t>
      </w:r>
      <w:r w:rsidR="00020619">
        <w:t>was lodged</w:t>
      </w:r>
      <w:r w:rsidR="007206F5">
        <w:t>,</w:t>
      </w:r>
      <w:r w:rsidR="00020619">
        <w:t xml:space="preserve"> upon </w:t>
      </w:r>
      <w:r w:rsidR="00E2635B">
        <w:t xml:space="preserve">receiving </w:t>
      </w:r>
      <w:r w:rsidR="00946F03">
        <w:t xml:space="preserve">a record from the </w:t>
      </w:r>
      <w:r w:rsidR="00020619">
        <w:t>Municipality</w:t>
      </w:r>
      <w:r w:rsidR="00946F03">
        <w:t xml:space="preserve">. </w:t>
      </w:r>
      <w:r w:rsidR="00B2668B">
        <w:t xml:space="preserve">The applicant </w:t>
      </w:r>
      <w:r w:rsidR="00664C42">
        <w:t xml:space="preserve">avers that the relief sought will have no impact on the </w:t>
      </w:r>
      <w:r w:rsidR="00752E0F">
        <w:t xml:space="preserve">seventh </w:t>
      </w:r>
      <w:r w:rsidR="001B7D9E">
        <w:t xml:space="preserve">to </w:t>
      </w:r>
      <w:r w:rsidR="00A62E80">
        <w:t>seventeenth</w:t>
      </w:r>
      <w:r w:rsidR="00752E0F">
        <w:t xml:space="preserve"> </w:t>
      </w:r>
      <w:r w:rsidR="001B7D9E">
        <w:t>respondents</w:t>
      </w:r>
      <w:r w:rsidR="00F96A9B">
        <w:t>,</w:t>
      </w:r>
      <w:r w:rsidR="001B7D9E">
        <w:t xml:space="preserve"> who are cited only </w:t>
      </w:r>
      <w:r w:rsidR="00440951">
        <w:t xml:space="preserve">because </w:t>
      </w:r>
      <w:r w:rsidR="00A3659A">
        <w:t xml:space="preserve">of </w:t>
      </w:r>
      <w:r>
        <w:t>their interest</w:t>
      </w:r>
      <w:r w:rsidR="00440951">
        <w:t xml:space="preserve"> in the matter. </w:t>
      </w:r>
      <w:r w:rsidR="001B7D9E">
        <w:t xml:space="preserve"> </w:t>
      </w:r>
    </w:p>
    <w:p w14:paraId="3186F9CF" w14:textId="77777777" w:rsidR="002F6CA9" w:rsidRDefault="002F6CA9" w:rsidP="002C3935">
      <w:pPr>
        <w:pStyle w:val="JudgmentNumbered"/>
        <w:numPr>
          <w:ilvl w:val="0"/>
          <w:numId w:val="0"/>
        </w:numPr>
        <w:spacing w:after="0"/>
        <w:ind w:left="567"/>
        <w:rPr>
          <w:i/>
          <w:iCs/>
        </w:rPr>
      </w:pPr>
    </w:p>
    <w:p w14:paraId="73B4BAA0" w14:textId="7E021906" w:rsidR="00E01970" w:rsidRPr="0087376E" w:rsidRDefault="002C3935" w:rsidP="002C3935">
      <w:pPr>
        <w:pStyle w:val="JudgmentNumbered"/>
        <w:numPr>
          <w:ilvl w:val="0"/>
          <w:numId w:val="0"/>
        </w:numPr>
        <w:spacing w:after="0"/>
        <w:ind w:left="567"/>
        <w:rPr>
          <w:b/>
          <w:bCs/>
          <w:u w:val="single"/>
        </w:rPr>
      </w:pPr>
      <w:r w:rsidRPr="0087376E">
        <w:rPr>
          <w:b/>
          <w:bCs/>
          <w:u w:val="single"/>
        </w:rPr>
        <w:t>Background Facts</w:t>
      </w:r>
    </w:p>
    <w:p w14:paraId="78206F48" w14:textId="22B0F257" w:rsidR="008E42E4" w:rsidRDefault="008E42E4" w:rsidP="008E42E4">
      <w:pPr>
        <w:pStyle w:val="JudgmentNumbered"/>
        <w:numPr>
          <w:ilvl w:val="0"/>
          <w:numId w:val="0"/>
        </w:numPr>
        <w:spacing w:after="0"/>
        <w:ind w:left="567" w:hanging="567"/>
      </w:pPr>
      <w:r>
        <w:lastRenderedPageBreak/>
        <w:t>[</w:t>
      </w:r>
      <w:r w:rsidR="000D77E2">
        <w:t>6</w:t>
      </w:r>
      <w:r>
        <w:t>]</w:t>
      </w:r>
      <w:r>
        <w:tab/>
      </w:r>
      <w:r w:rsidR="001B58F7">
        <w:t>In 2010</w:t>
      </w:r>
      <w:r w:rsidR="00A15A21">
        <w:t>,</w:t>
      </w:r>
      <w:r w:rsidR="00024951">
        <w:t xml:space="preserve"> </w:t>
      </w:r>
      <w:r w:rsidR="00A3659A">
        <w:t xml:space="preserve">the Developer </w:t>
      </w:r>
      <w:r w:rsidR="001B58F7">
        <w:t xml:space="preserve">lodged </w:t>
      </w:r>
      <w:r w:rsidR="00C0755E">
        <w:t>a land development application</w:t>
      </w:r>
      <w:r w:rsidR="0028050C">
        <w:t xml:space="preserve"> for the approval</w:t>
      </w:r>
      <w:r w:rsidR="00934471">
        <w:t xml:space="preserve"> </w:t>
      </w:r>
      <w:r w:rsidR="00D1733F">
        <w:t>of Badenhorst Estate</w:t>
      </w:r>
      <w:r w:rsidR="00425F4C">
        <w:t>, Dalpark Ext 19</w:t>
      </w:r>
      <w:r w:rsidR="004E2B66">
        <w:t xml:space="preserve"> Township</w:t>
      </w:r>
      <w:r w:rsidR="002C7FA8">
        <w:t>,</w:t>
      </w:r>
      <w:r w:rsidR="004B7BC3">
        <w:t xml:space="preserve"> in terms of the</w:t>
      </w:r>
      <w:r w:rsidR="009D4A79" w:rsidRPr="009D4A79">
        <w:t xml:space="preserve"> </w:t>
      </w:r>
      <w:r w:rsidR="009D4A79">
        <w:t>Development Facilitation Act 67 of 1995</w:t>
      </w:r>
      <w:r w:rsidR="00CB4DFF">
        <w:t xml:space="preserve"> (DFA)</w:t>
      </w:r>
      <w:r w:rsidR="004E2B66">
        <w:t xml:space="preserve">. </w:t>
      </w:r>
      <w:r w:rsidR="006A75FC">
        <w:t xml:space="preserve">In the same year and </w:t>
      </w:r>
      <w:r w:rsidR="00A3659A">
        <w:t xml:space="preserve">again </w:t>
      </w:r>
      <w:r w:rsidR="006A75FC">
        <w:t>in 2011, t</w:t>
      </w:r>
      <w:r w:rsidR="00B97C8C">
        <w:t xml:space="preserve">he applicant </w:t>
      </w:r>
      <w:r w:rsidR="004D1634">
        <w:t xml:space="preserve">lodged an objection </w:t>
      </w:r>
      <w:r w:rsidR="00056E7B">
        <w:t>before the Gauteng Development Tribunal</w:t>
      </w:r>
      <w:r w:rsidR="006B23B7">
        <w:t xml:space="preserve"> </w:t>
      </w:r>
      <w:r w:rsidR="00FC5656">
        <w:t>(the Tribunal)</w:t>
      </w:r>
      <w:r w:rsidR="0043145C">
        <w:t xml:space="preserve"> against the </w:t>
      </w:r>
      <w:r w:rsidR="00A3659A">
        <w:t xml:space="preserve">Developer’s </w:t>
      </w:r>
      <w:r w:rsidR="00D62719">
        <w:t>application</w:t>
      </w:r>
      <w:r w:rsidR="00056E7B">
        <w:t>.</w:t>
      </w:r>
      <w:r w:rsidR="00C95AAA">
        <w:t xml:space="preserve"> Despite the objection</w:t>
      </w:r>
      <w:r w:rsidR="00AC37ED">
        <w:t>,</w:t>
      </w:r>
      <w:r w:rsidR="006E12D8">
        <w:t xml:space="preserve"> </w:t>
      </w:r>
      <w:r w:rsidR="00C95AAA">
        <w:t xml:space="preserve">the </w:t>
      </w:r>
      <w:r w:rsidR="00A3659A">
        <w:t xml:space="preserve">Developer’s </w:t>
      </w:r>
      <w:r w:rsidR="00E13497">
        <w:t xml:space="preserve">land development </w:t>
      </w:r>
      <w:r w:rsidR="000617B4">
        <w:t>applicat</w:t>
      </w:r>
      <w:r w:rsidR="004A5C70">
        <w:t>ion was granted</w:t>
      </w:r>
      <w:r w:rsidR="004C4CBC">
        <w:t>.</w:t>
      </w:r>
      <w:r w:rsidR="008B595A">
        <w:t xml:space="preserve"> </w:t>
      </w:r>
      <w:r w:rsidR="00056E7B">
        <w:t xml:space="preserve"> </w:t>
      </w:r>
      <w:r w:rsidR="002D682E">
        <w:t xml:space="preserve">The </w:t>
      </w:r>
      <w:r w:rsidR="00B97C8C">
        <w:t xml:space="preserve">applicant </w:t>
      </w:r>
      <w:r w:rsidR="00B431C6">
        <w:t xml:space="preserve">then </w:t>
      </w:r>
      <w:r w:rsidR="004C677C">
        <w:t>lodged an appeal with the Tribunal</w:t>
      </w:r>
      <w:r w:rsidR="00FC6DE6">
        <w:t xml:space="preserve">. On </w:t>
      </w:r>
      <w:r w:rsidR="004C677C">
        <w:t>27 February 2012</w:t>
      </w:r>
      <w:r w:rsidR="00FC6DE6">
        <w:t xml:space="preserve">, the application for </w:t>
      </w:r>
      <w:r w:rsidR="001C7910">
        <w:t>an appeal by the applicant against the Tribunal</w:t>
      </w:r>
      <w:r w:rsidR="00A3659A">
        <w:t>’</w:t>
      </w:r>
      <w:r w:rsidR="001C7910">
        <w:t xml:space="preserve">s decision </w:t>
      </w:r>
      <w:r w:rsidR="004B5723">
        <w:t>was dismissed</w:t>
      </w:r>
      <w:r w:rsidR="004C677C">
        <w:t xml:space="preserve">. </w:t>
      </w:r>
      <w:r w:rsidR="00BA2F1F">
        <w:t xml:space="preserve">As provided for in </w:t>
      </w:r>
      <w:r w:rsidR="000D77E2">
        <w:t>NEMA and</w:t>
      </w:r>
      <w:r w:rsidR="00BA2F1F">
        <w:t xml:space="preserve"> s21 of the National Water </w:t>
      </w:r>
      <w:r w:rsidR="000D77E2">
        <w:t>Act 36</w:t>
      </w:r>
      <w:r w:rsidR="00287500">
        <w:t xml:space="preserve"> of 1998</w:t>
      </w:r>
      <w:r w:rsidR="00A3659A">
        <w:t xml:space="preserve"> (the Water Act)</w:t>
      </w:r>
      <w:r w:rsidR="00287500">
        <w:t xml:space="preserve">, the </w:t>
      </w:r>
      <w:r w:rsidR="00B97C8C">
        <w:t xml:space="preserve">applicant </w:t>
      </w:r>
      <w:r w:rsidR="004D5C61">
        <w:t xml:space="preserve">then lodged an appeal with the </w:t>
      </w:r>
      <w:r w:rsidR="00E16E0F">
        <w:t xml:space="preserve">MEC </w:t>
      </w:r>
      <w:r w:rsidR="004D5C61">
        <w:t>against the environmental</w:t>
      </w:r>
      <w:r w:rsidR="00811617">
        <w:t xml:space="preserve"> </w:t>
      </w:r>
      <w:r w:rsidR="000111BD">
        <w:t>authorisation granted in respect of Badenhorst Estate</w:t>
      </w:r>
      <w:r w:rsidR="00934471">
        <w:t>.</w:t>
      </w:r>
      <w:r w:rsidR="001B58F7">
        <w:t xml:space="preserve"> </w:t>
      </w:r>
      <w:r w:rsidR="00270C77">
        <w:t xml:space="preserve">The </w:t>
      </w:r>
      <w:r w:rsidR="00603E3E">
        <w:t xml:space="preserve">MEC </w:t>
      </w:r>
      <w:r w:rsidR="00552C9E">
        <w:t xml:space="preserve">dismissed the appeal. </w:t>
      </w:r>
      <w:r w:rsidR="00965068">
        <w:t xml:space="preserve">Dissatisfied with the results, </w:t>
      </w:r>
      <w:r w:rsidR="0080161B">
        <w:t>t</w:t>
      </w:r>
      <w:r w:rsidR="00B97C8C">
        <w:t xml:space="preserve">he applicant </w:t>
      </w:r>
      <w:r w:rsidR="00080789">
        <w:t xml:space="preserve">lodged an urgent application in the Gauteng North </w:t>
      </w:r>
      <w:r w:rsidR="008F2CC0">
        <w:t>Division of the High Court</w:t>
      </w:r>
      <w:r w:rsidR="00A3659A">
        <w:t>,</w:t>
      </w:r>
      <w:r w:rsidR="00C10E55">
        <w:t xml:space="preserve"> </w:t>
      </w:r>
      <w:r w:rsidR="00D92D5A">
        <w:t>Pretoria</w:t>
      </w:r>
      <w:r w:rsidR="008F2CC0">
        <w:t xml:space="preserve">, </w:t>
      </w:r>
      <w:r w:rsidR="00A94A86">
        <w:t xml:space="preserve">pending a review </w:t>
      </w:r>
      <w:r w:rsidR="00BA7978">
        <w:t>brought</w:t>
      </w:r>
      <w:r w:rsidR="00A94A86">
        <w:t xml:space="preserve"> by </w:t>
      </w:r>
      <w:r w:rsidR="00CB282C">
        <w:t xml:space="preserve">it </w:t>
      </w:r>
      <w:r w:rsidR="00A94A86">
        <w:t xml:space="preserve">to set aside the decision of the </w:t>
      </w:r>
      <w:r w:rsidR="00CB282C">
        <w:t xml:space="preserve">MEC </w:t>
      </w:r>
      <w:r w:rsidR="00911F18">
        <w:t xml:space="preserve">to approve </w:t>
      </w:r>
      <w:r w:rsidR="001433F3">
        <w:t xml:space="preserve">the </w:t>
      </w:r>
      <w:r w:rsidR="00911F18">
        <w:t>environment</w:t>
      </w:r>
      <w:r w:rsidR="001433F3">
        <w:t>al</w:t>
      </w:r>
      <w:r w:rsidR="00911F18">
        <w:t xml:space="preserve"> authorisation for </w:t>
      </w:r>
      <w:r w:rsidR="00ED2E94">
        <w:t xml:space="preserve">the entire </w:t>
      </w:r>
      <w:r w:rsidR="00911F18">
        <w:t>B</w:t>
      </w:r>
      <w:r w:rsidR="00ED2E94">
        <w:t>a</w:t>
      </w:r>
      <w:r w:rsidR="00911F18">
        <w:t>denhorst Estate</w:t>
      </w:r>
      <w:r w:rsidR="00336361">
        <w:t xml:space="preserve"> as well as the </w:t>
      </w:r>
      <w:r w:rsidR="004A5EAC">
        <w:t xml:space="preserve">Tribunal’s </w:t>
      </w:r>
      <w:r w:rsidR="00336361">
        <w:t xml:space="preserve">decision to dismiss the applicant’s appeal. </w:t>
      </w:r>
      <w:r w:rsidR="00BA7978">
        <w:t xml:space="preserve">The </w:t>
      </w:r>
      <w:r w:rsidR="00E467D4">
        <w:t xml:space="preserve">High Court dismissed </w:t>
      </w:r>
      <w:r w:rsidR="00BC178B">
        <w:t>the applica</w:t>
      </w:r>
      <w:r w:rsidR="00394BF2">
        <w:t xml:space="preserve">tion for </w:t>
      </w:r>
      <w:r w:rsidR="00BA7978">
        <w:t>review with costs</w:t>
      </w:r>
      <w:r w:rsidR="00683544">
        <w:rPr>
          <w:rStyle w:val="FootnoteReference"/>
        </w:rPr>
        <w:footnoteReference w:id="1"/>
      </w:r>
      <w:r w:rsidR="00ED2E94">
        <w:t xml:space="preserve">. </w:t>
      </w:r>
    </w:p>
    <w:p w14:paraId="34C52154" w14:textId="591DF9D2" w:rsidR="002E3811" w:rsidRPr="00510EA9" w:rsidRDefault="00510EA9" w:rsidP="008E42E4">
      <w:pPr>
        <w:pStyle w:val="JudgmentNumbered"/>
        <w:numPr>
          <w:ilvl w:val="0"/>
          <w:numId w:val="0"/>
        </w:numPr>
        <w:spacing w:after="0"/>
        <w:ind w:left="567" w:hanging="567"/>
        <w:rPr>
          <w:i/>
          <w:iCs/>
        </w:rPr>
      </w:pPr>
      <w:r>
        <w:tab/>
      </w:r>
    </w:p>
    <w:p w14:paraId="300EB4FF" w14:textId="4F5DC568" w:rsidR="0067213B" w:rsidRDefault="008E42E4" w:rsidP="008E42E4">
      <w:pPr>
        <w:pStyle w:val="JudgmentNumbered"/>
        <w:numPr>
          <w:ilvl w:val="0"/>
          <w:numId w:val="0"/>
        </w:numPr>
        <w:spacing w:after="0"/>
        <w:ind w:left="567" w:hanging="567"/>
      </w:pPr>
      <w:r>
        <w:t>[</w:t>
      </w:r>
      <w:r w:rsidR="000D77E2">
        <w:t>7</w:t>
      </w:r>
      <w:r>
        <w:t>]</w:t>
      </w:r>
      <w:r>
        <w:tab/>
      </w:r>
      <w:r w:rsidR="00B97C8C">
        <w:t xml:space="preserve">The </w:t>
      </w:r>
      <w:r w:rsidR="00F2621C">
        <w:t xml:space="preserve">third respondent </w:t>
      </w:r>
      <w:r w:rsidR="00E52F39">
        <w:t xml:space="preserve">is </w:t>
      </w:r>
      <w:r w:rsidR="006F47D1">
        <w:t xml:space="preserve">still the registered owner of </w:t>
      </w:r>
      <w:r w:rsidR="00C15CD2">
        <w:t>Erven</w:t>
      </w:r>
      <w:r w:rsidR="006F47D1">
        <w:t xml:space="preserve"> 3087 and 3110.</w:t>
      </w:r>
      <w:r w:rsidR="00C15CD2">
        <w:t xml:space="preserve"> It intends to develop </w:t>
      </w:r>
      <w:r w:rsidR="00806C6A">
        <w:t xml:space="preserve">a community </w:t>
      </w:r>
      <w:r w:rsidR="00C15CD2">
        <w:t>shop</w:t>
      </w:r>
      <w:r w:rsidR="00806C6A">
        <w:t xml:space="preserve">ping centre on the </w:t>
      </w:r>
      <w:r w:rsidR="00201BD3">
        <w:t xml:space="preserve">property in phases. </w:t>
      </w:r>
      <w:r w:rsidR="009F65C5">
        <w:t xml:space="preserve">This would include retail </w:t>
      </w:r>
      <w:r w:rsidR="003C41B9">
        <w:t>offerings</w:t>
      </w:r>
      <w:r w:rsidR="009F65C5">
        <w:t xml:space="preserve">. </w:t>
      </w:r>
      <w:r w:rsidR="00B97C8C">
        <w:t xml:space="preserve">Carnival Junction </w:t>
      </w:r>
      <w:r w:rsidR="00F230E0">
        <w:t xml:space="preserve">Business Park was developed on a portion of Erf 3089 in Dalpark Extension 19. A sectional title scheme </w:t>
      </w:r>
      <w:r w:rsidR="003314CD">
        <w:t xml:space="preserve">has been </w:t>
      </w:r>
      <w:r w:rsidR="00F230E0">
        <w:t xml:space="preserve">registered, and eight units were sold and transferred to new owners </w:t>
      </w:r>
      <w:r w:rsidR="005E6789">
        <w:t xml:space="preserve">as </w:t>
      </w:r>
      <w:r w:rsidR="00A3659A">
        <w:t>of</w:t>
      </w:r>
      <w:r w:rsidR="005E6789">
        <w:t xml:space="preserve"> </w:t>
      </w:r>
      <w:r w:rsidR="00F230E0">
        <w:t>19 February 2018. One unit was sold and transferred on 28 November 2019.</w:t>
      </w:r>
      <w:r w:rsidR="00393CF2">
        <w:t xml:space="preserve"> </w:t>
      </w:r>
      <w:r w:rsidR="007A7C38">
        <w:t xml:space="preserve">It is this </w:t>
      </w:r>
      <w:r w:rsidR="00101F5B">
        <w:t xml:space="preserve">possibility of another regional retail facility on the </w:t>
      </w:r>
      <w:r w:rsidR="00060D7D">
        <w:t>doorstep</w:t>
      </w:r>
      <w:r w:rsidR="00101F5B">
        <w:t xml:space="preserve"> of the </w:t>
      </w:r>
      <w:r w:rsidR="00DF4FDD">
        <w:t xml:space="preserve">mall owned by </w:t>
      </w:r>
      <w:r w:rsidR="00207270">
        <w:t>t</w:t>
      </w:r>
      <w:r w:rsidR="00B97C8C">
        <w:t xml:space="preserve">he applicant </w:t>
      </w:r>
      <w:r w:rsidR="00060D7D">
        <w:t>that</w:t>
      </w:r>
      <w:r w:rsidR="00101F5B">
        <w:t xml:space="preserve"> </w:t>
      </w:r>
      <w:r w:rsidR="00207270">
        <w:t xml:space="preserve">appears to inform the </w:t>
      </w:r>
      <w:r w:rsidR="003D52E6">
        <w:t xml:space="preserve">current proceedings and review. The applicant </w:t>
      </w:r>
      <w:r w:rsidR="00A85AF1">
        <w:t xml:space="preserve">seeks to </w:t>
      </w:r>
      <w:r w:rsidR="00607BD9">
        <w:t>review and set aside various decision</w:t>
      </w:r>
      <w:r w:rsidR="00BB5F55">
        <w:t>s</w:t>
      </w:r>
      <w:r w:rsidR="00607BD9">
        <w:t xml:space="preserve"> taken by the </w:t>
      </w:r>
      <w:r w:rsidR="00B97C8C">
        <w:t xml:space="preserve">Municipality </w:t>
      </w:r>
      <w:r w:rsidR="00607BD9">
        <w:t xml:space="preserve">and </w:t>
      </w:r>
      <w:r w:rsidR="00421B2D">
        <w:t xml:space="preserve">the </w:t>
      </w:r>
      <w:r w:rsidR="00507B6A">
        <w:t>MEC</w:t>
      </w:r>
      <w:r w:rsidR="00A3659A">
        <w:t xml:space="preserve"> </w:t>
      </w:r>
      <w:r w:rsidR="00AB5DB9">
        <w:t xml:space="preserve"> on the basis that </w:t>
      </w:r>
      <w:r w:rsidR="00421B2D">
        <w:t xml:space="preserve">the decisions </w:t>
      </w:r>
      <w:r w:rsidR="00F155EC">
        <w:t xml:space="preserve">are unlawful </w:t>
      </w:r>
      <w:r w:rsidR="00AB5DB9">
        <w:t xml:space="preserve">because </w:t>
      </w:r>
      <w:r w:rsidR="00DD40BE">
        <w:t>they were</w:t>
      </w:r>
      <w:r w:rsidR="00C80CA8">
        <w:t xml:space="preserve"> made in</w:t>
      </w:r>
      <w:r w:rsidR="00F155EC">
        <w:t xml:space="preserve"> terms </w:t>
      </w:r>
      <w:r w:rsidR="00C80CA8">
        <w:t xml:space="preserve">of the </w:t>
      </w:r>
      <w:r w:rsidR="00AB5DB9">
        <w:t xml:space="preserve">DFA </w:t>
      </w:r>
      <w:r w:rsidR="00C80CA8">
        <w:t>which was declared unconstitutional</w:t>
      </w:r>
      <w:r w:rsidR="00F155EC">
        <w:t xml:space="preserve"> by the Constitutional Court </w:t>
      </w:r>
      <w:r w:rsidR="005A061B">
        <w:t xml:space="preserve">in </w:t>
      </w:r>
      <w:r w:rsidR="00F077D4" w:rsidRPr="001F2662">
        <w:rPr>
          <w:i/>
          <w:iCs/>
          <w:lang w:val="en-CA"/>
        </w:rPr>
        <w:t xml:space="preserve">Johannesburg Metropolitan </w:t>
      </w:r>
      <w:r w:rsidR="00F077D4" w:rsidRPr="001F2662">
        <w:rPr>
          <w:i/>
          <w:iCs/>
          <w:lang w:val="en-CA"/>
        </w:rPr>
        <w:lastRenderedPageBreak/>
        <w:t>Municipality v Development Tribunal and others</w:t>
      </w:r>
      <w:r w:rsidR="00F077D4">
        <w:rPr>
          <w:rStyle w:val="FootnoteReference"/>
          <w:i/>
          <w:iCs/>
          <w:lang w:val="en-CA"/>
        </w:rPr>
        <w:footnoteReference w:id="2"/>
      </w:r>
      <w:r w:rsidR="00F077D4">
        <w:rPr>
          <w:lang w:val="en-ZA"/>
        </w:rPr>
        <w:t xml:space="preserve"> </w:t>
      </w:r>
      <w:r w:rsidR="00450DB9">
        <w:t xml:space="preserve">and because the MEC granted authorisation in relation to a watercourse </w:t>
      </w:r>
      <w:r w:rsidR="00576196">
        <w:t xml:space="preserve">which the applicant contends is contrary to both NEMA and the </w:t>
      </w:r>
      <w:r w:rsidR="00371FA5">
        <w:t>Water Act</w:t>
      </w:r>
      <w:r w:rsidR="00C67719">
        <w:t xml:space="preserve"> and</w:t>
      </w:r>
      <w:r w:rsidR="004A7A78">
        <w:t xml:space="preserve"> </w:t>
      </w:r>
      <w:r w:rsidR="00C67719">
        <w:t>does not protect the environment</w:t>
      </w:r>
      <w:r w:rsidR="00371FA5">
        <w:t xml:space="preserve">. </w:t>
      </w:r>
      <w:r w:rsidR="00450DB9">
        <w:t xml:space="preserve"> </w:t>
      </w:r>
      <w:r w:rsidR="00AB5DB9">
        <w:t xml:space="preserve"> </w:t>
      </w:r>
    </w:p>
    <w:p w14:paraId="746133A5" w14:textId="77777777" w:rsidR="0067213B" w:rsidRDefault="0067213B" w:rsidP="008E42E4">
      <w:pPr>
        <w:pStyle w:val="JudgmentNumbered"/>
        <w:numPr>
          <w:ilvl w:val="0"/>
          <w:numId w:val="0"/>
        </w:numPr>
        <w:spacing w:after="0"/>
        <w:ind w:left="567" w:hanging="567"/>
      </w:pPr>
    </w:p>
    <w:p w14:paraId="4E2C2586" w14:textId="0B3192EE" w:rsidR="008E2CBB" w:rsidRDefault="0067213B" w:rsidP="008E2CBB">
      <w:pPr>
        <w:pStyle w:val="JudgmentNumbered"/>
        <w:numPr>
          <w:ilvl w:val="0"/>
          <w:numId w:val="0"/>
        </w:numPr>
        <w:spacing w:after="0"/>
        <w:ind w:left="567" w:hanging="567"/>
      </w:pPr>
      <w:r>
        <w:t>[</w:t>
      </w:r>
      <w:r w:rsidR="000D77E2">
        <w:t>8</w:t>
      </w:r>
      <w:r>
        <w:t>]</w:t>
      </w:r>
      <w:r>
        <w:tab/>
      </w:r>
      <w:r w:rsidR="00B97C8C">
        <w:t xml:space="preserve">The </w:t>
      </w:r>
      <w:r w:rsidR="008E2CBB">
        <w:t xml:space="preserve">applications </w:t>
      </w:r>
      <w:r w:rsidR="007314D4">
        <w:t xml:space="preserve">for the Developer </w:t>
      </w:r>
      <w:r w:rsidR="001F2805">
        <w:t xml:space="preserve">to the DFA </w:t>
      </w:r>
      <w:r w:rsidR="008E2CBB">
        <w:t>were advertised on 17 September 2008 and 24 September 2008</w:t>
      </w:r>
      <w:r w:rsidR="007314D4">
        <w:t xml:space="preserve"> respectively</w:t>
      </w:r>
      <w:r w:rsidR="008E2CBB">
        <w:t xml:space="preserve">. </w:t>
      </w:r>
      <w:r w:rsidR="002979A8">
        <w:t xml:space="preserve">When the </w:t>
      </w:r>
      <w:r w:rsidR="00B97C8C">
        <w:t xml:space="preserve">applicant </w:t>
      </w:r>
      <w:r w:rsidR="00607E76">
        <w:t>objected</w:t>
      </w:r>
      <w:r w:rsidR="002979A8">
        <w:t xml:space="preserve">, </w:t>
      </w:r>
      <w:r w:rsidR="00B97C8C">
        <w:t xml:space="preserve">the </w:t>
      </w:r>
      <w:r w:rsidR="007314D4">
        <w:t xml:space="preserve">Developer </w:t>
      </w:r>
      <w:r w:rsidR="00955ABC">
        <w:t xml:space="preserve">withdrew the application. </w:t>
      </w:r>
      <w:r w:rsidR="007314D4">
        <w:t>Subsequently, t</w:t>
      </w:r>
      <w:r w:rsidR="002979A8">
        <w:t xml:space="preserve">he </w:t>
      </w:r>
      <w:r w:rsidR="007314D4">
        <w:t xml:space="preserve">Developer </w:t>
      </w:r>
      <w:r w:rsidR="00A41C4E">
        <w:t xml:space="preserve">submitted a fresh application. </w:t>
      </w:r>
      <w:r w:rsidR="00B97C8C">
        <w:t xml:space="preserve">The applicant </w:t>
      </w:r>
      <w:r w:rsidR="008E2CBB">
        <w:t>did not object</w:t>
      </w:r>
      <w:r w:rsidR="00D35145">
        <w:t xml:space="preserve"> </w:t>
      </w:r>
      <w:r w:rsidR="00F50C3F">
        <w:t xml:space="preserve">after </w:t>
      </w:r>
      <w:r w:rsidR="008E2CBB">
        <w:t xml:space="preserve">the </w:t>
      </w:r>
      <w:r w:rsidR="00D35145">
        <w:t xml:space="preserve">Developer </w:t>
      </w:r>
      <w:r w:rsidR="008E2CBB">
        <w:t xml:space="preserve">submitted a </w:t>
      </w:r>
      <w:r w:rsidR="00F50C3F">
        <w:t xml:space="preserve">further </w:t>
      </w:r>
      <w:r w:rsidR="008E2CBB">
        <w:t>application</w:t>
      </w:r>
      <w:r w:rsidR="002609BE">
        <w:t xml:space="preserve"> for development rights</w:t>
      </w:r>
      <w:r w:rsidR="008E2CBB">
        <w:t xml:space="preserve">. The </w:t>
      </w:r>
      <w:r w:rsidR="00B97C8C">
        <w:t>Municipality</w:t>
      </w:r>
      <w:r w:rsidR="008E2CBB">
        <w:t xml:space="preserve">, whilst it initially supported </w:t>
      </w:r>
      <w:r w:rsidR="00B97C8C">
        <w:t xml:space="preserve">the applicant’s </w:t>
      </w:r>
      <w:r w:rsidR="008E2CBB">
        <w:t xml:space="preserve">objection </w:t>
      </w:r>
      <w:r w:rsidR="00624E2E">
        <w:t xml:space="preserve">to the </w:t>
      </w:r>
      <w:r w:rsidR="00D35145">
        <w:t xml:space="preserve">Developer’s </w:t>
      </w:r>
      <w:r w:rsidR="00624E2E">
        <w:t xml:space="preserve">application </w:t>
      </w:r>
      <w:r w:rsidR="008E2CBB">
        <w:t xml:space="preserve">and </w:t>
      </w:r>
      <w:r w:rsidR="003C25A3">
        <w:t xml:space="preserve">supported </w:t>
      </w:r>
      <w:r w:rsidR="008E2CBB">
        <w:t xml:space="preserve">the restrictions imposed to protect </w:t>
      </w:r>
      <w:r w:rsidR="00B97C8C">
        <w:t>the applicant</w:t>
      </w:r>
      <w:r w:rsidR="00B86631">
        <w:t xml:space="preserve">’s </w:t>
      </w:r>
      <w:r w:rsidR="008E2CBB">
        <w:t xml:space="preserve">exclusive economic rights in the area, later reconsidered its position, which appeared to favour only </w:t>
      </w:r>
      <w:r w:rsidR="00B97C8C">
        <w:t>the applicant</w:t>
      </w:r>
      <w:r w:rsidR="00F06F39">
        <w:t xml:space="preserve">’s </w:t>
      </w:r>
      <w:r w:rsidR="008E2CBB">
        <w:t xml:space="preserve">economic position to the detriment of other competing economic interests. Having considered that its support of </w:t>
      </w:r>
      <w:r w:rsidR="00B97C8C">
        <w:t xml:space="preserve">the applicant </w:t>
      </w:r>
      <w:r w:rsidR="008E2CBB">
        <w:t xml:space="preserve">was </w:t>
      </w:r>
      <w:r w:rsidR="00D35145">
        <w:t xml:space="preserve">advised to be </w:t>
      </w:r>
      <w:r w:rsidR="008E2CBB">
        <w:t xml:space="preserve">unlawful as it contravened the Competition Act 89 of 1998 and was contrary to the competition laws in </w:t>
      </w:r>
      <w:r w:rsidR="00D35145">
        <w:t>South Africa</w:t>
      </w:r>
      <w:r w:rsidR="008E2CBB">
        <w:t>, it withdrew its support for the restrictions imposed</w:t>
      </w:r>
      <w:r w:rsidR="008E2CBB">
        <w:rPr>
          <w:rStyle w:val="FootnoteReference"/>
        </w:rPr>
        <w:footnoteReference w:id="3"/>
      </w:r>
      <w:r w:rsidR="008E2CBB">
        <w:t>. Moreover, the restrictions were contrary to the Ekurhuleni Metropolitan Spatial Development Framework</w:t>
      </w:r>
      <w:r w:rsidR="00D35145">
        <w:t>. A</w:t>
      </w:r>
      <w:r w:rsidR="008E2CBB">
        <w:t xml:space="preserve">ny official who argued in favour of </w:t>
      </w:r>
      <w:r w:rsidR="00B97C8C">
        <w:t xml:space="preserve">the applicant’s </w:t>
      </w:r>
      <w:r w:rsidR="008E2CBB">
        <w:t xml:space="preserve">exclusive retail rights or a restrictive practice to the exclusion of other retail rights did not have the authority to do so from the </w:t>
      </w:r>
      <w:r w:rsidR="00B97C8C">
        <w:t>Municipality</w:t>
      </w:r>
      <w:r w:rsidR="008E2CBB">
        <w:t xml:space="preserve">.      </w:t>
      </w:r>
    </w:p>
    <w:p w14:paraId="6ECCB47B" w14:textId="77777777" w:rsidR="00F053D1" w:rsidRDefault="00F053D1" w:rsidP="008E2CBB">
      <w:pPr>
        <w:pStyle w:val="JudgmentNumbered"/>
        <w:numPr>
          <w:ilvl w:val="0"/>
          <w:numId w:val="0"/>
        </w:numPr>
        <w:spacing w:after="0"/>
        <w:ind w:left="567" w:hanging="567"/>
      </w:pPr>
      <w:r>
        <w:tab/>
      </w:r>
    </w:p>
    <w:p w14:paraId="0EA86FEE" w14:textId="32855CE6" w:rsidR="008E2CBB" w:rsidRPr="00C9016D" w:rsidRDefault="00C9016D" w:rsidP="00F053D1">
      <w:pPr>
        <w:pStyle w:val="JudgmentNumbered"/>
        <w:numPr>
          <w:ilvl w:val="0"/>
          <w:numId w:val="0"/>
        </w:numPr>
        <w:spacing w:after="0"/>
        <w:ind w:left="567"/>
        <w:rPr>
          <w:b/>
          <w:bCs/>
          <w:u w:val="single"/>
        </w:rPr>
      </w:pPr>
      <w:r>
        <w:rPr>
          <w:b/>
          <w:bCs/>
          <w:u w:val="single"/>
        </w:rPr>
        <w:t xml:space="preserve">The </w:t>
      </w:r>
      <w:r w:rsidR="00133F78">
        <w:rPr>
          <w:b/>
          <w:bCs/>
          <w:u w:val="single"/>
        </w:rPr>
        <w:t xml:space="preserve">present </w:t>
      </w:r>
      <w:r>
        <w:rPr>
          <w:b/>
          <w:bCs/>
          <w:u w:val="single"/>
        </w:rPr>
        <w:t xml:space="preserve">review </w:t>
      </w:r>
    </w:p>
    <w:p w14:paraId="44BF556D" w14:textId="04663BF4" w:rsidR="00073A0F" w:rsidRDefault="008E2CBB" w:rsidP="008E2CBB">
      <w:pPr>
        <w:pStyle w:val="JudgmentNumbered"/>
        <w:numPr>
          <w:ilvl w:val="0"/>
          <w:numId w:val="0"/>
        </w:numPr>
        <w:spacing w:after="0"/>
        <w:ind w:left="567" w:hanging="567"/>
      </w:pPr>
      <w:r>
        <w:t>[</w:t>
      </w:r>
      <w:r w:rsidR="000D77E2">
        <w:t>9</w:t>
      </w:r>
      <w:r>
        <w:t>]</w:t>
      </w:r>
      <w:r>
        <w:tab/>
      </w:r>
      <w:r w:rsidR="00725245">
        <w:t xml:space="preserve">The applicant brought an urgent application which resulted in the </w:t>
      </w:r>
      <w:r w:rsidR="00D35145">
        <w:t>D</w:t>
      </w:r>
      <w:r w:rsidR="00725245">
        <w:t xml:space="preserve">eveloper </w:t>
      </w:r>
      <w:r w:rsidR="00393CF2">
        <w:t>furnishing</w:t>
      </w:r>
      <w:r w:rsidR="00725245">
        <w:t xml:space="preserve"> an undertaking to cease all construction</w:t>
      </w:r>
      <w:r w:rsidR="00837EB3">
        <w:t xml:space="preserve"> in March 2020 due to the </w:t>
      </w:r>
      <w:r w:rsidR="00D35145">
        <w:t xml:space="preserve">national </w:t>
      </w:r>
      <w:r w:rsidR="00837EB3">
        <w:t>state of disaster</w:t>
      </w:r>
      <w:r w:rsidR="00FF3E95">
        <w:t xml:space="preserve">. The </w:t>
      </w:r>
      <w:r w:rsidR="00EF7EDE">
        <w:t xml:space="preserve">cease construction </w:t>
      </w:r>
      <w:r w:rsidR="00837EB3">
        <w:t>continued until December 2020</w:t>
      </w:r>
      <w:r w:rsidR="005A34F2">
        <w:t xml:space="preserve">. </w:t>
      </w:r>
      <w:r w:rsidR="00D61CF6">
        <w:t xml:space="preserve"> </w:t>
      </w:r>
      <w:r w:rsidR="005A34F2">
        <w:t xml:space="preserve">As a result, </w:t>
      </w:r>
      <w:r>
        <w:t xml:space="preserve">no development or construction took place from March 2020, when the </w:t>
      </w:r>
      <w:r w:rsidR="006A22AB">
        <w:t>state of disaster</w:t>
      </w:r>
      <w:r>
        <w:rPr>
          <w:rStyle w:val="FootnoteReference"/>
        </w:rPr>
        <w:footnoteReference w:id="4"/>
      </w:r>
      <w:r>
        <w:t xml:space="preserve"> was declared</w:t>
      </w:r>
      <w:r w:rsidR="00CD626E">
        <w:t xml:space="preserve"> as desired by the applicant</w:t>
      </w:r>
      <w:r>
        <w:t xml:space="preserve">. In April 2021, the matter was </w:t>
      </w:r>
      <w:r w:rsidR="002E62AE">
        <w:t xml:space="preserve">allocated to </w:t>
      </w:r>
      <w:r>
        <w:t xml:space="preserve">a judge </w:t>
      </w:r>
      <w:r w:rsidR="002E62AE">
        <w:t xml:space="preserve">to ensure the matter was </w:t>
      </w:r>
      <w:r w:rsidR="00757977">
        <w:t xml:space="preserve">case </w:t>
      </w:r>
      <w:r w:rsidR="00770FB5">
        <w:t>managed</w:t>
      </w:r>
      <w:r w:rsidR="00E27E69">
        <w:t xml:space="preserve"> </w:t>
      </w:r>
      <w:r w:rsidR="00757977">
        <w:t xml:space="preserve">to ensure it </w:t>
      </w:r>
      <w:r w:rsidR="00F41145">
        <w:t xml:space="preserve">was </w:t>
      </w:r>
      <w:r w:rsidR="00770FB5">
        <w:t xml:space="preserve">ready prior to being </w:t>
      </w:r>
      <w:r w:rsidR="00E27E69">
        <w:t xml:space="preserve">set down for hearing. </w:t>
      </w:r>
      <w:r w:rsidR="00B97C8C">
        <w:t>The</w:t>
      </w:r>
      <w:r w:rsidR="0010663A">
        <w:t xml:space="preserve"> Mun</w:t>
      </w:r>
      <w:r w:rsidR="00303E12">
        <w:t>i</w:t>
      </w:r>
      <w:r w:rsidR="0010663A">
        <w:t xml:space="preserve">cipality </w:t>
      </w:r>
      <w:r w:rsidR="00303E12">
        <w:t xml:space="preserve">had filed the record requested by the applicant which resulted in </w:t>
      </w:r>
      <w:r w:rsidR="000D77E2">
        <w:t xml:space="preserve">the </w:t>
      </w:r>
      <w:r w:rsidR="000D77E2">
        <w:lastRenderedPageBreak/>
        <w:t>applicant</w:t>
      </w:r>
      <w:r w:rsidR="00B97C8C">
        <w:t xml:space="preserve"> </w:t>
      </w:r>
      <w:r>
        <w:t>fil</w:t>
      </w:r>
      <w:r w:rsidR="00303E12">
        <w:t xml:space="preserve">ing </w:t>
      </w:r>
      <w:r>
        <w:t xml:space="preserve">a </w:t>
      </w:r>
      <w:r w:rsidR="00716D0C">
        <w:t xml:space="preserve">substantial </w:t>
      </w:r>
      <w:r>
        <w:t>supplementary affidavit and amended notice of motion</w:t>
      </w:r>
      <w:r w:rsidR="00716D0C">
        <w:t xml:space="preserve"> requesting further relief in relation to decisions taken </w:t>
      </w:r>
      <w:r w:rsidR="001001CF">
        <w:t xml:space="preserve">in the interim relating to the </w:t>
      </w:r>
      <w:r w:rsidR="00D35145">
        <w:t>Developer</w:t>
      </w:r>
      <w:r w:rsidR="001001CF">
        <w:t>’s application and development</w:t>
      </w:r>
      <w:r>
        <w:t xml:space="preserve">. </w:t>
      </w:r>
    </w:p>
    <w:p w14:paraId="70DD4828" w14:textId="77777777" w:rsidR="00073A0F" w:rsidRDefault="00073A0F" w:rsidP="008E2CBB">
      <w:pPr>
        <w:pStyle w:val="JudgmentNumbered"/>
        <w:numPr>
          <w:ilvl w:val="0"/>
          <w:numId w:val="0"/>
        </w:numPr>
        <w:spacing w:after="0"/>
        <w:ind w:left="567" w:hanging="567"/>
      </w:pPr>
    </w:p>
    <w:p w14:paraId="6EDAC6AA" w14:textId="76CAE721" w:rsidR="008E2CBB" w:rsidRDefault="000D77E2" w:rsidP="00FB7B4B">
      <w:pPr>
        <w:pStyle w:val="JudgmentNumbered"/>
        <w:numPr>
          <w:ilvl w:val="0"/>
          <w:numId w:val="0"/>
        </w:numPr>
        <w:spacing w:after="0"/>
        <w:ind w:left="567" w:hanging="567"/>
      </w:pPr>
      <w:r>
        <w:t>[10</w:t>
      </w:r>
      <w:r w:rsidR="00073A0F">
        <w:t>]</w:t>
      </w:r>
      <w:r w:rsidR="00073A0F">
        <w:tab/>
      </w:r>
      <w:r w:rsidR="004B16D0">
        <w:t>During th</w:t>
      </w:r>
      <w:r w:rsidR="00AC2685">
        <w:t xml:space="preserve">e interim </w:t>
      </w:r>
      <w:r w:rsidR="004B16D0">
        <w:t>period, t</w:t>
      </w:r>
      <w:r w:rsidR="00073A0F">
        <w:t>he third respondent had</w:t>
      </w:r>
      <w:r w:rsidR="008E2CBB">
        <w:t xml:space="preserve">, </w:t>
      </w:r>
      <w:r w:rsidR="0078615C">
        <w:t xml:space="preserve">sold </w:t>
      </w:r>
      <w:r w:rsidR="008E2CBB">
        <w:t xml:space="preserve">portion 1 of Erf 3086 in Dalpark Extension 19 </w:t>
      </w:r>
      <w:r w:rsidR="0078615C">
        <w:t xml:space="preserve">which was </w:t>
      </w:r>
      <w:r w:rsidR="008E2CBB">
        <w:t>registered to Arch Import and Export CC, wh</w:t>
      </w:r>
      <w:r w:rsidR="003E7ADB">
        <w:t>ich</w:t>
      </w:r>
      <w:r w:rsidR="003B7DB4">
        <w:t xml:space="preserve"> </w:t>
      </w:r>
      <w:r w:rsidR="008E2CBB">
        <w:t>planned to develop a filling station</w:t>
      </w:r>
      <w:r w:rsidR="002872A0">
        <w:t xml:space="preserve"> on the property</w:t>
      </w:r>
      <w:r w:rsidR="008E2CBB">
        <w:t xml:space="preserve">. Portion 2 of Erf 3086 Dalpark Extension 19 was </w:t>
      </w:r>
      <w:r w:rsidR="003B7DB4">
        <w:t xml:space="preserve">also </w:t>
      </w:r>
      <w:r w:rsidR="008E2CBB">
        <w:t xml:space="preserve">sold and transferred </w:t>
      </w:r>
      <w:r w:rsidR="007C4AF5">
        <w:t xml:space="preserve">and </w:t>
      </w:r>
      <w:r w:rsidR="008E2CBB">
        <w:t xml:space="preserve">registered in the name of JSF Properties (Pty) Ltd, which planned to develop shops and showrooms. The remaining extent of Erf 3086 was sold and transferred to Rilarex (Pty) Ltd and </w:t>
      </w:r>
      <w:r>
        <w:t>Morbei (</w:t>
      </w:r>
      <w:r w:rsidR="008E2CBB">
        <w:t xml:space="preserve">Pty) Ltd on 21 May 2015 and a Makro Store </w:t>
      </w:r>
      <w:r w:rsidR="00553E90">
        <w:t>w</w:t>
      </w:r>
      <w:r w:rsidR="008E2CBB">
        <w:t xml:space="preserve">as opened in April 2016.    </w:t>
      </w:r>
      <w:r w:rsidR="00553E90">
        <w:t>The</w:t>
      </w:r>
      <w:r w:rsidR="00AF3762">
        <w:t xml:space="preserve"> </w:t>
      </w:r>
      <w:r w:rsidR="00D35145">
        <w:t xml:space="preserve">seventh </w:t>
      </w:r>
      <w:r w:rsidR="00AF3762">
        <w:t xml:space="preserve">to </w:t>
      </w:r>
      <w:r w:rsidR="00D35145">
        <w:t xml:space="preserve">nineth </w:t>
      </w:r>
      <w:r w:rsidR="00AF3762">
        <w:t xml:space="preserve">respondents </w:t>
      </w:r>
      <w:r w:rsidR="0065155D">
        <w:t xml:space="preserve">contend that they have </w:t>
      </w:r>
      <w:r w:rsidR="00691FF1">
        <w:t>invested</w:t>
      </w:r>
      <w:r w:rsidR="0065155D">
        <w:t xml:space="preserve"> a substantial amount in the properties they purchased from the </w:t>
      </w:r>
      <w:r w:rsidR="00D35145">
        <w:t>Developer</w:t>
      </w:r>
      <w:r w:rsidR="0065155D">
        <w:t xml:space="preserve">. </w:t>
      </w:r>
      <w:r w:rsidR="00A7485C">
        <w:t>The</w:t>
      </w:r>
      <w:r w:rsidR="008036A7">
        <w:t xml:space="preserve">y have </w:t>
      </w:r>
      <w:r w:rsidR="00A7485C">
        <w:t xml:space="preserve">cumulatively </w:t>
      </w:r>
      <w:r w:rsidR="008036A7">
        <w:t xml:space="preserve">spent </w:t>
      </w:r>
      <w:r w:rsidR="00A7485C">
        <w:t>no less than R</w:t>
      </w:r>
      <w:r w:rsidR="009C65A6">
        <w:t>261 168</w:t>
      </w:r>
      <w:r w:rsidR="00691FF1">
        <w:t> </w:t>
      </w:r>
      <w:r w:rsidR="009C65A6">
        <w:t>469</w:t>
      </w:r>
      <w:r w:rsidR="00691FF1">
        <w:t>.</w:t>
      </w:r>
      <w:r w:rsidR="009C65A6">
        <w:t xml:space="preserve"> 00</w:t>
      </w:r>
      <w:r w:rsidR="008036A7">
        <w:t xml:space="preserve"> for </w:t>
      </w:r>
      <w:r w:rsidR="00476828">
        <w:t>the land and improvements to the land</w:t>
      </w:r>
      <w:r w:rsidR="00393DA7">
        <w:t>,</w:t>
      </w:r>
      <w:r w:rsidR="00F84A97">
        <w:t xml:space="preserve"> which include the Makro and wholesale stores. </w:t>
      </w:r>
      <w:r w:rsidR="00006F6E">
        <w:t xml:space="preserve"> This has entailed providing parking bays, storage space</w:t>
      </w:r>
      <w:r w:rsidR="00815395">
        <w:t xml:space="preserve">, wholesale space and office space. </w:t>
      </w:r>
      <w:r w:rsidR="00D34A11">
        <w:t xml:space="preserve">The </w:t>
      </w:r>
      <w:r w:rsidR="00D35145">
        <w:t xml:space="preserve">ninth </w:t>
      </w:r>
      <w:r w:rsidR="00D34A11">
        <w:t xml:space="preserve">respondent </w:t>
      </w:r>
      <w:r w:rsidR="00CC1AE0">
        <w:t xml:space="preserve">has established a Build-It store on the land it purchased. Both </w:t>
      </w:r>
      <w:r w:rsidR="00154670">
        <w:t xml:space="preserve">businesses have been operating since 2016. </w:t>
      </w:r>
      <w:r w:rsidR="00B1189C">
        <w:t>They both aver that they contribute substantially to the Municipality</w:t>
      </w:r>
      <w:r w:rsidR="00CE33B4">
        <w:t xml:space="preserve">. The </w:t>
      </w:r>
      <w:r w:rsidR="00D35145">
        <w:t xml:space="preserve">seventh </w:t>
      </w:r>
      <w:r w:rsidR="007C3EDF">
        <w:t xml:space="preserve">to </w:t>
      </w:r>
      <w:r w:rsidR="00D35145">
        <w:t xml:space="preserve">ninth </w:t>
      </w:r>
      <w:r w:rsidR="007C3EDF">
        <w:t xml:space="preserve">respondents </w:t>
      </w:r>
      <w:r w:rsidR="00496BCC">
        <w:t>state that the relief sought by the applicant will have an unintended consequence in that it will affect their commercial interests negatively</w:t>
      </w:r>
      <w:r w:rsidR="00C27578">
        <w:t xml:space="preserve"> and hold</w:t>
      </w:r>
      <w:r w:rsidR="00D35145">
        <w:t xml:space="preserve"> </w:t>
      </w:r>
      <w:r w:rsidR="00C27578">
        <w:t xml:space="preserve">disastrous consequences. </w:t>
      </w:r>
      <w:r w:rsidR="00EC5884">
        <w:t xml:space="preserve">They </w:t>
      </w:r>
      <w:r w:rsidR="00496BD2">
        <w:t xml:space="preserve">purchased </w:t>
      </w:r>
      <w:r w:rsidR="00386B43">
        <w:t>e</w:t>
      </w:r>
      <w:r w:rsidR="00393DA7">
        <w:t>rven</w:t>
      </w:r>
      <w:r w:rsidR="00496BD2">
        <w:t xml:space="preserve"> in a township </w:t>
      </w:r>
      <w:r w:rsidR="00595850">
        <w:t xml:space="preserve">where they believed that the </w:t>
      </w:r>
      <w:r w:rsidR="00E375F3">
        <w:t>T</w:t>
      </w:r>
      <w:r w:rsidR="00595850">
        <w:t xml:space="preserve">ownship </w:t>
      </w:r>
      <w:r w:rsidR="00A1491D">
        <w:t xml:space="preserve">establishment process and land development </w:t>
      </w:r>
      <w:r w:rsidR="00FB7B4B">
        <w:t>right</w:t>
      </w:r>
      <w:r w:rsidR="00AA1CB9">
        <w:t>s</w:t>
      </w:r>
      <w:r w:rsidR="00FB7B4B">
        <w:t xml:space="preserve"> allocated were lawfully obtained.</w:t>
      </w:r>
      <w:r w:rsidR="00553E90">
        <w:t xml:space="preserve"> </w:t>
      </w:r>
    </w:p>
    <w:p w14:paraId="5A04535B" w14:textId="77777777" w:rsidR="008E2CBB" w:rsidRDefault="008E2CBB" w:rsidP="008E2CBB">
      <w:pPr>
        <w:pStyle w:val="JudgmentNumbered"/>
        <w:numPr>
          <w:ilvl w:val="0"/>
          <w:numId w:val="0"/>
        </w:numPr>
        <w:spacing w:after="0"/>
        <w:ind w:left="567" w:hanging="567"/>
      </w:pPr>
    </w:p>
    <w:p w14:paraId="79634D73" w14:textId="1D4A42DE" w:rsidR="00AC4BE2" w:rsidRDefault="008E2CBB" w:rsidP="00736EC0">
      <w:pPr>
        <w:pStyle w:val="JudgmentNumbered"/>
        <w:numPr>
          <w:ilvl w:val="0"/>
          <w:numId w:val="0"/>
        </w:numPr>
        <w:spacing w:after="0"/>
        <w:ind w:left="567" w:hanging="567"/>
      </w:pPr>
      <w:r>
        <w:t>[</w:t>
      </w:r>
      <w:r w:rsidR="000D77E2">
        <w:t>11</w:t>
      </w:r>
      <w:r>
        <w:t>]</w:t>
      </w:r>
      <w:r>
        <w:tab/>
      </w:r>
      <w:r w:rsidR="00B3683A">
        <w:t xml:space="preserve">The </w:t>
      </w:r>
      <w:r w:rsidR="00D35145">
        <w:t xml:space="preserve">Developer </w:t>
      </w:r>
      <w:r w:rsidR="008C7AA9">
        <w:t xml:space="preserve">refers to the </w:t>
      </w:r>
      <w:r w:rsidR="00B97C8C">
        <w:t xml:space="preserve">applicant's </w:t>
      </w:r>
      <w:r w:rsidR="00736EC0">
        <w:t xml:space="preserve">previous opposition to </w:t>
      </w:r>
      <w:r w:rsidR="00AA1CB9">
        <w:t xml:space="preserve">its </w:t>
      </w:r>
      <w:r w:rsidR="00B468E2">
        <w:t>application</w:t>
      </w:r>
      <w:r w:rsidR="00ED3EFC">
        <w:t xml:space="preserve">. Notwithstanding </w:t>
      </w:r>
      <w:r w:rsidR="00F2035E">
        <w:t>the approval of the application</w:t>
      </w:r>
      <w:r w:rsidR="008E42E1">
        <w:t xml:space="preserve">, </w:t>
      </w:r>
      <w:r w:rsidR="00F2035E">
        <w:t xml:space="preserve">the applicant appealed to the Tribunal and then lodged a review in the High </w:t>
      </w:r>
      <w:r w:rsidR="00725A9C">
        <w:t>Court</w:t>
      </w:r>
      <w:r w:rsidR="00E94BE1">
        <w:t>,</w:t>
      </w:r>
      <w:r w:rsidR="00725A9C">
        <w:t xml:space="preserve"> which was </w:t>
      </w:r>
      <w:r w:rsidR="00B468E2">
        <w:t>dismissed</w:t>
      </w:r>
      <w:r w:rsidR="00725A9C">
        <w:t xml:space="preserve">. The </w:t>
      </w:r>
      <w:r w:rsidR="00D35145">
        <w:t xml:space="preserve">Developer </w:t>
      </w:r>
      <w:r w:rsidR="00250AD6">
        <w:t xml:space="preserve">describes </w:t>
      </w:r>
      <w:r w:rsidR="002D5F26">
        <w:t xml:space="preserve">the present application as </w:t>
      </w:r>
      <w:r w:rsidR="000A4708">
        <w:t xml:space="preserve">vexatious </w:t>
      </w:r>
      <w:r w:rsidR="001830A5">
        <w:t xml:space="preserve">and </w:t>
      </w:r>
      <w:r w:rsidR="00E94BE1">
        <w:t xml:space="preserve">directed </w:t>
      </w:r>
      <w:r w:rsidR="001830A5">
        <w:t xml:space="preserve">at preventing any competing </w:t>
      </w:r>
      <w:r w:rsidR="00A14F2A">
        <w:t xml:space="preserve">retail facility in the area. </w:t>
      </w:r>
      <w:r w:rsidR="00250AD6">
        <w:t>It</w:t>
      </w:r>
      <w:r w:rsidR="00EF1FB2">
        <w:t xml:space="preserve"> </w:t>
      </w:r>
      <w:r w:rsidR="0011643B">
        <w:t xml:space="preserve">maintains that </w:t>
      </w:r>
      <w:r w:rsidR="00B66ED1">
        <w:t>the applica</w:t>
      </w:r>
      <w:r w:rsidR="0011643B">
        <w:t xml:space="preserve">nt wishes </w:t>
      </w:r>
      <w:r w:rsidR="007B2DFD">
        <w:t xml:space="preserve">to frustrate the development of </w:t>
      </w:r>
      <w:r w:rsidR="00060D7D">
        <w:t>E</w:t>
      </w:r>
      <w:r w:rsidR="007B2DFD">
        <w:t>rven 3087 and 3110</w:t>
      </w:r>
      <w:r w:rsidR="00060D7D">
        <w:t>,</w:t>
      </w:r>
      <w:r w:rsidR="007B2DFD">
        <w:t xml:space="preserve"> which </w:t>
      </w:r>
      <w:r w:rsidR="00D1150B">
        <w:t xml:space="preserve">is to be </w:t>
      </w:r>
      <w:r w:rsidR="007B2DFD">
        <w:t>develop</w:t>
      </w:r>
      <w:r w:rsidR="00D1150B">
        <w:t>ed</w:t>
      </w:r>
      <w:r w:rsidR="007B2DFD">
        <w:t xml:space="preserve"> into a regional retail </w:t>
      </w:r>
      <w:r w:rsidR="001B45DD">
        <w:t>shopping centre,</w:t>
      </w:r>
      <w:r w:rsidR="007B2DFD">
        <w:t xml:space="preserve"> </w:t>
      </w:r>
      <w:r w:rsidR="00B70842">
        <w:t xml:space="preserve">as it would </w:t>
      </w:r>
      <w:r w:rsidR="00AC4BE2">
        <w:t>compete with the mall</w:t>
      </w:r>
      <w:r w:rsidR="00E064A5">
        <w:t xml:space="preserve"> belonging to </w:t>
      </w:r>
      <w:r w:rsidR="00B70842">
        <w:t>the applicant</w:t>
      </w:r>
      <w:r w:rsidR="0060228D">
        <w:t>, who owns the only regional mall in the area</w:t>
      </w:r>
      <w:r w:rsidR="00B70842">
        <w:t>.</w:t>
      </w:r>
      <w:r w:rsidR="00AC4BE2">
        <w:t xml:space="preserve"> </w:t>
      </w:r>
    </w:p>
    <w:p w14:paraId="29963B70" w14:textId="77777777" w:rsidR="00C90337" w:rsidRDefault="00C90337" w:rsidP="00C90337">
      <w:pPr>
        <w:pStyle w:val="JudgmentNumbered"/>
        <w:numPr>
          <w:ilvl w:val="0"/>
          <w:numId w:val="0"/>
        </w:numPr>
        <w:spacing w:after="0"/>
        <w:ind w:left="567" w:hanging="567"/>
      </w:pPr>
    </w:p>
    <w:p w14:paraId="731C07B0" w14:textId="6B5A9FBC" w:rsidR="001336C3" w:rsidRPr="001336C3" w:rsidRDefault="001336C3" w:rsidP="00C90337">
      <w:pPr>
        <w:pStyle w:val="JudgmentNumbered"/>
        <w:numPr>
          <w:ilvl w:val="0"/>
          <w:numId w:val="0"/>
        </w:numPr>
        <w:spacing w:after="0"/>
        <w:ind w:left="567" w:hanging="567"/>
        <w:rPr>
          <w:b/>
          <w:bCs/>
          <w:u w:val="single"/>
        </w:rPr>
      </w:pPr>
      <w:r>
        <w:lastRenderedPageBreak/>
        <w:tab/>
      </w:r>
      <w:r>
        <w:rPr>
          <w:b/>
          <w:bCs/>
          <w:u w:val="single"/>
        </w:rPr>
        <w:t xml:space="preserve">Township </w:t>
      </w:r>
      <w:r w:rsidR="00664588">
        <w:rPr>
          <w:b/>
          <w:bCs/>
          <w:u w:val="single"/>
        </w:rPr>
        <w:t>Development</w:t>
      </w:r>
    </w:p>
    <w:p w14:paraId="5BED7AC0" w14:textId="1D2064D0" w:rsidR="005002FA" w:rsidRDefault="001336C3" w:rsidP="005002FA">
      <w:pPr>
        <w:pStyle w:val="JudgmentNumbered"/>
        <w:numPr>
          <w:ilvl w:val="0"/>
          <w:numId w:val="0"/>
        </w:numPr>
        <w:spacing w:after="0"/>
        <w:ind w:left="567" w:hanging="567"/>
        <w:rPr>
          <w:lang w:val="en-CA"/>
        </w:rPr>
      </w:pPr>
      <w:r>
        <w:t>[</w:t>
      </w:r>
      <w:r w:rsidR="000D77E2">
        <w:t>12</w:t>
      </w:r>
      <w:r w:rsidR="00C90337">
        <w:t>]</w:t>
      </w:r>
      <w:r w:rsidR="00E46EEE">
        <w:tab/>
      </w:r>
      <w:r w:rsidR="00C02527">
        <w:t xml:space="preserve">Prior to the Supreme Court of Appeal </w:t>
      </w:r>
      <w:r w:rsidR="00D35145">
        <w:t xml:space="preserve">(SCA) </w:t>
      </w:r>
      <w:r w:rsidR="00C02527">
        <w:t xml:space="preserve">decision </w:t>
      </w:r>
      <w:r w:rsidR="00044F23">
        <w:t>in</w:t>
      </w:r>
      <w:r w:rsidR="005002FA" w:rsidRPr="005002FA">
        <w:t xml:space="preserve"> </w:t>
      </w:r>
      <w:r w:rsidR="00A83E16" w:rsidRPr="001F2662">
        <w:rPr>
          <w:i/>
          <w:iCs/>
          <w:lang w:val="en-CA"/>
        </w:rPr>
        <w:t>Johannesburg Metropolitan Municipality v Development Tribunal and others</w:t>
      </w:r>
      <w:r w:rsidR="00A83E16">
        <w:rPr>
          <w:rStyle w:val="FootnoteReference"/>
          <w:lang w:val="en-CA"/>
        </w:rPr>
        <w:footnoteReference w:id="5"/>
      </w:r>
      <w:r w:rsidR="004B47AD">
        <w:rPr>
          <w:i/>
          <w:iCs/>
          <w:lang w:val="en-CA"/>
        </w:rPr>
        <w:t xml:space="preserve">, </w:t>
      </w:r>
      <w:r w:rsidR="004B47AD" w:rsidRPr="004625DF">
        <w:rPr>
          <w:lang w:val="en-CA"/>
        </w:rPr>
        <w:t xml:space="preserve">township development </w:t>
      </w:r>
      <w:r w:rsidR="004625DF" w:rsidRPr="004625DF">
        <w:rPr>
          <w:lang w:val="en-CA"/>
        </w:rPr>
        <w:t xml:space="preserve">fell within the competency of the Provincial Government. </w:t>
      </w:r>
      <w:r w:rsidR="004E3AE9">
        <w:rPr>
          <w:lang w:val="en-CA"/>
        </w:rPr>
        <w:t xml:space="preserve">When the </w:t>
      </w:r>
      <w:r w:rsidR="003E4A69">
        <w:rPr>
          <w:lang w:val="en-CA"/>
        </w:rPr>
        <w:t>D</w:t>
      </w:r>
      <w:r w:rsidR="004E3AE9">
        <w:rPr>
          <w:lang w:val="en-CA"/>
        </w:rPr>
        <w:t xml:space="preserve">eveloper first lodged </w:t>
      </w:r>
      <w:r w:rsidR="003E4A69">
        <w:rPr>
          <w:lang w:val="en-CA"/>
        </w:rPr>
        <w:t>it</w:t>
      </w:r>
      <w:r w:rsidR="001A5B1C">
        <w:rPr>
          <w:lang w:val="en-CA"/>
        </w:rPr>
        <w:t>s</w:t>
      </w:r>
      <w:r w:rsidR="003E4A69">
        <w:rPr>
          <w:lang w:val="en-CA"/>
        </w:rPr>
        <w:t xml:space="preserve"> application for township development</w:t>
      </w:r>
      <w:r w:rsidR="00101ADD">
        <w:rPr>
          <w:lang w:val="en-CA"/>
        </w:rPr>
        <w:t>,</w:t>
      </w:r>
      <w:r w:rsidR="00C12C09">
        <w:rPr>
          <w:i/>
          <w:iCs/>
          <w:lang w:val="en-CA"/>
        </w:rPr>
        <w:t xml:space="preserve"> </w:t>
      </w:r>
      <w:r w:rsidR="00101ADD">
        <w:rPr>
          <w:lang w:val="en-CA"/>
        </w:rPr>
        <w:t>land development matters fell within the competency of the Tribunal est</w:t>
      </w:r>
      <w:r w:rsidR="00317F92">
        <w:rPr>
          <w:lang w:val="en-CA"/>
        </w:rPr>
        <w:t xml:space="preserve">ablished in terms of the DFA. </w:t>
      </w:r>
      <w:r w:rsidR="005002FA">
        <w:t>Developers also submitted applications in terms of the Townships Ordinance 15 of 1998</w:t>
      </w:r>
      <w:r w:rsidR="002C174F">
        <w:t xml:space="preserve"> (the Ordinance)</w:t>
      </w:r>
      <w:r w:rsidR="005002FA">
        <w:t xml:space="preserve">.  </w:t>
      </w:r>
      <w:r w:rsidR="00C00F59">
        <w:t>Th</w:t>
      </w:r>
      <w:r w:rsidR="00144444">
        <w:t xml:space="preserve">e </w:t>
      </w:r>
      <w:r w:rsidR="005002FA">
        <w:t xml:space="preserve">Tribunal made decisions </w:t>
      </w:r>
      <w:r w:rsidR="005002FA">
        <w:rPr>
          <w:lang w:val="en-CA"/>
        </w:rPr>
        <w:t>by</w:t>
      </w:r>
      <w:r w:rsidR="005002FA" w:rsidRPr="007D2B73">
        <w:rPr>
          <w:lang w:val="en-CA"/>
        </w:rPr>
        <w:t xml:space="preserve">passing </w:t>
      </w:r>
      <w:r w:rsidR="005002FA">
        <w:rPr>
          <w:lang w:val="en-CA"/>
        </w:rPr>
        <w:t xml:space="preserve">the </w:t>
      </w:r>
      <w:r w:rsidR="005002FA" w:rsidRPr="007D2B73">
        <w:rPr>
          <w:lang w:val="en-CA"/>
        </w:rPr>
        <w:t>municipal land use planning process on the basis of the DFA</w:t>
      </w:r>
      <w:r w:rsidR="005002FA">
        <w:rPr>
          <w:lang w:val="en-CA"/>
        </w:rPr>
        <w:t>.</w:t>
      </w:r>
      <w:r w:rsidR="005002FA" w:rsidRPr="007D2B73">
        <w:rPr>
          <w:lang w:val="en-CA"/>
        </w:rPr>
        <w:t xml:space="preserve"> In addition, various provincial ordinances that predated the enactment of the interim </w:t>
      </w:r>
      <w:r w:rsidR="005002FA">
        <w:rPr>
          <w:lang w:val="en-CA"/>
        </w:rPr>
        <w:t>C</w:t>
      </w:r>
      <w:r w:rsidR="005002FA" w:rsidRPr="007D2B73">
        <w:rPr>
          <w:lang w:val="en-CA"/>
        </w:rPr>
        <w:t>onstitution con</w:t>
      </w:r>
      <w:r w:rsidR="005002FA">
        <w:rPr>
          <w:lang w:val="en-CA"/>
        </w:rPr>
        <w:t>ferred</w:t>
      </w:r>
      <w:r w:rsidR="005002FA" w:rsidRPr="007D2B73">
        <w:rPr>
          <w:lang w:val="en-CA"/>
        </w:rPr>
        <w:t xml:space="preserve"> </w:t>
      </w:r>
      <w:r w:rsidR="005002FA">
        <w:rPr>
          <w:lang w:val="en-CA"/>
        </w:rPr>
        <w:t xml:space="preserve">upon </w:t>
      </w:r>
      <w:r w:rsidR="005002FA" w:rsidRPr="007D2B73">
        <w:rPr>
          <w:lang w:val="en-CA"/>
        </w:rPr>
        <w:t xml:space="preserve">local authorities the authority to regulate land use within the particular </w:t>
      </w:r>
      <w:r w:rsidR="009B1446">
        <w:rPr>
          <w:lang w:val="en-CA"/>
        </w:rPr>
        <w:t>m</w:t>
      </w:r>
      <w:r w:rsidR="005002FA" w:rsidRPr="007D2B73">
        <w:rPr>
          <w:lang w:val="en-CA"/>
        </w:rPr>
        <w:t>unicipal areas</w:t>
      </w:r>
      <w:r w:rsidR="005002FA">
        <w:rPr>
          <w:lang w:val="en-CA"/>
        </w:rPr>
        <w:t xml:space="preserve">. </w:t>
      </w:r>
      <w:r w:rsidR="005002FA" w:rsidRPr="007D2B73">
        <w:rPr>
          <w:lang w:val="en-CA"/>
        </w:rPr>
        <w:t>The DF</w:t>
      </w:r>
      <w:r w:rsidR="005002FA">
        <w:rPr>
          <w:lang w:val="en-CA"/>
        </w:rPr>
        <w:t xml:space="preserve">A, </w:t>
      </w:r>
      <w:r w:rsidR="005002FA" w:rsidRPr="007D2B73">
        <w:rPr>
          <w:lang w:val="en-CA"/>
        </w:rPr>
        <w:t>and specifically its chapters</w:t>
      </w:r>
      <w:r w:rsidR="005002FA">
        <w:rPr>
          <w:lang w:val="en-CA"/>
        </w:rPr>
        <w:t xml:space="preserve"> V and VI,</w:t>
      </w:r>
      <w:r w:rsidR="005002FA" w:rsidRPr="007D2B73">
        <w:rPr>
          <w:lang w:val="en-CA"/>
        </w:rPr>
        <w:t xml:space="preserve"> purported to con</w:t>
      </w:r>
      <w:r w:rsidR="005002FA">
        <w:rPr>
          <w:lang w:val="en-CA"/>
        </w:rPr>
        <w:t>fer</w:t>
      </w:r>
      <w:r w:rsidR="005002FA" w:rsidRPr="007D2B73">
        <w:rPr>
          <w:lang w:val="en-CA"/>
        </w:rPr>
        <w:t xml:space="preserve"> equivalent authorit</w:t>
      </w:r>
      <w:r w:rsidR="005002FA">
        <w:rPr>
          <w:lang w:val="en-CA"/>
        </w:rPr>
        <w:t xml:space="preserve">y upon </w:t>
      </w:r>
      <w:r w:rsidR="005002FA" w:rsidRPr="007D2B73">
        <w:rPr>
          <w:lang w:val="en-CA"/>
        </w:rPr>
        <w:t>provincial development tribunals</w:t>
      </w:r>
      <w:r w:rsidR="005002FA">
        <w:rPr>
          <w:lang w:val="en-CA"/>
        </w:rPr>
        <w:t>.</w:t>
      </w:r>
      <w:r w:rsidR="005002FA" w:rsidRPr="007D2B73">
        <w:rPr>
          <w:lang w:val="en-CA"/>
        </w:rPr>
        <w:t xml:space="preserve"> Section 15 of the DF</w:t>
      </w:r>
      <w:r w:rsidR="005002FA">
        <w:rPr>
          <w:lang w:val="en-CA"/>
        </w:rPr>
        <w:t>A</w:t>
      </w:r>
      <w:r w:rsidR="005002FA" w:rsidRPr="007D2B73">
        <w:rPr>
          <w:lang w:val="en-CA"/>
        </w:rPr>
        <w:t xml:space="preserve"> established a </w:t>
      </w:r>
      <w:r w:rsidR="005002FA">
        <w:rPr>
          <w:lang w:val="en-CA"/>
        </w:rPr>
        <w:t>T</w:t>
      </w:r>
      <w:r w:rsidR="005002FA" w:rsidRPr="007D2B73">
        <w:rPr>
          <w:lang w:val="en-CA"/>
        </w:rPr>
        <w:t>ribunal for each province</w:t>
      </w:r>
      <w:r w:rsidR="005002FA">
        <w:rPr>
          <w:lang w:val="en-CA"/>
        </w:rPr>
        <w:t xml:space="preserve">. </w:t>
      </w:r>
      <w:r w:rsidR="005002FA" w:rsidRPr="00013B28">
        <w:rPr>
          <w:lang w:val="en-CA"/>
        </w:rPr>
        <w:t xml:space="preserve">These tribunals comprised of persons appointed by the </w:t>
      </w:r>
      <w:r w:rsidR="005002FA">
        <w:rPr>
          <w:lang w:val="en-CA"/>
        </w:rPr>
        <w:t>P</w:t>
      </w:r>
      <w:r w:rsidR="005002FA" w:rsidRPr="00013B28">
        <w:rPr>
          <w:lang w:val="en-CA"/>
        </w:rPr>
        <w:t xml:space="preserve">remier with the approval of the </w:t>
      </w:r>
      <w:r w:rsidR="005002FA">
        <w:rPr>
          <w:lang w:val="en-CA"/>
        </w:rPr>
        <w:t xml:space="preserve">provincial </w:t>
      </w:r>
      <w:r w:rsidR="005002FA" w:rsidRPr="00013B28">
        <w:rPr>
          <w:lang w:val="en-CA"/>
        </w:rPr>
        <w:t>legislature</w:t>
      </w:r>
      <w:r w:rsidR="005002FA">
        <w:rPr>
          <w:lang w:val="en-CA"/>
        </w:rPr>
        <w:t>.</w:t>
      </w:r>
    </w:p>
    <w:p w14:paraId="408B11D0" w14:textId="77777777" w:rsidR="005002FA" w:rsidRDefault="005002FA" w:rsidP="005002FA">
      <w:pPr>
        <w:pStyle w:val="JudgmentNumbered"/>
        <w:numPr>
          <w:ilvl w:val="0"/>
          <w:numId w:val="0"/>
        </w:numPr>
        <w:spacing w:after="0"/>
        <w:ind w:left="567" w:hanging="567"/>
        <w:rPr>
          <w:lang w:val="en-CA"/>
        </w:rPr>
      </w:pPr>
    </w:p>
    <w:p w14:paraId="23AF01C6" w14:textId="3897575B" w:rsidR="009A2F27" w:rsidRDefault="005002FA" w:rsidP="005002FA">
      <w:pPr>
        <w:pStyle w:val="JudgmentNumbered"/>
        <w:numPr>
          <w:ilvl w:val="0"/>
          <w:numId w:val="0"/>
        </w:numPr>
        <w:spacing w:after="0"/>
        <w:ind w:left="567" w:hanging="567"/>
        <w:rPr>
          <w:lang w:val="en-CA"/>
        </w:rPr>
      </w:pPr>
      <w:r>
        <w:rPr>
          <w:lang w:val="en-CA"/>
        </w:rPr>
        <w:t>[</w:t>
      </w:r>
      <w:r w:rsidR="000D77E2">
        <w:rPr>
          <w:lang w:val="en-CA"/>
        </w:rPr>
        <w:t>13</w:t>
      </w:r>
      <w:r>
        <w:rPr>
          <w:lang w:val="en-CA"/>
        </w:rPr>
        <w:t>]</w:t>
      </w:r>
      <w:r>
        <w:rPr>
          <w:lang w:val="en-CA"/>
        </w:rPr>
        <w:tab/>
      </w:r>
      <w:r w:rsidR="00A35C8B">
        <w:rPr>
          <w:lang w:val="en-CA"/>
        </w:rPr>
        <w:t xml:space="preserve">In </w:t>
      </w:r>
      <w:r w:rsidR="00A35C8B" w:rsidRPr="001F2662">
        <w:rPr>
          <w:i/>
          <w:iCs/>
          <w:lang w:val="en-CA"/>
        </w:rPr>
        <w:t>Johannesburg Metropolitan Municipality v Development Tribunal and oth</w:t>
      </w:r>
      <w:r w:rsidR="002D5B33">
        <w:rPr>
          <w:i/>
          <w:iCs/>
          <w:lang w:val="en-CA"/>
        </w:rPr>
        <w:t>ers</w:t>
      </w:r>
      <w:r w:rsidR="008C15BD">
        <w:rPr>
          <w:i/>
          <w:iCs/>
          <w:lang w:val="en-CA"/>
        </w:rPr>
        <w:t xml:space="preserve">, </w:t>
      </w:r>
      <w:r w:rsidR="008C15BD" w:rsidRPr="008C15BD">
        <w:rPr>
          <w:lang w:val="en-CA"/>
        </w:rPr>
        <w:t>the Constitutional Court</w:t>
      </w:r>
      <w:r w:rsidR="002D5B33">
        <w:rPr>
          <w:rStyle w:val="FootnoteReference"/>
          <w:lang w:val="en-CA"/>
        </w:rPr>
        <w:footnoteReference w:id="6"/>
      </w:r>
      <w:r w:rsidR="00EC6340">
        <w:rPr>
          <w:lang w:val="en-CA"/>
        </w:rPr>
        <w:t xml:space="preserve">, </w:t>
      </w:r>
      <w:r w:rsidR="00A26570">
        <w:rPr>
          <w:lang w:val="en-CA"/>
        </w:rPr>
        <w:t xml:space="preserve">confirmed the </w:t>
      </w:r>
      <w:r w:rsidRPr="00160F79">
        <w:rPr>
          <w:lang w:val="en-CA"/>
        </w:rPr>
        <w:t>S</w:t>
      </w:r>
      <w:r w:rsidR="00A26570">
        <w:rPr>
          <w:lang w:val="en-CA"/>
        </w:rPr>
        <w:t xml:space="preserve">upreme </w:t>
      </w:r>
      <w:r w:rsidR="007635B5">
        <w:rPr>
          <w:lang w:val="en-CA"/>
        </w:rPr>
        <w:t>C</w:t>
      </w:r>
      <w:r w:rsidR="00A26570">
        <w:rPr>
          <w:lang w:val="en-CA"/>
        </w:rPr>
        <w:t>ourt of Appeal</w:t>
      </w:r>
      <w:r w:rsidR="007635B5">
        <w:rPr>
          <w:lang w:val="en-CA"/>
        </w:rPr>
        <w:t xml:space="preserve">’s finding </w:t>
      </w:r>
      <w:r w:rsidRPr="00160F79">
        <w:rPr>
          <w:lang w:val="en-CA"/>
        </w:rPr>
        <w:t>that</w:t>
      </w:r>
      <w:r>
        <w:rPr>
          <w:lang w:val="en-CA"/>
        </w:rPr>
        <w:t xml:space="preserve"> this </w:t>
      </w:r>
      <w:r w:rsidR="004C7C5A">
        <w:rPr>
          <w:lang w:val="en-CA"/>
        </w:rPr>
        <w:t>practice of applying different legislation</w:t>
      </w:r>
      <w:r w:rsidR="00A4525A">
        <w:rPr>
          <w:lang w:val="en-CA"/>
        </w:rPr>
        <w:t>s</w:t>
      </w:r>
      <w:r w:rsidR="004C7C5A">
        <w:rPr>
          <w:lang w:val="en-CA"/>
        </w:rPr>
        <w:t xml:space="preserve"> on land development </w:t>
      </w:r>
      <w:r>
        <w:rPr>
          <w:lang w:val="en-CA"/>
        </w:rPr>
        <w:t xml:space="preserve">violates </w:t>
      </w:r>
      <w:r w:rsidRPr="00160F79">
        <w:rPr>
          <w:lang w:val="en-CA"/>
        </w:rPr>
        <w:t xml:space="preserve">the </w:t>
      </w:r>
      <w:r w:rsidR="00712C5F">
        <w:rPr>
          <w:lang w:val="en-CA"/>
        </w:rPr>
        <w:t>M</w:t>
      </w:r>
      <w:r w:rsidRPr="00160F79">
        <w:rPr>
          <w:lang w:val="en-CA"/>
        </w:rPr>
        <w:t>unicipalities</w:t>
      </w:r>
      <w:r w:rsidR="009A215B">
        <w:rPr>
          <w:lang w:val="en-CA"/>
        </w:rPr>
        <w:t>’</w:t>
      </w:r>
      <w:r w:rsidRPr="00160F79">
        <w:rPr>
          <w:lang w:val="en-CA"/>
        </w:rPr>
        <w:t xml:space="preserve"> right to administer municipal planning</w:t>
      </w:r>
      <w:r w:rsidR="00ED6217">
        <w:rPr>
          <w:rStyle w:val="FootnoteReference"/>
          <w:lang w:val="en-CA"/>
        </w:rPr>
        <w:footnoteReference w:id="7"/>
      </w:r>
      <w:r w:rsidR="00BE26F8">
        <w:rPr>
          <w:lang w:val="en-CA"/>
        </w:rPr>
        <w:t>,</w:t>
      </w:r>
      <w:r>
        <w:rPr>
          <w:lang w:val="en-CA"/>
        </w:rPr>
        <w:t xml:space="preserve"> which </w:t>
      </w:r>
      <w:r w:rsidR="00FC67A3">
        <w:rPr>
          <w:lang w:val="en-CA"/>
        </w:rPr>
        <w:t>i</w:t>
      </w:r>
      <w:r>
        <w:rPr>
          <w:lang w:val="en-CA"/>
        </w:rPr>
        <w:t xml:space="preserve">s listed in </w:t>
      </w:r>
      <w:r w:rsidR="00BE26F8">
        <w:rPr>
          <w:lang w:val="en-CA"/>
        </w:rPr>
        <w:t>Schedule</w:t>
      </w:r>
      <w:r>
        <w:rPr>
          <w:lang w:val="en-CA"/>
        </w:rPr>
        <w:t xml:space="preserve"> 4B of the </w:t>
      </w:r>
      <w:r w:rsidR="00AD4888">
        <w:rPr>
          <w:lang w:val="en-CA"/>
        </w:rPr>
        <w:t>C</w:t>
      </w:r>
      <w:r>
        <w:rPr>
          <w:lang w:val="en-CA"/>
        </w:rPr>
        <w:t>onstitution as a municipal power. The S</w:t>
      </w:r>
      <w:r w:rsidR="00A4525A">
        <w:rPr>
          <w:lang w:val="en-CA"/>
        </w:rPr>
        <w:t xml:space="preserve">CA </w:t>
      </w:r>
      <w:r w:rsidRPr="00160F79">
        <w:rPr>
          <w:lang w:val="en-CA"/>
        </w:rPr>
        <w:t xml:space="preserve">concluded that when the </w:t>
      </w:r>
      <w:r>
        <w:rPr>
          <w:lang w:val="en-CA"/>
        </w:rPr>
        <w:t>C</w:t>
      </w:r>
      <w:r w:rsidRPr="00160F79">
        <w:rPr>
          <w:lang w:val="en-CA"/>
        </w:rPr>
        <w:t xml:space="preserve">onstitution provides </w:t>
      </w:r>
      <w:r>
        <w:rPr>
          <w:lang w:val="en-CA"/>
        </w:rPr>
        <w:t>that M</w:t>
      </w:r>
      <w:r w:rsidRPr="00160F79">
        <w:rPr>
          <w:lang w:val="en-CA"/>
        </w:rPr>
        <w:t xml:space="preserve">unicipalities have authority over </w:t>
      </w:r>
      <w:r>
        <w:rPr>
          <w:lang w:val="en-CA"/>
        </w:rPr>
        <w:t>‘</w:t>
      </w:r>
      <w:r w:rsidRPr="00160F79">
        <w:rPr>
          <w:lang w:val="en-CA"/>
        </w:rPr>
        <w:t>municipal planning</w:t>
      </w:r>
      <w:r>
        <w:rPr>
          <w:lang w:val="en-CA"/>
        </w:rPr>
        <w:t>’</w:t>
      </w:r>
      <w:r w:rsidR="00830E76">
        <w:rPr>
          <w:lang w:val="en-CA"/>
        </w:rPr>
        <w:t xml:space="preserve"> </w:t>
      </w:r>
      <w:r w:rsidRPr="00160F79">
        <w:rPr>
          <w:lang w:val="en-CA"/>
        </w:rPr>
        <w:t>it includes land use planning and management</w:t>
      </w:r>
      <w:r>
        <w:rPr>
          <w:lang w:val="en-CA"/>
        </w:rPr>
        <w:t xml:space="preserve">. </w:t>
      </w:r>
      <w:r w:rsidR="00767BD4">
        <w:rPr>
          <w:lang w:val="en-CA"/>
        </w:rPr>
        <w:t xml:space="preserve">The </w:t>
      </w:r>
      <w:r w:rsidR="00A4525A">
        <w:rPr>
          <w:lang w:val="en-CA"/>
        </w:rPr>
        <w:t xml:space="preserve">Constitutional </w:t>
      </w:r>
      <w:r w:rsidR="00767BD4">
        <w:rPr>
          <w:lang w:val="en-CA"/>
        </w:rPr>
        <w:t>Court</w:t>
      </w:r>
      <w:r w:rsidR="00E2727C">
        <w:rPr>
          <w:rStyle w:val="FootnoteReference"/>
          <w:lang w:val="en-CA"/>
        </w:rPr>
        <w:footnoteReference w:id="8"/>
      </w:r>
      <w:r w:rsidR="00E2727C">
        <w:rPr>
          <w:lang w:val="en-CA"/>
        </w:rPr>
        <w:t xml:space="preserve"> </w:t>
      </w:r>
      <w:r w:rsidRPr="003E563C">
        <w:rPr>
          <w:lang w:val="en-CA"/>
        </w:rPr>
        <w:t xml:space="preserve">was called </w:t>
      </w:r>
      <w:r>
        <w:rPr>
          <w:lang w:val="en-CA"/>
        </w:rPr>
        <w:t xml:space="preserve">upon </w:t>
      </w:r>
      <w:r w:rsidRPr="003E563C">
        <w:rPr>
          <w:lang w:val="en-CA"/>
        </w:rPr>
        <w:t xml:space="preserve">to </w:t>
      </w:r>
      <w:r>
        <w:rPr>
          <w:lang w:val="en-CA"/>
        </w:rPr>
        <w:t xml:space="preserve">decide </w:t>
      </w:r>
      <w:r w:rsidRPr="003E563C">
        <w:rPr>
          <w:lang w:val="en-CA"/>
        </w:rPr>
        <w:t xml:space="preserve">the </w:t>
      </w:r>
      <w:r>
        <w:rPr>
          <w:lang w:val="en-CA"/>
        </w:rPr>
        <w:t>P</w:t>
      </w:r>
      <w:r w:rsidRPr="003E563C">
        <w:rPr>
          <w:lang w:val="en-CA"/>
        </w:rPr>
        <w:t xml:space="preserve">rovincial </w:t>
      </w:r>
      <w:r>
        <w:rPr>
          <w:lang w:val="en-CA"/>
        </w:rPr>
        <w:t>G</w:t>
      </w:r>
      <w:r w:rsidRPr="003E563C">
        <w:rPr>
          <w:lang w:val="en-CA"/>
        </w:rPr>
        <w:t>overnment's competency</w:t>
      </w:r>
      <w:r>
        <w:rPr>
          <w:lang w:val="en-CA"/>
        </w:rPr>
        <w:t xml:space="preserve"> </w:t>
      </w:r>
      <w:r w:rsidRPr="003E563C">
        <w:rPr>
          <w:lang w:val="en-CA"/>
        </w:rPr>
        <w:t xml:space="preserve">to deal with town </w:t>
      </w:r>
      <w:r w:rsidR="00CA7CAF">
        <w:rPr>
          <w:lang w:val="en-CA"/>
        </w:rPr>
        <w:t>planning-related</w:t>
      </w:r>
      <w:r w:rsidRPr="003E563C">
        <w:rPr>
          <w:lang w:val="en-CA"/>
        </w:rPr>
        <w:t xml:space="preserve"> matters</w:t>
      </w:r>
      <w:r>
        <w:rPr>
          <w:lang w:val="en-CA"/>
        </w:rPr>
        <w:t>.</w:t>
      </w:r>
      <w:r w:rsidR="00AA05D2">
        <w:rPr>
          <w:lang w:val="en-CA"/>
        </w:rPr>
        <w:t xml:space="preserve"> </w:t>
      </w:r>
      <w:r w:rsidR="00AB4CA1">
        <w:rPr>
          <w:lang w:val="en-CA"/>
        </w:rPr>
        <w:t>Having determined that</w:t>
      </w:r>
      <w:r w:rsidR="00CA7CAF">
        <w:rPr>
          <w:lang w:val="en-CA"/>
        </w:rPr>
        <w:t xml:space="preserve"> </w:t>
      </w:r>
      <w:r w:rsidR="00AA05D2">
        <w:rPr>
          <w:lang w:val="en-CA"/>
        </w:rPr>
        <w:t>municipal planning</w:t>
      </w:r>
      <w:r w:rsidR="00AB4CA1">
        <w:rPr>
          <w:lang w:val="en-CA"/>
        </w:rPr>
        <w:t xml:space="preserve"> and land use fall</w:t>
      </w:r>
      <w:r w:rsidR="00A4525A">
        <w:rPr>
          <w:lang w:val="en-CA"/>
        </w:rPr>
        <w:t xml:space="preserve"> </w:t>
      </w:r>
      <w:r w:rsidR="00AB4CA1">
        <w:rPr>
          <w:lang w:val="en-CA"/>
        </w:rPr>
        <w:t>within the competency of Municipalities</w:t>
      </w:r>
      <w:r w:rsidR="00AA05D2">
        <w:rPr>
          <w:lang w:val="en-CA"/>
        </w:rPr>
        <w:t>,</w:t>
      </w:r>
      <w:r w:rsidR="00AB4CA1">
        <w:rPr>
          <w:lang w:val="en-CA"/>
        </w:rPr>
        <w:t xml:space="preserve"> it </w:t>
      </w:r>
      <w:r w:rsidR="006975BC">
        <w:rPr>
          <w:lang w:val="en-CA"/>
        </w:rPr>
        <w:t xml:space="preserve">declared </w:t>
      </w:r>
      <w:r w:rsidRPr="003E563C">
        <w:rPr>
          <w:lang w:val="en-CA"/>
        </w:rPr>
        <w:t>Chapters</w:t>
      </w:r>
      <w:r>
        <w:rPr>
          <w:lang w:val="en-CA"/>
        </w:rPr>
        <w:t xml:space="preserve"> V and VI </w:t>
      </w:r>
      <w:r w:rsidRPr="003E563C">
        <w:rPr>
          <w:lang w:val="en-CA"/>
        </w:rPr>
        <w:t xml:space="preserve">of the </w:t>
      </w:r>
      <w:r>
        <w:rPr>
          <w:lang w:val="en-CA"/>
        </w:rPr>
        <w:t xml:space="preserve">DFA </w:t>
      </w:r>
      <w:r w:rsidRPr="003E563C">
        <w:rPr>
          <w:lang w:val="en-CA"/>
        </w:rPr>
        <w:t>invalid</w:t>
      </w:r>
      <w:r>
        <w:rPr>
          <w:lang w:val="en-CA"/>
        </w:rPr>
        <w:t>.</w:t>
      </w:r>
      <w:r w:rsidR="00F33CDE">
        <w:rPr>
          <w:lang w:val="en-CA"/>
        </w:rPr>
        <w:t xml:space="preserve"> </w:t>
      </w:r>
      <w:r w:rsidR="00566345">
        <w:rPr>
          <w:lang w:val="en-CA"/>
        </w:rPr>
        <w:t xml:space="preserve">With </w:t>
      </w:r>
      <w:r w:rsidR="00E7765B">
        <w:rPr>
          <w:lang w:val="en-CA"/>
        </w:rPr>
        <w:t xml:space="preserve">the </w:t>
      </w:r>
      <w:r w:rsidR="008444C0">
        <w:rPr>
          <w:lang w:val="en-CA"/>
        </w:rPr>
        <w:t xml:space="preserve">Municipality </w:t>
      </w:r>
      <w:r w:rsidR="00E7765B">
        <w:rPr>
          <w:lang w:val="en-CA"/>
        </w:rPr>
        <w:t xml:space="preserve">having </w:t>
      </w:r>
      <w:r>
        <w:rPr>
          <w:lang w:val="en-CA"/>
        </w:rPr>
        <w:t>the competency to deal with Town Planning matters</w:t>
      </w:r>
      <w:r w:rsidR="00E7765B">
        <w:rPr>
          <w:lang w:val="en-CA"/>
        </w:rPr>
        <w:t xml:space="preserve">, </w:t>
      </w:r>
      <w:r w:rsidR="00F33968">
        <w:rPr>
          <w:lang w:val="en-CA"/>
        </w:rPr>
        <w:t xml:space="preserve">and the Constitutional Court having </w:t>
      </w:r>
      <w:r>
        <w:rPr>
          <w:lang w:val="en-CA"/>
        </w:rPr>
        <w:t>declared the provision</w:t>
      </w:r>
      <w:r w:rsidR="008A4A93">
        <w:rPr>
          <w:lang w:val="en-CA"/>
        </w:rPr>
        <w:t>s</w:t>
      </w:r>
      <w:r>
        <w:rPr>
          <w:lang w:val="en-CA"/>
        </w:rPr>
        <w:t xml:space="preserve"> </w:t>
      </w:r>
      <w:r>
        <w:rPr>
          <w:lang w:val="en-CA"/>
        </w:rPr>
        <w:lastRenderedPageBreak/>
        <w:t>relat</w:t>
      </w:r>
      <w:r w:rsidR="008A4A93">
        <w:rPr>
          <w:lang w:val="en-CA"/>
        </w:rPr>
        <w:t xml:space="preserve">ing </w:t>
      </w:r>
      <w:r w:rsidR="00F33CDE">
        <w:rPr>
          <w:lang w:val="en-CA"/>
        </w:rPr>
        <w:t xml:space="preserve">to </w:t>
      </w:r>
      <w:r>
        <w:rPr>
          <w:lang w:val="en-CA"/>
        </w:rPr>
        <w:t>the DFA Tribunal body unconstitutional</w:t>
      </w:r>
      <w:r w:rsidR="00674B7F">
        <w:rPr>
          <w:lang w:val="en-CA"/>
        </w:rPr>
        <w:t xml:space="preserve">, it </w:t>
      </w:r>
      <w:r>
        <w:rPr>
          <w:lang w:val="en-CA"/>
        </w:rPr>
        <w:t xml:space="preserve">suspended the </w:t>
      </w:r>
      <w:r w:rsidR="00321A1A">
        <w:rPr>
          <w:lang w:val="en-CA"/>
        </w:rPr>
        <w:t xml:space="preserve">order of constitutional invalidity </w:t>
      </w:r>
      <w:r w:rsidR="00C86846">
        <w:rPr>
          <w:lang w:val="en-CA"/>
        </w:rPr>
        <w:t xml:space="preserve">of its judgment </w:t>
      </w:r>
      <w:r>
        <w:rPr>
          <w:lang w:val="en-CA"/>
        </w:rPr>
        <w:t>for two years</w:t>
      </w:r>
      <w:r w:rsidR="002C266C">
        <w:rPr>
          <w:rStyle w:val="FootnoteReference"/>
          <w:lang w:val="en-CA"/>
        </w:rPr>
        <w:footnoteReference w:id="9"/>
      </w:r>
      <w:r w:rsidR="00FC63BD">
        <w:rPr>
          <w:lang w:val="en-CA"/>
        </w:rPr>
        <w:t xml:space="preserve"> to enable</w:t>
      </w:r>
      <w:r w:rsidR="00BE24B0">
        <w:rPr>
          <w:lang w:val="en-CA"/>
        </w:rPr>
        <w:t xml:space="preserve"> Parliament to enact</w:t>
      </w:r>
      <w:r w:rsidR="00154D5A">
        <w:rPr>
          <w:lang w:val="en-CA"/>
        </w:rPr>
        <w:t xml:space="preserve"> new legislation</w:t>
      </w:r>
      <w:r>
        <w:rPr>
          <w:lang w:val="en-CA"/>
        </w:rPr>
        <w:t>.</w:t>
      </w:r>
      <w:r w:rsidR="00CC4DEE">
        <w:rPr>
          <w:lang w:val="en-CA"/>
        </w:rPr>
        <w:t xml:space="preserve"> </w:t>
      </w:r>
      <w:r w:rsidR="00B87AB4">
        <w:rPr>
          <w:lang w:val="en-CA"/>
        </w:rPr>
        <w:t xml:space="preserve"> The order provided as follows</w:t>
      </w:r>
      <w:r w:rsidR="00B87AB4">
        <w:rPr>
          <w:rStyle w:val="FootnoteReference"/>
          <w:lang w:val="en-CA"/>
        </w:rPr>
        <w:footnoteReference w:id="10"/>
      </w:r>
      <w:r w:rsidR="00B87AB4">
        <w:rPr>
          <w:lang w:val="en-CA"/>
        </w:rPr>
        <w:t>:</w:t>
      </w:r>
    </w:p>
    <w:p w14:paraId="49E3022E" w14:textId="3FC66DAF" w:rsidR="009A2F27" w:rsidRPr="002C266C" w:rsidRDefault="002C266C" w:rsidP="002C266C">
      <w:pPr>
        <w:spacing w:after="0" w:line="240" w:lineRule="auto"/>
        <w:ind w:left="1418"/>
        <w:jc w:val="left"/>
        <w:rPr>
          <w:rFonts w:eastAsia="Times New Roman" w:cs="Arial"/>
          <w:color w:val="000000"/>
          <w:sz w:val="22"/>
          <w:lang w:val="en-ZA" w:eastAsia="en-ZA"/>
        </w:rPr>
      </w:pPr>
      <w:r>
        <w:rPr>
          <w:rFonts w:eastAsia="Times New Roman" w:cs="Arial"/>
          <w:color w:val="000000"/>
          <w:sz w:val="22"/>
          <w:lang w:val="en-ZA" w:eastAsia="en-ZA"/>
        </w:rPr>
        <w:t>“</w:t>
      </w:r>
      <w:r w:rsidR="009A2F27" w:rsidRPr="002C266C">
        <w:rPr>
          <w:rFonts w:eastAsia="Times New Roman" w:cs="Arial"/>
          <w:color w:val="000000"/>
          <w:sz w:val="22"/>
          <w:lang w:val="en-ZA" w:eastAsia="en-ZA"/>
        </w:rPr>
        <w:t>5.   The order of constitutional invalidity made by the Supreme Court of Appeal in respect of Chs V and VI of the Development Facilitation Act 67 of 1995 is confirmed.  </w:t>
      </w:r>
    </w:p>
    <w:p w14:paraId="24D7854A" w14:textId="77DB3045" w:rsidR="009A2F27" w:rsidRPr="009A2F27" w:rsidRDefault="009A2F27" w:rsidP="00B91212">
      <w:pPr>
        <w:spacing w:after="0" w:line="240" w:lineRule="auto"/>
        <w:ind w:left="1418"/>
        <w:jc w:val="left"/>
        <w:rPr>
          <w:rFonts w:eastAsia="Times New Roman" w:cs="Arial"/>
          <w:color w:val="000000"/>
          <w:sz w:val="22"/>
          <w:lang w:val="en-ZA" w:eastAsia="en-ZA"/>
        </w:rPr>
      </w:pPr>
      <w:r w:rsidRPr="009A2F27">
        <w:rPr>
          <w:rFonts w:eastAsia="Times New Roman" w:cs="Arial"/>
          <w:color w:val="000000"/>
          <w:sz w:val="22"/>
          <w:lang w:val="en-ZA" w:eastAsia="en-ZA"/>
        </w:rPr>
        <w:t> 6.   Paragraph 2 of that order relating to the suspension of the order of invalidity is set aside.</w:t>
      </w:r>
    </w:p>
    <w:p w14:paraId="7B2134E8" w14:textId="0C9F6686" w:rsidR="009A2F27" w:rsidRPr="009A2F27" w:rsidRDefault="009A2F27" w:rsidP="009A2F27">
      <w:pPr>
        <w:spacing w:after="0" w:line="240" w:lineRule="auto"/>
        <w:ind w:left="1418" w:hanging="1021"/>
        <w:jc w:val="left"/>
        <w:rPr>
          <w:rFonts w:eastAsia="Times New Roman" w:cs="Arial"/>
          <w:color w:val="000000"/>
          <w:sz w:val="22"/>
          <w:lang w:val="en-ZA" w:eastAsia="en-ZA"/>
        </w:rPr>
      </w:pPr>
      <w:r w:rsidRPr="009A2F27">
        <w:rPr>
          <w:rFonts w:eastAsia="Times New Roman" w:cs="Arial"/>
          <w:color w:val="000000"/>
          <w:sz w:val="22"/>
          <w:lang w:val="en-ZA" w:eastAsia="en-ZA"/>
        </w:rPr>
        <w:t>   </w:t>
      </w:r>
      <w:r w:rsidR="00B91212">
        <w:rPr>
          <w:rFonts w:eastAsia="Times New Roman" w:cs="Arial"/>
          <w:color w:val="000000"/>
          <w:sz w:val="22"/>
          <w:lang w:val="en-ZA" w:eastAsia="en-ZA"/>
        </w:rPr>
        <w:tab/>
      </w:r>
      <w:r w:rsidRPr="009A2F27">
        <w:rPr>
          <w:rFonts w:eastAsia="Times New Roman" w:cs="Arial"/>
          <w:color w:val="000000"/>
          <w:sz w:val="22"/>
          <w:lang w:val="en-ZA" w:eastAsia="en-ZA"/>
        </w:rPr>
        <w:t>7.   The declaration of invalidity is suspended for 24 months from the date of this order to enable Parliament to correct the defects or enact new legislation.</w:t>
      </w:r>
      <w:r w:rsidR="00B91212">
        <w:rPr>
          <w:rFonts w:eastAsia="Times New Roman" w:cs="Arial"/>
          <w:color w:val="000000"/>
          <w:sz w:val="22"/>
          <w:lang w:val="en-ZA" w:eastAsia="en-ZA"/>
        </w:rPr>
        <w:t>”</w:t>
      </w:r>
    </w:p>
    <w:p w14:paraId="78A68D5F" w14:textId="43F79DFE" w:rsidR="009A2F27" w:rsidRDefault="009A2F27" w:rsidP="005002FA">
      <w:pPr>
        <w:pStyle w:val="JudgmentNumbered"/>
        <w:numPr>
          <w:ilvl w:val="0"/>
          <w:numId w:val="0"/>
        </w:numPr>
        <w:spacing w:after="0"/>
        <w:ind w:left="567" w:hanging="567"/>
        <w:rPr>
          <w:lang w:val="en-CA"/>
        </w:rPr>
      </w:pPr>
    </w:p>
    <w:p w14:paraId="39CFB3B5" w14:textId="232B8478" w:rsidR="00BB4603" w:rsidRDefault="000D77E2" w:rsidP="000D77E2">
      <w:pPr>
        <w:pStyle w:val="JudgmentNumbered"/>
        <w:numPr>
          <w:ilvl w:val="0"/>
          <w:numId w:val="0"/>
        </w:numPr>
        <w:spacing w:after="0"/>
        <w:ind w:left="720" w:hanging="720"/>
        <w:rPr>
          <w:lang w:val="en-CA"/>
        </w:rPr>
      </w:pPr>
      <w:r>
        <w:rPr>
          <w:lang w:val="en-CA"/>
        </w:rPr>
        <w:t>[14]</w:t>
      </w:r>
      <w:r>
        <w:rPr>
          <w:lang w:val="en-CA"/>
        </w:rPr>
        <w:tab/>
      </w:r>
      <w:r w:rsidR="00CC4DEE">
        <w:rPr>
          <w:lang w:val="en-CA"/>
        </w:rPr>
        <w:t>During this interim period</w:t>
      </w:r>
      <w:r w:rsidR="00A15FD0">
        <w:rPr>
          <w:lang w:val="en-CA"/>
        </w:rPr>
        <w:t xml:space="preserve"> </w:t>
      </w:r>
      <w:r w:rsidR="00410108">
        <w:rPr>
          <w:lang w:val="en-CA"/>
        </w:rPr>
        <w:t>(</w:t>
      </w:r>
      <w:r w:rsidR="00A15FD0">
        <w:rPr>
          <w:lang w:val="en-CA"/>
        </w:rPr>
        <w:t>2010</w:t>
      </w:r>
      <w:r w:rsidR="00213B02">
        <w:rPr>
          <w:lang w:val="en-CA"/>
        </w:rPr>
        <w:t>-2012)</w:t>
      </w:r>
      <w:r w:rsidR="00B67A8E">
        <w:rPr>
          <w:lang w:val="en-CA"/>
        </w:rPr>
        <w:t xml:space="preserve">, </w:t>
      </w:r>
      <w:r w:rsidR="00BB4603">
        <w:rPr>
          <w:lang w:val="en-CA"/>
        </w:rPr>
        <w:t>the suspension was subject to the following conditions</w:t>
      </w:r>
      <w:r w:rsidR="00DD752A">
        <w:rPr>
          <w:rStyle w:val="FootnoteReference"/>
          <w:lang w:val="en-CA"/>
        </w:rPr>
        <w:footnoteReference w:id="11"/>
      </w:r>
      <w:r w:rsidR="00BB4603">
        <w:rPr>
          <w:lang w:val="en-CA"/>
        </w:rPr>
        <w:t>:</w:t>
      </w:r>
    </w:p>
    <w:p w14:paraId="57578EDE" w14:textId="002C930E" w:rsidR="00BB4603" w:rsidRPr="00C812A5" w:rsidRDefault="00BB4603" w:rsidP="00B67A8E">
      <w:pPr>
        <w:spacing w:after="0" w:line="240" w:lineRule="auto"/>
        <w:ind w:left="0" w:hanging="1021"/>
        <w:rPr>
          <w:rFonts w:eastAsia="Times New Roman" w:cs="Arial"/>
          <w:color w:val="000000"/>
          <w:sz w:val="22"/>
          <w:lang w:val="en-ZA" w:eastAsia="en-ZA"/>
        </w:rPr>
      </w:pPr>
      <w:r>
        <w:rPr>
          <w:lang w:val="en-CA"/>
        </w:rPr>
        <w:tab/>
      </w:r>
      <w:r>
        <w:rPr>
          <w:lang w:val="en-CA"/>
        </w:rPr>
        <w:tab/>
      </w:r>
      <w:r w:rsidR="00BD1CA6">
        <w:rPr>
          <w:rFonts w:cs="Arial"/>
          <w:sz w:val="22"/>
          <w:lang w:val="en-CA"/>
        </w:rPr>
        <w:t xml:space="preserve">“ </w:t>
      </w:r>
      <w:r w:rsidR="0070171F">
        <w:rPr>
          <w:rFonts w:cs="Arial"/>
          <w:sz w:val="22"/>
          <w:lang w:val="en-CA"/>
        </w:rPr>
        <w:t>8.</w:t>
      </w:r>
      <w:r w:rsidR="0070171F">
        <w:rPr>
          <w:rFonts w:cs="Arial"/>
          <w:sz w:val="22"/>
          <w:lang w:val="en-CA"/>
        </w:rPr>
        <w:tab/>
      </w:r>
      <w:r w:rsidRPr="00C812A5">
        <w:rPr>
          <w:rFonts w:eastAsia="Times New Roman" w:cs="Arial"/>
          <w:color w:val="000000"/>
          <w:sz w:val="22"/>
          <w:lang w:val="en-ZA" w:eastAsia="en-ZA"/>
        </w:rPr>
        <w:t>The suspension is subject to the following conditions:</w:t>
      </w:r>
    </w:p>
    <w:p w14:paraId="5510B04A" w14:textId="60DC77C5" w:rsidR="00BB4603" w:rsidRPr="00BB4603" w:rsidRDefault="00BB4603" w:rsidP="00C812A5">
      <w:pPr>
        <w:spacing w:after="0" w:line="240" w:lineRule="auto"/>
        <w:ind w:left="1814" w:hanging="851"/>
        <w:rPr>
          <w:rFonts w:eastAsia="Times New Roman" w:cs="Arial"/>
          <w:color w:val="000000"/>
          <w:sz w:val="22"/>
          <w:lang w:val="en-ZA" w:eastAsia="en-ZA"/>
        </w:rPr>
      </w:pPr>
      <w:r w:rsidRPr="00BB4603">
        <w:rPr>
          <w:rFonts w:eastAsia="Times New Roman" w:cs="Arial"/>
          <w:color w:val="000000"/>
          <w:sz w:val="22"/>
          <w:lang w:val="en-ZA" w:eastAsia="en-ZA"/>
        </w:rPr>
        <w:t>      </w:t>
      </w:r>
      <w:r w:rsidR="00C812A5">
        <w:rPr>
          <w:rFonts w:eastAsia="Times New Roman" w:cs="Arial"/>
          <w:color w:val="000000"/>
          <w:sz w:val="22"/>
          <w:lang w:val="en-ZA" w:eastAsia="en-ZA"/>
        </w:rPr>
        <w:tab/>
      </w:r>
      <w:r w:rsidRPr="00BB4603">
        <w:rPr>
          <w:rFonts w:eastAsia="Times New Roman" w:cs="Arial"/>
          <w:i/>
          <w:iCs/>
          <w:color w:val="000000"/>
          <w:sz w:val="22"/>
          <w:lang w:val="en-ZA" w:eastAsia="en-ZA"/>
        </w:rPr>
        <w:t>(a)</w:t>
      </w:r>
      <w:r w:rsidRPr="00BB4603">
        <w:rPr>
          <w:rFonts w:eastAsia="Times New Roman" w:cs="Arial"/>
          <w:color w:val="000000"/>
          <w:sz w:val="22"/>
          <w:lang w:val="en-ZA" w:eastAsia="en-ZA"/>
        </w:rPr>
        <w:t>   Development tribunals must consider the applicable integrated-development plans, including spatial-development frameworks and urban-development boundaries, when determining applications for the grant or alteration of land-use rights. </w:t>
      </w:r>
    </w:p>
    <w:p w14:paraId="7C47F852" w14:textId="77777777" w:rsidR="00BB4603" w:rsidRPr="00BB4603" w:rsidRDefault="00BB4603" w:rsidP="00C812A5">
      <w:pPr>
        <w:spacing w:after="0" w:line="240" w:lineRule="auto"/>
        <w:ind w:left="1814" w:hanging="374"/>
        <w:rPr>
          <w:rFonts w:eastAsia="Times New Roman" w:cs="Arial"/>
          <w:color w:val="000000"/>
          <w:sz w:val="22"/>
          <w:lang w:val="en-ZA" w:eastAsia="en-ZA"/>
        </w:rPr>
      </w:pPr>
      <w:r w:rsidRPr="00BB4603">
        <w:rPr>
          <w:rFonts w:eastAsia="Times New Roman" w:cs="Arial"/>
          <w:color w:val="000000"/>
          <w:sz w:val="22"/>
          <w:lang w:val="en-ZA" w:eastAsia="en-ZA"/>
        </w:rPr>
        <w:t>      </w:t>
      </w:r>
      <w:r w:rsidRPr="00BB4603">
        <w:rPr>
          <w:rFonts w:eastAsia="Times New Roman" w:cs="Arial"/>
          <w:i/>
          <w:iCs/>
          <w:color w:val="000000"/>
          <w:sz w:val="22"/>
          <w:lang w:val="en-ZA" w:eastAsia="en-ZA"/>
        </w:rPr>
        <w:t>(b)</w:t>
      </w:r>
      <w:r w:rsidRPr="00BB4603">
        <w:rPr>
          <w:rFonts w:eastAsia="Times New Roman" w:cs="Arial"/>
          <w:color w:val="000000"/>
          <w:sz w:val="22"/>
          <w:lang w:val="en-ZA" w:eastAsia="en-ZA"/>
        </w:rPr>
        <w:t>   No development tribunal established under the Act may exclude any bylaw or Act of Parliament from applying to land forming the subject-matter of an application submitted to it.</w:t>
      </w:r>
    </w:p>
    <w:p w14:paraId="700E6223" w14:textId="3C23E565" w:rsidR="00BB4603" w:rsidRPr="00BB4603" w:rsidRDefault="00BB4603" w:rsidP="00C812A5">
      <w:pPr>
        <w:spacing w:after="0" w:line="240" w:lineRule="auto"/>
        <w:ind w:left="1814" w:hanging="851"/>
        <w:rPr>
          <w:rFonts w:eastAsia="Times New Roman" w:cs="Arial"/>
          <w:color w:val="000000"/>
          <w:sz w:val="22"/>
          <w:lang w:val="en-ZA" w:eastAsia="en-ZA"/>
        </w:rPr>
      </w:pPr>
      <w:r w:rsidRPr="00BB4603">
        <w:rPr>
          <w:rFonts w:eastAsia="Times New Roman" w:cs="Arial"/>
          <w:color w:val="000000"/>
          <w:sz w:val="22"/>
          <w:lang w:val="en-ZA" w:eastAsia="en-ZA"/>
        </w:rPr>
        <w:t>      </w:t>
      </w:r>
      <w:r w:rsidR="00C812A5">
        <w:rPr>
          <w:rFonts w:eastAsia="Times New Roman" w:cs="Arial"/>
          <w:color w:val="000000"/>
          <w:sz w:val="22"/>
          <w:lang w:val="en-ZA" w:eastAsia="en-ZA"/>
        </w:rPr>
        <w:tab/>
      </w:r>
      <w:r w:rsidRPr="00BB4603">
        <w:rPr>
          <w:rFonts w:eastAsia="Times New Roman" w:cs="Arial"/>
          <w:i/>
          <w:iCs/>
          <w:color w:val="000000"/>
          <w:sz w:val="22"/>
          <w:lang w:val="en-ZA" w:eastAsia="en-ZA"/>
        </w:rPr>
        <w:t>(c)</w:t>
      </w:r>
      <w:r w:rsidRPr="00BB4603">
        <w:rPr>
          <w:rFonts w:eastAsia="Times New Roman" w:cs="Arial"/>
          <w:color w:val="000000"/>
          <w:sz w:val="22"/>
          <w:lang w:val="en-ZA" w:eastAsia="en-ZA"/>
        </w:rPr>
        <w:t>   No development tribunal established under the Act may accept and determine any application for the grant or</w:t>
      </w:r>
      <w:r w:rsidR="00E720F5">
        <w:rPr>
          <w:rFonts w:eastAsia="Times New Roman" w:cs="Arial"/>
          <w:color w:val="000000"/>
          <w:sz w:val="22"/>
          <w:lang w:val="en-ZA" w:eastAsia="en-ZA"/>
        </w:rPr>
        <w:t xml:space="preserve"> </w:t>
      </w:r>
      <w:r w:rsidRPr="00BB4603">
        <w:rPr>
          <w:rFonts w:eastAsia="Times New Roman" w:cs="Arial"/>
          <w:color w:val="000000"/>
          <w:sz w:val="22"/>
          <w:lang w:val="en-ZA" w:eastAsia="en-ZA"/>
        </w:rPr>
        <w:t>alteration of land-use rights within the jurisdiction of the City of Johannesburg Metropolitan Municipality or eThekwini Municipality, after the date of this order.</w:t>
      </w:r>
    </w:p>
    <w:p w14:paraId="7316C9C4" w14:textId="0C565119" w:rsidR="00BB4603" w:rsidRPr="00BB4603" w:rsidRDefault="00BB4603" w:rsidP="00C812A5">
      <w:pPr>
        <w:spacing w:after="0" w:line="240" w:lineRule="auto"/>
        <w:ind w:left="1814" w:hanging="851"/>
        <w:rPr>
          <w:rFonts w:eastAsia="Times New Roman" w:cs="Arial"/>
          <w:color w:val="000000"/>
          <w:sz w:val="22"/>
          <w:lang w:val="en-ZA" w:eastAsia="en-ZA"/>
        </w:rPr>
      </w:pPr>
      <w:r w:rsidRPr="00BB4603">
        <w:rPr>
          <w:rFonts w:eastAsia="Times New Roman" w:cs="Arial"/>
          <w:color w:val="000000"/>
          <w:sz w:val="22"/>
          <w:lang w:val="en-ZA" w:eastAsia="en-ZA"/>
        </w:rPr>
        <w:t>      </w:t>
      </w:r>
      <w:r w:rsidR="00C812A5">
        <w:rPr>
          <w:rFonts w:eastAsia="Times New Roman" w:cs="Arial"/>
          <w:color w:val="000000"/>
          <w:sz w:val="22"/>
          <w:lang w:val="en-ZA" w:eastAsia="en-ZA"/>
        </w:rPr>
        <w:tab/>
      </w:r>
      <w:r w:rsidRPr="00BB4603">
        <w:rPr>
          <w:rFonts w:eastAsia="Times New Roman" w:cs="Arial"/>
          <w:i/>
          <w:iCs/>
          <w:color w:val="000000"/>
          <w:sz w:val="22"/>
          <w:lang w:val="en-ZA" w:eastAsia="en-ZA"/>
        </w:rPr>
        <w:t>(d)</w:t>
      </w:r>
      <w:r w:rsidRPr="00BB4603">
        <w:rPr>
          <w:rFonts w:eastAsia="Times New Roman" w:cs="Arial"/>
          <w:color w:val="000000"/>
          <w:sz w:val="22"/>
          <w:lang w:val="en-ZA" w:eastAsia="en-ZA"/>
        </w:rPr>
        <w:t>   The relevant development tribunals may determine applications in respect of land falling within the jurisdiction of the City of Johannesburg Metropolitan Municipality or eThekwini Municipality only if these applications were submitted to it before the date of this order.</w:t>
      </w:r>
    </w:p>
    <w:p w14:paraId="32371EEC" w14:textId="4C474C6E" w:rsidR="005002FA" w:rsidRPr="00C812A5" w:rsidRDefault="005002FA" w:rsidP="00C812A5">
      <w:pPr>
        <w:pStyle w:val="JudgmentNumbered"/>
        <w:numPr>
          <w:ilvl w:val="0"/>
          <w:numId w:val="0"/>
        </w:numPr>
        <w:spacing w:after="0"/>
        <w:ind w:left="567" w:hanging="567"/>
        <w:rPr>
          <w:sz w:val="22"/>
          <w:lang w:val="en-CA"/>
        </w:rPr>
      </w:pPr>
      <w:r w:rsidRPr="00C812A5">
        <w:rPr>
          <w:sz w:val="22"/>
          <w:lang w:val="en-CA"/>
        </w:rPr>
        <w:t xml:space="preserve"> </w:t>
      </w:r>
    </w:p>
    <w:p w14:paraId="07AA0CB8" w14:textId="77777777" w:rsidR="005002FA" w:rsidRDefault="005002FA" w:rsidP="005002FA">
      <w:pPr>
        <w:pStyle w:val="JudgmentNumbered"/>
        <w:numPr>
          <w:ilvl w:val="0"/>
          <w:numId w:val="0"/>
        </w:numPr>
        <w:spacing w:after="0"/>
        <w:ind w:left="567" w:hanging="567"/>
        <w:rPr>
          <w:lang w:val="en-CA"/>
        </w:rPr>
      </w:pPr>
    </w:p>
    <w:p w14:paraId="21B69F2D" w14:textId="7D1B8FD5" w:rsidR="005002FA" w:rsidRDefault="000D77E2" w:rsidP="000D77E2">
      <w:pPr>
        <w:pStyle w:val="JudgmentNumbered"/>
        <w:numPr>
          <w:ilvl w:val="0"/>
          <w:numId w:val="0"/>
        </w:numPr>
        <w:spacing w:after="0"/>
        <w:ind w:left="720" w:hanging="720"/>
        <w:rPr>
          <w:lang w:val="en-CA"/>
        </w:rPr>
      </w:pPr>
      <w:r>
        <w:rPr>
          <w:lang w:val="en-CA"/>
        </w:rPr>
        <w:t>[15]</w:t>
      </w:r>
      <w:r>
        <w:rPr>
          <w:lang w:val="en-CA"/>
        </w:rPr>
        <w:tab/>
      </w:r>
      <w:r w:rsidR="005002FA">
        <w:rPr>
          <w:lang w:val="en-CA"/>
        </w:rPr>
        <w:t>In view of the declaration of invalidity</w:t>
      </w:r>
      <w:r w:rsidR="00FB0014">
        <w:rPr>
          <w:lang w:val="en-CA"/>
        </w:rPr>
        <w:t>,</w:t>
      </w:r>
      <w:r w:rsidR="005002FA">
        <w:rPr>
          <w:lang w:val="en-CA"/>
        </w:rPr>
        <w:t xml:space="preserve"> the Tribunal could not accept </w:t>
      </w:r>
      <w:r w:rsidR="005002FA" w:rsidRPr="00A64F7C">
        <w:rPr>
          <w:lang w:val="en-CA"/>
        </w:rPr>
        <w:t>any</w:t>
      </w:r>
      <w:r w:rsidR="009168D8">
        <w:rPr>
          <w:lang w:val="en-CA"/>
        </w:rPr>
        <w:t xml:space="preserve"> </w:t>
      </w:r>
      <w:r w:rsidR="00FB0014">
        <w:rPr>
          <w:lang w:val="en-CA"/>
        </w:rPr>
        <w:t xml:space="preserve">new </w:t>
      </w:r>
      <w:r w:rsidR="005002FA" w:rsidRPr="00A64F7C">
        <w:rPr>
          <w:lang w:val="en-CA"/>
        </w:rPr>
        <w:t>application</w:t>
      </w:r>
      <w:r w:rsidR="009168D8">
        <w:rPr>
          <w:lang w:val="en-CA"/>
        </w:rPr>
        <w:t>s</w:t>
      </w:r>
      <w:r w:rsidR="005002FA" w:rsidRPr="00A64F7C">
        <w:rPr>
          <w:lang w:val="en-CA"/>
        </w:rPr>
        <w:t xml:space="preserve"> for the grant or alteration of land use rights in a municipal area</w:t>
      </w:r>
      <w:r w:rsidR="005002FA">
        <w:rPr>
          <w:lang w:val="en-CA"/>
        </w:rPr>
        <w:t xml:space="preserve">. </w:t>
      </w:r>
      <w:r w:rsidR="005002FA" w:rsidRPr="00A64F7C">
        <w:rPr>
          <w:lang w:val="en-CA"/>
        </w:rPr>
        <w:t xml:space="preserve">The </w:t>
      </w:r>
      <w:r w:rsidR="007F2837">
        <w:rPr>
          <w:lang w:val="en-CA"/>
        </w:rPr>
        <w:t>T</w:t>
      </w:r>
      <w:r w:rsidR="005002FA" w:rsidRPr="00A64F7C">
        <w:rPr>
          <w:lang w:val="en-CA"/>
        </w:rPr>
        <w:t>ribunals could continue to determine applications for rezoning and establish townships that had been submitted</w:t>
      </w:r>
      <w:r w:rsidR="00FB0014">
        <w:rPr>
          <w:lang w:val="en-CA"/>
        </w:rPr>
        <w:t xml:space="preserve"> prior to the date of the order</w:t>
      </w:r>
      <w:r w:rsidR="005002FA">
        <w:rPr>
          <w:lang w:val="en-CA"/>
        </w:rPr>
        <w:t>.</w:t>
      </w:r>
      <w:r w:rsidR="005002FA" w:rsidRPr="00A64F7C">
        <w:rPr>
          <w:lang w:val="en-CA"/>
        </w:rPr>
        <w:t xml:space="preserve"> They could also consider integrated development plans as well as sp</w:t>
      </w:r>
      <w:r w:rsidR="007736C9">
        <w:rPr>
          <w:lang w:val="en-CA"/>
        </w:rPr>
        <w:t>a</w:t>
      </w:r>
      <w:r w:rsidR="00A34A29">
        <w:rPr>
          <w:lang w:val="en-CA"/>
        </w:rPr>
        <w:t>t</w:t>
      </w:r>
      <w:r w:rsidR="005002FA" w:rsidRPr="00A64F7C">
        <w:rPr>
          <w:lang w:val="en-CA"/>
        </w:rPr>
        <w:t>ial development frameworks as well as Urban Development boundaries but could not use their powers to exclude the operation of certain laws and bylaws in respect of land which they were deciding about</w:t>
      </w:r>
      <w:r w:rsidR="005002FA">
        <w:rPr>
          <w:lang w:val="en-CA"/>
        </w:rPr>
        <w:t xml:space="preserve">. </w:t>
      </w:r>
      <w:r w:rsidR="005002FA" w:rsidRPr="00A64F7C">
        <w:rPr>
          <w:lang w:val="en-CA"/>
        </w:rPr>
        <w:t xml:space="preserve">The </w:t>
      </w:r>
      <w:r w:rsidR="00B66F34">
        <w:rPr>
          <w:lang w:val="en-CA"/>
        </w:rPr>
        <w:t xml:space="preserve">Constitutional </w:t>
      </w:r>
      <w:r w:rsidR="007A4EF7">
        <w:rPr>
          <w:lang w:val="en-CA"/>
        </w:rPr>
        <w:t>C</w:t>
      </w:r>
      <w:r w:rsidR="005002FA" w:rsidRPr="00A64F7C">
        <w:rPr>
          <w:lang w:val="en-CA"/>
        </w:rPr>
        <w:t xml:space="preserve">ourt </w:t>
      </w:r>
      <w:r w:rsidR="005002FA" w:rsidRPr="00A64F7C">
        <w:rPr>
          <w:lang w:val="en-CA"/>
        </w:rPr>
        <w:lastRenderedPageBreak/>
        <w:t xml:space="preserve">prohibited </w:t>
      </w:r>
      <w:r w:rsidR="005002FA">
        <w:rPr>
          <w:lang w:val="en-CA"/>
        </w:rPr>
        <w:t>T</w:t>
      </w:r>
      <w:r w:rsidR="005002FA" w:rsidRPr="00A64F7C">
        <w:rPr>
          <w:lang w:val="en-CA"/>
        </w:rPr>
        <w:t xml:space="preserve">ribunals from exercising their </w:t>
      </w:r>
      <w:r w:rsidR="00B66F34">
        <w:rPr>
          <w:lang w:val="en-CA"/>
        </w:rPr>
        <w:t xml:space="preserve">purported </w:t>
      </w:r>
      <w:r w:rsidR="005002FA" w:rsidRPr="00A64F7C">
        <w:rPr>
          <w:lang w:val="en-CA"/>
        </w:rPr>
        <w:t>powers</w:t>
      </w:r>
      <w:r w:rsidR="00272E29">
        <w:rPr>
          <w:lang w:val="en-CA"/>
        </w:rPr>
        <w:t xml:space="preserve"> except with regard to </w:t>
      </w:r>
      <w:r w:rsidR="005002FA" w:rsidRPr="00A64F7C">
        <w:rPr>
          <w:lang w:val="en-CA"/>
        </w:rPr>
        <w:t xml:space="preserve">applications that were already submitted </w:t>
      </w:r>
      <w:r w:rsidR="00DA55C3">
        <w:rPr>
          <w:lang w:val="en-CA"/>
        </w:rPr>
        <w:t xml:space="preserve">to it for </w:t>
      </w:r>
      <w:r w:rsidR="005002FA" w:rsidRPr="00A64F7C">
        <w:rPr>
          <w:lang w:val="en-CA"/>
        </w:rPr>
        <w:t>consider</w:t>
      </w:r>
      <w:r w:rsidR="00DA55C3">
        <w:rPr>
          <w:lang w:val="en-CA"/>
        </w:rPr>
        <w:t>ation</w:t>
      </w:r>
      <w:r w:rsidR="005002FA">
        <w:rPr>
          <w:lang w:val="en-CA"/>
        </w:rPr>
        <w:t xml:space="preserve">. </w:t>
      </w:r>
    </w:p>
    <w:p w14:paraId="76053AE4" w14:textId="77777777" w:rsidR="005002FA" w:rsidRDefault="005002FA" w:rsidP="005002FA">
      <w:pPr>
        <w:pStyle w:val="JudgmentNumbered"/>
        <w:numPr>
          <w:ilvl w:val="0"/>
          <w:numId w:val="0"/>
        </w:numPr>
        <w:spacing w:after="0"/>
        <w:ind w:left="567" w:hanging="567"/>
        <w:rPr>
          <w:lang w:val="en-CA"/>
        </w:rPr>
      </w:pPr>
    </w:p>
    <w:p w14:paraId="0C272D6D" w14:textId="738CAFB1" w:rsidR="00483CD4" w:rsidRDefault="000D77E2" w:rsidP="000D77E2">
      <w:pPr>
        <w:pStyle w:val="JudgmentNumbered"/>
        <w:numPr>
          <w:ilvl w:val="0"/>
          <w:numId w:val="0"/>
        </w:numPr>
        <w:spacing w:after="0"/>
        <w:ind w:left="720" w:hanging="720"/>
        <w:rPr>
          <w:lang w:val="en-CA"/>
        </w:rPr>
      </w:pPr>
      <w:r>
        <w:rPr>
          <w:lang w:val="en-CA"/>
        </w:rPr>
        <w:t>[16]</w:t>
      </w:r>
      <w:r>
        <w:rPr>
          <w:lang w:val="en-CA"/>
        </w:rPr>
        <w:tab/>
      </w:r>
      <w:r w:rsidR="0012239C">
        <w:rPr>
          <w:lang w:val="en-CA"/>
        </w:rPr>
        <w:t xml:space="preserve">The </w:t>
      </w:r>
      <w:r w:rsidR="00593A8F">
        <w:rPr>
          <w:lang w:val="en-CA"/>
        </w:rPr>
        <w:t xml:space="preserve">Constitutional </w:t>
      </w:r>
      <w:r w:rsidR="0012239C">
        <w:rPr>
          <w:lang w:val="en-CA"/>
        </w:rPr>
        <w:t>Court’s order was handed down on 18 June 2010</w:t>
      </w:r>
      <w:r w:rsidR="003A5675">
        <w:rPr>
          <w:lang w:val="en-CA"/>
        </w:rPr>
        <w:t xml:space="preserve">. The </w:t>
      </w:r>
      <w:r w:rsidR="00A4525A">
        <w:rPr>
          <w:lang w:val="en-CA"/>
        </w:rPr>
        <w:t>Developer</w:t>
      </w:r>
      <w:r w:rsidR="003A5675">
        <w:rPr>
          <w:lang w:val="en-CA"/>
        </w:rPr>
        <w:t xml:space="preserve">’s </w:t>
      </w:r>
      <w:r w:rsidR="005F433A">
        <w:rPr>
          <w:lang w:val="en-CA"/>
        </w:rPr>
        <w:t>application</w:t>
      </w:r>
      <w:r w:rsidR="00FC58A0">
        <w:rPr>
          <w:lang w:val="en-CA"/>
        </w:rPr>
        <w:t xml:space="preserve"> in respect of Badenhorst Estate</w:t>
      </w:r>
      <w:r w:rsidR="005F433A">
        <w:rPr>
          <w:lang w:val="en-CA"/>
        </w:rPr>
        <w:t xml:space="preserve"> was submitted prior to the </w:t>
      </w:r>
      <w:r w:rsidR="00E57C6C">
        <w:rPr>
          <w:lang w:val="en-CA"/>
        </w:rPr>
        <w:t xml:space="preserve">handing down of the order and declaration of invalidity. The approval was </w:t>
      </w:r>
      <w:r w:rsidR="005002FA" w:rsidRPr="00A64F7C">
        <w:rPr>
          <w:lang w:val="en-CA"/>
        </w:rPr>
        <w:t>granted permanently on 20 October 2011</w:t>
      </w:r>
      <w:r w:rsidR="005002FA">
        <w:rPr>
          <w:lang w:val="en-CA"/>
        </w:rPr>
        <w:t>.</w:t>
      </w:r>
      <w:r w:rsidR="005002FA" w:rsidRPr="00A64F7C">
        <w:rPr>
          <w:lang w:val="en-CA"/>
        </w:rPr>
        <w:t xml:space="preserve"> This was communicated to the developers on 27 February 2012</w:t>
      </w:r>
      <w:r w:rsidR="005002FA">
        <w:rPr>
          <w:lang w:val="en-CA"/>
        </w:rPr>
        <w:t xml:space="preserve">. </w:t>
      </w:r>
      <w:r w:rsidR="00E57C6C">
        <w:rPr>
          <w:lang w:val="en-CA"/>
        </w:rPr>
        <w:t>T</w:t>
      </w:r>
      <w:r w:rsidR="005002FA" w:rsidRPr="00A64F7C">
        <w:rPr>
          <w:lang w:val="en-CA"/>
        </w:rPr>
        <w:t>he scheme documents w</w:t>
      </w:r>
      <w:r w:rsidR="00E57C6C">
        <w:rPr>
          <w:lang w:val="en-CA"/>
        </w:rPr>
        <w:t xml:space="preserve">ere </w:t>
      </w:r>
      <w:r w:rsidR="005002FA" w:rsidRPr="00A64F7C">
        <w:rPr>
          <w:lang w:val="en-CA"/>
        </w:rPr>
        <w:t>signed on 13 June 2012 by the DF</w:t>
      </w:r>
      <w:r w:rsidR="00E57C6C">
        <w:rPr>
          <w:lang w:val="en-CA"/>
        </w:rPr>
        <w:t>A</w:t>
      </w:r>
      <w:r w:rsidR="005002FA" w:rsidRPr="00A64F7C">
        <w:rPr>
          <w:lang w:val="en-CA"/>
        </w:rPr>
        <w:t xml:space="preserve"> </w:t>
      </w:r>
      <w:r w:rsidR="00E57C6C">
        <w:rPr>
          <w:lang w:val="en-CA"/>
        </w:rPr>
        <w:t>T</w:t>
      </w:r>
      <w:r w:rsidR="005002FA" w:rsidRPr="00A64F7C">
        <w:rPr>
          <w:lang w:val="en-CA"/>
        </w:rPr>
        <w:t>ribunal</w:t>
      </w:r>
      <w:r w:rsidR="005C3B6F">
        <w:rPr>
          <w:lang w:val="en-CA"/>
        </w:rPr>
        <w:t>’s</w:t>
      </w:r>
      <w:r w:rsidR="005002FA" w:rsidRPr="00A64F7C">
        <w:rPr>
          <w:lang w:val="en-CA"/>
        </w:rPr>
        <w:t xml:space="preserve"> presiding officer</w:t>
      </w:r>
      <w:r w:rsidR="005002FA">
        <w:rPr>
          <w:lang w:val="en-CA"/>
        </w:rPr>
        <w:t xml:space="preserve">. </w:t>
      </w:r>
      <w:r w:rsidR="005002FA" w:rsidRPr="00A64F7C">
        <w:rPr>
          <w:lang w:val="en-CA"/>
        </w:rPr>
        <w:t xml:space="preserve">The application was in terms of the </w:t>
      </w:r>
      <w:r w:rsidRPr="00A64F7C">
        <w:rPr>
          <w:lang w:val="en-CA"/>
        </w:rPr>
        <w:t>DFA</w:t>
      </w:r>
      <w:r>
        <w:rPr>
          <w:lang w:val="en-CA"/>
        </w:rPr>
        <w:t>,</w:t>
      </w:r>
      <w:r w:rsidRPr="00A64F7C">
        <w:rPr>
          <w:lang w:val="en-CA"/>
        </w:rPr>
        <w:t xml:space="preserve"> </w:t>
      </w:r>
      <w:r>
        <w:rPr>
          <w:lang w:val="en-CA"/>
        </w:rPr>
        <w:t>thus</w:t>
      </w:r>
      <w:r w:rsidR="00483CD4">
        <w:rPr>
          <w:lang w:val="en-CA"/>
        </w:rPr>
        <w:t>,</w:t>
      </w:r>
      <w:r w:rsidR="005002FA" w:rsidRPr="00A64F7C">
        <w:rPr>
          <w:lang w:val="en-CA"/>
        </w:rPr>
        <w:t xml:space="preserve"> the </w:t>
      </w:r>
      <w:r w:rsidR="00FD511B">
        <w:rPr>
          <w:lang w:val="en-CA"/>
        </w:rPr>
        <w:t xml:space="preserve">third respondent and the </w:t>
      </w:r>
      <w:r w:rsidR="00B97C8C">
        <w:rPr>
          <w:lang w:val="en-CA"/>
        </w:rPr>
        <w:t xml:space="preserve">Municipality </w:t>
      </w:r>
      <w:r w:rsidR="0069506B">
        <w:rPr>
          <w:lang w:val="en-CA"/>
        </w:rPr>
        <w:t xml:space="preserve">contended that </w:t>
      </w:r>
      <w:r w:rsidR="005002FA" w:rsidRPr="00A64F7C">
        <w:rPr>
          <w:lang w:val="en-CA"/>
        </w:rPr>
        <w:t>it was not affected by the declaration of invalidity</w:t>
      </w:r>
      <w:r w:rsidR="005002FA">
        <w:rPr>
          <w:lang w:val="en-CA"/>
        </w:rPr>
        <w:t xml:space="preserve">. </w:t>
      </w:r>
    </w:p>
    <w:p w14:paraId="5048E96A" w14:textId="77777777" w:rsidR="00483CD4" w:rsidRDefault="00483CD4" w:rsidP="005002FA">
      <w:pPr>
        <w:pStyle w:val="JudgmentNumbered"/>
        <w:numPr>
          <w:ilvl w:val="0"/>
          <w:numId w:val="0"/>
        </w:numPr>
        <w:spacing w:after="0"/>
        <w:ind w:left="567" w:hanging="567"/>
        <w:rPr>
          <w:lang w:val="en-CA"/>
        </w:rPr>
      </w:pPr>
    </w:p>
    <w:p w14:paraId="41B129D9" w14:textId="737D4A55" w:rsidR="005002FA" w:rsidRDefault="000D77E2" w:rsidP="000D77E2">
      <w:pPr>
        <w:pStyle w:val="JudgmentNumbered"/>
        <w:numPr>
          <w:ilvl w:val="0"/>
          <w:numId w:val="0"/>
        </w:numPr>
        <w:spacing w:after="0"/>
        <w:ind w:left="720" w:hanging="720"/>
        <w:rPr>
          <w:lang w:val="en-CA"/>
        </w:rPr>
      </w:pPr>
      <w:r>
        <w:rPr>
          <w:lang w:val="en-CA"/>
        </w:rPr>
        <w:t>[17]</w:t>
      </w:r>
      <w:r>
        <w:rPr>
          <w:lang w:val="en-CA"/>
        </w:rPr>
        <w:tab/>
      </w:r>
      <w:r w:rsidR="007E3419">
        <w:rPr>
          <w:lang w:val="en-CA"/>
        </w:rPr>
        <w:t xml:space="preserve">Upon the </w:t>
      </w:r>
      <w:r w:rsidR="00B825F3">
        <w:rPr>
          <w:lang w:val="en-CA"/>
        </w:rPr>
        <w:t xml:space="preserve">Constitutional Court’s determination that </w:t>
      </w:r>
      <w:r w:rsidR="00500DD6">
        <w:rPr>
          <w:lang w:val="en-CA"/>
        </w:rPr>
        <w:t xml:space="preserve">municipalities should deal with </w:t>
      </w:r>
      <w:r w:rsidR="001F683E">
        <w:rPr>
          <w:lang w:val="en-CA"/>
        </w:rPr>
        <w:t>the granting and alteration of land use rights</w:t>
      </w:r>
      <w:r w:rsidR="00EF13B1">
        <w:rPr>
          <w:lang w:val="en-CA"/>
        </w:rPr>
        <w:t>, t</w:t>
      </w:r>
      <w:r w:rsidR="00B97C8C">
        <w:rPr>
          <w:lang w:val="en-CA"/>
        </w:rPr>
        <w:t xml:space="preserve">he Municipality </w:t>
      </w:r>
      <w:r w:rsidR="005002FA" w:rsidRPr="00D451E5">
        <w:rPr>
          <w:lang w:val="en-CA"/>
        </w:rPr>
        <w:t>had to de</w:t>
      </w:r>
      <w:r w:rsidR="00002BB4">
        <w:rPr>
          <w:lang w:val="en-CA"/>
        </w:rPr>
        <w:t xml:space="preserve">termine </w:t>
      </w:r>
      <w:r w:rsidR="005002FA" w:rsidRPr="00D451E5">
        <w:rPr>
          <w:lang w:val="en-CA"/>
        </w:rPr>
        <w:t>how to proceed with applications l</w:t>
      </w:r>
      <w:r w:rsidR="005002FA">
        <w:rPr>
          <w:lang w:val="en-CA"/>
        </w:rPr>
        <w:t>odged</w:t>
      </w:r>
      <w:r w:rsidR="005002FA" w:rsidRPr="00D451E5">
        <w:rPr>
          <w:lang w:val="en-CA"/>
        </w:rPr>
        <w:t xml:space="preserve"> in terms of the DF</w:t>
      </w:r>
      <w:r w:rsidR="005002FA">
        <w:rPr>
          <w:lang w:val="en-CA"/>
        </w:rPr>
        <w:t>A</w:t>
      </w:r>
      <w:r w:rsidR="002F20C2">
        <w:rPr>
          <w:lang w:val="en-CA"/>
        </w:rPr>
        <w:t xml:space="preserve"> upon the declaration of invalid</w:t>
      </w:r>
      <w:r w:rsidR="000E0D60">
        <w:rPr>
          <w:lang w:val="en-CA"/>
        </w:rPr>
        <w:t>i</w:t>
      </w:r>
      <w:r w:rsidR="002F20C2">
        <w:rPr>
          <w:lang w:val="en-CA"/>
        </w:rPr>
        <w:t>ty</w:t>
      </w:r>
      <w:r w:rsidR="005002FA">
        <w:rPr>
          <w:lang w:val="en-CA"/>
        </w:rPr>
        <w:t xml:space="preserve">. </w:t>
      </w:r>
      <w:r w:rsidR="002253F4">
        <w:rPr>
          <w:lang w:val="en-CA"/>
        </w:rPr>
        <w:t xml:space="preserve">It did not process new </w:t>
      </w:r>
      <w:r w:rsidR="005002FA" w:rsidRPr="00D451E5">
        <w:rPr>
          <w:lang w:val="en-CA"/>
        </w:rPr>
        <w:t>applications</w:t>
      </w:r>
      <w:r w:rsidR="007A6BE2">
        <w:rPr>
          <w:lang w:val="en-CA"/>
        </w:rPr>
        <w:t>,</w:t>
      </w:r>
      <w:r w:rsidR="005002FA" w:rsidRPr="00D451E5">
        <w:rPr>
          <w:lang w:val="en-CA"/>
        </w:rPr>
        <w:t xml:space="preserve"> </w:t>
      </w:r>
      <w:r w:rsidR="002253F4">
        <w:rPr>
          <w:lang w:val="en-CA"/>
        </w:rPr>
        <w:t xml:space="preserve">according to the DFA, </w:t>
      </w:r>
      <w:r w:rsidR="00A35C0A">
        <w:rPr>
          <w:lang w:val="en-CA"/>
        </w:rPr>
        <w:t xml:space="preserve">from </w:t>
      </w:r>
      <w:r w:rsidR="005002FA" w:rsidRPr="00D451E5">
        <w:rPr>
          <w:lang w:val="en-CA"/>
        </w:rPr>
        <w:t>18 June 201</w:t>
      </w:r>
      <w:r w:rsidR="002475FF">
        <w:rPr>
          <w:lang w:val="en-CA"/>
        </w:rPr>
        <w:t>0</w:t>
      </w:r>
      <w:r w:rsidR="002253F4">
        <w:rPr>
          <w:lang w:val="en-CA"/>
        </w:rPr>
        <w:t xml:space="preserve">. It </w:t>
      </w:r>
      <w:r w:rsidR="0014091A">
        <w:rPr>
          <w:lang w:val="en-CA"/>
        </w:rPr>
        <w:t xml:space="preserve">proceeded to finalise pending applications, </w:t>
      </w:r>
      <w:r w:rsidR="005002FA" w:rsidRPr="00D451E5">
        <w:rPr>
          <w:lang w:val="en-CA"/>
        </w:rPr>
        <w:t xml:space="preserve">in line with the </w:t>
      </w:r>
      <w:r w:rsidR="00A4525A">
        <w:rPr>
          <w:lang w:val="en-CA"/>
        </w:rPr>
        <w:t xml:space="preserve">Constitutional </w:t>
      </w:r>
      <w:r w:rsidR="004E6F57">
        <w:rPr>
          <w:lang w:val="en-CA"/>
        </w:rPr>
        <w:t>C</w:t>
      </w:r>
      <w:r w:rsidR="005002FA" w:rsidRPr="00D451E5">
        <w:rPr>
          <w:lang w:val="en-CA"/>
        </w:rPr>
        <w:t>ourt's ruling</w:t>
      </w:r>
      <w:r w:rsidR="005002FA">
        <w:rPr>
          <w:lang w:val="en-CA"/>
        </w:rPr>
        <w:t xml:space="preserve">. </w:t>
      </w:r>
      <w:r w:rsidR="00B97C8C">
        <w:rPr>
          <w:lang w:val="en-CA"/>
        </w:rPr>
        <w:t>The Municipality</w:t>
      </w:r>
      <w:r w:rsidR="00A4525A">
        <w:rPr>
          <w:lang w:val="en-CA"/>
        </w:rPr>
        <w:t>’s</w:t>
      </w:r>
      <w:r w:rsidR="00B97C8C">
        <w:rPr>
          <w:lang w:val="en-CA"/>
        </w:rPr>
        <w:t xml:space="preserve"> </w:t>
      </w:r>
      <w:r w:rsidR="005002FA" w:rsidRPr="00D451E5">
        <w:rPr>
          <w:lang w:val="en-CA"/>
        </w:rPr>
        <w:t>planning department approved guidelines for the finali</w:t>
      </w:r>
      <w:r w:rsidR="004E6F57">
        <w:rPr>
          <w:lang w:val="en-CA"/>
        </w:rPr>
        <w:t>s</w:t>
      </w:r>
      <w:r w:rsidR="005002FA" w:rsidRPr="00D451E5">
        <w:rPr>
          <w:lang w:val="en-CA"/>
        </w:rPr>
        <w:t>ation of applications</w:t>
      </w:r>
      <w:r w:rsidR="005002FA">
        <w:rPr>
          <w:lang w:val="en-CA"/>
        </w:rPr>
        <w:t xml:space="preserve"> </w:t>
      </w:r>
      <w:r w:rsidR="00822077">
        <w:rPr>
          <w:lang w:val="en-CA"/>
        </w:rPr>
        <w:t xml:space="preserve">on </w:t>
      </w:r>
      <w:r w:rsidR="005002FA" w:rsidRPr="00D451E5">
        <w:rPr>
          <w:lang w:val="en-CA"/>
        </w:rPr>
        <w:t>13 June 2013</w:t>
      </w:r>
      <w:r w:rsidR="005002FA">
        <w:rPr>
          <w:lang w:val="en-CA"/>
        </w:rPr>
        <w:t xml:space="preserve">. </w:t>
      </w:r>
      <w:r w:rsidR="005002FA" w:rsidRPr="00D451E5">
        <w:rPr>
          <w:lang w:val="en-CA"/>
        </w:rPr>
        <w:t xml:space="preserve">These </w:t>
      </w:r>
      <w:r w:rsidR="00822077">
        <w:rPr>
          <w:lang w:val="en-CA"/>
        </w:rPr>
        <w:t xml:space="preserve">applications </w:t>
      </w:r>
      <w:r w:rsidR="005002FA" w:rsidRPr="00D451E5">
        <w:rPr>
          <w:lang w:val="en-CA"/>
        </w:rPr>
        <w:t>were all finali</w:t>
      </w:r>
      <w:r w:rsidR="00822077">
        <w:rPr>
          <w:lang w:val="en-CA"/>
        </w:rPr>
        <w:t>s</w:t>
      </w:r>
      <w:r w:rsidR="005002FA" w:rsidRPr="00D451E5">
        <w:rPr>
          <w:lang w:val="en-CA"/>
        </w:rPr>
        <w:t xml:space="preserve">ed in terms of the </w:t>
      </w:r>
      <w:r w:rsidR="005002FA">
        <w:rPr>
          <w:lang w:val="en-CA"/>
        </w:rPr>
        <w:t>O</w:t>
      </w:r>
      <w:r w:rsidR="005002FA" w:rsidRPr="00D451E5">
        <w:rPr>
          <w:lang w:val="en-CA"/>
        </w:rPr>
        <w:t>rdinance</w:t>
      </w:r>
      <w:r w:rsidR="005002FA">
        <w:rPr>
          <w:lang w:val="en-CA"/>
        </w:rPr>
        <w:t xml:space="preserve"> </w:t>
      </w:r>
      <w:r w:rsidR="005002FA" w:rsidRPr="00D451E5">
        <w:rPr>
          <w:lang w:val="en-CA"/>
        </w:rPr>
        <w:t xml:space="preserve">in the absence of a mechanism </w:t>
      </w:r>
      <w:r w:rsidR="007A6BE2">
        <w:rPr>
          <w:lang w:val="en-CA"/>
        </w:rPr>
        <w:t xml:space="preserve">introduced </w:t>
      </w:r>
      <w:r w:rsidR="005002FA" w:rsidRPr="00D451E5">
        <w:rPr>
          <w:lang w:val="en-CA"/>
        </w:rPr>
        <w:t xml:space="preserve">by the national government to address flaws identified by the </w:t>
      </w:r>
      <w:r w:rsidR="007A6BE2">
        <w:rPr>
          <w:lang w:val="en-CA"/>
        </w:rPr>
        <w:t>C</w:t>
      </w:r>
      <w:r w:rsidR="005002FA" w:rsidRPr="00D451E5">
        <w:rPr>
          <w:lang w:val="en-CA"/>
        </w:rPr>
        <w:t xml:space="preserve">onstitutional </w:t>
      </w:r>
      <w:r w:rsidR="007A6BE2">
        <w:rPr>
          <w:lang w:val="en-CA"/>
        </w:rPr>
        <w:t>C</w:t>
      </w:r>
      <w:r w:rsidR="005002FA" w:rsidRPr="00D451E5">
        <w:rPr>
          <w:lang w:val="en-CA"/>
        </w:rPr>
        <w:t>ourt</w:t>
      </w:r>
      <w:r w:rsidR="005002FA">
        <w:rPr>
          <w:lang w:val="en-CA"/>
        </w:rPr>
        <w:t xml:space="preserve">. </w:t>
      </w:r>
      <w:r w:rsidR="005002FA" w:rsidRPr="00D451E5">
        <w:rPr>
          <w:lang w:val="en-CA"/>
        </w:rPr>
        <w:t xml:space="preserve">Later the </w:t>
      </w:r>
      <w:r w:rsidR="006D6E62">
        <w:rPr>
          <w:lang w:val="en-CA"/>
        </w:rPr>
        <w:t>S</w:t>
      </w:r>
      <w:r w:rsidR="005002FA" w:rsidRPr="00D451E5">
        <w:rPr>
          <w:lang w:val="en-CA"/>
        </w:rPr>
        <w:t>p</w:t>
      </w:r>
      <w:r w:rsidR="006D6E62">
        <w:rPr>
          <w:lang w:val="en-CA"/>
        </w:rPr>
        <w:t>a</w:t>
      </w:r>
      <w:r w:rsidR="000E0D60">
        <w:rPr>
          <w:lang w:val="en-CA"/>
        </w:rPr>
        <w:t>t</w:t>
      </w:r>
      <w:r w:rsidR="005002FA" w:rsidRPr="00D451E5">
        <w:rPr>
          <w:lang w:val="en-CA"/>
        </w:rPr>
        <w:t xml:space="preserve">ial </w:t>
      </w:r>
      <w:r w:rsidR="006D6E62">
        <w:rPr>
          <w:lang w:val="en-CA"/>
        </w:rPr>
        <w:t>P</w:t>
      </w:r>
      <w:r w:rsidR="005002FA" w:rsidRPr="00D451E5">
        <w:rPr>
          <w:lang w:val="en-CA"/>
        </w:rPr>
        <w:t xml:space="preserve">lanning and </w:t>
      </w:r>
      <w:r w:rsidR="006D6E62">
        <w:rPr>
          <w:lang w:val="en-CA"/>
        </w:rPr>
        <w:t>L</w:t>
      </w:r>
      <w:r w:rsidR="005002FA" w:rsidRPr="00D451E5">
        <w:rPr>
          <w:lang w:val="en-CA"/>
        </w:rPr>
        <w:t xml:space="preserve">and </w:t>
      </w:r>
      <w:r w:rsidR="006D6E62">
        <w:rPr>
          <w:lang w:val="en-CA"/>
        </w:rPr>
        <w:t>U</w:t>
      </w:r>
      <w:r w:rsidR="005002FA" w:rsidRPr="00D451E5">
        <w:rPr>
          <w:lang w:val="en-CA"/>
        </w:rPr>
        <w:t xml:space="preserve">se </w:t>
      </w:r>
      <w:r w:rsidR="006D6E62">
        <w:rPr>
          <w:lang w:val="en-CA"/>
        </w:rPr>
        <w:t>M</w:t>
      </w:r>
      <w:r w:rsidR="005002FA" w:rsidRPr="00D451E5">
        <w:rPr>
          <w:lang w:val="en-CA"/>
        </w:rPr>
        <w:t xml:space="preserve">anagement </w:t>
      </w:r>
      <w:r w:rsidR="006D6E62">
        <w:rPr>
          <w:lang w:val="en-CA"/>
        </w:rPr>
        <w:t>A</w:t>
      </w:r>
      <w:r w:rsidR="005002FA" w:rsidRPr="00D451E5">
        <w:rPr>
          <w:lang w:val="en-CA"/>
        </w:rPr>
        <w:t>ct 16 of 2013</w:t>
      </w:r>
      <w:r w:rsidR="00DA33A5">
        <w:rPr>
          <w:lang w:val="en-CA"/>
        </w:rPr>
        <w:t xml:space="preserve"> </w:t>
      </w:r>
      <w:r w:rsidR="005002FA">
        <w:rPr>
          <w:lang w:val="en-CA"/>
        </w:rPr>
        <w:t xml:space="preserve">(SPLUMA) </w:t>
      </w:r>
      <w:r w:rsidR="005002FA" w:rsidRPr="00D451E5">
        <w:rPr>
          <w:lang w:val="en-CA"/>
        </w:rPr>
        <w:t>was introduced to provide for uniform</w:t>
      </w:r>
      <w:r w:rsidR="006D6E62">
        <w:rPr>
          <w:lang w:val="en-CA"/>
        </w:rPr>
        <w:t>,</w:t>
      </w:r>
      <w:r w:rsidR="005002FA" w:rsidRPr="00D451E5">
        <w:rPr>
          <w:lang w:val="en-CA"/>
        </w:rPr>
        <w:t xml:space="preserve"> effective</w:t>
      </w:r>
      <w:r w:rsidR="006D6E62">
        <w:rPr>
          <w:lang w:val="en-CA"/>
        </w:rPr>
        <w:t>,</w:t>
      </w:r>
      <w:r w:rsidR="005002FA" w:rsidRPr="00D451E5">
        <w:rPr>
          <w:lang w:val="en-CA"/>
        </w:rPr>
        <w:t xml:space="preserve"> efficient an integrated spatial planning and land use management</w:t>
      </w:r>
      <w:r w:rsidR="005002FA">
        <w:rPr>
          <w:lang w:val="en-CA"/>
        </w:rPr>
        <w:t>. SPLUMA was promulgated on 25 September 2019. The DFA application</w:t>
      </w:r>
      <w:r w:rsidR="00DA33A5">
        <w:rPr>
          <w:lang w:val="en-CA"/>
        </w:rPr>
        <w:t>s</w:t>
      </w:r>
      <w:r w:rsidR="005002FA">
        <w:rPr>
          <w:lang w:val="en-CA"/>
        </w:rPr>
        <w:t xml:space="preserve"> had </w:t>
      </w:r>
      <w:r w:rsidR="00773675">
        <w:rPr>
          <w:lang w:val="en-CA"/>
        </w:rPr>
        <w:t>b</w:t>
      </w:r>
      <w:r w:rsidR="005002FA">
        <w:rPr>
          <w:lang w:val="en-CA"/>
        </w:rPr>
        <w:t xml:space="preserve">ecome the responsibility of the Municipality in view of the decision of the court in </w:t>
      </w:r>
      <w:r w:rsidR="005002FA" w:rsidRPr="001F2662">
        <w:rPr>
          <w:i/>
          <w:iCs/>
          <w:lang w:val="en-CA"/>
        </w:rPr>
        <w:t>Johannesburg Metropolitan Municipality v Development Tribunal and others</w:t>
      </w:r>
      <w:r w:rsidR="005002FA">
        <w:rPr>
          <w:rStyle w:val="FootnoteReference"/>
          <w:i/>
          <w:iCs/>
          <w:lang w:val="en-CA"/>
        </w:rPr>
        <w:footnoteReference w:id="12"/>
      </w:r>
      <w:r w:rsidR="009D3D28">
        <w:rPr>
          <w:i/>
          <w:iCs/>
          <w:lang w:val="en-CA"/>
        </w:rPr>
        <w:t>.</w:t>
      </w:r>
    </w:p>
    <w:p w14:paraId="2A69CE85" w14:textId="6EE42309" w:rsidR="00C90337" w:rsidRDefault="00044F23" w:rsidP="00C90337">
      <w:pPr>
        <w:pStyle w:val="JudgmentNumbered"/>
        <w:numPr>
          <w:ilvl w:val="0"/>
          <w:numId w:val="0"/>
        </w:numPr>
        <w:spacing w:after="0"/>
        <w:ind w:left="567" w:hanging="567"/>
      </w:pPr>
      <w:r>
        <w:t xml:space="preserve"> </w:t>
      </w:r>
    </w:p>
    <w:p w14:paraId="40DB974C" w14:textId="1410F6BF" w:rsidR="009F4DF4" w:rsidRDefault="000D77E2" w:rsidP="009F4DF4">
      <w:pPr>
        <w:pStyle w:val="JudgmentNumbered"/>
        <w:numPr>
          <w:ilvl w:val="0"/>
          <w:numId w:val="0"/>
        </w:numPr>
        <w:spacing w:after="0"/>
        <w:ind w:left="567" w:hanging="567"/>
        <w:rPr>
          <w:lang w:val="en-CA"/>
        </w:rPr>
      </w:pPr>
      <w:r>
        <w:t>[18]</w:t>
      </w:r>
      <w:r>
        <w:tab/>
      </w:r>
      <w:r>
        <w:tab/>
      </w:r>
      <w:r w:rsidR="009F4DF4">
        <w:rPr>
          <w:lang w:val="en-CA"/>
        </w:rPr>
        <w:t xml:space="preserve">In </w:t>
      </w:r>
      <w:r w:rsidR="009F4DF4" w:rsidRPr="000F7636">
        <w:rPr>
          <w:i/>
          <w:iCs/>
          <w:lang w:val="en-CA"/>
        </w:rPr>
        <w:t>Bato Star (Pty) Ltd v  Minister of Environmental Affairs</w:t>
      </w:r>
      <w:r w:rsidR="009F4DF4">
        <w:rPr>
          <w:rStyle w:val="FootnoteReference"/>
          <w:i/>
          <w:iCs/>
          <w:lang w:val="en-CA"/>
        </w:rPr>
        <w:footnoteReference w:id="13"/>
      </w:r>
      <w:r w:rsidR="009F4DF4">
        <w:rPr>
          <w:lang w:val="en-CA"/>
        </w:rPr>
        <w:t xml:space="preserve">  the Court held: </w:t>
      </w:r>
    </w:p>
    <w:p w14:paraId="43480AA9" w14:textId="77777777" w:rsidR="009F4DF4" w:rsidRPr="008D658F" w:rsidRDefault="009F4DF4" w:rsidP="009F4DF4">
      <w:pPr>
        <w:pStyle w:val="JudgmentNumbered"/>
        <w:numPr>
          <w:ilvl w:val="0"/>
          <w:numId w:val="0"/>
        </w:numPr>
        <w:spacing w:after="0"/>
        <w:ind w:left="1440"/>
        <w:rPr>
          <w:sz w:val="22"/>
        </w:rPr>
      </w:pPr>
      <w:r w:rsidRPr="008D658F">
        <w:rPr>
          <w:sz w:val="22"/>
          <w:lang w:val="en-CA"/>
        </w:rPr>
        <w:t>“</w:t>
      </w:r>
      <w:r w:rsidRPr="008D658F">
        <w:rPr>
          <w:sz w:val="22"/>
        </w:rPr>
        <w:t xml:space="preserve">What will constitute a reasonable decision will depend on the circumstances of each case, much as what will constitute a fair procedure will depend on the </w:t>
      </w:r>
      <w:r w:rsidRPr="008D658F">
        <w:rPr>
          <w:sz w:val="22"/>
        </w:rPr>
        <w:lastRenderedPageBreak/>
        <w:t>circumstances of each case. Factors relevant to determining whether a decision is reasonable or not will include the nature of the decision, the identity and expertise of the decision- maker, the range of factors relevant to the decision, the reasons given for the decision, the nature of the competing interests involved and the impact of the decision on the lives and well being of those affected. Although the review function of the Court now have a substantive as well as well as procedural ingredient, the distinction between appeals and reviews continues to be significant. The Court should take care not to usurp the functions of administrative agencies. Its task is to ensure that the decision taken by administrative agencies fall within the bounds of reasonableness as required by the Constitution.”</w:t>
      </w:r>
    </w:p>
    <w:p w14:paraId="5C4BBDB0" w14:textId="77777777" w:rsidR="009F4DF4" w:rsidRDefault="009F4DF4" w:rsidP="00C90337">
      <w:pPr>
        <w:pStyle w:val="JudgmentNumbered"/>
        <w:numPr>
          <w:ilvl w:val="0"/>
          <w:numId w:val="0"/>
        </w:numPr>
        <w:spacing w:after="0"/>
        <w:ind w:left="567" w:hanging="567"/>
      </w:pPr>
    </w:p>
    <w:p w14:paraId="712A824E" w14:textId="7AC7819B" w:rsidR="00EC66E1" w:rsidRDefault="000D77E2" w:rsidP="000D77E2">
      <w:pPr>
        <w:pStyle w:val="JudgmentNumbered"/>
        <w:numPr>
          <w:ilvl w:val="0"/>
          <w:numId w:val="0"/>
        </w:numPr>
        <w:spacing w:after="0"/>
        <w:ind w:left="720" w:hanging="720"/>
      </w:pPr>
      <w:r>
        <w:t>[19]</w:t>
      </w:r>
      <w:r>
        <w:tab/>
      </w:r>
      <w:r w:rsidR="00932843">
        <w:t>T</w:t>
      </w:r>
      <w:r w:rsidR="00EC66E1">
        <w:t xml:space="preserve">he applicant </w:t>
      </w:r>
      <w:r w:rsidR="00A72F4D">
        <w:t>seeks the review and setting aside of various decisions</w:t>
      </w:r>
      <w:r w:rsidR="00561529">
        <w:t xml:space="preserve"> made by the </w:t>
      </w:r>
      <w:r w:rsidR="00B97C8C">
        <w:t xml:space="preserve">Municipality </w:t>
      </w:r>
      <w:r w:rsidR="00561529">
        <w:t xml:space="preserve">relating to the Dalpark, Extension 19 Township, including Badenhorst Estate </w:t>
      </w:r>
      <w:r w:rsidR="008A7826">
        <w:t>encompassing Erven</w:t>
      </w:r>
      <w:r w:rsidR="00D57171">
        <w:t xml:space="preserve"> 3087 and 3110</w:t>
      </w:r>
      <w:r w:rsidR="0082739A">
        <w:t xml:space="preserve">. It </w:t>
      </w:r>
      <w:r w:rsidR="00AE5379">
        <w:t xml:space="preserve">argued that </w:t>
      </w:r>
      <w:r w:rsidR="00EE2107">
        <w:t xml:space="preserve">the decisions were not properly considered </w:t>
      </w:r>
      <w:r w:rsidR="0082739A">
        <w:t>when regard is had to</w:t>
      </w:r>
      <w:r w:rsidR="00AE5379">
        <w:t xml:space="preserve"> the Constitutional Court</w:t>
      </w:r>
      <w:r w:rsidR="000F53D8">
        <w:t xml:space="preserve"> </w:t>
      </w:r>
      <w:r w:rsidR="004F4BC0">
        <w:t>judgment</w:t>
      </w:r>
      <w:r w:rsidR="007F4CDC">
        <w:t>,</w:t>
      </w:r>
      <w:r w:rsidR="000F53D8">
        <w:t xml:space="preserve"> which </w:t>
      </w:r>
      <w:r w:rsidR="00AE5379">
        <w:t xml:space="preserve">declared the DFA </w:t>
      </w:r>
      <w:r w:rsidR="000F53D8">
        <w:t xml:space="preserve">process </w:t>
      </w:r>
      <w:r w:rsidR="00AE5379">
        <w:t>inv</w:t>
      </w:r>
      <w:r w:rsidR="00700F8C">
        <w:t>alid</w:t>
      </w:r>
      <w:r w:rsidR="000F53D8">
        <w:t>. It also</w:t>
      </w:r>
      <w:r w:rsidR="009C7EDF">
        <w:t xml:space="preserve"> </w:t>
      </w:r>
      <w:r w:rsidR="007F4CDC">
        <w:t xml:space="preserve">argued that it historically lodged objections </w:t>
      </w:r>
      <w:r w:rsidR="00E67716">
        <w:t>in relation</w:t>
      </w:r>
      <w:r w:rsidR="007F4CDC">
        <w:t xml:space="preserve"> to the development and the Municipality was required to notify </w:t>
      </w:r>
      <w:r w:rsidR="00E67716">
        <w:t>it of any proposed development</w:t>
      </w:r>
      <w:r w:rsidR="00700F8C">
        <w:t xml:space="preserve"> </w:t>
      </w:r>
      <w:r w:rsidR="00BA2627">
        <w:t xml:space="preserve">and of the MEC’s authorisations </w:t>
      </w:r>
      <w:r w:rsidR="00700F8C">
        <w:t>in view of the histor</w:t>
      </w:r>
      <w:r w:rsidR="005865FE">
        <w:t xml:space="preserve">ical support it enjoyed from </w:t>
      </w:r>
      <w:r w:rsidR="00E67716">
        <w:t xml:space="preserve">the </w:t>
      </w:r>
      <w:r w:rsidR="005865FE">
        <w:t>M</w:t>
      </w:r>
      <w:r w:rsidR="00E67716">
        <w:t>unicipality</w:t>
      </w:r>
      <w:r w:rsidR="009C7EDF">
        <w:t xml:space="preserve"> </w:t>
      </w:r>
      <w:r w:rsidR="00E67716">
        <w:t xml:space="preserve">and </w:t>
      </w:r>
      <w:r w:rsidR="0080381E">
        <w:t xml:space="preserve">also </w:t>
      </w:r>
      <w:r w:rsidR="004F4BC0">
        <w:t xml:space="preserve">on the basis that it had lodged an </w:t>
      </w:r>
      <w:r w:rsidR="00700F8C">
        <w:t>objection</w:t>
      </w:r>
      <w:r w:rsidR="00E67716">
        <w:t xml:space="preserve">. </w:t>
      </w:r>
      <w:r w:rsidR="00700F8C">
        <w:t xml:space="preserve"> </w:t>
      </w:r>
      <w:r w:rsidR="001B6334">
        <w:t>The applicant seeks a review in terms of PAJA</w:t>
      </w:r>
      <w:r w:rsidR="00BE42FE">
        <w:t xml:space="preserve"> on various grounds</w:t>
      </w:r>
      <w:r w:rsidR="005E1F65">
        <w:t xml:space="preserve"> but of relevance to this application,</w:t>
      </w:r>
      <w:r w:rsidR="00F14157">
        <w:t xml:space="preserve"> </w:t>
      </w:r>
      <w:r w:rsidR="005E1F65">
        <w:t>is the failure to notify interested parties of a decision which will adversely affect them</w:t>
      </w:r>
      <w:r w:rsidR="004856E1">
        <w:t xml:space="preserve"> </w:t>
      </w:r>
      <w:r w:rsidR="005E1F65">
        <w:t>(section 7(a))</w:t>
      </w:r>
      <w:r w:rsidR="004F4BC0">
        <w:t>.</w:t>
      </w:r>
      <w:r w:rsidR="00BE42FE">
        <w:t xml:space="preserve"> </w:t>
      </w:r>
    </w:p>
    <w:p w14:paraId="2B25EB97" w14:textId="77777777" w:rsidR="00B34317" w:rsidRDefault="00B34317" w:rsidP="00C90337">
      <w:pPr>
        <w:pStyle w:val="JudgmentNumbered"/>
        <w:numPr>
          <w:ilvl w:val="0"/>
          <w:numId w:val="0"/>
        </w:numPr>
        <w:spacing w:after="0"/>
        <w:ind w:left="567" w:hanging="567"/>
      </w:pPr>
    </w:p>
    <w:p w14:paraId="1B1A8EF9" w14:textId="41D9D903" w:rsidR="007E09AD" w:rsidRDefault="000D77E2" w:rsidP="000D77E2">
      <w:pPr>
        <w:pStyle w:val="JudgmentNumbered"/>
        <w:numPr>
          <w:ilvl w:val="0"/>
          <w:numId w:val="0"/>
        </w:numPr>
        <w:spacing w:after="0"/>
        <w:ind w:left="720" w:hanging="720"/>
      </w:pPr>
      <w:r>
        <w:t>[20]</w:t>
      </w:r>
      <w:r>
        <w:tab/>
      </w:r>
      <w:r w:rsidR="00B34317">
        <w:t xml:space="preserve">The </w:t>
      </w:r>
      <w:r w:rsidR="004F4BC0">
        <w:t xml:space="preserve">Municipality </w:t>
      </w:r>
      <w:r w:rsidR="00BE42FE">
        <w:t>resisted the application on the basis that</w:t>
      </w:r>
      <w:r w:rsidR="009C7EDF">
        <w:t xml:space="preserve"> </w:t>
      </w:r>
      <w:r w:rsidR="0064372E">
        <w:t xml:space="preserve">it was not required to notify the applicant </w:t>
      </w:r>
      <w:r w:rsidR="005A6B46">
        <w:t xml:space="preserve">in person where </w:t>
      </w:r>
      <w:r w:rsidR="00AA6F5A">
        <w:t xml:space="preserve">the </w:t>
      </w:r>
      <w:r w:rsidR="005A6B46">
        <w:t xml:space="preserve">notice had been published. The applicant could not seek personal notification </w:t>
      </w:r>
      <w:r w:rsidR="00485CE1">
        <w:t xml:space="preserve">in view of the limited resources available to the </w:t>
      </w:r>
      <w:r w:rsidR="00B97C8C">
        <w:t>Municipality</w:t>
      </w:r>
      <w:r w:rsidR="005E1F65">
        <w:t xml:space="preserve"> to notify every interested person(s)</w:t>
      </w:r>
      <w:r w:rsidR="00D16E5C">
        <w:t>. T</w:t>
      </w:r>
      <w:r w:rsidR="00485CE1">
        <w:t>he applicant</w:t>
      </w:r>
      <w:r w:rsidR="00FC71F4">
        <w:t xml:space="preserve">, </w:t>
      </w:r>
      <w:r w:rsidR="00485CE1">
        <w:t>like every other member of the public</w:t>
      </w:r>
      <w:r w:rsidR="009C7EDF">
        <w:t>,</w:t>
      </w:r>
      <w:r w:rsidR="00485CE1">
        <w:t xml:space="preserve"> </w:t>
      </w:r>
      <w:r w:rsidR="00FC71F4">
        <w:t xml:space="preserve">was required to have regard </w:t>
      </w:r>
      <w:r w:rsidR="004767E7">
        <w:t xml:space="preserve">to the public notifications regarding development applications. </w:t>
      </w:r>
      <w:r w:rsidR="0093029B">
        <w:t xml:space="preserve">The applicant’s reliance placed on the support it had previously </w:t>
      </w:r>
      <w:r w:rsidR="00F90ABF">
        <w:t>enjoyed</w:t>
      </w:r>
      <w:r w:rsidR="009C7EDF">
        <w:t>,</w:t>
      </w:r>
      <w:r w:rsidR="00F90ABF">
        <w:t xml:space="preserve"> which was restricted to its exclusive economic right was not only </w:t>
      </w:r>
      <w:r w:rsidR="00300DF9">
        <w:t>legally untenable</w:t>
      </w:r>
      <w:r w:rsidR="009C7EDF">
        <w:t>,</w:t>
      </w:r>
      <w:r w:rsidR="00B16E83">
        <w:t xml:space="preserve"> </w:t>
      </w:r>
      <w:r w:rsidR="005E1F65">
        <w:t>but it also</w:t>
      </w:r>
      <w:r w:rsidR="00C66AC4">
        <w:t xml:space="preserve"> argued that </w:t>
      </w:r>
      <w:r w:rsidR="00B16E83">
        <w:lastRenderedPageBreak/>
        <w:t xml:space="preserve">the official </w:t>
      </w:r>
      <w:r w:rsidR="00C66AC4">
        <w:t xml:space="preserve">who </w:t>
      </w:r>
      <w:r w:rsidR="00B16E83">
        <w:t xml:space="preserve">supported the applicant’s </w:t>
      </w:r>
      <w:r w:rsidR="00F67B6D">
        <w:t xml:space="preserve">restricted right did not carry the </w:t>
      </w:r>
      <w:r w:rsidR="00B97C8C">
        <w:t>Municipality</w:t>
      </w:r>
      <w:r w:rsidR="00C66AC4">
        <w:t>’s</w:t>
      </w:r>
      <w:r w:rsidR="009C7EDF">
        <w:t xml:space="preserve"> </w:t>
      </w:r>
      <w:r w:rsidR="00F67B6D">
        <w:t xml:space="preserve">authority. </w:t>
      </w:r>
    </w:p>
    <w:p w14:paraId="70C1B247" w14:textId="77777777" w:rsidR="00E5005C" w:rsidRDefault="00E5005C" w:rsidP="00C90337">
      <w:pPr>
        <w:pStyle w:val="JudgmentNumbered"/>
        <w:numPr>
          <w:ilvl w:val="0"/>
          <w:numId w:val="0"/>
        </w:numPr>
        <w:spacing w:after="0"/>
        <w:ind w:left="567" w:hanging="567"/>
      </w:pPr>
    </w:p>
    <w:p w14:paraId="062E9A03" w14:textId="66F89EF7" w:rsidR="003565AE" w:rsidRPr="003C3DBF" w:rsidRDefault="000D77E2" w:rsidP="000D77E2">
      <w:pPr>
        <w:pStyle w:val="JudgmentNumbered"/>
        <w:numPr>
          <w:ilvl w:val="0"/>
          <w:numId w:val="0"/>
        </w:numPr>
        <w:spacing w:after="0"/>
        <w:ind w:left="720" w:hanging="720"/>
      </w:pPr>
      <w:r>
        <w:t>[21]</w:t>
      </w:r>
      <w:r>
        <w:tab/>
      </w:r>
      <w:r w:rsidR="00E23CFC">
        <w:t xml:space="preserve">The </w:t>
      </w:r>
      <w:r w:rsidR="00A4525A">
        <w:t xml:space="preserve">Developer </w:t>
      </w:r>
      <w:r w:rsidR="00E23CFC">
        <w:t xml:space="preserve">contended that the </w:t>
      </w:r>
      <w:r w:rsidR="000A58B1">
        <w:t>review</w:t>
      </w:r>
      <w:r w:rsidR="00E23CFC">
        <w:t xml:space="preserve"> application was late in terms of PAJA</w:t>
      </w:r>
      <w:r w:rsidR="008D0A23">
        <w:t>; the</w:t>
      </w:r>
      <w:r w:rsidR="009122C0">
        <w:t xml:space="preserve"> applicant sought condonation belatedly as an </w:t>
      </w:r>
      <w:r w:rsidR="008D0A23">
        <w:t>afterthought</w:t>
      </w:r>
      <w:r w:rsidR="009122C0">
        <w:t xml:space="preserve"> in </w:t>
      </w:r>
      <w:r w:rsidR="008D0A23">
        <w:t>its</w:t>
      </w:r>
      <w:r w:rsidR="009122C0">
        <w:t xml:space="preserve"> supplementary affidavit </w:t>
      </w:r>
      <w:r w:rsidR="00295DB2">
        <w:t xml:space="preserve">and not at the outset when the urgent application was launched. </w:t>
      </w:r>
      <w:r w:rsidR="00F51CB0">
        <w:t xml:space="preserve">The </w:t>
      </w:r>
      <w:r w:rsidR="00A4525A">
        <w:t>Developer</w:t>
      </w:r>
      <w:r w:rsidR="0031647A">
        <w:t xml:space="preserve"> </w:t>
      </w:r>
      <w:r w:rsidR="00F51CB0">
        <w:t xml:space="preserve">argued that </w:t>
      </w:r>
      <w:r w:rsidR="00F641A3">
        <w:t xml:space="preserve">the </w:t>
      </w:r>
      <w:r w:rsidR="00863807">
        <w:t>application</w:t>
      </w:r>
      <w:r w:rsidR="00A84578">
        <w:t xml:space="preserve"> </w:t>
      </w:r>
      <w:r w:rsidR="001F236C">
        <w:t xml:space="preserve">is unsubstantiated by </w:t>
      </w:r>
      <w:r w:rsidR="00A0269A">
        <w:t>facts, is</w:t>
      </w:r>
      <w:r w:rsidR="00863807">
        <w:t xml:space="preserve"> late </w:t>
      </w:r>
      <w:r w:rsidR="005746F0">
        <w:t xml:space="preserve">and </w:t>
      </w:r>
      <w:r w:rsidR="00797F8D">
        <w:t>lacks</w:t>
      </w:r>
      <w:r w:rsidR="005746F0">
        <w:t xml:space="preserve"> </w:t>
      </w:r>
      <w:r w:rsidR="00566A3F">
        <w:t>an explanation for the period</w:t>
      </w:r>
      <w:r w:rsidR="00797F8D">
        <w:t xml:space="preserve"> that condonation is required </w:t>
      </w:r>
      <w:r w:rsidR="00566A3F">
        <w:t xml:space="preserve">and stands to be dismissed. </w:t>
      </w:r>
      <w:r w:rsidR="0084095E">
        <w:t xml:space="preserve">According to the </w:t>
      </w:r>
      <w:r w:rsidR="00A4525A">
        <w:t>Developer</w:t>
      </w:r>
      <w:r w:rsidR="00A84578">
        <w:t>,</w:t>
      </w:r>
      <w:r w:rsidR="0084095E">
        <w:t xml:space="preserve"> the applicant has previously </w:t>
      </w:r>
      <w:r w:rsidR="002440FD">
        <w:t xml:space="preserve">engaged in similar litigation </w:t>
      </w:r>
      <w:r w:rsidR="003565AE">
        <w:t xml:space="preserve">when it objected to the </w:t>
      </w:r>
      <w:r w:rsidR="00A4525A">
        <w:t>Developer</w:t>
      </w:r>
      <w:r w:rsidR="00A84578">
        <w:t>’s</w:t>
      </w:r>
      <w:r w:rsidR="003565AE">
        <w:t xml:space="preserve"> application and the sixth </w:t>
      </w:r>
      <w:r w:rsidR="00875BE1">
        <w:t>respondent’s</w:t>
      </w:r>
      <w:r w:rsidR="003565AE">
        <w:t xml:space="preserve"> environmental authorisation. </w:t>
      </w:r>
      <w:r w:rsidR="00D9602D">
        <w:t xml:space="preserve">The application was dismissed. </w:t>
      </w:r>
      <w:r w:rsidR="00C518B2">
        <w:t xml:space="preserve">It submits the same is applicable in the present </w:t>
      </w:r>
      <w:r w:rsidR="00985A1D">
        <w:t>on the basis that it</w:t>
      </w:r>
      <w:r w:rsidR="00D3216D">
        <w:t>s</w:t>
      </w:r>
      <w:r w:rsidR="00985A1D">
        <w:t xml:space="preserve"> condonation ought not to be granted</w:t>
      </w:r>
      <w:r w:rsidR="001A4312">
        <w:t xml:space="preserve">. It also </w:t>
      </w:r>
      <w:r w:rsidR="00276DC3">
        <w:t>relies on the rule in</w:t>
      </w:r>
      <w:r w:rsidR="00276DC3" w:rsidRPr="00C83C66">
        <w:rPr>
          <w:szCs w:val="24"/>
        </w:rPr>
        <w:t xml:space="preserve"> </w:t>
      </w:r>
      <w:r w:rsidR="00825B86" w:rsidRPr="00C83C66">
        <w:rPr>
          <w:i/>
          <w:iCs/>
          <w:color w:val="000000"/>
          <w:szCs w:val="24"/>
        </w:rPr>
        <w:t>Oudekraal Estates (Pty) Ltd v City of Cape Town and Others</w:t>
      </w:r>
      <w:r w:rsidR="00C83C66">
        <w:rPr>
          <w:rStyle w:val="FootnoteReference"/>
          <w:i/>
          <w:iCs/>
          <w:color w:val="000000"/>
          <w:szCs w:val="24"/>
        </w:rPr>
        <w:footnoteReference w:id="14"/>
      </w:r>
      <w:r w:rsidR="00C83C66" w:rsidRPr="00C83C66">
        <w:rPr>
          <w:i/>
          <w:iCs/>
          <w:color w:val="000000"/>
          <w:szCs w:val="24"/>
        </w:rPr>
        <w:t>,</w:t>
      </w:r>
      <w:r w:rsidR="00825B86">
        <w:rPr>
          <w:rFonts w:ascii="Verdana" w:hAnsi="Verdana"/>
          <w:color w:val="000000"/>
          <w:sz w:val="20"/>
          <w:szCs w:val="20"/>
        </w:rPr>
        <w:t> </w:t>
      </w:r>
      <w:r w:rsidR="00FE4535" w:rsidRPr="00921C62">
        <w:rPr>
          <w:i/>
          <w:iCs/>
        </w:rPr>
        <w:t>MEC for Health Eastern Cape</w:t>
      </w:r>
      <w:r w:rsidR="0057668B" w:rsidRPr="00921C62">
        <w:rPr>
          <w:i/>
          <w:iCs/>
        </w:rPr>
        <w:t xml:space="preserve"> v </w:t>
      </w:r>
      <w:r w:rsidR="00FE4535" w:rsidRPr="00921C62">
        <w:rPr>
          <w:i/>
          <w:iCs/>
        </w:rPr>
        <w:t xml:space="preserve"> </w:t>
      </w:r>
      <w:r w:rsidR="005B025D" w:rsidRPr="00921C62">
        <w:rPr>
          <w:i/>
          <w:iCs/>
        </w:rPr>
        <w:t>Kirland</w:t>
      </w:r>
      <w:r w:rsidR="0057668B" w:rsidRPr="00921C62">
        <w:rPr>
          <w:i/>
          <w:iCs/>
        </w:rPr>
        <w:t xml:space="preserve"> Investment (Pty) Ltd t/a </w:t>
      </w:r>
      <w:r w:rsidR="00286E3F" w:rsidRPr="00921C62">
        <w:rPr>
          <w:i/>
          <w:iCs/>
        </w:rPr>
        <w:t xml:space="preserve"> Eye and Lazer Institute</w:t>
      </w:r>
      <w:r w:rsidR="00A0269A">
        <w:rPr>
          <w:i/>
          <w:iCs/>
        </w:rPr>
        <w:t>,</w:t>
      </w:r>
      <w:r w:rsidR="00286E3F">
        <w:rPr>
          <w:rStyle w:val="FootnoteReference"/>
        </w:rPr>
        <w:footnoteReference w:id="15"/>
      </w:r>
      <w:r w:rsidR="005B025D">
        <w:t xml:space="preserve"> </w:t>
      </w:r>
      <w:r w:rsidR="00504CC1">
        <w:t xml:space="preserve">which was recently confirmed </w:t>
      </w:r>
      <w:r w:rsidR="006D03FC">
        <w:t xml:space="preserve">in </w:t>
      </w:r>
      <w:r w:rsidR="006D03FC" w:rsidRPr="00820649">
        <w:rPr>
          <w:i/>
          <w:iCs/>
        </w:rPr>
        <w:t>Magnificent Mile Trading</w:t>
      </w:r>
      <w:r w:rsidR="005F7360" w:rsidRPr="00820649">
        <w:rPr>
          <w:i/>
          <w:iCs/>
        </w:rPr>
        <w:t xml:space="preserve"> 20 (Pty) Ltd v  Celliers N.O.</w:t>
      </w:r>
      <w:r w:rsidR="00820649">
        <w:rPr>
          <w:rStyle w:val="FootnoteReference"/>
        </w:rPr>
        <w:footnoteReference w:id="16"/>
      </w:r>
      <w:r w:rsidR="003C3DBF">
        <w:rPr>
          <w:i/>
          <w:iCs/>
        </w:rPr>
        <w:t xml:space="preserve">, </w:t>
      </w:r>
      <w:r w:rsidR="003C3DBF" w:rsidRPr="003C3DBF">
        <w:t>that an unlawful</w:t>
      </w:r>
      <w:r w:rsidR="00A0269A">
        <w:t xml:space="preserve"> </w:t>
      </w:r>
      <w:r w:rsidR="00E67723">
        <w:t>administrative act serves as a basis or foundation for the legal validity</w:t>
      </w:r>
      <w:r w:rsidR="00042BA3">
        <w:t xml:space="preserve"> of later decisions as long as the initial </w:t>
      </w:r>
      <w:r w:rsidR="00086612">
        <w:t>administrative decision</w:t>
      </w:r>
      <w:r w:rsidR="00042BA3">
        <w:t xml:space="preserve"> or act remains in </w:t>
      </w:r>
      <w:r w:rsidR="00086612">
        <w:t xml:space="preserve">existence. </w:t>
      </w:r>
    </w:p>
    <w:p w14:paraId="36204C8C" w14:textId="102560D1" w:rsidR="001A1E05" w:rsidRDefault="001A1E05" w:rsidP="00C90337">
      <w:pPr>
        <w:pStyle w:val="JudgmentNumbered"/>
        <w:numPr>
          <w:ilvl w:val="0"/>
          <w:numId w:val="0"/>
        </w:numPr>
        <w:spacing w:after="0"/>
        <w:ind w:left="567" w:hanging="567"/>
      </w:pPr>
      <w:r>
        <w:tab/>
      </w:r>
    </w:p>
    <w:p w14:paraId="117F64A1" w14:textId="1BAD44F2" w:rsidR="003E1C98" w:rsidRDefault="000D77E2" w:rsidP="000D77E2">
      <w:pPr>
        <w:pStyle w:val="JudgmentNumbered"/>
        <w:numPr>
          <w:ilvl w:val="0"/>
          <w:numId w:val="0"/>
        </w:numPr>
        <w:spacing w:after="0"/>
        <w:ind w:left="720" w:hanging="570"/>
      </w:pPr>
      <w:r>
        <w:t>[22]</w:t>
      </w:r>
      <w:r>
        <w:tab/>
      </w:r>
      <w:r w:rsidR="003B29DF">
        <w:t xml:space="preserve">The </w:t>
      </w:r>
      <w:r w:rsidR="00D3216D">
        <w:t xml:space="preserve">Developer </w:t>
      </w:r>
      <w:r w:rsidR="00277C2B">
        <w:t xml:space="preserve">’s </w:t>
      </w:r>
      <w:r w:rsidR="008C1960">
        <w:t xml:space="preserve">submission </w:t>
      </w:r>
      <w:r w:rsidR="003B29DF">
        <w:t xml:space="preserve">that the applicant took an unreasonably long time in bringing the review application in terms of the Promotion of Administrative Justice Act 3 of 2000, in respect </w:t>
      </w:r>
      <w:r>
        <w:t>of Part</w:t>
      </w:r>
      <w:r w:rsidR="003B29DF">
        <w:t xml:space="preserve"> B1, B2, B3, B8, B9, B14</w:t>
      </w:r>
      <w:r w:rsidR="008C1960">
        <w:t xml:space="preserve"> is considered below</w:t>
      </w:r>
      <w:r w:rsidR="003B29DF">
        <w:t xml:space="preserve">. </w:t>
      </w:r>
    </w:p>
    <w:p w14:paraId="55399AD7" w14:textId="77777777" w:rsidR="003E1C98" w:rsidRDefault="003E1C98" w:rsidP="00A5402C">
      <w:pPr>
        <w:pStyle w:val="JudgmentNumbered"/>
        <w:numPr>
          <w:ilvl w:val="0"/>
          <w:numId w:val="0"/>
        </w:numPr>
        <w:spacing w:after="0"/>
        <w:ind w:left="720" w:hanging="570"/>
      </w:pPr>
    </w:p>
    <w:p w14:paraId="28995BB5" w14:textId="1068FB7A" w:rsidR="00B83F70" w:rsidRDefault="000D77E2" w:rsidP="000D77E2">
      <w:pPr>
        <w:pStyle w:val="JudgmentNumbered"/>
        <w:numPr>
          <w:ilvl w:val="0"/>
          <w:numId w:val="0"/>
        </w:numPr>
        <w:spacing w:after="0"/>
        <w:ind w:left="720" w:hanging="570"/>
      </w:pPr>
      <w:r>
        <w:t>[23]</w:t>
      </w:r>
      <w:r>
        <w:tab/>
      </w:r>
      <w:r w:rsidR="003E1C98">
        <w:t>It was also argued on behalf of the</w:t>
      </w:r>
      <w:r w:rsidR="0046373C">
        <w:t xml:space="preserve"> </w:t>
      </w:r>
      <w:r w:rsidR="00D3216D">
        <w:t>Developer</w:t>
      </w:r>
      <w:r w:rsidR="003E1C98">
        <w:t xml:space="preserve">, that the </w:t>
      </w:r>
      <w:r w:rsidR="003B29DF">
        <w:t xml:space="preserve">applicant </w:t>
      </w:r>
      <w:r w:rsidR="003D0D47">
        <w:t xml:space="preserve">in </w:t>
      </w:r>
      <w:r w:rsidR="003B29DF">
        <w:t>its application</w:t>
      </w:r>
      <w:r w:rsidR="00D216EC">
        <w:t>,</w:t>
      </w:r>
      <w:r w:rsidR="003B29DF">
        <w:t xml:space="preserve"> </w:t>
      </w:r>
      <w:r w:rsidR="003D0D47">
        <w:t xml:space="preserve">relies </w:t>
      </w:r>
      <w:r w:rsidR="00D216EC">
        <w:t xml:space="preserve">on statements that </w:t>
      </w:r>
      <w:r w:rsidR="003B29DF">
        <w:t xml:space="preserve">it puts forward </w:t>
      </w:r>
      <w:r w:rsidR="00D216EC">
        <w:t xml:space="preserve">as </w:t>
      </w:r>
      <w:r w:rsidR="003B29DF">
        <w:t>undisputed</w:t>
      </w:r>
      <w:r w:rsidR="00D216EC">
        <w:t xml:space="preserve"> facts</w:t>
      </w:r>
      <w:r w:rsidR="003B29DF">
        <w:t>. In contrast, the third respondent dispute</w:t>
      </w:r>
      <w:r w:rsidR="00302850">
        <w:t>d</w:t>
      </w:r>
      <w:r w:rsidR="003B29DF">
        <w:t xml:space="preserve"> the facts relied upon by the applicant and places its own facts before </w:t>
      </w:r>
      <w:r w:rsidR="00302850">
        <w:t xml:space="preserve">this </w:t>
      </w:r>
      <w:r w:rsidR="003B29DF">
        <w:t>court and argue</w:t>
      </w:r>
      <w:r w:rsidR="00302850">
        <w:t>d</w:t>
      </w:r>
      <w:r w:rsidR="003B29DF">
        <w:t xml:space="preserve"> that on motion proceedings, the dispute should be determined having regard to the </w:t>
      </w:r>
      <w:r w:rsidR="003B29DF" w:rsidRPr="00160FAC">
        <w:rPr>
          <w:i/>
          <w:iCs/>
        </w:rPr>
        <w:t xml:space="preserve">Plascon </w:t>
      </w:r>
      <w:r w:rsidR="003B29DF" w:rsidRPr="00160FAC">
        <w:rPr>
          <w:i/>
          <w:iCs/>
        </w:rPr>
        <w:lastRenderedPageBreak/>
        <w:t>Evans</w:t>
      </w:r>
      <w:r w:rsidR="003B29DF">
        <w:t xml:space="preserve"> Rule</w:t>
      </w:r>
      <w:r w:rsidR="003B29DF">
        <w:rPr>
          <w:rStyle w:val="FootnoteReference"/>
        </w:rPr>
        <w:footnoteReference w:id="17"/>
      </w:r>
      <w:r w:rsidR="003B29DF">
        <w:t xml:space="preserve">.  The </w:t>
      </w:r>
      <w:r w:rsidR="00D3216D">
        <w:t xml:space="preserve">Developer </w:t>
      </w:r>
      <w:r w:rsidR="003B29DF">
        <w:t>avers that there are disputes of fact and the court must consider whether the facts averred in the applicant’s affidavits have been admitted by the respondent together with the facts alleged by the respondent</w:t>
      </w:r>
      <w:r w:rsidR="00A34882">
        <w:t>s</w:t>
      </w:r>
      <w:r w:rsidR="003B29DF">
        <w:t xml:space="preserve"> </w:t>
      </w:r>
      <w:r w:rsidR="00186CAC">
        <w:t xml:space="preserve">to </w:t>
      </w:r>
      <w:r w:rsidR="003B29DF">
        <w:t>justify an order requested</w:t>
      </w:r>
      <w:r w:rsidR="00A34882">
        <w:t xml:space="preserve">. </w:t>
      </w:r>
    </w:p>
    <w:p w14:paraId="6CF16DBE" w14:textId="77777777" w:rsidR="00792B53" w:rsidRDefault="00792B53" w:rsidP="00A5402C">
      <w:pPr>
        <w:pStyle w:val="JudgmentNumbered"/>
        <w:numPr>
          <w:ilvl w:val="0"/>
          <w:numId w:val="0"/>
        </w:numPr>
        <w:spacing w:after="0"/>
        <w:ind w:left="720" w:hanging="570"/>
      </w:pPr>
    </w:p>
    <w:p w14:paraId="618D6B0D" w14:textId="050C14DA" w:rsidR="00B83F70" w:rsidRPr="00792B53" w:rsidRDefault="005E1F65" w:rsidP="00160FAC">
      <w:pPr>
        <w:pStyle w:val="JudgmentNumbered"/>
        <w:numPr>
          <w:ilvl w:val="0"/>
          <w:numId w:val="0"/>
        </w:numPr>
        <w:spacing w:after="0"/>
        <w:ind w:left="720"/>
        <w:rPr>
          <w:b/>
          <w:bCs/>
          <w:u w:val="single"/>
        </w:rPr>
      </w:pPr>
      <w:r w:rsidRPr="00792B53">
        <w:rPr>
          <w:b/>
          <w:bCs/>
          <w:u w:val="single"/>
        </w:rPr>
        <w:t>The time delay within which the review is brought</w:t>
      </w:r>
    </w:p>
    <w:p w14:paraId="6E50D630" w14:textId="2DED1B06" w:rsidR="002A285F" w:rsidRDefault="000D77E2" w:rsidP="000D77E2">
      <w:pPr>
        <w:pStyle w:val="JudgmentNumbered"/>
        <w:numPr>
          <w:ilvl w:val="0"/>
          <w:numId w:val="0"/>
        </w:numPr>
        <w:spacing w:after="0"/>
        <w:ind w:left="720" w:hanging="570"/>
        <w:rPr>
          <w:szCs w:val="24"/>
        </w:rPr>
      </w:pPr>
      <w:r>
        <w:t>[24]</w:t>
      </w:r>
      <w:r>
        <w:tab/>
      </w:r>
      <w:r w:rsidR="005E7B70">
        <w:t>Section 7(</w:t>
      </w:r>
      <w:r w:rsidR="00B60FA7">
        <w:t xml:space="preserve">1) of PAJA requires that proceedings for judicial review must be brought </w:t>
      </w:r>
      <w:r w:rsidR="00E34B1C">
        <w:t xml:space="preserve">without unreasonable delay </w:t>
      </w:r>
      <w:r w:rsidR="008E416E">
        <w:t xml:space="preserve">and within a period of 180 days </w:t>
      </w:r>
      <w:r w:rsidR="00E34B1C">
        <w:t xml:space="preserve">after the date on which </w:t>
      </w:r>
      <w:r w:rsidR="00024BD4">
        <w:t xml:space="preserve">the person concerned </w:t>
      </w:r>
      <w:r w:rsidR="002C6E9D">
        <w:t>was informed of the administrative decision</w:t>
      </w:r>
      <w:r w:rsidR="0004302C">
        <w:t xml:space="preserve"> or became aware of the administrative decision</w:t>
      </w:r>
      <w:r w:rsidR="00E13A7B">
        <w:t xml:space="preserve"> and the reasons therefore.</w:t>
      </w:r>
      <w:r w:rsidR="001013C5">
        <w:t xml:space="preserve"> </w:t>
      </w:r>
      <w:r w:rsidR="00654CB6">
        <w:t xml:space="preserve">Once the </w:t>
      </w:r>
      <w:r w:rsidR="007F6F0F">
        <w:t>180-day</w:t>
      </w:r>
      <w:r w:rsidR="00654CB6">
        <w:t xml:space="preserve"> limit is reached</w:t>
      </w:r>
      <w:r w:rsidR="008356C5">
        <w:t>, the delay is taken to be unreasonable</w:t>
      </w:r>
      <w:r w:rsidR="007F6F0F">
        <w:t>,</w:t>
      </w:r>
      <w:r w:rsidR="003F084F">
        <w:t xml:space="preserve"> and the </w:t>
      </w:r>
      <w:r w:rsidR="006A7A7C">
        <w:t>period is predetermined to be unreasonable</w:t>
      </w:r>
      <w:r w:rsidR="007F6F0F">
        <w:t xml:space="preserve"> </w:t>
      </w:r>
      <w:r w:rsidR="00E51261">
        <w:t>by the</w:t>
      </w:r>
      <w:r w:rsidR="007F6F0F">
        <w:t xml:space="preserve"> </w:t>
      </w:r>
      <w:r w:rsidR="006A7A7C">
        <w:t>legisla</w:t>
      </w:r>
      <w:r w:rsidR="00601102">
        <w:t>ture</w:t>
      </w:r>
      <w:r w:rsidR="006A7A7C">
        <w:t>.</w:t>
      </w:r>
      <w:r w:rsidR="00726091">
        <w:rPr>
          <w:rStyle w:val="FootnoteReference"/>
        </w:rPr>
        <w:footnoteReference w:id="18"/>
      </w:r>
      <w:r w:rsidR="006A7A7C">
        <w:t xml:space="preserve"> </w:t>
      </w:r>
      <w:r w:rsidR="004971A1">
        <w:t xml:space="preserve"> What is to be considered </w:t>
      </w:r>
      <w:r w:rsidR="001B7F43">
        <w:t xml:space="preserve">is the period by </w:t>
      </w:r>
      <w:r w:rsidR="007F6F0F">
        <w:t>which</w:t>
      </w:r>
      <w:r w:rsidR="001B7F43">
        <w:t xml:space="preserve"> the applicant could have become aware of the administrative decision. Th</w:t>
      </w:r>
      <w:r w:rsidR="0007578F">
        <w:t xml:space="preserve">e </w:t>
      </w:r>
      <w:r w:rsidR="00B12188">
        <w:t>C</w:t>
      </w:r>
      <w:r w:rsidR="0007578F">
        <w:t xml:space="preserve">ourt in </w:t>
      </w:r>
      <w:r w:rsidR="0007578F" w:rsidRPr="009844A7">
        <w:rPr>
          <w:i/>
          <w:iCs/>
        </w:rPr>
        <w:t xml:space="preserve">City of </w:t>
      </w:r>
      <w:r w:rsidR="008C4E5E" w:rsidRPr="009844A7">
        <w:rPr>
          <w:i/>
          <w:iCs/>
        </w:rPr>
        <w:t>C</w:t>
      </w:r>
      <w:r w:rsidR="0007578F" w:rsidRPr="009844A7">
        <w:rPr>
          <w:i/>
          <w:iCs/>
        </w:rPr>
        <w:t>ape Town</w:t>
      </w:r>
      <w:r w:rsidR="008C4E5E" w:rsidRPr="009844A7">
        <w:rPr>
          <w:i/>
          <w:iCs/>
        </w:rPr>
        <w:t xml:space="preserve"> v Aurecon </w:t>
      </w:r>
      <w:r w:rsidR="009844A7" w:rsidRPr="009844A7">
        <w:rPr>
          <w:i/>
          <w:iCs/>
        </w:rPr>
        <w:t xml:space="preserve">South Africa </w:t>
      </w:r>
      <w:r w:rsidR="008C4E5E" w:rsidRPr="009844A7">
        <w:rPr>
          <w:i/>
          <w:iCs/>
        </w:rPr>
        <w:t>(Pty) Ltd</w:t>
      </w:r>
      <w:r w:rsidR="009844A7">
        <w:rPr>
          <w:rStyle w:val="FootnoteReference"/>
        </w:rPr>
        <w:footnoteReference w:id="19"/>
      </w:r>
      <w:r w:rsidR="008C4E5E">
        <w:t xml:space="preserve"> </w:t>
      </w:r>
      <w:r w:rsidR="00B12188" w:rsidRPr="00B12188">
        <w:rPr>
          <w:szCs w:val="24"/>
        </w:rPr>
        <w:t xml:space="preserve">indicated </w:t>
      </w:r>
      <w:r w:rsidR="00B12188">
        <w:rPr>
          <w:szCs w:val="24"/>
        </w:rPr>
        <w:t xml:space="preserve">with regard to knowledge: </w:t>
      </w:r>
    </w:p>
    <w:p w14:paraId="1AA7ACF5" w14:textId="706F0647" w:rsidR="008310C7" w:rsidRPr="002A285F" w:rsidRDefault="00BB0C2C" w:rsidP="009721EB">
      <w:pPr>
        <w:pStyle w:val="JudgmentNumbered"/>
        <w:numPr>
          <w:ilvl w:val="0"/>
          <w:numId w:val="0"/>
        </w:numPr>
        <w:spacing w:after="0"/>
        <w:ind w:left="1440"/>
        <w:rPr>
          <w:sz w:val="22"/>
        </w:rPr>
      </w:pPr>
      <w:r w:rsidRPr="002A285F">
        <w:rPr>
          <w:sz w:val="22"/>
        </w:rPr>
        <w:t>“</w:t>
      </w:r>
      <w:r w:rsidR="00B12188" w:rsidRPr="002A285F">
        <w:rPr>
          <w:color w:val="000000"/>
          <w:sz w:val="22"/>
        </w:rPr>
        <w:t> Section 7(1) of PAJA does not provide</w:t>
      </w:r>
      <w:r w:rsidR="007F6F0F" w:rsidRPr="002A285F">
        <w:rPr>
          <w:color w:val="000000"/>
          <w:sz w:val="22"/>
        </w:rPr>
        <w:t xml:space="preserve"> </w:t>
      </w:r>
      <w:r w:rsidR="00B12188" w:rsidRPr="002A285F">
        <w:rPr>
          <w:color w:val="000000"/>
          <w:sz w:val="22"/>
        </w:rPr>
        <w:t>that an application must be brought within 180 days after the City became aware that the administrative action was tainted by irregularity. On the contrary, it provides that the clock starts to run with reference to the date on which the reasons for the administrative action became known (or ought reasonably to have become known) to an applicant.</w:t>
      </w:r>
      <w:r w:rsidR="00751CCE" w:rsidRPr="002A285F">
        <w:rPr>
          <w:color w:val="000000"/>
          <w:sz w:val="22"/>
        </w:rPr>
        <w:t>”</w:t>
      </w:r>
      <w:r w:rsidR="0007578F" w:rsidRPr="002A285F">
        <w:rPr>
          <w:sz w:val="22"/>
        </w:rPr>
        <w:t xml:space="preserve">  </w:t>
      </w:r>
    </w:p>
    <w:p w14:paraId="3038997F" w14:textId="77777777" w:rsidR="00136267" w:rsidRDefault="00136267" w:rsidP="00C90337">
      <w:pPr>
        <w:pStyle w:val="JudgmentNumbered"/>
        <w:numPr>
          <w:ilvl w:val="0"/>
          <w:numId w:val="0"/>
        </w:numPr>
        <w:spacing w:after="0"/>
        <w:ind w:left="567" w:hanging="567"/>
      </w:pPr>
    </w:p>
    <w:p w14:paraId="13E35C0E" w14:textId="524994DE" w:rsidR="00462664" w:rsidRDefault="000D77E2" w:rsidP="000D77E2">
      <w:pPr>
        <w:pStyle w:val="JudgmentNumbered"/>
        <w:numPr>
          <w:ilvl w:val="0"/>
          <w:numId w:val="0"/>
        </w:numPr>
        <w:spacing w:after="0"/>
        <w:ind w:left="567" w:hanging="567"/>
      </w:pPr>
      <w:r>
        <w:t>[25]</w:t>
      </w:r>
      <w:r>
        <w:tab/>
      </w:r>
      <w:r w:rsidR="00B97C8C">
        <w:t xml:space="preserve">The Municipality </w:t>
      </w:r>
      <w:r w:rsidR="004904DB">
        <w:t xml:space="preserve">processed the applications </w:t>
      </w:r>
      <w:r w:rsidR="00AA1DF3">
        <w:t xml:space="preserve">initially in terms of the DFA and those </w:t>
      </w:r>
      <w:r w:rsidR="004904DB">
        <w:t>pending in terms of the DFA</w:t>
      </w:r>
      <w:r w:rsidR="00051FE9">
        <w:t xml:space="preserve"> </w:t>
      </w:r>
      <w:r w:rsidR="004809BF">
        <w:t xml:space="preserve">under </w:t>
      </w:r>
      <w:r w:rsidR="006C46EA">
        <w:t xml:space="preserve">the Ordinance. The </w:t>
      </w:r>
      <w:r>
        <w:t>Developer submitted</w:t>
      </w:r>
      <w:r w:rsidR="006C46EA">
        <w:t xml:space="preserve"> </w:t>
      </w:r>
      <w:r w:rsidR="000F052B">
        <w:t xml:space="preserve">an application for the rezoning of Erf </w:t>
      </w:r>
      <w:r>
        <w:t>3087 Dalpark</w:t>
      </w:r>
      <w:r w:rsidR="00C5031F">
        <w:t xml:space="preserve"> Extension from </w:t>
      </w:r>
      <w:r w:rsidR="00096489">
        <w:t>“</w:t>
      </w:r>
      <w:r>
        <w:t>Special Themed</w:t>
      </w:r>
      <w:r w:rsidR="00096489">
        <w:t xml:space="preserve"> Retail and Wholesale” to “Business 2”. The application </w:t>
      </w:r>
      <w:r w:rsidR="009758F2">
        <w:t>was in terms of section 56 of the Ordinance.</w:t>
      </w:r>
      <w:r w:rsidR="00F0506D">
        <w:t xml:space="preserve"> The </w:t>
      </w:r>
      <w:r w:rsidR="00BA0CEF">
        <w:t>initial approval of Badenhorst Estate was in</w:t>
      </w:r>
      <w:r w:rsidR="00590041">
        <w:t xml:space="preserve"> </w:t>
      </w:r>
      <w:r w:rsidR="00BA0CEF">
        <w:t xml:space="preserve">terms of the DFA and </w:t>
      </w:r>
      <w:r w:rsidR="004809BF">
        <w:t xml:space="preserve">was </w:t>
      </w:r>
      <w:r w:rsidR="00F37BAA">
        <w:t xml:space="preserve">approved </w:t>
      </w:r>
      <w:r w:rsidR="0076455B">
        <w:t>in October 2011</w:t>
      </w:r>
      <w:r w:rsidR="00F37BAA">
        <w:t xml:space="preserve">. The decision was </w:t>
      </w:r>
      <w:r w:rsidR="0076455B">
        <w:t xml:space="preserve">communicated to the </w:t>
      </w:r>
      <w:r w:rsidR="005D3718">
        <w:t>D</w:t>
      </w:r>
      <w:r w:rsidR="0076455B">
        <w:t xml:space="preserve">evelopers </w:t>
      </w:r>
      <w:r w:rsidR="00D7363C">
        <w:t xml:space="preserve">on </w:t>
      </w:r>
      <w:r w:rsidR="00590041">
        <w:t xml:space="preserve">13 June 2012. </w:t>
      </w:r>
      <w:r w:rsidR="00A85DC7">
        <w:t xml:space="preserve">The notices for public participation </w:t>
      </w:r>
      <w:r w:rsidR="009524DA">
        <w:t xml:space="preserve">in terms of the DFA </w:t>
      </w:r>
      <w:r w:rsidR="00355823">
        <w:t>application</w:t>
      </w:r>
      <w:r w:rsidR="004809BF">
        <w:t>s</w:t>
      </w:r>
      <w:r w:rsidR="00355823">
        <w:t xml:space="preserve"> were advertised on 17 September 2008 and 24 September 2008</w:t>
      </w:r>
      <w:r w:rsidR="004809BF">
        <w:t xml:space="preserve"> respectively</w:t>
      </w:r>
      <w:r w:rsidR="00072986">
        <w:t xml:space="preserve">. The applications in terms of </w:t>
      </w:r>
      <w:r w:rsidR="001952C1">
        <w:t xml:space="preserve">section </w:t>
      </w:r>
      <w:r w:rsidR="001952C1">
        <w:lastRenderedPageBreak/>
        <w:t xml:space="preserve">56 of </w:t>
      </w:r>
      <w:r w:rsidR="00072986">
        <w:t xml:space="preserve">the Ordinance </w:t>
      </w:r>
      <w:r w:rsidR="001952C1">
        <w:t xml:space="preserve">required publication in the </w:t>
      </w:r>
      <w:r w:rsidR="00CE0EB1">
        <w:t>G</w:t>
      </w:r>
      <w:r w:rsidR="001952C1">
        <w:t xml:space="preserve">overnment </w:t>
      </w:r>
      <w:r w:rsidR="00CE0EB1">
        <w:t>G</w:t>
      </w:r>
      <w:r w:rsidR="001952C1">
        <w:t>azette and a newspaper</w:t>
      </w:r>
      <w:r w:rsidR="004809BF">
        <w:t xml:space="preserve">. The publication </w:t>
      </w:r>
      <w:r w:rsidR="001952C1">
        <w:t xml:space="preserve">occurred </w:t>
      </w:r>
      <w:r w:rsidR="00CE0EB1">
        <w:t xml:space="preserve">30 April 2015 and </w:t>
      </w:r>
      <w:r w:rsidR="000A25D5">
        <w:t>6 May 2015 respectively.</w:t>
      </w:r>
      <w:r w:rsidR="00CF2D47">
        <w:t xml:space="preserve"> </w:t>
      </w:r>
      <w:r w:rsidR="00827BEA">
        <w:t xml:space="preserve">In terms of the aforementioned dates the applicant ought to have reasonably become aware of the dates </w:t>
      </w:r>
      <w:r w:rsidR="008E19D5">
        <w:t xml:space="preserve">as indicated. </w:t>
      </w:r>
      <w:r w:rsidR="004809BF">
        <w:t>On 31 March 2020,</w:t>
      </w:r>
      <w:r w:rsidR="00B07880">
        <w:t xml:space="preserve"> </w:t>
      </w:r>
      <w:r w:rsidR="004809BF">
        <w:t>five years later and after the last publication (of 6 May 2015)</w:t>
      </w:r>
      <w:r w:rsidR="00124897">
        <w:t xml:space="preserve">, </w:t>
      </w:r>
      <w:r w:rsidR="004809BF">
        <w:t>t</w:t>
      </w:r>
      <w:r w:rsidR="00A14A33">
        <w:t>he applicant’s application was lodged</w:t>
      </w:r>
      <w:r w:rsidR="004809BF">
        <w:t>.</w:t>
      </w:r>
    </w:p>
    <w:p w14:paraId="2C6E053E" w14:textId="77777777" w:rsidR="00124897" w:rsidRDefault="00124897" w:rsidP="00C90337">
      <w:pPr>
        <w:pStyle w:val="JudgmentNumbered"/>
        <w:numPr>
          <w:ilvl w:val="0"/>
          <w:numId w:val="0"/>
        </w:numPr>
        <w:spacing w:after="0"/>
        <w:ind w:left="567" w:hanging="567"/>
      </w:pPr>
    </w:p>
    <w:p w14:paraId="6056A656" w14:textId="5A615F60" w:rsidR="00712413" w:rsidRDefault="00214BEB" w:rsidP="00214BEB">
      <w:pPr>
        <w:pStyle w:val="JudgmentNumbered"/>
        <w:numPr>
          <w:ilvl w:val="0"/>
          <w:numId w:val="0"/>
        </w:numPr>
        <w:spacing w:after="0"/>
        <w:ind w:left="567" w:hanging="567"/>
      </w:pPr>
      <w:r>
        <w:t>[26]</w:t>
      </w:r>
      <w:r>
        <w:tab/>
      </w:r>
      <w:r w:rsidR="00CF2D47">
        <w:t xml:space="preserve">The application is more than 180 days late having regard to both </w:t>
      </w:r>
      <w:r w:rsidR="00462664">
        <w:t xml:space="preserve">the </w:t>
      </w:r>
      <w:r w:rsidR="00CF2D47">
        <w:t>application</w:t>
      </w:r>
      <w:r w:rsidR="00D371D6">
        <w:t>s</w:t>
      </w:r>
      <w:r w:rsidR="00A8665B">
        <w:t xml:space="preserve"> in terms of the DFA as well as in terms of the Ordinance</w:t>
      </w:r>
      <w:r w:rsidR="00D371D6">
        <w:t xml:space="preserve">. </w:t>
      </w:r>
      <w:r w:rsidR="00C52237">
        <w:t xml:space="preserve">The delay is not an insignificant period </w:t>
      </w:r>
      <w:r w:rsidR="00CA7D0A">
        <w:t xml:space="preserve">and is </w:t>
      </w:r>
      <w:r w:rsidR="00C52237">
        <w:t xml:space="preserve">substantial. </w:t>
      </w:r>
      <w:r w:rsidR="00226F5B">
        <w:t xml:space="preserve">The applicant’s </w:t>
      </w:r>
      <w:r w:rsidR="00CA7D0A">
        <w:t xml:space="preserve">view </w:t>
      </w:r>
      <w:r w:rsidR="00226F5B">
        <w:t>that it ought to have been notified</w:t>
      </w:r>
      <w:r w:rsidR="007739CC">
        <w:t xml:space="preserve"> by the </w:t>
      </w:r>
      <w:r w:rsidR="00B97C8C">
        <w:t>Municipality</w:t>
      </w:r>
      <w:r w:rsidR="000D2066">
        <w:t xml:space="preserve"> </w:t>
      </w:r>
      <w:r w:rsidR="007739CC">
        <w:t>is not substantiated by any</w:t>
      </w:r>
      <w:r w:rsidR="004809BF">
        <w:t xml:space="preserve"> reference or reliance on any </w:t>
      </w:r>
      <w:r w:rsidR="007739CC">
        <w:t xml:space="preserve">law </w:t>
      </w:r>
      <w:r w:rsidR="004809BF">
        <w:t xml:space="preserve">or empowering legislation </w:t>
      </w:r>
      <w:r w:rsidR="007739CC">
        <w:t xml:space="preserve">or </w:t>
      </w:r>
      <w:r w:rsidR="00E91A47">
        <w:t xml:space="preserve">on the facts. On the applicant’s </w:t>
      </w:r>
      <w:r w:rsidR="004809BF">
        <w:t xml:space="preserve">own </w:t>
      </w:r>
      <w:r w:rsidR="00E91A47">
        <w:t>version</w:t>
      </w:r>
      <w:r w:rsidR="00FC6EA2">
        <w:t>,</w:t>
      </w:r>
      <w:r w:rsidR="00E91A47">
        <w:t xml:space="preserve"> it was aware of </w:t>
      </w:r>
      <w:r w:rsidR="004809BF">
        <w:t xml:space="preserve">the </w:t>
      </w:r>
      <w:r w:rsidR="00E91A47">
        <w:t>development and construction taking place</w:t>
      </w:r>
      <w:r w:rsidR="00A80C75">
        <w:t xml:space="preserve"> in the area and on the relevant Er</w:t>
      </w:r>
      <w:r w:rsidR="00A44872">
        <w:t>ven</w:t>
      </w:r>
      <w:r w:rsidR="00A80C75">
        <w:t xml:space="preserve">. </w:t>
      </w:r>
      <w:r w:rsidR="00D145C7">
        <w:t xml:space="preserve">It believed that </w:t>
      </w:r>
      <w:r w:rsidR="00066A36">
        <w:t xml:space="preserve">land use </w:t>
      </w:r>
      <w:r w:rsidR="0034600E">
        <w:t>rights</w:t>
      </w:r>
      <w:r w:rsidR="00066A36">
        <w:t xml:space="preserve"> could not be procured because the DFA was declared unconstitutional </w:t>
      </w:r>
      <w:r w:rsidR="00582D20">
        <w:t xml:space="preserve">and it believed the Tribunal did not exist after the </w:t>
      </w:r>
      <w:r w:rsidR="00AF61DC">
        <w:t>Constitutional C</w:t>
      </w:r>
      <w:r w:rsidR="00582D20">
        <w:t xml:space="preserve">ourt order. </w:t>
      </w:r>
      <w:r w:rsidR="004809BF">
        <w:t>In its founding affidavit, t</w:t>
      </w:r>
      <w:r w:rsidR="008D3C40">
        <w:t>he applicant note</w:t>
      </w:r>
      <w:r w:rsidR="004809BF">
        <w:t xml:space="preserve">d </w:t>
      </w:r>
      <w:r w:rsidR="008D3C40">
        <w:t>in paragraph 11.38</w:t>
      </w:r>
      <w:r w:rsidR="005941E0">
        <w:t xml:space="preserve"> that</w:t>
      </w:r>
      <w:r w:rsidR="0034600E">
        <w:t xml:space="preserve"> </w:t>
      </w:r>
      <w:r w:rsidR="005941E0">
        <w:t xml:space="preserve">it took </w:t>
      </w:r>
      <w:r w:rsidR="005E1F65">
        <w:t>cognisance</w:t>
      </w:r>
      <w:r w:rsidR="005941E0">
        <w:t xml:space="preserve"> of the interim </w:t>
      </w:r>
      <w:r w:rsidR="00AE3629" w:rsidRPr="00600146">
        <w:rPr>
          <w:i/>
          <w:iCs/>
        </w:rPr>
        <w:t>ad-hoc</w:t>
      </w:r>
      <w:r w:rsidR="005941E0">
        <w:t xml:space="preserve"> development </w:t>
      </w:r>
      <w:r w:rsidR="00AE3629">
        <w:t xml:space="preserve">of wholesale facilities. </w:t>
      </w:r>
      <w:r w:rsidR="00914D4F">
        <w:t>This it understood</w:t>
      </w:r>
      <w:r w:rsidR="003C7775">
        <w:t>,</w:t>
      </w:r>
      <w:r w:rsidR="00914D4F">
        <w:t xml:space="preserve"> could be procured by rezoning agricultural land and was </w:t>
      </w:r>
      <w:r w:rsidR="002B79DF">
        <w:t xml:space="preserve">still </w:t>
      </w:r>
      <w:r w:rsidR="00861406">
        <w:t xml:space="preserve">in line with the agreement with </w:t>
      </w:r>
      <w:r w:rsidR="004809BF">
        <w:t>the D</w:t>
      </w:r>
      <w:r w:rsidR="00861406">
        <w:t xml:space="preserve">eveloper </w:t>
      </w:r>
      <w:r>
        <w:t>that ‘</w:t>
      </w:r>
      <w:r w:rsidR="00861406" w:rsidRPr="00861406">
        <w:rPr>
          <w:i/>
          <w:iCs/>
        </w:rPr>
        <w:t>no competitive</w:t>
      </w:r>
      <w:r w:rsidR="00861406">
        <w:rPr>
          <w:i/>
          <w:iCs/>
        </w:rPr>
        <w:t xml:space="preserve"> retail </w:t>
      </w:r>
      <w:r w:rsidR="00B52015">
        <w:rPr>
          <w:i/>
          <w:iCs/>
        </w:rPr>
        <w:t>may realise as an integral part of the Township on the</w:t>
      </w:r>
      <w:r w:rsidR="008E5F5B">
        <w:rPr>
          <w:i/>
          <w:iCs/>
        </w:rPr>
        <w:t xml:space="preserve"> Applicant’s Carnival Mall doorstep”</w:t>
      </w:r>
      <w:r w:rsidR="009B35EA">
        <w:rPr>
          <w:i/>
          <w:iCs/>
        </w:rPr>
        <w:t>.</w:t>
      </w:r>
      <w:r w:rsidR="009B35EA">
        <w:t xml:space="preserve"> </w:t>
      </w:r>
      <w:r w:rsidR="004809BF">
        <w:t>Despite this knowledge and awareness of the development and construction, t</w:t>
      </w:r>
      <w:r w:rsidR="009B35EA">
        <w:t xml:space="preserve">he applicant did not </w:t>
      </w:r>
      <w:r>
        <w:t>make any</w:t>
      </w:r>
      <w:r w:rsidR="009B35EA">
        <w:t xml:space="preserve"> enquiries </w:t>
      </w:r>
      <w:r w:rsidR="004809BF">
        <w:t xml:space="preserve">from the Municipality. </w:t>
      </w:r>
      <w:r w:rsidR="00712413">
        <w:t xml:space="preserve"> </w:t>
      </w:r>
    </w:p>
    <w:p w14:paraId="3C9ACFF7" w14:textId="77777777" w:rsidR="00712413" w:rsidRDefault="00712413" w:rsidP="00C90337">
      <w:pPr>
        <w:pStyle w:val="JudgmentNumbered"/>
        <w:numPr>
          <w:ilvl w:val="0"/>
          <w:numId w:val="0"/>
        </w:numPr>
        <w:spacing w:after="0"/>
        <w:ind w:left="567" w:hanging="567"/>
      </w:pPr>
    </w:p>
    <w:p w14:paraId="1CB3D654" w14:textId="565BC2B1" w:rsidR="00FC38BD" w:rsidRDefault="00214BEB" w:rsidP="00C90337">
      <w:pPr>
        <w:pStyle w:val="JudgmentNumbered"/>
        <w:numPr>
          <w:ilvl w:val="0"/>
          <w:numId w:val="0"/>
        </w:numPr>
        <w:spacing w:after="0"/>
        <w:ind w:left="567" w:hanging="567"/>
      </w:pPr>
      <w:r>
        <w:rPr>
          <w:iCs/>
        </w:rPr>
        <w:t>[27]</w:t>
      </w:r>
      <w:r>
        <w:rPr>
          <w:iCs/>
        </w:rPr>
        <w:tab/>
      </w:r>
      <w:r w:rsidR="00274DC3">
        <w:t xml:space="preserve">The expectation that it should have been notified personally because it had previously lodged an objection </w:t>
      </w:r>
      <w:r w:rsidR="001E6100">
        <w:t xml:space="preserve">is </w:t>
      </w:r>
      <w:r w:rsidR="007739CC">
        <w:t>unreasonable</w:t>
      </w:r>
      <w:r w:rsidR="001E6100">
        <w:t xml:space="preserve">. </w:t>
      </w:r>
      <w:r w:rsidR="008D364A">
        <w:t>Th</w:t>
      </w:r>
      <w:r w:rsidR="001C3661">
        <w:t>is is so because th</w:t>
      </w:r>
      <w:r w:rsidR="008D364A">
        <w:t xml:space="preserve">e applicant was aware of the </w:t>
      </w:r>
      <w:r w:rsidR="00C17473">
        <w:t>T</w:t>
      </w:r>
      <w:r w:rsidR="00C23731">
        <w:t>ribunal</w:t>
      </w:r>
      <w:r w:rsidR="00C17473">
        <w:t xml:space="preserve">’s decision regarding the establishment </w:t>
      </w:r>
      <w:r w:rsidR="00C23731">
        <w:t xml:space="preserve">of Dalpark Extension 19, as it had appealed the decision and </w:t>
      </w:r>
      <w:r w:rsidR="00C749E0">
        <w:t>taken the appeal on review to the High Court.</w:t>
      </w:r>
      <w:r w:rsidR="00C749E0">
        <w:rPr>
          <w:rStyle w:val="FootnoteReference"/>
        </w:rPr>
        <w:footnoteReference w:id="20"/>
      </w:r>
      <w:r w:rsidR="00C749E0">
        <w:t xml:space="preserve"> </w:t>
      </w:r>
      <w:r w:rsidR="006E0DE2">
        <w:t xml:space="preserve">The decisions taken in respect of Dalpark Extension 19 </w:t>
      </w:r>
      <w:r w:rsidR="008340A4">
        <w:t xml:space="preserve">by the </w:t>
      </w:r>
      <w:r w:rsidR="00765A24">
        <w:t xml:space="preserve">Tribunal </w:t>
      </w:r>
      <w:r w:rsidR="008340A4">
        <w:t xml:space="preserve">prior to the Constitutional </w:t>
      </w:r>
      <w:r w:rsidR="00D00B66">
        <w:t>C</w:t>
      </w:r>
      <w:r w:rsidR="008340A4">
        <w:t xml:space="preserve">ourt order were </w:t>
      </w:r>
      <w:r w:rsidR="00753EEF">
        <w:t>preserved as the order did not have retrospective effect and the pending decisions were required to be fin</w:t>
      </w:r>
      <w:r w:rsidR="00C2512F">
        <w:t xml:space="preserve">alised subject to the conditions determined by the </w:t>
      </w:r>
      <w:r w:rsidR="009903A7">
        <w:t>Constitutional C</w:t>
      </w:r>
      <w:r w:rsidR="00C2512F">
        <w:t>ourt</w:t>
      </w:r>
      <w:r w:rsidR="006320F6">
        <w:t xml:space="preserve"> at </w:t>
      </w:r>
      <w:r w:rsidR="006320F6">
        <w:lastRenderedPageBreak/>
        <w:t>paragraph 1</w:t>
      </w:r>
      <w:r w:rsidR="00AD168D">
        <w:t>3</w:t>
      </w:r>
      <w:r w:rsidR="006320F6">
        <w:t xml:space="preserve"> above</w:t>
      </w:r>
      <w:r w:rsidR="00C2512F">
        <w:t>.</w:t>
      </w:r>
      <w:r w:rsidR="00C2512F">
        <w:rPr>
          <w:rStyle w:val="FootnoteReference"/>
        </w:rPr>
        <w:footnoteReference w:id="21"/>
      </w:r>
      <w:r w:rsidR="0087714B">
        <w:t xml:space="preserve"> </w:t>
      </w:r>
      <w:r w:rsidR="00D3375C">
        <w:t xml:space="preserve"> </w:t>
      </w:r>
      <w:r w:rsidR="001C3661">
        <w:t>As indicated,</w:t>
      </w:r>
      <w:r w:rsidR="00FB655E">
        <w:t xml:space="preserve"> </w:t>
      </w:r>
      <w:r w:rsidR="001C3661">
        <w:t>t</w:t>
      </w:r>
      <w:r w:rsidR="00D3375C">
        <w:t xml:space="preserve">he </w:t>
      </w:r>
      <w:r w:rsidR="00D00B66">
        <w:t xml:space="preserve">applicant was aware of the </w:t>
      </w:r>
      <w:r w:rsidR="004A6A85">
        <w:t xml:space="preserve">decision </w:t>
      </w:r>
      <w:r w:rsidR="00364A75">
        <w:t xml:space="preserve">and </w:t>
      </w:r>
      <w:r w:rsidR="004A6A85">
        <w:t>it was also aware of the developments occurring</w:t>
      </w:r>
      <w:r w:rsidR="001C3661">
        <w:t>.</w:t>
      </w:r>
      <w:r w:rsidR="00364A75">
        <w:t xml:space="preserve"> </w:t>
      </w:r>
      <w:r w:rsidR="008E7C3F">
        <w:t xml:space="preserve">It downplays </w:t>
      </w:r>
      <w:r w:rsidR="006B4B6F">
        <w:t>its</w:t>
      </w:r>
      <w:r w:rsidR="008E7C3F">
        <w:t xml:space="preserve"> knowledge by stating</w:t>
      </w:r>
      <w:r w:rsidR="004A6A85">
        <w:t xml:space="preserve"> that </w:t>
      </w:r>
      <w:r w:rsidR="007B24F5">
        <w:t>it thought</w:t>
      </w:r>
      <w:r w:rsidR="00FF13CB">
        <w:t xml:space="preserve"> the development occurred </w:t>
      </w:r>
      <w:r w:rsidR="007B24F5">
        <w:t xml:space="preserve">as a result of an agricultural rezoning. The applicant </w:t>
      </w:r>
      <w:r w:rsidR="003431E2">
        <w:t xml:space="preserve">chose </w:t>
      </w:r>
      <w:r w:rsidR="00261CBF">
        <w:t xml:space="preserve">not to enquire into the development and belatedly raises </w:t>
      </w:r>
      <w:r w:rsidR="00FA226B">
        <w:t xml:space="preserve">a pre-existing legitimate right </w:t>
      </w:r>
      <w:r w:rsidR="00EC0434">
        <w:t>to be notified and that it was not aware</w:t>
      </w:r>
      <w:r w:rsidR="002E5BC4">
        <w:t xml:space="preserve"> of the development. </w:t>
      </w:r>
      <w:r w:rsidR="00C92D67">
        <w:t xml:space="preserve">The Municipality’s </w:t>
      </w:r>
      <w:r w:rsidR="00350C7A">
        <w:t xml:space="preserve">argument is </w:t>
      </w:r>
      <w:r w:rsidR="001C3661">
        <w:t>valid.</w:t>
      </w:r>
      <w:r w:rsidR="00F72EC9">
        <w:t xml:space="preserve"> </w:t>
      </w:r>
      <w:r w:rsidR="001C3661">
        <w:t>I</w:t>
      </w:r>
      <w:r w:rsidR="00350C7A">
        <w:t xml:space="preserve">t lacks resources </w:t>
      </w:r>
      <w:r w:rsidR="0004770C">
        <w:t xml:space="preserve">to </w:t>
      </w:r>
      <w:r w:rsidR="001C3661">
        <w:t xml:space="preserve">send </w:t>
      </w:r>
      <w:r w:rsidR="0004770C">
        <w:t xml:space="preserve">notifications </w:t>
      </w:r>
      <w:r w:rsidR="001C3661">
        <w:t>to</w:t>
      </w:r>
      <w:r w:rsidR="0004770C">
        <w:t xml:space="preserve"> one client</w:t>
      </w:r>
      <w:r w:rsidR="00061EE9">
        <w:t xml:space="preserve">. </w:t>
      </w:r>
      <w:r w:rsidR="001C3661">
        <w:t>I am satisfied that the Municipality complied with t</w:t>
      </w:r>
      <w:r w:rsidR="00061EE9">
        <w:t xml:space="preserve">he legal requirement </w:t>
      </w:r>
      <w:r w:rsidR="001C3661">
        <w:t xml:space="preserve">for the </w:t>
      </w:r>
      <w:r w:rsidR="00061EE9">
        <w:t>publication</w:t>
      </w:r>
      <w:r w:rsidR="001C3661">
        <w:t xml:space="preserve"> of the notices on the land development applications for the approval of Badenhorst Estate, in Dalpark Ext 19 Township, in terms of the</w:t>
      </w:r>
      <w:r w:rsidR="001C3661" w:rsidRPr="009D4A79">
        <w:t xml:space="preserve"> </w:t>
      </w:r>
      <w:r w:rsidR="001C3661">
        <w:t>DFA</w:t>
      </w:r>
      <w:r w:rsidR="00061EE9">
        <w:t xml:space="preserve">. </w:t>
      </w:r>
      <w:r w:rsidR="00EC34AD">
        <w:t xml:space="preserve">The development came to the attention of the applicant and </w:t>
      </w:r>
      <w:r w:rsidR="00F02ED0">
        <w:t xml:space="preserve">it chose not to enquire and lodge an objection. </w:t>
      </w:r>
      <w:r w:rsidR="00675CA3">
        <w:t xml:space="preserve"> Its application in terms of PAJA is </w:t>
      </w:r>
      <w:r w:rsidR="00EC3B9F">
        <w:t xml:space="preserve">inordinately </w:t>
      </w:r>
      <w:r w:rsidR="00675CA3">
        <w:t>late</w:t>
      </w:r>
      <w:r w:rsidR="001F6B54">
        <w:t xml:space="preserve"> without a reason and explanation for the full period</w:t>
      </w:r>
      <w:r w:rsidR="003A3A3F">
        <w:t>.</w:t>
      </w:r>
      <w:r w:rsidR="00B34068">
        <w:t xml:space="preserve"> </w:t>
      </w:r>
      <w:r w:rsidR="00EC3B9F">
        <w:t>This is the end of the enquiry.</w:t>
      </w:r>
    </w:p>
    <w:p w14:paraId="2F23ED85" w14:textId="77777777" w:rsidR="00FC38BD" w:rsidRDefault="00FC38BD" w:rsidP="00C90337">
      <w:pPr>
        <w:pStyle w:val="JudgmentNumbered"/>
        <w:numPr>
          <w:ilvl w:val="0"/>
          <w:numId w:val="0"/>
        </w:numPr>
        <w:spacing w:after="0"/>
        <w:ind w:left="567" w:hanging="567"/>
      </w:pPr>
    </w:p>
    <w:p w14:paraId="67643540" w14:textId="7AE0D427" w:rsidR="00BA2416" w:rsidRDefault="00214BEB" w:rsidP="00214BEB">
      <w:pPr>
        <w:pStyle w:val="JudgmentNumbered"/>
        <w:numPr>
          <w:ilvl w:val="0"/>
          <w:numId w:val="0"/>
        </w:numPr>
        <w:spacing w:after="0"/>
        <w:ind w:left="567" w:hanging="567"/>
        <w:rPr>
          <w:color w:val="000000"/>
          <w:szCs w:val="24"/>
        </w:rPr>
      </w:pPr>
      <w:r>
        <w:t>[28]</w:t>
      </w:r>
      <w:r>
        <w:tab/>
      </w:r>
      <w:r w:rsidR="00FC38BD">
        <w:t>An extension of time is permitted in terms of s</w:t>
      </w:r>
      <w:r w:rsidR="00EC3B9F">
        <w:t>ection</w:t>
      </w:r>
      <w:r w:rsidR="00FC38BD">
        <w:t xml:space="preserve"> 9</w:t>
      </w:r>
      <w:r w:rsidR="00C215D8">
        <w:t>(2)</w:t>
      </w:r>
      <w:r w:rsidR="00FC38BD">
        <w:t xml:space="preserve"> of PAJA where the interests of justice require </w:t>
      </w:r>
      <w:r w:rsidR="00C215D8">
        <w:t xml:space="preserve">same. </w:t>
      </w:r>
      <w:r w:rsidR="00EC3B9F">
        <w:t>The Constitutional Court in</w:t>
      </w:r>
      <w:r w:rsidR="00EC0434">
        <w:t xml:space="preserve"> </w:t>
      </w:r>
      <w:r w:rsidR="00EC3B9F" w:rsidRPr="00477261">
        <w:rPr>
          <w:i/>
          <w:iCs/>
        </w:rPr>
        <w:t>Van Wyk v Unitas Hospital and Another (Open Democratic Advice Centre as Amicus Curiae)</w:t>
      </w:r>
      <w:r w:rsidR="00971ECE">
        <w:rPr>
          <w:i/>
          <w:iCs/>
        </w:rPr>
        <w:t>(Van Wyk)</w:t>
      </w:r>
      <w:r w:rsidR="00EC3B9F">
        <w:rPr>
          <w:rStyle w:val="FootnoteReference"/>
        </w:rPr>
        <w:footnoteReference w:id="22"/>
      </w:r>
      <w:r w:rsidR="00EC3B9F" w:rsidRPr="00A3520E">
        <w:t xml:space="preserve"> </w:t>
      </w:r>
      <w:r w:rsidR="00EC3B9F">
        <w:t xml:space="preserve">has confirmed for </w:t>
      </w:r>
      <w:r w:rsidR="00EC3B9F" w:rsidRPr="00832993">
        <w:rPr>
          <w:color w:val="000000"/>
          <w:szCs w:val="24"/>
        </w:rPr>
        <w:t xml:space="preserve">an applicant for condonation </w:t>
      </w:r>
      <w:r w:rsidR="00EC3B9F">
        <w:rPr>
          <w:color w:val="000000"/>
          <w:szCs w:val="24"/>
        </w:rPr>
        <w:t xml:space="preserve">to succeed, the applicant </w:t>
      </w:r>
      <w:r w:rsidR="00EC3B9F" w:rsidRPr="00832993">
        <w:rPr>
          <w:color w:val="000000"/>
          <w:szCs w:val="24"/>
        </w:rPr>
        <w:t xml:space="preserve">must </w:t>
      </w:r>
      <w:r w:rsidR="00EC3B9F">
        <w:rPr>
          <w:color w:val="000000"/>
          <w:szCs w:val="24"/>
        </w:rPr>
        <w:t xml:space="preserve">satisfy three essential requirements: (a) It </w:t>
      </w:r>
      <w:r w:rsidR="004D5179">
        <w:rPr>
          <w:color w:val="000000"/>
          <w:szCs w:val="24"/>
        </w:rPr>
        <w:t xml:space="preserve">must </w:t>
      </w:r>
      <w:r w:rsidR="00EC3B9F" w:rsidRPr="00832993">
        <w:rPr>
          <w:color w:val="000000"/>
          <w:szCs w:val="24"/>
        </w:rPr>
        <w:t>give a full explanation for the delay;</w:t>
      </w:r>
      <w:r w:rsidR="00EC3B9F">
        <w:rPr>
          <w:color w:val="000000"/>
          <w:szCs w:val="24"/>
        </w:rPr>
        <w:t xml:space="preserve"> (b) T</w:t>
      </w:r>
      <w:r w:rsidR="00EC3B9F" w:rsidRPr="00832993">
        <w:rPr>
          <w:color w:val="000000"/>
          <w:szCs w:val="24"/>
        </w:rPr>
        <w:t>he explanation must cover the entire period of the delay</w:t>
      </w:r>
      <w:r w:rsidR="00EC3B9F">
        <w:rPr>
          <w:color w:val="000000"/>
          <w:szCs w:val="24"/>
        </w:rPr>
        <w:t>,</w:t>
      </w:r>
      <w:r w:rsidR="00EC3B9F" w:rsidRPr="00832993">
        <w:rPr>
          <w:color w:val="000000"/>
          <w:szCs w:val="24"/>
        </w:rPr>
        <w:t xml:space="preserve"> and </w:t>
      </w:r>
      <w:r w:rsidR="00EC3B9F">
        <w:rPr>
          <w:color w:val="000000"/>
          <w:szCs w:val="24"/>
        </w:rPr>
        <w:t>(c) T</w:t>
      </w:r>
      <w:r w:rsidR="00EC3B9F" w:rsidRPr="00832993">
        <w:rPr>
          <w:color w:val="000000"/>
          <w:szCs w:val="24"/>
        </w:rPr>
        <w:t>he explanation</w:t>
      </w:r>
      <w:r w:rsidR="00EC3B9F">
        <w:rPr>
          <w:color w:val="000000"/>
          <w:szCs w:val="24"/>
        </w:rPr>
        <w:t xml:space="preserve"> </w:t>
      </w:r>
      <w:r w:rsidR="00EC3B9F" w:rsidRPr="00832993">
        <w:rPr>
          <w:color w:val="000000"/>
          <w:szCs w:val="24"/>
        </w:rPr>
        <w:t>must be reasonable</w:t>
      </w:r>
      <w:r w:rsidR="00EC3B9F">
        <w:rPr>
          <w:color w:val="000000"/>
          <w:szCs w:val="24"/>
        </w:rPr>
        <w:t>.</w:t>
      </w:r>
      <w:r w:rsidR="003B3C52">
        <w:rPr>
          <w:color w:val="000000"/>
          <w:szCs w:val="24"/>
        </w:rPr>
        <w:t xml:space="preserve"> </w:t>
      </w:r>
      <w:r w:rsidR="00EC3B9F">
        <w:t xml:space="preserve">On </w:t>
      </w:r>
      <w:r w:rsidR="00A3529A">
        <w:t>the applicant’s version</w:t>
      </w:r>
      <w:r w:rsidR="00A0333A">
        <w:t>,</w:t>
      </w:r>
      <w:r w:rsidR="00A3529A">
        <w:t xml:space="preserve"> it is apparent that the applicant lodged the application in March 2020</w:t>
      </w:r>
      <w:r w:rsidR="00A96667">
        <w:t xml:space="preserve"> whilst it has been engaged in litigation </w:t>
      </w:r>
      <w:r w:rsidR="00EC3B9F">
        <w:t xml:space="preserve">in respect of the </w:t>
      </w:r>
      <w:r w:rsidR="009A37D2">
        <w:t>township Dalpark Extension 19 prior to that period.</w:t>
      </w:r>
      <w:r w:rsidR="002917F0">
        <w:t xml:space="preserve"> It </w:t>
      </w:r>
      <w:r w:rsidR="008F48FA">
        <w:t xml:space="preserve">did not </w:t>
      </w:r>
      <w:r w:rsidR="002917F0">
        <w:t>join</w:t>
      </w:r>
      <w:r w:rsidR="008F48FA">
        <w:t xml:space="preserve"> </w:t>
      </w:r>
      <w:r w:rsidR="002917F0">
        <w:t xml:space="preserve">all of the parties affected from the outset and </w:t>
      </w:r>
      <w:r>
        <w:t>joined some</w:t>
      </w:r>
      <w:r w:rsidR="001C288E">
        <w:t xml:space="preserve"> parties </w:t>
      </w:r>
      <w:r w:rsidR="002917F0">
        <w:t>at a late stage.</w:t>
      </w:r>
      <w:r w:rsidR="001016D2">
        <w:t xml:space="preserve"> </w:t>
      </w:r>
      <w:r w:rsidR="00BA2416">
        <w:t>Having regard to the decision in</w:t>
      </w:r>
      <w:r w:rsidR="00CB4DA6">
        <w:t xml:space="preserve"> </w:t>
      </w:r>
      <w:r w:rsidR="00AA1BB0" w:rsidRPr="00AA1BB0">
        <w:rPr>
          <w:i/>
          <w:iCs/>
        </w:rPr>
        <w:t xml:space="preserve">Van Wyk v </w:t>
      </w:r>
      <w:r w:rsidR="00CB4DA6" w:rsidRPr="00AA1BB0">
        <w:rPr>
          <w:i/>
          <w:iCs/>
        </w:rPr>
        <w:t xml:space="preserve">Unitas </w:t>
      </w:r>
      <w:r w:rsidRPr="00AA1BB0">
        <w:rPr>
          <w:i/>
          <w:iCs/>
        </w:rPr>
        <w:t>Hospital</w:t>
      </w:r>
      <w:r>
        <w:rPr>
          <w:i/>
          <w:iCs/>
        </w:rPr>
        <w:t xml:space="preserve">, </w:t>
      </w:r>
      <w:r>
        <w:t>the</w:t>
      </w:r>
      <w:r w:rsidR="00832993">
        <w:rPr>
          <w:color w:val="000000"/>
          <w:szCs w:val="24"/>
        </w:rPr>
        <w:t xml:space="preserve"> applicant </w:t>
      </w:r>
      <w:r w:rsidR="00EC3B9F">
        <w:rPr>
          <w:color w:val="000000"/>
          <w:szCs w:val="24"/>
        </w:rPr>
        <w:t xml:space="preserve">failed to satisfy any of the three requirements set out by the </w:t>
      </w:r>
      <w:r w:rsidR="008E3565">
        <w:rPr>
          <w:color w:val="000000"/>
          <w:szCs w:val="24"/>
        </w:rPr>
        <w:t xml:space="preserve">Court. </w:t>
      </w:r>
      <w:r w:rsidR="00971ECE">
        <w:rPr>
          <w:color w:val="000000"/>
          <w:szCs w:val="24"/>
        </w:rPr>
        <w:t xml:space="preserve"> In the words of </w:t>
      </w:r>
      <w:r w:rsidR="00971ECE" w:rsidRPr="00160FAC">
        <w:rPr>
          <w:i/>
          <w:iCs/>
          <w:color w:val="000000"/>
          <w:szCs w:val="24"/>
        </w:rPr>
        <w:t>Van Wyk</w:t>
      </w:r>
      <w:r>
        <w:rPr>
          <w:i/>
          <w:iCs/>
          <w:color w:val="000000"/>
          <w:szCs w:val="24"/>
        </w:rPr>
        <w:t>,” an</w:t>
      </w:r>
      <w:r w:rsidR="00563699" w:rsidRPr="00BF3C13">
        <w:rPr>
          <w:color w:val="000000"/>
          <w:szCs w:val="24"/>
        </w:rPr>
        <w:t xml:space="preserve"> </w:t>
      </w:r>
      <w:r w:rsidR="00563699" w:rsidRPr="00090D5B">
        <w:rPr>
          <w:i/>
          <w:iCs/>
          <w:color w:val="000000"/>
          <w:szCs w:val="24"/>
        </w:rPr>
        <w:t>inordinate delay induced a reasonable belief that an order had become unassailable. To grant condonation after an inordinate delay and in the absence of a reasonable explanation would undermine the principle of finality and could not be in the interests of justice</w:t>
      </w:r>
      <w:r w:rsidR="00FC1884" w:rsidRPr="00160FAC">
        <w:rPr>
          <w:color w:val="000000"/>
          <w:szCs w:val="24"/>
        </w:rPr>
        <w:t>”</w:t>
      </w:r>
      <w:r w:rsidR="0036666C" w:rsidRPr="00160FAC">
        <w:rPr>
          <w:color w:val="000000"/>
          <w:szCs w:val="24"/>
        </w:rPr>
        <w:t>.</w:t>
      </w:r>
      <w:r w:rsidR="0036666C">
        <w:rPr>
          <w:i/>
          <w:iCs/>
          <w:color w:val="000000"/>
          <w:szCs w:val="24"/>
        </w:rPr>
        <w:t xml:space="preserve"> </w:t>
      </w:r>
    </w:p>
    <w:p w14:paraId="175ECEE6" w14:textId="3C28ADED" w:rsidR="00971ECE" w:rsidRDefault="00971ECE" w:rsidP="00C90337">
      <w:pPr>
        <w:pStyle w:val="JudgmentNumbered"/>
        <w:numPr>
          <w:ilvl w:val="0"/>
          <w:numId w:val="0"/>
        </w:numPr>
        <w:spacing w:after="0"/>
        <w:ind w:left="567" w:hanging="567"/>
      </w:pPr>
      <w:r>
        <w:lastRenderedPageBreak/>
        <w:tab/>
        <w:t>On th</w:t>
      </w:r>
      <w:r w:rsidR="00BF3C13">
        <w:t xml:space="preserve">is </w:t>
      </w:r>
      <w:r>
        <w:t>bas</w:t>
      </w:r>
      <w:r w:rsidR="00122291">
        <w:t>i</w:t>
      </w:r>
      <w:r>
        <w:t>s, it is clear that the applicant has not made out a case for condonation.</w:t>
      </w:r>
    </w:p>
    <w:p w14:paraId="7CF0C797" w14:textId="77777777" w:rsidR="003B69C4" w:rsidRPr="00971ECE" w:rsidRDefault="003B69C4" w:rsidP="00C90337">
      <w:pPr>
        <w:pStyle w:val="JudgmentNumbered"/>
        <w:numPr>
          <w:ilvl w:val="0"/>
          <w:numId w:val="0"/>
        </w:numPr>
        <w:spacing w:after="0"/>
        <w:ind w:left="567" w:hanging="567"/>
        <w:rPr>
          <w:szCs w:val="24"/>
        </w:rPr>
      </w:pPr>
    </w:p>
    <w:p w14:paraId="56DF7814" w14:textId="7328A938" w:rsidR="00056798" w:rsidRPr="003B69C4" w:rsidRDefault="00971ECE" w:rsidP="00160FAC">
      <w:pPr>
        <w:pStyle w:val="JudgmentNumbered"/>
        <w:numPr>
          <w:ilvl w:val="0"/>
          <w:numId w:val="0"/>
        </w:numPr>
        <w:spacing w:after="0"/>
        <w:ind w:left="567"/>
        <w:rPr>
          <w:b/>
          <w:bCs/>
          <w:u w:val="single"/>
        </w:rPr>
      </w:pPr>
      <w:r w:rsidRPr="003B69C4">
        <w:rPr>
          <w:b/>
          <w:bCs/>
          <w:u w:val="single"/>
        </w:rPr>
        <w:t>The interests of justice</w:t>
      </w:r>
    </w:p>
    <w:p w14:paraId="678946CF" w14:textId="51DB086C" w:rsidR="00971ECE" w:rsidRDefault="007F641D" w:rsidP="007F641D">
      <w:pPr>
        <w:pStyle w:val="JudgmentNumbered"/>
        <w:numPr>
          <w:ilvl w:val="0"/>
          <w:numId w:val="0"/>
        </w:numPr>
        <w:spacing w:after="0"/>
        <w:ind w:left="567" w:hanging="567"/>
      </w:pPr>
      <w:r>
        <w:t>[29]</w:t>
      </w:r>
      <w:r>
        <w:tab/>
      </w:r>
      <w:r w:rsidR="003A363D">
        <w:t>Moreover, i</w:t>
      </w:r>
      <w:r w:rsidR="00D14746">
        <w:t>n terms of s 9(2) of PAJA</w:t>
      </w:r>
      <w:r w:rsidR="008F27ED">
        <w:t>,</w:t>
      </w:r>
      <w:r w:rsidR="0088445B">
        <w:t xml:space="preserve"> there are no circumstances on which to find that the </w:t>
      </w:r>
      <w:r w:rsidR="00D94225">
        <w:t>interests of justice require an extension.</w:t>
      </w:r>
      <w:r w:rsidR="003B69C4">
        <w:t xml:space="preserve"> </w:t>
      </w:r>
      <w:r w:rsidR="00B96ABA">
        <w:t xml:space="preserve">In </w:t>
      </w:r>
      <w:r w:rsidR="00D14746">
        <w:t xml:space="preserve">circumstances where the decision has been implemented where it has not been demonstrated that the interests of justice require the extension and where administrators’ decisions have been implemented affecting a substantial number of persons as well as </w:t>
      </w:r>
      <w:r w:rsidR="00453A69">
        <w:t>i</w:t>
      </w:r>
      <w:r w:rsidR="00D14746">
        <w:t>mpacting the economic and environmental rights of group</w:t>
      </w:r>
      <w:r w:rsidR="00500482">
        <w:t>s</w:t>
      </w:r>
      <w:r w:rsidR="00D14746">
        <w:t xml:space="preserve"> </w:t>
      </w:r>
      <w:r w:rsidR="00DF6DF9">
        <w:t xml:space="preserve">within the community the rule in </w:t>
      </w:r>
      <w:r w:rsidR="00DF6DF9" w:rsidRPr="00C87D50">
        <w:rPr>
          <w:i/>
          <w:iCs/>
        </w:rPr>
        <w:t>Oude</w:t>
      </w:r>
      <w:r w:rsidR="003A761F" w:rsidRPr="00C87D50">
        <w:rPr>
          <w:i/>
          <w:iCs/>
        </w:rPr>
        <w:t>kraal</w:t>
      </w:r>
      <w:r w:rsidR="003A761F">
        <w:t xml:space="preserve"> find</w:t>
      </w:r>
      <w:r w:rsidR="00065C41">
        <w:t>s</w:t>
      </w:r>
      <w:r w:rsidR="003A761F">
        <w:t xml:space="preserve"> application.</w:t>
      </w:r>
      <w:r w:rsidR="00867C16">
        <w:t xml:space="preserve"> If the decision was </w:t>
      </w:r>
      <w:r w:rsidR="000B29FF">
        <w:t>an</w:t>
      </w:r>
      <w:r w:rsidR="00867C16">
        <w:t xml:space="preserve"> </w:t>
      </w:r>
      <w:r w:rsidR="001E2F5D" w:rsidRPr="003C3DBF">
        <w:t>unlawful</w:t>
      </w:r>
      <w:r w:rsidR="001E2F5D">
        <w:t xml:space="preserve"> administrative act</w:t>
      </w:r>
      <w:r w:rsidR="000B29FF">
        <w:t xml:space="preserve"> it </w:t>
      </w:r>
      <w:r w:rsidR="001E2F5D">
        <w:t>serves as a basis or foundation for the legal validity of later decisions as long as the initial administrative decision or act remains in existence</w:t>
      </w:r>
      <w:r w:rsidR="009B099C">
        <w:t>.</w:t>
      </w:r>
      <w:r w:rsidR="00132BEC">
        <w:rPr>
          <w:rStyle w:val="FootnoteReference"/>
        </w:rPr>
        <w:footnoteReference w:id="23"/>
      </w:r>
      <w:r w:rsidR="00F37BAB">
        <w:t xml:space="preserve"> </w:t>
      </w:r>
      <w:r w:rsidR="009B099C">
        <w:t>The establishment of the township</w:t>
      </w:r>
      <w:r w:rsidR="00CA2941">
        <w:t xml:space="preserve"> </w:t>
      </w:r>
      <w:r w:rsidR="0098267C">
        <w:t>taken by the DFA or Ordinance both of which</w:t>
      </w:r>
      <w:r w:rsidR="00B96ABA">
        <w:t>,</w:t>
      </w:r>
      <w:r w:rsidR="0098267C">
        <w:t xml:space="preserve"> </w:t>
      </w:r>
      <w:r w:rsidR="00B96ABA">
        <w:t xml:space="preserve">on </w:t>
      </w:r>
      <w:r w:rsidR="0098267C">
        <w:t>the applicant</w:t>
      </w:r>
      <w:r w:rsidR="00B96ABA">
        <w:t>’s own version,</w:t>
      </w:r>
      <w:r w:rsidR="0098267C">
        <w:t xml:space="preserve"> </w:t>
      </w:r>
      <w:r w:rsidR="00882D23">
        <w:t>are</w:t>
      </w:r>
      <w:r w:rsidR="00E56348">
        <w:t xml:space="preserve"> unlawful</w:t>
      </w:r>
      <w:r w:rsidR="00B96ABA">
        <w:t xml:space="preserve">, </w:t>
      </w:r>
      <w:r w:rsidR="00E56348">
        <w:t>should be set</w:t>
      </w:r>
      <w:r w:rsidR="008E7C89">
        <w:t xml:space="preserve"> </w:t>
      </w:r>
      <w:r w:rsidR="00B96ABA">
        <w:t>aside</w:t>
      </w:r>
      <w:r w:rsidR="008E7C89">
        <w:t xml:space="preserve"> </w:t>
      </w:r>
      <w:r w:rsidR="00D43CA8">
        <w:t xml:space="preserve"> to enable </w:t>
      </w:r>
      <w:r w:rsidR="00E56348">
        <w:t>new applicatio</w:t>
      </w:r>
      <w:r w:rsidR="008E7C89">
        <w:t>ns</w:t>
      </w:r>
      <w:r w:rsidR="00E56348">
        <w:t xml:space="preserve"> </w:t>
      </w:r>
      <w:r w:rsidR="00D43CA8">
        <w:t>to be</w:t>
      </w:r>
      <w:r w:rsidR="00E56348">
        <w:t xml:space="preserve"> </w:t>
      </w:r>
      <w:r w:rsidR="00882D23">
        <w:t>brought in terms of SPLUMA.</w:t>
      </w:r>
      <w:r w:rsidR="003A482E">
        <w:t xml:space="preserve"> </w:t>
      </w:r>
    </w:p>
    <w:p w14:paraId="2EE82B2B" w14:textId="77777777" w:rsidR="00971ECE" w:rsidRDefault="00971ECE" w:rsidP="00D14746">
      <w:pPr>
        <w:pStyle w:val="JudgmentNumbered"/>
        <w:numPr>
          <w:ilvl w:val="0"/>
          <w:numId w:val="0"/>
        </w:numPr>
        <w:spacing w:after="0"/>
        <w:ind w:left="567" w:hanging="567"/>
      </w:pPr>
    </w:p>
    <w:p w14:paraId="0FA76F02" w14:textId="6DA5C6C8" w:rsidR="00E411F7" w:rsidRDefault="007F641D" w:rsidP="007F641D">
      <w:pPr>
        <w:pStyle w:val="JudgmentNumbered"/>
        <w:numPr>
          <w:ilvl w:val="0"/>
          <w:numId w:val="0"/>
        </w:numPr>
        <w:spacing w:after="0"/>
        <w:ind w:left="567" w:hanging="567"/>
      </w:pPr>
      <w:r>
        <w:t>[30]</w:t>
      </w:r>
      <w:r>
        <w:tab/>
      </w:r>
      <w:r w:rsidR="003A482E">
        <w:t xml:space="preserve">The </w:t>
      </w:r>
      <w:r>
        <w:t>seventh to</w:t>
      </w:r>
      <w:r w:rsidR="003A482E">
        <w:t xml:space="preserve"> </w:t>
      </w:r>
      <w:r w:rsidR="00FF2300">
        <w:t xml:space="preserve">tenth </w:t>
      </w:r>
      <w:r w:rsidR="003A482E">
        <w:t xml:space="preserve">respondents </w:t>
      </w:r>
      <w:r w:rsidR="00FE2787">
        <w:t xml:space="preserve">drew </w:t>
      </w:r>
      <w:r w:rsidR="005E1F65">
        <w:t>attention</w:t>
      </w:r>
      <w:r w:rsidR="00FE2787">
        <w:t xml:space="preserve"> to the </w:t>
      </w:r>
      <w:r w:rsidR="00971ECE">
        <w:t>concerns</w:t>
      </w:r>
      <w:r w:rsidR="00D209E8">
        <w:t xml:space="preserve"> </w:t>
      </w:r>
      <w:r w:rsidR="008218FF">
        <w:t xml:space="preserve">that firstly it would result in the court usurping the function of the </w:t>
      </w:r>
      <w:r w:rsidR="00BF617E">
        <w:t>Municipality, Surveyor General, and the Registrar of Deeds.</w:t>
      </w:r>
      <w:r w:rsidR="001E0530">
        <w:t xml:space="preserve"> </w:t>
      </w:r>
      <w:r w:rsidR="00971ECE">
        <w:t xml:space="preserve">Second, they </w:t>
      </w:r>
      <w:r w:rsidR="00E411F7">
        <w:t xml:space="preserve">raise other </w:t>
      </w:r>
      <w:r w:rsidR="00971ECE">
        <w:t xml:space="preserve">concerns </w:t>
      </w:r>
      <w:r w:rsidR="00BD03F5">
        <w:t>that</w:t>
      </w:r>
      <w:r w:rsidR="00E411F7">
        <w:t xml:space="preserve"> </w:t>
      </w:r>
      <w:r w:rsidR="00107E6C">
        <w:t xml:space="preserve">amount to </w:t>
      </w:r>
      <w:r w:rsidR="00BD03F5">
        <w:t xml:space="preserve">the </w:t>
      </w:r>
      <w:r w:rsidR="00107E6C">
        <w:t>nullification of their rights as land owners</w:t>
      </w:r>
      <w:r w:rsidR="00BD03F5">
        <w:t>,</w:t>
      </w:r>
      <w:r w:rsidR="00971ECE">
        <w:t xml:space="preserve"> ie that</w:t>
      </w:r>
      <w:r w:rsidR="00C41A77">
        <w:t xml:space="preserve"> the property will revert back to a farm register, the township will be de</w:t>
      </w:r>
      <w:r w:rsidR="00971ECE">
        <w:t>-</w:t>
      </w:r>
      <w:r w:rsidR="00C41A77">
        <w:t>proclaimed</w:t>
      </w:r>
      <w:r w:rsidR="00D13973">
        <w:t xml:space="preserve">, bonds registered over the farms will be affected, </w:t>
      </w:r>
      <w:r w:rsidR="00092FA2">
        <w:t>the public who were permitted access to roads will no longer be permitted access.</w:t>
      </w:r>
      <w:r w:rsidR="00C41A77">
        <w:t xml:space="preserve"> </w:t>
      </w:r>
      <w:r w:rsidR="005004FE">
        <w:t>The de</w:t>
      </w:r>
      <w:r w:rsidR="00971ECE">
        <w:t>-</w:t>
      </w:r>
      <w:r w:rsidR="005004FE">
        <w:t>pro</w:t>
      </w:r>
      <w:r w:rsidR="006B07C6">
        <w:t>clam</w:t>
      </w:r>
      <w:r w:rsidR="00971ECE">
        <w:t>a</w:t>
      </w:r>
      <w:r w:rsidR="006B07C6">
        <w:t>tion of the township by the Municipality is a complex process on its own and time bound</w:t>
      </w:r>
      <w:r w:rsidR="00971ECE">
        <w:t>.</w:t>
      </w:r>
      <w:r w:rsidR="008A5EBB">
        <w:t xml:space="preserve"> </w:t>
      </w:r>
      <w:r w:rsidR="00971ECE">
        <w:t xml:space="preserve">It </w:t>
      </w:r>
      <w:r w:rsidR="00D06CFC">
        <w:t>requir</w:t>
      </w:r>
      <w:r w:rsidR="00971ECE">
        <w:t xml:space="preserve">es </w:t>
      </w:r>
      <w:r w:rsidR="00D06CFC">
        <w:t xml:space="preserve">notices and public participation. </w:t>
      </w:r>
      <w:r w:rsidR="00167FCA">
        <w:t xml:space="preserve">The respondents will not be able to transfer the properties they now own. </w:t>
      </w:r>
      <w:r w:rsidR="003361F8">
        <w:t xml:space="preserve">The proposed solution offered by Mr Dacomb the </w:t>
      </w:r>
      <w:r w:rsidR="00DA4AAB">
        <w:t xml:space="preserve">surveyor for the applicant does not offer a realistic solution but raises more </w:t>
      </w:r>
      <w:r w:rsidR="00971ECE">
        <w:t xml:space="preserve">concerns </w:t>
      </w:r>
      <w:r w:rsidR="00DA4AAB">
        <w:t xml:space="preserve">for the respondents. </w:t>
      </w:r>
    </w:p>
    <w:p w14:paraId="02D42333" w14:textId="77777777" w:rsidR="00F7092B" w:rsidRDefault="00F7092B" w:rsidP="00D14746">
      <w:pPr>
        <w:pStyle w:val="JudgmentNumbered"/>
        <w:numPr>
          <w:ilvl w:val="0"/>
          <w:numId w:val="0"/>
        </w:numPr>
        <w:spacing w:after="0"/>
        <w:ind w:left="567" w:hanging="567"/>
      </w:pPr>
    </w:p>
    <w:p w14:paraId="3FC0BDA8" w14:textId="643877CC" w:rsidR="006B1ED8" w:rsidRDefault="007F641D" w:rsidP="007F641D">
      <w:pPr>
        <w:pStyle w:val="JudgmentNumbered"/>
        <w:numPr>
          <w:ilvl w:val="0"/>
          <w:numId w:val="0"/>
        </w:numPr>
        <w:spacing w:after="0"/>
        <w:ind w:left="567" w:hanging="567"/>
      </w:pPr>
      <w:r>
        <w:t>[31]</w:t>
      </w:r>
      <w:r>
        <w:tab/>
      </w:r>
      <w:r w:rsidR="00C84321">
        <w:t xml:space="preserve">Having regard to </w:t>
      </w:r>
      <w:r w:rsidR="006405B4">
        <w:t>the applicant</w:t>
      </w:r>
      <w:r w:rsidR="00C84321">
        <w:t xml:space="preserve">’s submission </w:t>
      </w:r>
      <w:r w:rsidR="006405B4">
        <w:t>that the township was not properly established</w:t>
      </w:r>
      <w:r w:rsidR="00584A1C">
        <w:t xml:space="preserve">, the </w:t>
      </w:r>
      <w:r w:rsidR="006405B4">
        <w:t>Constitutional Court</w:t>
      </w:r>
      <w:r w:rsidR="00584A1C">
        <w:t xml:space="preserve">’s direction during the period of </w:t>
      </w:r>
      <w:r w:rsidR="006A1445">
        <w:t xml:space="preserve">suspension, </w:t>
      </w:r>
      <w:r w:rsidR="006A1445">
        <w:lastRenderedPageBreak/>
        <w:t>was</w:t>
      </w:r>
      <w:r w:rsidR="00267966">
        <w:t xml:space="preserve"> that </w:t>
      </w:r>
      <w:r w:rsidR="006405B4">
        <w:t xml:space="preserve">the previous DFA determinations were not unravelled and this is so because Courts do not trammel over executive and administrative decisions except to the extent of its legality. The Court in </w:t>
      </w:r>
      <w:r w:rsidR="006405B4" w:rsidRPr="00326AB9">
        <w:rPr>
          <w:i/>
          <w:iCs/>
        </w:rPr>
        <w:t>Johannesburg</w:t>
      </w:r>
      <w:r w:rsidR="006405B4">
        <w:t xml:space="preserve">   </w:t>
      </w:r>
      <w:r w:rsidR="006405B4" w:rsidRPr="00326AB9">
        <w:rPr>
          <w:i/>
          <w:iCs/>
        </w:rPr>
        <w:t>Municipality</w:t>
      </w:r>
      <w:r w:rsidR="006405B4">
        <w:t xml:space="preserve"> above, went so far as to indicate that pending matter</w:t>
      </w:r>
      <w:r w:rsidR="00BC69B0">
        <w:t>s</w:t>
      </w:r>
      <w:r w:rsidR="006405B4">
        <w:t xml:space="preserve"> be finalised and </w:t>
      </w:r>
      <w:r w:rsidR="00BC69B0">
        <w:t xml:space="preserve">determined that </w:t>
      </w:r>
      <w:r w:rsidR="006405B4">
        <w:t>the declaration of invalidity was suspended for two years</w:t>
      </w:r>
      <w:r w:rsidR="009276D8">
        <w:t>. T</w:t>
      </w:r>
      <w:r w:rsidR="006B1ED8">
        <w:t>h</w:t>
      </w:r>
      <w:r w:rsidR="007E078D">
        <w:t xml:space="preserve">e </w:t>
      </w:r>
      <w:r w:rsidR="009276D8">
        <w:t xml:space="preserve">Constitutional </w:t>
      </w:r>
      <w:r w:rsidR="006B1ED8">
        <w:t>Court indicated that the suspension was subject to the pending applications being finalised</w:t>
      </w:r>
      <w:r w:rsidR="00802CB5">
        <w:t>,</w:t>
      </w:r>
      <w:r w:rsidR="006B1ED8">
        <w:t xml:space="preserve"> as is evident in paragraph [95] of the </w:t>
      </w:r>
      <w:r w:rsidR="007E078D">
        <w:t>decision</w:t>
      </w:r>
      <w:r w:rsidR="006B1ED8">
        <w:t xml:space="preserve">. The </w:t>
      </w:r>
      <w:r w:rsidR="00B97C8C">
        <w:t xml:space="preserve">Municipality </w:t>
      </w:r>
      <w:r w:rsidR="006B1ED8">
        <w:t xml:space="preserve">determined that this was to be done in terms of Ordinance.  </w:t>
      </w:r>
      <w:r w:rsidR="00802CB5">
        <w:t>Th</w:t>
      </w:r>
      <w:r w:rsidR="00B86075">
        <w:t xml:space="preserve">e Municipality sought to comply with </w:t>
      </w:r>
      <w:r w:rsidR="006B1ED8">
        <w:t>the Constitutional Court’s</w:t>
      </w:r>
      <w:r w:rsidR="00802CB5">
        <w:t xml:space="preserve"> </w:t>
      </w:r>
      <w:r w:rsidR="006B1ED8">
        <w:t>determination whe</w:t>
      </w:r>
      <w:r w:rsidR="00000F2B">
        <w:t xml:space="preserve">n </w:t>
      </w:r>
      <w:r w:rsidR="004F0DD4">
        <w:t>th</w:t>
      </w:r>
      <w:r w:rsidR="00610A94">
        <w:t xml:space="preserve">e </w:t>
      </w:r>
      <w:r w:rsidR="00B97C8C">
        <w:t xml:space="preserve">Municipality </w:t>
      </w:r>
      <w:r w:rsidR="006B1ED8">
        <w:t>processed all applications that were pending.</w:t>
      </w:r>
    </w:p>
    <w:p w14:paraId="31318FA9" w14:textId="77777777" w:rsidR="006643D4" w:rsidRDefault="006643D4" w:rsidP="009F4DF4">
      <w:pPr>
        <w:pStyle w:val="JudgmentNumbered"/>
        <w:numPr>
          <w:ilvl w:val="0"/>
          <w:numId w:val="0"/>
        </w:numPr>
        <w:spacing w:after="0"/>
        <w:ind w:left="567" w:hanging="567"/>
      </w:pPr>
    </w:p>
    <w:p w14:paraId="2C771A26" w14:textId="12CF4E54" w:rsidR="009F4DF4" w:rsidRDefault="007F641D" w:rsidP="007F641D">
      <w:pPr>
        <w:pStyle w:val="JudgmentNumbered"/>
        <w:numPr>
          <w:ilvl w:val="0"/>
          <w:numId w:val="0"/>
        </w:numPr>
        <w:spacing w:after="0"/>
        <w:ind w:left="567" w:hanging="567"/>
      </w:pPr>
      <w:r>
        <w:t>[32]</w:t>
      </w:r>
      <w:r>
        <w:tab/>
      </w:r>
      <w:r w:rsidR="00000F2B">
        <w:t xml:space="preserve">This </w:t>
      </w:r>
      <w:r w:rsidR="0006483E">
        <w:t xml:space="preserve">separation of powers is supported by the view expressed by the </w:t>
      </w:r>
      <w:r w:rsidR="0012368E">
        <w:t xml:space="preserve">Court in </w:t>
      </w:r>
      <w:r w:rsidR="0012368E" w:rsidRPr="009E19E6">
        <w:rPr>
          <w:i/>
          <w:iCs/>
        </w:rPr>
        <w:t xml:space="preserve">Esau and Others v Minister of Cooperative Governance </w:t>
      </w:r>
      <w:r w:rsidR="009E19E6" w:rsidRPr="009E19E6">
        <w:rPr>
          <w:i/>
          <w:iCs/>
        </w:rPr>
        <w:t>and Traditional Affairs</w:t>
      </w:r>
      <w:r w:rsidR="00C55296">
        <w:rPr>
          <w:i/>
          <w:iCs/>
        </w:rPr>
        <w:t>,</w:t>
      </w:r>
      <w:r w:rsidR="009E19E6">
        <w:rPr>
          <w:rStyle w:val="FootnoteReference"/>
          <w:i/>
          <w:iCs/>
        </w:rPr>
        <w:footnoteReference w:id="24"/>
      </w:r>
      <w:r w:rsidR="00C55296">
        <w:t>:</w:t>
      </w:r>
    </w:p>
    <w:p w14:paraId="14E07E84" w14:textId="41D996FF" w:rsidR="00C55296" w:rsidRPr="003E61BE" w:rsidRDefault="00CF1A1C" w:rsidP="00102B12">
      <w:pPr>
        <w:pStyle w:val="JudgmentNumbered"/>
        <w:numPr>
          <w:ilvl w:val="0"/>
          <w:numId w:val="0"/>
        </w:numPr>
        <w:spacing w:after="0"/>
        <w:ind w:left="1440"/>
        <w:rPr>
          <w:sz w:val="22"/>
          <w:lang w:val="en-CA"/>
        </w:rPr>
      </w:pPr>
      <w:r w:rsidRPr="003E61BE">
        <w:rPr>
          <w:sz w:val="22"/>
        </w:rPr>
        <w:t>“ That is not to say that the courts have untrammelled powers to interfere</w:t>
      </w:r>
      <w:r w:rsidR="005E0983" w:rsidRPr="003E61BE">
        <w:rPr>
          <w:sz w:val="22"/>
        </w:rPr>
        <w:t xml:space="preserve"> with the measures chosen by the executive to meet the challenge</w:t>
      </w:r>
      <w:r w:rsidR="0083310C" w:rsidRPr="003E61BE">
        <w:rPr>
          <w:sz w:val="22"/>
        </w:rPr>
        <w:t>s</w:t>
      </w:r>
      <w:r w:rsidR="005E0983" w:rsidRPr="003E61BE">
        <w:rPr>
          <w:sz w:val="22"/>
        </w:rPr>
        <w:t xml:space="preserve"> faced by the nation. Judicial power</w:t>
      </w:r>
      <w:r w:rsidR="009F657A" w:rsidRPr="003E61BE">
        <w:rPr>
          <w:sz w:val="22"/>
        </w:rPr>
        <w:t>, like all public power, is subject to the rule of law. Perhaps the most obvious constraint on the power</w:t>
      </w:r>
      <w:r w:rsidR="006A690E" w:rsidRPr="003E61BE">
        <w:rPr>
          <w:sz w:val="22"/>
        </w:rPr>
        <w:t xml:space="preserve"> of the courts is the doctrine of the separation of powers</w:t>
      </w:r>
      <w:r w:rsidR="00960A4A" w:rsidRPr="003E61BE">
        <w:rPr>
          <w:sz w:val="22"/>
        </w:rPr>
        <w:t>, a principle upon which our Constitution is based and which allocates powers and responsibilities to the three arms of government – the legislature</w:t>
      </w:r>
      <w:r w:rsidR="00402B39" w:rsidRPr="003E61BE">
        <w:rPr>
          <w:sz w:val="22"/>
        </w:rPr>
        <w:t xml:space="preserve">, the executive and the judiciary. What the separation of power means in a case such as this, is that a court may not set </w:t>
      </w:r>
      <w:r w:rsidR="00763DA1" w:rsidRPr="003E61BE">
        <w:rPr>
          <w:sz w:val="22"/>
        </w:rPr>
        <w:t>aside</w:t>
      </w:r>
      <w:r w:rsidR="00402B39" w:rsidRPr="003E61BE">
        <w:rPr>
          <w:sz w:val="22"/>
        </w:rPr>
        <w:t xml:space="preserve"> decisions</w:t>
      </w:r>
      <w:r w:rsidR="00763DA1" w:rsidRPr="003E61BE">
        <w:rPr>
          <w:sz w:val="22"/>
        </w:rPr>
        <w:t xml:space="preserve"> taken and regulations made by the executive simply because it disagrees</w:t>
      </w:r>
      <w:r w:rsidR="00ED5679" w:rsidRPr="003E61BE">
        <w:rPr>
          <w:sz w:val="22"/>
        </w:rPr>
        <w:t xml:space="preserve"> with the means chosen by the executive, or because it believes that the problems that the decisions or regulations seek to address can </w:t>
      </w:r>
      <w:r w:rsidR="005F1B81" w:rsidRPr="003E61BE">
        <w:rPr>
          <w:sz w:val="22"/>
        </w:rPr>
        <w:t>be better achieved by other means: the wisdom of the executive</w:t>
      </w:r>
      <w:r w:rsidR="00AF3E40" w:rsidRPr="003E61BE">
        <w:rPr>
          <w:sz w:val="22"/>
        </w:rPr>
        <w:t>’s exe</w:t>
      </w:r>
      <w:r w:rsidR="006E36B6" w:rsidRPr="003E61BE">
        <w:rPr>
          <w:sz w:val="22"/>
        </w:rPr>
        <w:t>r</w:t>
      </w:r>
      <w:r w:rsidR="00AF3E40" w:rsidRPr="003E61BE">
        <w:rPr>
          <w:sz w:val="22"/>
        </w:rPr>
        <w:t xml:space="preserve">cises of power </w:t>
      </w:r>
      <w:r w:rsidR="002E76C8" w:rsidRPr="003E61BE">
        <w:rPr>
          <w:sz w:val="22"/>
        </w:rPr>
        <w:t>is not justiciable</w:t>
      </w:r>
      <w:r w:rsidR="006E36B6" w:rsidRPr="003E61BE">
        <w:rPr>
          <w:sz w:val="22"/>
        </w:rPr>
        <w:t>, only its legality</w:t>
      </w:r>
      <w:r w:rsidR="003F7F39" w:rsidRPr="003E61BE">
        <w:rPr>
          <w:sz w:val="22"/>
        </w:rPr>
        <w:t>.</w:t>
      </w:r>
      <w:r w:rsidR="003A0FFC" w:rsidRPr="003E61BE">
        <w:rPr>
          <w:sz w:val="22"/>
        </w:rPr>
        <w:t xml:space="preserve"> Somewhat cynically</w:t>
      </w:r>
      <w:r w:rsidR="006548DA" w:rsidRPr="003E61BE">
        <w:rPr>
          <w:sz w:val="22"/>
        </w:rPr>
        <w:t xml:space="preserve">, Schreiner JA in </w:t>
      </w:r>
      <w:r w:rsidR="006548DA" w:rsidRPr="003E61BE">
        <w:rPr>
          <w:i/>
          <w:iCs/>
          <w:sz w:val="22"/>
        </w:rPr>
        <w:t>Sinovich v Hercules Municipal Council</w:t>
      </w:r>
      <w:r w:rsidR="001A787B" w:rsidRPr="003E61BE">
        <w:rPr>
          <w:i/>
          <w:iCs/>
          <w:sz w:val="22"/>
        </w:rPr>
        <w:t xml:space="preserve"> </w:t>
      </w:r>
      <w:r w:rsidR="001A787B" w:rsidRPr="003E61BE">
        <w:rPr>
          <w:sz w:val="22"/>
        </w:rPr>
        <w:t>said that “(t)he law does not protect the subject against</w:t>
      </w:r>
      <w:r w:rsidR="005D5633" w:rsidRPr="003E61BE">
        <w:rPr>
          <w:sz w:val="22"/>
        </w:rPr>
        <w:t xml:space="preserve"> the merely foolish exercise of the discretion of an official, however much the subject suffers thereby’</w:t>
      </w:r>
      <w:r w:rsidR="00102B12" w:rsidRPr="003E61BE">
        <w:rPr>
          <w:sz w:val="22"/>
        </w:rPr>
        <w:t xml:space="preserve">. </w:t>
      </w:r>
    </w:p>
    <w:p w14:paraId="2470F999" w14:textId="7614E19E" w:rsidR="000C3860" w:rsidRDefault="000C3860" w:rsidP="000C3860">
      <w:pPr>
        <w:pStyle w:val="JudgmentNumbered"/>
        <w:numPr>
          <w:ilvl w:val="0"/>
          <w:numId w:val="0"/>
        </w:numPr>
        <w:spacing w:after="0"/>
        <w:ind w:left="567" w:hanging="567"/>
      </w:pPr>
    </w:p>
    <w:p w14:paraId="45440CB5" w14:textId="1DE39D00" w:rsidR="00E37CE2" w:rsidRDefault="007F641D" w:rsidP="007F641D">
      <w:pPr>
        <w:pStyle w:val="JudgmentNumbered"/>
        <w:numPr>
          <w:ilvl w:val="0"/>
          <w:numId w:val="0"/>
        </w:numPr>
        <w:spacing w:after="0"/>
        <w:ind w:left="720" w:hanging="590"/>
      </w:pPr>
      <w:r>
        <w:t>[33]</w:t>
      </w:r>
      <w:r>
        <w:tab/>
      </w:r>
      <w:r w:rsidR="00C33427">
        <w:t>W</w:t>
      </w:r>
      <w:r w:rsidR="0077122B">
        <w:t>here t</w:t>
      </w:r>
      <w:r w:rsidR="00C42AEA">
        <w:t>he applicant suggests that the decision regarding development and township planning ought to have been delayed until SPLUMA came into effect in 2019</w:t>
      </w:r>
      <w:r w:rsidR="00AA32ED">
        <w:t xml:space="preserve">, this ignores the impact on the respondents before this court who have </w:t>
      </w:r>
      <w:r w:rsidR="00AA32ED">
        <w:lastRenderedPageBreak/>
        <w:t xml:space="preserve">demonstrated tangibly the </w:t>
      </w:r>
      <w:r w:rsidR="005E1F65">
        <w:t xml:space="preserve">adverse </w:t>
      </w:r>
      <w:r w:rsidR="00AA32ED">
        <w:t xml:space="preserve">impact it would have on their properties. </w:t>
      </w:r>
      <w:r w:rsidR="00C42AEA">
        <w:t xml:space="preserve">The decision of the Constitutional Court considered </w:t>
      </w:r>
      <w:r w:rsidR="00C42AEA">
        <w:rPr>
          <w:i/>
          <w:iCs/>
          <w:color w:val="000000"/>
          <w:szCs w:val="24"/>
        </w:rPr>
        <w:t>“</w:t>
      </w:r>
      <w:r w:rsidR="00C42AEA" w:rsidRPr="00A24A72">
        <w:rPr>
          <w:i/>
          <w:iCs/>
          <w:color w:val="000000"/>
          <w:szCs w:val="24"/>
        </w:rPr>
        <w:t xml:space="preserve">that in granting applications for rezoning or the establishment of townships the development tribunals encroach on the functional area of 'municipal planning'. </w:t>
      </w:r>
      <w:r w:rsidR="00C42AEA">
        <w:rPr>
          <w:i/>
          <w:iCs/>
          <w:color w:val="000000"/>
          <w:szCs w:val="24"/>
        </w:rPr>
        <w:t xml:space="preserve"> </w:t>
      </w:r>
      <w:r w:rsidR="00C42AEA">
        <w:rPr>
          <w:color w:val="000000"/>
          <w:szCs w:val="24"/>
        </w:rPr>
        <w:t xml:space="preserve">This was found to be inconsistent </w:t>
      </w:r>
      <w:r w:rsidR="00C42AEA" w:rsidRPr="00D10ECA">
        <w:rPr>
          <w:color w:val="000000"/>
          <w:szCs w:val="24"/>
        </w:rPr>
        <w:t>with s156 of the Constitution read with Part B of Schedule 4</w:t>
      </w:r>
      <w:r w:rsidR="00C42AEA">
        <w:rPr>
          <w:color w:val="000000"/>
          <w:szCs w:val="24"/>
        </w:rPr>
        <w:t>. As indicated above</w:t>
      </w:r>
      <w:r w:rsidR="00B05782">
        <w:rPr>
          <w:color w:val="000000"/>
          <w:szCs w:val="24"/>
        </w:rPr>
        <w:t>,</w:t>
      </w:r>
      <w:r w:rsidR="00C42AEA">
        <w:rPr>
          <w:color w:val="000000"/>
          <w:szCs w:val="24"/>
        </w:rPr>
        <w:t xml:space="preserve"> the Court made provision for its order not to visit serious disruption and dislocations on State administration. This would be the impact </w:t>
      </w:r>
      <w:r w:rsidR="004C34F4">
        <w:rPr>
          <w:color w:val="000000"/>
          <w:szCs w:val="24"/>
        </w:rPr>
        <w:t xml:space="preserve">of </w:t>
      </w:r>
      <w:r w:rsidR="00721E24">
        <w:rPr>
          <w:color w:val="000000"/>
          <w:szCs w:val="24"/>
        </w:rPr>
        <w:t xml:space="preserve">an order as requested by the applicant </w:t>
      </w:r>
      <w:r w:rsidR="001A4637">
        <w:rPr>
          <w:color w:val="000000"/>
          <w:szCs w:val="24"/>
        </w:rPr>
        <w:t xml:space="preserve">on </w:t>
      </w:r>
      <w:r w:rsidR="00C42AEA">
        <w:rPr>
          <w:color w:val="000000"/>
          <w:szCs w:val="24"/>
        </w:rPr>
        <w:t xml:space="preserve">the administration </w:t>
      </w:r>
      <w:r w:rsidR="00A1260B">
        <w:rPr>
          <w:color w:val="000000"/>
          <w:szCs w:val="24"/>
        </w:rPr>
        <w:t xml:space="preserve">of </w:t>
      </w:r>
      <w:r w:rsidR="00C42AEA">
        <w:rPr>
          <w:color w:val="000000"/>
          <w:szCs w:val="24"/>
        </w:rPr>
        <w:t xml:space="preserve">the </w:t>
      </w:r>
      <w:r w:rsidR="00B97C8C">
        <w:rPr>
          <w:color w:val="000000"/>
          <w:szCs w:val="24"/>
        </w:rPr>
        <w:t>Municipality</w:t>
      </w:r>
      <w:r w:rsidR="00A1260B">
        <w:rPr>
          <w:color w:val="000000"/>
          <w:szCs w:val="24"/>
        </w:rPr>
        <w:t xml:space="preserve">. </w:t>
      </w:r>
      <w:r w:rsidR="0092004E">
        <w:rPr>
          <w:color w:val="000000"/>
          <w:szCs w:val="24"/>
        </w:rPr>
        <w:t xml:space="preserve">The </w:t>
      </w:r>
      <w:r w:rsidR="00B96ABA">
        <w:rPr>
          <w:color w:val="000000"/>
          <w:szCs w:val="24"/>
        </w:rPr>
        <w:t xml:space="preserve">submissions by the </w:t>
      </w:r>
      <w:r w:rsidR="005E1F65">
        <w:rPr>
          <w:color w:val="000000"/>
          <w:szCs w:val="24"/>
        </w:rPr>
        <w:t xml:space="preserve">seventh </w:t>
      </w:r>
      <w:r w:rsidR="0092004E">
        <w:rPr>
          <w:color w:val="000000"/>
          <w:szCs w:val="24"/>
        </w:rPr>
        <w:t xml:space="preserve">to </w:t>
      </w:r>
      <w:r w:rsidR="00572756">
        <w:rPr>
          <w:color w:val="000000"/>
          <w:szCs w:val="24"/>
        </w:rPr>
        <w:t xml:space="preserve">tenth </w:t>
      </w:r>
      <w:r w:rsidR="0092004E">
        <w:rPr>
          <w:color w:val="000000"/>
          <w:szCs w:val="24"/>
        </w:rPr>
        <w:t>respondents that Mr Dacombs</w:t>
      </w:r>
      <w:r w:rsidR="00B96ABA">
        <w:rPr>
          <w:color w:val="000000"/>
          <w:szCs w:val="24"/>
        </w:rPr>
        <w:t>’</w:t>
      </w:r>
      <w:r w:rsidR="0092004E">
        <w:rPr>
          <w:color w:val="000000"/>
          <w:szCs w:val="24"/>
        </w:rPr>
        <w:t xml:space="preserve"> </w:t>
      </w:r>
      <w:r w:rsidR="0057010D">
        <w:rPr>
          <w:color w:val="000000"/>
          <w:szCs w:val="24"/>
        </w:rPr>
        <w:t xml:space="preserve">reference to s60(2) or s60(3) </w:t>
      </w:r>
      <w:r>
        <w:rPr>
          <w:color w:val="000000"/>
          <w:szCs w:val="24"/>
        </w:rPr>
        <w:t>of SPLUMA was</w:t>
      </w:r>
      <w:r w:rsidR="00C964C3">
        <w:rPr>
          <w:color w:val="000000"/>
          <w:szCs w:val="24"/>
        </w:rPr>
        <w:t xml:space="preserve"> not clear. A logical </w:t>
      </w:r>
      <w:r w:rsidR="005F0710">
        <w:rPr>
          <w:color w:val="000000"/>
          <w:szCs w:val="24"/>
        </w:rPr>
        <w:t xml:space="preserve">reading is s60(3) is applicable which provides that the </w:t>
      </w:r>
      <w:r w:rsidR="005E1F65">
        <w:rPr>
          <w:color w:val="000000"/>
          <w:szCs w:val="24"/>
        </w:rPr>
        <w:t>Municipality</w:t>
      </w:r>
      <w:r w:rsidR="005F0710">
        <w:rPr>
          <w:color w:val="000000"/>
          <w:szCs w:val="24"/>
        </w:rPr>
        <w:t xml:space="preserve"> should take over the </w:t>
      </w:r>
      <w:r w:rsidR="002521CF">
        <w:rPr>
          <w:color w:val="000000"/>
          <w:szCs w:val="24"/>
        </w:rPr>
        <w:t>functions of the DFA which they did. Thus the decision</w:t>
      </w:r>
      <w:r w:rsidR="00B96ABA">
        <w:rPr>
          <w:color w:val="000000"/>
          <w:szCs w:val="24"/>
        </w:rPr>
        <w:t xml:space="preserve"> </w:t>
      </w:r>
      <w:r w:rsidR="00E3334B">
        <w:rPr>
          <w:color w:val="000000"/>
          <w:szCs w:val="24"/>
        </w:rPr>
        <w:t xml:space="preserve">cannot be faulted. </w:t>
      </w:r>
      <w:r w:rsidR="00B96ABA">
        <w:rPr>
          <w:color w:val="000000"/>
          <w:szCs w:val="24"/>
        </w:rPr>
        <w:t xml:space="preserve">On the basis </w:t>
      </w:r>
      <w:r>
        <w:rPr>
          <w:color w:val="000000"/>
          <w:szCs w:val="24"/>
        </w:rPr>
        <w:t>of the</w:t>
      </w:r>
      <w:r w:rsidR="00E3334B">
        <w:rPr>
          <w:color w:val="000000"/>
          <w:szCs w:val="24"/>
        </w:rPr>
        <w:t xml:space="preserve"> </w:t>
      </w:r>
      <w:r w:rsidR="00E3334B" w:rsidRPr="00160FAC">
        <w:rPr>
          <w:i/>
          <w:iCs/>
          <w:color w:val="000000"/>
          <w:szCs w:val="24"/>
        </w:rPr>
        <w:t xml:space="preserve">Oudekraal </w:t>
      </w:r>
      <w:r w:rsidR="00C26444">
        <w:rPr>
          <w:color w:val="000000"/>
          <w:szCs w:val="24"/>
        </w:rPr>
        <w:t>principle</w:t>
      </w:r>
      <w:r w:rsidR="00B96ABA">
        <w:rPr>
          <w:color w:val="000000"/>
          <w:szCs w:val="24"/>
        </w:rPr>
        <w:t xml:space="preserve">, if </w:t>
      </w:r>
      <w:r w:rsidR="00C26444">
        <w:rPr>
          <w:color w:val="000000"/>
          <w:szCs w:val="24"/>
        </w:rPr>
        <w:t xml:space="preserve">the </w:t>
      </w:r>
      <w:r w:rsidR="005E1F65">
        <w:rPr>
          <w:color w:val="000000"/>
          <w:szCs w:val="24"/>
        </w:rPr>
        <w:t>i</w:t>
      </w:r>
      <w:r w:rsidR="00C26444">
        <w:rPr>
          <w:color w:val="000000"/>
          <w:szCs w:val="24"/>
        </w:rPr>
        <w:t>nitial decision was valid th</w:t>
      </w:r>
      <w:r w:rsidR="00F30AB2">
        <w:rPr>
          <w:color w:val="000000"/>
          <w:szCs w:val="24"/>
        </w:rPr>
        <w:t>e</w:t>
      </w:r>
      <w:r w:rsidR="00C26444">
        <w:rPr>
          <w:color w:val="000000"/>
          <w:szCs w:val="24"/>
        </w:rPr>
        <w:t>s</w:t>
      </w:r>
      <w:r w:rsidR="00F30AB2">
        <w:rPr>
          <w:color w:val="000000"/>
          <w:szCs w:val="24"/>
        </w:rPr>
        <w:t>e</w:t>
      </w:r>
      <w:r w:rsidR="00C26444">
        <w:rPr>
          <w:color w:val="000000"/>
          <w:szCs w:val="24"/>
        </w:rPr>
        <w:t xml:space="preserve"> </w:t>
      </w:r>
      <w:r w:rsidR="003E32C8">
        <w:rPr>
          <w:color w:val="000000"/>
          <w:szCs w:val="24"/>
        </w:rPr>
        <w:t>latter decision</w:t>
      </w:r>
      <w:r w:rsidR="00F30AB2">
        <w:rPr>
          <w:color w:val="000000"/>
          <w:szCs w:val="24"/>
        </w:rPr>
        <w:t>s</w:t>
      </w:r>
      <w:r w:rsidR="00D12881">
        <w:rPr>
          <w:color w:val="000000"/>
          <w:szCs w:val="24"/>
        </w:rPr>
        <w:t xml:space="preserve"> </w:t>
      </w:r>
      <w:r w:rsidR="00B96ABA">
        <w:rPr>
          <w:color w:val="000000"/>
          <w:szCs w:val="24"/>
        </w:rPr>
        <w:t xml:space="preserve">remain </w:t>
      </w:r>
      <w:r w:rsidR="00135B75">
        <w:rPr>
          <w:color w:val="000000"/>
          <w:szCs w:val="24"/>
        </w:rPr>
        <w:t>valid. T</w:t>
      </w:r>
      <w:r w:rsidR="00753947">
        <w:rPr>
          <w:color w:val="000000"/>
          <w:szCs w:val="24"/>
        </w:rPr>
        <w:t xml:space="preserve">he </w:t>
      </w:r>
      <w:r w:rsidR="00D12881">
        <w:rPr>
          <w:color w:val="000000"/>
          <w:szCs w:val="24"/>
        </w:rPr>
        <w:t>applicant</w:t>
      </w:r>
      <w:r w:rsidR="00B96ABA">
        <w:rPr>
          <w:color w:val="000000"/>
          <w:szCs w:val="24"/>
        </w:rPr>
        <w:t>’</w:t>
      </w:r>
      <w:r w:rsidR="00D12881">
        <w:rPr>
          <w:color w:val="000000"/>
          <w:szCs w:val="24"/>
        </w:rPr>
        <w:t xml:space="preserve">s </w:t>
      </w:r>
      <w:r w:rsidR="000E147A">
        <w:rPr>
          <w:color w:val="000000"/>
          <w:szCs w:val="24"/>
        </w:rPr>
        <w:t xml:space="preserve">complaints </w:t>
      </w:r>
      <w:r w:rsidR="00954D7E">
        <w:rPr>
          <w:color w:val="000000"/>
          <w:szCs w:val="24"/>
        </w:rPr>
        <w:t xml:space="preserve">cannot be </w:t>
      </w:r>
      <w:r w:rsidR="000E147A">
        <w:rPr>
          <w:color w:val="000000"/>
          <w:szCs w:val="24"/>
        </w:rPr>
        <w:t xml:space="preserve">not </w:t>
      </w:r>
      <w:r w:rsidR="00391669">
        <w:rPr>
          <w:color w:val="000000"/>
          <w:szCs w:val="24"/>
        </w:rPr>
        <w:t>sustained.</w:t>
      </w:r>
    </w:p>
    <w:p w14:paraId="7C302B25" w14:textId="77777777" w:rsidR="00E37CE2" w:rsidRDefault="00E37CE2" w:rsidP="00AF661A">
      <w:pPr>
        <w:pStyle w:val="JudgmentNumbered"/>
        <w:numPr>
          <w:ilvl w:val="0"/>
          <w:numId w:val="0"/>
        </w:numPr>
        <w:spacing w:after="0"/>
        <w:ind w:left="567" w:hanging="567"/>
      </w:pPr>
    </w:p>
    <w:p w14:paraId="44A8B67F" w14:textId="2C1D3DB6" w:rsidR="00AF661A" w:rsidRDefault="007F641D" w:rsidP="007F641D">
      <w:pPr>
        <w:pStyle w:val="JudgmentNumbered"/>
        <w:numPr>
          <w:ilvl w:val="0"/>
          <w:numId w:val="0"/>
        </w:numPr>
        <w:spacing w:after="0"/>
        <w:ind w:left="567" w:hanging="567"/>
      </w:pPr>
      <w:r>
        <w:t>[34]</w:t>
      </w:r>
      <w:r>
        <w:tab/>
      </w:r>
      <w:r w:rsidR="00677A38">
        <w:t>The issue of costs</w:t>
      </w:r>
      <w:r w:rsidR="00CA7D61">
        <w:t>. The</w:t>
      </w:r>
      <w:r w:rsidR="00954D7E">
        <w:t>re is no reason why the</w:t>
      </w:r>
      <w:r w:rsidR="00CA7D61">
        <w:t xml:space="preserve"> usual order </w:t>
      </w:r>
      <w:r w:rsidR="00954D7E">
        <w:t xml:space="preserve">of costs should not </w:t>
      </w:r>
      <w:r w:rsidR="00F30AB2">
        <w:t>prevail</w:t>
      </w:r>
      <w:r w:rsidR="00954D7E">
        <w:t xml:space="preserve">. In addition, two counsel </w:t>
      </w:r>
      <w:r w:rsidR="00A8787A">
        <w:t xml:space="preserve">were employed by the parties in </w:t>
      </w:r>
      <w:r w:rsidR="00954D7E">
        <w:t xml:space="preserve">this matter. It is a complicated matter and has ramifications not only for the Municipality but other developers and land owners which required two counsel. It </w:t>
      </w:r>
      <w:r w:rsidR="00677A38">
        <w:t>follows th</w:t>
      </w:r>
      <w:r w:rsidR="00CA7D61">
        <w:t>at cost</w:t>
      </w:r>
      <w:r w:rsidR="00941D6A">
        <w:t>s</w:t>
      </w:r>
      <w:r w:rsidR="00CA7D61">
        <w:t xml:space="preserve"> </w:t>
      </w:r>
      <w:r w:rsidR="00954D7E">
        <w:t>should include</w:t>
      </w:r>
      <w:r w:rsidR="00941D6A">
        <w:t xml:space="preserve"> </w:t>
      </w:r>
      <w:r w:rsidR="000F3099">
        <w:t xml:space="preserve">the </w:t>
      </w:r>
      <w:r w:rsidR="00E866F3">
        <w:t xml:space="preserve">costs </w:t>
      </w:r>
      <w:r w:rsidR="00695A67">
        <w:t xml:space="preserve">consequent upon </w:t>
      </w:r>
      <w:r w:rsidR="00E866F3">
        <w:t xml:space="preserve">the </w:t>
      </w:r>
      <w:r w:rsidR="000F3099">
        <w:t>employment of two counsel</w:t>
      </w:r>
      <w:r w:rsidR="005C0044">
        <w:t xml:space="preserve"> </w:t>
      </w:r>
      <w:r w:rsidR="00954D7E">
        <w:t>as sought.</w:t>
      </w:r>
      <w:r w:rsidR="00CA7D61">
        <w:t xml:space="preserve"> </w:t>
      </w:r>
    </w:p>
    <w:p w14:paraId="66E5790B" w14:textId="77777777" w:rsidR="00550668" w:rsidRDefault="00550668" w:rsidP="00AF661A">
      <w:pPr>
        <w:pStyle w:val="JudgmentNumbered"/>
        <w:numPr>
          <w:ilvl w:val="0"/>
          <w:numId w:val="0"/>
        </w:numPr>
        <w:spacing w:after="0"/>
        <w:ind w:left="567" w:hanging="567"/>
      </w:pPr>
    </w:p>
    <w:p w14:paraId="16977E95" w14:textId="47E4969A" w:rsidR="00550668" w:rsidRDefault="007F641D" w:rsidP="00AF661A">
      <w:pPr>
        <w:pStyle w:val="JudgmentNumbered"/>
        <w:numPr>
          <w:ilvl w:val="0"/>
          <w:numId w:val="0"/>
        </w:numPr>
        <w:spacing w:after="0"/>
        <w:ind w:left="567" w:hanging="567"/>
      </w:pPr>
      <w:r>
        <w:t>[35]</w:t>
      </w:r>
      <w:r>
        <w:tab/>
      </w:r>
      <w:r w:rsidR="00550668">
        <w:t>I</w:t>
      </w:r>
      <w:r w:rsidR="00954D7E">
        <w:t>n the result, I</w:t>
      </w:r>
      <w:r w:rsidR="00550668">
        <w:t xml:space="preserve"> grant the following order:</w:t>
      </w:r>
    </w:p>
    <w:p w14:paraId="286E10B0" w14:textId="4F272A90" w:rsidR="00550668" w:rsidRDefault="00550668" w:rsidP="00AF661A">
      <w:pPr>
        <w:pStyle w:val="JudgmentNumbered"/>
        <w:numPr>
          <w:ilvl w:val="0"/>
          <w:numId w:val="0"/>
        </w:numPr>
        <w:spacing w:after="0"/>
        <w:ind w:left="567" w:hanging="567"/>
      </w:pPr>
      <w:r>
        <w:tab/>
        <w:t>Order:</w:t>
      </w:r>
    </w:p>
    <w:p w14:paraId="7203CCF0" w14:textId="77777777" w:rsidR="00A24251" w:rsidRDefault="00550668" w:rsidP="00F35AAF">
      <w:pPr>
        <w:pStyle w:val="JudgmentNumbered"/>
        <w:numPr>
          <w:ilvl w:val="0"/>
          <w:numId w:val="10"/>
        </w:numPr>
        <w:spacing w:after="0"/>
      </w:pPr>
      <w:r>
        <w:t xml:space="preserve">The application </w:t>
      </w:r>
      <w:r w:rsidR="00A24251">
        <w:t>for condonation is refused.</w:t>
      </w:r>
    </w:p>
    <w:p w14:paraId="7AB8A22B" w14:textId="587CB591" w:rsidR="00550668" w:rsidRDefault="00A24251" w:rsidP="00F35AAF">
      <w:pPr>
        <w:pStyle w:val="JudgmentNumbered"/>
        <w:numPr>
          <w:ilvl w:val="0"/>
          <w:numId w:val="10"/>
        </w:numPr>
        <w:spacing w:after="0"/>
      </w:pPr>
      <w:r>
        <w:t xml:space="preserve">The review application </w:t>
      </w:r>
      <w:r w:rsidR="00550668">
        <w:t>is dismissed with costs</w:t>
      </w:r>
      <w:r w:rsidR="00F35AAF">
        <w:t xml:space="preserve"> including the cost of two counsel where app</w:t>
      </w:r>
      <w:r w:rsidR="00B72083">
        <w:t>licable</w:t>
      </w:r>
      <w:r w:rsidR="00F35AAF">
        <w:t xml:space="preserve">. </w:t>
      </w:r>
      <w:r w:rsidR="00550668">
        <w:t xml:space="preserve"> </w:t>
      </w:r>
    </w:p>
    <w:p w14:paraId="6A0137F9" w14:textId="77777777" w:rsidR="002F6CA9" w:rsidRDefault="002F6CA9" w:rsidP="006B492A">
      <w:pPr>
        <w:pStyle w:val="JudgmentNumbered"/>
        <w:numPr>
          <w:ilvl w:val="0"/>
          <w:numId w:val="0"/>
        </w:numPr>
        <w:spacing w:after="0"/>
        <w:ind w:left="567" w:hanging="567"/>
      </w:pPr>
    </w:p>
    <w:p w14:paraId="631DF22C" w14:textId="71CC672B" w:rsidR="000C03E5" w:rsidRDefault="000C03E5" w:rsidP="00477BA2">
      <w:pPr>
        <w:pStyle w:val="JudgmentNumbered"/>
        <w:numPr>
          <w:ilvl w:val="0"/>
          <w:numId w:val="0"/>
        </w:numPr>
        <w:spacing w:after="0"/>
        <w:ind w:left="1440" w:hanging="720"/>
      </w:pPr>
    </w:p>
    <w:p w14:paraId="40FBD8F6" w14:textId="77777777" w:rsidR="00482911" w:rsidRDefault="00482911" w:rsidP="00EB01DA">
      <w:pPr>
        <w:pStyle w:val="JudgmentNumbered"/>
        <w:numPr>
          <w:ilvl w:val="0"/>
          <w:numId w:val="0"/>
        </w:numPr>
        <w:spacing w:after="0"/>
        <w:ind w:left="567" w:hanging="567"/>
        <w:jc w:val="right"/>
      </w:pPr>
    </w:p>
    <w:p w14:paraId="18BF3DE5"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7BB63C93" w14:textId="77777777" w:rsidR="002B448C" w:rsidRDefault="00A27C6D" w:rsidP="00EB01DA">
      <w:pPr>
        <w:pStyle w:val="JudgmentNumbered"/>
        <w:numPr>
          <w:ilvl w:val="0"/>
          <w:numId w:val="0"/>
        </w:numPr>
        <w:spacing w:after="0"/>
        <w:ind w:left="567" w:hanging="567"/>
        <w:jc w:val="right"/>
        <w:rPr>
          <w:b/>
        </w:rPr>
      </w:pPr>
      <w:r>
        <w:rPr>
          <w:b/>
        </w:rPr>
        <w:t xml:space="preserve">SC Mia </w:t>
      </w:r>
    </w:p>
    <w:p w14:paraId="193ED10F"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19E6F775" w14:textId="77777777" w:rsidR="00EB01DA" w:rsidRDefault="002B448C" w:rsidP="00EB01DA">
      <w:pPr>
        <w:pStyle w:val="JudgmentNumbered"/>
        <w:numPr>
          <w:ilvl w:val="0"/>
          <w:numId w:val="0"/>
        </w:numPr>
        <w:spacing w:after="0"/>
        <w:ind w:left="567" w:hanging="567"/>
        <w:jc w:val="right"/>
        <w:rPr>
          <w:b/>
        </w:rPr>
        <w:sectPr w:rsidR="00EB01DA">
          <w:footerReference w:type="default" r:id="rId10"/>
          <w:pgSz w:w="11906" w:h="16838"/>
          <w:pgMar w:top="1440" w:right="1440" w:bottom="1440" w:left="1440" w:header="708" w:footer="708" w:gutter="0"/>
          <w:cols w:space="708"/>
          <w:docGrid w:linePitch="360"/>
        </w:sectPr>
      </w:pPr>
      <w:r>
        <w:rPr>
          <w:b/>
        </w:rPr>
        <w:t>JOHANNESBURG</w:t>
      </w:r>
    </w:p>
    <w:p w14:paraId="4CAFF029"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149D38A1"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6E9222E5" w14:textId="77777777" w:rsidR="00EB01DA" w:rsidRPr="003673B7" w:rsidRDefault="00EB01DA" w:rsidP="00EB01DA">
      <w:pPr>
        <w:spacing w:after="0" w:line="240" w:lineRule="auto"/>
        <w:ind w:left="0"/>
        <w:rPr>
          <w:rFonts w:eastAsia="Times New Roman" w:cs="Arial"/>
          <w:szCs w:val="24"/>
          <w:lang w:val="en-ZA"/>
        </w:rPr>
      </w:pPr>
    </w:p>
    <w:p w14:paraId="7751A40C" w14:textId="77777777" w:rsidR="00EB01DA" w:rsidRPr="003673B7" w:rsidRDefault="00EB01DA" w:rsidP="00EB01DA">
      <w:pPr>
        <w:spacing w:after="0" w:line="240" w:lineRule="auto"/>
        <w:ind w:left="0"/>
        <w:rPr>
          <w:rFonts w:eastAsia="Times New Roman" w:cs="Arial"/>
          <w:szCs w:val="24"/>
          <w:lang w:val="en-ZA"/>
        </w:rPr>
      </w:pPr>
    </w:p>
    <w:p w14:paraId="120F601E" w14:textId="77777777" w:rsidR="0087658D" w:rsidRDefault="0087658D" w:rsidP="00EB01DA">
      <w:pPr>
        <w:spacing w:after="0" w:line="240" w:lineRule="auto"/>
        <w:ind w:left="0"/>
        <w:rPr>
          <w:rFonts w:eastAsia="Times New Roman" w:cs="Arial"/>
          <w:szCs w:val="24"/>
          <w:lang w:val="en-ZA"/>
        </w:rPr>
      </w:pPr>
    </w:p>
    <w:p w14:paraId="72E706D5" w14:textId="77777777" w:rsidR="00EB01DA" w:rsidRDefault="0087658D" w:rsidP="00EB01DA">
      <w:pPr>
        <w:spacing w:after="0" w:line="240" w:lineRule="auto"/>
        <w:ind w:left="0"/>
        <w:rPr>
          <w:rFonts w:eastAsia="Times New Roman" w:cs="Arial"/>
          <w:szCs w:val="24"/>
          <w:lang w:val="en-ZA"/>
        </w:rPr>
      </w:pPr>
      <w:r>
        <w:rPr>
          <w:rFonts w:eastAsia="Times New Roman" w:cs="Arial"/>
          <w:szCs w:val="24"/>
          <w:lang w:val="en-ZA"/>
        </w:rPr>
        <w:t xml:space="preserve">For the First and Second </w:t>
      </w:r>
      <w:r w:rsidR="00EB01DA" w:rsidRPr="003673B7">
        <w:rPr>
          <w:rFonts w:eastAsia="Times New Roman" w:cs="Arial"/>
          <w:szCs w:val="24"/>
          <w:lang w:val="en-ZA"/>
        </w:rPr>
        <w:t>Respondent</w:t>
      </w:r>
      <w:r>
        <w:rPr>
          <w:rFonts w:eastAsia="Times New Roman" w:cs="Arial"/>
          <w:szCs w:val="24"/>
          <w:lang w:val="en-ZA"/>
        </w:rPr>
        <w:t>s</w:t>
      </w:r>
      <w:r w:rsidR="00EB01DA" w:rsidRPr="003673B7">
        <w:rPr>
          <w:rFonts w:eastAsia="Times New Roman" w:cs="Arial"/>
          <w:szCs w:val="24"/>
          <w:lang w:val="en-ZA"/>
        </w:rPr>
        <w:t>:</w:t>
      </w:r>
    </w:p>
    <w:p w14:paraId="23FE1277" w14:textId="77777777" w:rsidR="0087658D" w:rsidRDefault="0087658D" w:rsidP="0087658D">
      <w:pPr>
        <w:pStyle w:val="JudgmentNumbered"/>
        <w:numPr>
          <w:ilvl w:val="0"/>
          <w:numId w:val="0"/>
        </w:numPr>
        <w:ind w:left="567" w:hanging="567"/>
        <w:rPr>
          <w:lang w:val="en-ZA"/>
        </w:rPr>
      </w:pPr>
    </w:p>
    <w:p w14:paraId="65172716" w14:textId="77777777" w:rsidR="007344DD" w:rsidRDefault="007344DD" w:rsidP="007344DD">
      <w:pPr>
        <w:pStyle w:val="JudgmentNumbered"/>
        <w:numPr>
          <w:ilvl w:val="0"/>
          <w:numId w:val="0"/>
        </w:numPr>
        <w:rPr>
          <w:lang w:val="en-ZA"/>
        </w:rPr>
      </w:pPr>
    </w:p>
    <w:p w14:paraId="44435840" w14:textId="77777777" w:rsidR="007344DD" w:rsidRDefault="007344DD" w:rsidP="007344DD">
      <w:pPr>
        <w:pStyle w:val="JudgmentNumbered"/>
        <w:numPr>
          <w:ilvl w:val="0"/>
          <w:numId w:val="0"/>
        </w:numPr>
        <w:rPr>
          <w:rFonts w:eastAsia="Times New Roman"/>
          <w:szCs w:val="24"/>
          <w:lang w:val="en-ZA"/>
        </w:rPr>
      </w:pPr>
      <w:r>
        <w:rPr>
          <w:rFonts w:eastAsia="Times New Roman"/>
          <w:szCs w:val="24"/>
          <w:lang w:val="en-ZA"/>
        </w:rPr>
        <w:t xml:space="preserve">For the </w:t>
      </w:r>
      <w:r w:rsidR="001E58D8">
        <w:rPr>
          <w:rFonts w:eastAsia="Times New Roman"/>
          <w:szCs w:val="24"/>
          <w:lang w:val="en-ZA"/>
        </w:rPr>
        <w:t>T</w:t>
      </w:r>
      <w:r>
        <w:rPr>
          <w:rFonts w:eastAsia="Times New Roman"/>
          <w:szCs w:val="24"/>
          <w:lang w:val="en-ZA"/>
        </w:rPr>
        <w:t xml:space="preserve">hird to </w:t>
      </w:r>
      <w:r w:rsidR="001E58D8">
        <w:rPr>
          <w:rFonts w:eastAsia="Times New Roman"/>
          <w:szCs w:val="24"/>
          <w:lang w:val="en-ZA"/>
        </w:rPr>
        <w:t>the F</w:t>
      </w:r>
      <w:r>
        <w:rPr>
          <w:rFonts w:eastAsia="Times New Roman"/>
          <w:szCs w:val="24"/>
          <w:lang w:val="en-ZA"/>
        </w:rPr>
        <w:t>ifth Respondent</w:t>
      </w:r>
      <w:r w:rsidR="0087658D">
        <w:rPr>
          <w:rFonts w:eastAsia="Times New Roman"/>
          <w:szCs w:val="24"/>
          <w:lang w:val="en-ZA"/>
        </w:rPr>
        <w:t>:</w:t>
      </w:r>
    </w:p>
    <w:p w14:paraId="669D603F" w14:textId="77777777" w:rsidR="007344DD" w:rsidRDefault="007344DD" w:rsidP="007344DD">
      <w:pPr>
        <w:pStyle w:val="JudgmentNumbered"/>
        <w:numPr>
          <w:ilvl w:val="0"/>
          <w:numId w:val="0"/>
        </w:numPr>
        <w:rPr>
          <w:rFonts w:eastAsia="Times New Roman"/>
          <w:szCs w:val="24"/>
          <w:lang w:val="en-ZA"/>
        </w:rPr>
      </w:pPr>
    </w:p>
    <w:p w14:paraId="3E82384A" w14:textId="77777777" w:rsidR="0087658D" w:rsidRPr="0087658D" w:rsidRDefault="007344DD" w:rsidP="007344DD">
      <w:pPr>
        <w:pStyle w:val="JudgmentNumbered"/>
        <w:numPr>
          <w:ilvl w:val="0"/>
          <w:numId w:val="0"/>
        </w:numPr>
        <w:rPr>
          <w:lang w:val="en-ZA"/>
        </w:rPr>
      </w:pPr>
      <w:r>
        <w:t>For the Seventh to the Ninth Respondents</w:t>
      </w:r>
      <w:r>
        <w:rPr>
          <w:rFonts w:eastAsia="Times New Roman"/>
          <w:szCs w:val="24"/>
          <w:lang w:val="en-ZA"/>
        </w:rPr>
        <w:t>:</w:t>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r>
        <w:rPr>
          <w:rFonts w:eastAsia="Times New Roman"/>
          <w:szCs w:val="24"/>
          <w:lang w:val="en-ZA"/>
        </w:rPr>
        <w:tab/>
      </w:r>
    </w:p>
    <w:p w14:paraId="24B63BD6" w14:textId="77777777" w:rsidR="0087658D"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r w:rsidR="0087658D">
        <w:lastRenderedPageBreak/>
        <w:t>LGF Putter SC</w:t>
      </w:r>
      <w:r w:rsidRPr="003673B7">
        <w:rPr>
          <w:rFonts w:eastAsia="Times New Roman" w:cs="Arial"/>
          <w:szCs w:val="24"/>
          <w:lang w:val="en-ZA"/>
        </w:rPr>
        <w:t xml:space="preserve"> </w:t>
      </w:r>
      <w:r w:rsidR="0087658D">
        <w:rPr>
          <w:rFonts w:eastAsia="Times New Roman" w:cs="Arial"/>
          <w:szCs w:val="24"/>
          <w:lang w:val="en-ZA"/>
        </w:rPr>
        <w:t xml:space="preserve">&amp; </w:t>
      </w:r>
      <w:r w:rsidR="0087658D" w:rsidRPr="0087658D">
        <w:rPr>
          <w:rFonts w:eastAsia="Times New Roman" w:cs="Arial"/>
          <w:szCs w:val="24"/>
          <w:lang w:val="en-ZA"/>
        </w:rPr>
        <w:t>JA Venter</w:t>
      </w:r>
    </w:p>
    <w:p w14:paraId="7E22491F" w14:textId="7777777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 xml:space="preserve">instructed by </w:t>
      </w:r>
      <w:r w:rsidR="0087658D">
        <w:t>Adriaan Venter Attorneys and Associates</w:t>
      </w:r>
    </w:p>
    <w:p w14:paraId="045C15F0" w14:textId="77777777" w:rsidR="00EB01DA" w:rsidRPr="003673B7" w:rsidRDefault="00EB01DA" w:rsidP="00EB01DA">
      <w:pPr>
        <w:spacing w:after="0" w:line="240" w:lineRule="auto"/>
        <w:ind w:left="0"/>
        <w:rPr>
          <w:rFonts w:eastAsia="Times New Roman" w:cs="Arial"/>
          <w:szCs w:val="24"/>
          <w:lang w:val="en-ZA"/>
        </w:rPr>
      </w:pPr>
    </w:p>
    <w:p w14:paraId="5BC24C69" w14:textId="77777777" w:rsidR="0087658D" w:rsidRDefault="0087658D" w:rsidP="00EB01DA">
      <w:pPr>
        <w:spacing w:after="0" w:line="240" w:lineRule="auto"/>
        <w:ind w:left="0"/>
        <w:rPr>
          <w:rFonts w:eastAsia="Times New Roman" w:cs="Arial"/>
          <w:szCs w:val="24"/>
          <w:lang w:val="en-ZA"/>
        </w:rPr>
      </w:pPr>
      <w:r>
        <w:t xml:space="preserve">SL Shangisa SC &amp; </w:t>
      </w:r>
      <w:r w:rsidRPr="0087658D">
        <w:t>M Nene</w:t>
      </w:r>
      <w:r w:rsidR="00EB01DA" w:rsidRPr="003673B7">
        <w:rPr>
          <w:rFonts w:eastAsia="Times New Roman" w:cs="Arial"/>
          <w:szCs w:val="24"/>
          <w:lang w:val="en-ZA"/>
        </w:rPr>
        <w:t xml:space="preserve"> </w:t>
      </w:r>
    </w:p>
    <w:p w14:paraId="47FA4923" w14:textId="77777777" w:rsidR="002B448C" w:rsidRDefault="00EB01DA" w:rsidP="00EB01DA">
      <w:pPr>
        <w:spacing w:after="0" w:line="240" w:lineRule="auto"/>
        <w:ind w:left="0"/>
        <w:rPr>
          <w:rFonts w:eastAsia="Times New Roman" w:cs="Arial"/>
          <w:szCs w:val="24"/>
        </w:rPr>
      </w:pPr>
      <w:r w:rsidRPr="003673B7">
        <w:rPr>
          <w:rFonts w:eastAsia="Times New Roman" w:cs="Arial"/>
          <w:szCs w:val="24"/>
          <w:lang w:val="en-ZA"/>
        </w:rPr>
        <w:t xml:space="preserve">instructed by </w:t>
      </w:r>
      <w:r w:rsidR="0087658D" w:rsidRPr="0087658D">
        <w:rPr>
          <w:rFonts w:eastAsia="Times New Roman" w:cs="Arial"/>
          <w:szCs w:val="24"/>
        </w:rPr>
        <w:t>Menezes &amp; Mokobane Attorneys</w:t>
      </w:r>
    </w:p>
    <w:p w14:paraId="67D49A41" w14:textId="77777777" w:rsidR="0087658D" w:rsidRDefault="0087658D" w:rsidP="0087658D">
      <w:pPr>
        <w:pStyle w:val="JudgmentNumbered"/>
        <w:numPr>
          <w:ilvl w:val="0"/>
          <w:numId w:val="0"/>
        </w:numPr>
        <w:ind w:left="567" w:hanging="567"/>
      </w:pPr>
    </w:p>
    <w:p w14:paraId="622EA7F2" w14:textId="77777777" w:rsidR="007344DD" w:rsidRPr="00160FAC" w:rsidRDefault="007344DD" w:rsidP="007344DD">
      <w:pPr>
        <w:spacing w:after="0" w:line="240" w:lineRule="auto"/>
        <w:ind w:left="0"/>
        <w:rPr>
          <w:rFonts w:eastAsia="Times New Roman" w:cs="Arial"/>
          <w:szCs w:val="24"/>
          <w:lang w:val="de-DE"/>
        </w:rPr>
      </w:pPr>
      <w:r w:rsidRPr="00160FAC">
        <w:rPr>
          <w:lang w:val="de-DE"/>
        </w:rPr>
        <w:t>SJ Grobler SC &amp; LM du Plessis</w:t>
      </w:r>
    </w:p>
    <w:p w14:paraId="32EDE42E" w14:textId="77777777" w:rsidR="007344DD" w:rsidRDefault="007344DD" w:rsidP="007344DD">
      <w:pPr>
        <w:spacing w:after="0" w:line="240" w:lineRule="auto"/>
        <w:ind w:left="0"/>
        <w:rPr>
          <w:rFonts w:eastAsia="Times New Roman" w:cs="Arial"/>
          <w:szCs w:val="24"/>
        </w:rPr>
      </w:pPr>
      <w:r w:rsidRPr="003673B7">
        <w:rPr>
          <w:rFonts w:eastAsia="Times New Roman" w:cs="Arial"/>
          <w:szCs w:val="24"/>
          <w:lang w:val="en-ZA"/>
        </w:rPr>
        <w:t xml:space="preserve">instructed by </w:t>
      </w:r>
      <w:r>
        <w:t>Delberg Attorneys</w:t>
      </w:r>
    </w:p>
    <w:p w14:paraId="6B577673" w14:textId="77777777" w:rsidR="007344DD" w:rsidRDefault="007344DD" w:rsidP="0087658D">
      <w:pPr>
        <w:pStyle w:val="JudgmentNumbered"/>
        <w:numPr>
          <w:ilvl w:val="0"/>
          <w:numId w:val="0"/>
        </w:numPr>
        <w:ind w:left="567" w:hanging="567"/>
      </w:pPr>
    </w:p>
    <w:p w14:paraId="15680D65" w14:textId="77777777" w:rsidR="007344DD" w:rsidRDefault="007344DD" w:rsidP="0087658D">
      <w:pPr>
        <w:pStyle w:val="JudgmentNumbered"/>
        <w:numPr>
          <w:ilvl w:val="0"/>
          <w:numId w:val="0"/>
        </w:numPr>
        <w:ind w:left="567" w:hanging="567"/>
      </w:pPr>
    </w:p>
    <w:p w14:paraId="53D699A8" w14:textId="77777777" w:rsidR="007344DD" w:rsidRDefault="007344DD" w:rsidP="007344DD">
      <w:pPr>
        <w:spacing w:after="0" w:line="240" w:lineRule="auto"/>
        <w:ind w:left="0"/>
      </w:pPr>
      <w:r>
        <w:t>A Liversage SC</w:t>
      </w:r>
    </w:p>
    <w:p w14:paraId="6AD1A42F" w14:textId="77777777" w:rsidR="007344DD" w:rsidRDefault="007344DD" w:rsidP="007344DD">
      <w:pPr>
        <w:spacing w:after="0" w:line="240" w:lineRule="auto"/>
        <w:ind w:left="0"/>
        <w:rPr>
          <w:rFonts w:eastAsia="Times New Roman" w:cs="Arial"/>
          <w:szCs w:val="24"/>
        </w:rPr>
      </w:pPr>
      <w:r w:rsidRPr="003673B7">
        <w:rPr>
          <w:rFonts w:eastAsia="Times New Roman" w:cs="Arial"/>
          <w:szCs w:val="24"/>
          <w:lang w:val="en-ZA"/>
        </w:rPr>
        <w:t xml:space="preserve">instructed by </w:t>
      </w:r>
      <w:r>
        <w:t>JI van Niekerk Attorneys</w:t>
      </w:r>
    </w:p>
    <w:p w14:paraId="07949D55" w14:textId="77777777" w:rsidR="007344DD" w:rsidRDefault="007344DD" w:rsidP="0087658D">
      <w:pPr>
        <w:pStyle w:val="JudgmentNumbered"/>
        <w:numPr>
          <w:ilvl w:val="0"/>
          <w:numId w:val="0"/>
        </w:numPr>
        <w:ind w:left="567" w:hanging="567"/>
      </w:pPr>
    </w:p>
    <w:p w14:paraId="6B647BE6" w14:textId="77777777" w:rsidR="000E231A" w:rsidRDefault="000E231A" w:rsidP="00EA0BED">
      <w:pPr>
        <w:pStyle w:val="JudgmentNumbered"/>
        <w:numPr>
          <w:ilvl w:val="0"/>
          <w:numId w:val="0"/>
        </w:numPr>
      </w:pPr>
      <w:r>
        <w:t xml:space="preserve">Heard: </w:t>
      </w:r>
      <w:r w:rsidR="00EA0BED">
        <w:t>21,22,23 and 24 November 2022</w:t>
      </w:r>
    </w:p>
    <w:p w14:paraId="08F22556" w14:textId="1EE517A1" w:rsidR="00EA0BED" w:rsidRDefault="00EA0BED" w:rsidP="00EA0BED">
      <w:pPr>
        <w:pStyle w:val="JudgmentNumbered"/>
        <w:numPr>
          <w:ilvl w:val="0"/>
          <w:numId w:val="0"/>
        </w:numPr>
      </w:pPr>
      <w:r>
        <w:t>Delivered:</w:t>
      </w:r>
      <w:r w:rsidR="005C0044">
        <w:t xml:space="preserve"> </w:t>
      </w:r>
      <w:r w:rsidR="007F641D">
        <w:t xml:space="preserve">31 </w:t>
      </w:r>
      <w:r w:rsidR="005C0044">
        <w:t>July 2023</w:t>
      </w:r>
      <w:r>
        <w:t xml:space="preserve"> </w:t>
      </w:r>
    </w:p>
    <w:p w14:paraId="4C8F149B" w14:textId="77777777" w:rsidR="007344DD" w:rsidRPr="0087658D" w:rsidRDefault="007344DD" w:rsidP="0087658D">
      <w:pPr>
        <w:pStyle w:val="JudgmentNumbered"/>
        <w:numPr>
          <w:ilvl w:val="0"/>
          <w:numId w:val="0"/>
        </w:numPr>
        <w:ind w:left="567" w:hanging="567"/>
      </w:pPr>
    </w:p>
    <w:sectPr w:rsidR="007344DD" w:rsidRPr="0087658D" w:rsidSect="00223B20">
      <w:footerReference w:type="default" r:id="rId11"/>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5DE9" w14:textId="77777777" w:rsidR="00FF4771" w:rsidRDefault="00FF4771" w:rsidP="00DF2E74">
      <w:pPr>
        <w:spacing w:after="0" w:line="240" w:lineRule="auto"/>
      </w:pPr>
      <w:r>
        <w:separator/>
      </w:r>
    </w:p>
  </w:endnote>
  <w:endnote w:type="continuationSeparator" w:id="0">
    <w:p w14:paraId="1234182B" w14:textId="77777777" w:rsidR="00FF4771" w:rsidRDefault="00FF4771" w:rsidP="00D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62456"/>
      <w:docPartObj>
        <w:docPartGallery w:val="Page Numbers (Bottom of Page)"/>
        <w:docPartUnique/>
      </w:docPartObj>
    </w:sdtPr>
    <w:sdtEndPr>
      <w:rPr>
        <w:noProof/>
      </w:rPr>
    </w:sdtEndPr>
    <w:sdtContent>
      <w:p w14:paraId="4FE7DB8C" w14:textId="697E1137" w:rsidR="00C17E0F" w:rsidRDefault="00C17E0F">
        <w:pPr>
          <w:pStyle w:val="Footer"/>
          <w:jc w:val="right"/>
        </w:pPr>
        <w:r>
          <w:fldChar w:fldCharType="begin"/>
        </w:r>
        <w:r>
          <w:instrText xml:space="preserve"> PAGE   \* MERGEFORMAT </w:instrText>
        </w:r>
        <w:r>
          <w:fldChar w:fldCharType="separate"/>
        </w:r>
        <w:r w:rsidR="00CA3665">
          <w:rPr>
            <w:noProof/>
          </w:rPr>
          <w:t>4</w:t>
        </w:r>
        <w:r>
          <w:rPr>
            <w:noProof/>
          </w:rPr>
          <w:fldChar w:fldCharType="end"/>
        </w:r>
      </w:p>
    </w:sdtContent>
  </w:sdt>
  <w:p w14:paraId="78896CF8" w14:textId="77777777" w:rsidR="00C17E0F" w:rsidRDefault="00C1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39963"/>
      <w:docPartObj>
        <w:docPartGallery w:val="Page Numbers (Bottom of Page)"/>
        <w:docPartUnique/>
      </w:docPartObj>
    </w:sdtPr>
    <w:sdtEndPr>
      <w:rPr>
        <w:noProof/>
      </w:rPr>
    </w:sdtEndPr>
    <w:sdtContent>
      <w:p w14:paraId="5426B873" w14:textId="2314AD19" w:rsidR="002F6DC0" w:rsidRDefault="002F6DC0">
        <w:pPr>
          <w:pStyle w:val="Footer"/>
          <w:jc w:val="right"/>
        </w:pPr>
        <w:r>
          <w:t>21</w:t>
        </w:r>
      </w:p>
    </w:sdtContent>
  </w:sdt>
  <w:p w14:paraId="6C7EF987" w14:textId="77777777" w:rsidR="002F6DC0" w:rsidRDefault="002F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3E6B" w14:textId="77777777" w:rsidR="00FF4771" w:rsidRDefault="00FF4771" w:rsidP="00DF2E74">
      <w:pPr>
        <w:spacing w:after="0" w:line="240" w:lineRule="auto"/>
      </w:pPr>
      <w:r>
        <w:separator/>
      </w:r>
    </w:p>
  </w:footnote>
  <w:footnote w:type="continuationSeparator" w:id="0">
    <w:p w14:paraId="4EDB64A2" w14:textId="77777777" w:rsidR="00FF4771" w:rsidRDefault="00FF4771" w:rsidP="00DF2E74">
      <w:pPr>
        <w:spacing w:after="0" w:line="240" w:lineRule="auto"/>
      </w:pPr>
      <w:r>
        <w:continuationSeparator/>
      </w:r>
    </w:p>
  </w:footnote>
  <w:footnote w:id="1">
    <w:p w14:paraId="23D04C13" w14:textId="5A8E77DF" w:rsidR="00683544" w:rsidRPr="00683544" w:rsidRDefault="00683544">
      <w:pPr>
        <w:pStyle w:val="FootnoteText"/>
        <w:rPr>
          <w:lang w:val="en-ZA"/>
        </w:rPr>
      </w:pPr>
      <w:r>
        <w:rPr>
          <w:rStyle w:val="FootnoteReference"/>
        </w:rPr>
        <w:footnoteRef/>
      </w:r>
      <w:r>
        <w:t xml:space="preserve"> </w:t>
      </w:r>
      <w:r>
        <w:rPr>
          <w:lang w:val="en-ZA"/>
        </w:rPr>
        <w:t>The decision is report</w:t>
      </w:r>
      <w:r w:rsidR="001433F3">
        <w:rPr>
          <w:lang w:val="en-ZA"/>
        </w:rPr>
        <w:t>ed</w:t>
      </w:r>
      <w:r>
        <w:rPr>
          <w:lang w:val="en-ZA"/>
        </w:rPr>
        <w:t xml:space="preserve"> </w:t>
      </w:r>
      <w:r w:rsidR="00C4749D">
        <w:rPr>
          <w:lang w:val="en-ZA"/>
        </w:rPr>
        <w:t xml:space="preserve">as </w:t>
      </w:r>
      <w:r w:rsidR="00B97C8C">
        <w:rPr>
          <w:i/>
          <w:iCs/>
          <w:lang w:val="en-ZA"/>
        </w:rPr>
        <w:t xml:space="preserve">The applicant </w:t>
      </w:r>
      <w:r w:rsidR="00A555E7" w:rsidRPr="000E4D63">
        <w:rPr>
          <w:i/>
          <w:iCs/>
          <w:lang w:val="en-ZA"/>
        </w:rPr>
        <w:t xml:space="preserve">Trading </w:t>
      </w:r>
      <w:r w:rsidR="006740F4" w:rsidRPr="000E4D63">
        <w:rPr>
          <w:i/>
          <w:iCs/>
          <w:lang w:val="en-ZA"/>
        </w:rPr>
        <w:t xml:space="preserve">125(Pty) Ltd v MEC of the Gauteng </w:t>
      </w:r>
      <w:r w:rsidR="00E730F8" w:rsidRPr="000E4D63">
        <w:rPr>
          <w:i/>
          <w:iCs/>
          <w:lang w:val="en-ZA"/>
        </w:rPr>
        <w:t xml:space="preserve"> Department of Agriculture and Rural Development </w:t>
      </w:r>
      <w:r w:rsidR="00B86FBF" w:rsidRPr="000E4D63">
        <w:rPr>
          <w:i/>
          <w:iCs/>
          <w:lang w:val="en-ZA"/>
        </w:rPr>
        <w:t>and Others</w:t>
      </w:r>
      <w:r w:rsidR="00B86FBF">
        <w:rPr>
          <w:lang w:val="en-ZA"/>
        </w:rPr>
        <w:t xml:space="preserve"> (77836/201)</w:t>
      </w:r>
      <w:r w:rsidR="008143B7">
        <w:rPr>
          <w:lang w:val="en-ZA"/>
        </w:rPr>
        <w:t xml:space="preserve"> [2012] ZAGPPHC</w:t>
      </w:r>
      <w:r w:rsidR="000E4D63">
        <w:rPr>
          <w:lang w:val="en-ZA"/>
        </w:rPr>
        <w:t xml:space="preserve"> 361 (28 November 2012)</w:t>
      </w:r>
    </w:p>
  </w:footnote>
  <w:footnote w:id="2">
    <w:p w14:paraId="57AEE5D6" w14:textId="1FC4B751" w:rsidR="00F077D4" w:rsidRPr="00F077D4" w:rsidRDefault="00F077D4">
      <w:pPr>
        <w:pStyle w:val="FootnoteText"/>
        <w:rPr>
          <w:lang w:val="en-ZA"/>
        </w:rPr>
      </w:pPr>
      <w:r>
        <w:rPr>
          <w:rStyle w:val="FootnoteReference"/>
        </w:rPr>
        <w:footnoteRef/>
      </w:r>
      <w:r>
        <w:t xml:space="preserve"> </w:t>
      </w:r>
      <w:r w:rsidR="004165CC" w:rsidRPr="001F2662">
        <w:rPr>
          <w:i/>
          <w:iCs/>
          <w:lang w:val="en-CA"/>
        </w:rPr>
        <w:t>Johannesburg Metropolitan Municipality v Development Tribunal and others</w:t>
      </w:r>
      <w:r w:rsidR="004165CC">
        <w:rPr>
          <w:lang w:val="en-ZA"/>
        </w:rPr>
        <w:t xml:space="preserve"> </w:t>
      </w:r>
      <w:r w:rsidR="003E085C">
        <w:rPr>
          <w:lang w:val="en-ZA"/>
        </w:rPr>
        <w:t>2010(6) SA 182(CC)</w:t>
      </w:r>
    </w:p>
  </w:footnote>
  <w:footnote w:id="3">
    <w:p w14:paraId="36434BCB" w14:textId="77777777" w:rsidR="008E2CBB" w:rsidRPr="00673D5E" w:rsidRDefault="008E2CBB" w:rsidP="008E2CBB">
      <w:pPr>
        <w:pStyle w:val="FootnoteText"/>
        <w:rPr>
          <w:lang w:val="en-ZA"/>
        </w:rPr>
      </w:pPr>
      <w:r>
        <w:rPr>
          <w:rStyle w:val="FootnoteReference"/>
        </w:rPr>
        <w:footnoteRef/>
      </w:r>
      <w:r>
        <w:t xml:space="preserve"> </w:t>
      </w:r>
      <w:r>
        <w:rPr>
          <w:lang w:val="en-ZA"/>
        </w:rPr>
        <w:t>The restriction imposed prevented any other competing retail activity in the area.</w:t>
      </w:r>
    </w:p>
  </w:footnote>
  <w:footnote w:id="4">
    <w:p w14:paraId="4EBF8DCD" w14:textId="75B666A2" w:rsidR="008E2CBB" w:rsidRPr="00BC4A49" w:rsidRDefault="008E2CBB" w:rsidP="008E2CBB">
      <w:pPr>
        <w:pStyle w:val="FootnoteText"/>
        <w:rPr>
          <w:lang w:val="en-ZA"/>
        </w:rPr>
      </w:pPr>
      <w:r>
        <w:rPr>
          <w:rStyle w:val="FootnoteReference"/>
        </w:rPr>
        <w:footnoteRef/>
      </w:r>
      <w:r>
        <w:t xml:space="preserve"> </w:t>
      </w:r>
      <w:r>
        <w:rPr>
          <w:lang w:val="en-ZA"/>
        </w:rPr>
        <w:t xml:space="preserve">The </w:t>
      </w:r>
      <w:r w:rsidR="00507C0D">
        <w:rPr>
          <w:lang w:val="en-ZA"/>
        </w:rPr>
        <w:t>declaration of a state of dis</w:t>
      </w:r>
      <w:r w:rsidR="00E3741C">
        <w:rPr>
          <w:lang w:val="en-ZA"/>
        </w:rPr>
        <w:t xml:space="preserve">aster and ensuing </w:t>
      </w:r>
      <w:r>
        <w:rPr>
          <w:lang w:val="en-ZA"/>
        </w:rPr>
        <w:t>lockdown due to Covid 19 pandemic</w:t>
      </w:r>
      <w:r w:rsidR="002B2841">
        <w:rPr>
          <w:lang w:val="en-ZA"/>
        </w:rPr>
        <w:t xml:space="preserve"> on 16 March 2020</w:t>
      </w:r>
      <w:r w:rsidR="006A22AB">
        <w:rPr>
          <w:lang w:val="en-ZA"/>
        </w:rPr>
        <w:t>.</w:t>
      </w:r>
    </w:p>
  </w:footnote>
  <w:footnote w:id="5">
    <w:p w14:paraId="42C5DEF7" w14:textId="56926EF9" w:rsidR="00A83E16" w:rsidRPr="00200A14" w:rsidRDefault="00A83E16" w:rsidP="00A83E16">
      <w:pPr>
        <w:pStyle w:val="FootnoteText"/>
        <w:rPr>
          <w:lang w:val="en-ZA"/>
        </w:rPr>
      </w:pPr>
      <w:r>
        <w:rPr>
          <w:rStyle w:val="FootnoteReference"/>
        </w:rPr>
        <w:footnoteRef/>
      </w:r>
      <w:r>
        <w:t xml:space="preserve"> </w:t>
      </w:r>
      <w:r w:rsidRPr="001F2662">
        <w:rPr>
          <w:i/>
          <w:iCs/>
          <w:lang w:val="en-CA"/>
        </w:rPr>
        <w:t>Johannesburg Metropolitan Municipality v Development Tribunal and others</w:t>
      </w:r>
      <w:r>
        <w:rPr>
          <w:lang w:val="en-ZA"/>
        </w:rPr>
        <w:t xml:space="preserve"> 2010(2) SA 554(SCA); [2010]1All SA 201(SCA)</w:t>
      </w:r>
      <w:r w:rsidR="00D92B8B">
        <w:rPr>
          <w:lang w:val="en-ZA"/>
        </w:rPr>
        <w:t>.</w:t>
      </w:r>
    </w:p>
  </w:footnote>
  <w:footnote w:id="6">
    <w:p w14:paraId="680CC24E" w14:textId="01D4BA05" w:rsidR="002D5B33" w:rsidRPr="002D5B33" w:rsidRDefault="002D5B33">
      <w:pPr>
        <w:pStyle w:val="FootnoteText"/>
        <w:rPr>
          <w:lang w:val="en-ZA"/>
        </w:rPr>
      </w:pPr>
      <w:r>
        <w:rPr>
          <w:rStyle w:val="FootnoteReference"/>
        </w:rPr>
        <w:footnoteRef/>
      </w:r>
      <w:r>
        <w:t xml:space="preserve"> </w:t>
      </w:r>
      <w:r w:rsidR="00EC6340" w:rsidRPr="001F2662">
        <w:rPr>
          <w:i/>
          <w:iCs/>
          <w:lang w:val="en-CA"/>
        </w:rPr>
        <w:t>Johannesburg Metropolitan Municipality v Development Tribunal and others</w:t>
      </w:r>
      <w:r w:rsidR="00EC6340">
        <w:rPr>
          <w:lang w:val="en-ZA"/>
        </w:rPr>
        <w:t xml:space="preserve"> 2010(6) SA 182(CC)</w:t>
      </w:r>
    </w:p>
  </w:footnote>
  <w:footnote w:id="7">
    <w:p w14:paraId="783246D7" w14:textId="4E8C0A99" w:rsidR="00ED6217" w:rsidRPr="00ED6217" w:rsidRDefault="00ED6217">
      <w:pPr>
        <w:pStyle w:val="FootnoteText"/>
        <w:rPr>
          <w:lang w:val="en-ZA"/>
        </w:rPr>
      </w:pPr>
      <w:r>
        <w:rPr>
          <w:rStyle w:val="FootnoteReference"/>
        </w:rPr>
        <w:footnoteRef/>
      </w:r>
      <w:r>
        <w:t xml:space="preserve"> </w:t>
      </w:r>
      <w:r>
        <w:rPr>
          <w:lang w:val="en-ZA"/>
        </w:rPr>
        <w:t>As above.</w:t>
      </w:r>
    </w:p>
  </w:footnote>
  <w:footnote w:id="8">
    <w:p w14:paraId="48836E97" w14:textId="1E181094" w:rsidR="00E2727C" w:rsidRPr="00E2727C" w:rsidRDefault="00E2727C" w:rsidP="00BF01C8">
      <w:pPr>
        <w:pStyle w:val="FootnoteText"/>
        <w:rPr>
          <w:lang w:val="en-ZA"/>
        </w:rPr>
      </w:pPr>
      <w:r>
        <w:rPr>
          <w:rStyle w:val="FootnoteReference"/>
        </w:rPr>
        <w:footnoteRef/>
      </w:r>
      <w:r>
        <w:t xml:space="preserve"> </w:t>
      </w:r>
      <w:r w:rsidR="00ED7B05" w:rsidRPr="001F2662">
        <w:rPr>
          <w:i/>
          <w:iCs/>
          <w:lang w:val="en-CA"/>
        </w:rPr>
        <w:t>Johannesburg Metropolitan Municipality v Development Tribunal and others</w:t>
      </w:r>
      <w:r w:rsidR="00ED7B05">
        <w:rPr>
          <w:lang w:val="en-ZA"/>
        </w:rPr>
        <w:t xml:space="preserve"> 2010(6) SA 182(CC)</w:t>
      </w:r>
    </w:p>
  </w:footnote>
  <w:footnote w:id="9">
    <w:p w14:paraId="7DB9D9EE" w14:textId="2D4684E0" w:rsidR="002C266C" w:rsidRPr="002C266C" w:rsidRDefault="002C266C">
      <w:pPr>
        <w:pStyle w:val="FootnoteText"/>
        <w:rPr>
          <w:lang w:val="en-ZA"/>
        </w:rPr>
      </w:pPr>
      <w:r>
        <w:rPr>
          <w:rStyle w:val="FootnoteReference"/>
        </w:rPr>
        <w:footnoteRef/>
      </w:r>
      <w:r>
        <w:t xml:space="preserve"> </w:t>
      </w:r>
      <w:r>
        <w:rPr>
          <w:lang w:val="en-ZA"/>
        </w:rPr>
        <w:t>As above at para [95]</w:t>
      </w:r>
    </w:p>
  </w:footnote>
  <w:footnote w:id="10">
    <w:p w14:paraId="5A04D7F4" w14:textId="30B3231F" w:rsidR="00B87AB4" w:rsidRPr="00B87AB4" w:rsidRDefault="00B87AB4">
      <w:pPr>
        <w:pStyle w:val="FootnoteText"/>
        <w:rPr>
          <w:lang w:val="en-ZA"/>
        </w:rPr>
      </w:pPr>
      <w:r>
        <w:rPr>
          <w:rStyle w:val="FootnoteReference"/>
        </w:rPr>
        <w:footnoteRef/>
      </w:r>
      <w:r>
        <w:t xml:space="preserve"> </w:t>
      </w:r>
      <w:r w:rsidR="00A34488">
        <w:rPr>
          <w:lang w:val="en-ZA"/>
        </w:rPr>
        <w:t>As above.</w:t>
      </w:r>
    </w:p>
  </w:footnote>
  <w:footnote w:id="11">
    <w:p w14:paraId="7DB42EB8" w14:textId="4A33AF41" w:rsidR="00DD752A" w:rsidRPr="00DD752A" w:rsidRDefault="00DD752A">
      <w:pPr>
        <w:pStyle w:val="FootnoteText"/>
        <w:rPr>
          <w:lang w:val="en-ZA"/>
        </w:rPr>
      </w:pPr>
      <w:r>
        <w:rPr>
          <w:rStyle w:val="FootnoteReference"/>
        </w:rPr>
        <w:footnoteRef/>
      </w:r>
      <w:r>
        <w:t xml:space="preserve"> </w:t>
      </w:r>
      <w:r>
        <w:rPr>
          <w:lang w:val="en-ZA"/>
        </w:rPr>
        <w:t>As above at para [95]</w:t>
      </w:r>
    </w:p>
  </w:footnote>
  <w:footnote w:id="12">
    <w:p w14:paraId="65DFE2BD" w14:textId="77777777" w:rsidR="005002FA" w:rsidRPr="001F2662" w:rsidRDefault="005002FA" w:rsidP="005002FA">
      <w:pPr>
        <w:pStyle w:val="FootnoteText"/>
        <w:rPr>
          <w:lang w:val="en-ZA"/>
        </w:rPr>
      </w:pPr>
      <w:r>
        <w:rPr>
          <w:rStyle w:val="FootnoteReference"/>
        </w:rPr>
        <w:footnoteRef/>
      </w:r>
      <w:r>
        <w:t xml:space="preserve"> </w:t>
      </w:r>
      <w:r>
        <w:rPr>
          <w:lang w:val="en-ZA"/>
        </w:rPr>
        <w:t>Fn (1) above</w:t>
      </w:r>
    </w:p>
  </w:footnote>
  <w:footnote w:id="13">
    <w:p w14:paraId="1DAD8A4A" w14:textId="6CD87FE1" w:rsidR="009F4DF4" w:rsidRPr="000F7636" w:rsidRDefault="009F4DF4" w:rsidP="009F4DF4">
      <w:pPr>
        <w:pStyle w:val="FootnoteText"/>
        <w:rPr>
          <w:lang w:val="en-ZA"/>
        </w:rPr>
      </w:pPr>
      <w:r>
        <w:rPr>
          <w:rStyle w:val="FootnoteReference"/>
        </w:rPr>
        <w:footnoteRef/>
      </w:r>
      <w:r>
        <w:t xml:space="preserve"> </w:t>
      </w:r>
      <w:r w:rsidRPr="000F7636">
        <w:rPr>
          <w:i/>
          <w:iCs/>
          <w:lang w:val="en-CA"/>
        </w:rPr>
        <w:t xml:space="preserve">Bato Star (Pty) Ltd </w:t>
      </w:r>
      <w:r w:rsidR="00C02E6C" w:rsidRPr="000F7636">
        <w:rPr>
          <w:i/>
          <w:iCs/>
          <w:lang w:val="en-CA"/>
        </w:rPr>
        <w:t>v Minister</w:t>
      </w:r>
      <w:r w:rsidRPr="000F7636">
        <w:rPr>
          <w:i/>
          <w:iCs/>
          <w:lang w:val="en-CA"/>
        </w:rPr>
        <w:t xml:space="preserve"> of Environmental Affairs</w:t>
      </w:r>
      <w:r>
        <w:rPr>
          <w:lang w:val="en-ZA"/>
        </w:rPr>
        <w:t xml:space="preserve"> 2004(4) SA 514(CC)</w:t>
      </w:r>
    </w:p>
  </w:footnote>
  <w:footnote w:id="14">
    <w:p w14:paraId="5DCD4EEC" w14:textId="46AFC56E" w:rsidR="00C83C66" w:rsidRPr="00C83C66" w:rsidRDefault="00C83C66">
      <w:pPr>
        <w:pStyle w:val="FootnoteText"/>
        <w:rPr>
          <w:lang w:val="en-ZA"/>
        </w:rPr>
      </w:pPr>
      <w:r>
        <w:rPr>
          <w:rStyle w:val="FootnoteReference"/>
        </w:rPr>
        <w:footnoteRef/>
      </w:r>
      <w:r>
        <w:t xml:space="preserve"> </w:t>
      </w:r>
      <w:r w:rsidRPr="00825B86">
        <w:rPr>
          <w:rFonts w:ascii="Verdana" w:hAnsi="Verdana"/>
          <w:i/>
          <w:iCs/>
        </w:rPr>
        <w:t>Oudekraal Estates (Pty) Ltd v City of Cape Town and Others</w:t>
      </w:r>
      <w:r w:rsidRPr="00825B86">
        <w:rPr>
          <w:rFonts w:ascii="Verdana" w:hAnsi="Verdana"/>
        </w:rPr>
        <w:t> </w:t>
      </w:r>
      <w:hyperlink r:id="rId1" w:tgtFrame="main" w:history="1">
        <w:r w:rsidRPr="00825B86">
          <w:rPr>
            <w:rStyle w:val="Hyperlink"/>
            <w:rFonts w:ascii="Verdana" w:hAnsi="Verdana"/>
            <w:color w:val="auto"/>
            <w:u w:val="none"/>
          </w:rPr>
          <w:t>2004 (6) SA 222 (SCA)</w:t>
        </w:r>
      </w:hyperlink>
    </w:p>
  </w:footnote>
  <w:footnote w:id="15">
    <w:p w14:paraId="469A2405" w14:textId="50E6F0C6" w:rsidR="00286E3F" w:rsidRPr="00286E3F" w:rsidRDefault="00286E3F">
      <w:pPr>
        <w:pStyle w:val="FootnoteText"/>
        <w:rPr>
          <w:lang w:val="en-ZA"/>
        </w:rPr>
      </w:pPr>
      <w:r>
        <w:rPr>
          <w:rStyle w:val="FootnoteReference"/>
        </w:rPr>
        <w:footnoteRef/>
      </w:r>
      <w:r>
        <w:t xml:space="preserve"> </w:t>
      </w:r>
      <w:r w:rsidR="00921C62" w:rsidRPr="00921C62">
        <w:rPr>
          <w:i/>
          <w:iCs/>
        </w:rPr>
        <w:t>MEC for Health Eastern Cape v  Kirland Investment (Pty) Ltd t/a  Eye and Lazer Institute</w:t>
      </w:r>
      <w:r w:rsidR="00921C62">
        <w:rPr>
          <w:lang w:val="en-ZA"/>
        </w:rPr>
        <w:t xml:space="preserve"> 2014(5) BCLR 547</w:t>
      </w:r>
    </w:p>
  </w:footnote>
  <w:footnote w:id="16">
    <w:p w14:paraId="7E66934D" w14:textId="32CEB156" w:rsidR="00820649" w:rsidRPr="00820649" w:rsidRDefault="00820649">
      <w:pPr>
        <w:pStyle w:val="FootnoteText"/>
        <w:rPr>
          <w:lang w:val="en-ZA"/>
        </w:rPr>
      </w:pPr>
      <w:r>
        <w:rPr>
          <w:rStyle w:val="FootnoteReference"/>
        </w:rPr>
        <w:footnoteRef/>
      </w:r>
      <w:r>
        <w:t xml:space="preserve"> </w:t>
      </w:r>
      <w:r w:rsidRPr="00820649">
        <w:rPr>
          <w:i/>
          <w:iCs/>
        </w:rPr>
        <w:t xml:space="preserve">Magnificent Mile Trading 20 (Pty) Ltd </w:t>
      </w:r>
      <w:r w:rsidR="00FF2357" w:rsidRPr="00820649">
        <w:rPr>
          <w:i/>
          <w:iCs/>
        </w:rPr>
        <w:t>v Celliers</w:t>
      </w:r>
      <w:r w:rsidRPr="00820649">
        <w:rPr>
          <w:i/>
          <w:iCs/>
        </w:rPr>
        <w:t xml:space="preserve"> N.O.</w:t>
      </w:r>
      <w:r w:rsidR="00040346">
        <w:rPr>
          <w:i/>
          <w:iCs/>
        </w:rPr>
        <w:t xml:space="preserve"> </w:t>
      </w:r>
      <w:r>
        <w:rPr>
          <w:lang w:val="en-ZA"/>
        </w:rPr>
        <w:t>2020</w:t>
      </w:r>
      <w:r w:rsidR="00040346">
        <w:rPr>
          <w:lang w:val="en-ZA"/>
        </w:rPr>
        <w:t xml:space="preserve"> </w:t>
      </w:r>
      <w:r>
        <w:rPr>
          <w:lang w:val="en-ZA"/>
        </w:rPr>
        <w:t>(4) SA 375 (CC)</w:t>
      </w:r>
    </w:p>
  </w:footnote>
  <w:footnote w:id="17">
    <w:p w14:paraId="21A4DF95" w14:textId="5FDA3A8B" w:rsidR="003B29DF" w:rsidRPr="00DD2BFD" w:rsidRDefault="003B29DF" w:rsidP="003B29DF">
      <w:pPr>
        <w:pStyle w:val="FootnoteText"/>
        <w:rPr>
          <w:lang w:val="en-ZA"/>
        </w:rPr>
      </w:pPr>
      <w:r>
        <w:rPr>
          <w:rStyle w:val="FootnoteReference"/>
        </w:rPr>
        <w:footnoteRef/>
      </w:r>
      <w:r>
        <w:t xml:space="preserve"> </w:t>
      </w:r>
      <w:r w:rsidRPr="005A35A0">
        <w:rPr>
          <w:i/>
        </w:rPr>
        <w:t>Plascon</w:t>
      </w:r>
      <w:r w:rsidR="005D3718">
        <w:rPr>
          <w:i/>
        </w:rPr>
        <w:t>.</w:t>
      </w:r>
      <w:r w:rsidRPr="005A35A0">
        <w:rPr>
          <w:i/>
        </w:rPr>
        <w:t>-Evans Paints Ltd v Van Riebeeck Paints (Pty) Ltd</w:t>
      </w:r>
      <w:r>
        <w:t xml:space="preserve"> 1984 (3) SA 523 A at 634H-635B</w:t>
      </w:r>
    </w:p>
  </w:footnote>
  <w:footnote w:id="18">
    <w:p w14:paraId="1C63A39C" w14:textId="10EA032E" w:rsidR="00726091" w:rsidRPr="00726091" w:rsidRDefault="00726091">
      <w:pPr>
        <w:pStyle w:val="FootnoteText"/>
        <w:rPr>
          <w:lang w:val="en-ZA"/>
        </w:rPr>
      </w:pPr>
      <w:r>
        <w:rPr>
          <w:rStyle w:val="FootnoteReference"/>
        </w:rPr>
        <w:footnoteRef/>
      </w:r>
      <w:r>
        <w:t xml:space="preserve"> </w:t>
      </w:r>
      <w:r w:rsidRPr="0007578F">
        <w:rPr>
          <w:i/>
          <w:iCs/>
          <w:lang w:val="en-ZA"/>
        </w:rPr>
        <w:t>Opposition to Urban Tolling Alliance</w:t>
      </w:r>
      <w:r w:rsidR="00C741EB" w:rsidRPr="0007578F">
        <w:rPr>
          <w:i/>
          <w:iCs/>
          <w:lang w:val="en-ZA"/>
        </w:rPr>
        <w:t xml:space="preserve"> v South African National Road Agency Ltd</w:t>
      </w:r>
      <w:r w:rsidR="00601102">
        <w:rPr>
          <w:lang w:val="en-ZA"/>
        </w:rPr>
        <w:t xml:space="preserve"> [2013]4 All SA 639 (SCA)</w:t>
      </w:r>
      <w:r w:rsidR="005F3107">
        <w:rPr>
          <w:lang w:val="en-ZA"/>
        </w:rPr>
        <w:t xml:space="preserve"> at [para[2</w:t>
      </w:r>
      <w:r w:rsidR="00304776">
        <w:rPr>
          <w:lang w:val="en-ZA"/>
        </w:rPr>
        <w:t>6</w:t>
      </w:r>
      <w:r w:rsidR="005F3107">
        <w:rPr>
          <w:lang w:val="en-ZA"/>
        </w:rPr>
        <w:t>]</w:t>
      </w:r>
      <w:r w:rsidR="00C741EB">
        <w:rPr>
          <w:lang w:val="en-ZA"/>
        </w:rPr>
        <w:t xml:space="preserve"> </w:t>
      </w:r>
      <w:r>
        <w:rPr>
          <w:lang w:val="en-ZA"/>
        </w:rPr>
        <w:t xml:space="preserve"> </w:t>
      </w:r>
    </w:p>
  </w:footnote>
  <w:footnote w:id="19">
    <w:p w14:paraId="150F97BD" w14:textId="0E1AE5AA" w:rsidR="009844A7" w:rsidRPr="00CA57B6" w:rsidRDefault="009844A7">
      <w:pPr>
        <w:pStyle w:val="FootnoteText"/>
        <w:rPr>
          <w:lang w:val="en-ZA"/>
        </w:rPr>
      </w:pPr>
      <w:r>
        <w:rPr>
          <w:rStyle w:val="FootnoteReference"/>
        </w:rPr>
        <w:footnoteRef/>
      </w:r>
      <w:r>
        <w:t xml:space="preserve"> </w:t>
      </w:r>
      <w:r w:rsidRPr="009844A7">
        <w:rPr>
          <w:i/>
          <w:iCs/>
        </w:rPr>
        <w:t>City of Cape Town v Aurecon South Africa (Pty) Ltd</w:t>
      </w:r>
      <w:r w:rsidR="00CA57B6">
        <w:rPr>
          <w:i/>
          <w:iCs/>
        </w:rPr>
        <w:t xml:space="preserve"> </w:t>
      </w:r>
      <w:r w:rsidR="00CA57B6">
        <w:t xml:space="preserve">2017 (4) SA </w:t>
      </w:r>
      <w:r w:rsidR="00AE083D">
        <w:t>22</w:t>
      </w:r>
      <w:r w:rsidR="00254B81">
        <w:t>3</w:t>
      </w:r>
      <w:r w:rsidR="00AE083D">
        <w:t>(CC) at para [41]</w:t>
      </w:r>
    </w:p>
  </w:footnote>
  <w:footnote w:id="20">
    <w:p w14:paraId="4E08BAE0" w14:textId="2CFF629F" w:rsidR="00C749E0" w:rsidRPr="00C749E0" w:rsidRDefault="00C749E0">
      <w:pPr>
        <w:pStyle w:val="FootnoteText"/>
        <w:rPr>
          <w:lang w:val="en-ZA"/>
        </w:rPr>
      </w:pPr>
      <w:r>
        <w:rPr>
          <w:rStyle w:val="FootnoteReference"/>
        </w:rPr>
        <w:footnoteRef/>
      </w:r>
      <w:r>
        <w:t xml:space="preserve"> </w:t>
      </w:r>
      <w:r w:rsidR="003D4626">
        <w:t>See footnote 2 above</w:t>
      </w:r>
    </w:p>
  </w:footnote>
  <w:footnote w:id="21">
    <w:p w14:paraId="44F7C2BB" w14:textId="492971B8" w:rsidR="00C2512F" w:rsidRPr="00C2512F" w:rsidRDefault="00C2512F">
      <w:pPr>
        <w:pStyle w:val="FootnoteText"/>
        <w:rPr>
          <w:lang w:val="en-ZA"/>
        </w:rPr>
      </w:pPr>
      <w:r>
        <w:rPr>
          <w:rStyle w:val="FootnoteReference"/>
        </w:rPr>
        <w:footnoteRef/>
      </w:r>
      <w:r>
        <w:t xml:space="preserve"> </w:t>
      </w:r>
      <w:r>
        <w:rPr>
          <w:lang w:val="en-ZA"/>
        </w:rPr>
        <w:t xml:space="preserve">See </w:t>
      </w:r>
      <w:r w:rsidR="007908C9">
        <w:rPr>
          <w:lang w:val="en-ZA"/>
        </w:rPr>
        <w:t xml:space="preserve">footnote </w:t>
      </w:r>
      <w:r w:rsidR="00262F23">
        <w:rPr>
          <w:lang w:val="en-ZA"/>
        </w:rPr>
        <w:t>10</w:t>
      </w:r>
    </w:p>
  </w:footnote>
  <w:footnote w:id="22">
    <w:p w14:paraId="243891A2" w14:textId="4192CDD4" w:rsidR="00EC3B9F" w:rsidRPr="00065C41" w:rsidRDefault="00EC3B9F" w:rsidP="00EC3B9F">
      <w:pPr>
        <w:pStyle w:val="FootnoteText"/>
        <w:rPr>
          <w:lang w:val="en-ZA"/>
        </w:rPr>
      </w:pPr>
      <w:r>
        <w:rPr>
          <w:rStyle w:val="FootnoteReference"/>
        </w:rPr>
        <w:footnoteRef/>
      </w:r>
      <w:r>
        <w:t xml:space="preserve"> </w:t>
      </w:r>
      <w:r w:rsidR="00065C41" w:rsidRPr="00065C41">
        <w:rPr>
          <w:i/>
          <w:iCs/>
        </w:rPr>
        <w:t>Van Wyk v Unitas Hospital and Another (Open Democratic Advice Centre as Amicus Curiae)</w:t>
      </w:r>
      <w:r w:rsidRPr="00065C41">
        <w:rPr>
          <w:lang w:val="en-ZA"/>
        </w:rPr>
        <w:t>2008(2) SA 472 (CC)</w:t>
      </w:r>
    </w:p>
  </w:footnote>
  <w:footnote w:id="23">
    <w:p w14:paraId="4390A1C9" w14:textId="0DAA6855" w:rsidR="00132BEC" w:rsidRPr="00132BEC" w:rsidRDefault="00132BEC">
      <w:pPr>
        <w:pStyle w:val="FootnoteText"/>
        <w:rPr>
          <w:lang w:val="en-ZA"/>
        </w:rPr>
      </w:pPr>
      <w:r>
        <w:rPr>
          <w:rStyle w:val="FootnoteReference"/>
        </w:rPr>
        <w:footnoteRef/>
      </w:r>
      <w:r>
        <w:t xml:space="preserve"> </w:t>
      </w:r>
      <w:r w:rsidR="00BD1A8E" w:rsidRPr="00825B86">
        <w:rPr>
          <w:rFonts w:ascii="Verdana" w:hAnsi="Verdana"/>
          <w:i/>
          <w:iCs/>
        </w:rPr>
        <w:t>Oudekraal Estates (Pty) Ltd v City of Cape Town and Others</w:t>
      </w:r>
      <w:r w:rsidR="00BD1A8E" w:rsidRPr="00825B86">
        <w:rPr>
          <w:rFonts w:ascii="Verdana" w:hAnsi="Verdana"/>
        </w:rPr>
        <w:t> </w:t>
      </w:r>
      <w:hyperlink r:id="rId2" w:tgtFrame="main" w:history="1">
        <w:r w:rsidR="00BD1A8E" w:rsidRPr="00825B86">
          <w:rPr>
            <w:rStyle w:val="Hyperlink"/>
            <w:rFonts w:ascii="Verdana" w:hAnsi="Verdana"/>
            <w:color w:val="auto"/>
            <w:u w:val="none"/>
          </w:rPr>
          <w:t>2004 (6) SA 222 (SCA)</w:t>
        </w:r>
      </w:hyperlink>
    </w:p>
  </w:footnote>
  <w:footnote w:id="24">
    <w:p w14:paraId="1F22F8D0" w14:textId="16AEC0D8" w:rsidR="009E19E6" w:rsidRPr="009E19E6" w:rsidRDefault="009E19E6">
      <w:pPr>
        <w:pStyle w:val="FootnoteText"/>
        <w:rPr>
          <w:lang w:val="en-ZA"/>
        </w:rPr>
      </w:pPr>
      <w:r>
        <w:rPr>
          <w:rStyle w:val="FootnoteReference"/>
        </w:rPr>
        <w:footnoteRef/>
      </w:r>
      <w:r>
        <w:t xml:space="preserve"> </w:t>
      </w:r>
      <w:r w:rsidR="001C6992" w:rsidRPr="009E19E6">
        <w:rPr>
          <w:i/>
          <w:iCs/>
        </w:rPr>
        <w:t>Esau and Others v Minister of Cooperative Governance and Traditional Affairs</w:t>
      </w:r>
      <w:r w:rsidR="001C6992">
        <w:rPr>
          <w:lang w:val="en-ZA"/>
        </w:rPr>
        <w:t xml:space="preserve"> </w:t>
      </w:r>
      <w:r w:rsidR="000E2917">
        <w:rPr>
          <w:lang w:val="en-ZA"/>
        </w:rPr>
        <w:t>2021(30 SA 593(SCA) at para [6]</w:t>
      </w:r>
      <w:r w:rsidR="002B64CC">
        <w:rPr>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2C223DB7"/>
    <w:multiLevelType w:val="multilevel"/>
    <w:tmpl w:val="A70E33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449E2A55"/>
    <w:multiLevelType w:val="multilevel"/>
    <w:tmpl w:val="696A6CF2"/>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830" w:hanging="108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690" w:hanging="144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550" w:hanging="1800"/>
      </w:pPr>
      <w:rPr>
        <w:rFonts w:hint="default"/>
      </w:rPr>
    </w:lvl>
    <w:lvl w:ilvl="8">
      <w:start w:val="1"/>
      <w:numFmt w:val="decimal"/>
      <w:lvlText w:val="%1.%2.%3.%4.%5.%6.%7.%8.%9"/>
      <w:lvlJc w:val="left"/>
      <w:pPr>
        <w:ind w:left="11800" w:hanging="1800"/>
      </w:pPr>
      <w:rPr>
        <w:rFonts w:hint="default"/>
      </w:rPr>
    </w:lvl>
  </w:abstractNum>
  <w:abstractNum w:abstractNumId="6">
    <w:nsid w:val="4D9C0DC4"/>
    <w:multiLevelType w:val="multilevel"/>
    <w:tmpl w:val="8612E6F2"/>
    <w:lvl w:ilvl="0">
      <w:start w:val="5"/>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B1F7767"/>
    <w:multiLevelType w:val="hybridMultilevel"/>
    <w:tmpl w:val="19A88C42"/>
    <w:lvl w:ilvl="0" w:tplc="C3A40EEC">
      <w:start w:val="1"/>
      <w:numFmt w:val="decimal"/>
      <w:lvlText w:val="[%1]"/>
      <w:lvlJc w:val="left"/>
      <w:pPr>
        <w:ind w:left="720" w:hanging="360"/>
      </w:pPr>
      <w:rPr>
        <w:rFonts w:ascii="Century Gothic" w:eastAsiaTheme="minorHAnsi" w:hAnsi="Century Gothic"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C1445B"/>
    <w:multiLevelType w:val="hybridMultilevel"/>
    <w:tmpl w:val="4C7EE51E"/>
    <w:lvl w:ilvl="0" w:tplc="5C022D5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1"/>
  </w:num>
  <w:num w:numId="5">
    <w:abstractNumId w:val="2"/>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37F322-35F3-4134-B72F-9777E3B69AA9}"/>
    <w:docVar w:name="dgnword-eventsink" w:val="1905079123744"/>
  </w:docVars>
  <w:rsids>
    <w:rsidRoot w:val="007B37BE"/>
    <w:rsid w:val="000001CA"/>
    <w:rsid w:val="00000F2B"/>
    <w:rsid w:val="00002BB4"/>
    <w:rsid w:val="00004F48"/>
    <w:rsid w:val="000052B8"/>
    <w:rsid w:val="000055A9"/>
    <w:rsid w:val="00006F6E"/>
    <w:rsid w:val="000111BD"/>
    <w:rsid w:val="00011B53"/>
    <w:rsid w:val="00012F01"/>
    <w:rsid w:val="00013B28"/>
    <w:rsid w:val="00020619"/>
    <w:rsid w:val="0002426D"/>
    <w:rsid w:val="00024951"/>
    <w:rsid w:val="00024BD4"/>
    <w:rsid w:val="00026B81"/>
    <w:rsid w:val="00040346"/>
    <w:rsid w:val="00042BA3"/>
    <w:rsid w:val="0004302C"/>
    <w:rsid w:val="00044F23"/>
    <w:rsid w:val="000453BC"/>
    <w:rsid w:val="00045DEA"/>
    <w:rsid w:val="00045FD6"/>
    <w:rsid w:val="00047209"/>
    <w:rsid w:val="0004770C"/>
    <w:rsid w:val="00047D81"/>
    <w:rsid w:val="00050073"/>
    <w:rsid w:val="000516D5"/>
    <w:rsid w:val="00051FE9"/>
    <w:rsid w:val="00052C99"/>
    <w:rsid w:val="00054F70"/>
    <w:rsid w:val="00056798"/>
    <w:rsid w:val="00056D23"/>
    <w:rsid w:val="00056E7B"/>
    <w:rsid w:val="000570DF"/>
    <w:rsid w:val="00060D7D"/>
    <w:rsid w:val="0006164C"/>
    <w:rsid w:val="00061692"/>
    <w:rsid w:val="000617B4"/>
    <w:rsid w:val="00061EE9"/>
    <w:rsid w:val="0006483E"/>
    <w:rsid w:val="00065551"/>
    <w:rsid w:val="00065C41"/>
    <w:rsid w:val="00066606"/>
    <w:rsid w:val="00066A36"/>
    <w:rsid w:val="00072986"/>
    <w:rsid w:val="00073A0F"/>
    <w:rsid w:val="0007578F"/>
    <w:rsid w:val="00077048"/>
    <w:rsid w:val="0007755F"/>
    <w:rsid w:val="00080789"/>
    <w:rsid w:val="0008097A"/>
    <w:rsid w:val="00080A22"/>
    <w:rsid w:val="00082B77"/>
    <w:rsid w:val="000854BE"/>
    <w:rsid w:val="00086612"/>
    <w:rsid w:val="00087425"/>
    <w:rsid w:val="00090D5B"/>
    <w:rsid w:val="00092B92"/>
    <w:rsid w:val="00092FA2"/>
    <w:rsid w:val="00094540"/>
    <w:rsid w:val="00094DB5"/>
    <w:rsid w:val="00096489"/>
    <w:rsid w:val="000A05C3"/>
    <w:rsid w:val="000A25D5"/>
    <w:rsid w:val="000A34D2"/>
    <w:rsid w:val="000A4708"/>
    <w:rsid w:val="000A58B1"/>
    <w:rsid w:val="000A6C33"/>
    <w:rsid w:val="000B1D63"/>
    <w:rsid w:val="000B29FF"/>
    <w:rsid w:val="000B75F9"/>
    <w:rsid w:val="000C03E5"/>
    <w:rsid w:val="000C11D4"/>
    <w:rsid w:val="000C3860"/>
    <w:rsid w:val="000C6C3D"/>
    <w:rsid w:val="000D1438"/>
    <w:rsid w:val="000D2066"/>
    <w:rsid w:val="000D49F0"/>
    <w:rsid w:val="000D7736"/>
    <w:rsid w:val="000D77E2"/>
    <w:rsid w:val="000E07CF"/>
    <w:rsid w:val="000E0D60"/>
    <w:rsid w:val="000E147A"/>
    <w:rsid w:val="000E16A1"/>
    <w:rsid w:val="000E231A"/>
    <w:rsid w:val="000E2917"/>
    <w:rsid w:val="000E3A10"/>
    <w:rsid w:val="000E4D63"/>
    <w:rsid w:val="000E7932"/>
    <w:rsid w:val="000F052B"/>
    <w:rsid w:val="000F0D88"/>
    <w:rsid w:val="000F24C7"/>
    <w:rsid w:val="000F3099"/>
    <w:rsid w:val="000F53D8"/>
    <w:rsid w:val="000F7636"/>
    <w:rsid w:val="000F775B"/>
    <w:rsid w:val="001001CF"/>
    <w:rsid w:val="0010093D"/>
    <w:rsid w:val="001013C5"/>
    <w:rsid w:val="001016D2"/>
    <w:rsid w:val="00101ADD"/>
    <w:rsid w:val="00101CF4"/>
    <w:rsid w:val="00101F5B"/>
    <w:rsid w:val="00102B12"/>
    <w:rsid w:val="0010612A"/>
    <w:rsid w:val="0010663A"/>
    <w:rsid w:val="001073FF"/>
    <w:rsid w:val="001077C7"/>
    <w:rsid w:val="00107E6C"/>
    <w:rsid w:val="00111067"/>
    <w:rsid w:val="00112111"/>
    <w:rsid w:val="00114A80"/>
    <w:rsid w:val="0011643B"/>
    <w:rsid w:val="00120AF3"/>
    <w:rsid w:val="00122291"/>
    <w:rsid w:val="0012239C"/>
    <w:rsid w:val="0012368E"/>
    <w:rsid w:val="00124897"/>
    <w:rsid w:val="00125F60"/>
    <w:rsid w:val="00125FD3"/>
    <w:rsid w:val="0013227E"/>
    <w:rsid w:val="00132BEC"/>
    <w:rsid w:val="00133053"/>
    <w:rsid w:val="001336C3"/>
    <w:rsid w:val="00133F78"/>
    <w:rsid w:val="00135B75"/>
    <w:rsid w:val="00136267"/>
    <w:rsid w:val="001363D7"/>
    <w:rsid w:val="0014091A"/>
    <w:rsid w:val="001414E7"/>
    <w:rsid w:val="00141712"/>
    <w:rsid w:val="00141A24"/>
    <w:rsid w:val="00142A6E"/>
    <w:rsid w:val="001433F3"/>
    <w:rsid w:val="00144444"/>
    <w:rsid w:val="00147380"/>
    <w:rsid w:val="00152AA3"/>
    <w:rsid w:val="00154376"/>
    <w:rsid w:val="00154670"/>
    <w:rsid w:val="00154C89"/>
    <w:rsid w:val="00154D5A"/>
    <w:rsid w:val="00155A20"/>
    <w:rsid w:val="00155B01"/>
    <w:rsid w:val="00160F79"/>
    <w:rsid w:val="00160FAC"/>
    <w:rsid w:val="00162002"/>
    <w:rsid w:val="001631BE"/>
    <w:rsid w:val="001674AE"/>
    <w:rsid w:val="00167FCA"/>
    <w:rsid w:val="00170765"/>
    <w:rsid w:val="001744C6"/>
    <w:rsid w:val="00174AE1"/>
    <w:rsid w:val="001759EA"/>
    <w:rsid w:val="00181418"/>
    <w:rsid w:val="001830A5"/>
    <w:rsid w:val="001838DB"/>
    <w:rsid w:val="00184896"/>
    <w:rsid w:val="00186CAC"/>
    <w:rsid w:val="00190E26"/>
    <w:rsid w:val="001929A7"/>
    <w:rsid w:val="00194AEA"/>
    <w:rsid w:val="001952C1"/>
    <w:rsid w:val="00195EA3"/>
    <w:rsid w:val="0019636D"/>
    <w:rsid w:val="00196B4E"/>
    <w:rsid w:val="001A0721"/>
    <w:rsid w:val="001A12C4"/>
    <w:rsid w:val="001A1533"/>
    <w:rsid w:val="001A1E05"/>
    <w:rsid w:val="001A4143"/>
    <w:rsid w:val="001A4312"/>
    <w:rsid w:val="001A4637"/>
    <w:rsid w:val="001A541C"/>
    <w:rsid w:val="001A5B1C"/>
    <w:rsid w:val="001A5EB9"/>
    <w:rsid w:val="001A6A34"/>
    <w:rsid w:val="001A787B"/>
    <w:rsid w:val="001B03B4"/>
    <w:rsid w:val="001B45DD"/>
    <w:rsid w:val="001B48C8"/>
    <w:rsid w:val="001B4BB4"/>
    <w:rsid w:val="001B5781"/>
    <w:rsid w:val="001B58F7"/>
    <w:rsid w:val="001B6334"/>
    <w:rsid w:val="001B7D9E"/>
    <w:rsid w:val="001B7F43"/>
    <w:rsid w:val="001C1442"/>
    <w:rsid w:val="001C1C3F"/>
    <w:rsid w:val="001C288E"/>
    <w:rsid w:val="001C3576"/>
    <w:rsid w:val="001C3661"/>
    <w:rsid w:val="001C5042"/>
    <w:rsid w:val="001C51C7"/>
    <w:rsid w:val="001C64A1"/>
    <w:rsid w:val="001C6992"/>
    <w:rsid w:val="001C69D7"/>
    <w:rsid w:val="001C7302"/>
    <w:rsid w:val="001C7910"/>
    <w:rsid w:val="001C7CC3"/>
    <w:rsid w:val="001D03CA"/>
    <w:rsid w:val="001D2515"/>
    <w:rsid w:val="001D583C"/>
    <w:rsid w:val="001D75F5"/>
    <w:rsid w:val="001E0530"/>
    <w:rsid w:val="001E2F5D"/>
    <w:rsid w:val="001E3660"/>
    <w:rsid w:val="001E58D8"/>
    <w:rsid w:val="001E6100"/>
    <w:rsid w:val="001E6B71"/>
    <w:rsid w:val="001F17A7"/>
    <w:rsid w:val="001F236C"/>
    <w:rsid w:val="001F2662"/>
    <w:rsid w:val="001F2805"/>
    <w:rsid w:val="001F2ED9"/>
    <w:rsid w:val="001F3A34"/>
    <w:rsid w:val="001F3DA6"/>
    <w:rsid w:val="001F40E6"/>
    <w:rsid w:val="001F4333"/>
    <w:rsid w:val="001F683E"/>
    <w:rsid w:val="001F6B54"/>
    <w:rsid w:val="00200A14"/>
    <w:rsid w:val="00200BD4"/>
    <w:rsid w:val="00201BD3"/>
    <w:rsid w:val="00203C1B"/>
    <w:rsid w:val="0020659A"/>
    <w:rsid w:val="002065E7"/>
    <w:rsid w:val="00207270"/>
    <w:rsid w:val="002119B0"/>
    <w:rsid w:val="00213B02"/>
    <w:rsid w:val="00214BEB"/>
    <w:rsid w:val="002156E8"/>
    <w:rsid w:val="00220D94"/>
    <w:rsid w:val="00221B4F"/>
    <w:rsid w:val="0022213F"/>
    <w:rsid w:val="00223B20"/>
    <w:rsid w:val="002253F4"/>
    <w:rsid w:val="00226F5B"/>
    <w:rsid w:val="0023093A"/>
    <w:rsid w:val="00231F7B"/>
    <w:rsid w:val="002327FF"/>
    <w:rsid w:val="00237F9F"/>
    <w:rsid w:val="002401EE"/>
    <w:rsid w:val="00242E9A"/>
    <w:rsid w:val="002440FD"/>
    <w:rsid w:val="00244F4F"/>
    <w:rsid w:val="002475FF"/>
    <w:rsid w:val="00250AD6"/>
    <w:rsid w:val="002521CF"/>
    <w:rsid w:val="00254B81"/>
    <w:rsid w:val="00255CA0"/>
    <w:rsid w:val="002573B0"/>
    <w:rsid w:val="002609BE"/>
    <w:rsid w:val="00261CBF"/>
    <w:rsid w:val="00262D92"/>
    <w:rsid w:val="00262F23"/>
    <w:rsid w:val="00264C21"/>
    <w:rsid w:val="00267966"/>
    <w:rsid w:val="00267C65"/>
    <w:rsid w:val="00270C77"/>
    <w:rsid w:val="00270E81"/>
    <w:rsid w:val="00271869"/>
    <w:rsid w:val="00272E29"/>
    <w:rsid w:val="002741D9"/>
    <w:rsid w:val="00274DC3"/>
    <w:rsid w:val="00275515"/>
    <w:rsid w:val="00276DC3"/>
    <w:rsid w:val="00277C2B"/>
    <w:rsid w:val="0028050C"/>
    <w:rsid w:val="00283D29"/>
    <w:rsid w:val="00284A57"/>
    <w:rsid w:val="00285AEF"/>
    <w:rsid w:val="00286E3F"/>
    <w:rsid w:val="002872A0"/>
    <w:rsid w:val="00287500"/>
    <w:rsid w:val="002879F6"/>
    <w:rsid w:val="00287F3D"/>
    <w:rsid w:val="002917F0"/>
    <w:rsid w:val="00292812"/>
    <w:rsid w:val="00295DB2"/>
    <w:rsid w:val="002968EA"/>
    <w:rsid w:val="002979A8"/>
    <w:rsid w:val="002A1FF3"/>
    <w:rsid w:val="002A285F"/>
    <w:rsid w:val="002A344F"/>
    <w:rsid w:val="002B2841"/>
    <w:rsid w:val="002B3CC9"/>
    <w:rsid w:val="002B448C"/>
    <w:rsid w:val="002B61BE"/>
    <w:rsid w:val="002B64CC"/>
    <w:rsid w:val="002B79DF"/>
    <w:rsid w:val="002C174F"/>
    <w:rsid w:val="002C25B3"/>
    <w:rsid w:val="002C266C"/>
    <w:rsid w:val="002C2909"/>
    <w:rsid w:val="002C3935"/>
    <w:rsid w:val="002C4513"/>
    <w:rsid w:val="002C6E9D"/>
    <w:rsid w:val="002C7FA8"/>
    <w:rsid w:val="002D43B7"/>
    <w:rsid w:val="002D5652"/>
    <w:rsid w:val="002D5B33"/>
    <w:rsid w:val="002D5F26"/>
    <w:rsid w:val="002D5F2A"/>
    <w:rsid w:val="002D682E"/>
    <w:rsid w:val="002D7C6F"/>
    <w:rsid w:val="002E3811"/>
    <w:rsid w:val="002E5BC4"/>
    <w:rsid w:val="002E62AE"/>
    <w:rsid w:val="002E7401"/>
    <w:rsid w:val="002E76C8"/>
    <w:rsid w:val="002F20C2"/>
    <w:rsid w:val="002F429A"/>
    <w:rsid w:val="002F5666"/>
    <w:rsid w:val="002F656B"/>
    <w:rsid w:val="002F6CA9"/>
    <w:rsid w:val="002F6DC0"/>
    <w:rsid w:val="002F77F2"/>
    <w:rsid w:val="00300542"/>
    <w:rsid w:val="00300DF9"/>
    <w:rsid w:val="00301417"/>
    <w:rsid w:val="0030276D"/>
    <w:rsid w:val="00302850"/>
    <w:rsid w:val="00302D31"/>
    <w:rsid w:val="00303E12"/>
    <w:rsid w:val="00304776"/>
    <w:rsid w:val="00307D21"/>
    <w:rsid w:val="00310BFD"/>
    <w:rsid w:val="003132FA"/>
    <w:rsid w:val="0031507E"/>
    <w:rsid w:val="00315BA5"/>
    <w:rsid w:val="0031647A"/>
    <w:rsid w:val="00317F92"/>
    <w:rsid w:val="00321A1A"/>
    <w:rsid w:val="00324535"/>
    <w:rsid w:val="00325E01"/>
    <w:rsid w:val="003264B5"/>
    <w:rsid w:val="00326AB9"/>
    <w:rsid w:val="0033039E"/>
    <w:rsid w:val="003314CD"/>
    <w:rsid w:val="003361F8"/>
    <w:rsid w:val="00336361"/>
    <w:rsid w:val="003367D3"/>
    <w:rsid w:val="00336882"/>
    <w:rsid w:val="003371F4"/>
    <w:rsid w:val="00342C28"/>
    <w:rsid w:val="003431E2"/>
    <w:rsid w:val="00344901"/>
    <w:rsid w:val="00345C8A"/>
    <w:rsid w:val="0034600E"/>
    <w:rsid w:val="00350C7A"/>
    <w:rsid w:val="0035488D"/>
    <w:rsid w:val="00355823"/>
    <w:rsid w:val="003565AE"/>
    <w:rsid w:val="00356CDE"/>
    <w:rsid w:val="00360F71"/>
    <w:rsid w:val="00364142"/>
    <w:rsid w:val="00364A75"/>
    <w:rsid w:val="00365771"/>
    <w:rsid w:val="0036666C"/>
    <w:rsid w:val="003673B7"/>
    <w:rsid w:val="00371FA5"/>
    <w:rsid w:val="003749C8"/>
    <w:rsid w:val="00374BFC"/>
    <w:rsid w:val="00377798"/>
    <w:rsid w:val="00377EA5"/>
    <w:rsid w:val="00382822"/>
    <w:rsid w:val="0038294A"/>
    <w:rsid w:val="00382D55"/>
    <w:rsid w:val="0038438C"/>
    <w:rsid w:val="00386B43"/>
    <w:rsid w:val="00391669"/>
    <w:rsid w:val="00392094"/>
    <w:rsid w:val="00393CF2"/>
    <w:rsid w:val="00393DA7"/>
    <w:rsid w:val="00394BF2"/>
    <w:rsid w:val="00395525"/>
    <w:rsid w:val="00395DD6"/>
    <w:rsid w:val="0039618E"/>
    <w:rsid w:val="003A0275"/>
    <w:rsid w:val="003A0FFC"/>
    <w:rsid w:val="003A1B6A"/>
    <w:rsid w:val="003A214A"/>
    <w:rsid w:val="003A2B42"/>
    <w:rsid w:val="003A363D"/>
    <w:rsid w:val="003A3A3F"/>
    <w:rsid w:val="003A482E"/>
    <w:rsid w:val="003A48E2"/>
    <w:rsid w:val="003A5675"/>
    <w:rsid w:val="003A761F"/>
    <w:rsid w:val="003B0BEA"/>
    <w:rsid w:val="003B18AD"/>
    <w:rsid w:val="003B23EE"/>
    <w:rsid w:val="003B29DF"/>
    <w:rsid w:val="003B3C52"/>
    <w:rsid w:val="003B5A57"/>
    <w:rsid w:val="003B69C4"/>
    <w:rsid w:val="003B7DB4"/>
    <w:rsid w:val="003C011F"/>
    <w:rsid w:val="003C0EE2"/>
    <w:rsid w:val="003C187F"/>
    <w:rsid w:val="003C22FD"/>
    <w:rsid w:val="003C25A3"/>
    <w:rsid w:val="003C3DBF"/>
    <w:rsid w:val="003C41B9"/>
    <w:rsid w:val="003C5ADE"/>
    <w:rsid w:val="003C7775"/>
    <w:rsid w:val="003C78E8"/>
    <w:rsid w:val="003C7D27"/>
    <w:rsid w:val="003D0D47"/>
    <w:rsid w:val="003D4626"/>
    <w:rsid w:val="003D52E6"/>
    <w:rsid w:val="003D6BE2"/>
    <w:rsid w:val="003D6C3D"/>
    <w:rsid w:val="003E085C"/>
    <w:rsid w:val="003E1574"/>
    <w:rsid w:val="003E1C98"/>
    <w:rsid w:val="003E1F8E"/>
    <w:rsid w:val="003E2B55"/>
    <w:rsid w:val="003E2C65"/>
    <w:rsid w:val="003E32C8"/>
    <w:rsid w:val="003E4072"/>
    <w:rsid w:val="003E4A69"/>
    <w:rsid w:val="003E4DA7"/>
    <w:rsid w:val="003E5129"/>
    <w:rsid w:val="003E563C"/>
    <w:rsid w:val="003E61BE"/>
    <w:rsid w:val="003E7ADB"/>
    <w:rsid w:val="003F084F"/>
    <w:rsid w:val="003F170A"/>
    <w:rsid w:val="003F7F39"/>
    <w:rsid w:val="00402B39"/>
    <w:rsid w:val="00402F13"/>
    <w:rsid w:val="004042C4"/>
    <w:rsid w:val="004076A7"/>
    <w:rsid w:val="00410108"/>
    <w:rsid w:val="004110F5"/>
    <w:rsid w:val="00414CB6"/>
    <w:rsid w:val="004150AA"/>
    <w:rsid w:val="004165CC"/>
    <w:rsid w:val="00416A9A"/>
    <w:rsid w:val="00421B2D"/>
    <w:rsid w:val="00424580"/>
    <w:rsid w:val="00424F72"/>
    <w:rsid w:val="0042514F"/>
    <w:rsid w:val="00425F4C"/>
    <w:rsid w:val="00426389"/>
    <w:rsid w:val="0043016D"/>
    <w:rsid w:val="0043145C"/>
    <w:rsid w:val="004314E1"/>
    <w:rsid w:val="004328A7"/>
    <w:rsid w:val="00434F9B"/>
    <w:rsid w:val="004350BA"/>
    <w:rsid w:val="0043516E"/>
    <w:rsid w:val="00440951"/>
    <w:rsid w:val="004409D5"/>
    <w:rsid w:val="00441D07"/>
    <w:rsid w:val="00443963"/>
    <w:rsid w:val="0044425C"/>
    <w:rsid w:val="00444458"/>
    <w:rsid w:val="00446319"/>
    <w:rsid w:val="0044716A"/>
    <w:rsid w:val="00450DB9"/>
    <w:rsid w:val="0045257B"/>
    <w:rsid w:val="00452631"/>
    <w:rsid w:val="00452940"/>
    <w:rsid w:val="00453A69"/>
    <w:rsid w:val="00454317"/>
    <w:rsid w:val="004543DB"/>
    <w:rsid w:val="00460BD1"/>
    <w:rsid w:val="00461EAC"/>
    <w:rsid w:val="004625DF"/>
    <w:rsid w:val="00462664"/>
    <w:rsid w:val="0046373C"/>
    <w:rsid w:val="00463925"/>
    <w:rsid w:val="00471F1C"/>
    <w:rsid w:val="004767E7"/>
    <w:rsid w:val="00476828"/>
    <w:rsid w:val="0047716D"/>
    <w:rsid w:val="00477261"/>
    <w:rsid w:val="00477BA2"/>
    <w:rsid w:val="004809BF"/>
    <w:rsid w:val="004820CC"/>
    <w:rsid w:val="00482911"/>
    <w:rsid w:val="004831F5"/>
    <w:rsid w:val="00483CD4"/>
    <w:rsid w:val="004856E1"/>
    <w:rsid w:val="00485CE1"/>
    <w:rsid w:val="004904DB"/>
    <w:rsid w:val="0049383C"/>
    <w:rsid w:val="0049496A"/>
    <w:rsid w:val="00496BCC"/>
    <w:rsid w:val="00496BD2"/>
    <w:rsid w:val="004971A1"/>
    <w:rsid w:val="00497D66"/>
    <w:rsid w:val="004A432D"/>
    <w:rsid w:val="004A5C70"/>
    <w:rsid w:val="004A5EAC"/>
    <w:rsid w:val="004A6A85"/>
    <w:rsid w:val="004A6CB3"/>
    <w:rsid w:val="004A75E2"/>
    <w:rsid w:val="004A7A78"/>
    <w:rsid w:val="004B08E3"/>
    <w:rsid w:val="004B16D0"/>
    <w:rsid w:val="004B42F7"/>
    <w:rsid w:val="004B47AD"/>
    <w:rsid w:val="004B5723"/>
    <w:rsid w:val="004B6EC2"/>
    <w:rsid w:val="004B7BC3"/>
    <w:rsid w:val="004C12CA"/>
    <w:rsid w:val="004C34F4"/>
    <w:rsid w:val="004C38A8"/>
    <w:rsid w:val="004C469C"/>
    <w:rsid w:val="004C46DB"/>
    <w:rsid w:val="004C4CBC"/>
    <w:rsid w:val="004C553A"/>
    <w:rsid w:val="004C677C"/>
    <w:rsid w:val="004C7C5A"/>
    <w:rsid w:val="004D1634"/>
    <w:rsid w:val="004D4582"/>
    <w:rsid w:val="004D5179"/>
    <w:rsid w:val="004D5C61"/>
    <w:rsid w:val="004D73A0"/>
    <w:rsid w:val="004D7E68"/>
    <w:rsid w:val="004E0A6A"/>
    <w:rsid w:val="004E0AE6"/>
    <w:rsid w:val="004E0D0C"/>
    <w:rsid w:val="004E0DF9"/>
    <w:rsid w:val="004E2B66"/>
    <w:rsid w:val="004E3AE9"/>
    <w:rsid w:val="004E643D"/>
    <w:rsid w:val="004E6F57"/>
    <w:rsid w:val="004F0DD4"/>
    <w:rsid w:val="004F4BC0"/>
    <w:rsid w:val="004F6706"/>
    <w:rsid w:val="005002FA"/>
    <w:rsid w:val="00500482"/>
    <w:rsid w:val="005004FE"/>
    <w:rsid w:val="00500DD6"/>
    <w:rsid w:val="005031F6"/>
    <w:rsid w:val="00503AC2"/>
    <w:rsid w:val="00504CC1"/>
    <w:rsid w:val="00507B6A"/>
    <w:rsid w:val="00507C0D"/>
    <w:rsid w:val="00510EA9"/>
    <w:rsid w:val="00511472"/>
    <w:rsid w:val="00511ADB"/>
    <w:rsid w:val="00513994"/>
    <w:rsid w:val="00514658"/>
    <w:rsid w:val="00530774"/>
    <w:rsid w:val="00531BFF"/>
    <w:rsid w:val="00533C36"/>
    <w:rsid w:val="00535178"/>
    <w:rsid w:val="00535EFD"/>
    <w:rsid w:val="0054016A"/>
    <w:rsid w:val="005424FC"/>
    <w:rsid w:val="00546CD2"/>
    <w:rsid w:val="00550117"/>
    <w:rsid w:val="00550668"/>
    <w:rsid w:val="00551A39"/>
    <w:rsid w:val="005527CE"/>
    <w:rsid w:val="00552C9E"/>
    <w:rsid w:val="00553E90"/>
    <w:rsid w:val="00555900"/>
    <w:rsid w:val="00561529"/>
    <w:rsid w:val="00562DCB"/>
    <w:rsid w:val="00563699"/>
    <w:rsid w:val="00566345"/>
    <w:rsid w:val="00566A3F"/>
    <w:rsid w:val="0057010D"/>
    <w:rsid w:val="00572756"/>
    <w:rsid w:val="005744F8"/>
    <w:rsid w:val="005746F0"/>
    <w:rsid w:val="00574C76"/>
    <w:rsid w:val="00574D83"/>
    <w:rsid w:val="00576196"/>
    <w:rsid w:val="005765E6"/>
    <w:rsid w:val="0057668B"/>
    <w:rsid w:val="00576F81"/>
    <w:rsid w:val="00580806"/>
    <w:rsid w:val="00581DE2"/>
    <w:rsid w:val="00582D20"/>
    <w:rsid w:val="005830F9"/>
    <w:rsid w:val="00583AC7"/>
    <w:rsid w:val="00584A1C"/>
    <w:rsid w:val="0058513B"/>
    <w:rsid w:val="00585A02"/>
    <w:rsid w:val="005865FE"/>
    <w:rsid w:val="00590041"/>
    <w:rsid w:val="00592483"/>
    <w:rsid w:val="00593A8F"/>
    <w:rsid w:val="005941E0"/>
    <w:rsid w:val="00595850"/>
    <w:rsid w:val="00596FD5"/>
    <w:rsid w:val="00597AAD"/>
    <w:rsid w:val="005A061B"/>
    <w:rsid w:val="005A27BC"/>
    <w:rsid w:val="005A34F2"/>
    <w:rsid w:val="005A35BA"/>
    <w:rsid w:val="005A6B46"/>
    <w:rsid w:val="005B025D"/>
    <w:rsid w:val="005B14FC"/>
    <w:rsid w:val="005B23D4"/>
    <w:rsid w:val="005B280C"/>
    <w:rsid w:val="005B5650"/>
    <w:rsid w:val="005C0044"/>
    <w:rsid w:val="005C0091"/>
    <w:rsid w:val="005C20D0"/>
    <w:rsid w:val="005C3B6F"/>
    <w:rsid w:val="005C6F71"/>
    <w:rsid w:val="005D1727"/>
    <w:rsid w:val="005D3718"/>
    <w:rsid w:val="005D4901"/>
    <w:rsid w:val="005D53DF"/>
    <w:rsid w:val="005D5633"/>
    <w:rsid w:val="005D66AF"/>
    <w:rsid w:val="005E0983"/>
    <w:rsid w:val="005E18C4"/>
    <w:rsid w:val="005E1F65"/>
    <w:rsid w:val="005E5608"/>
    <w:rsid w:val="005E6789"/>
    <w:rsid w:val="005E7B70"/>
    <w:rsid w:val="005F0710"/>
    <w:rsid w:val="005F073A"/>
    <w:rsid w:val="005F11E9"/>
    <w:rsid w:val="005F1B81"/>
    <w:rsid w:val="005F3107"/>
    <w:rsid w:val="005F433A"/>
    <w:rsid w:val="005F5548"/>
    <w:rsid w:val="005F7360"/>
    <w:rsid w:val="00600146"/>
    <w:rsid w:val="006008FE"/>
    <w:rsid w:val="00601102"/>
    <w:rsid w:val="0060228D"/>
    <w:rsid w:val="006026E4"/>
    <w:rsid w:val="00603E3E"/>
    <w:rsid w:val="00605FDD"/>
    <w:rsid w:val="00607BD9"/>
    <w:rsid w:val="00607E76"/>
    <w:rsid w:val="00610A94"/>
    <w:rsid w:val="0061157C"/>
    <w:rsid w:val="006127B2"/>
    <w:rsid w:val="00617288"/>
    <w:rsid w:val="00624E2E"/>
    <w:rsid w:val="00626423"/>
    <w:rsid w:val="006320F6"/>
    <w:rsid w:val="006345DB"/>
    <w:rsid w:val="0064051D"/>
    <w:rsid w:val="006405B4"/>
    <w:rsid w:val="006429A5"/>
    <w:rsid w:val="0064372E"/>
    <w:rsid w:val="006441F6"/>
    <w:rsid w:val="0065155D"/>
    <w:rsid w:val="006544DF"/>
    <w:rsid w:val="006548DA"/>
    <w:rsid w:val="00654CB6"/>
    <w:rsid w:val="0066070B"/>
    <w:rsid w:val="006610DC"/>
    <w:rsid w:val="006615C8"/>
    <w:rsid w:val="00662D97"/>
    <w:rsid w:val="00664283"/>
    <w:rsid w:val="006643D4"/>
    <w:rsid w:val="00664588"/>
    <w:rsid w:val="00664C42"/>
    <w:rsid w:val="0066516D"/>
    <w:rsid w:val="006700C8"/>
    <w:rsid w:val="006705D8"/>
    <w:rsid w:val="0067213B"/>
    <w:rsid w:val="0067217F"/>
    <w:rsid w:val="006721EE"/>
    <w:rsid w:val="00673D5E"/>
    <w:rsid w:val="006740F4"/>
    <w:rsid w:val="00674B7F"/>
    <w:rsid w:val="00674E3F"/>
    <w:rsid w:val="00675CA3"/>
    <w:rsid w:val="006777ED"/>
    <w:rsid w:val="00677A38"/>
    <w:rsid w:val="00680A51"/>
    <w:rsid w:val="006816A3"/>
    <w:rsid w:val="00683544"/>
    <w:rsid w:val="00683C88"/>
    <w:rsid w:val="00685CE0"/>
    <w:rsid w:val="0068637C"/>
    <w:rsid w:val="0068761F"/>
    <w:rsid w:val="00691FF1"/>
    <w:rsid w:val="00692632"/>
    <w:rsid w:val="00693922"/>
    <w:rsid w:val="0069506B"/>
    <w:rsid w:val="00695A67"/>
    <w:rsid w:val="006975BC"/>
    <w:rsid w:val="006A1445"/>
    <w:rsid w:val="006A22AB"/>
    <w:rsid w:val="006A690E"/>
    <w:rsid w:val="006A75FC"/>
    <w:rsid w:val="006A7A7C"/>
    <w:rsid w:val="006B07C6"/>
    <w:rsid w:val="006B1ED8"/>
    <w:rsid w:val="006B23B7"/>
    <w:rsid w:val="006B492A"/>
    <w:rsid w:val="006B4B6F"/>
    <w:rsid w:val="006B54D3"/>
    <w:rsid w:val="006B7019"/>
    <w:rsid w:val="006C09CC"/>
    <w:rsid w:val="006C2448"/>
    <w:rsid w:val="006C46EA"/>
    <w:rsid w:val="006C57F9"/>
    <w:rsid w:val="006C6C4E"/>
    <w:rsid w:val="006C77CC"/>
    <w:rsid w:val="006D03FC"/>
    <w:rsid w:val="006D24B8"/>
    <w:rsid w:val="006D456D"/>
    <w:rsid w:val="006D6E62"/>
    <w:rsid w:val="006E02C1"/>
    <w:rsid w:val="006E0DE2"/>
    <w:rsid w:val="006E12D8"/>
    <w:rsid w:val="006E1753"/>
    <w:rsid w:val="006E36B6"/>
    <w:rsid w:val="006E6562"/>
    <w:rsid w:val="006F0237"/>
    <w:rsid w:val="006F28CB"/>
    <w:rsid w:val="006F2DAD"/>
    <w:rsid w:val="006F47D1"/>
    <w:rsid w:val="00700F8C"/>
    <w:rsid w:val="0070171F"/>
    <w:rsid w:val="0070219F"/>
    <w:rsid w:val="00703B5B"/>
    <w:rsid w:val="00710EC0"/>
    <w:rsid w:val="00712413"/>
    <w:rsid w:val="00712C5F"/>
    <w:rsid w:val="00713DF4"/>
    <w:rsid w:val="00716D0C"/>
    <w:rsid w:val="00717C56"/>
    <w:rsid w:val="007206F5"/>
    <w:rsid w:val="00721E24"/>
    <w:rsid w:val="00722225"/>
    <w:rsid w:val="00723839"/>
    <w:rsid w:val="007243FE"/>
    <w:rsid w:val="00725245"/>
    <w:rsid w:val="00725A9C"/>
    <w:rsid w:val="00726091"/>
    <w:rsid w:val="007260CA"/>
    <w:rsid w:val="00726E31"/>
    <w:rsid w:val="007314D4"/>
    <w:rsid w:val="007344DD"/>
    <w:rsid w:val="00736EC0"/>
    <w:rsid w:val="0074533C"/>
    <w:rsid w:val="00746404"/>
    <w:rsid w:val="00751CCE"/>
    <w:rsid w:val="00752E0F"/>
    <w:rsid w:val="00753947"/>
    <w:rsid w:val="00753EEF"/>
    <w:rsid w:val="00754E44"/>
    <w:rsid w:val="00757977"/>
    <w:rsid w:val="00763073"/>
    <w:rsid w:val="007635B5"/>
    <w:rsid w:val="00763CEC"/>
    <w:rsid w:val="00763DA1"/>
    <w:rsid w:val="0076455B"/>
    <w:rsid w:val="00765A24"/>
    <w:rsid w:val="00766783"/>
    <w:rsid w:val="00767BD4"/>
    <w:rsid w:val="00770FB5"/>
    <w:rsid w:val="0077122B"/>
    <w:rsid w:val="00773675"/>
    <w:rsid w:val="007736C9"/>
    <w:rsid w:val="007739CC"/>
    <w:rsid w:val="00776300"/>
    <w:rsid w:val="00784238"/>
    <w:rsid w:val="0078615C"/>
    <w:rsid w:val="00787851"/>
    <w:rsid w:val="007908C9"/>
    <w:rsid w:val="00792A8C"/>
    <w:rsid w:val="00792B53"/>
    <w:rsid w:val="007932F3"/>
    <w:rsid w:val="00794DCB"/>
    <w:rsid w:val="00797F8D"/>
    <w:rsid w:val="007A264E"/>
    <w:rsid w:val="007A4C53"/>
    <w:rsid w:val="007A4EF7"/>
    <w:rsid w:val="007A4F94"/>
    <w:rsid w:val="007A6BE2"/>
    <w:rsid w:val="007A7C38"/>
    <w:rsid w:val="007B0A92"/>
    <w:rsid w:val="007B24F5"/>
    <w:rsid w:val="007B2B9A"/>
    <w:rsid w:val="007B2DFD"/>
    <w:rsid w:val="007B351D"/>
    <w:rsid w:val="007B37BE"/>
    <w:rsid w:val="007B3DF1"/>
    <w:rsid w:val="007B6063"/>
    <w:rsid w:val="007B7F59"/>
    <w:rsid w:val="007C1993"/>
    <w:rsid w:val="007C3EDF"/>
    <w:rsid w:val="007C45E7"/>
    <w:rsid w:val="007C4AF5"/>
    <w:rsid w:val="007C54E5"/>
    <w:rsid w:val="007C7059"/>
    <w:rsid w:val="007C763B"/>
    <w:rsid w:val="007D083B"/>
    <w:rsid w:val="007D14BB"/>
    <w:rsid w:val="007D1DEA"/>
    <w:rsid w:val="007D2B73"/>
    <w:rsid w:val="007D693D"/>
    <w:rsid w:val="007E078D"/>
    <w:rsid w:val="007E09AD"/>
    <w:rsid w:val="007E1FE2"/>
    <w:rsid w:val="007E3419"/>
    <w:rsid w:val="007E5C59"/>
    <w:rsid w:val="007F2837"/>
    <w:rsid w:val="007F4CDC"/>
    <w:rsid w:val="007F641D"/>
    <w:rsid w:val="007F6ABF"/>
    <w:rsid w:val="007F6F0F"/>
    <w:rsid w:val="007F7BE3"/>
    <w:rsid w:val="0080161B"/>
    <w:rsid w:val="00801E81"/>
    <w:rsid w:val="00802CB5"/>
    <w:rsid w:val="008036A7"/>
    <w:rsid w:val="0080381E"/>
    <w:rsid w:val="00803F88"/>
    <w:rsid w:val="00805B07"/>
    <w:rsid w:val="00805B8E"/>
    <w:rsid w:val="00806C6A"/>
    <w:rsid w:val="00811617"/>
    <w:rsid w:val="008143B7"/>
    <w:rsid w:val="008149CC"/>
    <w:rsid w:val="00815395"/>
    <w:rsid w:val="00817665"/>
    <w:rsid w:val="00820649"/>
    <w:rsid w:val="008216A8"/>
    <w:rsid w:val="008218FF"/>
    <w:rsid w:val="00822077"/>
    <w:rsid w:val="00824601"/>
    <w:rsid w:val="00825B86"/>
    <w:rsid w:val="0082739A"/>
    <w:rsid w:val="00827BEA"/>
    <w:rsid w:val="00830E76"/>
    <w:rsid w:val="008310C7"/>
    <w:rsid w:val="00832993"/>
    <w:rsid w:val="0083310C"/>
    <w:rsid w:val="0083338A"/>
    <w:rsid w:val="008340A4"/>
    <w:rsid w:val="008356C5"/>
    <w:rsid w:val="00836362"/>
    <w:rsid w:val="00837EB3"/>
    <w:rsid w:val="0084095E"/>
    <w:rsid w:val="00842D1E"/>
    <w:rsid w:val="00844343"/>
    <w:rsid w:val="008444C0"/>
    <w:rsid w:val="008477DE"/>
    <w:rsid w:val="00853078"/>
    <w:rsid w:val="00854E7F"/>
    <w:rsid w:val="008576FC"/>
    <w:rsid w:val="00860017"/>
    <w:rsid w:val="00860266"/>
    <w:rsid w:val="00861406"/>
    <w:rsid w:val="0086154D"/>
    <w:rsid w:val="00863807"/>
    <w:rsid w:val="00863AAB"/>
    <w:rsid w:val="00864E09"/>
    <w:rsid w:val="00865A68"/>
    <w:rsid w:val="00865D30"/>
    <w:rsid w:val="00867C16"/>
    <w:rsid w:val="0087283D"/>
    <w:rsid w:val="0087376E"/>
    <w:rsid w:val="00875BE1"/>
    <w:rsid w:val="0087658D"/>
    <w:rsid w:val="00876756"/>
    <w:rsid w:val="0087714B"/>
    <w:rsid w:val="00880870"/>
    <w:rsid w:val="00882D23"/>
    <w:rsid w:val="0088445B"/>
    <w:rsid w:val="00884D9B"/>
    <w:rsid w:val="008861B1"/>
    <w:rsid w:val="0089339E"/>
    <w:rsid w:val="00896544"/>
    <w:rsid w:val="00896A19"/>
    <w:rsid w:val="008A3B4E"/>
    <w:rsid w:val="008A4A93"/>
    <w:rsid w:val="008A5EBB"/>
    <w:rsid w:val="008A7826"/>
    <w:rsid w:val="008B0E97"/>
    <w:rsid w:val="008B595A"/>
    <w:rsid w:val="008C15BD"/>
    <w:rsid w:val="008C1960"/>
    <w:rsid w:val="008C1B4D"/>
    <w:rsid w:val="008C1CE9"/>
    <w:rsid w:val="008C2466"/>
    <w:rsid w:val="008C4E5E"/>
    <w:rsid w:val="008C5445"/>
    <w:rsid w:val="008C56EA"/>
    <w:rsid w:val="008C7AA9"/>
    <w:rsid w:val="008D0A23"/>
    <w:rsid w:val="008D364A"/>
    <w:rsid w:val="008D3C40"/>
    <w:rsid w:val="008D658F"/>
    <w:rsid w:val="008D75A1"/>
    <w:rsid w:val="008E19D5"/>
    <w:rsid w:val="008E2CBB"/>
    <w:rsid w:val="008E3020"/>
    <w:rsid w:val="008E3565"/>
    <w:rsid w:val="008E416E"/>
    <w:rsid w:val="008E42E1"/>
    <w:rsid w:val="008E42E4"/>
    <w:rsid w:val="008E45CB"/>
    <w:rsid w:val="008E5F5B"/>
    <w:rsid w:val="008E6F6D"/>
    <w:rsid w:val="008E7C3F"/>
    <w:rsid w:val="008E7C89"/>
    <w:rsid w:val="008F0242"/>
    <w:rsid w:val="008F22AA"/>
    <w:rsid w:val="008F27ED"/>
    <w:rsid w:val="008F2CC0"/>
    <w:rsid w:val="008F48FA"/>
    <w:rsid w:val="008F589E"/>
    <w:rsid w:val="00903B78"/>
    <w:rsid w:val="00905282"/>
    <w:rsid w:val="00911F18"/>
    <w:rsid w:val="009122C0"/>
    <w:rsid w:val="009125C1"/>
    <w:rsid w:val="00912E3F"/>
    <w:rsid w:val="009136F2"/>
    <w:rsid w:val="00914D4F"/>
    <w:rsid w:val="00914FD2"/>
    <w:rsid w:val="00915D32"/>
    <w:rsid w:val="009168D8"/>
    <w:rsid w:val="00917A82"/>
    <w:rsid w:val="0092004E"/>
    <w:rsid w:val="00921C62"/>
    <w:rsid w:val="009236E5"/>
    <w:rsid w:val="0092378B"/>
    <w:rsid w:val="00923C37"/>
    <w:rsid w:val="009276D8"/>
    <w:rsid w:val="00927D99"/>
    <w:rsid w:val="0093029B"/>
    <w:rsid w:val="00931D97"/>
    <w:rsid w:val="0093262F"/>
    <w:rsid w:val="00932843"/>
    <w:rsid w:val="00934471"/>
    <w:rsid w:val="00940906"/>
    <w:rsid w:val="00941D6A"/>
    <w:rsid w:val="0094495C"/>
    <w:rsid w:val="00946F03"/>
    <w:rsid w:val="00950538"/>
    <w:rsid w:val="00951B66"/>
    <w:rsid w:val="009524DA"/>
    <w:rsid w:val="0095264B"/>
    <w:rsid w:val="00954D7E"/>
    <w:rsid w:val="00955ABC"/>
    <w:rsid w:val="00956E9A"/>
    <w:rsid w:val="00960A4A"/>
    <w:rsid w:val="00960C24"/>
    <w:rsid w:val="00965068"/>
    <w:rsid w:val="0096523B"/>
    <w:rsid w:val="00966AE6"/>
    <w:rsid w:val="00971ECE"/>
    <w:rsid w:val="009721EB"/>
    <w:rsid w:val="00973D45"/>
    <w:rsid w:val="009750FE"/>
    <w:rsid w:val="009758F2"/>
    <w:rsid w:val="00975ACA"/>
    <w:rsid w:val="0097792D"/>
    <w:rsid w:val="00980FDE"/>
    <w:rsid w:val="00981434"/>
    <w:rsid w:val="0098267C"/>
    <w:rsid w:val="00983870"/>
    <w:rsid w:val="009844A7"/>
    <w:rsid w:val="00985A1D"/>
    <w:rsid w:val="00986851"/>
    <w:rsid w:val="009903A7"/>
    <w:rsid w:val="0099056C"/>
    <w:rsid w:val="00990793"/>
    <w:rsid w:val="0099102B"/>
    <w:rsid w:val="00992458"/>
    <w:rsid w:val="009A215B"/>
    <w:rsid w:val="009A2F27"/>
    <w:rsid w:val="009A37D2"/>
    <w:rsid w:val="009A4FBC"/>
    <w:rsid w:val="009A5D8F"/>
    <w:rsid w:val="009A642E"/>
    <w:rsid w:val="009B099C"/>
    <w:rsid w:val="009B0B15"/>
    <w:rsid w:val="009B1446"/>
    <w:rsid w:val="009B35EA"/>
    <w:rsid w:val="009C01F6"/>
    <w:rsid w:val="009C08C0"/>
    <w:rsid w:val="009C0B04"/>
    <w:rsid w:val="009C0F18"/>
    <w:rsid w:val="009C34D1"/>
    <w:rsid w:val="009C65A6"/>
    <w:rsid w:val="009C7EDF"/>
    <w:rsid w:val="009D0807"/>
    <w:rsid w:val="009D2561"/>
    <w:rsid w:val="009D3D28"/>
    <w:rsid w:val="009D4A79"/>
    <w:rsid w:val="009D599D"/>
    <w:rsid w:val="009E01A7"/>
    <w:rsid w:val="009E19E6"/>
    <w:rsid w:val="009E3A4B"/>
    <w:rsid w:val="009E5516"/>
    <w:rsid w:val="009E66B3"/>
    <w:rsid w:val="009F175C"/>
    <w:rsid w:val="009F477D"/>
    <w:rsid w:val="009F4DF4"/>
    <w:rsid w:val="009F657A"/>
    <w:rsid w:val="009F65C5"/>
    <w:rsid w:val="009F6BE4"/>
    <w:rsid w:val="009F77CB"/>
    <w:rsid w:val="00A0103D"/>
    <w:rsid w:val="00A0243E"/>
    <w:rsid w:val="00A0269A"/>
    <w:rsid w:val="00A0333A"/>
    <w:rsid w:val="00A049CB"/>
    <w:rsid w:val="00A065BF"/>
    <w:rsid w:val="00A1260B"/>
    <w:rsid w:val="00A1341C"/>
    <w:rsid w:val="00A1491D"/>
    <w:rsid w:val="00A14A33"/>
    <w:rsid w:val="00A14F2A"/>
    <w:rsid w:val="00A15A21"/>
    <w:rsid w:val="00A15FD0"/>
    <w:rsid w:val="00A1739D"/>
    <w:rsid w:val="00A17452"/>
    <w:rsid w:val="00A213B9"/>
    <w:rsid w:val="00A22613"/>
    <w:rsid w:val="00A22C7D"/>
    <w:rsid w:val="00A23A71"/>
    <w:rsid w:val="00A23EA9"/>
    <w:rsid w:val="00A24251"/>
    <w:rsid w:val="00A24A72"/>
    <w:rsid w:val="00A25BD8"/>
    <w:rsid w:val="00A26570"/>
    <w:rsid w:val="00A27C6D"/>
    <w:rsid w:val="00A34488"/>
    <w:rsid w:val="00A34882"/>
    <w:rsid w:val="00A34A29"/>
    <w:rsid w:val="00A3520E"/>
    <w:rsid w:val="00A3529A"/>
    <w:rsid w:val="00A35C0A"/>
    <w:rsid w:val="00A35C8B"/>
    <w:rsid w:val="00A35E21"/>
    <w:rsid w:val="00A364AB"/>
    <w:rsid w:val="00A3659A"/>
    <w:rsid w:val="00A372E2"/>
    <w:rsid w:val="00A41C4E"/>
    <w:rsid w:val="00A44872"/>
    <w:rsid w:val="00A4525A"/>
    <w:rsid w:val="00A50A8C"/>
    <w:rsid w:val="00A50C89"/>
    <w:rsid w:val="00A5402C"/>
    <w:rsid w:val="00A54E25"/>
    <w:rsid w:val="00A555E7"/>
    <w:rsid w:val="00A55ED8"/>
    <w:rsid w:val="00A56FB5"/>
    <w:rsid w:val="00A62E80"/>
    <w:rsid w:val="00A63405"/>
    <w:rsid w:val="00A6487B"/>
    <w:rsid w:val="00A64F28"/>
    <w:rsid w:val="00A64F7C"/>
    <w:rsid w:val="00A72F4D"/>
    <w:rsid w:val="00A730C5"/>
    <w:rsid w:val="00A7485C"/>
    <w:rsid w:val="00A80C75"/>
    <w:rsid w:val="00A833ED"/>
    <w:rsid w:val="00A83A79"/>
    <w:rsid w:val="00A83E16"/>
    <w:rsid w:val="00A84578"/>
    <w:rsid w:val="00A85AF1"/>
    <w:rsid w:val="00A85DC7"/>
    <w:rsid w:val="00A8665B"/>
    <w:rsid w:val="00A8787A"/>
    <w:rsid w:val="00A87E4A"/>
    <w:rsid w:val="00A90C63"/>
    <w:rsid w:val="00A94A86"/>
    <w:rsid w:val="00A96667"/>
    <w:rsid w:val="00AA04BF"/>
    <w:rsid w:val="00AA05D2"/>
    <w:rsid w:val="00AA1262"/>
    <w:rsid w:val="00AA1BB0"/>
    <w:rsid w:val="00AA1CB9"/>
    <w:rsid w:val="00AA1DF3"/>
    <w:rsid w:val="00AA32ED"/>
    <w:rsid w:val="00AA68EA"/>
    <w:rsid w:val="00AA6F5A"/>
    <w:rsid w:val="00AB0EA5"/>
    <w:rsid w:val="00AB4CA1"/>
    <w:rsid w:val="00AB5821"/>
    <w:rsid w:val="00AB5DB9"/>
    <w:rsid w:val="00AB5E95"/>
    <w:rsid w:val="00AB61F6"/>
    <w:rsid w:val="00AC2685"/>
    <w:rsid w:val="00AC37ED"/>
    <w:rsid w:val="00AC4BE2"/>
    <w:rsid w:val="00AC53FA"/>
    <w:rsid w:val="00AD168D"/>
    <w:rsid w:val="00AD2323"/>
    <w:rsid w:val="00AD233F"/>
    <w:rsid w:val="00AD4888"/>
    <w:rsid w:val="00AD5EAD"/>
    <w:rsid w:val="00AE083D"/>
    <w:rsid w:val="00AE126A"/>
    <w:rsid w:val="00AE1A31"/>
    <w:rsid w:val="00AE25AE"/>
    <w:rsid w:val="00AE3629"/>
    <w:rsid w:val="00AE3679"/>
    <w:rsid w:val="00AE4B98"/>
    <w:rsid w:val="00AE5379"/>
    <w:rsid w:val="00AE7468"/>
    <w:rsid w:val="00AF1CD2"/>
    <w:rsid w:val="00AF3762"/>
    <w:rsid w:val="00AF3E40"/>
    <w:rsid w:val="00AF54E9"/>
    <w:rsid w:val="00AF61DC"/>
    <w:rsid w:val="00AF661A"/>
    <w:rsid w:val="00B03E36"/>
    <w:rsid w:val="00B05782"/>
    <w:rsid w:val="00B06F16"/>
    <w:rsid w:val="00B07880"/>
    <w:rsid w:val="00B1189C"/>
    <w:rsid w:val="00B12188"/>
    <w:rsid w:val="00B1314C"/>
    <w:rsid w:val="00B13A75"/>
    <w:rsid w:val="00B14E61"/>
    <w:rsid w:val="00B16E83"/>
    <w:rsid w:val="00B2267E"/>
    <w:rsid w:val="00B25741"/>
    <w:rsid w:val="00B25BC5"/>
    <w:rsid w:val="00B2668B"/>
    <w:rsid w:val="00B30124"/>
    <w:rsid w:val="00B330C8"/>
    <w:rsid w:val="00B34068"/>
    <w:rsid w:val="00B34317"/>
    <w:rsid w:val="00B345C5"/>
    <w:rsid w:val="00B3683A"/>
    <w:rsid w:val="00B40BF7"/>
    <w:rsid w:val="00B411B3"/>
    <w:rsid w:val="00B431C6"/>
    <w:rsid w:val="00B468E2"/>
    <w:rsid w:val="00B50FE1"/>
    <w:rsid w:val="00B51871"/>
    <w:rsid w:val="00B52015"/>
    <w:rsid w:val="00B547AB"/>
    <w:rsid w:val="00B60CDF"/>
    <w:rsid w:val="00B60FA7"/>
    <w:rsid w:val="00B664C9"/>
    <w:rsid w:val="00B66E7B"/>
    <w:rsid w:val="00B66ED1"/>
    <w:rsid w:val="00B66F34"/>
    <w:rsid w:val="00B67A8E"/>
    <w:rsid w:val="00B7039F"/>
    <w:rsid w:val="00B70697"/>
    <w:rsid w:val="00B70842"/>
    <w:rsid w:val="00B72083"/>
    <w:rsid w:val="00B73417"/>
    <w:rsid w:val="00B75966"/>
    <w:rsid w:val="00B76E21"/>
    <w:rsid w:val="00B778CF"/>
    <w:rsid w:val="00B8043B"/>
    <w:rsid w:val="00B81241"/>
    <w:rsid w:val="00B8228E"/>
    <w:rsid w:val="00B825F3"/>
    <w:rsid w:val="00B83F70"/>
    <w:rsid w:val="00B86075"/>
    <w:rsid w:val="00B86631"/>
    <w:rsid w:val="00B86FBF"/>
    <w:rsid w:val="00B87AB4"/>
    <w:rsid w:val="00B91212"/>
    <w:rsid w:val="00B91A17"/>
    <w:rsid w:val="00B96ABA"/>
    <w:rsid w:val="00B97866"/>
    <w:rsid w:val="00B97C8C"/>
    <w:rsid w:val="00BA0CEF"/>
    <w:rsid w:val="00BA2416"/>
    <w:rsid w:val="00BA2627"/>
    <w:rsid w:val="00BA2F1F"/>
    <w:rsid w:val="00BA6B7B"/>
    <w:rsid w:val="00BA6C85"/>
    <w:rsid w:val="00BA7978"/>
    <w:rsid w:val="00BB017F"/>
    <w:rsid w:val="00BB0A68"/>
    <w:rsid w:val="00BB0C2C"/>
    <w:rsid w:val="00BB3E01"/>
    <w:rsid w:val="00BB4603"/>
    <w:rsid w:val="00BB5F55"/>
    <w:rsid w:val="00BB6F4A"/>
    <w:rsid w:val="00BC178B"/>
    <w:rsid w:val="00BC266E"/>
    <w:rsid w:val="00BC3D6E"/>
    <w:rsid w:val="00BC4A49"/>
    <w:rsid w:val="00BC6406"/>
    <w:rsid w:val="00BC69B0"/>
    <w:rsid w:val="00BC7515"/>
    <w:rsid w:val="00BD03F5"/>
    <w:rsid w:val="00BD1A8E"/>
    <w:rsid w:val="00BD1CA6"/>
    <w:rsid w:val="00BD65E6"/>
    <w:rsid w:val="00BE06DF"/>
    <w:rsid w:val="00BE1C91"/>
    <w:rsid w:val="00BE22D1"/>
    <w:rsid w:val="00BE2420"/>
    <w:rsid w:val="00BE24B0"/>
    <w:rsid w:val="00BE26F8"/>
    <w:rsid w:val="00BE42FE"/>
    <w:rsid w:val="00BE6E5D"/>
    <w:rsid w:val="00BE77E5"/>
    <w:rsid w:val="00BF014A"/>
    <w:rsid w:val="00BF01C8"/>
    <w:rsid w:val="00BF0450"/>
    <w:rsid w:val="00BF0EAE"/>
    <w:rsid w:val="00BF1872"/>
    <w:rsid w:val="00BF2963"/>
    <w:rsid w:val="00BF3C13"/>
    <w:rsid w:val="00BF4EA7"/>
    <w:rsid w:val="00BF617E"/>
    <w:rsid w:val="00BF71B0"/>
    <w:rsid w:val="00BF7945"/>
    <w:rsid w:val="00BF7BF1"/>
    <w:rsid w:val="00C00AA5"/>
    <w:rsid w:val="00C00F59"/>
    <w:rsid w:val="00C01026"/>
    <w:rsid w:val="00C02527"/>
    <w:rsid w:val="00C02E6C"/>
    <w:rsid w:val="00C040AF"/>
    <w:rsid w:val="00C05214"/>
    <w:rsid w:val="00C0755E"/>
    <w:rsid w:val="00C1026B"/>
    <w:rsid w:val="00C10365"/>
    <w:rsid w:val="00C10E55"/>
    <w:rsid w:val="00C12C09"/>
    <w:rsid w:val="00C15749"/>
    <w:rsid w:val="00C15CD2"/>
    <w:rsid w:val="00C17473"/>
    <w:rsid w:val="00C17E0F"/>
    <w:rsid w:val="00C215D8"/>
    <w:rsid w:val="00C23731"/>
    <w:rsid w:val="00C23D63"/>
    <w:rsid w:val="00C242F5"/>
    <w:rsid w:val="00C24994"/>
    <w:rsid w:val="00C249E2"/>
    <w:rsid w:val="00C2512F"/>
    <w:rsid w:val="00C2636B"/>
    <w:rsid w:val="00C26444"/>
    <w:rsid w:val="00C27578"/>
    <w:rsid w:val="00C30137"/>
    <w:rsid w:val="00C3093B"/>
    <w:rsid w:val="00C316F8"/>
    <w:rsid w:val="00C33427"/>
    <w:rsid w:val="00C33D44"/>
    <w:rsid w:val="00C36A44"/>
    <w:rsid w:val="00C37CB3"/>
    <w:rsid w:val="00C41A77"/>
    <w:rsid w:val="00C41C24"/>
    <w:rsid w:val="00C42AEA"/>
    <w:rsid w:val="00C43791"/>
    <w:rsid w:val="00C465D4"/>
    <w:rsid w:val="00C4749D"/>
    <w:rsid w:val="00C5031F"/>
    <w:rsid w:val="00C50D59"/>
    <w:rsid w:val="00C518B2"/>
    <w:rsid w:val="00C52237"/>
    <w:rsid w:val="00C55296"/>
    <w:rsid w:val="00C66319"/>
    <w:rsid w:val="00C66AC4"/>
    <w:rsid w:val="00C67719"/>
    <w:rsid w:val="00C67F5F"/>
    <w:rsid w:val="00C7222E"/>
    <w:rsid w:val="00C741EB"/>
    <w:rsid w:val="00C749E0"/>
    <w:rsid w:val="00C777C7"/>
    <w:rsid w:val="00C80CA8"/>
    <w:rsid w:val="00C81259"/>
    <w:rsid w:val="00C812A5"/>
    <w:rsid w:val="00C8275F"/>
    <w:rsid w:val="00C83C66"/>
    <w:rsid w:val="00C84321"/>
    <w:rsid w:val="00C86846"/>
    <w:rsid w:val="00C87D50"/>
    <w:rsid w:val="00C9016D"/>
    <w:rsid w:val="00C90337"/>
    <w:rsid w:val="00C91307"/>
    <w:rsid w:val="00C92333"/>
    <w:rsid w:val="00C92D67"/>
    <w:rsid w:val="00C94E11"/>
    <w:rsid w:val="00C95AAA"/>
    <w:rsid w:val="00C964C3"/>
    <w:rsid w:val="00CA1418"/>
    <w:rsid w:val="00CA2941"/>
    <w:rsid w:val="00CA3665"/>
    <w:rsid w:val="00CA4C42"/>
    <w:rsid w:val="00CA50D3"/>
    <w:rsid w:val="00CA57B6"/>
    <w:rsid w:val="00CA74FB"/>
    <w:rsid w:val="00CA7CAF"/>
    <w:rsid w:val="00CA7D0A"/>
    <w:rsid w:val="00CA7D61"/>
    <w:rsid w:val="00CB2615"/>
    <w:rsid w:val="00CB282C"/>
    <w:rsid w:val="00CB325A"/>
    <w:rsid w:val="00CB4683"/>
    <w:rsid w:val="00CB4DA6"/>
    <w:rsid w:val="00CB4DFF"/>
    <w:rsid w:val="00CC1AE0"/>
    <w:rsid w:val="00CC1E14"/>
    <w:rsid w:val="00CC3B81"/>
    <w:rsid w:val="00CC4DEE"/>
    <w:rsid w:val="00CC54BD"/>
    <w:rsid w:val="00CC5A3F"/>
    <w:rsid w:val="00CC6E01"/>
    <w:rsid w:val="00CC7988"/>
    <w:rsid w:val="00CD4241"/>
    <w:rsid w:val="00CD4AA4"/>
    <w:rsid w:val="00CD626E"/>
    <w:rsid w:val="00CE02B4"/>
    <w:rsid w:val="00CE08BB"/>
    <w:rsid w:val="00CE0EB1"/>
    <w:rsid w:val="00CE1600"/>
    <w:rsid w:val="00CE22A2"/>
    <w:rsid w:val="00CE2C2E"/>
    <w:rsid w:val="00CE33B4"/>
    <w:rsid w:val="00CE36B0"/>
    <w:rsid w:val="00CE697F"/>
    <w:rsid w:val="00CE6F3F"/>
    <w:rsid w:val="00CE6FA5"/>
    <w:rsid w:val="00CE7744"/>
    <w:rsid w:val="00CF08CA"/>
    <w:rsid w:val="00CF1A1C"/>
    <w:rsid w:val="00CF2D47"/>
    <w:rsid w:val="00CF3D95"/>
    <w:rsid w:val="00D00B66"/>
    <w:rsid w:val="00D010E3"/>
    <w:rsid w:val="00D01D3A"/>
    <w:rsid w:val="00D02F11"/>
    <w:rsid w:val="00D041BE"/>
    <w:rsid w:val="00D06CFC"/>
    <w:rsid w:val="00D10ECA"/>
    <w:rsid w:val="00D111FB"/>
    <w:rsid w:val="00D1150B"/>
    <w:rsid w:val="00D12881"/>
    <w:rsid w:val="00D13973"/>
    <w:rsid w:val="00D13C73"/>
    <w:rsid w:val="00D145C7"/>
    <w:rsid w:val="00D14746"/>
    <w:rsid w:val="00D16191"/>
    <w:rsid w:val="00D16E5C"/>
    <w:rsid w:val="00D1733F"/>
    <w:rsid w:val="00D17680"/>
    <w:rsid w:val="00D209E8"/>
    <w:rsid w:val="00D216EC"/>
    <w:rsid w:val="00D22CD2"/>
    <w:rsid w:val="00D24343"/>
    <w:rsid w:val="00D24460"/>
    <w:rsid w:val="00D2538F"/>
    <w:rsid w:val="00D3216D"/>
    <w:rsid w:val="00D3375C"/>
    <w:rsid w:val="00D34A11"/>
    <w:rsid w:val="00D35145"/>
    <w:rsid w:val="00D358BD"/>
    <w:rsid w:val="00D371D6"/>
    <w:rsid w:val="00D37977"/>
    <w:rsid w:val="00D41066"/>
    <w:rsid w:val="00D42455"/>
    <w:rsid w:val="00D43BE8"/>
    <w:rsid w:val="00D43CA8"/>
    <w:rsid w:val="00D44355"/>
    <w:rsid w:val="00D451E5"/>
    <w:rsid w:val="00D522A5"/>
    <w:rsid w:val="00D53A18"/>
    <w:rsid w:val="00D57171"/>
    <w:rsid w:val="00D61CF6"/>
    <w:rsid w:val="00D62719"/>
    <w:rsid w:val="00D631D2"/>
    <w:rsid w:val="00D64BE8"/>
    <w:rsid w:val="00D66D09"/>
    <w:rsid w:val="00D6707D"/>
    <w:rsid w:val="00D7363C"/>
    <w:rsid w:val="00D775B0"/>
    <w:rsid w:val="00D814D3"/>
    <w:rsid w:val="00D864DA"/>
    <w:rsid w:val="00D91C92"/>
    <w:rsid w:val="00D92B8B"/>
    <w:rsid w:val="00D92D5A"/>
    <w:rsid w:val="00D94225"/>
    <w:rsid w:val="00D95D0C"/>
    <w:rsid w:val="00D9602D"/>
    <w:rsid w:val="00D971A4"/>
    <w:rsid w:val="00DA33A5"/>
    <w:rsid w:val="00DA4AAB"/>
    <w:rsid w:val="00DA55C3"/>
    <w:rsid w:val="00DC086C"/>
    <w:rsid w:val="00DC126D"/>
    <w:rsid w:val="00DC7BEF"/>
    <w:rsid w:val="00DD2BFD"/>
    <w:rsid w:val="00DD40BE"/>
    <w:rsid w:val="00DD752A"/>
    <w:rsid w:val="00DE15BB"/>
    <w:rsid w:val="00DE1955"/>
    <w:rsid w:val="00DE5DEE"/>
    <w:rsid w:val="00DE66DC"/>
    <w:rsid w:val="00DF1171"/>
    <w:rsid w:val="00DF2E74"/>
    <w:rsid w:val="00DF4FDD"/>
    <w:rsid w:val="00DF6DF9"/>
    <w:rsid w:val="00DF72D1"/>
    <w:rsid w:val="00E000DA"/>
    <w:rsid w:val="00E01970"/>
    <w:rsid w:val="00E03355"/>
    <w:rsid w:val="00E06323"/>
    <w:rsid w:val="00E064A5"/>
    <w:rsid w:val="00E12177"/>
    <w:rsid w:val="00E13497"/>
    <w:rsid w:val="00E13A7B"/>
    <w:rsid w:val="00E16E0F"/>
    <w:rsid w:val="00E17085"/>
    <w:rsid w:val="00E23AE6"/>
    <w:rsid w:val="00E23CFC"/>
    <w:rsid w:val="00E23FF0"/>
    <w:rsid w:val="00E25922"/>
    <w:rsid w:val="00E2635B"/>
    <w:rsid w:val="00E2715D"/>
    <w:rsid w:val="00E2727C"/>
    <w:rsid w:val="00E27E69"/>
    <w:rsid w:val="00E31E92"/>
    <w:rsid w:val="00E3334B"/>
    <w:rsid w:val="00E348CE"/>
    <w:rsid w:val="00E34B1C"/>
    <w:rsid w:val="00E3741C"/>
    <w:rsid w:val="00E375F3"/>
    <w:rsid w:val="00E37B33"/>
    <w:rsid w:val="00E37CE2"/>
    <w:rsid w:val="00E411F7"/>
    <w:rsid w:val="00E44033"/>
    <w:rsid w:val="00E46499"/>
    <w:rsid w:val="00E467D4"/>
    <w:rsid w:val="00E46EEE"/>
    <w:rsid w:val="00E5005C"/>
    <w:rsid w:val="00E500DA"/>
    <w:rsid w:val="00E5053C"/>
    <w:rsid w:val="00E51261"/>
    <w:rsid w:val="00E52981"/>
    <w:rsid w:val="00E52F39"/>
    <w:rsid w:val="00E540BC"/>
    <w:rsid w:val="00E553B4"/>
    <w:rsid w:val="00E56348"/>
    <w:rsid w:val="00E57C6C"/>
    <w:rsid w:val="00E6031D"/>
    <w:rsid w:val="00E63E41"/>
    <w:rsid w:val="00E64C4A"/>
    <w:rsid w:val="00E67716"/>
    <w:rsid w:val="00E67723"/>
    <w:rsid w:val="00E720F5"/>
    <w:rsid w:val="00E730F8"/>
    <w:rsid w:val="00E75AA8"/>
    <w:rsid w:val="00E7765B"/>
    <w:rsid w:val="00E80023"/>
    <w:rsid w:val="00E82247"/>
    <w:rsid w:val="00E855E5"/>
    <w:rsid w:val="00E866CA"/>
    <w:rsid w:val="00E866F3"/>
    <w:rsid w:val="00E872A7"/>
    <w:rsid w:val="00E90B86"/>
    <w:rsid w:val="00E91A47"/>
    <w:rsid w:val="00E91FE6"/>
    <w:rsid w:val="00E94BE1"/>
    <w:rsid w:val="00EA0BED"/>
    <w:rsid w:val="00EA0D22"/>
    <w:rsid w:val="00EA21D4"/>
    <w:rsid w:val="00EB01DA"/>
    <w:rsid w:val="00EB249C"/>
    <w:rsid w:val="00EB3F6B"/>
    <w:rsid w:val="00EB5F26"/>
    <w:rsid w:val="00EC00BE"/>
    <w:rsid w:val="00EC0434"/>
    <w:rsid w:val="00EC26F2"/>
    <w:rsid w:val="00EC34AD"/>
    <w:rsid w:val="00EC3B9F"/>
    <w:rsid w:val="00EC4A1A"/>
    <w:rsid w:val="00EC535C"/>
    <w:rsid w:val="00EC5884"/>
    <w:rsid w:val="00EC6340"/>
    <w:rsid w:val="00EC66E1"/>
    <w:rsid w:val="00EC67A3"/>
    <w:rsid w:val="00ED0491"/>
    <w:rsid w:val="00ED287C"/>
    <w:rsid w:val="00ED2E94"/>
    <w:rsid w:val="00ED3EFC"/>
    <w:rsid w:val="00ED5559"/>
    <w:rsid w:val="00ED5679"/>
    <w:rsid w:val="00ED602D"/>
    <w:rsid w:val="00ED6217"/>
    <w:rsid w:val="00ED7B05"/>
    <w:rsid w:val="00ED7E1D"/>
    <w:rsid w:val="00EE0886"/>
    <w:rsid w:val="00EE2107"/>
    <w:rsid w:val="00EE4261"/>
    <w:rsid w:val="00EE4AB3"/>
    <w:rsid w:val="00EE6262"/>
    <w:rsid w:val="00EE78B2"/>
    <w:rsid w:val="00EF0569"/>
    <w:rsid w:val="00EF1142"/>
    <w:rsid w:val="00EF134F"/>
    <w:rsid w:val="00EF13B1"/>
    <w:rsid w:val="00EF169E"/>
    <w:rsid w:val="00EF1FB2"/>
    <w:rsid w:val="00EF7EDE"/>
    <w:rsid w:val="00F00E56"/>
    <w:rsid w:val="00F011B3"/>
    <w:rsid w:val="00F02ED0"/>
    <w:rsid w:val="00F034DA"/>
    <w:rsid w:val="00F042E0"/>
    <w:rsid w:val="00F0506D"/>
    <w:rsid w:val="00F053D1"/>
    <w:rsid w:val="00F054EA"/>
    <w:rsid w:val="00F06F39"/>
    <w:rsid w:val="00F07766"/>
    <w:rsid w:val="00F077D4"/>
    <w:rsid w:val="00F1080A"/>
    <w:rsid w:val="00F13D69"/>
    <w:rsid w:val="00F14157"/>
    <w:rsid w:val="00F155EC"/>
    <w:rsid w:val="00F1775A"/>
    <w:rsid w:val="00F178BD"/>
    <w:rsid w:val="00F2035E"/>
    <w:rsid w:val="00F230E0"/>
    <w:rsid w:val="00F2621C"/>
    <w:rsid w:val="00F30AB2"/>
    <w:rsid w:val="00F33968"/>
    <w:rsid w:val="00F33CDE"/>
    <w:rsid w:val="00F33F05"/>
    <w:rsid w:val="00F3534D"/>
    <w:rsid w:val="00F35AAF"/>
    <w:rsid w:val="00F36E87"/>
    <w:rsid w:val="00F3740B"/>
    <w:rsid w:val="00F37BAA"/>
    <w:rsid w:val="00F37BAB"/>
    <w:rsid w:val="00F40D85"/>
    <w:rsid w:val="00F41034"/>
    <w:rsid w:val="00F41145"/>
    <w:rsid w:val="00F43284"/>
    <w:rsid w:val="00F44AC0"/>
    <w:rsid w:val="00F5034A"/>
    <w:rsid w:val="00F50C3F"/>
    <w:rsid w:val="00F50D48"/>
    <w:rsid w:val="00F51CB0"/>
    <w:rsid w:val="00F51D11"/>
    <w:rsid w:val="00F52BEE"/>
    <w:rsid w:val="00F531FE"/>
    <w:rsid w:val="00F55D7F"/>
    <w:rsid w:val="00F641A3"/>
    <w:rsid w:val="00F67B6D"/>
    <w:rsid w:val="00F700B9"/>
    <w:rsid w:val="00F70114"/>
    <w:rsid w:val="00F7092B"/>
    <w:rsid w:val="00F720DC"/>
    <w:rsid w:val="00F72EC9"/>
    <w:rsid w:val="00F72FEE"/>
    <w:rsid w:val="00F73527"/>
    <w:rsid w:val="00F73C51"/>
    <w:rsid w:val="00F746BF"/>
    <w:rsid w:val="00F7684D"/>
    <w:rsid w:val="00F76EF1"/>
    <w:rsid w:val="00F822E1"/>
    <w:rsid w:val="00F84A97"/>
    <w:rsid w:val="00F90ABF"/>
    <w:rsid w:val="00F91B91"/>
    <w:rsid w:val="00F941FE"/>
    <w:rsid w:val="00F96A9B"/>
    <w:rsid w:val="00FA226B"/>
    <w:rsid w:val="00FA2724"/>
    <w:rsid w:val="00FA44F8"/>
    <w:rsid w:val="00FA5BEF"/>
    <w:rsid w:val="00FA740E"/>
    <w:rsid w:val="00FA7FE7"/>
    <w:rsid w:val="00FB0014"/>
    <w:rsid w:val="00FB1C77"/>
    <w:rsid w:val="00FB4794"/>
    <w:rsid w:val="00FB4D3E"/>
    <w:rsid w:val="00FB4E5D"/>
    <w:rsid w:val="00FB655E"/>
    <w:rsid w:val="00FB7B4B"/>
    <w:rsid w:val="00FC0F0E"/>
    <w:rsid w:val="00FC1884"/>
    <w:rsid w:val="00FC38BD"/>
    <w:rsid w:val="00FC5656"/>
    <w:rsid w:val="00FC58A0"/>
    <w:rsid w:val="00FC63BD"/>
    <w:rsid w:val="00FC67A3"/>
    <w:rsid w:val="00FC6DE6"/>
    <w:rsid w:val="00FC6EA2"/>
    <w:rsid w:val="00FC71F4"/>
    <w:rsid w:val="00FC7296"/>
    <w:rsid w:val="00FD238D"/>
    <w:rsid w:val="00FD2D13"/>
    <w:rsid w:val="00FD4618"/>
    <w:rsid w:val="00FD511B"/>
    <w:rsid w:val="00FD5B87"/>
    <w:rsid w:val="00FD7270"/>
    <w:rsid w:val="00FE2787"/>
    <w:rsid w:val="00FE4535"/>
    <w:rsid w:val="00FE5374"/>
    <w:rsid w:val="00FF0F8E"/>
    <w:rsid w:val="00FF13CB"/>
    <w:rsid w:val="00FF2300"/>
    <w:rsid w:val="00FF2357"/>
    <w:rsid w:val="00FF3E95"/>
    <w:rsid w:val="00FF47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376F"/>
  <w15:chartTrackingRefBased/>
  <w15:docId w15:val="{1570BEFD-46C5-4027-80D8-81346E4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DF2E74"/>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DF2E74"/>
    <w:rPr>
      <w:rFonts w:ascii="Arial" w:hAnsi="Arial"/>
      <w:sz w:val="20"/>
      <w:szCs w:val="20"/>
      <w:lang w:val="en-GB"/>
    </w:rPr>
  </w:style>
  <w:style w:type="character" w:styleId="FootnoteReference">
    <w:name w:val="footnote reference"/>
    <w:basedOn w:val="DefaultParagraphFont"/>
    <w:uiPriority w:val="99"/>
    <w:rsid w:val="00DF2E74"/>
    <w:rPr>
      <w:rFonts w:cs="Times New Roman"/>
      <w:vertAlign w:val="superscript"/>
    </w:rPr>
  </w:style>
  <w:style w:type="paragraph" w:customStyle="1" w:styleId="1">
    <w:name w:val="1"/>
    <w:basedOn w:val="BodyText"/>
    <w:link w:val="1Char"/>
    <w:qFormat/>
    <w:rsid w:val="00231F7B"/>
    <w:pPr>
      <w:numPr>
        <w:numId w:val="8"/>
      </w:numPr>
      <w:spacing w:before="480" w:after="0" w:line="480" w:lineRule="auto"/>
    </w:pPr>
    <w:rPr>
      <w:rFonts w:eastAsia="Times New Roman"/>
      <w:iCs/>
      <w:color w:val="000000"/>
    </w:rPr>
  </w:style>
  <w:style w:type="paragraph" w:customStyle="1" w:styleId="3">
    <w:name w:val="3"/>
    <w:basedOn w:val="2"/>
    <w:qFormat/>
    <w:rsid w:val="00231F7B"/>
    <w:pPr>
      <w:numPr>
        <w:ilvl w:val="2"/>
      </w:numPr>
      <w:tabs>
        <w:tab w:val="clear" w:pos="2552"/>
        <w:tab w:val="num" w:pos="360"/>
        <w:tab w:val="num" w:pos="1701"/>
        <w:tab w:val="num" w:pos="1980"/>
      </w:tabs>
      <w:ind w:left="1980" w:hanging="180"/>
    </w:pPr>
  </w:style>
  <w:style w:type="paragraph" w:customStyle="1" w:styleId="4">
    <w:name w:val="4"/>
    <w:basedOn w:val="2"/>
    <w:qFormat/>
    <w:rsid w:val="00231F7B"/>
    <w:pPr>
      <w:numPr>
        <w:ilvl w:val="3"/>
      </w:numPr>
      <w:tabs>
        <w:tab w:val="clear" w:pos="3062"/>
        <w:tab w:val="num" w:pos="360"/>
        <w:tab w:val="num" w:pos="2700"/>
      </w:tabs>
      <w:ind w:left="2700" w:hanging="360"/>
    </w:pPr>
    <w:rPr>
      <w:iCs w:val="0"/>
    </w:rPr>
  </w:style>
  <w:style w:type="paragraph" w:customStyle="1" w:styleId="5">
    <w:name w:val="5"/>
    <w:basedOn w:val="4"/>
    <w:qFormat/>
    <w:rsid w:val="00231F7B"/>
    <w:pPr>
      <w:numPr>
        <w:ilvl w:val="4"/>
      </w:numPr>
      <w:tabs>
        <w:tab w:val="clear" w:pos="3515"/>
        <w:tab w:val="num" w:pos="360"/>
        <w:tab w:val="num" w:pos="2700"/>
        <w:tab w:val="num" w:pos="3420"/>
      </w:tabs>
      <w:ind w:left="3420" w:hanging="360"/>
    </w:pPr>
    <w:rPr>
      <w:iCs/>
      <w:szCs w:val="16"/>
      <w:lang w:eastAsia="en-ZA"/>
    </w:rPr>
  </w:style>
  <w:style w:type="paragraph" w:customStyle="1" w:styleId="2">
    <w:name w:val="2"/>
    <w:basedOn w:val="1"/>
    <w:qFormat/>
    <w:rsid w:val="00231F7B"/>
    <w:pPr>
      <w:numPr>
        <w:ilvl w:val="1"/>
      </w:numPr>
      <w:tabs>
        <w:tab w:val="clear" w:pos="1588"/>
        <w:tab w:val="num" w:pos="360"/>
      </w:tabs>
      <w:spacing w:before="240"/>
      <w:ind w:left="1134" w:hanging="567"/>
    </w:pPr>
  </w:style>
  <w:style w:type="character" w:customStyle="1" w:styleId="1Char">
    <w:name w:val="1 Char"/>
    <w:basedOn w:val="DefaultParagraphFont"/>
    <w:link w:val="1"/>
    <w:rsid w:val="00231F7B"/>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231F7B"/>
    <w:pPr>
      <w:spacing w:after="120"/>
    </w:pPr>
  </w:style>
  <w:style w:type="character" w:customStyle="1" w:styleId="BodyTextChar">
    <w:name w:val="Body Text Char"/>
    <w:basedOn w:val="DefaultParagraphFont"/>
    <w:link w:val="BodyText"/>
    <w:uiPriority w:val="99"/>
    <w:semiHidden/>
    <w:rsid w:val="00231F7B"/>
    <w:rPr>
      <w:rFonts w:ascii="Arial" w:hAnsi="Arial"/>
      <w:sz w:val="24"/>
      <w:lang w:val="en-GB"/>
    </w:rPr>
  </w:style>
  <w:style w:type="character" w:customStyle="1" w:styleId="mc">
    <w:name w:val="mc"/>
    <w:basedOn w:val="DefaultParagraphFont"/>
    <w:rsid w:val="00BB4603"/>
  </w:style>
  <w:style w:type="paragraph" w:styleId="Revision">
    <w:name w:val="Revision"/>
    <w:hidden/>
    <w:uiPriority w:val="99"/>
    <w:semiHidden/>
    <w:rsid w:val="00C17E0F"/>
    <w:pPr>
      <w:spacing w:after="0" w:line="240" w:lineRule="auto"/>
    </w:pPr>
    <w:rPr>
      <w:rFonts w:ascii="Arial" w:hAnsi="Arial"/>
      <w:sz w:val="24"/>
      <w:lang w:val="en-GB"/>
    </w:rPr>
  </w:style>
  <w:style w:type="paragraph" w:styleId="Header">
    <w:name w:val="header"/>
    <w:basedOn w:val="Normal"/>
    <w:link w:val="HeaderChar"/>
    <w:uiPriority w:val="99"/>
    <w:unhideWhenUsed/>
    <w:rsid w:val="00C1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E0F"/>
    <w:rPr>
      <w:rFonts w:ascii="Arial" w:hAnsi="Arial"/>
      <w:sz w:val="24"/>
      <w:lang w:val="en-GB"/>
    </w:rPr>
  </w:style>
  <w:style w:type="paragraph" w:styleId="Footer">
    <w:name w:val="footer"/>
    <w:basedOn w:val="Normal"/>
    <w:link w:val="FooterChar"/>
    <w:uiPriority w:val="99"/>
    <w:unhideWhenUsed/>
    <w:rsid w:val="00C1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E0F"/>
    <w:rPr>
      <w:rFonts w:ascii="Arial" w:hAnsi="Arial"/>
      <w:sz w:val="24"/>
      <w:lang w:val="en-GB"/>
    </w:rPr>
  </w:style>
  <w:style w:type="character" w:styleId="Hyperlink">
    <w:name w:val="Hyperlink"/>
    <w:basedOn w:val="DefaultParagraphFont"/>
    <w:uiPriority w:val="99"/>
    <w:semiHidden/>
    <w:unhideWhenUsed/>
    <w:rsid w:val="0082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964">
      <w:bodyDiv w:val="1"/>
      <w:marLeft w:val="0"/>
      <w:marRight w:val="0"/>
      <w:marTop w:val="0"/>
      <w:marBottom w:val="0"/>
      <w:divBdr>
        <w:top w:val="none" w:sz="0" w:space="0" w:color="auto"/>
        <w:left w:val="none" w:sz="0" w:space="0" w:color="auto"/>
        <w:bottom w:val="none" w:sz="0" w:space="0" w:color="auto"/>
        <w:right w:val="none" w:sz="0" w:space="0" w:color="auto"/>
      </w:divBdr>
      <w:divsChild>
        <w:div w:id="1071343513">
          <w:marLeft w:val="1418"/>
          <w:marRight w:val="0"/>
          <w:marTop w:val="60"/>
          <w:marBottom w:val="0"/>
          <w:divBdr>
            <w:top w:val="none" w:sz="0" w:space="0" w:color="auto"/>
            <w:left w:val="none" w:sz="0" w:space="0" w:color="auto"/>
            <w:bottom w:val="none" w:sz="0" w:space="0" w:color="auto"/>
            <w:right w:val="none" w:sz="0" w:space="0" w:color="auto"/>
          </w:divBdr>
        </w:div>
        <w:div w:id="161896877">
          <w:marLeft w:val="1814"/>
          <w:marRight w:val="0"/>
          <w:marTop w:val="60"/>
          <w:marBottom w:val="0"/>
          <w:divBdr>
            <w:top w:val="none" w:sz="0" w:space="0" w:color="auto"/>
            <w:left w:val="none" w:sz="0" w:space="0" w:color="auto"/>
            <w:bottom w:val="none" w:sz="0" w:space="0" w:color="auto"/>
            <w:right w:val="none" w:sz="0" w:space="0" w:color="auto"/>
          </w:divBdr>
        </w:div>
        <w:div w:id="1728454961">
          <w:marLeft w:val="1814"/>
          <w:marRight w:val="0"/>
          <w:marTop w:val="60"/>
          <w:marBottom w:val="0"/>
          <w:divBdr>
            <w:top w:val="none" w:sz="0" w:space="0" w:color="auto"/>
            <w:left w:val="none" w:sz="0" w:space="0" w:color="auto"/>
            <w:bottom w:val="none" w:sz="0" w:space="0" w:color="auto"/>
            <w:right w:val="none" w:sz="0" w:space="0" w:color="auto"/>
          </w:divBdr>
        </w:div>
        <w:div w:id="1683624090">
          <w:marLeft w:val="1814"/>
          <w:marRight w:val="0"/>
          <w:marTop w:val="60"/>
          <w:marBottom w:val="0"/>
          <w:divBdr>
            <w:top w:val="none" w:sz="0" w:space="0" w:color="auto"/>
            <w:left w:val="none" w:sz="0" w:space="0" w:color="auto"/>
            <w:bottom w:val="none" w:sz="0" w:space="0" w:color="auto"/>
            <w:right w:val="none" w:sz="0" w:space="0" w:color="auto"/>
          </w:divBdr>
        </w:div>
        <w:div w:id="1670408144">
          <w:marLeft w:val="1814"/>
          <w:marRight w:val="0"/>
          <w:marTop w:val="60"/>
          <w:marBottom w:val="0"/>
          <w:divBdr>
            <w:top w:val="none" w:sz="0" w:space="0" w:color="auto"/>
            <w:left w:val="none" w:sz="0" w:space="0" w:color="auto"/>
            <w:bottom w:val="none" w:sz="0" w:space="0" w:color="auto"/>
            <w:right w:val="none" w:sz="0" w:space="0" w:color="auto"/>
          </w:divBdr>
        </w:div>
        <w:div w:id="885990055">
          <w:marLeft w:val="0"/>
          <w:marRight w:val="0"/>
          <w:marTop w:val="240"/>
          <w:marBottom w:val="24"/>
          <w:divBdr>
            <w:top w:val="single" w:sz="8" w:space="2" w:color="808080"/>
            <w:left w:val="none" w:sz="0" w:space="0" w:color="auto"/>
            <w:bottom w:val="none" w:sz="0" w:space="0" w:color="auto"/>
            <w:right w:val="none" w:sz="0" w:space="0" w:color="auto"/>
          </w:divBdr>
        </w:div>
        <w:div w:id="1998920673">
          <w:marLeft w:val="0"/>
          <w:marRight w:val="0"/>
          <w:marTop w:val="120"/>
          <w:marBottom w:val="0"/>
          <w:divBdr>
            <w:top w:val="none" w:sz="0" w:space="0" w:color="auto"/>
            <w:left w:val="none" w:sz="0" w:space="0" w:color="auto"/>
            <w:bottom w:val="none" w:sz="0" w:space="0" w:color="auto"/>
            <w:right w:val="none" w:sz="0" w:space="0" w:color="auto"/>
          </w:divBdr>
        </w:div>
        <w:div w:id="165705143">
          <w:marLeft w:val="1814"/>
          <w:marRight w:val="0"/>
          <w:marTop w:val="60"/>
          <w:marBottom w:val="0"/>
          <w:divBdr>
            <w:top w:val="none" w:sz="0" w:space="0" w:color="auto"/>
            <w:left w:val="none" w:sz="0" w:space="0" w:color="auto"/>
            <w:bottom w:val="none" w:sz="0" w:space="0" w:color="auto"/>
            <w:right w:val="none" w:sz="0" w:space="0" w:color="auto"/>
          </w:divBdr>
        </w:div>
      </w:divsChild>
    </w:div>
    <w:div w:id="903375610">
      <w:bodyDiv w:val="1"/>
      <w:marLeft w:val="0"/>
      <w:marRight w:val="0"/>
      <w:marTop w:val="0"/>
      <w:marBottom w:val="0"/>
      <w:divBdr>
        <w:top w:val="none" w:sz="0" w:space="0" w:color="auto"/>
        <w:left w:val="none" w:sz="0" w:space="0" w:color="auto"/>
        <w:bottom w:val="none" w:sz="0" w:space="0" w:color="auto"/>
        <w:right w:val="none" w:sz="0" w:space="0" w:color="auto"/>
      </w:divBdr>
      <w:divsChild>
        <w:div w:id="117796664">
          <w:marLeft w:val="0"/>
          <w:marRight w:val="0"/>
          <w:marTop w:val="120"/>
          <w:marBottom w:val="0"/>
          <w:divBdr>
            <w:top w:val="none" w:sz="0" w:space="0" w:color="auto"/>
            <w:left w:val="none" w:sz="0" w:space="0" w:color="auto"/>
            <w:bottom w:val="none" w:sz="0" w:space="0" w:color="auto"/>
            <w:right w:val="none" w:sz="0" w:space="0" w:color="auto"/>
          </w:divBdr>
        </w:div>
        <w:div w:id="1855731501">
          <w:marLeft w:val="0"/>
          <w:marRight w:val="0"/>
          <w:marTop w:val="240"/>
          <w:marBottom w:val="24"/>
          <w:divBdr>
            <w:top w:val="none" w:sz="0" w:space="0" w:color="auto"/>
            <w:left w:val="none" w:sz="0" w:space="0" w:color="auto"/>
            <w:bottom w:val="none" w:sz="0" w:space="0" w:color="auto"/>
            <w:right w:val="none" w:sz="0" w:space="0" w:color="auto"/>
          </w:divBdr>
        </w:div>
        <w:div w:id="1254777597">
          <w:marLeft w:val="0"/>
          <w:marRight w:val="0"/>
          <w:marTop w:val="120"/>
          <w:marBottom w:val="0"/>
          <w:divBdr>
            <w:top w:val="none" w:sz="0" w:space="0" w:color="auto"/>
            <w:left w:val="none" w:sz="0" w:space="0" w:color="auto"/>
            <w:bottom w:val="none" w:sz="0" w:space="0" w:color="auto"/>
            <w:right w:val="none" w:sz="0" w:space="0" w:color="auto"/>
          </w:divBdr>
        </w:div>
      </w:divsChild>
    </w:div>
    <w:div w:id="1103308479">
      <w:bodyDiv w:val="1"/>
      <w:marLeft w:val="0"/>
      <w:marRight w:val="0"/>
      <w:marTop w:val="0"/>
      <w:marBottom w:val="0"/>
      <w:divBdr>
        <w:top w:val="none" w:sz="0" w:space="0" w:color="auto"/>
        <w:left w:val="none" w:sz="0" w:space="0" w:color="auto"/>
        <w:bottom w:val="none" w:sz="0" w:space="0" w:color="auto"/>
        <w:right w:val="none" w:sz="0" w:space="0" w:color="auto"/>
      </w:divBdr>
      <w:divsChild>
        <w:div w:id="1967201344">
          <w:marLeft w:val="1418"/>
          <w:marRight w:val="0"/>
          <w:marTop w:val="60"/>
          <w:marBottom w:val="0"/>
          <w:divBdr>
            <w:top w:val="none" w:sz="0" w:space="0" w:color="auto"/>
            <w:left w:val="none" w:sz="0" w:space="0" w:color="auto"/>
            <w:bottom w:val="none" w:sz="0" w:space="0" w:color="auto"/>
            <w:right w:val="none" w:sz="0" w:space="0" w:color="auto"/>
          </w:divBdr>
        </w:div>
        <w:div w:id="1551377505">
          <w:marLeft w:val="1418"/>
          <w:marRight w:val="0"/>
          <w:marTop w:val="60"/>
          <w:marBottom w:val="0"/>
          <w:divBdr>
            <w:top w:val="none" w:sz="0" w:space="0" w:color="auto"/>
            <w:left w:val="none" w:sz="0" w:space="0" w:color="auto"/>
            <w:bottom w:val="none" w:sz="0" w:space="0" w:color="auto"/>
            <w:right w:val="none" w:sz="0" w:space="0" w:color="auto"/>
          </w:divBdr>
        </w:div>
        <w:div w:id="678511169">
          <w:marLeft w:val="1418"/>
          <w:marRight w:val="0"/>
          <w:marTop w:val="60"/>
          <w:marBottom w:val="0"/>
          <w:divBdr>
            <w:top w:val="none" w:sz="0" w:space="0" w:color="auto"/>
            <w:left w:val="none" w:sz="0" w:space="0" w:color="auto"/>
            <w:bottom w:val="none" w:sz="0" w:space="0" w:color="auto"/>
            <w:right w:val="none" w:sz="0" w:space="0" w:color="auto"/>
          </w:divBdr>
        </w:div>
      </w:divsChild>
    </w:div>
    <w:div w:id="1176380728">
      <w:bodyDiv w:val="1"/>
      <w:marLeft w:val="0"/>
      <w:marRight w:val="0"/>
      <w:marTop w:val="0"/>
      <w:marBottom w:val="0"/>
      <w:divBdr>
        <w:top w:val="none" w:sz="0" w:space="0" w:color="auto"/>
        <w:left w:val="none" w:sz="0" w:space="0" w:color="auto"/>
        <w:bottom w:val="none" w:sz="0" w:space="0" w:color="auto"/>
        <w:right w:val="none" w:sz="0" w:space="0" w:color="auto"/>
      </w:divBdr>
      <w:divsChild>
        <w:div w:id="197663851">
          <w:marLeft w:val="0"/>
          <w:marRight w:val="0"/>
          <w:marTop w:val="120"/>
          <w:marBottom w:val="0"/>
          <w:divBdr>
            <w:top w:val="none" w:sz="0" w:space="0" w:color="auto"/>
            <w:left w:val="none" w:sz="0" w:space="0" w:color="auto"/>
            <w:bottom w:val="none" w:sz="0" w:space="0" w:color="auto"/>
            <w:right w:val="none" w:sz="0" w:space="0" w:color="auto"/>
          </w:divBdr>
        </w:div>
        <w:div w:id="1005743391">
          <w:marLeft w:val="0"/>
          <w:marRight w:val="0"/>
          <w:marTop w:val="240"/>
          <w:marBottom w:val="24"/>
          <w:divBdr>
            <w:top w:val="none" w:sz="0" w:space="0" w:color="auto"/>
            <w:left w:val="none" w:sz="0" w:space="0" w:color="auto"/>
            <w:bottom w:val="none" w:sz="0" w:space="0" w:color="auto"/>
            <w:right w:val="none" w:sz="0" w:space="0" w:color="auto"/>
          </w:divBdr>
        </w:div>
        <w:div w:id="16278148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46222%27%5d&amp;xhitlist_md=target-id=0-0-0-1444"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46222%27%5d&amp;xhitlist_md=target-id=0-0-0-1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Orkin%20v%20Goldleaf%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1276-9789-4E65-87BF-365D0429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Orkin v Goldleaf New Template</Template>
  <TotalTime>0</TotalTime>
  <Pages>21</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2</cp:revision>
  <dcterms:created xsi:type="dcterms:W3CDTF">2023-08-01T09:36:00Z</dcterms:created>
  <dcterms:modified xsi:type="dcterms:W3CDTF">2023-08-01T09:36:00Z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a1c72afcd36c9bd3c298ab9d95c550e1b29c4bc3975fe8e1ce2eacdc4aa514db</vt:lpwstr>
  </property>
</Properties>
</file>