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629005DB" w:rsidR="001E77C7" w:rsidRPr="008A5A95" w:rsidRDefault="008A5A95" w:rsidP="00F445C9">
      <w:pPr>
        <w:rPr>
          <w:rFonts w:ascii="Courier New" w:hAnsi="Courier New"/>
          <w:szCs w:val="24"/>
        </w:rPr>
      </w:pPr>
      <w:bookmarkStart w:id="0" w:name="_Hlk97197783"/>
      <w:bookmarkEnd w:id="0"/>
      <w:r>
        <w:rPr>
          <w:rFonts w:cs="Arial"/>
          <w:color w:val="FF0000"/>
        </w:rPr>
        <w:t>Editorial note: Certain information has been redacted from this judgment in compliance with the law.</w:t>
      </w:r>
    </w:p>
    <w:p w14:paraId="4A5AB6F1" w14:textId="243BB6E8" w:rsidR="001E77C7" w:rsidRPr="00583E8E" w:rsidRDefault="0020229A" w:rsidP="00AD7F4C">
      <w:pPr>
        <w:jc w:val="center"/>
      </w:pPr>
      <w:bookmarkStart w:id="1" w:name="_Hlk141336046"/>
      <w:r w:rsidRPr="00583E8E">
        <w:rPr>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1F8BBBB5" w:rsidR="002B39BC" w:rsidRPr="00583E8E" w:rsidRDefault="00FD64FD" w:rsidP="002B39BC">
      <w:pPr>
        <w:jc w:val="center"/>
        <w:rPr>
          <w:b/>
        </w:rPr>
      </w:pPr>
      <w:r w:rsidRPr="00583E8E">
        <w:rPr>
          <w:b/>
        </w:rPr>
        <w:t xml:space="preserve">GAUTENG DIVISION, </w:t>
      </w:r>
      <w:r w:rsidR="00247C43">
        <w:rPr>
          <w:b/>
        </w:rPr>
        <w:t>JOHANNESBURG</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706290CB" w14:textId="629A6700" w:rsidR="00222D24" w:rsidRPr="00583E8E" w:rsidRDefault="003876E6" w:rsidP="003876E6">
      <w:pPr>
        <w:tabs>
          <w:tab w:val="left" w:pos="480"/>
          <w:tab w:val="right" w:pos="9026"/>
        </w:tabs>
        <w:jc w:val="left"/>
        <w:rPr>
          <w:b/>
        </w:rPr>
      </w:pPr>
      <w:r w:rsidRPr="00583E8E">
        <w:rPr>
          <w:b/>
        </w:rPr>
        <w:tab/>
      </w:r>
      <w:r w:rsidRPr="00583E8E">
        <w:rPr>
          <w:b/>
        </w:rPr>
        <w:tab/>
      </w:r>
      <w:r w:rsidR="001550D0">
        <w:rPr>
          <w:noProof/>
          <w:lang w:val="en-ZA"/>
        </w:rPr>
        <mc:AlternateContent>
          <mc:Choice Requires="wps">
            <w:drawing>
              <wp:anchor distT="0" distB="0" distL="114300" distR="114300" simplePos="0" relativeHeight="251659264" behindDoc="0" locked="0" layoutInCell="1" allowOverlap="1" wp14:anchorId="3F879482" wp14:editId="75664C3D">
                <wp:simplePos x="0" y="0"/>
                <wp:positionH relativeFrom="column">
                  <wp:posOffset>-127000</wp:posOffset>
                </wp:positionH>
                <wp:positionV relativeFrom="paragraph">
                  <wp:posOffset>210820</wp:posOffset>
                </wp:positionV>
                <wp:extent cx="3220720" cy="1269365"/>
                <wp:effectExtent l="0" t="0" r="0" b="6985"/>
                <wp:wrapNone/>
                <wp:docPr id="18300244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6EDC895D" w:rsidR="0056721D" w:rsidRPr="00024C6F" w:rsidRDefault="008A5A95" w:rsidP="008A5A95">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56721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107808B7" w14:textId="71B95AC7" w:rsidR="0056721D" w:rsidRDefault="008A5A95" w:rsidP="008A5A95">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 xml:space="preserve">OF INTEREST TO OTHER JUDGES: </w:t>
                            </w:r>
                            <w:r w:rsidR="0056721D">
                              <w:rPr>
                                <w:rFonts w:asciiTheme="minorHAnsi" w:hAnsiTheme="minorHAnsi" w:cstheme="minorHAnsi"/>
                                <w:sz w:val="20"/>
                                <w:szCs w:val="20"/>
                              </w:rPr>
                              <w:t>YES/NO</w:t>
                            </w:r>
                          </w:p>
                          <w:p w14:paraId="4C9D0656" w14:textId="3BBA3613" w:rsidR="0056721D" w:rsidRPr="00024C6F" w:rsidRDefault="008A5A95" w:rsidP="008A5A95">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56721D">
                              <w:rPr>
                                <w:rFonts w:asciiTheme="minorHAnsi" w:hAnsiTheme="minorHAnsi" w:cstheme="minorHAnsi"/>
                                <w:sz w:val="20"/>
                                <w:szCs w:val="20"/>
                              </w:rPr>
                              <w:t>REVISED</w:t>
                            </w:r>
                          </w:p>
                          <w:p w14:paraId="270AD6EA" w14:textId="657228D9" w:rsidR="0056721D" w:rsidRPr="00024C6F" w:rsidRDefault="0056721D" w:rsidP="004F68B9">
                            <w:pPr>
                              <w:rPr>
                                <w:rFonts w:asciiTheme="minorHAnsi" w:hAnsiTheme="minorHAnsi" w:cstheme="minorHAnsi"/>
                                <w:sz w:val="18"/>
                                <w:szCs w:val="18"/>
                              </w:rPr>
                            </w:pPr>
                            <w:r>
                              <w:rPr>
                                <w:rFonts w:cs="Arial"/>
                                <w:noProof/>
                                <w:lang w:val="en-ZA"/>
                              </w:rPr>
                              <w:t xml:space="preserve">                                            </w:t>
                            </w:r>
                          </w:p>
                          <w:p w14:paraId="55BBA880" w14:textId="2FC0B337"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Pr>
                                <w:rFonts w:asciiTheme="minorHAnsi" w:hAnsiTheme="minorHAnsi" w:cstheme="minorHAnsi"/>
                                <w:b/>
                                <w:sz w:val="18"/>
                                <w:szCs w:val="18"/>
                              </w:rPr>
                              <w:tab/>
                              <w:t xml:space="preserve">                                     </w:t>
                            </w:r>
                          </w:p>
                          <w:p w14:paraId="1B3C0F98" w14:textId="133497EE"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247C43">
                              <w:rPr>
                                <w:rFonts w:asciiTheme="minorHAnsi" w:hAnsiTheme="minorHAnsi" w:cstheme="minorHAnsi"/>
                                <w:sz w:val="18"/>
                                <w:szCs w:val="18"/>
                              </w:rPr>
                              <w:tab/>
                            </w:r>
                            <w:r w:rsidR="00247C43">
                              <w:rPr>
                                <w:rFonts w:asciiTheme="minorHAnsi" w:hAnsiTheme="minorHAnsi" w:cstheme="minorHAnsi"/>
                                <w:sz w:val="18"/>
                                <w:szCs w:val="18"/>
                              </w:rPr>
                              <w:tab/>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79482"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6EDC895D" w:rsidR="0056721D" w:rsidRPr="00024C6F" w:rsidRDefault="008A5A95" w:rsidP="008A5A95">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56721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107808B7" w14:textId="71B95AC7" w:rsidR="0056721D" w:rsidRDefault="008A5A95" w:rsidP="008A5A95">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 xml:space="preserve">OF INTEREST TO OTHER JUDGES: </w:t>
                      </w:r>
                      <w:r w:rsidR="0056721D">
                        <w:rPr>
                          <w:rFonts w:asciiTheme="minorHAnsi" w:hAnsiTheme="minorHAnsi" w:cstheme="minorHAnsi"/>
                          <w:sz w:val="20"/>
                          <w:szCs w:val="20"/>
                        </w:rPr>
                        <w:t>YES/NO</w:t>
                      </w:r>
                    </w:p>
                    <w:p w14:paraId="4C9D0656" w14:textId="3BBA3613" w:rsidR="0056721D" w:rsidRPr="00024C6F" w:rsidRDefault="008A5A95" w:rsidP="008A5A95">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56721D">
                        <w:rPr>
                          <w:rFonts w:asciiTheme="minorHAnsi" w:hAnsiTheme="minorHAnsi" w:cstheme="minorHAnsi"/>
                          <w:sz w:val="20"/>
                          <w:szCs w:val="20"/>
                        </w:rPr>
                        <w:t>REVISED</w:t>
                      </w:r>
                    </w:p>
                    <w:p w14:paraId="270AD6EA" w14:textId="657228D9" w:rsidR="0056721D" w:rsidRPr="00024C6F" w:rsidRDefault="0056721D" w:rsidP="004F68B9">
                      <w:pPr>
                        <w:rPr>
                          <w:rFonts w:asciiTheme="minorHAnsi" w:hAnsiTheme="minorHAnsi" w:cstheme="minorHAnsi"/>
                          <w:sz w:val="18"/>
                          <w:szCs w:val="18"/>
                        </w:rPr>
                      </w:pPr>
                      <w:r>
                        <w:rPr>
                          <w:rFonts w:cs="Arial"/>
                          <w:noProof/>
                          <w:lang w:val="en-ZA"/>
                        </w:rPr>
                        <w:t xml:space="preserve">                                            </w:t>
                      </w:r>
                    </w:p>
                    <w:p w14:paraId="55BBA880" w14:textId="2FC0B337"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Pr>
                          <w:rFonts w:asciiTheme="minorHAnsi" w:hAnsiTheme="minorHAnsi" w:cstheme="minorHAnsi"/>
                          <w:b/>
                          <w:sz w:val="18"/>
                          <w:szCs w:val="18"/>
                        </w:rPr>
                        <w:tab/>
                        <w:t xml:space="preserve">                                     </w:t>
                      </w:r>
                    </w:p>
                    <w:p w14:paraId="1B3C0F98" w14:textId="133497EE"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247C43">
                        <w:rPr>
                          <w:rFonts w:asciiTheme="minorHAnsi" w:hAnsiTheme="minorHAnsi" w:cstheme="minorHAnsi"/>
                          <w:sz w:val="18"/>
                          <w:szCs w:val="18"/>
                        </w:rPr>
                        <w:tab/>
                      </w:r>
                      <w:r w:rsidR="00247C43">
                        <w:rPr>
                          <w:rFonts w:asciiTheme="minorHAnsi" w:hAnsiTheme="minorHAnsi" w:cstheme="minorHAnsi"/>
                          <w:sz w:val="18"/>
                          <w:szCs w:val="18"/>
                        </w:rPr>
                        <w:tab/>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2815DC">
        <w:rPr>
          <w:b/>
        </w:rPr>
        <w:t>54065/2021</w:t>
      </w: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4B3E198B" w:rsidR="004467E0" w:rsidRPr="002815DC" w:rsidRDefault="002815DC" w:rsidP="004467E0">
      <w:pPr>
        <w:pStyle w:val="Parties"/>
        <w:spacing w:before="120"/>
        <w:jc w:val="left"/>
        <w:rPr>
          <w:lang w:val="en-GB"/>
        </w:rPr>
      </w:pPr>
      <w:r w:rsidRPr="002815DC">
        <w:rPr>
          <w:lang w:val="en-GB"/>
        </w:rPr>
        <w:t>In the matter between:</w:t>
      </w:r>
    </w:p>
    <w:p w14:paraId="3DDF161F" w14:textId="52C2FBFC" w:rsidR="00222D24" w:rsidRPr="00583E8E" w:rsidRDefault="00CF53B6" w:rsidP="004467E0">
      <w:pPr>
        <w:pStyle w:val="Parties"/>
        <w:spacing w:before="120"/>
        <w:jc w:val="left"/>
        <w:rPr>
          <w:b/>
          <w:bCs/>
          <w:lang w:val="en-GB"/>
        </w:rPr>
      </w:pPr>
      <w:r w:rsidRPr="00583E8E">
        <w:rPr>
          <w:b/>
          <w:bCs/>
          <w:lang w:val="en-GB"/>
        </w:rPr>
        <w:t xml:space="preserve"> </w:t>
      </w:r>
      <w:r w:rsidR="004467E0" w:rsidRPr="00583E8E">
        <w:rPr>
          <w:b/>
          <w:bCs/>
          <w:lang w:val="en-GB"/>
        </w:rPr>
        <w:t xml:space="preserve"> </w:t>
      </w:r>
      <w:r w:rsidR="00513887">
        <w:rPr>
          <w:b/>
          <w:bCs/>
          <w:lang w:val="en-GB"/>
        </w:rPr>
        <w:tab/>
      </w:r>
      <w:r w:rsidR="006510EA">
        <w:rPr>
          <w:bCs/>
          <w:lang w:val="en-GB"/>
        </w:rPr>
        <w:t>Applicant</w:t>
      </w:r>
    </w:p>
    <w:p w14:paraId="6BC5F65C" w14:textId="4105E5ED" w:rsidR="00513887" w:rsidRPr="002815DC" w:rsidRDefault="002815DC" w:rsidP="009C7480">
      <w:pPr>
        <w:pStyle w:val="Parties"/>
        <w:rPr>
          <w:b/>
          <w:bCs/>
          <w:lang w:val="en-GB"/>
        </w:rPr>
      </w:pPr>
      <w:r w:rsidRPr="002815DC">
        <w:rPr>
          <w:b/>
          <w:bCs/>
          <w:lang w:val="en-GB"/>
        </w:rPr>
        <w:t>CENTRALITY (PTY) LTD</w:t>
      </w:r>
    </w:p>
    <w:p w14:paraId="248928FA" w14:textId="77777777" w:rsidR="00513887" w:rsidRDefault="00513887" w:rsidP="009C7480">
      <w:pPr>
        <w:pStyle w:val="Parties"/>
        <w:rPr>
          <w:lang w:val="en-GB"/>
        </w:rPr>
      </w:pPr>
    </w:p>
    <w:p w14:paraId="39A0CC25" w14:textId="1AD46FFA" w:rsidR="00222D24" w:rsidRPr="00583E8E" w:rsidRDefault="007237D8" w:rsidP="009C7480">
      <w:pPr>
        <w:pStyle w:val="Parties"/>
        <w:rPr>
          <w:lang w:val="en-GB"/>
        </w:rPr>
      </w:pPr>
      <w:r w:rsidRPr="00583E8E">
        <w:rPr>
          <w:lang w:val="en-GB"/>
        </w:rPr>
        <w:t xml:space="preserve">and </w:t>
      </w:r>
    </w:p>
    <w:p w14:paraId="62D879C6" w14:textId="77777777" w:rsidR="00AA73D3" w:rsidRPr="00583E8E" w:rsidRDefault="00AA73D3" w:rsidP="009C7480">
      <w:pPr>
        <w:pStyle w:val="Parties"/>
        <w:rPr>
          <w:lang w:val="en-GB"/>
        </w:rPr>
      </w:pPr>
    </w:p>
    <w:p w14:paraId="02595CA8" w14:textId="77777777" w:rsidR="007237D8" w:rsidRPr="00583E8E" w:rsidRDefault="007237D8" w:rsidP="009C7480">
      <w:pPr>
        <w:pStyle w:val="Parties"/>
        <w:rPr>
          <w:lang w:val="en-GB"/>
        </w:rPr>
      </w:pPr>
    </w:p>
    <w:p w14:paraId="68C48074" w14:textId="795411C5" w:rsidR="00222D24" w:rsidRDefault="002815DC" w:rsidP="00222D24">
      <w:pPr>
        <w:pStyle w:val="Parties"/>
        <w:rPr>
          <w:lang w:val="en-GB"/>
        </w:rPr>
      </w:pPr>
      <w:r>
        <w:rPr>
          <w:b/>
          <w:bCs/>
          <w:lang w:val="en-GB"/>
        </w:rPr>
        <w:t>MATETE JOSEPH LEBAKENG</w:t>
      </w:r>
      <w:r w:rsidR="00222D24" w:rsidRPr="00583E8E">
        <w:rPr>
          <w:b/>
          <w:bCs/>
          <w:lang w:val="en-GB"/>
        </w:rPr>
        <w:tab/>
      </w:r>
      <w:r w:rsidR="00247C43">
        <w:rPr>
          <w:lang w:val="en-GB"/>
        </w:rPr>
        <w:t xml:space="preserve">First </w:t>
      </w:r>
      <w:r w:rsidR="006510EA">
        <w:rPr>
          <w:lang w:val="en-GB"/>
        </w:rPr>
        <w:t>Respondent</w:t>
      </w:r>
    </w:p>
    <w:p w14:paraId="4954DA8C" w14:textId="70C2FA49" w:rsidR="00247C43" w:rsidRDefault="00247C43" w:rsidP="00222D24">
      <w:pPr>
        <w:pStyle w:val="Parties"/>
        <w:rPr>
          <w:lang w:val="en-GB"/>
        </w:rPr>
      </w:pPr>
    </w:p>
    <w:p w14:paraId="2AE8B15B" w14:textId="207E8DE8" w:rsidR="000454EE" w:rsidRPr="000454EE" w:rsidRDefault="002815DC" w:rsidP="00222D24">
      <w:pPr>
        <w:pStyle w:val="Parties"/>
        <w:rPr>
          <w:b/>
          <w:lang w:val="en-GB"/>
        </w:rPr>
      </w:pPr>
      <w:r>
        <w:rPr>
          <w:b/>
          <w:lang w:val="en-GB"/>
        </w:rPr>
        <w:t xml:space="preserve">MPATI M LEBAKENG                                                                       </w:t>
      </w:r>
      <w:r w:rsidRPr="002815DC">
        <w:rPr>
          <w:bCs/>
          <w:lang w:val="en-GB"/>
        </w:rPr>
        <w:t xml:space="preserve">Second </w:t>
      </w:r>
      <w:r w:rsidR="006510EA">
        <w:rPr>
          <w:bCs/>
          <w:lang w:val="en-GB"/>
        </w:rPr>
        <w:t>Respondent</w:t>
      </w:r>
      <w:r w:rsidR="000454EE">
        <w:rPr>
          <w:b/>
          <w:lang w:val="en-GB"/>
        </w:rPr>
        <w:tab/>
      </w:r>
    </w:p>
    <w:p w14:paraId="0A15D974" w14:textId="46B6C85E" w:rsidR="009C7480" w:rsidRDefault="009C7480" w:rsidP="009C7480">
      <w:pPr>
        <w:pStyle w:val="Parties"/>
        <w:rPr>
          <w:lang w:val="en-GB"/>
        </w:rPr>
      </w:pPr>
    </w:p>
    <w:p w14:paraId="6D319BF5" w14:textId="703EB75A" w:rsidR="000454EE" w:rsidRDefault="00BF23A5" w:rsidP="009C7480">
      <w:pPr>
        <w:pStyle w:val="Parties"/>
        <w:rPr>
          <w:lang w:val="en-GB"/>
        </w:rPr>
      </w:pPr>
      <w:r>
        <w:rPr>
          <w:b/>
          <w:lang w:val="en-GB"/>
        </w:rPr>
        <w:t>LBK CONSULTING (PTY) LTD</w:t>
      </w:r>
      <w:r w:rsidR="000454EE">
        <w:rPr>
          <w:lang w:val="en-GB"/>
        </w:rPr>
        <w:tab/>
        <w:t xml:space="preserve">Third </w:t>
      </w:r>
      <w:r w:rsidR="006510EA">
        <w:rPr>
          <w:lang w:val="en-GB"/>
        </w:rPr>
        <w:t>Respondent</w:t>
      </w:r>
    </w:p>
    <w:p w14:paraId="0ED7BD26" w14:textId="49C7E890" w:rsidR="000454EE" w:rsidRDefault="000454EE" w:rsidP="009C7480">
      <w:pPr>
        <w:pStyle w:val="Parties"/>
        <w:rPr>
          <w:lang w:val="en-GB"/>
        </w:rPr>
      </w:pPr>
    </w:p>
    <w:p w14:paraId="1531B2B5" w14:textId="77777777" w:rsidR="000454EE" w:rsidRPr="00583E8E" w:rsidRDefault="000454EE" w:rsidP="009C7480">
      <w:pPr>
        <w:pStyle w:val="Parties"/>
        <w:rPr>
          <w:lang w:val="en-GB"/>
        </w:rPr>
      </w:pPr>
    </w:p>
    <w:p w14:paraId="63F6E058" w14:textId="6AE9AEE0" w:rsidR="00910908" w:rsidRPr="000454EE" w:rsidRDefault="00247C43" w:rsidP="000454EE">
      <w:pPr>
        <w:spacing w:after="200" w:line="360" w:lineRule="auto"/>
        <w:contextualSpacing/>
        <w:rPr>
          <w:rFonts w:eastAsia="Arial Unicode MS" w:cs="Arial"/>
          <w:bCs/>
          <w:szCs w:val="24"/>
          <w:lang w:eastAsia="zh-CN"/>
        </w:rPr>
      </w:pPr>
      <w:r w:rsidRPr="00583E8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583E8E">
        <w:rPr>
          <w:rFonts w:eastAsia="Arial Unicode MS" w:cs="Arial"/>
          <w:bCs/>
          <w:szCs w:val="24"/>
          <w:lang w:eastAsia="zh-CN"/>
        </w:rPr>
        <w:t>CaseLines</w:t>
      </w:r>
      <w:proofErr w:type="spellEnd"/>
      <w:r w:rsidRPr="00583E8E">
        <w:rPr>
          <w:rFonts w:eastAsia="Arial Unicode MS" w:cs="Arial"/>
          <w:bCs/>
          <w:szCs w:val="24"/>
          <w:lang w:eastAsia="zh-CN"/>
        </w:rPr>
        <w:t xml:space="preserve">. The date for hand-down is deemed to be </w:t>
      </w:r>
      <w:r w:rsidR="006409DC">
        <w:rPr>
          <w:rFonts w:eastAsia="Arial Unicode MS" w:cs="Arial"/>
          <w:bCs/>
          <w:szCs w:val="24"/>
          <w:lang w:eastAsia="zh-CN"/>
        </w:rPr>
        <w:t>25</w:t>
      </w:r>
      <w:r w:rsidR="00CB55F3">
        <w:rPr>
          <w:rFonts w:eastAsia="Arial Unicode MS" w:cs="Arial"/>
          <w:bCs/>
          <w:szCs w:val="24"/>
          <w:lang w:eastAsia="zh-CN"/>
        </w:rPr>
        <w:t xml:space="preserve"> </w:t>
      </w:r>
      <w:r w:rsidR="00273FA0">
        <w:rPr>
          <w:rFonts w:eastAsia="Arial Unicode MS" w:cs="Arial"/>
          <w:bCs/>
          <w:szCs w:val="24"/>
          <w:lang w:eastAsia="zh-CN"/>
        </w:rPr>
        <w:t>August</w:t>
      </w:r>
      <w:r w:rsidRPr="00583E8E">
        <w:rPr>
          <w:rFonts w:eastAsia="Arial Unicode MS" w:cs="Arial"/>
          <w:bCs/>
          <w:szCs w:val="24"/>
          <w:lang w:eastAsia="zh-CN"/>
        </w:rPr>
        <w:t xml:space="preserve"> 2023.</w:t>
      </w:r>
    </w:p>
    <w:p w14:paraId="4A060AAA" w14:textId="77777777" w:rsidR="009C7480" w:rsidRPr="00583E8E" w:rsidRDefault="009C7480" w:rsidP="00CB5C55"/>
    <w:p w14:paraId="665A472A" w14:textId="48EC0188" w:rsidR="00450A5A" w:rsidRPr="00583E8E" w:rsidRDefault="003A3344" w:rsidP="00763EF5">
      <w:pPr>
        <w:pStyle w:val="TramLines"/>
        <w:jc w:val="center"/>
      </w:pPr>
      <w:r w:rsidRPr="00583E8E">
        <w:t xml:space="preserve">JUDGMENT </w:t>
      </w:r>
    </w:p>
    <w:bookmarkEnd w:id="1"/>
    <w:p w14:paraId="1F36D8B1" w14:textId="77777777" w:rsidR="008A5CAB" w:rsidRPr="00583E8E" w:rsidRDefault="008A5CAB" w:rsidP="00130D1F">
      <w:pPr>
        <w:rPr>
          <w:b/>
        </w:rPr>
      </w:pPr>
    </w:p>
    <w:p w14:paraId="5B7A0E1F" w14:textId="334F969B" w:rsidR="00E81F46" w:rsidRPr="000454EE" w:rsidRDefault="00247C43" w:rsidP="00130D1F">
      <w:pPr>
        <w:rPr>
          <w:b/>
          <w:u w:val="single"/>
        </w:rPr>
      </w:pPr>
      <w:r>
        <w:rPr>
          <w:b/>
          <w:u w:val="single"/>
        </w:rPr>
        <w:lastRenderedPageBreak/>
        <w:t>CARRIM AJ</w:t>
      </w:r>
    </w:p>
    <w:p w14:paraId="6B2E8F94" w14:textId="3C603421" w:rsidR="00E81F46" w:rsidRPr="00FF2CA1" w:rsidRDefault="00513887" w:rsidP="00130D1F">
      <w:pPr>
        <w:rPr>
          <w:b/>
          <w:bCs/>
        </w:rPr>
      </w:pPr>
      <w:bookmarkStart w:id="2" w:name="_Hlk94344738"/>
      <w:r w:rsidRPr="00FF2CA1">
        <w:rPr>
          <w:b/>
          <w:bCs/>
        </w:rPr>
        <w:t>Introduction</w:t>
      </w:r>
    </w:p>
    <w:p w14:paraId="207DBC4A" w14:textId="5414C444" w:rsidR="00164976" w:rsidRDefault="008A5A95" w:rsidP="008A5A95">
      <w:pPr>
        <w:pStyle w:val="1"/>
        <w:numPr>
          <w:ilvl w:val="0"/>
          <w:numId w:val="0"/>
        </w:numPr>
        <w:tabs>
          <w:tab w:val="left" w:pos="567"/>
        </w:tabs>
        <w:ind w:left="567" w:hanging="567"/>
      </w:pPr>
      <w:r>
        <w:rPr>
          <w:rFonts w:cs="Arial"/>
          <w:sz w:val="22"/>
        </w:rPr>
        <w:t>[1]</w:t>
      </w:r>
      <w:r>
        <w:rPr>
          <w:rFonts w:cs="Arial"/>
          <w:sz w:val="22"/>
        </w:rPr>
        <w:tab/>
      </w:r>
      <w:r w:rsidR="00164976">
        <w:t xml:space="preserve">This is an application to refer the main application to trial in terms of </w:t>
      </w:r>
      <w:r w:rsidR="00CB55F3">
        <w:t>R</w:t>
      </w:r>
      <w:r w:rsidR="00164976">
        <w:t xml:space="preserve">ule 6(5)(g) for the first and second </w:t>
      </w:r>
      <w:r w:rsidR="006510EA">
        <w:t>Respondent</w:t>
      </w:r>
      <w:r w:rsidR="00164976">
        <w:t>s and Ms Barnard</w:t>
      </w:r>
      <w:r w:rsidR="006409DC">
        <w:t>, the architect that had been appointed by the Applicant,</w:t>
      </w:r>
      <w:r w:rsidR="00164976">
        <w:t xml:space="preserve"> to give evidence and for them to be cross-examined (“the transfer application”).</w:t>
      </w:r>
    </w:p>
    <w:p w14:paraId="47D0DC86" w14:textId="4082F177" w:rsidR="00235B43" w:rsidRPr="00235B43" w:rsidRDefault="00235B43" w:rsidP="00235B43">
      <w:pPr>
        <w:pStyle w:val="1"/>
        <w:numPr>
          <w:ilvl w:val="0"/>
          <w:numId w:val="0"/>
        </w:numPr>
        <w:rPr>
          <w:i/>
          <w:iCs w:val="0"/>
        </w:rPr>
      </w:pPr>
      <w:r w:rsidRPr="00235B43">
        <w:rPr>
          <w:i/>
          <w:iCs w:val="0"/>
        </w:rPr>
        <w:t>The main application</w:t>
      </w:r>
    </w:p>
    <w:p w14:paraId="4F31BE69" w14:textId="3E18AF95" w:rsidR="00164976" w:rsidRDefault="008A5A95" w:rsidP="008A5A95">
      <w:pPr>
        <w:pStyle w:val="1"/>
        <w:numPr>
          <w:ilvl w:val="0"/>
          <w:numId w:val="0"/>
        </w:numPr>
        <w:tabs>
          <w:tab w:val="left" w:pos="567"/>
        </w:tabs>
        <w:ind w:left="567" w:hanging="567"/>
      </w:pPr>
      <w:r>
        <w:rPr>
          <w:rFonts w:cs="Arial"/>
          <w:sz w:val="22"/>
        </w:rPr>
        <w:t>[2]</w:t>
      </w:r>
      <w:r>
        <w:rPr>
          <w:rFonts w:cs="Arial"/>
          <w:sz w:val="22"/>
        </w:rPr>
        <w:tab/>
      </w:r>
      <w:r w:rsidR="00164976">
        <w:t xml:space="preserve">The main application was launched in November 2021 by the </w:t>
      </w:r>
      <w:r w:rsidR="006510EA">
        <w:t>Applicant</w:t>
      </w:r>
      <w:r w:rsidR="00164976">
        <w:t xml:space="preserve"> in which it</w:t>
      </w:r>
      <w:r w:rsidR="00164976" w:rsidRPr="00164976">
        <w:t xml:space="preserve"> </w:t>
      </w:r>
      <w:r w:rsidR="00164976">
        <w:t>claims the amount of R570 081.47</w:t>
      </w:r>
      <w:r w:rsidR="00E7522F">
        <w:t>,</w:t>
      </w:r>
      <w:r w:rsidR="00164976">
        <w:t xml:space="preserve"> together with interest thereon from the </w:t>
      </w:r>
      <w:r w:rsidR="006510EA">
        <w:t>Respondent</w:t>
      </w:r>
      <w:r w:rsidR="00164976">
        <w:t>s</w:t>
      </w:r>
      <w:r w:rsidR="00E7522F">
        <w:t>,</w:t>
      </w:r>
      <w:r w:rsidR="00164976">
        <w:t xml:space="preserve"> jointly and severally.</w:t>
      </w:r>
    </w:p>
    <w:p w14:paraId="67999B8F" w14:textId="3A0A2A87" w:rsidR="00164976" w:rsidRDefault="008A5A95" w:rsidP="008A5A95">
      <w:pPr>
        <w:pStyle w:val="1"/>
        <w:numPr>
          <w:ilvl w:val="0"/>
          <w:numId w:val="0"/>
        </w:numPr>
        <w:tabs>
          <w:tab w:val="left" w:pos="567"/>
        </w:tabs>
        <w:ind w:left="567" w:hanging="567"/>
      </w:pPr>
      <w:r>
        <w:rPr>
          <w:rFonts w:cs="Arial"/>
          <w:sz w:val="22"/>
        </w:rPr>
        <w:t>[3]</w:t>
      </w:r>
      <w:r>
        <w:rPr>
          <w:rFonts w:cs="Arial"/>
          <w:sz w:val="22"/>
        </w:rPr>
        <w:tab/>
      </w:r>
      <w:r w:rsidR="00164976">
        <w:t xml:space="preserve">The </w:t>
      </w:r>
      <w:r w:rsidR="003717A1">
        <w:t xml:space="preserve">essential </w:t>
      </w:r>
      <w:r w:rsidR="00164976">
        <w:t xml:space="preserve">dispute between the parties revolves around the supply of glass and aluminium fittings by the </w:t>
      </w:r>
      <w:r w:rsidR="006510EA">
        <w:t>Applicant</w:t>
      </w:r>
      <w:r w:rsidR="00164976">
        <w:t xml:space="preserve"> to the </w:t>
      </w:r>
      <w:r w:rsidR="006510EA">
        <w:t>Respondent</w:t>
      </w:r>
      <w:r w:rsidR="00164976">
        <w:t xml:space="preserve">s on a property at </w:t>
      </w:r>
      <w:r w:rsidR="002811D7">
        <w:t>[M…]</w:t>
      </w:r>
      <w:r w:rsidR="00164976">
        <w:t xml:space="preserve">, </w:t>
      </w:r>
      <w:proofErr w:type="gramStart"/>
      <w:r w:rsidR="00164976">
        <w:t>L</w:t>
      </w:r>
      <w:r w:rsidR="002811D7">
        <w:t>[</w:t>
      </w:r>
      <w:proofErr w:type="gramEnd"/>
      <w:r w:rsidR="002811D7">
        <w:t>…]</w:t>
      </w:r>
      <w:r w:rsidR="00164976">
        <w:t xml:space="preserve">. </w:t>
      </w:r>
    </w:p>
    <w:p w14:paraId="15DDB1FC" w14:textId="46F83A76" w:rsidR="00164976" w:rsidRDefault="008A5A95" w:rsidP="008A5A95">
      <w:pPr>
        <w:pStyle w:val="1"/>
        <w:numPr>
          <w:ilvl w:val="0"/>
          <w:numId w:val="0"/>
        </w:numPr>
        <w:tabs>
          <w:tab w:val="left" w:pos="567"/>
        </w:tabs>
        <w:ind w:left="567" w:hanging="567"/>
      </w:pPr>
      <w:r>
        <w:rPr>
          <w:rFonts w:cs="Arial"/>
          <w:sz w:val="22"/>
        </w:rPr>
        <w:t>[4]</w:t>
      </w:r>
      <w:r>
        <w:rPr>
          <w:rFonts w:cs="Arial"/>
          <w:sz w:val="22"/>
        </w:rPr>
        <w:tab/>
      </w:r>
      <w:r w:rsidR="00164976">
        <w:t xml:space="preserve">The </w:t>
      </w:r>
      <w:r w:rsidR="006510EA">
        <w:t>Applicant</w:t>
      </w:r>
      <w:r w:rsidR="00164976">
        <w:t xml:space="preserve">’s version is that it supplied the </w:t>
      </w:r>
      <w:r w:rsidR="006510EA">
        <w:t>Respondent</w:t>
      </w:r>
      <w:r w:rsidR="00164976">
        <w:t xml:space="preserve">s with aluminium and glass fittings and installed same at the property.  The </w:t>
      </w:r>
      <w:r w:rsidR="006510EA">
        <w:t>Applicant</w:t>
      </w:r>
      <w:r w:rsidR="00164976">
        <w:t xml:space="preserve"> acknowledges that the </w:t>
      </w:r>
      <w:r w:rsidR="006510EA">
        <w:t>Respondent</w:t>
      </w:r>
      <w:r w:rsidR="00164976">
        <w:t xml:space="preserve">s </w:t>
      </w:r>
      <w:r w:rsidR="00075658">
        <w:t xml:space="preserve">had </w:t>
      </w:r>
      <w:r w:rsidR="00164976">
        <w:t xml:space="preserve">disputed the amount claimed on the basis that the installation was not in accordance with the </w:t>
      </w:r>
      <w:r w:rsidR="00164976" w:rsidRPr="00103DCB">
        <w:t>SANS</w:t>
      </w:r>
      <w:r w:rsidR="00164976">
        <w:t xml:space="preserve"> specifications and the workmanship was poor.</w:t>
      </w:r>
      <w:r w:rsidR="00164976">
        <w:rPr>
          <w:rStyle w:val="FootnoteReference"/>
        </w:rPr>
        <w:footnoteReference w:id="1"/>
      </w:r>
      <w:r w:rsidR="00164976">
        <w:t xml:space="preserve">  The </w:t>
      </w:r>
      <w:r w:rsidR="006510EA">
        <w:t>Applicant</w:t>
      </w:r>
      <w:r w:rsidR="00164976">
        <w:t xml:space="preserve"> alleges that despite attempting to resolve this</w:t>
      </w:r>
      <w:r w:rsidR="00E7522F">
        <w:t>,</w:t>
      </w:r>
      <w:r w:rsidR="00164976">
        <w:t xml:space="preserve"> the </w:t>
      </w:r>
      <w:r w:rsidR="006510EA">
        <w:t>Respondent</w:t>
      </w:r>
      <w:r w:rsidR="00164976">
        <w:t xml:space="preserve">s have not specified what it is that they are dissatisfied with and have not attended meetings scheduled with the </w:t>
      </w:r>
      <w:r w:rsidR="006510EA">
        <w:t>Applicant</w:t>
      </w:r>
      <w:r w:rsidR="00164976">
        <w:t>’s representative</w:t>
      </w:r>
      <w:r w:rsidR="00E7522F">
        <w:t>,</w:t>
      </w:r>
      <w:r w:rsidR="00164976">
        <w:t xml:space="preserve"> in an effort to resolve the dispute.</w:t>
      </w:r>
    </w:p>
    <w:p w14:paraId="206376E3" w14:textId="42E0D92C" w:rsidR="00075658" w:rsidRDefault="008A5A95" w:rsidP="008A5A95">
      <w:pPr>
        <w:pStyle w:val="1"/>
        <w:numPr>
          <w:ilvl w:val="0"/>
          <w:numId w:val="0"/>
        </w:numPr>
        <w:tabs>
          <w:tab w:val="left" w:pos="567"/>
        </w:tabs>
        <w:ind w:left="567" w:hanging="567"/>
      </w:pPr>
      <w:r>
        <w:rPr>
          <w:rFonts w:cs="Arial"/>
          <w:sz w:val="22"/>
        </w:rPr>
        <w:lastRenderedPageBreak/>
        <w:t>[5]</w:t>
      </w:r>
      <w:r>
        <w:rPr>
          <w:rFonts w:cs="Arial"/>
          <w:sz w:val="22"/>
        </w:rPr>
        <w:tab/>
      </w:r>
      <w:r w:rsidR="00164976">
        <w:t xml:space="preserve">The </w:t>
      </w:r>
      <w:r w:rsidR="006510EA">
        <w:t>Respondent</w:t>
      </w:r>
      <w:r w:rsidR="00164976">
        <w:t>s filed a notice to oppose</w:t>
      </w:r>
      <w:r w:rsidR="003717A1">
        <w:t xml:space="preserve"> but</w:t>
      </w:r>
      <w:r w:rsidR="00164976">
        <w:t xml:space="preserve"> had failed to file an answering affidavit in time</w:t>
      </w:r>
      <w:r w:rsidR="003717A1">
        <w:t>. T</w:t>
      </w:r>
      <w:r w:rsidR="00164976">
        <w:t xml:space="preserve">he matter was enrolled on the unopposed roll for 20 October 2022.  The matter was removed from the unopposed roll because </w:t>
      </w:r>
      <w:r w:rsidR="006510EA">
        <w:t>Respondent</w:t>
      </w:r>
      <w:r w:rsidR="00164976">
        <w:t>s filed their answering affidavit on 19 October 2022.</w:t>
      </w:r>
      <w:r w:rsidR="00075658" w:rsidRPr="00075658">
        <w:t xml:space="preserve"> </w:t>
      </w:r>
      <w:r w:rsidR="00075658">
        <w:t xml:space="preserve">The </w:t>
      </w:r>
      <w:r w:rsidR="006510EA">
        <w:t>Respondent</w:t>
      </w:r>
      <w:r w:rsidR="00075658">
        <w:t>s seek condonation of the late filing of the answering affidavit, which was granted by me at the commencement of the hearing.</w:t>
      </w:r>
    </w:p>
    <w:p w14:paraId="603FC68C" w14:textId="68D80912" w:rsidR="00164976" w:rsidRDefault="008A5A95" w:rsidP="008A5A95">
      <w:pPr>
        <w:pStyle w:val="1"/>
        <w:numPr>
          <w:ilvl w:val="0"/>
          <w:numId w:val="0"/>
        </w:numPr>
        <w:tabs>
          <w:tab w:val="left" w:pos="567"/>
        </w:tabs>
        <w:ind w:left="567" w:hanging="567"/>
      </w:pPr>
      <w:r>
        <w:rPr>
          <w:rFonts w:cs="Arial"/>
          <w:sz w:val="22"/>
        </w:rPr>
        <w:t>[6]</w:t>
      </w:r>
      <w:r>
        <w:rPr>
          <w:rFonts w:cs="Arial"/>
          <w:sz w:val="22"/>
        </w:rPr>
        <w:tab/>
      </w:r>
      <w:r w:rsidR="00164976">
        <w:t xml:space="preserve">In their answering affidavit in the main application, the </w:t>
      </w:r>
      <w:r w:rsidR="006510EA">
        <w:t>Respondent</w:t>
      </w:r>
      <w:r w:rsidR="00164976">
        <w:t xml:space="preserve">s seek a dismissal of the application due to material disputes of fact and misjoinder.   </w:t>
      </w:r>
      <w:r w:rsidR="00A037C6">
        <w:t xml:space="preserve">They dispute the liability of the first and second Respondents on the basis that they were acting in a representative capacity for third Respondent. </w:t>
      </w:r>
      <w:r w:rsidR="00164976">
        <w:t>They dispute the amount claimed and have brought a counterapplication.</w:t>
      </w:r>
    </w:p>
    <w:p w14:paraId="5B887DB5" w14:textId="7284B9C7" w:rsidR="00075658" w:rsidRDefault="008A5A95" w:rsidP="008A5A95">
      <w:pPr>
        <w:pStyle w:val="1"/>
        <w:numPr>
          <w:ilvl w:val="0"/>
          <w:numId w:val="0"/>
        </w:numPr>
        <w:tabs>
          <w:tab w:val="left" w:pos="567"/>
        </w:tabs>
        <w:ind w:left="567" w:hanging="567"/>
      </w:pPr>
      <w:r>
        <w:rPr>
          <w:rFonts w:cs="Arial"/>
          <w:sz w:val="22"/>
        </w:rPr>
        <w:t>[7]</w:t>
      </w:r>
      <w:r>
        <w:rPr>
          <w:rFonts w:cs="Arial"/>
          <w:sz w:val="22"/>
        </w:rPr>
        <w:tab/>
      </w:r>
      <w:r w:rsidR="00164976">
        <w:t xml:space="preserve">The </w:t>
      </w:r>
      <w:r w:rsidR="006510EA">
        <w:t>Respondent</w:t>
      </w:r>
      <w:r w:rsidR="00164976">
        <w:t xml:space="preserve">s’ version is that after the </w:t>
      </w:r>
      <w:r w:rsidR="006510EA">
        <w:t>Applicant</w:t>
      </w:r>
      <w:r w:rsidR="00164976">
        <w:t xml:space="preserve"> had installed the aluminium and glass fittings, it issued a certificate of conformance which stated that the materials complied with technical specifications and the installation was done in accordance with SANS 10400-1990- Part N and SANS 10137.</w:t>
      </w:r>
      <w:r w:rsidR="00164976">
        <w:rPr>
          <w:rStyle w:val="FootnoteReference"/>
        </w:rPr>
        <w:footnoteReference w:id="2"/>
      </w:r>
      <w:r w:rsidR="00164976">
        <w:t xml:space="preserve"> </w:t>
      </w:r>
      <w:r w:rsidR="00075658">
        <w:t xml:space="preserve"> </w:t>
      </w:r>
    </w:p>
    <w:p w14:paraId="5D071C11" w14:textId="0329B801" w:rsidR="00075658" w:rsidRDefault="008A5A95" w:rsidP="008A5A95">
      <w:pPr>
        <w:pStyle w:val="1"/>
        <w:numPr>
          <w:ilvl w:val="0"/>
          <w:numId w:val="0"/>
        </w:numPr>
        <w:tabs>
          <w:tab w:val="left" w:pos="567"/>
        </w:tabs>
        <w:ind w:left="567" w:hanging="567"/>
      </w:pPr>
      <w:r>
        <w:rPr>
          <w:rFonts w:cs="Arial"/>
          <w:sz w:val="22"/>
        </w:rPr>
        <w:t>[8]</w:t>
      </w:r>
      <w:r>
        <w:rPr>
          <w:rFonts w:cs="Arial"/>
          <w:sz w:val="22"/>
        </w:rPr>
        <w:tab/>
      </w:r>
      <w:r w:rsidR="00075658">
        <w:t xml:space="preserve">After the second and third </w:t>
      </w:r>
      <w:r w:rsidR="006510EA">
        <w:t>Respondent</w:t>
      </w:r>
      <w:r w:rsidR="00075658">
        <w:t xml:space="preserve">s moved into the property, glaring deficiencies in the workmanship were identified and in all instances the </w:t>
      </w:r>
      <w:r w:rsidR="006510EA">
        <w:t>Applicant</w:t>
      </w:r>
      <w:r w:rsidR="00075658">
        <w:t xml:space="preserve"> was invited to correct these, without success. </w:t>
      </w:r>
      <w:r w:rsidR="00E7522F">
        <w:t>The</w:t>
      </w:r>
      <w:r w:rsidR="00A037C6">
        <w:t xml:space="preserve"> </w:t>
      </w:r>
      <w:r w:rsidR="00075658">
        <w:t xml:space="preserve">Respondent then enlisted the assistance of Ms Barnard, to liaise with </w:t>
      </w:r>
      <w:proofErr w:type="spellStart"/>
      <w:r w:rsidR="00075658">
        <w:t>T</w:t>
      </w:r>
      <w:r w:rsidR="006409DC">
        <w:t>h</w:t>
      </w:r>
      <w:r w:rsidR="00075658">
        <w:t>inus</w:t>
      </w:r>
      <w:proofErr w:type="spellEnd"/>
      <w:r w:rsidR="00A037C6">
        <w:t xml:space="preserve"> (Mr </w:t>
      </w:r>
      <w:proofErr w:type="spellStart"/>
      <w:r w:rsidR="00A037C6">
        <w:t>Thinus</w:t>
      </w:r>
      <w:proofErr w:type="spellEnd"/>
      <w:r w:rsidR="00A037C6">
        <w:t xml:space="preserve"> </w:t>
      </w:r>
      <w:proofErr w:type="spellStart"/>
      <w:r w:rsidR="00A037C6">
        <w:t>Cloete</w:t>
      </w:r>
      <w:proofErr w:type="spellEnd"/>
      <w:r w:rsidR="00A037C6">
        <w:t>)</w:t>
      </w:r>
      <w:r w:rsidR="00075658">
        <w:t xml:space="preserve">, the </w:t>
      </w:r>
      <w:r w:rsidR="006510EA">
        <w:t>Applicant</w:t>
      </w:r>
      <w:r w:rsidR="00075658">
        <w:t xml:space="preserve">’s employee. </w:t>
      </w:r>
    </w:p>
    <w:p w14:paraId="74CCA352" w14:textId="24AC5AF2" w:rsidR="00075658" w:rsidRDefault="008A5A95" w:rsidP="008A5A95">
      <w:pPr>
        <w:pStyle w:val="1"/>
        <w:numPr>
          <w:ilvl w:val="0"/>
          <w:numId w:val="0"/>
        </w:numPr>
        <w:tabs>
          <w:tab w:val="left" w:pos="567"/>
        </w:tabs>
        <w:ind w:left="567" w:hanging="567"/>
      </w:pPr>
      <w:r>
        <w:rPr>
          <w:rFonts w:cs="Arial"/>
          <w:sz w:val="22"/>
        </w:rPr>
        <w:t>[9]</w:t>
      </w:r>
      <w:r>
        <w:rPr>
          <w:rFonts w:cs="Arial"/>
          <w:sz w:val="22"/>
        </w:rPr>
        <w:tab/>
      </w:r>
      <w:r w:rsidR="00075658">
        <w:t xml:space="preserve">There have been various requests by Ms Barnard for the </w:t>
      </w:r>
      <w:r w:rsidR="006510EA">
        <w:t>Applicant</w:t>
      </w:r>
      <w:r w:rsidR="00075658">
        <w:t xml:space="preserve"> to rectify the </w:t>
      </w:r>
      <w:r w:rsidR="00075658">
        <w:lastRenderedPageBreak/>
        <w:t>various defects however</w:t>
      </w:r>
      <w:r w:rsidR="00E7522F">
        <w:t>,</w:t>
      </w:r>
      <w:r w:rsidR="00075658">
        <w:t xml:space="preserve"> the </w:t>
      </w:r>
      <w:r w:rsidR="006510EA">
        <w:t>Applicant</w:t>
      </w:r>
      <w:r w:rsidR="00075658">
        <w:t xml:space="preserve"> has failed and/or neglected to attend to the defects.  </w:t>
      </w:r>
    </w:p>
    <w:p w14:paraId="09B0D92E" w14:textId="0FC21BAC" w:rsidR="00164976" w:rsidRDefault="008A5A95" w:rsidP="008A5A95">
      <w:pPr>
        <w:pStyle w:val="1"/>
        <w:numPr>
          <w:ilvl w:val="0"/>
          <w:numId w:val="0"/>
        </w:numPr>
        <w:tabs>
          <w:tab w:val="left" w:pos="567"/>
        </w:tabs>
        <w:ind w:left="567" w:hanging="567"/>
      </w:pPr>
      <w:r>
        <w:rPr>
          <w:rFonts w:cs="Arial"/>
          <w:sz w:val="22"/>
        </w:rPr>
        <w:t>[10]</w:t>
      </w:r>
      <w:r>
        <w:rPr>
          <w:rFonts w:cs="Arial"/>
          <w:sz w:val="22"/>
        </w:rPr>
        <w:tab/>
      </w:r>
      <w:r w:rsidR="00164976">
        <w:t xml:space="preserve">Having observed a great degree of poor workmanship in the installation of the products by the </w:t>
      </w:r>
      <w:r w:rsidR="00164976" w:rsidRPr="006510EA">
        <w:t>Applicant</w:t>
      </w:r>
      <w:r w:rsidR="00164976">
        <w:t xml:space="preserve"> and the quality of the products, </w:t>
      </w:r>
      <w:r w:rsidR="002A14E3">
        <w:t xml:space="preserve">the </w:t>
      </w:r>
      <w:r w:rsidR="00164976">
        <w:t xml:space="preserve">third </w:t>
      </w:r>
      <w:r w:rsidR="006510EA">
        <w:t>Respondent</w:t>
      </w:r>
      <w:r w:rsidR="00164976">
        <w:t xml:space="preserve">s </w:t>
      </w:r>
      <w:r w:rsidR="00075658">
        <w:t xml:space="preserve">then </w:t>
      </w:r>
      <w:r w:rsidR="00164976">
        <w:t>appointed the services of the Association of Architectural Aluminium Manufacturers of South Africa (</w:t>
      </w:r>
      <w:r w:rsidR="004A6C6C">
        <w:t>“</w:t>
      </w:r>
      <w:r w:rsidR="00164976">
        <w:t>AAMSA</w:t>
      </w:r>
      <w:r w:rsidR="004A6C6C">
        <w:t>”</w:t>
      </w:r>
      <w:r w:rsidR="00164976">
        <w:t xml:space="preserve">) to conduct a full inspection of the products supplied and installed by the </w:t>
      </w:r>
      <w:r w:rsidR="006510EA">
        <w:t>Applicant</w:t>
      </w:r>
      <w:r w:rsidR="00164976">
        <w:t xml:space="preserve">. A copy of the report is attached as </w:t>
      </w:r>
      <w:r w:rsidR="00164976" w:rsidRPr="00075658">
        <w:t xml:space="preserve">Annexure </w:t>
      </w:r>
      <w:r w:rsidR="005D1D89">
        <w:t>“</w:t>
      </w:r>
      <w:r w:rsidR="00164976" w:rsidRPr="00075658">
        <w:t>FA16</w:t>
      </w:r>
      <w:r w:rsidR="005D1D89">
        <w:t>”</w:t>
      </w:r>
      <w:r w:rsidR="00075658" w:rsidRPr="00075658">
        <w:t xml:space="preserve"> to the founding affidavit</w:t>
      </w:r>
      <w:r w:rsidR="00164976">
        <w:t xml:space="preserve">. </w:t>
      </w:r>
    </w:p>
    <w:p w14:paraId="608877E6" w14:textId="32CD79B0" w:rsidR="00164976" w:rsidRDefault="008A5A95" w:rsidP="008A5A95">
      <w:pPr>
        <w:pStyle w:val="1"/>
        <w:numPr>
          <w:ilvl w:val="0"/>
          <w:numId w:val="0"/>
        </w:numPr>
        <w:tabs>
          <w:tab w:val="left" w:pos="567"/>
        </w:tabs>
        <w:ind w:left="567" w:hanging="567"/>
      </w:pPr>
      <w:r>
        <w:rPr>
          <w:rFonts w:cs="Arial"/>
          <w:sz w:val="22"/>
        </w:rPr>
        <w:t>[11]</w:t>
      </w:r>
      <w:r>
        <w:rPr>
          <w:rFonts w:cs="Arial"/>
          <w:sz w:val="22"/>
        </w:rPr>
        <w:tab/>
      </w:r>
      <w:r w:rsidR="00164976">
        <w:t>The AAMSA report made key findings regarding the quality of the products supplied and the flaws in the installation thereof.  It is unnecessary to deal with these in greater detail save to say that the report makes adverse findings in relation to the materials supplied and the applicable standard of installation of the products.</w:t>
      </w:r>
    </w:p>
    <w:p w14:paraId="6E6CA99D" w14:textId="5024E762" w:rsidR="00164976" w:rsidRDefault="008A5A95" w:rsidP="008A5A95">
      <w:pPr>
        <w:pStyle w:val="1"/>
        <w:numPr>
          <w:ilvl w:val="0"/>
          <w:numId w:val="0"/>
        </w:numPr>
        <w:tabs>
          <w:tab w:val="left" w:pos="567"/>
        </w:tabs>
        <w:ind w:left="567" w:hanging="567"/>
      </w:pPr>
      <w:r>
        <w:rPr>
          <w:rFonts w:cs="Arial"/>
          <w:sz w:val="22"/>
        </w:rPr>
        <w:t>[12]</w:t>
      </w:r>
      <w:r>
        <w:rPr>
          <w:rFonts w:cs="Arial"/>
          <w:sz w:val="22"/>
        </w:rPr>
        <w:tab/>
      </w:r>
      <w:r w:rsidR="00164976">
        <w:t xml:space="preserve">The findings of the AAMSA report were shared with the </w:t>
      </w:r>
      <w:r w:rsidR="006510EA">
        <w:t>Applicant</w:t>
      </w:r>
      <w:r w:rsidR="00164976">
        <w:t xml:space="preserve"> who through its attorneys categorically disputed the AAMSA findings but agreed to replace/rectify certain concerns raised in the report and provided a further quotation of R284 646.65</w:t>
      </w:r>
      <w:r w:rsidR="002A14E3">
        <w:t>,</w:t>
      </w:r>
      <w:r w:rsidR="00164976">
        <w:t xml:space="preserve"> dated 26 October 2021 to fix these issues</w:t>
      </w:r>
      <w:r w:rsidR="00075658">
        <w:t xml:space="preserve"> which it alleged were not in its scope of work</w:t>
      </w:r>
      <w:r w:rsidR="00164976">
        <w:t>.</w:t>
      </w:r>
      <w:r w:rsidR="00164976">
        <w:rPr>
          <w:rStyle w:val="FootnoteReference"/>
        </w:rPr>
        <w:footnoteReference w:id="3"/>
      </w:r>
    </w:p>
    <w:p w14:paraId="2E95B8FC" w14:textId="22346C21" w:rsidR="00A037C6" w:rsidRDefault="008A5A95" w:rsidP="008A5A95">
      <w:pPr>
        <w:pStyle w:val="1"/>
        <w:numPr>
          <w:ilvl w:val="0"/>
          <w:numId w:val="0"/>
        </w:numPr>
        <w:tabs>
          <w:tab w:val="left" w:pos="567"/>
        </w:tabs>
        <w:ind w:left="567" w:hanging="567"/>
      </w:pPr>
      <w:r>
        <w:rPr>
          <w:rFonts w:cs="Arial"/>
          <w:sz w:val="22"/>
        </w:rPr>
        <w:t>[13]</w:t>
      </w:r>
      <w:r>
        <w:rPr>
          <w:rFonts w:cs="Arial"/>
          <w:sz w:val="22"/>
        </w:rPr>
        <w:tab/>
      </w:r>
      <w:r w:rsidR="00A037C6">
        <w:t>Ms Barnard has attached a confirmatory affidavit.</w:t>
      </w:r>
      <w:r w:rsidR="00A037C6">
        <w:rPr>
          <w:rStyle w:val="FootnoteReference"/>
        </w:rPr>
        <w:footnoteReference w:id="4"/>
      </w:r>
    </w:p>
    <w:p w14:paraId="1E675D19" w14:textId="121DF45E" w:rsidR="00164976" w:rsidRDefault="008A5A95" w:rsidP="008A5A95">
      <w:pPr>
        <w:pStyle w:val="1"/>
        <w:numPr>
          <w:ilvl w:val="0"/>
          <w:numId w:val="0"/>
        </w:numPr>
        <w:tabs>
          <w:tab w:val="left" w:pos="567"/>
        </w:tabs>
        <w:ind w:left="567" w:hanging="567"/>
      </w:pPr>
      <w:r>
        <w:rPr>
          <w:rFonts w:cs="Arial"/>
          <w:sz w:val="22"/>
        </w:rPr>
        <w:t>[14]</w:t>
      </w:r>
      <w:r>
        <w:rPr>
          <w:rFonts w:cs="Arial"/>
          <w:sz w:val="22"/>
        </w:rPr>
        <w:tab/>
      </w:r>
      <w:r w:rsidR="00164976">
        <w:t xml:space="preserve">The </w:t>
      </w:r>
      <w:r w:rsidR="006510EA">
        <w:t>Applicant</w:t>
      </w:r>
      <w:r w:rsidR="00164976">
        <w:t xml:space="preserve"> did not file a replying affidavit to the </w:t>
      </w:r>
      <w:r w:rsidR="006510EA">
        <w:t>Respondent</w:t>
      </w:r>
      <w:r w:rsidR="00164976">
        <w:t xml:space="preserve">s’ answering </w:t>
      </w:r>
      <w:r w:rsidR="00164976">
        <w:lastRenderedPageBreak/>
        <w:t xml:space="preserve">affidavit in the main application. Instead, it filed </w:t>
      </w:r>
      <w:r w:rsidR="00CE5936">
        <w:t>this</w:t>
      </w:r>
      <w:r w:rsidR="00164976">
        <w:t xml:space="preserve"> application for the matter to be referred to trial</w:t>
      </w:r>
      <w:r w:rsidR="00A037C6">
        <w:t xml:space="preserve"> some five months later</w:t>
      </w:r>
      <w:r w:rsidR="00164976">
        <w:t>.</w:t>
      </w:r>
      <w:r w:rsidR="00164976">
        <w:rPr>
          <w:rStyle w:val="FootnoteReference"/>
        </w:rPr>
        <w:footnoteReference w:id="5"/>
      </w:r>
      <w:r w:rsidR="00164976">
        <w:t xml:space="preserve">  (‘t</w:t>
      </w:r>
      <w:r w:rsidR="00075658">
        <w:t xml:space="preserve">ransfer </w:t>
      </w:r>
      <w:r w:rsidR="00164976">
        <w:t>application’)</w:t>
      </w:r>
    </w:p>
    <w:p w14:paraId="7DDBAA96" w14:textId="6C4AF175" w:rsidR="00075658" w:rsidRDefault="008A5A95" w:rsidP="008A5A95">
      <w:pPr>
        <w:pStyle w:val="1"/>
        <w:numPr>
          <w:ilvl w:val="0"/>
          <w:numId w:val="0"/>
        </w:numPr>
        <w:tabs>
          <w:tab w:val="left" w:pos="567"/>
        </w:tabs>
        <w:ind w:left="567" w:hanging="567"/>
      </w:pPr>
      <w:r>
        <w:rPr>
          <w:rFonts w:cs="Arial"/>
          <w:sz w:val="22"/>
        </w:rPr>
        <w:t>[15]</w:t>
      </w:r>
      <w:r>
        <w:rPr>
          <w:rFonts w:cs="Arial"/>
          <w:sz w:val="22"/>
        </w:rPr>
        <w:tab/>
      </w:r>
      <w:r w:rsidR="00075658">
        <w:t xml:space="preserve">The </w:t>
      </w:r>
      <w:r w:rsidR="006510EA">
        <w:t>Applicant</w:t>
      </w:r>
      <w:r w:rsidR="00075658">
        <w:t xml:space="preserve"> was late in filing its replying affidavit in the transfer application and sought condonation thereof which was granted by me at the commencement of the hearing.</w:t>
      </w:r>
    </w:p>
    <w:p w14:paraId="6BE090F6" w14:textId="2E5F6E86" w:rsidR="00235B43" w:rsidRPr="00235B43" w:rsidRDefault="00235B43" w:rsidP="00235B43">
      <w:pPr>
        <w:pStyle w:val="1"/>
        <w:numPr>
          <w:ilvl w:val="0"/>
          <w:numId w:val="0"/>
        </w:numPr>
        <w:rPr>
          <w:i/>
          <w:iCs w:val="0"/>
        </w:rPr>
      </w:pPr>
      <w:r w:rsidRPr="00235B43">
        <w:rPr>
          <w:i/>
          <w:iCs w:val="0"/>
        </w:rPr>
        <w:t>The transfer application</w:t>
      </w:r>
    </w:p>
    <w:p w14:paraId="702B8DB5" w14:textId="0383A483" w:rsidR="00EA2C26" w:rsidRDefault="008A5A95" w:rsidP="008A5A95">
      <w:pPr>
        <w:pStyle w:val="1"/>
        <w:numPr>
          <w:ilvl w:val="0"/>
          <w:numId w:val="0"/>
        </w:numPr>
        <w:tabs>
          <w:tab w:val="left" w:pos="567"/>
        </w:tabs>
        <w:ind w:left="567" w:hanging="567"/>
      </w:pPr>
      <w:r>
        <w:rPr>
          <w:rFonts w:cs="Arial"/>
          <w:sz w:val="22"/>
        </w:rPr>
        <w:t>[16]</w:t>
      </w:r>
      <w:r>
        <w:rPr>
          <w:rFonts w:cs="Arial"/>
          <w:sz w:val="22"/>
        </w:rPr>
        <w:tab/>
      </w:r>
      <w:r w:rsidR="00164976">
        <w:t xml:space="preserve">The </w:t>
      </w:r>
      <w:r w:rsidR="006510EA">
        <w:t>Applicant</w:t>
      </w:r>
      <w:r w:rsidR="00164976">
        <w:t xml:space="preserve"> </w:t>
      </w:r>
      <w:r w:rsidR="00235B43">
        <w:t>submits</w:t>
      </w:r>
      <w:r w:rsidR="00164976">
        <w:t xml:space="preserve"> that</w:t>
      </w:r>
      <w:r w:rsidR="00075658">
        <w:t xml:space="preserve"> it</w:t>
      </w:r>
      <w:r w:rsidR="00EA2C26">
        <w:t xml:space="preserve"> seeks transfer of the matter to trial because oral evidence would need to be heard and witnesses would need to be cross-examined in respect of - </w:t>
      </w:r>
    </w:p>
    <w:p w14:paraId="6726B6B4" w14:textId="732592F5" w:rsidR="00EA2C26" w:rsidRDefault="008A5A95" w:rsidP="008A5A95">
      <w:pPr>
        <w:pStyle w:val="2"/>
        <w:numPr>
          <w:ilvl w:val="0"/>
          <w:numId w:val="0"/>
        </w:numPr>
        <w:tabs>
          <w:tab w:val="left" w:pos="1418"/>
        </w:tabs>
        <w:ind w:left="1418" w:hanging="851"/>
      </w:pPr>
      <w:r>
        <w:t>[16.1]</w:t>
      </w:r>
      <w:r>
        <w:tab/>
      </w:r>
      <w:r w:rsidR="00EA2C26">
        <w:t xml:space="preserve">The factual basis of non-payment by the </w:t>
      </w:r>
      <w:r w:rsidR="006510EA">
        <w:t>Respondent</w:t>
      </w:r>
      <w:r w:rsidR="00EA2C26">
        <w:t>s of the amount claimed.</w:t>
      </w:r>
    </w:p>
    <w:p w14:paraId="631C31C1" w14:textId="45D40DE3" w:rsidR="00EA2C26" w:rsidRDefault="008A5A95" w:rsidP="008A5A95">
      <w:pPr>
        <w:pStyle w:val="2"/>
        <w:numPr>
          <w:ilvl w:val="0"/>
          <w:numId w:val="0"/>
        </w:numPr>
        <w:tabs>
          <w:tab w:val="left" w:pos="1418"/>
        </w:tabs>
        <w:ind w:left="1418" w:hanging="851"/>
      </w:pPr>
      <w:r>
        <w:t>[16.2]</w:t>
      </w:r>
      <w:r>
        <w:tab/>
      </w:r>
      <w:r w:rsidR="00EA2C26">
        <w:t>The liability of</w:t>
      </w:r>
      <w:r w:rsidR="005D1D89">
        <w:t xml:space="preserve"> the</w:t>
      </w:r>
      <w:r w:rsidR="00EA2C26">
        <w:t xml:space="preserve"> first and/or second </w:t>
      </w:r>
      <w:r w:rsidR="006510EA">
        <w:t>Respondent</w:t>
      </w:r>
      <w:r w:rsidR="00EA2C26">
        <w:t xml:space="preserve"> for the amount claimed which is now being denied.</w:t>
      </w:r>
    </w:p>
    <w:p w14:paraId="181E98B1" w14:textId="0C7A2B19" w:rsidR="00C1583D" w:rsidRDefault="008A5A95" w:rsidP="008A5A95">
      <w:pPr>
        <w:pStyle w:val="2"/>
        <w:numPr>
          <w:ilvl w:val="0"/>
          <w:numId w:val="0"/>
        </w:numPr>
        <w:tabs>
          <w:tab w:val="left" w:pos="1418"/>
        </w:tabs>
        <w:ind w:left="1418" w:hanging="851"/>
      </w:pPr>
      <w:r>
        <w:t>[16.3]</w:t>
      </w:r>
      <w:r>
        <w:tab/>
      </w:r>
      <w:r w:rsidR="00C1583D">
        <w:t xml:space="preserve">The version of Ms Barnard, the architect, as reflected in the </w:t>
      </w:r>
      <w:r w:rsidR="006510EA">
        <w:t>Applicant</w:t>
      </w:r>
      <w:r w:rsidR="00C1583D">
        <w:t xml:space="preserve">’s founding affidavit when compared to a confirmatory affidavit in the </w:t>
      </w:r>
      <w:r w:rsidR="006510EA">
        <w:t>Respondent</w:t>
      </w:r>
      <w:r w:rsidR="00C1583D">
        <w:t>’s answering affidavit is conflicting.</w:t>
      </w:r>
    </w:p>
    <w:p w14:paraId="59F0C6A9" w14:textId="27B95838" w:rsidR="00EA2C26" w:rsidRDefault="008A5A95" w:rsidP="008A5A95">
      <w:pPr>
        <w:pStyle w:val="2"/>
        <w:numPr>
          <w:ilvl w:val="0"/>
          <w:numId w:val="0"/>
        </w:numPr>
        <w:tabs>
          <w:tab w:val="left" w:pos="1418"/>
        </w:tabs>
        <w:ind w:left="1418" w:hanging="851"/>
      </w:pPr>
      <w:r>
        <w:t>[16.4]</w:t>
      </w:r>
      <w:r>
        <w:tab/>
      </w:r>
      <w:r w:rsidR="00EA2C26">
        <w:t>The counterclaim</w:t>
      </w:r>
      <w:r w:rsidR="00C1583D">
        <w:t>,</w:t>
      </w:r>
      <w:r w:rsidR="00EA2C26">
        <w:t xml:space="preserve"> being in the nature of damages</w:t>
      </w:r>
      <w:r w:rsidR="00C1583D">
        <w:t xml:space="preserve">, </w:t>
      </w:r>
      <w:r w:rsidR="00EA2C26">
        <w:t>cannot be adjudicated by motion proceedings.</w:t>
      </w:r>
    </w:p>
    <w:p w14:paraId="0E794593" w14:textId="6EB8198E" w:rsidR="00960C5C" w:rsidRDefault="008A5A95" w:rsidP="008A5A95">
      <w:pPr>
        <w:pStyle w:val="1"/>
        <w:numPr>
          <w:ilvl w:val="0"/>
          <w:numId w:val="0"/>
        </w:numPr>
        <w:tabs>
          <w:tab w:val="left" w:pos="567"/>
        </w:tabs>
        <w:ind w:left="567" w:hanging="567"/>
      </w:pPr>
      <w:r>
        <w:rPr>
          <w:rFonts w:cs="Arial"/>
          <w:sz w:val="22"/>
        </w:rPr>
        <w:t>[17]</w:t>
      </w:r>
      <w:r>
        <w:rPr>
          <w:rFonts w:cs="Arial"/>
          <w:sz w:val="22"/>
        </w:rPr>
        <w:tab/>
      </w:r>
      <w:r w:rsidR="00960C5C">
        <w:t xml:space="preserve">The Applicant alleges that it became aware of these disputes of fact only when </w:t>
      </w:r>
      <w:r w:rsidR="00960C5C">
        <w:lastRenderedPageBreak/>
        <w:t xml:space="preserve">the </w:t>
      </w:r>
      <w:r w:rsidR="00645532">
        <w:t xml:space="preserve">Respondents filed their </w:t>
      </w:r>
      <w:r w:rsidR="00960C5C">
        <w:t xml:space="preserve">answering affidavit </w:t>
      </w:r>
      <w:r w:rsidR="00645532">
        <w:t>in the main matter.</w:t>
      </w:r>
    </w:p>
    <w:p w14:paraId="68431540" w14:textId="297AFFE7" w:rsidR="00C1583D" w:rsidRDefault="008A5A95" w:rsidP="008A5A95">
      <w:pPr>
        <w:pStyle w:val="1"/>
        <w:numPr>
          <w:ilvl w:val="0"/>
          <w:numId w:val="0"/>
        </w:numPr>
        <w:tabs>
          <w:tab w:val="left" w:pos="567"/>
        </w:tabs>
        <w:ind w:left="567" w:hanging="567"/>
      </w:pPr>
      <w:r>
        <w:rPr>
          <w:rFonts w:cs="Arial"/>
          <w:sz w:val="22"/>
        </w:rPr>
        <w:t>[18]</w:t>
      </w:r>
      <w:r>
        <w:rPr>
          <w:rFonts w:cs="Arial"/>
          <w:sz w:val="22"/>
        </w:rPr>
        <w:tab/>
      </w:r>
      <w:r w:rsidR="00EA2C26">
        <w:t xml:space="preserve">The </w:t>
      </w:r>
      <w:r w:rsidR="006510EA">
        <w:t>Respondent</w:t>
      </w:r>
      <w:r w:rsidR="00EA2C26">
        <w:t xml:space="preserve">s deny that the </w:t>
      </w:r>
      <w:r w:rsidR="006510EA">
        <w:t>Applicant</w:t>
      </w:r>
      <w:r w:rsidR="00EA2C26">
        <w:t xml:space="preserve"> could not have foreseen at the time it launched motion proceeding</w:t>
      </w:r>
      <w:r w:rsidR="00866A23">
        <w:t>s</w:t>
      </w:r>
      <w:r w:rsidR="00EA2C26">
        <w:t xml:space="preserve"> </w:t>
      </w:r>
      <w:r w:rsidR="00C1583D">
        <w:t>that several</w:t>
      </w:r>
      <w:r w:rsidR="00EA2C26">
        <w:t xml:space="preserve"> factual disputes </w:t>
      </w:r>
      <w:r w:rsidR="00C1583D">
        <w:t>were likely to arise given the pre-litigation correspondence between the parties.</w:t>
      </w:r>
      <w:r w:rsidR="00715447">
        <w:t xml:space="preserve"> </w:t>
      </w:r>
      <w:r w:rsidR="00E56202">
        <w:t xml:space="preserve">The Applicant in its own founding affidavit refers to the dispute raised by the Respondents.  </w:t>
      </w:r>
    </w:p>
    <w:p w14:paraId="55380893" w14:textId="5092C421" w:rsidR="00C1583D" w:rsidRDefault="008A5A95" w:rsidP="008A5A95">
      <w:pPr>
        <w:pStyle w:val="1"/>
        <w:numPr>
          <w:ilvl w:val="0"/>
          <w:numId w:val="0"/>
        </w:numPr>
        <w:tabs>
          <w:tab w:val="left" w:pos="567"/>
        </w:tabs>
        <w:ind w:left="567" w:hanging="567"/>
      </w:pPr>
      <w:r>
        <w:rPr>
          <w:rFonts w:cs="Arial"/>
          <w:sz w:val="22"/>
        </w:rPr>
        <w:t>[19]</w:t>
      </w:r>
      <w:r>
        <w:rPr>
          <w:rFonts w:cs="Arial"/>
          <w:sz w:val="22"/>
        </w:rPr>
        <w:tab/>
      </w:r>
      <w:r w:rsidR="00164976">
        <w:t>Despite knowing that there was already a material dispute of fact</w:t>
      </w:r>
      <w:r w:rsidR="00C1583D">
        <w:t xml:space="preserve"> in relation to the payment claimed</w:t>
      </w:r>
      <w:r w:rsidR="00866A23">
        <w:t>,</w:t>
      </w:r>
      <w:r w:rsidR="00164976">
        <w:t xml:space="preserve"> the </w:t>
      </w:r>
      <w:r w:rsidR="006510EA">
        <w:t>Applicant</w:t>
      </w:r>
      <w:r w:rsidR="00164976">
        <w:t xml:space="preserve"> still elected to proceed on application.  Instead of dealing with the </w:t>
      </w:r>
      <w:r w:rsidR="006510EA">
        <w:t>Respondent</w:t>
      </w:r>
      <w:r w:rsidR="00164976">
        <w:t>s answering affidavit</w:t>
      </w:r>
      <w:r w:rsidR="00866A23">
        <w:t>,</w:t>
      </w:r>
      <w:r w:rsidR="00164976">
        <w:t xml:space="preserve"> it now brings this application to avoid having its </w:t>
      </w:r>
      <w:r w:rsidR="000212A2">
        <w:t xml:space="preserve">main </w:t>
      </w:r>
      <w:r w:rsidR="00164976">
        <w:t xml:space="preserve">application dismissed. </w:t>
      </w:r>
    </w:p>
    <w:p w14:paraId="5AAE020D" w14:textId="597AA181" w:rsidR="000269C2" w:rsidRDefault="008A5A95" w:rsidP="008A5A95">
      <w:pPr>
        <w:pStyle w:val="1"/>
        <w:numPr>
          <w:ilvl w:val="0"/>
          <w:numId w:val="0"/>
        </w:numPr>
        <w:tabs>
          <w:tab w:val="left" w:pos="567"/>
        </w:tabs>
        <w:ind w:left="567" w:hanging="567"/>
      </w:pPr>
      <w:r>
        <w:rPr>
          <w:rFonts w:cs="Arial"/>
          <w:sz w:val="22"/>
        </w:rPr>
        <w:t>[20]</w:t>
      </w:r>
      <w:r>
        <w:rPr>
          <w:rFonts w:cs="Arial"/>
          <w:sz w:val="22"/>
        </w:rPr>
        <w:tab/>
      </w:r>
      <w:r w:rsidR="000269C2">
        <w:t xml:space="preserve">Respondents oppose the transfer application on the basis that Applicant was aware that a material dispute of fact was likely to arise given the pre-litigation history of this matter and that application should be dismissed, alternatively decided in favour of the Respondents based on the guidance provided by </w:t>
      </w:r>
      <w:proofErr w:type="spellStart"/>
      <w:r w:rsidR="000269C2" w:rsidRPr="003028A4">
        <w:rPr>
          <w:b/>
          <w:bCs/>
          <w:i/>
        </w:rPr>
        <w:t>Plascon</w:t>
      </w:r>
      <w:proofErr w:type="spellEnd"/>
      <w:r w:rsidR="000269C2" w:rsidRPr="003028A4">
        <w:rPr>
          <w:b/>
          <w:bCs/>
          <w:i/>
        </w:rPr>
        <w:t xml:space="preserve"> Evans</w:t>
      </w:r>
      <w:r w:rsidR="000269C2">
        <w:t>.</w:t>
      </w:r>
      <w:r w:rsidR="000269C2">
        <w:rPr>
          <w:rStyle w:val="FootnoteReference"/>
        </w:rPr>
        <w:footnoteReference w:id="6"/>
      </w:r>
    </w:p>
    <w:p w14:paraId="7A48EB08" w14:textId="464CAD0E" w:rsidR="00C1583D" w:rsidRPr="00C1583D" w:rsidRDefault="00987F91" w:rsidP="00C1583D">
      <w:pPr>
        <w:pStyle w:val="1"/>
        <w:numPr>
          <w:ilvl w:val="0"/>
          <w:numId w:val="0"/>
        </w:numPr>
        <w:ind w:left="567"/>
        <w:rPr>
          <w:b/>
          <w:bCs/>
        </w:rPr>
      </w:pPr>
      <w:r>
        <w:rPr>
          <w:b/>
          <w:bCs/>
        </w:rPr>
        <w:t>The general approach</w:t>
      </w:r>
      <w:r w:rsidR="00BB714D">
        <w:rPr>
          <w:b/>
          <w:bCs/>
        </w:rPr>
        <w:t xml:space="preserve"> to </w:t>
      </w:r>
      <w:r w:rsidR="00EB7964">
        <w:rPr>
          <w:b/>
          <w:bCs/>
        </w:rPr>
        <w:t>R</w:t>
      </w:r>
      <w:r w:rsidR="00BB714D">
        <w:rPr>
          <w:b/>
          <w:bCs/>
        </w:rPr>
        <w:t>ule 6(5)(g)</w:t>
      </w:r>
    </w:p>
    <w:p w14:paraId="62C979BE" w14:textId="5F1C3DC5" w:rsidR="005D44D0" w:rsidRDefault="008A5A95" w:rsidP="008A5A95">
      <w:pPr>
        <w:pStyle w:val="1"/>
        <w:numPr>
          <w:ilvl w:val="0"/>
          <w:numId w:val="0"/>
        </w:numPr>
        <w:tabs>
          <w:tab w:val="left" w:pos="567"/>
        </w:tabs>
        <w:ind w:left="567" w:hanging="567"/>
        <w:rPr>
          <w:rFonts w:ascii="Verdana" w:hAnsi="Verdana"/>
          <w:sz w:val="27"/>
          <w:szCs w:val="27"/>
          <w:lang w:val="en-ZA"/>
        </w:rPr>
      </w:pPr>
      <w:r>
        <w:rPr>
          <w:rFonts w:cs="Arial"/>
          <w:sz w:val="22"/>
          <w:lang w:val="en-ZA"/>
        </w:rPr>
        <w:t>[21]</w:t>
      </w:r>
      <w:r>
        <w:rPr>
          <w:rFonts w:cs="Arial"/>
          <w:sz w:val="22"/>
          <w:lang w:val="en-ZA"/>
        </w:rPr>
        <w:tab/>
      </w:r>
      <w:r w:rsidR="005D44D0" w:rsidRPr="005D44D0">
        <w:rPr>
          <w:rFonts w:cs="Arial"/>
          <w:szCs w:val="24"/>
        </w:rPr>
        <w:t>Rule 6(5)(g) provides:</w:t>
      </w:r>
      <w:r w:rsidR="005D44D0" w:rsidRPr="005D44D0">
        <w:rPr>
          <w:rFonts w:ascii="Verdana" w:hAnsi="Verdana"/>
          <w:sz w:val="27"/>
          <w:szCs w:val="27"/>
          <w:lang w:val="en-ZA"/>
        </w:rPr>
        <w:t xml:space="preserve"> </w:t>
      </w:r>
    </w:p>
    <w:p w14:paraId="2F5FD2FF" w14:textId="66EAF740" w:rsidR="005D44D0" w:rsidRPr="005D44D0" w:rsidRDefault="008A5A95" w:rsidP="008A5A95">
      <w:pPr>
        <w:pStyle w:val="2"/>
        <w:numPr>
          <w:ilvl w:val="0"/>
          <w:numId w:val="0"/>
        </w:numPr>
        <w:tabs>
          <w:tab w:val="left" w:pos="1418"/>
        </w:tabs>
        <w:ind w:left="1418" w:hanging="851"/>
        <w:rPr>
          <w:rFonts w:cs="Arial"/>
          <w:szCs w:val="24"/>
          <w:lang w:val="en-ZA"/>
        </w:rPr>
      </w:pPr>
      <w:r w:rsidRPr="005D44D0">
        <w:rPr>
          <w:szCs w:val="24"/>
          <w:lang w:val="en-ZA"/>
        </w:rPr>
        <w:t>[21.1]</w:t>
      </w:r>
      <w:r w:rsidRPr="005D44D0">
        <w:rPr>
          <w:szCs w:val="24"/>
          <w:lang w:val="en-ZA"/>
        </w:rPr>
        <w:tab/>
      </w:r>
      <w:r w:rsidR="005D44D0" w:rsidRPr="005D44D0">
        <w:rPr>
          <w:rFonts w:cs="Arial"/>
          <w:szCs w:val="24"/>
          <w:lang w:val="en-ZA"/>
        </w:rPr>
        <w:t>“</w:t>
      </w:r>
      <w:r w:rsidR="005D44D0" w:rsidRPr="005D44D0">
        <w:rPr>
          <w:rFonts w:cs="Arial"/>
          <w:i/>
          <w:iCs w:val="0"/>
          <w:szCs w:val="24"/>
          <w:lang w:val="en-ZA"/>
        </w:rPr>
        <w:t xml:space="preserve">Where an application cannot properly be decided on affidavit the court may dismiss the application or make such order as it deems fit with a view to ensuring a just and expeditious decision. In particular, but without affecting the generality of the </w:t>
      </w:r>
      <w:proofErr w:type="spellStart"/>
      <w:r w:rsidR="005D44D0" w:rsidRPr="005D44D0">
        <w:rPr>
          <w:rFonts w:cs="Arial"/>
          <w:i/>
          <w:iCs w:val="0"/>
          <w:szCs w:val="24"/>
          <w:lang w:val="en-ZA"/>
        </w:rPr>
        <w:t>aforegoing</w:t>
      </w:r>
      <w:proofErr w:type="spellEnd"/>
      <w:r w:rsidR="005D44D0" w:rsidRPr="005D44D0">
        <w:rPr>
          <w:rFonts w:cs="Arial"/>
          <w:i/>
          <w:iCs w:val="0"/>
          <w:szCs w:val="24"/>
          <w:lang w:val="en-ZA"/>
        </w:rPr>
        <w:t xml:space="preserve">, it may direct that oral evidence </w:t>
      </w:r>
      <w:r w:rsidR="005D44D0" w:rsidRPr="005D44D0">
        <w:rPr>
          <w:rFonts w:cs="Arial"/>
          <w:i/>
          <w:iCs w:val="0"/>
          <w:szCs w:val="24"/>
          <w:lang w:val="en-ZA"/>
        </w:rPr>
        <w:lastRenderedPageBreak/>
        <w:t>be heard on specified issues with a view to resolving any dispute of fact and to that end may order any deponent to appear personally or grant leave for such deponent or any other person to be subpoenaed to appear and be examined and cross-examined as a witness or it may refer the matter to trial with appropriate directions as to pleadings or definition of issues, or otherwise</w:t>
      </w:r>
      <w:r w:rsidR="005D44D0" w:rsidRPr="005D44D0">
        <w:rPr>
          <w:rFonts w:cs="Arial"/>
          <w:szCs w:val="24"/>
          <w:lang w:val="en-ZA"/>
        </w:rPr>
        <w:t>”.</w:t>
      </w:r>
    </w:p>
    <w:p w14:paraId="7800F3D1" w14:textId="22C47C8D" w:rsidR="00CE5936" w:rsidRDefault="008A5A95" w:rsidP="008A5A95">
      <w:pPr>
        <w:pStyle w:val="1"/>
        <w:numPr>
          <w:ilvl w:val="0"/>
          <w:numId w:val="0"/>
        </w:numPr>
        <w:tabs>
          <w:tab w:val="left" w:pos="567"/>
        </w:tabs>
        <w:ind w:left="567" w:hanging="567"/>
        <w:rPr>
          <w:lang w:val="en-ZA"/>
        </w:rPr>
      </w:pPr>
      <w:r>
        <w:rPr>
          <w:rFonts w:cs="Arial"/>
          <w:sz w:val="22"/>
          <w:lang w:val="en-ZA"/>
        </w:rPr>
        <w:t>[22]</w:t>
      </w:r>
      <w:r>
        <w:rPr>
          <w:rFonts w:cs="Arial"/>
          <w:sz w:val="22"/>
          <w:lang w:val="en-ZA"/>
        </w:rPr>
        <w:tab/>
      </w:r>
      <w:r w:rsidR="005D44D0" w:rsidRPr="005D44D0">
        <w:rPr>
          <w:lang w:val="en-ZA"/>
        </w:rPr>
        <w:t> </w:t>
      </w:r>
      <w:r w:rsidR="00741308">
        <w:rPr>
          <w:lang w:val="en-ZA"/>
        </w:rPr>
        <w:t xml:space="preserve">In </w:t>
      </w:r>
      <w:r w:rsidR="00741308" w:rsidRPr="00741308">
        <w:rPr>
          <w:b/>
          <w:bCs/>
          <w:i/>
          <w:iCs w:val="0"/>
          <w:lang w:val="en-ZA"/>
        </w:rPr>
        <w:t>National Director of Public Prosecutions v Zuma (Mbeki and Another Intervening)</w:t>
      </w:r>
      <w:r w:rsidR="00741308">
        <w:rPr>
          <w:lang w:val="en-ZA"/>
        </w:rPr>
        <w:t xml:space="preserve"> </w:t>
      </w:r>
      <w:r w:rsidR="00741308">
        <w:rPr>
          <w:rStyle w:val="FootnoteReference"/>
        </w:rPr>
        <w:footnoteReference w:id="7"/>
      </w:r>
      <w:r w:rsidR="00741308">
        <w:rPr>
          <w:lang w:val="en-ZA"/>
        </w:rPr>
        <w:t xml:space="preserve"> the SCA stated that</w:t>
      </w:r>
      <w:r w:rsidR="00CE5936">
        <w:rPr>
          <w:lang w:val="en-ZA"/>
        </w:rPr>
        <w:t>:</w:t>
      </w:r>
      <w:r w:rsidR="00741308">
        <w:rPr>
          <w:lang w:val="en-ZA"/>
        </w:rPr>
        <w:t xml:space="preserve"> </w:t>
      </w:r>
    </w:p>
    <w:p w14:paraId="357FCFBA" w14:textId="22AB5ABB" w:rsidR="00741308" w:rsidRDefault="008A5A95" w:rsidP="008A5A95">
      <w:pPr>
        <w:pStyle w:val="2"/>
        <w:numPr>
          <w:ilvl w:val="0"/>
          <w:numId w:val="0"/>
        </w:numPr>
        <w:tabs>
          <w:tab w:val="left" w:pos="1418"/>
        </w:tabs>
        <w:ind w:left="1418" w:hanging="851"/>
        <w:rPr>
          <w:lang w:val="en-ZA"/>
        </w:rPr>
      </w:pPr>
      <w:r>
        <w:rPr>
          <w:lang w:val="en-ZA"/>
        </w:rPr>
        <w:t>[22.1]</w:t>
      </w:r>
      <w:r>
        <w:rPr>
          <w:lang w:val="en-ZA"/>
        </w:rPr>
        <w:tab/>
      </w:r>
      <w:r w:rsidR="00741308">
        <w:rPr>
          <w:lang w:val="en-ZA"/>
        </w:rPr>
        <w:t>“</w:t>
      </w:r>
      <w:r w:rsidR="00CE5936">
        <w:rPr>
          <w:i/>
          <w:iCs w:val="0"/>
          <w:lang w:val="en-ZA"/>
        </w:rPr>
        <w:t>I</w:t>
      </w:r>
      <w:r w:rsidR="00741308" w:rsidRPr="00CE5936">
        <w:rPr>
          <w:i/>
          <w:iCs w:val="0"/>
          <w:lang w:val="en-ZA"/>
        </w:rPr>
        <w:t xml:space="preserve">n general motion proceedings, unless concerned with interim relief, are about the resolution of legal issues based on common cause facts.  Unless the circumstances are special, they cannot be used to resolve factual issues because they are not designed to determine probabilities. It is well established under the </w:t>
      </w:r>
      <w:proofErr w:type="spellStart"/>
      <w:r w:rsidR="00741308" w:rsidRPr="00CE5936">
        <w:rPr>
          <w:i/>
          <w:iCs w:val="0"/>
          <w:lang w:val="en-ZA"/>
        </w:rPr>
        <w:t>Plascon</w:t>
      </w:r>
      <w:proofErr w:type="spellEnd"/>
      <w:r w:rsidR="00741308" w:rsidRPr="00CE5936">
        <w:rPr>
          <w:i/>
          <w:iCs w:val="0"/>
          <w:lang w:val="en-ZA"/>
        </w:rPr>
        <w:t xml:space="preserve">-Evans rule that where in motion proceedings disputes of fact arise on the affidavits, a final order can be granted only if the facts averred in the </w:t>
      </w:r>
      <w:r w:rsidR="006510EA" w:rsidRPr="00CE5936">
        <w:rPr>
          <w:i/>
          <w:iCs w:val="0"/>
          <w:lang w:val="en-ZA"/>
        </w:rPr>
        <w:t>Applicant</w:t>
      </w:r>
      <w:r w:rsidR="00741308" w:rsidRPr="00CE5936">
        <w:rPr>
          <w:i/>
          <w:iCs w:val="0"/>
          <w:lang w:val="en-ZA"/>
        </w:rPr>
        <w:t xml:space="preserve">’s affidavits which have </w:t>
      </w:r>
      <w:r w:rsidR="00E95C40" w:rsidRPr="00CE5936">
        <w:rPr>
          <w:i/>
          <w:iCs w:val="0"/>
          <w:lang w:val="en-ZA"/>
        </w:rPr>
        <w:t xml:space="preserve">been admitted by the </w:t>
      </w:r>
      <w:r w:rsidR="006510EA" w:rsidRPr="00CE5936">
        <w:rPr>
          <w:i/>
          <w:iCs w:val="0"/>
          <w:lang w:val="en-ZA"/>
        </w:rPr>
        <w:t>Respondent</w:t>
      </w:r>
      <w:r w:rsidR="00E95C40" w:rsidRPr="00CE5936">
        <w:rPr>
          <w:i/>
          <w:iCs w:val="0"/>
          <w:lang w:val="en-ZA"/>
        </w:rPr>
        <w:t xml:space="preserve">, together with the facts alleged by the </w:t>
      </w:r>
      <w:r w:rsidR="006510EA" w:rsidRPr="00CE5936">
        <w:rPr>
          <w:i/>
          <w:iCs w:val="0"/>
          <w:lang w:val="en-ZA"/>
        </w:rPr>
        <w:t>Respondent</w:t>
      </w:r>
      <w:r w:rsidR="00E95C40" w:rsidRPr="00CE5936">
        <w:rPr>
          <w:i/>
          <w:iCs w:val="0"/>
          <w:lang w:val="en-ZA"/>
        </w:rPr>
        <w:t>, justify such an order</w:t>
      </w:r>
      <w:r w:rsidR="00E95C40">
        <w:rPr>
          <w:lang w:val="en-ZA"/>
        </w:rPr>
        <w:t>.”</w:t>
      </w:r>
      <w:r w:rsidR="00E95C40">
        <w:rPr>
          <w:rStyle w:val="FootnoteReference"/>
        </w:rPr>
        <w:footnoteReference w:id="8"/>
      </w:r>
    </w:p>
    <w:p w14:paraId="5B33EAD8" w14:textId="0E63B88B" w:rsidR="006A1D2B" w:rsidRDefault="008A5A95" w:rsidP="008A5A95">
      <w:pPr>
        <w:pStyle w:val="1"/>
        <w:numPr>
          <w:ilvl w:val="0"/>
          <w:numId w:val="0"/>
        </w:numPr>
        <w:tabs>
          <w:tab w:val="left" w:pos="567"/>
        </w:tabs>
        <w:ind w:left="567" w:hanging="567"/>
        <w:rPr>
          <w:lang w:val="en-ZA"/>
        </w:rPr>
      </w:pPr>
      <w:r>
        <w:rPr>
          <w:rFonts w:cs="Arial"/>
          <w:sz w:val="22"/>
          <w:lang w:val="en-ZA"/>
        </w:rPr>
        <w:t>[23]</w:t>
      </w:r>
      <w:r>
        <w:rPr>
          <w:rFonts w:cs="Arial"/>
          <w:sz w:val="22"/>
          <w:lang w:val="en-ZA"/>
        </w:rPr>
        <w:tab/>
      </w:r>
      <w:r w:rsidR="005D44D0">
        <w:rPr>
          <w:lang w:val="en-ZA"/>
        </w:rPr>
        <w:t xml:space="preserve">It is trite that where a dispute of material fact arises </w:t>
      </w:r>
      <w:r w:rsidR="00E95C40">
        <w:rPr>
          <w:lang w:val="en-ZA"/>
        </w:rPr>
        <w:t>it is generally undesirable to endeavour to decide an application upon affidavit.  In such a case</w:t>
      </w:r>
      <w:r w:rsidR="00EB7964">
        <w:rPr>
          <w:lang w:val="en-ZA"/>
        </w:rPr>
        <w:t>,</w:t>
      </w:r>
      <w:r w:rsidR="00E95C40">
        <w:rPr>
          <w:lang w:val="en-ZA"/>
        </w:rPr>
        <w:t xml:space="preserve"> it is preferable to hear the witnesses before coming to a conclusion.</w:t>
      </w:r>
      <w:r w:rsidR="00E95C40">
        <w:rPr>
          <w:rStyle w:val="FootnoteReference"/>
        </w:rPr>
        <w:footnoteReference w:id="9"/>
      </w:r>
    </w:p>
    <w:p w14:paraId="689DCB59" w14:textId="001A5CB8" w:rsidR="00B73A05" w:rsidRDefault="008A5A95" w:rsidP="008A5A95">
      <w:pPr>
        <w:pStyle w:val="1"/>
        <w:numPr>
          <w:ilvl w:val="0"/>
          <w:numId w:val="0"/>
        </w:numPr>
        <w:tabs>
          <w:tab w:val="left" w:pos="567"/>
        </w:tabs>
        <w:ind w:left="567" w:hanging="567"/>
        <w:rPr>
          <w:lang w:val="en-ZA"/>
        </w:rPr>
      </w:pPr>
      <w:r>
        <w:rPr>
          <w:rFonts w:cs="Arial"/>
          <w:sz w:val="22"/>
          <w:lang w:val="en-ZA"/>
        </w:rPr>
        <w:lastRenderedPageBreak/>
        <w:t>[24]</w:t>
      </w:r>
      <w:r>
        <w:rPr>
          <w:rFonts w:cs="Arial"/>
          <w:sz w:val="22"/>
          <w:lang w:val="en-ZA"/>
        </w:rPr>
        <w:tab/>
      </w:r>
      <w:r w:rsidR="006A1D2B">
        <w:rPr>
          <w:lang w:val="en-ZA"/>
        </w:rPr>
        <w:t xml:space="preserve">Whenever a genuine dispute arises in the affidavits about a material fact, the </w:t>
      </w:r>
      <w:r w:rsidR="005D1D89">
        <w:rPr>
          <w:lang w:val="en-ZA"/>
        </w:rPr>
        <w:t>C</w:t>
      </w:r>
      <w:r w:rsidR="006A1D2B">
        <w:rPr>
          <w:lang w:val="en-ZA"/>
        </w:rPr>
        <w:t xml:space="preserve">ourt may deal with the matter in terms of its discretion </w:t>
      </w:r>
      <w:r w:rsidR="00B73A05">
        <w:rPr>
          <w:lang w:val="en-ZA"/>
        </w:rPr>
        <w:t xml:space="preserve">in various ways.  The emphasis here is that the decision whether to refer to oral evidence or dismiss is in the Court’s discretion. </w:t>
      </w:r>
    </w:p>
    <w:p w14:paraId="0A2E47F9" w14:textId="663E539B" w:rsidR="005D44D0" w:rsidRDefault="008A5A95" w:rsidP="008A5A95">
      <w:pPr>
        <w:pStyle w:val="1"/>
        <w:numPr>
          <w:ilvl w:val="0"/>
          <w:numId w:val="0"/>
        </w:numPr>
        <w:tabs>
          <w:tab w:val="left" w:pos="567"/>
        </w:tabs>
        <w:ind w:left="567" w:hanging="567"/>
        <w:rPr>
          <w:lang w:val="en-ZA"/>
        </w:rPr>
      </w:pPr>
      <w:r>
        <w:rPr>
          <w:rFonts w:cs="Arial"/>
          <w:sz w:val="22"/>
          <w:lang w:val="en-ZA"/>
        </w:rPr>
        <w:t>[25]</w:t>
      </w:r>
      <w:r>
        <w:rPr>
          <w:rFonts w:cs="Arial"/>
          <w:sz w:val="22"/>
          <w:lang w:val="en-ZA"/>
        </w:rPr>
        <w:tab/>
      </w:r>
      <w:r w:rsidR="00B73A05">
        <w:rPr>
          <w:lang w:val="en-ZA"/>
        </w:rPr>
        <w:t xml:space="preserve">However, if neither party asks that the matter be referred to oral evidence or to trial the court will not do so </w:t>
      </w:r>
      <w:proofErr w:type="spellStart"/>
      <w:r w:rsidR="00B73A05" w:rsidRPr="00B73A05">
        <w:rPr>
          <w:i/>
          <w:iCs w:val="0"/>
          <w:lang w:val="en-ZA"/>
        </w:rPr>
        <w:t>mero</w:t>
      </w:r>
      <w:proofErr w:type="spellEnd"/>
      <w:r w:rsidR="00B73A05" w:rsidRPr="00B73A05">
        <w:rPr>
          <w:i/>
          <w:iCs w:val="0"/>
          <w:lang w:val="en-ZA"/>
        </w:rPr>
        <w:t xml:space="preserve"> </w:t>
      </w:r>
      <w:proofErr w:type="spellStart"/>
      <w:r w:rsidR="00B73A05" w:rsidRPr="00B73A05">
        <w:rPr>
          <w:i/>
          <w:iCs w:val="0"/>
          <w:lang w:val="en-ZA"/>
        </w:rPr>
        <w:t>motu</w:t>
      </w:r>
      <w:proofErr w:type="spellEnd"/>
      <w:r w:rsidR="00B73A05">
        <w:rPr>
          <w:lang w:val="en-ZA"/>
        </w:rPr>
        <w:t xml:space="preserve">. Even if there is an application for referral to trail – as is the case here – the court may elect to adopt a robust approach avoiding fastidiousness and decide the issue on affidavits. Caution to this approach has however been voiced.  </w:t>
      </w:r>
    </w:p>
    <w:p w14:paraId="03E8A129" w14:textId="79A912AC" w:rsidR="00B73A05" w:rsidRDefault="008A5A95" w:rsidP="008A5A95">
      <w:pPr>
        <w:pStyle w:val="1"/>
        <w:numPr>
          <w:ilvl w:val="0"/>
          <w:numId w:val="0"/>
        </w:numPr>
        <w:tabs>
          <w:tab w:val="left" w:pos="567"/>
        </w:tabs>
        <w:ind w:left="567" w:hanging="567"/>
        <w:rPr>
          <w:lang w:val="en-ZA"/>
        </w:rPr>
      </w:pPr>
      <w:r>
        <w:rPr>
          <w:rFonts w:cs="Arial"/>
          <w:sz w:val="22"/>
          <w:lang w:val="en-ZA"/>
        </w:rPr>
        <w:t>[26]</w:t>
      </w:r>
      <w:r>
        <w:rPr>
          <w:rFonts w:cs="Arial"/>
          <w:sz w:val="22"/>
          <w:lang w:val="en-ZA"/>
        </w:rPr>
        <w:tab/>
      </w:r>
      <w:r w:rsidR="00B73A05">
        <w:rPr>
          <w:lang w:val="en-ZA"/>
        </w:rPr>
        <w:t xml:space="preserve">If the dispute of fact should have been foreseen by the </w:t>
      </w:r>
      <w:r w:rsidR="006510EA">
        <w:rPr>
          <w:lang w:val="en-ZA"/>
        </w:rPr>
        <w:t>Applicant</w:t>
      </w:r>
      <w:r w:rsidR="00B73A05">
        <w:rPr>
          <w:lang w:val="en-ZA"/>
        </w:rPr>
        <w:t>, the court may dismiss the application.</w:t>
      </w:r>
      <w:r w:rsidR="00B73A05">
        <w:rPr>
          <w:rStyle w:val="FootnoteReference"/>
        </w:rPr>
        <w:footnoteReference w:id="10"/>
      </w:r>
    </w:p>
    <w:p w14:paraId="2937ACDA" w14:textId="532FDDBE" w:rsidR="000E6DD0" w:rsidRPr="000E6DD0" w:rsidRDefault="000E6DD0" w:rsidP="000E6DD0">
      <w:pPr>
        <w:pStyle w:val="1"/>
        <w:numPr>
          <w:ilvl w:val="0"/>
          <w:numId w:val="0"/>
        </w:numPr>
        <w:rPr>
          <w:b/>
          <w:bCs/>
          <w:lang w:val="en-ZA"/>
        </w:rPr>
      </w:pPr>
      <w:r w:rsidRPr="000E6DD0">
        <w:rPr>
          <w:b/>
          <w:bCs/>
          <w:lang w:val="en-ZA"/>
        </w:rPr>
        <w:t>Evaluation</w:t>
      </w:r>
    </w:p>
    <w:p w14:paraId="3E047592" w14:textId="12E86CF8" w:rsidR="008728BB" w:rsidRDefault="008A5A95" w:rsidP="008A5A95">
      <w:pPr>
        <w:pStyle w:val="1"/>
        <w:numPr>
          <w:ilvl w:val="0"/>
          <w:numId w:val="0"/>
        </w:numPr>
        <w:tabs>
          <w:tab w:val="left" w:pos="567"/>
        </w:tabs>
        <w:ind w:left="567" w:hanging="567"/>
        <w:rPr>
          <w:lang w:val="en-ZA"/>
        </w:rPr>
      </w:pPr>
      <w:r>
        <w:rPr>
          <w:rFonts w:cs="Arial"/>
          <w:sz w:val="22"/>
          <w:lang w:val="en-ZA"/>
        </w:rPr>
        <w:t>[27]</w:t>
      </w:r>
      <w:r>
        <w:rPr>
          <w:rFonts w:cs="Arial"/>
          <w:sz w:val="22"/>
          <w:lang w:val="en-ZA"/>
        </w:rPr>
        <w:tab/>
      </w:r>
      <w:r w:rsidR="000E6DD0">
        <w:rPr>
          <w:lang w:val="en-ZA"/>
        </w:rPr>
        <w:t xml:space="preserve">During argument the </w:t>
      </w:r>
      <w:r w:rsidR="006510EA">
        <w:rPr>
          <w:lang w:val="en-ZA"/>
        </w:rPr>
        <w:t>Applicant</w:t>
      </w:r>
      <w:r w:rsidR="000E6DD0">
        <w:rPr>
          <w:lang w:val="en-ZA"/>
        </w:rPr>
        <w:t xml:space="preserve"> made a somewhat curious submission that the transfer application ought not to be decided by reference to the main application. I am not sure what was meant to be conveyed by this submission.  The fact that the </w:t>
      </w:r>
      <w:r w:rsidR="006510EA">
        <w:rPr>
          <w:lang w:val="en-ZA"/>
        </w:rPr>
        <w:t>Applicant</w:t>
      </w:r>
      <w:r w:rsidR="000E6DD0">
        <w:rPr>
          <w:lang w:val="en-ZA"/>
        </w:rPr>
        <w:t xml:space="preserve"> itself has asked that the matter be referred to oral evidence, because of material disputes of fact that have arisen in the main application is the </w:t>
      </w:r>
      <w:r w:rsidR="000E6DD0" w:rsidRPr="000E6DD0">
        <w:rPr>
          <w:i/>
          <w:iCs w:val="0"/>
          <w:lang w:val="en-ZA"/>
        </w:rPr>
        <w:t xml:space="preserve">raison </w:t>
      </w:r>
      <w:proofErr w:type="spellStart"/>
      <w:r w:rsidR="000E6DD0" w:rsidRPr="000E6DD0">
        <w:rPr>
          <w:i/>
          <w:iCs w:val="0"/>
          <w:lang w:val="en-ZA"/>
        </w:rPr>
        <w:t>d’etre</w:t>
      </w:r>
      <w:proofErr w:type="spellEnd"/>
      <w:r w:rsidR="000E6DD0">
        <w:rPr>
          <w:lang w:val="en-ZA"/>
        </w:rPr>
        <w:t xml:space="preserve"> for its transfer application.  In other words, in bringing the transfer application, the </w:t>
      </w:r>
      <w:r w:rsidR="006510EA">
        <w:rPr>
          <w:lang w:val="en-ZA"/>
        </w:rPr>
        <w:t>Applicant</w:t>
      </w:r>
      <w:r w:rsidR="000E6DD0">
        <w:rPr>
          <w:lang w:val="en-ZA"/>
        </w:rPr>
        <w:t xml:space="preserve"> accepts that material disputes of fact have arisen in the main application that cannot be resolved on the affidavits.</w:t>
      </w:r>
      <w:r w:rsidR="008728BB">
        <w:rPr>
          <w:lang w:val="en-ZA"/>
        </w:rPr>
        <w:t xml:space="preserve">  </w:t>
      </w:r>
    </w:p>
    <w:p w14:paraId="345EB155" w14:textId="480F6D7F" w:rsidR="000E6DD0" w:rsidRDefault="008A5A95" w:rsidP="008A5A95">
      <w:pPr>
        <w:pStyle w:val="1"/>
        <w:numPr>
          <w:ilvl w:val="0"/>
          <w:numId w:val="0"/>
        </w:numPr>
        <w:tabs>
          <w:tab w:val="left" w:pos="567"/>
        </w:tabs>
        <w:ind w:left="567" w:hanging="567"/>
        <w:rPr>
          <w:lang w:val="en-ZA"/>
        </w:rPr>
      </w:pPr>
      <w:r>
        <w:rPr>
          <w:rFonts w:cs="Arial"/>
          <w:sz w:val="22"/>
          <w:lang w:val="en-ZA"/>
        </w:rPr>
        <w:t>[28]</w:t>
      </w:r>
      <w:r>
        <w:rPr>
          <w:rFonts w:cs="Arial"/>
          <w:sz w:val="22"/>
          <w:lang w:val="en-ZA"/>
        </w:rPr>
        <w:tab/>
      </w:r>
      <w:r w:rsidR="008728BB">
        <w:rPr>
          <w:lang w:val="en-ZA"/>
        </w:rPr>
        <w:t xml:space="preserve">Mr </w:t>
      </w:r>
      <w:proofErr w:type="spellStart"/>
      <w:r w:rsidR="008728BB">
        <w:rPr>
          <w:lang w:val="en-ZA"/>
        </w:rPr>
        <w:t>Prophy</w:t>
      </w:r>
      <w:proofErr w:type="spellEnd"/>
      <w:r w:rsidR="008728BB">
        <w:rPr>
          <w:lang w:val="en-ZA"/>
        </w:rPr>
        <w:t xml:space="preserve"> was at pains to point out that the only issue before me was to decide </w:t>
      </w:r>
      <w:r w:rsidR="008728BB">
        <w:rPr>
          <w:lang w:val="en-ZA"/>
        </w:rPr>
        <w:lastRenderedPageBreak/>
        <w:t xml:space="preserve">whether the matter should be referred to trial and nothing more.  </w:t>
      </w:r>
      <w:r w:rsidR="00F34CFF">
        <w:rPr>
          <w:lang w:val="en-ZA"/>
        </w:rPr>
        <w:t xml:space="preserve">To suggest that I should have no regard to the main application does nothing but create an artificial line between the two applications and possibly </w:t>
      </w:r>
      <w:r w:rsidR="00120F3F">
        <w:rPr>
          <w:lang w:val="en-ZA"/>
        </w:rPr>
        <w:t xml:space="preserve">create a pretext </w:t>
      </w:r>
      <w:proofErr w:type="gramStart"/>
      <w:r w:rsidR="00120F3F">
        <w:rPr>
          <w:lang w:val="en-ZA"/>
        </w:rPr>
        <w:t xml:space="preserve">for </w:t>
      </w:r>
      <w:r w:rsidR="00F34CFF">
        <w:rPr>
          <w:lang w:val="en-ZA"/>
        </w:rPr>
        <w:t xml:space="preserve"> </w:t>
      </w:r>
      <w:r w:rsidR="00120F3F">
        <w:rPr>
          <w:lang w:val="en-ZA"/>
        </w:rPr>
        <w:t>a</w:t>
      </w:r>
      <w:proofErr w:type="gramEnd"/>
      <w:r w:rsidR="00120F3F">
        <w:rPr>
          <w:lang w:val="en-ZA"/>
        </w:rPr>
        <w:t xml:space="preserve"> </w:t>
      </w:r>
      <w:r w:rsidR="00F34CFF">
        <w:rPr>
          <w:lang w:val="en-ZA"/>
        </w:rPr>
        <w:t>point of appeal.</w:t>
      </w:r>
      <w:r w:rsidR="00120F3F">
        <w:rPr>
          <w:lang w:val="en-ZA"/>
        </w:rPr>
        <w:t xml:space="preserve">  </w:t>
      </w:r>
      <w:r w:rsidR="00F34CFF">
        <w:rPr>
          <w:lang w:val="en-ZA"/>
        </w:rPr>
        <w:t xml:space="preserve">I </w:t>
      </w:r>
      <w:r w:rsidR="008728BB">
        <w:rPr>
          <w:lang w:val="en-ZA"/>
        </w:rPr>
        <w:t xml:space="preserve">cannot arrive at a decision of the merits of the transfer application without having regard to the </w:t>
      </w:r>
      <w:r w:rsidR="00121E11">
        <w:rPr>
          <w:lang w:val="en-ZA"/>
        </w:rPr>
        <w:t>extent of the disputes of fact between the parties and when the Applicant first became aware of them.</w:t>
      </w:r>
    </w:p>
    <w:p w14:paraId="04DDE765" w14:textId="54CFEEF7" w:rsidR="00121E11" w:rsidRDefault="008A5A95" w:rsidP="008A5A95">
      <w:pPr>
        <w:pStyle w:val="1"/>
        <w:numPr>
          <w:ilvl w:val="0"/>
          <w:numId w:val="0"/>
        </w:numPr>
        <w:tabs>
          <w:tab w:val="left" w:pos="567"/>
        </w:tabs>
        <w:ind w:left="567" w:hanging="567"/>
        <w:rPr>
          <w:lang w:val="en-ZA"/>
        </w:rPr>
      </w:pPr>
      <w:r>
        <w:rPr>
          <w:rFonts w:cs="Arial"/>
          <w:sz w:val="22"/>
          <w:lang w:val="en-ZA"/>
        </w:rPr>
        <w:t>[29]</w:t>
      </w:r>
      <w:r>
        <w:rPr>
          <w:rFonts w:cs="Arial"/>
          <w:sz w:val="22"/>
          <w:lang w:val="en-ZA"/>
        </w:rPr>
        <w:tab/>
      </w:r>
      <w:r w:rsidR="00310096">
        <w:rPr>
          <w:lang w:val="en-ZA"/>
        </w:rPr>
        <w:t>However</w:t>
      </w:r>
      <w:r w:rsidR="00120F3F">
        <w:rPr>
          <w:lang w:val="en-ZA"/>
        </w:rPr>
        <w:t>,</w:t>
      </w:r>
      <w:r w:rsidR="003E4FA3">
        <w:rPr>
          <w:lang w:val="en-ZA"/>
        </w:rPr>
        <w:t xml:space="preserve"> in bringing the transfer application prematurely without the merits of the main application being heard, the Applicant has </w:t>
      </w:r>
      <w:r w:rsidR="0071660D">
        <w:rPr>
          <w:lang w:val="en-ZA"/>
        </w:rPr>
        <w:t xml:space="preserve">possibly created a further conundrum </w:t>
      </w:r>
      <w:r w:rsidR="0069440C">
        <w:rPr>
          <w:lang w:val="en-ZA"/>
        </w:rPr>
        <w:t xml:space="preserve">for itself </w:t>
      </w:r>
      <w:r w:rsidR="0020292C">
        <w:rPr>
          <w:lang w:val="en-ZA"/>
        </w:rPr>
        <w:t>which I discuss later.</w:t>
      </w:r>
    </w:p>
    <w:p w14:paraId="2F956A9D" w14:textId="184C7CBD" w:rsidR="00ED2389" w:rsidRDefault="008A5A95" w:rsidP="008A5A95">
      <w:pPr>
        <w:pStyle w:val="1"/>
        <w:numPr>
          <w:ilvl w:val="0"/>
          <w:numId w:val="0"/>
        </w:numPr>
        <w:tabs>
          <w:tab w:val="left" w:pos="567"/>
        </w:tabs>
        <w:ind w:left="567" w:hanging="567"/>
      </w:pPr>
      <w:r>
        <w:rPr>
          <w:rFonts w:cs="Arial"/>
          <w:sz w:val="22"/>
        </w:rPr>
        <w:t>[30]</w:t>
      </w:r>
      <w:r>
        <w:rPr>
          <w:rFonts w:cs="Arial"/>
          <w:sz w:val="22"/>
        </w:rPr>
        <w:tab/>
      </w:r>
      <w:r w:rsidR="002159CA">
        <w:t>It</w:t>
      </w:r>
      <w:r w:rsidR="00FC49CD">
        <w:t xml:space="preserve"> </w:t>
      </w:r>
      <w:r w:rsidR="00771163">
        <w:t>is</w:t>
      </w:r>
      <w:r w:rsidR="00FC49CD">
        <w:t xml:space="preserve"> </w:t>
      </w:r>
      <w:r w:rsidR="002159CA">
        <w:t xml:space="preserve">manifestly </w:t>
      </w:r>
      <w:r w:rsidR="00FC49CD">
        <w:t>clear that t</w:t>
      </w:r>
      <w:r w:rsidR="00855386">
        <w:t xml:space="preserve">he </w:t>
      </w:r>
      <w:r w:rsidR="006510EA">
        <w:t>Applicant</w:t>
      </w:r>
      <w:r w:rsidR="00855386">
        <w:t xml:space="preserve"> in its own founding affidavit</w:t>
      </w:r>
      <w:r w:rsidR="000269C2">
        <w:t xml:space="preserve"> in the main application</w:t>
      </w:r>
      <w:r w:rsidR="00855386">
        <w:t xml:space="preserve"> acknowledges that pre-litigation disputes existed between the parties.</w:t>
      </w:r>
      <w:r w:rsidR="00D96EC8">
        <w:rPr>
          <w:rStyle w:val="FootnoteReference"/>
        </w:rPr>
        <w:footnoteReference w:id="11"/>
      </w:r>
      <w:r w:rsidR="00855386">
        <w:t xml:space="preserve">  The </w:t>
      </w:r>
      <w:r w:rsidR="006510EA">
        <w:t>Applicant</w:t>
      </w:r>
      <w:r w:rsidR="00855386">
        <w:t xml:space="preserve"> was aware that the </w:t>
      </w:r>
      <w:r w:rsidR="006510EA">
        <w:t>Respondent</w:t>
      </w:r>
      <w:r w:rsidR="00855386">
        <w:t xml:space="preserve">s were unhappy with the quality of and workmanship of the glass and aluminium fittings.  To this end, the </w:t>
      </w:r>
      <w:r w:rsidR="006510EA">
        <w:t>Respondent</w:t>
      </w:r>
      <w:r w:rsidR="00855386">
        <w:t xml:space="preserve"> had enlisted the assistance of the architect, Ms Barnard, who had been appointed by the </w:t>
      </w:r>
      <w:r w:rsidR="006510EA">
        <w:t>Applicant</w:t>
      </w:r>
      <w:r w:rsidR="000269C2">
        <w:t xml:space="preserve">, a fact which the Applicant was </w:t>
      </w:r>
      <w:r w:rsidR="000017A7">
        <w:t>aware</w:t>
      </w:r>
      <w:r w:rsidR="000269C2">
        <w:t xml:space="preserve"> of</w:t>
      </w:r>
      <w:r w:rsidR="00855386">
        <w:t xml:space="preserve">.  </w:t>
      </w:r>
      <w:r w:rsidR="000269C2">
        <w:t>In a</w:t>
      </w:r>
      <w:r w:rsidR="00C337D9">
        <w:t>n email dated 14 April 2021</w:t>
      </w:r>
      <w:r w:rsidR="000269C2">
        <w:t xml:space="preserve"> </w:t>
      </w:r>
      <w:r w:rsidR="00C337D9">
        <w:t>to</w:t>
      </w:r>
      <w:r w:rsidR="00855386">
        <w:t xml:space="preserve"> Mr </w:t>
      </w:r>
      <w:proofErr w:type="spellStart"/>
      <w:r w:rsidR="003028A4">
        <w:t>Thinus</w:t>
      </w:r>
      <w:proofErr w:type="spellEnd"/>
      <w:r w:rsidR="00855386">
        <w:t xml:space="preserve"> </w:t>
      </w:r>
      <w:proofErr w:type="spellStart"/>
      <w:r w:rsidR="00855386">
        <w:t>Cloete</w:t>
      </w:r>
      <w:proofErr w:type="spellEnd"/>
      <w:r w:rsidR="00855386">
        <w:t xml:space="preserve">, the deponent to the </w:t>
      </w:r>
      <w:r w:rsidR="00C337D9">
        <w:t xml:space="preserve">founding affidavit of the </w:t>
      </w:r>
      <w:r w:rsidR="006510EA">
        <w:t>Applicant</w:t>
      </w:r>
      <w:r w:rsidR="00C337D9">
        <w:t xml:space="preserve">, </w:t>
      </w:r>
      <w:r w:rsidR="000269C2">
        <w:t xml:space="preserve">Ms Barnard </w:t>
      </w:r>
      <w:r w:rsidR="00C337D9">
        <w:t>attempted to follow up the status of a range of defects and to check on each door for the same defects</w:t>
      </w:r>
      <w:r w:rsidR="000269C2">
        <w:t xml:space="preserve">. </w:t>
      </w:r>
      <w:r w:rsidR="00C337D9">
        <w:rPr>
          <w:rStyle w:val="FootnoteReference"/>
        </w:rPr>
        <w:footnoteReference w:id="12"/>
      </w:r>
      <w:r w:rsidR="00C337D9">
        <w:t xml:space="preserve">  In a further email </w:t>
      </w:r>
      <w:proofErr w:type="gramStart"/>
      <w:r w:rsidR="00C337D9">
        <w:t>from  Ms</w:t>
      </w:r>
      <w:proofErr w:type="gramEnd"/>
      <w:r w:rsidR="00C337D9">
        <w:t xml:space="preserve"> Barnard to Mr </w:t>
      </w:r>
      <w:proofErr w:type="spellStart"/>
      <w:r w:rsidR="00C337D9">
        <w:t>Cloete</w:t>
      </w:r>
      <w:proofErr w:type="spellEnd"/>
      <w:r w:rsidR="00C337D9">
        <w:t>, dated 3 May 2021, she expresses her dismay that the no progress was made since her last communication</w:t>
      </w:r>
      <w:r w:rsidR="00ED2389">
        <w:t xml:space="preserve"> and seeks clarification from Mr </w:t>
      </w:r>
      <w:proofErr w:type="spellStart"/>
      <w:r w:rsidR="00ED2389">
        <w:t>Cloete</w:t>
      </w:r>
      <w:proofErr w:type="spellEnd"/>
      <w:r w:rsidR="00ED2389">
        <w:t xml:space="preserve"> as follows:</w:t>
      </w:r>
      <w:r w:rsidR="00C337D9">
        <w:t xml:space="preserve"> “</w:t>
      </w:r>
      <w:r w:rsidR="00C337D9" w:rsidRPr="00ED2389">
        <w:rPr>
          <w:i/>
          <w:iCs w:val="0"/>
        </w:rPr>
        <w:t xml:space="preserve">except for the site visit you did without feedback to the owner or myself.  You have given commitment for this </w:t>
      </w:r>
      <w:r w:rsidR="00C337D9" w:rsidRPr="00ED2389">
        <w:rPr>
          <w:i/>
          <w:iCs w:val="0"/>
        </w:rPr>
        <w:lastRenderedPageBreak/>
        <w:t xml:space="preserve">Wednesday 5 May to </w:t>
      </w:r>
      <w:proofErr w:type="spellStart"/>
      <w:r w:rsidR="00C337D9" w:rsidRPr="00ED2389">
        <w:rPr>
          <w:i/>
          <w:iCs w:val="0"/>
        </w:rPr>
        <w:t>mr</w:t>
      </w:r>
      <w:proofErr w:type="spellEnd"/>
      <w:r w:rsidR="00C337D9" w:rsidRPr="00ED2389">
        <w:rPr>
          <w:i/>
          <w:iCs w:val="0"/>
        </w:rPr>
        <w:t>. L</w:t>
      </w:r>
      <w:r w:rsidR="003E7351">
        <w:rPr>
          <w:i/>
          <w:iCs w:val="0"/>
        </w:rPr>
        <w:t>[…]</w:t>
      </w:r>
      <w:bookmarkStart w:id="3" w:name="_GoBack"/>
      <w:bookmarkEnd w:id="3"/>
      <w:r w:rsidR="00C337D9" w:rsidRPr="00ED2389">
        <w:rPr>
          <w:i/>
          <w:iCs w:val="0"/>
        </w:rPr>
        <w:t>?</w:t>
      </w:r>
      <w:r w:rsidR="00ED2389" w:rsidRPr="00ED2389">
        <w:rPr>
          <w:i/>
          <w:iCs w:val="0"/>
        </w:rPr>
        <w:t xml:space="preserve"> Please inform us in writing what you are planning to rectify by when</w:t>
      </w:r>
      <w:r w:rsidR="00ED2389">
        <w:t>”.</w:t>
      </w:r>
      <w:r w:rsidR="00ED2389">
        <w:rPr>
          <w:rStyle w:val="FootnoteReference"/>
        </w:rPr>
        <w:footnoteReference w:id="13"/>
      </w:r>
    </w:p>
    <w:p w14:paraId="73FE7649" w14:textId="55686943" w:rsidR="00BB714D" w:rsidRDefault="008A5A95" w:rsidP="008A5A95">
      <w:pPr>
        <w:pStyle w:val="1"/>
        <w:numPr>
          <w:ilvl w:val="0"/>
          <w:numId w:val="0"/>
        </w:numPr>
        <w:tabs>
          <w:tab w:val="left" w:pos="567"/>
        </w:tabs>
        <w:ind w:left="567" w:hanging="567"/>
      </w:pPr>
      <w:r>
        <w:rPr>
          <w:rFonts w:cs="Arial"/>
          <w:sz w:val="22"/>
        </w:rPr>
        <w:t>[31]</w:t>
      </w:r>
      <w:r>
        <w:rPr>
          <w:rFonts w:cs="Arial"/>
          <w:sz w:val="22"/>
        </w:rPr>
        <w:tab/>
      </w:r>
      <w:r w:rsidR="00C337D9">
        <w:t xml:space="preserve"> </w:t>
      </w:r>
      <w:r w:rsidR="00ED2389">
        <w:t xml:space="preserve">The </w:t>
      </w:r>
      <w:r w:rsidR="006510EA">
        <w:t>Applicant</w:t>
      </w:r>
      <w:r w:rsidR="00ED2389">
        <w:t xml:space="preserve"> had been furnished with the AAMSA report</w:t>
      </w:r>
      <w:r w:rsidR="00CB2840">
        <w:t>, which it</w:t>
      </w:r>
      <w:r w:rsidR="00ED2389">
        <w:t xml:space="preserve"> attached to the founding affidavit as Annexure </w:t>
      </w:r>
      <w:r w:rsidR="004A6C6C">
        <w:t>“</w:t>
      </w:r>
      <w:r w:rsidR="00ED2389">
        <w:t>FA16</w:t>
      </w:r>
      <w:r w:rsidR="004A6C6C">
        <w:t>”</w:t>
      </w:r>
      <w:r w:rsidR="00ED2389">
        <w:t>.</w:t>
      </w:r>
      <w:r w:rsidR="00ED2389">
        <w:rPr>
          <w:rStyle w:val="FootnoteReference"/>
        </w:rPr>
        <w:footnoteReference w:id="14"/>
      </w:r>
      <w:r w:rsidR="00C337D9">
        <w:t xml:space="preserve"> </w:t>
      </w:r>
    </w:p>
    <w:p w14:paraId="5451E39F" w14:textId="7BC87CCB" w:rsidR="00ED2389" w:rsidRDefault="008A5A95" w:rsidP="008A5A95">
      <w:pPr>
        <w:pStyle w:val="1"/>
        <w:numPr>
          <w:ilvl w:val="0"/>
          <w:numId w:val="0"/>
        </w:numPr>
        <w:tabs>
          <w:tab w:val="left" w:pos="567"/>
        </w:tabs>
        <w:ind w:left="567" w:hanging="567"/>
        <w:rPr>
          <w:lang w:val="en-ZA"/>
        </w:rPr>
      </w:pPr>
      <w:r>
        <w:rPr>
          <w:rFonts w:cs="Arial"/>
          <w:sz w:val="22"/>
          <w:lang w:val="en-ZA"/>
        </w:rPr>
        <w:t>[32]</w:t>
      </w:r>
      <w:r>
        <w:rPr>
          <w:rFonts w:cs="Arial"/>
          <w:sz w:val="22"/>
          <w:lang w:val="en-ZA"/>
        </w:rPr>
        <w:tab/>
      </w:r>
      <w:r w:rsidR="00ED2389">
        <w:rPr>
          <w:lang w:val="en-ZA"/>
        </w:rPr>
        <w:t xml:space="preserve">It may be that the </w:t>
      </w:r>
      <w:r w:rsidR="006510EA">
        <w:rPr>
          <w:lang w:val="en-ZA"/>
        </w:rPr>
        <w:t>Applicant</w:t>
      </w:r>
      <w:r w:rsidR="00ED2389">
        <w:rPr>
          <w:lang w:val="en-ZA"/>
        </w:rPr>
        <w:t xml:space="preserve"> disagrees with the findings of the AAMSA report and which aspects of the defects identified were included in the scope of work agreed between the parties. However, what the </w:t>
      </w:r>
      <w:r w:rsidR="006510EA">
        <w:rPr>
          <w:lang w:val="en-ZA"/>
        </w:rPr>
        <w:t>Applicant</w:t>
      </w:r>
      <w:r w:rsidR="00ED2389">
        <w:rPr>
          <w:lang w:val="en-ZA"/>
        </w:rPr>
        <w:t xml:space="preserve"> cannot deny is that prior to bringing its </w:t>
      </w:r>
      <w:r w:rsidR="000269C2">
        <w:rPr>
          <w:lang w:val="en-ZA"/>
        </w:rPr>
        <w:t xml:space="preserve">main </w:t>
      </w:r>
      <w:r w:rsidR="00ED2389">
        <w:rPr>
          <w:lang w:val="en-ZA"/>
        </w:rPr>
        <w:t>application it</w:t>
      </w:r>
      <w:r w:rsidR="005701EF">
        <w:rPr>
          <w:lang w:val="en-ZA"/>
        </w:rPr>
        <w:t xml:space="preserve"> itself</w:t>
      </w:r>
      <w:r w:rsidR="00ED2389">
        <w:rPr>
          <w:lang w:val="en-ZA"/>
        </w:rPr>
        <w:t xml:space="preserve"> was </w:t>
      </w:r>
      <w:r w:rsidR="005701EF">
        <w:rPr>
          <w:lang w:val="en-ZA"/>
        </w:rPr>
        <w:t xml:space="preserve">fully </w:t>
      </w:r>
      <w:r w:rsidR="00ED2389">
        <w:rPr>
          <w:lang w:val="en-ZA"/>
        </w:rPr>
        <w:t>aware of a dispute about the quality of the goods supplied and the workmanship which were the subject of the invoice it demanded payment for.</w:t>
      </w:r>
    </w:p>
    <w:p w14:paraId="5627FDE6" w14:textId="44549442" w:rsidR="003634AE" w:rsidRDefault="008A5A95" w:rsidP="008A5A95">
      <w:pPr>
        <w:pStyle w:val="1"/>
        <w:numPr>
          <w:ilvl w:val="0"/>
          <w:numId w:val="0"/>
        </w:numPr>
        <w:tabs>
          <w:tab w:val="left" w:pos="567"/>
        </w:tabs>
        <w:ind w:left="567" w:hanging="567"/>
        <w:rPr>
          <w:lang w:val="en-ZA"/>
        </w:rPr>
      </w:pPr>
      <w:r>
        <w:rPr>
          <w:rFonts w:cs="Arial"/>
          <w:sz w:val="22"/>
          <w:lang w:val="en-ZA"/>
        </w:rPr>
        <w:t>[33]</w:t>
      </w:r>
      <w:r>
        <w:rPr>
          <w:rFonts w:cs="Arial"/>
          <w:sz w:val="22"/>
          <w:lang w:val="en-ZA"/>
        </w:rPr>
        <w:tab/>
      </w:r>
      <w:r w:rsidR="00CB2840">
        <w:rPr>
          <w:lang w:val="en-ZA"/>
        </w:rPr>
        <w:t>In reply to the Respondents submission that</w:t>
      </w:r>
      <w:r w:rsidR="005701EF">
        <w:rPr>
          <w:lang w:val="en-ZA"/>
        </w:rPr>
        <w:t xml:space="preserve"> the Applicant did not become aware of these material disputes of fact</w:t>
      </w:r>
      <w:r w:rsidR="003634AE">
        <w:rPr>
          <w:lang w:val="en-ZA"/>
        </w:rPr>
        <w:t xml:space="preserve"> only after the answering affidavit was filed</w:t>
      </w:r>
      <w:r w:rsidR="005701EF">
        <w:rPr>
          <w:lang w:val="en-ZA"/>
        </w:rPr>
        <w:t xml:space="preserve">, Mr </w:t>
      </w:r>
      <w:proofErr w:type="spellStart"/>
      <w:r w:rsidR="00F55F56">
        <w:rPr>
          <w:lang w:val="en-ZA"/>
        </w:rPr>
        <w:t>Prophy</w:t>
      </w:r>
      <w:proofErr w:type="spellEnd"/>
      <w:r w:rsidR="005701EF">
        <w:rPr>
          <w:lang w:val="en-ZA"/>
        </w:rPr>
        <w:t xml:space="preserve"> </w:t>
      </w:r>
      <w:r w:rsidR="00974806">
        <w:rPr>
          <w:lang w:val="en-ZA"/>
        </w:rPr>
        <w:t xml:space="preserve">submitted that the Applicant could not have foreseen that first and second Respondent would dispute liability or that Ms Barnard would confirm the Respondents version.  </w:t>
      </w:r>
    </w:p>
    <w:p w14:paraId="03E2A6C0" w14:textId="3B804E9C" w:rsidR="00565FFD" w:rsidRDefault="008A5A95" w:rsidP="008A5A95">
      <w:pPr>
        <w:pStyle w:val="1"/>
        <w:numPr>
          <w:ilvl w:val="0"/>
          <w:numId w:val="0"/>
        </w:numPr>
        <w:tabs>
          <w:tab w:val="left" w:pos="567"/>
        </w:tabs>
        <w:ind w:left="567" w:hanging="567"/>
        <w:rPr>
          <w:lang w:val="en-ZA"/>
        </w:rPr>
      </w:pPr>
      <w:r>
        <w:rPr>
          <w:rFonts w:cs="Arial"/>
          <w:sz w:val="22"/>
          <w:lang w:val="en-ZA"/>
        </w:rPr>
        <w:t>[34]</w:t>
      </w:r>
      <w:r>
        <w:rPr>
          <w:rFonts w:cs="Arial"/>
          <w:sz w:val="22"/>
          <w:lang w:val="en-ZA"/>
        </w:rPr>
        <w:tab/>
      </w:r>
      <w:r w:rsidR="00ED2389">
        <w:rPr>
          <w:lang w:val="en-ZA"/>
        </w:rPr>
        <w:t xml:space="preserve"> However</w:t>
      </w:r>
      <w:r w:rsidR="00604B90">
        <w:rPr>
          <w:lang w:val="en-ZA"/>
        </w:rPr>
        <w:t>,</w:t>
      </w:r>
      <w:r w:rsidR="00ED2389">
        <w:rPr>
          <w:lang w:val="en-ZA"/>
        </w:rPr>
        <w:t xml:space="preserve"> </w:t>
      </w:r>
      <w:r w:rsidR="003634AE">
        <w:rPr>
          <w:lang w:val="en-ZA"/>
        </w:rPr>
        <w:t xml:space="preserve">this version is not supported by the </w:t>
      </w:r>
      <w:r w:rsidR="00C42EB8">
        <w:rPr>
          <w:lang w:val="en-ZA"/>
        </w:rPr>
        <w:t>pre-litigation correspondence.  I</w:t>
      </w:r>
      <w:r w:rsidR="00ED2389">
        <w:rPr>
          <w:lang w:val="en-ZA"/>
        </w:rPr>
        <w:t xml:space="preserve">n a letter addressed to the </w:t>
      </w:r>
      <w:r w:rsidR="006510EA">
        <w:rPr>
          <w:lang w:val="en-ZA"/>
        </w:rPr>
        <w:t>Applicant</w:t>
      </w:r>
      <w:r w:rsidR="00604B90">
        <w:rPr>
          <w:lang w:val="en-ZA"/>
        </w:rPr>
        <w:t xml:space="preserve">’s attorney Jennings </w:t>
      </w:r>
      <w:r w:rsidR="00ED2389">
        <w:rPr>
          <w:lang w:val="en-ZA"/>
        </w:rPr>
        <w:t xml:space="preserve">by </w:t>
      </w:r>
      <w:r w:rsidR="00604B90">
        <w:rPr>
          <w:lang w:val="en-ZA"/>
        </w:rPr>
        <w:t xml:space="preserve">first </w:t>
      </w:r>
      <w:r w:rsidR="006510EA">
        <w:rPr>
          <w:lang w:val="en-ZA"/>
        </w:rPr>
        <w:t>Respondent</w:t>
      </w:r>
      <w:r w:rsidR="00604B90">
        <w:rPr>
          <w:lang w:val="en-ZA"/>
        </w:rPr>
        <w:t xml:space="preserve"> dated 3 August 2021</w:t>
      </w:r>
      <w:r w:rsidR="00604B90">
        <w:rPr>
          <w:rStyle w:val="FootnoteReference"/>
        </w:rPr>
        <w:footnoteReference w:id="15"/>
      </w:r>
      <w:r w:rsidR="00604B90">
        <w:rPr>
          <w:lang w:val="en-ZA"/>
        </w:rPr>
        <w:t xml:space="preserve"> (in response to a letter of demand sent by Jennings </w:t>
      </w:r>
      <w:proofErr w:type="spellStart"/>
      <w:r w:rsidR="00604B90">
        <w:rPr>
          <w:lang w:val="en-ZA"/>
        </w:rPr>
        <w:t>Inc</w:t>
      </w:r>
      <w:proofErr w:type="spellEnd"/>
      <w:r w:rsidR="00604B90">
        <w:rPr>
          <w:lang w:val="en-ZA"/>
        </w:rPr>
        <w:t xml:space="preserve">), the first </w:t>
      </w:r>
      <w:r w:rsidR="006510EA">
        <w:rPr>
          <w:lang w:val="en-ZA"/>
        </w:rPr>
        <w:t>Respondent</w:t>
      </w:r>
      <w:r w:rsidR="00604B90">
        <w:rPr>
          <w:lang w:val="en-ZA"/>
        </w:rPr>
        <w:t xml:space="preserve"> advises the attorney that Centrality was doing work for LBK consulting (third </w:t>
      </w:r>
      <w:r w:rsidR="006510EA">
        <w:rPr>
          <w:lang w:val="en-ZA"/>
        </w:rPr>
        <w:t>Respondent</w:t>
      </w:r>
      <w:r w:rsidR="00604B90">
        <w:rPr>
          <w:lang w:val="en-ZA"/>
        </w:rPr>
        <w:t>) and not “ourselves”.</w:t>
      </w:r>
      <w:r w:rsidR="00C42EB8">
        <w:rPr>
          <w:lang w:val="en-ZA"/>
        </w:rPr>
        <w:t xml:space="preserve"> </w:t>
      </w:r>
      <w:r w:rsidR="00D87484">
        <w:rPr>
          <w:lang w:val="en-ZA"/>
        </w:rPr>
        <w:t xml:space="preserve"> </w:t>
      </w:r>
      <w:r w:rsidR="00443492">
        <w:rPr>
          <w:lang w:val="en-ZA"/>
        </w:rPr>
        <w:t xml:space="preserve">The Applicant itself in its </w:t>
      </w:r>
      <w:r w:rsidR="00443492">
        <w:rPr>
          <w:lang w:val="en-ZA"/>
        </w:rPr>
        <w:lastRenderedPageBreak/>
        <w:t>founding affidavit refers to this letter.</w:t>
      </w:r>
      <w:r w:rsidR="00443492">
        <w:rPr>
          <w:rStyle w:val="FootnoteReference"/>
        </w:rPr>
        <w:footnoteReference w:id="16"/>
      </w:r>
      <w:r w:rsidR="00443492">
        <w:rPr>
          <w:lang w:val="en-ZA"/>
        </w:rPr>
        <w:t xml:space="preserve">  </w:t>
      </w:r>
      <w:r w:rsidR="00565FFD">
        <w:rPr>
          <w:lang w:val="en-ZA"/>
        </w:rPr>
        <w:t>It may be of course that the Applicant disagrees with this, as submitted in these proceedings.  But it was appraised of the fact that the first and second Respondents had disputed their liability as far back as 3 August 2021.</w:t>
      </w:r>
    </w:p>
    <w:p w14:paraId="1B4EAC83" w14:textId="6E548507" w:rsidR="0085270A" w:rsidRDefault="008A5A95" w:rsidP="008A5A95">
      <w:pPr>
        <w:pStyle w:val="1"/>
        <w:numPr>
          <w:ilvl w:val="0"/>
          <w:numId w:val="0"/>
        </w:numPr>
        <w:tabs>
          <w:tab w:val="left" w:pos="567"/>
        </w:tabs>
        <w:ind w:left="567" w:hanging="567"/>
      </w:pPr>
      <w:r>
        <w:rPr>
          <w:rFonts w:cs="Arial"/>
          <w:sz w:val="22"/>
        </w:rPr>
        <w:t>[35]</w:t>
      </w:r>
      <w:r>
        <w:rPr>
          <w:rFonts w:cs="Arial"/>
          <w:sz w:val="22"/>
        </w:rPr>
        <w:tab/>
      </w:r>
      <w:r w:rsidR="00C42EB8">
        <w:rPr>
          <w:lang w:val="en-ZA"/>
        </w:rPr>
        <w:t xml:space="preserve">As to Ms Barnard’s confirmatory affidavit, the Applicant was fully aware of the defects she had identified and her concern that these had not been attended </w:t>
      </w:r>
      <w:r w:rsidR="0085270A">
        <w:rPr>
          <w:lang w:val="en-ZA"/>
        </w:rPr>
        <w:t>to</w:t>
      </w:r>
      <w:r w:rsidR="00C42EB8">
        <w:rPr>
          <w:lang w:val="en-ZA"/>
        </w:rPr>
        <w:t xml:space="preserve">. </w:t>
      </w:r>
      <w:r w:rsidR="0085270A">
        <w:t xml:space="preserve">Ms Barnard held a meeting at the house with </w:t>
      </w:r>
      <w:proofErr w:type="spellStart"/>
      <w:r w:rsidR="0085270A">
        <w:t>T</w:t>
      </w:r>
      <w:r w:rsidR="003028A4">
        <w:t>h</w:t>
      </w:r>
      <w:r w:rsidR="0085270A">
        <w:t>inus</w:t>
      </w:r>
      <w:proofErr w:type="spellEnd"/>
      <w:r w:rsidR="0085270A">
        <w:t xml:space="preserve"> and walked through all the defects. Ms Barnard then sent an email on 14 April 2021 to </w:t>
      </w:r>
      <w:proofErr w:type="spellStart"/>
      <w:r w:rsidR="0085270A">
        <w:t>T</w:t>
      </w:r>
      <w:r w:rsidR="003028A4">
        <w:t>h</w:t>
      </w:r>
      <w:r w:rsidR="0085270A">
        <w:t>inus</w:t>
      </w:r>
      <w:proofErr w:type="spellEnd"/>
      <w:r w:rsidR="0085270A">
        <w:t xml:space="preserve"> in which she outlined several issues.</w:t>
      </w:r>
      <w:r w:rsidR="0085270A">
        <w:rPr>
          <w:rStyle w:val="FootnoteReference"/>
        </w:rPr>
        <w:footnoteReference w:id="17"/>
      </w:r>
      <w:r w:rsidR="0085270A">
        <w:t xml:space="preserve">  On 3 May 2021 a further email was sent to </w:t>
      </w:r>
      <w:proofErr w:type="spellStart"/>
      <w:r w:rsidR="0085270A">
        <w:t>T</w:t>
      </w:r>
      <w:r w:rsidR="001E4E21">
        <w:t>h</w:t>
      </w:r>
      <w:r w:rsidR="0085270A">
        <w:t>inus</w:t>
      </w:r>
      <w:proofErr w:type="spellEnd"/>
      <w:r w:rsidR="0085270A">
        <w:t xml:space="preserve"> from Ms Barnard in which she noted that no progress had been made by the Applicant.</w:t>
      </w:r>
      <w:r w:rsidR="0085270A">
        <w:rPr>
          <w:rStyle w:val="FootnoteReference"/>
        </w:rPr>
        <w:footnoteReference w:id="18"/>
      </w:r>
      <w:r w:rsidR="0085270A">
        <w:t xml:space="preserve"> </w:t>
      </w:r>
    </w:p>
    <w:p w14:paraId="6FF4F3F4" w14:textId="25349C15" w:rsidR="00C46944" w:rsidRDefault="008A5A95" w:rsidP="008A5A95">
      <w:pPr>
        <w:pStyle w:val="1"/>
        <w:numPr>
          <w:ilvl w:val="0"/>
          <w:numId w:val="0"/>
        </w:numPr>
        <w:tabs>
          <w:tab w:val="left" w:pos="567"/>
        </w:tabs>
        <w:ind w:left="567" w:hanging="567"/>
      </w:pPr>
      <w:r>
        <w:rPr>
          <w:rFonts w:cs="Arial"/>
          <w:sz w:val="22"/>
        </w:rPr>
        <w:t>[36]</w:t>
      </w:r>
      <w:r>
        <w:rPr>
          <w:rFonts w:cs="Arial"/>
          <w:sz w:val="22"/>
        </w:rPr>
        <w:tab/>
      </w:r>
      <w:r w:rsidR="00C46944">
        <w:t xml:space="preserve">In the recent case of </w:t>
      </w:r>
      <w:r w:rsidR="00C46944" w:rsidRPr="00855386">
        <w:rPr>
          <w:b/>
          <w:bCs/>
          <w:i/>
        </w:rPr>
        <w:t>Economic Freedom Fighters and Others v Manuel</w:t>
      </w:r>
      <w:r w:rsidR="00C46944">
        <w:t xml:space="preserve">, the SCA re-affirmed that generally a court will dismiss an </w:t>
      </w:r>
      <w:r w:rsidR="00C46944" w:rsidRPr="001E4E21">
        <w:t>application when</w:t>
      </w:r>
      <w:r w:rsidR="00C46944" w:rsidRPr="00855386">
        <w:t xml:space="preserve">, at the time that the application is launched, an </w:t>
      </w:r>
      <w:r w:rsidR="00C46944">
        <w:t>Applicant</w:t>
      </w:r>
      <w:r w:rsidR="00C46944" w:rsidRPr="00855386">
        <w:t xml:space="preserve"> should have realised that a serious dispute of fact was bound to develop</w:t>
      </w:r>
      <w:r w:rsidR="00C46944">
        <w:t xml:space="preserve">.  It went further to state that bringing an application to claim relief that is not appropriate to be sought in motion proceedings, will ordinarily be an </w:t>
      </w:r>
      <w:r w:rsidR="00C46944" w:rsidRPr="00CE12D7">
        <w:rPr>
          <w:i/>
          <w:iCs w:val="0"/>
        </w:rPr>
        <w:t>a fortiori</w:t>
      </w:r>
      <w:r w:rsidR="00C46944">
        <w:t xml:space="preserve"> case – </w:t>
      </w:r>
    </w:p>
    <w:p w14:paraId="233FC291" w14:textId="5F0A3232" w:rsidR="00C46944" w:rsidRDefault="008A5A95" w:rsidP="008A5A95">
      <w:pPr>
        <w:pStyle w:val="2"/>
        <w:numPr>
          <w:ilvl w:val="0"/>
          <w:numId w:val="0"/>
        </w:numPr>
        <w:tabs>
          <w:tab w:val="left" w:pos="1418"/>
        </w:tabs>
        <w:spacing w:line="360" w:lineRule="auto"/>
        <w:ind w:left="1418" w:hanging="851"/>
        <w:rPr>
          <w:i/>
          <w:iCs w:val="0"/>
        </w:rPr>
      </w:pPr>
      <w:r>
        <w:rPr>
          <w:i/>
          <w:iCs w:val="0"/>
        </w:rPr>
        <w:t>[36.1]</w:t>
      </w:r>
      <w:r>
        <w:rPr>
          <w:i/>
          <w:iCs w:val="0"/>
        </w:rPr>
        <w:tab/>
      </w:r>
      <w:r w:rsidR="00C46944">
        <w:rPr>
          <w:i/>
          <w:iCs w:val="0"/>
        </w:rPr>
        <w:t>“</w:t>
      </w:r>
      <w:r w:rsidR="00C46944" w:rsidRPr="000E6DD0">
        <w:rPr>
          <w:i/>
          <w:iCs w:val="0"/>
        </w:rPr>
        <w:t xml:space="preserve">[114] We now deal with the alternative relief sought by Mr Manuel in his notice of motion, namely, the referral of the issue of quantum to oral evidence. It is true that a court, in motion proceedings, in terms of Uniform Rule 6(5)(g), has a discretion to direct that oral evidence be heard on specified issues with a view to resolving a dispute of fact or, in appropriate circumstances, to order the matter to trial. Generally, </w:t>
      </w:r>
      <w:r w:rsidR="00C46944" w:rsidRPr="000E6DD0">
        <w:rPr>
          <w:i/>
          <w:iCs w:val="0"/>
        </w:rPr>
        <w:lastRenderedPageBreak/>
        <w:t xml:space="preserve">however, a court will dismiss an application when, at the time that the application is launched, an </w:t>
      </w:r>
      <w:r w:rsidR="00C46944">
        <w:rPr>
          <w:i/>
          <w:iCs w:val="0"/>
        </w:rPr>
        <w:t>Applicant</w:t>
      </w:r>
      <w:r w:rsidR="00C46944" w:rsidRPr="000E6DD0">
        <w:rPr>
          <w:i/>
          <w:iCs w:val="0"/>
        </w:rPr>
        <w:t xml:space="preserve"> should have realised that a serious dispute of fact was bound to develop</w:t>
      </w:r>
      <w:r w:rsidR="00D17000">
        <w:rPr>
          <w:rStyle w:val="Hyperlink"/>
          <w:b/>
          <w:bCs/>
          <w:i/>
          <w:iCs w:val="0"/>
          <w:color w:val="0B4B0B"/>
          <w:sz w:val="27"/>
          <w:szCs w:val="27"/>
        </w:rPr>
        <w:t>.</w:t>
      </w:r>
      <w:r w:rsidR="00C46944" w:rsidRPr="000E6DD0">
        <w:rPr>
          <w:i/>
          <w:iCs w:val="0"/>
        </w:rPr>
        <w:t> We would add that bringing application proceedings claiming relief that is not appropriate to be sought in such proceedings, will ordinarily be an a fortiori  case.</w:t>
      </w:r>
      <w:r w:rsidR="00C46944">
        <w:rPr>
          <w:i/>
          <w:iCs w:val="0"/>
        </w:rPr>
        <w:t>”</w:t>
      </w:r>
      <w:r w:rsidR="00C46944">
        <w:rPr>
          <w:rStyle w:val="FootnoteReference"/>
          <w:i/>
          <w:iCs w:val="0"/>
        </w:rPr>
        <w:footnoteReference w:id="19"/>
      </w:r>
    </w:p>
    <w:p w14:paraId="0218DE39" w14:textId="359638B4" w:rsidR="00621803" w:rsidRDefault="008A5A95" w:rsidP="008A5A95">
      <w:pPr>
        <w:pStyle w:val="1"/>
        <w:numPr>
          <w:ilvl w:val="0"/>
          <w:numId w:val="0"/>
        </w:numPr>
        <w:tabs>
          <w:tab w:val="left" w:pos="567"/>
        </w:tabs>
        <w:ind w:left="567" w:hanging="567"/>
        <w:rPr>
          <w:lang w:val="en-ZA"/>
        </w:rPr>
      </w:pPr>
      <w:r>
        <w:rPr>
          <w:rFonts w:cs="Arial"/>
          <w:sz w:val="22"/>
          <w:lang w:val="en-ZA"/>
        </w:rPr>
        <w:t>[37]</w:t>
      </w:r>
      <w:r>
        <w:rPr>
          <w:rFonts w:cs="Arial"/>
          <w:sz w:val="22"/>
          <w:lang w:val="en-ZA"/>
        </w:rPr>
        <w:tab/>
      </w:r>
      <w:r w:rsidR="00621803">
        <w:rPr>
          <w:lang w:val="en-ZA"/>
        </w:rPr>
        <w:t>It was clear that Applicant had full knowledge of the disputes between the parties prior to bringing the main application and should have foreseen that material disputes of fact were likely to arise.</w:t>
      </w:r>
    </w:p>
    <w:p w14:paraId="0B51C0BD" w14:textId="42B1AF13" w:rsidR="00C46944" w:rsidRDefault="008A5A95" w:rsidP="008A5A95">
      <w:pPr>
        <w:pStyle w:val="1"/>
        <w:numPr>
          <w:ilvl w:val="0"/>
          <w:numId w:val="0"/>
        </w:numPr>
        <w:tabs>
          <w:tab w:val="left" w:pos="567"/>
        </w:tabs>
        <w:ind w:left="567" w:hanging="567"/>
        <w:rPr>
          <w:lang w:val="en-ZA"/>
        </w:rPr>
      </w:pPr>
      <w:r>
        <w:rPr>
          <w:rFonts w:cs="Arial"/>
          <w:sz w:val="22"/>
          <w:lang w:val="en-ZA"/>
        </w:rPr>
        <w:t>[38]</w:t>
      </w:r>
      <w:r>
        <w:rPr>
          <w:rFonts w:cs="Arial"/>
          <w:sz w:val="22"/>
          <w:lang w:val="en-ZA"/>
        </w:rPr>
        <w:tab/>
      </w:r>
      <w:r w:rsidR="00604B90">
        <w:rPr>
          <w:lang w:val="en-ZA"/>
        </w:rPr>
        <w:t xml:space="preserve">The </w:t>
      </w:r>
      <w:r w:rsidR="006510EA">
        <w:rPr>
          <w:lang w:val="en-ZA"/>
        </w:rPr>
        <w:t>Applicant</w:t>
      </w:r>
      <w:r w:rsidR="00604B90">
        <w:rPr>
          <w:lang w:val="en-ZA"/>
        </w:rPr>
        <w:t xml:space="preserve"> in seeking to avoid a dismissal of this application relied on the Constitutional Court decision in </w:t>
      </w:r>
      <w:proofErr w:type="spellStart"/>
      <w:r w:rsidR="00604B90" w:rsidRPr="001C4F9B">
        <w:rPr>
          <w:b/>
          <w:bCs/>
          <w:i/>
          <w:iCs w:val="0"/>
          <w:lang w:val="en-ZA"/>
        </w:rPr>
        <w:t>Mamadi</w:t>
      </w:r>
      <w:proofErr w:type="spellEnd"/>
      <w:r w:rsidR="00604B90" w:rsidRPr="001C4F9B">
        <w:rPr>
          <w:b/>
          <w:bCs/>
          <w:i/>
          <w:iCs w:val="0"/>
          <w:lang w:val="en-ZA"/>
        </w:rPr>
        <w:t xml:space="preserve"> and Another v Premier of Limpopo Province and Others</w:t>
      </w:r>
      <w:r w:rsidR="00604B90">
        <w:rPr>
          <w:rStyle w:val="FootnoteReference"/>
        </w:rPr>
        <w:footnoteReference w:id="20"/>
      </w:r>
      <w:r w:rsidR="009147E0">
        <w:rPr>
          <w:lang w:val="en-ZA"/>
        </w:rPr>
        <w:t xml:space="preserve"> in support of the submission that courts should be hesitant to dismiss applications in terms of </w:t>
      </w:r>
      <w:r w:rsidR="00E12C44">
        <w:rPr>
          <w:lang w:val="en-ZA"/>
        </w:rPr>
        <w:t>R</w:t>
      </w:r>
      <w:r w:rsidR="009147E0">
        <w:rPr>
          <w:lang w:val="en-ZA"/>
        </w:rPr>
        <w:t xml:space="preserve">ule 6(5)(g). </w:t>
      </w:r>
      <w:r w:rsidR="00C46944">
        <w:rPr>
          <w:lang w:val="en-ZA"/>
        </w:rPr>
        <w:t>Mr</w:t>
      </w:r>
      <w:r w:rsidR="003028A4">
        <w:rPr>
          <w:lang w:val="en-ZA"/>
        </w:rPr>
        <w:t xml:space="preserve"> </w:t>
      </w:r>
      <w:proofErr w:type="spellStart"/>
      <w:r w:rsidR="003028A4">
        <w:rPr>
          <w:lang w:val="en-ZA"/>
        </w:rPr>
        <w:t>Prophy</w:t>
      </w:r>
      <w:proofErr w:type="spellEnd"/>
      <w:r w:rsidR="00C46944">
        <w:rPr>
          <w:lang w:val="en-ZA"/>
        </w:rPr>
        <w:t xml:space="preserve"> submitted that</w:t>
      </w:r>
      <w:r w:rsidR="00290CFB">
        <w:rPr>
          <w:lang w:val="en-ZA"/>
        </w:rPr>
        <w:t xml:space="preserve"> were I to dismiss</w:t>
      </w:r>
      <w:r w:rsidR="00C46944">
        <w:rPr>
          <w:lang w:val="en-ZA"/>
        </w:rPr>
        <w:t xml:space="preserve"> this application, the main application would still be </w:t>
      </w:r>
      <w:r w:rsidR="00290CFB">
        <w:rPr>
          <w:lang w:val="en-ZA"/>
        </w:rPr>
        <w:t>alive</w:t>
      </w:r>
      <w:r w:rsidR="00DD63DE">
        <w:rPr>
          <w:lang w:val="en-ZA"/>
        </w:rPr>
        <w:t>,</w:t>
      </w:r>
      <w:r w:rsidR="00290CFB">
        <w:rPr>
          <w:lang w:val="en-ZA"/>
        </w:rPr>
        <w:t xml:space="preserve"> and the parties would be back at square one.  The Applicant would then have to withdraw its application and issue summons</w:t>
      </w:r>
      <w:r w:rsidR="000904EF">
        <w:rPr>
          <w:lang w:val="en-ZA"/>
        </w:rPr>
        <w:t xml:space="preserve">.  The interests of justice required that the dispute be referred to trial for expeditious </w:t>
      </w:r>
      <w:r w:rsidR="001B78FC">
        <w:rPr>
          <w:lang w:val="en-ZA"/>
        </w:rPr>
        <w:t>resolution.</w:t>
      </w:r>
    </w:p>
    <w:p w14:paraId="4161AABF" w14:textId="2CEAB1BF" w:rsidR="00604B90" w:rsidRDefault="008A5A95" w:rsidP="008A5A95">
      <w:pPr>
        <w:pStyle w:val="1"/>
        <w:numPr>
          <w:ilvl w:val="0"/>
          <w:numId w:val="0"/>
        </w:numPr>
        <w:tabs>
          <w:tab w:val="left" w:pos="567"/>
        </w:tabs>
        <w:ind w:left="567" w:hanging="567"/>
        <w:rPr>
          <w:lang w:val="en-ZA"/>
        </w:rPr>
      </w:pPr>
      <w:r>
        <w:rPr>
          <w:rFonts w:cs="Arial"/>
          <w:sz w:val="22"/>
          <w:lang w:val="en-ZA"/>
        </w:rPr>
        <w:t>[39]</w:t>
      </w:r>
      <w:r>
        <w:rPr>
          <w:rFonts w:cs="Arial"/>
          <w:sz w:val="22"/>
          <w:lang w:val="en-ZA"/>
        </w:rPr>
        <w:tab/>
      </w:r>
      <w:r w:rsidR="009147E0" w:rsidRPr="001C4F9B">
        <w:rPr>
          <w:b/>
          <w:bCs/>
          <w:i/>
          <w:iCs w:val="0"/>
          <w:lang w:val="en-ZA"/>
        </w:rPr>
        <w:t xml:space="preserve"> </w:t>
      </w:r>
      <w:proofErr w:type="spellStart"/>
      <w:r w:rsidR="000904EF" w:rsidRPr="001C4F9B">
        <w:rPr>
          <w:b/>
          <w:bCs/>
          <w:i/>
          <w:iCs w:val="0"/>
          <w:lang w:val="en-ZA"/>
        </w:rPr>
        <w:t>Mamadi</w:t>
      </w:r>
      <w:proofErr w:type="spellEnd"/>
      <w:r w:rsidR="000904EF">
        <w:rPr>
          <w:lang w:val="en-ZA"/>
        </w:rPr>
        <w:t xml:space="preserve"> </w:t>
      </w:r>
      <w:r w:rsidR="001B78FC">
        <w:rPr>
          <w:lang w:val="en-ZA"/>
        </w:rPr>
        <w:t>however is distinguishable on the facts.  In that case</w:t>
      </w:r>
      <w:r w:rsidR="009147E0">
        <w:rPr>
          <w:lang w:val="en-ZA"/>
        </w:rPr>
        <w:t xml:space="preserve"> the court was dealing with the relationship between </w:t>
      </w:r>
      <w:r w:rsidR="00090B69">
        <w:rPr>
          <w:lang w:val="en-ZA"/>
        </w:rPr>
        <w:t>R</w:t>
      </w:r>
      <w:r w:rsidR="009147E0">
        <w:rPr>
          <w:lang w:val="en-ZA"/>
        </w:rPr>
        <w:t xml:space="preserve">ule 6(5)(g) and </w:t>
      </w:r>
      <w:r w:rsidR="00090B69">
        <w:rPr>
          <w:lang w:val="en-ZA"/>
        </w:rPr>
        <w:t>R</w:t>
      </w:r>
      <w:r w:rsidR="009147E0">
        <w:rPr>
          <w:lang w:val="en-ZA"/>
        </w:rPr>
        <w:t xml:space="preserve">ule 53.  At the core of </w:t>
      </w:r>
      <w:r w:rsidR="003270C9">
        <w:rPr>
          <w:lang w:val="en-ZA"/>
        </w:rPr>
        <w:t xml:space="preserve">that </w:t>
      </w:r>
      <w:r w:rsidR="009147E0">
        <w:rPr>
          <w:lang w:val="en-ZA"/>
        </w:rPr>
        <w:t>matter was whether the High Court</w:t>
      </w:r>
      <w:r w:rsidR="00090B69">
        <w:rPr>
          <w:lang w:val="en-ZA"/>
        </w:rPr>
        <w:t>,</w:t>
      </w:r>
      <w:r w:rsidR="009147E0">
        <w:rPr>
          <w:lang w:val="en-ZA"/>
        </w:rPr>
        <w:t xml:space="preserve"> in a review application of the findings of the </w:t>
      </w:r>
      <w:proofErr w:type="spellStart"/>
      <w:r w:rsidR="009147E0">
        <w:rPr>
          <w:lang w:val="en-ZA"/>
        </w:rPr>
        <w:t>Kgatla</w:t>
      </w:r>
      <w:proofErr w:type="spellEnd"/>
      <w:r w:rsidR="009147E0">
        <w:rPr>
          <w:lang w:val="en-ZA"/>
        </w:rPr>
        <w:t xml:space="preserve"> Commission and the decisions of the Premier of Limpopo </w:t>
      </w:r>
      <w:proofErr w:type="gramStart"/>
      <w:r w:rsidR="009147E0">
        <w:rPr>
          <w:lang w:val="en-ZA"/>
        </w:rPr>
        <w:t>province,  had</w:t>
      </w:r>
      <w:proofErr w:type="gramEnd"/>
      <w:r w:rsidR="009147E0">
        <w:rPr>
          <w:lang w:val="en-ZA"/>
        </w:rPr>
        <w:t xml:space="preserve"> exercised its discretion judicially.  This was a matter that dealt with the impact of administrative decisions on the lives of ordinary citizens.  </w:t>
      </w:r>
    </w:p>
    <w:p w14:paraId="4F9D7937" w14:textId="1ED6AE55" w:rsidR="00057B88" w:rsidRDefault="008A5A95" w:rsidP="008A5A95">
      <w:pPr>
        <w:pStyle w:val="1"/>
        <w:numPr>
          <w:ilvl w:val="0"/>
          <w:numId w:val="0"/>
        </w:numPr>
        <w:tabs>
          <w:tab w:val="left" w:pos="567"/>
        </w:tabs>
        <w:ind w:left="567" w:hanging="567"/>
        <w:rPr>
          <w:lang w:val="en-ZA"/>
        </w:rPr>
      </w:pPr>
      <w:r>
        <w:rPr>
          <w:rFonts w:cs="Arial"/>
          <w:sz w:val="22"/>
          <w:lang w:val="en-ZA"/>
        </w:rPr>
        <w:lastRenderedPageBreak/>
        <w:t>[40]</w:t>
      </w:r>
      <w:r>
        <w:rPr>
          <w:rFonts w:cs="Arial"/>
          <w:sz w:val="22"/>
          <w:lang w:val="en-ZA"/>
        </w:rPr>
        <w:tab/>
      </w:r>
      <w:r w:rsidR="00E41365">
        <w:rPr>
          <w:lang w:val="en-ZA"/>
        </w:rPr>
        <w:t xml:space="preserve">The facts of this case differ.  First this </w:t>
      </w:r>
      <w:r w:rsidR="00DD63DE">
        <w:rPr>
          <w:lang w:val="en-ZA"/>
        </w:rPr>
        <w:t xml:space="preserve">matter </w:t>
      </w:r>
      <w:r w:rsidR="00E41365">
        <w:rPr>
          <w:lang w:val="en-ZA"/>
        </w:rPr>
        <w:t xml:space="preserve">concerns a dispute between private parties, a dispute that </w:t>
      </w:r>
      <w:r w:rsidR="00057B88">
        <w:rPr>
          <w:lang w:val="en-ZA"/>
        </w:rPr>
        <w:t xml:space="preserve">was already </w:t>
      </w:r>
      <w:r w:rsidR="0046656C">
        <w:rPr>
          <w:lang w:val="en-ZA"/>
        </w:rPr>
        <w:t xml:space="preserve">foreshadowed in pre-litigation correspondence.  </w:t>
      </w:r>
      <w:r w:rsidR="009147E0">
        <w:rPr>
          <w:lang w:val="en-ZA"/>
        </w:rPr>
        <w:t xml:space="preserve">The </w:t>
      </w:r>
      <w:r w:rsidR="006510EA">
        <w:rPr>
          <w:lang w:val="en-ZA"/>
        </w:rPr>
        <w:t>Applicant</w:t>
      </w:r>
      <w:r w:rsidR="009147E0">
        <w:rPr>
          <w:lang w:val="en-ZA"/>
        </w:rPr>
        <w:t xml:space="preserve">, </w:t>
      </w:r>
      <w:r w:rsidR="00DD63DE">
        <w:rPr>
          <w:lang w:val="en-ZA"/>
        </w:rPr>
        <w:t>in full</w:t>
      </w:r>
      <w:r w:rsidR="00F54705">
        <w:rPr>
          <w:lang w:val="en-ZA"/>
        </w:rPr>
        <w:t xml:space="preserve"> knowledge </w:t>
      </w:r>
      <w:r w:rsidR="009147E0">
        <w:rPr>
          <w:lang w:val="en-ZA"/>
        </w:rPr>
        <w:t xml:space="preserve">of the possible disputes between it and the </w:t>
      </w:r>
      <w:r w:rsidR="006510EA">
        <w:rPr>
          <w:lang w:val="en-ZA"/>
        </w:rPr>
        <w:t>Respondent</w:t>
      </w:r>
      <w:r w:rsidR="001B78FC">
        <w:rPr>
          <w:lang w:val="en-ZA"/>
        </w:rPr>
        <w:t>s</w:t>
      </w:r>
      <w:r w:rsidR="001D53FD">
        <w:rPr>
          <w:lang w:val="en-ZA"/>
        </w:rPr>
        <w:t>,</w:t>
      </w:r>
      <w:r w:rsidR="00621803">
        <w:rPr>
          <w:lang w:val="en-ZA"/>
        </w:rPr>
        <w:t xml:space="preserve"> nevertheless</w:t>
      </w:r>
      <w:r w:rsidR="009147E0">
        <w:rPr>
          <w:lang w:val="en-ZA"/>
        </w:rPr>
        <w:t xml:space="preserve"> elected to proceed with motion proceedings.  </w:t>
      </w:r>
    </w:p>
    <w:p w14:paraId="36A8E4B1" w14:textId="7F37E845" w:rsidR="00A43D7D" w:rsidRDefault="008A5A95" w:rsidP="008A5A95">
      <w:pPr>
        <w:pStyle w:val="1"/>
        <w:numPr>
          <w:ilvl w:val="0"/>
          <w:numId w:val="0"/>
        </w:numPr>
        <w:tabs>
          <w:tab w:val="left" w:pos="567"/>
        </w:tabs>
        <w:ind w:left="567" w:hanging="567"/>
        <w:rPr>
          <w:lang w:val="en-ZA"/>
        </w:rPr>
      </w:pPr>
      <w:r>
        <w:rPr>
          <w:rFonts w:cs="Arial"/>
          <w:sz w:val="22"/>
          <w:lang w:val="en-ZA"/>
        </w:rPr>
        <w:t>[41]</w:t>
      </w:r>
      <w:r>
        <w:rPr>
          <w:rFonts w:cs="Arial"/>
          <w:sz w:val="22"/>
          <w:lang w:val="en-ZA"/>
        </w:rPr>
        <w:tab/>
      </w:r>
      <w:r w:rsidR="00833DD8">
        <w:rPr>
          <w:lang w:val="en-ZA"/>
        </w:rPr>
        <w:t>E</w:t>
      </w:r>
      <w:r w:rsidR="001B78FC">
        <w:rPr>
          <w:lang w:val="en-ZA"/>
        </w:rPr>
        <w:t xml:space="preserve">ven if I am to assume, for arguments’ sake, in favour of the Applicant that it </w:t>
      </w:r>
      <w:r w:rsidR="008E62A4">
        <w:rPr>
          <w:lang w:val="en-ZA"/>
        </w:rPr>
        <w:t>could not have anticipated at the time of commencing motion proceedings that</w:t>
      </w:r>
      <w:r w:rsidR="001B78FC">
        <w:rPr>
          <w:lang w:val="en-ZA"/>
        </w:rPr>
        <w:t xml:space="preserve"> Ms Barnard’s</w:t>
      </w:r>
      <w:r w:rsidR="008E62A4">
        <w:rPr>
          <w:lang w:val="en-ZA"/>
        </w:rPr>
        <w:t xml:space="preserve"> version might change or the counterclaim brought by the Respondents</w:t>
      </w:r>
      <w:r w:rsidR="008E62A4" w:rsidRPr="008E62A4">
        <w:rPr>
          <w:lang w:val="en-ZA"/>
        </w:rPr>
        <w:t xml:space="preserve"> </w:t>
      </w:r>
      <w:r w:rsidR="008E62A4">
        <w:rPr>
          <w:lang w:val="en-ZA"/>
        </w:rPr>
        <w:t xml:space="preserve">in the answering </w:t>
      </w:r>
      <w:proofErr w:type="gramStart"/>
      <w:r w:rsidR="008E62A4">
        <w:rPr>
          <w:lang w:val="en-ZA"/>
        </w:rPr>
        <w:t xml:space="preserve">affidavit, </w:t>
      </w:r>
      <w:r w:rsidR="001B78FC">
        <w:rPr>
          <w:lang w:val="en-ZA"/>
        </w:rPr>
        <w:t xml:space="preserve"> </w:t>
      </w:r>
      <w:r w:rsidR="006F56C9">
        <w:rPr>
          <w:lang w:val="en-ZA"/>
        </w:rPr>
        <w:t>it</w:t>
      </w:r>
      <w:proofErr w:type="gramEnd"/>
      <w:r w:rsidR="006F56C9">
        <w:rPr>
          <w:lang w:val="en-ZA"/>
        </w:rPr>
        <w:t xml:space="preserve"> does not explain why it waited </w:t>
      </w:r>
      <w:r w:rsidR="006F56C9" w:rsidRPr="001C4F9B">
        <w:rPr>
          <w:i/>
          <w:iCs w:val="0"/>
          <w:u w:val="single"/>
          <w:lang w:val="en-ZA"/>
        </w:rPr>
        <w:t>five</w:t>
      </w:r>
      <w:r w:rsidR="006F56C9">
        <w:rPr>
          <w:lang w:val="en-ZA"/>
        </w:rPr>
        <w:t xml:space="preserve"> (5) months before bringing the transfer application. </w:t>
      </w:r>
      <w:r w:rsidR="00CD21C7">
        <w:rPr>
          <w:lang w:val="en-ZA"/>
        </w:rPr>
        <w:t xml:space="preserve"> In that time, even on its own version that it became aware of the disputes of fact only after the Respondents answering affidavit</w:t>
      </w:r>
      <w:r w:rsidR="00621803">
        <w:rPr>
          <w:lang w:val="en-ZA"/>
        </w:rPr>
        <w:t xml:space="preserve">, </w:t>
      </w:r>
      <w:r w:rsidR="00CD21C7">
        <w:rPr>
          <w:lang w:val="en-ZA"/>
        </w:rPr>
        <w:t xml:space="preserve">which version I must </w:t>
      </w:r>
      <w:r w:rsidR="00B504C1">
        <w:rPr>
          <w:lang w:val="en-ZA"/>
        </w:rPr>
        <w:t xml:space="preserve">stress </w:t>
      </w:r>
      <w:r w:rsidR="00CD21C7">
        <w:rPr>
          <w:lang w:val="en-ZA"/>
        </w:rPr>
        <w:t xml:space="preserve">is not supported by its own documents, it could have withdrawn the application and issued summons.  It elected not to do so.  </w:t>
      </w:r>
      <w:r w:rsidR="00DD63DE">
        <w:rPr>
          <w:lang w:val="en-ZA"/>
        </w:rPr>
        <w:t xml:space="preserve">In my view the Applicant has </w:t>
      </w:r>
      <w:r w:rsidR="00AA399B">
        <w:rPr>
          <w:lang w:val="en-ZA"/>
        </w:rPr>
        <w:t xml:space="preserve">itself caused delays in the expeditious resolution of this matter that it now </w:t>
      </w:r>
      <w:r w:rsidR="00CD21C7">
        <w:rPr>
          <w:lang w:val="en-ZA"/>
        </w:rPr>
        <w:t>argues for</w:t>
      </w:r>
      <w:r w:rsidR="00AA399B">
        <w:rPr>
          <w:lang w:val="en-ZA"/>
        </w:rPr>
        <w:t>.</w:t>
      </w:r>
    </w:p>
    <w:p w14:paraId="176D3671" w14:textId="4A03649E" w:rsidR="004F63AE" w:rsidRDefault="008A5A95" w:rsidP="008A5A95">
      <w:pPr>
        <w:pStyle w:val="1"/>
        <w:numPr>
          <w:ilvl w:val="0"/>
          <w:numId w:val="0"/>
        </w:numPr>
        <w:tabs>
          <w:tab w:val="left" w:pos="567"/>
        </w:tabs>
        <w:ind w:left="567" w:hanging="567"/>
        <w:rPr>
          <w:lang w:val="en-ZA"/>
        </w:rPr>
      </w:pPr>
      <w:r>
        <w:rPr>
          <w:rFonts w:cs="Arial"/>
          <w:sz w:val="22"/>
          <w:lang w:val="en-ZA"/>
        </w:rPr>
        <w:t>[42]</w:t>
      </w:r>
      <w:r>
        <w:rPr>
          <w:rFonts w:cs="Arial"/>
          <w:sz w:val="22"/>
          <w:lang w:val="en-ZA"/>
        </w:rPr>
        <w:tab/>
      </w:r>
      <w:r w:rsidR="004F63AE">
        <w:rPr>
          <w:lang w:val="en-ZA"/>
        </w:rPr>
        <w:t xml:space="preserve">During argument there </w:t>
      </w:r>
      <w:r w:rsidR="0020263C">
        <w:rPr>
          <w:lang w:val="en-ZA"/>
        </w:rPr>
        <w:t>was</w:t>
      </w:r>
      <w:r w:rsidR="003D7516">
        <w:rPr>
          <w:lang w:val="en-ZA"/>
        </w:rPr>
        <w:t>, as expected,</w:t>
      </w:r>
      <w:r w:rsidR="0020263C">
        <w:rPr>
          <w:lang w:val="en-ZA"/>
        </w:rPr>
        <w:t xml:space="preserve"> </w:t>
      </w:r>
      <w:r w:rsidR="003D7516">
        <w:rPr>
          <w:lang w:val="en-ZA"/>
        </w:rPr>
        <w:t>some degree of elision between the two applica</w:t>
      </w:r>
      <w:r w:rsidR="00E21AC5">
        <w:rPr>
          <w:lang w:val="en-ZA"/>
        </w:rPr>
        <w:t>tions.  Both parties referred</w:t>
      </w:r>
      <w:r w:rsidR="004D785F">
        <w:rPr>
          <w:lang w:val="en-ZA"/>
        </w:rPr>
        <w:t xml:space="preserve"> to</w:t>
      </w:r>
      <w:r w:rsidR="00E21AC5">
        <w:rPr>
          <w:lang w:val="en-ZA"/>
        </w:rPr>
        <w:t xml:space="preserve"> the affidavits in the main application, </w:t>
      </w:r>
      <w:r w:rsidR="00944551">
        <w:rPr>
          <w:lang w:val="en-ZA"/>
        </w:rPr>
        <w:t xml:space="preserve">in support of their submissions. As discussed previously the Respondent asked that “the application be dismissed, alternatively decided in its favour in terms of </w:t>
      </w:r>
      <w:proofErr w:type="spellStart"/>
      <w:r w:rsidR="00944551" w:rsidRPr="00CE12D7">
        <w:rPr>
          <w:i/>
          <w:iCs w:val="0"/>
          <w:lang w:val="en-ZA"/>
        </w:rPr>
        <w:t>Plascon</w:t>
      </w:r>
      <w:proofErr w:type="spellEnd"/>
      <w:r w:rsidR="00944551" w:rsidRPr="00CE12D7">
        <w:rPr>
          <w:i/>
          <w:iCs w:val="0"/>
          <w:lang w:val="en-ZA"/>
        </w:rPr>
        <w:t xml:space="preserve"> Evans</w:t>
      </w:r>
      <w:r w:rsidR="00944551">
        <w:rPr>
          <w:lang w:val="en-ZA"/>
        </w:rPr>
        <w:t xml:space="preserve">”, without clarifying whether it was referring to the main application or the transfer application or both.  </w:t>
      </w:r>
    </w:p>
    <w:p w14:paraId="57B29AC5" w14:textId="2504F3A2" w:rsidR="005606B4" w:rsidRDefault="008A5A95" w:rsidP="008A5A95">
      <w:pPr>
        <w:pStyle w:val="1"/>
        <w:numPr>
          <w:ilvl w:val="0"/>
          <w:numId w:val="0"/>
        </w:numPr>
        <w:tabs>
          <w:tab w:val="left" w:pos="567"/>
        </w:tabs>
        <w:ind w:left="567" w:hanging="567"/>
        <w:rPr>
          <w:lang w:val="en-ZA"/>
        </w:rPr>
      </w:pPr>
      <w:r>
        <w:rPr>
          <w:rFonts w:cs="Arial"/>
          <w:sz w:val="22"/>
          <w:lang w:val="en-ZA"/>
        </w:rPr>
        <w:t>[43]</w:t>
      </w:r>
      <w:r>
        <w:rPr>
          <w:rFonts w:cs="Arial"/>
          <w:sz w:val="22"/>
          <w:lang w:val="en-ZA"/>
        </w:rPr>
        <w:tab/>
      </w:r>
      <w:r w:rsidR="00586555">
        <w:rPr>
          <w:lang w:val="en-ZA"/>
        </w:rPr>
        <w:t xml:space="preserve">In </w:t>
      </w:r>
      <w:r w:rsidR="00586555" w:rsidRPr="00CE12D7">
        <w:rPr>
          <w:b/>
          <w:bCs/>
          <w:i/>
          <w:iCs w:val="0"/>
          <w:lang w:val="en-ZA"/>
        </w:rPr>
        <w:t xml:space="preserve">Room Hire </w:t>
      </w:r>
      <w:r w:rsidR="00170B06" w:rsidRPr="00CE12D7">
        <w:rPr>
          <w:b/>
          <w:bCs/>
          <w:i/>
          <w:iCs w:val="0"/>
          <w:lang w:val="en-ZA"/>
        </w:rPr>
        <w:t>Co (Pty) Ltd</w:t>
      </w:r>
      <w:r w:rsidR="001E0FBD" w:rsidRPr="00CE12D7">
        <w:rPr>
          <w:b/>
          <w:bCs/>
          <w:i/>
          <w:iCs w:val="0"/>
          <w:lang w:val="en-ZA"/>
        </w:rPr>
        <w:t xml:space="preserve"> v </w:t>
      </w:r>
      <w:proofErr w:type="spellStart"/>
      <w:r w:rsidR="001E0FBD" w:rsidRPr="00CE12D7">
        <w:rPr>
          <w:b/>
          <w:bCs/>
          <w:i/>
          <w:iCs w:val="0"/>
          <w:lang w:val="en-ZA"/>
        </w:rPr>
        <w:t>Jeppe</w:t>
      </w:r>
      <w:proofErr w:type="spellEnd"/>
      <w:r w:rsidR="001E0FBD" w:rsidRPr="00CE12D7">
        <w:rPr>
          <w:b/>
          <w:bCs/>
          <w:i/>
          <w:iCs w:val="0"/>
          <w:lang w:val="en-ZA"/>
        </w:rPr>
        <w:t xml:space="preserve"> Mansions (Pty) Ltd</w:t>
      </w:r>
      <w:r w:rsidR="00A5636A">
        <w:rPr>
          <w:lang w:val="en-ZA"/>
        </w:rPr>
        <w:t xml:space="preserve"> </w:t>
      </w:r>
      <w:r w:rsidR="001A0045">
        <w:rPr>
          <w:rStyle w:val="FootnoteReference"/>
        </w:rPr>
        <w:footnoteReference w:id="21"/>
      </w:r>
      <w:r w:rsidR="00A5636A">
        <w:rPr>
          <w:lang w:val="en-ZA"/>
        </w:rPr>
        <w:t>it was state</w:t>
      </w:r>
      <w:r w:rsidR="000D2C4D">
        <w:rPr>
          <w:lang w:val="en-ZA"/>
        </w:rPr>
        <w:t>d</w:t>
      </w:r>
      <w:r w:rsidR="00A5636A">
        <w:rPr>
          <w:lang w:val="en-ZA"/>
        </w:rPr>
        <w:t xml:space="preserve"> that:</w:t>
      </w:r>
    </w:p>
    <w:p w14:paraId="2E1811D0" w14:textId="1E85A895" w:rsidR="006174AC" w:rsidRPr="00CE12D7" w:rsidRDefault="008A5A95" w:rsidP="008A5A95">
      <w:pPr>
        <w:pStyle w:val="2"/>
        <w:numPr>
          <w:ilvl w:val="0"/>
          <w:numId w:val="0"/>
        </w:numPr>
        <w:tabs>
          <w:tab w:val="left" w:pos="1418"/>
        </w:tabs>
        <w:ind w:left="1418" w:hanging="851"/>
        <w:rPr>
          <w:rFonts w:cs="Arial"/>
          <w:i/>
          <w:iCs w:val="0"/>
          <w:sz w:val="20"/>
          <w:szCs w:val="20"/>
          <w:lang w:val="en-ZA"/>
        </w:rPr>
      </w:pPr>
      <w:r w:rsidRPr="00CE12D7">
        <w:rPr>
          <w:i/>
          <w:iCs w:val="0"/>
          <w:sz w:val="20"/>
          <w:szCs w:val="20"/>
          <w:lang w:val="en-ZA"/>
        </w:rPr>
        <w:lastRenderedPageBreak/>
        <w:t>[43.1]</w:t>
      </w:r>
      <w:r w:rsidRPr="00CE12D7">
        <w:rPr>
          <w:i/>
          <w:iCs w:val="0"/>
          <w:sz w:val="20"/>
          <w:szCs w:val="20"/>
          <w:lang w:val="en-ZA"/>
        </w:rPr>
        <w:tab/>
      </w:r>
      <w:r w:rsidR="001A0045">
        <w:rPr>
          <w:rFonts w:cs="Arial"/>
          <w:i/>
          <w:iCs w:val="0"/>
          <w:color w:val="2C3E50"/>
          <w:sz w:val="20"/>
          <w:szCs w:val="20"/>
          <w:shd w:val="clear" w:color="auto" w:fill="FFFFFF"/>
        </w:rPr>
        <w:t>“</w:t>
      </w:r>
      <w:r w:rsidR="001A0045" w:rsidRPr="00CE12D7">
        <w:rPr>
          <w:rFonts w:cs="Arial"/>
          <w:i/>
          <w:iCs w:val="0"/>
          <w:color w:val="2C3E50"/>
          <w:sz w:val="20"/>
          <w:szCs w:val="20"/>
          <w:shd w:val="clear" w:color="auto" w:fill="FFFFFF"/>
        </w:rPr>
        <w:t>I</w:t>
      </w:r>
      <w:r w:rsidR="006174AC" w:rsidRPr="00CE12D7">
        <w:rPr>
          <w:rFonts w:cs="Arial"/>
          <w:i/>
          <w:iCs w:val="0"/>
          <w:color w:val="2C3E50"/>
          <w:sz w:val="20"/>
          <w:szCs w:val="20"/>
          <w:shd w:val="clear" w:color="auto" w:fill="FFFFFF"/>
        </w:rPr>
        <w:t>t is obvious that a claimant who elects to proceed by motion runs the risk that a dispute of fact may be shown to exist. In that event (as is indicated infra) the Court has a discretion as to the future course of the proceedings. If it does not consider the case such that the dispute of fact can properly be determined by calling viva voce evidence under Rule 9, the parties may be sent to trial in the ordinary way, either on the affidavits as constituting the pleadings, or with a direction that pleadings are to be filed. Or the application may even be dismissed with costs, particularly when the applicant should have realised when launching his application that a serious dispute of fact was bound to develop</w:t>
      </w:r>
      <w:r w:rsidR="006174AC" w:rsidRPr="00CE12D7">
        <w:rPr>
          <w:rFonts w:cs="Arial"/>
          <w:i/>
          <w:iCs w:val="0"/>
          <w:color w:val="2C3E50"/>
          <w:sz w:val="20"/>
          <w:szCs w:val="20"/>
          <w:u w:val="single"/>
          <w:shd w:val="clear" w:color="auto" w:fill="FFFFFF"/>
        </w:rPr>
        <w:t>. It is certainly not proper that an applicant should commence proceedings by motion with knowledge of the probability of a protracted enquiry into disputed facts not capable of easy ascertainment, but in the hope of inducing the Court to apply Rule 9 to what is essentially the subject of an ordinary trial action</w:t>
      </w:r>
      <w:r w:rsidR="006174AC" w:rsidRPr="00CE12D7">
        <w:rPr>
          <w:rFonts w:cs="Arial"/>
          <w:i/>
          <w:iCs w:val="0"/>
          <w:color w:val="2C3E50"/>
          <w:sz w:val="20"/>
          <w:szCs w:val="20"/>
          <w:shd w:val="clear" w:color="auto" w:fill="FFFFFF"/>
        </w:rPr>
        <w:t>.</w:t>
      </w:r>
      <w:r w:rsidR="001A0045">
        <w:rPr>
          <w:rFonts w:cs="Arial"/>
          <w:i/>
          <w:iCs w:val="0"/>
          <w:color w:val="2C3E50"/>
          <w:sz w:val="20"/>
          <w:szCs w:val="20"/>
          <w:shd w:val="clear" w:color="auto" w:fill="FFFFFF"/>
        </w:rPr>
        <w:t>”</w:t>
      </w:r>
      <w:r w:rsidR="00FD015D">
        <w:rPr>
          <w:rFonts w:cs="Arial"/>
          <w:i/>
          <w:iCs w:val="0"/>
          <w:color w:val="2C3E50"/>
          <w:sz w:val="20"/>
          <w:szCs w:val="20"/>
          <w:shd w:val="clear" w:color="auto" w:fill="FFFFFF"/>
        </w:rPr>
        <w:t xml:space="preserve"> (</w:t>
      </w:r>
      <w:r w:rsidR="00FD015D" w:rsidRPr="00CE12D7">
        <w:rPr>
          <w:rFonts w:cs="Arial"/>
          <w:color w:val="2C3E50"/>
          <w:sz w:val="20"/>
          <w:szCs w:val="20"/>
          <w:shd w:val="clear" w:color="auto" w:fill="FFFFFF"/>
        </w:rPr>
        <w:t>my emphasis</w:t>
      </w:r>
      <w:r w:rsidR="00FD015D">
        <w:rPr>
          <w:rFonts w:cs="Arial"/>
          <w:i/>
          <w:iCs w:val="0"/>
          <w:color w:val="2C3E50"/>
          <w:sz w:val="20"/>
          <w:szCs w:val="20"/>
          <w:shd w:val="clear" w:color="auto" w:fill="FFFFFF"/>
        </w:rPr>
        <w:t>)</w:t>
      </w:r>
    </w:p>
    <w:p w14:paraId="30C3610B" w14:textId="4960B828" w:rsidR="00E405EF" w:rsidRDefault="008A5A95" w:rsidP="008A5A95">
      <w:pPr>
        <w:pStyle w:val="1"/>
        <w:numPr>
          <w:ilvl w:val="0"/>
          <w:numId w:val="0"/>
        </w:numPr>
        <w:tabs>
          <w:tab w:val="left" w:pos="567"/>
        </w:tabs>
        <w:ind w:left="567" w:hanging="567"/>
        <w:rPr>
          <w:lang w:val="en-ZA"/>
        </w:rPr>
      </w:pPr>
      <w:r>
        <w:rPr>
          <w:rFonts w:cs="Arial"/>
          <w:sz w:val="22"/>
          <w:lang w:val="en-ZA"/>
        </w:rPr>
        <w:t>[44]</w:t>
      </w:r>
      <w:r>
        <w:rPr>
          <w:rFonts w:cs="Arial"/>
          <w:sz w:val="22"/>
          <w:lang w:val="en-ZA"/>
        </w:rPr>
        <w:tab/>
      </w:r>
      <w:r w:rsidR="001C076F">
        <w:rPr>
          <w:lang w:val="en-ZA"/>
        </w:rPr>
        <w:t xml:space="preserve">In this matter, the issue </w:t>
      </w:r>
      <w:r w:rsidR="00D11BA5">
        <w:rPr>
          <w:lang w:val="en-ZA"/>
        </w:rPr>
        <w:t>is</w:t>
      </w:r>
      <w:r w:rsidR="001C076F">
        <w:rPr>
          <w:lang w:val="en-ZA"/>
        </w:rPr>
        <w:t xml:space="preserve"> not merely that of foreseeability or probability, namely whether the </w:t>
      </w:r>
      <w:r w:rsidR="00F038D8">
        <w:rPr>
          <w:lang w:val="en-ZA"/>
        </w:rPr>
        <w:t xml:space="preserve">Applicant </w:t>
      </w:r>
      <w:r w:rsidR="001C076F">
        <w:rPr>
          <w:lang w:val="en-ZA"/>
        </w:rPr>
        <w:t xml:space="preserve">could </w:t>
      </w:r>
      <w:r w:rsidR="00F038D8">
        <w:rPr>
          <w:lang w:val="en-ZA"/>
        </w:rPr>
        <w:t xml:space="preserve">have foreseen that a dispute of fact would arise at the time it launched the application, but rather </w:t>
      </w:r>
      <w:r w:rsidR="00D11BA5">
        <w:rPr>
          <w:lang w:val="en-ZA"/>
        </w:rPr>
        <w:t xml:space="preserve">of </w:t>
      </w:r>
      <w:r w:rsidR="00F038D8">
        <w:rPr>
          <w:lang w:val="en-ZA"/>
        </w:rPr>
        <w:t xml:space="preserve">an election made by the Applicant in </w:t>
      </w:r>
      <w:r w:rsidR="00D11BA5">
        <w:rPr>
          <w:lang w:val="en-ZA"/>
        </w:rPr>
        <w:t xml:space="preserve">full and </w:t>
      </w:r>
      <w:r w:rsidR="00F038D8">
        <w:rPr>
          <w:lang w:val="en-ZA"/>
        </w:rPr>
        <w:t>actual knowledge of the pre-litigation disputes</w:t>
      </w:r>
      <w:r w:rsidR="00D11BA5">
        <w:rPr>
          <w:lang w:val="en-ZA"/>
        </w:rPr>
        <w:t xml:space="preserve"> between the parties</w:t>
      </w:r>
      <w:r w:rsidR="00F038D8">
        <w:rPr>
          <w:lang w:val="en-ZA"/>
        </w:rPr>
        <w:t>.</w:t>
      </w:r>
      <w:r w:rsidR="00D11BA5">
        <w:rPr>
          <w:lang w:val="en-ZA"/>
        </w:rPr>
        <w:t xml:space="preserve"> </w:t>
      </w:r>
      <w:r w:rsidR="00E405EF">
        <w:rPr>
          <w:lang w:val="en-ZA"/>
        </w:rPr>
        <w:t>A dismissal of the transfer application would of course leave the main application alive. However, the consequences for the Applicant in such event have been caused by the Applicant itself by electing to proceed in this manner.</w:t>
      </w:r>
    </w:p>
    <w:p w14:paraId="5BC8E325" w14:textId="15326531" w:rsidR="009147E0" w:rsidRDefault="008A5A95" w:rsidP="008A5A95">
      <w:pPr>
        <w:pStyle w:val="1"/>
        <w:numPr>
          <w:ilvl w:val="0"/>
          <w:numId w:val="0"/>
        </w:numPr>
        <w:tabs>
          <w:tab w:val="left" w:pos="567"/>
        </w:tabs>
        <w:spacing w:line="360" w:lineRule="auto"/>
        <w:ind w:left="567" w:hanging="567"/>
        <w:rPr>
          <w:lang w:val="en-ZA"/>
        </w:rPr>
      </w:pPr>
      <w:r>
        <w:rPr>
          <w:rFonts w:cs="Arial"/>
          <w:sz w:val="22"/>
          <w:lang w:val="en-ZA"/>
        </w:rPr>
        <w:t>[45]</w:t>
      </w:r>
      <w:r>
        <w:rPr>
          <w:rFonts w:cs="Arial"/>
          <w:sz w:val="22"/>
          <w:lang w:val="en-ZA"/>
        </w:rPr>
        <w:tab/>
      </w:r>
      <w:r w:rsidR="009147E0">
        <w:rPr>
          <w:lang w:val="en-ZA"/>
        </w:rPr>
        <w:t>In the circumstances</w:t>
      </w:r>
      <w:r w:rsidR="00DE6B90">
        <w:rPr>
          <w:lang w:val="en-ZA"/>
        </w:rPr>
        <w:t>,</w:t>
      </w:r>
      <w:r w:rsidR="00543013">
        <w:rPr>
          <w:lang w:val="en-ZA"/>
        </w:rPr>
        <w:t xml:space="preserve"> </w:t>
      </w:r>
      <w:r w:rsidR="009147E0">
        <w:rPr>
          <w:lang w:val="en-ZA"/>
        </w:rPr>
        <w:t xml:space="preserve">the </w:t>
      </w:r>
      <w:r w:rsidR="0051219F">
        <w:rPr>
          <w:lang w:val="en-ZA"/>
        </w:rPr>
        <w:t xml:space="preserve">following order </w:t>
      </w:r>
      <w:r w:rsidR="00DE6B90">
        <w:rPr>
          <w:lang w:val="en-ZA"/>
        </w:rPr>
        <w:t>is made</w:t>
      </w:r>
      <w:r w:rsidR="0051219F">
        <w:rPr>
          <w:lang w:val="en-ZA"/>
        </w:rPr>
        <w:t>–</w:t>
      </w:r>
    </w:p>
    <w:p w14:paraId="30D0F2B2" w14:textId="0E4C0397" w:rsidR="0051219F" w:rsidRDefault="008A5A95" w:rsidP="008A5A95">
      <w:pPr>
        <w:pStyle w:val="2"/>
        <w:numPr>
          <w:ilvl w:val="0"/>
          <w:numId w:val="0"/>
        </w:numPr>
        <w:tabs>
          <w:tab w:val="left" w:pos="1418"/>
        </w:tabs>
        <w:ind w:left="1418" w:hanging="851"/>
        <w:rPr>
          <w:lang w:val="en-ZA"/>
        </w:rPr>
      </w:pPr>
      <w:r>
        <w:rPr>
          <w:lang w:val="en-ZA"/>
        </w:rPr>
        <w:t>[45.1]</w:t>
      </w:r>
      <w:r>
        <w:rPr>
          <w:lang w:val="en-ZA"/>
        </w:rPr>
        <w:tab/>
      </w:r>
      <w:r w:rsidR="0051219F">
        <w:rPr>
          <w:lang w:val="en-ZA"/>
        </w:rPr>
        <w:t xml:space="preserve">The application to transfer the matter to trial brought in terms of </w:t>
      </w:r>
      <w:r w:rsidR="00DF6709">
        <w:rPr>
          <w:lang w:val="en-ZA"/>
        </w:rPr>
        <w:t>R</w:t>
      </w:r>
      <w:r w:rsidR="0051219F">
        <w:rPr>
          <w:lang w:val="en-ZA"/>
        </w:rPr>
        <w:t xml:space="preserve">ule 6(5)(g) is hereby dismissed.  </w:t>
      </w:r>
    </w:p>
    <w:p w14:paraId="2716D84D" w14:textId="25C84000" w:rsidR="0051219F" w:rsidRDefault="008A5A95" w:rsidP="008A5A95">
      <w:pPr>
        <w:pStyle w:val="2"/>
        <w:numPr>
          <w:ilvl w:val="0"/>
          <w:numId w:val="0"/>
        </w:numPr>
        <w:tabs>
          <w:tab w:val="left" w:pos="1418"/>
        </w:tabs>
        <w:ind w:left="1418" w:hanging="851"/>
        <w:rPr>
          <w:lang w:val="en-ZA"/>
        </w:rPr>
      </w:pPr>
      <w:r>
        <w:rPr>
          <w:lang w:val="en-ZA"/>
        </w:rPr>
        <w:t>[45.2]</w:t>
      </w:r>
      <w:r>
        <w:rPr>
          <w:lang w:val="en-ZA"/>
        </w:rPr>
        <w:tab/>
      </w:r>
      <w:r w:rsidR="0051219F">
        <w:rPr>
          <w:lang w:val="en-ZA"/>
        </w:rPr>
        <w:t xml:space="preserve">The </w:t>
      </w:r>
      <w:r w:rsidR="006510EA">
        <w:rPr>
          <w:lang w:val="en-ZA"/>
        </w:rPr>
        <w:t>Applicant</w:t>
      </w:r>
      <w:r w:rsidR="00A938F0">
        <w:rPr>
          <w:lang w:val="en-ZA"/>
        </w:rPr>
        <w:t xml:space="preserve"> is</w:t>
      </w:r>
      <w:r w:rsidR="0051219F">
        <w:rPr>
          <w:lang w:val="en-ZA"/>
        </w:rPr>
        <w:t xml:space="preserve"> to pay the </w:t>
      </w:r>
      <w:r w:rsidR="006510EA">
        <w:rPr>
          <w:lang w:val="en-ZA"/>
        </w:rPr>
        <w:t>Respondent</w:t>
      </w:r>
      <w:r w:rsidR="0051219F">
        <w:rPr>
          <w:lang w:val="en-ZA"/>
        </w:rPr>
        <w:t>s’ costs for this application</w:t>
      </w:r>
      <w:r w:rsidR="0098208B">
        <w:rPr>
          <w:lang w:val="en-ZA"/>
        </w:rPr>
        <w:t xml:space="preserve"> on an attorney and client scale</w:t>
      </w:r>
      <w:r w:rsidR="00CD21C7">
        <w:rPr>
          <w:lang w:val="en-ZA"/>
        </w:rPr>
        <w:t>.</w:t>
      </w:r>
    </w:p>
    <w:p w14:paraId="130111D2" w14:textId="0B514E48" w:rsidR="009623C1" w:rsidRPr="00C55CD8" w:rsidRDefault="009623C1" w:rsidP="00FF2CA1">
      <w:pPr>
        <w:pStyle w:val="1"/>
        <w:numPr>
          <w:ilvl w:val="0"/>
          <w:numId w:val="0"/>
        </w:numPr>
        <w:ind w:left="567"/>
        <w:rPr>
          <w:lang w:val="en-ZA"/>
        </w:rPr>
      </w:pPr>
    </w:p>
    <w:bookmarkEnd w:id="2"/>
    <w:p w14:paraId="20EAF4FF" w14:textId="161849D8" w:rsidR="009623C1" w:rsidRDefault="009623C1" w:rsidP="0024263E"/>
    <w:p w14:paraId="6B0733D5" w14:textId="77777777" w:rsidR="009623C1" w:rsidRPr="009623C1" w:rsidRDefault="00F51C90" w:rsidP="009623C1">
      <w:pPr>
        <w:jc w:val="right"/>
        <w:rPr>
          <w:b/>
        </w:rPr>
      </w:pPr>
      <w:r w:rsidRPr="009623C1">
        <w:rPr>
          <w:b/>
        </w:rPr>
        <w:t xml:space="preserve"> </w:t>
      </w:r>
      <w:r w:rsidR="009623C1" w:rsidRPr="009623C1">
        <w:rPr>
          <w:b/>
        </w:rPr>
        <w:t>_____________________________________</w:t>
      </w:r>
    </w:p>
    <w:p w14:paraId="0E5C6D1D" w14:textId="77777777" w:rsidR="009623C1" w:rsidRPr="009623C1" w:rsidRDefault="009623C1" w:rsidP="009623C1">
      <w:pPr>
        <w:jc w:val="right"/>
        <w:rPr>
          <w:b/>
        </w:rPr>
      </w:pPr>
      <w:r w:rsidRPr="009623C1">
        <w:rPr>
          <w:b/>
        </w:rPr>
        <w:t>Y CARRIM</w:t>
      </w:r>
    </w:p>
    <w:p w14:paraId="0AD2B965" w14:textId="77777777" w:rsidR="009623C1" w:rsidRPr="009623C1" w:rsidRDefault="009623C1" w:rsidP="009623C1">
      <w:pPr>
        <w:jc w:val="right"/>
        <w:rPr>
          <w:b/>
        </w:rPr>
      </w:pPr>
      <w:r w:rsidRPr="009623C1">
        <w:rPr>
          <w:b/>
        </w:rPr>
        <w:t>ACTING JUDGE OF THE HIGH COURT OF SOUTH AFRICA</w:t>
      </w:r>
    </w:p>
    <w:p w14:paraId="511F1296" w14:textId="77777777" w:rsidR="009623C1" w:rsidRPr="009623C1" w:rsidRDefault="009623C1" w:rsidP="009623C1">
      <w:pPr>
        <w:jc w:val="right"/>
        <w:rPr>
          <w:b/>
        </w:rPr>
      </w:pPr>
      <w:r w:rsidRPr="009623C1">
        <w:rPr>
          <w:b/>
        </w:rPr>
        <w:t>GAUTENG DIVISION</w:t>
      </w:r>
    </w:p>
    <w:p w14:paraId="3018D57E" w14:textId="2497BF27" w:rsidR="009623C1" w:rsidRDefault="009623C1" w:rsidP="009623C1">
      <w:pPr>
        <w:jc w:val="right"/>
        <w:rPr>
          <w:b/>
        </w:rPr>
      </w:pPr>
      <w:r w:rsidRPr="009623C1">
        <w:rPr>
          <w:b/>
        </w:rPr>
        <w:t>JOHANNESBURG</w:t>
      </w:r>
    </w:p>
    <w:p w14:paraId="6C8D0E56" w14:textId="77777777" w:rsidR="00900758" w:rsidRDefault="00900758" w:rsidP="009623C1">
      <w:pPr>
        <w:jc w:val="right"/>
        <w:rPr>
          <w:b/>
        </w:rPr>
      </w:pPr>
    </w:p>
    <w:p w14:paraId="29B5BA4B" w14:textId="77777777" w:rsidR="009623C1" w:rsidRPr="009623C1" w:rsidRDefault="009623C1" w:rsidP="009623C1">
      <w:pPr>
        <w:jc w:val="right"/>
        <w:rPr>
          <w:b/>
        </w:rPr>
      </w:pPr>
    </w:p>
    <w:p w14:paraId="43C303D0" w14:textId="77777777" w:rsidR="009623C1" w:rsidRDefault="009623C1" w:rsidP="009623C1"/>
    <w:p w14:paraId="2B760F84" w14:textId="64A68EB8" w:rsidR="009623C1" w:rsidRPr="009623C1" w:rsidRDefault="009623C1" w:rsidP="009623C1">
      <w:pPr>
        <w:rPr>
          <w:b/>
        </w:rPr>
      </w:pPr>
      <w:r w:rsidRPr="009623C1">
        <w:rPr>
          <w:b/>
        </w:rPr>
        <w:t>APPEARANCES</w:t>
      </w:r>
    </w:p>
    <w:p w14:paraId="16E123EA" w14:textId="321DB4AD" w:rsidR="005E192D" w:rsidRDefault="009623C1" w:rsidP="009623C1">
      <w:r>
        <w:t xml:space="preserve">COUNSEL FOR </w:t>
      </w:r>
      <w:r w:rsidR="006510EA">
        <w:t>APPLICANT</w:t>
      </w:r>
      <w:r>
        <w:t xml:space="preserve">: </w:t>
      </w:r>
      <w:r>
        <w:tab/>
      </w:r>
      <w:r>
        <w:tab/>
      </w:r>
      <w:r w:rsidR="00273FA0">
        <w:tab/>
      </w:r>
      <w:proofErr w:type="spellStart"/>
      <w:r w:rsidR="00273FA0">
        <w:t>Adv</w:t>
      </w:r>
      <w:proofErr w:type="spellEnd"/>
      <w:r w:rsidR="00273FA0">
        <w:t xml:space="preserve"> E </w:t>
      </w:r>
      <w:proofErr w:type="spellStart"/>
      <w:r w:rsidR="00273FA0">
        <w:t>Prophy</w:t>
      </w:r>
      <w:proofErr w:type="spellEnd"/>
    </w:p>
    <w:p w14:paraId="7B4B5ECF" w14:textId="3D0123CF" w:rsidR="009623C1" w:rsidRDefault="009623C1" w:rsidP="009623C1">
      <w:r>
        <w:t xml:space="preserve">INSTRUCTED BY: </w:t>
      </w:r>
      <w:r>
        <w:tab/>
      </w:r>
      <w:r>
        <w:tab/>
      </w:r>
      <w:r>
        <w:tab/>
      </w:r>
      <w:r>
        <w:tab/>
      </w:r>
      <w:r w:rsidR="00273FA0">
        <w:tab/>
        <w:t>Jennings Incorporated</w:t>
      </w:r>
    </w:p>
    <w:p w14:paraId="15811C32" w14:textId="77777777" w:rsidR="009623C1" w:rsidRDefault="009623C1" w:rsidP="009623C1"/>
    <w:p w14:paraId="084DB3F2" w14:textId="68893AE8" w:rsidR="009623C1" w:rsidRDefault="009623C1" w:rsidP="009623C1">
      <w:r>
        <w:t xml:space="preserve">COUNSEL FOR </w:t>
      </w:r>
      <w:r w:rsidR="006510EA">
        <w:t>RESPONDENT</w:t>
      </w:r>
      <w:r>
        <w:t xml:space="preserve">S: </w:t>
      </w:r>
      <w:r>
        <w:tab/>
      </w:r>
      <w:r w:rsidR="00273FA0">
        <w:tab/>
      </w:r>
      <w:proofErr w:type="spellStart"/>
      <w:r w:rsidR="00273FA0">
        <w:t>Adv</w:t>
      </w:r>
      <w:proofErr w:type="spellEnd"/>
      <w:r w:rsidR="00273FA0">
        <w:t xml:space="preserve"> T </w:t>
      </w:r>
      <w:proofErr w:type="spellStart"/>
      <w:r w:rsidR="00273FA0">
        <w:t>Mosikili</w:t>
      </w:r>
      <w:proofErr w:type="spellEnd"/>
    </w:p>
    <w:p w14:paraId="27FCF374" w14:textId="4300AEE1" w:rsidR="009623C1" w:rsidRDefault="009623C1" w:rsidP="009623C1">
      <w:r>
        <w:t xml:space="preserve">INSTRUCTED BY: </w:t>
      </w:r>
      <w:r>
        <w:tab/>
      </w:r>
      <w:r>
        <w:tab/>
      </w:r>
      <w:r>
        <w:tab/>
      </w:r>
      <w:r>
        <w:tab/>
      </w:r>
      <w:r w:rsidR="00273FA0">
        <w:tab/>
      </w:r>
      <w:proofErr w:type="spellStart"/>
      <w:r w:rsidR="00273FA0">
        <w:t>Dyasi</w:t>
      </w:r>
      <w:proofErr w:type="spellEnd"/>
      <w:r w:rsidR="00273FA0">
        <w:t xml:space="preserve"> Incorporated</w:t>
      </w:r>
    </w:p>
    <w:p w14:paraId="2E1466E2" w14:textId="77777777" w:rsidR="009623C1" w:rsidRDefault="009623C1" w:rsidP="009623C1"/>
    <w:p w14:paraId="5FBBB95A" w14:textId="170E183D" w:rsidR="009623C1" w:rsidRDefault="009623C1" w:rsidP="009623C1">
      <w:r>
        <w:t>DATE OF THE HEARING:</w:t>
      </w:r>
      <w:r>
        <w:tab/>
      </w:r>
      <w:r>
        <w:tab/>
      </w:r>
      <w:r>
        <w:tab/>
      </w:r>
      <w:r w:rsidR="00273FA0">
        <w:tab/>
      </w:r>
      <w:r w:rsidR="002815DC">
        <w:t>31 July 2023</w:t>
      </w:r>
    </w:p>
    <w:p w14:paraId="232D7088" w14:textId="36E1DF08" w:rsidR="00F51C90" w:rsidRPr="009C2FF3" w:rsidRDefault="009623C1" w:rsidP="009623C1">
      <w:r>
        <w:t>DATE OF JUDGMENT:</w:t>
      </w:r>
      <w:r w:rsidR="0057534C">
        <w:tab/>
      </w:r>
      <w:r w:rsidR="0057534C">
        <w:tab/>
      </w:r>
      <w:r w:rsidR="0057534C">
        <w:tab/>
      </w:r>
      <w:r w:rsidR="00BE1BEE">
        <w:tab/>
        <w:t>25 August 2023</w:t>
      </w:r>
    </w:p>
    <w:sectPr w:rsidR="00F51C90" w:rsidRPr="009C2FF3" w:rsidSect="003C46C0">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56F9" w14:textId="77777777" w:rsidR="000549B5" w:rsidRDefault="000549B5" w:rsidP="00115245">
      <w:r>
        <w:separator/>
      </w:r>
    </w:p>
  </w:endnote>
  <w:endnote w:type="continuationSeparator" w:id="0">
    <w:p w14:paraId="2A933C65" w14:textId="77777777" w:rsidR="000549B5" w:rsidRDefault="000549B5"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A4188" w14:textId="77777777" w:rsidR="000549B5" w:rsidRDefault="000549B5" w:rsidP="00115245">
      <w:r>
        <w:separator/>
      </w:r>
    </w:p>
  </w:footnote>
  <w:footnote w:type="continuationSeparator" w:id="0">
    <w:p w14:paraId="12D47418" w14:textId="77777777" w:rsidR="000549B5" w:rsidRDefault="000549B5" w:rsidP="00115245">
      <w:r>
        <w:continuationSeparator/>
      </w:r>
    </w:p>
  </w:footnote>
  <w:footnote w:id="1">
    <w:p w14:paraId="13E8E9BA" w14:textId="62DA1470" w:rsidR="00164976" w:rsidRDefault="00164976" w:rsidP="00164976">
      <w:pPr>
        <w:pStyle w:val="FootnoteText"/>
      </w:pPr>
      <w:r>
        <w:rPr>
          <w:rStyle w:val="FootnoteReference"/>
        </w:rPr>
        <w:footnoteRef/>
      </w:r>
      <w:r>
        <w:t xml:space="preserve"> See Founding Affidavit para 4.2 and para 6.9</w:t>
      </w:r>
      <w:r w:rsidR="004A6C6C">
        <w:t xml:space="preserve"> as</w:t>
      </w:r>
      <w:r w:rsidR="000703AA">
        <w:t xml:space="preserve"> at</w:t>
      </w:r>
      <w:r w:rsidR="006409DC">
        <w:t xml:space="preserve"> </w:t>
      </w:r>
      <w:proofErr w:type="spellStart"/>
      <w:r>
        <w:t>Case</w:t>
      </w:r>
      <w:r w:rsidR="005D1D89">
        <w:t>L</w:t>
      </w:r>
      <w:r>
        <w:t>ines</w:t>
      </w:r>
      <w:proofErr w:type="spellEnd"/>
      <w:r>
        <w:t xml:space="preserve"> </w:t>
      </w:r>
      <w:r w:rsidR="000703AA">
        <w:t xml:space="preserve">section </w:t>
      </w:r>
      <w:r>
        <w:t>005-20</w:t>
      </w:r>
      <w:r w:rsidR="000703AA">
        <w:t>.</w:t>
      </w:r>
    </w:p>
  </w:footnote>
  <w:footnote w:id="2">
    <w:p w14:paraId="695B326D" w14:textId="0A0A3838" w:rsidR="00164976" w:rsidRDefault="00164976" w:rsidP="00164976">
      <w:pPr>
        <w:pStyle w:val="FootnoteText"/>
      </w:pPr>
      <w:r>
        <w:rPr>
          <w:rStyle w:val="FootnoteReference"/>
        </w:rPr>
        <w:footnoteRef/>
      </w:r>
      <w:r>
        <w:t xml:space="preserve">  </w:t>
      </w:r>
      <w:r w:rsidR="00E7522F">
        <w:t xml:space="preserve">Section </w:t>
      </w:r>
      <w:r>
        <w:t>009-51</w:t>
      </w:r>
      <w:r w:rsidR="00E7522F">
        <w:t xml:space="preserve"> on </w:t>
      </w:r>
      <w:proofErr w:type="spellStart"/>
      <w:r w:rsidR="00E7522F">
        <w:t>CaseLines</w:t>
      </w:r>
      <w:proofErr w:type="spellEnd"/>
      <w:r w:rsidR="00E7522F">
        <w:t>.</w:t>
      </w:r>
    </w:p>
  </w:footnote>
  <w:footnote w:id="3">
    <w:p w14:paraId="6AAA5FBA" w14:textId="3165B5FD" w:rsidR="00164976" w:rsidRDefault="00164976" w:rsidP="00164976">
      <w:pPr>
        <w:pStyle w:val="FootnoteText"/>
      </w:pPr>
      <w:r>
        <w:rPr>
          <w:rStyle w:val="FootnoteReference"/>
        </w:rPr>
        <w:footnoteRef/>
      </w:r>
      <w:r>
        <w:t xml:space="preserve"> </w:t>
      </w:r>
      <w:r w:rsidR="000703AA">
        <w:t xml:space="preserve">Section </w:t>
      </w:r>
      <w:r>
        <w:t>009-52</w:t>
      </w:r>
      <w:r w:rsidR="000703AA">
        <w:t xml:space="preserve"> on </w:t>
      </w:r>
      <w:proofErr w:type="spellStart"/>
      <w:r w:rsidR="000703AA">
        <w:t>CaseLines</w:t>
      </w:r>
      <w:proofErr w:type="spellEnd"/>
      <w:r w:rsidR="000703AA">
        <w:t>.</w:t>
      </w:r>
    </w:p>
  </w:footnote>
  <w:footnote w:id="4">
    <w:p w14:paraId="40E65F35" w14:textId="77777777" w:rsidR="00A037C6" w:rsidRDefault="00A037C6" w:rsidP="00A037C6">
      <w:pPr>
        <w:pStyle w:val="FootnoteText"/>
      </w:pPr>
      <w:r>
        <w:rPr>
          <w:rStyle w:val="FootnoteReference"/>
        </w:rPr>
        <w:footnoteRef/>
      </w:r>
      <w:r>
        <w:t xml:space="preserve"> See Annexure AA9 at section 009-65 on </w:t>
      </w:r>
      <w:proofErr w:type="spellStart"/>
      <w:r>
        <w:t>CaseLines</w:t>
      </w:r>
      <w:proofErr w:type="spellEnd"/>
      <w:r>
        <w:t>.</w:t>
      </w:r>
    </w:p>
  </w:footnote>
  <w:footnote w:id="5">
    <w:p w14:paraId="0DBACBD3" w14:textId="634EFE6D" w:rsidR="00164976" w:rsidRDefault="00164976" w:rsidP="00164976">
      <w:pPr>
        <w:pStyle w:val="FootnoteText"/>
      </w:pPr>
      <w:r>
        <w:rPr>
          <w:rStyle w:val="FootnoteReference"/>
        </w:rPr>
        <w:footnoteRef/>
      </w:r>
      <w:r>
        <w:t xml:space="preserve"> </w:t>
      </w:r>
      <w:r w:rsidR="000703AA">
        <w:t xml:space="preserve">Section </w:t>
      </w:r>
      <w:r>
        <w:t>010-1</w:t>
      </w:r>
      <w:r w:rsidR="000703AA">
        <w:t xml:space="preserve"> on </w:t>
      </w:r>
      <w:proofErr w:type="spellStart"/>
      <w:r w:rsidR="000703AA">
        <w:t>CaseLines</w:t>
      </w:r>
      <w:proofErr w:type="spellEnd"/>
      <w:r w:rsidR="000703AA">
        <w:t>.</w:t>
      </w:r>
    </w:p>
  </w:footnote>
  <w:footnote w:id="6">
    <w:p w14:paraId="60919758" w14:textId="77777777" w:rsidR="000269C2" w:rsidRDefault="000269C2" w:rsidP="000269C2">
      <w:pPr>
        <w:pStyle w:val="FootnoteText"/>
      </w:pPr>
      <w:r>
        <w:rPr>
          <w:rStyle w:val="FootnoteReference"/>
        </w:rPr>
        <w:footnoteRef/>
      </w:r>
      <w:r>
        <w:t xml:space="preserve"> </w:t>
      </w:r>
      <w:proofErr w:type="spellStart"/>
      <w:r w:rsidRPr="001C4F9B">
        <w:rPr>
          <w:i/>
          <w:iCs/>
        </w:rPr>
        <w:t>Plascon</w:t>
      </w:r>
      <w:proofErr w:type="spellEnd"/>
      <w:r w:rsidRPr="001C4F9B">
        <w:rPr>
          <w:i/>
          <w:iCs/>
        </w:rPr>
        <w:t xml:space="preserve">-Evans Paints Ltd v Van </w:t>
      </w:r>
      <w:proofErr w:type="spellStart"/>
      <w:r w:rsidRPr="001C4F9B">
        <w:rPr>
          <w:i/>
          <w:iCs/>
        </w:rPr>
        <w:t>Riebeeck</w:t>
      </w:r>
      <w:proofErr w:type="spellEnd"/>
      <w:r w:rsidRPr="001C4F9B">
        <w:rPr>
          <w:i/>
          <w:iCs/>
        </w:rPr>
        <w:t xml:space="preserve"> Paints</w:t>
      </w:r>
      <w:r w:rsidRPr="00866A23">
        <w:t xml:space="preserve"> (Pty) Ltd 1984 (3) SA 623 (A)</w:t>
      </w:r>
      <w:r>
        <w:t>.</w:t>
      </w:r>
    </w:p>
  </w:footnote>
  <w:footnote w:id="7">
    <w:p w14:paraId="2EAA7903" w14:textId="60FF22DE" w:rsidR="00741308" w:rsidRDefault="00741308">
      <w:pPr>
        <w:pStyle w:val="FootnoteText"/>
      </w:pPr>
      <w:r>
        <w:rPr>
          <w:rStyle w:val="FootnoteReference"/>
        </w:rPr>
        <w:footnoteRef/>
      </w:r>
      <w:r>
        <w:t xml:space="preserve"> </w:t>
      </w:r>
      <w:r w:rsidRPr="00741308">
        <w:rPr>
          <w:lang w:val="en-ZA"/>
        </w:rPr>
        <w:t>All SA 243 (SCA) 2009 (2) SA 279 (SCA)</w:t>
      </w:r>
      <w:r w:rsidR="00EB7964">
        <w:rPr>
          <w:lang w:val="en-ZA"/>
        </w:rPr>
        <w:t>.</w:t>
      </w:r>
    </w:p>
  </w:footnote>
  <w:footnote w:id="8">
    <w:p w14:paraId="49812CA2" w14:textId="3CD35294" w:rsidR="00E95C40" w:rsidRDefault="00E95C40">
      <w:pPr>
        <w:pStyle w:val="FootnoteText"/>
      </w:pPr>
      <w:r>
        <w:rPr>
          <w:rStyle w:val="FootnoteReference"/>
        </w:rPr>
        <w:footnoteRef/>
      </w:r>
      <w:r>
        <w:t xml:space="preserve"> Paragraph [26]</w:t>
      </w:r>
      <w:r w:rsidR="00ED3B6F">
        <w:t>.</w:t>
      </w:r>
    </w:p>
  </w:footnote>
  <w:footnote w:id="9">
    <w:p w14:paraId="20428F95" w14:textId="5DDDB7DD" w:rsidR="00E95C40" w:rsidRDefault="00E95C40">
      <w:pPr>
        <w:pStyle w:val="FootnoteText"/>
      </w:pPr>
      <w:r>
        <w:rPr>
          <w:rStyle w:val="FootnoteReference"/>
        </w:rPr>
        <w:footnoteRef/>
      </w:r>
      <w:r>
        <w:t xml:space="preserve"> Harms </w:t>
      </w:r>
      <w:r w:rsidRPr="00E95C40">
        <w:rPr>
          <w:i/>
          <w:iCs/>
        </w:rPr>
        <w:t>Civil Procedure in the Superior Courts B-8</w:t>
      </w:r>
      <w:r>
        <w:t xml:space="preserve"> and the authorities listed in </w:t>
      </w:r>
      <w:proofErr w:type="spellStart"/>
      <w:r>
        <w:t>fn</w:t>
      </w:r>
      <w:proofErr w:type="spellEnd"/>
      <w:r>
        <w:t xml:space="preserve"> 2 at B-59.</w:t>
      </w:r>
    </w:p>
  </w:footnote>
  <w:footnote w:id="10">
    <w:p w14:paraId="76E83B75" w14:textId="641DD799" w:rsidR="00B73A05" w:rsidRDefault="00B73A05">
      <w:pPr>
        <w:pStyle w:val="FootnoteText"/>
      </w:pPr>
      <w:r>
        <w:rPr>
          <w:rStyle w:val="FootnoteReference"/>
        </w:rPr>
        <w:footnoteRef/>
      </w:r>
      <w:r>
        <w:t xml:space="preserve"> </w:t>
      </w:r>
      <w:r w:rsidRPr="00987F91">
        <w:rPr>
          <w:i/>
          <w:iCs/>
        </w:rPr>
        <w:t xml:space="preserve">Room Hire Co (Pty) Ltd v </w:t>
      </w:r>
      <w:proofErr w:type="spellStart"/>
      <w:r w:rsidRPr="00987F91">
        <w:rPr>
          <w:i/>
          <w:iCs/>
        </w:rPr>
        <w:t>Jeppe</w:t>
      </w:r>
      <w:proofErr w:type="spellEnd"/>
      <w:r w:rsidRPr="00987F91">
        <w:rPr>
          <w:i/>
          <w:iCs/>
        </w:rPr>
        <w:t xml:space="preserve"> Street Mansions (Pty) Ltd</w:t>
      </w:r>
      <w:r>
        <w:t xml:space="preserve"> 1949 (3) SA</w:t>
      </w:r>
      <w:r w:rsidR="00987F91">
        <w:t xml:space="preserve"> 1155 (T)</w:t>
      </w:r>
      <w:r w:rsidR="00ED3B6F">
        <w:t>.</w:t>
      </w:r>
    </w:p>
  </w:footnote>
  <w:footnote w:id="11">
    <w:p w14:paraId="0D9D0D90" w14:textId="4EB7E9DD" w:rsidR="00D96EC8" w:rsidRPr="006409DC" w:rsidRDefault="00D96EC8">
      <w:pPr>
        <w:pStyle w:val="FootnoteText"/>
        <w:rPr>
          <w:lang w:val="en-ZA"/>
        </w:rPr>
      </w:pPr>
      <w:r>
        <w:rPr>
          <w:rStyle w:val="FootnoteReference"/>
        </w:rPr>
        <w:footnoteRef/>
      </w:r>
      <w:r>
        <w:t xml:space="preserve"> </w:t>
      </w:r>
      <w:r>
        <w:rPr>
          <w:lang w:val="en-ZA"/>
        </w:rPr>
        <w:t xml:space="preserve">Paras 4.2 and 4.3 of the </w:t>
      </w:r>
      <w:r w:rsidR="00276243">
        <w:rPr>
          <w:lang w:val="en-ZA"/>
        </w:rPr>
        <w:t>F</w:t>
      </w:r>
      <w:r>
        <w:rPr>
          <w:lang w:val="en-ZA"/>
        </w:rPr>
        <w:t xml:space="preserve">ounding </w:t>
      </w:r>
      <w:r w:rsidR="00276243">
        <w:rPr>
          <w:lang w:val="en-ZA"/>
        </w:rPr>
        <w:t>A</w:t>
      </w:r>
      <w:r>
        <w:rPr>
          <w:lang w:val="en-ZA"/>
        </w:rPr>
        <w:t xml:space="preserve">ffidavit. </w:t>
      </w:r>
      <w:r w:rsidR="0019168E">
        <w:rPr>
          <w:lang w:val="en-ZA"/>
        </w:rPr>
        <w:t>005-4 and 005-5</w:t>
      </w:r>
      <w:r w:rsidR="00276243">
        <w:rPr>
          <w:lang w:val="en-ZA"/>
        </w:rPr>
        <w:t>.  Also para 6.10 at 00</w:t>
      </w:r>
      <w:r w:rsidR="00F55F56">
        <w:rPr>
          <w:lang w:val="en-ZA"/>
        </w:rPr>
        <w:t>5-14</w:t>
      </w:r>
    </w:p>
  </w:footnote>
  <w:footnote w:id="12">
    <w:p w14:paraId="6E9EEE6B" w14:textId="05F76B3B" w:rsidR="00C337D9" w:rsidRDefault="00C337D9">
      <w:pPr>
        <w:pStyle w:val="FootnoteText"/>
      </w:pPr>
      <w:r>
        <w:rPr>
          <w:rStyle w:val="FootnoteReference"/>
        </w:rPr>
        <w:footnoteRef/>
      </w:r>
      <w:r>
        <w:t xml:space="preserve"> </w:t>
      </w:r>
      <w:r w:rsidR="004A6C6C">
        <w:t xml:space="preserve">Section </w:t>
      </w:r>
      <w:r>
        <w:t>009-60</w:t>
      </w:r>
      <w:r w:rsidR="004A6C6C">
        <w:t xml:space="preserve"> on </w:t>
      </w:r>
      <w:proofErr w:type="spellStart"/>
      <w:r w:rsidR="004A6C6C">
        <w:t>CaseLines</w:t>
      </w:r>
      <w:proofErr w:type="spellEnd"/>
      <w:r w:rsidR="004A6C6C">
        <w:t>.</w:t>
      </w:r>
    </w:p>
  </w:footnote>
  <w:footnote w:id="13">
    <w:p w14:paraId="1CCA98FC" w14:textId="39D62298" w:rsidR="00ED2389" w:rsidRDefault="00ED2389">
      <w:pPr>
        <w:pStyle w:val="FootnoteText"/>
      </w:pPr>
      <w:r>
        <w:rPr>
          <w:rStyle w:val="FootnoteReference"/>
        </w:rPr>
        <w:footnoteRef/>
      </w:r>
      <w:r>
        <w:t xml:space="preserve"> </w:t>
      </w:r>
      <w:r w:rsidR="004A6C6C">
        <w:t xml:space="preserve">Section </w:t>
      </w:r>
      <w:r>
        <w:t>009-62</w:t>
      </w:r>
      <w:r w:rsidR="004A6C6C">
        <w:t xml:space="preserve"> on </w:t>
      </w:r>
      <w:proofErr w:type="spellStart"/>
      <w:r w:rsidR="004A6C6C">
        <w:t>CaseLines</w:t>
      </w:r>
      <w:proofErr w:type="spellEnd"/>
      <w:r w:rsidR="004A6C6C">
        <w:t>.</w:t>
      </w:r>
    </w:p>
  </w:footnote>
  <w:footnote w:id="14">
    <w:p w14:paraId="60479D7F" w14:textId="4AA7B362" w:rsidR="00ED2389" w:rsidRDefault="00ED2389">
      <w:pPr>
        <w:pStyle w:val="FootnoteText"/>
      </w:pPr>
      <w:r>
        <w:rPr>
          <w:rStyle w:val="FootnoteReference"/>
        </w:rPr>
        <w:footnoteRef/>
      </w:r>
      <w:r>
        <w:t xml:space="preserve"> </w:t>
      </w:r>
      <w:r w:rsidR="00ED3B6F">
        <w:t xml:space="preserve">Section </w:t>
      </w:r>
      <w:r>
        <w:t>005-62</w:t>
      </w:r>
      <w:r w:rsidR="00ED3B6F">
        <w:t xml:space="preserve"> on </w:t>
      </w:r>
      <w:proofErr w:type="spellStart"/>
      <w:r w:rsidR="00ED3B6F">
        <w:t>CaseLines</w:t>
      </w:r>
      <w:proofErr w:type="spellEnd"/>
      <w:r w:rsidR="00ED3B6F">
        <w:t>.</w:t>
      </w:r>
    </w:p>
  </w:footnote>
  <w:footnote w:id="15">
    <w:p w14:paraId="58698F96" w14:textId="3F131875" w:rsidR="00604B90" w:rsidRDefault="00604B90">
      <w:pPr>
        <w:pStyle w:val="FootnoteText"/>
      </w:pPr>
      <w:r>
        <w:rPr>
          <w:rStyle w:val="FootnoteReference"/>
        </w:rPr>
        <w:footnoteRef/>
      </w:r>
      <w:r>
        <w:t xml:space="preserve"> </w:t>
      </w:r>
      <w:r w:rsidR="00ED3B6F">
        <w:t xml:space="preserve">Section </w:t>
      </w:r>
      <w:r>
        <w:t>009-50</w:t>
      </w:r>
      <w:r w:rsidR="00ED3B6F">
        <w:t xml:space="preserve"> on </w:t>
      </w:r>
      <w:proofErr w:type="spellStart"/>
      <w:r w:rsidR="00ED3B6F">
        <w:t>CaseLines</w:t>
      </w:r>
      <w:proofErr w:type="spellEnd"/>
      <w:r w:rsidR="00ED3B6F">
        <w:t>.</w:t>
      </w:r>
    </w:p>
  </w:footnote>
  <w:footnote w:id="16">
    <w:p w14:paraId="7A3293C3" w14:textId="11212949" w:rsidR="00443492" w:rsidRPr="006409DC" w:rsidRDefault="00443492">
      <w:pPr>
        <w:pStyle w:val="FootnoteText"/>
        <w:rPr>
          <w:lang w:val="en-ZA"/>
        </w:rPr>
      </w:pPr>
      <w:r>
        <w:rPr>
          <w:rStyle w:val="FootnoteReference"/>
        </w:rPr>
        <w:footnoteRef/>
      </w:r>
      <w:r>
        <w:t xml:space="preserve"> </w:t>
      </w:r>
      <w:r>
        <w:rPr>
          <w:lang w:val="en-ZA"/>
        </w:rPr>
        <w:t xml:space="preserve">Para </w:t>
      </w:r>
      <w:r w:rsidR="00430E57">
        <w:rPr>
          <w:lang w:val="en-ZA"/>
        </w:rPr>
        <w:t xml:space="preserve">6.8 of the Founding Affidavit </w:t>
      </w:r>
      <w:r w:rsidR="00276243">
        <w:rPr>
          <w:lang w:val="en-ZA"/>
        </w:rPr>
        <w:t>005-14</w:t>
      </w:r>
    </w:p>
  </w:footnote>
  <w:footnote w:id="17">
    <w:p w14:paraId="34561FCB" w14:textId="77777777" w:rsidR="0085270A" w:rsidRDefault="0085270A" w:rsidP="0085270A">
      <w:pPr>
        <w:pStyle w:val="FootnoteText"/>
      </w:pPr>
      <w:r>
        <w:rPr>
          <w:rStyle w:val="FootnoteReference"/>
        </w:rPr>
        <w:footnoteRef/>
      </w:r>
      <w:r>
        <w:t xml:space="preserve"> See Annexure “AA7” at section 009-61 on </w:t>
      </w:r>
      <w:proofErr w:type="spellStart"/>
      <w:r>
        <w:t>CaseLines</w:t>
      </w:r>
      <w:proofErr w:type="spellEnd"/>
      <w:r>
        <w:t>.</w:t>
      </w:r>
    </w:p>
  </w:footnote>
  <w:footnote w:id="18">
    <w:p w14:paraId="1B9D9151" w14:textId="77777777" w:rsidR="0085270A" w:rsidRDefault="0085270A" w:rsidP="0085270A">
      <w:pPr>
        <w:pStyle w:val="FootnoteText"/>
      </w:pPr>
      <w:r>
        <w:rPr>
          <w:rStyle w:val="FootnoteReference"/>
        </w:rPr>
        <w:footnoteRef/>
      </w:r>
      <w:r>
        <w:t xml:space="preserve"> See Annexure AA8 at section 009-66 on </w:t>
      </w:r>
      <w:proofErr w:type="spellStart"/>
      <w:r>
        <w:t>CaseLines</w:t>
      </w:r>
      <w:proofErr w:type="spellEnd"/>
      <w:r>
        <w:t>.</w:t>
      </w:r>
    </w:p>
  </w:footnote>
  <w:footnote w:id="19">
    <w:p w14:paraId="6017EFF1" w14:textId="77777777" w:rsidR="00C46944" w:rsidRDefault="00C46944" w:rsidP="00C46944">
      <w:pPr>
        <w:pStyle w:val="FootnoteText"/>
      </w:pPr>
      <w:r>
        <w:rPr>
          <w:rStyle w:val="FootnoteReference"/>
        </w:rPr>
        <w:footnoteRef/>
      </w:r>
      <w:r>
        <w:t xml:space="preserve"> [2020] ZASCA 172; [2021] 1 All SA 623 (SAC); 2021 (3) SA 425 (SCA) at [114].</w:t>
      </w:r>
    </w:p>
  </w:footnote>
  <w:footnote w:id="20">
    <w:p w14:paraId="0CA4768C" w14:textId="1BF46796" w:rsidR="00604B90" w:rsidRDefault="00604B90">
      <w:pPr>
        <w:pStyle w:val="FootnoteText"/>
      </w:pPr>
      <w:r>
        <w:rPr>
          <w:rStyle w:val="FootnoteReference"/>
        </w:rPr>
        <w:footnoteRef/>
      </w:r>
      <w:r>
        <w:t xml:space="preserve"> (CCT 176/21) [2022] ZACC 26</w:t>
      </w:r>
      <w:r w:rsidR="009147E0">
        <w:t>; 2023 (6) BCLR 733 (CC) (6 July 2022)</w:t>
      </w:r>
      <w:r w:rsidR="00EA1850">
        <w:t>.</w:t>
      </w:r>
    </w:p>
  </w:footnote>
  <w:footnote w:id="21">
    <w:p w14:paraId="18AF6EFB" w14:textId="0C23A238" w:rsidR="001A0045" w:rsidRPr="00CE12D7" w:rsidRDefault="001A0045">
      <w:pPr>
        <w:pStyle w:val="FootnoteText"/>
        <w:rPr>
          <w:lang w:val="en-ZA"/>
        </w:rPr>
      </w:pPr>
      <w:r>
        <w:rPr>
          <w:rStyle w:val="FootnoteReference"/>
        </w:rPr>
        <w:footnoteRef/>
      </w:r>
      <w:r>
        <w:t xml:space="preserve"> </w:t>
      </w:r>
      <w:r>
        <w:rPr>
          <w:lang w:val="en-ZA"/>
        </w:rPr>
        <w:t>1949</w:t>
      </w:r>
      <w:r w:rsidR="00F038D8">
        <w:rPr>
          <w:lang w:val="en-ZA"/>
        </w:rPr>
        <w:t xml:space="preserve"> (3) SA 1155 (T) at 1162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62B491D4" w:rsidR="0056721D" w:rsidRDefault="0056721D">
        <w:pPr>
          <w:pStyle w:val="Header"/>
          <w:jc w:val="right"/>
        </w:pPr>
        <w:r>
          <w:fldChar w:fldCharType="begin"/>
        </w:r>
        <w:r>
          <w:instrText xml:space="preserve"> PAGE   \* MERGEFORMAT </w:instrText>
        </w:r>
        <w:r>
          <w:fldChar w:fldCharType="separate"/>
        </w:r>
        <w:r w:rsidR="003E7351">
          <w:rPr>
            <w:noProof/>
          </w:rPr>
          <w:t>10</w:t>
        </w:r>
        <w:r>
          <w:rPr>
            <w:noProof/>
          </w:rPr>
          <w:fldChar w:fldCharType="end"/>
        </w:r>
      </w:p>
    </w:sdtContent>
  </w:sdt>
  <w:p w14:paraId="76A8DD65" w14:textId="77777777" w:rsidR="0056721D" w:rsidRDefault="005672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86D71"/>
    <w:multiLevelType w:val="hybridMultilevel"/>
    <w:tmpl w:val="D9123D28"/>
    <w:lvl w:ilvl="0" w:tplc="9120EC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75FAE"/>
    <w:multiLevelType w:val="hybridMultilevel"/>
    <w:tmpl w:val="9150223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0291B69"/>
    <w:multiLevelType w:val="multilevel"/>
    <w:tmpl w:val="98E2B372"/>
    <w:lvl w:ilvl="0">
      <w:start w:val="92"/>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7D162D6"/>
    <w:multiLevelType w:val="multilevel"/>
    <w:tmpl w:val="D8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D0325F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1570EAD"/>
    <w:multiLevelType w:val="multilevel"/>
    <w:tmpl w:val="ABBCF722"/>
    <w:lvl w:ilvl="0">
      <w:start w:val="1"/>
      <w:numFmt w:val="decimal"/>
      <w:lvlText w:val="%1."/>
      <w:lvlJc w:val="left"/>
      <w:pPr>
        <w:ind w:left="360" w:hanging="360"/>
      </w:pPr>
      <w:rPr>
        <w:b w:val="0"/>
        <w:i w:val="0"/>
        <w:iCs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5EE32F0"/>
    <w:multiLevelType w:val="hybridMultilevel"/>
    <w:tmpl w:val="2924990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8708BA"/>
    <w:multiLevelType w:val="hybridMultilevel"/>
    <w:tmpl w:val="DAF8F614"/>
    <w:lvl w:ilvl="0" w:tplc="FA7641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15:restartNumberingAfterBreak="0">
    <w:nsid w:val="462E1E58"/>
    <w:multiLevelType w:val="multilevel"/>
    <w:tmpl w:val="B8F08806"/>
    <w:lvl w:ilvl="0">
      <w:start w:val="16"/>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6"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8" w15:restartNumberingAfterBreak="0">
    <w:nsid w:val="541C7CC9"/>
    <w:multiLevelType w:val="hybridMultilevel"/>
    <w:tmpl w:val="B9F451DC"/>
    <w:lvl w:ilvl="0" w:tplc="B74ECC9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7A3A69"/>
    <w:multiLevelType w:val="multilevel"/>
    <w:tmpl w:val="FD822968"/>
    <w:lvl w:ilvl="0">
      <w:start w:val="15"/>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1"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4"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5"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8"/>
  </w:num>
  <w:num w:numId="2">
    <w:abstractNumId w:val="8"/>
  </w:num>
  <w:num w:numId="3">
    <w:abstractNumId w:val="0"/>
  </w:num>
  <w:num w:numId="4">
    <w:abstractNumId w:val="27"/>
  </w:num>
  <w:num w:numId="5">
    <w:abstractNumId w:val="26"/>
  </w:num>
  <w:num w:numId="6">
    <w:abstractNumId w:val="7"/>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31"/>
  </w:num>
  <w:num w:numId="13">
    <w:abstractNumId w:val="36"/>
  </w:num>
  <w:num w:numId="14">
    <w:abstractNumId w:val="11"/>
  </w:num>
  <w:num w:numId="15">
    <w:abstractNumId w:val="9"/>
  </w:num>
  <w:num w:numId="16">
    <w:abstractNumId w:val="32"/>
  </w:num>
  <w:num w:numId="17">
    <w:abstractNumId w:val="14"/>
  </w:num>
  <w:num w:numId="18">
    <w:abstractNumId w:val="20"/>
  </w:num>
  <w:num w:numId="19">
    <w:abstractNumId w:val="4"/>
  </w:num>
  <w:num w:numId="20">
    <w:abstractNumId w:val="29"/>
  </w:num>
  <w:num w:numId="21">
    <w:abstractNumId w:val="18"/>
  </w:num>
  <w:num w:numId="22">
    <w:abstractNumId w:val="33"/>
  </w:num>
  <w:num w:numId="23">
    <w:abstractNumId w:val="18"/>
  </w:num>
  <w:num w:numId="24">
    <w:abstractNumId w:val="23"/>
  </w:num>
  <w:num w:numId="25">
    <w:abstractNumId w:val="34"/>
  </w:num>
  <w:num w:numId="26">
    <w:abstractNumId w:val="22"/>
  </w:num>
  <w:num w:numId="27">
    <w:abstractNumId w:val="35"/>
  </w:num>
  <w:num w:numId="28">
    <w:abstractNumId w:val="1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8"/>
  </w:num>
  <w:num w:numId="32">
    <w:abstractNumId w:val="5"/>
  </w:num>
  <w:num w:numId="33">
    <w:abstractNumId w:val="19"/>
  </w:num>
  <w:num w:numId="34">
    <w:abstractNumId w:val="25"/>
  </w:num>
  <w:num w:numId="35">
    <w:abstractNumId w:val="6"/>
  </w:num>
  <w:num w:numId="36">
    <w:abstractNumId w:val="30"/>
  </w:num>
  <w:num w:numId="37">
    <w:abstractNumId w:val="24"/>
  </w:num>
  <w:num w:numId="38">
    <w:abstractNumId w:val="10"/>
  </w:num>
  <w:num w:numId="39">
    <w:abstractNumId w:val="21"/>
  </w:num>
  <w:num w:numId="4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7B5"/>
    <w:rsid w:val="0000092D"/>
    <w:rsid w:val="00000EF5"/>
    <w:rsid w:val="00000EF9"/>
    <w:rsid w:val="000017A7"/>
    <w:rsid w:val="00001F2D"/>
    <w:rsid w:val="000025D3"/>
    <w:rsid w:val="000026D9"/>
    <w:rsid w:val="00002E04"/>
    <w:rsid w:val="000031F1"/>
    <w:rsid w:val="00003D4F"/>
    <w:rsid w:val="000043C3"/>
    <w:rsid w:val="00004C50"/>
    <w:rsid w:val="00004FF5"/>
    <w:rsid w:val="00005022"/>
    <w:rsid w:val="00005393"/>
    <w:rsid w:val="00006D89"/>
    <w:rsid w:val="00006E40"/>
    <w:rsid w:val="0000721E"/>
    <w:rsid w:val="00007A1E"/>
    <w:rsid w:val="00010468"/>
    <w:rsid w:val="00010AF1"/>
    <w:rsid w:val="00012678"/>
    <w:rsid w:val="00012BC9"/>
    <w:rsid w:val="00013956"/>
    <w:rsid w:val="00013988"/>
    <w:rsid w:val="00013FB3"/>
    <w:rsid w:val="0001479D"/>
    <w:rsid w:val="00015055"/>
    <w:rsid w:val="0001663B"/>
    <w:rsid w:val="00016B15"/>
    <w:rsid w:val="00016D7D"/>
    <w:rsid w:val="000174A9"/>
    <w:rsid w:val="000205BB"/>
    <w:rsid w:val="00020C06"/>
    <w:rsid w:val="000212A2"/>
    <w:rsid w:val="00021839"/>
    <w:rsid w:val="000223BA"/>
    <w:rsid w:val="00023310"/>
    <w:rsid w:val="000234BC"/>
    <w:rsid w:val="00023A1E"/>
    <w:rsid w:val="00024510"/>
    <w:rsid w:val="00024B45"/>
    <w:rsid w:val="00024C6F"/>
    <w:rsid w:val="00025AAC"/>
    <w:rsid w:val="00025AB9"/>
    <w:rsid w:val="00026013"/>
    <w:rsid w:val="0002644E"/>
    <w:rsid w:val="000267B0"/>
    <w:rsid w:val="000269C2"/>
    <w:rsid w:val="00026EF4"/>
    <w:rsid w:val="00027E31"/>
    <w:rsid w:val="00027E97"/>
    <w:rsid w:val="00027F99"/>
    <w:rsid w:val="00032191"/>
    <w:rsid w:val="0003277C"/>
    <w:rsid w:val="000327C4"/>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54EE"/>
    <w:rsid w:val="00046726"/>
    <w:rsid w:val="0004700B"/>
    <w:rsid w:val="000471C4"/>
    <w:rsid w:val="00047380"/>
    <w:rsid w:val="00047864"/>
    <w:rsid w:val="00047964"/>
    <w:rsid w:val="00047B31"/>
    <w:rsid w:val="000526FC"/>
    <w:rsid w:val="00052CE2"/>
    <w:rsid w:val="00053DD2"/>
    <w:rsid w:val="000541F4"/>
    <w:rsid w:val="000549B5"/>
    <w:rsid w:val="000552C4"/>
    <w:rsid w:val="000554AC"/>
    <w:rsid w:val="000566B1"/>
    <w:rsid w:val="00056809"/>
    <w:rsid w:val="000569B1"/>
    <w:rsid w:val="0005747E"/>
    <w:rsid w:val="00057B88"/>
    <w:rsid w:val="00057FE1"/>
    <w:rsid w:val="000603D2"/>
    <w:rsid w:val="00060B0C"/>
    <w:rsid w:val="0006122D"/>
    <w:rsid w:val="000614DC"/>
    <w:rsid w:val="00061632"/>
    <w:rsid w:val="0006281D"/>
    <w:rsid w:val="00062AC4"/>
    <w:rsid w:val="00063586"/>
    <w:rsid w:val="00064037"/>
    <w:rsid w:val="000643EE"/>
    <w:rsid w:val="00064417"/>
    <w:rsid w:val="000648C6"/>
    <w:rsid w:val="00065D25"/>
    <w:rsid w:val="00065DBA"/>
    <w:rsid w:val="0006685D"/>
    <w:rsid w:val="00067403"/>
    <w:rsid w:val="000703AA"/>
    <w:rsid w:val="000713C6"/>
    <w:rsid w:val="000715B5"/>
    <w:rsid w:val="00071C04"/>
    <w:rsid w:val="0007238B"/>
    <w:rsid w:val="00073213"/>
    <w:rsid w:val="000743C1"/>
    <w:rsid w:val="00074490"/>
    <w:rsid w:val="0007533B"/>
    <w:rsid w:val="00075658"/>
    <w:rsid w:val="00075A7B"/>
    <w:rsid w:val="000768B7"/>
    <w:rsid w:val="000769A3"/>
    <w:rsid w:val="00076AEB"/>
    <w:rsid w:val="00076C32"/>
    <w:rsid w:val="00081B44"/>
    <w:rsid w:val="000821DD"/>
    <w:rsid w:val="00083CCC"/>
    <w:rsid w:val="00083DA8"/>
    <w:rsid w:val="00084337"/>
    <w:rsid w:val="0008478E"/>
    <w:rsid w:val="00084A85"/>
    <w:rsid w:val="00087CC7"/>
    <w:rsid w:val="00087F0F"/>
    <w:rsid w:val="000904EF"/>
    <w:rsid w:val="00090B69"/>
    <w:rsid w:val="00090D1E"/>
    <w:rsid w:val="00090E6B"/>
    <w:rsid w:val="00091EF1"/>
    <w:rsid w:val="000926EA"/>
    <w:rsid w:val="00094423"/>
    <w:rsid w:val="00094488"/>
    <w:rsid w:val="00095CA6"/>
    <w:rsid w:val="00095F1C"/>
    <w:rsid w:val="0009617B"/>
    <w:rsid w:val="000968A2"/>
    <w:rsid w:val="000975B2"/>
    <w:rsid w:val="00097C41"/>
    <w:rsid w:val="00097ECB"/>
    <w:rsid w:val="000A0398"/>
    <w:rsid w:val="000A1B6E"/>
    <w:rsid w:val="000A1C84"/>
    <w:rsid w:val="000A1CF7"/>
    <w:rsid w:val="000A2515"/>
    <w:rsid w:val="000A5992"/>
    <w:rsid w:val="000B0357"/>
    <w:rsid w:val="000B0497"/>
    <w:rsid w:val="000B0977"/>
    <w:rsid w:val="000B1905"/>
    <w:rsid w:val="000B1B70"/>
    <w:rsid w:val="000B2E1A"/>
    <w:rsid w:val="000B3C84"/>
    <w:rsid w:val="000B494A"/>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726A"/>
    <w:rsid w:val="000C7D3C"/>
    <w:rsid w:val="000D0A14"/>
    <w:rsid w:val="000D1047"/>
    <w:rsid w:val="000D1DE1"/>
    <w:rsid w:val="000D22FD"/>
    <w:rsid w:val="000D2565"/>
    <w:rsid w:val="000D26DF"/>
    <w:rsid w:val="000D2C4D"/>
    <w:rsid w:val="000D437D"/>
    <w:rsid w:val="000D4F96"/>
    <w:rsid w:val="000D531E"/>
    <w:rsid w:val="000D5C5F"/>
    <w:rsid w:val="000D5E07"/>
    <w:rsid w:val="000D7CFD"/>
    <w:rsid w:val="000E0006"/>
    <w:rsid w:val="000E0F39"/>
    <w:rsid w:val="000E14B4"/>
    <w:rsid w:val="000E1C17"/>
    <w:rsid w:val="000E1C6F"/>
    <w:rsid w:val="000E1D43"/>
    <w:rsid w:val="000E22BE"/>
    <w:rsid w:val="000E3453"/>
    <w:rsid w:val="000E3F6A"/>
    <w:rsid w:val="000E43C6"/>
    <w:rsid w:val="000E4996"/>
    <w:rsid w:val="000E4B30"/>
    <w:rsid w:val="000E5267"/>
    <w:rsid w:val="000E5EE7"/>
    <w:rsid w:val="000E6427"/>
    <w:rsid w:val="000E6DD0"/>
    <w:rsid w:val="000E6EA6"/>
    <w:rsid w:val="000E7913"/>
    <w:rsid w:val="000F0069"/>
    <w:rsid w:val="000F04AB"/>
    <w:rsid w:val="000F12F3"/>
    <w:rsid w:val="000F15DC"/>
    <w:rsid w:val="000F1B35"/>
    <w:rsid w:val="000F1FCB"/>
    <w:rsid w:val="000F390B"/>
    <w:rsid w:val="000F42BE"/>
    <w:rsid w:val="000F4FE4"/>
    <w:rsid w:val="000F58E7"/>
    <w:rsid w:val="000F6E19"/>
    <w:rsid w:val="000F71BA"/>
    <w:rsid w:val="000F79EC"/>
    <w:rsid w:val="001012BE"/>
    <w:rsid w:val="00101A4E"/>
    <w:rsid w:val="00103024"/>
    <w:rsid w:val="00103DCB"/>
    <w:rsid w:val="00104E71"/>
    <w:rsid w:val="00104E7D"/>
    <w:rsid w:val="00105258"/>
    <w:rsid w:val="001060C1"/>
    <w:rsid w:val="00106882"/>
    <w:rsid w:val="00107844"/>
    <w:rsid w:val="00110900"/>
    <w:rsid w:val="00111BE6"/>
    <w:rsid w:val="00111E8A"/>
    <w:rsid w:val="00112F70"/>
    <w:rsid w:val="00115245"/>
    <w:rsid w:val="00115898"/>
    <w:rsid w:val="00116524"/>
    <w:rsid w:val="00116650"/>
    <w:rsid w:val="001173C1"/>
    <w:rsid w:val="0011783C"/>
    <w:rsid w:val="00120DB7"/>
    <w:rsid w:val="00120F3F"/>
    <w:rsid w:val="001210C6"/>
    <w:rsid w:val="00121310"/>
    <w:rsid w:val="001214B2"/>
    <w:rsid w:val="00121E11"/>
    <w:rsid w:val="0012364D"/>
    <w:rsid w:val="00123665"/>
    <w:rsid w:val="00123DC2"/>
    <w:rsid w:val="0012426D"/>
    <w:rsid w:val="00124662"/>
    <w:rsid w:val="00125BDA"/>
    <w:rsid w:val="00125F72"/>
    <w:rsid w:val="00126A19"/>
    <w:rsid w:val="00127ADA"/>
    <w:rsid w:val="001309F1"/>
    <w:rsid w:val="00130D1F"/>
    <w:rsid w:val="00130F92"/>
    <w:rsid w:val="00131007"/>
    <w:rsid w:val="00132013"/>
    <w:rsid w:val="00133296"/>
    <w:rsid w:val="00133466"/>
    <w:rsid w:val="00134036"/>
    <w:rsid w:val="00134B79"/>
    <w:rsid w:val="00135C25"/>
    <w:rsid w:val="00137B70"/>
    <w:rsid w:val="00140B02"/>
    <w:rsid w:val="00141AF1"/>
    <w:rsid w:val="0014208E"/>
    <w:rsid w:val="00143E0F"/>
    <w:rsid w:val="001441DA"/>
    <w:rsid w:val="00145B6A"/>
    <w:rsid w:val="0014616E"/>
    <w:rsid w:val="001468BA"/>
    <w:rsid w:val="00146DDD"/>
    <w:rsid w:val="00146E0B"/>
    <w:rsid w:val="0015010C"/>
    <w:rsid w:val="00150C6C"/>
    <w:rsid w:val="0015121B"/>
    <w:rsid w:val="00151489"/>
    <w:rsid w:val="00151D69"/>
    <w:rsid w:val="0015272F"/>
    <w:rsid w:val="001529AF"/>
    <w:rsid w:val="00153BCD"/>
    <w:rsid w:val="0015434F"/>
    <w:rsid w:val="00154728"/>
    <w:rsid w:val="0015495D"/>
    <w:rsid w:val="00154E59"/>
    <w:rsid w:val="001550D0"/>
    <w:rsid w:val="001553DB"/>
    <w:rsid w:val="0015650B"/>
    <w:rsid w:val="0015676D"/>
    <w:rsid w:val="001567D0"/>
    <w:rsid w:val="00157759"/>
    <w:rsid w:val="0015786A"/>
    <w:rsid w:val="00157C3E"/>
    <w:rsid w:val="00160F54"/>
    <w:rsid w:val="00161B42"/>
    <w:rsid w:val="001626E2"/>
    <w:rsid w:val="00163249"/>
    <w:rsid w:val="0016348C"/>
    <w:rsid w:val="00164225"/>
    <w:rsid w:val="00164976"/>
    <w:rsid w:val="00164BE7"/>
    <w:rsid w:val="00164F18"/>
    <w:rsid w:val="001650A8"/>
    <w:rsid w:val="001652B4"/>
    <w:rsid w:val="0016546B"/>
    <w:rsid w:val="00165F11"/>
    <w:rsid w:val="00167BB4"/>
    <w:rsid w:val="00170B06"/>
    <w:rsid w:val="0017100E"/>
    <w:rsid w:val="0017129E"/>
    <w:rsid w:val="0017207B"/>
    <w:rsid w:val="00172F5D"/>
    <w:rsid w:val="00173B17"/>
    <w:rsid w:val="00173C62"/>
    <w:rsid w:val="00173DFC"/>
    <w:rsid w:val="001744A6"/>
    <w:rsid w:val="001750DB"/>
    <w:rsid w:val="0017518A"/>
    <w:rsid w:val="00175265"/>
    <w:rsid w:val="00175449"/>
    <w:rsid w:val="00175D58"/>
    <w:rsid w:val="00177207"/>
    <w:rsid w:val="001779BC"/>
    <w:rsid w:val="00180B60"/>
    <w:rsid w:val="001812DE"/>
    <w:rsid w:val="001822E1"/>
    <w:rsid w:val="00182C6A"/>
    <w:rsid w:val="00183192"/>
    <w:rsid w:val="00183E73"/>
    <w:rsid w:val="001852B1"/>
    <w:rsid w:val="0019046A"/>
    <w:rsid w:val="0019168E"/>
    <w:rsid w:val="00192693"/>
    <w:rsid w:val="00192AD9"/>
    <w:rsid w:val="00193169"/>
    <w:rsid w:val="0019325C"/>
    <w:rsid w:val="00193747"/>
    <w:rsid w:val="00193F31"/>
    <w:rsid w:val="00194234"/>
    <w:rsid w:val="0019451B"/>
    <w:rsid w:val="0019568E"/>
    <w:rsid w:val="00196AFF"/>
    <w:rsid w:val="00196E3A"/>
    <w:rsid w:val="00197791"/>
    <w:rsid w:val="00197C67"/>
    <w:rsid w:val="00197C81"/>
    <w:rsid w:val="00197F5E"/>
    <w:rsid w:val="00197FC6"/>
    <w:rsid w:val="001A0045"/>
    <w:rsid w:val="001A00C1"/>
    <w:rsid w:val="001A0282"/>
    <w:rsid w:val="001A0391"/>
    <w:rsid w:val="001A19B0"/>
    <w:rsid w:val="001A1B0B"/>
    <w:rsid w:val="001A2212"/>
    <w:rsid w:val="001A3E89"/>
    <w:rsid w:val="001A6457"/>
    <w:rsid w:val="001A6D17"/>
    <w:rsid w:val="001A7558"/>
    <w:rsid w:val="001A7D24"/>
    <w:rsid w:val="001A7FEA"/>
    <w:rsid w:val="001B0765"/>
    <w:rsid w:val="001B091A"/>
    <w:rsid w:val="001B09A6"/>
    <w:rsid w:val="001B0E3A"/>
    <w:rsid w:val="001B2D50"/>
    <w:rsid w:val="001B39AE"/>
    <w:rsid w:val="001B4530"/>
    <w:rsid w:val="001B58A2"/>
    <w:rsid w:val="001B65A6"/>
    <w:rsid w:val="001B67F5"/>
    <w:rsid w:val="001B78FC"/>
    <w:rsid w:val="001C057A"/>
    <w:rsid w:val="001C076F"/>
    <w:rsid w:val="001C0BDD"/>
    <w:rsid w:val="001C16D7"/>
    <w:rsid w:val="001C3037"/>
    <w:rsid w:val="001C318A"/>
    <w:rsid w:val="001C38A1"/>
    <w:rsid w:val="001C4F9B"/>
    <w:rsid w:val="001C58CC"/>
    <w:rsid w:val="001C5BE4"/>
    <w:rsid w:val="001C5EF4"/>
    <w:rsid w:val="001C5FF8"/>
    <w:rsid w:val="001C61FF"/>
    <w:rsid w:val="001C733F"/>
    <w:rsid w:val="001C77DD"/>
    <w:rsid w:val="001C7BF6"/>
    <w:rsid w:val="001C7C4D"/>
    <w:rsid w:val="001D0DC4"/>
    <w:rsid w:val="001D204D"/>
    <w:rsid w:val="001D2565"/>
    <w:rsid w:val="001D260C"/>
    <w:rsid w:val="001D2EA8"/>
    <w:rsid w:val="001D32FD"/>
    <w:rsid w:val="001D397D"/>
    <w:rsid w:val="001D3C81"/>
    <w:rsid w:val="001D41F1"/>
    <w:rsid w:val="001D53FD"/>
    <w:rsid w:val="001D55F9"/>
    <w:rsid w:val="001D5949"/>
    <w:rsid w:val="001D636C"/>
    <w:rsid w:val="001D7859"/>
    <w:rsid w:val="001D7ACC"/>
    <w:rsid w:val="001E0460"/>
    <w:rsid w:val="001E060F"/>
    <w:rsid w:val="001E0613"/>
    <w:rsid w:val="001E0775"/>
    <w:rsid w:val="001E0CA3"/>
    <w:rsid w:val="001E0FBD"/>
    <w:rsid w:val="001E1114"/>
    <w:rsid w:val="001E142E"/>
    <w:rsid w:val="001E142F"/>
    <w:rsid w:val="001E1F7D"/>
    <w:rsid w:val="001E2974"/>
    <w:rsid w:val="001E2DA9"/>
    <w:rsid w:val="001E3179"/>
    <w:rsid w:val="001E3931"/>
    <w:rsid w:val="001E4E21"/>
    <w:rsid w:val="001E5131"/>
    <w:rsid w:val="001E5DD7"/>
    <w:rsid w:val="001E6ED0"/>
    <w:rsid w:val="001E77C7"/>
    <w:rsid w:val="001E7DA7"/>
    <w:rsid w:val="001F0581"/>
    <w:rsid w:val="001F05C0"/>
    <w:rsid w:val="001F1468"/>
    <w:rsid w:val="001F1477"/>
    <w:rsid w:val="001F1531"/>
    <w:rsid w:val="001F1F54"/>
    <w:rsid w:val="001F2977"/>
    <w:rsid w:val="001F2D04"/>
    <w:rsid w:val="001F3644"/>
    <w:rsid w:val="001F3CAE"/>
    <w:rsid w:val="001F49F7"/>
    <w:rsid w:val="001F6F2B"/>
    <w:rsid w:val="001F7FC2"/>
    <w:rsid w:val="002009B6"/>
    <w:rsid w:val="0020161E"/>
    <w:rsid w:val="0020229A"/>
    <w:rsid w:val="0020258E"/>
    <w:rsid w:val="0020263C"/>
    <w:rsid w:val="0020292C"/>
    <w:rsid w:val="00202C55"/>
    <w:rsid w:val="00202F97"/>
    <w:rsid w:val="00203048"/>
    <w:rsid w:val="002053DD"/>
    <w:rsid w:val="00206ED7"/>
    <w:rsid w:val="00207393"/>
    <w:rsid w:val="00207AFE"/>
    <w:rsid w:val="00207F92"/>
    <w:rsid w:val="002101BB"/>
    <w:rsid w:val="00210A60"/>
    <w:rsid w:val="00211E3E"/>
    <w:rsid w:val="00212B52"/>
    <w:rsid w:val="00213440"/>
    <w:rsid w:val="00213914"/>
    <w:rsid w:val="00213BDE"/>
    <w:rsid w:val="00214D52"/>
    <w:rsid w:val="0021586F"/>
    <w:rsid w:val="002159CA"/>
    <w:rsid w:val="002169E8"/>
    <w:rsid w:val="00216BCA"/>
    <w:rsid w:val="00216E31"/>
    <w:rsid w:val="002172D6"/>
    <w:rsid w:val="00217A1B"/>
    <w:rsid w:val="002204A3"/>
    <w:rsid w:val="00221808"/>
    <w:rsid w:val="0022241E"/>
    <w:rsid w:val="00222D24"/>
    <w:rsid w:val="00223928"/>
    <w:rsid w:val="00223968"/>
    <w:rsid w:val="00223AC3"/>
    <w:rsid w:val="0022426E"/>
    <w:rsid w:val="002248E4"/>
    <w:rsid w:val="00226016"/>
    <w:rsid w:val="00226ECB"/>
    <w:rsid w:val="002271D2"/>
    <w:rsid w:val="00227325"/>
    <w:rsid w:val="00230440"/>
    <w:rsid w:val="00230D61"/>
    <w:rsid w:val="00231437"/>
    <w:rsid w:val="00231A6B"/>
    <w:rsid w:val="00232A6F"/>
    <w:rsid w:val="00233364"/>
    <w:rsid w:val="002346DB"/>
    <w:rsid w:val="00234C6F"/>
    <w:rsid w:val="00234E67"/>
    <w:rsid w:val="00234EFB"/>
    <w:rsid w:val="00234F48"/>
    <w:rsid w:val="00235B43"/>
    <w:rsid w:val="002360DB"/>
    <w:rsid w:val="0023795E"/>
    <w:rsid w:val="00237B60"/>
    <w:rsid w:val="002400E6"/>
    <w:rsid w:val="002409BF"/>
    <w:rsid w:val="00241917"/>
    <w:rsid w:val="00242380"/>
    <w:rsid w:val="0024263E"/>
    <w:rsid w:val="00242846"/>
    <w:rsid w:val="00242CFB"/>
    <w:rsid w:val="00243294"/>
    <w:rsid w:val="002437F9"/>
    <w:rsid w:val="00244F4E"/>
    <w:rsid w:val="00245933"/>
    <w:rsid w:val="00245A32"/>
    <w:rsid w:val="00246473"/>
    <w:rsid w:val="00247A69"/>
    <w:rsid w:val="00247C43"/>
    <w:rsid w:val="00247EEB"/>
    <w:rsid w:val="00250394"/>
    <w:rsid w:val="00250982"/>
    <w:rsid w:val="00251183"/>
    <w:rsid w:val="00251D3D"/>
    <w:rsid w:val="00252900"/>
    <w:rsid w:val="00253B4E"/>
    <w:rsid w:val="00254018"/>
    <w:rsid w:val="002543D0"/>
    <w:rsid w:val="00254988"/>
    <w:rsid w:val="00254E57"/>
    <w:rsid w:val="00254EFF"/>
    <w:rsid w:val="00255100"/>
    <w:rsid w:val="0025707E"/>
    <w:rsid w:val="002600FD"/>
    <w:rsid w:val="0026073B"/>
    <w:rsid w:val="00260BF8"/>
    <w:rsid w:val="0026229C"/>
    <w:rsid w:val="00262464"/>
    <w:rsid w:val="00263E02"/>
    <w:rsid w:val="0026449D"/>
    <w:rsid w:val="00264DCB"/>
    <w:rsid w:val="00265254"/>
    <w:rsid w:val="00266A57"/>
    <w:rsid w:val="00266C60"/>
    <w:rsid w:val="00266D99"/>
    <w:rsid w:val="0026703D"/>
    <w:rsid w:val="00270F2A"/>
    <w:rsid w:val="00272701"/>
    <w:rsid w:val="00272723"/>
    <w:rsid w:val="002738C6"/>
    <w:rsid w:val="00273E45"/>
    <w:rsid w:val="00273FA0"/>
    <w:rsid w:val="00273FB9"/>
    <w:rsid w:val="00274568"/>
    <w:rsid w:val="002749DA"/>
    <w:rsid w:val="00275010"/>
    <w:rsid w:val="0027593C"/>
    <w:rsid w:val="00275C84"/>
    <w:rsid w:val="00276243"/>
    <w:rsid w:val="00276A99"/>
    <w:rsid w:val="00276AA7"/>
    <w:rsid w:val="00276B6F"/>
    <w:rsid w:val="00276BAB"/>
    <w:rsid w:val="0027781A"/>
    <w:rsid w:val="0027791B"/>
    <w:rsid w:val="00277E90"/>
    <w:rsid w:val="00280B6C"/>
    <w:rsid w:val="002811D7"/>
    <w:rsid w:val="002815DC"/>
    <w:rsid w:val="00281CBE"/>
    <w:rsid w:val="00281FBF"/>
    <w:rsid w:val="00282000"/>
    <w:rsid w:val="00283497"/>
    <w:rsid w:val="0028385F"/>
    <w:rsid w:val="00283DF8"/>
    <w:rsid w:val="0028471A"/>
    <w:rsid w:val="00286E0F"/>
    <w:rsid w:val="00287E8B"/>
    <w:rsid w:val="00290393"/>
    <w:rsid w:val="00290A6C"/>
    <w:rsid w:val="00290AF6"/>
    <w:rsid w:val="00290CFB"/>
    <w:rsid w:val="002919F1"/>
    <w:rsid w:val="00292736"/>
    <w:rsid w:val="002936C5"/>
    <w:rsid w:val="002938FA"/>
    <w:rsid w:val="00293CC6"/>
    <w:rsid w:val="002945C4"/>
    <w:rsid w:val="0029491F"/>
    <w:rsid w:val="0029546D"/>
    <w:rsid w:val="002959E7"/>
    <w:rsid w:val="002964EC"/>
    <w:rsid w:val="00296B7F"/>
    <w:rsid w:val="00297B28"/>
    <w:rsid w:val="00297CD4"/>
    <w:rsid w:val="002A033E"/>
    <w:rsid w:val="002A05D9"/>
    <w:rsid w:val="002A081B"/>
    <w:rsid w:val="002A0B6B"/>
    <w:rsid w:val="002A1403"/>
    <w:rsid w:val="002A14E3"/>
    <w:rsid w:val="002A185A"/>
    <w:rsid w:val="002A20ED"/>
    <w:rsid w:val="002A27C9"/>
    <w:rsid w:val="002A29CB"/>
    <w:rsid w:val="002A39A8"/>
    <w:rsid w:val="002A3E4C"/>
    <w:rsid w:val="002A414E"/>
    <w:rsid w:val="002A41E2"/>
    <w:rsid w:val="002A42E3"/>
    <w:rsid w:val="002A469C"/>
    <w:rsid w:val="002A46A7"/>
    <w:rsid w:val="002A4D60"/>
    <w:rsid w:val="002A51DB"/>
    <w:rsid w:val="002A6480"/>
    <w:rsid w:val="002A680A"/>
    <w:rsid w:val="002A72E7"/>
    <w:rsid w:val="002B04FF"/>
    <w:rsid w:val="002B060C"/>
    <w:rsid w:val="002B1672"/>
    <w:rsid w:val="002B2159"/>
    <w:rsid w:val="002B3426"/>
    <w:rsid w:val="002B39BC"/>
    <w:rsid w:val="002B4223"/>
    <w:rsid w:val="002B5A47"/>
    <w:rsid w:val="002B6034"/>
    <w:rsid w:val="002C0251"/>
    <w:rsid w:val="002C0292"/>
    <w:rsid w:val="002C2084"/>
    <w:rsid w:val="002C222A"/>
    <w:rsid w:val="002C32D9"/>
    <w:rsid w:val="002C3D20"/>
    <w:rsid w:val="002C3D8A"/>
    <w:rsid w:val="002C3E50"/>
    <w:rsid w:val="002C4854"/>
    <w:rsid w:val="002C4AE6"/>
    <w:rsid w:val="002C4E67"/>
    <w:rsid w:val="002C5FD2"/>
    <w:rsid w:val="002C72C1"/>
    <w:rsid w:val="002C7E8F"/>
    <w:rsid w:val="002D0463"/>
    <w:rsid w:val="002D06B4"/>
    <w:rsid w:val="002D084A"/>
    <w:rsid w:val="002D1A05"/>
    <w:rsid w:val="002D307B"/>
    <w:rsid w:val="002D34CB"/>
    <w:rsid w:val="002D383A"/>
    <w:rsid w:val="002D402D"/>
    <w:rsid w:val="002D4178"/>
    <w:rsid w:val="002D5185"/>
    <w:rsid w:val="002D54F2"/>
    <w:rsid w:val="002D6260"/>
    <w:rsid w:val="002D635F"/>
    <w:rsid w:val="002D64B9"/>
    <w:rsid w:val="002D654C"/>
    <w:rsid w:val="002D6816"/>
    <w:rsid w:val="002D6A5F"/>
    <w:rsid w:val="002E064E"/>
    <w:rsid w:val="002E1E8E"/>
    <w:rsid w:val="002E28C4"/>
    <w:rsid w:val="002E30D6"/>
    <w:rsid w:val="002E3118"/>
    <w:rsid w:val="002E3223"/>
    <w:rsid w:val="002E3F05"/>
    <w:rsid w:val="002E48E8"/>
    <w:rsid w:val="002E4B25"/>
    <w:rsid w:val="002E59C3"/>
    <w:rsid w:val="002E60D1"/>
    <w:rsid w:val="002E6150"/>
    <w:rsid w:val="002E6C8A"/>
    <w:rsid w:val="002E6F9C"/>
    <w:rsid w:val="002F10A4"/>
    <w:rsid w:val="002F12CF"/>
    <w:rsid w:val="002F179E"/>
    <w:rsid w:val="002F17AB"/>
    <w:rsid w:val="002F1D84"/>
    <w:rsid w:val="002F23AD"/>
    <w:rsid w:val="002F30D3"/>
    <w:rsid w:val="002F4438"/>
    <w:rsid w:val="002F450F"/>
    <w:rsid w:val="002F47E5"/>
    <w:rsid w:val="002F512F"/>
    <w:rsid w:val="002F5701"/>
    <w:rsid w:val="002F5E51"/>
    <w:rsid w:val="002F5F2D"/>
    <w:rsid w:val="002F6338"/>
    <w:rsid w:val="002F6A67"/>
    <w:rsid w:val="002F7E5A"/>
    <w:rsid w:val="00301A32"/>
    <w:rsid w:val="003027FB"/>
    <w:rsid w:val="003028A4"/>
    <w:rsid w:val="00302F6F"/>
    <w:rsid w:val="0030423E"/>
    <w:rsid w:val="003044C6"/>
    <w:rsid w:val="003049ED"/>
    <w:rsid w:val="003074CD"/>
    <w:rsid w:val="0030786B"/>
    <w:rsid w:val="0030786F"/>
    <w:rsid w:val="0031001C"/>
    <w:rsid w:val="00310096"/>
    <w:rsid w:val="0031072D"/>
    <w:rsid w:val="00310E3A"/>
    <w:rsid w:val="003142CB"/>
    <w:rsid w:val="00314652"/>
    <w:rsid w:val="00314713"/>
    <w:rsid w:val="00314B3E"/>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0C9"/>
    <w:rsid w:val="00327290"/>
    <w:rsid w:val="003277DB"/>
    <w:rsid w:val="00327F53"/>
    <w:rsid w:val="00331DE0"/>
    <w:rsid w:val="00332113"/>
    <w:rsid w:val="0033242B"/>
    <w:rsid w:val="00332969"/>
    <w:rsid w:val="00332E2C"/>
    <w:rsid w:val="003331D9"/>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C29"/>
    <w:rsid w:val="00343D1C"/>
    <w:rsid w:val="00344380"/>
    <w:rsid w:val="00345162"/>
    <w:rsid w:val="00345E35"/>
    <w:rsid w:val="00345E57"/>
    <w:rsid w:val="00346597"/>
    <w:rsid w:val="00347644"/>
    <w:rsid w:val="00347A57"/>
    <w:rsid w:val="00347AD6"/>
    <w:rsid w:val="00347D50"/>
    <w:rsid w:val="00350E9F"/>
    <w:rsid w:val="00351EB9"/>
    <w:rsid w:val="0035298A"/>
    <w:rsid w:val="00352B12"/>
    <w:rsid w:val="00353582"/>
    <w:rsid w:val="00355250"/>
    <w:rsid w:val="0035551B"/>
    <w:rsid w:val="00355B81"/>
    <w:rsid w:val="00355F2D"/>
    <w:rsid w:val="0035659A"/>
    <w:rsid w:val="0035666A"/>
    <w:rsid w:val="00356B7C"/>
    <w:rsid w:val="003574FA"/>
    <w:rsid w:val="00357F59"/>
    <w:rsid w:val="003606E8"/>
    <w:rsid w:val="00361726"/>
    <w:rsid w:val="00361B40"/>
    <w:rsid w:val="0036200C"/>
    <w:rsid w:val="00362150"/>
    <w:rsid w:val="003621C4"/>
    <w:rsid w:val="00362780"/>
    <w:rsid w:val="00362A67"/>
    <w:rsid w:val="00362F60"/>
    <w:rsid w:val="003631D1"/>
    <w:rsid w:val="003634AE"/>
    <w:rsid w:val="00363775"/>
    <w:rsid w:val="00364101"/>
    <w:rsid w:val="0036415B"/>
    <w:rsid w:val="00365917"/>
    <w:rsid w:val="00365A12"/>
    <w:rsid w:val="003663D8"/>
    <w:rsid w:val="003675A8"/>
    <w:rsid w:val="00367714"/>
    <w:rsid w:val="0037030F"/>
    <w:rsid w:val="00370D8B"/>
    <w:rsid w:val="00371318"/>
    <w:rsid w:val="003717A1"/>
    <w:rsid w:val="0037234E"/>
    <w:rsid w:val="0037314D"/>
    <w:rsid w:val="00373547"/>
    <w:rsid w:val="003739AA"/>
    <w:rsid w:val="00373C3F"/>
    <w:rsid w:val="00373C7E"/>
    <w:rsid w:val="00373F9A"/>
    <w:rsid w:val="003757D5"/>
    <w:rsid w:val="00375BE7"/>
    <w:rsid w:val="0037617F"/>
    <w:rsid w:val="00376B0F"/>
    <w:rsid w:val="00377B92"/>
    <w:rsid w:val="00377B94"/>
    <w:rsid w:val="0038040D"/>
    <w:rsid w:val="003804B1"/>
    <w:rsid w:val="00380525"/>
    <w:rsid w:val="00381117"/>
    <w:rsid w:val="00381242"/>
    <w:rsid w:val="0038157E"/>
    <w:rsid w:val="00381DE5"/>
    <w:rsid w:val="003848B1"/>
    <w:rsid w:val="00384ED6"/>
    <w:rsid w:val="00386437"/>
    <w:rsid w:val="00386E40"/>
    <w:rsid w:val="0038758B"/>
    <w:rsid w:val="003876E6"/>
    <w:rsid w:val="00387DE2"/>
    <w:rsid w:val="0039031B"/>
    <w:rsid w:val="00390810"/>
    <w:rsid w:val="00390B8B"/>
    <w:rsid w:val="00391307"/>
    <w:rsid w:val="0039138F"/>
    <w:rsid w:val="00391A75"/>
    <w:rsid w:val="00392844"/>
    <w:rsid w:val="0039448F"/>
    <w:rsid w:val="00394779"/>
    <w:rsid w:val="0039615F"/>
    <w:rsid w:val="00396313"/>
    <w:rsid w:val="00396697"/>
    <w:rsid w:val="0039673B"/>
    <w:rsid w:val="00396FE4"/>
    <w:rsid w:val="00397D1B"/>
    <w:rsid w:val="003A0790"/>
    <w:rsid w:val="003A0E19"/>
    <w:rsid w:val="003A1665"/>
    <w:rsid w:val="003A2561"/>
    <w:rsid w:val="003A269B"/>
    <w:rsid w:val="003A2B22"/>
    <w:rsid w:val="003A3344"/>
    <w:rsid w:val="003A367D"/>
    <w:rsid w:val="003A3A10"/>
    <w:rsid w:val="003A463D"/>
    <w:rsid w:val="003A48AA"/>
    <w:rsid w:val="003A5026"/>
    <w:rsid w:val="003A54CA"/>
    <w:rsid w:val="003A54EC"/>
    <w:rsid w:val="003A56C5"/>
    <w:rsid w:val="003A6390"/>
    <w:rsid w:val="003A63F7"/>
    <w:rsid w:val="003A64C9"/>
    <w:rsid w:val="003A6DF0"/>
    <w:rsid w:val="003A74CE"/>
    <w:rsid w:val="003A776A"/>
    <w:rsid w:val="003B0110"/>
    <w:rsid w:val="003B0687"/>
    <w:rsid w:val="003B0CB4"/>
    <w:rsid w:val="003B0CD6"/>
    <w:rsid w:val="003B1034"/>
    <w:rsid w:val="003B1DD8"/>
    <w:rsid w:val="003B1EFC"/>
    <w:rsid w:val="003B2C36"/>
    <w:rsid w:val="003B2D29"/>
    <w:rsid w:val="003B34A7"/>
    <w:rsid w:val="003B3ACE"/>
    <w:rsid w:val="003B43E8"/>
    <w:rsid w:val="003B49E4"/>
    <w:rsid w:val="003B4C5E"/>
    <w:rsid w:val="003B4CD6"/>
    <w:rsid w:val="003B520D"/>
    <w:rsid w:val="003B54C7"/>
    <w:rsid w:val="003B5608"/>
    <w:rsid w:val="003B5A31"/>
    <w:rsid w:val="003B68CE"/>
    <w:rsid w:val="003B6DE7"/>
    <w:rsid w:val="003B6F8B"/>
    <w:rsid w:val="003B7156"/>
    <w:rsid w:val="003B7524"/>
    <w:rsid w:val="003B769F"/>
    <w:rsid w:val="003C060F"/>
    <w:rsid w:val="003C075C"/>
    <w:rsid w:val="003C0D92"/>
    <w:rsid w:val="003C0DF1"/>
    <w:rsid w:val="003C0F9F"/>
    <w:rsid w:val="003C1A87"/>
    <w:rsid w:val="003C4298"/>
    <w:rsid w:val="003C42BE"/>
    <w:rsid w:val="003C46C0"/>
    <w:rsid w:val="003C4E9C"/>
    <w:rsid w:val="003C7108"/>
    <w:rsid w:val="003C7290"/>
    <w:rsid w:val="003C785A"/>
    <w:rsid w:val="003C7EF1"/>
    <w:rsid w:val="003D07C6"/>
    <w:rsid w:val="003D0BC4"/>
    <w:rsid w:val="003D130B"/>
    <w:rsid w:val="003D139F"/>
    <w:rsid w:val="003D2986"/>
    <w:rsid w:val="003D3B55"/>
    <w:rsid w:val="003D3BB0"/>
    <w:rsid w:val="003D3D85"/>
    <w:rsid w:val="003D4EFC"/>
    <w:rsid w:val="003D5332"/>
    <w:rsid w:val="003D57A0"/>
    <w:rsid w:val="003D6C2F"/>
    <w:rsid w:val="003D6D58"/>
    <w:rsid w:val="003D7516"/>
    <w:rsid w:val="003D7FD0"/>
    <w:rsid w:val="003E0545"/>
    <w:rsid w:val="003E0F70"/>
    <w:rsid w:val="003E1FF2"/>
    <w:rsid w:val="003E24EA"/>
    <w:rsid w:val="003E3ADD"/>
    <w:rsid w:val="003E4764"/>
    <w:rsid w:val="003E4A0B"/>
    <w:rsid w:val="003E4FA3"/>
    <w:rsid w:val="003E50E3"/>
    <w:rsid w:val="003E5EA7"/>
    <w:rsid w:val="003E63AC"/>
    <w:rsid w:val="003E63C2"/>
    <w:rsid w:val="003E6788"/>
    <w:rsid w:val="003E7351"/>
    <w:rsid w:val="003E7724"/>
    <w:rsid w:val="003F09BA"/>
    <w:rsid w:val="003F138C"/>
    <w:rsid w:val="003F462F"/>
    <w:rsid w:val="003F5B4E"/>
    <w:rsid w:val="003F5F1F"/>
    <w:rsid w:val="003F6BE7"/>
    <w:rsid w:val="003F7FBE"/>
    <w:rsid w:val="00400A31"/>
    <w:rsid w:val="004012BF"/>
    <w:rsid w:val="00401BF0"/>
    <w:rsid w:val="00403234"/>
    <w:rsid w:val="004035D4"/>
    <w:rsid w:val="0040391E"/>
    <w:rsid w:val="00404F05"/>
    <w:rsid w:val="00404F42"/>
    <w:rsid w:val="00405E30"/>
    <w:rsid w:val="0040676E"/>
    <w:rsid w:val="00406923"/>
    <w:rsid w:val="00407776"/>
    <w:rsid w:val="004102F8"/>
    <w:rsid w:val="0041032D"/>
    <w:rsid w:val="00411184"/>
    <w:rsid w:val="004112E3"/>
    <w:rsid w:val="0041229E"/>
    <w:rsid w:val="00412D3E"/>
    <w:rsid w:val="004138A7"/>
    <w:rsid w:val="00413A73"/>
    <w:rsid w:val="00414175"/>
    <w:rsid w:val="00414F15"/>
    <w:rsid w:val="004158AA"/>
    <w:rsid w:val="004159A7"/>
    <w:rsid w:val="00416940"/>
    <w:rsid w:val="0042067C"/>
    <w:rsid w:val="004225C0"/>
    <w:rsid w:val="0042348C"/>
    <w:rsid w:val="004236B7"/>
    <w:rsid w:val="0042517A"/>
    <w:rsid w:val="00425366"/>
    <w:rsid w:val="004263DD"/>
    <w:rsid w:val="00427140"/>
    <w:rsid w:val="00427A9D"/>
    <w:rsid w:val="00430E10"/>
    <w:rsid w:val="00430E57"/>
    <w:rsid w:val="00431021"/>
    <w:rsid w:val="0043126A"/>
    <w:rsid w:val="004315FB"/>
    <w:rsid w:val="00432B1E"/>
    <w:rsid w:val="00432DEF"/>
    <w:rsid w:val="00432ED3"/>
    <w:rsid w:val="00433693"/>
    <w:rsid w:val="0043412B"/>
    <w:rsid w:val="00434260"/>
    <w:rsid w:val="004343C6"/>
    <w:rsid w:val="00434400"/>
    <w:rsid w:val="00434441"/>
    <w:rsid w:val="0043494A"/>
    <w:rsid w:val="0043552E"/>
    <w:rsid w:val="004370E8"/>
    <w:rsid w:val="00437849"/>
    <w:rsid w:val="00437CC8"/>
    <w:rsid w:val="00440831"/>
    <w:rsid w:val="004409D0"/>
    <w:rsid w:val="00440D55"/>
    <w:rsid w:val="00441696"/>
    <w:rsid w:val="00441730"/>
    <w:rsid w:val="004421AD"/>
    <w:rsid w:val="0044236C"/>
    <w:rsid w:val="00442AFC"/>
    <w:rsid w:val="00442C23"/>
    <w:rsid w:val="00443492"/>
    <w:rsid w:val="004462A3"/>
    <w:rsid w:val="004467E0"/>
    <w:rsid w:val="00446971"/>
    <w:rsid w:val="004469AE"/>
    <w:rsid w:val="00446E44"/>
    <w:rsid w:val="004472C4"/>
    <w:rsid w:val="0044775E"/>
    <w:rsid w:val="00447DF3"/>
    <w:rsid w:val="004500C8"/>
    <w:rsid w:val="0045091A"/>
    <w:rsid w:val="00450988"/>
    <w:rsid w:val="00450A43"/>
    <w:rsid w:val="00450A5A"/>
    <w:rsid w:val="00451B01"/>
    <w:rsid w:val="00452EDC"/>
    <w:rsid w:val="00452F24"/>
    <w:rsid w:val="00453152"/>
    <w:rsid w:val="00454018"/>
    <w:rsid w:val="004548FA"/>
    <w:rsid w:val="00456C13"/>
    <w:rsid w:val="00456FFD"/>
    <w:rsid w:val="00457466"/>
    <w:rsid w:val="00457D24"/>
    <w:rsid w:val="00457DD8"/>
    <w:rsid w:val="004602DF"/>
    <w:rsid w:val="004609DA"/>
    <w:rsid w:val="0046101D"/>
    <w:rsid w:val="00461699"/>
    <w:rsid w:val="00461849"/>
    <w:rsid w:val="00462590"/>
    <w:rsid w:val="00463B0A"/>
    <w:rsid w:val="004641F2"/>
    <w:rsid w:val="004643C0"/>
    <w:rsid w:val="00464948"/>
    <w:rsid w:val="00465206"/>
    <w:rsid w:val="004652D0"/>
    <w:rsid w:val="00465BC2"/>
    <w:rsid w:val="004661F8"/>
    <w:rsid w:val="0046656C"/>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EC1"/>
    <w:rsid w:val="004776BE"/>
    <w:rsid w:val="00481154"/>
    <w:rsid w:val="004814E7"/>
    <w:rsid w:val="0048276D"/>
    <w:rsid w:val="00483464"/>
    <w:rsid w:val="0048472E"/>
    <w:rsid w:val="00484FBA"/>
    <w:rsid w:val="004868D6"/>
    <w:rsid w:val="0048727C"/>
    <w:rsid w:val="00487843"/>
    <w:rsid w:val="00487939"/>
    <w:rsid w:val="004907DD"/>
    <w:rsid w:val="0049143A"/>
    <w:rsid w:val="0049176E"/>
    <w:rsid w:val="004917FE"/>
    <w:rsid w:val="00491EE2"/>
    <w:rsid w:val="004922F0"/>
    <w:rsid w:val="004927FF"/>
    <w:rsid w:val="004928D9"/>
    <w:rsid w:val="00493426"/>
    <w:rsid w:val="004937E8"/>
    <w:rsid w:val="00493877"/>
    <w:rsid w:val="004956AD"/>
    <w:rsid w:val="004962E9"/>
    <w:rsid w:val="004A0111"/>
    <w:rsid w:val="004A02B0"/>
    <w:rsid w:val="004A1021"/>
    <w:rsid w:val="004A1968"/>
    <w:rsid w:val="004A1EA1"/>
    <w:rsid w:val="004A25BC"/>
    <w:rsid w:val="004A29C6"/>
    <w:rsid w:val="004A383D"/>
    <w:rsid w:val="004A468E"/>
    <w:rsid w:val="004A5A06"/>
    <w:rsid w:val="004A5EDB"/>
    <w:rsid w:val="004A63CC"/>
    <w:rsid w:val="004A6C6C"/>
    <w:rsid w:val="004B0E80"/>
    <w:rsid w:val="004B1421"/>
    <w:rsid w:val="004B17A7"/>
    <w:rsid w:val="004B259A"/>
    <w:rsid w:val="004B2BDB"/>
    <w:rsid w:val="004B389D"/>
    <w:rsid w:val="004B3B44"/>
    <w:rsid w:val="004B4530"/>
    <w:rsid w:val="004B45BF"/>
    <w:rsid w:val="004B51BB"/>
    <w:rsid w:val="004B5658"/>
    <w:rsid w:val="004B5A1F"/>
    <w:rsid w:val="004B5C5F"/>
    <w:rsid w:val="004B6E2D"/>
    <w:rsid w:val="004C0755"/>
    <w:rsid w:val="004C0BEF"/>
    <w:rsid w:val="004C39F9"/>
    <w:rsid w:val="004C3C81"/>
    <w:rsid w:val="004C45CA"/>
    <w:rsid w:val="004C5160"/>
    <w:rsid w:val="004C5CD9"/>
    <w:rsid w:val="004C69D8"/>
    <w:rsid w:val="004C75A4"/>
    <w:rsid w:val="004C79F3"/>
    <w:rsid w:val="004D0AF6"/>
    <w:rsid w:val="004D16CF"/>
    <w:rsid w:val="004D184F"/>
    <w:rsid w:val="004D1C16"/>
    <w:rsid w:val="004D27EB"/>
    <w:rsid w:val="004D37A4"/>
    <w:rsid w:val="004D3988"/>
    <w:rsid w:val="004D3B5E"/>
    <w:rsid w:val="004D410F"/>
    <w:rsid w:val="004D4143"/>
    <w:rsid w:val="004D452A"/>
    <w:rsid w:val="004D457C"/>
    <w:rsid w:val="004D4F9F"/>
    <w:rsid w:val="004D551D"/>
    <w:rsid w:val="004D757C"/>
    <w:rsid w:val="004D785F"/>
    <w:rsid w:val="004D7A4A"/>
    <w:rsid w:val="004D7BD2"/>
    <w:rsid w:val="004E0260"/>
    <w:rsid w:val="004E06EC"/>
    <w:rsid w:val="004E06FF"/>
    <w:rsid w:val="004E102A"/>
    <w:rsid w:val="004E17AF"/>
    <w:rsid w:val="004E1908"/>
    <w:rsid w:val="004E1D23"/>
    <w:rsid w:val="004E2560"/>
    <w:rsid w:val="004E27BC"/>
    <w:rsid w:val="004E4CBA"/>
    <w:rsid w:val="004E4FE3"/>
    <w:rsid w:val="004E5804"/>
    <w:rsid w:val="004E596A"/>
    <w:rsid w:val="004E5EEE"/>
    <w:rsid w:val="004E64A6"/>
    <w:rsid w:val="004E7445"/>
    <w:rsid w:val="004E7749"/>
    <w:rsid w:val="004E7CA6"/>
    <w:rsid w:val="004F0181"/>
    <w:rsid w:val="004F054E"/>
    <w:rsid w:val="004F195A"/>
    <w:rsid w:val="004F1B26"/>
    <w:rsid w:val="004F2BC5"/>
    <w:rsid w:val="004F31FC"/>
    <w:rsid w:val="004F42BF"/>
    <w:rsid w:val="004F4A02"/>
    <w:rsid w:val="004F4F72"/>
    <w:rsid w:val="004F530C"/>
    <w:rsid w:val="004F6227"/>
    <w:rsid w:val="004F63AE"/>
    <w:rsid w:val="004F6613"/>
    <w:rsid w:val="004F68B9"/>
    <w:rsid w:val="004F6A3A"/>
    <w:rsid w:val="004F6A6D"/>
    <w:rsid w:val="004F7339"/>
    <w:rsid w:val="00501732"/>
    <w:rsid w:val="005017C8"/>
    <w:rsid w:val="00502D35"/>
    <w:rsid w:val="0050338C"/>
    <w:rsid w:val="005034A1"/>
    <w:rsid w:val="005035D5"/>
    <w:rsid w:val="00503CDE"/>
    <w:rsid w:val="005044F3"/>
    <w:rsid w:val="005045AE"/>
    <w:rsid w:val="00504CC9"/>
    <w:rsid w:val="005052C4"/>
    <w:rsid w:val="00505D97"/>
    <w:rsid w:val="00506144"/>
    <w:rsid w:val="00510489"/>
    <w:rsid w:val="0051064B"/>
    <w:rsid w:val="005109B3"/>
    <w:rsid w:val="00510B05"/>
    <w:rsid w:val="005114A5"/>
    <w:rsid w:val="0051219F"/>
    <w:rsid w:val="00513291"/>
    <w:rsid w:val="00513544"/>
    <w:rsid w:val="0051369A"/>
    <w:rsid w:val="00513836"/>
    <w:rsid w:val="00513887"/>
    <w:rsid w:val="00513D36"/>
    <w:rsid w:val="0051406F"/>
    <w:rsid w:val="00514CC8"/>
    <w:rsid w:val="00514FFB"/>
    <w:rsid w:val="0051516F"/>
    <w:rsid w:val="00515268"/>
    <w:rsid w:val="005154BB"/>
    <w:rsid w:val="005156AA"/>
    <w:rsid w:val="00517ABC"/>
    <w:rsid w:val="00517BA5"/>
    <w:rsid w:val="00517D1E"/>
    <w:rsid w:val="005203C2"/>
    <w:rsid w:val="00520868"/>
    <w:rsid w:val="00520E50"/>
    <w:rsid w:val="005214BF"/>
    <w:rsid w:val="00522162"/>
    <w:rsid w:val="005252B6"/>
    <w:rsid w:val="005253AC"/>
    <w:rsid w:val="00525816"/>
    <w:rsid w:val="005274C8"/>
    <w:rsid w:val="00530A4C"/>
    <w:rsid w:val="00530D60"/>
    <w:rsid w:val="00531454"/>
    <w:rsid w:val="0053146C"/>
    <w:rsid w:val="00531925"/>
    <w:rsid w:val="00532D77"/>
    <w:rsid w:val="005332D4"/>
    <w:rsid w:val="00533D03"/>
    <w:rsid w:val="005344E4"/>
    <w:rsid w:val="00534716"/>
    <w:rsid w:val="0053560F"/>
    <w:rsid w:val="00536778"/>
    <w:rsid w:val="005372FC"/>
    <w:rsid w:val="005373A1"/>
    <w:rsid w:val="0054290D"/>
    <w:rsid w:val="00543013"/>
    <w:rsid w:val="005439CF"/>
    <w:rsid w:val="00543D3A"/>
    <w:rsid w:val="00546262"/>
    <w:rsid w:val="00546717"/>
    <w:rsid w:val="00547FD4"/>
    <w:rsid w:val="00550EAC"/>
    <w:rsid w:val="00551A73"/>
    <w:rsid w:val="00554224"/>
    <w:rsid w:val="00554CD7"/>
    <w:rsid w:val="00554F2B"/>
    <w:rsid w:val="00555F21"/>
    <w:rsid w:val="00557439"/>
    <w:rsid w:val="005606B4"/>
    <w:rsid w:val="005609D3"/>
    <w:rsid w:val="00560DD0"/>
    <w:rsid w:val="00561227"/>
    <w:rsid w:val="00561C6F"/>
    <w:rsid w:val="00562A40"/>
    <w:rsid w:val="005637A2"/>
    <w:rsid w:val="00563923"/>
    <w:rsid w:val="00564495"/>
    <w:rsid w:val="0056552B"/>
    <w:rsid w:val="00565D72"/>
    <w:rsid w:val="00565FFD"/>
    <w:rsid w:val="00566246"/>
    <w:rsid w:val="0056721D"/>
    <w:rsid w:val="00567620"/>
    <w:rsid w:val="00567967"/>
    <w:rsid w:val="005701EF"/>
    <w:rsid w:val="00570362"/>
    <w:rsid w:val="00570F1E"/>
    <w:rsid w:val="005718E1"/>
    <w:rsid w:val="00571C4F"/>
    <w:rsid w:val="00571F3E"/>
    <w:rsid w:val="00572323"/>
    <w:rsid w:val="0057274A"/>
    <w:rsid w:val="00573270"/>
    <w:rsid w:val="005741C7"/>
    <w:rsid w:val="0057450D"/>
    <w:rsid w:val="00574DBE"/>
    <w:rsid w:val="005751FC"/>
    <w:rsid w:val="0057534C"/>
    <w:rsid w:val="00575C36"/>
    <w:rsid w:val="00575F5B"/>
    <w:rsid w:val="00576BEF"/>
    <w:rsid w:val="00577105"/>
    <w:rsid w:val="0057755A"/>
    <w:rsid w:val="005775FD"/>
    <w:rsid w:val="005812AB"/>
    <w:rsid w:val="00581451"/>
    <w:rsid w:val="0058281E"/>
    <w:rsid w:val="0058288F"/>
    <w:rsid w:val="00583E8E"/>
    <w:rsid w:val="00584275"/>
    <w:rsid w:val="005843B7"/>
    <w:rsid w:val="00585F96"/>
    <w:rsid w:val="00586555"/>
    <w:rsid w:val="005878B9"/>
    <w:rsid w:val="0059041D"/>
    <w:rsid w:val="00590D69"/>
    <w:rsid w:val="0059103F"/>
    <w:rsid w:val="00591472"/>
    <w:rsid w:val="00593F07"/>
    <w:rsid w:val="00594751"/>
    <w:rsid w:val="00594841"/>
    <w:rsid w:val="00595AAE"/>
    <w:rsid w:val="00596222"/>
    <w:rsid w:val="005A1D85"/>
    <w:rsid w:val="005A32FD"/>
    <w:rsid w:val="005A33A3"/>
    <w:rsid w:val="005A3500"/>
    <w:rsid w:val="005A3D8D"/>
    <w:rsid w:val="005A4303"/>
    <w:rsid w:val="005A486A"/>
    <w:rsid w:val="005A4E6B"/>
    <w:rsid w:val="005A4F6A"/>
    <w:rsid w:val="005A5949"/>
    <w:rsid w:val="005A5D07"/>
    <w:rsid w:val="005A5ED8"/>
    <w:rsid w:val="005A659A"/>
    <w:rsid w:val="005A69D9"/>
    <w:rsid w:val="005A6AC1"/>
    <w:rsid w:val="005B0196"/>
    <w:rsid w:val="005B1165"/>
    <w:rsid w:val="005B16DB"/>
    <w:rsid w:val="005B1C40"/>
    <w:rsid w:val="005B1E71"/>
    <w:rsid w:val="005B20E0"/>
    <w:rsid w:val="005B2585"/>
    <w:rsid w:val="005B2DB9"/>
    <w:rsid w:val="005B376C"/>
    <w:rsid w:val="005B412D"/>
    <w:rsid w:val="005B413D"/>
    <w:rsid w:val="005B527B"/>
    <w:rsid w:val="005B52C9"/>
    <w:rsid w:val="005B55DC"/>
    <w:rsid w:val="005B57B7"/>
    <w:rsid w:val="005B5912"/>
    <w:rsid w:val="005B699E"/>
    <w:rsid w:val="005B6A29"/>
    <w:rsid w:val="005B6CDE"/>
    <w:rsid w:val="005B78AA"/>
    <w:rsid w:val="005C0A86"/>
    <w:rsid w:val="005C0BDF"/>
    <w:rsid w:val="005C131F"/>
    <w:rsid w:val="005C2295"/>
    <w:rsid w:val="005C2C8B"/>
    <w:rsid w:val="005C2D99"/>
    <w:rsid w:val="005C3F98"/>
    <w:rsid w:val="005C4AA6"/>
    <w:rsid w:val="005C6D9F"/>
    <w:rsid w:val="005C7C32"/>
    <w:rsid w:val="005C7DAA"/>
    <w:rsid w:val="005D0375"/>
    <w:rsid w:val="005D12BD"/>
    <w:rsid w:val="005D1D89"/>
    <w:rsid w:val="005D1ECB"/>
    <w:rsid w:val="005D3D10"/>
    <w:rsid w:val="005D44D0"/>
    <w:rsid w:val="005D44FB"/>
    <w:rsid w:val="005D4D86"/>
    <w:rsid w:val="005D4F6B"/>
    <w:rsid w:val="005D5BCA"/>
    <w:rsid w:val="005D689D"/>
    <w:rsid w:val="005E02A8"/>
    <w:rsid w:val="005E04CB"/>
    <w:rsid w:val="005E07B1"/>
    <w:rsid w:val="005E08C8"/>
    <w:rsid w:val="005E192D"/>
    <w:rsid w:val="005E2689"/>
    <w:rsid w:val="005E2D0C"/>
    <w:rsid w:val="005E352B"/>
    <w:rsid w:val="005E380E"/>
    <w:rsid w:val="005E4870"/>
    <w:rsid w:val="005E490F"/>
    <w:rsid w:val="005E6E48"/>
    <w:rsid w:val="005E6F74"/>
    <w:rsid w:val="005F0A5B"/>
    <w:rsid w:val="005F0D5D"/>
    <w:rsid w:val="005F11AB"/>
    <w:rsid w:val="005F137A"/>
    <w:rsid w:val="005F15F6"/>
    <w:rsid w:val="005F32A2"/>
    <w:rsid w:val="005F3F0C"/>
    <w:rsid w:val="005F445F"/>
    <w:rsid w:val="005F44AE"/>
    <w:rsid w:val="005F5A39"/>
    <w:rsid w:val="005F6FC0"/>
    <w:rsid w:val="005F7082"/>
    <w:rsid w:val="005F70E3"/>
    <w:rsid w:val="005F778B"/>
    <w:rsid w:val="00600B0A"/>
    <w:rsid w:val="00600C4E"/>
    <w:rsid w:val="006011F7"/>
    <w:rsid w:val="00601661"/>
    <w:rsid w:val="00602A19"/>
    <w:rsid w:val="00603007"/>
    <w:rsid w:val="0060322E"/>
    <w:rsid w:val="00603A0A"/>
    <w:rsid w:val="00603B35"/>
    <w:rsid w:val="00604B90"/>
    <w:rsid w:val="006056DC"/>
    <w:rsid w:val="00606C62"/>
    <w:rsid w:val="00606DD4"/>
    <w:rsid w:val="00611C6B"/>
    <w:rsid w:val="00612016"/>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393"/>
    <w:rsid w:val="006174AC"/>
    <w:rsid w:val="00617810"/>
    <w:rsid w:val="006201EB"/>
    <w:rsid w:val="006201FD"/>
    <w:rsid w:val="00620BC4"/>
    <w:rsid w:val="00621803"/>
    <w:rsid w:val="006225D4"/>
    <w:rsid w:val="00622F34"/>
    <w:rsid w:val="00623974"/>
    <w:rsid w:val="006243CA"/>
    <w:rsid w:val="00624549"/>
    <w:rsid w:val="00625859"/>
    <w:rsid w:val="0062607D"/>
    <w:rsid w:val="00626111"/>
    <w:rsid w:val="0062619F"/>
    <w:rsid w:val="00626420"/>
    <w:rsid w:val="006272A6"/>
    <w:rsid w:val="006278F6"/>
    <w:rsid w:val="006302C0"/>
    <w:rsid w:val="0063079F"/>
    <w:rsid w:val="00632663"/>
    <w:rsid w:val="00632AC5"/>
    <w:rsid w:val="00634325"/>
    <w:rsid w:val="006350B9"/>
    <w:rsid w:val="00635408"/>
    <w:rsid w:val="00635B97"/>
    <w:rsid w:val="00636258"/>
    <w:rsid w:val="0063684F"/>
    <w:rsid w:val="00636BB7"/>
    <w:rsid w:val="006379C7"/>
    <w:rsid w:val="0064072C"/>
    <w:rsid w:val="006409DC"/>
    <w:rsid w:val="00642B6A"/>
    <w:rsid w:val="00643734"/>
    <w:rsid w:val="006437E7"/>
    <w:rsid w:val="006437EC"/>
    <w:rsid w:val="00644391"/>
    <w:rsid w:val="0064465A"/>
    <w:rsid w:val="00644CFB"/>
    <w:rsid w:val="00644E64"/>
    <w:rsid w:val="0064511D"/>
    <w:rsid w:val="006453A0"/>
    <w:rsid w:val="00645532"/>
    <w:rsid w:val="00645CAF"/>
    <w:rsid w:val="00646A56"/>
    <w:rsid w:val="00646B84"/>
    <w:rsid w:val="00647518"/>
    <w:rsid w:val="00647F50"/>
    <w:rsid w:val="006510EA"/>
    <w:rsid w:val="0065259A"/>
    <w:rsid w:val="0065297C"/>
    <w:rsid w:val="00652AC7"/>
    <w:rsid w:val="00652D48"/>
    <w:rsid w:val="00653292"/>
    <w:rsid w:val="00653B9F"/>
    <w:rsid w:val="0065480C"/>
    <w:rsid w:val="00654C02"/>
    <w:rsid w:val="00654E38"/>
    <w:rsid w:val="00655A7B"/>
    <w:rsid w:val="00655B32"/>
    <w:rsid w:val="0065693F"/>
    <w:rsid w:val="00657E4C"/>
    <w:rsid w:val="00660459"/>
    <w:rsid w:val="0066240C"/>
    <w:rsid w:val="00662B17"/>
    <w:rsid w:val="006635B3"/>
    <w:rsid w:val="0066468B"/>
    <w:rsid w:val="00664FF7"/>
    <w:rsid w:val="00665CAD"/>
    <w:rsid w:val="00666A0C"/>
    <w:rsid w:val="00666D1F"/>
    <w:rsid w:val="00673703"/>
    <w:rsid w:val="00673D00"/>
    <w:rsid w:val="0067533F"/>
    <w:rsid w:val="00675363"/>
    <w:rsid w:val="006762C6"/>
    <w:rsid w:val="00676B91"/>
    <w:rsid w:val="00677432"/>
    <w:rsid w:val="00677A92"/>
    <w:rsid w:val="00677D95"/>
    <w:rsid w:val="00681FA4"/>
    <w:rsid w:val="0068236E"/>
    <w:rsid w:val="0068254C"/>
    <w:rsid w:val="006825DC"/>
    <w:rsid w:val="006829E9"/>
    <w:rsid w:val="00683827"/>
    <w:rsid w:val="006848ED"/>
    <w:rsid w:val="00687E9A"/>
    <w:rsid w:val="006903F5"/>
    <w:rsid w:val="00690A17"/>
    <w:rsid w:val="00690E83"/>
    <w:rsid w:val="00690E99"/>
    <w:rsid w:val="00692E50"/>
    <w:rsid w:val="0069440C"/>
    <w:rsid w:val="00694BF1"/>
    <w:rsid w:val="00694F2E"/>
    <w:rsid w:val="0069609A"/>
    <w:rsid w:val="0069614B"/>
    <w:rsid w:val="0069654D"/>
    <w:rsid w:val="00696913"/>
    <w:rsid w:val="00696963"/>
    <w:rsid w:val="006975D3"/>
    <w:rsid w:val="00697DB8"/>
    <w:rsid w:val="006A0705"/>
    <w:rsid w:val="006A07EA"/>
    <w:rsid w:val="006A1D2B"/>
    <w:rsid w:val="006A2951"/>
    <w:rsid w:val="006A3476"/>
    <w:rsid w:val="006A51B7"/>
    <w:rsid w:val="006A5ADF"/>
    <w:rsid w:val="006A5B0B"/>
    <w:rsid w:val="006A620A"/>
    <w:rsid w:val="006A62CC"/>
    <w:rsid w:val="006A661B"/>
    <w:rsid w:val="006A6C14"/>
    <w:rsid w:val="006A79E4"/>
    <w:rsid w:val="006A7D57"/>
    <w:rsid w:val="006B05C9"/>
    <w:rsid w:val="006B11CF"/>
    <w:rsid w:val="006B14A8"/>
    <w:rsid w:val="006B371E"/>
    <w:rsid w:val="006B3E27"/>
    <w:rsid w:val="006B3E48"/>
    <w:rsid w:val="006B409E"/>
    <w:rsid w:val="006B448A"/>
    <w:rsid w:val="006B54B3"/>
    <w:rsid w:val="006B55EC"/>
    <w:rsid w:val="006B633B"/>
    <w:rsid w:val="006B6C08"/>
    <w:rsid w:val="006B6E23"/>
    <w:rsid w:val="006B7635"/>
    <w:rsid w:val="006B7A6F"/>
    <w:rsid w:val="006B7FF0"/>
    <w:rsid w:val="006C0297"/>
    <w:rsid w:val="006C0608"/>
    <w:rsid w:val="006C08B5"/>
    <w:rsid w:val="006C0C3F"/>
    <w:rsid w:val="006C1344"/>
    <w:rsid w:val="006C1D50"/>
    <w:rsid w:val="006C1E95"/>
    <w:rsid w:val="006C2379"/>
    <w:rsid w:val="006C3137"/>
    <w:rsid w:val="006C32E4"/>
    <w:rsid w:val="006C3BAA"/>
    <w:rsid w:val="006C3E79"/>
    <w:rsid w:val="006C400A"/>
    <w:rsid w:val="006C4C0A"/>
    <w:rsid w:val="006C525E"/>
    <w:rsid w:val="006C52BD"/>
    <w:rsid w:val="006C5B67"/>
    <w:rsid w:val="006C5CCA"/>
    <w:rsid w:val="006C65F6"/>
    <w:rsid w:val="006C67B4"/>
    <w:rsid w:val="006C74DC"/>
    <w:rsid w:val="006C7912"/>
    <w:rsid w:val="006C7E80"/>
    <w:rsid w:val="006D06C8"/>
    <w:rsid w:val="006D07DB"/>
    <w:rsid w:val="006D07E7"/>
    <w:rsid w:val="006D0932"/>
    <w:rsid w:val="006D0AC6"/>
    <w:rsid w:val="006D1607"/>
    <w:rsid w:val="006D2119"/>
    <w:rsid w:val="006D283C"/>
    <w:rsid w:val="006D2E69"/>
    <w:rsid w:val="006D37D9"/>
    <w:rsid w:val="006D3DBA"/>
    <w:rsid w:val="006D3E4B"/>
    <w:rsid w:val="006D4089"/>
    <w:rsid w:val="006D420D"/>
    <w:rsid w:val="006D4568"/>
    <w:rsid w:val="006D4F85"/>
    <w:rsid w:val="006D5F06"/>
    <w:rsid w:val="006D66EA"/>
    <w:rsid w:val="006D6C0F"/>
    <w:rsid w:val="006D7476"/>
    <w:rsid w:val="006D76D3"/>
    <w:rsid w:val="006D772B"/>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794"/>
    <w:rsid w:val="006F19D7"/>
    <w:rsid w:val="006F42C5"/>
    <w:rsid w:val="006F4AB7"/>
    <w:rsid w:val="006F56C9"/>
    <w:rsid w:val="006F58A2"/>
    <w:rsid w:val="006F60E8"/>
    <w:rsid w:val="006F6370"/>
    <w:rsid w:val="006F67A6"/>
    <w:rsid w:val="006F7949"/>
    <w:rsid w:val="00701423"/>
    <w:rsid w:val="007014D6"/>
    <w:rsid w:val="00701632"/>
    <w:rsid w:val="00701889"/>
    <w:rsid w:val="00701E1F"/>
    <w:rsid w:val="00702114"/>
    <w:rsid w:val="00702242"/>
    <w:rsid w:val="00702543"/>
    <w:rsid w:val="007037FE"/>
    <w:rsid w:val="007040AC"/>
    <w:rsid w:val="0070488C"/>
    <w:rsid w:val="00704D22"/>
    <w:rsid w:val="007056D8"/>
    <w:rsid w:val="00705B46"/>
    <w:rsid w:val="00705C94"/>
    <w:rsid w:val="00706140"/>
    <w:rsid w:val="00707087"/>
    <w:rsid w:val="007073F8"/>
    <w:rsid w:val="00707995"/>
    <w:rsid w:val="00707DB5"/>
    <w:rsid w:val="007102E2"/>
    <w:rsid w:val="00710BBC"/>
    <w:rsid w:val="0071125E"/>
    <w:rsid w:val="00713272"/>
    <w:rsid w:val="007137C8"/>
    <w:rsid w:val="00713B23"/>
    <w:rsid w:val="00713BD4"/>
    <w:rsid w:val="00714501"/>
    <w:rsid w:val="007151C4"/>
    <w:rsid w:val="00715447"/>
    <w:rsid w:val="00715834"/>
    <w:rsid w:val="00716002"/>
    <w:rsid w:val="0071660D"/>
    <w:rsid w:val="007169AA"/>
    <w:rsid w:val="00716A50"/>
    <w:rsid w:val="00717D57"/>
    <w:rsid w:val="00720ADD"/>
    <w:rsid w:val="00721116"/>
    <w:rsid w:val="0072121E"/>
    <w:rsid w:val="0072136B"/>
    <w:rsid w:val="007220C0"/>
    <w:rsid w:val="00722666"/>
    <w:rsid w:val="007237D8"/>
    <w:rsid w:val="0072431A"/>
    <w:rsid w:val="00726980"/>
    <w:rsid w:val="0072758D"/>
    <w:rsid w:val="007277E3"/>
    <w:rsid w:val="00730D43"/>
    <w:rsid w:val="007319C3"/>
    <w:rsid w:val="00732DA4"/>
    <w:rsid w:val="00733185"/>
    <w:rsid w:val="00734157"/>
    <w:rsid w:val="00734401"/>
    <w:rsid w:val="00734865"/>
    <w:rsid w:val="00735525"/>
    <w:rsid w:val="007358AF"/>
    <w:rsid w:val="00735C5A"/>
    <w:rsid w:val="0073666E"/>
    <w:rsid w:val="0073723E"/>
    <w:rsid w:val="00737D83"/>
    <w:rsid w:val="00740030"/>
    <w:rsid w:val="0074035A"/>
    <w:rsid w:val="00741308"/>
    <w:rsid w:val="00742FA2"/>
    <w:rsid w:val="007433CC"/>
    <w:rsid w:val="00743C63"/>
    <w:rsid w:val="00744098"/>
    <w:rsid w:val="007443F6"/>
    <w:rsid w:val="00744F0D"/>
    <w:rsid w:val="00745768"/>
    <w:rsid w:val="00745C98"/>
    <w:rsid w:val="0074679E"/>
    <w:rsid w:val="007503A3"/>
    <w:rsid w:val="00751C88"/>
    <w:rsid w:val="00751E3C"/>
    <w:rsid w:val="007522A3"/>
    <w:rsid w:val="00752481"/>
    <w:rsid w:val="0075271B"/>
    <w:rsid w:val="00752873"/>
    <w:rsid w:val="00752FF9"/>
    <w:rsid w:val="0075325C"/>
    <w:rsid w:val="0075329F"/>
    <w:rsid w:val="007533AD"/>
    <w:rsid w:val="00753438"/>
    <w:rsid w:val="007545DE"/>
    <w:rsid w:val="007552B3"/>
    <w:rsid w:val="00755863"/>
    <w:rsid w:val="00756F9A"/>
    <w:rsid w:val="00757FCD"/>
    <w:rsid w:val="0076049F"/>
    <w:rsid w:val="00760643"/>
    <w:rsid w:val="0076080D"/>
    <w:rsid w:val="0076095F"/>
    <w:rsid w:val="007613CF"/>
    <w:rsid w:val="007617EB"/>
    <w:rsid w:val="00762563"/>
    <w:rsid w:val="00762B49"/>
    <w:rsid w:val="00762BDD"/>
    <w:rsid w:val="007631D4"/>
    <w:rsid w:val="00763D00"/>
    <w:rsid w:val="00763E1F"/>
    <w:rsid w:val="00763EF5"/>
    <w:rsid w:val="00763F63"/>
    <w:rsid w:val="0076445E"/>
    <w:rsid w:val="00764957"/>
    <w:rsid w:val="007650E4"/>
    <w:rsid w:val="0076510E"/>
    <w:rsid w:val="00767692"/>
    <w:rsid w:val="00770011"/>
    <w:rsid w:val="00770D88"/>
    <w:rsid w:val="00771163"/>
    <w:rsid w:val="00771382"/>
    <w:rsid w:val="00771DED"/>
    <w:rsid w:val="00772095"/>
    <w:rsid w:val="00772615"/>
    <w:rsid w:val="00772C04"/>
    <w:rsid w:val="00773303"/>
    <w:rsid w:val="00773941"/>
    <w:rsid w:val="00773F00"/>
    <w:rsid w:val="00774613"/>
    <w:rsid w:val="007754AE"/>
    <w:rsid w:val="007765D8"/>
    <w:rsid w:val="00776F85"/>
    <w:rsid w:val="00777B30"/>
    <w:rsid w:val="0078013D"/>
    <w:rsid w:val="0078019A"/>
    <w:rsid w:val="00780F93"/>
    <w:rsid w:val="00781041"/>
    <w:rsid w:val="00781091"/>
    <w:rsid w:val="0078122A"/>
    <w:rsid w:val="007818EE"/>
    <w:rsid w:val="00782F2A"/>
    <w:rsid w:val="00782F2F"/>
    <w:rsid w:val="007850B2"/>
    <w:rsid w:val="00785920"/>
    <w:rsid w:val="00785A50"/>
    <w:rsid w:val="00786275"/>
    <w:rsid w:val="00786F58"/>
    <w:rsid w:val="0079015D"/>
    <w:rsid w:val="007906AA"/>
    <w:rsid w:val="007909EE"/>
    <w:rsid w:val="00790FC5"/>
    <w:rsid w:val="007911A4"/>
    <w:rsid w:val="007920D3"/>
    <w:rsid w:val="007929DC"/>
    <w:rsid w:val="007940B3"/>
    <w:rsid w:val="00794BBA"/>
    <w:rsid w:val="00794CC2"/>
    <w:rsid w:val="007951BF"/>
    <w:rsid w:val="0079646F"/>
    <w:rsid w:val="007965AD"/>
    <w:rsid w:val="007A014D"/>
    <w:rsid w:val="007A1ECE"/>
    <w:rsid w:val="007A1F80"/>
    <w:rsid w:val="007A2891"/>
    <w:rsid w:val="007A3964"/>
    <w:rsid w:val="007A3CD4"/>
    <w:rsid w:val="007A55A8"/>
    <w:rsid w:val="007A65FA"/>
    <w:rsid w:val="007A689E"/>
    <w:rsid w:val="007A7B28"/>
    <w:rsid w:val="007B02C5"/>
    <w:rsid w:val="007B0FDA"/>
    <w:rsid w:val="007B2D43"/>
    <w:rsid w:val="007B38F5"/>
    <w:rsid w:val="007B40E7"/>
    <w:rsid w:val="007B4E80"/>
    <w:rsid w:val="007B50BF"/>
    <w:rsid w:val="007B58B1"/>
    <w:rsid w:val="007B59ED"/>
    <w:rsid w:val="007B5BB2"/>
    <w:rsid w:val="007B6643"/>
    <w:rsid w:val="007B6C1D"/>
    <w:rsid w:val="007B75B7"/>
    <w:rsid w:val="007B7F2D"/>
    <w:rsid w:val="007C01FC"/>
    <w:rsid w:val="007C02D9"/>
    <w:rsid w:val="007C0605"/>
    <w:rsid w:val="007C196E"/>
    <w:rsid w:val="007C1A13"/>
    <w:rsid w:val="007C21A0"/>
    <w:rsid w:val="007C2CE8"/>
    <w:rsid w:val="007C2F23"/>
    <w:rsid w:val="007C34D4"/>
    <w:rsid w:val="007C39F2"/>
    <w:rsid w:val="007C3A70"/>
    <w:rsid w:val="007C4370"/>
    <w:rsid w:val="007C5B4E"/>
    <w:rsid w:val="007C5CE6"/>
    <w:rsid w:val="007C5DC8"/>
    <w:rsid w:val="007C5E58"/>
    <w:rsid w:val="007C6854"/>
    <w:rsid w:val="007C72B0"/>
    <w:rsid w:val="007D0316"/>
    <w:rsid w:val="007D0F5B"/>
    <w:rsid w:val="007D1F48"/>
    <w:rsid w:val="007D243A"/>
    <w:rsid w:val="007D3ACF"/>
    <w:rsid w:val="007D3E38"/>
    <w:rsid w:val="007D5CC3"/>
    <w:rsid w:val="007D5FE2"/>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101"/>
    <w:rsid w:val="007E5C89"/>
    <w:rsid w:val="007E60F1"/>
    <w:rsid w:val="007E6C31"/>
    <w:rsid w:val="007E71AC"/>
    <w:rsid w:val="007E7E37"/>
    <w:rsid w:val="007F00FA"/>
    <w:rsid w:val="007F0BB0"/>
    <w:rsid w:val="007F0D19"/>
    <w:rsid w:val="007F1A45"/>
    <w:rsid w:val="007F1CA7"/>
    <w:rsid w:val="007F2A01"/>
    <w:rsid w:val="007F3628"/>
    <w:rsid w:val="007F37D9"/>
    <w:rsid w:val="007F4619"/>
    <w:rsid w:val="007F499D"/>
    <w:rsid w:val="007F5CCA"/>
    <w:rsid w:val="007F60B8"/>
    <w:rsid w:val="007F7592"/>
    <w:rsid w:val="007F7E8B"/>
    <w:rsid w:val="00800525"/>
    <w:rsid w:val="00800C33"/>
    <w:rsid w:val="00800F34"/>
    <w:rsid w:val="0080214C"/>
    <w:rsid w:val="008027CE"/>
    <w:rsid w:val="00803114"/>
    <w:rsid w:val="008038F5"/>
    <w:rsid w:val="00803A24"/>
    <w:rsid w:val="00803C5E"/>
    <w:rsid w:val="00804017"/>
    <w:rsid w:val="008045FB"/>
    <w:rsid w:val="00804C5B"/>
    <w:rsid w:val="00804E77"/>
    <w:rsid w:val="0080535F"/>
    <w:rsid w:val="008061A4"/>
    <w:rsid w:val="008064BE"/>
    <w:rsid w:val="00810E43"/>
    <w:rsid w:val="00811359"/>
    <w:rsid w:val="008119F1"/>
    <w:rsid w:val="00811EA1"/>
    <w:rsid w:val="00812B00"/>
    <w:rsid w:val="00812C54"/>
    <w:rsid w:val="00812ED0"/>
    <w:rsid w:val="00812FB2"/>
    <w:rsid w:val="008142B9"/>
    <w:rsid w:val="008142EA"/>
    <w:rsid w:val="00814625"/>
    <w:rsid w:val="0081504C"/>
    <w:rsid w:val="008159FC"/>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A4"/>
    <w:rsid w:val="00825FE0"/>
    <w:rsid w:val="00827368"/>
    <w:rsid w:val="00830B4C"/>
    <w:rsid w:val="00830F60"/>
    <w:rsid w:val="0083174C"/>
    <w:rsid w:val="0083281A"/>
    <w:rsid w:val="00833285"/>
    <w:rsid w:val="008338AF"/>
    <w:rsid w:val="00833C0B"/>
    <w:rsid w:val="00833DD8"/>
    <w:rsid w:val="0083553E"/>
    <w:rsid w:val="008357F0"/>
    <w:rsid w:val="008362A6"/>
    <w:rsid w:val="008363C8"/>
    <w:rsid w:val="00836F39"/>
    <w:rsid w:val="00840BE7"/>
    <w:rsid w:val="00841484"/>
    <w:rsid w:val="0084264E"/>
    <w:rsid w:val="00842AAE"/>
    <w:rsid w:val="00843A42"/>
    <w:rsid w:val="00843B31"/>
    <w:rsid w:val="00844108"/>
    <w:rsid w:val="0084446F"/>
    <w:rsid w:val="008445F5"/>
    <w:rsid w:val="00844F2D"/>
    <w:rsid w:val="00845547"/>
    <w:rsid w:val="0084601C"/>
    <w:rsid w:val="00847780"/>
    <w:rsid w:val="00851D1F"/>
    <w:rsid w:val="0085270A"/>
    <w:rsid w:val="00854FCB"/>
    <w:rsid w:val="00855386"/>
    <w:rsid w:val="00856A9E"/>
    <w:rsid w:val="00856D5E"/>
    <w:rsid w:val="00856DAB"/>
    <w:rsid w:val="00857976"/>
    <w:rsid w:val="00862109"/>
    <w:rsid w:val="00862519"/>
    <w:rsid w:val="00862F60"/>
    <w:rsid w:val="008638BB"/>
    <w:rsid w:val="00863980"/>
    <w:rsid w:val="00864E48"/>
    <w:rsid w:val="008651CC"/>
    <w:rsid w:val="008656BE"/>
    <w:rsid w:val="00865B22"/>
    <w:rsid w:val="00866A23"/>
    <w:rsid w:val="0086727D"/>
    <w:rsid w:val="00867CF3"/>
    <w:rsid w:val="00870024"/>
    <w:rsid w:val="0087115F"/>
    <w:rsid w:val="00871248"/>
    <w:rsid w:val="008728BB"/>
    <w:rsid w:val="00872D6B"/>
    <w:rsid w:val="00872DA0"/>
    <w:rsid w:val="00873332"/>
    <w:rsid w:val="00874B70"/>
    <w:rsid w:val="008750D3"/>
    <w:rsid w:val="00875FDB"/>
    <w:rsid w:val="00876471"/>
    <w:rsid w:val="00876DD7"/>
    <w:rsid w:val="008777EB"/>
    <w:rsid w:val="00877A07"/>
    <w:rsid w:val="008821AD"/>
    <w:rsid w:val="00884004"/>
    <w:rsid w:val="008842FC"/>
    <w:rsid w:val="0088586C"/>
    <w:rsid w:val="00885A5C"/>
    <w:rsid w:val="00886B20"/>
    <w:rsid w:val="00886F76"/>
    <w:rsid w:val="008870EB"/>
    <w:rsid w:val="00890FB1"/>
    <w:rsid w:val="008910DB"/>
    <w:rsid w:val="008912BF"/>
    <w:rsid w:val="00891699"/>
    <w:rsid w:val="008918E8"/>
    <w:rsid w:val="00891EA3"/>
    <w:rsid w:val="008926CC"/>
    <w:rsid w:val="00892BE1"/>
    <w:rsid w:val="00893049"/>
    <w:rsid w:val="00893168"/>
    <w:rsid w:val="008959C6"/>
    <w:rsid w:val="00895B8D"/>
    <w:rsid w:val="008960A8"/>
    <w:rsid w:val="00896CAB"/>
    <w:rsid w:val="00896CEF"/>
    <w:rsid w:val="00896D9E"/>
    <w:rsid w:val="0089766E"/>
    <w:rsid w:val="00897F04"/>
    <w:rsid w:val="008A0762"/>
    <w:rsid w:val="008A19A5"/>
    <w:rsid w:val="008A32BD"/>
    <w:rsid w:val="008A3F8C"/>
    <w:rsid w:val="008A4065"/>
    <w:rsid w:val="008A49ED"/>
    <w:rsid w:val="008A4B81"/>
    <w:rsid w:val="008A5A95"/>
    <w:rsid w:val="008A5CAB"/>
    <w:rsid w:val="008A5F93"/>
    <w:rsid w:val="008A73DF"/>
    <w:rsid w:val="008B0013"/>
    <w:rsid w:val="008B07DA"/>
    <w:rsid w:val="008B0B4A"/>
    <w:rsid w:val="008B0D20"/>
    <w:rsid w:val="008B0D97"/>
    <w:rsid w:val="008B194A"/>
    <w:rsid w:val="008B1AA3"/>
    <w:rsid w:val="008B234F"/>
    <w:rsid w:val="008B2EAF"/>
    <w:rsid w:val="008B30AA"/>
    <w:rsid w:val="008B368E"/>
    <w:rsid w:val="008B3DF3"/>
    <w:rsid w:val="008B483D"/>
    <w:rsid w:val="008B5955"/>
    <w:rsid w:val="008B5C0F"/>
    <w:rsid w:val="008B6D68"/>
    <w:rsid w:val="008B725B"/>
    <w:rsid w:val="008B757A"/>
    <w:rsid w:val="008B772F"/>
    <w:rsid w:val="008B7969"/>
    <w:rsid w:val="008B7F1A"/>
    <w:rsid w:val="008C16F9"/>
    <w:rsid w:val="008C304F"/>
    <w:rsid w:val="008C3074"/>
    <w:rsid w:val="008C3899"/>
    <w:rsid w:val="008C3BEE"/>
    <w:rsid w:val="008C68C4"/>
    <w:rsid w:val="008C74CE"/>
    <w:rsid w:val="008D0010"/>
    <w:rsid w:val="008D0049"/>
    <w:rsid w:val="008D1231"/>
    <w:rsid w:val="008D2338"/>
    <w:rsid w:val="008D24C1"/>
    <w:rsid w:val="008D24E7"/>
    <w:rsid w:val="008D2C10"/>
    <w:rsid w:val="008D2DEF"/>
    <w:rsid w:val="008D3B67"/>
    <w:rsid w:val="008D4069"/>
    <w:rsid w:val="008D469C"/>
    <w:rsid w:val="008D4DED"/>
    <w:rsid w:val="008D5834"/>
    <w:rsid w:val="008D5E87"/>
    <w:rsid w:val="008D7460"/>
    <w:rsid w:val="008E0664"/>
    <w:rsid w:val="008E07AA"/>
    <w:rsid w:val="008E0C98"/>
    <w:rsid w:val="008E0CEC"/>
    <w:rsid w:val="008E1216"/>
    <w:rsid w:val="008E1986"/>
    <w:rsid w:val="008E26B2"/>
    <w:rsid w:val="008E27AD"/>
    <w:rsid w:val="008E35F0"/>
    <w:rsid w:val="008E3EBB"/>
    <w:rsid w:val="008E44B7"/>
    <w:rsid w:val="008E49F1"/>
    <w:rsid w:val="008E4ADD"/>
    <w:rsid w:val="008E54FF"/>
    <w:rsid w:val="008E61BD"/>
    <w:rsid w:val="008E62A4"/>
    <w:rsid w:val="008E62F6"/>
    <w:rsid w:val="008E6BE8"/>
    <w:rsid w:val="008E6F91"/>
    <w:rsid w:val="008E718A"/>
    <w:rsid w:val="008E7F39"/>
    <w:rsid w:val="008F0155"/>
    <w:rsid w:val="008F1679"/>
    <w:rsid w:val="008F19A2"/>
    <w:rsid w:val="008F2248"/>
    <w:rsid w:val="008F301A"/>
    <w:rsid w:val="008F3BDF"/>
    <w:rsid w:val="008F487F"/>
    <w:rsid w:val="008F4D6E"/>
    <w:rsid w:val="008F572D"/>
    <w:rsid w:val="008F6B7A"/>
    <w:rsid w:val="008F6D27"/>
    <w:rsid w:val="008F7CAD"/>
    <w:rsid w:val="00900758"/>
    <w:rsid w:val="009008EF"/>
    <w:rsid w:val="009009A9"/>
    <w:rsid w:val="0090244B"/>
    <w:rsid w:val="00902884"/>
    <w:rsid w:val="009032E4"/>
    <w:rsid w:val="009033EB"/>
    <w:rsid w:val="00903D22"/>
    <w:rsid w:val="00903ED9"/>
    <w:rsid w:val="009051E0"/>
    <w:rsid w:val="00905B11"/>
    <w:rsid w:val="00906649"/>
    <w:rsid w:val="00906D64"/>
    <w:rsid w:val="009071D0"/>
    <w:rsid w:val="00907883"/>
    <w:rsid w:val="00910908"/>
    <w:rsid w:val="00912559"/>
    <w:rsid w:val="00912ED8"/>
    <w:rsid w:val="00912F9A"/>
    <w:rsid w:val="009147E0"/>
    <w:rsid w:val="00917287"/>
    <w:rsid w:val="009175B9"/>
    <w:rsid w:val="009205B0"/>
    <w:rsid w:val="0092134B"/>
    <w:rsid w:val="009221AC"/>
    <w:rsid w:val="009225B3"/>
    <w:rsid w:val="00922A15"/>
    <w:rsid w:val="0092456D"/>
    <w:rsid w:val="00924E40"/>
    <w:rsid w:val="00925590"/>
    <w:rsid w:val="00925A71"/>
    <w:rsid w:val="00925C68"/>
    <w:rsid w:val="0092657F"/>
    <w:rsid w:val="00926967"/>
    <w:rsid w:val="00927518"/>
    <w:rsid w:val="00927AF3"/>
    <w:rsid w:val="00927FC3"/>
    <w:rsid w:val="0093074D"/>
    <w:rsid w:val="009312C7"/>
    <w:rsid w:val="00933397"/>
    <w:rsid w:val="00933706"/>
    <w:rsid w:val="00933B94"/>
    <w:rsid w:val="00934A8F"/>
    <w:rsid w:val="009350BF"/>
    <w:rsid w:val="009359A1"/>
    <w:rsid w:val="00941909"/>
    <w:rsid w:val="00942377"/>
    <w:rsid w:val="009435CD"/>
    <w:rsid w:val="0094379A"/>
    <w:rsid w:val="0094396D"/>
    <w:rsid w:val="0094420F"/>
    <w:rsid w:val="00944551"/>
    <w:rsid w:val="00944846"/>
    <w:rsid w:val="00945A06"/>
    <w:rsid w:val="00945EA1"/>
    <w:rsid w:val="009469B5"/>
    <w:rsid w:val="009473CE"/>
    <w:rsid w:val="00947563"/>
    <w:rsid w:val="00947A5C"/>
    <w:rsid w:val="009508D4"/>
    <w:rsid w:val="00950D10"/>
    <w:rsid w:val="00950F84"/>
    <w:rsid w:val="00952B7A"/>
    <w:rsid w:val="00952E72"/>
    <w:rsid w:val="0095382A"/>
    <w:rsid w:val="009557D5"/>
    <w:rsid w:val="00955978"/>
    <w:rsid w:val="00955E51"/>
    <w:rsid w:val="009566EF"/>
    <w:rsid w:val="00957B1D"/>
    <w:rsid w:val="00960C5C"/>
    <w:rsid w:val="00960EC8"/>
    <w:rsid w:val="00961FA9"/>
    <w:rsid w:val="009623C1"/>
    <w:rsid w:val="00962E16"/>
    <w:rsid w:val="009637F9"/>
    <w:rsid w:val="00963AA1"/>
    <w:rsid w:val="00963E79"/>
    <w:rsid w:val="009646D8"/>
    <w:rsid w:val="00964897"/>
    <w:rsid w:val="009658B2"/>
    <w:rsid w:val="009659E0"/>
    <w:rsid w:val="0096755E"/>
    <w:rsid w:val="00967B54"/>
    <w:rsid w:val="00967D8E"/>
    <w:rsid w:val="0097113C"/>
    <w:rsid w:val="00971C7B"/>
    <w:rsid w:val="00971DA8"/>
    <w:rsid w:val="00972022"/>
    <w:rsid w:val="0097213C"/>
    <w:rsid w:val="00972753"/>
    <w:rsid w:val="00973026"/>
    <w:rsid w:val="00974119"/>
    <w:rsid w:val="009741CB"/>
    <w:rsid w:val="009745C9"/>
    <w:rsid w:val="00974806"/>
    <w:rsid w:val="00974E3E"/>
    <w:rsid w:val="00975262"/>
    <w:rsid w:val="00976A8C"/>
    <w:rsid w:val="00976D44"/>
    <w:rsid w:val="0097721C"/>
    <w:rsid w:val="00977B6B"/>
    <w:rsid w:val="00980647"/>
    <w:rsid w:val="009806EB"/>
    <w:rsid w:val="00981482"/>
    <w:rsid w:val="00981FEA"/>
    <w:rsid w:val="0098208B"/>
    <w:rsid w:val="00982912"/>
    <w:rsid w:val="00982AEF"/>
    <w:rsid w:val="00982BD2"/>
    <w:rsid w:val="00982E37"/>
    <w:rsid w:val="00983352"/>
    <w:rsid w:val="00983AAA"/>
    <w:rsid w:val="00983F4B"/>
    <w:rsid w:val="0098418F"/>
    <w:rsid w:val="00984A6F"/>
    <w:rsid w:val="009875D2"/>
    <w:rsid w:val="00987D40"/>
    <w:rsid w:val="00987F91"/>
    <w:rsid w:val="00990AF7"/>
    <w:rsid w:val="00990DA1"/>
    <w:rsid w:val="00990FFB"/>
    <w:rsid w:val="00991865"/>
    <w:rsid w:val="00991BBA"/>
    <w:rsid w:val="00992EA9"/>
    <w:rsid w:val="00993083"/>
    <w:rsid w:val="00995141"/>
    <w:rsid w:val="00996DF6"/>
    <w:rsid w:val="009979B4"/>
    <w:rsid w:val="009A0846"/>
    <w:rsid w:val="009A1561"/>
    <w:rsid w:val="009A1BFB"/>
    <w:rsid w:val="009A32DF"/>
    <w:rsid w:val="009A42CF"/>
    <w:rsid w:val="009A4792"/>
    <w:rsid w:val="009A4886"/>
    <w:rsid w:val="009A48FD"/>
    <w:rsid w:val="009A4A88"/>
    <w:rsid w:val="009A5A3F"/>
    <w:rsid w:val="009A6389"/>
    <w:rsid w:val="009A6AFB"/>
    <w:rsid w:val="009A6F33"/>
    <w:rsid w:val="009A7EAC"/>
    <w:rsid w:val="009B037C"/>
    <w:rsid w:val="009B07A9"/>
    <w:rsid w:val="009B08D9"/>
    <w:rsid w:val="009B08DD"/>
    <w:rsid w:val="009B1528"/>
    <w:rsid w:val="009B16A0"/>
    <w:rsid w:val="009B179E"/>
    <w:rsid w:val="009B1CF9"/>
    <w:rsid w:val="009B306F"/>
    <w:rsid w:val="009B34C8"/>
    <w:rsid w:val="009B4D01"/>
    <w:rsid w:val="009B5281"/>
    <w:rsid w:val="009B546B"/>
    <w:rsid w:val="009B60C4"/>
    <w:rsid w:val="009B78A1"/>
    <w:rsid w:val="009B7AFD"/>
    <w:rsid w:val="009C08DC"/>
    <w:rsid w:val="009C0B76"/>
    <w:rsid w:val="009C1126"/>
    <w:rsid w:val="009C1522"/>
    <w:rsid w:val="009C1B42"/>
    <w:rsid w:val="009C1F07"/>
    <w:rsid w:val="009C2FF3"/>
    <w:rsid w:val="009C7480"/>
    <w:rsid w:val="009C78F2"/>
    <w:rsid w:val="009C79AD"/>
    <w:rsid w:val="009C7A03"/>
    <w:rsid w:val="009D0335"/>
    <w:rsid w:val="009D2508"/>
    <w:rsid w:val="009D2E0D"/>
    <w:rsid w:val="009D363A"/>
    <w:rsid w:val="009D37D2"/>
    <w:rsid w:val="009D3C29"/>
    <w:rsid w:val="009D3DA2"/>
    <w:rsid w:val="009D41C6"/>
    <w:rsid w:val="009D4E2D"/>
    <w:rsid w:val="009D51E8"/>
    <w:rsid w:val="009D56C6"/>
    <w:rsid w:val="009D5C39"/>
    <w:rsid w:val="009D69E1"/>
    <w:rsid w:val="009D6C16"/>
    <w:rsid w:val="009D7263"/>
    <w:rsid w:val="009D745C"/>
    <w:rsid w:val="009D7C31"/>
    <w:rsid w:val="009D7E53"/>
    <w:rsid w:val="009E0074"/>
    <w:rsid w:val="009E0305"/>
    <w:rsid w:val="009E0395"/>
    <w:rsid w:val="009E1F33"/>
    <w:rsid w:val="009E69EF"/>
    <w:rsid w:val="009E6B90"/>
    <w:rsid w:val="009E762B"/>
    <w:rsid w:val="009F0BFE"/>
    <w:rsid w:val="009F138A"/>
    <w:rsid w:val="009F238C"/>
    <w:rsid w:val="009F24F8"/>
    <w:rsid w:val="009F262A"/>
    <w:rsid w:val="009F2D01"/>
    <w:rsid w:val="009F301C"/>
    <w:rsid w:val="009F39A9"/>
    <w:rsid w:val="009F4299"/>
    <w:rsid w:val="009F438A"/>
    <w:rsid w:val="009F4566"/>
    <w:rsid w:val="009F50E2"/>
    <w:rsid w:val="009F6121"/>
    <w:rsid w:val="009F65CA"/>
    <w:rsid w:val="009F687A"/>
    <w:rsid w:val="009F7160"/>
    <w:rsid w:val="009F7344"/>
    <w:rsid w:val="009F783B"/>
    <w:rsid w:val="00A007F4"/>
    <w:rsid w:val="00A01EB1"/>
    <w:rsid w:val="00A025B8"/>
    <w:rsid w:val="00A02857"/>
    <w:rsid w:val="00A02C66"/>
    <w:rsid w:val="00A02E79"/>
    <w:rsid w:val="00A033BB"/>
    <w:rsid w:val="00A037C6"/>
    <w:rsid w:val="00A03D1A"/>
    <w:rsid w:val="00A03E79"/>
    <w:rsid w:val="00A03E8F"/>
    <w:rsid w:val="00A0447F"/>
    <w:rsid w:val="00A046F1"/>
    <w:rsid w:val="00A04956"/>
    <w:rsid w:val="00A0518A"/>
    <w:rsid w:val="00A0549E"/>
    <w:rsid w:val="00A05B98"/>
    <w:rsid w:val="00A06472"/>
    <w:rsid w:val="00A06780"/>
    <w:rsid w:val="00A06EC5"/>
    <w:rsid w:val="00A076CA"/>
    <w:rsid w:val="00A110D0"/>
    <w:rsid w:val="00A115D7"/>
    <w:rsid w:val="00A119CF"/>
    <w:rsid w:val="00A13DFB"/>
    <w:rsid w:val="00A13FE8"/>
    <w:rsid w:val="00A145B9"/>
    <w:rsid w:val="00A14634"/>
    <w:rsid w:val="00A15343"/>
    <w:rsid w:val="00A15B83"/>
    <w:rsid w:val="00A1623B"/>
    <w:rsid w:val="00A16845"/>
    <w:rsid w:val="00A16A32"/>
    <w:rsid w:val="00A173FC"/>
    <w:rsid w:val="00A1749E"/>
    <w:rsid w:val="00A17F10"/>
    <w:rsid w:val="00A207E2"/>
    <w:rsid w:val="00A20856"/>
    <w:rsid w:val="00A20CD2"/>
    <w:rsid w:val="00A21616"/>
    <w:rsid w:val="00A21C40"/>
    <w:rsid w:val="00A21DA5"/>
    <w:rsid w:val="00A22558"/>
    <w:rsid w:val="00A22E58"/>
    <w:rsid w:val="00A2426D"/>
    <w:rsid w:val="00A24FB8"/>
    <w:rsid w:val="00A25496"/>
    <w:rsid w:val="00A26CC9"/>
    <w:rsid w:val="00A30051"/>
    <w:rsid w:val="00A32998"/>
    <w:rsid w:val="00A32BC1"/>
    <w:rsid w:val="00A32CC3"/>
    <w:rsid w:val="00A32E65"/>
    <w:rsid w:val="00A33502"/>
    <w:rsid w:val="00A337A9"/>
    <w:rsid w:val="00A33B53"/>
    <w:rsid w:val="00A341FD"/>
    <w:rsid w:val="00A35947"/>
    <w:rsid w:val="00A3638C"/>
    <w:rsid w:val="00A36A38"/>
    <w:rsid w:val="00A37299"/>
    <w:rsid w:val="00A37B47"/>
    <w:rsid w:val="00A4180C"/>
    <w:rsid w:val="00A43546"/>
    <w:rsid w:val="00A43D7D"/>
    <w:rsid w:val="00A43F39"/>
    <w:rsid w:val="00A44477"/>
    <w:rsid w:val="00A448E4"/>
    <w:rsid w:val="00A451A2"/>
    <w:rsid w:val="00A4563A"/>
    <w:rsid w:val="00A45F56"/>
    <w:rsid w:val="00A4777D"/>
    <w:rsid w:val="00A47A26"/>
    <w:rsid w:val="00A50383"/>
    <w:rsid w:val="00A5058B"/>
    <w:rsid w:val="00A51D06"/>
    <w:rsid w:val="00A52252"/>
    <w:rsid w:val="00A54B30"/>
    <w:rsid w:val="00A54C58"/>
    <w:rsid w:val="00A5547E"/>
    <w:rsid w:val="00A5636A"/>
    <w:rsid w:val="00A56A25"/>
    <w:rsid w:val="00A570FA"/>
    <w:rsid w:val="00A57955"/>
    <w:rsid w:val="00A60E51"/>
    <w:rsid w:val="00A61B38"/>
    <w:rsid w:val="00A61DF7"/>
    <w:rsid w:val="00A62CE3"/>
    <w:rsid w:val="00A62D09"/>
    <w:rsid w:val="00A63A59"/>
    <w:rsid w:val="00A64AB2"/>
    <w:rsid w:val="00A65FDE"/>
    <w:rsid w:val="00A72319"/>
    <w:rsid w:val="00A7270E"/>
    <w:rsid w:val="00A73822"/>
    <w:rsid w:val="00A750B4"/>
    <w:rsid w:val="00A766F3"/>
    <w:rsid w:val="00A77D81"/>
    <w:rsid w:val="00A77E1A"/>
    <w:rsid w:val="00A8043B"/>
    <w:rsid w:val="00A805BC"/>
    <w:rsid w:val="00A80682"/>
    <w:rsid w:val="00A80CC5"/>
    <w:rsid w:val="00A829C0"/>
    <w:rsid w:val="00A82D49"/>
    <w:rsid w:val="00A832D7"/>
    <w:rsid w:val="00A8355F"/>
    <w:rsid w:val="00A8358C"/>
    <w:rsid w:val="00A83592"/>
    <w:rsid w:val="00A83993"/>
    <w:rsid w:val="00A84595"/>
    <w:rsid w:val="00A84B94"/>
    <w:rsid w:val="00A86059"/>
    <w:rsid w:val="00A8753B"/>
    <w:rsid w:val="00A876B9"/>
    <w:rsid w:val="00A877D4"/>
    <w:rsid w:val="00A9023D"/>
    <w:rsid w:val="00A9137B"/>
    <w:rsid w:val="00A91780"/>
    <w:rsid w:val="00A91AA7"/>
    <w:rsid w:val="00A928FE"/>
    <w:rsid w:val="00A92CAD"/>
    <w:rsid w:val="00A938F0"/>
    <w:rsid w:val="00A948E2"/>
    <w:rsid w:val="00A9519E"/>
    <w:rsid w:val="00A959DD"/>
    <w:rsid w:val="00A95DDE"/>
    <w:rsid w:val="00A96857"/>
    <w:rsid w:val="00A9685E"/>
    <w:rsid w:val="00A97441"/>
    <w:rsid w:val="00A97746"/>
    <w:rsid w:val="00AA00FD"/>
    <w:rsid w:val="00AA01EC"/>
    <w:rsid w:val="00AA38F5"/>
    <w:rsid w:val="00AA399B"/>
    <w:rsid w:val="00AA3A2C"/>
    <w:rsid w:val="00AA480F"/>
    <w:rsid w:val="00AA5121"/>
    <w:rsid w:val="00AA5994"/>
    <w:rsid w:val="00AA5B6C"/>
    <w:rsid w:val="00AA70D2"/>
    <w:rsid w:val="00AA73D3"/>
    <w:rsid w:val="00AB0424"/>
    <w:rsid w:val="00AB0892"/>
    <w:rsid w:val="00AB0DFF"/>
    <w:rsid w:val="00AB2274"/>
    <w:rsid w:val="00AB3FB3"/>
    <w:rsid w:val="00AB4AA7"/>
    <w:rsid w:val="00AB4AB2"/>
    <w:rsid w:val="00AB4EF7"/>
    <w:rsid w:val="00AB6EEA"/>
    <w:rsid w:val="00AB728C"/>
    <w:rsid w:val="00AB7E89"/>
    <w:rsid w:val="00AC2208"/>
    <w:rsid w:val="00AC24B0"/>
    <w:rsid w:val="00AC2D2F"/>
    <w:rsid w:val="00AC2D7A"/>
    <w:rsid w:val="00AC47DD"/>
    <w:rsid w:val="00AC4D76"/>
    <w:rsid w:val="00AC5773"/>
    <w:rsid w:val="00AC6021"/>
    <w:rsid w:val="00AC614B"/>
    <w:rsid w:val="00AC79F2"/>
    <w:rsid w:val="00AC7B02"/>
    <w:rsid w:val="00AD01AC"/>
    <w:rsid w:val="00AD0446"/>
    <w:rsid w:val="00AD1D70"/>
    <w:rsid w:val="00AD230B"/>
    <w:rsid w:val="00AD2776"/>
    <w:rsid w:val="00AD5F80"/>
    <w:rsid w:val="00AD6591"/>
    <w:rsid w:val="00AD6705"/>
    <w:rsid w:val="00AD6FCE"/>
    <w:rsid w:val="00AD7476"/>
    <w:rsid w:val="00AD7F4C"/>
    <w:rsid w:val="00AE06EC"/>
    <w:rsid w:val="00AE0CD3"/>
    <w:rsid w:val="00AE1D05"/>
    <w:rsid w:val="00AE1ED9"/>
    <w:rsid w:val="00AE2106"/>
    <w:rsid w:val="00AE301D"/>
    <w:rsid w:val="00AE38AB"/>
    <w:rsid w:val="00AE44DF"/>
    <w:rsid w:val="00AE4C31"/>
    <w:rsid w:val="00AE4CE5"/>
    <w:rsid w:val="00AE53D5"/>
    <w:rsid w:val="00AE5D03"/>
    <w:rsid w:val="00AE75EF"/>
    <w:rsid w:val="00AE768E"/>
    <w:rsid w:val="00AE78F3"/>
    <w:rsid w:val="00AF113D"/>
    <w:rsid w:val="00AF1A00"/>
    <w:rsid w:val="00AF2EE8"/>
    <w:rsid w:val="00AF3CEB"/>
    <w:rsid w:val="00AF3EB7"/>
    <w:rsid w:val="00AF4849"/>
    <w:rsid w:val="00AF4B9E"/>
    <w:rsid w:val="00AF4D70"/>
    <w:rsid w:val="00AF4F70"/>
    <w:rsid w:val="00AF5521"/>
    <w:rsid w:val="00AF663A"/>
    <w:rsid w:val="00B00C9E"/>
    <w:rsid w:val="00B01976"/>
    <w:rsid w:val="00B01AC4"/>
    <w:rsid w:val="00B0264A"/>
    <w:rsid w:val="00B026EB"/>
    <w:rsid w:val="00B0291F"/>
    <w:rsid w:val="00B034D6"/>
    <w:rsid w:val="00B03DDF"/>
    <w:rsid w:val="00B05251"/>
    <w:rsid w:val="00B05306"/>
    <w:rsid w:val="00B056E4"/>
    <w:rsid w:val="00B05B94"/>
    <w:rsid w:val="00B06003"/>
    <w:rsid w:val="00B076ED"/>
    <w:rsid w:val="00B07D6E"/>
    <w:rsid w:val="00B10B00"/>
    <w:rsid w:val="00B10DA6"/>
    <w:rsid w:val="00B11D6E"/>
    <w:rsid w:val="00B1401B"/>
    <w:rsid w:val="00B14837"/>
    <w:rsid w:val="00B14B3C"/>
    <w:rsid w:val="00B1568E"/>
    <w:rsid w:val="00B16B0B"/>
    <w:rsid w:val="00B16F17"/>
    <w:rsid w:val="00B17B9C"/>
    <w:rsid w:val="00B20781"/>
    <w:rsid w:val="00B20F0D"/>
    <w:rsid w:val="00B20FD1"/>
    <w:rsid w:val="00B22017"/>
    <w:rsid w:val="00B22FCF"/>
    <w:rsid w:val="00B23048"/>
    <w:rsid w:val="00B235A8"/>
    <w:rsid w:val="00B23A6A"/>
    <w:rsid w:val="00B23E19"/>
    <w:rsid w:val="00B2420A"/>
    <w:rsid w:val="00B25F79"/>
    <w:rsid w:val="00B26929"/>
    <w:rsid w:val="00B26E73"/>
    <w:rsid w:val="00B27154"/>
    <w:rsid w:val="00B27628"/>
    <w:rsid w:val="00B31255"/>
    <w:rsid w:val="00B31753"/>
    <w:rsid w:val="00B31E4B"/>
    <w:rsid w:val="00B32437"/>
    <w:rsid w:val="00B328F5"/>
    <w:rsid w:val="00B32C9A"/>
    <w:rsid w:val="00B32E47"/>
    <w:rsid w:val="00B33297"/>
    <w:rsid w:val="00B33371"/>
    <w:rsid w:val="00B333FD"/>
    <w:rsid w:val="00B34F3E"/>
    <w:rsid w:val="00B35619"/>
    <w:rsid w:val="00B36038"/>
    <w:rsid w:val="00B3673B"/>
    <w:rsid w:val="00B36A1A"/>
    <w:rsid w:val="00B375B2"/>
    <w:rsid w:val="00B37DD9"/>
    <w:rsid w:val="00B4160D"/>
    <w:rsid w:val="00B42339"/>
    <w:rsid w:val="00B424C7"/>
    <w:rsid w:val="00B4275E"/>
    <w:rsid w:val="00B42B48"/>
    <w:rsid w:val="00B42C26"/>
    <w:rsid w:val="00B43DFF"/>
    <w:rsid w:val="00B43EBB"/>
    <w:rsid w:val="00B45664"/>
    <w:rsid w:val="00B45A37"/>
    <w:rsid w:val="00B46537"/>
    <w:rsid w:val="00B46C7E"/>
    <w:rsid w:val="00B4780D"/>
    <w:rsid w:val="00B5029A"/>
    <w:rsid w:val="00B504C1"/>
    <w:rsid w:val="00B507B2"/>
    <w:rsid w:val="00B50B47"/>
    <w:rsid w:val="00B51B82"/>
    <w:rsid w:val="00B51E2D"/>
    <w:rsid w:val="00B53BDD"/>
    <w:rsid w:val="00B55BA1"/>
    <w:rsid w:val="00B55C52"/>
    <w:rsid w:val="00B55ECE"/>
    <w:rsid w:val="00B55F4C"/>
    <w:rsid w:val="00B5601E"/>
    <w:rsid w:val="00B56318"/>
    <w:rsid w:val="00B564D4"/>
    <w:rsid w:val="00B57FB8"/>
    <w:rsid w:val="00B60F2B"/>
    <w:rsid w:val="00B60FB6"/>
    <w:rsid w:val="00B612DF"/>
    <w:rsid w:val="00B61DBC"/>
    <w:rsid w:val="00B61DC2"/>
    <w:rsid w:val="00B621D1"/>
    <w:rsid w:val="00B622EE"/>
    <w:rsid w:val="00B6266E"/>
    <w:rsid w:val="00B62A91"/>
    <w:rsid w:val="00B62D98"/>
    <w:rsid w:val="00B6364D"/>
    <w:rsid w:val="00B636F5"/>
    <w:rsid w:val="00B65848"/>
    <w:rsid w:val="00B66974"/>
    <w:rsid w:val="00B67790"/>
    <w:rsid w:val="00B7094C"/>
    <w:rsid w:val="00B7225A"/>
    <w:rsid w:val="00B72285"/>
    <w:rsid w:val="00B73A05"/>
    <w:rsid w:val="00B73EEB"/>
    <w:rsid w:val="00B7408F"/>
    <w:rsid w:val="00B751C3"/>
    <w:rsid w:val="00B755D6"/>
    <w:rsid w:val="00B755FE"/>
    <w:rsid w:val="00B75706"/>
    <w:rsid w:val="00B75A6A"/>
    <w:rsid w:val="00B75B7C"/>
    <w:rsid w:val="00B76565"/>
    <w:rsid w:val="00B80FD1"/>
    <w:rsid w:val="00B810A6"/>
    <w:rsid w:val="00B83B3E"/>
    <w:rsid w:val="00B8429E"/>
    <w:rsid w:val="00B8496B"/>
    <w:rsid w:val="00B855BC"/>
    <w:rsid w:val="00B855C0"/>
    <w:rsid w:val="00B860AD"/>
    <w:rsid w:val="00B87D91"/>
    <w:rsid w:val="00B87FAA"/>
    <w:rsid w:val="00B903E3"/>
    <w:rsid w:val="00B90439"/>
    <w:rsid w:val="00B92E14"/>
    <w:rsid w:val="00B949F0"/>
    <w:rsid w:val="00B94BB4"/>
    <w:rsid w:val="00B96E7C"/>
    <w:rsid w:val="00B97157"/>
    <w:rsid w:val="00BA0588"/>
    <w:rsid w:val="00BA0903"/>
    <w:rsid w:val="00BA1483"/>
    <w:rsid w:val="00BA184E"/>
    <w:rsid w:val="00BA1B90"/>
    <w:rsid w:val="00BA1FFF"/>
    <w:rsid w:val="00BA221F"/>
    <w:rsid w:val="00BA2F49"/>
    <w:rsid w:val="00BA327F"/>
    <w:rsid w:val="00BA38F2"/>
    <w:rsid w:val="00BA3D3F"/>
    <w:rsid w:val="00BA401C"/>
    <w:rsid w:val="00BA574E"/>
    <w:rsid w:val="00BA59B2"/>
    <w:rsid w:val="00BA607B"/>
    <w:rsid w:val="00BA6266"/>
    <w:rsid w:val="00BA7927"/>
    <w:rsid w:val="00BA7AE5"/>
    <w:rsid w:val="00BA7CAD"/>
    <w:rsid w:val="00BA7FD5"/>
    <w:rsid w:val="00BB0365"/>
    <w:rsid w:val="00BB0495"/>
    <w:rsid w:val="00BB1344"/>
    <w:rsid w:val="00BB1D4A"/>
    <w:rsid w:val="00BB2DB7"/>
    <w:rsid w:val="00BB2F5A"/>
    <w:rsid w:val="00BB31FE"/>
    <w:rsid w:val="00BB3724"/>
    <w:rsid w:val="00BB56FA"/>
    <w:rsid w:val="00BB69C8"/>
    <w:rsid w:val="00BB714D"/>
    <w:rsid w:val="00BB7BF1"/>
    <w:rsid w:val="00BB7C4B"/>
    <w:rsid w:val="00BC0808"/>
    <w:rsid w:val="00BC1041"/>
    <w:rsid w:val="00BC1ED0"/>
    <w:rsid w:val="00BC32AE"/>
    <w:rsid w:val="00BC39D5"/>
    <w:rsid w:val="00BC5363"/>
    <w:rsid w:val="00BC57CF"/>
    <w:rsid w:val="00BC71CA"/>
    <w:rsid w:val="00BC73AB"/>
    <w:rsid w:val="00BC748E"/>
    <w:rsid w:val="00BD052A"/>
    <w:rsid w:val="00BD0833"/>
    <w:rsid w:val="00BD138A"/>
    <w:rsid w:val="00BD1F42"/>
    <w:rsid w:val="00BD20DD"/>
    <w:rsid w:val="00BD24F2"/>
    <w:rsid w:val="00BD2907"/>
    <w:rsid w:val="00BD2F90"/>
    <w:rsid w:val="00BD3140"/>
    <w:rsid w:val="00BD3A5E"/>
    <w:rsid w:val="00BD6168"/>
    <w:rsid w:val="00BD61A3"/>
    <w:rsid w:val="00BD67F8"/>
    <w:rsid w:val="00BD6B8C"/>
    <w:rsid w:val="00BE1489"/>
    <w:rsid w:val="00BE1BEE"/>
    <w:rsid w:val="00BE3C7F"/>
    <w:rsid w:val="00BE659B"/>
    <w:rsid w:val="00BE6D19"/>
    <w:rsid w:val="00BE7360"/>
    <w:rsid w:val="00BE7551"/>
    <w:rsid w:val="00BE7A71"/>
    <w:rsid w:val="00BF005C"/>
    <w:rsid w:val="00BF01B7"/>
    <w:rsid w:val="00BF0801"/>
    <w:rsid w:val="00BF0A6B"/>
    <w:rsid w:val="00BF15BC"/>
    <w:rsid w:val="00BF15C6"/>
    <w:rsid w:val="00BF1C93"/>
    <w:rsid w:val="00BF23A5"/>
    <w:rsid w:val="00BF283E"/>
    <w:rsid w:val="00BF2A64"/>
    <w:rsid w:val="00BF3235"/>
    <w:rsid w:val="00BF45C3"/>
    <w:rsid w:val="00BF4885"/>
    <w:rsid w:val="00BF53D8"/>
    <w:rsid w:val="00BF5426"/>
    <w:rsid w:val="00BF596E"/>
    <w:rsid w:val="00BF5EEE"/>
    <w:rsid w:val="00BF61F4"/>
    <w:rsid w:val="00BF6ADC"/>
    <w:rsid w:val="00BF7175"/>
    <w:rsid w:val="00BF73BF"/>
    <w:rsid w:val="00BF758A"/>
    <w:rsid w:val="00BF7779"/>
    <w:rsid w:val="00BF7CCF"/>
    <w:rsid w:val="00C02A93"/>
    <w:rsid w:val="00C04146"/>
    <w:rsid w:val="00C05755"/>
    <w:rsid w:val="00C068B6"/>
    <w:rsid w:val="00C06B36"/>
    <w:rsid w:val="00C06E5D"/>
    <w:rsid w:val="00C071A7"/>
    <w:rsid w:val="00C074E5"/>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41AF"/>
    <w:rsid w:val="00C142C3"/>
    <w:rsid w:val="00C1583D"/>
    <w:rsid w:val="00C16A2E"/>
    <w:rsid w:val="00C16C0F"/>
    <w:rsid w:val="00C16CAD"/>
    <w:rsid w:val="00C1778F"/>
    <w:rsid w:val="00C21AD7"/>
    <w:rsid w:val="00C22483"/>
    <w:rsid w:val="00C2249C"/>
    <w:rsid w:val="00C22718"/>
    <w:rsid w:val="00C22D7D"/>
    <w:rsid w:val="00C2463A"/>
    <w:rsid w:val="00C246A4"/>
    <w:rsid w:val="00C24743"/>
    <w:rsid w:val="00C24CEE"/>
    <w:rsid w:val="00C252D9"/>
    <w:rsid w:val="00C2593E"/>
    <w:rsid w:val="00C2596A"/>
    <w:rsid w:val="00C263D3"/>
    <w:rsid w:val="00C27053"/>
    <w:rsid w:val="00C276F0"/>
    <w:rsid w:val="00C30875"/>
    <w:rsid w:val="00C30B78"/>
    <w:rsid w:val="00C31046"/>
    <w:rsid w:val="00C32A79"/>
    <w:rsid w:val="00C32E15"/>
    <w:rsid w:val="00C337D9"/>
    <w:rsid w:val="00C33D51"/>
    <w:rsid w:val="00C37011"/>
    <w:rsid w:val="00C403B7"/>
    <w:rsid w:val="00C40C52"/>
    <w:rsid w:val="00C40DE5"/>
    <w:rsid w:val="00C4122A"/>
    <w:rsid w:val="00C42A4B"/>
    <w:rsid w:val="00C42EB8"/>
    <w:rsid w:val="00C43046"/>
    <w:rsid w:val="00C43D09"/>
    <w:rsid w:val="00C43E31"/>
    <w:rsid w:val="00C44D1B"/>
    <w:rsid w:val="00C4514C"/>
    <w:rsid w:val="00C45374"/>
    <w:rsid w:val="00C453BE"/>
    <w:rsid w:val="00C45936"/>
    <w:rsid w:val="00C46944"/>
    <w:rsid w:val="00C46B2D"/>
    <w:rsid w:val="00C46B64"/>
    <w:rsid w:val="00C471E5"/>
    <w:rsid w:val="00C4724E"/>
    <w:rsid w:val="00C474F6"/>
    <w:rsid w:val="00C47CB9"/>
    <w:rsid w:val="00C47CDA"/>
    <w:rsid w:val="00C50205"/>
    <w:rsid w:val="00C51740"/>
    <w:rsid w:val="00C51992"/>
    <w:rsid w:val="00C52D4A"/>
    <w:rsid w:val="00C53927"/>
    <w:rsid w:val="00C54158"/>
    <w:rsid w:val="00C54327"/>
    <w:rsid w:val="00C543C1"/>
    <w:rsid w:val="00C54751"/>
    <w:rsid w:val="00C54A12"/>
    <w:rsid w:val="00C556FD"/>
    <w:rsid w:val="00C55AC7"/>
    <w:rsid w:val="00C55CD8"/>
    <w:rsid w:val="00C56662"/>
    <w:rsid w:val="00C56742"/>
    <w:rsid w:val="00C56A2E"/>
    <w:rsid w:val="00C56FF6"/>
    <w:rsid w:val="00C5744D"/>
    <w:rsid w:val="00C60BDA"/>
    <w:rsid w:val="00C61CE5"/>
    <w:rsid w:val="00C62853"/>
    <w:rsid w:val="00C63AFE"/>
    <w:rsid w:val="00C63EEE"/>
    <w:rsid w:val="00C64264"/>
    <w:rsid w:val="00C64350"/>
    <w:rsid w:val="00C651C1"/>
    <w:rsid w:val="00C660A7"/>
    <w:rsid w:val="00C66D9C"/>
    <w:rsid w:val="00C67384"/>
    <w:rsid w:val="00C676E9"/>
    <w:rsid w:val="00C678BA"/>
    <w:rsid w:val="00C714B0"/>
    <w:rsid w:val="00C72161"/>
    <w:rsid w:val="00C72AC2"/>
    <w:rsid w:val="00C7426C"/>
    <w:rsid w:val="00C74CFA"/>
    <w:rsid w:val="00C74DD5"/>
    <w:rsid w:val="00C75627"/>
    <w:rsid w:val="00C76864"/>
    <w:rsid w:val="00C775F9"/>
    <w:rsid w:val="00C77E56"/>
    <w:rsid w:val="00C803D9"/>
    <w:rsid w:val="00C81152"/>
    <w:rsid w:val="00C81894"/>
    <w:rsid w:val="00C81AC4"/>
    <w:rsid w:val="00C827D8"/>
    <w:rsid w:val="00C82FC7"/>
    <w:rsid w:val="00C83018"/>
    <w:rsid w:val="00C8409A"/>
    <w:rsid w:val="00C842F0"/>
    <w:rsid w:val="00C84545"/>
    <w:rsid w:val="00C84946"/>
    <w:rsid w:val="00C85592"/>
    <w:rsid w:val="00C856BF"/>
    <w:rsid w:val="00C86959"/>
    <w:rsid w:val="00C86E17"/>
    <w:rsid w:val="00C8733C"/>
    <w:rsid w:val="00C87F3D"/>
    <w:rsid w:val="00C902DE"/>
    <w:rsid w:val="00C90586"/>
    <w:rsid w:val="00C9058F"/>
    <w:rsid w:val="00C9235D"/>
    <w:rsid w:val="00C923E9"/>
    <w:rsid w:val="00C926BF"/>
    <w:rsid w:val="00C93095"/>
    <w:rsid w:val="00C938CF"/>
    <w:rsid w:val="00C94B51"/>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2AFE"/>
    <w:rsid w:val="00CA46CA"/>
    <w:rsid w:val="00CA5217"/>
    <w:rsid w:val="00CA60F4"/>
    <w:rsid w:val="00CA61C9"/>
    <w:rsid w:val="00CA674B"/>
    <w:rsid w:val="00CA680B"/>
    <w:rsid w:val="00CA6D0E"/>
    <w:rsid w:val="00CA70EF"/>
    <w:rsid w:val="00CA72DC"/>
    <w:rsid w:val="00CA7C91"/>
    <w:rsid w:val="00CB0891"/>
    <w:rsid w:val="00CB0E8D"/>
    <w:rsid w:val="00CB2501"/>
    <w:rsid w:val="00CB2840"/>
    <w:rsid w:val="00CB39E0"/>
    <w:rsid w:val="00CB3BA5"/>
    <w:rsid w:val="00CB4D0E"/>
    <w:rsid w:val="00CB55F3"/>
    <w:rsid w:val="00CB5B21"/>
    <w:rsid w:val="00CB5C55"/>
    <w:rsid w:val="00CB68A7"/>
    <w:rsid w:val="00CB7438"/>
    <w:rsid w:val="00CB7462"/>
    <w:rsid w:val="00CB7710"/>
    <w:rsid w:val="00CB7765"/>
    <w:rsid w:val="00CC0AF8"/>
    <w:rsid w:val="00CC0B78"/>
    <w:rsid w:val="00CC2172"/>
    <w:rsid w:val="00CC22D8"/>
    <w:rsid w:val="00CC4311"/>
    <w:rsid w:val="00CC4676"/>
    <w:rsid w:val="00CC51F0"/>
    <w:rsid w:val="00CC5CEF"/>
    <w:rsid w:val="00CC6D00"/>
    <w:rsid w:val="00CC78F3"/>
    <w:rsid w:val="00CD1344"/>
    <w:rsid w:val="00CD173B"/>
    <w:rsid w:val="00CD192E"/>
    <w:rsid w:val="00CD21C7"/>
    <w:rsid w:val="00CD2F77"/>
    <w:rsid w:val="00CD3399"/>
    <w:rsid w:val="00CD3C25"/>
    <w:rsid w:val="00CD446B"/>
    <w:rsid w:val="00CD6D5A"/>
    <w:rsid w:val="00CD72B3"/>
    <w:rsid w:val="00CE002E"/>
    <w:rsid w:val="00CE0174"/>
    <w:rsid w:val="00CE025E"/>
    <w:rsid w:val="00CE0287"/>
    <w:rsid w:val="00CE12D7"/>
    <w:rsid w:val="00CE1C99"/>
    <w:rsid w:val="00CE1CFC"/>
    <w:rsid w:val="00CE2859"/>
    <w:rsid w:val="00CE2862"/>
    <w:rsid w:val="00CE2CBD"/>
    <w:rsid w:val="00CE3139"/>
    <w:rsid w:val="00CE3DF0"/>
    <w:rsid w:val="00CE3ED3"/>
    <w:rsid w:val="00CE46A5"/>
    <w:rsid w:val="00CE5298"/>
    <w:rsid w:val="00CE5936"/>
    <w:rsid w:val="00CE5995"/>
    <w:rsid w:val="00CE6E99"/>
    <w:rsid w:val="00CE71D7"/>
    <w:rsid w:val="00CE7703"/>
    <w:rsid w:val="00CE7AA0"/>
    <w:rsid w:val="00CE7C60"/>
    <w:rsid w:val="00CF00B3"/>
    <w:rsid w:val="00CF296C"/>
    <w:rsid w:val="00CF29A3"/>
    <w:rsid w:val="00CF2B39"/>
    <w:rsid w:val="00CF5144"/>
    <w:rsid w:val="00CF5366"/>
    <w:rsid w:val="00CF53B6"/>
    <w:rsid w:val="00CF6FC2"/>
    <w:rsid w:val="00CF73FA"/>
    <w:rsid w:val="00CF7D0A"/>
    <w:rsid w:val="00D00748"/>
    <w:rsid w:val="00D00CFF"/>
    <w:rsid w:val="00D00D65"/>
    <w:rsid w:val="00D00F2A"/>
    <w:rsid w:val="00D01967"/>
    <w:rsid w:val="00D031C9"/>
    <w:rsid w:val="00D0376A"/>
    <w:rsid w:val="00D0399A"/>
    <w:rsid w:val="00D04F8D"/>
    <w:rsid w:val="00D05020"/>
    <w:rsid w:val="00D05A66"/>
    <w:rsid w:val="00D05BBC"/>
    <w:rsid w:val="00D076E6"/>
    <w:rsid w:val="00D10D24"/>
    <w:rsid w:val="00D11BA5"/>
    <w:rsid w:val="00D11FA9"/>
    <w:rsid w:val="00D13012"/>
    <w:rsid w:val="00D1440D"/>
    <w:rsid w:val="00D17000"/>
    <w:rsid w:val="00D17E00"/>
    <w:rsid w:val="00D20194"/>
    <w:rsid w:val="00D207D4"/>
    <w:rsid w:val="00D215F4"/>
    <w:rsid w:val="00D21C3F"/>
    <w:rsid w:val="00D2202E"/>
    <w:rsid w:val="00D22FD5"/>
    <w:rsid w:val="00D2369D"/>
    <w:rsid w:val="00D23769"/>
    <w:rsid w:val="00D23DDA"/>
    <w:rsid w:val="00D245D4"/>
    <w:rsid w:val="00D24DE6"/>
    <w:rsid w:val="00D25E30"/>
    <w:rsid w:val="00D260BD"/>
    <w:rsid w:val="00D26F58"/>
    <w:rsid w:val="00D26F86"/>
    <w:rsid w:val="00D27B92"/>
    <w:rsid w:val="00D30380"/>
    <w:rsid w:val="00D3223B"/>
    <w:rsid w:val="00D32E03"/>
    <w:rsid w:val="00D3382F"/>
    <w:rsid w:val="00D33EE7"/>
    <w:rsid w:val="00D34D92"/>
    <w:rsid w:val="00D35A05"/>
    <w:rsid w:val="00D35DF4"/>
    <w:rsid w:val="00D3649E"/>
    <w:rsid w:val="00D366EF"/>
    <w:rsid w:val="00D36862"/>
    <w:rsid w:val="00D36BBE"/>
    <w:rsid w:val="00D3765E"/>
    <w:rsid w:val="00D376C0"/>
    <w:rsid w:val="00D37993"/>
    <w:rsid w:val="00D412BD"/>
    <w:rsid w:val="00D44B9B"/>
    <w:rsid w:val="00D44CBA"/>
    <w:rsid w:val="00D44CDB"/>
    <w:rsid w:val="00D45D66"/>
    <w:rsid w:val="00D46968"/>
    <w:rsid w:val="00D4729C"/>
    <w:rsid w:val="00D4790C"/>
    <w:rsid w:val="00D501DD"/>
    <w:rsid w:val="00D51393"/>
    <w:rsid w:val="00D51672"/>
    <w:rsid w:val="00D51A92"/>
    <w:rsid w:val="00D52EF1"/>
    <w:rsid w:val="00D5324B"/>
    <w:rsid w:val="00D553B3"/>
    <w:rsid w:val="00D55E23"/>
    <w:rsid w:val="00D56109"/>
    <w:rsid w:val="00D568DC"/>
    <w:rsid w:val="00D57375"/>
    <w:rsid w:val="00D57693"/>
    <w:rsid w:val="00D576AA"/>
    <w:rsid w:val="00D57DAF"/>
    <w:rsid w:val="00D57E34"/>
    <w:rsid w:val="00D60AD5"/>
    <w:rsid w:val="00D61149"/>
    <w:rsid w:val="00D6134F"/>
    <w:rsid w:val="00D6148A"/>
    <w:rsid w:val="00D61D33"/>
    <w:rsid w:val="00D63AD6"/>
    <w:rsid w:val="00D6608B"/>
    <w:rsid w:val="00D6627E"/>
    <w:rsid w:val="00D663C7"/>
    <w:rsid w:val="00D66FFB"/>
    <w:rsid w:val="00D670FC"/>
    <w:rsid w:val="00D67994"/>
    <w:rsid w:val="00D70B09"/>
    <w:rsid w:val="00D70F1C"/>
    <w:rsid w:val="00D70F76"/>
    <w:rsid w:val="00D716D2"/>
    <w:rsid w:val="00D71C18"/>
    <w:rsid w:val="00D738B5"/>
    <w:rsid w:val="00D7494E"/>
    <w:rsid w:val="00D75B15"/>
    <w:rsid w:val="00D767DB"/>
    <w:rsid w:val="00D76E8C"/>
    <w:rsid w:val="00D80209"/>
    <w:rsid w:val="00D80430"/>
    <w:rsid w:val="00D8088B"/>
    <w:rsid w:val="00D80BCF"/>
    <w:rsid w:val="00D80D4F"/>
    <w:rsid w:val="00D80F11"/>
    <w:rsid w:val="00D81D2B"/>
    <w:rsid w:val="00D81D75"/>
    <w:rsid w:val="00D81F8C"/>
    <w:rsid w:val="00D82A5E"/>
    <w:rsid w:val="00D834CD"/>
    <w:rsid w:val="00D83B83"/>
    <w:rsid w:val="00D845F9"/>
    <w:rsid w:val="00D84BBF"/>
    <w:rsid w:val="00D85454"/>
    <w:rsid w:val="00D861A9"/>
    <w:rsid w:val="00D87484"/>
    <w:rsid w:val="00D90DC2"/>
    <w:rsid w:val="00D91726"/>
    <w:rsid w:val="00D91836"/>
    <w:rsid w:val="00D922C4"/>
    <w:rsid w:val="00D9238D"/>
    <w:rsid w:val="00D942E4"/>
    <w:rsid w:val="00D94574"/>
    <w:rsid w:val="00D95159"/>
    <w:rsid w:val="00D9528F"/>
    <w:rsid w:val="00D95662"/>
    <w:rsid w:val="00D957F8"/>
    <w:rsid w:val="00D96BE5"/>
    <w:rsid w:val="00D96EC8"/>
    <w:rsid w:val="00D9718A"/>
    <w:rsid w:val="00D97738"/>
    <w:rsid w:val="00DA0A17"/>
    <w:rsid w:val="00DA11B6"/>
    <w:rsid w:val="00DA18AA"/>
    <w:rsid w:val="00DA1B54"/>
    <w:rsid w:val="00DA1BE2"/>
    <w:rsid w:val="00DA1F0E"/>
    <w:rsid w:val="00DA2053"/>
    <w:rsid w:val="00DA32FC"/>
    <w:rsid w:val="00DA33FA"/>
    <w:rsid w:val="00DA3644"/>
    <w:rsid w:val="00DA5014"/>
    <w:rsid w:val="00DA556F"/>
    <w:rsid w:val="00DA5898"/>
    <w:rsid w:val="00DA5B0B"/>
    <w:rsid w:val="00DA7CF8"/>
    <w:rsid w:val="00DA7FE2"/>
    <w:rsid w:val="00DB0F71"/>
    <w:rsid w:val="00DB16A2"/>
    <w:rsid w:val="00DB2646"/>
    <w:rsid w:val="00DB3894"/>
    <w:rsid w:val="00DB3A0B"/>
    <w:rsid w:val="00DB3B77"/>
    <w:rsid w:val="00DB3E39"/>
    <w:rsid w:val="00DB4C26"/>
    <w:rsid w:val="00DB7AD3"/>
    <w:rsid w:val="00DB7CFF"/>
    <w:rsid w:val="00DB7E20"/>
    <w:rsid w:val="00DC00B9"/>
    <w:rsid w:val="00DC1372"/>
    <w:rsid w:val="00DC186D"/>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06"/>
    <w:rsid w:val="00DC7E32"/>
    <w:rsid w:val="00DD04B7"/>
    <w:rsid w:val="00DD2A50"/>
    <w:rsid w:val="00DD3319"/>
    <w:rsid w:val="00DD430A"/>
    <w:rsid w:val="00DD46C8"/>
    <w:rsid w:val="00DD5083"/>
    <w:rsid w:val="00DD5881"/>
    <w:rsid w:val="00DD63DE"/>
    <w:rsid w:val="00DD675D"/>
    <w:rsid w:val="00DE0277"/>
    <w:rsid w:val="00DE0C3C"/>
    <w:rsid w:val="00DE0DD5"/>
    <w:rsid w:val="00DE10CB"/>
    <w:rsid w:val="00DE13C9"/>
    <w:rsid w:val="00DE224C"/>
    <w:rsid w:val="00DE34E4"/>
    <w:rsid w:val="00DE38B6"/>
    <w:rsid w:val="00DE3D30"/>
    <w:rsid w:val="00DE3F78"/>
    <w:rsid w:val="00DE4A8B"/>
    <w:rsid w:val="00DE5238"/>
    <w:rsid w:val="00DE5293"/>
    <w:rsid w:val="00DE6B90"/>
    <w:rsid w:val="00DE7019"/>
    <w:rsid w:val="00DF10A4"/>
    <w:rsid w:val="00DF1343"/>
    <w:rsid w:val="00DF2C5C"/>
    <w:rsid w:val="00DF4572"/>
    <w:rsid w:val="00DF45B7"/>
    <w:rsid w:val="00DF60BC"/>
    <w:rsid w:val="00DF614A"/>
    <w:rsid w:val="00DF6709"/>
    <w:rsid w:val="00DF6F83"/>
    <w:rsid w:val="00DF7D60"/>
    <w:rsid w:val="00E012E1"/>
    <w:rsid w:val="00E0204C"/>
    <w:rsid w:val="00E03A22"/>
    <w:rsid w:val="00E04926"/>
    <w:rsid w:val="00E04A3E"/>
    <w:rsid w:val="00E053AE"/>
    <w:rsid w:val="00E0590D"/>
    <w:rsid w:val="00E06493"/>
    <w:rsid w:val="00E0691B"/>
    <w:rsid w:val="00E074F0"/>
    <w:rsid w:val="00E07634"/>
    <w:rsid w:val="00E07B2F"/>
    <w:rsid w:val="00E07FFD"/>
    <w:rsid w:val="00E10D7F"/>
    <w:rsid w:val="00E11E8B"/>
    <w:rsid w:val="00E1216E"/>
    <w:rsid w:val="00E12519"/>
    <w:rsid w:val="00E12C44"/>
    <w:rsid w:val="00E130E0"/>
    <w:rsid w:val="00E13106"/>
    <w:rsid w:val="00E138D7"/>
    <w:rsid w:val="00E138DB"/>
    <w:rsid w:val="00E13C60"/>
    <w:rsid w:val="00E13EF4"/>
    <w:rsid w:val="00E141CF"/>
    <w:rsid w:val="00E14205"/>
    <w:rsid w:val="00E14CF1"/>
    <w:rsid w:val="00E14E04"/>
    <w:rsid w:val="00E16401"/>
    <w:rsid w:val="00E177A0"/>
    <w:rsid w:val="00E17DA5"/>
    <w:rsid w:val="00E200F0"/>
    <w:rsid w:val="00E20852"/>
    <w:rsid w:val="00E2088B"/>
    <w:rsid w:val="00E21533"/>
    <w:rsid w:val="00E21675"/>
    <w:rsid w:val="00E21AC5"/>
    <w:rsid w:val="00E21F6A"/>
    <w:rsid w:val="00E23955"/>
    <w:rsid w:val="00E249F3"/>
    <w:rsid w:val="00E24E2B"/>
    <w:rsid w:val="00E25339"/>
    <w:rsid w:val="00E25833"/>
    <w:rsid w:val="00E25C4D"/>
    <w:rsid w:val="00E25CA1"/>
    <w:rsid w:val="00E267CE"/>
    <w:rsid w:val="00E26817"/>
    <w:rsid w:val="00E26A7D"/>
    <w:rsid w:val="00E27BE9"/>
    <w:rsid w:val="00E27D53"/>
    <w:rsid w:val="00E27DBD"/>
    <w:rsid w:val="00E3087F"/>
    <w:rsid w:val="00E30AA8"/>
    <w:rsid w:val="00E31247"/>
    <w:rsid w:val="00E32342"/>
    <w:rsid w:val="00E3397C"/>
    <w:rsid w:val="00E33B07"/>
    <w:rsid w:val="00E33F98"/>
    <w:rsid w:val="00E33FAF"/>
    <w:rsid w:val="00E3484E"/>
    <w:rsid w:val="00E3547F"/>
    <w:rsid w:val="00E35775"/>
    <w:rsid w:val="00E357B8"/>
    <w:rsid w:val="00E35D7B"/>
    <w:rsid w:val="00E369B8"/>
    <w:rsid w:val="00E37146"/>
    <w:rsid w:val="00E37A66"/>
    <w:rsid w:val="00E405EF"/>
    <w:rsid w:val="00E41365"/>
    <w:rsid w:val="00E41648"/>
    <w:rsid w:val="00E41665"/>
    <w:rsid w:val="00E42227"/>
    <w:rsid w:val="00E424C9"/>
    <w:rsid w:val="00E42A97"/>
    <w:rsid w:val="00E43135"/>
    <w:rsid w:val="00E438B0"/>
    <w:rsid w:val="00E43E50"/>
    <w:rsid w:val="00E446AA"/>
    <w:rsid w:val="00E4503E"/>
    <w:rsid w:val="00E4550D"/>
    <w:rsid w:val="00E464DF"/>
    <w:rsid w:val="00E472A8"/>
    <w:rsid w:val="00E507D1"/>
    <w:rsid w:val="00E50B1C"/>
    <w:rsid w:val="00E50E29"/>
    <w:rsid w:val="00E5144F"/>
    <w:rsid w:val="00E51A96"/>
    <w:rsid w:val="00E531EB"/>
    <w:rsid w:val="00E535DF"/>
    <w:rsid w:val="00E5529B"/>
    <w:rsid w:val="00E5571B"/>
    <w:rsid w:val="00E55AD4"/>
    <w:rsid w:val="00E56202"/>
    <w:rsid w:val="00E5704C"/>
    <w:rsid w:val="00E57D2A"/>
    <w:rsid w:val="00E60D54"/>
    <w:rsid w:val="00E61A39"/>
    <w:rsid w:val="00E61BBA"/>
    <w:rsid w:val="00E61BBC"/>
    <w:rsid w:val="00E62435"/>
    <w:rsid w:val="00E62519"/>
    <w:rsid w:val="00E62FE6"/>
    <w:rsid w:val="00E6329E"/>
    <w:rsid w:val="00E6492A"/>
    <w:rsid w:val="00E651FD"/>
    <w:rsid w:val="00E657D0"/>
    <w:rsid w:val="00E66EA9"/>
    <w:rsid w:val="00E677BE"/>
    <w:rsid w:val="00E67AF6"/>
    <w:rsid w:val="00E67E88"/>
    <w:rsid w:val="00E70CB5"/>
    <w:rsid w:val="00E71FAB"/>
    <w:rsid w:val="00E72056"/>
    <w:rsid w:val="00E7242C"/>
    <w:rsid w:val="00E729BB"/>
    <w:rsid w:val="00E72F07"/>
    <w:rsid w:val="00E739E8"/>
    <w:rsid w:val="00E75135"/>
    <w:rsid w:val="00E7522F"/>
    <w:rsid w:val="00E7641E"/>
    <w:rsid w:val="00E76712"/>
    <w:rsid w:val="00E76CA3"/>
    <w:rsid w:val="00E801C4"/>
    <w:rsid w:val="00E8039D"/>
    <w:rsid w:val="00E8148D"/>
    <w:rsid w:val="00E81518"/>
    <w:rsid w:val="00E81F46"/>
    <w:rsid w:val="00E824B1"/>
    <w:rsid w:val="00E82E93"/>
    <w:rsid w:val="00E83CF5"/>
    <w:rsid w:val="00E83E8D"/>
    <w:rsid w:val="00E856C3"/>
    <w:rsid w:val="00E85970"/>
    <w:rsid w:val="00E86E87"/>
    <w:rsid w:val="00E87129"/>
    <w:rsid w:val="00E87449"/>
    <w:rsid w:val="00E9037C"/>
    <w:rsid w:val="00E90458"/>
    <w:rsid w:val="00E91199"/>
    <w:rsid w:val="00E9288B"/>
    <w:rsid w:val="00E934F5"/>
    <w:rsid w:val="00E94ABC"/>
    <w:rsid w:val="00E95202"/>
    <w:rsid w:val="00E9526F"/>
    <w:rsid w:val="00E952A7"/>
    <w:rsid w:val="00E95C40"/>
    <w:rsid w:val="00E95E1B"/>
    <w:rsid w:val="00E9661F"/>
    <w:rsid w:val="00E96872"/>
    <w:rsid w:val="00E972E4"/>
    <w:rsid w:val="00E974E0"/>
    <w:rsid w:val="00E97538"/>
    <w:rsid w:val="00E97622"/>
    <w:rsid w:val="00E97FA5"/>
    <w:rsid w:val="00EA06E1"/>
    <w:rsid w:val="00EA088F"/>
    <w:rsid w:val="00EA0D78"/>
    <w:rsid w:val="00EA1161"/>
    <w:rsid w:val="00EA11A9"/>
    <w:rsid w:val="00EA1850"/>
    <w:rsid w:val="00EA1879"/>
    <w:rsid w:val="00EA19DF"/>
    <w:rsid w:val="00EA2A3C"/>
    <w:rsid w:val="00EA2B5B"/>
    <w:rsid w:val="00EA2C26"/>
    <w:rsid w:val="00EA4EF5"/>
    <w:rsid w:val="00EA5083"/>
    <w:rsid w:val="00EA556B"/>
    <w:rsid w:val="00EA563F"/>
    <w:rsid w:val="00EA5900"/>
    <w:rsid w:val="00EA5B72"/>
    <w:rsid w:val="00EA5F06"/>
    <w:rsid w:val="00EA60D6"/>
    <w:rsid w:val="00EA6405"/>
    <w:rsid w:val="00EA6992"/>
    <w:rsid w:val="00EA7A20"/>
    <w:rsid w:val="00EA7CFD"/>
    <w:rsid w:val="00EA7F8B"/>
    <w:rsid w:val="00EB043F"/>
    <w:rsid w:val="00EB2C18"/>
    <w:rsid w:val="00EB2C92"/>
    <w:rsid w:val="00EB3B19"/>
    <w:rsid w:val="00EB441F"/>
    <w:rsid w:val="00EB484C"/>
    <w:rsid w:val="00EB4A84"/>
    <w:rsid w:val="00EB4C30"/>
    <w:rsid w:val="00EB6036"/>
    <w:rsid w:val="00EB66BC"/>
    <w:rsid w:val="00EB6F5F"/>
    <w:rsid w:val="00EB70CC"/>
    <w:rsid w:val="00EB7964"/>
    <w:rsid w:val="00EB7DC1"/>
    <w:rsid w:val="00EC0D88"/>
    <w:rsid w:val="00EC0E99"/>
    <w:rsid w:val="00EC1905"/>
    <w:rsid w:val="00EC2110"/>
    <w:rsid w:val="00EC2BF7"/>
    <w:rsid w:val="00EC2C46"/>
    <w:rsid w:val="00EC307B"/>
    <w:rsid w:val="00EC381B"/>
    <w:rsid w:val="00EC50DD"/>
    <w:rsid w:val="00EC52F3"/>
    <w:rsid w:val="00EC5A8D"/>
    <w:rsid w:val="00EC6135"/>
    <w:rsid w:val="00EC6750"/>
    <w:rsid w:val="00EC75C9"/>
    <w:rsid w:val="00ED1706"/>
    <w:rsid w:val="00ED2389"/>
    <w:rsid w:val="00ED2528"/>
    <w:rsid w:val="00ED25D4"/>
    <w:rsid w:val="00ED26F0"/>
    <w:rsid w:val="00ED35AC"/>
    <w:rsid w:val="00ED3634"/>
    <w:rsid w:val="00ED3B6F"/>
    <w:rsid w:val="00ED4223"/>
    <w:rsid w:val="00ED4D77"/>
    <w:rsid w:val="00ED65F5"/>
    <w:rsid w:val="00ED6676"/>
    <w:rsid w:val="00ED674B"/>
    <w:rsid w:val="00ED67A7"/>
    <w:rsid w:val="00ED6E72"/>
    <w:rsid w:val="00ED7B55"/>
    <w:rsid w:val="00EE0952"/>
    <w:rsid w:val="00EE0DBA"/>
    <w:rsid w:val="00EE2537"/>
    <w:rsid w:val="00EE26AD"/>
    <w:rsid w:val="00EE26C3"/>
    <w:rsid w:val="00EE289E"/>
    <w:rsid w:val="00EE3263"/>
    <w:rsid w:val="00EE33D5"/>
    <w:rsid w:val="00EE43AE"/>
    <w:rsid w:val="00EE4CFD"/>
    <w:rsid w:val="00EE5485"/>
    <w:rsid w:val="00EE66CF"/>
    <w:rsid w:val="00EE6D73"/>
    <w:rsid w:val="00EE72F8"/>
    <w:rsid w:val="00EF155A"/>
    <w:rsid w:val="00EF1B56"/>
    <w:rsid w:val="00EF1EB3"/>
    <w:rsid w:val="00EF2305"/>
    <w:rsid w:val="00EF2B75"/>
    <w:rsid w:val="00EF359F"/>
    <w:rsid w:val="00EF3FB5"/>
    <w:rsid w:val="00EF4193"/>
    <w:rsid w:val="00EF4199"/>
    <w:rsid w:val="00EF4CAC"/>
    <w:rsid w:val="00EF4DB0"/>
    <w:rsid w:val="00EF6B09"/>
    <w:rsid w:val="00EF6F68"/>
    <w:rsid w:val="00EF723F"/>
    <w:rsid w:val="00EF7346"/>
    <w:rsid w:val="00EF7991"/>
    <w:rsid w:val="00F009BF"/>
    <w:rsid w:val="00F00C41"/>
    <w:rsid w:val="00F00EE5"/>
    <w:rsid w:val="00F0146A"/>
    <w:rsid w:val="00F01AFA"/>
    <w:rsid w:val="00F01BE0"/>
    <w:rsid w:val="00F02014"/>
    <w:rsid w:val="00F023F4"/>
    <w:rsid w:val="00F025B9"/>
    <w:rsid w:val="00F02E4E"/>
    <w:rsid w:val="00F038D8"/>
    <w:rsid w:val="00F03F47"/>
    <w:rsid w:val="00F04595"/>
    <w:rsid w:val="00F045BC"/>
    <w:rsid w:val="00F04FD0"/>
    <w:rsid w:val="00F05EE2"/>
    <w:rsid w:val="00F06439"/>
    <w:rsid w:val="00F07DA8"/>
    <w:rsid w:val="00F10565"/>
    <w:rsid w:val="00F10DB3"/>
    <w:rsid w:val="00F1101C"/>
    <w:rsid w:val="00F1268C"/>
    <w:rsid w:val="00F135C2"/>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7153"/>
    <w:rsid w:val="00F27B63"/>
    <w:rsid w:val="00F27CE9"/>
    <w:rsid w:val="00F317CF"/>
    <w:rsid w:val="00F31BA2"/>
    <w:rsid w:val="00F31C25"/>
    <w:rsid w:val="00F31DA7"/>
    <w:rsid w:val="00F31F35"/>
    <w:rsid w:val="00F31FF5"/>
    <w:rsid w:val="00F32365"/>
    <w:rsid w:val="00F34CFF"/>
    <w:rsid w:val="00F35ED4"/>
    <w:rsid w:val="00F36064"/>
    <w:rsid w:val="00F368A4"/>
    <w:rsid w:val="00F3694B"/>
    <w:rsid w:val="00F36CAF"/>
    <w:rsid w:val="00F36CB0"/>
    <w:rsid w:val="00F371E5"/>
    <w:rsid w:val="00F37B0F"/>
    <w:rsid w:val="00F4005A"/>
    <w:rsid w:val="00F4039A"/>
    <w:rsid w:val="00F408D3"/>
    <w:rsid w:val="00F40E13"/>
    <w:rsid w:val="00F40E83"/>
    <w:rsid w:val="00F41688"/>
    <w:rsid w:val="00F42033"/>
    <w:rsid w:val="00F4372E"/>
    <w:rsid w:val="00F43A76"/>
    <w:rsid w:val="00F445C9"/>
    <w:rsid w:val="00F44A1C"/>
    <w:rsid w:val="00F4529B"/>
    <w:rsid w:val="00F46586"/>
    <w:rsid w:val="00F47562"/>
    <w:rsid w:val="00F47EE5"/>
    <w:rsid w:val="00F509A4"/>
    <w:rsid w:val="00F51491"/>
    <w:rsid w:val="00F51B8E"/>
    <w:rsid w:val="00F51C90"/>
    <w:rsid w:val="00F5220C"/>
    <w:rsid w:val="00F52798"/>
    <w:rsid w:val="00F52BE6"/>
    <w:rsid w:val="00F53995"/>
    <w:rsid w:val="00F53A2C"/>
    <w:rsid w:val="00F541B5"/>
    <w:rsid w:val="00F546AE"/>
    <w:rsid w:val="00F54705"/>
    <w:rsid w:val="00F55F56"/>
    <w:rsid w:val="00F567F4"/>
    <w:rsid w:val="00F576D0"/>
    <w:rsid w:val="00F60804"/>
    <w:rsid w:val="00F60C31"/>
    <w:rsid w:val="00F60F89"/>
    <w:rsid w:val="00F61531"/>
    <w:rsid w:val="00F644C2"/>
    <w:rsid w:val="00F648D6"/>
    <w:rsid w:val="00F64B26"/>
    <w:rsid w:val="00F66213"/>
    <w:rsid w:val="00F66BAC"/>
    <w:rsid w:val="00F66EF3"/>
    <w:rsid w:val="00F66F44"/>
    <w:rsid w:val="00F67AF4"/>
    <w:rsid w:val="00F70954"/>
    <w:rsid w:val="00F71BB4"/>
    <w:rsid w:val="00F72258"/>
    <w:rsid w:val="00F73993"/>
    <w:rsid w:val="00F739E4"/>
    <w:rsid w:val="00F755DC"/>
    <w:rsid w:val="00F75882"/>
    <w:rsid w:val="00F7665C"/>
    <w:rsid w:val="00F76A03"/>
    <w:rsid w:val="00F76C5B"/>
    <w:rsid w:val="00F8053A"/>
    <w:rsid w:val="00F80E32"/>
    <w:rsid w:val="00F81C6F"/>
    <w:rsid w:val="00F82F0A"/>
    <w:rsid w:val="00F83AF7"/>
    <w:rsid w:val="00F846B8"/>
    <w:rsid w:val="00F84882"/>
    <w:rsid w:val="00F84F60"/>
    <w:rsid w:val="00F8532C"/>
    <w:rsid w:val="00F853C6"/>
    <w:rsid w:val="00F8649E"/>
    <w:rsid w:val="00F86985"/>
    <w:rsid w:val="00F87807"/>
    <w:rsid w:val="00F87CF3"/>
    <w:rsid w:val="00F9042E"/>
    <w:rsid w:val="00F90464"/>
    <w:rsid w:val="00F90ED0"/>
    <w:rsid w:val="00F9140D"/>
    <w:rsid w:val="00F91A03"/>
    <w:rsid w:val="00F91A66"/>
    <w:rsid w:val="00F92818"/>
    <w:rsid w:val="00F92A92"/>
    <w:rsid w:val="00F92AF5"/>
    <w:rsid w:val="00F92CE8"/>
    <w:rsid w:val="00F93B1D"/>
    <w:rsid w:val="00F93EA8"/>
    <w:rsid w:val="00F945B3"/>
    <w:rsid w:val="00F94907"/>
    <w:rsid w:val="00F94E8C"/>
    <w:rsid w:val="00F967B0"/>
    <w:rsid w:val="00F96A33"/>
    <w:rsid w:val="00F97221"/>
    <w:rsid w:val="00F97278"/>
    <w:rsid w:val="00F975B0"/>
    <w:rsid w:val="00F97F31"/>
    <w:rsid w:val="00FA03DE"/>
    <w:rsid w:val="00FA055D"/>
    <w:rsid w:val="00FA089C"/>
    <w:rsid w:val="00FA1702"/>
    <w:rsid w:val="00FA1820"/>
    <w:rsid w:val="00FA198B"/>
    <w:rsid w:val="00FA1FD6"/>
    <w:rsid w:val="00FA35D2"/>
    <w:rsid w:val="00FA3933"/>
    <w:rsid w:val="00FA3BF1"/>
    <w:rsid w:val="00FA420C"/>
    <w:rsid w:val="00FA47F3"/>
    <w:rsid w:val="00FA5270"/>
    <w:rsid w:val="00FA647D"/>
    <w:rsid w:val="00FA6BAA"/>
    <w:rsid w:val="00FA722B"/>
    <w:rsid w:val="00FA7360"/>
    <w:rsid w:val="00FA738F"/>
    <w:rsid w:val="00FA73A5"/>
    <w:rsid w:val="00FB04CC"/>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0B6E"/>
    <w:rsid w:val="00FC1E0D"/>
    <w:rsid w:val="00FC24BB"/>
    <w:rsid w:val="00FC416C"/>
    <w:rsid w:val="00FC49CD"/>
    <w:rsid w:val="00FC5508"/>
    <w:rsid w:val="00FC5BF0"/>
    <w:rsid w:val="00FC5DD8"/>
    <w:rsid w:val="00FC6030"/>
    <w:rsid w:val="00FC61FF"/>
    <w:rsid w:val="00FC6260"/>
    <w:rsid w:val="00FC67A2"/>
    <w:rsid w:val="00FC6CD8"/>
    <w:rsid w:val="00FC7AFA"/>
    <w:rsid w:val="00FD00EC"/>
    <w:rsid w:val="00FD015D"/>
    <w:rsid w:val="00FD03F8"/>
    <w:rsid w:val="00FD049B"/>
    <w:rsid w:val="00FD0BB3"/>
    <w:rsid w:val="00FD2793"/>
    <w:rsid w:val="00FD3534"/>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76FF"/>
    <w:rsid w:val="00FE7B1A"/>
    <w:rsid w:val="00FE7F62"/>
    <w:rsid w:val="00FE7FA1"/>
    <w:rsid w:val="00FF0068"/>
    <w:rsid w:val="00FF0804"/>
    <w:rsid w:val="00FF18DE"/>
    <w:rsid w:val="00FF278C"/>
    <w:rsid w:val="00FF2CA1"/>
    <w:rsid w:val="00FF31CE"/>
    <w:rsid w:val="00FF3215"/>
    <w:rsid w:val="00FF3EDE"/>
    <w:rsid w:val="00FF5CF6"/>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BF250FCA-4A0B-420B-B95E-61A2D7B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399794224">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46405185">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0386783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6" ma:contentTypeDescription="Create a new document." ma:contentTypeScope="" ma:versionID="e003b6ae15e5f06ac368320f68af4195">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71896f5ab21b3e36467fbd271530ff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25EC-42F8-4B94-A7E2-B812C106E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3.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4.xml><?xml version="1.0" encoding="utf-8"?>
<ds:datastoreItem xmlns:ds="http://schemas.openxmlformats.org/officeDocument/2006/customXml" ds:itemID="{AC317F2B-A388-4695-A764-C8DD0C41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Mary Bruce</cp:lastModifiedBy>
  <cp:revision>5</cp:revision>
  <cp:lastPrinted>2023-08-25T10:52:00Z</cp:lastPrinted>
  <dcterms:created xsi:type="dcterms:W3CDTF">2023-08-29T08:00:00Z</dcterms:created>
  <dcterms:modified xsi:type="dcterms:W3CDTF">2023-08-29T15:15:00Z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