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4D36" w14:textId="77777777" w:rsidR="0086289E" w:rsidRPr="005649CB" w:rsidRDefault="0086289E" w:rsidP="0086289E">
      <w:pPr>
        <w:spacing w:before="120" w:after="120"/>
        <w:ind w:right="29"/>
        <w:jc w:val="center"/>
        <w:rPr>
          <w:rFonts w:ascii="Arial" w:hAnsi="Arial" w:cs="Arial"/>
          <w:b/>
          <w:lang w:val="en-GB"/>
        </w:rPr>
      </w:pPr>
      <w:r w:rsidRPr="005649CB">
        <w:rPr>
          <w:rFonts w:ascii="Arial" w:hAnsi="Arial" w:cs="Arial"/>
          <w:b/>
          <w:lang w:val="en-GB"/>
        </w:rPr>
        <w:t>REPUBLIC OF SOUTH AFRICA</w:t>
      </w:r>
    </w:p>
    <w:p w14:paraId="170DF83F" w14:textId="2E062015" w:rsidR="0086289E" w:rsidRPr="005649CB" w:rsidRDefault="000B7B05" w:rsidP="0086289E">
      <w:pPr>
        <w:spacing w:before="120" w:after="120"/>
        <w:ind w:right="29"/>
        <w:jc w:val="center"/>
        <w:rPr>
          <w:rFonts w:ascii="Arial" w:hAnsi="Arial" w:cs="Arial"/>
          <w:b/>
          <w:lang w:val="en-GB"/>
        </w:rPr>
      </w:pPr>
      <w:r w:rsidRPr="005649CB">
        <w:rPr>
          <w:rFonts w:ascii="Arial" w:hAnsi="Arial" w:cs="Arial"/>
          <w:b/>
          <w:noProof/>
          <w:lang w:val="en-US" w:eastAsia="en-US"/>
        </w:rPr>
        <w:drawing>
          <wp:inline distT="0" distB="0" distL="0" distR="0" wp14:anchorId="537ABA70" wp14:editId="788F56E9">
            <wp:extent cx="1359535" cy="1359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359535"/>
                    </a:xfrm>
                    <a:prstGeom prst="rect">
                      <a:avLst/>
                    </a:prstGeom>
                    <a:noFill/>
                  </pic:spPr>
                </pic:pic>
              </a:graphicData>
            </a:graphic>
          </wp:inline>
        </w:drawing>
      </w:r>
    </w:p>
    <w:p w14:paraId="0DF94475" w14:textId="77777777" w:rsidR="0086289E" w:rsidRPr="005649CB" w:rsidRDefault="0086289E" w:rsidP="0086289E">
      <w:pPr>
        <w:spacing w:before="120" w:after="120"/>
        <w:ind w:right="28"/>
        <w:jc w:val="center"/>
        <w:rPr>
          <w:rFonts w:ascii="Arial" w:hAnsi="Arial" w:cs="Arial"/>
          <w:b/>
          <w:lang w:val="en-GB"/>
        </w:rPr>
      </w:pPr>
      <w:r w:rsidRPr="005649CB">
        <w:rPr>
          <w:rFonts w:ascii="Arial" w:hAnsi="Arial" w:cs="Arial"/>
          <w:b/>
          <w:lang w:val="en-GB"/>
        </w:rPr>
        <w:t>IN THE HIGH COURT OF SOUTH AFRICA</w:t>
      </w:r>
    </w:p>
    <w:p w14:paraId="2EC3FF7E" w14:textId="77777777" w:rsidR="0086289E" w:rsidRPr="005649CB" w:rsidRDefault="0086289E" w:rsidP="0086289E">
      <w:pPr>
        <w:spacing w:before="120" w:after="120"/>
        <w:ind w:right="28"/>
        <w:jc w:val="center"/>
        <w:rPr>
          <w:rFonts w:ascii="Arial" w:hAnsi="Arial" w:cs="Arial"/>
          <w:b/>
          <w:lang w:val="en-GB"/>
        </w:rPr>
      </w:pPr>
      <w:r w:rsidRPr="005649CB">
        <w:rPr>
          <w:rFonts w:ascii="Arial" w:hAnsi="Arial" w:cs="Arial"/>
          <w:b/>
          <w:lang w:val="en-GB"/>
        </w:rPr>
        <w:t>GAUTENG LOCAL DIVISION, JOHANNESBURG</w:t>
      </w:r>
    </w:p>
    <w:p w14:paraId="302D4716" w14:textId="77777777" w:rsidR="0086289E" w:rsidRPr="005649CB" w:rsidRDefault="0086289E" w:rsidP="0086289E">
      <w:pPr>
        <w:spacing w:before="120" w:after="120"/>
        <w:ind w:right="364"/>
        <w:jc w:val="right"/>
        <w:rPr>
          <w:rFonts w:ascii="Arial" w:hAnsi="Arial" w:cs="Arial"/>
          <w:b/>
          <w:lang w:val="en-GB"/>
        </w:rPr>
      </w:pPr>
    </w:p>
    <w:p w14:paraId="540CE750" w14:textId="45E60499" w:rsidR="0086289E" w:rsidRPr="005649CB" w:rsidRDefault="00CE3425" w:rsidP="0086289E">
      <w:pPr>
        <w:spacing w:before="120" w:after="120"/>
        <w:ind w:right="-46"/>
        <w:jc w:val="right"/>
        <w:rPr>
          <w:rFonts w:ascii="Arial" w:hAnsi="Arial" w:cs="Arial"/>
          <w:b/>
          <w:lang w:val="en-GB"/>
        </w:rPr>
      </w:pPr>
      <w:r w:rsidRPr="005649CB">
        <w:rPr>
          <w:rFonts w:ascii="Arial" w:hAnsi="Arial" w:cs="Arial"/>
          <w:b/>
          <w:noProof/>
          <w:lang w:val="en-US" w:eastAsia="en-US"/>
        </w:rPr>
        <mc:AlternateContent>
          <mc:Choice Requires="wps">
            <w:drawing>
              <wp:anchor distT="0" distB="0" distL="114300" distR="114300" simplePos="0" relativeHeight="251659264" behindDoc="0" locked="0" layoutInCell="1" allowOverlap="1" wp14:anchorId="48BFD9DD" wp14:editId="50CBD854">
                <wp:simplePos x="0" y="0"/>
                <wp:positionH relativeFrom="margin">
                  <wp:posOffset>10160</wp:posOffset>
                </wp:positionH>
                <wp:positionV relativeFrom="paragraph">
                  <wp:posOffset>271780</wp:posOffset>
                </wp:positionV>
                <wp:extent cx="3510280" cy="1442720"/>
                <wp:effectExtent l="0" t="0" r="762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1442720"/>
                        </a:xfrm>
                        <a:prstGeom prst="rect">
                          <a:avLst/>
                        </a:prstGeom>
                        <a:solidFill>
                          <a:srgbClr val="FFFFFF"/>
                        </a:solidFill>
                        <a:ln w="9525">
                          <a:solidFill>
                            <a:srgbClr val="000000"/>
                          </a:solidFill>
                          <a:miter lim="800000"/>
                          <a:headEnd/>
                          <a:tailEnd/>
                        </a:ln>
                      </wps:spPr>
                      <wps:txbx>
                        <w:txbxContent>
                          <w:p w14:paraId="172D570D" w14:textId="77777777" w:rsidR="002C35D7" w:rsidRPr="004120A8" w:rsidRDefault="002C35D7" w:rsidP="0086289E">
                            <w:pPr>
                              <w:ind w:right="28"/>
                              <w:jc w:val="center"/>
                              <w:rPr>
                                <w:rFonts w:ascii="Century Gothic" w:hAnsi="Century Gothic"/>
                                <w:b/>
                                <w:sz w:val="2"/>
                                <w:szCs w:val="18"/>
                              </w:rPr>
                            </w:pPr>
                          </w:p>
                          <w:p w14:paraId="4171507C" w14:textId="1F857FEC" w:rsidR="002C35D7" w:rsidRPr="004120A8" w:rsidRDefault="001F1A86" w:rsidP="001F1A86">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2C35D7">
                              <w:rPr>
                                <w:rFonts w:ascii="Century Gothic" w:hAnsi="Century Gothic"/>
                                <w:sz w:val="18"/>
                                <w:szCs w:val="18"/>
                              </w:rPr>
                              <w:t xml:space="preserve">REPORTABLE: </w:t>
                            </w:r>
                            <w:r w:rsidR="00CE3425">
                              <w:rPr>
                                <w:rFonts w:ascii="Century Gothic" w:hAnsi="Century Gothic"/>
                                <w:sz w:val="18"/>
                                <w:szCs w:val="18"/>
                              </w:rPr>
                              <w:t>NO</w:t>
                            </w:r>
                          </w:p>
                          <w:p w14:paraId="332978D1" w14:textId="39196D5E" w:rsidR="002C35D7" w:rsidRPr="004120A8" w:rsidRDefault="001F1A86" w:rsidP="001F1A86">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2C35D7" w:rsidRPr="004120A8">
                              <w:rPr>
                                <w:rFonts w:ascii="Century Gothic" w:hAnsi="Century Gothic"/>
                                <w:sz w:val="18"/>
                                <w:szCs w:val="18"/>
                              </w:rPr>
                              <w:t>O</w:t>
                            </w:r>
                            <w:r w:rsidR="002C35D7">
                              <w:rPr>
                                <w:rFonts w:ascii="Century Gothic" w:hAnsi="Century Gothic"/>
                                <w:sz w:val="18"/>
                                <w:szCs w:val="18"/>
                              </w:rPr>
                              <w:t xml:space="preserve">F INTEREST TO OTHER JUDGES: </w:t>
                            </w:r>
                            <w:r w:rsidR="00CE3425">
                              <w:rPr>
                                <w:rFonts w:ascii="Century Gothic" w:hAnsi="Century Gothic"/>
                                <w:sz w:val="18"/>
                                <w:szCs w:val="18"/>
                              </w:rPr>
                              <w:t>NO</w:t>
                            </w:r>
                          </w:p>
                          <w:p w14:paraId="590CC69C" w14:textId="66146FFF" w:rsidR="002C35D7" w:rsidRPr="00D257A8" w:rsidRDefault="001F1A86" w:rsidP="001F1A86">
                            <w:pPr>
                              <w:tabs>
                                <w:tab w:val="left" w:pos="900"/>
                              </w:tabs>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2C35D7" w:rsidRPr="004120A8">
                              <w:rPr>
                                <w:rFonts w:ascii="Century Gothic" w:hAnsi="Century Gothic"/>
                                <w:sz w:val="18"/>
                                <w:szCs w:val="18"/>
                              </w:rPr>
                              <w:t xml:space="preserve">REVISED. </w:t>
                            </w:r>
                            <w:r w:rsidR="00C85304">
                              <w:rPr>
                                <w:rFonts w:ascii="Century Gothic" w:hAnsi="Century Gothic"/>
                                <w:sz w:val="18"/>
                                <w:szCs w:val="18"/>
                              </w:rPr>
                              <w:t>NO</w:t>
                            </w:r>
                          </w:p>
                          <w:p w14:paraId="5A2C42F6" w14:textId="77777777" w:rsidR="002C35D7" w:rsidRDefault="002C35D7" w:rsidP="0086289E">
                            <w:pPr>
                              <w:rPr>
                                <w:noProof/>
                              </w:rPr>
                            </w:pPr>
                          </w:p>
                          <w:p w14:paraId="6F11AD9B" w14:textId="77777777" w:rsidR="002C35D7" w:rsidRDefault="002C35D7" w:rsidP="0086289E">
                            <w:pPr>
                              <w:rPr>
                                <w:noProof/>
                              </w:rPr>
                            </w:pPr>
                          </w:p>
                          <w:p w14:paraId="143E1623" w14:textId="77777777" w:rsidR="002C35D7" w:rsidRPr="00FD1FCB" w:rsidRDefault="002C35D7" w:rsidP="0086289E">
                            <w:pPr>
                              <w:rPr>
                                <w:rFonts w:ascii="Century Gothic" w:hAnsi="Century Gothic"/>
                                <w:sz w:val="18"/>
                                <w:szCs w:val="18"/>
                              </w:rPr>
                            </w:pPr>
                          </w:p>
                          <w:p w14:paraId="2CE3F5E3" w14:textId="77777777" w:rsidR="002C35D7" w:rsidRPr="004120A8" w:rsidRDefault="002C35D7" w:rsidP="0086289E">
                            <w:pPr>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405CCFA5" w14:textId="147F93D2" w:rsidR="002C35D7" w:rsidRPr="00C30EB3" w:rsidRDefault="002C35D7" w:rsidP="0086289E">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sidR="00841C90">
                              <w:rPr>
                                <w:rFonts w:ascii="Century Gothic" w:hAnsi="Century Gothic"/>
                                <w:bCs/>
                                <w:sz w:val="18"/>
                                <w:szCs w:val="18"/>
                              </w:rPr>
                              <w:t xml:space="preserve"> </w:t>
                            </w:r>
                            <w:r w:rsidR="00F515DD">
                              <w:rPr>
                                <w:rFonts w:ascii="Century Gothic" w:hAnsi="Century Gothic"/>
                                <w:bCs/>
                                <w:sz w:val="18"/>
                                <w:szCs w:val="18"/>
                              </w:rPr>
                              <w:t xml:space="preserve">7 </w:t>
                            </w:r>
                            <w:r w:rsidR="00035035">
                              <w:rPr>
                                <w:rFonts w:ascii="Century Gothic" w:hAnsi="Century Gothic"/>
                                <w:bCs/>
                                <w:sz w:val="18"/>
                                <w:szCs w:val="18"/>
                              </w:rPr>
                              <w:t>August</w:t>
                            </w:r>
                            <w:r w:rsidR="00841C90">
                              <w:rPr>
                                <w:rFonts w:ascii="Century Gothic" w:hAnsi="Century Gothic"/>
                                <w:bCs/>
                                <w:sz w:val="18"/>
                                <w:szCs w:val="18"/>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FD9DD" id="_x0000_t202" coordsize="21600,21600" o:spt="202" path="m,l,21600r21600,l21600,xe">
                <v:stroke joinstyle="miter"/>
                <v:path gradientshapeok="t" o:connecttype="rect"/>
              </v:shapetype>
              <v:shape id="Text Box 2" o:spid="_x0000_s1026" type="#_x0000_t202" style="position:absolute;left:0;text-align:left;margin-left:.8pt;margin-top:21.4pt;width:276.4pt;height:11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">
                <v:textbox>
                  <w:txbxContent>
                    <w:p w14:paraId="172D570D" w14:textId="77777777" w:rsidR="002C35D7" w:rsidRPr="004120A8" w:rsidRDefault="002C35D7" w:rsidP="0086289E">
                      <w:pPr>
                        <w:ind w:right="28"/>
                        <w:jc w:val="center"/>
                        <w:rPr>
                          <w:rFonts w:ascii="Century Gothic" w:hAnsi="Century Gothic"/>
                          <w:b/>
                          <w:sz w:val="2"/>
                          <w:szCs w:val="18"/>
                        </w:rPr>
                      </w:pPr>
                    </w:p>
                    <w:p w14:paraId="4171507C" w14:textId="1F857FEC" w:rsidR="002C35D7" w:rsidRPr="004120A8" w:rsidRDefault="001F1A86" w:rsidP="001F1A86">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2C35D7">
                        <w:rPr>
                          <w:rFonts w:ascii="Century Gothic" w:hAnsi="Century Gothic"/>
                          <w:sz w:val="18"/>
                          <w:szCs w:val="18"/>
                        </w:rPr>
                        <w:t xml:space="preserve">REPORTABLE: </w:t>
                      </w:r>
                      <w:r w:rsidR="00CE3425">
                        <w:rPr>
                          <w:rFonts w:ascii="Century Gothic" w:hAnsi="Century Gothic"/>
                          <w:sz w:val="18"/>
                          <w:szCs w:val="18"/>
                        </w:rPr>
                        <w:t>NO</w:t>
                      </w:r>
                    </w:p>
                    <w:p w14:paraId="332978D1" w14:textId="39196D5E" w:rsidR="002C35D7" w:rsidRPr="004120A8" w:rsidRDefault="001F1A86" w:rsidP="001F1A86">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2C35D7" w:rsidRPr="004120A8">
                        <w:rPr>
                          <w:rFonts w:ascii="Century Gothic" w:hAnsi="Century Gothic"/>
                          <w:sz w:val="18"/>
                          <w:szCs w:val="18"/>
                        </w:rPr>
                        <w:t>O</w:t>
                      </w:r>
                      <w:r w:rsidR="002C35D7">
                        <w:rPr>
                          <w:rFonts w:ascii="Century Gothic" w:hAnsi="Century Gothic"/>
                          <w:sz w:val="18"/>
                          <w:szCs w:val="18"/>
                        </w:rPr>
                        <w:t xml:space="preserve">F INTEREST TO OTHER JUDGES: </w:t>
                      </w:r>
                      <w:r w:rsidR="00CE3425">
                        <w:rPr>
                          <w:rFonts w:ascii="Century Gothic" w:hAnsi="Century Gothic"/>
                          <w:sz w:val="18"/>
                          <w:szCs w:val="18"/>
                        </w:rPr>
                        <w:t>NO</w:t>
                      </w:r>
                    </w:p>
                    <w:p w14:paraId="590CC69C" w14:textId="66146FFF" w:rsidR="002C35D7" w:rsidRPr="00D257A8" w:rsidRDefault="001F1A86" w:rsidP="001F1A86">
                      <w:pPr>
                        <w:tabs>
                          <w:tab w:val="left" w:pos="900"/>
                        </w:tabs>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2C35D7" w:rsidRPr="004120A8">
                        <w:rPr>
                          <w:rFonts w:ascii="Century Gothic" w:hAnsi="Century Gothic"/>
                          <w:sz w:val="18"/>
                          <w:szCs w:val="18"/>
                        </w:rPr>
                        <w:t xml:space="preserve">REVISED. </w:t>
                      </w:r>
                      <w:r w:rsidR="00C85304">
                        <w:rPr>
                          <w:rFonts w:ascii="Century Gothic" w:hAnsi="Century Gothic"/>
                          <w:sz w:val="18"/>
                          <w:szCs w:val="18"/>
                        </w:rPr>
                        <w:t>NO</w:t>
                      </w:r>
                    </w:p>
                    <w:p w14:paraId="5A2C42F6" w14:textId="77777777" w:rsidR="002C35D7" w:rsidRDefault="002C35D7" w:rsidP="0086289E">
                      <w:pPr>
                        <w:rPr>
                          <w:noProof/>
                        </w:rPr>
                      </w:pPr>
                    </w:p>
                    <w:p w14:paraId="6F11AD9B" w14:textId="77777777" w:rsidR="002C35D7" w:rsidRDefault="002C35D7" w:rsidP="0086289E">
                      <w:pPr>
                        <w:rPr>
                          <w:noProof/>
                        </w:rPr>
                      </w:pPr>
                    </w:p>
                    <w:p w14:paraId="143E1623" w14:textId="77777777" w:rsidR="002C35D7" w:rsidRPr="00FD1FCB" w:rsidRDefault="002C35D7" w:rsidP="0086289E">
                      <w:pPr>
                        <w:rPr>
                          <w:rFonts w:ascii="Century Gothic" w:hAnsi="Century Gothic"/>
                          <w:sz w:val="18"/>
                          <w:szCs w:val="18"/>
                        </w:rPr>
                      </w:pPr>
                    </w:p>
                    <w:p w14:paraId="2CE3F5E3" w14:textId="77777777" w:rsidR="002C35D7" w:rsidRPr="004120A8" w:rsidRDefault="002C35D7" w:rsidP="0086289E">
                      <w:pPr>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405CCFA5" w14:textId="147F93D2" w:rsidR="002C35D7" w:rsidRPr="00C30EB3" w:rsidRDefault="002C35D7" w:rsidP="0086289E">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sidR="00841C90">
                        <w:rPr>
                          <w:rFonts w:ascii="Century Gothic" w:hAnsi="Century Gothic"/>
                          <w:bCs/>
                          <w:sz w:val="18"/>
                          <w:szCs w:val="18"/>
                        </w:rPr>
                        <w:t xml:space="preserve"> </w:t>
                      </w:r>
                      <w:r w:rsidR="00F515DD">
                        <w:rPr>
                          <w:rFonts w:ascii="Century Gothic" w:hAnsi="Century Gothic"/>
                          <w:bCs/>
                          <w:sz w:val="18"/>
                          <w:szCs w:val="18"/>
                        </w:rPr>
                        <w:t xml:space="preserve">7 </w:t>
                      </w:r>
                      <w:r w:rsidR="00035035">
                        <w:rPr>
                          <w:rFonts w:ascii="Century Gothic" w:hAnsi="Century Gothic"/>
                          <w:bCs/>
                          <w:sz w:val="18"/>
                          <w:szCs w:val="18"/>
                        </w:rPr>
                        <w:t>August</w:t>
                      </w:r>
                      <w:r w:rsidR="00841C90">
                        <w:rPr>
                          <w:rFonts w:ascii="Century Gothic" w:hAnsi="Century Gothic"/>
                          <w:bCs/>
                          <w:sz w:val="18"/>
                          <w:szCs w:val="18"/>
                        </w:rPr>
                        <w:t xml:space="preserve"> 2023</w:t>
                      </w:r>
                    </w:p>
                  </w:txbxContent>
                </v:textbox>
                <w10:wrap type="topAndBottom" anchorx="margin"/>
              </v:shape>
            </w:pict>
          </mc:Fallback>
        </mc:AlternateContent>
      </w:r>
      <w:r w:rsidR="0086289E" w:rsidRPr="005649CB">
        <w:rPr>
          <w:rFonts w:ascii="Arial" w:hAnsi="Arial" w:cs="Arial"/>
          <w:b/>
          <w:lang w:val="en-GB"/>
        </w:rPr>
        <w:t xml:space="preserve">CASE NO: </w:t>
      </w:r>
      <w:r w:rsidR="0018191F" w:rsidRPr="005649CB">
        <w:rPr>
          <w:rFonts w:ascii="Arial" w:hAnsi="Arial" w:cs="Arial"/>
          <w:spacing w:val="-2"/>
          <w:lang w:val="en-GB"/>
        </w:rPr>
        <w:t>22095/2022</w:t>
      </w:r>
    </w:p>
    <w:p w14:paraId="0E12DD7A" w14:textId="405183FD" w:rsidR="0086289E" w:rsidRPr="005649CB" w:rsidRDefault="0086289E" w:rsidP="0086289E">
      <w:pPr>
        <w:spacing w:before="120" w:after="120"/>
        <w:ind w:right="-46"/>
        <w:rPr>
          <w:rFonts w:ascii="Arial" w:hAnsi="Arial" w:cs="Arial"/>
          <w:b/>
          <w:lang w:val="en-GB"/>
        </w:rPr>
      </w:pPr>
    </w:p>
    <w:p w14:paraId="6503606B" w14:textId="77777777" w:rsidR="006321C1" w:rsidRPr="005649CB" w:rsidRDefault="006321C1" w:rsidP="00C8261C">
      <w:pPr>
        <w:tabs>
          <w:tab w:val="num" w:pos="691"/>
        </w:tabs>
        <w:spacing w:line="276" w:lineRule="auto"/>
        <w:ind w:left="691" w:hanging="691"/>
        <w:rPr>
          <w:rFonts w:ascii="Arial" w:hAnsi="Arial" w:cs="Arial"/>
          <w:lang w:val="en-GB"/>
        </w:rPr>
      </w:pPr>
      <w:r w:rsidRPr="005649CB">
        <w:rPr>
          <w:rFonts w:ascii="Arial" w:hAnsi="Arial" w:cs="Arial"/>
          <w:lang w:val="en-GB"/>
        </w:rPr>
        <w:t xml:space="preserve">In the matter between: </w:t>
      </w:r>
    </w:p>
    <w:p w14:paraId="4D96C94E" w14:textId="75300E44" w:rsidR="006321C1" w:rsidRPr="005649CB" w:rsidRDefault="006321C1" w:rsidP="00C8261C">
      <w:pPr>
        <w:tabs>
          <w:tab w:val="num" w:pos="691"/>
        </w:tabs>
        <w:spacing w:line="276" w:lineRule="auto"/>
        <w:ind w:left="691" w:hanging="691"/>
        <w:rPr>
          <w:rFonts w:ascii="Arial" w:hAnsi="Arial" w:cs="Arial"/>
          <w:lang w:val="en-GB"/>
        </w:rPr>
      </w:pPr>
    </w:p>
    <w:p w14:paraId="4FA04A47" w14:textId="534E5E22" w:rsidR="00035035" w:rsidRPr="005649CB" w:rsidRDefault="00035035" w:rsidP="00C8261C">
      <w:pPr>
        <w:tabs>
          <w:tab w:val="num" w:pos="691"/>
        </w:tabs>
        <w:spacing w:line="276" w:lineRule="auto"/>
        <w:ind w:left="691" w:hanging="691"/>
        <w:rPr>
          <w:rFonts w:ascii="Arial" w:hAnsi="Arial" w:cs="Arial"/>
          <w:lang w:val="en-GB"/>
        </w:rPr>
      </w:pPr>
    </w:p>
    <w:p w14:paraId="3B5353E6" w14:textId="7962C706" w:rsidR="00035035" w:rsidRPr="005649CB" w:rsidRDefault="0018191F" w:rsidP="00035035">
      <w:pPr>
        <w:tabs>
          <w:tab w:val="right" w:pos="8789"/>
        </w:tabs>
        <w:ind w:left="140"/>
        <w:rPr>
          <w:rFonts w:ascii="Arial" w:hAnsi="Arial" w:cs="Arial"/>
          <w:lang w:val="en-GB"/>
        </w:rPr>
      </w:pPr>
      <w:r w:rsidRPr="005649CB">
        <w:rPr>
          <w:rFonts w:ascii="Arial" w:hAnsi="Arial" w:cs="Arial"/>
          <w:b/>
          <w:lang w:val="en-GB"/>
        </w:rPr>
        <w:t>KAMOHELO SESHABELA</w:t>
      </w:r>
      <w:r w:rsidR="00035035" w:rsidRPr="005649CB">
        <w:rPr>
          <w:rFonts w:ascii="Arial" w:hAnsi="Arial" w:cs="Arial"/>
          <w:b/>
          <w:lang w:val="en-GB"/>
        </w:rPr>
        <w:t xml:space="preserve"> </w:t>
      </w:r>
      <w:r w:rsidR="00035035" w:rsidRPr="005649CB">
        <w:rPr>
          <w:rFonts w:ascii="Arial" w:hAnsi="Arial" w:cs="Arial"/>
          <w:b/>
          <w:lang w:val="en-GB"/>
        </w:rPr>
        <w:tab/>
      </w:r>
      <w:r w:rsidRPr="005649CB">
        <w:rPr>
          <w:rFonts w:ascii="Arial" w:hAnsi="Arial" w:cs="Arial"/>
          <w:spacing w:val="-2"/>
          <w:lang w:val="en-GB"/>
        </w:rPr>
        <w:t>Plaintiff</w:t>
      </w:r>
    </w:p>
    <w:p w14:paraId="06C66943" w14:textId="77777777" w:rsidR="00035035" w:rsidRPr="005649CB" w:rsidRDefault="00035035" w:rsidP="00035035">
      <w:pPr>
        <w:pStyle w:val="BodyText"/>
        <w:tabs>
          <w:tab w:val="right" w:pos="8789"/>
        </w:tabs>
        <w:rPr>
          <w:sz w:val="24"/>
          <w:szCs w:val="24"/>
          <w:lang w:val="en-GB"/>
        </w:rPr>
      </w:pPr>
    </w:p>
    <w:p w14:paraId="04C0E67E" w14:textId="77777777" w:rsidR="00035035" w:rsidRPr="005649CB" w:rsidRDefault="00035035" w:rsidP="00035035">
      <w:pPr>
        <w:pStyle w:val="BodyText"/>
        <w:tabs>
          <w:tab w:val="right" w:pos="8789"/>
        </w:tabs>
        <w:rPr>
          <w:sz w:val="24"/>
          <w:szCs w:val="24"/>
          <w:lang w:val="en-GB"/>
        </w:rPr>
      </w:pPr>
    </w:p>
    <w:p w14:paraId="77571742" w14:textId="77777777" w:rsidR="00035035" w:rsidRPr="005649CB" w:rsidRDefault="00035035" w:rsidP="00035035">
      <w:pPr>
        <w:pStyle w:val="BodyText"/>
        <w:tabs>
          <w:tab w:val="right" w:pos="8789"/>
        </w:tabs>
        <w:ind w:left="140"/>
        <w:rPr>
          <w:sz w:val="24"/>
          <w:szCs w:val="24"/>
          <w:lang w:val="en-GB"/>
        </w:rPr>
      </w:pPr>
      <w:r w:rsidRPr="005649CB">
        <w:rPr>
          <w:spacing w:val="-5"/>
          <w:sz w:val="24"/>
          <w:szCs w:val="24"/>
          <w:lang w:val="en-GB"/>
        </w:rPr>
        <w:t>and</w:t>
      </w:r>
    </w:p>
    <w:p w14:paraId="6324349D" w14:textId="77777777" w:rsidR="00035035" w:rsidRPr="005649CB" w:rsidRDefault="00035035" w:rsidP="00035035">
      <w:pPr>
        <w:pStyle w:val="BodyText"/>
        <w:tabs>
          <w:tab w:val="right" w:pos="8789"/>
        </w:tabs>
        <w:rPr>
          <w:sz w:val="24"/>
          <w:szCs w:val="24"/>
          <w:lang w:val="en-GB"/>
        </w:rPr>
      </w:pPr>
    </w:p>
    <w:p w14:paraId="7F034BC4" w14:textId="77777777" w:rsidR="00035035" w:rsidRPr="005649CB" w:rsidRDefault="00035035" w:rsidP="00035035">
      <w:pPr>
        <w:pStyle w:val="BodyText"/>
        <w:tabs>
          <w:tab w:val="right" w:pos="8789"/>
        </w:tabs>
        <w:rPr>
          <w:sz w:val="24"/>
          <w:szCs w:val="24"/>
          <w:lang w:val="en-GB"/>
        </w:rPr>
      </w:pPr>
    </w:p>
    <w:p w14:paraId="007E1E1D" w14:textId="62FBB7D2" w:rsidR="00035035" w:rsidRPr="005649CB" w:rsidRDefault="0018191F" w:rsidP="00035035">
      <w:pPr>
        <w:tabs>
          <w:tab w:val="right" w:pos="8789"/>
        </w:tabs>
        <w:ind w:left="140"/>
        <w:rPr>
          <w:rFonts w:ascii="Arial" w:hAnsi="Arial" w:cs="Arial"/>
          <w:bCs/>
          <w:lang w:val="en-GB"/>
        </w:rPr>
      </w:pPr>
      <w:r w:rsidRPr="005649CB">
        <w:rPr>
          <w:rFonts w:ascii="Arial" w:hAnsi="Arial" w:cs="Arial"/>
          <w:b/>
          <w:lang w:val="en-GB"/>
        </w:rPr>
        <w:t>CITY OF JOHANNESBURG METROPOLITAN MUNICIPALITY</w:t>
      </w:r>
      <w:r w:rsidRPr="005649CB">
        <w:rPr>
          <w:rFonts w:ascii="Arial" w:hAnsi="Arial" w:cs="Arial"/>
          <w:bCs/>
          <w:lang w:val="en-GB"/>
        </w:rPr>
        <w:t xml:space="preserve"> </w:t>
      </w:r>
      <w:r w:rsidRPr="005649CB">
        <w:rPr>
          <w:rFonts w:ascii="Arial" w:hAnsi="Arial" w:cs="Arial"/>
          <w:bCs/>
          <w:lang w:val="en-GB"/>
        </w:rPr>
        <w:tab/>
        <w:t xml:space="preserve">Defendant </w:t>
      </w:r>
    </w:p>
    <w:p w14:paraId="59FB65B5" w14:textId="1C79C814" w:rsidR="00035035" w:rsidRPr="005649CB" w:rsidRDefault="00035035" w:rsidP="00035035">
      <w:pPr>
        <w:tabs>
          <w:tab w:val="num" w:pos="691"/>
          <w:tab w:val="right" w:pos="8789"/>
        </w:tabs>
        <w:spacing w:line="276" w:lineRule="auto"/>
        <w:ind w:left="691" w:hanging="691"/>
        <w:rPr>
          <w:rFonts w:ascii="Arial" w:hAnsi="Arial" w:cs="Arial"/>
          <w:lang w:val="en-GB"/>
        </w:rPr>
      </w:pPr>
    </w:p>
    <w:p w14:paraId="7A028206" w14:textId="77777777" w:rsidR="006321C1" w:rsidRPr="005649CB" w:rsidRDefault="006321C1" w:rsidP="006321C1">
      <w:pPr>
        <w:pBdr>
          <w:bottom w:val="single" w:sz="12" w:space="1" w:color="auto"/>
        </w:pBdr>
        <w:tabs>
          <w:tab w:val="num" w:pos="691"/>
          <w:tab w:val="right" w:pos="7936"/>
        </w:tabs>
        <w:ind w:left="691" w:hanging="691"/>
        <w:rPr>
          <w:rFonts w:ascii="Arial" w:hAnsi="Arial" w:cs="Arial"/>
          <w:lang w:val="en-GB"/>
        </w:rPr>
      </w:pPr>
    </w:p>
    <w:p w14:paraId="4D430D93" w14:textId="77777777" w:rsidR="006321C1" w:rsidRPr="005649CB" w:rsidRDefault="006321C1" w:rsidP="006321C1">
      <w:pPr>
        <w:tabs>
          <w:tab w:val="num" w:pos="691"/>
          <w:tab w:val="right" w:pos="7936"/>
        </w:tabs>
        <w:ind w:left="691" w:hanging="691"/>
        <w:rPr>
          <w:rFonts w:ascii="Arial" w:hAnsi="Arial" w:cs="Arial"/>
          <w:lang w:val="en-GB"/>
        </w:rPr>
      </w:pPr>
    </w:p>
    <w:p w14:paraId="206CA1BD" w14:textId="77777777" w:rsidR="006321C1" w:rsidRPr="005649CB" w:rsidRDefault="006321C1" w:rsidP="006321C1">
      <w:pPr>
        <w:tabs>
          <w:tab w:val="num" w:pos="691"/>
          <w:tab w:val="right" w:pos="7936"/>
        </w:tabs>
        <w:ind w:left="691" w:hanging="691"/>
        <w:jc w:val="center"/>
        <w:rPr>
          <w:rFonts w:ascii="Arial" w:hAnsi="Arial" w:cs="Arial"/>
          <w:lang w:val="en-GB"/>
        </w:rPr>
      </w:pPr>
      <w:r w:rsidRPr="005649CB">
        <w:rPr>
          <w:rFonts w:ascii="Arial" w:hAnsi="Arial" w:cs="Arial"/>
          <w:b/>
          <w:bCs/>
          <w:lang w:val="en-GB"/>
        </w:rPr>
        <w:t>JUDGMENT</w:t>
      </w:r>
      <w:r w:rsidRPr="005649CB">
        <w:rPr>
          <w:rFonts w:ascii="Arial" w:hAnsi="Arial" w:cs="Arial"/>
          <w:lang w:val="en-GB"/>
        </w:rPr>
        <w:t xml:space="preserve"> </w:t>
      </w:r>
    </w:p>
    <w:p w14:paraId="02858144" w14:textId="77777777" w:rsidR="006321C1" w:rsidRPr="005649CB" w:rsidRDefault="006321C1" w:rsidP="006321C1">
      <w:pPr>
        <w:pBdr>
          <w:bottom w:val="single" w:sz="12" w:space="1" w:color="auto"/>
        </w:pBdr>
        <w:tabs>
          <w:tab w:val="num" w:pos="691"/>
          <w:tab w:val="right" w:pos="7936"/>
        </w:tabs>
        <w:ind w:left="691" w:hanging="691"/>
        <w:rPr>
          <w:rFonts w:ascii="Arial" w:hAnsi="Arial" w:cs="Arial"/>
          <w:lang w:val="en-GB"/>
        </w:rPr>
      </w:pPr>
    </w:p>
    <w:p w14:paraId="56BCCA9E" w14:textId="77777777" w:rsidR="006321C1" w:rsidRPr="005649CB" w:rsidRDefault="006321C1" w:rsidP="00F515DD">
      <w:pPr>
        <w:tabs>
          <w:tab w:val="num" w:pos="691"/>
          <w:tab w:val="right" w:pos="7936"/>
        </w:tabs>
        <w:spacing w:line="360" w:lineRule="auto"/>
        <w:ind w:left="691" w:hanging="691"/>
        <w:rPr>
          <w:rFonts w:ascii="Arial" w:hAnsi="Arial" w:cs="Arial"/>
          <w:lang w:val="en-GB"/>
        </w:rPr>
      </w:pPr>
    </w:p>
    <w:p w14:paraId="23B60318" w14:textId="5CF5356E" w:rsidR="006321C1" w:rsidRPr="005649CB" w:rsidRDefault="006321C1" w:rsidP="006321C1">
      <w:pPr>
        <w:spacing w:before="240" w:after="120" w:line="480" w:lineRule="auto"/>
        <w:jc w:val="both"/>
        <w:rPr>
          <w:rFonts w:ascii="Arial" w:hAnsi="Arial" w:cs="Arial"/>
          <w:lang w:val="en-GB"/>
        </w:rPr>
      </w:pPr>
      <w:r w:rsidRPr="005649CB">
        <w:rPr>
          <w:rFonts w:ascii="Arial" w:hAnsi="Arial" w:cs="Arial"/>
          <w:u w:val="single"/>
          <w:lang w:val="en-GB"/>
        </w:rPr>
        <w:t>MAHON AJ</w:t>
      </w:r>
      <w:r w:rsidR="000B7B05" w:rsidRPr="005649CB">
        <w:rPr>
          <w:rFonts w:ascii="Arial" w:hAnsi="Arial" w:cs="Arial"/>
          <w:u w:val="single"/>
          <w:lang w:val="en-GB"/>
        </w:rPr>
        <w:t>:</w:t>
      </w:r>
      <w:r w:rsidR="00035035" w:rsidRPr="005649CB">
        <w:rPr>
          <w:rFonts w:ascii="Arial" w:hAnsi="Arial" w:cs="Arial"/>
          <w:lang w:val="en-GB"/>
        </w:rPr>
        <w:t xml:space="preserve"> </w:t>
      </w:r>
    </w:p>
    <w:p w14:paraId="27C9FD7F" w14:textId="66870D41" w:rsidR="0018191F" w:rsidRPr="005649CB" w:rsidRDefault="001F1A86" w:rsidP="001F1A86">
      <w:pPr>
        <w:tabs>
          <w:tab w:val="left" w:pos="691"/>
        </w:tabs>
        <w:spacing w:before="240" w:after="120" w:line="480" w:lineRule="auto"/>
        <w:ind w:left="691" w:hanging="691"/>
        <w:jc w:val="both"/>
        <w:rPr>
          <w:rFonts w:ascii="Arial" w:hAnsi="Arial" w:cs="Arial"/>
          <w:lang w:val="en-GB"/>
        </w:rPr>
      </w:pPr>
      <w:r w:rsidRPr="005649CB">
        <w:rPr>
          <w:rFonts w:ascii="Arial" w:hAnsi="Arial" w:cs="Tahoma"/>
          <w:szCs w:val="22"/>
          <w:lang w:val="en-GB"/>
        </w:rPr>
        <w:lastRenderedPageBreak/>
        <w:t>[1]</w:t>
      </w:r>
      <w:r w:rsidRPr="005649CB">
        <w:rPr>
          <w:rFonts w:ascii="Arial" w:hAnsi="Arial" w:cs="Tahoma"/>
          <w:szCs w:val="22"/>
          <w:lang w:val="en-GB"/>
        </w:rPr>
        <w:tab/>
      </w:r>
      <w:r w:rsidR="0018191F" w:rsidRPr="005649CB">
        <w:rPr>
          <w:rFonts w:ascii="Arial" w:hAnsi="Arial" w:cs="Arial"/>
          <w:lang w:val="en-GB"/>
        </w:rPr>
        <w:t xml:space="preserve">The plaintiff instituted action against the defendant for damages </w:t>
      </w:r>
      <w:r w:rsidR="00EC7DF2" w:rsidRPr="005649CB">
        <w:rPr>
          <w:rFonts w:ascii="Arial" w:hAnsi="Arial" w:cs="Arial"/>
          <w:lang w:val="en-GB"/>
        </w:rPr>
        <w:t xml:space="preserve">in an amount of R1 300 000 arising from an injury sustained by the plaintiff when he stepped on an open municipal manhole, stumbled and fell.  </w:t>
      </w:r>
    </w:p>
    <w:p w14:paraId="52909FE0" w14:textId="15548535" w:rsidR="00EC7DF2" w:rsidRPr="005649CB" w:rsidRDefault="001F1A86" w:rsidP="001F1A86">
      <w:pPr>
        <w:tabs>
          <w:tab w:val="left" w:pos="691"/>
        </w:tabs>
        <w:spacing w:before="240" w:after="120" w:line="480" w:lineRule="auto"/>
        <w:ind w:left="691" w:hanging="691"/>
        <w:jc w:val="both"/>
        <w:rPr>
          <w:rFonts w:ascii="Arial" w:hAnsi="Arial" w:cs="Arial"/>
          <w:lang w:val="en-GB"/>
        </w:rPr>
      </w:pPr>
      <w:r w:rsidRPr="005649CB">
        <w:rPr>
          <w:rFonts w:ascii="Arial" w:hAnsi="Arial" w:cs="Tahoma"/>
          <w:szCs w:val="22"/>
          <w:lang w:val="en-GB"/>
        </w:rPr>
        <w:t>[2]</w:t>
      </w:r>
      <w:r w:rsidRPr="005649CB">
        <w:rPr>
          <w:rFonts w:ascii="Arial" w:hAnsi="Arial" w:cs="Tahoma"/>
          <w:szCs w:val="22"/>
          <w:lang w:val="en-GB"/>
        </w:rPr>
        <w:tab/>
      </w:r>
      <w:r w:rsidR="00EC7DF2" w:rsidRPr="005649CB">
        <w:rPr>
          <w:rFonts w:ascii="Arial" w:hAnsi="Arial" w:cs="Arial"/>
          <w:lang w:val="en-GB"/>
        </w:rPr>
        <w:t xml:space="preserve">The pertinent allegations advanced by the plaintiff are that: </w:t>
      </w:r>
    </w:p>
    <w:p w14:paraId="08B20ECF" w14:textId="439063E1" w:rsidR="00EC7DF2" w:rsidRPr="005649CB" w:rsidRDefault="001F1A86" w:rsidP="001F1A86">
      <w:pPr>
        <w:tabs>
          <w:tab w:val="left" w:pos="1757"/>
        </w:tabs>
        <w:spacing w:before="240" w:after="120" w:line="480" w:lineRule="auto"/>
        <w:ind w:left="1757" w:hanging="1066"/>
        <w:jc w:val="both"/>
        <w:rPr>
          <w:rFonts w:ascii="Arial" w:hAnsi="Arial" w:cs="Arial"/>
          <w:lang w:val="en-GB"/>
        </w:rPr>
      </w:pPr>
      <w:r w:rsidRPr="005649CB">
        <w:rPr>
          <w:rFonts w:ascii="Arial" w:hAnsi="Arial" w:cs="Tahoma"/>
          <w:szCs w:val="22"/>
          <w:lang w:val="en-GB"/>
        </w:rPr>
        <w:t>[2.1]</w:t>
      </w:r>
      <w:r w:rsidRPr="005649CB">
        <w:rPr>
          <w:rFonts w:ascii="Arial" w:hAnsi="Arial" w:cs="Tahoma"/>
          <w:szCs w:val="22"/>
          <w:lang w:val="en-GB"/>
        </w:rPr>
        <w:tab/>
      </w:r>
      <w:r w:rsidR="00EC7DF2" w:rsidRPr="005649CB">
        <w:rPr>
          <w:rFonts w:ascii="Arial" w:hAnsi="Arial" w:cs="Arial"/>
          <w:lang w:val="en-GB"/>
        </w:rPr>
        <w:t xml:space="preserve">The defendant is a municipality established in terms of section 12 of the Local Government Structures Act 117 of 1998; </w:t>
      </w:r>
    </w:p>
    <w:p w14:paraId="6EF69EDD" w14:textId="2F53F951" w:rsidR="00EC7DF2" w:rsidRPr="005649CB" w:rsidRDefault="001F1A86" w:rsidP="001F1A86">
      <w:pPr>
        <w:tabs>
          <w:tab w:val="left" w:pos="1757"/>
        </w:tabs>
        <w:spacing w:before="240" w:after="120" w:line="480" w:lineRule="auto"/>
        <w:ind w:left="1757" w:hanging="1066"/>
        <w:jc w:val="both"/>
        <w:rPr>
          <w:rFonts w:ascii="Arial" w:hAnsi="Arial" w:cs="Arial"/>
          <w:lang w:val="en-GB"/>
        </w:rPr>
      </w:pPr>
      <w:r w:rsidRPr="005649CB">
        <w:rPr>
          <w:rFonts w:ascii="Arial" w:hAnsi="Arial" w:cs="Tahoma"/>
          <w:szCs w:val="22"/>
          <w:lang w:val="en-GB"/>
        </w:rPr>
        <w:t>[2.2]</w:t>
      </w:r>
      <w:r w:rsidRPr="005649CB">
        <w:rPr>
          <w:rFonts w:ascii="Arial" w:hAnsi="Arial" w:cs="Tahoma"/>
          <w:szCs w:val="22"/>
          <w:lang w:val="en-GB"/>
        </w:rPr>
        <w:tab/>
      </w:r>
      <w:r w:rsidR="00EC7DF2" w:rsidRPr="005649CB">
        <w:rPr>
          <w:rFonts w:ascii="Arial" w:hAnsi="Arial" w:cs="Arial"/>
          <w:lang w:val="en-GB"/>
        </w:rPr>
        <w:t xml:space="preserve">At all material times, the defendant was responsible for the development, maintenance and upgrades of all roads, sewerage draining systems and general development of the area within its jurisdiction in Gauteng and more particularly in and around Soweto; </w:t>
      </w:r>
    </w:p>
    <w:p w14:paraId="734AECBA" w14:textId="1FDE5447" w:rsidR="00EC7DF2" w:rsidRPr="005649CB" w:rsidRDefault="001F1A86" w:rsidP="001F1A86">
      <w:pPr>
        <w:tabs>
          <w:tab w:val="left" w:pos="1757"/>
        </w:tabs>
        <w:spacing w:before="240" w:after="120" w:line="480" w:lineRule="auto"/>
        <w:ind w:left="1757" w:hanging="1066"/>
        <w:jc w:val="both"/>
        <w:rPr>
          <w:rFonts w:ascii="Arial" w:hAnsi="Arial" w:cs="Arial"/>
          <w:lang w:val="en-GB"/>
        </w:rPr>
      </w:pPr>
      <w:r w:rsidRPr="005649CB">
        <w:rPr>
          <w:rFonts w:ascii="Arial" w:hAnsi="Arial" w:cs="Tahoma"/>
          <w:szCs w:val="22"/>
          <w:lang w:val="en-GB"/>
        </w:rPr>
        <w:t>[2.3]</w:t>
      </w:r>
      <w:r w:rsidRPr="005649CB">
        <w:rPr>
          <w:rFonts w:ascii="Arial" w:hAnsi="Arial" w:cs="Tahoma"/>
          <w:szCs w:val="22"/>
          <w:lang w:val="en-GB"/>
        </w:rPr>
        <w:tab/>
      </w:r>
      <w:r w:rsidR="00EC7DF2" w:rsidRPr="005649CB">
        <w:rPr>
          <w:rFonts w:ascii="Arial" w:hAnsi="Arial" w:cs="Arial"/>
          <w:lang w:val="en-GB"/>
        </w:rPr>
        <w:t xml:space="preserve">On or about 11 November 2021 and at or near Kama Road and Mosiane Street, Soweto, the plaintiff was walking and stepped on an open municipal manhole, stumbled and fell, resulting in certain pleaded injuries; </w:t>
      </w:r>
    </w:p>
    <w:p w14:paraId="02F8811F" w14:textId="1948FB53" w:rsidR="00EC7DF2" w:rsidRPr="005649CB" w:rsidRDefault="001F1A86" w:rsidP="001F1A86">
      <w:pPr>
        <w:tabs>
          <w:tab w:val="left" w:pos="1757"/>
        </w:tabs>
        <w:spacing w:before="240" w:after="120" w:line="480" w:lineRule="auto"/>
        <w:ind w:left="1757" w:hanging="1066"/>
        <w:jc w:val="both"/>
        <w:rPr>
          <w:rFonts w:ascii="Arial" w:hAnsi="Arial" w:cs="Arial"/>
          <w:lang w:val="en-GB"/>
        </w:rPr>
      </w:pPr>
      <w:r w:rsidRPr="005649CB">
        <w:rPr>
          <w:rFonts w:ascii="Arial" w:hAnsi="Arial" w:cs="Tahoma"/>
          <w:szCs w:val="22"/>
          <w:lang w:val="en-GB"/>
        </w:rPr>
        <w:t>[2.4]</w:t>
      </w:r>
      <w:r w:rsidRPr="005649CB">
        <w:rPr>
          <w:rFonts w:ascii="Arial" w:hAnsi="Arial" w:cs="Tahoma"/>
          <w:szCs w:val="22"/>
          <w:lang w:val="en-GB"/>
        </w:rPr>
        <w:tab/>
      </w:r>
      <w:r w:rsidR="00EC7DF2" w:rsidRPr="005649CB">
        <w:rPr>
          <w:rFonts w:ascii="Arial" w:hAnsi="Arial" w:cs="Arial"/>
          <w:lang w:val="en-GB"/>
        </w:rPr>
        <w:t>The defendant caused the construction of the manhole and accordingly “</w:t>
      </w:r>
      <w:r w:rsidR="00EC7DF2" w:rsidRPr="005649CB">
        <w:rPr>
          <w:rFonts w:ascii="Arial" w:hAnsi="Arial" w:cs="Arial"/>
          <w:i/>
          <w:iCs/>
          <w:lang w:val="en-GB"/>
        </w:rPr>
        <w:t>... had legal way to keep it closed at all times</w:t>
      </w:r>
      <w:r w:rsidR="00EC7DF2" w:rsidRPr="005649CB">
        <w:rPr>
          <w:rFonts w:ascii="Arial" w:hAnsi="Arial" w:cs="Arial"/>
          <w:lang w:val="en-GB"/>
        </w:rPr>
        <w:t xml:space="preserve">”; </w:t>
      </w:r>
    </w:p>
    <w:p w14:paraId="6EC8CA8C" w14:textId="05048402" w:rsidR="00EC7DF2" w:rsidRPr="005649CB" w:rsidRDefault="001F1A86" w:rsidP="001F1A86">
      <w:pPr>
        <w:tabs>
          <w:tab w:val="left" w:pos="1757"/>
        </w:tabs>
        <w:spacing w:before="240" w:after="120" w:line="480" w:lineRule="auto"/>
        <w:ind w:left="1757" w:hanging="1066"/>
        <w:jc w:val="both"/>
        <w:rPr>
          <w:rFonts w:ascii="Arial" w:hAnsi="Arial" w:cs="Arial"/>
          <w:lang w:val="en-GB"/>
        </w:rPr>
      </w:pPr>
      <w:r w:rsidRPr="005649CB">
        <w:rPr>
          <w:rFonts w:ascii="Arial" w:hAnsi="Arial" w:cs="Tahoma"/>
          <w:szCs w:val="22"/>
          <w:lang w:val="en-GB"/>
        </w:rPr>
        <w:t>[2.5]</w:t>
      </w:r>
      <w:r w:rsidRPr="005649CB">
        <w:rPr>
          <w:rFonts w:ascii="Arial" w:hAnsi="Arial" w:cs="Tahoma"/>
          <w:szCs w:val="22"/>
          <w:lang w:val="en-GB"/>
        </w:rPr>
        <w:tab/>
      </w:r>
      <w:r w:rsidR="00EC7DF2" w:rsidRPr="005649CB">
        <w:rPr>
          <w:rFonts w:ascii="Arial" w:hAnsi="Arial" w:cs="Arial"/>
          <w:lang w:val="en-GB"/>
        </w:rPr>
        <w:t xml:space="preserve">The aforesaid incident was caused by the sole negligence of the defendant who was negligent in the following ways: </w:t>
      </w:r>
    </w:p>
    <w:p w14:paraId="5FAA292F" w14:textId="6A421AA1" w:rsidR="00EC7DF2" w:rsidRPr="005649CB" w:rsidRDefault="001F1A86" w:rsidP="001F1A86">
      <w:pPr>
        <w:tabs>
          <w:tab w:val="left" w:pos="2880"/>
        </w:tabs>
        <w:spacing w:before="240" w:after="120" w:line="480" w:lineRule="auto"/>
        <w:ind w:left="2880" w:hanging="1123"/>
        <w:jc w:val="both"/>
        <w:rPr>
          <w:rFonts w:ascii="Arial" w:hAnsi="Arial" w:cs="Arial"/>
          <w:lang w:val="en-GB"/>
        </w:rPr>
      </w:pPr>
      <w:r w:rsidRPr="005649CB">
        <w:rPr>
          <w:rFonts w:ascii="Arial" w:hAnsi="Arial" w:cs="Tahoma"/>
          <w:szCs w:val="22"/>
          <w:lang w:val="en-GB"/>
        </w:rPr>
        <w:t>[2.5.1]</w:t>
      </w:r>
      <w:r w:rsidRPr="005649CB">
        <w:rPr>
          <w:rFonts w:ascii="Arial" w:hAnsi="Arial" w:cs="Tahoma"/>
          <w:szCs w:val="22"/>
          <w:lang w:val="en-GB"/>
        </w:rPr>
        <w:tab/>
      </w:r>
      <w:r w:rsidR="00EC7DF2" w:rsidRPr="005649CB">
        <w:rPr>
          <w:rFonts w:ascii="Arial" w:hAnsi="Arial" w:cs="Arial"/>
          <w:lang w:val="en-GB"/>
        </w:rPr>
        <w:t xml:space="preserve">It failed to maintain the manhole appropriately or at all; </w:t>
      </w:r>
    </w:p>
    <w:p w14:paraId="6E5EF148" w14:textId="73E66F20" w:rsidR="00EC7DF2" w:rsidRPr="005649CB" w:rsidRDefault="001F1A86" w:rsidP="001F1A86">
      <w:pPr>
        <w:tabs>
          <w:tab w:val="left" w:pos="2880"/>
        </w:tabs>
        <w:spacing w:before="240" w:after="120" w:line="480" w:lineRule="auto"/>
        <w:ind w:left="2880" w:hanging="1123"/>
        <w:jc w:val="both"/>
        <w:rPr>
          <w:rFonts w:ascii="Arial" w:hAnsi="Arial" w:cs="Arial"/>
          <w:lang w:val="en-GB"/>
        </w:rPr>
      </w:pPr>
      <w:r w:rsidRPr="005649CB">
        <w:rPr>
          <w:rFonts w:ascii="Arial" w:hAnsi="Arial" w:cs="Tahoma"/>
          <w:szCs w:val="22"/>
          <w:lang w:val="en-GB"/>
        </w:rPr>
        <w:t>[2.5.2]</w:t>
      </w:r>
      <w:r w:rsidRPr="005649CB">
        <w:rPr>
          <w:rFonts w:ascii="Arial" w:hAnsi="Arial" w:cs="Tahoma"/>
          <w:szCs w:val="22"/>
          <w:lang w:val="en-GB"/>
        </w:rPr>
        <w:tab/>
      </w:r>
      <w:r w:rsidR="00EC7DF2" w:rsidRPr="005649CB">
        <w:rPr>
          <w:rFonts w:ascii="Arial" w:hAnsi="Arial" w:cs="Arial"/>
          <w:lang w:val="en-GB"/>
        </w:rPr>
        <w:t xml:space="preserve">It failed to put a notice of a sign to notify road users of the existence of the open manhole; and </w:t>
      </w:r>
    </w:p>
    <w:p w14:paraId="03DF2638" w14:textId="59D5A34C" w:rsidR="00EC7DF2" w:rsidRPr="005649CB" w:rsidRDefault="001F1A86" w:rsidP="001F1A86">
      <w:pPr>
        <w:tabs>
          <w:tab w:val="left" w:pos="2880"/>
        </w:tabs>
        <w:spacing w:before="240" w:after="120" w:line="480" w:lineRule="auto"/>
        <w:ind w:left="2880" w:hanging="1123"/>
        <w:jc w:val="both"/>
        <w:rPr>
          <w:rFonts w:ascii="Arial" w:hAnsi="Arial" w:cs="Arial"/>
          <w:lang w:val="en-GB"/>
        </w:rPr>
      </w:pPr>
      <w:r w:rsidRPr="005649CB">
        <w:rPr>
          <w:rFonts w:ascii="Arial" w:hAnsi="Arial" w:cs="Tahoma"/>
          <w:szCs w:val="22"/>
          <w:lang w:val="en-GB"/>
        </w:rPr>
        <w:lastRenderedPageBreak/>
        <w:t>[2.5.3]</w:t>
      </w:r>
      <w:r w:rsidRPr="005649CB">
        <w:rPr>
          <w:rFonts w:ascii="Arial" w:hAnsi="Arial" w:cs="Tahoma"/>
          <w:szCs w:val="22"/>
          <w:lang w:val="en-GB"/>
        </w:rPr>
        <w:tab/>
      </w:r>
      <w:r w:rsidR="00EC7DF2" w:rsidRPr="005649CB">
        <w:rPr>
          <w:rFonts w:ascii="Arial" w:hAnsi="Arial" w:cs="Arial"/>
          <w:lang w:val="en-GB"/>
        </w:rPr>
        <w:t xml:space="preserve">It failed to keep the street and its pavement in a safe condition as per its constitutional mandate and duty. </w:t>
      </w:r>
    </w:p>
    <w:p w14:paraId="7A4162A5" w14:textId="23219173" w:rsidR="00EC7DF2" w:rsidRPr="005649CB" w:rsidRDefault="001F1A86" w:rsidP="001F1A86">
      <w:pPr>
        <w:spacing w:before="240" w:after="120" w:line="480" w:lineRule="auto"/>
        <w:ind w:left="691" w:hanging="691"/>
        <w:jc w:val="both"/>
        <w:rPr>
          <w:rFonts w:ascii="Arial" w:hAnsi="Arial" w:cs="Arial"/>
          <w:lang w:val="en-GB"/>
        </w:rPr>
      </w:pPr>
      <w:r w:rsidRPr="005649CB">
        <w:rPr>
          <w:rFonts w:ascii="Arial" w:hAnsi="Arial" w:cs="Tahoma"/>
          <w:szCs w:val="22"/>
          <w:lang w:val="en-GB"/>
        </w:rPr>
        <w:t>[3]</w:t>
      </w:r>
      <w:r w:rsidRPr="005649CB">
        <w:rPr>
          <w:rFonts w:ascii="Arial" w:hAnsi="Arial" w:cs="Tahoma"/>
          <w:szCs w:val="22"/>
          <w:lang w:val="en-GB"/>
        </w:rPr>
        <w:tab/>
      </w:r>
      <w:r w:rsidR="00EC7DF2" w:rsidRPr="005649CB">
        <w:rPr>
          <w:rFonts w:ascii="Arial" w:hAnsi="Arial" w:cs="Arial"/>
          <w:lang w:val="en-GB"/>
        </w:rPr>
        <w:t>The defendant raises two exceptions to the plaintiff’s particulars of claim. In its first complaint, the defendant asserts that the plaintiff has failed to plead “</w:t>
      </w:r>
      <w:r w:rsidR="00EC7DF2" w:rsidRPr="005649CB">
        <w:rPr>
          <w:rFonts w:ascii="Arial" w:hAnsi="Arial" w:cs="Arial"/>
          <w:i/>
          <w:iCs/>
          <w:lang w:val="en-GB"/>
        </w:rPr>
        <w:t>on what basis in law the Defendant is liable for the plaintiff’s alleged claim</w:t>
      </w:r>
      <w:r w:rsidR="00EC7DF2" w:rsidRPr="005649CB">
        <w:rPr>
          <w:rFonts w:ascii="Arial" w:hAnsi="Arial" w:cs="Arial"/>
          <w:lang w:val="en-GB"/>
        </w:rPr>
        <w:t xml:space="preserve">”.  Properly understood, the defendant’s complaint is directed at the question of wrongfulness. In particular, the defendant complaints that the source of the alleged duties </w:t>
      </w:r>
      <w:r w:rsidR="00C85304">
        <w:rPr>
          <w:rFonts w:ascii="Arial" w:hAnsi="Arial" w:cs="Arial"/>
          <w:lang w:val="en-GB"/>
        </w:rPr>
        <w:t>relied upon by the plaintiff</w:t>
      </w:r>
      <w:r w:rsidR="00E418DB" w:rsidRPr="005649CB">
        <w:rPr>
          <w:rFonts w:ascii="Arial" w:hAnsi="Arial" w:cs="Arial"/>
          <w:lang w:val="en-GB"/>
        </w:rPr>
        <w:t xml:space="preserve"> are not pleaded. </w:t>
      </w:r>
    </w:p>
    <w:p w14:paraId="2614FD41" w14:textId="20D193D8" w:rsidR="00E418DB" w:rsidRPr="005649CB" w:rsidRDefault="001F1A86" w:rsidP="001F1A86">
      <w:pPr>
        <w:spacing w:before="240" w:after="120" w:line="480" w:lineRule="auto"/>
        <w:ind w:left="691" w:hanging="691"/>
        <w:jc w:val="both"/>
        <w:rPr>
          <w:rFonts w:ascii="Arial" w:hAnsi="Arial" w:cs="Arial"/>
          <w:lang w:val="en-GB"/>
        </w:rPr>
      </w:pPr>
      <w:r w:rsidRPr="005649CB">
        <w:rPr>
          <w:rFonts w:ascii="Arial" w:hAnsi="Arial" w:cs="Tahoma"/>
          <w:szCs w:val="22"/>
          <w:lang w:val="en-GB"/>
        </w:rPr>
        <w:t>[4]</w:t>
      </w:r>
      <w:r w:rsidRPr="005649CB">
        <w:rPr>
          <w:rFonts w:ascii="Arial" w:hAnsi="Arial" w:cs="Tahoma"/>
          <w:szCs w:val="22"/>
          <w:lang w:val="en-GB"/>
        </w:rPr>
        <w:tab/>
      </w:r>
      <w:r w:rsidR="00E418DB" w:rsidRPr="005649CB">
        <w:rPr>
          <w:rFonts w:ascii="Arial" w:hAnsi="Arial" w:cs="Arial"/>
          <w:lang w:val="en-GB"/>
        </w:rPr>
        <w:t xml:space="preserve">In the result, the defendant contends that the plaintiff’s particulars of claim lack averments necessary to sustain a cause of action. </w:t>
      </w:r>
    </w:p>
    <w:p w14:paraId="6F963AB9" w14:textId="37465903" w:rsidR="00C85304" w:rsidRDefault="001F1A86" w:rsidP="001F1A86">
      <w:pPr>
        <w:spacing w:before="240" w:after="120" w:line="480" w:lineRule="auto"/>
        <w:ind w:left="691" w:hanging="691"/>
        <w:jc w:val="both"/>
        <w:rPr>
          <w:rFonts w:ascii="Arial" w:hAnsi="Arial" w:cs="Arial"/>
          <w:lang w:val="en-GB"/>
        </w:rPr>
      </w:pPr>
      <w:r>
        <w:rPr>
          <w:rFonts w:ascii="Arial" w:hAnsi="Arial" w:cs="Tahoma"/>
          <w:szCs w:val="22"/>
          <w:lang w:val="en-GB"/>
        </w:rPr>
        <w:t>[5]</w:t>
      </w:r>
      <w:r>
        <w:rPr>
          <w:rFonts w:ascii="Arial" w:hAnsi="Arial" w:cs="Tahoma"/>
          <w:szCs w:val="22"/>
          <w:lang w:val="en-GB"/>
        </w:rPr>
        <w:tab/>
      </w:r>
      <w:r w:rsidR="00E418DB" w:rsidRPr="005649CB">
        <w:rPr>
          <w:rFonts w:ascii="Arial" w:hAnsi="Arial" w:cs="Arial"/>
          <w:lang w:val="en-GB"/>
        </w:rPr>
        <w:t xml:space="preserve">In its second complaint, the defendant contends that the particulars of claim are vague and embarrassing because the plaintiff does not plead </w:t>
      </w:r>
      <w:r w:rsidR="00C85304">
        <w:rPr>
          <w:rFonts w:ascii="Arial" w:hAnsi="Arial" w:cs="Arial"/>
          <w:lang w:val="en-GB"/>
        </w:rPr>
        <w:t xml:space="preserve">the time of day at which the alleged incident took place. </w:t>
      </w:r>
    </w:p>
    <w:p w14:paraId="2570ED88" w14:textId="558A575C" w:rsidR="00E418DB" w:rsidRPr="005649CB" w:rsidRDefault="001F1A86" w:rsidP="001F1A86">
      <w:pPr>
        <w:spacing w:before="240" w:after="120" w:line="480" w:lineRule="auto"/>
        <w:ind w:left="691" w:hanging="691"/>
        <w:jc w:val="both"/>
        <w:rPr>
          <w:rFonts w:ascii="Arial" w:hAnsi="Arial" w:cs="Arial"/>
          <w:lang w:val="en-GB"/>
        </w:rPr>
      </w:pPr>
      <w:r w:rsidRPr="005649CB">
        <w:rPr>
          <w:rFonts w:ascii="Arial" w:hAnsi="Arial" w:cs="Tahoma"/>
          <w:szCs w:val="22"/>
          <w:lang w:val="en-GB"/>
        </w:rPr>
        <w:t>[6]</w:t>
      </w:r>
      <w:r w:rsidRPr="005649CB">
        <w:rPr>
          <w:rFonts w:ascii="Arial" w:hAnsi="Arial" w:cs="Tahoma"/>
          <w:szCs w:val="22"/>
          <w:lang w:val="en-GB"/>
        </w:rPr>
        <w:tab/>
      </w:r>
      <w:r w:rsidR="00E418DB" w:rsidRPr="005649CB">
        <w:rPr>
          <w:rFonts w:ascii="Arial" w:hAnsi="Arial" w:cs="Arial"/>
          <w:lang w:val="en-GB"/>
        </w:rPr>
        <w:t xml:space="preserve">I intend to deal with each complaint separately. </w:t>
      </w:r>
    </w:p>
    <w:p w14:paraId="37F77361" w14:textId="51287BA7" w:rsidR="00E418DB" w:rsidRPr="005649CB" w:rsidRDefault="00E418DB" w:rsidP="00E418DB">
      <w:pPr>
        <w:spacing w:before="240" w:after="120" w:line="480" w:lineRule="auto"/>
        <w:jc w:val="both"/>
        <w:rPr>
          <w:rFonts w:ascii="Arial" w:hAnsi="Arial" w:cs="Arial"/>
          <w:b/>
          <w:bCs/>
          <w:lang w:val="en-GB"/>
        </w:rPr>
      </w:pPr>
      <w:r w:rsidRPr="005649CB">
        <w:rPr>
          <w:rFonts w:ascii="Arial" w:hAnsi="Arial" w:cs="Arial"/>
          <w:b/>
          <w:bCs/>
          <w:lang w:val="en-GB"/>
        </w:rPr>
        <w:t xml:space="preserve">THE FIRST COMPLAINT </w:t>
      </w:r>
    </w:p>
    <w:p w14:paraId="12DF9073" w14:textId="42B2844D" w:rsidR="00E418DB" w:rsidRPr="005649CB" w:rsidRDefault="001F1A86" w:rsidP="001F1A86">
      <w:pPr>
        <w:spacing w:before="240" w:after="120" w:line="480" w:lineRule="auto"/>
        <w:ind w:left="691" w:hanging="691"/>
        <w:jc w:val="both"/>
        <w:rPr>
          <w:rFonts w:ascii="Arial" w:hAnsi="Arial" w:cs="Arial"/>
          <w:lang w:val="en-GB"/>
        </w:rPr>
      </w:pPr>
      <w:r w:rsidRPr="005649CB">
        <w:rPr>
          <w:rFonts w:ascii="Arial" w:hAnsi="Arial" w:cs="Tahoma"/>
          <w:szCs w:val="22"/>
          <w:lang w:val="en-GB"/>
        </w:rPr>
        <w:t>[7]</w:t>
      </w:r>
      <w:r w:rsidRPr="005649CB">
        <w:rPr>
          <w:rFonts w:ascii="Arial" w:hAnsi="Arial" w:cs="Tahoma"/>
          <w:szCs w:val="22"/>
          <w:lang w:val="en-GB"/>
        </w:rPr>
        <w:tab/>
      </w:r>
      <w:r w:rsidR="00E418DB" w:rsidRPr="005649CB">
        <w:rPr>
          <w:rFonts w:ascii="Arial" w:hAnsi="Arial" w:cs="Arial"/>
          <w:lang w:val="en-GB"/>
        </w:rPr>
        <w:t xml:space="preserve">The plaintiff’s claim is based on the </w:t>
      </w:r>
      <w:r w:rsidR="00E418DB" w:rsidRPr="005649CB">
        <w:rPr>
          <w:rFonts w:ascii="Arial" w:hAnsi="Arial" w:cs="Arial"/>
          <w:i/>
          <w:iCs/>
          <w:lang w:val="en-GB"/>
        </w:rPr>
        <w:t>actio legis Aquiliae</w:t>
      </w:r>
      <w:r w:rsidR="00E418DB" w:rsidRPr="005649CB">
        <w:rPr>
          <w:rFonts w:ascii="Arial" w:hAnsi="Arial" w:cs="Arial"/>
          <w:lang w:val="en-GB"/>
        </w:rPr>
        <w:t xml:space="preserve">, which entitles a plaintiff to recover patrimonial loss suffered through a wrongful and negligent act of the defendant.  As mentioned above, the defendant’s first complaint is directed at the element of wrongfulness. </w:t>
      </w:r>
    </w:p>
    <w:p w14:paraId="639C8254" w14:textId="2F49F115" w:rsidR="00E418DB" w:rsidRPr="005649CB" w:rsidRDefault="001F1A86" w:rsidP="001F1A86">
      <w:pPr>
        <w:spacing w:before="240" w:after="120" w:line="480" w:lineRule="auto"/>
        <w:ind w:left="691" w:hanging="691"/>
        <w:jc w:val="both"/>
        <w:rPr>
          <w:rFonts w:ascii="Arial" w:hAnsi="Arial" w:cs="Arial"/>
          <w:lang w:val="en-GB"/>
        </w:rPr>
      </w:pPr>
      <w:r w:rsidRPr="005649CB">
        <w:rPr>
          <w:rFonts w:ascii="Arial" w:hAnsi="Arial" w:cs="Tahoma"/>
          <w:szCs w:val="22"/>
          <w:lang w:val="en-GB"/>
        </w:rPr>
        <w:t>[</w:t>
      </w:r>
      <w:bookmarkStart w:id="0" w:name="_GoBack"/>
      <w:bookmarkEnd w:id="0"/>
      <w:r w:rsidRPr="005649CB">
        <w:rPr>
          <w:rFonts w:ascii="Arial" w:hAnsi="Arial" w:cs="Tahoma"/>
          <w:szCs w:val="22"/>
          <w:lang w:val="en-GB"/>
        </w:rPr>
        <w:t>8]</w:t>
      </w:r>
      <w:r w:rsidRPr="005649CB">
        <w:rPr>
          <w:rFonts w:ascii="Arial" w:hAnsi="Arial" w:cs="Tahoma"/>
          <w:szCs w:val="22"/>
          <w:lang w:val="en-GB"/>
        </w:rPr>
        <w:tab/>
      </w:r>
      <w:r w:rsidR="00E418DB" w:rsidRPr="005649CB">
        <w:rPr>
          <w:rFonts w:ascii="Arial" w:hAnsi="Arial" w:cs="Arial"/>
          <w:lang w:val="en-GB"/>
        </w:rPr>
        <w:t xml:space="preserve">Wrongfulness can manifest itself in different ways as, for example, a breach of a common law right, a particular statutory duty or a duty of care. </w:t>
      </w:r>
    </w:p>
    <w:p w14:paraId="0A22D1D1" w14:textId="2305C457" w:rsidR="00E418DB" w:rsidRPr="005649CB" w:rsidRDefault="001F1A86" w:rsidP="001F1A86">
      <w:pPr>
        <w:spacing w:before="240" w:after="120" w:line="480" w:lineRule="auto"/>
        <w:ind w:left="691" w:hanging="691"/>
        <w:jc w:val="both"/>
        <w:rPr>
          <w:rFonts w:ascii="Arial" w:hAnsi="Arial" w:cs="Arial"/>
          <w:lang w:val="en-GB"/>
        </w:rPr>
      </w:pPr>
      <w:r w:rsidRPr="005649CB">
        <w:rPr>
          <w:rFonts w:ascii="Arial" w:hAnsi="Arial" w:cs="Tahoma"/>
          <w:szCs w:val="22"/>
          <w:lang w:val="en-GB"/>
        </w:rPr>
        <w:lastRenderedPageBreak/>
        <w:t>[9]</w:t>
      </w:r>
      <w:r w:rsidRPr="005649CB">
        <w:rPr>
          <w:rFonts w:ascii="Arial" w:hAnsi="Arial" w:cs="Tahoma"/>
          <w:szCs w:val="22"/>
          <w:lang w:val="en-GB"/>
        </w:rPr>
        <w:tab/>
      </w:r>
      <w:r w:rsidR="00E418DB" w:rsidRPr="005649CB">
        <w:rPr>
          <w:rFonts w:ascii="Arial" w:hAnsi="Arial" w:cs="Arial"/>
          <w:lang w:val="en-GB"/>
        </w:rPr>
        <w:t>In the latter case, where a specific breach of a duty such as a banker’s duty to the plaintiff who is not a client or a public authority’s duty is relied on, the nature of the duty must be stated</w:t>
      </w:r>
      <w:r w:rsidR="00A9776C">
        <w:rPr>
          <w:rStyle w:val="FootnoteReference"/>
          <w:rFonts w:ascii="Arial" w:hAnsi="Arial" w:cs="Arial"/>
          <w:lang w:val="en-GB"/>
        </w:rPr>
        <w:footnoteReference w:id="1"/>
      </w:r>
      <w:r w:rsidR="00E418DB" w:rsidRPr="005649CB">
        <w:rPr>
          <w:rFonts w:ascii="Arial" w:hAnsi="Arial" w:cs="Arial"/>
          <w:lang w:val="en-GB"/>
        </w:rPr>
        <w:t xml:space="preserve">. </w:t>
      </w:r>
    </w:p>
    <w:p w14:paraId="1FD464D7" w14:textId="7CCEC26D" w:rsidR="00E418DB" w:rsidRPr="005649CB" w:rsidRDefault="001F1A86" w:rsidP="001F1A86">
      <w:pPr>
        <w:spacing w:before="240" w:after="120" w:line="480" w:lineRule="auto"/>
        <w:ind w:left="691" w:hanging="691"/>
        <w:jc w:val="both"/>
        <w:rPr>
          <w:rFonts w:ascii="Arial" w:hAnsi="Arial" w:cs="Arial"/>
          <w:lang w:val="en-GB"/>
        </w:rPr>
      </w:pPr>
      <w:r w:rsidRPr="005649CB">
        <w:rPr>
          <w:rFonts w:ascii="Arial" w:hAnsi="Arial" w:cs="Tahoma"/>
          <w:szCs w:val="22"/>
          <w:lang w:val="en-GB"/>
        </w:rPr>
        <w:t>[10]</w:t>
      </w:r>
      <w:r w:rsidRPr="005649CB">
        <w:rPr>
          <w:rFonts w:ascii="Arial" w:hAnsi="Arial" w:cs="Tahoma"/>
          <w:szCs w:val="22"/>
          <w:lang w:val="en-GB"/>
        </w:rPr>
        <w:tab/>
      </w:r>
      <w:r w:rsidR="00E418DB" w:rsidRPr="005649CB">
        <w:rPr>
          <w:rFonts w:ascii="Arial" w:hAnsi="Arial" w:cs="Arial"/>
          <w:lang w:val="en-GB"/>
        </w:rPr>
        <w:t>What this entails, is not only that the duty relie</w:t>
      </w:r>
      <w:r w:rsidR="0028709B">
        <w:rPr>
          <w:rFonts w:ascii="Arial" w:hAnsi="Arial" w:cs="Arial"/>
          <w:lang w:val="en-GB"/>
        </w:rPr>
        <w:t>d</w:t>
      </w:r>
      <w:r w:rsidR="00E418DB" w:rsidRPr="005649CB">
        <w:rPr>
          <w:rFonts w:ascii="Arial" w:hAnsi="Arial" w:cs="Arial"/>
          <w:lang w:val="en-GB"/>
        </w:rPr>
        <w:t xml:space="preserve"> upon be pleaded, but that the source from which it is derived be clearly set out.  A mere allegation that the defendant was under a duty of care is insufficient because the existence of a duty to prevent loss is a conclusion of law depending on all the circumstances of the case. </w:t>
      </w:r>
    </w:p>
    <w:p w14:paraId="5A2879B7" w14:textId="4ADF8A70" w:rsidR="00E418DB" w:rsidRPr="005649CB" w:rsidRDefault="001F1A86" w:rsidP="001F1A86">
      <w:pPr>
        <w:spacing w:before="240" w:after="120" w:line="480" w:lineRule="auto"/>
        <w:ind w:left="691" w:hanging="691"/>
        <w:jc w:val="both"/>
        <w:rPr>
          <w:rFonts w:ascii="Arial" w:hAnsi="Arial" w:cs="Arial"/>
          <w:lang w:val="en-GB"/>
        </w:rPr>
      </w:pPr>
      <w:r w:rsidRPr="005649CB">
        <w:rPr>
          <w:rFonts w:ascii="Arial" w:hAnsi="Arial" w:cs="Tahoma"/>
          <w:szCs w:val="22"/>
          <w:lang w:val="en-GB"/>
        </w:rPr>
        <w:t>[11]</w:t>
      </w:r>
      <w:r w:rsidRPr="005649CB">
        <w:rPr>
          <w:rFonts w:ascii="Arial" w:hAnsi="Arial" w:cs="Tahoma"/>
          <w:szCs w:val="22"/>
          <w:lang w:val="en-GB"/>
        </w:rPr>
        <w:tab/>
      </w:r>
      <w:r w:rsidR="00E418DB" w:rsidRPr="005649CB">
        <w:rPr>
          <w:rFonts w:ascii="Arial" w:hAnsi="Arial" w:cs="Arial"/>
          <w:lang w:val="en-GB"/>
        </w:rPr>
        <w:t xml:space="preserve">The general nature of the enquiry is stated in the well-known passage attributed to Fleming, </w:t>
      </w:r>
      <w:r w:rsidR="00E418DB" w:rsidRPr="005649CB">
        <w:rPr>
          <w:rFonts w:ascii="Arial" w:hAnsi="Arial" w:cs="Arial"/>
          <w:i/>
          <w:iCs/>
          <w:lang w:val="en-GB"/>
        </w:rPr>
        <w:t>The Law of Torts</w:t>
      </w:r>
      <w:r w:rsidR="00E418DB" w:rsidRPr="005649CB">
        <w:rPr>
          <w:rFonts w:ascii="Arial" w:hAnsi="Arial" w:cs="Arial"/>
          <w:lang w:val="en-GB"/>
        </w:rPr>
        <w:t>, 4</w:t>
      </w:r>
      <w:r w:rsidR="00E418DB" w:rsidRPr="005649CB">
        <w:rPr>
          <w:rFonts w:ascii="Arial" w:hAnsi="Arial" w:cs="Arial"/>
          <w:vertAlign w:val="superscript"/>
          <w:lang w:val="en-GB"/>
        </w:rPr>
        <w:t>th</w:t>
      </w:r>
      <w:r w:rsidR="00E418DB" w:rsidRPr="005649CB">
        <w:rPr>
          <w:rFonts w:ascii="Arial" w:hAnsi="Arial" w:cs="Arial"/>
          <w:lang w:val="en-GB"/>
        </w:rPr>
        <w:t xml:space="preserve"> edition at </w:t>
      </w:r>
      <w:r w:rsidR="0028709B">
        <w:rPr>
          <w:rFonts w:ascii="Arial" w:hAnsi="Arial" w:cs="Arial"/>
          <w:lang w:val="en-GB"/>
        </w:rPr>
        <w:t xml:space="preserve">page </w:t>
      </w:r>
      <w:r w:rsidR="00E418DB" w:rsidRPr="005649CB">
        <w:rPr>
          <w:rFonts w:ascii="Arial" w:hAnsi="Arial" w:cs="Arial"/>
          <w:lang w:val="en-GB"/>
        </w:rPr>
        <w:t xml:space="preserve">136, quoted in </w:t>
      </w:r>
      <w:r w:rsidR="00E418DB" w:rsidRPr="005649CB">
        <w:rPr>
          <w:rFonts w:ascii="Arial" w:hAnsi="Arial" w:cs="Arial"/>
          <w:b/>
          <w:bCs/>
          <w:lang w:val="en-GB"/>
        </w:rPr>
        <w:t>Administrateur, Natal v Trust Bank van Afrika Bpk 1979 (3) SA 824 (A) at 833-834A</w:t>
      </w:r>
      <w:r w:rsidR="00E418DB" w:rsidRPr="005649CB">
        <w:rPr>
          <w:rFonts w:ascii="Arial" w:hAnsi="Arial" w:cs="Arial"/>
          <w:lang w:val="en-GB"/>
        </w:rPr>
        <w:t xml:space="preserve"> concluding with the following: </w:t>
      </w:r>
    </w:p>
    <w:p w14:paraId="4E04548F" w14:textId="15C3533E" w:rsidR="00E418DB" w:rsidRPr="005649CB" w:rsidRDefault="00E418DB" w:rsidP="0028709B">
      <w:pPr>
        <w:spacing w:before="240" w:after="600"/>
        <w:ind w:left="1440"/>
        <w:jc w:val="both"/>
        <w:rPr>
          <w:rFonts w:ascii="Arial" w:hAnsi="Arial" w:cs="Arial"/>
          <w:lang w:val="en-GB"/>
        </w:rPr>
      </w:pPr>
      <w:r w:rsidRPr="005649CB">
        <w:rPr>
          <w:rFonts w:ascii="Arial" w:hAnsi="Arial" w:cs="Arial"/>
          <w:lang w:val="en-GB"/>
        </w:rPr>
        <w:t>“</w:t>
      </w:r>
      <w:r w:rsidRPr="005649CB">
        <w:rPr>
          <w:rFonts w:ascii="Arial" w:hAnsi="Arial" w:cs="Arial"/>
          <w:i/>
          <w:iCs/>
          <w:lang w:val="en-GB"/>
        </w:rPr>
        <w:t xml:space="preserve">In short, recognition of a duty of care is the outcome of a value judgment, that the plaintiff’s invaded interest is deemed worthy of legal protection against negligent interference by conduct of the kind alleged against the defendant.  In the decision whether or not there is a duty, many factors </w:t>
      </w:r>
      <w:r w:rsidR="009D7F56" w:rsidRPr="005649CB">
        <w:rPr>
          <w:rFonts w:ascii="Arial" w:hAnsi="Arial" w:cs="Arial"/>
          <w:i/>
          <w:iCs/>
          <w:lang w:val="en-GB"/>
        </w:rPr>
        <w:t xml:space="preserve">interplay; the hand of history, our ideas of morals and justice, the convenience of administering the rule and our social ideas as to where the loss should fall. Hence, </w:t>
      </w:r>
      <w:r w:rsidR="005649CB" w:rsidRPr="005649CB">
        <w:rPr>
          <w:rFonts w:ascii="Arial" w:hAnsi="Arial" w:cs="Arial"/>
          <w:i/>
          <w:iCs/>
          <w:lang w:val="en-GB"/>
        </w:rPr>
        <w:t>the incidence and extent of duties are liable to adjustment in the light of the constant shifts and changes in community attitudes</w:t>
      </w:r>
      <w:r w:rsidR="005649CB" w:rsidRPr="005649CB">
        <w:rPr>
          <w:rFonts w:ascii="Arial" w:hAnsi="Arial" w:cs="Arial"/>
          <w:lang w:val="en-GB"/>
        </w:rPr>
        <w:t>.”</w:t>
      </w:r>
    </w:p>
    <w:p w14:paraId="4C6365FB" w14:textId="18D5530B" w:rsidR="0018191F" w:rsidRPr="005649CB" w:rsidRDefault="001F1A86" w:rsidP="001F1A86">
      <w:pPr>
        <w:tabs>
          <w:tab w:val="left" w:pos="691"/>
        </w:tabs>
        <w:spacing w:before="240" w:after="120" w:line="480" w:lineRule="auto"/>
        <w:ind w:left="691" w:hanging="691"/>
        <w:jc w:val="both"/>
        <w:rPr>
          <w:rFonts w:ascii="Arial" w:hAnsi="Arial" w:cs="Arial"/>
          <w:lang w:val="en-GB"/>
        </w:rPr>
      </w:pPr>
      <w:r w:rsidRPr="005649CB">
        <w:rPr>
          <w:rFonts w:ascii="Arial" w:hAnsi="Arial" w:cs="Tahoma"/>
          <w:szCs w:val="22"/>
          <w:lang w:val="en-GB"/>
        </w:rPr>
        <w:t>[12]</w:t>
      </w:r>
      <w:r w:rsidRPr="005649CB">
        <w:rPr>
          <w:rFonts w:ascii="Arial" w:hAnsi="Arial" w:cs="Tahoma"/>
          <w:szCs w:val="22"/>
          <w:lang w:val="en-GB"/>
        </w:rPr>
        <w:tab/>
      </w:r>
      <w:r w:rsidR="005649CB" w:rsidRPr="005649CB">
        <w:rPr>
          <w:rFonts w:ascii="Arial" w:hAnsi="Arial" w:cs="Arial"/>
          <w:lang w:val="en-GB"/>
        </w:rPr>
        <w:t xml:space="preserve">It was on the basis of this reasoning that Botha JA, in </w:t>
      </w:r>
      <w:r w:rsidR="005649CB" w:rsidRPr="005649CB">
        <w:rPr>
          <w:rFonts w:ascii="Arial" w:hAnsi="Arial" w:cs="Arial"/>
          <w:b/>
          <w:bCs/>
          <w:lang w:val="en-GB"/>
        </w:rPr>
        <w:t>Knop v Johannesburg City Council</w:t>
      </w:r>
      <w:r w:rsidR="00C85304">
        <w:rPr>
          <w:rStyle w:val="FootnoteReference"/>
          <w:rFonts w:ascii="Arial" w:hAnsi="Arial" w:cs="Arial"/>
          <w:b/>
          <w:bCs/>
          <w:lang w:val="en-GB"/>
        </w:rPr>
        <w:footnoteReference w:id="2"/>
      </w:r>
      <w:r w:rsidR="005649CB" w:rsidRPr="005649CB">
        <w:rPr>
          <w:rFonts w:ascii="Arial" w:hAnsi="Arial" w:cs="Arial"/>
          <w:lang w:val="en-GB"/>
        </w:rPr>
        <w:t xml:space="preserve">, held that the mere allegation in the particulars of claim that the </w:t>
      </w:r>
      <w:r w:rsidR="005649CB" w:rsidRPr="005649CB">
        <w:rPr>
          <w:rFonts w:ascii="Arial" w:hAnsi="Arial" w:cs="Arial"/>
          <w:lang w:val="en-GB"/>
        </w:rPr>
        <w:lastRenderedPageBreak/>
        <w:t>council was under a duty to take steps to prevent loss being caused to the plaintiff would be insufficient to “</w:t>
      </w:r>
      <w:r w:rsidR="005649CB" w:rsidRPr="005649CB">
        <w:rPr>
          <w:rFonts w:ascii="Arial" w:hAnsi="Arial" w:cs="Arial"/>
          <w:i/>
          <w:iCs/>
          <w:lang w:val="en-GB"/>
        </w:rPr>
        <w:t>carry the day for him</w:t>
      </w:r>
      <w:r w:rsidR="005649CB" w:rsidRPr="005649CB">
        <w:rPr>
          <w:rFonts w:ascii="Arial" w:hAnsi="Arial" w:cs="Arial"/>
          <w:lang w:val="en-GB"/>
        </w:rPr>
        <w:t xml:space="preserve">”.  </w:t>
      </w:r>
    </w:p>
    <w:p w14:paraId="63C12B4E" w14:textId="3DF5C6B8" w:rsidR="005649CB" w:rsidRPr="005649CB" w:rsidRDefault="001F1A86" w:rsidP="001F1A86">
      <w:pPr>
        <w:tabs>
          <w:tab w:val="left" w:pos="691"/>
        </w:tabs>
        <w:spacing w:before="240" w:after="120" w:line="480" w:lineRule="auto"/>
        <w:ind w:left="691" w:hanging="691"/>
        <w:jc w:val="both"/>
        <w:rPr>
          <w:rFonts w:ascii="Arial" w:hAnsi="Arial" w:cs="Arial"/>
          <w:lang w:val="en-GB"/>
        </w:rPr>
      </w:pPr>
      <w:r w:rsidRPr="005649CB">
        <w:rPr>
          <w:rFonts w:ascii="Arial" w:hAnsi="Arial" w:cs="Tahoma"/>
          <w:szCs w:val="22"/>
          <w:lang w:val="en-GB"/>
        </w:rPr>
        <w:t>[13]</w:t>
      </w:r>
      <w:r w:rsidRPr="005649CB">
        <w:rPr>
          <w:rFonts w:ascii="Arial" w:hAnsi="Arial" w:cs="Tahoma"/>
          <w:szCs w:val="22"/>
          <w:lang w:val="en-GB"/>
        </w:rPr>
        <w:tab/>
      </w:r>
      <w:r w:rsidR="005649CB" w:rsidRPr="005649CB">
        <w:rPr>
          <w:rFonts w:ascii="Arial" w:hAnsi="Arial" w:cs="Arial"/>
          <w:lang w:val="en-GB"/>
        </w:rPr>
        <w:t>On a benevolent interpretation of the particulars of claim, the plaintiff has, indeed, pleaded a duty, referred to as a “</w:t>
      </w:r>
      <w:r w:rsidR="005649CB" w:rsidRPr="005649CB">
        <w:rPr>
          <w:rFonts w:ascii="Arial" w:hAnsi="Arial" w:cs="Arial"/>
          <w:i/>
          <w:iCs/>
          <w:lang w:val="en-GB"/>
        </w:rPr>
        <w:t>responsibility</w:t>
      </w:r>
      <w:r w:rsidR="005649CB" w:rsidRPr="005649CB">
        <w:rPr>
          <w:rFonts w:ascii="Arial" w:hAnsi="Arial" w:cs="Arial"/>
          <w:lang w:val="en-GB"/>
        </w:rPr>
        <w:t xml:space="preserve">” to develop, maintain and upgrade roads and sewerage drainage systems.  By pleading that the plaintiff failed to maintain the manhole appropriately or at all, to put a notice </w:t>
      </w:r>
      <w:r w:rsidR="00C85304">
        <w:rPr>
          <w:rFonts w:ascii="Arial" w:hAnsi="Arial" w:cs="Arial"/>
          <w:lang w:val="en-GB"/>
        </w:rPr>
        <w:t>or</w:t>
      </w:r>
      <w:r w:rsidR="005649CB" w:rsidRPr="005649CB">
        <w:rPr>
          <w:rFonts w:ascii="Arial" w:hAnsi="Arial" w:cs="Arial"/>
          <w:lang w:val="en-GB"/>
        </w:rPr>
        <w:t xml:space="preserve"> sign up to notify road users of the existence of the open manhole or to keep the street and its pavement in a safe condition suggests to the reader (again, on a benevolent interpretation) that the duty to carry out those activities exist. </w:t>
      </w:r>
    </w:p>
    <w:p w14:paraId="6B0E5F81" w14:textId="184F86DF" w:rsidR="005649CB" w:rsidRPr="005649CB" w:rsidRDefault="001F1A86" w:rsidP="001F1A86">
      <w:pPr>
        <w:tabs>
          <w:tab w:val="left" w:pos="691"/>
        </w:tabs>
        <w:spacing w:before="240" w:after="120" w:line="480" w:lineRule="auto"/>
        <w:ind w:left="691" w:hanging="691"/>
        <w:jc w:val="both"/>
        <w:rPr>
          <w:rFonts w:ascii="Arial" w:hAnsi="Arial" w:cs="Arial"/>
          <w:lang w:val="en-GB"/>
        </w:rPr>
      </w:pPr>
      <w:r w:rsidRPr="005649CB">
        <w:rPr>
          <w:rFonts w:ascii="Arial" w:hAnsi="Arial" w:cs="Tahoma"/>
          <w:szCs w:val="22"/>
          <w:lang w:val="en-GB"/>
        </w:rPr>
        <w:t>[14]</w:t>
      </w:r>
      <w:r w:rsidRPr="005649CB">
        <w:rPr>
          <w:rFonts w:ascii="Arial" w:hAnsi="Arial" w:cs="Tahoma"/>
          <w:szCs w:val="22"/>
          <w:lang w:val="en-GB"/>
        </w:rPr>
        <w:tab/>
      </w:r>
      <w:r w:rsidR="005649CB" w:rsidRPr="005649CB">
        <w:rPr>
          <w:rFonts w:ascii="Arial" w:hAnsi="Arial" w:cs="Arial"/>
          <w:lang w:val="en-GB"/>
        </w:rPr>
        <w:t xml:space="preserve">However, as stated in </w:t>
      </w:r>
      <w:r w:rsidR="005649CB" w:rsidRPr="005649CB">
        <w:rPr>
          <w:rFonts w:ascii="Arial" w:hAnsi="Arial" w:cs="Arial"/>
          <w:b/>
          <w:bCs/>
          <w:lang w:val="en-GB"/>
        </w:rPr>
        <w:t>Knop</w:t>
      </w:r>
      <w:r w:rsidR="005649CB" w:rsidRPr="005649CB">
        <w:rPr>
          <w:rFonts w:ascii="Arial" w:hAnsi="Arial" w:cs="Arial"/>
          <w:lang w:val="en-GB"/>
        </w:rPr>
        <w:t xml:space="preserve">, the mere allegation that the defendant was under a duty of care is insufficient. </w:t>
      </w:r>
    </w:p>
    <w:p w14:paraId="3726ED38" w14:textId="2D93C093" w:rsidR="005649CB" w:rsidRDefault="001F1A86" w:rsidP="001F1A86">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[15]</w:t>
      </w:r>
      <w:r>
        <w:rPr>
          <w:rFonts w:ascii="Arial" w:hAnsi="Arial" w:cs="Tahoma"/>
          <w:szCs w:val="22"/>
          <w:lang w:val="en-GB"/>
        </w:rPr>
        <w:tab/>
      </w:r>
      <w:r w:rsidR="005649CB" w:rsidRPr="005649CB">
        <w:rPr>
          <w:rFonts w:ascii="Arial" w:hAnsi="Arial" w:cs="Arial"/>
          <w:lang w:val="en-GB"/>
        </w:rPr>
        <w:t xml:space="preserve">It is not clear what facts and circumstances </w:t>
      </w:r>
      <w:r w:rsidR="00C85304">
        <w:rPr>
          <w:rFonts w:ascii="Arial" w:hAnsi="Arial" w:cs="Arial"/>
          <w:lang w:val="en-GB"/>
        </w:rPr>
        <w:t xml:space="preserve">are alleged to give </w:t>
      </w:r>
      <w:r w:rsidR="005649CB" w:rsidRPr="005649CB">
        <w:rPr>
          <w:rFonts w:ascii="Arial" w:hAnsi="Arial" w:cs="Arial"/>
          <w:lang w:val="en-GB"/>
        </w:rPr>
        <w:t xml:space="preserve">rise to the duty </w:t>
      </w:r>
      <w:r w:rsidR="00C85304">
        <w:rPr>
          <w:rFonts w:ascii="Arial" w:hAnsi="Arial" w:cs="Arial"/>
          <w:lang w:val="en-GB"/>
        </w:rPr>
        <w:t xml:space="preserve">relied upon </w:t>
      </w:r>
      <w:r w:rsidR="005649CB" w:rsidRPr="005649CB">
        <w:rPr>
          <w:rFonts w:ascii="Arial" w:hAnsi="Arial" w:cs="Arial"/>
          <w:lang w:val="en-GB"/>
        </w:rPr>
        <w:t>or whether the duty is a statutory one.  In this regard, the plaintiff does plead that the defendant failed to keep the street and its pavement in a sa</w:t>
      </w:r>
      <w:r w:rsidR="005649CB">
        <w:rPr>
          <w:rFonts w:ascii="Arial" w:hAnsi="Arial" w:cs="Arial"/>
          <w:lang w:val="en-GB"/>
        </w:rPr>
        <w:t>f</w:t>
      </w:r>
      <w:r w:rsidR="005649CB" w:rsidRPr="005649CB">
        <w:rPr>
          <w:rFonts w:ascii="Arial" w:hAnsi="Arial" w:cs="Arial"/>
          <w:lang w:val="en-GB"/>
        </w:rPr>
        <w:t>e condition “</w:t>
      </w:r>
      <w:r w:rsidR="005649CB" w:rsidRPr="005649CB">
        <w:rPr>
          <w:rFonts w:ascii="Arial" w:hAnsi="Arial" w:cs="Arial"/>
          <w:i/>
          <w:iCs/>
          <w:lang w:val="en-GB"/>
        </w:rPr>
        <w:t>... as per its constitutional mandate and duty</w:t>
      </w:r>
      <w:r w:rsidR="005649CB" w:rsidRPr="005649CB">
        <w:rPr>
          <w:rFonts w:ascii="Arial" w:hAnsi="Arial" w:cs="Arial"/>
          <w:lang w:val="en-GB"/>
        </w:rPr>
        <w:t xml:space="preserve">”.  However, it is not clear </w:t>
      </w:r>
      <w:r w:rsidR="005649CB">
        <w:rPr>
          <w:rFonts w:ascii="Arial" w:hAnsi="Arial" w:cs="Arial"/>
          <w:lang w:val="en-GB"/>
        </w:rPr>
        <w:t xml:space="preserve">upon which provision in the Constitution reliance is placed.  </w:t>
      </w:r>
    </w:p>
    <w:p w14:paraId="0AC5955E" w14:textId="6B8D7A25" w:rsidR="005649CB" w:rsidRDefault="001F1A86" w:rsidP="001F1A86">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[16]</w:t>
      </w:r>
      <w:r>
        <w:rPr>
          <w:rFonts w:ascii="Arial" w:hAnsi="Arial" w:cs="Tahoma"/>
          <w:szCs w:val="22"/>
          <w:lang w:val="en-GB"/>
        </w:rPr>
        <w:tab/>
      </w:r>
      <w:r w:rsidR="005649CB">
        <w:rPr>
          <w:rFonts w:ascii="Arial" w:hAnsi="Arial" w:cs="Arial"/>
          <w:lang w:val="en-GB"/>
        </w:rPr>
        <w:t xml:space="preserve">In order for the defendant to plead meaningfully, it must be alerted to any statutory or constitutional provision which is relied upon by the plaintiff and if a common law duty of care is relied upon then the specific facts and circumstances which give rise to the duty must be set out.  These facts have not been pleaded by the plaintiff.  The mere fact that the defendant is a municipality does not inform the reader of the source of the duty relied upon </w:t>
      </w:r>
      <w:r w:rsidR="005649CB">
        <w:rPr>
          <w:rFonts w:ascii="Arial" w:hAnsi="Arial" w:cs="Arial"/>
          <w:lang w:val="en-GB"/>
        </w:rPr>
        <w:lastRenderedPageBreak/>
        <w:t xml:space="preserve">which may or may not be a constitutional or statutory duty which is placed on all municipalities. </w:t>
      </w:r>
    </w:p>
    <w:p w14:paraId="2622AD4F" w14:textId="7EE32849" w:rsidR="005649CB" w:rsidRDefault="001F1A86" w:rsidP="001F1A86">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[17]</w:t>
      </w:r>
      <w:r>
        <w:rPr>
          <w:rFonts w:ascii="Arial" w:hAnsi="Arial" w:cs="Tahoma"/>
          <w:szCs w:val="22"/>
          <w:lang w:val="en-GB"/>
        </w:rPr>
        <w:tab/>
      </w:r>
      <w:r w:rsidR="005649CB">
        <w:rPr>
          <w:rFonts w:ascii="Arial" w:hAnsi="Arial" w:cs="Arial"/>
          <w:lang w:val="en-GB"/>
        </w:rPr>
        <w:t xml:space="preserve">Moreover, </w:t>
      </w:r>
      <w:r w:rsidR="00A9776C">
        <w:rPr>
          <w:rFonts w:ascii="Arial" w:hAnsi="Arial" w:cs="Arial"/>
          <w:lang w:val="en-GB"/>
        </w:rPr>
        <w:t xml:space="preserve">the mere fact that the defendant caused the construction of the manhole is not sufficient, in my view, to give rise to the duty of care contended for, as a matter of law. </w:t>
      </w:r>
    </w:p>
    <w:p w14:paraId="69D6A05E" w14:textId="5EDDD28C" w:rsidR="00A9776C" w:rsidRDefault="001F1A86" w:rsidP="001F1A86">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[18]</w:t>
      </w:r>
      <w:r>
        <w:rPr>
          <w:rFonts w:ascii="Arial" w:hAnsi="Arial" w:cs="Tahoma"/>
          <w:szCs w:val="22"/>
          <w:lang w:val="en-GB"/>
        </w:rPr>
        <w:tab/>
      </w:r>
      <w:r w:rsidR="00A9776C">
        <w:rPr>
          <w:rFonts w:ascii="Arial" w:hAnsi="Arial" w:cs="Arial"/>
          <w:lang w:val="en-GB"/>
        </w:rPr>
        <w:t xml:space="preserve">In the premises, the first complaint </w:t>
      </w:r>
      <w:r w:rsidR="00173733">
        <w:rPr>
          <w:rFonts w:ascii="Arial" w:hAnsi="Arial" w:cs="Arial"/>
          <w:lang w:val="en-GB"/>
        </w:rPr>
        <w:t xml:space="preserve">should be upheld. </w:t>
      </w:r>
    </w:p>
    <w:p w14:paraId="5638E37C" w14:textId="242183ED" w:rsidR="00A9776C" w:rsidRPr="00A9776C" w:rsidRDefault="00A9776C" w:rsidP="00A9776C">
      <w:pPr>
        <w:spacing w:before="240" w:after="120" w:line="480" w:lineRule="auto"/>
        <w:jc w:val="both"/>
        <w:rPr>
          <w:rFonts w:ascii="Arial" w:hAnsi="Arial" w:cs="Arial"/>
          <w:b/>
          <w:bCs/>
          <w:lang w:val="en-GB"/>
        </w:rPr>
      </w:pPr>
      <w:r>
        <w:rPr>
          <w:rFonts w:ascii="Arial" w:hAnsi="Arial" w:cs="Arial"/>
          <w:b/>
          <w:bCs/>
          <w:lang w:val="en-GB"/>
        </w:rPr>
        <w:t xml:space="preserve">THE SECOND COMPLAINT </w:t>
      </w:r>
    </w:p>
    <w:p w14:paraId="2EB5106F" w14:textId="7E716287" w:rsidR="00A9776C" w:rsidRPr="00A9776C" w:rsidRDefault="001F1A86" w:rsidP="001F1A86">
      <w:pPr>
        <w:tabs>
          <w:tab w:val="left" w:pos="691"/>
        </w:tabs>
        <w:spacing w:before="240" w:after="120" w:line="480" w:lineRule="auto"/>
        <w:ind w:left="691" w:hanging="691"/>
        <w:jc w:val="both"/>
        <w:rPr>
          <w:rFonts w:ascii="Arial" w:hAnsi="Arial" w:cs="Arial"/>
          <w:lang w:val="en-GB"/>
        </w:rPr>
      </w:pPr>
      <w:r w:rsidRPr="00A9776C">
        <w:rPr>
          <w:rFonts w:ascii="Arial" w:hAnsi="Arial" w:cs="Tahoma"/>
          <w:szCs w:val="22"/>
          <w:lang w:val="en-GB"/>
        </w:rPr>
        <w:t>[19]</w:t>
      </w:r>
      <w:r w:rsidRPr="00A9776C">
        <w:rPr>
          <w:rFonts w:ascii="Arial" w:hAnsi="Arial" w:cs="Tahoma"/>
          <w:szCs w:val="22"/>
          <w:lang w:val="en-GB"/>
        </w:rPr>
        <w:tab/>
      </w:r>
      <w:r w:rsidR="00A9776C">
        <w:rPr>
          <w:rFonts w:ascii="Arial" w:hAnsi="Arial" w:cs="Arial"/>
          <w:lang w:val="en-GB"/>
        </w:rPr>
        <w:t>A complaint that a pleading is vague and embarrassing is intended to cover the case where, although a cause of action appears, there is some defect or incompleteness in the manner in which it set out, which results in embarrassment to the defendant</w:t>
      </w:r>
      <w:r w:rsidR="00A9776C">
        <w:rPr>
          <w:rStyle w:val="FootnoteReference"/>
          <w:rFonts w:ascii="Arial" w:hAnsi="Arial" w:cs="Arial"/>
          <w:lang w:val="en-GB"/>
        </w:rPr>
        <w:footnoteReference w:id="3"/>
      </w:r>
      <w:r w:rsidR="00A9776C">
        <w:rPr>
          <w:rFonts w:ascii="Arial" w:hAnsi="Arial" w:cs="Arial"/>
          <w:lang w:val="en-GB"/>
        </w:rPr>
        <w:t xml:space="preserve">. </w:t>
      </w:r>
    </w:p>
    <w:p w14:paraId="47E39996" w14:textId="76BE528A" w:rsidR="00A9776C" w:rsidRPr="00A9776C" w:rsidRDefault="001F1A86" w:rsidP="001F1A86">
      <w:pPr>
        <w:tabs>
          <w:tab w:val="left" w:pos="691"/>
        </w:tabs>
        <w:spacing w:before="240" w:after="120" w:line="480" w:lineRule="auto"/>
        <w:ind w:left="691" w:hanging="691"/>
        <w:jc w:val="both"/>
        <w:rPr>
          <w:rFonts w:ascii="Arial" w:hAnsi="Arial" w:cs="Arial"/>
          <w:lang w:val="en-GB"/>
        </w:rPr>
      </w:pPr>
      <w:r w:rsidRPr="00A9776C">
        <w:rPr>
          <w:rFonts w:ascii="Arial" w:hAnsi="Arial" w:cs="Tahoma"/>
          <w:szCs w:val="22"/>
          <w:lang w:val="en-GB"/>
        </w:rPr>
        <w:t>[20]</w:t>
      </w:r>
      <w:r w:rsidRPr="00A9776C">
        <w:rPr>
          <w:rFonts w:ascii="Arial" w:hAnsi="Arial" w:cs="Tahoma"/>
          <w:szCs w:val="22"/>
          <w:lang w:val="en-GB"/>
        </w:rPr>
        <w:tab/>
      </w:r>
      <w:r w:rsidR="00A9776C">
        <w:rPr>
          <w:rFonts w:ascii="Arial" w:hAnsi="Arial" w:cs="Arial"/>
          <w:lang w:val="en-GB"/>
        </w:rPr>
        <w:t>An exception that a pleading is vague or embarrassing will not be allowed unless the excipient will be seriously prejudiced if the offending allegations were not expunged</w:t>
      </w:r>
      <w:r w:rsidR="00A9776C">
        <w:rPr>
          <w:rStyle w:val="FootnoteReference"/>
          <w:rFonts w:ascii="Arial" w:hAnsi="Arial" w:cs="Arial"/>
          <w:lang w:val="en-GB"/>
        </w:rPr>
        <w:footnoteReference w:id="4"/>
      </w:r>
      <w:r w:rsidR="00A9776C">
        <w:rPr>
          <w:rFonts w:ascii="Arial" w:hAnsi="Arial" w:cs="Arial"/>
          <w:lang w:val="en-GB"/>
        </w:rPr>
        <w:t>.</w:t>
      </w:r>
    </w:p>
    <w:p w14:paraId="48431C63" w14:textId="686E9E5D" w:rsidR="00A9776C" w:rsidRPr="00A9776C" w:rsidRDefault="001F1A86" w:rsidP="001F1A86">
      <w:pPr>
        <w:tabs>
          <w:tab w:val="left" w:pos="691"/>
        </w:tabs>
        <w:spacing w:before="240" w:after="120" w:line="480" w:lineRule="auto"/>
        <w:ind w:left="691" w:hanging="691"/>
        <w:jc w:val="both"/>
        <w:rPr>
          <w:rFonts w:ascii="Arial" w:hAnsi="Arial" w:cs="Arial"/>
          <w:lang w:val="en-GB"/>
        </w:rPr>
      </w:pPr>
      <w:r w:rsidRPr="00A9776C">
        <w:rPr>
          <w:rFonts w:ascii="Arial" w:hAnsi="Arial" w:cs="Tahoma"/>
          <w:szCs w:val="22"/>
          <w:lang w:val="en-GB"/>
        </w:rPr>
        <w:t>[21]</w:t>
      </w:r>
      <w:r w:rsidRPr="00A9776C">
        <w:rPr>
          <w:rFonts w:ascii="Arial" w:hAnsi="Arial" w:cs="Tahoma"/>
          <w:szCs w:val="22"/>
          <w:lang w:val="en-GB"/>
        </w:rPr>
        <w:tab/>
      </w:r>
      <w:r w:rsidR="00A9776C">
        <w:rPr>
          <w:rFonts w:ascii="Arial" w:hAnsi="Arial" w:cs="Arial"/>
          <w:lang w:val="en-GB"/>
        </w:rPr>
        <w:t>The effect of this is that the exception can be taken only if the vagueness relates to the cause of action</w:t>
      </w:r>
      <w:r w:rsidR="00A9776C">
        <w:rPr>
          <w:rStyle w:val="FootnoteReference"/>
          <w:rFonts w:ascii="Arial" w:hAnsi="Arial" w:cs="Arial"/>
          <w:lang w:val="en-GB"/>
        </w:rPr>
        <w:footnoteReference w:id="5"/>
      </w:r>
      <w:r w:rsidR="00A9776C">
        <w:rPr>
          <w:rFonts w:ascii="Arial" w:hAnsi="Arial" w:cs="Arial"/>
          <w:lang w:val="en-GB"/>
        </w:rPr>
        <w:t xml:space="preserve">. </w:t>
      </w:r>
    </w:p>
    <w:p w14:paraId="2FF84501" w14:textId="7908FA13" w:rsidR="00A9776C" w:rsidRDefault="001F1A86" w:rsidP="001F1A86">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t>[22]</w:t>
      </w:r>
      <w:r>
        <w:rPr>
          <w:rFonts w:ascii="Arial" w:hAnsi="Arial" w:cs="Tahoma"/>
          <w:szCs w:val="22"/>
          <w:lang w:val="en-GB"/>
        </w:rPr>
        <w:tab/>
      </w:r>
      <w:r w:rsidR="00A9776C">
        <w:rPr>
          <w:rFonts w:ascii="Arial" w:hAnsi="Arial" w:cs="Arial"/>
          <w:lang w:val="en-GB"/>
        </w:rPr>
        <w:t xml:space="preserve">In the present case the defendant complains of a lack of particularity. The detail which is said to be missing is the time of day during which the incident occurred. The following principles applicable to complaints of vagueness and </w:t>
      </w:r>
      <w:r w:rsidR="00A9776C">
        <w:rPr>
          <w:rFonts w:ascii="Arial" w:hAnsi="Arial" w:cs="Arial"/>
          <w:lang w:val="en-GB"/>
        </w:rPr>
        <w:lastRenderedPageBreak/>
        <w:t xml:space="preserve">embarrassment arising from a lack of particularity are apposite in the present case: </w:t>
      </w:r>
    </w:p>
    <w:p w14:paraId="4CCB0DC0" w14:textId="55BE1A6F" w:rsidR="00A9776C" w:rsidRDefault="001F1A86" w:rsidP="001F1A86">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[22.1]</w:t>
      </w:r>
      <w:r>
        <w:rPr>
          <w:rFonts w:ascii="Arial" w:hAnsi="Arial" w:cs="Tahoma"/>
          <w:szCs w:val="22"/>
          <w:lang w:val="en-GB"/>
        </w:rPr>
        <w:tab/>
      </w:r>
      <w:r w:rsidR="00A9776C">
        <w:rPr>
          <w:rFonts w:ascii="Arial" w:hAnsi="Arial" w:cs="Arial"/>
          <w:lang w:val="en-GB"/>
        </w:rPr>
        <w:t>In each case the Court is obliged first of all to consider whether the pleading does lack particularity to an extent amounting to vagueness. If a statement is vague, it is either meaningless or capable of more than one meaning</w:t>
      </w:r>
      <w:r w:rsidR="00A9776C">
        <w:rPr>
          <w:rStyle w:val="FootnoteReference"/>
          <w:rFonts w:ascii="Arial" w:hAnsi="Arial" w:cs="Arial"/>
          <w:lang w:val="en-GB"/>
        </w:rPr>
        <w:footnoteReference w:id="6"/>
      </w:r>
      <w:r w:rsidR="00A9776C">
        <w:rPr>
          <w:rFonts w:ascii="Arial" w:hAnsi="Arial" w:cs="Arial"/>
          <w:lang w:val="en-GB"/>
        </w:rPr>
        <w:t>.</w:t>
      </w:r>
      <w:r w:rsidR="00E97A54">
        <w:rPr>
          <w:rFonts w:ascii="Arial" w:hAnsi="Arial" w:cs="Arial"/>
          <w:lang w:val="en-GB"/>
        </w:rPr>
        <w:t xml:space="preserve">  To put it at its simplest, the reader must be unable to distil from the statement a clear single meaning</w:t>
      </w:r>
      <w:r w:rsidR="00E97A54">
        <w:rPr>
          <w:rStyle w:val="FootnoteReference"/>
          <w:rFonts w:ascii="Arial" w:hAnsi="Arial" w:cs="Arial"/>
          <w:lang w:val="en-GB"/>
        </w:rPr>
        <w:footnoteReference w:id="7"/>
      </w:r>
      <w:r w:rsidR="00E97A54">
        <w:rPr>
          <w:rFonts w:ascii="Arial" w:hAnsi="Arial" w:cs="Arial"/>
          <w:lang w:val="en-GB"/>
        </w:rPr>
        <w:t xml:space="preserve">.  </w:t>
      </w:r>
    </w:p>
    <w:p w14:paraId="01259C4C" w14:textId="0DE643A7" w:rsidR="00E97A54" w:rsidRDefault="001F1A86" w:rsidP="001F1A86">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[22.2]</w:t>
      </w:r>
      <w:r>
        <w:rPr>
          <w:rFonts w:ascii="Arial" w:hAnsi="Arial" w:cs="Tahoma"/>
          <w:szCs w:val="22"/>
          <w:lang w:val="en-GB"/>
        </w:rPr>
        <w:tab/>
      </w:r>
      <w:r w:rsidR="00E97A54">
        <w:rPr>
          <w:rFonts w:ascii="Arial" w:hAnsi="Arial" w:cs="Arial"/>
          <w:lang w:val="en-GB"/>
        </w:rPr>
        <w:t>If there is vagueness in this sense the Court is then obliged to undertake a quantitative analysis of such embarrassment as the excipient can show is caused to him by the vagueness complained of</w:t>
      </w:r>
      <w:r w:rsidR="00E97A54">
        <w:rPr>
          <w:rStyle w:val="FootnoteReference"/>
          <w:rFonts w:ascii="Arial" w:hAnsi="Arial" w:cs="Arial"/>
          <w:lang w:val="en-GB"/>
        </w:rPr>
        <w:footnoteReference w:id="8"/>
      </w:r>
      <w:r w:rsidR="00E97A54">
        <w:rPr>
          <w:rFonts w:ascii="Arial" w:hAnsi="Arial" w:cs="Arial"/>
          <w:lang w:val="en-GB"/>
        </w:rPr>
        <w:t xml:space="preserve">. </w:t>
      </w:r>
    </w:p>
    <w:p w14:paraId="4B390E3D" w14:textId="71315DBE" w:rsidR="00E97A54" w:rsidRDefault="001F1A86" w:rsidP="001F1A86">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[22.3]</w:t>
      </w:r>
      <w:r>
        <w:rPr>
          <w:rFonts w:ascii="Arial" w:hAnsi="Arial" w:cs="Tahoma"/>
          <w:szCs w:val="22"/>
          <w:lang w:val="en-GB"/>
        </w:rPr>
        <w:tab/>
      </w:r>
      <w:r w:rsidR="00E97A54">
        <w:rPr>
          <w:rFonts w:ascii="Arial" w:hAnsi="Arial" w:cs="Arial"/>
          <w:lang w:val="en-GB"/>
        </w:rPr>
        <w:t xml:space="preserve">In each case an </w:t>
      </w:r>
      <w:r w:rsidR="00E97A54">
        <w:rPr>
          <w:rFonts w:ascii="Arial" w:hAnsi="Arial" w:cs="Arial"/>
          <w:i/>
          <w:iCs/>
          <w:lang w:val="en-GB"/>
        </w:rPr>
        <w:t>ad hoc</w:t>
      </w:r>
      <w:r w:rsidR="00E97A54">
        <w:rPr>
          <w:rFonts w:ascii="Arial" w:hAnsi="Arial" w:cs="Arial"/>
          <w:lang w:val="en-GB"/>
        </w:rPr>
        <w:t xml:space="preserve"> ruling must be made as to whether the embarrassment is so serious as to cause prejudice to the excipient if he is compelled to plead to the pleading in the form to which he objects.  A point may be of the utmost importance in one case, and the omission thereof may give rise to vagueness and embarrassment, but the same point may in another case be only a minor detail</w:t>
      </w:r>
      <w:r w:rsidR="00E97A54">
        <w:rPr>
          <w:rStyle w:val="FootnoteReference"/>
          <w:rFonts w:ascii="Arial" w:hAnsi="Arial" w:cs="Arial"/>
          <w:lang w:val="en-GB"/>
        </w:rPr>
        <w:footnoteReference w:id="9"/>
      </w:r>
      <w:r w:rsidR="00E97A54">
        <w:rPr>
          <w:rFonts w:ascii="Arial" w:hAnsi="Arial" w:cs="Arial"/>
          <w:lang w:val="en-GB"/>
        </w:rPr>
        <w:t xml:space="preserve">. </w:t>
      </w:r>
    </w:p>
    <w:p w14:paraId="647C28E0" w14:textId="32B1FC86" w:rsidR="00E97A54" w:rsidRPr="005649CB" w:rsidRDefault="001F1A86" w:rsidP="001F1A86">
      <w:pPr>
        <w:tabs>
          <w:tab w:val="left" w:pos="1757"/>
        </w:tabs>
        <w:spacing w:before="240" w:after="120" w:line="480" w:lineRule="auto"/>
        <w:ind w:left="1757" w:hanging="1066"/>
        <w:jc w:val="both"/>
        <w:rPr>
          <w:rFonts w:ascii="Arial" w:hAnsi="Arial" w:cs="Arial"/>
          <w:lang w:val="en-GB"/>
        </w:rPr>
      </w:pPr>
      <w:r w:rsidRPr="005649CB">
        <w:rPr>
          <w:rFonts w:ascii="Arial" w:hAnsi="Arial" w:cs="Tahoma"/>
          <w:szCs w:val="22"/>
          <w:lang w:val="en-GB"/>
        </w:rPr>
        <w:t>[22.4]</w:t>
      </w:r>
      <w:r w:rsidRPr="005649CB">
        <w:rPr>
          <w:rFonts w:ascii="Arial" w:hAnsi="Arial" w:cs="Tahoma"/>
          <w:szCs w:val="22"/>
          <w:lang w:val="en-GB"/>
        </w:rPr>
        <w:tab/>
      </w:r>
      <w:r w:rsidR="00E97A54">
        <w:rPr>
          <w:rFonts w:ascii="Arial" w:hAnsi="Arial" w:cs="Arial"/>
          <w:lang w:val="en-GB"/>
        </w:rPr>
        <w:t>The ultimate test as to whether or not the exception should be upheld is whether the excipient is prejudiced</w:t>
      </w:r>
      <w:r w:rsidR="00E97A54">
        <w:rPr>
          <w:rStyle w:val="FootnoteReference"/>
          <w:rFonts w:ascii="Arial" w:hAnsi="Arial" w:cs="Arial"/>
          <w:lang w:val="en-GB"/>
        </w:rPr>
        <w:footnoteReference w:id="10"/>
      </w:r>
      <w:r w:rsidR="00E97A54">
        <w:rPr>
          <w:rFonts w:ascii="Arial" w:hAnsi="Arial" w:cs="Arial"/>
          <w:lang w:val="en-GB"/>
        </w:rPr>
        <w:t xml:space="preserve">. </w:t>
      </w:r>
    </w:p>
    <w:p w14:paraId="32F86536" w14:textId="0035781C" w:rsidR="0018191F" w:rsidRDefault="001F1A86" w:rsidP="001F1A86">
      <w:pPr>
        <w:tabs>
          <w:tab w:val="left" w:pos="691"/>
        </w:tabs>
        <w:spacing w:before="240" w:after="120" w:line="480" w:lineRule="auto"/>
        <w:ind w:left="691" w:hanging="691"/>
        <w:jc w:val="both"/>
        <w:rPr>
          <w:rFonts w:ascii="Arial" w:hAnsi="Arial" w:cs="Arial"/>
          <w:lang w:val="en-GB"/>
        </w:rPr>
      </w:pPr>
      <w:r>
        <w:rPr>
          <w:rFonts w:ascii="Arial" w:hAnsi="Arial" w:cs="Tahoma"/>
          <w:szCs w:val="22"/>
          <w:lang w:val="en-GB"/>
        </w:rPr>
        <w:lastRenderedPageBreak/>
        <w:t>[23]</w:t>
      </w:r>
      <w:r>
        <w:rPr>
          <w:rFonts w:ascii="Arial" w:hAnsi="Arial" w:cs="Tahoma"/>
          <w:szCs w:val="22"/>
          <w:lang w:val="en-GB"/>
        </w:rPr>
        <w:tab/>
      </w:r>
      <w:r w:rsidR="00E97A54">
        <w:rPr>
          <w:rFonts w:ascii="Arial" w:hAnsi="Arial" w:cs="Arial"/>
          <w:lang w:val="en-GB"/>
        </w:rPr>
        <w:t xml:space="preserve">I am not satisfied that the defendant is prejudiced in its ability to plead by virtue of not having been informed of the time of day of the incident.  It is not clear what value is to be gained from this detail.  If it is to determine the extent to which the manhole may have been visible, then the absence of this detail does not amount to prejudice as: </w:t>
      </w:r>
    </w:p>
    <w:p w14:paraId="5D9618B2" w14:textId="1C804721" w:rsidR="00E97A54" w:rsidRDefault="001F1A86" w:rsidP="001F1A86">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[23.1]</w:t>
      </w:r>
      <w:r>
        <w:rPr>
          <w:rFonts w:ascii="Arial" w:hAnsi="Arial" w:cs="Tahoma"/>
          <w:szCs w:val="22"/>
          <w:lang w:val="en-GB"/>
        </w:rPr>
        <w:tab/>
      </w:r>
      <w:r w:rsidR="00E97A54">
        <w:rPr>
          <w:rFonts w:ascii="Arial" w:hAnsi="Arial" w:cs="Arial"/>
          <w:lang w:val="en-GB"/>
        </w:rPr>
        <w:t xml:space="preserve">the visibility of the manhole is not necessarily dependent upon the time of day and may turn on other factors such as artificial lighting and the like; </w:t>
      </w:r>
    </w:p>
    <w:p w14:paraId="687C710C" w14:textId="3C8A30D6" w:rsidR="00E97A54" w:rsidRDefault="001F1A86" w:rsidP="001F1A86">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[23.2]</w:t>
      </w:r>
      <w:r>
        <w:rPr>
          <w:rFonts w:ascii="Arial" w:hAnsi="Arial" w:cs="Tahoma"/>
          <w:szCs w:val="22"/>
          <w:lang w:val="en-GB"/>
        </w:rPr>
        <w:tab/>
      </w:r>
      <w:r w:rsidR="00E97A54">
        <w:rPr>
          <w:rFonts w:ascii="Arial" w:hAnsi="Arial" w:cs="Arial"/>
          <w:lang w:val="en-GB"/>
        </w:rPr>
        <w:t xml:space="preserve">the lack of visibility of the manhole is not an element of the </w:t>
      </w:r>
      <w:r w:rsidR="00173733">
        <w:rPr>
          <w:rFonts w:ascii="Arial" w:hAnsi="Arial" w:cs="Arial"/>
          <w:lang w:val="en-GB"/>
        </w:rPr>
        <w:t xml:space="preserve">plaintiff’s cause of action albeit that it may serve some evidentiary purpose. </w:t>
      </w:r>
    </w:p>
    <w:p w14:paraId="78AB2A78" w14:textId="5D4F0BF2" w:rsidR="00173733" w:rsidRDefault="001F1A86" w:rsidP="001F1A86">
      <w:pPr>
        <w:spacing w:before="240" w:after="120" w:line="480" w:lineRule="auto"/>
        <w:ind w:left="691" w:hanging="691"/>
        <w:jc w:val="both"/>
        <w:rPr>
          <w:rFonts w:ascii="Arial" w:hAnsi="Arial" w:cs="Arial"/>
          <w:lang w:val="en-GB"/>
        </w:rPr>
      </w:pPr>
      <w:r>
        <w:rPr>
          <w:rFonts w:ascii="Arial" w:hAnsi="Arial" w:cs="Tahoma"/>
          <w:szCs w:val="22"/>
          <w:lang w:val="en-GB"/>
        </w:rPr>
        <w:t>[24]</w:t>
      </w:r>
      <w:r>
        <w:rPr>
          <w:rFonts w:ascii="Arial" w:hAnsi="Arial" w:cs="Tahoma"/>
          <w:szCs w:val="22"/>
          <w:lang w:val="en-GB"/>
        </w:rPr>
        <w:tab/>
      </w:r>
      <w:r w:rsidR="00173733">
        <w:rPr>
          <w:rFonts w:ascii="Arial" w:hAnsi="Arial" w:cs="Arial"/>
          <w:lang w:val="en-GB"/>
        </w:rPr>
        <w:t xml:space="preserve">In my view, the lack of detail complained of does not cause any meaningful prejudice to the defendant and does not prevent the defendant from being able to plead.  The particularity sought may be obtained by way of a request for particulars for purposes of preparing for the hearing in due course. </w:t>
      </w:r>
    </w:p>
    <w:p w14:paraId="4D8C6C3D" w14:textId="0AC0D9F0" w:rsidR="00173733" w:rsidRPr="00173733" w:rsidRDefault="00173733" w:rsidP="00173733">
      <w:pPr>
        <w:spacing w:before="240" w:after="120" w:line="480" w:lineRule="auto"/>
        <w:jc w:val="both"/>
        <w:rPr>
          <w:rFonts w:ascii="Arial" w:hAnsi="Arial" w:cs="Arial"/>
          <w:b/>
          <w:lang w:val="en-GB"/>
        </w:rPr>
      </w:pPr>
      <w:r>
        <w:rPr>
          <w:rFonts w:ascii="Arial" w:hAnsi="Arial" w:cs="Arial"/>
          <w:b/>
          <w:lang w:val="en-GB"/>
        </w:rPr>
        <w:t xml:space="preserve">COSTS </w:t>
      </w:r>
    </w:p>
    <w:p w14:paraId="4F493D7D" w14:textId="7EF021D6" w:rsidR="0018191F" w:rsidRPr="005649CB" w:rsidRDefault="001F1A86" w:rsidP="001F1A86">
      <w:pPr>
        <w:tabs>
          <w:tab w:val="left" w:pos="691"/>
        </w:tabs>
        <w:spacing w:before="240" w:after="120" w:line="480" w:lineRule="auto"/>
        <w:ind w:left="691" w:hanging="691"/>
        <w:jc w:val="both"/>
        <w:rPr>
          <w:rFonts w:ascii="Arial" w:hAnsi="Arial" w:cs="Arial"/>
          <w:lang w:val="en-GB"/>
        </w:rPr>
      </w:pPr>
      <w:r w:rsidRPr="005649CB">
        <w:rPr>
          <w:rFonts w:ascii="Arial" w:hAnsi="Arial" w:cs="Tahoma"/>
          <w:szCs w:val="22"/>
          <w:lang w:val="en-GB"/>
        </w:rPr>
        <w:t>[25]</w:t>
      </w:r>
      <w:r w:rsidRPr="005649CB">
        <w:rPr>
          <w:rFonts w:ascii="Arial" w:hAnsi="Arial" w:cs="Tahoma"/>
          <w:szCs w:val="22"/>
          <w:lang w:val="en-GB"/>
        </w:rPr>
        <w:tab/>
      </w:r>
      <w:r w:rsidR="00173733">
        <w:rPr>
          <w:rFonts w:ascii="Arial" w:hAnsi="Arial" w:cs="Arial"/>
          <w:lang w:val="en-GB"/>
        </w:rPr>
        <w:t xml:space="preserve">Two complaints were raised against the plaintiff’s particulars of claim.  One has been upheld and one is dismissed. In that respect, each of the parties has obtained a measure of success.  I am therefore of the view that the appropriate costs order should be that each party should bear their own costs of the exception. </w:t>
      </w:r>
    </w:p>
    <w:p w14:paraId="07F067C4" w14:textId="6CCFE77A" w:rsidR="00B833F0" w:rsidRPr="005649CB" w:rsidRDefault="001F1A86" w:rsidP="001F1A86">
      <w:pPr>
        <w:spacing w:before="240" w:after="120" w:line="480" w:lineRule="auto"/>
        <w:ind w:left="691" w:hanging="691"/>
        <w:jc w:val="both"/>
        <w:rPr>
          <w:rFonts w:ascii="Arial" w:hAnsi="Arial" w:cs="Arial"/>
          <w:lang w:val="en-GB"/>
        </w:rPr>
      </w:pPr>
      <w:r w:rsidRPr="005649CB">
        <w:rPr>
          <w:rFonts w:ascii="Arial" w:hAnsi="Arial" w:cs="Tahoma"/>
          <w:szCs w:val="22"/>
          <w:lang w:val="en-GB"/>
        </w:rPr>
        <w:t>[26]</w:t>
      </w:r>
      <w:r w:rsidRPr="005649CB">
        <w:rPr>
          <w:rFonts w:ascii="Arial" w:hAnsi="Arial" w:cs="Tahoma"/>
          <w:szCs w:val="22"/>
          <w:lang w:val="en-GB"/>
        </w:rPr>
        <w:tab/>
      </w:r>
      <w:r w:rsidR="00B833F0" w:rsidRPr="005649CB">
        <w:rPr>
          <w:rFonts w:ascii="Arial" w:hAnsi="Arial" w:cs="Arial"/>
          <w:lang w:val="en-GB"/>
        </w:rPr>
        <w:t>I</w:t>
      </w:r>
      <w:r w:rsidR="004668CD">
        <w:rPr>
          <w:rFonts w:ascii="Arial" w:hAnsi="Arial" w:cs="Arial"/>
          <w:lang w:val="en-GB"/>
        </w:rPr>
        <w:t xml:space="preserve">n the result </w:t>
      </w:r>
      <w:r w:rsidR="00B833F0" w:rsidRPr="005649CB">
        <w:rPr>
          <w:rFonts w:ascii="Arial" w:hAnsi="Arial" w:cs="Arial"/>
          <w:lang w:val="en-GB"/>
        </w:rPr>
        <w:t>the following order</w:t>
      </w:r>
      <w:r w:rsidR="004668CD">
        <w:rPr>
          <w:rFonts w:ascii="Arial" w:hAnsi="Arial" w:cs="Arial"/>
          <w:lang w:val="en-GB"/>
        </w:rPr>
        <w:t xml:space="preserve"> is made</w:t>
      </w:r>
      <w:r w:rsidR="00B833F0" w:rsidRPr="005649CB">
        <w:rPr>
          <w:rFonts w:ascii="Arial" w:hAnsi="Arial" w:cs="Arial"/>
          <w:lang w:val="en-GB"/>
        </w:rPr>
        <w:t xml:space="preserve">: </w:t>
      </w:r>
    </w:p>
    <w:p w14:paraId="56F893B3" w14:textId="59C81B65" w:rsidR="0033695B" w:rsidRPr="005649CB" w:rsidRDefault="001F1A86" w:rsidP="001F1A86">
      <w:pPr>
        <w:snapToGrid w:val="0"/>
        <w:spacing w:before="240" w:after="120" w:line="480" w:lineRule="auto"/>
        <w:ind w:left="1287" w:hanging="567"/>
        <w:jc w:val="both"/>
        <w:rPr>
          <w:rFonts w:ascii="Arial" w:hAnsi="Arial" w:cs="Arial"/>
          <w:lang w:val="en-GB"/>
        </w:rPr>
      </w:pPr>
      <w:r w:rsidRPr="005649CB">
        <w:rPr>
          <w:rFonts w:ascii="Arial" w:hAnsi="Arial" w:cs="Arial"/>
          <w:iCs/>
          <w:sz w:val="23"/>
          <w:szCs w:val="23"/>
          <w:lang w:val="en-GB"/>
        </w:rPr>
        <w:t>1.</w:t>
      </w:r>
      <w:r w:rsidRPr="005649CB">
        <w:rPr>
          <w:rFonts w:ascii="Arial" w:hAnsi="Arial" w:cs="Arial"/>
          <w:iCs/>
          <w:sz w:val="23"/>
          <w:szCs w:val="23"/>
          <w:lang w:val="en-GB"/>
        </w:rPr>
        <w:tab/>
      </w:r>
      <w:r w:rsidR="004668CD">
        <w:rPr>
          <w:rFonts w:ascii="Arial" w:hAnsi="Arial" w:cs="Arial"/>
          <w:lang w:val="en-GB"/>
        </w:rPr>
        <w:t xml:space="preserve">The defendant’s first complaint in its exception is upheld; </w:t>
      </w:r>
    </w:p>
    <w:p w14:paraId="01BC0F45" w14:textId="0D92F4DB" w:rsidR="0033695B" w:rsidRDefault="001F1A86" w:rsidP="001F1A86">
      <w:pPr>
        <w:snapToGrid w:val="0"/>
        <w:spacing w:before="240" w:after="120" w:line="480" w:lineRule="auto"/>
        <w:ind w:left="1287" w:hanging="567"/>
        <w:jc w:val="both"/>
        <w:rPr>
          <w:rFonts w:ascii="Arial" w:hAnsi="Arial" w:cs="Arial"/>
          <w:lang w:val="en-GB"/>
        </w:rPr>
      </w:pPr>
      <w:r>
        <w:rPr>
          <w:rFonts w:ascii="Arial" w:hAnsi="Arial" w:cs="Arial"/>
          <w:iCs/>
          <w:sz w:val="23"/>
          <w:szCs w:val="23"/>
          <w:lang w:val="en-GB"/>
        </w:rPr>
        <w:lastRenderedPageBreak/>
        <w:t>2.</w:t>
      </w:r>
      <w:r>
        <w:rPr>
          <w:rFonts w:ascii="Arial" w:hAnsi="Arial" w:cs="Arial"/>
          <w:iCs/>
          <w:sz w:val="23"/>
          <w:szCs w:val="23"/>
          <w:lang w:val="en-GB"/>
        </w:rPr>
        <w:tab/>
      </w:r>
      <w:r w:rsidR="004668CD">
        <w:rPr>
          <w:rFonts w:ascii="Arial" w:hAnsi="Arial" w:cs="Arial"/>
          <w:lang w:val="en-GB"/>
        </w:rPr>
        <w:t xml:space="preserve">The defendant’s second complaint in its exception is dismissed;  </w:t>
      </w:r>
    </w:p>
    <w:p w14:paraId="13A48C66" w14:textId="0F56BCBA" w:rsidR="004668CD" w:rsidRDefault="001F1A86" w:rsidP="001F1A86">
      <w:pPr>
        <w:snapToGrid w:val="0"/>
        <w:spacing w:before="240" w:after="120" w:line="480" w:lineRule="auto"/>
        <w:ind w:left="1287" w:hanging="567"/>
        <w:jc w:val="both"/>
        <w:rPr>
          <w:rFonts w:ascii="Arial" w:hAnsi="Arial" w:cs="Arial"/>
          <w:lang w:val="en-GB"/>
        </w:rPr>
      </w:pPr>
      <w:r>
        <w:rPr>
          <w:rFonts w:ascii="Arial" w:hAnsi="Arial" w:cs="Arial"/>
          <w:iCs/>
          <w:sz w:val="23"/>
          <w:szCs w:val="23"/>
          <w:lang w:val="en-GB"/>
        </w:rPr>
        <w:t>3.</w:t>
      </w:r>
      <w:r>
        <w:rPr>
          <w:rFonts w:ascii="Arial" w:hAnsi="Arial" w:cs="Arial"/>
          <w:iCs/>
          <w:sz w:val="23"/>
          <w:szCs w:val="23"/>
          <w:lang w:val="en-GB"/>
        </w:rPr>
        <w:tab/>
      </w:r>
      <w:r w:rsidR="004668CD">
        <w:rPr>
          <w:rFonts w:ascii="Arial" w:hAnsi="Arial" w:cs="Arial"/>
          <w:lang w:val="en-GB"/>
        </w:rPr>
        <w:t>The plaintiff’s particulars of claim in their present form are struck out;</w:t>
      </w:r>
    </w:p>
    <w:p w14:paraId="2E9B31A2" w14:textId="33BDB1B2" w:rsidR="004668CD" w:rsidRDefault="001F1A86" w:rsidP="001F1A86">
      <w:pPr>
        <w:snapToGrid w:val="0"/>
        <w:spacing w:before="240" w:after="120" w:line="480" w:lineRule="auto"/>
        <w:ind w:left="1287" w:hanging="567"/>
        <w:jc w:val="both"/>
        <w:rPr>
          <w:rFonts w:ascii="Arial" w:hAnsi="Arial" w:cs="Arial"/>
          <w:lang w:val="en-GB"/>
        </w:rPr>
      </w:pPr>
      <w:r>
        <w:rPr>
          <w:rFonts w:ascii="Arial" w:hAnsi="Arial" w:cs="Arial"/>
          <w:iCs/>
          <w:sz w:val="23"/>
          <w:szCs w:val="23"/>
          <w:lang w:val="en-GB"/>
        </w:rPr>
        <w:t>4.</w:t>
      </w:r>
      <w:r>
        <w:rPr>
          <w:rFonts w:ascii="Arial" w:hAnsi="Arial" w:cs="Arial"/>
          <w:iCs/>
          <w:sz w:val="23"/>
          <w:szCs w:val="23"/>
          <w:lang w:val="en-GB"/>
        </w:rPr>
        <w:tab/>
      </w:r>
      <w:r w:rsidR="004668CD">
        <w:rPr>
          <w:rFonts w:ascii="Arial" w:hAnsi="Arial" w:cs="Arial"/>
          <w:lang w:val="en-GB"/>
        </w:rPr>
        <w:t xml:space="preserve">The plaintiff is afforded a period of 15 (fifteen) days within which to amend its particulars of claim in the light of the </w:t>
      </w:r>
      <w:r w:rsidR="003801A2">
        <w:rPr>
          <w:rFonts w:ascii="Arial" w:hAnsi="Arial" w:cs="Arial"/>
          <w:lang w:val="en-GB"/>
        </w:rPr>
        <w:t xml:space="preserve">first complaint raised by the defendant in its exception; </w:t>
      </w:r>
    </w:p>
    <w:p w14:paraId="24E7CB2A" w14:textId="3B1F1D8E" w:rsidR="003801A2" w:rsidRPr="005649CB" w:rsidRDefault="001F1A86" w:rsidP="001F1A86">
      <w:pPr>
        <w:snapToGrid w:val="0"/>
        <w:spacing w:before="240" w:after="120" w:line="480" w:lineRule="auto"/>
        <w:ind w:left="1287" w:hanging="567"/>
        <w:jc w:val="both"/>
        <w:rPr>
          <w:rFonts w:ascii="Arial" w:hAnsi="Arial" w:cs="Arial"/>
          <w:lang w:val="en-GB"/>
        </w:rPr>
      </w:pPr>
      <w:r w:rsidRPr="005649CB">
        <w:rPr>
          <w:rFonts w:ascii="Arial" w:hAnsi="Arial" w:cs="Arial"/>
          <w:iCs/>
          <w:sz w:val="23"/>
          <w:szCs w:val="23"/>
          <w:lang w:val="en-GB"/>
        </w:rPr>
        <w:t>5.</w:t>
      </w:r>
      <w:r w:rsidRPr="005649CB">
        <w:rPr>
          <w:rFonts w:ascii="Arial" w:hAnsi="Arial" w:cs="Arial"/>
          <w:iCs/>
          <w:sz w:val="23"/>
          <w:szCs w:val="23"/>
          <w:lang w:val="en-GB"/>
        </w:rPr>
        <w:tab/>
      </w:r>
      <w:r w:rsidR="003801A2">
        <w:rPr>
          <w:rFonts w:ascii="Arial" w:hAnsi="Arial" w:cs="Arial"/>
          <w:lang w:val="en-GB"/>
        </w:rPr>
        <w:t xml:space="preserve">Each party is to bear their own costs of the exception. </w:t>
      </w:r>
    </w:p>
    <w:p w14:paraId="3BE43834" w14:textId="77777777" w:rsidR="00D25BC1" w:rsidRPr="005649CB" w:rsidRDefault="00D25BC1" w:rsidP="0028709B">
      <w:pPr>
        <w:spacing w:before="240" w:after="120"/>
        <w:jc w:val="both"/>
        <w:rPr>
          <w:rFonts w:ascii="Arial" w:hAnsi="Arial" w:cs="Arial"/>
          <w:lang w:val="en-GB"/>
        </w:rPr>
      </w:pPr>
    </w:p>
    <w:p w14:paraId="238FBC52" w14:textId="77777777" w:rsidR="00E63E65" w:rsidRPr="005649CB" w:rsidRDefault="00E63E65" w:rsidP="0028709B">
      <w:pPr>
        <w:spacing w:before="120" w:after="120"/>
        <w:jc w:val="right"/>
        <w:rPr>
          <w:rFonts w:ascii="Arial" w:hAnsi="Arial" w:cs="Arial"/>
          <w:lang w:val="en-GB"/>
        </w:rPr>
      </w:pPr>
    </w:p>
    <w:p w14:paraId="2D9C9635" w14:textId="719CB319" w:rsidR="006321C1" w:rsidRPr="005649CB" w:rsidRDefault="006321C1" w:rsidP="006321C1">
      <w:pPr>
        <w:spacing w:before="120" w:after="120"/>
        <w:jc w:val="right"/>
        <w:rPr>
          <w:rFonts w:ascii="Arial" w:hAnsi="Arial" w:cs="Arial"/>
          <w:lang w:val="en-GB"/>
        </w:rPr>
      </w:pPr>
      <w:r w:rsidRPr="005649CB">
        <w:rPr>
          <w:rFonts w:ascii="Arial" w:hAnsi="Arial" w:cs="Arial"/>
          <w:lang w:val="en-GB"/>
        </w:rPr>
        <w:t>_________________________</w:t>
      </w:r>
    </w:p>
    <w:p w14:paraId="6B3B4ADA" w14:textId="77777777" w:rsidR="006321C1" w:rsidRPr="005649CB" w:rsidRDefault="006321C1" w:rsidP="006321C1">
      <w:pPr>
        <w:spacing w:before="120" w:after="120"/>
        <w:jc w:val="right"/>
        <w:rPr>
          <w:rFonts w:ascii="Arial" w:hAnsi="Arial" w:cs="Arial"/>
          <w:b/>
          <w:bCs/>
          <w:lang w:val="en-GB"/>
        </w:rPr>
      </w:pPr>
      <w:r w:rsidRPr="005649CB">
        <w:rPr>
          <w:rFonts w:ascii="Arial" w:hAnsi="Arial" w:cs="Arial"/>
          <w:b/>
          <w:bCs/>
          <w:lang w:val="en-GB"/>
        </w:rPr>
        <w:t xml:space="preserve">D MAHON </w:t>
      </w:r>
    </w:p>
    <w:p w14:paraId="5CB37C5A" w14:textId="77777777" w:rsidR="006321C1" w:rsidRPr="005649CB" w:rsidRDefault="006321C1" w:rsidP="006321C1">
      <w:pPr>
        <w:spacing w:before="120" w:after="120"/>
        <w:jc w:val="right"/>
        <w:rPr>
          <w:rFonts w:ascii="Arial" w:hAnsi="Arial" w:cs="Arial"/>
          <w:lang w:val="en-GB"/>
        </w:rPr>
      </w:pPr>
      <w:r w:rsidRPr="005649CB">
        <w:rPr>
          <w:rFonts w:ascii="Arial" w:hAnsi="Arial" w:cs="Arial"/>
          <w:lang w:val="en-GB"/>
        </w:rPr>
        <w:t>Acting Judge of the High Court</w:t>
      </w:r>
    </w:p>
    <w:p w14:paraId="6CB6612F" w14:textId="7BFC7EE1" w:rsidR="006321C1" w:rsidRPr="005649CB" w:rsidRDefault="006321C1" w:rsidP="006321C1">
      <w:pPr>
        <w:spacing w:before="120" w:after="120"/>
        <w:jc w:val="right"/>
        <w:rPr>
          <w:rFonts w:ascii="Arial" w:hAnsi="Arial" w:cs="Arial"/>
          <w:lang w:val="en-GB"/>
        </w:rPr>
      </w:pPr>
      <w:r w:rsidRPr="005649CB">
        <w:rPr>
          <w:rFonts w:ascii="Arial" w:hAnsi="Arial" w:cs="Arial"/>
          <w:lang w:val="en-GB"/>
        </w:rPr>
        <w:t xml:space="preserve">Johannesburg </w:t>
      </w:r>
    </w:p>
    <w:p w14:paraId="209C7BD8" w14:textId="2E47DBEC" w:rsidR="000B7B05" w:rsidRPr="005649CB" w:rsidRDefault="000B7B05" w:rsidP="006321C1">
      <w:pPr>
        <w:spacing w:before="120" w:after="120"/>
        <w:jc w:val="right"/>
        <w:rPr>
          <w:rFonts w:ascii="Arial" w:hAnsi="Arial" w:cs="Arial"/>
          <w:lang w:val="en-GB"/>
        </w:rPr>
      </w:pPr>
    </w:p>
    <w:p w14:paraId="0D69F028" w14:textId="52BF8D4A" w:rsidR="000B7B05" w:rsidRPr="005649CB" w:rsidRDefault="000B7B05" w:rsidP="000B7B05">
      <w:pPr>
        <w:spacing w:before="120" w:after="120"/>
        <w:jc w:val="both"/>
        <w:rPr>
          <w:rFonts w:ascii="Arial" w:hAnsi="Arial" w:cs="Arial"/>
          <w:bCs/>
          <w:i/>
          <w:iCs/>
          <w:lang w:val="en-GB"/>
        </w:rPr>
      </w:pPr>
      <w:r w:rsidRPr="005649CB">
        <w:rPr>
          <w:rFonts w:ascii="Arial" w:hAnsi="Arial" w:cs="Arial"/>
          <w:bCs/>
          <w:i/>
          <w:iCs/>
          <w:lang w:val="en-GB"/>
        </w:rPr>
        <w:t xml:space="preserve">This judgment was handed down electronically by circulation to the parties’ legal representatives by email and by being uploaded to CaseLines. The date and time for hand down is deemed to be </w:t>
      </w:r>
      <w:r w:rsidR="003801A2">
        <w:rPr>
          <w:rFonts w:ascii="Arial" w:hAnsi="Arial" w:cs="Arial"/>
          <w:bCs/>
          <w:i/>
          <w:iCs/>
          <w:lang w:val="en-GB"/>
        </w:rPr>
        <w:t>7 August 2023</w:t>
      </w:r>
      <w:r w:rsidRPr="005649CB">
        <w:rPr>
          <w:rFonts w:ascii="Arial" w:hAnsi="Arial" w:cs="Arial"/>
          <w:bCs/>
          <w:i/>
          <w:iCs/>
          <w:lang w:val="en-GB"/>
        </w:rPr>
        <w:t>.</w:t>
      </w:r>
    </w:p>
    <w:p w14:paraId="15CCA708" w14:textId="77777777" w:rsidR="000B7B05" w:rsidRPr="005649CB" w:rsidRDefault="000B7B05" w:rsidP="006321C1">
      <w:pPr>
        <w:spacing w:before="120" w:after="120"/>
        <w:jc w:val="right"/>
        <w:rPr>
          <w:rFonts w:ascii="Arial" w:hAnsi="Arial" w:cs="Arial"/>
          <w:lang w:val="en-GB"/>
        </w:rPr>
      </w:pPr>
    </w:p>
    <w:p w14:paraId="7C0CA56E" w14:textId="77777777" w:rsidR="000B7B05" w:rsidRPr="005649CB" w:rsidRDefault="000B7B05" w:rsidP="006321C1">
      <w:pPr>
        <w:spacing w:before="120" w:after="120" w:line="360" w:lineRule="auto"/>
        <w:jc w:val="both"/>
        <w:rPr>
          <w:rFonts w:ascii="Arial" w:hAnsi="Arial" w:cs="Arial"/>
          <w:b/>
          <w:bCs/>
          <w:lang w:val="en-GB"/>
        </w:rPr>
      </w:pPr>
    </w:p>
    <w:p w14:paraId="2BFBB84C" w14:textId="77777777" w:rsidR="00AC735C" w:rsidRPr="005649CB" w:rsidRDefault="00AC735C" w:rsidP="006321C1">
      <w:pPr>
        <w:spacing w:before="120" w:after="120" w:line="360" w:lineRule="auto"/>
        <w:jc w:val="both"/>
        <w:rPr>
          <w:rFonts w:ascii="Arial" w:hAnsi="Arial" w:cs="Arial"/>
          <w:b/>
          <w:bCs/>
          <w:lang w:val="en-GB"/>
        </w:rPr>
      </w:pPr>
    </w:p>
    <w:p w14:paraId="480A9D68" w14:textId="481014D3" w:rsidR="006321C1" w:rsidRPr="005649CB" w:rsidRDefault="006321C1" w:rsidP="006321C1">
      <w:pPr>
        <w:spacing w:before="120" w:after="120" w:line="360" w:lineRule="auto"/>
        <w:jc w:val="both"/>
        <w:rPr>
          <w:rFonts w:ascii="Arial" w:hAnsi="Arial" w:cs="Arial"/>
          <w:lang w:val="en-GB"/>
        </w:rPr>
      </w:pPr>
      <w:r w:rsidRPr="005649CB">
        <w:rPr>
          <w:rFonts w:ascii="Arial" w:hAnsi="Arial" w:cs="Arial"/>
          <w:b/>
          <w:bCs/>
          <w:lang w:val="en-GB"/>
        </w:rPr>
        <w:t>APPEARANCES</w:t>
      </w:r>
      <w:r w:rsidRPr="005649CB">
        <w:rPr>
          <w:rFonts w:ascii="Arial" w:hAnsi="Arial" w:cs="Arial"/>
          <w:lang w:val="en-GB"/>
        </w:rPr>
        <w:t xml:space="preserve">: </w:t>
      </w:r>
    </w:p>
    <w:p w14:paraId="168C34CC" w14:textId="38416964" w:rsidR="003801A2" w:rsidRDefault="003801A2" w:rsidP="003801A2">
      <w:pPr>
        <w:spacing w:before="120" w:after="120"/>
        <w:jc w:val="both"/>
        <w:rPr>
          <w:rFonts w:ascii="Arial" w:hAnsi="Arial" w:cs="Arial"/>
          <w:lang w:val="en-GB"/>
        </w:rPr>
      </w:pPr>
      <w:r>
        <w:rPr>
          <w:rFonts w:ascii="Arial" w:hAnsi="Arial" w:cs="Arial"/>
          <w:lang w:val="en-GB"/>
        </w:rPr>
        <w:t xml:space="preserve">For the plaintiff: </w:t>
      </w:r>
      <w:r>
        <w:rPr>
          <w:rFonts w:ascii="Arial" w:hAnsi="Arial" w:cs="Arial"/>
          <w:lang w:val="en-GB"/>
        </w:rPr>
        <w:tab/>
      </w:r>
      <w:r>
        <w:rPr>
          <w:rFonts w:ascii="Arial" w:hAnsi="Arial" w:cs="Arial"/>
          <w:lang w:val="en-GB"/>
        </w:rPr>
        <w:tab/>
        <w:t xml:space="preserve">Advocate M A Bester </w:t>
      </w:r>
    </w:p>
    <w:p w14:paraId="4074F40D" w14:textId="32B74D42" w:rsidR="003801A2" w:rsidRDefault="003801A2" w:rsidP="003801A2">
      <w:pPr>
        <w:spacing w:before="120" w:after="120" w:line="480" w:lineRule="auto"/>
        <w:jc w:val="both"/>
        <w:rPr>
          <w:rFonts w:ascii="Arial" w:hAnsi="Arial" w:cs="Arial"/>
          <w:lang w:val="en-GB"/>
        </w:rPr>
      </w:pPr>
      <w:r>
        <w:rPr>
          <w:rFonts w:ascii="Arial" w:hAnsi="Arial" w:cs="Arial"/>
          <w:lang w:val="en-GB"/>
        </w:rPr>
        <w:t xml:space="preserve">Instructed by: </w:t>
      </w:r>
      <w:r>
        <w:rPr>
          <w:rFonts w:ascii="Arial" w:hAnsi="Arial" w:cs="Arial"/>
          <w:lang w:val="en-GB"/>
        </w:rPr>
        <w:tab/>
      </w:r>
      <w:r>
        <w:rPr>
          <w:rFonts w:ascii="Arial" w:hAnsi="Arial" w:cs="Arial"/>
          <w:lang w:val="en-GB"/>
        </w:rPr>
        <w:tab/>
        <w:t xml:space="preserve">Rick Martin Inc </w:t>
      </w:r>
    </w:p>
    <w:p w14:paraId="3D1BA090" w14:textId="30BF6638" w:rsidR="003801A2" w:rsidRDefault="003801A2" w:rsidP="003801A2">
      <w:pPr>
        <w:spacing w:before="120" w:after="120"/>
        <w:jc w:val="both"/>
        <w:rPr>
          <w:rFonts w:ascii="Arial" w:hAnsi="Arial" w:cs="Arial"/>
          <w:lang w:val="en-GB"/>
        </w:rPr>
      </w:pPr>
      <w:r>
        <w:rPr>
          <w:rFonts w:ascii="Arial" w:hAnsi="Arial" w:cs="Arial"/>
          <w:lang w:val="en-GB"/>
        </w:rPr>
        <w:t xml:space="preserve">For the defendant: </w:t>
      </w:r>
      <w:r>
        <w:rPr>
          <w:rFonts w:ascii="Arial" w:hAnsi="Arial" w:cs="Arial"/>
          <w:lang w:val="en-GB"/>
        </w:rPr>
        <w:tab/>
      </w:r>
      <w:r>
        <w:rPr>
          <w:rFonts w:ascii="Arial" w:hAnsi="Arial" w:cs="Arial"/>
          <w:lang w:val="en-GB"/>
        </w:rPr>
        <w:tab/>
        <w:t xml:space="preserve">Adv L Matsiela </w:t>
      </w:r>
    </w:p>
    <w:p w14:paraId="39C13F98" w14:textId="4B5BAE39" w:rsidR="003801A2" w:rsidRPr="005649CB" w:rsidRDefault="003801A2" w:rsidP="003801A2">
      <w:pPr>
        <w:spacing w:before="120" w:after="120" w:line="480" w:lineRule="auto"/>
        <w:jc w:val="both"/>
        <w:rPr>
          <w:rFonts w:ascii="Arial" w:hAnsi="Arial" w:cs="Arial"/>
          <w:lang w:val="en-GB"/>
        </w:rPr>
      </w:pPr>
      <w:r>
        <w:rPr>
          <w:rFonts w:ascii="Arial" w:hAnsi="Arial" w:cs="Arial"/>
          <w:lang w:val="en-GB"/>
        </w:rPr>
        <w:t xml:space="preserve">Instructed by: </w:t>
      </w:r>
      <w:r>
        <w:rPr>
          <w:rFonts w:ascii="Arial" w:hAnsi="Arial" w:cs="Arial"/>
          <w:lang w:val="en-GB"/>
        </w:rPr>
        <w:tab/>
      </w:r>
      <w:r>
        <w:rPr>
          <w:rFonts w:ascii="Arial" w:hAnsi="Arial" w:cs="Arial"/>
          <w:lang w:val="en-GB"/>
        </w:rPr>
        <w:tab/>
        <w:t xml:space="preserve">Yonela Bodlani Attorneys </w:t>
      </w:r>
    </w:p>
    <w:p w14:paraId="1737AC15" w14:textId="77777777" w:rsidR="003801A2" w:rsidRPr="005649CB" w:rsidRDefault="003801A2" w:rsidP="003801A2">
      <w:pPr>
        <w:spacing w:before="120" w:after="120" w:line="360" w:lineRule="auto"/>
        <w:jc w:val="both"/>
        <w:rPr>
          <w:rFonts w:ascii="Arial" w:hAnsi="Arial" w:cs="Arial"/>
          <w:lang w:val="en-GB"/>
        </w:rPr>
      </w:pPr>
      <w:r w:rsidRPr="005649CB">
        <w:rPr>
          <w:rFonts w:ascii="Arial" w:hAnsi="Arial" w:cs="Arial"/>
          <w:lang w:val="en-GB"/>
        </w:rPr>
        <w:t>Date of hearing:</w:t>
      </w:r>
      <w:r w:rsidRPr="005649CB">
        <w:rPr>
          <w:rFonts w:ascii="Arial" w:hAnsi="Arial" w:cs="Arial"/>
          <w:lang w:val="en-GB"/>
        </w:rPr>
        <w:tab/>
        <w:t xml:space="preserve"> </w:t>
      </w:r>
      <w:r>
        <w:rPr>
          <w:rFonts w:ascii="Arial" w:hAnsi="Arial" w:cs="Arial"/>
          <w:lang w:val="en-GB"/>
        </w:rPr>
        <w:tab/>
        <w:t xml:space="preserve">3 August 2023 </w:t>
      </w:r>
    </w:p>
    <w:p w14:paraId="4DD16045" w14:textId="77777777" w:rsidR="003801A2" w:rsidRPr="005649CB" w:rsidRDefault="003801A2" w:rsidP="003801A2">
      <w:pPr>
        <w:spacing w:before="120" w:after="120" w:line="360" w:lineRule="auto"/>
        <w:jc w:val="both"/>
        <w:rPr>
          <w:rFonts w:ascii="Arial" w:hAnsi="Arial" w:cs="Arial"/>
          <w:lang w:val="en-GB"/>
        </w:rPr>
      </w:pPr>
      <w:r w:rsidRPr="005649CB">
        <w:rPr>
          <w:rFonts w:ascii="Arial" w:hAnsi="Arial" w:cs="Arial"/>
          <w:lang w:val="en-GB"/>
        </w:rPr>
        <w:t xml:space="preserve">Date of judgment: </w:t>
      </w:r>
      <w:r w:rsidRPr="005649CB">
        <w:rPr>
          <w:rFonts w:ascii="Arial" w:hAnsi="Arial" w:cs="Arial"/>
          <w:lang w:val="en-GB"/>
        </w:rPr>
        <w:tab/>
      </w:r>
      <w:r>
        <w:rPr>
          <w:rFonts w:ascii="Arial" w:hAnsi="Arial" w:cs="Arial"/>
          <w:lang w:val="en-GB"/>
        </w:rPr>
        <w:tab/>
        <w:t xml:space="preserve">7 August 2023 </w:t>
      </w:r>
    </w:p>
    <w:p w14:paraId="640CE72A" w14:textId="77777777" w:rsidR="00700AB4" w:rsidRPr="005649CB" w:rsidRDefault="00700AB4" w:rsidP="00700AB4">
      <w:pPr>
        <w:rPr>
          <w:rFonts w:ascii="Arial" w:hAnsi="Arial" w:cs="Arial"/>
          <w:lang w:val="en-GB"/>
        </w:rPr>
      </w:pPr>
    </w:p>
    <w:sectPr w:rsidR="00700AB4" w:rsidRPr="005649CB" w:rsidSect="002B05A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C67FD" w14:textId="77777777" w:rsidR="003559D2" w:rsidRDefault="003559D2" w:rsidP="003B22B4">
      <w:r>
        <w:separator/>
      </w:r>
    </w:p>
  </w:endnote>
  <w:endnote w:type="continuationSeparator" w:id="0">
    <w:p w14:paraId="6CB88D9F" w14:textId="77777777" w:rsidR="003559D2" w:rsidRDefault="003559D2" w:rsidP="003B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E9540" w14:textId="77777777" w:rsidR="003559D2" w:rsidRDefault="003559D2" w:rsidP="003B22B4">
      <w:r>
        <w:separator/>
      </w:r>
    </w:p>
  </w:footnote>
  <w:footnote w:type="continuationSeparator" w:id="0">
    <w:p w14:paraId="6BA5796C" w14:textId="77777777" w:rsidR="003559D2" w:rsidRDefault="003559D2" w:rsidP="003B22B4">
      <w:r>
        <w:continuationSeparator/>
      </w:r>
    </w:p>
  </w:footnote>
  <w:footnote w:id="1">
    <w:p w14:paraId="227EC353" w14:textId="55CC8C93" w:rsidR="00A9776C" w:rsidRPr="00A9776C" w:rsidRDefault="00A9776C" w:rsidP="00A9776C">
      <w:pPr>
        <w:pStyle w:val="FootnoteText"/>
      </w:pPr>
      <w:r>
        <w:rPr>
          <w:rStyle w:val="FootnoteReference"/>
        </w:rPr>
        <w:footnoteRef/>
      </w:r>
      <w:r>
        <w:t xml:space="preserve"> </w:t>
      </w:r>
      <w:r>
        <w:tab/>
      </w:r>
      <w:r w:rsidRPr="00A9776C">
        <w:rPr>
          <w:rFonts w:cs="Arial"/>
          <w:b/>
          <w:bCs/>
          <w:lang w:val="en-GB"/>
        </w:rPr>
        <w:t>SAR&amp;H v Marais 1950 (4) SA 610 (A); Hawker v Prudential Assurance Co of SA Ltd 1987 (4) SA 442 (C) at 450</w:t>
      </w:r>
      <w:r>
        <w:rPr>
          <w:rFonts w:cs="Arial"/>
          <w:lang w:val="en-GB"/>
        </w:rPr>
        <w:t xml:space="preserve">. </w:t>
      </w:r>
    </w:p>
  </w:footnote>
  <w:footnote w:id="2">
    <w:p w14:paraId="5A6945CF" w14:textId="71D25FBB" w:rsidR="00C85304" w:rsidRPr="00C85304" w:rsidRDefault="00C85304">
      <w:pPr>
        <w:pStyle w:val="FootnoteText"/>
        <w:rPr>
          <w:lang w:val="en-US"/>
        </w:rPr>
      </w:pPr>
      <w:r>
        <w:rPr>
          <w:rStyle w:val="FootnoteReference"/>
        </w:rPr>
        <w:footnoteRef/>
      </w:r>
      <w:r>
        <w:t xml:space="preserve"> </w:t>
      </w:r>
      <w:r w:rsidRPr="00C85304">
        <w:rPr>
          <w:b/>
          <w:bCs/>
          <w:lang w:val="en-GB"/>
        </w:rPr>
        <w:t>1995 (2) SA 1 (A) at 27F</w:t>
      </w:r>
    </w:p>
  </w:footnote>
  <w:footnote w:id="3">
    <w:p w14:paraId="2242278F" w14:textId="049E4169" w:rsidR="00A9776C" w:rsidRPr="00A9776C" w:rsidRDefault="00A9776C">
      <w:pPr>
        <w:pStyle w:val="FootnoteText"/>
      </w:pPr>
      <w:r>
        <w:rPr>
          <w:rStyle w:val="FootnoteReference"/>
        </w:rPr>
        <w:footnoteRef/>
      </w:r>
      <w:r>
        <w:t xml:space="preserve"> </w:t>
      </w:r>
      <w:r>
        <w:tab/>
      </w:r>
      <w:r w:rsidRPr="00A9776C">
        <w:rPr>
          <w:rFonts w:cs="Arial"/>
          <w:b/>
          <w:bCs/>
          <w:lang w:val="en-GB"/>
        </w:rPr>
        <w:t>Liquidators Wapejo Shipping Co Ltd v Lurie Bros 1924 AD 69 at 74</w:t>
      </w:r>
      <w:r>
        <w:rPr>
          <w:rFonts w:cs="Arial"/>
          <w:lang w:val="en-GB"/>
        </w:rPr>
        <w:t xml:space="preserve">. </w:t>
      </w:r>
    </w:p>
  </w:footnote>
  <w:footnote w:id="4">
    <w:p w14:paraId="4CAADC3B" w14:textId="2056D677" w:rsidR="00A9776C" w:rsidRPr="00A9776C" w:rsidRDefault="00A9776C">
      <w:pPr>
        <w:pStyle w:val="FootnoteText"/>
      </w:pPr>
      <w:r>
        <w:rPr>
          <w:rStyle w:val="FootnoteReference"/>
        </w:rPr>
        <w:footnoteRef/>
      </w:r>
      <w:r>
        <w:t xml:space="preserve"> </w:t>
      </w:r>
      <w:r>
        <w:tab/>
      </w:r>
      <w:r w:rsidRPr="00A9776C">
        <w:rPr>
          <w:rFonts w:cs="Arial"/>
          <w:b/>
          <w:bCs/>
          <w:lang w:val="en-GB"/>
        </w:rPr>
        <w:t>Levitan v New Haven Holiday Enterprises CC 1991 (2) SA 297 (C) at 298A</w:t>
      </w:r>
      <w:r>
        <w:rPr>
          <w:rFonts w:cs="Arial"/>
          <w:lang w:val="en-GB"/>
        </w:rPr>
        <w:t xml:space="preserve">. </w:t>
      </w:r>
    </w:p>
  </w:footnote>
  <w:footnote w:id="5">
    <w:p w14:paraId="272EA4C1" w14:textId="6B4858A8" w:rsidR="00A9776C" w:rsidRPr="00A9776C" w:rsidRDefault="00A9776C">
      <w:pPr>
        <w:pStyle w:val="FootnoteText"/>
      </w:pPr>
      <w:r>
        <w:rPr>
          <w:rStyle w:val="FootnoteReference"/>
        </w:rPr>
        <w:footnoteRef/>
      </w:r>
      <w:r>
        <w:t xml:space="preserve"> </w:t>
      </w:r>
      <w:r>
        <w:tab/>
      </w:r>
      <w:r w:rsidRPr="00A9776C">
        <w:rPr>
          <w:rFonts w:cs="Arial"/>
          <w:b/>
          <w:bCs/>
          <w:lang w:val="en-GB"/>
        </w:rPr>
        <w:t xml:space="preserve">Liquidators Wapejo </w:t>
      </w:r>
      <w:r w:rsidRPr="00A9776C">
        <w:rPr>
          <w:rFonts w:cs="Arial"/>
          <w:b/>
          <w:bCs/>
          <w:i/>
          <w:iCs/>
          <w:lang w:val="en-GB"/>
        </w:rPr>
        <w:t>supra</w:t>
      </w:r>
      <w:r w:rsidRPr="00A9776C">
        <w:rPr>
          <w:rFonts w:cs="Arial"/>
          <w:b/>
          <w:bCs/>
          <w:lang w:val="en-GB"/>
        </w:rPr>
        <w:t xml:space="preserve"> at 74</w:t>
      </w:r>
      <w:r>
        <w:rPr>
          <w:rFonts w:cs="Arial"/>
          <w:lang w:val="en-GB"/>
        </w:rPr>
        <w:t xml:space="preserve">. </w:t>
      </w:r>
    </w:p>
  </w:footnote>
  <w:footnote w:id="6">
    <w:p w14:paraId="04AC05BB" w14:textId="5A23A0ED" w:rsidR="00A9776C" w:rsidRPr="00E97A54" w:rsidRDefault="00A9776C">
      <w:pPr>
        <w:pStyle w:val="FootnoteText"/>
      </w:pPr>
      <w:r>
        <w:rPr>
          <w:rStyle w:val="FootnoteReference"/>
        </w:rPr>
        <w:footnoteRef/>
      </w:r>
      <w:r>
        <w:t xml:space="preserve"> </w:t>
      </w:r>
      <w:r>
        <w:tab/>
      </w:r>
      <w:r>
        <w:rPr>
          <w:b/>
          <w:bCs/>
        </w:rPr>
        <w:t>Venter and Others NNO v Barritt; Venter and Others NNO v Wolfsberg Arch Investments 2 (Pty) Ltd</w:t>
      </w:r>
      <w:r w:rsidR="00E97A54">
        <w:rPr>
          <w:b/>
          <w:bCs/>
        </w:rPr>
        <w:t xml:space="preserve"> 2008 (4) SA 639 (C) at 644A-B</w:t>
      </w:r>
      <w:r w:rsidR="00E97A54">
        <w:t xml:space="preserve">. </w:t>
      </w:r>
    </w:p>
  </w:footnote>
  <w:footnote w:id="7">
    <w:p w14:paraId="7BC213A2" w14:textId="50AA50FF" w:rsidR="00E97A54" w:rsidRPr="00E97A54" w:rsidRDefault="00E97A54">
      <w:pPr>
        <w:pStyle w:val="FootnoteText"/>
      </w:pPr>
      <w:r>
        <w:rPr>
          <w:rStyle w:val="FootnoteReference"/>
        </w:rPr>
        <w:footnoteRef/>
      </w:r>
      <w:r>
        <w:t xml:space="preserve"> </w:t>
      </w:r>
      <w:r>
        <w:tab/>
      </w:r>
      <w:r>
        <w:rPr>
          <w:b/>
          <w:bCs/>
        </w:rPr>
        <w:t xml:space="preserve">Venter </w:t>
      </w:r>
      <w:r>
        <w:rPr>
          <w:b/>
          <w:bCs/>
          <w:i/>
          <w:iCs/>
        </w:rPr>
        <w:t>supra</w:t>
      </w:r>
      <w:r>
        <w:rPr>
          <w:b/>
          <w:bCs/>
        </w:rPr>
        <w:t xml:space="preserve"> at 644B</w:t>
      </w:r>
      <w:r>
        <w:t xml:space="preserve">. </w:t>
      </w:r>
    </w:p>
  </w:footnote>
  <w:footnote w:id="8">
    <w:p w14:paraId="2945EC38" w14:textId="40208131" w:rsidR="00E97A54" w:rsidRPr="00E97A54" w:rsidRDefault="00E97A54">
      <w:pPr>
        <w:pStyle w:val="FootnoteText"/>
      </w:pPr>
      <w:r>
        <w:rPr>
          <w:rStyle w:val="FootnoteReference"/>
        </w:rPr>
        <w:footnoteRef/>
      </w:r>
      <w:r>
        <w:t xml:space="preserve"> </w:t>
      </w:r>
      <w:r>
        <w:tab/>
      </w:r>
      <w:r>
        <w:rPr>
          <w:b/>
          <w:bCs/>
        </w:rPr>
        <w:t>Quinlan v MacGregor 1960 (4) SA 383 (D) at 393E-H</w:t>
      </w:r>
      <w:r>
        <w:t xml:space="preserve">. </w:t>
      </w:r>
    </w:p>
  </w:footnote>
  <w:footnote w:id="9">
    <w:p w14:paraId="03AA2DB9" w14:textId="1FED7E06" w:rsidR="00E97A54" w:rsidRPr="00E97A54" w:rsidRDefault="00E97A54">
      <w:pPr>
        <w:pStyle w:val="FootnoteText"/>
      </w:pPr>
      <w:r>
        <w:rPr>
          <w:rStyle w:val="FootnoteReference"/>
        </w:rPr>
        <w:footnoteRef/>
      </w:r>
      <w:r>
        <w:t xml:space="preserve"> </w:t>
      </w:r>
      <w:r>
        <w:tab/>
        <w:t xml:space="preserve">See </w:t>
      </w:r>
      <w:r>
        <w:rPr>
          <w:b/>
          <w:bCs/>
        </w:rPr>
        <w:t xml:space="preserve">Erasmus </w:t>
      </w:r>
      <w:r>
        <w:rPr>
          <w:b/>
          <w:bCs/>
          <w:i/>
          <w:iCs/>
        </w:rPr>
        <w:t xml:space="preserve">Commentary on Rule 23 </w:t>
      </w:r>
      <w:r>
        <w:rPr>
          <w:b/>
          <w:bCs/>
        </w:rPr>
        <w:t>at RS20, 2022, D1-304</w:t>
      </w:r>
      <w:r>
        <w:t xml:space="preserve">. </w:t>
      </w:r>
    </w:p>
  </w:footnote>
  <w:footnote w:id="10">
    <w:p w14:paraId="65C03112" w14:textId="15DEFC9B" w:rsidR="00E97A54" w:rsidRPr="00E97A54" w:rsidRDefault="00E97A54">
      <w:pPr>
        <w:pStyle w:val="FootnoteText"/>
        <w:rPr>
          <w:b/>
          <w:bCs/>
        </w:rPr>
      </w:pPr>
      <w:r>
        <w:rPr>
          <w:rStyle w:val="FootnoteReference"/>
        </w:rPr>
        <w:footnoteRef/>
      </w:r>
      <w:r>
        <w:t xml:space="preserve"> </w:t>
      </w:r>
      <w:r>
        <w:tab/>
      </w:r>
      <w:r>
        <w:rPr>
          <w:b/>
          <w:bCs/>
        </w:rPr>
        <w:t>Quinlan</w:t>
      </w:r>
      <w:r>
        <w:rPr>
          <w:b/>
          <w:bCs/>
          <w:i/>
          <w:iCs/>
        </w:rPr>
        <w:t xml:space="preserve"> supra</w:t>
      </w:r>
      <w:r>
        <w:rPr>
          <w:b/>
          <w:bCs/>
        </w:rPr>
        <w:t xml:space="preserve"> at 393G.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99996785"/>
      <w:docPartObj>
        <w:docPartGallery w:val="Page Numbers (Top of Page)"/>
        <w:docPartUnique/>
      </w:docPartObj>
    </w:sdtPr>
    <w:sdtEndPr>
      <w:rPr>
        <w:noProof/>
        <w:sz w:val="22"/>
        <w:szCs w:val="22"/>
      </w:rPr>
    </w:sdtEndPr>
    <w:sdtContent>
      <w:p w14:paraId="49A0F3D4" w14:textId="77777777" w:rsidR="00F515DD" w:rsidRDefault="00F515DD">
        <w:pPr>
          <w:pStyle w:val="Header"/>
          <w:jc w:val="right"/>
          <w:rPr>
            <w:sz w:val="20"/>
            <w:szCs w:val="20"/>
          </w:rPr>
        </w:pPr>
      </w:p>
      <w:p w14:paraId="3B7149F0" w14:textId="04E0C15A" w:rsidR="002C35D7" w:rsidRPr="00F515DD" w:rsidRDefault="002C35D7">
        <w:pPr>
          <w:pStyle w:val="Header"/>
          <w:jc w:val="right"/>
          <w:rPr>
            <w:sz w:val="22"/>
          </w:rPr>
        </w:pPr>
        <w:r w:rsidRPr="00F515DD">
          <w:rPr>
            <w:sz w:val="22"/>
          </w:rPr>
          <w:fldChar w:fldCharType="begin"/>
        </w:r>
        <w:r w:rsidRPr="00F515DD">
          <w:rPr>
            <w:sz w:val="22"/>
          </w:rPr>
          <w:instrText xml:space="preserve"> PAGE   \* MERGEFORMAT </w:instrText>
        </w:r>
        <w:r w:rsidRPr="00F515DD">
          <w:rPr>
            <w:sz w:val="22"/>
          </w:rPr>
          <w:fldChar w:fldCharType="separate"/>
        </w:r>
        <w:r w:rsidR="001F1A86">
          <w:rPr>
            <w:noProof/>
            <w:sz w:val="22"/>
          </w:rPr>
          <w:t>4</w:t>
        </w:r>
        <w:r w:rsidRPr="00F515DD">
          <w:rPr>
            <w:noProof/>
            <w:sz w:val="22"/>
          </w:rPr>
          <w:fldChar w:fldCharType="end"/>
        </w:r>
      </w:p>
    </w:sdtContent>
  </w:sdt>
  <w:p w14:paraId="719DEC86" w14:textId="77777777" w:rsidR="00D6346C" w:rsidRDefault="00D6346C"/>
  <w:p w14:paraId="71C26EDD" w14:textId="77777777" w:rsidR="00D6346C" w:rsidRDefault="00D634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C46C3"/>
    <w:multiLevelType w:val="multilevel"/>
    <w:tmpl w:val="264ED27C"/>
    <w:numStyleLink w:val="DonovanMain"/>
  </w:abstractNum>
  <w:abstractNum w:abstractNumId="2">
    <w:nsid w:val="0642358B"/>
    <w:multiLevelType w:val="multilevel"/>
    <w:tmpl w:val="836C3962"/>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5">
    <w:nsid w:val="23024316"/>
    <w:multiLevelType w:val="hybridMultilevel"/>
    <w:tmpl w:val="A24CE506"/>
    <w:lvl w:ilvl="0" w:tplc="A566C9DE">
      <w:start w:val="1"/>
      <w:numFmt w:val="decimal"/>
      <w:lvlText w:val="%1."/>
      <w:lvlJc w:val="left"/>
      <w:pPr>
        <w:ind w:left="1429" w:hanging="360"/>
      </w:pPr>
      <w:rPr>
        <w:rFonts w:ascii="Arial" w:hAnsi="Arial" w:cs="Arial" w:hint="default"/>
        <w:sz w:val="24"/>
        <w:szCs w:val="24"/>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27F22BB0"/>
    <w:multiLevelType w:val="multilevel"/>
    <w:tmpl w:val="68449158"/>
    <w:styleLink w:val="CurrentList1"/>
    <w:lvl w:ilvl="0">
      <w:start w:val="1"/>
      <w:numFmt w:val="decimal"/>
      <w:lvlText w:val="%1."/>
      <w:lvlJc w:val="left"/>
      <w:pPr>
        <w:tabs>
          <w:tab w:val="num" w:pos="691"/>
        </w:tabs>
        <w:ind w:left="691" w:hanging="691"/>
      </w:pPr>
      <w:rPr>
        <w:rFonts w:ascii="Tahoma" w:hAnsi="Tahoma" w:cs="Tahoma" w:hint="default"/>
        <w:b w:val="0"/>
        <w:i w:val="0"/>
        <w:sz w:val="22"/>
        <w:szCs w:val="22"/>
      </w:rPr>
    </w:lvl>
    <w:lvl w:ilvl="1">
      <w:start w:val="1"/>
      <w:numFmt w:val="decimal"/>
      <w:lvlText w:val="%1.%2"/>
      <w:lvlJc w:val="left"/>
      <w:pPr>
        <w:tabs>
          <w:tab w:val="num" w:pos="1757"/>
        </w:tabs>
        <w:ind w:left="1757" w:hanging="1066"/>
      </w:pPr>
      <w:rPr>
        <w:rFonts w:ascii="Tahoma" w:hAnsi="Tahoma" w:cs="Tahoma" w:hint="default"/>
        <w:b w:val="0"/>
        <w:i w:val="0"/>
        <w:sz w:val="22"/>
        <w:szCs w:val="22"/>
      </w:rPr>
    </w:lvl>
    <w:lvl w:ilvl="2">
      <w:start w:val="1"/>
      <w:numFmt w:val="decimal"/>
      <w:lvlText w:val="%1.%2.%3"/>
      <w:lvlJc w:val="left"/>
      <w:pPr>
        <w:tabs>
          <w:tab w:val="num" w:pos="2880"/>
        </w:tabs>
        <w:ind w:left="2880" w:hanging="1123"/>
      </w:pPr>
      <w:rPr>
        <w:rFonts w:ascii="Tahoma" w:hAnsi="Tahoma" w:cs="Tahoma" w:hint="default"/>
        <w:b w:val="0"/>
        <w:i w:val="0"/>
        <w:sz w:val="22"/>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7">
    <w:nsid w:val="385C62FD"/>
    <w:multiLevelType w:val="hybridMultilevel"/>
    <w:tmpl w:val="473E6D94"/>
    <w:lvl w:ilvl="0" w:tplc="C47ECFF4">
      <w:start w:val="1"/>
      <w:numFmt w:val="decimal"/>
      <w:lvlText w:val="%1."/>
      <w:lvlJc w:val="left"/>
      <w:pPr>
        <w:ind w:left="1051" w:hanging="360"/>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8">
    <w:nsid w:val="3A98097C"/>
    <w:multiLevelType w:val="multilevel"/>
    <w:tmpl w:val="264ED27C"/>
    <w:styleLink w:val="DonovanMain"/>
    <w:lvl w:ilvl="0">
      <w:start w:val="1"/>
      <w:numFmt w:val="decimal"/>
      <w:lvlText w:val="%1."/>
      <w:lvlJc w:val="left"/>
      <w:pPr>
        <w:ind w:left="792" w:hanging="792"/>
      </w:pPr>
      <w:rPr>
        <w:rFonts w:hint="default"/>
      </w:rPr>
    </w:lvl>
    <w:lvl w:ilvl="1">
      <w:start w:val="1"/>
      <w:numFmt w:val="decimal"/>
      <w:lvlText w:val="%1.%2."/>
      <w:lvlJc w:val="left"/>
      <w:pPr>
        <w:ind w:left="1728" w:hanging="936"/>
      </w:pPr>
      <w:rPr>
        <w:rFonts w:hint="default"/>
      </w:rPr>
    </w:lvl>
    <w:lvl w:ilvl="2">
      <w:start w:val="1"/>
      <w:numFmt w:val="decimal"/>
      <w:lvlText w:val="%1.%2.%3."/>
      <w:lvlJc w:val="left"/>
      <w:pPr>
        <w:ind w:left="2880" w:hanging="1152"/>
      </w:pPr>
      <w:rPr>
        <w:rFonts w:hint="default"/>
      </w:rPr>
    </w:lvl>
    <w:lvl w:ilvl="3">
      <w:start w:val="1"/>
      <w:numFmt w:val="decimal"/>
      <w:lvlText w:val="%1.%2.%3.%4."/>
      <w:lvlJc w:val="left"/>
      <w:pPr>
        <w:ind w:left="4176"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6137DBF"/>
    <w:multiLevelType w:val="multilevel"/>
    <w:tmpl w:val="D464BCD8"/>
    <w:lvl w:ilvl="0">
      <w:start w:val="1"/>
      <w:numFmt w:val="decimal"/>
      <w:lvlText w:val="[%1]"/>
      <w:lvlJc w:val="left"/>
      <w:pPr>
        <w:ind w:left="691" w:hanging="691"/>
      </w:pPr>
      <w:rPr>
        <w:rFonts w:ascii="Arial" w:hAnsi="Arial" w:cs="Tahoma" w:hint="default"/>
        <w:b w:val="0"/>
        <w:i w:val="0"/>
        <w:sz w:val="24"/>
        <w:szCs w:val="22"/>
      </w:rPr>
    </w:lvl>
    <w:lvl w:ilvl="1">
      <w:start w:val="1"/>
      <w:numFmt w:val="decimal"/>
      <w:lvlText w:val="[%1.%2]"/>
      <w:lvlJc w:val="left"/>
      <w:pPr>
        <w:tabs>
          <w:tab w:val="num" w:pos="1757"/>
        </w:tabs>
        <w:ind w:left="1757" w:hanging="1066"/>
      </w:pPr>
      <w:rPr>
        <w:rFonts w:ascii="Arial" w:hAnsi="Arial" w:cs="Tahoma" w:hint="default"/>
        <w:b w:val="0"/>
        <w:i w:val="0"/>
        <w:sz w:val="24"/>
        <w:szCs w:val="22"/>
      </w:rPr>
    </w:lvl>
    <w:lvl w:ilvl="2">
      <w:start w:val="1"/>
      <w:numFmt w:val="decimal"/>
      <w:lvlText w:val="[%1.%2.%3]"/>
      <w:lvlJc w:val="left"/>
      <w:pPr>
        <w:tabs>
          <w:tab w:val="num" w:pos="2880"/>
        </w:tabs>
        <w:ind w:left="2880" w:hanging="1123"/>
      </w:pPr>
      <w:rPr>
        <w:rFonts w:ascii="Arial" w:hAnsi="Arial" w:cs="Tahoma" w:hint="default"/>
        <w:b w:val="0"/>
        <w:i w:val="0"/>
        <w:sz w:val="24"/>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10">
    <w:nsid w:val="55590755"/>
    <w:multiLevelType w:val="hybridMultilevel"/>
    <w:tmpl w:val="42121904"/>
    <w:lvl w:ilvl="0" w:tplc="0262A0CE">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2B35BC"/>
    <w:multiLevelType w:val="multilevel"/>
    <w:tmpl w:val="617ADB98"/>
    <w:lvl w:ilvl="0">
      <w:start w:val="13"/>
      <w:numFmt w:val="decimal"/>
      <w:lvlText w:val="%1"/>
      <w:lvlJc w:val="left"/>
      <w:pPr>
        <w:ind w:left="600" w:hanging="600"/>
      </w:pPr>
      <w:rPr>
        <w:rFonts w:hint="default"/>
        <w:sz w:val="22"/>
      </w:rPr>
    </w:lvl>
    <w:lvl w:ilvl="1">
      <w:start w:val="8"/>
      <w:numFmt w:val="decimal"/>
      <w:lvlText w:val="%1.%2"/>
      <w:lvlJc w:val="left"/>
      <w:pPr>
        <w:ind w:left="600" w:hanging="60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2">
    <w:nsid w:val="59086383"/>
    <w:multiLevelType w:val="multilevel"/>
    <w:tmpl w:val="326CAD48"/>
    <w:lvl w:ilvl="0">
      <w:start w:val="1"/>
      <w:numFmt w:val="decimal"/>
      <w:lvlText w:val="[%1]"/>
      <w:lvlJc w:val="left"/>
      <w:pPr>
        <w:ind w:left="0" w:firstLine="0"/>
      </w:pPr>
      <w:rPr>
        <w:rFonts w:ascii="Arial" w:hAnsi="Arial" w:cs="Arial" w:hint="default"/>
        <w:b w:val="0"/>
        <w:i w:val="0"/>
        <w:sz w:val="24"/>
        <w:szCs w:val="24"/>
        <w:vertAlign w:val="baseline"/>
      </w:rPr>
    </w:lvl>
    <w:lvl w:ilvl="1">
      <w:start w:val="1"/>
      <w:numFmt w:val="lowerLetter"/>
      <w:lvlText w:val="(%2)"/>
      <w:lvlJc w:val="left"/>
      <w:pPr>
        <w:ind w:left="720" w:hanging="360"/>
      </w:pPr>
      <w:rPr>
        <w:rFonts w:hint="default"/>
        <w:b w:val="0"/>
        <w:i w:val="0"/>
        <w:sz w:val="24"/>
        <w:szCs w:val="24"/>
        <w:vertAlign w:val="baseline"/>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A2F7930"/>
    <w:multiLevelType w:val="hybridMultilevel"/>
    <w:tmpl w:val="80303572"/>
    <w:lvl w:ilvl="0" w:tplc="7DA0E374">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FDC4762"/>
    <w:multiLevelType w:val="hybridMultilevel"/>
    <w:tmpl w:val="69984684"/>
    <w:lvl w:ilvl="0" w:tplc="1A848F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80C6504"/>
    <w:multiLevelType w:val="multilevel"/>
    <w:tmpl w:val="650616A0"/>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A86711C"/>
    <w:multiLevelType w:val="multilevel"/>
    <w:tmpl w:val="4650C756"/>
    <w:lvl w:ilvl="0">
      <w:start w:val="1"/>
      <w:numFmt w:val="decimal"/>
      <w:lvlText w:val="%1."/>
      <w:lvlJc w:val="left"/>
      <w:pPr>
        <w:ind w:left="567" w:hanging="567"/>
      </w:pPr>
      <w:rPr>
        <w:rFonts w:ascii="Arial" w:hAnsi="Arial" w:cs="Arial" w:hint="default"/>
        <w:b w:val="0"/>
        <w:i w:val="0"/>
        <w:iCs/>
        <w:sz w:val="23"/>
        <w:szCs w:val="23"/>
      </w:rPr>
    </w:lvl>
    <w:lvl w:ilvl="1">
      <w:start w:val="1"/>
      <w:numFmt w:val="decimal"/>
      <w:lvlText w:val="%1.%2."/>
      <w:lvlJc w:val="left"/>
      <w:pPr>
        <w:ind w:left="1418" w:hanging="851"/>
      </w:pPr>
      <w:rPr>
        <w:rFonts w:ascii="Arial" w:hAnsi="Arial" w:cs="Arial" w:hint="default"/>
        <w:b w:val="0"/>
        <w:i w:val="0"/>
        <w:iCs/>
        <w:sz w:val="23"/>
        <w:szCs w:val="23"/>
      </w:rPr>
    </w:lvl>
    <w:lvl w:ilvl="2">
      <w:start w:val="1"/>
      <w:numFmt w:val="decimal"/>
      <w:lvlText w:val="%1.%2.%3."/>
      <w:lvlJc w:val="left"/>
      <w:pPr>
        <w:tabs>
          <w:tab w:val="num" w:pos="2495"/>
        </w:tabs>
        <w:ind w:left="2495" w:hanging="1077"/>
      </w:pPr>
      <w:rPr>
        <w:rFonts w:ascii="Arial" w:hAnsi="Arial" w:cs="Arial" w:hint="default"/>
        <w:sz w:val="23"/>
        <w:szCs w:val="23"/>
      </w:rPr>
    </w:lvl>
    <w:lvl w:ilvl="3">
      <w:start w:val="1"/>
      <w:numFmt w:val="decimal"/>
      <w:lvlText w:val="%1.%2.%3.%4."/>
      <w:lvlJc w:val="left"/>
      <w:pPr>
        <w:tabs>
          <w:tab w:val="num" w:pos="3175"/>
        </w:tabs>
        <w:ind w:left="3912" w:hanging="1417"/>
      </w:pPr>
      <w:rPr>
        <w:rFonts w:ascii="Arial" w:hAnsi="Arial" w:cs="Arial" w:hint="default"/>
        <w:sz w:val="23"/>
        <w:szCs w:val="23"/>
      </w:rPr>
    </w:lvl>
    <w:lvl w:ilvl="4">
      <w:start w:val="1"/>
      <w:numFmt w:val="decimal"/>
      <w:lvlText w:val="%1.%2.%3.%4.%5."/>
      <w:lvlJc w:val="left"/>
      <w:pPr>
        <w:ind w:left="5783" w:hanging="1871"/>
      </w:pPr>
      <w:rPr>
        <w:rFonts w:ascii="Arial" w:hAnsi="Arial" w:cs="Arial" w:hint="default"/>
        <w:sz w:val="23"/>
        <w:szCs w:val="23"/>
      </w:rPr>
    </w:lvl>
    <w:lvl w:ilvl="5">
      <w:start w:val="1"/>
      <w:numFmt w:val="decimal"/>
      <w:lvlText w:val="%1.%2.%3.%4.%5.%6."/>
      <w:lvlJc w:val="left"/>
      <w:pPr>
        <w:ind w:left="2736" w:hanging="936"/>
      </w:pPr>
      <w:rPr>
        <w:rFonts w:ascii="Arial" w:hAnsi="Arial" w:cs="Arial" w:hint="default"/>
        <w:sz w:val="23"/>
        <w:szCs w:val="23"/>
      </w:rPr>
    </w:lvl>
    <w:lvl w:ilvl="6">
      <w:start w:val="1"/>
      <w:numFmt w:val="decimal"/>
      <w:lvlText w:val="%1.%2.%3.%4.%5.%6.%7."/>
      <w:lvlJc w:val="left"/>
      <w:pPr>
        <w:ind w:left="3240" w:hanging="1080"/>
      </w:pPr>
      <w:rPr>
        <w:rFonts w:ascii="Arial" w:hAnsi="Arial" w:cs="Arial" w:hint="default"/>
        <w:sz w:val="23"/>
        <w:szCs w:val="23"/>
      </w:rPr>
    </w:lvl>
    <w:lvl w:ilvl="7">
      <w:start w:val="1"/>
      <w:numFmt w:val="decimal"/>
      <w:lvlText w:val="%1.%2.%3.%4.%5.%6.%7.%8."/>
      <w:lvlJc w:val="left"/>
      <w:pPr>
        <w:ind w:left="3744" w:hanging="1224"/>
      </w:pPr>
      <w:rPr>
        <w:rFonts w:ascii="Arial" w:hAnsi="Arial" w:cs="Arial" w:hint="default"/>
        <w:sz w:val="23"/>
        <w:szCs w:val="23"/>
      </w:rPr>
    </w:lvl>
    <w:lvl w:ilvl="8">
      <w:start w:val="1"/>
      <w:numFmt w:val="decimal"/>
      <w:lvlText w:val="%1.%2.%3.%4.%5.%6.%7.%8.%9."/>
      <w:lvlJc w:val="left"/>
      <w:pPr>
        <w:ind w:left="4320" w:hanging="1440"/>
      </w:pPr>
      <w:rPr>
        <w:rFonts w:ascii="Arial" w:hAnsi="Arial" w:cs="Arial" w:hint="default"/>
        <w:sz w:val="23"/>
        <w:szCs w:val="23"/>
      </w:rPr>
    </w:lvl>
  </w:abstractNum>
  <w:abstractNum w:abstractNumId="17">
    <w:nsid w:val="7243449E"/>
    <w:multiLevelType w:val="hybridMultilevel"/>
    <w:tmpl w:val="71CCF8EA"/>
    <w:lvl w:ilvl="0" w:tplc="877E9248">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2560AAF"/>
    <w:multiLevelType w:val="hybridMultilevel"/>
    <w:tmpl w:val="B9B60296"/>
    <w:lvl w:ilvl="0" w:tplc="A7BC7696">
      <w:start w:val="1"/>
      <w:numFmt w:val="upperLetter"/>
      <w:pStyle w:val="CDH-AnnexureNumber"/>
      <w:lvlText w:val="Annexure %1"/>
      <w:lvlJc w:val="right"/>
      <w:pPr>
        <w:ind w:left="81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19" w:tentative="1">
      <w:start w:val="1"/>
      <w:numFmt w:val="lowerLetter"/>
      <w:lvlText w:val="%2."/>
      <w:lvlJc w:val="left"/>
      <w:pPr>
        <w:ind w:left="9237" w:hanging="360"/>
      </w:pPr>
    </w:lvl>
    <w:lvl w:ilvl="2" w:tplc="1C09001B" w:tentative="1">
      <w:start w:val="1"/>
      <w:numFmt w:val="lowerRoman"/>
      <w:lvlText w:val="%3."/>
      <w:lvlJc w:val="right"/>
      <w:pPr>
        <w:ind w:left="9957" w:hanging="180"/>
      </w:pPr>
    </w:lvl>
    <w:lvl w:ilvl="3" w:tplc="1C09000F" w:tentative="1">
      <w:start w:val="1"/>
      <w:numFmt w:val="decimal"/>
      <w:lvlText w:val="%4."/>
      <w:lvlJc w:val="left"/>
      <w:pPr>
        <w:ind w:left="10677" w:hanging="360"/>
      </w:pPr>
    </w:lvl>
    <w:lvl w:ilvl="4" w:tplc="1C090019" w:tentative="1">
      <w:start w:val="1"/>
      <w:numFmt w:val="lowerLetter"/>
      <w:lvlText w:val="%5."/>
      <w:lvlJc w:val="left"/>
      <w:pPr>
        <w:ind w:left="11397" w:hanging="360"/>
      </w:pPr>
    </w:lvl>
    <w:lvl w:ilvl="5" w:tplc="1C09001B" w:tentative="1">
      <w:start w:val="1"/>
      <w:numFmt w:val="lowerRoman"/>
      <w:lvlText w:val="%6."/>
      <w:lvlJc w:val="right"/>
      <w:pPr>
        <w:ind w:left="12117" w:hanging="180"/>
      </w:pPr>
    </w:lvl>
    <w:lvl w:ilvl="6" w:tplc="1C09000F" w:tentative="1">
      <w:start w:val="1"/>
      <w:numFmt w:val="decimal"/>
      <w:lvlText w:val="%7."/>
      <w:lvlJc w:val="left"/>
      <w:pPr>
        <w:ind w:left="12837" w:hanging="360"/>
      </w:pPr>
    </w:lvl>
    <w:lvl w:ilvl="7" w:tplc="1C090019" w:tentative="1">
      <w:start w:val="1"/>
      <w:numFmt w:val="lowerLetter"/>
      <w:lvlText w:val="%8."/>
      <w:lvlJc w:val="left"/>
      <w:pPr>
        <w:ind w:left="13557" w:hanging="360"/>
      </w:pPr>
    </w:lvl>
    <w:lvl w:ilvl="8" w:tplc="1C09001B" w:tentative="1">
      <w:start w:val="1"/>
      <w:numFmt w:val="lowerRoman"/>
      <w:lvlText w:val="%9."/>
      <w:lvlJc w:val="right"/>
      <w:pPr>
        <w:ind w:left="14277" w:hanging="180"/>
      </w:pPr>
    </w:lvl>
  </w:abstractNum>
  <w:abstractNum w:abstractNumId="19">
    <w:nsid w:val="78786C20"/>
    <w:multiLevelType w:val="multilevel"/>
    <w:tmpl w:val="12F6E4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CED58F5"/>
    <w:multiLevelType w:val="hybridMultilevel"/>
    <w:tmpl w:val="0DA0367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2"/>
  </w:num>
  <w:num w:numId="5">
    <w:abstractNumId w:val="2"/>
  </w:num>
  <w:num w:numId="6">
    <w:abstractNumId w:val="5"/>
  </w:num>
  <w:num w:numId="7">
    <w:abstractNumId w:val="14"/>
  </w:num>
  <w:num w:numId="8">
    <w:abstractNumId w:val="13"/>
  </w:num>
  <w:num w:numId="9">
    <w:abstractNumId w:val="11"/>
  </w:num>
  <w:num w:numId="10">
    <w:abstractNumId w:val="20"/>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9"/>
  </w:num>
  <w:num w:numId="16">
    <w:abstractNumId w:val="6"/>
  </w:num>
  <w:num w:numId="17">
    <w:abstractNumId w:val="0"/>
  </w:num>
  <w:num w:numId="18">
    <w:abstractNumId w:val="15"/>
  </w:num>
  <w:num w:numId="19">
    <w:abstractNumId w:val="8"/>
  </w:num>
  <w:num w:numId="20">
    <w:abstractNumId w:val="1"/>
  </w:num>
  <w:num w:numId="21">
    <w:abstractNumId w:val="18"/>
  </w:num>
  <w:num w:numId="22">
    <w:abstractNumId w:val="7"/>
  </w:num>
  <w:num w:numId="2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9E"/>
    <w:rsid w:val="0000035B"/>
    <w:rsid w:val="00004503"/>
    <w:rsid w:val="00006363"/>
    <w:rsid w:val="00007347"/>
    <w:rsid w:val="00010033"/>
    <w:rsid w:val="00010FF7"/>
    <w:rsid w:val="0001444E"/>
    <w:rsid w:val="00014D11"/>
    <w:rsid w:val="00022F2B"/>
    <w:rsid w:val="00024CAC"/>
    <w:rsid w:val="00024F23"/>
    <w:rsid w:val="00027E69"/>
    <w:rsid w:val="00030D33"/>
    <w:rsid w:val="00030D35"/>
    <w:rsid w:val="00030F04"/>
    <w:rsid w:val="00032160"/>
    <w:rsid w:val="00035035"/>
    <w:rsid w:val="00037822"/>
    <w:rsid w:val="00041637"/>
    <w:rsid w:val="00046C11"/>
    <w:rsid w:val="00047737"/>
    <w:rsid w:val="000505A0"/>
    <w:rsid w:val="0005385E"/>
    <w:rsid w:val="000556AA"/>
    <w:rsid w:val="00066347"/>
    <w:rsid w:val="00067BD2"/>
    <w:rsid w:val="00071F17"/>
    <w:rsid w:val="00074BB4"/>
    <w:rsid w:val="00074F7C"/>
    <w:rsid w:val="00084D54"/>
    <w:rsid w:val="00086892"/>
    <w:rsid w:val="000912EA"/>
    <w:rsid w:val="000918AD"/>
    <w:rsid w:val="00092362"/>
    <w:rsid w:val="00092A29"/>
    <w:rsid w:val="000930FB"/>
    <w:rsid w:val="00093A8F"/>
    <w:rsid w:val="0009480F"/>
    <w:rsid w:val="000A10E7"/>
    <w:rsid w:val="000A2F78"/>
    <w:rsid w:val="000A3296"/>
    <w:rsid w:val="000A44D9"/>
    <w:rsid w:val="000A613E"/>
    <w:rsid w:val="000B4001"/>
    <w:rsid w:val="000B7B05"/>
    <w:rsid w:val="000C15EE"/>
    <w:rsid w:val="000D1995"/>
    <w:rsid w:val="000D21BD"/>
    <w:rsid w:val="000D3FD0"/>
    <w:rsid w:val="000D56E2"/>
    <w:rsid w:val="000D5767"/>
    <w:rsid w:val="000D5D15"/>
    <w:rsid w:val="000D6133"/>
    <w:rsid w:val="000E28FE"/>
    <w:rsid w:val="000E3299"/>
    <w:rsid w:val="000E61BB"/>
    <w:rsid w:val="000E73BA"/>
    <w:rsid w:val="000F42DE"/>
    <w:rsid w:val="000F7CF5"/>
    <w:rsid w:val="00100D36"/>
    <w:rsid w:val="001045E2"/>
    <w:rsid w:val="00104730"/>
    <w:rsid w:val="00105D30"/>
    <w:rsid w:val="00106CE8"/>
    <w:rsid w:val="0010792F"/>
    <w:rsid w:val="00113B15"/>
    <w:rsid w:val="00114618"/>
    <w:rsid w:val="001155C7"/>
    <w:rsid w:val="00122E90"/>
    <w:rsid w:val="00127586"/>
    <w:rsid w:val="00130CBA"/>
    <w:rsid w:val="001347BF"/>
    <w:rsid w:val="00134935"/>
    <w:rsid w:val="00142067"/>
    <w:rsid w:val="00142715"/>
    <w:rsid w:val="001429EC"/>
    <w:rsid w:val="00145576"/>
    <w:rsid w:val="00146156"/>
    <w:rsid w:val="0015053C"/>
    <w:rsid w:val="00153053"/>
    <w:rsid w:val="00154D66"/>
    <w:rsid w:val="00155296"/>
    <w:rsid w:val="00155B79"/>
    <w:rsid w:val="001566A4"/>
    <w:rsid w:val="001577A7"/>
    <w:rsid w:val="00160474"/>
    <w:rsid w:val="00161385"/>
    <w:rsid w:val="001618DF"/>
    <w:rsid w:val="00161F0E"/>
    <w:rsid w:val="00164342"/>
    <w:rsid w:val="00165211"/>
    <w:rsid w:val="00173733"/>
    <w:rsid w:val="00174AB5"/>
    <w:rsid w:val="00174CAB"/>
    <w:rsid w:val="0017523D"/>
    <w:rsid w:val="001806A6"/>
    <w:rsid w:val="00180F60"/>
    <w:rsid w:val="0018191F"/>
    <w:rsid w:val="00181CD0"/>
    <w:rsid w:val="001860C9"/>
    <w:rsid w:val="00186CF8"/>
    <w:rsid w:val="0019329C"/>
    <w:rsid w:val="001A1D06"/>
    <w:rsid w:val="001A3FCF"/>
    <w:rsid w:val="001A5599"/>
    <w:rsid w:val="001A76FD"/>
    <w:rsid w:val="001B0564"/>
    <w:rsid w:val="001B08E0"/>
    <w:rsid w:val="001B47F4"/>
    <w:rsid w:val="001C1A6D"/>
    <w:rsid w:val="001C280F"/>
    <w:rsid w:val="001C448A"/>
    <w:rsid w:val="001D3EC9"/>
    <w:rsid w:val="001D6259"/>
    <w:rsid w:val="001E686A"/>
    <w:rsid w:val="001E7798"/>
    <w:rsid w:val="001F0FFA"/>
    <w:rsid w:val="001F1A86"/>
    <w:rsid w:val="001F207E"/>
    <w:rsid w:val="001F27E9"/>
    <w:rsid w:val="001F7201"/>
    <w:rsid w:val="001F77DA"/>
    <w:rsid w:val="0020226F"/>
    <w:rsid w:val="00204A4D"/>
    <w:rsid w:val="002063C5"/>
    <w:rsid w:val="00207554"/>
    <w:rsid w:val="00211D84"/>
    <w:rsid w:val="00214176"/>
    <w:rsid w:val="00217B57"/>
    <w:rsid w:val="002213FB"/>
    <w:rsid w:val="002216ED"/>
    <w:rsid w:val="00224DF9"/>
    <w:rsid w:val="0022636E"/>
    <w:rsid w:val="00232C54"/>
    <w:rsid w:val="00232CF3"/>
    <w:rsid w:val="00233E97"/>
    <w:rsid w:val="0023415E"/>
    <w:rsid w:val="00235C05"/>
    <w:rsid w:val="00236BF3"/>
    <w:rsid w:val="002458DA"/>
    <w:rsid w:val="00247B3C"/>
    <w:rsid w:val="0025145B"/>
    <w:rsid w:val="00261CE2"/>
    <w:rsid w:val="0026228E"/>
    <w:rsid w:val="00262F43"/>
    <w:rsid w:val="00265B56"/>
    <w:rsid w:val="002668FF"/>
    <w:rsid w:val="00267286"/>
    <w:rsid w:val="002672A0"/>
    <w:rsid w:val="00270F2A"/>
    <w:rsid w:val="0027192C"/>
    <w:rsid w:val="00271BFA"/>
    <w:rsid w:val="00273C6E"/>
    <w:rsid w:val="00274E46"/>
    <w:rsid w:val="00280420"/>
    <w:rsid w:val="00282E96"/>
    <w:rsid w:val="00283088"/>
    <w:rsid w:val="0028374E"/>
    <w:rsid w:val="00285546"/>
    <w:rsid w:val="002867F3"/>
    <w:rsid w:val="0028709B"/>
    <w:rsid w:val="002979F6"/>
    <w:rsid w:val="002A32EF"/>
    <w:rsid w:val="002A47CD"/>
    <w:rsid w:val="002A6F76"/>
    <w:rsid w:val="002B05AD"/>
    <w:rsid w:val="002B33A1"/>
    <w:rsid w:val="002B6B7C"/>
    <w:rsid w:val="002B6C8A"/>
    <w:rsid w:val="002B71C9"/>
    <w:rsid w:val="002B7885"/>
    <w:rsid w:val="002B7D4C"/>
    <w:rsid w:val="002B7D8A"/>
    <w:rsid w:val="002C1B3C"/>
    <w:rsid w:val="002C35D7"/>
    <w:rsid w:val="002C5333"/>
    <w:rsid w:val="002D0959"/>
    <w:rsid w:val="002D2894"/>
    <w:rsid w:val="002D3FAB"/>
    <w:rsid w:val="002D4E94"/>
    <w:rsid w:val="002D539E"/>
    <w:rsid w:val="002D53D0"/>
    <w:rsid w:val="002D5D70"/>
    <w:rsid w:val="002D7C7A"/>
    <w:rsid w:val="002E0510"/>
    <w:rsid w:val="002E08DD"/>
    <w:rsid w:val="002E1E31"/>
    <w:rsid w:val="002E5A0A"/>
    <w:rsid w:val="002E7A15"/>
    <w:rsid w:val="002F266D"/>
    <w:rsid w:val="002F4F97"/>
    <w:rsid w:val="002F6E96"/>
    <w:rsid w:val="00303671"/>
    <w:rsid w:val="003042C0"/>
    <w:rsid w:val="00307574"/>
    <w:rsid w:val="0032166C"/>
    <w:rsid w:val="00323272"/>
    <w:rsid w:val="00323F58"/>
    <w:rsid w:val="0032593A"/>
    <w:rsid w:val="00327CC4"/>
    <w:rsid w:val="003303DC"/>
    <w:rsid w:val="00330446"/>
    <w:rsid w:val="0033095F"/>
    <w:rsid w:val="00331663"/>
    <w:rsid w:val="00334922"/>
    <w:rsid w:val="0033695B"/>
    <w:rsid w:val="00337B2A"/>
    <w:rsid w:val="00341B2B"/>
    <w:rsid w:val="00343A13"/>
    <w:rsid w:val="003457E5"/>
    <w:rsid w:val="00347CE9"/>
    <w:rsid w:val="00351896"/>
    <w:rsid w:val="003523A2"/>
    <w:rsid w:val="003525D4"/>
    <w:rsid w:val="003559D2"/>
    <w:rsid w:val="00355E43"/>
    <w:rsid w:val="00364F7E"/>
    <w:rsid w:val="00367397"/>
    <w:rsid w:val="003711D8"/>
    <w:rsid w:val="00372EE3"/>
    <w:rsid w:val="003740B5"/>
    <w:rsid w:val="003778A1"/>
    <w:rsid w:val="0038004B"/>
    <w:rsid w:val="003801A2"/>
    <w:rsid w:val="0038135A"/>
    <w:rsid w:val="003827CE"/>
    <w:rsid w:val="00382F46"/>
    <w:rsid w:val="0038334A"/>
    <w:rsid w:val="00385354"/>
    <w:rsid w:val="00385653"/>
    <w:rsid w:val="00386F3C"/>
    <w:rsid w:val="0039732E"/>
    <w:rsid w:val="003A363F"/>
    <w:rsid w:val="003A4BAE"/>
    <w:rsid w:val="003B036D"/>
    <w:rsid w:val="003B22B4"/>
    <w:rsid w:val="003B438E"/>
    <w:rsid w:val="003B5111"/>
    <w:rsid w:val="003B7751"/>
    <w:rsid w:val="003C0030"/>
    <w:rsid w:val="003C2E2F"/>
    <w:rsid w:val="003C3040"/>
    <w:rsid w:val="003C3B9A"/>
    <w:rsid w:val="003C41E4"/>
    <w:rsid w:val="003C46C2"/>
    <w:rsid w:val="003C74BF"/>
    <w:rsid w:val="003C77CA"/>
    <w:rsid w:val="003D2505"/>
    <w:rsid w:val="003D3C08"/>
    <w:rsid w:val="003E0472"/>
    <w:rsid w:val="003E1825"/>
    <w:rsid w:val="003E2875"/>
    <w:rsid w:val="003E305F"/>
    <w:rsid w:val="003E3EB6"/>
    <w:rsid w:val="003E4178"/>
    <w:rsid w:val="003E501A"/>
    <w:rsid w:val="003E604B"/>
    <w:rsid w:val="003F1481"/>
    <w:rsid w:val="00405004"/>
    <w:rsid w:val="00405AF0"/>
    <w:rsid w:val="00406EA9"/>
    <w:rsid w:val="004076B0"/>
    <w:rsid w:val="00412A04"/>
    <w:rsid w:val="00412E7F"/>
    <w:rsid w:val="00414948"/>
    <w:rsid w:val="0041621F"/>
    <w:rsid w:val="004170A3"/>
    <w:rsid w:val="00422364"/>
    <w:rsid w:val="004248A5"/>
    <w:rsid w:val="00424B6B"/>
    <w:rsid w:val="00426484"/>
    <w:rsid w:val="0042729C"/>
    <w:rsid w:val="004277E9"/>
    <w:rsid w:val="00427F4E"/>
    <w:rsid w:val="00440F09"/>
    <w:rsid w:val="00444E66"/>
    <w:rsid w:val="00450A7E"/>
    <w:rsid w:val="00450D43"/>
    <w:rsid w:val="004517B8"/>
    <w:rsid w:val="00454DC0"/>
    <w:rsid w:val="004562B3"/>
    <w:rsid w:val="00457E9C"/>
    <w:rsid w:val="00461A88"/>
    <w:rsid w:val="004668CD"/>
    <w:rsid w:val="00472669"/>
    <w:rsid w:val="004740CC"/>
    <w:rsid w:val="00476464"/>
    <w:rsid w:val="00480635"/>
    <w:rsid w:val="00486435"/>
    <w:rsid w:val="004876E5"/>
    <w:rsid w:val="00490162"/>
    <w:rsid w:val="00493168"/>
    <w:rsid w:val="004938AC"/>
    <w:rsid w:val="0049609F"/>
    <w:rsid w:val="004961D0"/>
    <w:rsid w:val="004965AD"/>
    <w:rsid w:val="00496784"/>
    <w:rsid w:val="00497950"/>
    <w:rsid w:val="00497F6E"/>
    <w:rsid w:val="004A2A83"/>
    <w:rsid w:val="004A52C1"/>
    <w:rsid w:val="004A6671"/>
    <w:rsid w:val="004A688B"/>
    <w:rsid w:val="004A6BAE"/>
    <w:rsid w:val="004A6F65"/>
    <w:rsid w:val="004B46FD"/>
    <w:rsid w:val="004B74E3"/>
    <w:rsid w:val="004C0FF7"/>
    <w:rsid w:val="004C20AB"/>
    <w:rsid w:val="004C3009"/>
    <w:rsid w:val="004C4CC4"/>
    <w:rsid w:val="004C67EE"/>
    <w:rsid w:val="004C6864"/>
    <w:rsid w:val="004C6A2D"/>
    <w:rsid w:val="004D0336"/>
    <w:rsid w:val="004D0E18"/>
    <w:rsid w:val="004D289C"/>
    <w:rsid w:val="004D3520"/>
    <w:rsid w:val="004E3DD7"/>
    <w:rsid w:val="004E3F18"/>
    <w:rsid w:val="004F0E8D"/>
    <w:rsid w:val="004F2FBF"/>
    <w:rsid w:val="004F3AA3"/>
    <w:rsid w:val="004F6635"/>
    <w:rsid w:val="004F7083"/>
    <w:rsid w:val="004F76F7"/>
    <w:rsid w:val="0050056E"/>
    <w:rsid w:val="0050106F"/>
    <w:rsid w:val="005028B0"/>
    <w:rsid w:val="00502B26"/>
    <w:rsid w:val="00503D9D"/>
    <w:rsid w:val="005102C1"/>
    <w:rsid w:val="005104B1"/>
    <w:rsid w:val="00510A7B"/>
    <w:rsid w:val="00514345"/>
    <w:rsid w:val="00514EB9"/>
    <w:rsid w:val="00522A38"/>
    <w:rsid w:val="00523347"/>
    <w:rsid w:val="00523DB7"/>
    <w:rsid w:val="0052587E"/>
    <w:rsid w:val="005268B4"/>
    <w:rsid w:val="00526D26"/>
    <w:rsid w:val="005278A9"/>
    <w:rsid w:val="00527949"/>
    <w:rsid w:val="005301E3"/>
    <w:rsid w:val="00531F53"/>
    <w:rsid w:val="00532244"/>
    <w:rsid w:val="005338C9"/>
    <w:rsid w:val="005415E9"/>
    <w:rsid w:val="00542928"/>
    <w:rsid w:val="005459D6"/>
    <w:rsid w:val="005479EC"/>
    <w:rsid w:val="00550292"/>
    <w:rsid w:val="00552B12"/>
    <w:rsid w:val="00553D5C"/>
    <w:rsid w:val="005557BF"/>
    <w:rsid w:val="0055745D"/>
    <w:rsid w:val="00560144"/>
    <w:rsid w:val="0056072A"/>
    <w:rsid w:val="00561CFC"/>
    <w:rsid w:val="00562942"/>
    <w:rsid w:val="00563CB6"/>
    <w:rsid w:val="005649CB"/>
    <w:rsid w:val="005660CD"/>
    <w:rsid w:val="0057225D"/>
    <w:rsid w:val="00572C9A"/>
    <w:rsid w:val="00572D1D"/>
    <w:rsid w:val="0057326E"/>
    <w:rsid w:val="00577989"/>
    <w:rsid w:val="005801CD"/>
    <w:rsid w:val="0058164E"/>
    <w:rsid w:val="00582878"/>
    <w:rsid w:val="005833B4"/>
    <w:rsid w:val="00583503"/>
    <w:rsid w:val="00585DBD"/>
    <w:rsid w:val="00590B65"/>
    <w:rsid w:val="00591757"/>
    <w:rsid w:val="005950C5"/>
    <w:rsid w:val="005A183F"/>
    <w:rsid w:val="005A789C"/>
    <w:rsid w:val="005B061C"/>
    <w:rsid w:val="005B16C9"/>
    <w:rsid w:val="005B21BC"/>
    <w:rsid w:val="005B318C"/>
    <w:rsid w:val="005B599A"/>
    <w:rsid w:val="005C03D7"/>
    <w:rsid w:val="005D4FF4"/>
    <w:rsid w:val="005D7331"/>
    <w:rsid w:val="005E1041"/>
    <w:rsid w:val="005E2271"/>
    <w:rsid w:val="005E2994"/>
    <w:rsid w:val="005E37BB"/>
    <w:rsid w:val="005E44B7"/>
    <w:rsid w:val="005E67F9"/>
    <w:rsid w:val="005F2C9B"/>
    <w:rsid w:val="005F4528"/>
    <w:rsid w:val="005F4CCE"/>
    <w:rsid w:val="006039A4"/>
    <w:rsid w:val="006067AA"/>
    <w:rsid w:val="006072C9"/>
    <w:rsid w:val="00610DD0"/>
    <w:rsid w:val="00613840"/>
    <w:rsid w:val="006150F6"/>
    <w:rsid w:val="006152E8"/>
    <w:rsid w:val="006204A4"/>
    <w:rsid w:val="00620610"/>
    <w:rsid w:val="00625035"/>
    <w:rsid w:val="00626363"/>
    <w:rsid w:val="006301BE"/>
    <w:rsid w:val="006310B1"/>
    <w:rsid w:val="006321C1"/>
    <w:rsid w:val="0063295C"/>
    <w:rsid w:val="00633276"/>
    <w:rsid w:val="006333BC"/>
    <w:rsid w:val="0063448B"/>
    <w:rsid w:val="006350E9"/>
    <w:rsid w:val="006402AE"/>
    <w:rsid w:val="00642B5D"/>
    <w:rsid w:val="00644570"/>
    <w:rsid w:val="00645E29"/>
    <w:rsid w:val="00651224"/>
    <w:rsid w:val="0066769D"/>
    <w:rsid w:val="006714AA"/>
    <w:rsid w:val="0067177B"/>
    <w:rsid w:val="00673067"/>
    <w:rsid w:val="0067477F"/>
    <w:rsid w:val="00677DD3"/>
    <w:rsid w:val="00683CE5"/>
    <w:rsid w:val="00684366"/>
    <w:rsid w:val="006846D0"/>
    <w:rsid w:val="00684F02"/>
    <w:rsid w:val="0068548F"/>
    <w:rsid w:val="00687C88"/>
    <w:rsid w:val="00690533"/>
    <w:rsid w:val="006905BC"/>
    <w:rsid w:val="00694C71"/>
    <w:rsid w:val="00695BA9"/>
    <w:rsid w:val="006970FF"/>
    <w:rsid w:val="006A04FE"/>
    <w:rsid w:val="006A1D90"/>
    <w:rsid w:val="006A3ADB"/>
    <w:rsid w:val="006A55BA"/>
    <w:rsid w:val="006B114B"/>
    <w:rsid w:val="006C0B27"/>
    <w:rsid w:val="006C12D0"/>
    <w:rsid w:val="006C1D38"/>
    <w:rsid w:val="006C1D82"/>
    <w:rsid w:val="006C31AD"/>
    <w:rsid w:val="006C60B2"/>
    <w:rsid w:val="006C766E"/>
    <w:rsid w:val="006C7E3A"/>
    <w:rsid w:val="006D47BD"/>
    <w:rsid w:val="006D6715"/>
    <w:rsid w:val="006E2393"/>
    <w:rsid w:val="006E5925"/>
    <w:rsid w:val="006E62D4"/>
    <w:rsid w:val="006F0F67"/>
    <w:rsid w:val="006F11F5"/>
    <w:rsid w:val="006F2C6A"/>
    <w:rsid w:val="006F3BD5"/>
    <w:rsid w:val="006F40C6"/>
    <w:rsid w:val="006F6C64"/>
    <w:rsid w:val="00700319"/>
    <w:rsid w:val="00700AB4"/>
    <w:rsid w:val="00705775"/>
    <w:rsid w:val="00707324"/>
    <w:rsid w:val="00707B3F"/>
    <w:rsid w:val="007138CD"/>
    <w:rsid w:val="00720778"/>
    <w:rsid w:val="007215A6"/>
    <w:rsid w:val="00721621"/>
    <w:rsid w:val="00726655"/>
    <w:rsid w:val="00727F5F"/>
    <w:rsid w:val="00732F73"/>
    <w:rsid w:val="007363A6"/>
    <w:rsid w:val="00737A18"/>
    <w:rsid w:val="00741F9A"/>
    <w:rsid w:val="007428D5"/>
    <w:rsid w:val="00745D95"/>
    <w:rsid w:val="00747694"/>
    <w:rsid w:val="007510EC"/>
    <w:rsid w:val="00752297"/>
    <w:rsid w:val="007575A1"/>
    <w:rsid w:val="0076068F"/>
    <w:rsid w:val="00763E70"/>
    <w:rsid w:val="00770EA5"/>
    <w:rsid w:val="00774158"/>
    <w:rsid w:val="00777FA8"/>
    <w:rsid w:val="00780C82"/>
    <w:rsid w:val="00781E2A"/>
    <w:rsid w:val="00782690"/>
    <w:rsid w:val="00797BE6"/>
    <w:rsid w:val="00797E75"/>
    <w:rsid w:val="007A029D"/>
    <w:rsid w:val="007A46B5"/>
    <w:rsid w:val="007A46CE"/>
    <w:rsid w:val="007A475A"/>
    <w:rsid w:val="007B6F09"/>
    <w:rsid w:val="007C15D7"/>
    <w:rsid w:val="007C3D22"/>
    <w:rsid w:val="007C4A8A"/>
    <w:rsid w:val="007C7601"/>
    <w:rsid w:val="007D0CA1"/>
    <w:rsid w:val="007D1161"/>
    <w:rsid w:val="007D2FCE"/>
    <w:rsid w:val="007D3F90"/>
    <w:rsid w:val="007D541A"/>
    <w:rsid w:val="007D5799"/>
    <w:rsid w:val="007D6353"/>
    <w:rsid w:val="007E3900"/>
    <w:rsid w:val="007E7997"/>
    <w:rsid w:val="007E7F6F"/>
    <w:rsid w:val="007F01F6"/>
    <w:rsid w:val="007F069B"/>
    <w:rsid w:val="007F35FF"/>
    <w:rsid w:val="007F7275"/>
    <w:rsid w:val="007F7332"/>
    <w:rsid w:val="007F748C"/>
    <w:rsid w:val="007F7C3D"/>
    <w:rsid w:val="00801313"/>
    <w:rsid w:val="00807FF0"/>
    <w:rsid w:val="00812921"/>
    <w:rsid w:val="00817DD6"/>
    <w:rsid w:val="00824BD0"/>
    <w:rsid w:val="008302F1"/>
    <w:rsid w:val="00830F06"/>
    <w:rsid w:val="00835357"/>
    <w:rsid w:val="00836A3C"/>
    <w:rsid w:val="008402E2"/>
    <w:rsid w:val="008405C8"/>
    <w:rsid w:val="00841C90"/>
    <w:rsid w:val="00842683"/>
    <w:rsid w:val="00842933"/>
    <w:rsid w:val="00847E6B"/>
    <w:rsid w:val="008552C8"/>
    <w:rsid w:val="008564A2"/>
    <w:rsid w:val="00861C89"/>
    <w:rsid w:val="0086289E"/>
    <w:rsid w:val="008636F6"/>
    <w:rsid w:val="00864156"/>
    <w:rsid w:val="0086592F"/>
    <w:rsid w:val="0086722D"/>
    <w:rsid w:val="00867327"/>
    <w:rsid w:val="008745B5"/>
    <w:rsid w:val="00881553"/>
    <w:rsid w:val="0088211B"/>
    <w:rsid w:val="00884959"/>
    <w:rsid w:val="00897856"/>
    <w:rsid w:val="008A1E44"/>
    <w:rsid w:val="008A4506"/>
    <w:rsid w:val="008B15C3"/>
    <w:rsid w:val="008B2ADF"/>
    <w:rsid w:val="008B6E2B"/>
    <w:rsid w:val="008C0D7D"/>
    <w:rsid w:val="008C267E"/>
    <w:rsid w:val="008C27B0"/>
    <w:rsid w:val="008C4357"/>
    <w:rsid w:val="008C5000"/>
    <w:rsid w:val="008C5862"/>
    <w:rsid w:val="008C6A6E"/>
    <w:rsid w:val="008C701D"/>
    <w:rsid w:val="008C79E8"/>
    <w:rsid w:val="008C7E91"/>
    <w:rsid w:val="008D21F1"/>
    <w:rsid w:val="008D44F2"/>
    <w:rsid w:val="008D464A"/>
    <w:rsid w:val="008D4AB3"/>
    <w:rsid w:val="008D6697"/>
    <w:rsid w:val="008E02D5"/>
    <w:rsid w:val="008F0761"/>
    <w:rsid w:val="008F1EA5"/>
    <w:rsid w:val="008F298D"/>
    <w:rsid w:val="009004F1"/>
    <w:rsid w:val="00905C2F"/>
    <w:rsid w:val="009068F3"/>
    <w:rsid w:val="009104BD"/>
    <w:rsid w:val="009107AB"/>
    <w:rsid w:val="00916CC1"/>
    <w:rsid w:val="0091793A"/>
    <w:rsid w:val="00917A23"/>
    <w:rsid w:val="009268D0"/>
    <w:rsid w:val="009272C8"/>
    <w:rsid w:val="00930049"/>
    <w:rsid w:val="009313DE"/>
    <w:rsid w:val="00936F64"/>
    <w:rsid w:val="0094716E"/>
    <w:rsid w:val="0095144C"/>
    <w:rsid w:val="009529BF"/>
    <w:rsid w:val="009542DD"/>
    <w:rsid w:val="009552A2"/>
    <w:rsid w:val="00955B93"/>
    <w:rsid w:val="00956487"/>
    <w:rsid w:val="009567A2"/>
    <w:rsid w:val="009573F9"/>
    <w:rsid w:val="00961081"/>
    <w:rsid w:val="009635CF"/>
    <w:rsid w:val="0096361F"/>
    <w:rsid w:val="00964F3C"/>
    <w:rsid w:val="00965134"/>
    <w:rsid w:val="00966621"/>
    <w:rsid w:val="00972727"/>
    <w:rsid w:val="00973079"/>
    <w:rsid w:val="00973A94"/>
    <w:rsid w:val="00973D01"/>
    <w:rsid w:val="00975DDC"/>
    <w:rsid w:val="0097625E"/>
    <w:rsid w:val="009768A5"/>
    <w:rsid w:val="00983718"/>
    <w:rsid w:val="00984764"/>
    <w:rsid w:val="00985B9A"/>
    <w:rsid w:val="00987A01"/>
    <w:rsid w:val="009924D4"/>
    <w:rsid w:val="009A2335"/>
    <w:rsid w:val="009A3C13"/>
    <w:rsid w:val="009A613F"/>
    <w:rsid w:val="009A6728"/>
    <w:rsid w:val="009A6960"/>
    <w:rsid w:val="009B2A1F"/>
    <w:rsid w:val="009B4FD8"/>
    <w:rsid w:val="009C1765"/>
    <w:rsid w:val="009C1C4C"/>
    <w:rsid w:val="009C2014"/>
    <w:rsid w:val="009C75E1"/>
    <w:rsid w:val="009D063D"/>
    <w:rsid w:val="009D1C83"/>
    <w:rsid w:val="009D2009"/>
    <w:rsid w:val="009D5B78"/>
    <w:rsid w:val="009D7F56"/>
    <w:rsid w:val="009E0107"/>
    <w:rsid w:val="009E1A5A"/>
    <w:rsid w:val="009E3023"/>
    <w:rsid w:val="009E3053"/>
    <w:rsid w:val="009E3CD1"/>
    <w:rsid w:val="009F0537"/>
    <w:rsid w:val="009F1ACB"/>
    <w:rsid w:val="009F4180"/>
    <w:rsid w:val="009F5AAE"/>
    <w:rsid w:val="009F73A4"/>
    <w:rsid w:val="00A00B93"/>
    <w:rsid w:val="00A03AE4"/>
    <w:rsid w:val="00A11993"/>
    <w:rsid w:val="00A14CFB"/>
    <w:rsid w:val="00A20D05"/>
    <w:rsid w:val="00A247A7"/>
    <w:rsid w:val="00A24FB8"/>
    <w:rsid w:val="00A2660E"/>
    <w:rsid w:val="00A30D12"/>
    <w:rsid w:val="00A31D5B"/>
    <w:rsid w:val="00A320EA"/>
    <w:rsid w:val="00A3566E"/>
    <w:rsid w:val="00A412FC"/>
    <w:rsid w:val="00A43459"/>
    <w:rsid w:val="00A462E9"/>
    <w:rsid w:val="00A47F02"/>
    <w:rsid w:val="00A47FE8"/>
    <w:rsid w:val="00A51DF8"/>
    <w:rsid w:val="00A52A2A"/>
    <w:rsid w:val="00A54410"/>
    <w:rsid w:val="00A545A6"/>
    <w:rsid w:val="00A56034"/>
    <w:rsid w:val="00A6010D"/>
    <w:rsid w:val="00A6080A"/>
    <w:rsid w:val="00A60953"/>
    <w:rsid w:val="00A624D1"/>
    <w:rsid w:val="00A6539A"/>
    <w:rsid w:val="00A66252"/>
    <w:rsid w:val="00A7153A"/>
    <w:rsid w:val="00A725E0"/>
    <w:rsid w:val="00A733F4"/>
    <w:rsid w:val="00A75340"/>
    <w:rsid w:val="00A75401"/>
    <w:rsid w:val="00A760AB"/>
    <w:rsid w:val="00A8042D"/>
    <w:rsid w:val="00A8218C"/>
    <w:rsid w:val="00A86C38"/>
    <w:rsid w:val="00A973D4"/>
    <w:rsid w:val="00A9776C"/>
    <w:rsid w:val="00AA2C67"/>
    <w:rsid w:val="00AA4538"/>
    <w:rsid w:val="00AA6FD7"/>
    <w:rsid w:val="00AA7AA7"/>
    <w:rsid w:val="00AB11B6"/>
    <w:rsid w:val="00AB18C2"/>
    <w:rsid w:val="00AB2084"/>
    <w:rsid w:val="00AC4168"/>
    <w:rsid w:val="00AC735C"/>
    <w:rsid w:val="00AC7532"/>
    <w:rsid w:val="00AD03D7"/>
    <w:rsid w:val="00AD0F1E"/>
    <w:rsid w:val="00AD6DC1"/>
    <w:rsid w:val="00AD71F3"/>
    <w:rsid w:val="00AE1A6F"/>
    <w:rsid w:val="00AE5F1C"/>
    <w:rsid w:val="00AE6554"/>
    <w:rsid w:val="00AE7877"/>
    <w:rsid w:val="00AF0020"/>
    <w:rsid w:val="00AF2555"/>
    <w:rsid w:val="00AF3536"/>
    <w:rsid w:val="00AF3F50"/>
    <w:rsid w:val="00AF759F"/>
    <w:rsid w:val="00B0015A"/>
    <w:rsid w:val="00B014A8"/>
    <w:rsid w:val="00B05AA1"/>
    <w:rsid w:val="00B065C0"/>
    <w:rsid w:val="00B139FF"/>
    <w:rsid w:val="00B177C3"/>
    <w:rsid w:val="00B209AE"/>
    <w:rsid w:val="00B21DDD"/>
    <w:rsid w:val="00B26497"/>
    <w:rsid w:val="00B32451"/>
    <w:rsid w:val="00B32483"/>
    <w:rsid w:val="00B36F5D"/>
    <w:rsid w:val="00B373C7"/>
    <w:rsid w:val="00B419E8"/>
    <w:rsid w:val="00B422EF"/>
    <w:rsid w:val="00B534D9"/>
    <w:rsid w:val="00B61E0A"/>
    <w:rsid w:val="00B61F5E"/>
    <w:rsid w:val="00B648B0"/>
    <w:rsid w:val="00B658BB"/>
    <w:rsid w:val="00B66933"/>
    <w:rsid w:val="00B7141E"/>
    <w:rsid w:val="00B7490E"/>
    <w:rsid w:val="00B7494F"/>
    <w:rsid w:val="00B74CEB"/>
    <w:rsid w:val="00B75561"/>
    <w:rsid w:val="00B75EBA"/>
    <w:rsid w:val="00B77BDD"/>
    <w:rsid w:val="00B81056"/>
    <w:rsid w:val="00B815E5"/>
    <w:rsid w:val="00B833F0"/>
    <w:rsid w:val="00B86734"/>
    <w:rsid w:val="00B87D9E"/>
    <w:rsid w:val="00B9004D"/>
    <w:rsid w:val="00B95635"/>
    <w:rsid w:val="00B957D3"/>
    <w:rsid w:val="00BA0B12"/>
    <w:rsid w:val="00BA112C"/>
    <w:rsid w:val="00BA41CF"/>
    <w:rsid w:val="00BA41F0"/>
    <w:rsid w:val="00BA42C6"/>
    <w:rsid w:val="00BA5570"/>
    <w:rsid w:val="00BB088A"/>
    <w:rsid w:val="00BB2505"/>
    <w:rsid w:val="00BB2CAA"/>
    <w:rsid w:val="00BB335D"/>
    <w:rsid w:val="00BC1FCD"/>
    <w:rsid w:val="00BC2A44"/>
    <w:rsid w:val="00BC33DD"/>
    <w:rsid w:val="00BC379F"/>
    <w:rsid w:val="00BD10B5"/>
    <w:rsid w:val="00BD1242"/>
    <w:rsid w:val="00BD32C5"/>
    <w:rsid w:val="00BD6EAE"/>
    <w:rsid w:val="00BE444E"/>
    <w:rsid w:val="00BE4E2F"/>
    <w:rsid w:val="00BE5495"/>
    <w:rsid w:val="00BE5690"/>
    <w:rsid w:val="00BE7C04"/>
    <w:rsid w:val="00BF0BC1"/>
    <w:rsid w:val="00BF3E8A"/>
    <w:rsid w:val="00BF4A9F"/>
    <w:rsid w:val="00BF50DA"/>
    <w:rsid w:val="00C01B96"/>
    <w:rsid w:val="00C03467"/>
    <w:rsid w:val="00C057E2"/>
    <w:rsid w:val="00C07202"/>
    <w:rsid w:val="00C07453"/>
    <w:rsid w:val="00C103D9"/>
    <w:rsid w:val="00C16A3F"/>
    <w:rsid w:val="00C16CC6"/>
    <w:rsid w:val="00C17DD3"/>
    <w:rsid w:val="00C268CA"/>
    <w:rsid w:val="00C27535"/>
    <w:rsid w:val="00C2787E"/>
    <w:rsid w:val="00C30210"/>
    <w:rsid w:val="00C327E3"/>
    <w:rsid w:val="00C37038"/>
    <w:rsid w:val="00C41008"/>
    <w:rsid w:val="00C415F5"/>
    <w:rsid w:val="00C42730"/>
    <w:rsid w:val="00C4344D"/>
    <w:rsid w:val="00C45EB0"/>
    <w:rsid w:val="00C50173"/>
    <w:rsid w:val="00C51CF5"/>
    <w:rsid w:val="00C54A52"/>
    <w:rsid w:val="00C60699"/>
    <w:rsid w:val="00C62D3D"/>
    <w:rsid w:val="00C63388"/>
    <w:rsid w:val="00C6359A"/>
    <w:rsid w:val="00C672B3"/>
    <w:rsid w:val="00C73159"/>
    <w:rsid w:val="00C76FAD"/>
    <w:rsid w:val="00C77780"/>
    <w:rsid w:val="00C77EED"/>
    <w:rsid w:val="00C8261C"/>
    <w:rsid w:val="00C82D7F"/>
    <w:rsid w:val="00C84AEA"/>
    <w:rsid w:val="00C85304"/>
    <w:rsid w:val="00C86980"/>
    <w:rsid w:val="00C87CC7"/>
    <w:rsid w:val="00C95623"/>
    <w:rsid w:val="00C95FEE"/>
    <w:rsid w:val="00CA16AE"/>
    <w:rsid w:val="00CA2A7E"/>
    <w:rsid w:val="00CA7E7B"/>
    <w:rsid w:val="00CB1CBF"/>
    <w:rsid w:val="00CB1D46"/>
    <w:rsid w:val="00CB1EEC"/>
    <w:rsid w:val="00CB3503"/>
    <w:rsid w:val="00CB7C0B"/>
    <w:rsid w:val="00CC26F4"/>
    <w:rsid w:val="00CC2F3E"/>
    <w:rsid w:val="00CC37B4"/>
    <w:rsid w:val="00CC4F67"/>
    <w:rsid w:val="00CC5161"/>
    <w:rsid w:val="00CC5E2A"/>
    <w:rsid w:val="00CC6D98"/>
    <w:rsid w:val="00CD251D"/>
    <w:rsid w:val="00CD519F"/>
    <w:rsid w:val="00CD5F3F"/>
    <w:rsid w:val="00CD6AF4"/>
    <w:rsid w:val="00CE20D0"/>
    <w:rsid w:val="00CE3425"/>
    <w:rsid w:val="00CE41C2"/>
    <w:rsid w:val="00CF0069"/>
    <w:rsid w:val="00CF177D"/>
    <w:rsid w:val="00CF28C3"/>
    <w:rsid w:val="00CF4AE7"/>
    <w:rsid w:val="00CF5B55"/>
    <w:rsid w:val="00CF5DF3"/>
    <w:rsid w:val="00D006E5"/>
    <w:rsid w:val="00D0188E"/>
    <w:rsid w:val="00D065BE"/>
    <w:rsid w:val="00D112B8"/>
    <w:rsid w:val="00D15140"/>
    <w:rsid w:val="00D167DF"/>
    <w:rsid w:val="00D178D0"/>
    <w:rsid w:val="00D224D8"/>
    <w:rsid w:val="00D24E40"/>
    <w:rsid w:val="00D25516"/>
    <w:rsid w:val="00D25BC1"/>
    <w:rsid w:val="00D26ACD"/>
    <w:rsid w:val="00D26BB6"/>
    <w:rsid w:val="00D27BAA"/>
    <w:rsid w:val="00D27CC7"/>
    <w:rsid w:val="00D31BB8"/>
    <w:rsid w:val="00D33F7C"/>
    <w:rsid w:val="00D34BFE"/>
    <w:rsid w:val="00D352AD"/>
    <w:rsid w:val="00D36CF7"/>
    <w:rsid w:val="00D40F04"/>
    <w:rsid w:val="00D4202C"/>
    <w:rsid w:val="00D42668"/>
    <w:rsid w:val="00D436D6"/>
    <w:rsid w:val="00D51919"/>
    <w:rsid w:val="00D51A9E"/>
    <w:rsid w:val="00D5314A"/>
    <w:rsid w:val="00D549D6"/>
    <w:rsid w:val="00D55921"/>
    <w:rsid w:val="00D57197"/>
    <w:rsid w:val="00D6346C"/>
    <w:rsid w:val="00D65885"/>
    <w:rsid w:val="00D70659"/>
    <w:rsid w:val="00D70E34"/>
    <w:rsid w:val="00D735F8"/>
    <w:rsid w:val="00D74F57"/>
    <w:rsid w:val="00D8005C"/>
    <w:rsid w:val="00D817CE"/>
    <w:rsid w:val="00D922D2"/>
    <w:rsid w:val="00D926B6"/>
    <w:rsid w:val="00D92F84"/>
    <w:rsid w:val="00D97F51"/>
    <w:rsid w:val="00DA37CF"/>
    <w:rsid w:val="00DA3C4E"/>
    <w:rsid w:val="00DB2000"/>
    <w:rsid w:val="00DB4186"/>
    <w:rsid w:val="00DB46DA"/>
    <w:rsid w:val="00DB492F"/>
    <w:rsid w:val="00DB4BDB"/>
    <w:rsid w:val="00DB54E6"/>
    <w:rsid w:val="00DB67BF"/>
    <w:rsid w:val="00DB74E7"/>
    <w:rsid w:val="00DC069C"/>
    <w:rsid w:val="00DC095A"/>
    <w:rsid w:val="00DC4130"/>
    <w:rsid w:val="00DC5257"/>
    <w:rsid w:val="00DC548E"/>
    <w:rsid w:val="00DD01F8"/>
    <w:rsid w:val="00DD1AC1"/>
    <w:rsid w:val="00DD34E2"/>
    <w:rsid w:val="00DD7C63"/>
    <w:rsid w:val="00DE08B1"/>
    <w:rsid w:val="00DE0ABE"/>
    <w:rsid w:val="00DE146D"/>
    <w:rsid w:val="00DE409A"/>
    <w:rsid w:val="00E11AAB"/>
    <w:rsid w:val="00E11B26"/>
    <w:rsid w:val="00E12EF9"/>
    <w:rsid w:val="00E166C3"/>
    <w:rsid w:val="00E16E11"/>
    <w:rsid w:val="00E17AC7"/>
    <w:rsid w:val="00E2161E"/>
    <w:rsid w:val="00E27A2B"/>
    <w:rsid w:val="00E27F83"/>
    <w:rsid w:val="00E30A17"/>
    <w:rsid w:val="00E31B56"/>
    <w:rsid w:val="00E33D76"/>
    <w:rsid w:val="00E33DAE"/>
    <w:rsid w:val="00E410E0"/>
    <w:rsid w:val="00E418DB"/>
    <w:rsid w:val="00E43D0F"/>
    <w:rsid w:val="00E43F50"/>
    <w:rsid w:val="00E45856"/>
    <w:rsid w:val="00E460AB"/>
    <w:rsid w:val="00E478FD"/>
    <w:rsid w:val="00E5247A"/>
    <w:rsid w:val="00E5307E"/>
    <w:rsid w:val="00E54600"/>
    <w:rsid w:val="00E55C08"/>
    <w:rsid w:val="00E57591"/>
    <w:rsid w:val="00E63E65"/>
    <w:rsid w:val="00E656D9"/>
    <w:rsid w:val="00E72850"/>
    <w:rsid w:val="00E747ED"/>
    <w:rsid w:val="00E77AA6"/>
    <w:rsid w:val="00E80529"/>
    <w:rsid w:val="00E80E53"/>
    <w:rsid w:val="00E8577B"/>
    <w:rsid w:val="00E90478"/>
    <w:rsid w:val="00E9157E"/>
    <w:rsid w:val="00E91DAA"/>
    <w:rsid w:val="00E929BA"/>
    <w:rsid w:val="00E92C4A"/>
    <w:rsid w:val="00E952C7"/>
    <w:rsid w:val="00E96112"/>
    <w:rsid w:val="00E96F06"/>
    <w:rsid w:val="00E97799"/>
    <w:rsid w:val="00E97A54"/>
    <w:rsid w:val="00EA1EC3"/>
    <w:rsid w:val="00EA1F98"/>
    <w:rsid w:val="00EA7DA1"/>
    <w:rsid w:val="00EA7EFF"/>
    <w:rsid w:val="00EB3187"/>
    <w:rsid w:val="00EB4879"/>
    <w:rsid w:val="00EB6419"/>
    <w:rsid w:val="00EB7B36"/>
    <w:rsid w:val="00EC214A"/>
    <w:rsid w:val="00EC7DF2"/>
    <w:rsid w:val="00ED3FED"/>
    <w:rsid w:val="00ED5515"/>
    <w:rsid w:val="00ED5FF4"/>
    <w:rsid w:val="00ED6711"/>
    <w:rsid w:val="00ED69DD"/>
    <w:rsid w:val="00ED77A7"/>
    <w:rsid w:val="00EE3407"/>
    <w:rsid w:val="00EE3434"/>
    <w:rsid w:val="00EE404E"/>
    <w:rsid w:val="00EE4A31"/>
    <w:rsid w:val="00EE6E9C"/>
    <w:rsid w:val="00EF22F7"/>
    <w:rsid w:val="00EF44A7"/>
    <w:rsid w:val="00EF685A"/>
    <w:rsid w:val="00EF7C3E"/>
    <w:rsid w:val="00EF7F83"/>
    <w:rsid w:val="00F01A47"/>
    <w:rsid w:val="00F02463"/>
    <w:rsid w:val="00F055CC"/>
    <w:rsid w:val="00F05B16"/>
    <w:rsid w:val="00F10C5A"/>
    <w:rsid w:val="00F15F0B"/>
    <w:rsid w:val="00F22A10"/>
    <w:rsid w:val="00F22C8D"/>
    <w:rsid w:val="00F2300B"/>
    <w:rsid w:val="00F258BB"/>
    <w:rsid w:val="00F25FF6"/>
    <w:rsid w:val="00F32300"/>
    <w:rsid w:val="00F34268"/>
    <w:rsid w:val="00F46766"/>
    <w:rsid w:val="00F515DD"/>
    <w:rsid w:val="00F51AF7"/>
    <w:rsid w:val="00F556AC"/>
    <w:rsid w:val="00F5742E"/>
    <w:rsid w:val="00F63AD6"/>
    <w:rsid w:val="00F64BAF"/>
    <w:rsid w:val="00F6629F"/>
    <w:rsid w:val="00F71566"/>
    <w:rsid w:val="00F731F8"/>
    <w:rsid w:val="00F77D56"/>
    <w:rsid w:val="00F821AF"/>
    <w:rsid w:val="00F8417D"/>
    <w:rsid w:val="00F870AA"/>
    <w:rsid w:val="00F922A0"/>
    <w:rsid w:val="00F95E7B"/>
    <w:rsid w:val="00FA0B83"/>
    <w:rsid w:val="00FA1596"/>
    <w:rsid w:val="00FA165B"/>
    <w:rsid w:val="00FA2674"/>
    <w:rsid w:val="00FA43E5"/>
    <w:rsid w:val="00FA4571"/>
    <w:rsid w:val="00FA4DB6"/>
    <w:rsid w:val="00FA6399"/>
    <w:rsid w:val="00FB079D"/>
    <w:rsid w:val="00FB3415"/>
    <w:rsid w:val="00FB448E"/>
    <w:rsid w:val="00FB4A44"/>
    <w:rsid w:val="00FC228B"/>
    <w:rsid w:val="00FC2D8A"/>
    <w:rsid w:val="00FC30CC"/>
    <w:rsid w:val="00FC31AE"/>
    <w:rsid w:val="00FC4AD6"/>
    <w:rsid w:val="00FC5875"/>
    <w:rsid w:val="00FE11FE"/>
    <w:rsid w:val="00FE284C"/>
    <w:rsid w:val="00FE4318"/>
    <w:rsid w:val="00FE7492"/>
    <w:rsid w:val="00FF18DD"/>
    <w:rsid w:val="00FF6D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F2B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1"/>
    <w:qFormat/>
    <w:rsid w:val="00C16C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D541A"/>
    <w:pPr>
      <w:spacing w:before="240" w:after="120" w:line="480" w:lineRule="auto"/>
      <w:jc w:val="both"/>
      <w:outlineLvl w:val="0"/>
    </w:pPr>
    <w:rPr>
      <w:rFonts w:ascii="Arial" w:hAnsi="Arial" w:cs="Arial"/>
      <w:b/>
    </w:rPr>
  </w:style>
  <w:style w:type="paragraph" w:styleId="Heading2">
    <w:name w:val="heading 2"/>
    <w:basedOn w:val="Normal"/>
    <w:next w:val="Normal"/>
    <w:link w:val="Heading2Char"/>
    <w:uiPriority w:val="9"/>
    <w:semiHidden/>
    <w:unhideWhenUsed/>
    <w:qFormat/>
    <w:rsid w:val="003B22B4"/>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9E"/>
    <w:pPr>
      <w:spacing w:before="240" w:after="240" w:line="360" w:lineRule="auto"/>
      <w:ind w:left="720"/>
      <w:contextualSpacing/>
    </w:pPr>
    <w:rPr>
      <w:rFonts w:ascii="Arial" w:eastAsiaTheme="minorHAnsi" w:hAnsi="Arial" w:cstheme="minorBidi"/>
      <w:szCs w:val="22"/>
      <w:lang w:eastAsia="en-US"/>
    </w:rPr>
  </w:style>
  <w:style w:type="paragraph" w:styleId="NoSpacing">
    <w:name w:val="No Spacing"/>
    <w:uiPriority w:val="1"/>
    <w:qFormat/>
    <w:rsid w:val="0086289E"/>
    <w:pPr>
      <w:spacing w:after="0" w:line="240" w:lineRule="auto"/>
    </w:pPr>
    <w:rPr>
      <w:rFonts w:ascii="Arial" w:hAnsi="Arial"/>
      <w:sz w:val="24"/>
    </w:rPr>
  </w:style>
  <w:style w:type="character" w:customStyle="1" w:styleId="Heading2Char">
    <w:name w:val="Heading 2 Char"/>
    <w:basedOn w:val="DefaultParagraphFont"/>
    <w:link w:val="Heading2"/>
    <w:uiPriority w:val="9"/>
    <w:semiHidden/>
    <w:rsid w:val="003B22B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3B22B4"/>
  </w:style>
  <w:style w:type="paragraph" w:styleId="BalloonText">
    <w:name w:val="Balloon Text"/>
    <w:basedOn w:val="Normal"/>
    <w:link w:val="BalloonTextChar"/>
    <w:uiPriority w:val="99"/>
    <w:semiHidden/>
    <w:unhideWhenUsed/>
    <w:rsid w:val="003B22B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B22B4"/>
    <w:rPr>
      <w:rFonts w:ascii="Segoe UI" w:hAnsi="Segoe UI" w:cs="Segoe UI"/>
      <w:sz w:val="18"/>
      <w:szCs w:val="18"/>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A9776C"/>
    <w:pPr>
      <w:tabs>
        <w:tab w:val="left" w:pos="284"/>
      </w:tabs>
      <w:spacing w:after="60"/>
      <w:ind w:left="284" w:hanging="284"/>
      <w:jc w:val="both"/>
    </w:pPr>
    <w:rPr>
      <w:rFonts w:ascii="Arial" w:eastAsiaTheme="minorHAnsi" w:hAnsi="Arial" w:cstheme="minorBidi"/>
      <w:sz w:val="20"/>
      <w:szCs w:val="20"/>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A9776C"/>
    <w:rPr>
      <w:rFonts w:ascii="Arial" w:hAnsi="Arial"/>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3B22B4"/>
    <w:rPr>
      <w:vertAlign w:val="superscript"/>
    </w:rPr>
  </w:style>
  <w:style w:type="character" w:styleId="CommentReference">
    <w:name w:val="annotation reference"/>
    <w:basedOn w:val="DefaultParagraphFont"/>
    <w:uiPriority w:val="99"/>
    <w:semiHidden/>
    <w:unhideWhenUsed/>
    <w:rsid w:val="003B22B4"/>
    <w:rPr>
      <w:sz w:val="16"/>
      <w:szCs w:val="16"/>
    </w:rPr>
  </w:style>
  <w:style w:type="paragraph" w:styleId="CommentText">
    <w:name w:val="annotation text"/>
    <w:basedOn w:val="Normal"/>
    <w:link w:val="CommentTextChar"/>
    <w:uiPriority w:val="99"/>
    <w:unhideWhenUsed/>
    <w:rsid w:val="003B22B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B22B4"/>
    <w:rPr>
      <w:sz w:val="20"/>
      <w:szCs w:val="20"/>
    </w:rPr>
  </w:style>
  <w:style w:type="paragraph" w:styleId="CommentSubject">
    <w:name w:val="annotation subject"/>
    <w:basedOn w:val="CommentText"/>
    <w:next w:val="CommentText"/>
    <w:link w:val="CommentSubjectChar"/>
    <w:uiPriority w:val="99"/>
    <w:semiHidden/>
    <w:unhideWhenUsed/>
    <w:rsid w:val="003B22B4"/>
    <w:rPr>
      <w:b/>
      <w:bCs/>
    </w:rPr>
  </w:style>
  <w:style w:type="character" w:customStyle="1" w:styleId="CommentSubjectChar">
    <w:name w:val="Comment Subject Char"/>
    <w:basedOn w:val="CommentTextChar"/>
    <w:link w:val="CommentSubject"/>
    <w:uiPriority w:val="99"/>
    <w:semiHidden/>
    <w:rsid w:val="003B22B4"/>
    <w:rPr>
      <w:b/>
      <w:bCs/>
      <w:sz w:val="20"/>
      <w:szCs w:val="20"/>
    </w:rPr>
  </w:style>
  <w:style w:type="paragraph" w:styleId="Revision">
    <w:name w:val="Revision"/>
    <w:hidden/>
    <w:uiPriority w:val="99"/>
    <w:semiHidden/>
    <w:rsid w:val="003B22B4"/>
    <w:pPr>
      <w:spacing w:after="0" w:line="240" w:lineRule="auto"/>
    </w:pPr>
  </w:style>
  <w:style w:type="paragraph" w:customStyle="1" w:styleId="JUDGMENTNUMBERED">
    <w:name w:val="JUDGMENT NUMBERED"/>
    <w:basedOn w:val="Normal"/>
    <w:next w:val="JUDGMENTCONTINUED"/>
    <w:link w:val="JUDGMENTNUMBEREDChar"/>
    <w:qFormat/>
    <w:rsid w:val="003B22B4"/>
    <w:pPr>
      <w:numPr>
        <w:numId w:val="2"/>
      </w:numPr>
      <w:spacing w:before="240" w:after="240" w:line="360" w:lineRule="auto"/>
      <w:ind w:left="1037" w:hanging="357"/>
      <w:jc w:val="both"/>
    </w:pPr>
    <w:rPr>
      <w:rFonts w:ascii="Arial" w:hAnsi="Arial"/>
      <w:szCs w:val="22"/>
      <w:lang w:eastAsia="en-US"/>
    </w:rPr>
  </w:style>
  <w:style w:type="paragraph" w:customStyle="1" w:styleId="JUDGMENTCONTINUED">
    <w:name w:val="JUDGMENT CONTINUED"/>
    <w:basedOn w:val="JUDGMENTNUMBERED"/>
    <w:next w:val="JUDGMENTNUMBERED"/>
    <w:qFormat/>
    <w:rsid w:val="003B22B4"/>
    <w:pPr>
      <w:numPr>
        <w:numId w:val="0"/>
      </w:numPr>
    </w:pPr>
  </w:style>
  <w:style w:type="character" w:customStyle="1" w:styleId="JUDGMENTNUMBEREDChar">
    <w:name w:val="JUDGMENT NUMBERED Char"/>
    <w:basedOn w:val="DefaultParagraphFont"/>
    <w:link w:val="JUDGMENTNUMBERED"/>
    <w:locked/>
    <w:rsid w:val="003B22B4"/>
    <w:rPr>
      <w:rFonts w:ascii="Arial" w:eastAsia="Times New Roman" w:hAnsi="Arial" w:cs="Times New Roman"/>
      <w:sz w:val="24"/>
    </w:rPr>
  </w:style>
  <w:style w:type="paragraph" w:styleId="BodyText">
    <w:name w:val="Body Text"/>
    <w:basedOn w:val="Normal"/>
    <w:link w:val="BodyTextChar"/>
    <w:uiPriority w:val="1"/>
    <w:semiHidden/>
    <w:unhideWhenUsed/>
    <w:qFormat/>
    <w:rsid w:val="003B22B4"/>
    <w:pPr>
      <w:widowControl w:val="0"/>
      <w:autoSpaceDE w:val="0"/>
      <w:autoSpaceDN w:val="0"/>
    </w:pPr>
    <w:rPr>
      <w:rFonts w:ascii="Arial" w:eastAsia="Arial" w:hAnsi="Arial" w:cs="Arial"/>
      <w:sz w:val="23"/>
      <w:szCs w:val="23"/>
      <w:lang w:val="en-US" w:eastAsia="en-US"/>
    </w:rPr>
  </w:style>
  <w:style w:type="character" w:customStyle="1" w:styleId="BodyTextChar">
    <w:name w:val="Body Text Char"/>
    <w:basedOn w:val="DefaultParagraphFont"/>
    <w:link w:val="BodyText"/>
    <w:uiPriority w:val="1"/>
    <w:semiHidden/>
    <w:rsid w:val="003B22B4"/>
    <w:rPr>
      <w:rFonts w:ascii="Arial" w:eastAsia="Arial" w:hAnsi="Arial" w:cs="Arial"/>
      <w:sz w:val="23"/>
      <w:szCs w:val="23"/>
      <w:lang w:val="en-US"/>
    </w:rPr>
  </w:style>
  <w:style w:type="paragraph" w:styleId="Header">
    <w:name w:val="header"/>
    <w:basedOn w:val="Normal"/>
    <w:link w:val="HeaderChar"/>
    <w:uiPriority w:val="99"/>
    <w:unhideWhenUsed/>
    <w:rsid w:val="002E7A15"/>
    <w:pPr>
      <w:tabs>
        <w:tab w:val="center" w:pos="4513"/>
        <w:tab w:val="right" w:pos="9026"/>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2E7A15"/>
    <w:rPr>
      <w:rFonts w:ascii="Arial" w:hAnsi="Arial"/>
      <w:sz w:val="24"/>
    </w:rPr>
  </w:style>
  <w:style w:type="paragraph" w:styleId="Footer">
    <w:name w:val="footer"/>
    <w:basedOn w:val="Normal"/>
    <w:link w:val="FooterChar"/>
    <w:uiPriority w:val="99"/>
    <w:unhideWhenUsed/>
    <w:rsid w:val="002E7A15"/>
    <w:pPr>
      <w:tabs>
        <w:tab w:val="center" w:pos="4513"/>
        <w:tab w:val="right" w:pos="9026"/>
      </w:tabs>
    </w:pPr>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2E7A15"/>
    <w:rPr>
      <w:rFonts w:ascii="Arial" w:hAnsi="Arial"/>
      <w:sz w:val="24"/>
    </w:rPr>
  </w:style>
  <w:style w:type="paragraph" w:styleId="NormalWeb">
    <w:name w:val="Normal (Web)"/>
    <w:basedOn w:val="Normal"/>
    <w:uiPriority w:val="99"/>
    <w:unhideWhenUsed/>
    <w:rsid w:val="0032166C"/>
    <w:pPr>
      <w:spacing w:before="100" w:beforeAutospacing="1" w:after="100" w:afterAutospacing="1"/>
    </w:pPr>
    <w:rPr>
      <w:lang w:eastAsia="en-ZA"/>
    </w:rPr>
  </w:style>
  <w:style w:type="character" w:styleId="Emphasis">
    <w:name w:val="Emphasis"/>
    <w:basedOn w:val="DefaultParagraphFont"/>
    <w:uiPriority w:val="20"/>
    <w:qFormat/>
    <w:rsid w:val="0032166C"/>
    <w:rPr>
      <w:i/>
      <w:iCs/>
    </w:rPr>
  </w:style>
  <w:style w:type="character" w:styleId="Hyperlink">
    <w:name w:val="Hyperlink"/>
    <w:basedOn w:val="DefaultParagraphFont"/>
    <w:uiPriority w:val="99"/>
    <w:unhideWhenUsed/>
    <w:rsid w:val="003E0472"/>
    <w:rPr>
      <w:color w:val="0000FF"/>
      <w:u w:val="single"/>
    </w:rPr>
  </w:style>
  <w:style w:type="numbering" w:customStyle="1" w:styleId="CurrentList1">
    <w:name w:val="Current List1"/>
    <w:uiPriority w:val="99"/>
    <w:rsid w:val="00CE3425"/>
    <w:pPr>
      <w:numPr>
        <w:numId w:val="16"/>
      </w:numPr>
    </w:pPr>
  </w:style>
  <w:style w:type="character" w:customStyle="1" w:styleId="UnresolvedMention">
    <w:name w:val="Unresolved Mention"/>
    <w:basedOn w:val="DefaultParagraphFont"/>
    <w:uiPriority w:val="99"/>
    <w:semiHidden/>
    <w:unhideWhenUsed/>
    <w:rsid w:val="0033095F"/>
    <w:rPr>
      <w:color w:val="605E5C"/>
      <w:shd w:val="clear" w:color="auto" w:fill="E1DFDD"/>
    </w:rPr>
  </w:style>
  <w:style w:type="numbering" w:customStyle="1" w:styleId="DonovanMain">
    <w:name w:val="Donovan Main"/>
    <w:uiPriority w:val="99"/>
    <w:rsid w:val="003D3C08"/>
    <w:pPr>
      <w:numPr>
        <w:numId w:val="19"/>
      </w:numPr>
    </w:pPr>
  </w:style>
  <w:style w:type="character" w:customStyle="1" w:styleId="Heading1Char">
    <w:name w:val="Heading 1 Char"/>
    <w:basedOn w:val="DefaultParagraphFont"/>
    <w:link w:val="Heading1"/>
    <w:uiPriority w:val="9"/>
    <w:rsid w:val="007D541A"/>
    <w:rPr>
      <w:rFonts w:ascii="Arial" w:eastAsia="Times New Roman" w:hAnsi="Arial" w:cs="Arial"/>
      <w:b/>
      <w:sz w:val="24"/>
      <w:szCs w:val="24"/>
      <w:lang w:eastAsia="en-GB"/>
    </w:rPr>
  </w:style>
  <w:style w:type="paragraph" w:customStyle="1" w:styleId="CDH-AnnexureNumber">
    <w:name w:val="CDH - Annexure Number"/>
    <w:basedOn w:val="Normal"/>
    <w:next w:val="Normal"/>
    <w:qFormat/>
    <w:rsid w:val="00174AB5"/>
    <w:pPr>
      <w:numPr>
        <w:numId w:val="21"/>
      </w:numPr>
      <w:spacing w:after="200" w:line="360" w:lineRule="auto"/>
      <w:ind w:left="7796" w:firstLine="0"/>
      <w:jc w:val="right"/>
    </w:pPr>
    <w:rPr>
      <w:rFonts w:ascii="Arial Bold" w:hAnsi="Arial Bold"/>
      <w:b/>
      <w:szCs w:val="16"/>
      <w:lang w:eastAsia="en-ZA"/>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9012">
      <w:bodyDiv w:val="1"/>
      <w:marLeft w:val="0"/>
      <w:marRight w:val="0"/>
      <w:marTop w:val="0"/>
      <w:marBottom w:val="0"/>
      <w:divBdr>
        <w:top w:val="none" w:sz="0" w:space="0" w:color="auto"/>
        <w:left w:val="none" w:sz="0" w:space="0" w:color="auto"/>
        <w:bottom w:val="none" w:sz="0" w:space="0" w:color="auto"/>
        <w:right w:val="none" w:sz="0" w:space="0" w:color="auto"/>
      </w:divBdr>
      <w:divsChild>
        <w:div w:id="560335426">
          <w:marLeft w:val="0"/>
          <w:marRight w:val="0"/>
          <w:marTop w:val="120"/>
          <w:marBottom w:val="0"/>
          <w:divBdr>
            <w:top w:val="none" w:sz="0" w:space="0" w:color="auto"/>
            <w:left w:val="none" w:sz="0" w:space="0" w:color="auto"/>
            <w:bottom w:val="none" w:sz="0" w:space="0" w:color="auto"/>
            <w:right w:val="none" w:sz="0" w:space="0" w:color="auto"/>
          </w:divBdr>
        </w:div>
        <w:div w:id="2142381139">
          <w:marLeft w:val="567"/>
          <w:marRight w:val="0"/>
          <w:marTop w:val="120"/>
          <w:marBottom w:val="0"/>
          <w:divBdr>
            <w:top w:val="none" w:sz="0" w:space="0" w:color="auto"/>
            <w:left w:val="none" w:sz="0" w:space="0" w:color="auto"/>
            <w:bottom w:val="none" w:sz="0" w:space="0" w:color="auto"/>
            <w:right w:val="none" w:sz="0" w:space="0" w:color="auto"/>
          </w:divBdr>
        </w:div>
      </w:divsChild>
    </w:div>
    <w:div w:id="160898578">
      <w:bodyDiv w:val="1"/>
      <w:marLeft w:val="0"/>
      <w:marRight w:val="0"/>
      <w:marTop w:val="0"/>
      <w:marBottom w:val="0"/>
      <w:divBdr>
        <w:top w:val="none" w:sz="0" w:space="0" w:color="auto"/>
        <w:left w:val="none" w:sz="0" w:space="0" w:color="auto"/>
        <w:bottom w:val="none" w:sz="0" w:space="0" w:color="auto"/>
        <w:right w:val="none" w:sz="0" w:space="0" w:color="auto"/>
      </w:divBdr>
    </w:div>
    <w:div w:id="355739051">
      <w:bodyDiv w:val="1"/>
      <w:marLeft w:val="0"/>
      <w:marRight w:val="0"/>
      <w:marTop w:val="0"/>
      <w:marBottom w:val="0"/>
      <w:divBdr>
        <w:top w:val="none" w:sz="0" w:space="0" w:color="auto"/>
        <w:left w:val="none" w:sz="0" w:space="0" w:color="auto"/>
        <w:bottom w:val="none" w:sz="0" w:space="0" w:color="auto"/>
        <w:right w:val="none" w:sz="0" w:space="0" w:color="auto"/>
      </w:divBdr>
    </w:div>
    <w:div w:id="359479741">
      <w:bodyDiv w:val="1"/>
      <w:marLeft w:val="0"/>
      <w:marRight w:val="0"/>
      <w:marTop w:val="0"/>
      <w:marBottom w:val="0"/>
      <w:divBdr>
        <w:top w:val="none" w:sz="0" w:space="0" w:color="auto"/>
        <w:left w:val="none" w:sz="0" w:space="0" w:color="auto"/>
        <w:bottom w:val="none" w:sz="0" w:space="0" w:color="auto"/>
        <w:right w:val="none" w:sz="0" w:space="0" w:color="auto"/>
      </w:divBdr>
    </w:div>
    <w:div w:id="380521214">
      <w:bodyDiv w:val="1"/>
      <w:marLeft w:val="0"/>
      <w:marRight w:val="0"/>
      <w:marTop w:val="0"/>
      <w:marBottom w:val="0"/>
      <w:divBdr>
        <w:top w:val="none" w:sz="0" w:space="0" w:color="auto"/>
        <w:left w:val="none" w:sz="0" w:space="0" w:color="auto"/>
        <w:bottom w:val="none" w:sz="0" w:space="0" w:color="auto"/>
        <w:right w:val="none" w:sz="0" w:space="0" w:color="auto"/>
      </w:divBdr>
    </w:div>
    <w:div w:id="528492633">
      <w:bodyDiv w:val="1"/>
      <w:marLeft w:val="0"/>
      <w:marRight w:val="0"/>
      <w:marTop w:val="0"/>
      <w:marBottom w:val="0"/>
      <w:divBdr>
        <w:top w:val="none" w:sz="0" w:space="0" w:color="auto"/>
        <w:left w:val="none" w:sz="0" w:space="0" w:color="auto"/>
        <w:bottom w:val="none" w:sz="0" w:space="0" w:color="auto"/>
        <w:right w:val="none" w:sz="0" w:space="0" w:color="auto"/>
      </w:divBdr>
    </w:div>
    <w:div w:id="775439431">
      <w:bodyDiv w:val="1"/>
      <w:marLeft w:val="0"/>
      <w:marRight w:val="0"/>
      <w:marTop w:val="0"/>
      <w:marBottom w:val="0"/>
      <w:divBdr>
        <w:top w:val="none" w:sz="0" w:space="0" w:color="auto"/>
        <w:left w:val="none" w:sz="0" w:space="0" w:color="auto"/>
        <w:bottom w:val="none" w:sz="0" w:space="0" w:color="auto"/>
        <w:right w:val="none" w:sz="0" w:space="0" w:color="auto"/>
      </w:divBdr>
    </w:div>
    <w:div w:id="890842987">
      <w:bodyDiv w:val="1"/>
      <w:marLeft w:val="0"/>
      <w:marRight w:val="0"/>
      <w:marTop w:val="0"/>
      <w:marBottom w:val="0"/>
      <w:divBdr>
        <w:top w:val="none" w:sz="0" w:space="0" w:color="auto"/>
        <w:left w:val="none" w:sz="0" w:space="0" w:color="auto"/>
        <w:bottom w:val="none" w:sz="0" w:space="0" w:color="auto"/>
        <w:right w:val="none" w:sz="0" w:space="0" w:color="auto"/>
      </w:divBdr>
    </w:div>
    <w:div w:id="1089159916">
      <w:bodyDiv w:val="1"/>
      <w:marLeft w:val="0"/>
      <w:marRight w:val="0"/>
      <w:marTop w:val="0"/>
      <w:marBottom w:val="0"/>
      <w:divBdr>
        <w:top w:val="none" w:sz="0" w:space="0" w:color="auto"/>
        <w:left w:val="none" w:sz="0" w:space="0" w:color="auto"/>
        <w:bottom w:val="none" w:sz="0" w:space="0" w:color="auto"/>
        <w:right w:val="none" w:sz="0" w:space="0" w:color="auto"/>
      </w:divBdr>
    </w:div>
    <w:div w:id="1202790871">
      <w:bodyDiv w:val="1"/>
      <w:marLeft w:val="0"/>
      <w:marRight w:val="0"/>
      <w:marTop w:val="0"/>
      <w:marBottom w:val="0"/>
      <w:divBdr>
        <w:top w:val="none" w:sz="0" w:space="0" w:color="auto"/>
        <w:left w:val="none" w:sz="0" w:space="0" w:color="auto"/>
        <w:bottom w:val="none" w:sz="0" w:space="0" w:color="auto"/>
        <w:right w:val="none" w:sz="0" w:space="0" w:color="auto"/>
      </w:divBdr>
    </w:div>
    <w:div w:id="1276057621">
      <w:bodyDiv w:val="1"/>
      <w:marLeft w:val="0"/>
      <w:marRight w:val="0"/>
      <w:marTop w:val="0"/>
      <w:marBottom w:val="0"/>
      <w:divBdr>
        <w:top w:val="none" w:sz="0" w:space="0" w:color="auto"/>
        <w:left w:val="none" w:sz="0" w:space="0" w:color="auto"/>
        <w:bottom w:val="none" w:sz="0" w:space="0" w:color="auto"/>
        <w:right w:val="none" w:sz="0" w:space="0" w:color="auto"/>
      </w:divBdr>
    </w:div>
    <w:div w:id="1289429503">
      <w:bodyDiv w:val="1"/>
      <w:marLeft w:val="0"/>
      <w:marRight w:val="0"/>
      <w:marTop w:val="0"/>
      <w:marBottom w:val="0"/>
      <w:divBdr>
        <w:top w:val="none" w:sz="0" w:space="0" w:color="auto"/>
        <w:left w:val="none" w:sz="0" w:space="0" w:color="auto"/>
        <w:bottom w:val="none" w:sz="0" w:space="0" w:color="auto"/>
        <w:right w:val="none" w:sz="0" w:space="0" w:color="auto"/>
      </w:divBdr>
    </w:div>
    <w:div w:id="1349792023">
      <w:bodyDiv w:val="1"/>
      <w:marLeft w:val="0"/>
      <w:marRight w:val="0"/>
      <w:marTop w:val="0"/>
      <w:marBottom w:val="0"/>
      <w:divBdr>
        <w:top w:val="none" w:sz="0" w:space="0" w:color="auto"/>
        <w:left w:val="none" w:sz="0" w:space="0" w:color="auto"/>
        <w:bottom w:val="none" w:sz="0" w:space="0" w:color="auto"/>
        <w:right w:val="none" w:sz="0" w:space="0" w:color="auto"/>
      </w:divBdr>
    </w:div>
    <w:div w:id="1463113102">
      <w:bodyDiv w:val="1"/>
      <w:marLeft w:val="0"/>
      <w:marRight w:val="0"/>
      <w:marTop w:val="0"/>
      <w:marBottom w:val="0"/>
      <w:divBdr>
        <w:top w:val="none" w:sz="0" w:space="0" w:color="auto"/>
        <w:left w:val="none" w:sz="0" w:space="0" w:color="auto"/>
        <w:bottom w:val="none" w:sz="0" w:space="0" w:color="auto"/>
        <w:right w:val="none" w:sz="0" w:space="0" w:color="auto"/>
      </w:divBdr>
    </w:div>
    <w:div w:id="1569682511">
      <w:bodyDiv w:val="1"/>
      <w:marLeft w:val="0"/>
      <w:marRight w:val="0"/>
      <w:marTop w:val="0"/>
      <w:marBottom w:val="0"/>
      <w:divBdr>
        <w:top w:val="none" w:sz="0" w:space="0" w:color="auto"/>
        <w:left w:val="none" w:sz="0" w:space="0" w:color="auto"/>
        <w:bottom w:val="none" w:sz="0" w:space="0" w:color="auto"/>
        <w:right w:val="none" w:sz="0" w:space="0" w:color="auto"/>
      </w:divBdr>
    </w:div>
    <w:div w:id="1800881951">
      <w:bodyDiv w:val="1"/>
      <w:marLeft w:val="0"/>
      <w:marRight w:val="0"/>
      <w:marTop w:val="0"/>
      <w:marBottom w:val="0"/>
      <w:divBdr>
        <w:top w:val="none" w:sz="0" w:space="0" w:color="auto"/>
        <w:left w:val="none" w:sz="0" w:space="0" w:color="auto"/>
        <w:bottom w:val="none" w:sz="0" w:space="0" w:color="auto"/>
        <w:right w:val="none" w:sz="0" w:space="0" w:color="auto"/>
      </w:divBdr>
    </w:div>
    <w:div w:id="1819301711">
      <w:bodyDiv w:val="1"/>
      <w:marLeft w:val="0"/>
      <w:marRight w:val="0"/>
      <w:marTop w:val="0"/>
      <w:marBottom w:val="0"/>
      <w:divBdr>
        <w:top w:val="none" w:sz="0" w:space="0" w:color="auto"/>
        <w:left w:val="none" w:sz="0" w:space="0" w:color="auto"/>
        <w:bottom w:val="none" w:sz="0" w:space="0" w:color="auto"/>
        <w:right w:val="none" w:sz="0" w:space="0" w:color="auto"/>
      </w:divBdr>
    </w:div>
    <w:div w:id="1861895798">
      <w:bodyDiv w:val="1"/>
      <w:marLeft w:val="0"/>
      <w:marRight w:val="0"/>
      <w:marTop w:val="0"/>
      <w:marBottom w:val="0"/>
      <w:divBdr>
        <w:top w:val="none" w:sz="0" w:space="0" w:color="auto"/>
        <w:left w:val="none" w:sz="0" w:space="0" w:color="auto"/>
        <w:bottom w:val="none" w:sz="0" w:space="0" w:color="auto"/>
        <w:right w:val="none" w:sz="0" w:space="0" w:color="auto"/>
      </w:divBdr>
    </w:div>
    <w:div w:id="20359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1702-8BE9-436C-8826-2791D0DE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2023-08-07T09:47:00Z</dcterms:created>
  <dcterms:modified xsi:type="dcterms:W3CDTF">2023-08-07T09:49:00Z</dcterms:modified>
</cp:coreProperties>
</file>