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E9AD6" w14:textId="77777777" w:rsidR="00773FFE" w:rsidRPr="006D23FD" w:rsidRDefault="00773FFE" w:rsidP="00DA211C">
      <w:pPr>
        <w:spacing w:after="200" w:line="360" w:lineRule="auto"/>
        <w:jc w:val="both"/>
        <w:rPr>
          <w:rFonts w:ascii="Arial" w:eastAsia="Calibri" w:hAnsi="Arial" w:cs="Arial"/>
          <w:noProof/>
          <w:sz w:val="24"/>
          <w:szCs w:val="24"/>
          <w:lang w:val="en-GB" w:eastAsia="en-GB"/>
        </w:rPr>
      </w:pPr>
      <w:bookmarkStart w:id="0" w:name="_GoBack"/>
      <w:bookmarkEnd w:id="0"/>
      <w:r w:rsidRPr="006D23FD">
        <w:rPr>
          <w:rFonts w:ascii="Arial" w:eastAsia="Calibri" w:hAnsi="Arial" w:cs="Arial"/>
          <w:noProof/>
          <w:sz w:val="24"/>
          <w:szCs w:val="24"/>
          <w:lang w:eastAsia="en-ZA"/>
        </w:rPr>
        <w:drawing>
          <wp:anchor distT="0" distB="0" distL="114300" distR="114300" simplePos="0" relativeHeight="251659264" behindDoc="0" locked="0" layoutInCell="1" allowOverlap="1" wp14:anchorId="77BFD34A" wp14:editId="1519B8EB">
            <wp:simplePos x="0" y="0"/>
            <wp:positionH relativeFrom="column">
              <wp:posOffset>2260600</wp:posOffset>
            </wp:positionH>
            <wp:positionV relativeFrom="paragraph">
              <wp:posOffset>158750</wp:posOffset>
            </wp:positionV>
            <wp:extent cx="1150620" cy="11811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14:sizeRelH relativeFrom="page">
              <wp14:pctWidth>0</wp14:pctWidth>
            </wp14:sizeRelH>
            <wp14:sizeRelV relativeFrom="page">
              <wp14:pctHeight>0</wp14:pctHeight>
            </wp14:sizeRelV>
          </wp:anchor>
        </w:drawing>
      </w:r>
      <w:r w:rsidRPr="006D23FD">
        <w:rPr>
          <w:rFonts w:ascii="Arial" w:eastAsia="Calibri" w:hAnsi="Arial" w:cs="Arial"/>
          <w:noProof/>
          <w:sz w:val="24"/>
          <w:szCs w:val="24"/>
          <w:lang w:val="en-GB" w:eastAsia="en-GB"/>
        </w:rPr>
        <w:br w:type="textWrapping" w:clear="all"/>
      </w:r>
    </w:p>
    <w:p w14:paraId="6FD6F555" w14:textId="77777777" w:rsidR="00773FFE" w:rsidRPr="006D23FD" w:rsidRDefault="00773FFE" w:rsidP="00DA211C">
      <w:pPr>
        <w:keepNext/>
        <w:keepLines/>
        <w:spacing w:before="200" w:after="0" w:line="360" w:lineRule="auto"/>
        <w:jc w:val="both"/>
        <w:outlineLvl w:val="5"/>
        <w:rPr>
          <w:rFonts w:ascii="Arial" w:eastAsia="Times New Roman" w:hAnsi="Arial" w:cs="Arial"/>
          <w:b/>
          <w:iCs/>
          <w:color w:val="1F3763"/>
          <w:sz w:val="24"/>
          <w:szCs w:val="24"/>
          <w:lang w:val="en-US"/>
        </w:rPr>
      </w:pPr>
      <w:r w:rsidRPr="006D23FD">
        <w:rPr>
          <w:rFonts w:ascii="Arial" w:eastAsia="Times New Roman" w:hAnsi="Arial" w:cs="Arial"/>
          <w:b/>
          <w:iCs/>
          <w:color w:val="1F3763"/>
          <w:sz w:val="24"/>
          <w:szCs w:val="24"/>
          <w:lang w:val="en-US"/>
        </w:rPr>
        <w:t>IN THE HIGH COURT OF SOUTH AFRICA</w:t>
      </w:r>
    </w:p>
    <w:p w14:paraId="248EA5CE" w14:textId="77777777" w:rsidR="00773FFE" w:rsidRPr="006D23FD" w:rsidRDefault="00773FFE" w:rsidP="00DA211C">
      <w:pPr>
        <w:spacing w:after="0" w:line="480" w:lineRule="auto"/>
        <w:ind w:left="936" w:hanging="936"/>
        <w:jc w:val="both"/>
        <w:rPr>
          <w:rFonts w:ascii="Arial" w:eastAsia="Times New Roman" w:hAnsi="Arial" w:cs="Arial"/>
          <w:b/>
          <w:bCs/>
          <w:iCs/>
          <w:sz w:val="24"/>
          <w:szCs w:val="24"/>
          <w:lang w:val="en-US" w:eastAsia="en-GB"/>
        </w:rPr>
      </w:pPr>
      <w:r w:rsidRPr="006D23FD">
        <w:rPr>
          <w:rFonts w:ascii="Arial" w:eastAsia="Times New Roman" w:hAnsi="Arial" w:cs="Arial"/>
          <w:b/>
          <w:bCs/>
          <w:iCs/>
          <w:sz w:val="24"/>
          <w:szCs w:val="24"/>
          <w:lang w:val="en-US" w:eastAsia="en-GB"/>
        </w:rPr>
        <w:t>GAUTENG DIVISION, JOHANNESBURG</w:t>
      </w:r>
    </w:p>
    <w:p w14:paraId="0F7BA748" w14:textId="77777777" w:rsidR="008657E8" w:rsidRPr="006D23FD" w:rsidRDefault="00773FFE" w:rsidP="00DA211C">
      <w:pPr>
        <w:spacing w:after="0" w:line="360" w:lineRule="auto"/>
        <w:ind w:left="5041"/>
        <w:jc w:val="both"/>
        <w:rPr>
          <w:rFonts w:ascii="Arial" w:eastAsia="Calibri" w:hAnsi="Arial" w:cs="Arial"/>
          <w:sz w:val="24"/>
          <w:szCs w:val="24"/>
          <w:lang w:val="en-US"/>
        </w:rPr>
      </w:pPr>
      <w:r w:rsidRPr="006D23FD">
        <w:rPr>
          <w:rFonts w:ascii="Arial" w:eastAsia="Calibri" w:hAnsi="Arial" w:cs="Arial"/>
          <w:sz w:val="24"/>
          <w:szCs w:val="24"/>
          <w:lang w:val="en-US"/>
        </w:rPr>
        <w:t xml:space="preserve">    </w:t>
      </w:r>
      <w:r w:rsidR="008657E8" w:rsidRPr="006D23FD">
        <w:rPr>
          <w:rFonts w:ascii="Arial" w:eastAsia="Calibri" w:hAnsi="Arial" w:cs="Arial"/>
          <w:sz w:val="24"/>
          <w:szCs w:val="24"/>
          <w:lang w:val="en-US"/>
        </w:rPr>
        <w:tab/>
        <w:t xml:space="preserve">     </w:t>
      </w:r>
    </w:p>
    <w:p w14:paraId="15CD27A9" w14:textId="7B66FC4A" w:rsidR="00773FFE" w:rsidRPr="006D23FD" w:rsidRDefault="008657E8" w:rsidP="00DA211C">
      <w:pPr>
        <w:spacing w:after="0" w:line="360" w:lineRule="auto"/>
        <w:ind w:left="5041"/>
        <w:jc w:val="both"/>
        <w:rPr>
          <w:rFonts w:ascii="Arial" w:eastAsia="Calibri" w:hAnsi="Arial" w:cs="Arial"/>
          <w:b/>
          <w:sz w:val="24"/>
          <w:szCs w:val="24"/>
          <w:lang w:val="en-US"/>
        </w:rPr>
      </w:pPr>
      <w:r w:rsidRPr="006D23FD">
        <w:rPr>
          <w:rFonts w:ascii="Arial" w:eastAsia="Calibri" w:hAnsi="Arial" w:cs="Arial"/>
          <w:b/>
          <w:sz w:val="24"/>
          <w:szCs w:val="24"/>
          <w:lang w:val="en-US"/>
        </w:rPr>
        <w:t xml:space="preserve">          </w:t>
      </w:r>
      <w:r w:rsidR="00C613DE" w:rsidRPr="006D23FD">
        <w:rPr>
          <w:rFonts w:ascii="Arial" w:eastAsia="Calibri" w:hAnsi="Arial" w:cs="Arial"/>
          <w:b/>
          <w:sz w:val="24"/>
          <w:szCs w:val="24"/>
          <w:lang w:val="en-US"/>
        </w:rPr>
        <w:t xml:space="preserve">CASE NO: </w:t>
      </w:r>
      <w:r w:rsidR="00870558" w:rsidRPr="006D23FD">
        <w:rPr>
          <w:rFonts w:ascii="Arial" w:eastAsia="Calibri" w:hAnsi="Arial" w:cs="Arial"/>
          <w:b/>
          <w:sz w:val="24"/>
          <w:szCs w:val="24"/>
          <w:lang w:val="en-US"/>
        </w:rPr>
        <w:t>2022-036448</w:t>
      </w:r>
    </w:p>
    <w:p w14:paraId="7A774234" w14:textId="77777777" w:rsidR="00773FFE" w:rsidRPr="006D23FD" w:rsidRDefault="00773FFE" w:rsidP="00DA211C">
      <w:pPr>
        <w:spacing w:line="240" w:lineRule="auto"/>
        <w:ind w:left="3600" w:firstLine="720"/>
        <w:jc w:val="both"/>
        <w:rPr>
          <w:rFonts w:ascii="Arial" w:eastAsia="Calibri" w:hAnsi="Arial" w:cs="Arial"/>
          <w:bCs/>
          <w:sz w:val="24"/>
          <w:szCs w:val="24"/>
        </w:rPr>
      </w:pPr>
    </w:p>
    <w:tbl>
      <w:tblPr>
        <w:tblStyle w:val="TableGrid"/>
        <w:tblW w:w="0" w:type="auto"/>
        <w:tblInd w:w="0" w:type="dxa"/>
        <w:tblLook w:val="04A0" w:firstRow="1" w:lastRow="0" w:firstColumn="1" w:lastColumn="0" w:noHBand="0" w:noVBand="1"/>
      </w:tblPr>
      <w:tblGrid>
        <w:gridCol w:w="4894"/>
      </w:tblGrid>
      <w:tr w:rsidR="00773FFE" w:rsidRPr="006D23FD" w14:paraId="1C750828" w14:textId="77777777" w:rsidTr="00E83928">
        <w:trPr>
          <w:trHeight w:val="2191"/>
        </w:trPr>
        <w:tc>
          <w:tcPr>
            <w:tcW w:w="4894" w:type="dxa"/>
            <w:tcBorders>
              <w:top w:val="single" w:sz="4" w:space="0" w:color="auto"/>
              <w:left w:val="single" w:sz="4" w:space="0" w:color="auto"/>
              <w:bottom w:val="single" w:sz="4" w:space="0" w:color="auto"/>
              <w:right w:val="single" w:sz="4" w:space="0" w:color="auto"/>
            </w:tcBorders>
          </w:tcPr>
          <w:p w14:paraId="4C33AD7D" w14:textId="77777777" w:rsidR="00773FFE" w:rsidRPr="006D23FD" w:rsidRDefault="00773FFE" w:rsidP="00DA211C">
            <w:pPr>
              <w:tabs>
                <w:tab w:val="left" w:pos="5868"/>
              </w:tabs>
              <w:jc w:val="both"/>
              <w:rPr>
                <w:rFonts w:ascii="Arial" w:eastAsia="Times New Roman" w:hAnsi="Arial" w:cs="Arial"/>
                <w:sz w:val="24"/>
                <w:szCs w:val="24"/>
                <w:lang w:eastAsia="en-GB"/>
              </w:rPr>
            </w:pPr>
          </w:p>
          <w:p w14:paraId="75938420" w14:textId="582459E5" w:rsidR="00773FFE" w:rsidRPr="006D23FD" w:rsidRDefault="008657E8" w:rsidP="00DA211C">
            <w:pPr>
              <w:tabs>
                <w:tab w:val="left" w:pos="5868"/>
              </w:tabs>
              <w:ind w:left="936"/>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1. Reportable:   </w:t>
            </w:r>
            <w:r w:rsidR="00881768" w:rsidRPr="006D23FD">
              <w:rPr>
                <w:rFonts w:ascii="Arial" w:eastAsia="Times New Roman" w:hAnsi="Arial" w:cs="Arial"/>
                <w:sz w:val="24"/>
                <w:szCs w:val="24"/>
                <w:lang w:eastAsia="en-GB"/>
              </w:rPr>
              <w:t>No</w:t>
            </w:r>
          </w:p>
          <w:p w14:paraId="3740B929" w14:textId="6E8950CA" w:rsidR="008657E8" w:rsidRPr="006D23FD" w:rsidRDefault="00773FFE" w:rsidP="00DA211C">
            <w:pPr>
              <w:tabs>
                <w:tab w:val="left" w:pos="5868"/>
              </w:tabs>
              <w:ind w:left="936"/>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2. Of interest to other judges:  </w:t>
            </w:r>
            <w:r w:rsidR="00881768" w:rsidRPr="006D23FD">
              <w:rPr>
                <w:rFonts w:ascii="Arial" w:eastAsia="Times New Roman" w:hAnsi="Arial" w:cs="Arial"/>
                <w:sz w:val="24"/>
                <w:szCs w:val="24"/>
                <w:lang w:eastAsia="en-GB"/>
              </w:rPr>
              <w:t>No</w:t>
            </w:r>
          </w:p>
          <w:p w14:paraId="490C2559" w14:textId="77777777" w:rsidR="00773FFE" w:rsidRPr="006D23FD" w:rsidRDefault="00773FFE" w:rsidP="00DA211C">
            <w:pPr>
              <w:tabs>
                <w:tab w:val="left" w:pos="5868"/>
              </w:tabs>
              <w:ind w:left="936"/>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3. Revised </w:t>
            </w:r>
          </w:p>
          <w:p w14:paraId="5582597A" w14:textId="77777777" w:rsidR="004A63CD" w:rsidRPr="006D23FD" w:rsidRDefault="004A63CD" w:rsidP="00DA211C">
            <w:pPr>
              <w:tabs>
                <w:tab w:val="left" w:pos="5868"/>
              </w:tabs>
              <w:ind w:left="936"/>
              <w:jc w:val="both"/>
              <w:rPr>
                <w:rFonts w:ascii="Arial" w:eastAsia="Times New Roman" w:hAnsi="Arial" w:cs="Arial"/>
                <w:sz w:val="24"/>
                <w:szCs w:val="24"/>
                <w:lang w:eastAsia="en-GB"/>
              </w:rPr>
            </w:pPr>
          </w:p>
          <w:p w14:paraId="5A0276FF" w14:textId="77777777" w:rsidR="004A63CD" w:rsidRPr="006D23FD" w:rsidRDefault="004A63CD" w:rsidP="00DA211C">
            <w:pPr>
              <w:tabs>
                <w:tab w:val="left" w:pos="5868"/>
              </w:tabs>
              <w:ind w:left="936"/>
              <w:jc w:val="both"/>
              <w:rPr>
                <w:rFonts w:ascii="Arial" w:eastAsia="Times New Roman" w:hAnsi="Arial" w:cs="Arial"/>
                <w:sz w:val="24"/>
                <w:szCs w:val="24"/>
                <w:lang w:eastAsia="en-GB"/>
              </w:rPr>
            </w:pPr>
          </w:p>
          <w:p w14:paraId="1AF86EE3" w14:textId="77777777" w:rsidR="004A63CD" w:rsidRPr="006D23FD" w:rsidRDefault="004A63CD" w:rsidP="00DA211C">
            <w:pPr>
              <w:tabs>
                <w:tab w:val="left" w:pos="5868"/>
              </w:tabs>
              <w:ind w:left="936"/>
              <w:jc w:val="both"/>
              <w:rPr>
                <w:rFonts w:ascii="Arial" w:eastAsia="Times New Roman" w:hAnsi="Arial" w:cs="Arial"/>
                <w:sz w:val="24"/>
                <w:szCs w:val="24"/>
                <w:lang w:eastAsia="en-GB"/>
              </w:rPr>
            </w:pPr>
          </w:p>
          <w:p w14:paraId="72019DCC" w14:textId="77777777" w:rsidR="00773FFE" w:rsidRPr="006D23FD" w:rsidRDefault="00773FFE" w:rsidP="00DA211C">
            <w:pPr>
              <w:tabs>
                <w:tab w:val="left" w:pos="5868"/>
              </w:tabs>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p w14:paraId="430F8C7A" w14:textId="77777777" w:rsidR="00773FFE" w:rsidRPr="006D23FD" w:rsidRDefault="00773FFE" w:rsidP="00DA211C">
            <w:pPr>
              <w:tabs>
                <w:tab w:val="left" w:pos="5868"/>
              </w:tabs>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Wright J </w:t>
            </w:r>
          </w:p>
          <w:p w14:paraId="468CF76A" w14:textId="711B9EB4" w:rsidR="00773FFE" w:rsidRPr="006D23FD" w:rsidRDefault="009D7E76" w:rsidP="00DA211C">
            <w:pPr>
              <w:tabs>
                <w:tab w:val="left" w:pos="5868"/>
              </w:tabs>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r w:rsidR="007C575B">
              <w:rPr>
                <w:rFonts w:ascii="Arial" w:eastAsia="Times New Roman" w:hAnsi="Arial" w:cs="Arial"/>
                <w:sz w:val="24"/>
                <w:szCs w:val="24"/>
                <w:lang w:eastAsia="en-GB"/>
              </w:rPr>
              <w:t>18</w:t>
            </w:r>
            <w:r w:rsidR="00881768" w:rsidRPr="006D23FD">
              <w:rPr>
                <w:rFonts w:ascii="Arial" w:eastAsia="Times New Roman" w:hAnsi="Arial" w:cs="Arial"/>
                <w:sz w:val="24"/>
                <w:szCs w:val="24"/>
                <w:lang w:eastAsia="en-GB"/>
              </w:rPr>
              <w:t xml:space="preserve"> </w:t>
            </w:r>
            <w:r w:rsidR="00870558" w:rsidRPr="006D23FD">
              <w:rPr>
                <w:rFonts w:ascii="Arial" w:eastAsia="Times New Roman" w:hAnsi="Arial" w:cs="Arial"/>
                <w:sz w:val="24"/>
                <w:szCs w:val="24"/>
                <w:lang w:eastAsia="en-GB"/>
              </w:rPr>
              <w:t>August</w:t>
            </w:r>
            <w:r w:rsidR="00773FFE" w:rsidRPr="006D23FD">
              <w:rPr>
                <w:rFonts w:ascii="Arial" w:eastAsia="Times New Roman" w:hAnsi="Arial" w:cs="Arial"/>
                <w:sz w:val="24"/>
                <w:szCs w:val="24"/>
                <w:lang w:eastAsia="en-GB"/>
              </w:rPr>
              <w:t xml:space="preserve"> 2023</w:t>
            </w:r>
          </w:p>
          <w:p w14:paraId="28FC8835" w14:textId="77777777" w:rsidR="00773FFE" w:rsidRPr="006D23FD" w:rsidRDefault="00773FFE" w:rsidP="00DA211C">
            <w:pPr>
              <w:tabs>
                <w:tab w:val="left" w:pos="5868"/>
              </w:tabs>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p w14:paraId="7B0225E7" w14:textId="77777777" w:rsidR="00773FFE" w:rsidRPr="006D23FD" w:rsidRDefault="00773FFE" w:rsidP="00DA211C">
            <w:pPr>
              <w:tabs>
                <w:tab w:val="left" w:pos="5868"/>
              </w:tabs>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 xml:space="preserve">                                                                         </w:t>
            </w:r>
          </w:p>
        </w:tc>
      </w:tr>
    </w:tbl>
    <w:p w14:paraId="50C6961C" w14:textId="77777777" w:rsidR="00773FFE" w:rsidRPr="006D23FD" w:rsidRDefault="00773FFE" w:rsidP="00DA211C">
      <w:pPr>
        <w:tabs>
          <w:tab w:val="left" w:pos="5868"/>
        </w:tabs>
        <w:spacing w:before="240" w:after="120" w:line="360" w:lineRule="auto"/>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In the matter between:</w:t>
      </w:r>
    </w:p>
    <w:p w14:paraId="6CA77021" w14:textId="1200E2A5" w:rsidR="009D7E76" w:rsidRPr="006D23FD" w:rsidRDefault="00870558" w:rsidP="00DA211C">
      <w:pPr>
        <w:tabs>
          <w:tab w:val="left" w:pos="5868"/>
        </w:tabs>
        <w:spacing w:before="240" w:after="240" w:line="360" w:lineRule="auto"/>
        <w:jc w:val="both"/>
        <w:rPr>
          <w:rFonts w:ascii="Arial" w:eastAsia="Times New Roman" w:hAnsi="Arial" w:cs="Arial"/>
          <w:b/>
          <w:sz w:val="24"/>
          <w:szCs w:val="24"/>
          <w:lang w:eastAsia="en-GB"/>
        </w:rPr>
      </w:pPr>
      <w:r w:rsidRPr="006D23FD">
        <w:rPr>
          <w:rFonts w:ascii="Arial" w:eastAsia="Times New Roman" w:hAnsi="Arial" w:cs="Arial"/>
          <w:b/>
          <w:sz w:val="24"/>
          <w:szCs w:val="24"/>
          <w:lang w:eastAsia="en-GB"/>
        </w:rPr>
        <w:t>HITJEVI OBAFEMI TJIROZE</w:t>
      </w:r>
      <w:r w:rsidRPr="006D23FD">
        <w:rPr>
          <w:rFonts w:ascii="Arial" w:eastAsia="Times New Roman" w:hAnsi="Arial" w:cs="Arial"/>
          <w:b/>
          <w:sz w:val="24"/>
          <w:szCs w:val="24"/>
          <w:lang w:eastAsia="en-GB"/>
        </w:rPr>
        <w:tab/>
      </w:r>
      <w:r w:rsidR="009D7E76" w:rsidRPr="006D23FD">
        <w:rPr>
          <w:rFonts w:ascii="Arial" w:eastAsia="Times New Roman" w:hAnsi="Arial" w:cs="Arial"/>
          <w:b/>
          <w:sz w:val="24"/>
          <w:szCs w:val="24"/>
          <w:lang w:eastAsia="en-GB"/>
        </w:rPr>
        <w:tab/>
      </w:r>
      <w:r w:rsidR="009D7E76" w:rsidRPr="006D23FD">
        <w:rPr>
          <w:rFonts w:ascii="Arial" w:eastAsia="Times New Roman" w:hAnsi="Arial" w:cs="Arial"/>
          <w:b/>
          <w:sz w:val="24"/>
          <w:szCs w:val="24"/>
          <w:lang w:eastAsia="en-GB"/>
        </w:rPr>
        <w:tab/>
        <w:t xml:space="preserve"> </w:t>
      </w:r>
      <w:r w:rsidR="00C72A2B" w:rsidRPr="006D23FD">
        <w:rPr>
          <w:rFonts w:ascii="Arial" w:eastAsia="Times New Roman" w:hAnsi="Arial" w:cs="Arial"/>
          <w:b/>
          <w:sz w:val="24"/>
          <w:szCs w:val="24"/>
          <w:lang w:eastAsia="en-GB"/>
        </w:rPr>
        <w:t xml:space="preserve"> </w:t>
      </w:r>
      <w:r w:rsidR="009D7E76" w:rsidRPr="006D23FD">
        <w:rPr>
          <w:rFonts w:ascii="Arial" w:eastAsia="Times New Roman" w:hAnsi="Arial" w:cs="Arial"/>
          <w:b/>
          <w:sz w:val="24"/>
          <w:szCs w:val="24"/>
          <w:lang w:eastAsia="en-GB"/>
        </w:rPr>
        <w:t xml:space="preserve"> </w:t>
      </w:r>
      <w:r w:rsidR="00C72A2B" w:rsidRPr="006D23FD">
        <w:rPr>
          <w:rFonts w:ascii="Arial" w:eastAsia="Times New Roman" w:hAnsi="Arial" w:cs="Arial"/>
          <w:b/>
          <w:sz w:val="24"/>
          <w:szCs w:val="24"/>
          <w:lang w:eastAsia="en-GB"/>
        </w:rPr>
        <w:t xml:space="preserve">       </w:t>
      </w:r>
      <w:r w:rsidRPr="006D23FD">
        <w:rPr>
          <w:rFonts w:ascii="Arial" w:eastAsia="Times New Roman" w:hAnsi="Arial" w:cs="Arial"/>
          <w:b/>
          <w:sz w:val="24"/>
          <w:szCs w:val="24"/>
          <w:lang w:eastAsia="en-GB"/>
        </w:rPr>
        <w:t>Applicant</w:t>
      </w:r>
      <w:r w:rsidR="009D7E76" w:rsidRPr="006D23FD">
        <w:rPr>
          <w:rFonts w:ascii="Arial" w:eastAsia="Times New Roman" w:hAnsi="Arial" w:cs="Arial"/>
          <w:b/>
          <w:sz w:val="24"/>
          <w:szCs w:val="24"/>
          <w:lang w:eastAsia="en-GB"/>
        </w:rPr>
        <w:tab/>
      </w:r>
    </w:p>
    <w:p w14:paraId="6E85832B" w14:textId="0E1FA3CA" w:rsidR="00773FFE" w:rsidRPr="006D23FD" w:rsidRDefault="004A63CD" w:rsidP="00DA211C">
      <w:pPr>
        <w:tabs>
          <w:tab w:val="left" w:pos="5868"/>
        </w:tabs>
        <w:spacing w:before="240" w:after="240" w:line="360" w:lineRule="auto"/>
        <w:jc w:val="both"/>
        <w:rPr>
          <w:rFonts w:ascii="Arial" w:eastAsia="Times New Roman" w:hAnsi="Arial" w:cs="Arial"/>
          <w:b/>
          <w:sz w:val="24"/>
          <w:szCs w:val="24"/>
          <w:lang w:eastAsia="en-GB"/>
        </w:rPr>
      </w:pPr>
      <w:r w:rsidRPr="006D23FD">
        <w:rPr>
          <w:rFonts w:ascii="Arial" w:eastAsia="Times New Roman" w:hAnsi="Arial" w:cs="Arial"/>
          <w:b/>
          <w:sz w:val="24"/>
          <w:szCs w:val="24"/>
          <w:lang w:eastAsia="en-GB"/>
        </w:rPr>
        <w:t>a</w:t>
      </w:r>
      <w:r w:rsidR="00773FFE" w:rsidRPr="006D23FD">
        <w:rPr>
          <w:rFonts w:ascii="Arial" w:eastAsia="Times New Roman" w:hAnsi="Arial" w:cs="Arial"/>
          <w:b/>
          <w:sz w:val="24"/>
          <w:szCs w:val="24"/>
          <w:lang w:eastAsia="en-GB"/>
        </w:rPr>
        <w:t xml:space="preserve">nd </w:t>
      </w:r>
    </w:p>
    <w:p w14:paraId="1305F917" w14:textId="14C1FB8F" w:rsidR="00773FFE" w:rsidRPr="006D23FD" w:rsidRDefault="007A3983" w:rsidP="00DA211C">
      <w:pPr>
        <w:tabs>
          <w:tab w:val="left" w:pos="5868"/>
        </w:tabs>
        <w:spacing w:after="0" w:line="360" w:lineRule="auto"/>
        <w:jc w:val="both"/>
        <w:rPr>
          <w:rFonts w:ascii="Arial" w:eastAsia="Times New Roman" w:hAnsi="Arial" w:cs="Arial"/>
          <w:b/>
          <w:sz w:val="24"/>
          <w:szCs w:val="24"/>
          <w:lang w:eastAsia="en-GB"/>
        </w:rPr>
      </w:pPr>
      <w:r w:rsidRPr="006D23FD">
        <w:rPr>
          <w:rFonts w:ascii="Arial" w:eastAsia="Times New Roman" w:hAnsi="Arial" w:cs="Arial"/>
          <w:b/>
          <w:sz w:val="24"/>
          <w:szCs w:val="24"/>
          <w:lang w:eastAsia="en-GB"/>
        </w:rPr>
        <w:t xml:space="preserve">THE </w:t>
      </w:r>
      <w:r w:rsidR="00870558" w:rsidRPr="006D23FD">
        <w:rPr>
          <w:rFonts w:ascii="Arial" w:eastAsia="Times New Roman" w:hAnsi="Arial" w:cs="Arial"/>
          <w:b/>
          <w:sz w:val="24"/>
          <w:szCs w:val="24"/>
          <w:lang w:eastAsia="en-GB"/>
        </w:rPr>
        <w:t>SOUTH AFRICAN LEGAL PRACTICE COUNCIL</w:t>
      </w:r>
      <w:r w:rsidR="009D7E76" w:rsidRPr="006D23FD">
        <w:rPr>
          <w:rFonts w:ascii="Arial" w:eastAsia="Times New Roman" w:hAnsi="Arial" w:cs="Arial"/>
          <w:b/>
          <w:sz w:val="24"/>
          <w:szCs w:val="24"/>
          <w:lang w:eastAsia="en-GB"/>
        </w:rPr>
        <w:tab/>
      </w:r>
      <w:r w:rsidR="009D7E76" w:rsidRPr="006D23FD">
        <w:rPr>
          <w:rFonts w:ascii="Arial" w:eastAsia="Times New Roman" w:hAnsi="Arial" w:cs="Arial"/>
          <w:b/>
          <w:sz w:val="24"/>
          <w:szCs w:val="24"/>
          <w:lang w:eastAsia="en-GB"/>
        </w:rPr>
        <w:tab/>
        <w:t xml:space="preserve">        First Respondent</w:t>
      </w:r>
    </w:p>
    <w:p w14:paraId="6308C08A" w14:textId="2EB66F47" w:rsidR="00C72A2B" w:rsidRPr="006D23FD" w:rsidRDefault="007A3983" w:rsidP="00DA211C">
      <w:pPr>
        <w:tabs>
          <w:tab w:val="left" w:pos="5868"/>
        </w:tabs>
        <w:spacing w:after="0" w:line="360" w:lineRule="auto"/>
        <w:jc w:val="both"/>
        <w:rPr>
          <w:rFonts w:ascii="Arial" w:eastAsia="Times New Roman" w:hAnsi="Arial" w:cs="Arial"/>
          <w:b/>
          <w:sz w:val="24"/>
          <w:szCs w:val="24"/>
          <w:lang w:eastAsia="en-GB"/>
        </w:rPr>
      </w:pPr>
      <w:r w:rsidRPr="006D23FD">
        <w:rPr>
          <w:rFonts w:ascii="Arial" w:eastAsia="Times New Roman" w:hAnsi="Arial" w:cs="Arial"/>
          <w:b/>
          <w:sz w:val="24"/>
          <w:szCs w:val="24"/>
          <w:lang w:eastAsia="en-GB"/>
        </w:rPr>
        <w:t xml:space="preserve">THE </w:t>
      </w:r>
      <w:r w:rsidR="00870558" w:rsidRPr="006D23FD">
        <w:rPr>
          <w:rFonts w:ascii="Arial" w:eastAsia="Times New Roman" w:hAnsi="Arial" w:cs="Arial"/>
          <w:b/>
          <w:sz w:val="24"/>
          <w:szCs w:val="24"/>
          <w:lang w:eastAsia="en-GB"/>
        </w:rPr>
        <w:t>JOHANNESBURG SOCIETY OF ADVOCATES</w:t>
      </w:r>
      <w:r w:rsidR="00C72A2B" w:rsidRPr="006D23FD">
        <w:rPr>
          <w:rFonts w:ascii="Arial" w:eastAsia="Times New Roman" w:hAnsi="Arial" w:cs="Arial"/>
          <w:b/>
          <w:sz w:val="24"/>
          <w:szCs w:val="24"/>
          <w:lang w:eastAsia="en-GB"/>
        </w:rPr>
        <w:tab/>
      </w:r>
      <w:r w:rsidR="00C72A2B" w:rsidRPr="006D23FD">
        <w:rPr>
          <w:rFonts w:ascii="Arial" w:eastAsia="Times New Roman" w:hAnsi="Arial" w:cs="Arial"/>
          <w:b/>
          <w:sz w:val="24"/>
          <w:szCs w:val="24"/>
          <w:lang w:eastAsia="en-GB"/>
        </w:rPr>
        <w:tab/>
        <w:t xml:space="preserve">   Second Respondent</w:t>
      </w:r>
    </w:p>
    <w:p w14:paraId="4FC5DF08" w14:textId="1AB5DDA6" w:rsidR="002F7196" w:rsidRPr="006D23FD" w:rsidRDefault="002F7196" w:rsidP="00DA211C">
      <w:pPr>
        <w:tabs>
          <w:tab w:val="left" w:pos="5868"/>
        </w:tabs>
        <w:spacing w:after="0" w:line="360" w:lineRule="auto"/>
        <w:jc w:val="both"/>
        <w:rPr>
          <w:rFonts w:ascii="Arial" w:eastAsia="Times New Roman" w:hAnsi="Arial" w:cs="Arial"/>
          <w:b/>
          <w:sz w:val="24"/>
          <w:szCs w:val="24"/>
          <w:lang w:eastAsia="en-GB"/>
        </w:rPr>
      </w:pPr>
      <w:r w:rsidRPr="006D23FD">
        <w:rPr>
          <w:rFonts w:ascii="Arial" w:eastAsia="Times New Roman" w:hAnsi="Arial" w:cs="Arial"/>
          <w:b/>
          <w:sz w:val="24"/>
          <w:szCs w:val="24"/>
          <w:lang w:eastAsia="en-GB"/>
        </w:rPr>
        <w:tab/>
      </w:r>
    </w:p>
    <w:p w14:paraId="67DB615C" w14:textId="24A1901A" w:rsidR="00773FFE" w:rsidRPr="006D23FD" w:rsidRDefault="00135B6B" w:rsidP="00DA211C">
      <w:pPr>
        <w:pBdr>
          <w:top w:val="single" w:sz="4" w:space="18" w:color="auto"/>
          <w:bottom w:val="single" w:sz="4" w:space="18" w:color="auto"/>
        </w:pBdr>
        <w:suppressAutoHyphens/>
        <w:spacing w:after="360" w:line="240" w:lineRule="auto"/>
        <w:ind w:firstLine="720"/>
        <w:jc w:val="both"/>
        <w:rPr>
          <w:rFonts w:ascii="Arial" w:eastAsia="Times New Roman" w:hAnsi="Arial" w:cs="Arial"/>
          <w:b/>
          <w:sz w:val="24"/>
          <w:szCs w:val="24"/>
          <w:lang w:val="en-GB" w:eastAsia="en-GB"/>
        </w:rPr>
      </w:pPr>
      <w:r w:rsidRPr="006D23FD">
        <w:rPr>
          <w:rFonts w:ascii="Arial" w:eastAsia="Times New Roman" w:hAnsi="Arial" w:cs="Arial"/>
          <w:bCs/>
          <w:sz w:val="24"/>
          <w:szCs w:val="24"/>
          <w:lang w:eastAsia="en-GB"/>
        </w:rPr>
        <w:t xml:space="preserve">       </w:t>
      </w:r>
      <w:r w:rsidRPr="006D23FD">
        <w:rPr>
          <w:rFonts w:ascii="Arial" w:eastAsia="Times New Roman" w:hAnsi="Arial" w:cs="Arial"/>
          <w:bCs/>
          <w:sz w:val="24"/>
          <w:szCs w:val="24"/>
          <w:lang w:eastAsia="en-GB"/>
        </w:rPr>
        <w:tab/>
      </w:r>
      <w:r w:rsidRPr="006D23FD">
        <w:rPr>
          <w:rFonts w:ascii="Arial" w:eastAsia="Times New Roman" w:hAnsi="Arial" w:cs="Arial"/>
          <w:bCs/>
          <w:sz w:val="24"/>
          <w:szCs w:val="24"/>
          <w:lang w:eastAsia="en-GB"/>
        </w:rPr>
        <w:tab/>
      </w:r>
      <w:r w:rsidRPr="006D23FD">
        <w:rPr>
          <w:rFonts w:ascii="Arial" w:eastAsia="Times New Roman" w:hAnsi="Arial" w:cs="Arial"/>
          <w:bCs/>
          <w:sz w:val="24"/>
          <w:szCs w:val="24"/>
          <w:lang w:eastAsia="en-GB"/>
        </w:rPr>
        <w:tab/>
      </w:r>
      <w:r w:rsidR="006D23FD">
        <w:rPr>
          <w:rFonts w:ascii="Arial" w:eastAsia="Times New Roman" w:hAnsi="Arial" w:cs="Arial"/>
          <w:b/>
          <w:bCs/>
          <w:sz w:val="24"/>
          <w:szCs w:val="24"/>
          <w:lang w:eastAsia="en-GB"/>
        </w:rPr>
        <w:t xml:space="preserve">          </w:t>
      </w:r>
      <w:r w:rsidR="00773FFE" w:rsidRPr="006D23FD">
        <w:rPr>
          <w:rFonts w:ascii="Arial" w:eastAsia="Times New Roman" w:hAnsi="Arial" w:cs="Arial"/>
          <w:b/>
          <w:sz w:val="24"/>
          <w:szCs w:val="24"/>
          <w:lang w:val="en-GB" w:eastAsia="en-GB"/>
        </w:rPr>
        <w:t>JUDGMENT</w:t>
      </w:r>
    </w:p>
    <w:p w14:paraId="6632F9F6" w14:textId="77777777" w:rsidR="00773FFE" w:rsidRPr="006D23FD" w:rsidRDefault="00773FFE" w:rsidP="00DA211C">
      <w:pPr>
        <w:keepNext/>
        <w:tabs>
          <w:tab w:val="left" w:pos="5868"/>
        </w:tabs>
        <w:spacing w:after="240" w:line="360" w:lineRule="auto"/>
        <w:jc w:val="both"/>
        <w:rPr>
          <w:rFonts w:ascii="Arial" w:eastAsia="Times New Roman" w:hAnsi="Arial" w:cs="Arial"/>
          <w:b/>
          <w:bCs/>
          <w:sz w:val="24"/>
          <w:szCs w:val="24"/>
          <w:lang w:eastAsia="en-GB"/>
        </w:rPr>
      </w:pPr>
      <w:r w:rsidRPr="006D23FD">
        <w:rPr>
          <w:rFonts w:ascii="Arial" w:eastAsia="Times New Roman" w:hAnsi="Arial" w:cs="Arial"/>
          <w:b/>
          <w:bCs/>
          <w:sz w:val="24"/>
          <w:szCs w:val="24"/>
          <w:lang w:eastAsia="en-GB"/>
        </w:rPr>
        <w:lastRenderedPageBreak/>
        <w:t xml:space="preserve">WRIGHT J </w:t>
      </w:r>
    </w:p>
    <w:p w14:paraId="2916A403" w14:textId="4F4EDE6A" w:rsidR="00FE338D" w:rsidRPr="00B76870" w:rsidRDefault="00B76870" w:rsidP="00B76870">
      <w:pPr>
        <w:keepNext/>
        <w:tabs>
          <w:tab w:val="left" w:pos="5868"/>
        </w:tabs>
        <w:spacing w:after="240" w:line="480" w:lineRule="auto"/>
        <w:ind w:left="720" w:hanging="360"/>
        <w:jc w:val="both"/>
        <w:rPr>
          <w:rFonts w:ascii="Arial" w:eastAsia="Times New Roman" w:hAnsi="Arial" w:cs="Arial"/>
          <w:i/>
          <w:iCs/>
          <w:sz w:val="24"/>
          <w:szCs w:val="24"/>
          <w:lang w:eastAsia="en-GB"/>
        </w:rPr>
      </w:pPr>
      <w:r w:rsidRPr="006D23FD">
        <w:rPr>
          <w:rFonts w:ascii="Arial" w:eastAsia="Times New Roman" w:hAnsi="Arial" w:cs="Arial"/>
          <w:iCs/>
          <w:sz w:val="24"/>
          <w:szCs w:val="24"/>
          <w:lang w:eastAsia="en-GB"/>
        </w:rPr>
        <w:t>1.</w:t>
      </w:r>
      <w:r w:rsidRPr="006D23FD">
        <w:rPr>
          <w:rFonts w:ascii="Arial" w:eastAsia="Times New Roman" w:hAnsi="Arial" w:cs="Arial"/>
          <w:iCs/>
          <w:sz w:val="24"/>
          <w:szCs w:val="24"/>
          <w:lang w:eastAsia="en-GB"/>
        </w:rPr>
        <w:tab/>
      </w:r>
      <w:r w:rsidR="001E41DA" w:rsidRPr="00B76870">
        <w:rPr>
          <w:rFonts w:ascii="Arial" w:eastAsia="Times New Roman" w:hAnsi="Arial" w:cs="Arial"/>
          <w:sz w:val="24"/>
          <w:szCs w:val="24"/>
          <w:lang w:eastAsia="en-GB"/>
        </w:rPr>
        <w:t xml:space="preserve">During 2020, the applicant Mr Tjiroze launched an application seeking his admission as an advocate. The Legal Practice Council opposed and Mr Tjiroze withdrew his application. Now, before my learned brother Wepener and I are two applications. In the main application, </w:t>
      </w:r>
      <w:r w:rsidR="00AC02E7" w:rsidRPr="00B76870">
        <w:rPr>
          <w:rFonts w:ascii="Arial" w:eastAsia="Times New Roman" w:hAnsi="Arial" w:cs="Arial"/>
          <w:sz w:val="24"/>
          <w:szCs w:val="24"/>
          <w:lang w:eastAsia="en-GB"/>
        </w:rPr>
        <w:t xml:space="preserve">launched in October 2022 </w:t>
      </w:r>
      <w:r w:rsidR="001E41DA" w:rsidRPr="00B76870">
        <w:rPr>
          <w:rFonts w:ascii="Arial" w:eastAsia="Times New Roman" w:hAnsi="Arial" w:cs="Arial"/>
          <w:sz w:val="24"/>
          <w:szCs w:val="24"/>
          <w:lang w:eastAsia="en-GB"/>
        </w:rPr>
        <w:t>Mr Tjiroze seeks admission as a legal practitioner in the form of an advocate.</w:t>
      </w:r>
    </w:p>
    <w:p w14:paraId="097DA151" w14:textId="2155FED7" w:rsidR="001E41DA" w:rsidRPr="00B76870" w:rsidRDefault="00B76870" w:rsidP="00B76870">
      <w:pPr>
        <w:keepNext/>
        <w:tabs>
          <w:tab w:val="left" w:pos="5868"/>
        </w:tabs>
        <w:spacing w:after="240" w:line="480" w:lineRule="auto"/>
        <w:ind w:left="720" w:hanging="360"/>
        <w:jc w:val="both"/>
        <w:rPr>
          <w:rFonts w:ascii="Arial" w:eastAsia="Times New Roman" w:hAnsi="Arial" w:cs="Arial"/>
          <w:i/>
          <w:iCs/>
          <w:sz w:val="24"/>
          <w:szCs w:val="24"/>
          <w:lang w:eastAsia="en-GB"/>
        </w:rPr>
      </w:pPr>
      <w:r w:rsidRPr="006D23FD">
        <w:rPr>
          <w:rFonts w:ascii="Arial" w:eastAsia="Times New Roman" w:hAnsi="Arial" w:cs="Arial"/>
          <w:iCs/>
          <w:sz w:val="24"/>
          <w:szCs w:val="24"/>
          <w:lang w:eastAsia="en-GB"/>
        </w:rPr>
        <w:t>2.</w:t>
      </w:r>
      <w:r w:rsidRPr="006D23FD">
        <w:rPr>
          <w:rFonts w:ascii="Arial" w:eastAsia="Times New Roman" w:hAnsi="Arial" w:cs="Arial"/>
          <w:iCs/>
          <w:sz w:val="24"/>
          <w:szCs w:val="24"/>
          <w:lang w:eastAsia="en-GB"/>
        </w:rPr>
        <w:tab/>
      </w:r>
      <w:r w:rsidR="001E41DA" w:rsidRPr="00B76870">
        <w:rPr>
          <w:rFonts w:ascii="Arial" w:eastAsia="Times New Roman" w:hAnsi="Arial" w:cs="Arial"/>
          <w:sz w:val="24"/>
          <w:szCs w:val="24"/>
          <w:lang w:eastAsia="en-GB"/>
        </w:rPr>
        <w:t xml:space="preserve"> </w:t>
      </w:r>
      <w:r w:rsidR="004C1205" w:rsidRPr="00B76870">
        <w:rPr>
          <w:rFonts w:ascii="Arial" w:eastAsia="Times New Roman" w:hAnsi="Arial" w:cs="Arial"/>
          <w:sz w:val="24"/>
          <w:szCs w:val="24"/>
          <w:lang w:eastAsia="en-GB"/>
        </w:rPr>
        <w:t>The Legal Practice Council queried Mr Tjiroze’s qualifications. Inappropriately, Mr Tjiroze</w:t>
      </w:r>
      <w:r w:rsidR="006D68A4" w:rsidRPr="00B76870">
        <w:rPr>
          <w:rFonts w:ascii="Arial" w:eastAsia="Times New Roman" w:hAnsi="Arial" w:cs="Arial"/>
          <w:sz w:val="24"/>
          <w:szCs w:val="24"/>
          <w:lang w:eastAsia="en-GB"/>
        </w:rPr>
        <w:t xml:space="preserve"> launched</w:t>
      </w:r>
      <w:r w:rsidR="00480098" w:rsidRPr="00B76870">
        <w:rPr>
          <w:rFonts w:ascii="Arial" w:eastAsia="Times New Roman" w:hAnsi="Arial" w:cs="Arial"/>
          <w:sz w:val="24"/>
          <w:szCs w:val="24"/>
          <w:lang w:eastAsia="en-GB"/>
        </w:rPr>
        <w:t xml:space="preserve"> the second application now before us. It is</w:t>
      </w:r>
      <w:r w:rsidR="00683961" w:rsidRPr="00B76870">
        <w:rPr>
          <w:rFonts w:ascii="Arial" w:eastAsia="Times New Roman" w:hAnsi="Arial" w:cs="Arial"/>
          <w:sz w:val="24"/>
          <w:szCs w:val="24"/>
          <w:lang w:eastAsia="en-GB"/>
        </w:rPr>
        <w:t xml:space="preserve"> dated 17 November 2022. It is</w:t>
      </w:r>
      <w:r w:rsidR="006D68A4" w:rsidRPr="00B76870">
        <w:rPr>
          <w:rFonts w:ascii="Arial" w:eastAsia="Times New Roman" w:hAnsi="Arial" w:cs="Arial"/>
          <w:sz w:val="24"/>
          <w:szCs w:val="24"/>
          <w:lang w:eastAsia="en-GB"/>
        </w:rPr>
        <w:t xml:space="preserve"> </w:t>
      </w:r>
      <w:r w:rsidR="004C1205" w:rsidRPr="00B76870">
        <w:rPr>
          <w:rFonts w:ascii="Arial" w:eastAsia="Times New Roman" w:hAnsi="Arial" w:cs="Arial"/>
          <w:sz w:val="24"/>
          <w:szCs w:val="24"/>
          <w:lang w:eastAsia="en-GB"/>
        </w:rPr>
        <w:t xml:space="preserve">an application related to the main application </w:t>
      </w:r>
      <w:r w:rsidR="00480098" w:rsidRPr="00B76870">
        <w:rPr>
          <w:rFonts w:ascii="Arial" w:eastAsia="Times New Roman" w:hAnsi="Arial" w:cs="Arial"/>
          <w:sz w:val="24"/>
          <w:szCs w:val="24"/>
          <w:lang w:eastAsia="en-GB"/>
        </w:rPr>
        <w:t>and</w:t>
      </w:r>
      <w:r w:rsidR="003A2C81" w:rsidRPr="00B76870">
        <w:rPr>
          <w:rFonts w:ascii="Arial" w:eastAsia="Times New Roman" w:hAnsi="Arial" w:cs="Arial"/>
          <w:sz w:val="24"/>
          <w:szCs w:val="24"/>
          <w:lang w:eastAsia="en-GB"/>
        </w:rPr>
        <w:t xml:space="preserve"> in it</w:t>
      </w:r>
      <w:r w:rsidR="001E41DA" w:rsidRPr="00B76870">
        <w:rPr>
          <w:rFonts w:ascii="Arial" w:eastAsia="Times New Roman" w:hAnsi="Arial" w:cs="Arial"/>
          <w:sz w:val="24"/>
          <w:szCs w:val="24"/>
          <w:lang w:eastAsia="en-GB"/>
        </w:rPr>
        <w:t xml:space="preserve"> </w:t>
      </w:r>
      <w:r w:rsidR="006D68A4" w:rsidRPr="00B76870">
        <w:rPr>
          <w:rFonts w:ascii="Arial" w:eastAsia="Times New Roman" w:hAnsi="Arial" w:cs="Arial"/>
          <w:sz w:val="24"/>
          <w:szCs w:val="24"/>
          <w:lang w:eastAsia="en-GB"/>
        </w:rPr>
        <w:t>the following relief</w:t>
      </w:r>
      <w:r w:rsidR="003A2C81" w:rsidRPr="00B76870">
        <w:rPr>
          <w:rFonts w:ascii="Arial" w:eastAsia="Times New Roman" w:hAnsi="Arial" w:cs="Arial"/>
          <w:sz w:val="24"/>
          <w:szCs w:val="24"/>
          <w:lang w:eastAsia="en-GB"/>
        </w:rPr>
        <w:t xml:space="preserve"> is sought -</w:t>
      </w:r>
    </w:p>
    <w:p w14:paraId="57E3D7D0" w14:textId="289FDFBF" w:rsidR="006D68A4" w:rsidRPr="006D23FD" w:rsidRDefault="006D23FD" w:rsidP="00DA211C">
      <w:pPr>
        <w:pStyle w:val="ListParagraph"/>
        <w:keepNext/>
        <w:tabs>
          <w:tab w:val="left" w:pos="5868"/>
        </w:tabs>
        <w:spacing w:after="240" w:line="480" w:lineRule="auto"/>
        <w:jc w:val="both"/>
        <w:rPr>
          <w:rFonts w:ascii="Arial" w:eastAsia="Times New Roman" w:hAnsi="Arial" w:cs="Arial"/>
          <w:i/>
          <w:iCs/>
          <w:sz w:val="24"/>
          <w:szCs w:val="24"/>
          <w:lang w:eastAsia="en-GB"/>
        </w:rPr>
      </w:pPr>
      <w:r>
        <w:rPr>
          <w:rFonts w:ascii="Arial" w:eastAsia="Times New Roman" w:hAnsi="Arial" w:cs="Arial"/>
          <w:i/>
          <w:iCs/>
          <w:sz w:val="24"/>
          <w:szCs w:val="24"/>
          <w:lang w:eastAsia="en-GB"/>
        </w:rPr>
        <w:t>“</w:t>
      </w:r>
      <w:r w:rsidR="003B4E24" w:rsidRPr="006D23FD">
        <w:rPr>
          <w:rFonts w:ascii="Arial" w:eastAsia="Times New Roman" w:hAnsi="Arial" w:cs="Arial"/>
          <w:i/>
          <w:iCs/>
          <w:sz w:val="24"/>
          <w:szCs w:val="24"/>
          <w:lang w:eastAsia="en-GB"/>
        </w:rPr>
        <w:t xml:space="preserve">2. </w:t>
      </w:r>
      <w:r w:rsidR="006D68A4" w:rsidRPr="006D23FD">
        <w:rPr>
          <w:rFonts w:ascii="Arial" w:eastAsia="Times New Roman" w:hAnsi="Arial" w:cs="Arial"/>
          <w:i/>
          <w:iCs/>
          <w:sz w:val="24"/>
          <w:szCs w:val="24"/>
          <w:lang w:eastAsia="en-GB"/>
        </w:rPr>
        <w:t xml:space="preserve">Declaring that the Applicant's application for admission in terms of section 3(2)(a)(ii) of the Admission of Advocates Act 74 of 1964, invoked in accord- ance section 115 of the Legal Practice Act 28 of 2014, and serving before this above Honourable Court, paragraph 10.2 of the Practice Manual and Rule 3A of the Uniform Rules of Court are applicable, and the Bar Councils in Johannesburg and Pretoria and/or PABASA are the appropriate bodies to process the admission application, in such manner as they deem meet. </w:t>
      </w:r>
    </w:p>
    <w:p w14:paraId="634F461E" w14:textId="233C45BD" w:rsidR="006D68A4" w:rsidRPr="00B76870" w:rsidRDefault="00B76870" w:rsidP="00B76870">
      <w:pPr>
        <w:keepNext/>
        <w:tabs>
          <w:tab w:val="left" w:pos="5868"/>
        </w:tabs>
        <w:spacing w:after="240" w:line="480" w:lineRule="auto"/>
        <w:ind w:left="1150" w:hanging="360"/>
        <w:jc w:val="both"/>
        <w:rPr>
          <w:rFonts w:ascii="Arial" w:eastAsia="Times New Roman" w:hAnsi="Arial" w:cs="Arial"/>
          <w:i/>
          <w:iCs/>
          <w:sz w:val="24"/>
          <w:szCs w:val="24"/>
          <w:lang w:eastAsia="en-GB"/>
        </w:rPr>
      </w:pPr>
      <w:r w:rsidRPr="006D23FD">
        <w:rPr>
          <w:rFonts w:ascii="Arial" w:eastAsia="Times New Roman" w:hAnsi="Arial" w:cs="Arial"/>
          <w:i/>
          <w:iCs/>
          <w:sz w:val="24"/>
          <w:szCs w:val="24"/>
          <w:lang w:eastAsia="en-GB"/>
        </w:rPr>
        <w:t>3.</w:t>
      </w:r>
      <w:r w:rsidRPr="006D23FD">
        <w:rPr>
          <w:rFonts w:ascii="Arial" w:eastAsia="Times New Roman" w:hAnsi="Arial" w:cs="Arial"/>
          <w:i/>
          <w:iCs/>
          <w:sz w:val="24"/>
          <w:szCs w:val="24"/>
          <w:lang w:eastAsia="en-GB"/>
        </w:rPr>
        <w:tab/>
      </w:r>
      <w:r w:rsidR="006D68A4" w:rsidRPr="00B76870">
        <w:rPr>
          <w:rFonts w:ascii="Arial" w:eastAsia="Times New Roman" w:hAnsi="Arial" w:cs="Arial"/>
          <w:i/>
          <w:iCs/>
          <w:sz w:val="24"/>
          <w:szCs w:val="24"/>
          <w:lang w:eastAsia="en-GB"/>
        </w:rPr>
        <w:t xml:space="preserve">Declaring that, unless it is disputed that the Applicant was such a person entitled to be admitted prior to 1 November 2022 under the Admission of Advocates Act, 1964, the Legal Practice Council is not entitled to adopt and conduct a dual process in terms of the requirements of section 24 of the Legal Practice Act, 2014 of the Applicant's admissions application, similar to the one the Bar Councils or PABASA would be entitled to consider, as doing so would unduly subject the Applicant unjustly, unfairly and </w:t>
      </w:r>
      <w:r w:rsidR="006D68A4" w:rsidRPr="00B76870">
        <w:rPr>
          <w:rFonts w:ascii="Arial" w:eastAsia="Times New Roman" w:hAnsi="Arial" w:cs="Arial"/>
          <w:i/>
          <w:iCs/>
          <w:sz w:val="24"/>
          <w:szCs w:val="24"/>
          <w:lang w:eastAsia="en-GB"/>
        </w:rPr>
        <w:lastRenderedPageBreak/>
        <w:t>unreasonably to processes and requirements governed by two distinct and separate statutes on the same subject-matter.</w:t>
      </w:r>
    </w:p>
    <w:p w14:paraId="42C96C08" w14:textId="57455682" w:rsidR="006D68A4" w:rsidRPr="00B76870" w:rsidRDefault="00B76870" w:rsidP="00B76870">
      <w:pPr>
        <w:keepNext/>
        <w:tabs>
          <w:tab w:val="left" w:pos="5868"/>
        </w:tabs>
        <w:spacing w:after="240" w:line="480" w:lineRule="auto"/>
        <w:ind w:left="1150" w:hanging="360"/>
        <w:jc w:val="both"/>
        <w:rPr>
          <w:rFonts w:ascii="Arial" w:eastAsia="Times New Roman" w:hAnsi="Arial" w:cs="Arial"/>
          <w:i/>
          <w:iCs/>
          <w:sz w:val="24"/>
          <w:szCs w:val="24"/>
          <w:lang w:eastAsia="en-GB"/>
        </w:rPr>
      </w:pPr>
      <w:r w:rsidRPr="006D23FD">
        <w:rPr>
          <w:rFonts w:ascii="Arial" w:eastAsia="Times New Roman" w:hAnsi="Arial" w:cs="Arial"/>
          <w:i/>
          <w:iCs/>
          <w:sz w:val="24"/>
          <w:szCs w:val="24"/>
          <w:lang w:eastAsia="en-GB"/>
        </w:rPr>
        <w:t>4.</w:t>
      </w:r>
      <w:r w:rsidRPr="006D23FD">
        <w:rPr>
          <w:rFonts w:ascii="Arial" w:eastAsia="Times New Roman" w:hAnsi="Arial" w:cs="Arial"/>
          <w:i/>
          <w:iCs/>
          <w:sz w:val="24"/>
          <w:szCs w:val="24"/>
          <w:lang w:eastAsia="en-GB"/>
        </w:rPr>
        <w:tab/>
      </w:r>
      <w:r w:rsidR="006D68A4" w:rsidRPr="00B76870">
        <w:rPr>
          <w:rFonts w:ascii="Arial" w:eastAsia="Times New Roman" w:hAnsi="Arial" w:cs="Arial"/>
          <w:i/>
          <w:iCs/>
          <w:sz w:val="24"/>
          <w:szCs w:val="24"/>
          <w:lang w:eastAsia="en-GB"/>
        </w:rPr>
        <w:t xml:space="preserve">Declaring that the Applicant is entitled to invoke section 115 of the Legal Practice Act, 1964, being a person deemed to be duly qualified for admis- sion as advocate prior to 1 November 2018; </w:t>
      </w:r>
    </w:p>
    <w:p w14:paraId="3B3BB819" w14:textId="5156694F" w:rsidR="006D68A4" w:rsidRPr="00B76870" w:rsidRDefault="00B76870" w:rsidP="00B76870">
      <w:pPr>
        <w:keepNext/>
        <w:tabs>
          <w:tab w:val="left" w:pos="5868"/>
        </w:tabs>
        <w:spacing w:after="240" w:line="480" w:lineRule="auto"/>
        <w:ind w:left="1150" w:hanging="360"/>
        <w:jc w:val="both"/>
        <w:rPr>
          <w:rFonts w:ascii="Arial" w:eastAsia="Times New Roman" w:hAnsi="Arial" w:cs="Arial"/>
          <w:i/>
          <w:iCs/>
          <w:sz w:val="24"/>
          <w:szCs w:val="24"/>
          <w:lang w:eastAsia="en-GB"/>
        </w:rPr>
      </w:pPr>
      <w:r w:rsidRPr="006D23FD">
        <w:rPr>
          <w:rFonts w:ascii="Arial" w:eastAsia="Times New Roman" w:hAnsi="Arial" w:cs="Arial"/>
          <w:i/>
          <w:iCs/>
          <w:sz w:val="24"/>
          <w:szCs w:val="24"/>
          <w:lang w:eastAsia="en-GB"/>
        </w:rPr>
        <w:t>5.</w:t>
      </w:r>
      <w:r w:rsidRPr="006D23FD">
        <w:rPr>
          <w:rFonts w:ascii="Arial" w:eastAsia="Times New Roman" w:hAnsi="Arial" w:cs="Arial"/>
          <w:i/>
          <w:iCs/>
          <w:sz w:val="24"/>
          <w:szCs w:val="24"/>
          <w:lang w:eastAsia="en-GB"/>
        </w:rPr>
        <w:tab/>
      </w:r>
      <w:r w:rsidR="006D68A4" w:rsidRPr="00B76870">
        <w:rPr>
          <w:rFonts w:ascii="Arial" w:eastAsia="Times New Roman" w:hAnsi="Arial" w:cs="Arial"/>
          <w:i/>
          <w:iCs/>
          <w:sz w:val="24"/>
          <w:szCs w:val="24"/>
          <w:lang w:eastAsia="en-GB"/>
        </w:rPr>
        <w:t xml:space="preserve">Declaring that a B.Juris or B.Proc is not excluded from the meaning of 'degree of degrees' in the proper interpretation of section 3(2)(a)(ii) of the Admission of Advocates Act 74 of 1964; </w:t>
      </w:r>
    </w:p>
    <w:p w14:paraId="575D032A" w14:textId="0474C9E4" w:rsidR="006D68A4" w:rsidRPr="00B76870" w:rsidRDefault="00B76870" w:rsidP="00B76870">
      <w:pPr>
        <w:keepNext/>
        <w:tabs>
          <w:tab w:val="left" w:pos="5868"/>
        </w:tabs>
        <w:spacing w:after="240" w:line="480" w:lineRule="auto"/>
        <w:ind w:left="1150" w:hanging="360"/>
        <w:jc w:val="both"/>
        <w:rPr>
          <w:rFonts w:ascii="Arial" w:eastAsia="Times New Roman" w:hAnsi="Arial" w:cs="Arial"/>
          <w:i/>
          <w:iCs/>
          <w:sz w:val="24"/>
          <w:szCs w:val="24"/>
          <w:lang w:eastAsia="en-GB"/>
        </w:rPr>
      </w:pPr>
      <w:r w:rsidRPr="006D23FD">
        <w:rPr>
          <w:rFonts w:ascii="Arial" w:eastAsia="Times New Roman" w:hAnsi="Arial" w:cs="Arial"/>
          <w:i/>
          <w:iCs/>
          <w:sz w:val="24"/>
          <w:szCs w:val="24"/>
          <w:lang w:eastAsia="en-GB"/>
        </w:rPr>
        <w:t>6.</w:t>
      </w:r>
      <w:r w:rsidRPr="006D23FD">
        <w:rPr>
          <w:rFonts w:ascii="Arial" w:eastAsia="Times New Roman" w:hAnsi="Arial" w:cs="Arial"/>
          <w:i/>
          <w:iCs/>
          <w:sz w:val="24"/>
          <w:szCs w:val="24"/>
          <w:lang w:eastAsia="en-GB"/>
        </w:rPr>
        <w:tab/>
      </w:r>
      <w:r w:rsidR="006D68A4" w:rsidRPr="00B76870">
        <w:rPr>
          <w:rFonts w:ascii="Arial" w:eastAsia="Times New Roman" w:hAnsi="Arial" w:cs="Arial"/>
          <w:i/>
          <w:iCs/>
          <w:sz w:val="24"/>
          <w:szCs w:val="24"/>
          <w:lang w:eastAsia="en-GB"/>
        </w:rPr>
        <w:t>Declaring that syllabus, on the proper interpretation of section 3(2)(a)(ii) of the Admission of Advocates Act 74 of 1964, means subjects or topics of study in the course of particular study;</w:t>
      </w:r>
    </w:p>
    <w:p w14:paraId="462FAEAB" w14:textId="6C3E817E" w:rsidR="006D68A4" w:rsidRPr="00B76870" w:rsidRDefault="00B76870" w:rsidP="00B76870">
      <w:pPr>
        <w:keepNext/>
        <w:tabs>
          <w:tab w:val="left" w:pos="5868"/>
        </w:tabs>
        <w:spacing w:after="240" w:line="480" w:lineRule="auto"/>
        <w:ind w:left="1150" w:hanging="360"/>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7.</w:t>
      </w:r>
      <w:r w:rsidRPr="006D23FD">
        <w:rPr>
          <w:rFonts w:ascii="Arial" w:eastAsia="Times New Roman" w:hAnsi="Arial" w:cs="Arial"/>
          <w:sz w:val="24"/>
          <w:szCs w:val="24"/>
          <w:lang w:eastAsia="en-GB"/>
        </w:rPr>
        <w:tab/>
      </w:r>
      <w:r w:rsidR="006D68A4" w:rsidRPr="00B76870">
        <w:rPr>
          <w:rFonts w:ascii="Arial" w:eastAsia="Times New Roman" w:hAnsi="Arial" w:cs="Arial"/>
          <w:i/>
          <w:iCs/>
          <w:sz w:val="24"/>
          <w:szCs w:val="24"/>
          <w:lang w:eastAsia="en-GB"/>
        </w:rPr>
        <w:t>Declaring that confirmation by a university of a certain matter, on the proper interpretation of section 3(2)(a)(ii) of the Admission of Advocates Act 74 of 1964, will be deemed as a university having so certified, as the aforesaid Act does not prescribe the specific method or format how a university should indicate that it has so certified.</w:t>
      </w:r>
      <w:r w:rsidR="007A3983" w:rsidRPr="00B76870">
        <w:rPr>
          <w:rFonts w:ascii="Arial" w:eastAsia="Times New Roman" w:hAnsi="Arial" w:cs="Arial"/>
          <w:sz w:val="24"/>
          <w:szCs w:val="24"/>
          <w:lang w:eastAsia="en-GB"/>
        </w:rPr>
        <w:t>”</w:t>
      </w:r>
    </w:p>
    <w:p w14:paraId="1F9C7256" w14:textId="291AF290" w:rsidR="004C1205" w:rsidRPr="00B76870" w:rsidRDefault="00B76870" w:rsidP="00B76870">
      <w:pPr>
        <w:keepNext/>
        <w:tabs>
          <w:tab w:val="left" w:pos="5868"/>
        </w:tabs>
        <w:spacing w:after="240" w:line="480" w:lineRule="auto"/>
        <w:ind w:left="720" w:hanging="360"/>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3.</w:t>
      </w:r>
      <w:r w:rsidRPr="006D23FD">
        <w:rPr>
          <w:rFonts w:ascii="Arial" w:eastAsia="Times New Roman" w:hAnsi="Arial" w:cs="Arial"/>
          <w:sz w:val="24"/>
          <w:szCs w:val="24"/>
          <w:lang w:eastAsia="en-GB"/>
        </w:rPr>
        <w:tab/>
      </w:r>
      <w:r w:rsidR="003B4E24" w:rsidRPr="00B76870">
        <w:rPr>
          <w:rFonts w:ascii="Arial" w:eastAsia="Times New Roman" w:hAnsi="Arial" w:cs="Arial"/>
          <w:sz w:val="24"/>
          <w:szCs w:val="24"/>
          <w:lang w:eastAsia="en-GB"/>
        </w:rPr>
        <w:t xml:space="preserve">The quoted prayers are not easy to follow. </w:t>
      </w:r>
      <w:r w:rsidR="004C1205" w:rsidRPr="00B76870">
        <w:rPr>
          <w:rFonts w:ascii="Arial" w:eastAsia="Times New Roman" w:hAnsi="Arial" w:cs="Arial"/>
          <w:sz w:val="24"/>
          <w:szCs w:val="24"/>
          <w:lang w:eastAsia="en-GB"/>
        </w:rPr>
        <w:t xml:space="preserve">It was inappropriate for Mr Tjiroze to seek </w:t>
      </w:r>
      <w:r w:rsidR="007A3983" w:rsidRPr="00B76870">
        <w:rPr>
          <w:rFonts w:ascii="Arial" w:eastAsia="Times New Roman" w:hAnsi="Arial" w:cs="Arial"/>
          <w:sz w:val="24"/>
          <w:szCs w:val="24"/>
          <w:lang w:eastAsia="en-GB"/>
        </w:rPr>
        <w:t xml:space="preserve">such </w:t>
      </w:r>
      <w:r w:rsidR="004C1205" w:rsidRPr="00B76870">
        <w:rPr>
          <w:rFonts w:ascii="Arial" w:eastAsia="Times New Roman" w:hAnsi="Arial" w:cs="Arial"/>
          <w:sz w:val="24"/>
          <w:szCs w:val="24"/>
          <w:lang w:eastAsia="en-GB"/>
        </w:rPr>
        <w:t>finding</w:t>
      </w:r>
      <w:r w:rsidR="007A3983" w:rsidRPr="00B76870">
        <w:rPr>
          <w:rFonts w:ascii="Arial" w:eastAsia="Times New Roman" w:hAnsi="Arial" w:cs="Arial"/>
          <w:sz w:val="24"/>
          <w:szCs w:val="24"/>
          <w:lang w:eastAsia="en-GB"/>
        </w:rPr>
        <w:t>s</w:t>
      </w:r>
      <w:r w:rsidR="004C1205" w:rsidRPr="00B76870">
        <w:rPr>
          <w:rFonts w:ascii="Arial" w:eastAsia="Times New Roman" w:hAnsi="Arial" w:cs="Arial"/>
          <w:sz w:val="24"/>
          <w:szCs w:val="24"/>
          <w:lang w:eastAsia="en-GB"/>
        </w:rPr>
        <w:t xml:space="preserve"> as a preview to an issue in the main application</w:t>
      </w:r>
      <w:r w:rsidR="00480098" w:rsidRPr="00B76870">
        <w:rPr>
          <w:rFonts w:ascii="Arial" w:eastAsia="Times New Roman" w:hAnsi="Arial" w:cs="Arial"/>
          <w:sz w:val="24"/>
          <w:szCs w:val="24"/>
          <w:lang w:eastAsia="en-GB"/>
        </w:rPr>
        <w:t>. To compound matters,</w:t>
      </w:r>
      <w:r w:rsidR="004E3815" w:rsidRPr="00B76870">
        <w:rPr>
          <w:rFonts w:ascii="Arial" w:eastAsia="Times New Roman" w:hAnsi="Arial" w:cs="Arial"/>
          <w:sz w:val="24"/>
          <w:szCs w:val="24"/>
          <w:lang w:eastAsia="en-GB"/>
        </w:rPr>
        <w:t xml:space="preserve"> the</w:t>
      </w:r>
      <w:r w:rsidR="00683961" w:rsidRPr="00B76870">
        <w:rPr>
          <w:rFonts w:ascii="Arial" w:eastAsia="Times New Roman" w:hAnsi="Arial" w:cs="Arial"/>
          <w:sz w:val="24"/>
          <w:szCs w:val="24"/>
          <w:lang w:eastAsia="en-GB"/>
        </w:rPr>
        <w:t xml:space="preserve"> application dated 17 November 2022 </w:t>
      </w:r>
      <w:r w:rsidR="00480098" w:rsidRPr="00B76870">
        <w:rPr>
          <w:rFonts w:ascii="Arial" w:eastAsia="Times New Roman" w:hAnsi="Arial" w:cs="Arial"/>
          <w:sz w:val="24"/>
          <w:szCs w:val="24"/>
          <w:lang w:eastAsia="en-GB"/>
        </w:rPr>
        <w:t>was brought</w:t>
      </w:r>
      <w:r w:rsidR="004C1205" w:rsidRPr="00B76870">
        <w:rPr>
          <w:rFonts w:ascii="Arial" w:eastAsia="Times New Roman" w:hAnsi="Arial" w:cs="Arial"/>
          <w:sz w:val="24"/>
          <w:szCs w:val="24"/>
          <w:lang w:eastAsia="en-GB"/>
        </w:rPr>
        <w:t xml:space="preserve"> on </w:t>
      </w:r>
      <w:r w:rsidR="004C1205" w:rsidRPr="00B76870">
        <w:rPr>
          <w:rFonts w:ascii="Arial" w:eastAsia="Times New Roman" w:hAnsi="Arial" w:cs="Arial"/>
          <w:sz w:val="24"/>
          <w:szCs w:val="24"/>
          <w:lang w:eastAsia="en-GB"/>
        </w:rPr>
        <w:lastRenderedPageBreak/>
        <w:t>an urgent basis</w:t>
      </w:r>
      <w:r w:rsidR="00480098" w:rsidRPr="00B76870">
        <w:rPr>
          <w:rFonts w:ascii="Arial" w:eastAsia="Times New Roman" w:hAnsi="Arial" w:cs="Arial"/>
          <w:sz w:val="24"/>
          <w:szCs w:val="24"/>
          <w:lang w:eastAsia="en-GB"/>
        </w:rPr>
        <w:t xml:space="preserve"> and set down for 29 November 2022. On that day, the matter had not been properly enrolled and the question of costs was reserved.</w:t>
      </w:r>
      <w:r w:rsidR="00621D9E" w:rsidRPr="00B76870">
        <w:rPr>
          <w:rFonts w:ascii="Arial" w:eastAsia="Times New Roman" w:hAnsi="Arial" w:cs="Arial"/>
          <w:sz w:val="24"/>
          <w:szCs w:val="24"/>
          <w:lang w:eastAsia="en-GB"/>
        </w:rPr>
        <w:t xml:space="preserve"> </w:t>
      </w:r>
    </w:p>
    <w:p w14:paraId="6B95A007" w14:textId="32BCE336" w:rsidR="003B4E24" w:rsidRPr="00B76870" w:rsidRDefault="00B76870" w:rsidP="00B76870">
      <w:pPr>
        <w:keepNext/>
        <w:tabs>
          <w:tab w:val="left" w:pos="5868"/>
        </w:tabs>
        <w:spacing w:after="240" w:line="480" w:lineRule="auto"/>
        <w:ind w:left="720" w:hanging="360"/>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4.</w:t>
      </w:r>
      <w:r w:rsidRPr="006D23FD">
        <w:rPr>
          <w:rFonts w:ascii="Arial" w:eastAsia="Times New Roman" w:hAnsi="Arial" w:cs="Arial"/>
          <w:sz w:val="24"/>
          <w:szCs w:val="24"/>
          <w:lang w:eastAsia="en-GB"/>
        </w:rPr>
        <w:tab/>
      </w:r>
      <w:r w:rsidR="003B4E24" w:rsidRPr="00B76870">
        <w:rPr>
          <w:rFonts w:ascii="Arial" w:eastAsia="Times New Roman" w:hAnsi="Arial" w:cs="Arial"/>
          <w:sz w:val="24"/>
          <w:szCs w:val="24"/>
          <w:lang w:eastAsia="en-GB"/>
        </w:rPr>
        <w:t>It is a feature of Mr Tjiroze’s applications that they are not presented in reasonably crisp, polite terms like they should be. Instead</w:t>
      </w:r>
      <w:r w:rsidR="0092120D" w:rsidRPr="00B76870">
        <w:rPr>
          <w:rFonts w:ascii="Arial" w:eastAsia="Times New Roman" w:hAnsi="Arial" w:cs="Arial"/>
          <w:sz w:val="24"/>
          <w:szCs w:val="24"/>
          <w:lang w:eastAsia="en-GB"/>
        </w:rPr>
        <w:t>, some of</w:t>
      </w:r>
      <w:r w:rsidR="003B4E24" w:rsidRPr="00B76870">
        <w:rPr>
          <w:rFonts w:ascii="Arial" w:eastAsia="Times New Roman" w:hAnsi="Arial" w:cs="Arial"/>
          <w:sz w:val="24"/>
          <w:szCs w:val="24"/>
          <w:lang w:eastAsia="en-GB"/>
        </w:rPr>
        <w:t xml:space="preserve"> the </w:t>
      </w:r>
      <w:r w:rsidR="0092120D" w:rsidRPr="00B76870">
        <w:rPr>
          <w:rFonts w:ascii="Arial" w:eastAsia="Times New Roman" w:hAnsi="Arial" w:cs="Arial"/>
          <w:sz w:val="24"/>
          <w:szCs w:val="24"/>
          <w:lang w:eastAsia="en-GB"/>
        </w:rPr>
        <w:t xml:space="preserve">papers </w:t>
      </w:r>
      <w:r w:rsidR="003B4E24" w:rsidRPr="00B76870">
        <w:rPr>
          <w:rFonts w:ascii="Arial" w:eastAsia="Times New Roman" w:hAnsi="Arial" w:cs="Arial"/>
          <w:sz w:val="24"/>
          <w:szCs w:val="24"/>
          <w:lang w:eastAsia="en-GB"/>
        </w:rPr>
        <w:t>of Mr Tjiroze are long, argumentative, impolite and difficult to follow.</w:t>
      </w:r>
    </w:p>
    <w:p w14:paraId="1D3525A7" w14:textId="0CF37CBE" w:rsidR="003B4E24" w:rsidRPr="00B76870" w:rsidRDefault="00B76870" w:rsidP="00B76870">
      <w:pPr>
        <w:keepNext/>
        <w:tabs>
          <w:tab w:val="left" w:pos="5868"/>
        </w:tabs>
        <w:spacing w:after="240" w:line="480" w:lineRule="auto"/>
        <w:ind w:left="720" w:hanging="360"/>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5.</w:t>
      </w:r>
      <w:r w:rsidRPr="006D23FD">
        <w:rPr>
          <w:rFonts w:ascii="Arial" w:eastAsia="Times New Roman" w:hAnsi="Arial" w:cs="Arial"/>
          <w:sz w:val="24"/>
          <w:szCs w:val="24"/>
          <w:lang w:eastAsia="en-GB"/>
        </w:rPr>
        <w:tab/>
      </w:r>
      <w:r w:rsidR="003B4E24" w:rsidRPr="00B76870">
        <w:rPr>
          <w:rFonts w:ascii="Arial" w:eastAsia="Times New Roman" w:hAnsi="Arial" w:cs="Arial"/>
          <w:sz w:val="24"/>
          <w:szCs w:val="24"/>
          <w:lang w:eastAsia="en-GB"/>
        </w:rPr>
        <w:t>I shall attempt below to separate the wheat from the chaff.</w:t>
      </w:r>
    </w:p>
    <w:p w14:paraId="5675BE81" w14:textId="09C9D9E4" w:rsidR="003B4E24" w:rsidRPr="00B76870" w:rsidRDefault="00B76870" w:rsidP="00B76870">
      <w:pPr>
        <w:keepNext/>
        <w:tabs>
          <w:tab w:val="left" w:pos="5868"/>
        </w:tabs>
        <w:spacing w:after="240" w:line="480" w:lineRule="auto"/>
        <w:ind w:left="720" w:hanging="360"/>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6.</w:t>
      </w:r>
      <w:r w:rsidRPr="006D23FD">
        <w:rPr>
          <w:rFonts w:ascii="Arial" w:eastAsia="Times New Roman" w:hAnsi="Arial" w:cs="Arial"/>
          <w:sz w:val="24"/>
          <w:szCs w:val="24"/>
          <w:lang w:eastAsia="en-GB"/>
        </w:rPr>
        <w:tab/>
      </w:r>
      <w:r w:rsidR="003B4E24" w:rsidRPr="00B76870">
        <w:rPr>
          <w:rFonts w:ascii="Arial" w:eastAsia="Times New Roman" w:hAnsi="Arial" w:cs="Arial"/>
          <w:sz w:val="24"/>
          <w:szCs w:val="24"/>
          <w:lang w:eastAsia="en-GB"/>
        </w:rPr>
        <w:t>The Legal Practice Council opposes Mr Tj</w:t>
      </w:r>
      <w:r w:rsidR="009C4D6A" w:rsidRPr="00B76870">
        <w:rPr>
          <w:rFonts w:ascii="Arial" w:eastAsia="Times New Roman" w:hAnsi="Arial" w:cs="Arial"/>
          <w:sz w:val="24"/>
          <w:szCs w:val="24"/>
          <w:lang w:eastAsia="en-GB"/>
        </w:rPr>
        <w:t>i</w:t>
      </w:r>
      <w:r w:rsidR="003B4E24" w:rsidRPr="00B76870">
        <w:rPr>
          <w:rFonts w:ascii="Arial" w:eastAsia="Times New Roman" w:hAnsi="Arial" w:cs="Arial"/>
          <w:sz w:val="24"/>
          <w:szCs w:val="24"/>
          <w:lang w:eastAsia="en-GB"/>
        </w:rPr>
        <w:t>roze’s admission. Ms Keetse, the Chairperson of the Gauteng Provincial Council of the LPC</w:t>
      </w:r>
      <w:r w:rsidR="009C4D6A" w:rsidRPr="00B76870">
        <w:rPr>
          <w:rFonts w:ascii="Arial" w:eastAsia="Times New Roman" w:hAnsi="Arial" w:cs="Arial"/>
          <w:sz w:val="24"/>
          <w:szCs w:val="24"/>
          <w:lang w:eastAsia="en-GB"/>
        </w:rPr>
        <w:t xml:space="preserve"> has deposed to an affidavit in which she sets out the LPC’s grounds of objection to Mr Tjiroze’s admission.</w:t>
      </w:r>
      <w:r w:rsidR="004C1205" w:rsidRPr="00B76870">
        <w:rPr>
          <w:rFonts w:ascii="Arial" w:eastAsia="Times New Roman" w:hAnsi="Arial" w:cs="Arial"/>
          <w:sz w:val="24"/>
          <w:szCs w:val="24"/>
          <w:lang w:eastAsia="en-GB"/>
        </w:rPr>
        <w:t xml:space="preserve"> The LPC seeks punitive costs in the main application</w:t>
      </w:r>
      <w:r w:rsidR="00683961" w:rsidRPr="00B76870">
        <w:rPr>
          <w:rFonts w:ascii="Arial" w:eastAsia="Times New Roman" w:hAnsi="Arial" w:cs="Arial"/>
          <w:sz w:val="24"/>
          <w:szCs w:val="24"/>
          <w:lang w:eastAsia="en-GB"/>
        </w:rPr>
        <w:t xml:space="preserve"> and in the related application of 17 November 2022.</w:t>
      </w:r>
    </w:p>
    <w:p w14:paraId="292F9DE4" w14:textId="0099908D" w:rsidR="009C4D6A" w:rsidRPr="00B76870" w:rsidRDefault="00B76870" w:rsidP="00B76870">
      <w:pPr>
        <w:keepNext/>
        <w:tabs>
          <w:tab w:val="left" w:pos="5868"/>
        </w:tabs>
        <w:spacing w:after="240" w:line="480" w:lineRule="auto"/>
        <w:ind w:left="720" w:hanging="360"/>
        <w:jc w:val="both"/>
        <w:rPr>
          <w:rFonts w:ascii="Arial" w:eastAsia="Times New Roman" w:hAnsi="Arial" w:cs="Arial"/>
          <w:sz w:val="24"/>
          <w:szCs w:val="24"/>
          <w:lang w:eastAsia="en-GB"/>
        </w:rPr>
      </w:pPr>
      <w:r w:rsidRPr="006D23FD">
        <w:rPr>
          <w:rFonts w:ascii="Arial" w:eastAsia="Times New Roman" w:hAnsi="Arial" w:cs="Arial"/>
          <w:sz w:val="24"/>
          <w:szCs w:val="24"/>
          <w:lang w:eastAsia="en-GB"/>
        </w:rPr>
        <w:t>7.</w:t>
      </w:r>
      <w:r w:rsidRPr="006D23FD">
        <w:rPr>
          <w:rFonts w:ascii="Arial" w:eastAsia="Times New Roman" w:hAnsi="Arial" w:cs="Arial"/>
          <w:sz w:val="24"/>
          <w:szCs w:val="24"/>
          <w:lang w:eastAsia="en-GB"/>
        </w:rPr>
        <w:tab/>
      </w:r>
      <w:r w:rsidR="009C4D6A" w:rsidRPr="00B76870">
        <w:rPr>
          <w:rFonts w:ascii="Arial" w:eastAsia="Times New Roman" w:hAnsi="Arial" w:cs="Arial"/>
          <w:sz w:val="24"/>
          <w:szCs w:val="24"/>
          <w:lang w:eastAsia="en-GB"/>
        </w:rPr>
        <w:t xml:space="preserve">The Johannesburg Society of Advocates, through an affidavit filed by its Chairperson, Adv Seleka SC has set out facts relevant to the application. </w:t>
      </w:r>
      <w:r w:rsidR="00683961" w:rsidRPr="00B76870">
        <w:rPr>
          <w:rFonts w:ascii="Arial" w:eastAsia="Times New Roman" w:hAnsi="Arial" w:cs="Arial"/>
          <w:sz w:val="24"/>
          <w:szCs w:val="24"/>
          <w:lang w:eastAsia="en-GB"/>
        </w:rPr>
        <w:t>The JSA opposes the relief sought in the application of 17 November 2022 but abides the decision of the court in the main admission application.</w:t>
      </w:r>
    </w:p>
    <w:p w14:paraId="2AD4FC18" w14:textId="7DFF79AA" w:rsidR="009C4D6A" w:rsidRPr="00B76870" w:rsidRDefault="00B76870" w:rsidP="00B76870">
      <w:pPr>
        <w:keepNext/>
        <w:tabs>
          <w:tab w:val="left" w:pos="5868"/>
        </w:tabs>
        <w:spacing w:after="240" w:line="480" w:lineRule="auto"/>
        <w:ind w:left="720" w:hanging="360"/>
        <w:jc w:val="both"/>
        <w:rPr>
          <w:rFonts w:ascii="Arial" w:eastAsia="Times New Roman" w:hAnsi="Arial" w:cs="Arial"/>
          <w:sz w:val="24"/>
          <w:szCs w:val="24"/>
          <w:lang w:val="en-US" w:eastAsia="en-GB"/>
        </w:rPr>
      </w:pPr>
      <w:r w:rsidRPr="006D23FD">
        <w:rPr>
          <w:rFonts w:ascii="Arial" w:eastAsia="Times New Roman" w:hAnsi="Arial" w:cs="Arial"/>
          <w:sz w:val="24"/>
          <w:szCs w:val="24"/>
          <w:lang w:val="en-US" w:eastAsia="en-GB"/>
        </w:rPr>
        <w:t>8.</w:t>
      </w:r>
      <w:r w:rsidRPr="006D23FD">
        <w:rPr>
          <w:rFonts w:ascii="Arial" w:eastAsia="Times New Roman" w:hAnsi="Arial" w:cs="Arial"/>
          <w:sz w:val="24"/>
          <w:szCs w:val="24"/>
          <w:lang w:val="en-US" w:eastAsia="en-GB"/>
        </w:rPr>
        <w:tab/>
      </w:r>
      <w:r w:rsidR="009C4D6A" w:rsidRPr="00B76870">
        <w:rPr>
          <w:rFonts w:ascii="Arial" w:eastAsia="Times New Roman" w:hAnsi="Arial" w:cs="Arial"/>
          <w:sz w:val="24"/>
          <w:szCs w:val="24"/>
          <w:lang w:eastAsia="en-GB"/>
        </w:rPr>
        <w:t xml:space="preserve">In essence, the admission of Mr Tjiroze as a legal practitioner is opposed on two bases, </w:t>
      </w:r>
      <w:r w:rsidR="007A3983" w:rsidRPr="00B76870">
        <w:rPr>
          <w:rFonts w:ascii="Arial" w:eastAsia="Times New Roman" w:hAnsi="Arial" w:cs="Arial"/>
          <w:sz w:val="24"/>
          <w:szCs w:val="24"/>
          <w:lang w:eastAsia="en-GB"/>
        </w:rPr>
        <w:t xml:space="preserve">namely </w:t>
      </w:r>
      <w:r w:rsidR="009C4D6A" w:rsidRPr="00B76870">
        <w:rPr>
          <w:rFonts w:ascii="Arial" w:eastAsia="Times New Roman" w:hAnsi="Arial" w:cs="Arial"/>
          <w:sz w:val="24"/>
          <w:szCs w:val="24"/>
          <w:lang w:eastAsia="en-GB"/>
        </w:rPr>
        <w:t>unfitness and lack of qualification. The latter ground raises the question of Mr Tjiroze’s</w:t>
      </w:r>
      <w:r w:rsidR="009D52C1" w:rsidRPr="00B76870">
        <w:rPr>
          <w:rFonts w:ascii="Arial" w:eastAsia="Times New Roman" w:hAnsi="Arial" w:cs="Arial"/>
          <w:sz w:val="24"/>
          <w:szCs w:val="24"/>
          <w:lang w:eastAsia="en-GB"/>
        </w:rPr>
        <w:t xml:space="preserve"> academic qualifications from certain</w:t>
      </w:r>
      <w:r w:rsidR="00935F55" w:rsidRPr="00B76870">
        <w:rPr>
          <w:rFonts w:ascii="Arial" w:eastAsia="Times New Roman" w:hAnsi="Arial" w:cs="Arial"/>
          <w:sz w:val="24"/>
          <w:szCs w:val="24"/>
          <w:lang w:eastAsia="en-GB"/>
        </w:rPr>
        <w:t xml:space="preserve"> institutions.</w:t>
      </w:r>
    </w:p>
    <w:p w14:paraId="543466AC" w14:textId="11967134" w:rsidR="006D23FD" w:rsidRDefault="00B76870" w:rsidP="00B76870">
      <w:pPr>
        <w:pStyle w:val="Heading1"/>
        <w:spacing w:before="0" w:beforeAutospacing="0" w:after="0" w:afterAutospacing="0" w:line="480" w:lineRule="auto"/>
        <w:ind w:left="720" w:hanging="360"/>
        <w:jc w:val="both"/>
        <w:textAlignment w:val="baseline"/>
        <w:rPr>
          <w:rFonts w:ascii="Arial" w:hAnsi="Arial" w:cs="Arial"/>
          <w:b w:val="0"/>
          <w:bCs w:val="0"/>
          <w:color w:val="110302"/>
          <w:sz w:val="24"/>
          <w:szCs w:val="24"/>
        </w:rPr>
      </w:pPr>
      <w:r>
        <w:rPr>
          <w:rFonts w:ascii="Arial" w:hAnsi="Arial" w:cs="Arial"/>
          <w:b w:val="0"/>
          <w:bCs w:val="0"/>
          <w:color w:val="110302"/>
          <w:sz w:val="24"/>
          <w:szCs w:val="24"/>
        </w:rPr>
        <w:t>9.</w:t>
      </w:r>
      <w:r>
        <w:rPr>
          <w:rFonts w:ascii="Arial" w:hAnsi="Arial" w:cs="Arial"/>
          <w:b w:val="0"/>
          <w:bCs w:val="0"/>
          <w:color w:val="110302"/>
          <w:sz w:val="24"/>
          <w:szCs w:val="24"/>
        </w:rPr>
        <w:tab/>
      </w:r>
      <w:r w:rsidR="009D52C1" w:rsidRPr="006D23FD">
        <w:rPr>
          <w:rFonts w:ascii="Arial" w:hAnsi="Arial" w:cs="Arial"/>
          <w:b w:val="0"/>
          <w:bCs w:val="0"/>
          <w:sz w:val="24"/>
          <w:szCs w:val="24"/>
          <w:lang w:eastAsia="en-GB"/>
        </w:rPr>
        <w:t xml:space="preserve">On 21 July 2020, the Constitutional Court handed down judgment in a case involving Mr Tjiroze. </w:t>
      </w:r>
      <w:r w:rsidR="00B85B02" w:rsidRPr="006D23FD">
        <w:rPr>
          <w:rFonts w:ascii="Arial" w:hAnsi="Arial" w:cs="Arial"/>
          <w:b w:val="0"/>
          <w:bCs w:val="0"/>
          <w:sz w:val="24"/>
          <w:szCs w:val="24"/>
          <w:lang w:eastAsia="en-GB"/>
        </w:rPr>
        <w:t xml:space="preserve">Mr Tjiroze had brought legal proceedings against the Appeal Board of the Financial Services Board. The case is cited as </w:t>
      </w:r>
      <w:r w:rsidR="00B85B02" w:rsidRPr="006D23FD">
        <w:rPr>
          <w:rFonts w:ascii="Arial" w:hAnsi="Arial" w:cs="Arial"/>
          <w:b w:val="0"/>
          <w:bCs w:val="0"/>
          <w:color w:val="110302"/>
          <w:sz w:val="24"/>
          <w:szCs w:val="24"/>
        </w:rPr>
        <w:t xml:space="preserve">Tjiroze </w:t>
      </w:r>
      <w:r w:rsidR="005157DF" w:rsidRPr="006D23FD">
        <w:rPr>
          <w:rFonts w:ascii="Arial" w:hAnsi="Arial" w:cs="Arial"/>
          <w:b w:val="0"/>
          <w:bCs w:val="0"/>
          <w:color w:val="110302"/>
          <w:sz w:val="24"/>
          <w:szCs w:val="24"/>
        </w:rPr>
        <w:t>v</w:t>
      </w:r>
      <w:r w:rsidR="00B85B02" w:rsidRPr="006D23FD">
        <w:rPr>
          <w:rFonts w:ascii="Arial" w:hAnsi="Arial" w:cs="Arial"/>
          <w:b w:val="0"/>
          <w:bCs w:val="0"/>
          <w:color w:val="110302"/>
          <w:sz w:val="24"/>
          <w:szCs w:val="24"/>
        </w:rPr>
        <w:t xml:space="preserve"> </w:t>
      </w:r>
    </w:p>
    <w:p w14:paraId="38A1171D" w14:textId="25804398" w:rsidR="00B85B02" w:rsidRPr="006D23FD" w:rsidRDefault="00B85B02" w:rsidP="00DA211C">
      <w:pPr>
        <w:pStyle w:val="Heading1"/>
        <w:spacing w:before="0" w:beforeAutospacing="0" w:after="0" w:afterAutospacing="0" w:line="480" w:lineRule="auto"/>
        <w:ind w:left="720"/>
        <w:jc w:val="both"/>
        <w:textAlignment w:val="baseline"/>
        <w:rPr>
          <w:rFonts w:ascii="Arial" w:hAnsi="Arial" w:cs="Arial"/>
          <w:b w:val="0"/>
          <w:bCs w:val="0"/>
          <w:color w:val="110302"/>
          <w:sz w:val="24"/>
          <w:szCs w:val="24"/>
        </w:rPr>
      </w:pPr>
      <w:r w:rsidRPr="006D23FD">
        <w:rPr>
          <w:rFonts w:ascii="Arial" w:hAnsi="Arial" w:cs="Arial"/>
          <w:b w:val="0"/>
          <w:bCs w:val="0"/>
          <w:color w:val="110302"/>
          <w:sz w:val="24"/>
          <w:szCs w:val="24"/>
        </w:rPr>
        <w:t xml:space="preserve">Appeal Board of the Financial Services Board </w:t>
      </w:r>
      <w:r w:rsidR="005157DF" w:rsidRPr="006D23FD">
        <w:rPr>
          <w:rFonts w:ascii="Arial" w:hAnsi="Arial" w:cs="Arial"/>
          <w:b w:val="0"/>
          <w:bCs w:val="0"/>
          <w:color w:val="110302"/>
          <w:sz w:val="24"/>
          <w:szCs w:val="24"/>
        </w:rPr>
        <w:t>(</w:t>
      </w:r>
      <w:r w:rsidRPr="006D23FD">
        <w:rPr>
          <w:rFonts w:ascii="Arial" w:hAnsi="Arial" w:cs="Arial"/>
          <w:b w:val="0"/>
          <w:bCs w:val="0"/>
          <w:color w:val="110302"/>
          <w:sz w:val="24"/>
          <w:szCs w:val="24"/>
        </w:rPr>
        <w:t>CCT 271/19</w:t>
      </w:r>
      <w:r w:rsidR="005157DF" w:rsidRPr="006D23FD">
        <w:rPr>
          <w:rFonts w:ascii="Arial" w:hAnsi="Arial" w:cs="Arial"/>
          <w:b w:val="0"/>
          <w:bCs w:val="0"/>
          <w:color w:val="110302"/>
          <w:sz w:val="24"/>
          <w:szCs w:val="24"/>
        </w:rPr>
        <w:t>)</w:t>
      </w:r>
      <w:r w:rsidRPr="006D23FD">
        <w:rPr>
          <w:rFonts w:ascii="Arial" w:hAnsi="Arial" w:cs="Arial"/>
          <w:b w:val="0"/>
          <w:bCs w:val="0"/>
          <w:color w:val="110302"/>
          <w:sz w:val="24"/>
          <w:szCs w:val="24"/>
        </w:rPr>
        <w:t xml:space="preserve"> [2020] ZACC 18.</w:t>
      </w:r>
    </w:p>
    <w:p w14:paraId="45E65B25" w14:textId="6237CBE8" w:rsidR="009D52C1" w:rsidRPr="00B76870" w:rsidRDefault="00B76870" w:rsidP="00B76870">
      <w:pPr>
        <w:keepNext/>
        <w:tabs>
          <w:tab w:val="left" w:pos="5868"/>
        </w:tabs>
        <w:spacing w:after="240" w:line="480" w:lineRule="auto"/>
        <w:ind w:left="720" w:hanging="360"/>
        <w:jc w:val="both"/>
        <w:rPr>
          <w:rFonts w:ascii="Arial" w:eastAsia="Times New Roman" w:hAnsi="Arial" w:cs="Arial"/>
          <w:sz w:val="24"/>
          <w:szCs w:val="24"/>
          <w:lang w:val="en-US" w:eastAsia="en-GB"/>
        </w:rPr>
      </w:pPr>
      <w:r w:rsidRPr="006D23FD">
        <w:rPr>
          <w:rFonts w:ascii="Arial" w:eastAsia="Times New Roman" w:hAnsi="Arial" w:cs="Arial"/>
          <w:sz w:val="24"/>
          <w:szCs w:val="24"/>
          <w:lang w:val="en-US" w:eastAsia="en-GB"/>
        </w:rPr>
        <w:lastRenderedPageBreak/>
        <w:t>10.</w:t>
      </w:r>
      <w:r w:rsidRPr="006D23FD">
        <w:rPr>
          <w:rFonts w:ascii="Arial" w:eastAsia="Times New Roman" w:hAnsi="Arial" w:cs="Arial"/>
          <w:sz w:val="24"/>
          <w:szCs w:val="24"/>
          <w:lang w:val="en-US" w:eastAsia="en-GB"/>
        </w:rPr>
        <w:tab/>
      </w:r>
      <w:r w:rsidR="002123B5" w:rsidRPr="00B76870">
        <w:rPr>
          <w:rFonts w:ascii="Arial" w:eastAsia="Times New Roman" w:hAnsi="Arial" w:cs="Arial"/>
          <w:sz w:val="24"/>
          <w:szCs w:val="24"/>
          <w:lang w:eastAsia="en-GB"/>
        </w:rPr>
        <w:t xml:space="preserve"> </w:t>
      </w:r>
      <w:r w:rsidR="009D52C1" w:rsidRPr="00B76870">
        <w:rPr>
          <w:rFonts w:ascii="Arial" w:eastAsia="Times New Roman" w:hAnsi="Arial" w:cs="Arial"/>
          <w:sz w:val="24"/>
          <w:szCs w:val="24"/>
          <w:lang w:eastAsia="en-GB"/>
        </w:rPr>
        <w:t xml:space="preserve">Speaking for a unanimous court, Madlanga J made the following findings of Mr Tjiroze </w:t>
      </w:r>
      <w:r w:rsidR="00B85B02" w:rsidRPr="00B76870">
        <w:rPr>
          <w:rFonts w:ascii="Arial" w:eastAsia="Times New Roman" w:hAnsi="Arial" w:cs="Arial"/>
          <w:sz w:val="24"/>
          <w:szCs w:val="24"/>
          <w:lang w:eastAsia="en-GB"/>
        </w:rPr>
        <w:t>–</w:t>
      </w:r>
    </w:p>
    <w:p w14:paraId="205E23D7" w14:textId="39B06D01" w:rsidR="00B85B02" w:rsidRPr="00B76870" w:rsidRDefault="00B76870" w:rsidP="00B76870">
      <w:pPr>
        <w:keepNext/>
        <w:tabs>
          <w:tab w:val="left" w:pos="5868"/>
        </w:tabs>
        <w:spacing w:after="240" w:line="480" w:lineRule="auto"/>
        <w:ind w:left="1200" w:hanging="480"/>
        <w:jc w:val="both"/>
        <w:rPr>
          <w:rFonts w:ascii="Arial" w:hAnsi="Arial" w:cs="Arial"/>
          <w:sz w:val="24"/>
          <w:szCs w:val="24"/>
        </w:rPr>
      </w:pPr>
      <w:r w:rsidRPr="006D23FD">
        <w:rPr>
          <w:rFonts w:ascii="Arial" w:hAnsi="Arial" w:cs="Arial"/>
          <w:sz w:val="24"/>
          <w:szCs w:val="24"/>
        </w:rPr>
        <w:t>10.1</w:t>
      </w:r>
      <w:r w:rsidRPr="006D23FD">
        <w:rPr>
          <w:rFonts w:ascii="Arial" w:hAnsi="Arial" w:cs="Arial"/>
          <w:sz w:val="24"/>
          <w:szCs w:val="24"/>
        </w:rPr>
        <w:tab/>
      </w:r>
      <w:r w:rsidR="00B85B02" w:rsidRPr="00B76870">
        <w:rPr>
          <w:rFonts w:ascii="Arial" w:eastAsia="Times New Roman" w:hAnsi="Arial" w:cs="Arial"/>
          <w:sz w:val="24"/>
          <w:szCs w:val="24"/>
          <w:lang w:val="en-US" w:eastAsia="en-GB"/>
        </w:rPr>
        <w:t>In paragraph 1</w:t>
      </w:r>
      <w:r w:rsidR="001435B8" w:rsidRPr="00B76870">
        <w:rPr>
          <w:rFonts w:ascii="Arial" w:eastAsia="Times New Roman" w:hAnsi="Arial" w:cs="Arial"/>
          <w:sz w:val="24"/>
          <w:szCs w:val="24"/>
          <w:lang w:val="en-US" w:eastAsia="en-GB"/>
        </w:rPr>
        <w:t xml:space="preserve"> </w:t>
      </w:r>
      <w:r w:rsidR="00FE338D" w:rsidRPr="00B76870">
        <w:rPr>
          <w:rFonts w:ascii="Arial" w:eastAsia="Times New Roman" w:hAnsi="Arial" w:cs="Arial"/>
          <w:sz w:val="24"/>
          <w:szCs w:val="24"/>
          <w:lang w:val="en-US" w:eastAsia="en-GB"/>
        </w:rPr>
        <w:t>–</w:t>
      </w:r>
      <w:r w:rsidR="001435B8" w:rsidRPr="00B76870">
        <w:rPr>
          <w:rFonts w:ascii="Arial" w:eastAsia="Times New Roman" w:hAnsi="Arial" w:cs="Arial"/>
          <w:sz w:val="24"/>
          <w:szCs w:val="24"/>
          <w:lang w:val="en-US" w:eastAsia="en-GB"/>
        </w:rPr>
        <w:t xml:space="preserve"> </w:t>
      </w:r>
      <w:r w:rsidR="006D23FD" w:rsidRPr="00B76870">
        <w:rPr>
          <w:rFonts w:ascii="Arial" w:eastAsia="Times New Roman" w:hAnsi="Arial" w:cs="Arial"/>
          <w:sz w:val="24"/>
          <w:szCs w:val="24"/>
          <w:lang w:val="en-US" w:eastAsia="en-GB"/>
        </w:rPr>
        <w:t>“</w:t>
      </w:r>
      <w:r w:rsidR="00B85B02" w:rsidRPr="00B76870">
        <w:rPr>
          <w:rFonts w:ascii="Arial" w:hAnsi="Arial" w:cs="Arial"/>
          <w:i/>
          <w:iCs/>
          <w:sz w:val="24"/>
          <w:szCs w:val="24"/>
        </w:rPr>
        <w:t>It seems impolite and harsh to start a judgment by telling a litigant that her or his cause must fail. But, if there ever was a candidate for that kind of opener, this is it. As will soon become clear, the application for leave to appeal directly to this Court is so woeful as to cry out for dismissal. And that is an issue we could have dealt with by summarily issuing an order without writing a judgment. This judgment has been necessitated by the question whether the applicant, Mr Hitjevi Obafemi Tjiroze, must pay the costs of the second respondent, the Financial Sector Conduct Authority, on an attorney and client scale.</w:t>
      </w:r>
      <w:r w:rsidR="007A3983" w:rsidRPr="00B76870">
        <w:rPr>
          <w:rFonts w:ascii="Arial" w:hAnsi="Arial" w:cs="Arial"/>
          <w:i/>
          <w:iCs/>
          <w:sz w:val="24"/>
          <w:szCs w:val="24"/>
        </w:rPr>
        <w:t>”</w:t>
      </w:r>
    </w:p>
    <w:p w14:paraId="782FC33C" w14:textId="6B5902B7" w:rsidR="00B85B02" w:rsidRPr="00B76870" w:rsidRDefault="00B76870" w:rsidP="00B76870">
      <w:pPr>
        <w:keepNext/>
        <w:tabs>
          <w:tab w:val="left" w:pos="5868"/>
        </w:tabs>
        <w:spacing w:after="240" w:line="480" w:lineRule="auto"/>
        <w:ind w:left="1200" w:hanging="480"/>
        <w:jc w:val="both"/>
        <w:rPr>
          <w:rFonts w:ascii="Arial" w:eastAsia="Times New Roman" w:hAnsi="Arial" w:cs="Arial"/>
          <w:sz w:val="24"/>
          <w:szCs w:val="24"/>
          <w:lang w:val="en-US" w:eastAsia="en-GB"/>
        </w:rPr>
      </w:pPr>
      <w:r w:rsidRPr="006D23FD">
        <w:rPr>
          <w:rFonts w:ascii="Arial" w:eastAsia="Times New Roman" w:hAnsi="Arial" w:cs="Arial"/>
          <w:sz w:val="24"/>
          <w:szCs w:val="24"/>
          <w:lang w:val="en-US" w:eastAsia="en-GB"/>
        </w:rPr>
        <w:t>10.2</w:t>
      </w:r>
      <w:r w:rsidRPr="006D23FD">
        <w:rPr>
          <w:rFonts w:ascii="Arial" w:eastAsia="Times New Roman" w:hAnsi="Arial" w:cs="Arial"/>
          <w:sz w:val="24"/>
          <w:szCs w:val="24"/>
          <w:lang w:val="en-US" w:eastAsia="en-GB"/>
        </w:rPr>
        <w:tab/>
      </w:r>
      <w:r w:rsidR="007A3983" w:rsidRPr="00B76870">
        <w:rPr>
          <w:rFonts w:ascii="Arial" w:hAnsi="Arial" w:cs="Arial"/>
          <w:sz w:val="24"/>
          <w:szCs w:val="24"/>
        </w:rPr>
        <w:t xml:space="preserve"> </w:t>
      </w:r>
      <w:r w:rsidR="00B85B02" w:rsidRPr="00B76870">
        <w:rPr>
          <w:rFonts w:ascii="Arial" w:hAnsi="Arial" w:cs="Arial"/>
          <w:sz w:val="24"/>
          <w:szCs w:val="24"/>
        </w:rPr>
        <w:t>In paragraph 24</w:t>
      </w:r>
      <w:r w:rsidR="001435B8" w:rsidRPr="00B76870">
        <w:rPr>
          <w:rFonts w:ascii="Arial" w:hAnsi="Arial" w:cs="Arial"/>
          <w:sz w:val="24"/>
          <w:szCs w:val="24"/>
        </w:rPr>
        <w:t xml:space="preserve"> </w:t>
      </w:r>
      <w:r w:rsidR="00FE338D" w:rsidRPr="00B76870">
        <w:rPr>
          <w:rFonts w:ascii="Arial" w:hAnsi="Arial" w:cs="Arial"/>
          <w:sz w:val="24"/>
          <w:szCs w:val="24"/>
        </w:rPr>
        <w:t>–</w:t>
      </w:r>
      <w:r w:rsidR="001435B8" w:rsidRPr="00B76870">
        <w:rPr>
          <w:rFonts w:ascii="Arial" w:hAnsi="Arial" w:cs="Arial"/>
          <w:sz w:val="24"/>
          <w:szCs w:val="24"/>
        </w:rPr>
        <w:t xml:space="preserve"> </w:t>
      </w:r>
      <w:r w:rsidR="006D23FD" w:rsidRPr="00B76870">
        <w:rPr>
          <w:rFonts w:ascii="Arial" w:hAnsi="Arial" w:cs="Arial"/>
          <w:sz w:val="24"/>
          <w:szCs w:val="24"/>
        </w:rPr>
        <w:t>“</w:t>
      </w:r>
      <w:r w:rsidR="001435B8" w:rsidRPr="00B76870">
        <w:rPr>
          <w:rFonts w:ascii="Arial" w:hAnsi="Arial" w:cs="Arial"/>
          <w:i/>
          <w:iCs/>
          <w:sz w:val="24"/>
          <w:szCs w:val="24"/>
        </w:rPr>
        <w:t>The applicant has been litigating frivolously and vexatiously at great expense to the second respondent. In so doing, he has defamed a member of the Judiciary and gratuitously accused some individuals of lying under oath without an iota of evidence in substantiation.</w:t>
      </w:r>
      <w:r w:rsidR="00FE338D" w:rsidRPr="00B76870">
        <w:rPr>
          <w:rFonts w:ascii="Arial" w:hAnsi="Arial" w:cs="Arial"/>
          <w:i/>
          <w:iCs/>
          <w:sz w:val="24"/>
          <w:szCs w:val="24"/>
        </w:rPr>
        <w:t>”</w:t>
      </w:r>
    </w:p>
    <w:p w14:paraId="25307F7E" w14:textId="4740E4C8" w:rsidR="001435B8" w:rsidRPr="00B76870" w:rsidRDefault="00B76870" w:rsidP="00B76870">
      <w:pPr>
        <w:keepNext/>
        <w:tabs>
          <w:tab w:val="left" w:pos="5868"/>
        </w:tabs>
        <w:spacing w:after="240" w:line="480" w:lineRule="auto"/>
        <w:ind w:left="1200" w:hanging="480"/>
        <w:jc w:val="both"/>
        <w:rPr>
          <w:rFonts w:asciiTheme="minorBidi" w:eastAsia="Times New Roman" w:hAnsiTheme="minorBidi"/>
          <w:sz w:val="24"/>
          <w:szCs w:val="24"/>
          <w:lang w:val="en-US" w:eastAsia="en-GB"/>
        </w:rPr>
      </w:pPr>
      <w:r w:rsidRPr="006D23FD">
        <w:rPr>
          <w:rFonts w:asciiTheme="minorBidi" w:eastAsia="Times New Roman" w:hAnsiTheme="minorBidi"/>
          <w:sz w:val="24"/>
          <w:szCs w:val="24"/>
          <w:lang w:val="en-US" w:eastAsia="en-GB"/>
        </w:rPr>
        <w:t>10.3</w:t>
      </w:r>
      <w:r w:rsidRPr="006D23FD">
        <w:rPr>
          <w:rFonts w:asciiTheme="minorBidi" w:eastAsia="Times New Roman" w:hAnsiTheme="minorBidi"/>
          <w:sz w:val="24"/>
          <w:szCs w:val="24"/>
          <w:lang w:val="en-US" w:eastAsia="en-GB"/>
        </w:rPr>
        <w:tab/>
      </w:r>
      <w:r w:rsidR="007A3983" w:rsidRPr="006D23FD">
        <w:t xml:space="preserve"> </w:t>
      </w:r>
      <w:r w:rsidR="001435B8" w:rsidRPr="00B76870">
        <w:rPr>
          <w:rFonts w:asciiTheme="minorBidi" w:hAnsiTheme="minorBidi"/>
          <w:sz w:val="24"/>
          <w:szCs w:val="24"/>
        </w:rPr>
        <w:t xml:space="preserve">In paragraph 25 </w:t>
      </w:r>
      <w:r w:rsidR="00FE338D" w:rsidRPr="00B76870">
        <w:rPr>
          <w:rFonts w:asciiTheme="minorBidi" w:hAnsiTheme="minorBidi"/>
          <w:sz w:val="24"/>
          <w:szCs w:val="24"/>
        </w:rPr>
        <w:t>–</w:t>
      </w:r>
      <w:r w:rsidR="001435B8" w:rsidRPr="00B76870">
        <w:rPr>
          <w:rFonts w:asciiTheme="minorBidi" w:hAnsiTheme="minorBidi"/>
          <w:sz w:val="24"/>
          <w:szCs w:val="24"/>
        </w:rPr>
        <w:t xml:space="preserve"> </w:t>
      </w:r>
      <w:r w:rsidR="00FE338D" w:rsidRPr="00B76870">
        <w:rPr>
          <w:rFonts w:asciiTheme="minorBidi" w:hAnsiTheme="minorBidi"/>
          <w:sz w:val="24"/>
          <w:szCs w:val="24"/>
        </w:rPr>
        <w:t>“</w:t>
      </w:r>
      <w:r w:rsidR="001435B8" w:rsidRPr="00B76870">
        <w:rPr>
          <w:rFonts w:asciiTheme="minorBidi" w:hAnsiTheme="minorBidi"/>
          <w:i/>
          <w:iCs/>
          <w:sz w:val="24"/>
          <w:szCs w:val="24"/>
        </w:rPr>
        <w:t xml:space="preserve">Ultimately, the finality of the main application has been delayed. In the process, the second respondent has been required to expend considerable time and funds defending frivolous, prima facie defamatory applications. And at the centre of all of this is the applicant’s refusal to accept Senyatsi AJ’s order, which did no more than to allow an amendment to a notice to oppose the applicant’s review application, so that the notice could reflect the correct name of one of the respondents. </w:t>
      </w:r>
      <w:r w:rsidR="001435B8" w:rsidRPr="00B76870">
        <w:rPr>
          <w:rFonts w:asciiTheme="minorBidi" w:hAnsiTheme="minorBidi"/>
          <w:i/>
          <w:iCs/>
          <w:sz w:val="24"/>
          <w:szCs w:val="24"/>
        </w:rPr>
        <w:lastRenderedPageBreak/>
        <w:t>Crucially, that name had been reflected incorrectly through undeniable inadvertence.</w:t>
      </w:r>
      <w:r w:rsidR="00FE338D" w:rsidRPr="00B76870">
        <w:rPr>
          <w:rFonts w:asciiTheme="minorBidi" w:hAnsiTheme="minorBidi"/>
          <w:i/>
          <w:iCs/>
          <w:sz w:val="24"/>
          <w:szCs w:val="24"/>
        </w:rPr>
        <w:t>”</w:t>
      </w:r>
    </w:p>
    <w:p w14:paraId="138E2EF3" w14:textId="49B0FC6F" w:rsidR="001435B8" w:rsidRPr="00B76870" w:rsidRDefault="00B76870" w:rsidP="00B76870">
      <w:pPr>
        <w:keepNext/>
        <w:tabs>
          <w:tab w:val="left" w:pos="5868"/>
        </w:tabs>
        <w:spacing w:after="240" w:line="480" w:lineRule="auto"/>
        <w:ind w:left="1200" w:hanging="480"/>
        <w:jc w:val="both"/>
        <w:rPr>
          <w:rFonts w:asciiTheme="minorBidi" w:eastAsia="Times New Roman" w:hAnsiTheme="minorBidi"/>
          <w:sz w:val="24"/>
          <w:szCs w:val="24"/>
          <w:lang w:val="en-US" w:eastAsia="en-GB"/>
        </w:rPr>
      </w:pPr>
      <w:r w:rsidRPr="006D23FD">
        <w:rPr>
          <w:rFonts w:asciiTheme="minorBidi" w:eastAsia="Times New Roman" w:hAnsiTheme="minorBidi"/>
          <w:sz w:val="24"/>
          <w:szCs w:val="24"/>
          <w:lang w:val="en-US" w:eastAsia="en-GB"/>
        </w:rPr>
        <w:t>10.4</w:t>
      </w:r>
      <w:r w:rsidRPr="006D23FD">
        <w:rPr>
          <w:rFonts w:asciiTheme="minorBidi" w:eastAsia="Times New Roman" w:hAnsiTheme="minorBidi"/>
          <w:sz w:val="24"/>
          <w:szCs w:val="24"/>
          <w:lang w:val="en-US" w:eastAsia="en-GB"/>
        </w:rPr>
        <w:tab/>
      </w:r>
      <w:r w:rsidR="007A3983" w:rsidRPr="00B76870">
        <w:rPr>
          <w:rFonts w:asciiTheme="minorBidi" w:hAnsiTheme="minorBidi"/>
          <w:sz w:val="24"/>
          <w:szCs w:val="24"/>
        </w:rPr>
        <w:t xml:space="preserve"> I</w:t>
      </w:r>
      <w:r w:rsidR="001435B8" w:rsidRPr="00B76870">
        <w:rPr>
          <w:rFonts w:asciiTheme="minorBidi" w:hAnsiTheme="minorBidi"/>
          <w:sz w:val="24"/>
          <w:szCs w:val="24"/>
        </w:rPr>
        <w:t xml:space="preserve">n paragraph 26 </w:t>
      </w:r>
      <w:r w:rsidR="00FE338D" w:rsidRPr="00B76870">
        <w:rPr>
          <w:rFonts w:asciiTheme="minorBidi" w:hAnsiTheme="minorBidi"/>
          <w:sz w:val="24"/>
          <w:szCs w:val="24"/>
        </w:rPr>
        <w:t>–</w:t>
      </w:r>
      <w:r w:rsidR="001435B8" w:rsidRPr="00B76870">
        <w:rPr>
          <w:rFonts w:asciiTheme="minorBidi" w:hAnsiTheme="minorBidi"/>
          <w:sz w:val="24"/>
          <w:szCs w:val="24"/>
        </w:rPr>
        <w:t xml:space="preserve"> </w:t>
      </w:r>
      <w:r w:rsidR="006D23FD" w:rsidRPr="00B76870">
        <w:rPr>
          <w:rFonts w:asciiTheme="minorBidi" w:hAnsiTheme="minorBidi"/>
          <w:i/>
          <w:iCs/>
          <w:sz w:val="24"/>
          <w:szCs w:val="24"/>
        </w:rPr>
        <w:t>“</w:t>
      </w:r>
      <w:r w:rsidR="001435B8" w:rsidRPr="00B76870">
        <w:rPr>
          <w:rFonts w:asciiTheme="minorBidi" w:hAnsiTheme="minorBidi"/>
          <w:i/>
          <w:iCs/>
          <w:sz w:val="24"/>
          <w:szCs w:val="24"/>
        </w:rPr>
        <w:t>Despite an assertion to the contrary by the applicant, the correction of the name did not cause him any prejudice. This litigation, which is plainly vexatious, is but an attempt by the applicant to hold onto what he misguidedly perceives to be an advantage. The subtext is that an amendment will result in him losing that advantage; and that is what will cause him “prejudice”. That, of course, has never been our law on what constitutes prejudice of the nature that may result in an amendment being denied. Prejudice that may lead to the refusal of an amendment is not about the mere loss of a procedural advantage or even the possibility of losing the case itself as a result of the grant of the amendment. The norm is always to grant an amendment if it will not cause the other side an injustice that is incapable of being compensated by appropriate award of costs. Despite woefully falling short of meeting that test, the applicant has lamentably litigated all the way to this Court. That calls for a showing of this Court’s displeasure.</w:t>
      </w:r>
      <w:r w:rsidR="007A3983" w:rsidRPr="00B76870">
        <w:rPr>
          <w:rFonts w:asciiTheme="minorBidi" w:hAnsiTheme="minorBidi"/>
          <w:i/>
          <w:iCs/>
          <w:sz w:val="24"/>
          <w:szCs w:val="24"/>
        </w:rPr>
        <w:t>”</w:t>
      </w:r>
    </w:p>
    <w:p w14:paraId="5D7B749B" w14:textId="7077AC1B" w:rsidR="001435B8" w:rsidRPr="00B76870" w:rsidRDefault="00B76870" w:rsidP="00B76870">
      <w:pPr>
        <w:keepNext/>
        <w:tabs>
          <w:tab w:val="left" w:pos="5868"/>
        </w:tabs>
        <w:spacing w:after="240" w:line="480" w:lineRule="auto"/>
        <w:ind w:left="1200" w:hanging="480"/>
        <w:jc w:val="both"/>
        <w:rPr>
          <w:rFonts w:asciiTheme="minorBidi" w:eastAsia="Times New Roman" w:hAnsiTheme="minorBidi"/>
          <w:sz w:val="24"/>
          <w:szCs w:val="24"/>
          <w:lang w:val="en-US" w:eastAsia="en-GB"/>
        </w:rPr>
      </w:pPr>
      <w:r w:rsidRPr="006D23FD">
        <w:rPr>
          <w:rFonts w:asciiTheme="minorBidi" w:eastAsia="Times New Roman" w:hAnsiTheme="minorBidi"/>
          <w:sz w:val="24"/>
          <w:szCs w:val="24"/>
          <w:lang w:val="en-US" w:eastAsia="en-GB"/>
        </w:rPr>
        <w:t>10.5</w:t>
      </w:r>
      <w:r w:rsidRPr="006D23FD">
        <w:rPr>
          <w:rFonts w:asciiTheme="minorBidi" w:eastAsia="Times New Roman" w:hAnsiTheme="minorBidi"/>
          <w:sz w:val="24"/>
          <w:szCs w:val="24"/>
          <w:lang w:val="en-US" w:eastAsia="en-GB"/>
        </w:rPr>
        <w:tab/>
      </w:r>
      <w:r w:rsidR="007A3983" w:rsidRPr="006D23FD">
        <w:t xml:space="preserve"> </w:t>
      </w:r>
      <w:r w:rsidR="007A3983" w:rsidRPr="00B76870">
        <w:rPr>
          <w:rFonts w:asciiTheme="minorBidi" w:hAnsiTheme="minorBidi"/>
          <w:sz w:val="24"/>
          <w:szCs w:val="24"/>
        </w:rPr>
        <w:t>I</w:t>
      </w:r>
      <w:r w:rsidR="001435B8" w:rsidRPr="00B76870">
        <w:rPr>
          <w:rFonts w:asciiTheme="minorBidi" w:hAnsiTheme="minorBidi"/>
          <w:sz w:val="24"/>
          <w:szCs w:val="24"/>
        </w:rPr>
        <w:t xml:space="preserve">n paragraph 27 </w:t>
      </w:r>
      <w:r w:rsidR="007A3983" w:rsidRPr="00B76870">
        <w:rPr>
          <w:rFonts w:asciiTheme="minorBidi" w:hAnsiTheme="minorBidi"/>
          <w:sz w:val="24"/>
          <w:szCs w:val="24"/>
        </w:rPr>
        <w:t>–</w:t>
      </w:r>
      <w:r w:rsidR="001435B8" w:rsidRPr="00B76870">
        <w:rPr>
          <w:rFonts w:asciiTheme="minorBidi" w:hAnsiTheme="minorBidi"/>
          <w:sz w:val="24"/>
          <w:szCs w:val="24"/>
        </w:rPr>
        <w:t xml:space="preserve"> </w:t>
      </w:r>
      <w:r w:rsidR="007A3983" w:rsidRPr="00B76870">
        <w:rPr>
          <w:rFonts w:asciiTheme="minorBidi" w:hAnsiTheme="minorBidi"/>
          <w:sz w:val="24"/>
          <w:szCs w:val="24"/>
        </w:rPr>
        <w:t>“</w:t>
      </w:r>
      <w:r w:rsidR="001435B8" w:rsidRPr="00B76870">
        <w:rPr>
          <w:rFonts w:asciiTheme="minorBidi" w:hAnsiTheme="minorBidi"/>
          <w:i/>
          <w:iCs/>
          <w:sz w:val="24"/>
          <w:szCs w:val="24"/>
        </w:rPr>
        <w:t xml:space="preserve">Additionally, in all three applications (including the one before this Court), the applicant has attempted to attack the second respondent’s opposition on the basis of minor technicalities. This, purely to have the applications proceed unopposed notwithstanding the second </w:t>
      </w:r>
      <w:r w:rsidR="001435B8" w:rsidRPr="00B76870">
        <w:rPr>
          <w:rFonts w:asciiTheme="minorBidi" w:hAnsiTheme="minorBidi"/>
          <w:i/>
          <w:iCs/>
          <w:sz w:val="24"/>
          <w:szCs w:val="24"/>
        </w:rPr>
        <w:lastRenderedPageBreak/>
        <w:t>respondent’s clear intention to oppose all three applications. In doing so, the applicant is abusing the court process.</w:t>
      </w:r>
      <w:r w:rsidR="007A3983" w:rsidRPr="00B76870">
        <w:rPr>
          <w:rFonts w:asciiTheme="minorBidi" w:hAnsiTheme="minorBidi"/>
          <w:i/>
          <w:iCs/>
          <w:sz w:val="24"/>
          <w:szCs w:val="24"/>
        </w:rPr>
        <w:t>”</w:t>
      </w:r>
    </w:p>
    <w:p w14:paraId="0AD6DD64" w14:textId="24F3898C" w:rsidR="001435B8" w:rsidRPr="00B76870" w:rsidRDefault="00B76870" w:rsidP="00B76870">
      <w:pPr>
        <w:keepNext/>
        <w:tabs>
          <w:tab w:val="left" w:pos="5868"/>
        </w:tabs>
        <w:spacing w:after="240" w:line="480" w:lineRule="auto"/>
        <w:ind w:left="1200" w:hanging="480"/>
        <w:jc w:val="both"/>
        <w:rPr>
          <w:rFonts w:asciiTheme="minorBidi" w:eastAsia="Times New Roman" w:hAnsiTheme="minorBidi"/>
          <w:sz w:val="24"/>
          <w:szCs w:val="24"/>
          <w:lang w:val="en-US" w:eastAsia="en-GB"/>
        </w:rPr>
      </w:pPr>
      <w:r w:rsidRPr="006D23FD">
        <w:rPr>
          <w:rFonts w:asciiTheme="minorBidi" w:eastAsia="Times New Roman" w:hAnsiTheme="minorBidi"/>
          <w:sz w:val="24"/>
          <w:szCs w:val="24"/>
          <w:lang w:val="en-US" w:eastAsia="en-GB"/>
        </w:rPr>
        <w:t>10.6</w:t>
      </w:r>
      <w:r w:rsidRPr="006D23FD">
        <w:rPr>
          <w:rFonts w:asciiTheme="minorBidi" w:eastAsia="Times New Roman" w:hAnsiTheme="minorBidi"/>
          <w:sz w:val="24"/>
          <w:szCs w:val="24"/>
          <w:lang w:val="en-US" w:eastAsia="en-GB"/>
        </w:rPr>
        <w:tab/>
      </w:r>
      <w:r w:rsidR="007A3983" w:rsidRPr="00B76870">
        <w:rPr>
          <w:rFonts w:asciiTheme="minorBidi" w:hAnsiTheme="minorBidi"/>
          <w:sz w:val="24"/>
          <w:szCs w:val="24"/>
        </w:rPr>
        <w:t xml:space="preserve"> I</w:t>
      </w:r>
      <w:r w:rsidR="001435B8" w:rsidRPr="00B76870">
        <w:rPr>
          <w:rFonts w:asciiTheme="minorBidi" w:hAnsiTheme="minorBidi"/>
          <w:sz w:val="24"/>
          <w:szCs w:val="24"/>
        </w:rPr>
        <w:t xml:space="preserve">n paragraph 28 </w:t>
      </w:r>
      <w:r w:rsidR="007A3983" w:rsidRPr="00B76870">
        <w:rPr>
          <w:rFonts w:asciiTheme="minorBidi" w:hAnsiTheme="minorBidi"/>
          <w:sz w:val="24"/>
          <w:szCs w:val="24"/>
        </w:rPr>
        <w:t>–</w:t>
      </w:r>
      <w:r w:rsidR="001435B8" w:rsidRPr="00B76870">
        <w:rPr>
          <w:rFonts w:asciiTheme="minorBidi" w:hAnsiTheme="minorBidi"/>
          <w:sz w:val="24"/>
          <w:szCs w:val="24"/>
        </w:rPr>
        <w:t xml:space="preserve"> </w:t>
      </w:r>
      <w:r w:rsidR="007A3983" w:rsidRPr="00B76870">
        <w:rPr>
          <w:rFonts w:asciiTheme="minorBidi" w:hAnsiTheme="minorBidi"/>
          <w:i/>
          <w:iCs/>
          <w:sz w:val="24"/>
          <w:szCs w:val="24"/>
        </w:rPr>
        <w:t>“</w:t>
      </w:r>
      <w:r w:rsidR="001435B8" w:rsidRPr="00B76870">
        <w:rPr>
          <w:rFonts w:asciiTheme="minorBidi" w:hAnsiTheme="minorBidi"/>
          <w:i/>
          <w:iCs/>
          <w:sz w:val="24"/>
          <w:szCs w:val="24"/>
        </w:rPr>
        <w:t>The applicant, though self-represented, is a legal professional.  As such, he should understand the import of his allegations and the impact of his numerous nonsensical applications. In fact, he states that he does understand the potentially defamatory nature and weight of his allegations against Senyatsi AJ</w:t>
      </w:r>
      <w:r w:rsidR="001435B8" w:rsidRPr="00B76870">
        <w:rPr>
          <w:rFonts w:asciiTheme="minorBidi" w:hAnsiTheme="minorBidi"/>
          <w:sz w:val="24"/>
          <w:szCs w:val="24"/>
        </w:rPr>
        <w:t>.</w:t>
      </w:r>
      <w:r w:rsidR="007A3983" w:rsidRPr="00B76870">
        <w:rPr>
          <w:rFonts w:asciiTheme="minorBidi" w:hAnsiTheme="minorBidi"/>
          <w:sz w:val="24"/>
          <w:szCs w:val="24"/>
        </w:rPr>
        <w:t>”</w:t>
      </w:r>
    </w:p>
    <w:p w14:paraId="170A0FDA" w14:textId="3C491585" w:rsidR="001435B8" w:rsidRPr="00B76870" w:rsidRDefault="00B76870" w:rsidP="00B76870">
      <w:pPr>
        <w:keepNext/>
        <w:tabs>
          <w:tab w:val="left" w:pos="5868"/>
        </w:tabs>
        <w:spacing w:after="240" w:line="480" w:lineRule="auto"/>
        <w:ind w:left="720" w:hanging="360"/>
        <w:jc w:val="both"/>
        <w:rPr>
          <w:rFonts w:ascii="Arial" w:eastAsia="Times New Roman" w:hAnsi="Arial" w:cs="Arial"/>
          <w:sz w:val="24"/>
          <w:szCs w:val="24"/>
          <w:lang w:val="en-US" w:eastAsia="en-GB"/>
        </w:rPr>
      </w:pPr>
      <w:r w:rsidRPr="006D23FD">
        <w:rPr>
          <w:rFonts w:ascii="Arial" w:eastAsia="Times New Roman" w:hAnsi="Arial" w:cs="Arial"/>
          <w:sz w:val="24"/>
          <w:szCs w:val="24"/>
          <w:lang w:val="en-US" w:eastAsia="en-GB"/>
        </w:rPr>
        <w:t>11.</w:t>
      </w:r>
      <w:r w:rsidRPr="006D23FD">
        <w:rPr>
          <w:rFonts w:ascii="Arial" w:eastAsia="Times New Roman" w:hAnsi="Arial" w:cs="Arial"/>
          <w:sz w:val="24"/>
          <w:szCs w:val="24"/>
          <w:lang w:val="en-US" w:eastAsia="en-GB"/>
        </w:rPr>
        <w:tab/>
      </w:r>
      <w:r w:rsidR="002123B5" w:rsidRPr="00B76870">
        <w:rPr>
          <w:rFonts w:ascii="Arial" w:hAnsi="Arial" w:cs="Arial"/>
          <w:sz w:val="24"/>
          <w:szCs w:val="24"/>
        </w:rPr>
        <w:t xml:space="preserve"> </w:t>
      </w:r>
      <w:r w:rsidR="001435B8" w:rsidRPr="00B76870">
        <w:rPr>
          <w:rFonts w:ascii="Arial" w:hAnsi="Arial" w:cs="Arial"/>
          <w:sz w:val="24"/>
          <w:szCs w:val="24"/>
        </w:rPr>
        <w:t>The Constitutional Court granted a punitive costs order against Mr Tjiroze.</w:t>
      </w:r>
    </w:p>
    <w:p w14:paraId="4B94AD5A" w14:textId="74A20E56" w:rsidR="009D52C1" w:rsidRPr="00B76870" w:rsidRDefault="00B76870" w:rsidP="00B76870">
      <w:pPr>
        <w:keepNext/>
        <w:tabs>
          <w:tab w:val="left" w:pos="5868"/>
        </w:tabs>
        <w:spacing w:after="240" w:line="480" w:lineRule="auto"/>
        <w:ind w:left="720" w:hanging="360"/>
        <w:jc w:val="both"/>
        <w:rPr>
          <w:rFonts w:ascii="Arial" w:eastAsia="Times New Roman" w:hAnsi="Arial" w:cs="Arial"/>
          <w:sz w:val="24"/>
          <w:szCs w:val="24"/>
          <w:lang w:val="en-US" w:eastAsia="en-GB"/>
        </w:rPr>
      </w:pPr>
      <w:r w:rsidRPr="006D23FD">
        <w:rPr>
          <w:rFonts w:ascii="Arial" w:eastAsia="Times New Roman" w:hAnsi="Arial" w:cs="Arial"/>
          <w:sz w:val="24"/>
          <w:szCs w:val="24"/>
          <w:lang w:val="en-US" w:eastAsia="en-GB"/>
        </w:rPr>
        <w:t>12.</w:t>
      </w:r>
      <w:r w:rsidRPr="006D23FD">
        <w:rPr>
          <w:rFonts w:ascii="Arial" w:eastAsia="Times New Roman" w:hAnsi="Arial" w:cs="Arial"/>
          <w:sz w:val="24"/>
          <w:szCs w:val="24"/>
          <w:lang w:val="en-US" w:eastAsia="en-GB"/>
        </w:rPr>
        <w:tab/>
      </w:r>
      <w:r w:rsidR="002123B5" w:rsidRPr="00B76870">
        <w:rPr>
          <w:rFonts w:ascii="Arial" w:eastAsia="Times New Roman" w:hAnsi="Arial" w:cs="Arial"/>
          <w:sz w:val="24"/>
          <w:szCs w:val="24"/>
          <w:lang w:eastAsia="en-GB"/>
        </w:rPr>
        <w:t xml:space="preserve"> </w:t>
      </w:r>
      <w:r w:rsidR="009D52C1" w:rsidRPr="00B76870">
        <w:rPr>
          <w:rFonts w:ascii="Arial" w:eastAsia="Times New Roman" w:hAnsi="Arial" w:cs="Arial"/>
          <w:sz w:val="24"/>
          <w:szCs w:val="24"/>
          <w:lang w:eastAsia="en-GB"/>
        </w:rPr>
        <w:t xml:space="preserve">In the founding affidavit in the present </w:t>
      </w:r>
      <w:r w:rsidR="00CB28E3" w:rsidRPr="00B76870">
        <w:rPr>
          <w:rFonts w:ascii="Arial" w:eastAsia="Times New Roman" w:hAnsi="Arial" w:cs="Arial"/>
          <w:sz w:val="24"/>
          <w:szCs w:val="24"/>
          <w:lang w:eastAsia="en-GB"/>
        </w:rPr>
        <w:t xml:space="preserve">main </w:t>
      </w:r>
      <w:r w:rsidR="009D52C1" w:rsidRPr="00B76870">
        <w:rPr>
          <w:rFonts w:ascii="Arial" w:eastAsia="Times New Roman" w:hAnsi="Arial" w:cs="Arial"/>
          <w:sz w:val="24"/>
          <w:szCs w:val="24"/>
          <w:lang w:eastAsia="en-GB"/>
        </w:rPr>
        <w:t>application Mr Tjiroze</w:t>
      </w:r>
      <w:r w:rsidR="00AC02E7" w:rsidRPr="00B76870">
        <w:rPr>
          <w:rFonts w:ascii="Arial" w:eastAsia="Times New Roman" w:hAnsi="Arial" w:cs="Arial"/>
          <w:sz w:val="24"/>
          <w:szCs w:val="24"/>
          <w:lang w:eastAsia="en-GB"/>
        </w:rPr>
        <w:t xml:space="preserve"> regrets and apologizes</w:t>
      </w:r>
      <w:r w:rsidR="00AA7940" w:rsidRPr="00B76870">
        <w:rPr>
          <w:rFonts w:ascii="Arial" w:eastAsia="Times New Roman" w:hAnsi="Arial" w:cs="Arial"/>
          <w:sz w:val="24"/>
          <w:szCs w:val="24"/>
          <w:lang w:eastAsia="en-GB"/>
        </w:rPr>
        <w:t>, at least</w:t>
      </w:r>
      <w:r w:rsidR="00AC02E7" w:rsidRPr="00B76870">
        <w:rPr>
          <w:rFonts w:ascii="Arial" w:eastAsia="Times New Roman" w:hAnsi="Arial" w:cs="Arial"/>
          <w:sz w:val="24"/>
          <w:szCs w:val="24"/>
          <w:lang w:eastAsia="en-GB"/>
        </w:rPr>
        <w:t xml:space="preserve"> for </w:t>
      </w:r>
      <w:r w:rsidR="003A2C81" w:rsidRPr="00B76870">
        <w:rPr>
          <w:rFonts w:ascii="Arial" w:eastAsia="Times New Roman" w:hAnsi="Arial" w:cs="Arial"/>
          <w:sz w:val="24"/>
          <w:szCs w:val="24"/>
          <w:lang w:eastAsia="en-GB"/>
        </w:rPr>
        <w:t xml:space="preserve">some of </w:t>
      </w:r>
      <w:r w:rsidR="00AC02E7" w:rsidRPr="00B76870">
        <w:rPr>
          <w:rFonts w:ascii="Arial" w:eastAsia="Times New Roman" w:hAnsi="Arial" w:cs="Arial"/>
          <w:sz w:val="24"/>
          <w:szCs w:val="24"/>
          <w:lang w:eastAsia="en-GB"/>
        </w:rPr>
        <w:t xml:space="preserve">his </w:t>
      </w:r>
      <w:r w:rsidR="00AA7940" w:rsidRPr="00B76870">
        <w:rPr>
          <w:rFonts w:ascii="Arial" w:eastAsia="Times New Roman" w:hAnsi="Arial" w:cs="Arial"/>
          <w:sz w:val="24"/>
          <w:szCs w:val="24"/>
          <w:lang w:eastAsia="en-GB"/>
        </w:rPr>
        <w:t>conduct</w:t>
      </w:r>
      <w:r w:rsidR="00AC02E7" w:rsidRPr="00B76870">
        <w:rPr>
          <w:rFonts w:ascii="Arial" w:eastAsia="Times New Roman" w:hAnsi="Arial" w:cs="Arial"/>
          <w:sz w:val="24"/>
          <w:szCs w:val="24"/>
          <w:lang w:eastAsia="en-GB"/>
        </w:rPr>
        <w:t xml:space="preserve"> in the case before the Constitutional Court.</w:t>
      </w:r>
      <w:r w:rsidR="009D52C1" w:rsidRPr="00B76870">
        <w:rPr>
          <w:rFonts w:ascii="Arial" w:eastAsia="Times New Roman" w:hAnsi="Arial" w:cs="Arial"/>
          <w:sz w:val="24"/>
          <w:szCs w:val="24"/>
          <w:lang w:eastAsia="en-GB"/>
        </w:rPr>
        <w:t xml:space="preserve"> </w:t>
      </w:r>
      <w:r w:rsidR="00683961" w:rsidRPr="00B76870">
        <w:rPr>
          <w:rFonts w:ascii="Arial" w:eastAsia="Times New Roman" w:hAnsi="Arial" w:cs="Arial"/>
          <w:sz w:val="24"/>
          <w:szCs w:val="24"/>
          <w:lang w:eastAsia="en-GB"/>
        </w:rPr>
        <w:t>Mere</w:t>
      </w:r>
      <w:r w:rsidR="00EC23DD" w:rsidRPr="00B76870">
        <w:rPr>
          <w:rFonts w:ascii="Arial" w:eastAsia="Times New Roman" w:hAnsi="Arial" w:cs="Arial"/>
          <w:sz w:val="24"/>
          <w:szCs w:val="24"/>
          <w:lang w:eastAsia="en-GB"/>
        </w:rPr>
        <w:t xml:space="preserve"> regret and apology are not sufficient in the present case. They ring hollow when </w:t>
      </w:r>
      <w:r w:rsidR="00AC02E7" w:rsidRPr="00B76870">
        <w:rPr>
          <w:rFonts w:ascii="Arial" w:eastAsia="Times New Roman" w:hAnsi="Arial" w:cs="Arial"/>
          <w:sz w:val="24"/>
          <w:szCs w:val="24"/>
          <w:lang w:eastAsia="en-GB"/>
        </w:rPr>
        <w:t xml:space="preserve">Mr Tjiroze </w:t>
      </w:r>
      <w:r w:rsidR="009D52C1" w:rsidRPr="00B76870">
        <w:rPr>
          <w:rFonts w:ascii="Arial" w:eastAsia="Times New Roman" w:hAnsi="Arial" w:cs="Arial"/>
          <w:sz w:val="24"/>
          <w:szCs w:val="24"/>
          <w:lang w:eastAsia="en-GB"/>
        </w:rPr>
        <w:t>makes the following statements</w:t>
      </w:r>
      <w:r w:rsidR="00935F55" w:rsidRPr="00B76870">
        <w:rPr>
          <w:rFonts w:ascii="Arial" w:eastAsia="Times New Roman" w:hAnsi="Arial" w:cs="Arial"/>
          <w:sz w:val="24"/>
          <w:szCs w:val="24"/>
          <w:lang w:eastAsia="en-GB"/>
        </w:rPr>
        <w:t>,</w:t>
      </w:r>
      <w:r w:rsidR="009D52C1" w:rsidRPr="00B76870">
        <w:rPr>
          <w:rFonts w:ascii="Arial" w:eastAsia="Times New Roman" w:hAnsi="Arial" w:cs="Arial"/>
          <w:sz w:val="24"/>
          <w:szCs w:val="24"/>
          <w:lang w:eastAsia="en-GB"/>
        </w:rPr>
        <w:t xml:space="preserve"> among others</w:t>
      </w:r>
      <w:r w:rsidR="00AC02E7" w:rsidRPr="00B76870">
        <w:rPr>
          <w:rFonts w:ascii="Arial" w:eastAsia="Times New Roman" w:hAnsi="Arial" w:cs="Arial"/>
          <w:sz w:val="24"/>
          <w:szCs w:val="24"/>
          <w:lang w:eastAsia="en-GB"/>
        </w:rPr>
        <w:t xml:space="preserve"> in </w:t>
      </w:r>
      <w:r w:rsidR="00F25DB2" w:rsidRPr="00B76870">
        <w:rPr>
          <w:rFonts w:ascii="Arial" w:eastAsia="Times New Roman" w:hAnsi="Arial" w:cs="Arial"/>
          <w:sz w:val="24"/>
          <w:szCs w:val="24"/>
          <w:lang w:eastAsia="en-GB"/>
        </w:rPr>
        <w:t>his replying affidavit in the present main application -</w:t>
      </w:r>
    </w:p>
    <w:p w14:paraId="0269A298" w14:textId="4DBC7E64" w:rsidR="009D52C1" w:rsidRPr="00B76870" w:rsidRDefault="00B76870" w:rsidP="00B76870">
      <w:pPr>
        <w:keepNext/>
        <w:tabs>
          <w:tab w:val="left" w:pos="5868"/>
        </w:tabs>
        <w:spacing w:after="240" w:line="480" w:lineRule="auto"/>
        <w:ind w:left="1200" w:hanging="480"/>
        <w:jc w:val="both"/>
        <w:rPr>
          <w:rFonts w:ascii="Arial" w:eastAsia="Times New Roman" w:hAnsi="Arial" w:cs="Arial"/>
          <w:sz w:val="24"/>
          <w:szCs w:val="24"/>
          <w:lang w:val="en-US" w:eastAsia="en-GB"/>
        </w:rPr>
      </w:pPr>
      <w:r w:rsidRPr="006D23FD">
        <w:rPr>
          <w:rFonts w:ascii="Arial" w:eastAsia="Times New Roman" w:hAnsi="Arial" w:cs="Arial"/>
          <w:sz w:val="24"/>
          <w:szCs w:val="24"/>
          <w:lang w:val="en-US" w:eastAsia="en-GB"/>
        </w:rPr>
        <w:t>12.1</w:t>
      </w:r>
      <w:r w:rsidRPr="006D23FD">
        <w:rPr>
          <w:rFonts w:ascii="Arial" w:eastAsia="Times New Roman" w:hAnsi="Arial" w:cs="Arial"/>
          <w:sz w:val="24"/>
          <w:szCs w:val="24"/>
          <w:lang w:val="en-US" w:eastAsia="en-GB"/>
        </w:rPr>
        <w:tab/>
      </w:r>
      <w:r w:rsidR="00F25DB2" w:rsidRPr="00B76870">
        <w:rPr>
          <w:rFonts w:ascii="Arial" w:eastAsia="Times New Roman" w:hAnsi="Arial" w:cs="Arial"/>
          <w:sz w:val="24"/>
          <w:szCs w:val="24"/>
          <w:lang w:val="en-US" w:eastAsia="en-GB"/>
        </w:rPr>
        <w:t xml:space="preserve"> Paragraph 6 – Speaking of the answering affidavit of Ms Keetse – “</w:t>
      </w:r>
      <w:r w:rsidR="00F25DB2" w:rsidRPr="00B76870">
        <w:rPr>
          <w:rFonts w:ascii="Arial" w:eastAsia="Times New Roman" w:hAnsi="Arial" w:cs="Arial"/>
          <w:i/>
          <w:iCs/>
          <w:sz w:val="24"/>
          <w:szCs w:val="24"/>
          <w:lang w:val="en-US" w:eastAsia="en-GB"/>
        </w:rPr>
        <w:t>The respondent's entire answering affidavit stands to be struck out, as being vexatious, frivolous, scandalous and containing narrative reconstructions that do not assist the court in fairly and justly adjudicating the admission application, rather than an attempt to show the applicant in a bad light to this Honourable Court on subjective and carefully selected and para-phrased statements and conclusions</w:t>
      </w:r>
      <w:r w:rsidR="00F25DB2" w:rsidRPr="00B76870">
        <w:rPr>
          <w:rFonts w:ascii="Arial" w:eastAsia="Times New Roman" w:hAnsi="Arial" w:cs="Arial"/>
          <w:sz w:val="24"/>
          <w:szCs w:val="24"/>
          <w:lang w:val="en-US" w:eastAsia="en-GB"/>
        </w:rPr>
        <w:t>.”</w:t>
      </w:r>
    </w:p>
    <w:p w14:paraId="6EF02CD0" w14:textId="11A6CBF9" w:rsidR="00F25DB2" w:rsidRPr="00B76870" w:rsidRDefault="00B76870" w:rsidP="00B76870">
      <w:pPr>
        <w:keepNext/>
        <w:tabs>
          <w:tab w:val="left" w:pos="5868"/>
        </w:tabs>
        <w:spacing w:after="240" w:line="480" w:lineRule="auto"/>
        <w:ind w:left="1200" w:hanging="480"/>
        <w:jc w:val="both"/>
        <w:rPr>
          <w:rFonts w:ascii="Arial" w:eastAsia="Times New Roman" w:hAnsi="Arial" w:cs="Arial"/>
          <w:sz w:val="24"/>
          <w:szCs w:val="24"/>
          <w:lang w:val="en-US" w:eastAsia="en-GB"/>
        </w:rPr>
      </w:pPr>
      <w:r w:rsidRPr="006D23FD">
        <w:rPr>
          <w:rFonts w:ascii="Arial" w:eastAsia="Times New Roman" w:hAnsi="Arial" w:cs="Arial"/>
          <w:sz w:val="24"/>
          <w:szCs w:val="24"/>
          <w:lang w:val="en-US" w:eastAsia="en-GB"/>
        </w:rPr>
        <w:t>12.2</w:t>
      </w:r>
      <w:r w:rsidRPr="006D23FD">
        <w:rPr>
          <w:rFonts w:ascii="Arial" w:eastAsia="Times New Roman" w:hAnsi="Arial" w:cs="Arial"/>
          <w:sz w:val="24"/>
          <w:szCs w:val="24"/>
          <w:lang w:val="en-US" w:eastAsia="en-GB"/>
        </w:rPr>
        <w:tab/>
      </w:r>
      <w:r w:rsidR="006D23FD" w:rsidRPr="00B76870">
        <w:rPr>
          <w:rFonts w:ascii="Arial" w:eastAsia="Times New Roman" w:hAnsi="Arial" w:cs="Arial"/>
          <w:sz w:val="24"/>
          <w:szCs w:val="24"/>
          <w:lang w:val="en-US" w:eastAsia="en-GB"/>
        </w:rPr>
        <w:t xml:space="preserve"> Paragraph 12 – “</w:t>
      </w:r>
      <w:r w:rsidR="00F25DB2" w:rsidRPr="00B76870">
        <w:rPr>
          <w:rFonts w:ascii="Arial" w:eastAsia="Times New Roman" w:hAnsi="Arial" w:cs="Arial"/>
          <w:i/>
          <w:iCs/>
          <w:sz w:val="24"/>
          <w:szCs w:val="24"/>
          <w:lang w:val="en-US" w:eastAsia="en-GB"/>
        </w:rPr>
        <w:t xml:space="preserve">I must lastly hasten, in passing, to relate my observations of the Respondent's answering affidavit. It is apparent that the Respondent's answering affidavit seeks to highlight selective events upon </w:t>
      </w:r>
      <w:r w:rsidR="00F25DB2" w:rsidRPr="00B76870">
        <w:rPr>
          <w:rFonts w:ascii="Arial" w:eastAsia="Times New Roman" w:hAnsi="Arial" w:cs="Arial"/>
          <w:i/>
          <w:iCs/>
          <w:sz w:val="24"/>
          <w:szCs w:val="24"/>
          <w:lang w:val="en-US" w:eastAsia="en-GB"/>
        </w:rPr>
        <w:lastRenderedPageBreak/>
        <w:t>which to launch ad hominem attacks. The respondent steers away from the origin of its cherry-picked events…”</w:t>
      </w:r>
    </w:p>
    <w:p w14:paraId="7DDC1BA7" w14:textId="3E078517" w:rsidR="00CF51E4" w:rsidRPr="00B76870" w:rsidRDefault="00B76870" w:rsidP="00B76870">
      <w:pPr>
        <w:keepNext/>
        <w:tabs>
          <w:tab w:val="left" w:pos="5868"/>
        </w:tabs>
        <w:spacing w:after="240" w:line="480" w:lineRule="auto"/>
        <w:ind w:left="1200" w:hanging="480"/>
        <w:jc w:val="both"/>
        <w:rPr>
          <w:rFonts w:ascii="Arial" w:eastAsia="Times New Roman" w:hAnsi="Arial" w:cs="Arial"/>
          <w:i/>
          <w:iCs/>
          <w:sz w:val="24"/>
          <w:szCs w:val="24"/>
          <w:lang w:val="en-US" w:eastAsia="en-GB"/>
        </w:rPr>
      </w:pPr>
      <w:r w:rsidRPr="006D23FD">
        <w:rPr>
          <w:rFonts w:ascii="Arial" w:eastAsia="Times New Roman" w:hAnsi="Arial" w:cs="Arial"/>
          <w:i/>
          <w:iCs/>
          <w:sz w:val="24"/>
          <w:szCs w:val="24"/>
          <w:lang w:val="en-US" w:eastAsia="en-GB"/>
        </w:rPr>
        <w:t>12.3</w:t>
      </w:r>
      <w:r w:rsidRPr="006D23FD">
        <w:rPr>
          <w:rFonts w:ascii="Arial" w:eastAsia="Times New Roman" w:hAnsi="Arial" w:cs="Arial"/>
          <w:i/>
          <w:iCs/>
          <w:sz w:val="24"/>
          <w:szCs w:val="24"/>
          <w:lang w:val="en-US" w:eastAsia="en-GB"/>
        </w:rPr>
        <w:tab/>
      </w:r>
      <w:r w:rsidR="00CF51E4" w:rsidRPr="00B76870">
        <w:rPr>
          <w:rFonts w:ascii="Arial" w:eastAsia="Times New Roman" w:hAnsi="Arial" w:cs="Arial"/>
          <w:sz w:val="24"/>
          <w:szCs w:val="24"/>
          <w:lang w:val="en-US" w:eastAsia="en-GB"/>
        </w:rPr>
        <w:t xml:space="preserve"> In paragraph 13 </w:t>
      </w:r>
      <w:r w:rsidR="00F11096" w:rsidRPr="00B76870">
        <w:rPr>
          <w:rFonts w:ascii="Arial" w:eastAsia="Times New Roman" w:hAnsi="Arial" w:cs="Arial"/>
          <w:sz w:val="24"/>
          <w:szCs w:val="24"/>
          <w:lang w:val="en-US" w:eastAsia="en-GB"/>
        </w:rPr>
        <w:t>–</w:t>
      </w:r>
      <w:r w:rsidR="00CF51E4" w:rsidRPr="00B76870">
        <w:rPr>
          <w:rFonts w:ascii="Arial" w:eastAsia="Times New Roman" w:hAnsi="Arial" w:cs="Arial"/>
          <w:sz w:val="24"/>
          <w:szCs w:val="24"/>
          <w:lang w:val="en-US" w:eastAsia="en-GB"/>
        </w:rPr>
        <w:t xml:space="preserve"> </w:t>
      </w:r>
      <w:r w:rsidR="00F11096" w:rsidRPr="00B76870">
        <w:rPr>
          <w:rFonts w:ascii="Arial" w:eastAsia="Times New Roman" w:hAnsi="Arial" w:cs="Arial"/>
          <w:sz w:val="24"/>
          <w:szCs w:val="24"/>
          <w:lang w:val="en-US" w:eastAsia="en-GB"/>
        </w:rPr>
        <w:t>“</w:t>
      </w:r>
      <w:r w:rsidR="00CF51E4" w:rsidRPr="00B76870">
        <w:rPr>
          <w:rFonts w:ascii="Arial" w:eastAsia="Times New Roman" w:hAnsi="Arial" w:cs="Arial"/>
          <w:i/>
          <w:iCs/>
          <w:sz w:val="24"/>
          <w:szCs w:val="24"/>
          <w:lang w:val="en-US" w:eastAsia="en-GB"/>
        </w:rPr>
        <w:t>The motive of such cherry-picking, it would seem, is to have this court look upon the applicant as reckless, idiotic, unintelligent in matters of the law, disrespectful and out of control. Of course, these false depictions of the applicant are far from the truth. The respondent loses complete perspective that, but for had applicant never stood by his personal and professional ethics required of a corporate legal advisor and compliance officer, the aftermath events cherry-picked by respondent would invariably never have featured in the applicant's life. This excluded and ignored genesis of events may not mean much to the respondent, but the hope is that they mean something to this Court.</w:t>
      </w:r>
      <w:r w:rsidR="00F11096" w:rsidRPr="00B76870">
        <w:rPr>
          <w:rFonts w:ascii="Arial" w:eastAsia="Times New Roman" w:hAnsi="Arial" w:cs="Arial"/>
          <w:i/>
          <w:iCs/>
          <w:sz w:val="24"/>
          <w:szCs w:val="24"/>
          <w:lang w:val="en-US" w:eastAsia="en-GB"/>
        </w:rPr>
        <w:t>”</w:t>
      </w:r>
    </w:p>
    <w:p w14:paraId="23A42E00" w14:textId="723BE6A9" w:rsidR="00CF51E4" w:rsidRPr="00B76870" w:rsidRDefault="00B76870" w:rsidP="00B76870">
      <w:pPr>
        <w:keepNext/>
        <w:tabs>
          <w:tab w:val="left" w:pos="5868"/>
        </w:tabs>
        <w:spacing w:after="240" w:line="480" w:lineRule="auto"/>
        <w:ind w:left="1200" w:hanging="480"/>
        <w:jc w:val="both"/>
        <w:rPr>
          <w:rFonts w:ascii="Arial" w:eastAsia="Times New Roman" w:hAnsi="Arial" w:cs="Arial"/>
          <w:sz w:val="24"/>
          <w:szCs w:val="24"/>
          <w:lang w:val="en-US" w:eastAsia="en-GB"/>
        </w:rPr>
      </w:pPr>
      <w:r w:rsidRPr="006D23FD">
        <w:rPr>
          <w:rFonts w:ascii="Arial" w:eastAsia="Times New Roman" w:hAnsi="Arial" w:cs="Arial"/>
          <w:sz w:val="24"/>
          <w:szCs w:val="24"/>
          <w:lang w:val="en-US" w:eastAsia="en-GB"/>
        </w:rPr>
        <w:t>12.4</w:t>
      </w:r>
      <w:r w:rsidRPr="006D23FD">
        <w:rPr>
          <w:rFonts w:ascii="Arial" w:eastAsia="Times New Roman" w:hAnsi="Arial" w:cs="Arial"/>
          <w:sz w:val="24"/>
          <w:szCs w:val="24"/>
          <w:lang w:val="en-US" w:eastAsia="en-GB"/>
        </w:rPr>
        <w:tab/>
      </w:r>
      <w:r w:rsidR="00CF51E4" w:rsidRPr="00B76870">
        <w:rPr>
          <w:rFonts w:ascii="Arial" w:eastAsia="Times New Roman" w:hAnsi="Arial" w:cs="Arial"/>
          <w:sz w:val="24"/>
          <w:szCs w:val="24"/>
          <w:lang w:val="en-US" w:eastAsia="en-GB"/>
        </w:rPr>
        <w:t xml:space="preserve"> In paragraph 35 </w:t>
      </w:r>
      <w:r w:rsidR="00F11096" w:rsidRPr="00B76870">
        <w:rPr>
          <w:rFonts w:ascii="Arial" w:eastAsia="Times New Roman" w:hAnsi="Arial" w:cs="Arial"/>
          <w:sz w:val="24"/>
          <w:szCs w:val="24"/>
          <w:lang w:val="en-US" w:eastAsia="en-GB"/>
        </w:rPr>
        <w:t>–</w:t>
      </w:r>
      <w:r w:rsidR="00CF51E4" w:rsidRPr="00B76870">
        <w:rPr>
          <w:rFonts w:ascii="Arial" w:eastAsia="Times New Roman" w:hAnsi="Arial" w:cs="Arial"/>
          <w:sz w:val="24"/>
          <w:szCs w:val="24"/>
          <w:lang w:val="en-US" w:eastAsia="en-GB"/>
        </w:rPr>
        <w:t xml:space="preserve"> </w:t>
      </w:r>
      <w:r w:rsidR="006D23FD" w:rsidRPr="00B76870">
        <w:rPr>
          <w:rFonts w:ascii="Arial" w:eastAsia="Times New Roman" w:hAnsi="Arial" w:cs="Arial"/>
          <w:sz w:val="24"/>
          <w:szCs w:val="24"/>
          <w:lang w:val="en-US" w:eastAsia="en-GB"/>
        </w:rPr>
        <w:t>“</w:t>
      </w:r>
      <w:r w:rsidR="00CF51E4" w:rsidRPr="00B76870">
        <w:rPr>
          <w:rFonts w:ascii="Arial" w:eastAsia="Times New Roman" w:hAnsi="Arial" w:cs="Arial"/>
          <w:i/>
          <w:iCs/>
          <w:sz w:val="24"/>
          <w:szCs w:val="24"/>
          <w:lang w:val="en-US" w:eastAsia="en-GB"/>
        </w:rPr>
        <w:t>It is unclear why the respondent has elected to pull selected affidavits, as if the applicant had failed to disclose the cases from which the respondent has gone to collect the carefully selected affidavits. I respectfully submit, this is indicative of a substantive bias on the part</w:t>
      </w:r>
      <w:r w:rsidR="005157DF" w:rsidRPr="00B76870">
        <w:rPr>
          <w:rFonts w:ascii="Arial" w:eastAsia="Times New Roman" w:hAnsi="Arial" w:cs="Arial"/>
          <w:i/>
          <w:iCs/>
          <w:sz w:val="24"/>
          <w:szCs w:val="24"/>
          <w:lang w:val="en-US" w:eastAsia="en-GB"/>
        </w:rPr>
        <w:t xml:space="preserve"> </w:t>
      </w:r>
      <w:r w:rsidR="00CF51E4" w:rsidRPr="00B76870">
        <w:rPr>
          <w:rFonts w:ascii="Arial" w:eastAsia="Times New Roman" w:hAnsi="Arial" w:cs="Arial"/>
          <w:i/>
          <w:iCs/>
          <w:sz w:val="24"/>
          <w:szCs w:val="24"/>
          <w:lang w:val="en-US" w:eastAsia="en-GB"/>
        </w:rPr>
        <w:t xml:space="preserve">of the LPC. The only purpose would be to accuse me of various forms of </w:t>
      </w:r>
      <w:r w:rsidR="00A34B14" w:rsidRPr="00B76870">
        <w:rPr>
          <w:rFonts w:ascii="Arial" w:eastAsia="Times New Roman" w:hAnsi="Arial" w:cs="Arial"/>
          <w:i/>
          <w:iCs/>
          <w:sz w:val="24"/>
          <w:szCs w:val="24"/>
          <w:lang w:val="en-US" w:eastAsia="en-GB"/>
        </w:rPr>
        <w:t>misbehavior</w:t>
      </w:r>
      <w:r w:rsidR="00CF51E4" w:rsidRPr="00B76870">
        <w:rPr>
          <w:rFonts w:ascii="Arial" w:eastAsia="Times New Roman" w:hAnsi="Arial" w:cs="Arial"/>
          <w:i/>
          <w:iCs/>
          <w:sz w:val="24"/>
          <w:szCs w:val="24"/>
          <w:lang w:val="en-US" w:eastAsia="en-GB"/>
        </w:rPr>
        <w:t xml:space="preserve"> and mislead the court about my moral and ethical character holistically. The selected affidavits do not represent the integrity and honest character of the applicant, rather than represent a party's case before court. It is not for the LPC to dictate how individuals appearing in person are to put their case before court</w:t>
      </w:r>
      <w:r w:rsidR="00CF51E4" w:rsidRPr="00B76870">
        <w:rPr>
          <w:rFonts w:ascii="Arial" w:eastAsia="Times New Roman" w:hAnsi="Arial" w:cs="Arial"/>
          <w:sz w:val="24"/>
          <w:szCs w:val="24"/>
          <w:lang w:val="en-US" w:eastAsia="en-GB"/>
        </w:rPr>
        <w:t>.</w:t>
      </w:r>
      <w:r w:rsidR="00F11096" w:rsidRPr="00B76870">
        <w:rPr>
          <w:rFonts w:ascii="Arial" w:eastAsia="Times New Roman" w:hAnsi="Arial" w:cs="Arial"/>
          <w:sz w:val="24"/>
          <w:szCs w:val="24"/>
          <w:lang w:val="en-US" w:eastAsia="en-GB"/>
        </w:rPr>
        <w:t xml:space="preserve"> “</w:t>
      </w:r>
    </w:p>
    <w:p w14:paraId="2142EE68" w14:textId="5A33CC55" w:rsidR="00CF51E4" w:rsidRPr="00B76870" w:rsidRDefault="00B76870" w:rsidP="00B76870">
      <w:pPr>
        <w:keepNext/>
        <w:tabs>
          <w:tab w:val="left" w:pos="5868"/>
        </w:tabs>
        <w:spacing w:after="240" w:line="480" w:lineRule="auto"/>
        <w:ind w:left="1200" w:hanging="480"/>
        <w:jc w:val="both"/>
        <w:rPr>
          <w:rFonts w:ascii="Arial" w:eastAsia="Times New Roman" w:hAnsi="Arial" w:cs="Arial"/>
          <w:i/>
          <w:iCs/>
          <w:sz w:val="24"/>
          <w:szCs w:val="24"/>
          <w:lang w:val="en-US" w:eastAsia="en-GB"/>
        </w:rPr>
      </w:pPr>
      <w:r w:rsidRPr="006D23FD">
        <w:rPr>
          <w:rFonts w:ascii="Arial" w:eastAsia="Times New Roman" w:hAnsi="Arial" w:cs="Arial"/>
          <w:i/>
          <w:iCs/>
          <w:sz w:val="24"/>
          <w:szCs w:val="24"/>
          <w:lang w:val="en-US" w:eastAsia="en-GB"/>
        </w:rPr>
        <w:t>12.5</w:t>
      </w:r>
      <w:r w:rsidRPr="006D23FD">
        <w:rPr>
          <w:rFonts w:ascii="Arial" w:eastAsia="Times New Roman" w:hAnsi="Arial" w:cs="Arial"/>
          <w:i/>
          <w:iCs/>
          <w:sz w:val="24"/>
          <w:szCs w:val="24"/>
          <w:lang w:val="en-US" w:eastAsia="en-GB"/>
        </w:rPr>
        <w:tab/>
      </w:r>
      <w:r w:rsidR="00CF51E4" w:rsidRPr="00B76870">
        <w:rPr>
          <w:rFonts w:ascii="Arial" w:eastAsia="Times New Roman" w:hAnsi="Arial" w:cs="Arial"/>
          <w:sz w:val="24"/>
          <w:szCs w:val="24"/>
          <w:lang w:val="en-US" w:eastAsia="en-GB"/>
        </w:rPr>
        <w:t xml:space="preserve"> In paragraph 36 </w:t>
      </w:r>
      <w:r w:rsidR="00F11096" w:rsidRPr="00B76870">
        <w:rPr>
          <w:rFonts w:ascii="Arial" w:eastAsia="Times New Roman" w:hAnsi="Arial" w:cs="Arial"/>
          <w:sz w:val="24"/>
          <w:szCs w:val="24"/>
          <w:lang w:val="en-US" w:eastAsia="en-GB"/>
        </w:rPr>
        <w:t>–</w:t>
      </w:r>
      <w:r w:rsidR="00CF51E4" w:rsidRPr="00B76870">
        <w:rPr>
          <w:rFonts w:ascii="Arial" w:eastAsia="Times New Roman" w:hAnsi="Arial" w:cs="Arial"/>
          <w:sz w:val="24"/>
          <w:szCs w:val="24"/>
          <w:lang w:val="en-US" w:eastAsia="en-GB"/>
        </w:rPr>
        <w:t xml:space="preserve"> </w:t>
      </w:r>
      <w:r w:rsidR="00F11096" w:rsidRPr="00B76870">
        <w:rPr>
          <w:rFonts w:ascii="Arial" w:eastAsia="Times New Roman" w:hAnsi="Arial" w:cs="Arial"/>
          <w:sz w:val="24"/>
          <w:szCs w:val="24"/>
          <w:lang w:val="en-US" w:eastAsia="en-GB"/>
        </w:rPr>
        <w:t xml:space="preserve">“ </w:t>
      </w:r>
      <w:r w:rsidR="000C37DB" w:rsidRPr="00B76870">
        <w:rPr>
          <w:rFonts w:ascii="Arial" w:eastAsia="Times New Roman" w:hAnsi="Arial" w:cs="Arial"/>
          <w:i/>
          <w:iCs/>
          <w:sz w:val="24"/>
          <w:szCs w:val="24"/>
          <w:lang w:val="en-US" w:eastAsia="en-GB"/>
        </w:rPr>
        <w:t xml:space="preserve">The respondent, blinded by its selectivity, omits to place before this court extracts from affidavits in which applicant has </w:t>
      </w:r>
      <w:r w:rsidR="000C37DB" w:rsidRPr="00B76870">
        <w:rPr>
          <w:rFonts w:ascii="Arial" w:eastAsia="Times New Roman" w:hAnsi="Arial" w:cs="Arial"/>
          <w:i/>
          <w:iCs/>
          <w:sz w:val="24"/>
          <w:szCs w:val="24"/>
          <w:lang w:val="en-US" w:eastAsia="en-GB"/>
        </w:rPr>
        <w:lastRenderedPageBreak/>
        <w:t>triumphed, such as the recent Supreme Court of Appeal judgment dated 23 January in which applicant was of the view that Majavu AJ misapplied the law, despite obvious and apparent case law having decided the aspects submitted by applicant and that Majavu AJ may have been influenced by the fact that the applicant appeared in person before him against famed senior counsels and arbitrarily disregarded valid evidence and submissions made by the applicant appearing in person. The Supreme Court of Appeal on 23 January 2023 agreed with applicant's views and contentions and has set aside the judgments and orders of Majavu AJ, and ordered that the appeal succeeds is granted to the Full Bench of this above Honourable Court. I attach the SCA ruling hereto marked annexure "RA5".</w:t>
      </w:r>
      <w:r w:rsidR="00F11096" w:rsidRPr="00B76870">
        <w:rPr>
          <w:rFonts w:ascii="Arial" w:eastAsia="Times New Roman" w:hAnsi="Arial" w:cs="Arial"/>
          <w:i/>
          <w:iCs/>
          <w:sz w:val="24"/>
          <w:szCs w:val="24"/>
          <w:lang w:val="en-US" w:eastAsia="en-GB"/>
        </w:rPr>
        <w:t xml:space="preserve">” </w:t>
      </w:r>
    </w:p>
    <w:p w14:paraId="4F5F8322" w14:textId="285EE1A1" w:rsidR="000D2473" w:rsidRPr="00B76870" w:rsidRDefault="00B76870" w:rsidP="00B76870">
      <w:pPr>
        <w:keepNext/>
        <w:tabs>
          <w:tab w:val="left" w:pos="5868"/>
        </w:tabs>
        <w:spacing w:after="240" w:line="480" w:lineRule="auto"/>
        <w:ind w:left="720" w:hanging="360"/>
        <w:jc w:val="both"/>
        <w:rPr>
          <w:rFonts w:ascii="Arial" w:eastAsia="Times New Roman" w:hAnsi="Arial" w:cs="Arial"/>
          <w:sz w:val="24"/>
          <w:szCs w:val="24"/>
          <w:lang w:val="en-US" w:eastAsia="en-GB"/>
        </w:rPr>
      </w:pPr>
      <w:r w:rsidRPr="00A34B14">
        <w:rPr>
          <w:rFonts w:ascii="Arial" w:eastAsia="Times New Roman" w:hAnsi="Arial" w:cs="Arial"/>
          <w:sz w:val="24"/>
          <w:szCs w:val="24"/>
          <w:lang w:val="en-US" w:eastAsia="en-GB"/>
        </w:rPr>
        <w:t>13.</w:t>
      </w:r>
      <w:r w:rsidRPr="00A34B14">
        <w:rPr>
          <w:rFonts w:ascii="Arial" w:eastAsia="Times New Roman" w:hAnsi="Arial" w:cs="Arial"/>
          <w:sz w:val="24"/>
          <w:szCs w:val="24"/>
          <w:lang w:val="en-US" w:eastAsia="en-GB"/>
        </w:rPr>
        <w:tab/>
      </w:r>
      <w:r w:rsidR="000C37DB" w:rsidRPr="00B76870">
        <w:rPr>
          <w:rFonts w:ascii="Arial" w:eastAsia="Times New Roman" w:hAnsi="Arial" w:cs="Arial"/>
          <w:sz w:val="24"/>
          <w:szCs w:val="24"/>
          <w:lang w:val="en-US" w:eastAsia="en-GB"/>
        </w:rPr>
        <w:t xml:space="preserve"> Under section 24(2)(c) of the Legal Practice Act, 28 of 2014 it is a requirement for admission as a legal practitioner</w:t>
      </w:r>
      <w:r w:rsidR="004E3815" w:rsidRPr="00B76870">
        <w:rPr>
          <w:rFonts w:ascii="Arial" w:eastAsia="Times New Roman" w:hAnsi="Arial" w:cs="Arial"/>
          <w:sz w:val="24"/>
          <w:szCs w:val="24"/>
          <w:lang w:val="en-US" w:eastAsia="en-GB"/>
        </w:rPr>
        <w:t>, as it was under the old Admission of Advocates Act</w:t>
      </w:r>
      <w:r w:rsidR="008E155B" w:rsidRPr="00B76870">
        <w:rPr>
          <w:rFonts w:ascii="Arial" w:eastAsia="Times New Roman" w:hAnsi="Arial" w:cs="Arial"/>
          <w:sz w:val="24"/>
          <w:szCs w:val="24"/>
          <w:lang w:val="en-US" w:eastAsia="en-GB"/>
        </w:rPr>
        <w:t>, 74 of</w:t>
      </w:r>
      <w:r w:rsidR="004E3815" w:rsidRPr="00B76870">
        <w:rPr>
          <w:rFonts w:ascii="Arial" w:eastAsia="Times New Roman" w:hAnsi="Arial" w:cs="Arial"/>
          <w:sz w:val="24"/>
          <w:szCs w:val="24"/>
          <w:lang w:val="en-US" w:eastAsia="en-GB"/>
        </w:rPr>
        <w:t xml:space="preserve"> 1964</w:t>
      </w:r>
      <w:r w:rsidR="000C37DB" w:rsidRPr="00B76870">
        <w:rPr>
          <w:rFonts w:ascii="Arial" w:eastAsia="Times New Roman" w:hAnsi="Arial" w:cs="Arial"/>
          <w:sz w:val="24"/>
          <w:szCs w:val="24"/>
          <w:lang w:val="en-US" w:eastAsia="en-GB"/>
        </w:rPr>
        <w:t xml:space="preserve"> that the applicant is fit and proper to be so admitted. The conduct of </w:t>
      </w:r>
      <w:r w:rsidR="009A5E99" w:rsidRPr="00B76870">
        <w:rPr>
          <w:rFonts w:ascii="Arial" w:eastAsia="Times New Roman" w:hAnsi="Arial" w:cs="Arial"/>
          <w:sz w:val="24"/>
          <w:szCs w:val="24"/>
          <w:lang w:val="en-US" w:eastAsia="en-GB"/>
        </w:rPr>
        <w:t>Mr Tjiroze</w:t>
      </w:r>
      <w:r w:rsidR="000C37DB" w:rsidRPr="00B76870">
        <w:rPr>
          <w:rFonts w:ascii="Arial" w:eastAsia="Times New Roman" w:hAnsi="Arial" w:cs="Arial"/>
          <w:sz w:val="24"/>
          <w:szCs w:val="24"/>
          <w:lang w:val="en-US" w:eastAsia="en-GB"/>
        </w:rPr>
        <w:t xml:space="preserve"> as set out above leaves him well short of fulfilling this requirement. The application for admission fails on this ground.</w:t>
      </w:r>
    </w:p>
    <w:p w14:paraId="1E367F74" w14:textId="436BAC7D" w:rsidR="000D2473" w:rsidRPr="00B76870" w:rsidRDefault="00B76870" w:rsidP="00B76870">
      <w:pPr>
        <w:spacing w:line="480" w:lineRule="auto"/>
        <w:ind w:left="720" w:hanging="360"/>
        <w:jc w:val="both"/>
        <w:rPr>
          <w:rFonts w:ascii="Arial" w:hAnsi="Arial" w:cs="Arial"/>
          <w:sz w:val="24"/>
          <w:szCs w:val="24"/>
          <w:lang w:val="en-US"/>
        </w:rPr>
      </w:pPr>
      <w:r w:rsidRPr="00A34B14">
        <w:rPr>
          <w:rFonts w:ascii="Arial" w:hAnsi="Arial" w:cs="Arial"/>
          <w:sz w:val="24"/>
          <w:szCs w:val="24"/>
          <w:lang w:val="en-US"/>
        </w:rPr>
        <w:t>14.</w:t>
      </w:r>
      <w:r w:rsidRPr="00A34B14">
        <w:rPr>
          <w:rFonts w:ascii="Arial" w:hAnsi="Arial" w:cs="Arial"/>
          <w:sz w:val="24"/>
          <w:szCs w:val="24"/>
          <w:lang w:val="en-US"/>
        </w:rPr>
        <w:tab/>
      </w:r>
      <w:r w:rsidR="000D2473" w:rsidRPr="00B76870">
        <w:rPr>
          <w:rFonts w:ascii="Arial" w:hAnsi="Arial" w:cs="Arial"/>
          <w:sz w:val="24"/>
          <w:szCs w:val="24"/>
          <w:lang w:val="en-US"/>
        </w:rPr>
        <w:t>Regarding the qualifications of Mr Tjiroze, he alleges that he qualifies for admission under section 115 of the Legal Practice Act read with section 3(1) of the old Admission of Advocates Act. Section 115 preserves the admissibility of an applicant who qualified to be admitted under the old Act before 1 November 2018. Under section 3(1) of the old Act an applicant needs to show, among other things that he</w:t>
      </w:r>
      <w:r w:rsidR="001575CD" w:rsidRPr="00B76870">
        <w:rPr>
          <w:rFonts w:ascii="Arial" w:hAnsi="Arial" w:cs="Arial"/>
          <w:sz w:val="24"/>
          <w:szCs w:val="24"/>
          <w:lang w:val="en-US"/>
        </w:rPr>
        <w:t xml:space="preserve"> or she</w:t>
      </w:r>
      <w:r w:rsidR="000D2473" w:rsidRPr="00B76870">
        <w:rPr>
          <w:rFonts w:ascii="Arial" w:hAnsi="Arial" w:cs="Arial"/>
          <w:sz w:val="24"/>
          <w:szCs w:val="24"/>
          <w:lang w:val="en-US"/>
        </w:rPr>
        <w:t xml:space="preserve"> is “</w:t>
      </w:r>
      <w:r w:rsidR="000D2473" w:rsidRPr="00B76870">
        <w:rPr>
          <w:rFonts w:ascii="Arial" w:hAnsi="Arial" w:cs="Arial"/>
          <w:i/>
          <w:iCs/>
          <w:sz w:val="24"/>
          <w:szCs w:val="24"/>
          <w:lang w:val="en-US"/>
        </w:rPr>
        <w:t>duly qualified</w:t>
      </w:r>
      <w:r w:rsidR="000D2473" w:rsidRPr="00B76870">
        <w:rPr>
          <w:rFonts w:ascii="Arial" w:hAnsi="Arial" w:cs="Arial"/>
          <w:sz w:val="24"/>
          <w:szCs w:val="24"/>
          <w:lang w:val="en-US"/>
        </w:rPr>
        <w:t>.”</w:t>
      </w:r>
    </w:p>
    <w:p w14:paraId="2BC43F49" w14:textId="779B234B" w:rsidR="000D2473" w:rsidRPr="00B76870" w:rsidRDefault="00B76870" w:rsidP="00B76870">
      <w:pPr>
        <w:spacing w:line="480" w:lineRule="auto"/>
        <w:ind w:left="720" w:hanging="360"/>
        <w:jc w:val="both"/>
        <w:rPr>
          <w:rFonts w:ascii="Arial" w:hAnsi="Arial" w:cs="Arial"/>
          <w:sz w:val="24"/>
          <w:szCs w:val="24"/>
          <w:lang w:val="en-US"/>
        </w:rPr>
      </w:pPr>
      <w:r w:rsidRPr="00A34B14">
        <w:rPr>
          <w:rFonts w:ascii="Arial" w:hAnsi="Arial" w:cs="Arial"/>
          <w:sz w:val="24"/>
          <w:szCs w:val="24"/>
          <w:lang w:val="en-US"/>
        </w:rPr>
        <w:t>15.</w:t>
      </w:r>
      <w:r w:rsidRPr="00A34B14">
        <w:rPr>
          <w:rFonts w:ascii="Arial" w:hAnsi="Arial" w:cs="Arial"/>
          <w:sz w:val="24"/>
          <w:szCs w:val="24"/>
          <w:lang w:val="en-US"/>
        </w:rPr>
        <w:tab/>
      </w:r>
      <w:r w:rsidR="000D2473" w:rsidRPr="00B76870">
        <w:rPr>
          <w:rFonts w:ascii="Arial" w:hAnsi="Arial" w:cs="Arial"/>
          <w:sz w:val="24"/>
          <w:szCs w:val="24"/>
          <w:lang w:val="en-US"/>
        </w:rPr>
        <w:t xml:space="preserve">Under section 3(2)(a)(ii) of the old Act, which is applicable here it is a requirement for admission that the applicant  “ </w:t>
      </w:r>
      <w:r w:rsidR="000D2473" w:rsidRPr="00B76870">
        <w:rPr>
          <w:rFonts w:ascii="Arial" w:hAnsi="Arial" w:cs="Arial"/>
          <w:i/>
          <w:iCs/>
          <w:sz w:val="24"/>
          <w:szCs w:val="24"/>
          <w:shd w:val="clear" w:color="auto" w:fill="FFFFFF"/>
        </w:rPr>
        <w:t xml:space="preserve">has satisfied all the requirements </w:t>
      </w:r>
      <w:r w:rsidR="000D2473" w:rsidRPr="00B76870">
        <w:rPr>
          <w:rFonts w:ascii="Arial" w:hAnsi="Arial" w:cs="Arial"/>
          <w:i/>
          <w:iCs/>
          <w:sz w:val="24"/>
          <w:szCs w:val="24"/>
          <w:shd w:val="clear" w:color="auto" w:fill="FFFFFF"/>
        </w:rPr>
        <w:lastRenderedPageBreak/>
        <w:t>for a degree or degrees of a university in a country which has been designated by the Minister, after consultation with the General Council of the Bar of South Africa, by notice in the Gazette, and in respect of which a university in the Republic with a faculty of law has certified that the syllabus and standard of instruction are equal or superior to those required for the degree of baccalaureus legum of a university in the Republic.”</w:t>
      </w:r>
      <w:r w:rsidR="000D2473" w:rsidRPr="00B76870">
        <w:rPr>
          <w:rFonts w:ascii="Arial" w:hAnsi="Arial" w:cs="Arial"/>
          <w:sz w:val="24"/>
          <w:szCs w:val="24"/>
          <w:shd w:val="clear" w:color="auto" w:fill="FFFFFF"/>
        </w:rPr>
        <w:t xml:space="preserve"> </w:t>
      </w:r>
    </w:p>
    <w:p w14:paraId="22BCAB90" w14:textId="38C5A508" w:rsidR="000D2473" w:rsidRPr="00B76870" w:rsidRDefault="00B76870" w:rsidP="00B76870">
      <w:pPr>
        <w:spacing w:line="480" w:lineRule="auto"/>
        <w:ind w:left="720" w:hanging="360"/>
        <w:jc w:val="both"/>
        <w:rPr>
          <w:rFonts w:ascii="Arial" w:hAnsi="Arial" w:cs="Arial"/>
          <w:sz w:val="24"/>
          <w:szCs w:val="24"/>
          <w:lang w:val="en-US"/>
        </w:rPr>
      </w:pPr>
      <w:r w:rsidRPr="00A34B14">
        <w:rPr>
          <w:rFonts w:ascii="Arial" w:hAnsi="Arial" w:cs="Arial"/>
          <w:sz w:val="24"/>
          <w:szCs w:val="24"/>
          <w:lang w:val="en-US"/>
        </w:rPr>
        <w:t>16.</w:t>
      </w:r>
      <w:r w:rsidRPr="00A34B14">
        <w:rPr>
          <w:rFonts w:ascii="Arial" w:hAnsi="Arial" w:cs="Arial"/>
          <w:sz w:val="24"/>
          <w:szCs w:val="24"/>
          <w:lang w:val="en-US"/>
        </w:rPr>
        <w:tab/>
      </w:r>
      <w:r w:rsidR="00A34B14" w:rsidRPr="00B76870">
        <w:rPr>
          <w:rFonts w:ascii="Arial" w:hAnsi="Arial" w:cs="Arial"/>
          <w:sz w:val="24"/>
          <w:szCs w:val="24"/>
          <w:lang w:val="en-US"/>
        </w:rPr>
        <w:t xml:space="preserve">It is common cause </w:t>
      </w:r>
      <w:r w:rsidR="000D2473" w:rsidRPr="00B76870">
        <w:rPr>
          <w:rFonts w:ascii="Arial" w:hAnsi="Arial" w:cs="Arial"/>
          <w:sz w:val="24"/>
          <w:szCs w:val="24"/>
          <w:lang w:val="en-US"/>
        </w:rPr>
        <w:t>that Mr Tjiroze</w:t>
      </w:r>
      <w:r w:rsidR="00DA211C" w:rsidRPr="00B76870">
        <w:rPr>
          <w:rFonts w:ascii="Arial" w:hAnsi="Arial" w:cs="Arial"/>
          <w:sz w:val="24"/>
          <w:szCs w:val="24"/>
          <w:lang w:val="en-US"/>
        </w:rPr>
        <w:t xml:space="preserve"> has a three </w:t>
      </w:r>
      <w:r w:rsidR="000D2473" w:rsidRPr="00B76870">
        <w:rPr>
          <w:rFonts w:ascii="Arial" w:hAnsi="Arial" w:cs="Arial"/>
          <w:sz w:val="24"/>
          <w:szCs w:val="24"/>
          <w:lang w:val="en-US"/>
        </w:rPr>
        <w:t xml:space="preserve">year B Juris degree from the University of Namibia. Mr Tjiroze needs to show that Monash South Africa, being a South African university with a law faculty, and on which institution he relies, has certified that the syllabus and standard of instruction is equal to or superior to that of the South African LLB. </w:t>
      </w:r>
    </w:p>
    <w:p w14:paraId="3B0E7733" w14:textId="16ED84E7" w:rsidR="000D2473" w:rsidRPr="00B76870" w:rsidRDefault="00B76870" w:rsidP="00B76870">
      <w:pPr>
        <w:spacing w:line="480" w:lineRule="auto"/>
        <w:ind w:left="720" w:hanging="360"/>
        <w:jc w:val="both"/>
        <w:rPr>
          <w:rFonts w:ascii="Arial" w:hAnsi="Arial" w:cs="Arial"/>
          <w:sz w:val="24"/>
          <w:szCs w:val="24"/>
          <w:lang w:val="en-US"/>
        </w:rPr>
      </w:pPr>
      <w:r w:rsidRPr="00A34B14">
        <w:rPr>
          <w:rFonts w:ascii="Arial" w:hAnsi="Arial" w:cs="Arial"/>
          <w:sz w:val="24"/>
          <w:szCs w:val="24"/>
          <w:lang w:val="en-US"/>
        </w:rPr>
        <w:t>17.</w:t>
      </w:r>
      <w:r w:rsidRPr="00A34B14">
        <w:rPr>
          <w:rFonts w:ascii="Arial" w:hAnsi="Arial" w:cs="Arial"/>
          <w:sz w:val="24"/>
          <w:szCs w:val="24"/>
          <w:lang w:val="en-US"/>
        </w:rPr>
        <w:tab/>
      </w:r>
      <w:r w:rsidR="000D2473" w:rsidRPr="00B76870">
        <w:rPr>
          <w:rFonts w:ascii="Arial" w:hAnsi="Arial" w:cs="Arial"/>
          <w:sz w:val="24"/>
          <w:szCs w:val="24"/>
          <w:lang w:val="en-US"/>
        </w:rPr>
        <w:t>The LPC and the JSA accept that Mr Tjiroze has a degree from a country designated by the Minister. The LPC argues that there is no certification by a university in the R</w:t>
      </w:r>
      <w:r w:rsidR="00A34B14" w:rsidRPr="00B76870">
        <w:rPr>
          <w:rFonts w:ascii="Arial" w:hAnsi="Arial" w:cs="Arial"/>
          <w:sz w:val="24"/>
          <w:szCs w:val="24"/>
          <w:lang w:val="en-US"/>
        </w:rPr>
        <w:t>epublic with a faculty of law “</w:t>
      </w:r>
      <w:r w:rsidR="000D2473" w:rsidRPr="00B76870">
        <w:rPr>
          <w:rFonts w:ascii="Arial" w:hAnsi="Arial" w:cs="Arial"/>
          <w:i/>
          <w:iCs/>
          <w:sz w:val="24"/>
          <w:szCs w:val="24"/>
          <w:lang w:val="en-US"/>
        </w:rPr>
        <w:t>that the syllabus and standard of instruction is equal to or superior to those required for the degree of baccalaureus legum of a university in the Republic</w:t>
      </w:r>
      <w:r w:rsidR="000D2473" w:rsidRPr="00B76870">
        <w:rPr>
          <w:rFonts w:ascii="Arial" w:hAnsi="Arial" w:cs="Arial"/>
          <w:sz w:val="24"/>
          <w:szCs w:val="24"/>
          <w:lang w:val="en-US"/>
        </w:rPr>
        <w:t>.”</w:t>
      </w:r>
    </w:p>
    <w:p w14:paraId="34FFA8BC" w14:textId="6D295750" w:rsidR="000D2473" w:rsidRPr="00B76870" w:rsidRDefault="00B76870" w:rsidP="00B76870">
      <w:pPr>
        <w:spacing w:line="480" w:lineRule="auto"/>
        <w:ind w:left="720" w:hanging="360"/>
        <w:jc w:val="both"/>
        <w:rPr>
          <w:rFonts w:ascii="Arial" w:hAnsi="Arial" w:cs="Arial"/>
          <w:sz w:val="24"/>
          <w:szCs w:val="24"/>
          <w:lang w:val="en-US"/>
        </w:rPr>
      </w:pPr>
      <w:r w:rsidRPr="00A34B14">
        <w:rPr>
          <w:rFonts w:ascii="Arial" w:hAnsi="Arial" w:cs="Arial"/>
          <w:sz w:val="24"/>
          <w:szCs w:val="24"/>
          <w:lang w:val="en-US"/>
        </w:rPr>
        <w:t>18.</w:t>
      </w:r>
      <w:r w:rsidRPr="00A34B14">
        <w:rPr>
          <w:rFonts w:ascii="Arial" w:hAnsi="Arial" w:cs="Arial"/>
          <w:sz w:val="24"/>
          <w:szCs w:val="24"/>
          <w:lang w:val="en-US"/>
        </w:rPr>
        <w:tab/>
      </w:r>
      <w:r w:rsidR="000D2473" w:rsidRPr="00B76870">
        <w:rPr>
          <w:rFonts w:ascii="Arial" w:hAnsi="Arial" w:cs="Arial"/>
          <w:sz w:val="24"/>
          <w:szCs w:val="24"/>
          <w:lang w:val="en-US"/>
        </w:rPr>
        <w:t>Attached to Mr Tjiroze’s founding affidavit is a document, apparently dated 20 August 2020 and issued by the South African Qualifications Authority, certifying that the B Juris degree of the University of Namibia has, as its closest compara</w:t>
      </w:r>
      <w:r w:rsidR="00A34B14" w:rsidRPr="00B76870">
        <w:rPr>
          <w:rFonts w:ascii="Arial" w:hAnsi="Arial" w:cs="Arial"/>
          <w:sz w:val="24"/>
          <w:szCs w:val="24"/>
          <w:lang w:val="en-US"/>
        </w:rPr>
        <w:t>ble South African degree, the “</w:t>
      </w:r>
      <w:r w:rsidR="00DA211C" w:rsidRPr="00B76870">
        <w:rPr>
          <w:rFonts w:ascii="Arial" w:hAnsi="Arial" w:cs="Arial"/>
          <w:i/>
          <w:iCs/>
          <w:sz w:val="24"/>
          <w:szCs w:val="24"/>
          <w:lang w:val="en-US"/>
        </w:rPr>
        <w:t>Bachelor of Procurationis</w:t>
      </w:r>
      <w:r w:rsidR="00DA211C" w:rsidRPr="00B76870">
        <w:rPr>
          <w:rFonts w:ascii="Arial" w:hAnsi="Arial" w:cs="Arial"/>
          <w:sz w:val="24"/>
          <w:szCs w:val="24"/>
          <w:lang w:val="en-US"/>
        </w:rPr>
        <w:t xml:space="preserve"> “</w:t>
      </w:r>
      <w:r w:rsidR="00CF3478" w:rsidRPr="00B76870">
        <w:rPr>
          <w:rFonts w:ascii="Arial" w:hAnsi="Arial" w:cs="Arial"/>
          <w:sz w:val="24"/>
          <w:szCs w:val="24"/>
          <w:lang w:val="en-US"/>
        </w:rPr>
        <w:t xml:space="preserve"> </w:t>
      </w:r>
      <w:r w:rsidR="000D2473" w:rsidRPr="00B76870">
        <w:rPr>
          <w:rFonts w:ascii="Arial" w:hAnsi="Arial" w:cs="Arial"/>
          <w:sz w:val="24"/>
          <w:szCs w:val="24"/>
          <w:lang w:val="en-US"/>
        </w:rPr>
        <w:t>degree. This latter degree is commonly known as a B Proc.</w:t>
      </w:r>
    </w:p>
    <w:p w14:paraId="4EF8F988" w14:textId="6FE05FD8" w:rsidR="000D2473" w:rsidRPr="00B76870" w:rsidRDefault="00B76870" w:rsidP="00B76870">
      <w:pPr>
        <w:spacing w:line="480" w:lineRule="auto"/>
        <w:ind w:left="720" w:hanging="360"/>
        <w:jc w:val="both"/>
        <w:rPr>
          <w:rFonts w:ascii="Arial" w:hAnsi="Arial" w:cs="Arial"/>
          <w:sz w:val="24"/>
          <w:szCs w:val="24"/>
          <w:lang w:val="en-US"/>
        </w:rPr>
      </w:pPr>
      <w:r w:rsidRPr="00A34B14">
        <w:rPr>
          <w:rFonts w:ascii="Arial" w:hAnsi="Arial" w:cs="Arial"/>
          <w:sz w:val="24"/>
          <w:szCs w:val="24"/>
          <w:lang w:val="en-US"/>
        </w:rPr>
        <w:t>19.</w:t>
      </w:r>
      <w:r w:rsidRPr="00A34B14">
        <w:rPr>
          <w:rFonts w:ascii="Arial" w:hAnsi="Arial" w:cs="Arial"/>
          <w:sz w:val="24"/>
          <w:szCs w:val="24"/>
          <w:lang w:val="en-US"/>
        </w:rPr>
        <w:tab/>
      </w:r>
      <w:r w:rsidR="000D2473" w:rsidRPr="00B76870">
        <w:rPr>
          <w:rFonts w:ascii="Arial" w:hAnsi="Arial" w:cs="Arial"/>
          <w:sz w:val="24"/>
          <w:szCs w:val="24"/>
          <w:lang w:val="en-US"/>
        </w:rPr>
        <w:t>Annexed to Mr Tj</w:t>
      </w:r>
      <w:r w:rsidR="007C575B" w:rsidRPr="00B76870">
        <w:rPr>
          <w:rFonts w:ascii="Arial" w:hAnsi="Arial" w:cs="Arial"/>
          <w:sz w:val="24"/>
          <w:szCs w:val="24"/>
          <w:lang w:val="en-US"/>
        </w:rPr>
        <w:t>i</w:t>
      </w:r>
      <w:r w:rsidR="000D2473" w:rsidRPr="00B76870">
        <w:rPr>
          <w:rFonts w:ascii="Arial" w:hAnsi="Arial" w:cs="Arial"/>
          <w:sz w:val="24"/>
          <w:szCs w:val="24"/>
          <w:lang w:val="en-US"/>
        </w:rPr>
        <w:t>roze’s founding affidavit is one by Dr Mongalo. Dr M</w:t>
      </w:r>
      <w:r w:rsidR="007C2242" w:rsidRPr="00B76870">
        <w:rPr>
          <w:rFonts w:ascii="Arial" w:hAnsi="Arial" w:cs="Arial"/>
          <w:sz w:val="24"/>
          <w:szCs w:val="24"/>
          <w:lang w:val="en-US"/>
        </w:rPr>
        <w:t>o</w:t>
      </w:r>
      <w:r w:rsidR="000D2473" w:rsidRPr="00B76870">
        <w:rPr>
          <w:rFonts w:ascii="Arial" w:hAnsi="Arial" w:cs="Arial"/>
          <w:sz w:val="24"/>
          <w:szCs w:val="24"/>
          <w:lang w:val="en-US"/>
        </w:rPr>
        <w:t xml:space="preserve">ngalo is an associate professor of law at Wits University. He used to be the head of the law school at Monash. He left Monash at the end of October 2019. In effect, Dr </w:t>
      </w:r>
      <w:r w:rsidR="000D2473" w:rsidRPr="00B76870">
        <w:rPr>
          <w:rFonts w:ascii="Arial" w:hAnsi="Arial" w:cs="Arial"/>
          <w:sz w:val="24"/>
          <w:szCs w:val="24"/>
          <w:lang w:val="en-US"/>
        </w:rPr>
        <w:lastRenderedPageBreak/>
        <w:t xml:space="preserve">Mongalo says that both he and Monash have concluded that Mr Tjiroze qualifies. But this is not a certification by Monash. Dr Mongalo does not purport to speak for Monash. He does not say that he has its authority to </w:t>
      </w:r>
      <w:r w:rsidR="007C2242" w:rsidRPr="00B76870">
        <w:rPr>
          <w:rFonts w:ascii="Arial" w:hAnsi="Arial" w:cs="Arial"/>
          <w:sz w:val="24"/>
          <w:szCs w:val="24"/>
          <w:lang w:val="en-US"/>
        </w:rPr>
        <w:t>provide</w:t>
      </w:r>
      <w:r w:rsidR="000D2473" w:rsidRPr="00B76870">
        <w:rPr>
          <w:rFonts w:ascii="Arial" w:hAnsi="Arial" w:cs="Arial"/>
          <w:sz w:val="24"/>
          <w:szCs w:val="24"/>
          <w:lang w:val="en-US"/>
        </w:rPr>
        <w:t xml:space="preserve"> the required certification. </w:t>
      </w:r>
    </w:p>
    <w:p w14:paraId="2CCA6D76" w14:textId="1857904B" w:rsidR="00DA211C" w:rsidRPr="00B76870" w:rsidRDefault="00B76870" w:rsidP="00B76870">
      <w:pPr>
        <w:spacing w:line="480" w:lineRule="auto"/>
        <w:ind w:left="720" w:hanging="360"/>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0D2473" w:rsidRPr="00B76870">
        <w:rPr>
          <w:rFonts w:ascii="Arial" w:hAnsi="Arial" w:cs="Arial"/>
          <w:sz w:val="24"/>
          <w:szCs w:val="24"/>
          <w:lang w:val="en-US"/>
        </w:rPr>
        <w:t>Annexed to Dr Mongalo’s affidavit is a letter, dated 22 July 2022 by Ms S Ferndale, the Registrar of the Independent Institute of Education, the successor in title to Monash. Ms Ferndale says that Mr Tjiroze received certain credits and was exempted from some</w:t>
      </w:r>
      <w:r w:rsidR="00DA211C" w:rsidRPr="00B76870">
        <w:rPr>
          <w:rFonts w:ascii="Arial" w:hAnsi="Arial" w:cs="Arial"/>
          <w:sz w:val="24"/>
          <w:szCs w:val="24"/>
          <w:lang w:val="en-US"/>
        </w:rPr>
        <w:t xml:space="preserve"> modules relating to Monash’s “</w:t>
      </w:r>
      <w:r w:rsidR="000D2473" w:rsidRPr="00B76870">
        <w:rPr>
          <w:rFonts w:ascii="Arial" w:hAnsi="Arial" w:cs="Arial"/>
          <w:i/>
          <w:iCs/>
          <w:sz w:val="24"/>
          <w:szCs w:val="24"/>
          <w:lang w:val="en-US"/>
        </w:rPr>
        <w:t>2- year LLB</w:t>
      </w:r>
      <w:r w:rsidR="000D2473" w:rsidRPr="00B76870">
        <w:rPr>
          <w:rFonts w:ascii="Arial" w:hAnsi="Arial" w:cs="Arial"/>
          <w:sz w:val="24"/>
          <w:szCs w:val="24"/>
          <w:lang w:val="en-US"/>
        </w:rPr>
        <w:t xml:space="preserve">.” </w:t>
      </w:r>
    </w:p>
    <w:p w14:paraId="4089A9F4" w14:textId="383D555A" w:rsidR="000D2473" w:rsidRPr="00A34B14" w:rsidRDefault="000D2473" w:rsidP="00DA211C">
      <w:pPr>
        <w:pStyle w:val="ListParagraph"/>
        <w:spacing w:line="480" w:lineRule="auto"/>
        <w:jc w:val="both"/>
        <w:rPr>
          <w:rFonts w:ascii="Arial" w:hAnsi="Arial" w:cs="Arial"/>
          <w:sz w:val="24"/>
          <w:szCs w:val="24"/>
          <w:lang w:val="en-US"/>
        </w:rPr>
      </w:pPr>
      <w:r w:rsidRPr="00A34B14">
        <w:rPr>
          <w:rFonts w:ascii="Arial" w:hAnsi="Arial" w:cs="Arial"/>
          <w:sz w:val="24"/>
          <w:szCs w:val="24"/>
          <w:lang w:val="en-US"/>
        </w:rPr>
        <w:t>The high-water mark</w:t>
      </w:r>
      <w:r w:rsidR="007C2242">
        <w:rPr>
          <w:rFonts w:ascii="Arial" w:hAnsi="Arial" w:cs="Arial"/>
          <w:sz w:val="24"/>
          <w:szCs w:val="24"/>
          <w:lang w:val="en-US"/>
        </w:rPr>
        <w:t xml:space="preserve"> for Mr Tjiroze</w:t>
      </w:r>
      <w:r w:rsidRPr="00A34B14">
        <w:rPr>
          <w:rFonts w:ascii="Arial" w:hAnsi="Arial" w:cs="Arial"/>
          <w:sz w:val="24"/>
          <w:szCs w:val="24"/>
          <w:lang w:val="en-US"/>
        </w:rPr>
        <w:t xml:space="preserve"> in this</w:t>
      </w:r>
      <w:r w:rsidR="00DA211C">
        <w:rPr>
          <w:rFonts w:ascii="Arial" w:hAnsi="Arial" w:cs="Arial"/>
          <w:sz w:val="24"/>
          <w:szCs w:val="24"/>
          <w:lang w:val="en-US"/>
        </w:rPr>
        <w:t xml:space="preserve"> letter is the statement that “</w:t>
      </w:r>
      <w:r w:rsidRPr="00A34B14">
        <w:rPr>
          <w:rFonts w:ascii="Arial" w:hAnsi="Arial" w:cs="Arial"/>
          <w:i/>
          <w:iCs/>
          <w:sz w:val="24"/>
          <w:szCs w:val="24"/>
          <w:lang w:val="en-US"/>
        </w:rPr>
        <w:t>Mr Tjiroze was deemed qualified on 06 December 2019 for conferment of the 2 year LLB from Monash South Africa</w:t>
      </w:r>
      <w:r w:rsidRPr="00A34B14">
        <w:rPr>
          <w:rFonts w:ascii="Arial" w:hAnsi="Arial" w:cs="Arial"/>
          <w:sz w:val="24"/>
          <w:szCs w:val="24"/>
          <w:lang w:val="en-US"/>
        </w:rPr>
        <w:t>.” T</w:t>
      </w:r>
      <w:r w:rsidR="00DA211C">
        <w:rPr>
          <w:rFonts w:ascii="Arial" w:hAnsi="Arial" w:cs="Arial"/>
          <w:sz w:val="24"/>
          <w:szCs w:val="24"/>
          <w:lang w:val="en-US"/>
        </w:rPr>
        <w:t>he letter does not state that “</w:t>
      </w:r>
      <w:r w:rsidRPr="00A34B14">
        <w:rPr>
          <w:rFonts w:ascii="Arial" w:hAnsi="Arial" w:cs="Arial"/>
          <w:i/>
          <w:iCs/>
          <w:sz w:val="24"/>
          <w:szCs w:val="24"/>
          <w:shd w:val="clear" w:color="auto" w:fill="FFFFFF"/>
        </w:rPr>
        <w:t xml:space="preserve">the syllabus and standard of instruction are equal or superior to those required for the degree of baccalaureus legum of a university in the Republic.” </w:t>
      </w:r>
    </w:p>
    <w:p w14:paraId="7C49BD6B" w14:textId="4CCDC2A2" w:rsidR="000D2473" w:rsidRPr="00B76870" w:rsidRDefault="00B76870" w:rsidP="00B76870">
      <w:pPr>
        <w:spacing w:line="480" w:lineRule="auto"/>
        <w:ind w:left="720" w:hanging="360"/>
        <w:jc w:val="both"/>
        <w:rPr>
          <w:rFonts w:ascii="Arial" w:hAnsi="Arial" w:cs="Arial"/>
          <w:sz w:val="24"/>
          <w:szCs w:val="24"/>
          <w:lang w:val="en-US"/>
        </w:rPr>
      </w:pPr>
      <w:r w:rsidRPr="00A34B14">
        <w:rPr>
          <w:rFonts w:ascii="Arial" w:hAnsi="Arial" w:cs="Arial"/>
          <w:sz w:val="24"/>
          <w:szCs w:val="24"/>
          <w:lang w:val="en-US"/>
        </w:rPr>
        <w:t>21.</w:t>
      </w:r>
      <w:r w:rsidRPr="00A34B14">
        <w:rPr>
          <w:rFonts w:ascii="Arial" w:hAnsi="Arial" w:cs="Arial"/>
          <w:sz w:val="24"/>
          <w:szCs w:val="24"/>
          <w:lang w:val="en-US"/>
        </w:rPr>
        <w:tab/>
      </w:r>
      <w:r w:rsidR="000D2473" w:rsidRPr="00B76870">
        <w:rPr>
          <w:rFonts w:ascii="Arial" w:hAnsi="Arial" w:cs="Arial"/>
          <w:sz w:val="24"/>
          <w:szCs w:val="24"/>
          <w:shd w:val="clear" w:color="auto" w:fill="FFFFFF"/>
        </w:rPr>
        <w:t>The letter implies the opposite of what is required</w:t>
      </w:r>
      <w:r w:rsidR="007C2242" w:rsidRPr="00B76870">
        <w:rPr>
          <w:rFonts w:ascii="Arial" w:hAnsi="Arial" w:cs="Arial"/>
          <w:sz w:val="24"/>
          <w:szCs w:val="24"/>
          <w:shd w:val="clear" w:color="auto" w:fill="FFFFFF"/>
        </w:rPr>
        <w:t xml:space="preserve">. It implies </w:t>
      </w:r>
      <w:r w:rsidR="000D2473" w:rsidRPr="00B76870">
        <w:rPr>
          <w:rFonts w:ascii="Arial" w:hAnsi="Arial" w:cs="Arial"/>
          <w:sz w:val="24"/>
          <w:szCs w:val="24"/>
          <w:shd w:val="clear" w:color="auto" w:fill="FFFFFF"/>
        </w:rPr>
        <w:t>that Mr Tjiroze needed further tuition from Monash, over and above that which he received for his B Juris to be “</w:t>
      </w:r>
      <w:r w:rsidR="000D2473" w:rsidRPr="00B76870">
        <w:rPr>
          <w:rFonts w:ascii="Arial" w:hAnsi="Arial" w:cs="Arial"/>
          <w:i/>
          <w:iCs/>
          <w:sz w:val="24"/>
          <w:szCs w:val="24"/>
          <w:shd w:val="clear" w:color="auto" w:fill="FFFFFF"/>
        </w:rPr>
        <w:t>deemed qualified</w:t>
      </w:r>
      <w:r w:rsidR="007C2242" w:rsidRPr="00B76870">
        <w:rPr>
          <w:rFonts w:ascii="Arial" w:hAnsi="Arial" w:cs="Arial"/>
          <w:i/>
          <w:iCs/>
          <w:sz w:val="24"/>
          <w:szCs w:val="24"/>
          <w:shd w:val="clear" w:color="auto" w:fill="FFFFFF"/>
        </w:rPr>
        <w:t xml:space="preserve"> </w:t>
      </w:r>
      <w:r w:rsidR="000D2473" w:rsidRPr="00B76870">
        <w:rPr>
          <w:rFonts w:ascii="Arial" w:hAnsi="Arial" w:cs="Arial"/>
          <w:sz w:val="24"/>
          <w:szCs w:val="24"/>
          <w:shd w:val="clear" w:color="auto" w:fill="FFFFFF"/>
        </w:rPr>
        <w:t xml:space="preserve">” by Monash for its 2 year LLB. </w:t>
      </w:r>
    </w:p>
    <w:p w14:paraId="33F4B286" w14:textId="4006FF79" w:rsidR="000D2473" w:rsidRPr="00B76870" w:rsidRDefault="00B76870" w:rsidP="00B76870">
      <w:pPr>
        <w:spacing w:line="480" w:lineRule="auto"/>
        <w:ind w:left="720" w:hanging="360"/>
        <w:jc w:val="both"/>
        <w:rPr>
          <w:rFonts w:ascii="Arial" w:hAnsi="Arial" w:cs="Arial"/>
          <w:sz w:val="24"/>
          <w:szCs w:val="24"/>
          <w:lang w:val="en-US"/>
        </w:rPr>
      </w:pPr>
      <w:r w:rsidRPr="00A34B14">
        <w:rPr>
          <w:rFonts w:ascii="Arial" w:hAnsi="Arial" w:cs="Arial"/>
          <w:sz w:val="24"/>
          <w:szCs w:val="24"/>
          <w:lang w:val="en-US"/>
        </w:rPr>
        <w:t>22.</w:t>
      </w:r>
      <w:r w:rsidRPr="00A34B14">
        <w:rPr>
          <w:rFonts w:ascii="Arial" w:hAnsi="Arial" w:cs="Arial"/>
          <w:sz w:val="24"/>
          <w:szCs w:val="24"/>
          <w:lang w:val="en-US"/>
        </w:rPr>
        <w:tab/>
      </w:r>
      <w:r w:rsidR="000D2473" w:rsidRPr="00B76870">
        <w:rPr>
          <w:rFonts w:ascii="Arial" w:hAnsi="Arial" w:cs="Arial"/>
          <w:sz w:val="24"/>
          <w:szCs w:val="24"/>
          <w:lang w:val="en-US"/>
        </w:rPr>
        <w:t>Mr Tjiroze is thus left with a three year B Juris and a deeming qualification for a Monash 2 year LLB but he is left without a certification from Monash that his B Juris is of the required standard.</w:t>
      </w:r>
    </w:p>
    <w:p w14:paraId="0B1C4315" w14:textId="2BCC28F4" w:rsidR="000D2473" w:rsidRPr="00B76870" w:rsidRDefault="00B76870" w:rsidP="00B76870">
      <w:pPr>
        <w:spacing w:line="480" w:lineRule="auto"/>
        <w:ind w:left="720" w:hanging="360"/>
        <w:jc w:val="both"/>
        <w:rPr>
          <w:rFonts w:ascii="Arial" w:hAnsi="Arial" w:cs="Arial"/>
          <w:sz w:val="24"/>
          <w:szCs w:val="24"/>
          <w:lang w:val="en-US"/>
        </w:rPr>
      </w:pPr>
      <w:r w:rsidRPr="00DA211C">
        <w:rPr>
          <w:rFonts w:ascii="Arial" w:hAnsi="Arial" w:cs="Arial"/>
          <w:sz w:val="24"/>
          <w:szCs w:val="24"/>
          <w:lang w:val="en-US"/>
        </w:rPr>
        <w:t>23.</w:t>
      </w:r>
      <w:r w:rsidRPr="00DA211C">
        <w:rPr>
          <w:rFonts w:ascii="Arial" w:hAnsi="Arial" w:cs="Arial"/>
          <w:sz w:val="24"/>
          <w:szCs w:val="24"/>
          <w:lang w:val="en-US"/>
        </w:rPr>
        <w:tab/>
      </w:r>
      <w:r w:rsidR="000D2473" w:rsidRPr="00B76870">
        <w:rPr>
          <w:rFonts w:ascii="Arial" w:hAnsi="Arial" w:cs="Arial"/>
          <w:sz w:val="24"/>
          <w:szCs w:val="24"/>
          <w:lang w:val="en-US"/>
        </w:rPr>
        <w:t xml:space="preserve">Mr Tjiroze’s application fails </w:t>
      </w:r>
      <w:r w:rsidR="0092120D" w:rsidRPr="00B76870">
        <w:rPr>
          <w:rFonts w:ascii="Arial" w:hAnsi="Arial" w:cs="Arial"/>
          <w:sz w:val="24"/>
          <w:szCs w:val="24"/>
          <w:lang w:val="en-US"/>
        </w:rPr>
        <w:t>on the issue of qualification.</w:t>
      </w:r>
    </w:p>
    <w:p w14:paraId="757255EA" w14:textId="4F78652D" w:rsidR="00683961" w:rsidRPr="00B76870" w:rsidRDefault="00B76870" w:rsidP="00B76870">
      <w:pPr>
        <w:keepNext/>
        <w:tabs>
          <w:tab w:val="left" w:pos="5868"/>
        </w:tabs>
        <w:spacing w:after="240" w:line="480" w:lineRule="auto"/>
        <w:ind w:left="720" w:hanging="360"/>
        <w:jc w:val="both"/>
        <w:rPr>
          <w:rFonts w:ascii="Arial" w:eastAsia="Times New Roman" w:hAnsi="Arial" w:cs="Arial"/>
          <w:sz w:val="24"/>
          <w:szCs w:val="24"/>
          <w:lang w:val="en-US" w:eastAsia="en-GB"/>
        </w:rPr>
      </w:pPr>
      <w:r w:rsidRPr="00C42B2F">
        <w:rPr>
          <w:rFonts w:ascii="Arial" w:eastAsia="Times New Roman" w:hAnsi="Arial" w:cs="Arial"/>
          <w:sz w:val="24"/>
          <w:szCs w:val="24"/>
          <w:lang w:val="en-US" w:eastAsia="en-GB"/>
        </w:rPr>
        <w:lastRenderedPageBreak/>
        <w:t>24.</w:t>
      </w:r>
      <w:r w:rsidRPr="00C42B2F">
        <w:rPr>
          <w:rFonts w:ascii="Arial" w:eastAsia="Times New Roman" w:hAnsi="Arial" w:cs="Arial"/>
          <w:sz w:val="24"/>
          <w:szCs w:val="24"/>
          <w:lang w:val="en-US" w:eastAsia="en-GB"/>
        </w:rPr>
        <w:tab/>
      </w:r>
      <w:r w:rsidR="002123B5" w:rsidRPr="00B76870">
        <w:rPr>
          <w:rFonts w:ascii="Arial" w:eastAsia="Times New Roman" w:hAnsi="Arial" w:cs="Arial"/>
          <w:sz w:val="24"/>
          <w:szCs w:val="24"/>
          <w:lang w:val="en-US" w:eastAsia="en-GB"/>
        </w:rPr>
        <w:t xml:space="preserve"> </w:t>
      </w:r>
      <w:r w:rsidR="003A0177" w:rsidRPr="00B76870">
        <w:rPr>
          <w:rFonts w:ascii="Arial" w:eastAsia="Times New Roman" w:hAnsi="Arial" w:cs="Arial"/>
          <w:sz w:val="24"/>
          <w:szCs w:val="24"/>
          <w:lang w:val="en-US" w:eastAsia="en-GB"/>
        </w:rPr>
        <w:t xml:space="preserve"> </w:t>
      </w:r>
      <w:r w:rsidR="00F11096" w:rsidRPr="00B76870">
        <w:rPr>
          <w:rFonts w:ascii="Arial" w:eastAsia="Times New Roman" w:hAnsi="Arial" w:cs="Arial"/>
          <w:sz w:val="24"/>
          <w:szCs w:val="24"/>
          <w:lang w:val="en-US" w:eastAsia="en-GB"/>
        </w:rPr>
        <w:t>Mr Tjiroze’s conduct in the present matter</w:t>
      </w:r>
      <w:r w:rsidR="001575CD" w:rsidRPr="00B76870">
        <w:rPr>
          <w:rFonts w:ascii="Arial" w:eastAsia="Times New Roman" w:hAnsi="Arial" w:cs="Arial"/>
          <w:sz w:val="24"/>
          <w:szCs w:val="24"/>
          <w:lang w:val="en-US" w:eastAsia="en-GB"/>
        </w:rPr>
        <w:t>, as set out above on the question of fitness</w:t>
      </w:r>
      <w:r w:rsidR="00F11096" w:rsidRPr="00B76870">
        <w:rPr>
          <w:rFonts w:ascii="Arial" w:eastAsia="Times New Roman" w:hAnsi="Arial" w:cs="Arial"/>
          <w:sz w:val="24"/>
          <w:szCs w:val="24"/>
          <w:lang w:val="en-US" w:eastAsia="en-GB"/>
        </w:rPr>
        <w:t xml:space="preserve"> call</w:t>
      </w:r>
      <w:r w:rsidR="00EC23DD" w:rsidRPr="00B76870">
        <w:rPr>
          <w:rFonts w:ascii="Arial" w:eastAsia="Times New Roman" w:hAnsi="Arial" w:cs="Arial"/>
          <w:sz w:val="24"/>
          <w:szCs w:val="24"/>
          <w:lang w:val="en-US" w:eastAsia="en-GB"/>
        </w:rPr>
        <w:t>s</w:t>
      </w:r>
      <w:r w:rsidR="00F11096" w:rsidRPr="00B76870">
        <w:rPr>
          <w:rFonts w:ascii="Arial" w:eastAsia="Times New Roman" w:hAnsi="Arial" w:cs="Arial"/>
          <w:sz w:val="24"/>
          <w:szCs w:val="24"/>
          <w:lang w:val="en-US" w:eastAsia="en-GB"/>
        </w:rPr>
        <w:t xml:space="preserve"> for p</w:t>
      </w:r>
      <w:r w:rsidR="003A0177" w:rsidRPr="00B76870">
        <w:rPr>
          <w:rFonts w:ascii="Arial" w:eastAsia="Times New Roman" w:hAnsi="Arial" w:cs="Arial"/>
          <w:sz w:val="24"/>
          <w:szCs w:val="24"/>
          <w:lang w:val="en-US" w:eastAsia="en-GB"/>
        </w:rPr>
        <w:t>unitive costs</w:t>
      </w:r>
      <w:r w:rsidR="00F11096" w:rsidRPr="00B76870">
        <w:rPr>
          <w:rFonts w:ascii="Arial" w:eastAsia="Times New Roman" w:hAnsi="Arial" w:cs="Arial"/>
          <w:sz w:val="24"/>
          <w:szCs w:val="24"/>
          <w:lang w:val="en-US" w:eastAsia="en-GB"/>
        </w:rPr>
        <w:t>.</w:t>
      </w:r>
    </w:p>
    <w:p w14:paraId="5FB567CD" w14:textId="2106C164" w:rsidR="00717EAE" w:rsidRPr="00B76870" w:rsidRDefault="00B76870" w:rsidP="00B76870">
      <w:pPr>
        <w:keepNext/>
        <w:tabs>
          <w:tab w:val="left" w:pos="5868"/>
        </w:tabs>
        <w:spacing w:after="240" w:line="480" w:lineRule="auto"/>
        <w:ind w:left="720" w:hanging="360"/>
        <w:jc w:val="both"/>
        <w:rPr>
          <w:rFonts w:ascii="Arial" w:eastAsia="Times New Roman" w:hAnsi="Arial" w:cs="Arial"/>
          <w:sz w:val="24"/>
          <w:szCs w:val="24"/>
          <w:lang w:val="en-US" w:eastAsia="en-GB"/>
        </w:rPr>
      </w:pPr>
      <w:r w:rsidRPr="0063593C">
        <w:rPr>
          <w:rFonts w:ascii="Arial" w:eastAsia="Times New Roman" w:hAnsi="Arial" w:cs="Arial"/>
          <w:sz w:val="24"/>
          <w:szCs w:val="24"/>
          <w:lang w:val="en-US" w:eastAsia="en-GB"/>
        </w:rPr>
        <w:t>25.</w:t>
      </w:r>
      <w:r w:rsidRPr="0063593C">
        <w:rPr>
          <w:rFonts w:ascii="Arial" w:eastAsia="Times New Roman" w:hAnsi="Arial" w:cs="Arial"/>
          <w:sz w:val="24"/>
          <w:szCs w:val="24"/>
          <w:lang w:val="en-US" w:eastAsia="en-GB"/>
        </w:rPr>
        <w:tab/>
      </w:r>
      <w:r w:rsidR="00041BE5" w:rsidRPr="00B76870">
        <w:rPr>
          <w:rFonts w:ascii="Arial" w:eastAsia="Times New Roman" w:hAnsi="Arial" w:cs="Arial"/>
          <w:sz w:val="24"/>
          <w:szCs w:val="24"/>
          <w:lang w:val="en-US" w:eastAsia="en-GB"/>
        </w:rPr>
        <w:t xml:space="preserve"> At the </w:t>
      </w:r>
      <w:r w:rsidR="00E956B6" w:rsidRPr="00B76870">
        <w:rPr>
          <w:rFonts w:ascii="Arial" w:eastAsia="Times New Roman" w:hAnsi="Arial" w:cs="Arial"/>
          <w:sz w:val="24"/>
          <w:szCs w:val="24"/>
          <w:lang w:val="en-US" w:eastAsia="en-GB"/>
        </w:rPr>
        <w:t xml:space="preserve">outset of the </w:t>
      </w:r>
      <w:r w:rsidR="00041BE5" w:rsidRPr="00B76870">
        <w:rPr>
          <w:rFonts w:ascii="Arial" w:eastAsia="Times New Roman" w:hAnsi="Arial" w:cs="Arial"/>
          <w:sz w:val="24"/>
          <w:szCs w:val="24"/>
          <w:lang w:val="en-US" w:eastAsia="en-GB"/>
        </w:rPr>
        <w:t xml:space="preserve">present hearing, </w:t>
      </w:r>
      <w:r w:rsidR="0063593C" w:rsidRPr="00B76870">
        <w:rPr>
          <w:rFonts w:ascii="Arial" w:eastAsia="Times New Roman" w:hAnsi="Arial" w:cs="Arial"/>
          <w:sz w:val="24"/>
          <w:szCs w:val="24"/>
          <w:lang w:val="en-US" w:eastAsia="en-GB"/>
        </w:rPr>
        <w:t>Ms I Strydom for Mr Tjiroze</w:t>
      </w:r>
      <w:r w:rsidR="00041BE5" w:rsidRPr="00B76870">
        <w:rPr>
          <w:rFonts w:ascii="Arial" w:eastAsia="Times New Roman" w:hAnsi="Arial" w:cs="Arial"/>
          <w:sz w:val="24"/>
          <w:szCs w:val="24"/>
          <w:lang w:val="en-US" w:eastAsia="en-GB"/>
        </w:rPr>
        <w:t xml:space="preserve"> did </w:t>
      </w:r>
      <w:r w:rsidR="009440CA" w:rsidRPr="00B76870">
        <w:rPr>
          <w:rFonts w:ascii="Arial" w:eastAsia="Times New Roman" w:hAnsi="Arial" w:cs="Arial"/>
          <w:sz w:val="24"/>
          <w:szCs w:val="24"/>
          <w:lang w:val="en-US" w:eastAsia="en-GB"/>
        </w:rPr>
        <w:t>not proceed with prayers 2 and 3</w:t>
      </w:r>
      <w:r w:rsidR="00041BE5" w:rsidRPr="00B76870">
        <w:rPr>
          <w:rFonts w:ascii="Arial" w:eastAsia="Times New Roman" w:hAnsi="Arial" w:cs="Arial"/>
          <w:sz w:val="24"/>
          <w:szCs w:val="24"/>
          <w:lang w:val="en-US" w:eastAsia="en-GB"/>
        </w:rPr>
        <w:t xml:space="preserve"> of the related application of 17 November 2022. </w:t>
      </w:r>
      <w:r w:rsidR="0063593C" w:rsidRPr="00B76870">
        <w:rPr>
          <w:rFonts w:ascii="Arial" w:eastAsia="Times New Roman" w:hAnsi="Arial" w:cs="Arial"/>
          <w:sz w:val="24"/>
          <w:szCs w:val="24"/>
          <w:lang w:val="en-US" w:eastAsia="en-GB"/>
        </w:rPr>
        <w:t xml:space="preserve">Mr Tjiroze </w:t>
      </w:r>
      <w:r w:rsidR="00041BE5" w:rsidRPr="00B76870">
        <w:rPr>
          <w:rFonts w:ascii="Arial" w:eastAsia="Times New Roman" w:hAnsi="Arial" w:cs="Arial"/>
          <w:sz w:val="24"/>
          <w:szCs w:val="24"/>
          <w:lang w:val="en-US" w:eastAsia="en-GB"/>
        </w:rPr>
        <w:t xml:space="preserve">also did not proceed with </w:t>
      </w:r>
      <w:r w:rsidR="00012700" w:rsidRPr="00B76870">
        <w:rPr>
          <w:rFonts w:ascii="Arial" w:eastAsia="Times New Roman" w:hAnsi="Arial" w:cs="Arial"/>
          <w:sz w:val="24"/>
          <w:szCs w:val="24"/>
          <w:lang w:val="en-US" w:eastAsia="en-GB"/>
        </w:rPr>
        <w:t>a</w:t>
      </w:r>
      <w:r w:rsidR="00041BE5" w:rsidRPr="00B76870">
        <w:rPr>
          <w:rFonts w:ascii="Arial" w:eastAsia="Times New Roman" w:hAnsi="Arial" w:cs="Arial"/>
          <w:sz w:val="24"/>
          <w:szCs w:val="24"/>
          <w:lang w:val="en-US" w:eastAsia="en-GB"/>
        </w:rPr>
        <w:t xml:space="preserve"> R</w:t>
      </w:r>
      <w:r w:rsidR="009440CA" w:rsidRPr="00B76870">
        <w:rPr>
          <w:rFonts w:ascii="Arial" w:eastAsia="Times New Roman" w:hAnsi="Arial" w:cs="Arial"/>
          <w:sz w:val="24"/>
          <w:szCs w:val="24"/>
          <w:lang w:val="en-US" w:eastAsia="en-GB"/>
        </w:rPr>
        <w:t>ule 30 applicatio</w:t>
      </w:r>
      <w:r w:rsidR="00041BE5" w:rsidRPr="00B76870">
        <w:rPr>
          <w:rFonts w:ascii="Arial" w:eastAsia="Times New Roman" w:hAnsi="Arial" w:cs="Arial"/>
          <w:sz w:val="24"/>
          <w:szCs w:val="24"/>
          <w:lang w:val="en-US" w:eastAsia="en-GB"/>
        </w:rPr>
        <w:t>n.</w:t>
      </w:r>
      <w:r w:rsidR="00E956B6" w:rsidRPr="00B76870">
        <w:rPr>
          <w:rFonts w:ascii="Arial" w:eastAsia="Times New Roman" w:hAnsi="Arial" w:cs="Arial"/>
          <w:sz w:val="24"/>
          <w:szCs w:val="24"/>
          <w:lang w:val="en-US" w:eastAsia="en-GB"/>
        </w:rPr>
        <w:t xml:space="preserve"> It was expressly agreed by Ms Strydom for Mr Tjiroze, Mr Groome for the LPC and Mr Gilbert</w:t>
      </w:r>
      <w:r w:rsidR="001575CD" w:rsidRPr="00B76870">
        <w:rPr>
          <w:rFonts w:ascii="Arial" w:eastAsia="Times New Roman" w:hAnsi="Arial" w:cs="Arial"/>
          <w:sz w:val="24"/>
          <w:szCs w:val="24"/>
          <w:lang w:val="en-US" w:eastAsia="en-GB"/>
        </w:rPr>
        <w:t xml:space="preserve"> </w:t>
      </w:r>
      <w:r w:rsidR="001575CD" w:rsidRPr="00B76870">
        <w:rPr>
          <w:rFonts w:ascii="Arial" w:eastAsia="Times New Roman" w:hAnsi="Arial" w:cs="Arial"/>
          <w:sz w:val="24"/>
          <w:szCs w:val="24"/>
          <w:lang w:val="en-US" w:eastAsia="en-GB"/>
        </w:rPr>
        <w:lastRenderedPageBreak/>
        <w:t xml:space="preserve">leading Mr Deeplal </w:t>
      </w:r>
      <w:r w:rsidR="00E956B6" w:rsidRPr="00B76870">
        <w:rPr>
          <w:rFonts w:ascii="Arial" w:eastAsia="Times New Roman" w:hAnsi="Arial" w:cs="Arial"/>
          <w:sz w:val="24"/>
          <w:szCs w:val="24"/>
          <w:lang w:val="en-US" w:eastAsia="en-GB"/>
        </w:rPr>
        <w:t>for the JSA that the JSA be joined as a party. Accordingly, the JSA’s intervention application fell away apart from the question of its costs.</w:t>
      </w:r>
    </w:p>
    <w:p w14:paraId="2DF048DA" w14:textId="1717F8CD" w:rsidR="00316F7A" w:rsidRPr="00B76870" w:rsidRDefault="00B76870" w:rsidP="00B76870">
      <w:pPr>
        <w:keepNext/>
        <w:tabs>
          <w:tab w:val="left" w:pos="5868"/>
        </w:tabs>
        <w:spacing w:after="240" w:line="480" w:lineRule="auto"/>
        <w:ind w:left="720" w:hanging="360"/>
        <w:jc w:val="both"/>
        <w:rPr>
          <w:rFonts w:ascii="Arial" w:eastAsia="Times New Roman" w:hAnsi="Arial" w:cs="Arial"/>
          <w:sz w:val="24"/>
          <w:szCs w:val="24"/>
          <w:lang w:val="en-US" w:eastAsia="en-GB"/>
        </w:rPr>
      </w:pPr>
      <w:r w:rsidRPr="006D23FD">
        <w:rPr>
          <w:rFonts w:ascii="Arial" w:eastAsia="Times New Roman" w:hAnsi="Arial" w:cs="Arial"/>
          <w:sz w:val="24"/>
          <w:szCs w:val="24"/>
          <w:lang w:val="en-US" w:eastAsia="en-GB"/>
        </w:rPr>
        <w:t>26.</w:t>
      </w:r>
      <w:r w:rsidRPr="006D23FD">
        <w:rPr>
          <w:rFonts w:ascii="Arial" w:eastAsia="Times New Roman" w:hAnsi="Arial" w:cs="Arial"/>
          <w:sz w:val="24"/>
          <w:szCs w:val="24"/>
          <w:lang w:val="en-US" w:eastAsia="en-GB"/>
        </w:rPr>
        <w:tab/>
      </w:r>
      <w:r w:rsidR="00316F7A" w:rsidRPr="00B76870">
        <w:rPr>
          <w:rFonts w:ascii="Arial" w:eastAsia="Times New Roman" w:hAnsi="Arial" w:cs="Arial"/>
          <w:sz w:val="24"/>
          <w:szCs w:val="24"/>
          <w:lang w:val="en-US" w:eastAsia="en-GB"/>
        </w:rPr>
        <w:t xml:space="preserve"> </w:t>
      </w:r>
      <w:r w:rsidR="00683961" w:rsidRPr="00B76870">
        <w:rPr>
          <w:rFonts w:ascii="Arial" w:eastAsia="Times New Roman" w:hAnsi="Arial" w:cs="Arial"/>
          <w:sz w:val="24"/>
          <w:szCs w:val="24"/>
          <w:lang w:val="en-US" w:eastAsia="en-GB"/>
        </w:rPr>
        <w:t xml:space="preserve">The LPC seeks costs </w:t>
      </w:r>
      <w:r w:rsidR="00316F7A" w:rsidRPr="00B76870">
        <w:rPr>
          <w:rFonts w:ascii="Arial" w:eastAsia="Times New Roman" w:hAnsi="Arial" w:cs="Arial"/>
          <w:sz w:val="24"/>
          <w:szCs w:val="24"/>
          <w:lang w:val="en-US" w:eastAsia="en-GB"/>
        </w:rPr>
        <w:t xml:space="preserve">only in </w:t>
      </w:r>
      <w:r w:rsidR="005A4F65" w:rsidRPr="00B76870">
        <w:rPr>
          <w:rFonts w:ascii="Arial" w:eastAsia="Times New Roman" w:hAnsi="Arial" w:cs="Arial"/>
          <w:sz w:val="24"/>
          <w:szCs w:val="24"/>
          <w:lang w:val="en-US" w:eastAsia="en-GB"/>
        </w:rPr>
        <w:t xml:space="preserve">the </w:t>
      </w:r>
      <w:r w:rsidR="00316F7A" w:rsidRPr="00B76870">
        <w:rPr>
          <w:rFonts w:ascii="Arial" w:eastAsia="Times New Roman" w:hAnsi="Arial" w:cs="Arial"/>
          <w:sz w:val="24"/>
          <w:szCs w:val="24"/>
          <w:lang w:val="en-US" w:eastAsia="en-GB"/>
        </w:rPr>
        <w:t xml:space="preserve">main </w:t>
      </w:r>
      <w:r w:rsidR="00683961" w:rsidRPr="00B76870">
        <w:rPr>
          <w:rFonts w:ascii="Arial" w:eastAsia="Times New Roman" w:hAnsi="Arial" w:cs="Arial"/>
          <w:sz w:val="24"/>
          <w:szCs w:val="24"/>
          <w:lang w:val="en-US" w:eastAsia="en-GB"/>
        </w:rPr>
        <w:t xml:space="preserve">application </w:t>
      </w:r>
      <w:r w:rsidR="00316F7A" w:rsidRPr="00B76870">
        <w:rPr>
          <w:rFonts w:ascii="Arial" w:eastAsia="Times New Roman" w:hAnsi="Arial" w:cs="Arial"/>
          <w:sz w:val="24"/>
          <w:szCs w:val="24"/>
          <w:lang w:val="en-US" w:eastAsia="en-GB"/>
        </w:rPr>
        <w:t xml:space="preserve">and </w:t>
      </w:r>
      <w:r w:rsidR="00683961" w:rsidRPr="00B76870">
        <w:rPr>
          <w:rFonts w:ascii="Arial" w:eastAsia="Times New Roman" w:hAnsi="Arial" w:cs="Arial"/>
          <w:sz w:val="24"/>
          <w:szCs w:val="24"/>
          <w:lang w:val="en-US" w:eastAsia="en-GB"/>
        </w:rPr>
        <w:t>in the urgent application of 17 November 2022</w:t>
      </w:r>
      <w:r w:rsidR="0063593C" w:rsidRPr="00B76870">
        <w:rPr>
          <w:rFonts w:ascii="Arial" w:eastAsia="Times New Roman" w:hAnsi="Arial" w:cs="Arial"/>
          <w:sz w:val="24"/>
          <w:szCs w:val="24"/>
          <w:lang w:val="en-US" w:eastAsia="en-GB"/>
        </w:rPr>
        <w:t>, both</w:t>
      </w:r>
      <w:r w:rsidR="00316F7A" w:rsidRPr="00B76870">
        <w:rPr>
          <w:rFonts w:ascii="Arial" w:eastAsia="Times New Roman" w:hAnsi="Arial" w:cs="Arial"/>
          <w:sz w:val="24"/>
          <w:szCs w:val="24"/>
          <w:lang w:val="en-US" w:eastAsia="en-GB"/>
        </w:rPr>
        <w:t xml:space="preserve"> on the attorney and client scale.</w:t>
      </w:r>
    </w:p>
    <w:p w14:paraId="44A2005D" w14:textId="4F4241C3" w:rsidR="00C82300" w:rsidRPr="00B76870" w:rsidRDefault="00B76870" w:rsidP="00B76870">
      <w:pPr>
        <w:keepNext/>
        <w:tabs>
          <w:tab w:val="left" w:pos="5868"/>
        </w:tabs>
        <w:spacing w:after="240" w:line="480" w:lineRule="auto"/>
        <w:ind w:left="720" w:hanging="360"/>
        <w:jc w:val="both"/>
        <w:rPr>
          <w:rFonts w:ascii="Arial" w:eastAsia="Times New Roman" w:hAnsi="Arial" w:cs="Arial"/>
          <w:sz w:val="24"/>
          <w:szCs w:val="24"/>
          <w:lang w:val="en-US" w:eastAsia="en-GB"/>
        </w:rPr>
      </w:pPr>
      <w:r w:rsidRPr="006D23FD">
        <w:rPr>
          <w:rFonts w:ascii="Arial" w:eastAsia="Times New Roman" w:hAnsi="Arial" w:cs="Arial"/>
          <w:sz w:val="24"/>
          <w:szCs w:val="24"/>
          <w:lang w:val="en-US" w:eastAsia="en-GB"/>
        </w:rPr>
        <w:t>27.</w:t>
      </w:r>
      <w:r w:rsidRPr="006D23FD">
        <w:rPr>
          <w:rFonts w:ascii="Arial" w:eastAsia="Times New Roman" w:hAnsi="Arial" w:cs="Arial"/>
          <w:sz w:val="24"/>
          <w:szCs w:val="24"/>
          <w:lang w:val="en-US" w:eastAsia="en-GB"/>
        </w:rPr>
        <w:tab/>
      </w:r>
      <w:r w:rsidR="00E956B6" w:rsidRPr="00B76870">
        <w:rPr>
          <w:rFonts w:ascii="Arial" w:eastAsia="Times New Roman" w:hAnsi="Arial" w:cs="Arial"/>
          <w:sz w:val="24"/>
          <w:szCs w:val="24"/>
          <w:lang w:val="en-US" w:eastAsia="en-GB"/>
        </w:rPr>
        <w:t xml:space="preserve"> </w:t>
      </w:r>
      <w:r w:rsidR="00AD0D97" w:rsidRPr="00B76870">
        <w:rPr>
          <w:rFonts w:ascii="Arial" w:eastAsia="Times New Roman" w:hAnsi="Arial" w:cs="Arial"/>
          <w:sz w:val="24"/>
          <w:szCs w:val="24"/>
          <w:lang w:val="en-US" w:eastAsia="en-GB"/>
        </w:rPr>
        <w:t xml:space="preserve">The </w:t>
      </w:r>
      <w:r w:rsidR="00717EAE" w:rsidRPr="00B76870">
        <w:rPr>
          <w:rFonts w:ascii="Arial" w:eastAsia="Times New Roman" w:hAnsi="Arial" w:cs="Arial"/>
          <w:sz w:val="24"/>
          <w:szCs w:val="24"/>
          <w:lang w:val="en-US" w:eastAsia="en-GB"/>
        </w:rPr>
        <w:t>JSA seeks</w:t>
      </w:r>
      <w:r w:rsidR="00316F7A" w:rsidRPr="00B76870">
        <w:rPr>
          <w:rFonts w:ascii="Arial" w:eastAsia="Times New Roman" w:hAnsi="Arial" w:cs="Arial"/>
          <w:sz w:val="24"/>
          <w:szCs w:val="24"/>
          <w:lang w:val="en-US" w:eastAsia="en-GB"/>
        </w:rPr>
        <w:t xml:space="preserve"> </w:t>
      </w:r>
      <w:r w:rsidR="00717EAE" w:rsidRPr="00B76870">
        <w:rPr>
          <w:rFonts w:ascii="Arial" w:eastAsia="Times New Roman" w:hAnsi="Arial" w:cs="Arial"/>
          <w:sz w:val="24"/>
          <w:szCs w:val="24"/>
          <w:lang w:val="en-US" w:eastAsia="en-GB"/>
        </w:rPr>
        <w:t xml:space="preserve">costs </w:t>
      </w:r>
      <w:r w:rsidR="00316F7A" w:rsidRPr="00B76870">
        <w:rPr>
          <w:rFonts w:ascii="Arial" w:eastAsia="Times New Roman" w:hAnsi="Arial" w:cs="Arial"/>
          <w:sz w:val="24"/>
          <w:szCs w:val="24"/>
          <w:lang w:val="en-US" w:eastAsia="en-GB"/>
        </w:rPr>
        <w:t>in the urgent application</w:t>
      </w:r>
      <w:r w:rsidR="003A2C81" w:rsidRPr="00B76870">
        <w:rPr>
          <w:rFonts w:ascii="Arial" w:eastAsia="Times New Roman" w:hAnsi="Arial" w:cs="Arial"/>
          <w:sz w:val="24"/>
          <w:szCs w:val="24"/>
          <w:lang w:val="en-US" w:eastAsia="en-GB"/>
        </w:rPr>
        <w:t xml:space="preserve"> of 17 November 2022</w:t>
      </w:r>
      <w:r w:rsidR="00316F7A" w:rsidRPr="00B76870">
        <w:rPr>
          <w:rFonts w:ascii="Arial" w:eastAsia="Times New Roman" w:hAnsi="Arial" w:cs="Arial"/>
          <w:sz w:val="24"/>
          <w:szCs w:val="24"/>
          <w:lang w:val="en-US" w:eastAsia="en-GB"/>
        </w:rPr>
        <w:t>, its intervention application and in the Rule 30 application on the party and party scale.</w:t>
      </w:r>
    </w:p>
    <w:p w14:paraId="1053A446" w14:textId="59BD81ED" w:rsidR="00AC449E" w:rsidRPr="00B76870" w:rsidRDefault="00B76870" w:rsidP="00B76870">
      <w:pPr>
        <w:keepNext/>
        <w:tabs>
          <w:tab w:val="left" w:pos="5868"/>
        </w:tabs>
        <w:spacing w:after="240" w:line="480" w:lineRule="auto"/>
        <w:ind w:left="720" w:hanging="360"/>
        <w:jc w:val="both"/>
        <w:rPr>
          <w:rFonts w:ascii="Arial" w:eastAsia="Times New Roman" w:hAnsi="Arial" w:cs="Arial"/>
          <w:sz w:val="24"/>
          <w:szCs w:val="24"/>
          <w:lang w:val="en-US" w:eastAsia="en-GB"/>
        </w:rPr>
      </w:pPr>
      <w:r w:rsidRPr="006D23FD">
        <w:rPr>
          <w:rFonts w:ascii="Arial" w:eastAsia="Times New Roman" w:hAnsi="Arial" w:cs="Arial"/>
          <w:sz w:val="24"/>
          <w:szCs w:val="24"/>
          <w:lang w:val="en-US" w:eastAsia="en-GB"/>
        </w:rPr>
        <w:t>28.</w:t>
      </w:r>
      <w:r w:rsidRPr="006D23FD">
        <w:rPr>
          <w:rFonts w:ascii="Arial" w:eastAsia="Times New Roman" w:hAnsi="Arial" w:cs="Arial"/>
          <w:sz w:val="24"/>
          <w:szCs w:val="24"/>
          <w:lang w:val="en-US" w:eastAsia="en-GB"/>
        </w:rPr>
        <w:tab/>
      </w:r>
      <w:r w:rsidR="00E956B6" w:rsidRPr="00B76870">
        <w:rPr>
          <w:rFonts w:ascii="Arial" w:eastAsia="Times New Roman" w:hAnsi="Arial" w:cs="Arial"/>
          <w:sz w:val="24"/>
          <w:szCs w:val="24"/>
          <w:lang w:val="en-US" w:eastAsia="en-GB"/>
        </w:rPr>
        <w:t xml:space="preserve"> </w:t>
      </w:r>
      <w:r w:rsidR="00AC449E" w:rsidRPr="00B76870">
        <w:rPr>
          <w:rFonts w:ascii="Arial" w:eastAsia="Times New Roman" w:hAnsi="Arial" w:cs="Arial"/>
          <w:sz w:val="24"/>
          <w:szCs w:val="24"/>
          <w:lang w:val="en-US" w:eastAsia="en-GB"/>
        </w:rPr>
        <w:t>I acknowledge the helpful input made by Ms Keetse and Mr Seleka</w:t>
      </w:r>
      <w:r w:rsidR="001575CD" w:rsidRPr="00B76870">
        <w:rPr>
          <w:rFonts w:ascii="Arial" w:eastAsia="Times New Roman" w:hAnsi="Arial" w:cs="Arial"/>
          <w:sz w:val="24"/>
          <w:szCs w:val="24"/>
          <w:lang w:val="en-US" w:eastAsia="en-GB"/>
        </w:rPr>
        <w:t xml:space="preserve"> and the learned and professional argument </w:t>
      </w:r>
      <w:r w:rsidR="00B85BC2" w:rsidRPr="00B76870">
        <w:rPr>
          <w:rFonts w:ascii="Arial" w:eastAsia="Times New Roman" w:hAnsi="Arial" w:cs="Arial"/>
          <w:sz w:val="24"/>
          <w:szCs w:val="24"/>
          <w:lang w:val="en-US" w:eastAsia="en-GB"/>
        </w:rPr>
        <w:t xml:space="preserve">presented </w:t>
      </w:r>
      <w:r w:rsidR="001575CD" w:rsidRPr="00B76870">
        <w:rPr>
          <w:rFonts w:ascii="Arial" w:eastAsia="Times New Roman" w:hAnsi="Arial" w:cs="Arial"/>
          <w:sz w:val="24"/>
          <w:szCs w:val="24"/>
          <w:lang w:val="en-US" w:eastAsia="en-GB"/>
        </w:rPr>
        <w:t>by</w:t>
      </w:r>
      <w:r w:rsidR="00B85BC2" w:rsidRPr="00B76870">
        <w:rPr>
          <w:rFonts w:ascii="Arial" w:eastAsia="Times New Roman" w:hAnsi="Arial" w:cs="Arial"/>
          <w:sz w:val="24"/>
          <w:szCs w:val="24"/>
          <w:lang w:val="en-US" w:eastAsia="en-GB"/>
        </w:rPr>
        <w:t xml:space="preserve"> Ms Strydom, Mr Groome and Mr Gilbert with Mr Deeplal.</w:t>
      </w:r>
    </w:p>
    <w:p w14:paraId="1A7BF07B" w14:textId="04EADE42" w:rsidR="001F5A2F" w:rsidRPr="006D23FD" w:rsidRDefault="001F5A2F" w:rsidP="00D71404">
      <w:pPr>
        <w:pStyle w:val="ListParagraph"/>
        <w:keepNext/>
        <w:tabs>
          <w:tab w:val="left" w:pos="5868"/>
        </w:tabs>
        <w:spacing w:after="240" w:line="480" w:lineRule="auto"/>
        <w:jc w:val="both"/>
        <w:rPr>
          <w:rFonts w:ascii="Arial" w:eastAsia="Times New Roman" w:hAnsi="Arial" w:cs="Arial"/>
          <w:sz w:val="24"/>
          <w:szCs w:val="24"/>
          <w:lang w:val="en-US" w:eastAsia="en-GB"/>
        </w:rPr>
      </w:pPr>
    </w:p>
    <w:p w14:paraId="44B500F7" w14:textId="77777777" w:rsidR="009C4D6A" w:rsidRPr="006D23FD" w:rsidRDefault="009C4D6A" w:rsidP="00DA211C">
      <w:pPr>
        <w:pStyle w:val="ListParagraph"/>
        <w:keepNext/>
        <w:tabs>
          <w:tab w:val="left" w:pos="5868"/>
        </w:tabs>
        <w:spacing w:after="240" w:line="480" w:lineRule="auto"/>
        <w:jc w:val="both"/>
        <w:rPr>
          <w:rFonts w:ascii="Arial" w:eastAsia="Times New Roman" w:hAnsi="Arial" w:cs="Arial"/>
          <w:sz w:val="24"/>
          <w:szCs w:val="24"/>
          <w:lang w:val="en-US" w:eastAsia="en-GB"/>
        </w:rPr>
      </w:pPr>
    </w:p>
    <w:p w14:paraId="04ACF8FB" w14:textId="47D80141" w:rsidR="00773FFE" w:rsidRPr="006D23FD" w:rsidRDefault="00442D5F" w:rsidP="00DA211C">
      <w:pPr>
        <w:keepNext/>
        <w:tabs>
          <w:tab w:val="left" w:pos="5868"/>
        </w:tabs>
        <w:spacing w:after="240" w:line="480" w:lineRule="auto"/>
        <w:jc w:val="both"/>
        <w:rPr>
          <w:rFonts w:ascii="Arial" w:eastAsia="Times New Roman" w:hAnsi="Arial" w:cs="Arial"/>
          <w:b/>
          <w:bCs/>
          <w:sz w:val="24"/>
          <w:szCs w:val="24"/>
          <w:lang w:val="en-US" w:eastAsia="en-GB"/>
        </w:rPr>
      </w:pPr>
      <w:r w:rsidRPr="006D23FD">
        <w:rPr>
          <w:rFonts w:ascii="Arial" w:eastAsia="Times New Roman" w:hAnsi="Arial" w:cs="Arial"/>
          <w:b/>
          <w:bCs/>
          <w:sz w:val="24"/>
          <w:szCs w:val="24"/>
          <w:lang w:val="en-US" w:eastAsia="en-GB"/>
        </w:rPr>
        <w:t>ORDER</w:t>
      </w:r>
    </w:p>
    <w:p w14:paraId="5F977661" w14:textId="5D751BBA" w:rsidR="00717EAE" w:rsidRPr="00B76870" w:rsidRDefault="00B76870" w:rsidP="00B76870">
      <w:pPr>
        <w:keepNext/>
        <w:tabs>
          <w:tab w:val="left" w:pos="5868"/>
        </w:tabs>
        <w:spacing w:after="240" w:line="480" w:lineRule="auto"/>
        <w:ind w:left="785" w:hanging="360"/>
        <w:jc w:val="both"/>
        <w:rPr>
          <w:rFonts w:ascii="Arial" w:eastAsia="Times New Roman" w:hAnsi="Arial" w:cs="Arial"/>
          <w:sz w:val="24"/>
          <w:szCs w:val="24"/>
          <w:lang w:val="en-US" w:eastAsia="en-GB"/>
        </w:rPr>
      </w:pPr>
      <w:r w:rsidRPr="006D23FD">
        <w:rPr>
          <w:rFonts w:ascii="Arial" w:eastAsia="Times New Roman" w:hAnsi="Arial" w:cs="Arial"/>
          <w:sz w:val="24"/>
          <w:szCs w:val="24"/>
          <w:lang w:val="en-US" w:eastAsia="en-GB"/>
        </w:rPr>
        <w:t>1.</w:t>
      </w:r>
      <w:r w:rsidRPr="006D23FD">
        <w:rPr>
          <w:rFonts w:ascii="Arial" w:eastAsia="Times New Roman" w:hAnsi="Arial" w:cs="Arial"/>
          <w:sz w:val="24"/>
          <w:szCs w:val="24"/>
          <w:lang w:val="en-US" w:eastAsia="en-GB"/>
        </w:rPr>
        <w:tab/>
      </w:r>
      <w:r w:rsidR="00717EAE" w:rsidRPr="00B76870">
        <w:rPr>
          <w:rFonts w:ascii="Arial" w:eastAsia="Times New Roman" w:hAnsi="Arial" w:cs="Arial"/>
          <w:bCs/>
          <w:sz w:val="24"/>
          <w:szCs w:val="24"/>
          <w:lang w:val="en-US" w:eastAsia="en-GB"/>
        </w:rPr>
        <w:t xml:space="preserve">The Johannesburg Society of Advocates is joined as a party. </w:t>
      </w:r>
    </w:p>
    <w:p w14:paraId="24BA0F07" w14:textId="0A065860" w:rsidR="003A0177" w:rsidRPr="00B76870" w:rsidRDefault="00B76870" w:rsidP="00B76870">
      <w:pPr>
        <w:keepNext/>
        <w:tabs>
          <w:tab w:val="left" w:pos="5868"/>
        </w:tabs>
        <w:spacing w:after="240" w:line="480" w:lineRule="auto"/>
        <w:ind w:left="785" w:hanging="360"/>
        <w:jc w:val="both"/>
        <w:rPr>
          <w:rFonts w:ascii="Arial" w:eastAsia="Times New Roman" w:hAnsi="Arial" w:cs="Arial"/>
          <w:sz w:val="24"/>
          <w:szCs w:val="24"/>
          <w:lang w:val="en-US" w:eastAsia="en-GB"/>
        </w:rPr>
      </w:pPr>
      <w:r w:rsidRPr="006D23FD">
        <w:rPr>
          <w:rFonts w:ascii="Arial" w:eastAsia="Times New Roman" w:hAnsi="Arial" w:cs="Arial"/>
          <w:sz w:val="24"/>
          <w:szCs w:val="24"/>
          <w:lang w:val="en-US" w:eastAsia="en-GB"/>
        </w:rPr>
        <w:t>2.</w:t>
      </w:r>
      <w:r w:rsidRPr="006D23FD">
        <w:rPr>
          <w:rFonts w:ascii="Arial" w:eastAsia="Times New Roman" w:hAnsi="Arial" w:cs="Arial"/>
          <w:sz w:val="24"/>
          <w:szCs w:val="24"/>
          <w:lang w:val="en-US" w:eastAsia="en-GB"/>
        </w:rPr>
        <w:tab/>
      </w:r>
      <w:r w:rsidR="003A0177" w:rsidRPr="00B76870">
        <w:rPr>
          <w:rFonts w:ascii="Arial" w:eastAsia="Times New Roman" w:hAnsi="Arial" w:cs="Arial"/>
          <w:bCs/>
          <w:sz w:val="24"/>
          <w:szCs w:val="24"/>
          <w:lang w:val="en-US" w:eastAsia="en-GB"/>
        </w:rPr>
        <w:t>The application by Mr Tjiroze for admission as a legal practitioner</w:t>
      </w:r>
      <w:r w:rsidR="005157DF" w:rsidRPr="00B76870">
        <w:rPr>
          <w:rFonts w:ascii="Arial" w:eastAsia="Times New Roman" w:hAnsi="Arial" w:cs="Arial"/>
          <w:bCs/>
          <w:sz w:val="24"/>
          <w:szCs w:val="24"/>
          <w:lang w:val="en-US" w:eastAsia="en-GB"/>
        </w:rPr>
        <w:t xml:space="preserve">, </w:t>
      </w:r>
      <w:r w:rsidR="003A0177" w:rsidRPr="00B76870">
        <w:rPr>
          <w:rFonts w:ascii="Arial" w:eastAsia="Times New Roman" w:hAnsi="Arial" w:cs="Arial"/>
          <w:bCs/>
          <w:sz w:val="24"/>
          <w:szCs w:val="24"/>
          <w:lang w:val="en-US" w:eastAsia="en-GB"/>
        </w:rPr>
        <w:t>advocate is dismissed</w:t>
      </w:r>
      <w:r w:rsidR="00717EAE" w:rsidRPr="00B76870">
        <w:rPr>
          <w:rFonts w:ascii="Arial" w:eastAsia="Times New Roman" w:hAnsi="Arial" w:cs="Arial"/>
          <w:bCs/>
          <w:sz w:val="24"/>
          <w:szCs w:val="24"/>
          <w:lang w:val="en-US" w:eastAsia="en-GB"/>
        </w:rPr>
        <w:t>.</w:t>
      </w:r>
    </w:p>
    <w:p w14:paraId="4D42F31D" w14:textId="094D4E58" w:rsidR="00AD0D97" w:rsidRPr="00B76870" w:rsidRDefault="00B76870" w:rsidP="00B76870">
      <w:pPr>
        <w:keepNext/>
        <w:tabs>
          <w:tab w:val="left" w:pos="5868"/>
        </w:tabs>
        <w:spacing w:after="240" w:line="480" w:lineRule="auto"/>
        <w:ind w:left="785" w:hanging="360"/>
        <w:jc w:val="both"/>
        <w:rPr>
          <w:rFonts w:ascii="Arial" w:eastAsia="Times New Roman" w:hAnsi="Arial" w:cs="Arial"/>
          <w:sz w:val="24"/>
          <w:szCs w:val="24"/>
          <w:lang w:val="en-US" w:eastAsia="en-GB"/>
        </w:rPr>
      </w:pPr>
      <w:r w:rsidRPr="00AD0D97">
        <w:rPr>
          <w:rFonts w:ascii="Arial" w:eastAsia="Times New Roman" w:hAnsi="Arial" w:cs="Arial"/>
          <w:sz w:val="24"/>
          <w:szCs w:val="24"/>
          <w:lang w:val="en-US" w:eastAsia="en-GB"/>
        </w:rPr>
        <w:t>3.</w:t>
      </w:r>
      <w:r w:rsidRPr="00AD0D97">
        <w:rPr>
          <w:rFonts w:ascii="Arial" w:eastAsia="Times New Roman" w:hAnsi="Arial" w:cs="Arial"/>
          <w:sz w:val="24"/>
          <w:szCs w:val="24"/>
          <w:lang w:val="en-US" w:eastAsia="en-GB"/>
        </w:rPr>
        <w:tab/>
      </w:r>
      <w:r w:rsidR="009D7185" w:rsidRPr="00B76870">
        <w:rPr>
          <w:rFonts w:ascii="Arial" w:eastAsia="Times New Roman" w:hAnsi="Arial" w:cs="Arial"/>
          <w:bCs/>
          <w:sz w:val="24"/>
          <w:szCs w:val="24"/>
          <w:lang w:val="en-US" w:eastAsia="en-GB"/>
        </w:rPr>
        <w:t xml:space="preserve">The application dated 17 November 2022 is </w:t>
      </w:r>
      <w:r w:rsidR="000D2473" w:rsidRPr="00B76870">
        <w:rPr>
          <w:rFonts w:ascii="Arial" w:eastAsia="Times New Roman" w:hAnsi="Arial" w:cs="Arial"/>
          <w:bCs/>
          <w:sz w:val="24"/>
          <w:szCs w:val="24"/>
          <w:lang w:val="en-US" w:eastAsia="en-GB"/>
        </w:rPr>
        <w:t>dismissed.</w:t>
      </w:r>
    </w:p>
    <w:p w14:paraId="77BEF064" w14:textId="2B09616A" w:rsidR="00AD0D97" w:rsidRPr="00B76870" w:rsidRDefault="00B76870" w:rsidP="00B76870">
      <w:pPr>
        <w:keepNext/>
        <w:tabs>
          <w:tab w:val="left" w:pos="5868"/>
        </w:tabs>
        <w:spacing w:after="240" w:line="480" w:lineRule="auto"/>
        <w:ind w:left="785" w:hanging="360"/>
        <w:jc w:val="both"/>
        <w:rPr>
          <w:rFonts w:ascii="Arial" w:eastAsia="Times New Roman" w:hAnsi="Arial" w:cs="Arial"/>
          <w:sz w:val="24"/>
          <w:szCs w:val="24"/>
          <w:lang w:val="en-US" w:eastAsia="en-GB"/>
        </w:rPr>
      </w:pPr>
      <w:r w:rsidRPr="00AD0D97">
        <w:rPr>
          <w:rFonts w:ascii="Arial" w:eastAsia="Times New Roman" w:hAnsi="Arial" w:cs="Arial"/>
          <w:sz w:val="24"/>
          <w:szCs w:val="24"/>
          <w:lang w:val="en-US" w:eastAsia="en-GB"/>
        </w:rPr>
        <w:t>4.</w:t>
      </w:r>
      <w:r w:rsidRPr="00AD0D97">
        <w:rPr>
          <w:rFonts w:ascii="Arial" w:eastAsia="Times New Roman" w:hAnsi="Arial" w:cs="Arial"/>
          <w:sz w:val="24"/>
          <w:szCs w:val="24"/>
          <w:lang w:val="en-US" w:eastAsia="en-GB"/>
        </w:rPr>
        <w:tab/>
      </w:r>
      <w:r w:rsidR="00717EAE" w:rsidRPr="00B76870">
        <w:rPr>
          <w:rFonts w:ascii="Arial" w:eastAsia="Times New Roman" w:hAnsi="Arial" w:cs="Arial"/>
          <w:bCs/>
          <w:sz w:val="24"/>
          <w:szCs w:val="24"/>
          <w:lang w:val="en-US" w:eastAsia="en-GB"/>
        </w:rPr>
        <w:t xml:space="preserve"> </w:t>
      </w:r>
      <w:r w:rsidR="0063593C" w:rsidRPr="00B76870">
        <w:rPr>
          <w:rFonts w:ascii="Arial" w:eastAsia="Times New Roman" w:hAnsi="Arial" w:cs="Arial"/>
          <w:bCs/>
          <w:sz w:val="24"/>
          <w:szCs w:val="24"/>
          <w:lang w:val="en-US" w:eastAsia="en-GB"/>
        </w:rPr>
        <w:t>Mr Tjiroze</w:t>
      </w:r>
      <w:r w:rsidR="00717EAE" w:rsidRPr="00B76870">
        <w:rPr>
          <w:rFonts w:ascii="Arial" w:eastAsia="Times New Roman" w:hAnsi="Arial" w:cs="Arial"/>
          <w:bCs/>
          <w:sz w:val="24"/>
          <w:szCs w:val="24"/>
          <w:lang w:val="en-US" w:eastAsia="en-GB"/>
        </w:rPr>
        <w:t xml:space="preserve"> is</w:t>
      </w:r>
      <w:r w:rsidR="00020F4A" w:rsidRPr="00B76870">
        <w:rPr>
          <w:rFonts w:ascii="Arial" w:eastAsia="Times New Roman" w:hAnsi="Arial" w:cs="Arial"/>
          <w:bCs/>
          <w:sz w:val="24"/>
          <w:szCs w:val="24"/>
          <w:lang w:val="en-US" w:eastAsia="en-GB"/>
        </w:rPr>
        <w:t xml:space="preserve"> to pay the costs of the LPC in</w:t>
      </w:r>
      <w:r w:rsidR="009D7185" w:rsidRPr="00B76870">
        <w:rPr>
          <w:rFonts w:ascii="Arial" w:eastAsia="Times New Roman" w:hAnsi="Arial" w:cs="Arial"/>
          <w:bCs/>
          <w:sz w:val="24"/>
          <w:szCs w:val="24"/>
          <w:lang w:val="en-US" w:eastAsia="en-GB"/>
        </w:rPr>
        <w:t xml:space="preserve"> </w:t>
      </w:r>
      <w:r w:rsidR="007C575B" w:rsidRPr="00B76870">
        <w:rPr>
          <w:rFonts w:ascii="Arial" w:eastAsia="Times New Roman" w:hAnsi="Arial" w:cs="Arial"/>
          <w:bCs/>
          <w:sz w:val="24"/>
          <w:szCs w:val="24"/>
          <w:lang w:val="en-US" w:eastAsia="en-GB"/>
        </w:rPr>
        <w:t xml:space="preserve">both </w:t>
      </w:r>
      <w:r w:rsidR="009D7185" w:rsidRPr="00B76870">
        <w:rPr>
          <w:rFonts w:ascii="Arial" w:eastAsia="Times New Roman" w:hAnsi="Arial" w:cs="Arial"/>
          <w:bCs/>
          <w:sz w:val="24"/>
          <w:szCs w:val="24"/>
          <w:lang w:val="en-US" w:eastAsia="en-GB"/>
        </w:rPr>
        <w:t xml:space="preserve">the main application </w:t>
      </w:r>
      <w:r w:rsidR="000D2473" w:rsidRPr="00B76870">
        <w:rPr>
          <w:rFonts w:ascii="Arial" w:eastAsia="Times New Roman" w:hAnsi="Arial" w:cs="Arial"/>
          <w:bCs/>
          <w:sz w:val="24"/>
          <w:szCs w:val="24"/>
          <w:lang w:val="en-US" w:eastAsia="en-GB"/>
        </w:rPr>
        <w:t xml:space="preserve">and  the 17 November 2022 application </w:t>
      </w:r>
      <w:r w:rsidR="009D7185" w:rsidRPr="00B76870">
        <w:rPr>
          <w:rFonts w:ascii="Arial" w:eastAsia="Times New Roman" w:hAnsi="Arial" w:cs="Arial"/>
          <w:bCs/>
          <w:sz w:val="24"/>
          <w:szCs w:val="24"/>
          <w:lang w:val="en-US" w:eastAsia="en-GB"/>
        </w:rPr>
        <w:t xml:space="preserve">on the attorney </w:t>
      </w:r>
      <w:r w:rsidR="00B85BC2" w:rsidRPr="00B76870">
        <w:rPr>
          <w:rFonts w:ascii="Arial" w:eastAsia="Times New Roman" w:hAnsi="Arial" w:cs="Arial"/>
          <w:bCs/>
          <w:sz w:val="24"/>
          <w:szCs w:val="24"/>
          <w:lang w:val="en-US" w:eastAsia="en-GB"/>
        </w:rPr>
        <w:t xml:space="preserve">and </w:t>
      </w:r>
      <w:r w:rsidR="009D7185" w:rsidRPr="00B76870">
        <w:rPr>
          <w:rFonts w:ascii="Arial" w:eastAsia="Times New Roman" w:hAnsi="Arial" w:cs="Arial"/>
          <w:bCs/>
          <w:sz w:val="24"/>
          <w:szCs w:val="24"/>
          <w:lang w:val="en-US" w:eastAsia="en-GB"/>
        </w:rPr>
        <w:t>client scale.</w:t>
      </w:r>
    </w:p>
    <w:p w14:paraId="160C40E2" w14:textId="7149DC77" w:rsidR="00AD0D97" w:rsidRPr="00C42B2F" w:rsidRDefault="00AD0D97" w:rsidP="00DA211C">
      <w:pPr>
        <w:keepNext/>
        <w:tabs>
          <w:tab w:val="left" w:pos="5868"/>
        </w:tabs>
        <w:spacing w:after="240" w:line="480" w:lineRule="auto"/>
        <w:jc w:val="both"/>
        <w:rPr>
          <w:rFonts w:ascii="Arial" w:eastAsia="Times New Roman" w:hAnsi="Arial" w:cs="Arial"/>
          <w:sz w:val="24"/>
          <w:szCs w:val="24"/>
          <w:lang w:val="en-US" w:eastAsia="en-GB"/>
        </w:rPr>
      </w:pPr>
    </w:p>
    <w:p w14:paraId="3A4B240D" w14:textId="19937360" w:rsidR="00717EAE" w:rsidRPr="00C42B2F" w:rsidRDefault="006B6FCD" w:rsidP="001575CD">
      <w:pPr>
        <w:pStyle w:val="ListParagraph"/>
        <w:keepNext/>
        <w:tabs>
          <w:tab w:val="left" w:pos="5868"/>
        </w:tabs>
        <w:spacing w:after="240" w:line="480" w:lineRule="auto"/>
        <w:ind w:left="1145"/>
        <w:jc w:val="both"/>
        <w:rPr>
          <w:rFonts w:ascii="Arial" w:eastAsia="Times New Roman" w:hAnsi="Arial" w:cs="Arial"/>
          <w:sz w:val="24"/>
          <w:szCs w:val="24"/>
          <w:lang w:val="en-US" w:eastAsia="en-GB"/>
        </w:rPr>
      </w:pPr>
      <w:r w:rsidRPr="00AD0D97">
        <w:rPr>
          <w:rFonts w:ascii="Arial" w:eastAsia="Times New Roman" w:hAnsi="Arial" w:cs="Arial"/>
          <w:bCs/>
          <w:sz w:val="24"/>
          <w:szCs w:val="24"/>
          <w:lang w:val="en-US" w:eastAsia="en-GB"/>
        </w:rPr>
        <w:t xml:space="preserve"> </w:t>
      </w:r>
      <w:r w:rsidR="00AD0D97" w:rsidRPr="00C42B2F">
        <w:rPr>
          <w:rFonts w:ascii="Arial" w:eastAsia="Times New Roman" w:hAnsi="Arial" w:cs="Arial"/>
          <w:bCs/>
          <w:sz w:val="24"/>
          <w:szCs w:val="24"/>
          <w:lang w:val="en-US" w:eastAsia="en-GB"/>
        </w:rPr>
        <w:t xml:space="preserve"> </w:t>
      </w:r>
      <w:r w:rsidR="008C62E8" w:rsidRPr="00C42B2F">
        <w:rPr>
          <w:rFonts w:ascii="Arial" w:eastAsia="Times New Roman" w:hAnsi="Arial" w:cs="Arial"/>
          <w:bCs/>
          <w:sz w:val="24"/>
          <w:szCs w:val="24"/>
          <w:lang w:val="en-US" w:eastAsia="en-GB"/>
        </w:rPr>
        <w:t xml:space="preserve"> </w:t>
      </w:r>
    </w:p>
    <w:p w14:paraId="2098B4BC" w14:textId="51249652" w:rsidR="00AD0D97" w:rsidRPr="00B76870" w:rsidRDefault="00B76870" w:rsidP="00B76870">
      <w:pPr>
        <w:keepNext/>
        <w:tabs>
          <w:tab w:val="left" w:pos="5868"/>
        </w:tabs>
        <w:spacing w:after="240" w:line="480" w:lineRule="auto"/>
        <w:ind w:left="785" w:hanging="360"/>
        <w:jc w:val="both"/>
        <w:rPr>
          <w:rFonts w:ascii="Arial" w:eastAsia="Times New Roman" w:hAnsi="Arial" w:cs="Arial"/>
          <w:sz w:val="24"/>
          <w:szCs w:val="24"/>
          <w:lang w:val="en-US" w:eastAsia="en-GB"/>
        </w:rPr>
      </w:pPr>
      <w:r w:rsidRPr="005A6472">
        <w:rPr>
          <w:rFonts w:ascii="Arial" w:eastAsia="Times New Roman" w:hAnsi="Arial" w:cs="Arial"/>
          <w:sz w:val="24"/>
          <w:szCs w:val="24"/>
          <w:lang w:val="en-US" w:eastAsia="en-GB"/>
        </w:rPr>
        <w:lastRenderedPageBreak/>
        <w:t>5.</w:t>
      </w:r>
      <w:r w:rsidRPr="005A6472">
        <w:rPr>
          <w:rFonts w:ascii="Arial" w:eastAsia="Times New Roman" w:hAnsi="Arial" w:cs="Arial"/>
          <w:sz w:val="24"/>
          <w:szCs w:val="24"/>
          <w:lang w:val="en-US" w:eastAsia="en-GB"/>
        </w:rPr>
        <w:tab/>
      </w:r>
      <w:r w:rsidR="0063593C" w:rsidRPr="00B76870">
        <w:rPr>
          <w:rFonts w:ascii="Arial" w:eastAsia="Times New Roman" w:hAnsi="Arial" w:cs="Arial"/>
          <w:bCs/>
          <w:sz w:val="24"/>
          <w:szCs w:val="24"/>
          <w:lang w:val="en-US" w:eastAsia="en-GB"/>
        </w:rPr>
        <w:t>Mr Tjiroze</w:t>
      </w:r>
      <w:r w:rsidR="00717EAE" w:rsidRPr="00B76870">
        <w:rPr>
          <w:rFonts w:ascii="Arial" w:eastAsia="Times New Roman" w:hAnsi="Arial" w:cs="Arial"/>
          <w:bCs/>
          <w:sz w:val="24"/>
          <w:szCs w:val="24"/>
          <w:lang w:val="en-US" w:eastAsia="en-GB"/>
        </w:rPr>
        <w:t xml:space="preserve"> is to pay the costs of the JSA </w:t>
      </w:r>
      <w:r w:rsidR="00AD0D97" w:rsidRPr="00B76870">
        <w:rPr>
          <w:rFonts w:ascii="Arial" w:eastAsia="Times New Roman" w:hAnsi="Arial" w:cs="Arial"/>
          <w:bCs/>
          <w:sz w:val="24"/>
          <w:szCs w:val="24"/>
          <w:lang w:val="en-US" w:eastAsia="en-GB"/>
        </w:rPr>
        <w:t>in</w:t>
      </w:r>
      <w:r w:rsidR="009D7185" w:rsidRPr="00B76870">
        <w:rPr>
          <w:rFonts w:ascii="Arial" w:eastAsia="Times New Roman" w:hAnsi="Arial" w:cs="Arial"/>
          <w:bCs/>
          <w:sz w:val="24"/>
          <w:szCs w:val="24"/>
          <w:lang w:val="en-US" w:eastAsia="en-GB"/>
        </w:rPr>
        <w:t xml:space="preserve"> the </w:t>
      </w:r>
      <w:r w:rsidR="005406EF" w:rsidRPr="00B76870">
        <w:rPr>
          <w:rFonts w:ascii="Arial" w:eastAsia="Times New Roman" w:hAnsi="Arial" w:cs="Arial"/>
          <w:bCs/>
          <w:sz w:val="24"/>
          <w:szCs w:val="24"/>
          <w:lang w:val="en-US" w:eastAsia="en-GB"/>
        </w:rPr>
        <w:t xml:space="preserve">application of 17 November 2022, the </w:t>
      </w:r>
      <w:r w:rsidR="009D7185" w:rsidRPr="00B76870">
        <w:rPr>
          <w:rFonts w:ascii="Arial" w:eastAsia="Times New Roman" w:hAnsi="Arial" w:cs="Arial"/>
          <w:bCs/>
          <w:sz w:val="24"/>
          <w:szCs w:val="24"/>
          <w:lang w:val="en-US" w:eastAsia="en-GB"/>
        </w:rPr>
        <w:t>JSA’s application to intervene and in the Rule 30 application on the party and party scale.</w:t>
      </w:r>
    </w:p>
    <w:p w14:paraId="45F1A63A" w14:textId="77777777" w:rsidR="005A6472" w:rsidRDefault="005A6472" w:rsidP="005A6472">
      <w:pPr>
        <w:keepNext/>
        <w:tabs>
          <w:tab w:val="left" w:pos="5868"/>
        </w:tabs>
        <w:spacing w:after="240" w:line="480" w:lineRule="auto"/>
        <w:jc w:val="both"/>
        <w:rPr>
          <w:rFonts w:ascii="Arial" w:eastAsia="Times New Roman" w:hAnsi="Arial" w:cs="Arial"/>
          <w:sz w:val="24"/>
          <w:szCs w:val="24"/>
          <w:lang w:val="en-US" w:eastAsia="en-GB"/>
        </w:rPr>
      </w:pPr>
    </w:p>
    <w:p w14:paraId="6E7D4056" w14:textId="77777777" w:rsidR="005A6472" w:rsidRPr="005A6472" w:rsidRDefault="005A6472" w:rsidP="005A6472">
      <w:pPr>
        <w:keepNext/>
        <w:tabs>
          <w:tab w:val="left" w:pos="5868"/>
        </w:tabs>
        <w:spacing w:after="240" w:line="480" w:lineRule="auto"/>
        <w:jc w:val="both"/>
        <w:rPr>
          <w:rFonts w:ascii="Arial" w:eastAsia="Times New Roman" w:hAnsi="Arial" w:cs="Arial"/>
          <w:sz w:val="24"/>
          <w:szCs w:val="24"/>
          <w:lang w:val="en-US" w:eastAsia="en-GB"/>
        </w:rPr>
      </w:pPr>
    </w:p>
    <w:p w14:paraId="0AE45F83" w14:textId="32C48751" w:rsidR="00AD0D97" w:rsidRPr="00AD0D97" w:rsidRDefault="00020F4A" w:rsidP="001575CD">
      <w:pPr>
        <w:pStyle w:val="ListParagraph"/>
        <w:keepNext/>
        <w:tabs>
          <w:tab w:val="left" w:pos="5868"/>
        </w:tabs>
        <w:spacing w:after="240" w:line="480" w:lineRule="auto"/>
        <w:ind w:left="1145"/>
        <w:jc w:val="both"/>
        <w:rPr>
          <w:rFonts w:ascii="Arial" w:eastAsia="Times New Roman" w:hAnsi="Arial" w:cs="Arial"/>
          <w:sz w:val="24"/>
          <w:szCs w:val="24"/>
          <w:lang w:val="en-US" w:eastAsia="en-GB"/>
        </w:rPr>
      </w:pPr>
      <w:r>
        <w:rPr>
          <w:rFonts w:ascii="Arial" w:eastAsia="Times New Roman" w:hAnsi="Arial" w:cs="Arial"/>
          <w:bCs/>
          <w:sz w:val="24"/>
          <w:szCs w:val="24"/>
          <w:lang w:val="en-US" w:eastAsia="en-GB"/>
        </w:rPr>
        <w:t xml:space="preserve"> </w:t>
      </w:r>
    </w:p>
    <w:p w14:paraId="5B78E9F6" w14:textId="06D17777" w:rsidR="00773FFE" w:rsidRPr="005A6472" w:rsidRDefault="00AD0D97" w:rsidP="005A6472">
      <w:pPr>
        <w:pStyle w:val="ListParagraph"/>
        <w:keepNext/>
        <w:tabs>
          <w:tab w:val="left" w:pos="5868"/>
        </w:tabs>
        <w:spacing w:after="240" w:line="480" w:lineRule="auto"/>
        <w:ind w:left="785"/>
        <w:jc w:val="both"/>
        <w:rPr>
          <w:rFonts w:ascii="Arial" w:eastAsia="Times New Roman" w:hAnsi="Arial" w:cs="Arial"/>
          <w:sz w:val="24"/>
          <w:szCs w:val="24"/>
          <w:lang w:val="en-US" w:eastAsia="en-GB"/>
        </w:rPr>
      </w:pPr>
      <w:r w:rsidRPr="00AD0D97">
        <w:rPr>
          <w:rFonts w:ascii="Arial" w:eastAsia="Times New Roman" w:hAnsi="Arial" w:cs="Arial"/>
          <w:bCs/>
          <w:sz w:val="24"/>
          <w:szCs w:val="24"/>
          <w:lang w:val="en-US" w:eastAsia="en-GB"/>
        </w:rPr>
        <w:t xml:space="preserve"> </w:t>
      </w:r>
    </w:p>
    <w:p w14:paraId="48B46C17" w14:textId="77777777" w:rsidR="00773FFE" w:rsidRPr="006D23FD" w:rsidRDefault="00773FFE" w:rsidP="00DA211C">
      <w:pPr>
        <w:autoSpaceDE w:val="0"/>
        <w:autoSpaceDN w:val="0"/>
        <w:adjustRightInd w:val="0"/>
        <w:spacing w:after="120" w:line="360" w:lineRule="auto"/>
        <w:jc w:val="both"/>
        <w:rPr>
          <w:rFonts w:ascii="Arial" w:eastAsia="Times New Roman" w:hAnsi="Arial" w:cs="Arial"/>
          <w:sz w:val="24"/>
          <w:szCs w:val="24"/>
        </w:rPr>
      </w:pPr>
      <w:r w:rsidRPr="006D23FD">
        <w:rPr>
          <w:rFonts w:ascii="Arial" w:eastAsia="Times New Roman" w:hAnsi="Arial" w:cs="Arial"/>
          <w:sz w:val="24"/>
          <w:szCs w:val="24"/>
        </w:rPr>
        <w:t xml:space="preserve">GC Wright </w:t>
      </w:r>
    </w:p>
    <w:p w14:paraId="4CA39382" w14:textId="77777777" w:rsidR="00773FFE" w:rsidRPr="006D23FD" w:rsidRDefault="00773FFE" w:rsidP="00DA211C">
      <w:pPr>
        <w:autoSpaceDE w:val="0"/>
        <w:autoSpaceDN w:val="0"/>
        <w:adjustRightInd w:val="0"/>
        <w:spacing w:after="120" w:line="360" w:lineRule="auto"/>
        <w:jc w:val="both"/>
        <w:rPr>
          <w:rFonts w:ascii="Arial" w:eastAsia="Times New Roman" w:hAnsi="Arial" w:cs="Arial"/>
          <w:sz w:val="24"/>
          <w:szCs w:val="24"/>
        </w:rPr>
      </w:pPr>
      <w:r w:rsidRPr="006D23FD">
        <w:rPr>
          <w:rFonts w:ascii="Arial" w:eastAsia="Times New Roman" w:hAnsi="Arial" w:cs="Arial"/>
          <w:sz w:val="24"/>
          <w:szCs w:val="24"/>
        </w:rPr>
        <w:t xml:space="preserve">Judge of the High Court </w:t>
      </w:r>
    </w:p>
    <w:p w14:paraId="100175C0" w14:textId="2B3B02D6" w:rsidR="00CB28E3" w:rsidRDefault="00773FFE" w:rsidP="00DA211C">
      <w:pPr>
        <w:autoSpaceDE w:val="0"/>
        <w:autoSpaceDN w:val="0"/>
        <w:adjustRightInd w:val="0"/>
        <w:spacing w:after="600" w:line="360" w:lineRule="auto"/>
        <w:jc w:val="both"/>
        <w:rPr>
          <w:rFonts w:ascii="Arial" w:eastAsia="Times New Roman" w:hAnsi="Arial" w:cs="Arial"/>
          <w:sz w:val="24"/>
          <w:szCs w:val="24"/>
        </w:rPr>
      </w:pPr>
      <w:r w:rsidRPr="006D23FD">
        <w:rPr>
          <w:rFonts w:ascii="Arial" w:eastAsia="Times New Roman" w:hAnsi="Arial" w:cs="Arial"/>
          <w:sz w:val="24"/>
          <w:szCs w:val="24"/>
        </w:rPr>
        <w:t>Gauteng Division, Johannesburg</w:t>
      </w:r>
    </w:p>
    <w:p w14:paraId="518C4CA7" w14:textId="77777777" w:rsidR="00D71404" w:rsidRDefault="00D71404" w:rsidP="00DA211C">
      <w:pPr>
        <w:autoSpaceDE w:val="0"/>
        <w:autoSpaceDN w:val="0"/>
        <w:adjustRightInd w:val="0"/>
        <w:spacing w:after="600" w:line="360" w:lineRule="auto"/>
        <w:jc w:val="both"/>
        <w:rPr>
          <w:rFonts w:ascii="Arial" w:eastAsia="Times New Roman" w:hAnsi="Arial" w:cs="Arial"/>
          <w:sz w:val="24"/>
          <w:szCs w:val="24"/>
        </w:rPr>
      </w:pPr>
    </w:p>
    <w:p w14:paraId="72DE914C" w14:textId="3E20E4AA" w:rsidR="00CB28E3" w:rsidRDefault="00CB28E3" w:rsidP="00DA211C">
      <w:pPr>
        <w:autoSpaceDE w:val="0"/>
        <w:autoSpaceDN w:val="0"/>
        <w:adjustRightInd w:val="0"/>
        <w:spacing w:after="600" w:line="360" w:lineRule="auto"/>
        <w:jc w:val="both"/>
        <w:rPr>
          <w:rFonts w:ascii="Arial" w:eastAsia="Times New Roman" w:hAnsi="Arial" w:cs="Arial"/>
          <w:sz w:val="24"/>
          <w:szCs w:val="24"/>
        </w:rPr>
      </w:pPr>
      <w:r w:rsidRPr="006D23FD">
        <w:rPr>
          <w:rFonts w:ascii="Arial" w:eastAsia="Times New Roman" w:hAnsi="Arial" w:cs="Arial"/>
          <w:sz w:val="24"/>
          <w:szCs w:val="24"/>
        </w:rPr>
        <w:t>I agree</w:t>
      </w:r>
      <w:r w:rsidR="005406EF">
        <w:rPr>
          <w:rFonts w:ascii="Arial" w:eastAsia="Times New Roman" w:hAnsi="Arial" w:cs="Arial"/>
          <w:sz w:val="24"/>
          <w:szCs w:val="24"/>
        </w:rPr>
        <w:t xml:space="preserve"> </w:t>
      </w:r>
    </w:p>
    <w:p w14:paraId="69A233A6" w14:textId="77777777" w:rsidR="00D71404" w:rsidRPr="006D23FD" w:rsidRDefault="00D71404" w:rsidP="00DA211C">
      <w:pPr>
        <w:autoSpaceDE w:val="0"/>
        <w:autoSpaceDN w:val="0"/>
        <w:adjustRightInd w:val="0"/>
        <w:spacing w:after="600" w:line="360" w:lineRule="auto"/>
        <w:jc w:val="both"/>
        <w:rPr>
          <w:rFonts w:ascii="Arial" w:eastAsia="Times New Roman" w:hAnsi="Arial" w:cs="Arial"/>
          <w:sz w:val="24"/>
          <w:szCs w:val="24"/>
        </w:rPr>
      </w:pPr>
    </w:p>
    <w:p w14:paraId="04517E46" w14:textId="16F8D6AE" w:rsidR="00CB28E3" w:rsidRPr="006D23FD" w:rsidRDefault="00CB28E3" w:rsidP="00DA211C">
      <w:pPr>
        <w:autoSpaceDE w:val="0"/>
        <w:autoSpaceDN w:val="0"/>
        <w:adjustRightInd w:val="0"/>
        <w:spacing w:after="600" w:line="360" w:lineRule="auto"/>
        <w:jc w:val="both"/>
        <w:rPr>
          <w:rFonts w:ascii="Arial" w:eastAsia="Times New Roman" w:hAnsi="Arial" w:cs="Arial"/>
          <w:sz w:val="24"/>
          <w:szCs w:val="24"/>
        </w:rPr>
      </w:pPr>
      <w:r w:rsidRPr="006D23FD">
        <w:rPr>
          <w:rFonts w:ascii="Arial" w:eastAsia="Times New Roman" w:hAnsi="Arial" w:cs="Arial"/>
          <w:sz w:val="24"/>
          <w:szCs w:val="24"/>
        </w:rPr>
        <w:t>L Wepener</w:t>
      </w:r>
    </w:p>
    <w:p w14:paraId="24AB7257" w14:textId="40B4C3ED" w:rsidR="00CB28E3" w:rsidRPr="006D23FD" w:rsidRDefault="00CB28E3" w:rsidP="00DA211C">
      <w:pPr>
        <w:autoSpaceDE w:val="0"/>
        <w:autoSpaceDN w:val="0"/>
        <w:adjustRightInd w:val="0"/>
        <w:spacing w:after="600" w:line="360" w:lineRule="auto"/>
        <w:jc w:val="both"/>
        <w:rPr>
          <w:rFonts w:ascii="Arial" w:eastAsia="Times New Roman" w:hAnsi="Arial" w:cs="Arial"/>
          <w:sz w:val="24"/>
          <w:szCs w:val="24"/>
        </w:rPr>
      </w:pPr>
      <w:r w:rsidRPr="006D23FD">
        <w:rPr>
          <w:rFonts w:ascii="Arial" w:eastAsia="Times New Roman" w:hAnsi="Arial" w:cs="Arial"/>
          <w:sz w:val="24"/>
          <w:szCs w:val="24"/>
        </w:rPr>
        <w:t>Judge of the High Court</w:t>
      </w:r>
    </w:p>
    <w:p w14:paraId="6AA81382" w14:textId="5FDACC1C" w:rsidR="00CB28E3" w:rsidRPr="006D23FD" w:rsidRDefault="00CB28E3" w:rsidP="00DA211C">
      <w:pPr>
        <w:autoSpaceDE w:val="0"/>
        <w:autoSpaceDN w:val="0"/>
        <w:adjustRightInd w:val="0"/>
        <w:spacing w:after="600" w:line="360" w:lineRule="auto"/>
        <w:jc w:val="both"/>
        <w:rPr>
          <w:rFonts w:ascii="Arial" w:eastAsia="Times New Roman" w:hAnsi="Arial" w:cs="Arial"/>
          <w:sz w:val="24"/>
          <w:szCs w:val="24"/>
        </w:rPr>
      </w:pPr>
      <w:r w:rsidRPr="006D23FD">
        <w:rPr>
          <w:rFonts w:ascii="Arial" w:eastAsia="Times New Roman" w:hAnsi="Arial" w:cs="Arial"/>
          <w:sz w:val="24"/>
          <w:szCs w:val="24"/>
        </w:rPr>
        <w:t>Gauteng Division, Johannesburg</w:t>
      </w:r>
    </w:p>
    <w:p w14:paraId="7C29D62F" w14:textId="77777777" w:rsidR="00CB28E3" w:rsidRPr="006D23FD" w:rsidRDefault="00CB28E3" w:rsidP="00DA211C">
      <w:pPr>
        <w:autoSpaceDE w:val="0"/>
        <w:autoSpaceDN w:val="0"/>
        <w:adjustRightInd w:val="0"/>
        <w:spacing w:after="600" w:line="360" w:lineRule="auto"/>
        <w:jc w:val="both"/>
        <w:rPr>
          <w:rFonts w:ascii="Arial" w:eastAsia="Times New Roman" w:hAnsi="Arial" w:cs="Arial"/>
          <w:sz w:val="24"/>
          <w:szCs w:val="24"/>
        </w:rPr>
      </w:pPr>
    </w:p>
    <w:p w14:paraId="609DDB9F" w14:textId="77777777" w:rsidR="00773FFE" w:rsidRPr="006D23FD" w:rsidRDefault="00773FFE" w:rsidP="00DA211C">
      <w:pPr>
        <w:jc w:val="both"/>
        <w:rPr>
          <w:rFonts w:ascii="Arial" w:eastAsia="Calibri" w:hAnsi="Arial" w:cs="Arial"/>
          <w:sz w:val="24"/>
          <w:szCs w:val="24"/>
        </w:rPr>
      </w:pPr>
    </w:p>
    <w:p w14:paraId="22FF4332" w14:textId="77777777" w:rsidR="00773FFE" w:rsidRPr="006D23FD" w:rsidRDefault="00773FFE" w:rsidP="00DA211C">
      <w:pPr>
        <w:jc w:val="both"/>
        <w:rPr>
          <w:rFonts w:ascii="Arial" w:eastAsia="Calibri" w:hAnsi="Arial" w:cs="Arial"/>
          <w:sz w:val="24"/>
          <w:szCs w:val="24"/>
        </w:rPr>
      </w:pPr>
    </w:p>
    <w:p w14:paraId="35C1A63D" w14:textId="63AA2E08" w:rsidR="00773FFE" w:rsidRPr="006D23FD" w:rsidRDefault="002F7196" w:rsidP="00DA211C">
      <w:pPr>
        <w:jc w:val="both"/>
        <w:rPr>
          <w:rFonts w:ascii="Arial" w:eastAsia="Calibri" w:hAnsi="Arial" w:cs="Arial"/>
          <w:sz w:val="24"/>
          <w:szCs w:val="24"/>
        </w:rPr>
      </w:pPr>
      <w:r w:rsidRPr="006D23FD">
        <w:rPr>
          <w:rFonts w:ascii="Arial" w:eastAsia="Calibri" w:hAnsi="Arial" w:cs="Arial"/>
          <w:sz w:val="24"/>
          <w:szCs w:val="24"/>
        </w:rPr>
        <w:t>HEARD</w:t>
      </w:r>
      <w:r w:rsidRPr="006D23FD">
        <w:rPr>
          <w:rFonts w:ascii="Arial" w:eastAsia="Calibri" w:hAnsi="Arial" w:cs="Arial"/>
          <w:sz w:val="24"/>
          <w:szCs w:val="24"/>
        </w:rPr>
        <w:tab/>
      </w:r>
      <w:r w:rsidRPr="006D23FD">
        <w:rPr>
          <w:rFonts w:ascii="Arial" w:eastAsia="Calibri" w:hAnsi="Arial" w:cs="Arial"/>
          <w:sz w:val="24"/>
          <w:szCs w:val="24"/>
        </w:rPr>
        <w:tab/>
        <w:t xml:space="preserve">:    </w:t>
      </w:r>
      <w:r w:rsidR="00360D8E" w:rsidRPr="006D23FD">
        <w:rPr>
          <w:rFonts w:ascii="Arial" w:eastAsia="Calibri" w:hAnsi="Arial" w:cs="Arial"/>
          <w:sz w:val="24"/>
          <w:szCs w:val="24"/>
        </w:rPr>
        <w:t xml:space="preserve"> </w:t>
      </w:r>
      <w:r w:rsidR="00881768" w:rsidRPr="006D23FD">
        <w:rPr>
          <w:rFonts w:ascii="Arial" w:eastAsia="Calibri" w:hAnsi="Arial" w:cs="Arial"/>
          <w:sz w:val="24"/>
          <w:szCs w:val="24"/>
        </w:rPr>
        <w:t xml:space="preserve">10 </w:t>
      </w:r>
      <w:r w:rsidR="00870558" w:rsidRPr="006D23FD">
        <w:rPr>
          <w:rFonts w:ascii="Arial" w:eastAsia="Calibri" w:hAnsi="Arial" w:cs="Arial"/>
          <w:sz w:val="24"/>
          <w:szCs w:val="24"/>
        </w:rPr>
        <w:t xml:space="preserve">August </w:t>
      </w:r>
      <w:r w:rsidR="00773FFE" w:rsidRPr="006D23FD">
        <w:rPr>
          <w:rFonts w:ascii="Arial" w:eastAsia="Calibri" w:hAnsi="Arial" w:cs="Arial"/>
          <w:sz w:val="24"/>
          <w:szCs w:val="24"/>
        </w:rPr>
        <w:t>2023</w:t>
      </w:r>
    </w:p>
    <w:p w14:paraId="61133A2A" w14:textId="5E520BEC" w:rsidR="00773FFE" w:rsidRPr="006D23FD" w:rsidRDefault="002F7196"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t>DELIVERED</w:t>
      </w:r>
      <w:r w:rsidRPr="006D23FD">
        <w:rPr>
          <w:rFonts w:ascii="Arial" w:eastAsia="Calibri" w:hAnsi="Arial" w:cs="Arial"/>
          <w:sz w:val="24"/>
          <w:szCs w:val="24"/>
        </w:rPr>
        <w:tab/>
      </w:r>
      <w:r w:rsidRPr="006D23FD">
        <w:rPr>
          <w:rFonts w:ascii="Arial" w:eastAsia="Calibri" w:hAnsi="Arial" w:cs="Arial"/>
          <w:sz w:val="24"/>
          <w:szCs w:val="24"/>
        </w:rPr>
        <w:tab/>
        <w:t xml:space="preserve">:    </w:t>
      </w:r>
      <w:r w:rsidR="00FC14E1" w:rsidRPr="006D23FD">
        <w:rPr>
          <w:rFonts w:ascii="Arial" w:eastAsia="Calibri" w:hAnsi="Arial" w:cs="Arial"/>
          <w:sz w:val="24"/>
          <w:szCs w:val="24"/>
        </w:rPr>
        <w:t xml:space="preserve"> </w:t>
      </w:r>
      <w:r w:rsidR="00D71404">
        <w:rPr>
          <w:rFonts w:ascii="Arial" w:eastAsia="Calibri" w:hAnsi="Arial" w:cs="Arial"/>
          <w:sz w:val="24"/>
          <w:szCs w:val="24"/>
        </w:rPr>
        <w:t xml:space="preserve">18 </w:t>
      </w:r>
      <w:r w:rsidR="00870558" w:rsidRPr="006D23FD">
        <w:rPr>
          <w:rFonts w:ascii="Arial" w:eastAsia="Calibri" w:hAnsi="Arial" w:cs="Arial"/>
          <w:sz w:val="24"/>
          <w:szCs w:val="24"/>
        </w:rPr>
        <w:t xml:space="preserve">August </w:t>
      </w:r>
      <w:r w:rsidR="00773FFE" w:rsidRPr="006D23FD">
        <w:rPr>
          <w:rFonts w:ascii="Arial" w:eastAsia="Calibri" w:hAnsi="Arial" w:cs="Arial"/>
          <w:sz w:val="24"/>
          <w:szCs w:val="24"/>
        </w:rPr>
        <w:t>2023</w:t>
      </w:r>
    </w:p>
    <w:p w14:paraId="39AB4C74" w14:textId="77777777" w:rsidR="00773FFE" w:rsidRPr="006D23FD" w:rsidRDefault="00773FFE"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t>APPEARANCES    :</w:t>
      </w:r>
    </w:p>
    <w:p w14:paraId="6A226F0B" w14:textId="38826EE3" w:rsidR="00870558" w:rsidRPr="006D23FD" w:rsidRDefault="002F7196"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t>APPLICANT</w:t>
      </w:r>
      <w:r w:rsidR="00C72A2B" w:rsidRPr="006D23FD">
        <w:rPr>
          <w:rFonts w:ascii="Arial" w:eastAsia="Calibri" w:hAnsi="Arial" w:cs="Arial"/>
          <w:sz w:val="24"/>
          <w:szCs w:val="24"/>
        </w:rPr>
        <w:tab/>
      </w:r>
      <w:r w:rsidRPr="006D23FD">
        <w:rPr>
          <w:rFonts w:ascii="Arial" w:eastAsia="Calibri" w:hAnsi="Arial" w:cs="Arial"/>
          <w:sz w:val="24"/>
          <w:szCs w:val="24"/>
        </w:rPr>
        <w:tab/>
      </w:r>
      <w:r w:rsidR="004A63CD" w:rsidRPr="006D23FD">
        <w:rPr>
          <w:rFonts w:ascii="Arial" w:eastAsia="Calibri" w:hAnsi="Arial" w:cs="Arial"/>
          <w:sz w:val="24"/>
          <w:szCs w:val="24"/>
        </w:rPr>
        <w:t xml:space="preserve">    </w:t>
      </w:r>
      <w:r w:rsidR="00870558" w:rsidRPr="006D23FD">
        <w:rPr>
          <w:rFonts w:ascii="Arial" w:eastAsia="Calibri" w:hAnsi="Arial" w:cs="Arial"/>
          <w:sz w:val="24"/>
          <w:szCs w:val="24"/>
        </w:rPr>
        <w:t>Ad</w:t>
      </w:r>
      <w:r w:rsidR="00FE338D" w:rsidRPr="006D23FD">
        <w:rPr>
          <w:rFonts w:ascii="Arial" w:eastAsia="Calibri" w:hAnsi="Arial" w:cs="Arial"/>
          <w:sz w:val="24"/>
          <w:szCs w:val="24"/>
        </w:rPr>
        <w:t>v I Strydom</w:t>
      </w:r>
    </w:p>
    <w:p w14:paraId="40FCDD03" w14:textId="6B940755" w:rsidR="00773FFE" w:rsidRPr="006D23FD" w:rsidRDefault="00773FFE"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t>In</w:t>
      </w:r>
      <w:r w:rsidR="00870558" w:rsidRPr="006D23FD">
        <w:rPr>
          <w:rFonts w:ascii="Arial" w:eastAsia="Calibri" w:hAnsi="Arial" w:cs="Arial"/>
          <w:sz w:val="24"/>
          <w:szCs w:val="24"/>
        </w:rPr>
        <w:t>structed by</w:t>
      </w:r>
      <w:r w:rsidR="00870558" w:rsidRPr="006D23FD">
        <w:rPr>
          <w:rFonts w:ascii="Arial" w:eastAsia="Calibri" w:hAnsi="Arial" w:cs="Arial"/>
          <w:sz w:val="24"/>
          <w:szCs w:val="24"/>
        </w:rPr>
        <w:tab/>
      </w:r>
      <w:r w:rsidR="00CB28E3" w:rsidRPr="006D23FD">
        <w:rPr>
          <w:rFonts w:ascii="Arial" w:eastAsia="Calibri" w:hAnsi="Arial" w:cs="Arial"/>
          <w:sz w:val="24"/>
          <w:szCs w:val="24"/>
        </w:rPr>
        <w:t xml:space="preserve">   </w:t>
      </w:r>
      <w:r w:rsidR="00683961">
        <w:rPr>
          <w:rFonts w:ascii="Arial" w:eastAsia="Calibri" w:hAnsi="Arial" w:cs="Arial"/>
          <w:sz w:val="24"/>
          <w:szCs w:val="24"/>
        </w:rPr>
        <w:tab/>
        <w:t xml:space="preserve">   </w:t>
      </w:r>
      <w:r w:rsidR="00870558" w:rsidRPr="006D23FD">
        <w:rPr>
          <w:rFonts w:ascii="Arial" w:eastAsia="Calibri" w:hAnsi="Arial" w:cs="Arial"/>
          <w:sz w:val="24"/>
          <w:szCs w:val="24"/>
        </w:rPr>
        <w:t>Attorney ER Hart</w:t>
      </w:r>
    </w:p>
    <w:p w14:paraId="449E5529" w14:textId="21C0BE6F" w:rsidR="00FC14E1" w:rsidRPr="006D23FD" w:rsidRDefault="002F7196"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r>
      <w:r w:rsidR="00CB28E3" w:rsidRPr="006D23FD">
        <w:rPr>
          <w:rFonts w:ascii="Arial" w:eastAsia="Calibri" w:hAnsi="Arial" w:cs="Arial"/>
          <w:sz w:val="24"/>
          <w:szCs w:val="24"/>
        </w:rPr>
        <w:t xml:space="preserve">   </w:t>
      </w:r>
      <w:r w:rsidR="00870558" w:rsidRPr="006D23FD">
        <w:rPr>
          <w:rFonts w:ascii="Arial" w:eastAsia="Calibri" w:hAnsi="Arial" w:cs="Arial"/>
          <w:sz w:val="24"/>
          <w:szCs w:val="24"/>
        </w:rPr>
        <w:t>University of Johannesburg Law Clinic</w:t>
      </w:r>
    </w:p>
    <w:p w14:paraId="438630FD" w14:textId="61B2CF1D" w:rsidR="00870558" w:rsidRPr="006D23FD" w:rsidRDefault="00C72A2B"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r>
      <w:r w:rsidR="00CB28E3" w:rsidRPr="006D23FD">
        <w:rPr>
          <w:rFonts w:ascii="Arial" w:eastAsia="Calibri" w:hAnsi="Arial" w:cs="Arial"/>
          <w:sz w:val="24"/>
          <w:szCs w:val="24"/>
        </w:rPr>
        <w:t xml:space="preserve">  </w:t>
      </w:r>
      <w:r w:rsidR="00870558" w:rsidRPr="006D23FD">
        <w:rPr>
          <w:rFonts w:ascii="Arial" w:eastAsia="Calibri" w:hAnsi="Arial" w:cs="Arial"/>
          <w:sz w:val="24"/>
          <w:szCs w:val="24"/>
        </w:rPr>
        <w:t>011 559 5194</w:t>
      </w:r>
    </w:p>
    <w:p w14:paraId="1FA549FC" w14:textId="2770E060" w:rsidR="00C72A2B" w:rsidRDefault="00870558"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r>
      <w:r w:rsidR="00CB28E3" w:rsidRPr="006D23FD">
        <w:rPr>
          <w:rFonts w:ascii="Arial" w:eastAsia="Calibri" w:hAnsi="Arial" w:cs="Arial"/>
          <w:sz w:val="24"/>
          <w:szCs w:val="24"/>
        </w:rPr>
        <w:t xml:space="preserve">  </w:t>
      </w:r>
      <w:hyperlink r:id="rId8" w:history="1">
        <w:r w:rsidRPr="006D23FD">
          <w:rPr>
            <w:rStyle w:val="Hyperlink"/>
            <w:rFonts w:ascii="Arial" w:eastAsia="Calibri" w:hAnsi="Arial" w:cs="Arial"/>
            <w:sz w:val="24"/>
            <w:szCs w:val="24"/>
          </w:rPr>
          <w:t>eltonr@uj.ac.za</w:t>
        </w:r>
      </w:hyperlink>
      <w:r w:rsidRPr="006D23FD">
        <w:rPr>
          <w:rFonts w:ascii="Arial" w:eastAsia="Calibri" w:hAnsi="Arial" w:cs="Arial"/>
          <w:sz w:val="24"/>
          <w:szCs w:val="24"/>
        </w:rPr>
        <w:t xml:space="preserve"> </w:t>
      </w:r>
      <w:r w:rsidR="00C72A2B" w:rsidRPr="006D23FD">
        <w:rPr>
          <w:rFonts w:ascii="Arial" w:eastAsia="Calibri" w:hAnsi="Arial" w:cs="Arial"/>
          <w:sz w:val="24"/>
          <w:szCs w:val="24"/>
        </w:rPr>
        <w:t xml:space="preserve"> </w:t>
      </w:r>
    </w:p>
    <w:p w14:paraId="08C541D4" w14:textId="77777777" w:rsidR="0092120D" w:rsidRPr="006D23FD" w:rsidRDefault="0092120D" w:rsidP="00DA211C">
      <w:pPr>
        <w:spacing w:after="200" w:line="480" w:lineRule="auto"/>
        <w:jc w:val="both"/>
        <w:rPr>
          <w:rFonts w:ascii="Arial" w:eastAsia="Calibri" w:hAnsi="Arial" w:cs="Arial"/>
          <w:sz w:val="24"/>
          <w:szCs w:val="24"/>
        </w:rPr>
      </w:pPr>
    </w:p>
    <w:p w14:paraId="4F5410EB" w14:textId="77777777" w:rsidR="00F223C4" w:rsidRPr="006D23FD" w:rsidRDefault="00F223C4"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t xml:space="preserve">FIRST </w:t>
      </w:r>
      <w:r w:rsidR="00442D5F" w:rsidRPr="006D23FD">
        <w:rPr>
          <w:rFonts w:ascii="Arial" w:eastAsia="Calibri" w:hAnsi="Arial" w:cs="Arial"/>
          <w:sz w:val="24"/>
          <w:szCs w:val="24"/>
        </w:rPr>
        <w:t>RESPONDENT</w:t>
      </w:r>
    </w:p>
    <w:p w14:paraId="673C19DF" w14:textId="33EFCD34" w:rsidR="00F223C4" w:rsidRPr="006D23FD" w:rsidRDefault="00773FFE"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tab/>
      </w:r>
      <w:r w:rsidR="00F223C4" w:rsidRPr="006D23FD">
        <w:rPr>
          <w:rFonts w:ascii="Arial" w:eastAsia="Calibri" w:hAnsi="Arial" w:cs="Arial"/>
          <w:sz w:val="24"/>
          <w:szCs w:val="24"/>
        </w:rPr>
        <w:tab/>
      </w:r>
      <w:r w:rsidR="00F223C4" w:rsidRPr="006D23FD">
        <w:rPr>
          <w:rFonts w:ascii="Arial" w:eastAsia="Calibri" w:hAnsi="Arial" w:cs="Arial"/>
          <w:sz w:val="24"/>
          <w:szCs w:val="24"/>
        </w:rPr>
        <w:tab/>
      </w:r>
      <w:r w:rsidR="00870558" w:rsidRPr="006D23FD">
        <w:rPr>
          <w:rFonts w:ascii="Arial" w:eastAsia="Calibri" w:hAnsi="Arial" w:cs="Arial"/>
          <w:sz w:val="24"/>
          <w:szCs w:val="24"/>
        </w:rPr>
        <w:t>Att L Groome</w:t>
      </w:r>
    </w:p>
    <w:p w14:paraId="1C6DA5E0" w14:textId="63381733" w:rsidR="00870558" w:rsidRPr="006D23FD" w:rsidRDefault="00870558"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t>079 346 7203</w:t>
      </w:r>
    </w:p>
    <w:p w14:paraId="23CE38FA" w14:textId="3D8E309C" w:rsidR="00F223C4" w:rsidRPr="006D23FD" w:rsidRDefault="00773FFE"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r>
      <w:hyperlink r:id="rId9" w:history="1">
        <w:r w:rsidR="00870558" w:rsidRPr="006D23FD">
          <w:rPr>
            <w:rStyle w:val="Hyperlink"/>
            <w:rFonts w:ascii="Arial" w:eastAsia="Calibri" w:hAnsi="Arial" w:cs="Arial"/>
            <w:sz w:val="24"/>
            <w:szCs w:val="24"/>
          </w:rPr>
          <w:t>liamg@rwattorneys.co.za</w:t>
        </w:r>
      </w:hyperlink>
      <w:r w:rsidR="00870558" w:rsidRPr="006D23FD">
        <w:rPr>
          <w:rFonts w:ascii="Arial" w:eastAsia="Calibri" w:hAnsi="Arial" w:cs="Arial"/>
          <w:sz w:val="24"/>
          <w:szCs w:val="24"/>
        </w:rPr>
        <w:t xml:space="preserve"> </w:t>
      </w:r>
    </w:p>
    <w:p w14:paraId="12EBB41B" w14:textId="16DF78FA" w:rsidR="00870558" w:rsidRPr="006D23FD" w:rsidRDefault="00870558"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t>Instructed by</w:t>
      </w:r>
      <w:r w:rsidRPr="006D23FD">
        <w:rPr>
          <w:rFonts w:ascii="Arial" w:eastAsia="Calibri" w:hAnsi="Arial" w:cs="Arial"/>
          <w:sz w:val="24"/>
          <w:szCs w:val="24"/>
        </w:rPr>
        <w:tab/>
        <w:t>RW Attorneys</w:t>
      </w:r>
    </w:p>
    <w:p w14:paraId="1630D508" w14:textId="6716F0FA" w:rsidR="00870558" w:rsidRPr="006D23FD" w:rsidRDefault="00870558"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t>012 452 4000</w:t>
      </w:r>
    </w:p>
    <w:p w14:paraId="6AD97A08" w14:textId="14C21401" w:rsidR="00AE254A" w:rsidRDefault="00870558"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r>
      <w:hyperlink r:id="rId10" w:history="1">
        <w:r w:rsidRPr="006D23FD">
          <w:rPr>
            <w:rStyle w:val="Hyperlink"/>
            <w:rFonts w:ascii="Arial" w:eastAsia="Calibri" w:hAnsi="Arial" w:cs="Arial"/>
            <w:sz w:val="24"/>
            <w:szCs w:val="24"/>
          </w:rPr>
          <w:t>adeled@rwafrica.com</w:t>
        </w:r>
      </w:hyperlink>
      <w:r w:rsidRPr="006D23FD">
        <w:rPr>
          <w:rFonts w:ascii="Arial" w:eastAsia="Calibri" w:hAnsi="Arial" w:cs="Arial"/>
          <w:sz w:val="24"/>
          <w:szCs w:val="24"/>
        </w:rPr>
        <w:t xml:space="preserve"> </w:t>
      </w:r>
    </w:p>
    <w:p w14:paraId="3D342EBF" w14:textId="77777777" w:rsidR="0092120D" w:rsidRPr="006D23FD" w:rsidRDefault="0092120D" w:rsidP="00DA211C">
      <w:pPr>
        <w:spacing w:after="200" w:line="480" w:lineRule="auto"/>
        <w:jc w:val="both"/>
        <w:rPr>
          <w:rFonts w:ascii="Arial" w:eastAsia="Calibri" w:hAnsi="Arial" w:cs="Arial"/>
          <w:sz w:val="24"/>
          <w:szCs w:val="24"/>
        </w:rPr>
      </w:pPr>
    </w:p>
    <w:p w14:paraId="28E4EAF6" w14:textId="77777777" w:rsidR="00F223C4" w:rsidRPr="006D23FD" w:rsidRDefault="00F223C4"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t>SECOND RESPONDENT</w:t>
      </w:r>
    </w:p>
    <w:p w14:paraId="6496D2A6" w14:textId="1DBA5C4B" w:rsidR="00F223C4" w:rsidRPr="006D23FD" w:rsidRDefault="00F223C4"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lastRenderedPageBreak/>
        <w:tab/>
      </w:r>
      <w:r w:rsidRPr="006D23FD">
        <w:rPr>
          <w:rFonts w:ascii="Arial" w:eastAsia="Calibri" w:hAnsi="Arial" w:cs="Arial"/>
          <w:sz w:val="24"/>
          <w:szCs w:val="24"/>
        </w:rPr>
        <w:tab/>
      </w:r>
      <w:r w:rsidRPr="006D23FD">
        <w:rPr>
          <w:rFonts w:ascii="Arial" w:eastAsia="Calibri" w:hAnsi="Arial" w:cs="Arial"/>
          <w:sz w:val="24"/>
          <w:szCs w:val="24"/>
        </w:rPr>
        <w:tab/>
      </w:r>
      <w:r w:rsidR="00AE254A" w:rsidRPr="006D23FD">
        <w:rPr>
          <w:rFonts w:ascii="Arial" w:eastAsia="Calibri" w:hAnsi="Arial" w:cs="Arial"/>
          <w:sz w:val="24"/>
          <w:szCs w:val="24"/>
        </w:rPr>
        <w:t>Adv B M Gilbert</w:t>
      </w:r>
    </w:p>
    <w:p w14:paraId="11735A2D" w14:textId="6692D5A5" w:rsidR="00AE254A" w:rsidRPr="006D23FD" w:rsidRDefault="00AE254A"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t>083 853 3082 / 011 263 9000</w:t>
      </w:r>
    </w:p>
    <w:p w14:paraId="322E50BB" w14:textId="77777777" w:rsidR="00AE254A" w:rsidRPr="006D23FD" w:rsidRDefault="00F223C4"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r>
      <w:hyperlink r:id="rId11" w:history="1">
        <w:r w:rsidR="00AE254A" w:rsidRPr="006D23FD">
          <w:rPr>
            <w:rStyle w:val="Hyperlink"/>
            <w:rFonts w:ascii="Arial" w:eastAsia="Calibri" w:hAnsi="Arial" w:cs="Arial"/>
            <w:sz w:val="24"/>
            <w:szCs w:val="24"/>
          </w:rPr>
          <w:t>bmgilbert@group621.co.za</w:t>
        </w:r>
      </w:hyperlink>
      <w:r w:rsidR="00AE254A" w:rsidRPr="006D23FD">
        <w:rPr>
          <w:rFonts w:ascii="Arial" w:eastAsia="Calibri" w:hAnsi="Arial" w:cs="Arial"/>
          <w:sz w:val="24"/>
          <w:szCs w:val="24"/>
        </w:rPr>
        <w:t xml:space="preserve"> </w:t>
      </w:r>
    </w:p>
    <w:p w14:paraId="076B5367" w14:textId="77777777" w:rsidR="00AE254A" w:rsidRPr="006D23FD" w:rsidRDefault="00AE254A"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t>Adv N Deeplal</w:t>
      </w:r>
    </w:p>
    <w:p w14:paraId="476DB491" w14:textId="47CE6BD2" w:rsidR="00F223C4" w:rsidRPr="006D23FD" w:rsidRDefault="00AE254A"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t>076 924 7592 / 011 263 8900</w:t>
      </w:r>
      <w:r w:rsidR="00F223C4" w:rsidRPr="006D23FD">
        <w:rPr>
          <w:rFonts w:ascii="Arial" w:eastAsia="Calibri" w:hAnsi="Arial" w:cs="Arial"/>
          <w:sz w:val="24"/>
          <w:szCs w:val="24"/>
        </w:rPr>
        <w:t xml:space="preserve"> </w:t>
      </w:r>
    </w:p>
    <w:p w14:paraId="5E0C7534" w14:textId="28EC23C3" w:rsidR="00AE254A" w:rsidRPr="006D23FD" w:rsidRDefault="00F223C4" w:rsidP="00DA211C">
      <w:pPr>
        <w:spacing w:after="200" w:line="480" w:lineRule="auto"/>
        <w:jc w:val="both"/>
        <w:rPr>
          <w:rFonts w:ascii="Arial" w:eastAsia="Calibri" w:hAnsi="Arial" w:cs="Arial"/>
          <w:sz w:val="24"/>
          <w:szCs w:val="24"/>
        </w:rPr>
      </w:pPr>
      <w:r w:rsidRPr="006D23FD">
        <w:rPr>
          <w:rFonts w:ascii="Arial" w:eastAsia="Calibri" w:hAnsi="Arial" w:cs="Arial"/>
          <w:sz w:val="24"/>
          <w:szCs w:val="24"/>
        </w:rPr>
        <w:tab/>
      </w:r>
      <w:r w:rsidRPr="006D23FD">
        <w:rPr>
          <w:rFonts w:ascii="Arial" w:eastAsia="Calibri" w:hAnsi="Arial" w:cs="Arial"/>
          <w:sz w:val="24"/>
          <w:szCs w:val="24"/>
        </w:rPr>
        <w:tab/>
      </w:r>
      <w:r w:rsidRPr="006D23FD">
        <w:rPr>
          <w:rFonts w:ascii="Arial" w:eastAsia="Calibri" w:hAnsi="Arial" w:cs="Arial"/>
          <w:sz w:val="24"/>
          <w:szCs w:val="24"/>
        </w:rPr>
        <w:tab/>
      </w:r>
      <w:r w:rsidR="00133647" w:rsidRPr="006D23FD">
        <w:rPr>
          <w:rFonts w:ascii="Arial" w:eastAsia="Calibri" w:hAnsi="Arial" w:cs="Arial"/>
          <w:sz w:val="24"/>
          <w:szCs w:val="24"/>
        </w:rPr>
        <w:t xml:space="preserve"> </w:t>
      </w:r>
      <w:hyperlink r:id="rId12" w:history="1">
        <w:r w:rsidR="00AE254A" w:rsidRPr="006D23FD">
          <w:rPr>
            <w:rStyle w:val="Hyperlink"/>
            <w:rFonts w:ascii="Arial" w:eastAsia="Calibri" w:hAnsi="Arial" w:cs="Arial"/>
            <w:sz w:val="24"/>
            <w:szCs w:val="24"/>
          </w:rPr>
          <w:t>nikhiel@deeplal.co.za</w:t>
        </w:r>
      </w:hyperlink>
    </w:p>
    <w:p w14:paraId="01B010A1" w14:textId="5E575049" w:rsidR="00AE254A" w:rsidRDefault="007C2242" w:rsidP="00DA211C">
      <w:pPr>
        <w:spacing w:after="200" w:line="480" w:lineRule="auto"/>
        <w:jc w:val="both"/>
        <w:rPr>
          <w:rFonts w:ascii="Arial" w:eastAsia="Calibri" w:hAnsi="Arial" w:cs="Arial"/>
          <w:sz w:val="24"/>
          <w:szCs w:val="24"/>
        </w:rPr>
      </w:pPr>
      <w:r>
        <w:rPr>
          <w:rFonts w:ascii="Arial" w:eastAsia="Calibri" w:hAnsi="Arial" w:cs="Arial"/>
          <w:sz w:val="24"/>
          <w:szCs w:val="24"/>
        </w:rPr>
        <w:t xml:space="preserve">                                 </w:t>
      </w:r>
      <w:r w:rsidR="00AE254A" w:rsidRPr="006D23FD">
        <w:rPr>
          <w:rFonts w:ascii="Arial" w:eastAsia="Calibri" w:hAnsi="Arial" w:cs="Arial"/>
          <w:sz w:val="24"/>
          <w:szCs w:val="24"/>
        </w:rPr>
        <w:t>Instructed by</w:t>
      </w:r>
      <w:r w:rsidR="00AE254A" w:rsidRPr="006D23FD">
        <w:rPr>
          <w:rFonts w:ascii="Arial" w:eastAsia="Calibri" w:hAnsi="Arial" w:cs="Arial"/>
          <w:sz w:val="24"/>
          <w:szCs w:val="24"/>
        </w:rPr>
        <w:tab/>
      </w:r>
      <w:r>
        <w:rPr>
          <w:rFonts w:ascii="Arial" w:eastAsia="Calibri" w:hAnsi="Arial" w:cs="Arial"/>
          <w:sz w:val="24"/>
          <w:szCs w:val="24"/>
        </w:rPr>
        <w:t xml:space="preserve"> </w:t>
      </w:r>
      <w:r w:rsidR="00AE254A" w:rsidRPr="006D23FD">
        <w:rPr>
          <w:rFonts w:ascii="Arial" w:eastAsia="Calibri" w:hAnsi="Arial" w:cs="Arial"/>
          <w:sz w:val="24"/>
          <w:szCs w:val="24"/>
        </w:rPr>
        <w:t>Webber Wentzel</w:t>
      </w:r>
    </w:p>
    <w:p w14:paraId="336E50CA" w14:textId="0AE0FDC4" w:rsidR="007C2242" w:rsidRPr="00CF3478" w:rsidRDefault="007C2242" w:rsidP="00DA211C">
      <w:pPr>
        <w:spacing w:after="200" w:line="480" w:lineRule="auto"/>
        <w:jc w:val="both"/>
        <w:rPr>
          <w:rFonts w:ascii="Arial" w:eastAsia="Calibri" w:hAnsi="Arial" w:cs="Arial"/>
          <w:sz w:val="24"/>
          <w:szCs w:val="24"/>
          <w:lang w:val="de-DE"/>
        </w:rPr>
      </w:pPr>
      <w:r>
        <w:rPr>
          <w:rFonts w:ascii="Arial" w:eastAsia="Calibri" w:hAnsi="Arial" w:cs="Arial"/>
          <w:sz w:val="24"/>
          <w:szCs w:val="24"/>
        </w:rPr>
        <w:t xml:space="preserve">                                 </w:t>
      </w:r>
      <w:r w:rsidRPr="00CF3478">
        <w:rPr>
          <w:rFonts w:ascii="Arial" w:eastAsia="Calibri" w:hAnsi="Arial" w:cs="Arial"/>
          <w:sz w:val="24"/>
          <w:szCs w:val="24"/>
          <w:lang w:val="de-DE"/>
        </w:rPr>
        <w:t>Ms F Jaffer</w:t>
      </w:r>
    </w:p>
    <w:p w14:paraId="7C1132AA" w14:textId="77777777" w:rsidR="0092120D" w:rsidRPr="00CF3478" w:rsidRDefault="007C2242" w:rsidP="0092120D">
      <w:pPr>
        <w:spacing w:after="200" w:line="480" w:lineRule="auto"/>
        <w:jc w:val="both"/>
        <w:rPr>
          <w:lang w:val="de-DE" w:eastAsia="en-ZA"/>
        </w:rPr>
      </w:pPr>
      <w:r w:rsidRPr="00CF3478">
        <w:rPr>
          <w:rFonts w:ascii="Arial" w:eastAsia="Calibri" w:hAnsi="Arial" w:cs="Arial"/>
          <w:sz w:val="24"/>
          <w:szCs w:val="24"/>
          <w:lang w:val="de-DE"/>
        </w:rPr>
        <w:t xml:space="preserve">                                </w:t>
      </w:r>
      <w:hyperlink r:id="rId13" w:history="1">
        <w:r w:rsidR="0092120D" w:rsidRPr="00CF3478">
          <w:rPr>
            <w:rStyle w:val="Hyperlink"/>
            <w:lang w:val="de-DE" w:eastAsia="en-ZA"/>
          </w:rPr>
          <w:t>Faatimah.Jaffer@webberwentzel.com</w:t>
        </w:r>
      </w:hyperlink>
    </w:p>
    <w:p w14:paraId="398A855D" w14:textId="26D948A8" w:rsidR="00AE254A" w:rsidRPr="00CF3478" w:rsidRDefault="0092120D" w:rsidP="0092120D">
      <w:pPr>
        <w:spacing w:after="200" w:line="480" w:lineRule="auto"/>
        <w:jc w:val="both"/>
        <w:rPr>
          <w:lang w:val="de-DE" w:eastAsia="en-ZA"/>
        </w:rPr>
      </w:pPr>
      <w:r w:rsidRPr="00CF3478">
        <w:rPr>
          <w:lang w:val="de-DE" w:eastAsia="en-ZA"/>
        </w:rPr>
        <w:t xml:space="preserve">                                            </w:t>
      </w:r>
      <w:r w:rsidR="00AE254A" w:rsidRPr="00CF3478">
        <w:rPr>
          <w:rFonts w:ascii="Arial" w:eastAsia="Calibri" w:hAnsi="Arial" w:cs="Arial"/>
          <w:sz w:val="24"/>
          <w:szCs w:val="24"/>
          <w:lang w:val="de-DE"/>
        </w:rPr>
        <w:t>011 530 5644</w:t>
      </w:r>
    </w:p>
    <w:p w14:paraId="288414FE" w14:textId="3D4A830E" w:rsidR="00AE254A" w:rsidRPr="00CF3478" w:rsidRDefault="00AE254A" w:rsidP="00DA211C">
      <w:pPr>
        <w:spacing w:after="200" w:line="480" w:lineRule="auto"/>
        <w:jc w:val="both"/>
        <w:rPr>
          <w:rFonts w:ascii="Arial" w:eastAsia="Calibri" w:hAnsi="Arial" w:cs="Arial"/>
          <w:sz w:val="24"/>
          <w:szCs w:val="24"/>
          <w:lang w:val="de-DE"/>
        </w:rPr>
      </w:pPr>
      <w:r w:rsidRPr="00CF3478">
        <w:rPr>
          <w:rFonts w:ascii="Arial" w:eastAsia="Calibri" w:hAnsi="Arial" w:cs="Arial"/>
          <w:sz w:val="24"/>
          <w:szCs w:val="24"/>
          <w:lang w:val="de-DE"/>
        </w:rPr>
        <w:tab/>
      </w:r>
      <w:r w:rsidRPr="00CF3478">
        <w:rPr>
          <w:rFonts w:ascii="Arial" w:eastAsia="Calibri" w:hAnsi="Arial" w:cs="Arial"/>
          <w:sz w:val="24"/>
          <w:szCs w:val="24"/>
          <w:lang w:val="de-DE"/>
        </w:rPr>
        <w:tab/>
      </w:r>
      <w:r w:rsidRPr="00CF3478">
        <w:rPr>
          <w:rFonts w:ascii="Arial" w:eastAsia="Calibri" w:hAnsi="Arial" w:cs="Arial"/>
          <w:sz w:val="24"/>
          <w:szCs w:val="24"/>
          <w:lang w:val="de-DE"/>
        </w:rPr>
        <w:tab/>
      </w:r>
      <w:hyperlink r:id="rId14" w:history="1">
        <w:r w:rsidRPr="00CF3478">
          <w:rPr>
            <w:rStyle w:val="Hyperlink"/>
            <w:rFonts w:ascii="Arial" w:eastAsia="Calibri" w:hAnsi="Arial" w:cs="Arial"/>
            <w:sz w:val="24"/>
            <w:szCs w:val="24"/>
            <w:lang w:val="de-DE"/>
          </w:rPr>
          <w:t>Victoria.campos@webberwentzel.com</w:t>
        </w:r>
      </w:hyperlink>
    </w:p>
    <w:p w14:paraId="52868E9D" w14:textId="24E869C2" w:rsidR="00773FFE" w:rsidRPr="00CF3478" w:rsidRDefault="00AE254A" w:rsidP="00DA211C">
      <w:pPr>
        <w:spacing w:after="200" w:line="480" w:lineRule="auto"/>
        <w:jc w:val="both"/>
        <w:rPr>
          <w:rFonts w:ascii="Arial" w:eastAsia="Calibri" w:hAnsi="Arial" w:cs="Arial"/>
          <w:sz w:val="24"/>
          <w:szCs w:val="24"/>
          <w:lang w:val="de-DE"/>
        </w:rPr>
      </w:pPr>
      <w:r w:rsidRPr="00CF3478">
        <w:rPr>
          <w:rFonts w:ascii="Arial" w:eastAsia="Calibri" w:hAnsi="Arial" w:cs="Arial"/>
          <w:sz w:val="24"/>
          <w:szCs w:val="24"/>
          <w:lang w:val="de-DE"/>
        </w:rPr>
        <w:tab/>
      </w:r>
      <w:r w:rsidRPr="00CF3478">
        <w:rPr>
          <w:rFonts w:ascii="Arial" w:eastAsia="Calibri" w:hAnsi="Arial" w:cs="Arial"/>
          <w:sz w:val="24"/>
          <w:szCs w:val="24"/>
          <w:lang w:val="de-DE"/>
        </w:rPr>
        <w:tab/>
      </w:r>
      <w:r w:rsidRPr="00CF3478">
        <w:rPr>
          <w:rFonts w:ascii="Arial" w:eastAsia="Calibri" w:hAnsi="Arial" w:cs="Arial"/>
          <w:sz w:val="24"/>
          <w:szCs w:val="24"/>
          <w:lang w:val="de-DE"/>
        </w:rPr>
        <w:tab/>
      </w:r>
      <w:hyperlink r:id="rId15" w:history="1">
        <w:r w:rsidRPr="00CF3478">
          <w:rPr>
            <w:rStyle w:val="Hyperlink"/>
            <w:rFonts w:ascii="Arial" w:eastAsia="Calibri" w:hAnsi="Arial" w:cs="Arial"/>
            <w:sz w:val="24"/>
            <w:szCs w:val="24"/>
            <w:lang w:val="de-DE"/>
          </w:rPr>
          <w:t>Tobia.serongoane@webberwentzel.com</w:t>
        </w:r>
      </w:hyperlink>
      <w:r w:rsidRPr="00CF3478">
        <w:rPr>
          <w:rFonts w:ascii="Arial" w:eastAsia="Calibri" w:hAnsi="Arial" w:cs="Arial"/>
          <w:sz w:val="24"/>
          <w:szCs w:val="24"/>
          <w:lang w:val="de-DE"/>
        </w:rPr>
        <w:t xml:space="preserve"> </w:t>
      </w:r>
      <w:r w:rsidR="00773FFE" w:rsidRPr="00CF3478">
        <w:rPr>
          <w:rFonts w:ascii="Arial" w:eastAsia="Calibri" w:hAnsi="Arial" w:cs="Arial"/>
          <w:sz w:val="24"/>
          <w:szCs w:val="24"/>
          <w:lang w:val="de-DE"/>
        </w:rPr>
        <w:tab/>
      </w:r>
    </w:p>
    <w:p w14:paraId="0F1A009E" w14:textId="77777777" w:rsidR="00773FFE" w:rsidRPr="00CF3478" w:rsidRDefault="00773FFE" w:rsidP="00DA211C">
      <w:pPr>
        <w:spacing w:after="200" w:line="480" w:lineRule="auto"/>
        <w:jc w:val="both"/>
        <w:rPr>
          <w:rFonts w:ascii="Arial" w:eastAsia="Calibri" w:hAnsi="Arial" w:cs="Arial"/>
          <w:sz w:val="24"/>
          <w:szCs w:val="24"/>
          <w:lang w:val="de-DE"/>
        </w:rPr>
      </w:pPr>
      <w:r w:rsidRPr="00CF3478">
        <w:rPr>
          <w:rFonts w:ascii="Arial" w:eastAsia="Calibri" w:hAnsi="Arial" w:cs="Arial"/>
          <w:sz w:val="24"/>
          <w:szCs w:val="24"/>
          <w:lang w:val="de-DE"/>
        </w:rPr>
        <w:t xml:space="preserve"> </w:t>
      </w:r>
    </w:p>
    <w:p w14:paraId="7396703B" w14:textId="77777777" w:rsidR="00773FFE" w:rsidRPr="00CF3478" w:rsidRDefault="00773FFE" w:rsidP="00DA211C">
      <w:pPr>
        <w:spacing w:after="200" w:line="480" w:lineRule="auto"/>
        <w:jc w:val="both"/>
        <w:rPr>
          <w:rFonts w:ascii="Arial" w:eastAsia="Calibri" w:hAnsi="Arial" w:cs="Arial"/>
          <w:sz w:val="24"/>
          <w:szCs w:val="24"/>
          <w:lang w:val="de-DE"/>
        </w:rPr>
      </w:pPr>
      <w:r w:rsidRPr="00CF3478">
        <w:rPr>
          <w:rFonts w:ascii="Arial" w:eastAsia="Calibri" w:hAnsi="Arial" w:cs="Arial"/>
          <w:sz w:val="24"/>
          <w:szCs w:val="24"/>
          <w:lang w:val="de-DE"/>
        </w:rPr>
        <w:tab/>
      </w:r>
      <w:r w:rsidRPr="00CF3478">
        <w:rPr>
          <w:rFonts w:ascii="Arial" w:eastAsia="Calibri" w:hAnsi="Arial" w:cs="Arial"/>
          <w:sz w:val="24"/>
          <w:szCs w:val="24"/>
          <w:lang w:val="de-DE"/>
        </w:rPr>
        <w:tab/>
      </w:r>
      <w:r w:rsidRPr="00CF3478">
        <w:rPr>
          <w:rFonts w:ascii="Arial" w:eastAsia="Calibri" w:hAnsi="Arial" w:cs="Arial"/>
          <w:sz w:val="24"/>
          <w:szCs w:val="24"/>
          <w:lang w:val="de-DE"/>
        </w:rPr>
        <w:tab/>
      </w:r>
    </w:p>
    <w:p w14:paraId="6D5C8888" w14:textId="77777777" w:rsidR="00773FFE" w:rsidRPr="00CF3478" w:rsidRDefault="00773FFE" w:rsidP="00DA211C">
      <w:pPr>
        <w:spacing w:after="200" w:line="480" w:lineRule="auto"/>
        <w:jc w:val="both"/>
        <w:rPr>
          <w:rFonts w:ascii="Arial" w:eastAsia="Calibri" w:hAnsi="Arial" w:cs="Arial"/>
          <w:sz w:val="24"/>
          <w:szCs w:val="24"/>
          <w:lang w:val="de-DE"/>
        </w:rPr>
      </w:pPr>
      <w:r w:rsidRPr="00CF3478">
        <w:rPr>
          <w:rFonts w:ascii="Arial" w:eastAsia="Calibri" w:hAnsi="Arial" w:cs="Arial"/>
          <w:sz w:val="24"/>
          <w:szCs w:val="24"/>
          <w:lang w:val="de-DE"/>
        </w:rPr>
        <w:t xml:space="preserve">                                                                                                                                      </w:t>
      </w:r>
    </w:p>
    <w:sectPr w:rsidR="00773FFE" w:rsidRPr="00CF3478" w:rsidSect="00DA211C">
      <w:headerReference w:type="default" r:id="rId16"/>
      <w:pgSz w:w="11906" w:h="16838"/>
      <w:pgMar w:top="1440" w:right="1440" w:bottom="1440" w:left="1440"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2EC5E" w14:textId="77777777" w:rsidR="00E83E9C" w:rsidRDefault="00E83E9C">
      <w:pPr>
        <w:spacing w:after="0" w:line="240" w:lineRule="auto"/>
      </w:pPr>
      <w:r>
        <w:separator/>
      </w:r>
    </w:p>
  </w:endnote>
  <w:endnote w:type="continuationSeparator" w:id="0">
    <w:p w14:paraId="19F0282E" w14:textId="77777777" w:rsidR="00E83E9C" w:rsidRDefault="00E8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E186C" w14:textId="77777777" w:rsidR="00E83E9C" w:rsidRDefault="00E83E9C">
      <w:pPr>
        <w:spacing w:after="0" w:line="240" w:lineRule="auto"/>
      </w:pPr>
      <w:r>
        <w:separator/>
      </w:r>
    </w:p>
  </w:footnote>
  <w:footnote w:type="continuationSeparator" w:id="0">
    <w:p w14:paraId="4F626406" w14:textId="77777777" w:rsidR="00E83E9C" w:rsidRDefault="00E83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669047"/>
      <w:docPartObj>
        <w:docPartGallery w:val="Page Numbers (Top of Page)"/>
        <w:docPartUnique/>
      </w:docPartObj>
    </w:sdtPr>
    <w:sdtEndPr>
      <w:rPr>
        <w:noProof/>
      </w:rPr>
    </w:sdtEndPr>
    <w:sdtContent>
      <w:p w14:paraId="34E1271E" w14:textId="6677D050" w:rsidR="00296D73" w:rsidRDefault="00773FFE">
        <w:pPr>
          <w:pStyle w:val="Header"/>
          <w:jc w:val="center"/>
        </w:pPr>
        <w:r>
          <w:fldChar w:fldCharType="begin"/>
        </w:r>
        <w:r>
          <w:instrText xml:space="preserve"> PAGE   \* MERGEFORMAT </w:instrText>
        </w:r>
        <w:r>
          <w:fldChar w:fldCharType="separate"/>
        </w:r>
        <w:r w:rsidR="00B76870">
          <w:rPr>
            <w:noProof/>
          </w:rPr>
          <w:t>1</w:t>
        </w:r>
        <w:r>
          <w:rPr>
            <w:noProof/>
          </w:rPr>
          <w:fldChar w:fldCharType="end"/>
        </w:r>
      </w:p>
    </w:sdtContent>
  </w:sdt>
  <w:p w14:paraId="3CA67F8B" w14:textId="77777777" w:rsidR="00296D73" w:rsidRDefault="00296D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AA3"/>
    <w:multiLevelType w:val="multilevel"/>
    <w:tmpl w:val="7AF8EDD6"/>
    <w:lvl w:ilvl="0">
      <w:start w:val="1"/>
      <w:numFmt w:val="decimal"/>
      <w:lvlText w:val="%1."/>
      <w:lvlJc w:val="left"/>
      <w:pPr>
        <w:ind w:left="785" w:hanging="360"/>
      </w:pPr>
      <w:rPr>
        <w:rFonts w:hint="default"/>
        <w:b w:val="0"/>
        <w:i w:val="0"/>
      </w:rPr>
    </w:lvl>
    <w:lvl w:ilvl="1">
      <w:start w:val="1"/>
      <w:numFmt w:val="decimal"/>
      <w:isLgl/>
      <w:lvlText w:val="%1.%2"/>
      <w:lvlJc w:val="left"/>
      <w:pPr>
        <w:ind w:left="1145" w:hanging="36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745" w:hanging="1800"/>
      </w:pPr>
      <w:rPr>
        <w:rFonts w:hint="default"/>
      </w:rPr>
    </w:lvl>
    <w:lvl w:ilvl="8">
      <w:start w:val="1"/>
      <w:numFmt w:val="decimal"/>
      <w:isLgl/>
      <w:lvlText w:val="%1.%2.%3.%4.%5.%6.%7.%8.%9"/>
      <w:lvlJc w:val="left"/>
      <w:pPr>
        <w:ind w:left="5105" w:hanging="1800"/>
      </w:pPr>
      <w:rPr>
        <w:rFonts w:hint="default"/>
      </w:rPr>
    </w:lvl>
  </w:abstractNum>
  <w:abstractNum w:abstractNumId="1" w15:restartNumberingAfterBreak="0">
    <w:nsid w:val="03FE4762"/>
    <w:multiLevelType w:val="hybridMultilevel"/>
    <w:tmpl w:val="B99296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5786AB3"/>
    <w:multiLevelType w:val="hybridMultilevel"/>
    <w:tmpl w:val="EB2A37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C500903"/>
    <w:multiLevelType w:val="hybridMultilevel"/>
    <w:tmpl w:val="E85C9434"/>
    <w:lvl w:ilvl="0" w:tplc="1C09000F">
      <w:start w:val="1"/>
      <w:numFmt w:val="decimal"/>
      <w:lvlText w:val="%1."/>
      <w:lvlJc w:val="left"/>
      <w:pPr>
        <w:ind w:left="720" w:hanging="360"/>
      </w:pPr>
      <w:rPr>
        <w:b w:val="0"/>
        <w:color w:val="auto"/>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4B234A1E"/>
    <w:multiLevelType w:val="multilevel"/>
    <w:tmpl w:val="1BAE5D34"/>
    <w:lvl w:ilvl="0">
      <w:start w:val="1"/>
      <w:numFmt w:val="decimal"/>
      <w:lvlText w:val="%1."/>
      <w:lvlJc w:val="left"/>
      <w:pPr>
        <w:ind w:left="720" w:hanging="360"/>
      </w:pPr>
      <w:rPr>
        <w:rFonts w:hint="default"/>
        <w:b w:val="0"/>
        <w:i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BED13EF"/>
    <w:multiLevelType w:val="hybridMultilevel"/>
    <w:tmpl w:val="F2AA0D86"/>
    <w:lvl w:ilvl="0" w:tplc="6158E16E">
      <w:start w:val="3"/>
      <w:numFmt w:val="decimal"/>
      <w:lvlText w:val="%1."/>
      <w:lvlJc w:val="left"/>
      <w:pPr>
        <w:ind w:left="1150" w:hanging="360"/>
      </w:pPr>
      <w:rPr>
        <w:rFonts w:hint="default"/>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abstractNum w:abstractNumId="6" w15:restartNumberingAfterBreak="0">
    <w:nsid w:val="5AB22B26"/>
    <w:multiLevelType w:val="hybridMultilevel"/>
    <w:tmpl w:val="E0C439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0C3318C"/>
    <w:multiLevelType w:val="hybridMultilevel"/>
    <w:tmpl w:val="BBAC2A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27300F9"/>
    <w:multiLevelType w:val="hybridMultilevel"/>
    <w:tmpl w:val="56E0483C"/>
    <w:lvl w:ilvl="0" w:tplc="6B0E54D2">
      <w:start w:val="16"/>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50625B1"/>
    <w:multiLevelType w:val="hybridMultilevel"/>
    <w:tmpl w:val="91EA67A0"/>
    <w:lvl w:ilvl="0" w:tplc="D9FC1C14">
      <w:start w:val="14"/>
      <w:numFmt w:val="decimal"/>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A4B68C9"/>
    <w:multiLevelType w:val="hybridMultilevel"/>
    <w:tmpl w:val="7B447530"/>
    <w:lvl w:ilvl="0" w:tplc="BC7EC90C">
      <w:start w:val="13"/>
      <w:numFmt w:val="decimal"/>
      <w:lvlText w:val="%1."/>
      <w:lvlJc w:val="left"/>
      <w:pPr>
        <w:ind w:left="1120" w:hanging="360"/>
      </w:pPr>
      <w:rPr>
        <w:rFonts w:hint="default"/>
      </w:rPr>
    </w:lvl>
    <w:lvl w:ilvl="1" w:tplc="1C090019" w:tentative="1">
      <w:start w:val="1"/>
      <w:numFmt w:val="lowerLetter"/>
      <w:lvlText w:val="%2."/>
      <w:lvlJc w:val="left"/>
      <w:pPr>
        <w:ind w:left="1840" w:hanging="360"/>
      </w:pPr>
    </w:lvl>
    <w:lvl w:ilvl="2" w:tplc="1C09001B" w:tentative="1">
      <w:start w:val="1"/>
      <w:numFmt w:val="lowerRoman"/>
      <w:lvlText w:val="%3."/>
      <w:lvlJc w:val="right"/>
      <w:pPr>
        <w:ind w:left="2560" w:hanging="180"/>
      </w:pPr>
    </w:lvl>
    <w:lvl w:ilvl="3" w:tplc="1C09000F" w:tentative="1">
      <w:start w:val="1"/>
      <w:numFmt w:val="decimal"/>
      <w:lvlText w:val="%4."/>
      <w:lvlJc w:val="left"/>
      <w:pPr>
        <w:ind w:left="3280" w:hanging="360"/>
      </w:pPr>
    </w:lvl>
    <w:lvl w:ilvl="4" w:tplc="1C090019" w:tentative="1">
      <w:start w:val="1"/>
      <w:numFmt w:val="lowerLetter"/>
      <w:lvlText w:val="%5."/>
      <w:lvlJc w:val="left"/>
      <w:pPr>
        <w:ind w:left="4000" w:hanging="360"/>
      </w:pPr>
    </w:lvl>
    <w:lvl w:ilvl="5" w:tplc="1C09001B" w:tentative="1">
      <w:start w:val="1"/>
      <w:numFmt w:val="lowerRoman"/>
      <w:lvlText w:val="%6."/>
      <w:lvlJc w:val="right"/>
      <w:pPr>
        <w:ind w:left="4720" w:hanging="180"/>
      </w:pPr>
    </w:lvl>
    <w:lvl w:ilvl="6" w:tplc="1C09000F" w:tentative="1">
      <w:start w:val="1"/>
      <w:numFmt w:val="decimal"/>
      <w:lvlText w:val="%7."/>
      <w:lvlJc w:val="left"/>
      <w:pPr>
        <w:ind w:left="5440" w:hanging="360"/>
      </w:pPr>
    </w:lvl>
    <w:lvl w:ilvl="7" w:tplc="1C090019" w:tentative="1">
      <w:start w:val="1"/>
      <w:numFmt w:val="lowerLetter"/>
      <w:lvlText w:val="%8."/>
      <w:lvlJc w:val="left"/>
      <w:pPr>
        <w:ind w:left="6160" w:hanging="360"/>
      </w:pPr>
    </w:lvl>
    <w:lvl w:ilvl="8" w:tplc="1C09001B" w:tentative="1">
      <w:start w:val="1"/>
      <w:numFmt w:val="lowerRoman"/>
      <w:lvlText w:val="%9."/>
      <w:lvlJc w:val="right"/>
      <w:pPr>
        <w:ind w:left="6880" w:hanging="180"/>
      </w:pPr>
    </w:lvl>
  </w:abstractNum>
  <w:abstractNum w:abstractNumId="11" w15:restartNumberingAfterBreak="0">
    <w:nsid w:val="7A8C1A44"/>
    <w:multiLevelType w:val="hybridMultilevel"/>
    <w:tmpl w:val="C1346408"/>
    <w:lvl w:ilvl="0" w:tplc="17D0C7F2">
      <w:start w:val="1"/>
      <w:numFmt w:val="decimal"/>
      <w:lvlText w:val="%1."/>
      <w:lvlJc w:val="left"/>
      <w:pPr>
        <w:ind w:left="720" w:hanging="360"/>
      </w:pPr>
      <w:rPr>
        <w:rFonts w:ascii="Arial" w:eastAsia="Times New Roman" w:hAnsi="Arial" w:cs="Arial"/>
        <w:b w:val="0"/>
        <w:color w:val="auto"/>
        <w:sz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7AC81E66"/>
    <w:multiLevelType w:val="multilevel"/>
    <w:tmpl w:val="CE4817DA"/>
    <w:lvl w:ilvl="0">
      <w:start w:val="1"/>
      <w:numFmt w:val="decimal"/>
      <w:lvlText w:val="%1."/>
      <w:lvlJc w:val="left"/>
      <w:pPr>
        <w:ind w:left="720" w:hanging="360"/>
      </w:pPr>
    </w:lvl>
    <w:lvl w:ilvl="1">
      <w:start w:val="1"/>
      <w:numFmt w:val="decimal"/>
      <w:isLgl/>
      <w:lvlText w:val="%1.%2"/>
      <w:lvlJc w:val="left"/>
      <w:pPr>
        <w:ind w:left="1130" w:hanging="360"/>
      </w:pPr>
    </w:lvl>
    <w:lvl w:ilvl="2">
      <w:start w:val="1"/>
      <w:numFmt w:val="decimal"/>
      <w:isLgl/>
      <w:lvlText w:val="%1.%2.%3"/>
      <w:lvlJc w:val="left"/>
      <w:pPr>
        <w:ind w:left="1900" w:hanging="720"/>
      </w:pPr>
    </w:lvl>
    <w:lvl w:ilvl="3">
      <w:start w:val="1"/>
      <w:numFmt w:val="decimal"/>
      <w:isLgl/>
      <w:lvlText w:val="%1.%2.%3.%4"/>
      <w:lvlJc w:val="left"/>
      <w:pPr>
        <w:ind w:left="2310" w:hanging="720"/>
      </w:pPr>
    </w:lvl>
    <w:lvl w:ilvl="4">
      <w:start w:val="1"/>
      <w:numFmt w:val="decimal"/>
      <w:isLgl/>
      <w:lvlText w:val="%1.%2.%3.%4.%5"/>
      <w:lvlJc w:val="left"/>
      <w:pPr>
        <w:ind w:left="3080" w:hanging="1080"/>
      </w:pPr>
    </w:lvl>
    <w:lvl w:ilvl="5">
      <w:start w:val="1"/>
      <w:numFmt w:val="decimal"/>
      <w:isLgl/>
      <w:lvlText w:val="%1.%2.%3.%4.%5.%6"/>
      <w:lvlJc w:val="left"/>
      <w:pPr>
        <w:ind w:left="3490" w:hanging="1080"/>
      </w:pPr>
    </w:lvl>
    <w:lvl w:ilvl="6">
      <w:start w:val="1"/>
      <w:numFmt w:val="decimal"/>
      <w:isLgl/>
      <w:lvlText w:val="%1.%2.%3.%4.%5.%6.%7"/>
      <w:lvlJc w:val="left"/>
      <w:pPr>
        <w:ind w:left="3900" w:hanging="1080"/>
      </w:pPr>
    </w:lvl>
    <w:lvl w:ilvl="7">
      <w:start w:val="1"/>
      <w:numFmt w:val="decimal"/>
      <w:isLgl/>
      <w:lvlText w:val="%1.%2.%3.%4.%5.%6.%7.%8"/>
      <w:lvlJc w:val="left"/>
      <w:pPr>
        <w:ind w:left="4670" w:hanging="1440"/>
      </w:pPr>
    </w:lvl>
    <w:lvl w:ilvl="8">
      <w:start w:val="1"/>
      <w:numFmt w:val="decimal"/>
      <w:isLgl/>
      <w:lvlText w:val="%1.%2.%3.%4.%5.%6.%7.%8.%9"/>
      <w:lvlJc w:val="left"/>
      <w:pPr>
        <w:ind w:left="5080" w:hanging="1440"/>
      </w:pPr>
    </w:lvl>
  </w:abstractNum>
  <w:abstractNum w:abstractNumId="13" w15:restartNumberingAfterBreak="0">
    <w:nsid w:val="7AD64070"/>
    <w:multiLevelType w:val="hybridMultilevel"/>
    <w:tmpl w:val="CDD609CA"/>
    <w:lvl w:ilvl="0" w:tplc="F6886AC8">
      <w:start w:val="1"/>
      <w:numFmt w:val="decimal"/>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10"/>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1"/>
  </w:num>
  <w:num w:numId="11">
    <w:abstractNumId w:val="7"/>
  </w:num>
  <w:num w:numId="12">
    <w:abstractNumId w:val="4"/>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E"/>
    <w:rsid w:val="000052F5"/>
    <w:rsid w:val="00012700"/>
    <w:rsid w:val="00020F4A"/>
    <w:rsid w:val="00025E7F"/>
    <w:rsid w:val="00041BE5"/>
    <w:rsid w:val="0005260B"/>
    <w:rsid w:val="00081F28"/>
    <w:rsid w:val="00093C5F"/>
    <w:rsid w:val="000B59B3"/>
    <w:rsid w:val="000C37DB"/>
    <w:rsid w:val="000D2473"/>
    <w:rsid w:val="000F34FE"/>
    <w:rsid w:val="00126EB3"/>
    <w:rsid w:val="00133647"/>
    <w:rsid w:val="00135B6B"/>
    <w:rsid w:val="001435B8"/>
    <w:rsid w:val="00144E6B"/>
    <w:rsid w:val="001575CD"/>
    <w:rsid w:val="00184F7F"/>
    <w:rsid w:val="001C1500"/>
    <w:rsid w:val="001E02F7"/>
    <w:rsid w:val="001E41DA"/>
    <w:rsid w:val="001F5A2F"/>
    <w:rsid w:val="002123B5"/>
    <w:rsid w:val="0029365F"/>
    <w:rsid w:val="00296D73"/>
    <w:rsid w:val="002970AB"/>
    <w:rsid w:val="002C135A"/>
    <w:rsid w:val="002C38E6"/>
    <w:rsid w:val="002D730F"/>
    <w:rsid w:val="002F7196"/>
    <w:rsid w:val="00307673"/>
    <w:rsid w:val="00316F7A"/>
    <w:rsid w:val="00355251"/>
    <w:rsid w:val="00360D8E"/>
    <w:rsid w:val="00372011"/>
    <w:rsid w:val="003945A8"/>
    <w:rsid w:val="003A0177"/>
    <w:rsid w:val="003A2C81"/>
    <w:rsid w:val="003B4E24"/>
    <w:rsid w:val="003C0D88"/>
    <w:rsid w:val="003D13DB"/>
    <w:rsid w:val="0042642C"/>
    <w:rsid w:val="00442D5F"/>
    <w:rsid w:val="00480098"/>
    <w:rsid w:val="0049676B"/>
    <w:rsid w:val="004A63CD"/>
    <w:rsid w:val="004C1205"/>
    <w:rsid w:val="004E3815"/>
    <w:rsid w:val="004E6BEA"/>
    <w:rsid w:val="004F217E"/>
    <w:rsid w:val="005157DF"/>
    <w:rsid w:val="005328C6"/>
    <w:rsid w:val="005406EF"/>
    <w:rsid w:val="00542A84"/>
    <w:rsid w:val="00597BA9"/>
    <w:rsid w:val="005A41F6"/>
    <w:rsid w:val="005A4F65"/>
    <w:rsid w:val="005A6472"/>
    <w:rsid w:val="005B3D98"/>
    <w:rsid w:val="005C0DB7"/>
    <w:rsid w:val="005D53ED"/>
    <w:rsid w:val="005F4C73"/>
    <w:rsid w:val="00621D9E"/>
    <w:rsid w:val="00622B7E"/>
    <w:rsid w:val="0063593C"/>
    <w:rsid w:val="00653FA6"/>
    <w:rsid w:val="006730F4"/>
    <w:rsid w:val="00683961"/>
    <w:rsid w:val="006A7F32"/>
    <w:rsid w:val="006B6FCD"/>
    <w:rsid w:val="006D23FD"/>
    <w:rsid w:val="006D68A4"/>
    <w:rsid w:val="006E7D9A"/>
    <w:rsid w:val="00717EAE"/>
    <w:rsid w:val="00733F66"/>
    <w:rsid w:val="00735AB7"/>
    <w:rsid w:val="00754CE3"/>
    <w:rsid w:val="00762531"/>
    <w:rsid w:val="00773FFE"/>
    <w:rsid w:val="00781884"/>
    <w:rsid w:val="007A206B"/>
    <w:rsid w:val="007A3983"/>
    <w:rsid w:val="007C2242"/>
    <w:rsid w:val="007C575B"/>
    <w:rsid w:val="007D13C6"/>
    <w:rsid w:val="007D4F0F"/>
    <w:rsid w:val="00843B0D"/>
    <w:rsid w:val="00844580"/>
    <w:rsid w:val="008657E8"/>
    <w:rsid w:val="00870558"/>
    <w:rsid w:val="00881768"/>
    <w:rsid w:val="00892BB1"/>
    <w:rsid w:val="008930DF"/>
    <w:rsid w:val="008B3C7B"/>
    <w:rsid w:val="008C62E8"/>
    <w:rsid w:val="008D7FC1"/>
    <w:rsid w:val="008E155B"/>
    <w:rsid w:val="008E305B"/>
    <w:rsid w:val="008F78DD"/>
    <w:rsid w:val="0092120D"/>
    <w:rsid w:val="00935F55"/>
    <w:rsid w:val="00936BA6"/>
    <w:rsid w:val="00942748"/>
    <w:rsid w:val="009440CA"/>
    <w:rsid w:val="00947CF2"/>
    <w:rsid w:val="009644C7"/>
    <w:rsid w:val="0096462C"/>
    <w:rsid w:val="00992F15"/>
    <w:rsid w:val="00994A40"/>
    <w:rsid w:val="009A5E99"/>
    <w:rsid w:val="009C4D6A"/>
    <w:rsid w:val="009D52C1"/>
    <w:rsid w:val="009D7185"/>
    <w:rsid w:val="009D7E76"/>
    <w:rsid w:val="009F2D48"/>
    <w:rsid w:val="00A34B14"/>
    <w:rsid w:val="00A527BC"/>
    <w:rsid w:val="00AA38AA"/>
    <w:rsid w:val="00AA7940"/>
    <w:rsid w:val="00AB72F7"/>
    <w:rsid w:val="00AC02E7"/>
    <w:rsid w:val="00AC449E"/>
    <w:rsid w:val="00AD0D97"/>
    <w:rsid w:val="00AE254A"/>
    <w:rsid w:val="00AF39E4"/>
    <w:rsid w:val="00AF3E26"/>
    <w:rsid w:val="00B04A45"/>
    <w:rsid w:val="00B76870"/>
    <w:rsid w:val="00B85B02"/>
    <w:rsid w:val="00B85BC2"/>
    <w:rsid w:val="00BC5F51"/>
    <w:rsid w:val="00C0109C"/>
    <w:rsid w:val="00C16472"/>
    <w:rsid w:val="00C42B2F"/>
    <w:rsid w:val="00C5027B"/>
    <w:rsid w:val="00C566CC"/>
    <w:rsid w:val="00C570C5"/>
    <w:rsid w:val="00C613DE"/>
    <w:rsid w:val="00C72A2B"/>
    <w:rsid w:val="00C82300"/>
    <w:rsid w:val="00CA13D9"/>
    <w:rsid w:val="00CB28E3"/>
    <w:rsid w:val="00CB3FB3"/>
    <w:rsid w:val="00CF3478"/>
    <w:rsid w:val="00CF51E4"/>
    <w:rsid w:val="00D71404"/>
    <w:rsid w:val="00D87DAD"/>
    <w:rsid w:val="00DA211C"/>
    <w:rsid w:val="00DE5F68"/>
    <w:rsid w:val="00DF09C7"/>
    <w:rsid w:val="00E00B6A"/>
    <w:rsid w:val="00E13847"/>
    <w:rsid w:val="00E67E11"/>
    <w:rsid w:val="00E83E9C"/>
    <w:rsid w:val="00E956B6"/>
    <w:rsid w:val="00EC23DD"/>
    <w:rsid w:val="00ED2DB8"/>
    <w:rsid w:val="00F11096"/>
    <w:rsid w:val="00F22274"/>
    <w:rsid w:val="00F223C4"/>
    <w:rsid w:val="00F25DB2"/>
    <w:rsid w:val="00F452C3"/>
    <w:rsid w:val="00F864B6"/>
    <w:rsid w:val="00FA559A"/>
    <w:rsid w:val="00FB5B80"/>
    <w:rsid w:val="00FC14E1"/>
    <w:rsid w:val="00FC456D"/>
    <w:rsid w:val="00FE338D"/>
    <w:rsid w:val="00FE3711"/>
    <w:rsid w:val="00FF4D9B"/>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A56"/>
  <w15:chartTrackingRefBased/>
  <w15:docId w15:val="{CA135882-7055-4B51-98E2-79590F56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5B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FFE"/>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FFE"/>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73FFE"/>
    <w:rPr>
      <w:lang w:val="en-US"/>
    </w:rPr>
  </w:style>
  <w:style w:type="paragraph" w:styleId="BalloonText">
    <w:name w:val="Balloon Text"/>
    <w:basedOn w:val="Normal"/>
    <w:link w:val="BalloonTextChar"/>
    <w:uiPriority w:val="99"/>
    <w:semiHidden/>
    <w:unhideWhenUsed/>
    <w:rsid w:val="00773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FFE"/>
    <w:rPr>
      <w:rFonts w:ascii="Segoe UI" w:hAnsi="Segoe UI" w:cs="Segoe UI"/>
      <w:sz w:val="18"/>
      <w:szCs w:val="18"/>
    </w:rPr>
  </w:style>
  <w:style w:type="character" w:styleId="Hyperlink">
    <w:name w:val="Hyperlink"/>
    <w:basedOn w:val="DefaultParagraphFont"/>
    <w:uiPriority w:val="99"/>
    <w:unhideWhenUsed/>
    <w:rsid w:val="002F7196"/>
    <w:rPr>
      <w:color w:val="0563C1" w:themeColor="hyperlink"/>
      <w:u w:val="single"/>
    </w:rPr>
  </w:style>
  <w:style w:type="paragraph" w:styleId="ListParagraph">
    <w:name w:val="List Paragraph"/>
    <w:basedOn w:val="Normal"/>
    <w:uiPriority w:val="34"/>
    <w:qFormat/>
    <w:rsid w:val="00442D5F"/>
    <w:pPr>
      <w:ind w:left="720"/>
      <w:contextualSpacing/>
    </w:pPr>
  </w:style>
  <w:style w:type="character" w:customStyle="1" w:styleId="Heading1Char">
    <w:name w:val="Heading 1 Char"/>
    <w:basedOn w:val="DefaultParagraphFont"/>
    <w:link w:val="Heading1"/>
    <w:uiPriority w:val="9"/>
    <w:rsid w:val="00B85B02"/>
    <w:rPr>
      <w:rFonts w:ascii="Times New Roman" w:eastAsia="Times New Roman" w:hAnsi="Times New Roman" w:cs="Times New Roman"/>
      <w:b/>
      <w:bCs/>
      <w:kern w:val="36"/>
      <w:sz w:val="48"/>
      <w:szCs w:val="48"/>
      <w:lang w:eastAsia="en-ZA" w:bidi="he-IL"/>
    </w:rPr>
  </w:style>
  <w:style w:type="paragraph" w:styleId="Revision">
    <w:name w:val="Revision"/>
    <w:hidden/>
    <w:uiPriority w:val="99"/>
    <w:semiHidden/>
    <w:rsid w:val="009D7185"/>
    <w:pPr>
      <w:spacing w:after="0" w:line="240" w:lineRule="auto"/>
    </w:pPr>
  </w:style>
  <w:style w:type="paragraph" w:styleId="Footer">
    <w:name w:val="footer"/>
    <w:basedOn w:val="Normal"/>
    <w:link w:val="FooterChar"/>
    <w:uiPriority w:val="99"/>
    <w:unhideWhenUsed/>
    <w:rsid w:val="00DA2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11C"/>
  </w:style>
  <w:style w:type="character" w:customStyle="1" w:styleId="UnresolvedMention">
    <w:name w:val="Unresolved Mention"/>
    <w:basedOn w:val="DefaultParagraphFont"/>
    <w:uiPriority w:val="99"/>
    <w:semiHidden/>
    <w:unhideWhenUsed/>
    <w:rsid w:val="00921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8121">
      <w:bodyDiv w:val="1"/>
      <w:marLeft w:val="0"/>
      <w:marRight w:val="0"/>
      <w:marTop w:val="0"/>
      <w:marBottom w:val="0"/>
      <w:divBdr>
        <w:top w:val="none" w:sz="0" w:space="0" w:color="auto"/>
        <w:left w:val="none" w:sz="0" w:space="0" w:color="auto"/>
        <w:bottom w:val="none" w:sz="0" w:space="0" w:color="auto"/>
        <w:right w:val="none" w:sz="0" w:space="0" w:color="auto"/>
      </w:divBdr>
    </w:div>
    <w:div w:id="1494485904">
      <w:bodyDiv w:val="1"/>
      <w:marLeft w:val="0"/>
      <w:marRight w:val="0"/>
      <w:marTop w:val="0"/>
      <w:marBottom w:val="0"/>
      <w:divBdr>
        <w:top w:val="none" w:sz="0" w:space="0" w:color="auto"/>
        <w:left w:val="none" w:sz="0" w:space="0" w:color="auto"/>
        <w:bottom w:val="none" w:sz="0" w:space="0" w:color="auto"/>
        <w:right w:val="none" w:sz="0" w:space="0" w:color="auto"/>
      </w:divBdr>
      <w:divsChild>
        <w:div w:id="170221960">
          <w:marLeft w:val="0"/>
          <w:marRight w:val="0"/>
          <w:marTop w:val="0"/>
          <w:marBottom w:val="0"/>
          <w:divBdr>
            <w:top w:val="none" w:sz="0" w:space="0" w:color="auto"/>
            <w:left w:val="none" w:sz="0" w:space="0" w:color="auto"/>
            <w:bottom w:val="none" w:sz="0" w:space="0" w:color="auto"/>
            <w:right w:val="none" w:sz="0" w:space="0" w:color="auto"/>
          </w:divBdr>
          <w:divsChild>
            <w:div w:id="1112162598">
              <w:marLeft w:val="0"/>
              <w:marRight w:val="150"/>
              <w:marTop w:val="0"/>
              <w:marBottom w:val="0"/>
              <w:divBdr>
                <w:top w:val="none" w:sz="0" w:space="0" w:color="auto"/>
                <w:left w:val="none" w:sz="0" w:space="0" w:color="auto"/>
                <w:bottom w:val="none" w:sz="0" w:space="0" w:color="auto"/>
                <w:right w:val="none" w:sz="0" w:space="0" w:color="auto"/>
              </w:divBdr>
            </w:div>
            <w:div w:id="1492792501">
              <w:marLeft w:val="0"/>
              <w:marRight w:val="0"/>
              <w:marTop w:val="0"/>
              <w:marBottom w:val="0"/>
              <w:divBdr>
                <w:top w:val="none" w:sz="0" w:space="0" w:color="auto"/>
                <w:left w:val="none" w:sz="0" w:space="0" w:color="auto"/>
                <w:bottom w:val="none" w:sz="0" w:space="0" w:color="auto"/>
                <w:right w:val="none" w:sz="0" w:space="0" w:color="auto"/>
              </w:divBdr>
            </w:div>
          </w:divsChild>
        </w:div>
        <w:div w:id="746612817">
          <w:marLeft w:val="0"/>
          <w:marRight w:val="0"/>
          <w:marTop w:val="0"/>
          <w:marBottom w:val="0"/>
          <w:divBdr>
            <w:top w:val="none" w:sz="0" w:space="0" w:color="auto"/>
            <w:left w:val="none" w:sz="0" w:space="0" w:color="auto"/>
            <w:bottom w:val="none" w:sz="0" w:space="0" w:color="auto"/>
            <w:right w:val="none" w:sz="0" w:space="0" w:color="auto"/>
          </w:divBdr>
          <w:divsChild>
            <w:div w:id="819536609">
              <w:marLeft w:val="0"/>
              <w:marRight w:val="150"/>
              <w:marTop w:val="0"/>
              <w:marBottom w:val="0"/>
              <w:divBdr>
                <w:top w:val="none" w:sz="0" w:space="0" w:color="auto"/>
                <w:left w:val="none" w:sz="0" w:space="0" w:color="auto"/>
                <w:bottom w:val="none" w:sz="0" w:space="0" w:color="auto"/>
                <w:right w:val="none" w:sz="0" w:space="0" w:color="auto"/>
              </w:divBdr>
            </w:div>
            <w:div w:id="816993864">
              <w:marLeft w:val="0"/>
              <w:marRight w:val="0"/>
              <w:marTop w:val="0"/>
              <w:marBottom w:val="0"/>
              <w:divBdr>
                <w:top w:val="none" w:sz="0" w:space="0" w:color="auto"/>
                <w:left w:val="none" w:sz="0" w:space="0" w:color="auto"/>
                <w:bottom w:val="none" w:sz="0" w:space="0" w:color="auto"/>
                <w:right w:val="none" w:sz="0" w:space="0" w:color="auto"/>
              </w:divBdr>
            </w:div>
          </w:divsChild>
        </w:div>
        <w:div w:id="253054964">
          <w:marLeft w:val="0"/>
          <w:marRight w:val="0"/>
          <w:marTop w:val="0"/>
          <w:marBottom w:val="0"/>
          <w:divBdr>
            <w:top w:val="none" w:sz="0" w:space="0" w:color="auto"/>
            <w:left w:val="none" w:sz="0" w:space="0" w:color="auto"/>
            <w:bottom w:val="none" w:sz="0" w:space="0" w:color="auto"/>
            <w:right w:val="none" w:sz="0" w:space="0" w:color="auto"/>
          </w:divBdr>
          <w:divsChild>
            <w:div w:id="530724863">
              <w:marLeft w:val="0"/>
              <w:marRight w:val="150"/>
              <w:marTop w:val="0"/>
              <w:marBottom w:val="0"/>
              <w:divBdr>
                <w:top w:val="none" w:sz="0" w:space="0" w:color="auto"/>
                <w:left w:val="none" w:sz="0" w:space="0" w:color="auto"/>
                <w:bottom w:val="none" w:sz="0" w:space="0" w:color="auto"/>
                <w:right w:val="none" w:sz="0" w:space="0" w:color="auto"/>
              </w:divBdr>
            </w:div>
            <w:div w:id="11861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99910">
      <w:bodyDiv w:val="1"/>
      <w:marLeft w:val="0"/>
      <w:marRight w:val="0"/>
      <w:marTop w:val="0"/>
      <w:marBottom w:val="0"/>
      <w:divBdr>
        <w:top w:val="none" w:sz="0" w:space="0" w:color="auto"/>
        <w:left w:val="none" w:sz="0" w:space="0" w:color="auto"/>
        <w:bottom w:val="none" w:sz="0" w:space="0" w:color="auto"/>
        <w:right w:val="none" w:sz="0" w:space="0" w:color="auto"/>
      </w:divBdr>
      <w:divsChild>
        <w:div w:id="18822795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tonr@uj.ac.za" TargetMode="External"/><Relationship Id="rId13" Type="http://schemas.openxmlformats.org/officeDocument/2006/relationships/hyperlink" Target="mailto:Faatimah.Jaffer@webberwentze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ikhiel@deeplal.co.z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mgilbert@group621.co.za" TargetMode="External"/><Relationship Id="rId5" Type="http://schemas.openxmlformats.org/officeDocument/2006/relationships/footnotes" Target="footnotes.xml"/><Relationship Id="rId15" Type="http://schemas.openxmlformats.org/officeDocument/2006/relationships/hyperlink" Target="mailto:Tobia.serongoane@webberwentzel.com" TargetMode="External"/><Relationship Id="rId10" Type="http://schemas.openxmlformats.org/officeDocument/2006/relationships/hyperlink" Target="mailto:adeled@rwafrica.com" TargetMode="External"/><Relationship Id="rId4" Type="http://schemas.openxmlformats.org/officeDocument/2006/relationships/webSettings" Target="webSettings.xml"/><Relationship Id="rId9" Type="http://schemas.openxmlformats.org/officeDocument/2006/relationships/hyperlink" Target="mailto:liamg@rwattorneys.co.za" TargetMode="External"/><Relationship Id="rId14" Type="http://schemas.openxmlformats.org/officeDocument/2006/relationships/hyperlink" Target="mailto:Victoria.campos@webberwentz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2931</Words>
  <Characters>16711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Mikateko Vukeya</dc:creator>
  <cp:keywords/>
  <dc:description/>
  <cp:lastModifiedBy>Mary Bruce</cp:lastModifiedBy>
  <cp:revision>3</cp:revision>
  <cp:lastPrinted>2023-08-10T13:25:00Z</cp:lastPrinted>
  <dcterms:created xsi:type="dcterms:W3CDTF">2023-08-30T13:37:00Z</dcterms:created>
  <dcterms:modified xsi:type="dcterms:W3CDTF">2023-08-31T07:28:00Z</dcterms:modified>
</cp:coreProperties>
</file>