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A879" w14:textId="3F529AD0" w:rsidR="00300D09" w:rsidRPr="008438C7" w:rsidRDefault="0084464B" w:rsidP="007265F3">
      <w:pPr>
        <w:pStyle w:val="Title"/>
      </w:pPr>
      <w:r>
        <w:t xml:space="preserve"> </w:t>
      </w:r>
      <w:r w:rsidR="00300D09" w:rsidRPr="008438C7">
        <w:t>REPUBLIC OF SOUTH AFRICA</w:t>
      </w:r>
    </w:p>
    <w:p w14:paraId="32091CC0" w14:textId="77777777" w:rsidR="006E45F7" w:rsidRPr="008438C7" w:rsidRDefault="006E45F7" w:rsidP="00300D09">
      <w:pPr>
        <w:jc w:val="center"/>
        <w:rPr>
          <w:rFonts w:cs="Arial"/>
          <w:lang w:eastAsia="en-GB"/>
        </w:rPr>
      </w:pPr>
    </w:p>
    <w:p w14:paraId="22A0AFB8" w14:textId="77777777" w:rsidR="00300D09" w:rsidRPr="008438C7" w:rsidRDefault="00033914" w:rsidP="00300D09">
      <w:pPr>
        <w:jc w:val="center"/>
        <w:rPr>
          <w:rFonts w:cs="Arial"/>
          <w:lang w:eastAsia="en-GB"/>
        </w:rPr>
      </w:pPr>
      <w:r w:rsidRPr="008438C7">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8438C7" w:rsidRDefault="006E45F7" w:rsidP="00300D09">
      <w:pPr>
        <w:jc w:val="center"/>
        <w:rPr>
          <w:rFonts w:cs="Arial"/>
          <w:lang w:eastAsia="en-GB"/>
        </w:rPr>
      </w:pPr>
    </w:p>
    <w:p w14:paraId="56BA021B" w14:textId="77777777" w:rsidR="00300D09" w:rsidRPr="008438C7" w:rsidRDefault="00300D09" w:rsidP="00300D09">
      <w:pPr>
        <w:jc w:val="center"/>
        <w:rPr>
          <w:rFonts w:cs="Arial"/>
          <w:b/>
          <w:bCs/>
          <w:lang w:eastAsia="en-GB"/>
        </w:rPr>
      </w:pPr>
      <w:r w:rsidRPr="008438C7">
        <w:rPr>
          <w:rFonts w:cs="Arial"/>
          <w:b/>
          <w:bCs/>
          <w:lang w:eastAsia="en-GB"/>
        </w:rPr>
        <w:t>IN THE HIGH COURT OF SOUTH AFRICA</w:t>
      </w:r>
    </w:p>
    <w:p w14:paraId="38EFA21F" w14:textId="370609B8" w:rsidR="00300D09" w:rsidRPr="008438C7" w:rsidRDefault="00007941" w:rsidP="00300D09">
      <w:pPr>
        <w:jc w:val="center"/>
        <w:rPr>
          <w:rFonts w:cs="Arial"/>
          <w:b/>
          <w:bCs/>
          <w:lang w:eastAsia="en-GB"/>
        </w:rPr>
      </w:pPr>
      <w:r w:rsidRPr="008438C7">
        <w:rPr>
          <w:rFonts w:cs="Arial"/>
          <w:b/>
          <w:bCs/>
          <w:lang w:eastAsia="en-GB"/>
        </w:rPr>
        <w:t>GAUTENG</w:t>
      </w:r>
      <w:r w:rsidR="00011A47" w:rsidRPr="008438C7">
        <w:rPr>
          <w:rFonts w:cs="Arial"/>
          <w:b/>
          <w:bCs/>
          <w:lang w:eastAsia="en-GB"/>
        </w:rPr>
        <w:t xml:space="preserve"> </w:t>
      </w:r>
      <w:r w:rsidR="00300D09" w:rsidRPr="008438C7">
        <w:rPr>
          <w:rFonts w:cs="Arial"/>
          <w:b/>
          <w:bCs/>
          <w:lang w:eastAsia="en-GB"/>
        </w:rPr>
        <w:t xml:space="preserve">DIVISION, </w:t>
      </w:r>
      <w:r w:rsidR="00682D2A" w:rsidRPr="008438C7">
        <w:rPr>
          <w:rFonts w:cs="Arial"/>
          <w:b/>
          <w:bCs/>
          <w:lang w:eastAsia="en-GB"/>
        </w:rPr>
        <w:t xml:space="preserve">JOHANNESBURG </w:t>
      </w:r>
    </w:p>
    <w:p w14:paraId="5C2B50B5" w14:textId="77777777" w:rsidR="00300D09" w:rsidRPr="008438C7" w:rsidRDefault="00300D09" w:rsidP="00300D09">
      <w:pPr>
        <w:tabs>
          <w:tab w:val="left" w:pos="4917"/>
        </w:tabs>
        <w:jc w:val="right"/>
        <w:rPr>
          <w:rFonts w:cs="Arial"/>
          <w:b/>
          <w:sz w:val="28"/>
          <w:szCs w:val="28"/>
          <w:u w:val="single"/>
        </w:rPr>
      </w:pPr>
    </w:p>
    <w:p w14:paraId="04C41A9B" w14:textId="77777777" w:rsidR="00300D09" w:rsidRPr="008438C7" w:rsidRDefault="00300D09" w:rsidP="00300D09">
      <w:pPr>
        <w:tabs>
          <w:tab w:val="left" w:pos="4917"/>
        </w:tabs>
        <w:jc w:val="right"/>
        <w:rPr>
          <w:rFonts w:cs="Arial"/>
          <w:b/>
          <w:sz w:val="28"/>
          <w:szCs w:val="28"/>
          <w:u w:val="single"/>
        </w:rPr>
      </w:pPr>
    </w:p>
    <w:p w14:paraId="723D6088" w14:textId="34A2E9DC" w:rsidR="00300D09" w:rsidRPr="00930EE1" w:rsidRDefault="00E52518" w:rsidP="00E52518">
      <w:pPr>
        <w:jc w:val="right"/>
        <w:rPr>
          <w:b/>
        </w:rPr>
      </w:pPr>
      <w:r w:rsidRPr="00930EE1">
        <w:rPr>
          <w:b/>
        </w:rPr>
        <w:t xml:space="preserve">Case </w:t>
      </w:r>
      <w:r w:rsidR="002941ED" w:rsidRPr="00930EE1">
        <w:rPr>
          <w:b/>
        </w:rPr>
        <w:t>N</w:t>
      </w:r>
      <w:r w:rsidRPr="00930EE1">
        <w:rPr>
          <w:b/>
        </w:rPr>
        <w:t>o:</w:t>
      </w:r>
      <w:r w:rsidR="00B11B4C" w:rsidRPr="00930EE1">
        <w:rPr>
          <w:b/>
        </w:rPr>
        <w:t xml:space="preserve"> </w:t>
      </w:r>
      <w:r w:rsidR="002E4C3D" w:rsidRPr="00930EE1">
        <w:rPr>
          <w:b/>
        </w:rPr>
        <w:t>20/4174</w:t>
      </w:r>
    </w:p>
    <w:p w14:paraId="37AD3266" w14:textId="77777777" w:rsidR="00E52518" w:rsidRPr="008438C7" w:rsidRDefault="00033914" w:rsidP="00E52518">
      <w:pPr>
        <w:jc w:val="right"/>
      </w:pPr>
      <w:r w:rsidRPr="008438C7">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281301" w:rsidRPr="004120A8" w:rsidRDefault="00281301" w:rsidP="00E52518">
                            <w:pPr>
                              <w:jc w:val="center"/>
                              <w:rPr>
                                <w:rFonts w:ascii="Century Gothic" w:hAnsi="Century Gothic"/>
                                <w:b/>
                                <w:sz w:val="2"/>
                                <w:szCs w:val="18"/>
                              </w:rPr>
                            </w:pPr>
                          </w:p>
                          <w:p w14:paraId="6B22D321" w14:textId="236ABC2E"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281301" w:rsidRPr="00EE6CBE">
                              <w:rPr>
                                <w:rFonts w:cs="Arial"/>
                                <w:sz w:val="18"/>
                                <w:szCs w:val="18"/>
                              </w:rPr>
                              <w:t>REPORTABLE: YES</w:t>
                            </w:r>
                            <w:r w:rsidR="00281301">
                              <w:rPr>
                                <w:rFonts w:cs="Arial"/>
                                <w:sz w:val="18"/>
                                <w:szCs w:val="18"/>
                              </w:rPr>
                              <w:t>/NO</w:t>
                            </w:r>
                          </w:p>
                          <w:p w14:paraId="320A79A6" w14:textId="61B62307"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281301" w:rsidRPr="00EE6CBE">
                              <w:rPr>
                                <w:rFonts w:cs="Arial"/>
                                <w:sz w:val="18"/>
                                <w:szCs w:val="18"/>
                              </w:rPr>
                              <w:t>OF INTEREST TO OTHER JUDGES: YES</w:t>
                            </w:r>
                            <w:r w:rsidR="00281301">
                              <w:rPr>
                                <w:rFonts w:cs="Arial"/>
                                <w:sz w:val="18"/>
                                <w:szCs w:val="18"/>
                              </w:rPr>
                              <w:t>/NO</w:t>
                            </w:r>
                          </w:p>
                          <w:p w14:paraId="56E99511" w14:textId="1492E05E"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281301" w:rsidRPr="00EE6CBE">
                              <w:rPr>
                                <w:rFonts w:cs="Arial"/>
                                <w:sz w:val="18"/>
                                <w:szCs w:val="18"/>
                              </w:rPr>
                              <w:t>REVISED</w:t>
                            </w:r>
                            <w:r w:rsidR="00281301">
                              <w:rPr>
                                <w:rFonts w:cs="Arial"/>
                                <w:sz w:val="18"/>
                                <w:szCs w:val="18"/>
                              </w:rPr>
                              <w:t xml:space="preserve"> YES/NO</w:t>
                            </w:r>
                          </w:p>
                          <w:p w14:paraId="5A089D1E" w14:textId="77777777" w:rsidR="00281301" w:rsidRPr="00EE6CBE" w:rsidRDefault="00281301" w:rsidP="00E52518">
                            <w:pPr>
                              <w:rPr>
                                <w:rFonts w:cs="Arial"/>
                                <w:b/>
                                <w:sz w:val="18"/>
                                <w:szCs w:val="18"/>
                              </w:rPr>
                            </w:pPr>
                          </w:p>
                          <w:p w14:paraId="17806FFA" w14:textId="77777777" w:rsidR="00281301" w:rsidRDefault="00281301"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281301" w:rsidRPr="00EE6CBE" w:rsidRDefault="00281301"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281301" w:rsidRPr="004120A8" w:rsidRDefault="00281301"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281301" w:rsidRPr="004120A8" w:rsidRDefault="00281301" w:rsidP="00E52518">
                      <w:pPr>
                        <w:jc w:val="center"/>
                        <w:rPr>
                          <w:rFonts w:ascii="Century Gothic" w:hAnsi="Century Gothic"/>
                          <w:b/>
                          <w:sz w:val="2"/>
                          <w:szCs w:val="18"/>
                        </w:rPr>
                      </w:pPr>
                    </w:p>
                    <w:p w14:paraId="6B22D321" w14:textId="236ABC2E"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281301" w:rsidRPr="00EE6CBE">
                        <w:rPr>
                          <w:rFonts w:cs="Arial"/>
                          <w:sz w:val="18"/>
                          <w:szCs w:val="18"/>
                        </w:rPr>
                        <w:t>REPORTABLE: YES</w:t>
                      </w:r>
                      <w:r w:rsidR="00281301">
                        <w:rPr>
                          <w:rFonts w:cs="Arial"/>
                          <w:sz w:val="18"/>
                          <w:szCs w:val="18"/>
                        </w:rPr>
                        <w:t>/NO</w:t>
                      </w:r>
                    </w:p>
                    <w:p w14:paraId="320A79A6" w14:textId="61B62307"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281301" w:rsidRPr="00EE6CBE">
                        <w:rPr>
                          <w:rFonts w:cs="Arial"/>
                          <w:sz w:val="18"/>
                          <w:szCs w:val="18"/>
                        </w:rPr>
                        <w:t>OF INTEREST TO OTHER JUDGES: YES</w:t>
                      </w:r>
                      <w:r w:rsidR="00281301">
                        <w:rPr>
                          <w:rFonts w:cs="Arial"/>
                          <w:sz w:val="18"/>
                          <w:szCs w:val="18"/>
                        </w:rPr>
                        <w:t>/NO</w:t>
                      </w:r>
                    </w:p>
                    <w:p w14:paraId="56E99511" w14:textId="1492E05E" w:rsidR="00281301" w:rsidRPr="00EE6CBE" w:rsidRDefault="00AB1652" w:rsidP="00AB1652">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281301" w:rsidRPr="00EE6CBE">
                        <w:rPr>
                          <w:rFonts w:cs="Arial"/>
                          <w:sz w:val="18"/>
                          <w:szCs w:val="18"/>
                        </w:rPr>
                        <w:t>REVISED</w:t>
                      </w:r>
                      <w:r w:rsidR="00281301">
                        <w:rPr>
                          <w:rFonts w:cs="Arial"/>
                          <w:sz w:val="18"/>
                          <w:szCs w:val="18"/>
                        </w:rPr>
                        <w:t xml:space="preserve"> YES/NO</w:t>
                      </w:r>
                    </w:p>
                    <w:p w14:paraId="5A089D1E" w14:textId="77777777" w:rsidR="00281301" w:rsidRPr="00EE6CBE" w:rsidRDefault="00281301" w:rsidP="00E52518">
                      <w:pPr>
                        <w:rPr>
                          <w:rFonts w:cs="Arial"/>
                          <w:b/>
                          <w:sz w:val="18"/>
                          <w:szCs w:val="18"/>
                        </w:rPr>
                      </w:pPr>
                    </w:p>
                    <w:p w14:paraId="17806FFA" w14:textId="77777777" w:rsidR="00281301" w:rsidRDefault="00281301"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281301" w:rsidRPr="00EE6CBE" w:rsidRDefault="00281301"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281301" w:rsidRPr="004120A8" w:rsidRDefault="00281301" w:rsidP="00E52518">
                      <w:pPr>
                        <w:rPr>
                          <w:rFonts w:ascii="Century Gothic" w:hAnsi="Century Gothic"/>
                          <w:b/>
                          <w:sz w:val="2"/>
                          <w:szCs w:val="18"/>
                        </w:rPr>
                      </w:pPr>
                    </w:p>
                  </w:txbxContent>
                </v:textbox>
              </v:shape>
            </w:pict>
          </mc:Fallback>
        </mc:AlternateContent>
      </w:r>
    </w:p>
    <w:p w14:paraId="0A73499A" w14:textId="77777777" w:rsidR="00E52518" w:rsidRPr="008438C7" w:rsidRDefault="00E52518" w:rsidP="00E52518">
      <w:pPr>
        <w:jc w:val="center"/>
        <w:rPr>
          <w:rFonts w:cs="Arial"/>
          <w:b/>
        </w:rPr>
      </w:pPr>
    </w:p>
    <w:p w14:paraId="03DB448F" w14:textId="77777777" w:rsidR="00E52518" w:rsidRPr="008438C7" w:rsidRDefault="00E52518" w:rsidP="00E52518">
      <w:pPr>
        <w:jc w:val="right"/>
        <w:rPr>
          <w:rFonts w:cs="Arial"/>
          <w:b/>
        </w:rPr>
      </w:pPr>
      <w:bookmarkStart w:id="0" w:name="_Hlk88546104"/>
    </w:p>
    <w:p w14:paraId="0DE1CA7D" w14:textId="77777777" w:rsidR="00E52518" w:rsidRPr="008438C7" w:rsidRDefault="00E52518" w:rsidP="00E52518">
      <w:pPr>
        <w:jc w:val="left"/>
        <w:rPr>
          <w:rFonts w:cs="Arial"/>
          <w:u w:val="single"/>
        </w:rPr>
      </w:pPr>
    </w:p>
    <w:p w14:paraId="2A21DB27" w14:textId="77777777" w:rsidR="00E52518" w:rsidRPr="008438C7" w:rsidRDefault="00E52518" w:rsidP="00E52518">
      <w:pPr>
        <w:jc w:val="left"/>
        <w:rPr>
          <w:rFonts w:cs="Arial"/>
          <w:u w:val="single"/>
        </w:rPr>
      </w:pPr>
    </w:p>
    <w:p w14:paraId="6FE1346B" w14:textId="77777777" w:rsidR="00E52518" w:rsidRPr="008438C7" w:rsidRDefault="00E52518" w:rsidP="00E52518">
      <w:pPr>
        <w:jc w:val="left"/>
        <w:rPr>
          <w:rFonts w:cs="Arial"/>
          <w:u w:val="single"/>
        </w:rPr>
      </w:pPr>
    </w:p>
    <w:p w14:paraId="2DA4D120" w14:textId="77777777" w:rsidR="00E52518" w:rsidRPr="008438C7" w:rsidRDefault="00E52518" w:rsidP="00E52518">
      <w:pPr>
        <w:jc w:val="left"/>
        <w:rPr>
          <w:rFonts w:cs="Arial"/>
          <w:u w:val="single"/>
        </w:rPr>
      </w:pPr>
    </w:p>
    <w:bookmarkEnd w:id="0"/>
    <w:p w14:paraId="26F793F7" w14:textId="77777777" w:rsidR="00E52518" w:rsidRPr="008438C7" w:rsidRDefault="00E52518" w:rsidP="00E52518"/>
    <w:p w14:paraId="02F42E52" w14:textId="77777777" w:rsidR="00300D09" w:rsidRPr="008438C7" w:rsidRDefault="00300D09" w:rsidP="00300D09">
      <w:pPr>
        <w:tabs>
          <w:tab w:val="left" w:pos="4917"/>
        </w:tabs>
        <w:jc w:val="right"/>
        <w:rPr>
          <w:rFonts w:cs="Arial"/>
          <w:b/>
          <w:sz w:val="28"/>
          <w:szCs w:val="28"/>
          <w:u w:val="single"/>
        </w:rPr>
      </w:pPr>
    </w:p>
    <w:p w14:paraId="6CA1AD1E" w14:textId="502601FA" w:rsidR="00300D09" w:rsidRPr="008438C7" w:rsidRDefault="00300D09" w:rsidP="00300D09">
      <w:r w:rsidRPr="008438C7">
        <w:t xml:space="preserve">In the matter </w:t>
      </w:r>
      <w:r w:rsidR="00BE3CA9">
        <w:t>between</w:t>
      </w:r>
      <w:r w:rsidRPr="008438C7">
        <w:t>:</w:t>
      </w:r>
    </w:p>
    <w:p w14:paraId="117B53FC" w14:textId="77777777" w:rsidR="00300D09" w:rsidRPr="008438C7" w:rsidRDefault="00300D09" w:rsidP="00300D09">
      <w:pPr>
        <w:pStyle w:val="Parties"/>
      </w:pPr>
    </w:p>
    <w:p w14:paraId="4351AD4F" w14:textId="5C7ABEFE" w:rsidR="00300D09" w:rsidRDefault="00300D09" w:rsidP="00D6009C">
      <w:pPr>
        <w:pStyle w:val="Parties"/>
        <w:tabs>
          <w:tab w:val="clear" w:pos="8732"/>
        </w:tabs>
      </w:pPr>
    </w:p>
    <w:p w14:paraId="6BFDFE0C" w14:textId="389CAAC8" w:rsidR="00D6009C" w:rsidRDefault="00D6009C" w:rsidP="00D6009C">
      <w:pPr>
        <w:pStyle w:val="Parties"/>
      </w:pPr>
      <w:r w:rsidRPr="008438C7">
        <w:rPr>
          <w:b/>
          <w:bCs/>
        </w:rPr>
        <w:t>JORGE ALEXANDRE DA COSTA BONIFACIO</w:t>
      </w:r>
      <w:r>
        <w:rPr>
          <w:b/>
          <w:bCs/>
        </w:rPr>
        <w:tab/>
      </w:r>
      <w:r>
        <w:t>First Applicant</w:t>
      </w:r>
    </w:p>
    <w:p w14:paraId="5601EB7C" w14:textId="59832274" w:rsidR="00D6009C" w:rsidRDefault="00D6009C" w:rsidP="00D6009C">
      <w:pPr>
        <w:pStyle w:val="Parties"/>
      </w:pPr>
    </w:p>
    <w:p w14:paraId="6A77F367" w14:textId="112F71ED" w:rsidR="00D6009C" w:rsidRPr="008438C7" w:rsidRDefault="00D6009C" w:rsidP="00D6009C">
      <w:pPr>
        <w:pStyle w:val="Parties"/>
      </w:pPr>
      <w:r w:rsidRPr="008438C7">
        <w:rPr>
          <w:b/>
          <w:bCs/>
        </w:rPr>
        <w:t>SERGIO RUI DA CAST A BONIFACIO</w:t>
      </w:r>
      <w:r w:rsidRPr="008438C7">
        <w:rPr>
          <w:b/>
          <w:bCs/>
        </w:rPr>
        <w:tab/>
      </w:r>
      <w:r w:rsidRPr="00D6009C">
        <w:t>Second Applicant</w:t>
      </w:r>
      <w:r w:rsidRPr="008438C7">
        <w:t xml:space="preserve"> </w:t>
      </w:r>
    </w:p>
    <w:p w14:paraId="16C19DE6" w14:textId="77777777" w:rsidR="00D6009C" w:rsidRPr="008438C7" w:rsidRDefault="00D6009C" w:rsidP="00D6009C">
      <w:pPr>
        <w:pStyle w:val="Parties"/>
        <w:rPr>
          <w:b/>
          <w:bCs/>
        </w:rPr>
      </w:pPr>
    </w:p>
    <w:p w14:paraId="16CDA677" w14:textId="77777777" w:rsidR="00D6009C" w:rsidRPr="00D6009C" w:rsidRDefault="00D6009C" w:rsidP="00300D09">
      <w:pPr>
        <w:pStyle w:val="Parties"/>
      </w:pPr>
    </w:p>
    <w:p w14:paraId="6F3829EF" w14:textId="77777777" w:rsidR="007265F3" w:rsidRPr="008438C7" w:rsidRDefault="007265F3" w:rsidP="007265F3">
      <w:pPr>
        <w:widowControl w:val="0"/>
        <w:tabs>
          <w:tab w:val="right" w:pos="8640"/>
        </w:tabs>
        <w:autoSpaceDE w:val="0"/>
        <w:autoSpaceDN w:val="0"/>
        <w:adjustRightInd w:val="0"/>
        <w:spacing w:line="360" w:lineRule="auto"/>
        <w:rPr>
          <w:rFonts w:cs="Arial"/>
        </w:rPr>
      </w:pPr>
      <w:r w:rsidRPr="008438C7">
        <w:rPr>
          <w:rFonts w:cs="Arial"/>
        </w:rPr>
        <w:t xml:space="preserve">and </w:t>
      </w:r>
    </w:p>
    <w:p w14:paraId="43E285E6" w14:textId="77777777" w:rsidR="00D6009C" w:rsidRDefault="00D6009C" w:rsidP="00D6009C">
      <w:pPr>
        <w:keepNext/>
        <w:widowControl w:val="0"/>
        <w:tabs>
          <w:tab w:val="right" w:pos="9214"/>
        </w:tabs>
        <w:suppressAutoHyphens/>
        <w:autoSpaceDE w:val="0"/>
        <w:autoSpaceDN w:val="0"/>
        <w:adjustRightInd w:val="0"/>
        <w:spacing w:line="360" w:lineRule="auto"/>
        <w:ind w:right="-23"/>
        <w:outlineLvl w:val="0"/>
        <w:rPr>
          <w:rFonts w:cs="Arial"/>
          <w:b/>
          <w:bCs/>
        </w:rPr>
      </w:pPr>
    </w:p>
    <w:p w14:paraId="162DD3A3" w14:textId="2BAC0AF8" w:rsidR="00D6009C" w:rsidRDefault="00D6009C" w:rsidP="00D6009C">
      <w:pPr>
        <w:widowControl w:val="0"/>
        <w:tabs>
          <w:tab w:val="right" w:pos="9214"/>
        </w:tabs>
        <w:autoSpaceDE w:val="0"/>
        <w:autoSpaceDN w:val="0"/>
        <w:adjustRightInd w:val="0"/>
        <w:rPr>
          <w:rFonts w:cs="Arial"/>
        </w:rPr>
      </w:pPr>
      <w:r w:rsidRPr="008438C7">
        <w:rPr>
          <w:rFonts w:cs="Arial"/>
          <w:b/>
          <w:bCs/>
        </w:rPr>
        <w:t>LOMBARD I</w:t>
      </w:r>
      <w:r>
        <w:rPr>
          <w:rFonts w:cs="Arial"/>
          <w:b/>
          <w:bCs/>
        </w:rPr>
        <w:t>NSURANCE COMPANY LIMITED</w:t>
      </w:r>
      <w:r>
        <w:rPr>
          <w:rFonts w:cs="Arial"/>
          <w:b/>
          <w:bCs/>
        </w:rPr>
        <w:tab/>
      </w:r>
      <w:r w:rsidRPr="008438C7">
        <w:rPr>
          <w:rFonts w:cs="Arial"/>
        </w:rPr>
        <w:t>Respondent</w:t>
      </w:r>
    </w:p>
    <w:p w14:paraId="022DA350" w14:textId="2BDEF806" w:rsidR="00D6009C" w:rsidRDefault="00D6009C" w:rsidP="00D6009C">
      <w:pPr>
        <w:widowControl w:val="0"/>
        <w:tabs>
          <w:tab w:val="right" w:pos="9214"/>
        </w:tabs>
        <w:autoSpaceDE w:val="0"/>
        <w:autoSpaceDN w:val="0"/>
        <w:adjustRightInd w:val="0"/>
        <w:rPr>
          <w:rFonts w:cs="Arial"/>
        </w:rPr>
      </w:pPr>
    </w:p>
    <w:p w14:paraId="23DDCE5B" w14:textId="0F42512D" w:rsidR="00D6009C" w:rsidRDefault="00D6009C" w:rsidP="00D6009C">
      <w:pPr>
        <w:widowControl w:val="0"/>
        <w:tabs>
          <w:tab w:val="right" w:pos="9214"/>
        </w:tabs>
        <w:autoSpaceDE w:val="0"/>
        <w:autoSpaceDN w:val="0"/>
        <w:adjustRightInd w:val="0"/>
        <w:rPr>
          <w:rFonts w:cs="Arial"/>
        </w:rPr>
      </w:pPr>
    </w:p>
    <w:p w14:paraId="7E30F633" w14:textId="3285805B" w:rsidR="00D6009C" w:rsidRDefault="00D6009C" w:rsidP="00D6009C">
      <w:pPr>
        <w:widowControl w:val="0"/>
        <w:tabs>
          <w:tab w:val="right" w:pos="9214"/>
        </w:tabs>
        <w:autoSpaceDE w:val="0"/>
        <w:autoSpaceDN w:val="0"/>
        <w:adjustRightInd w:val="0"/>
        <w:rPr>
          <w:rFonts w:cs="Arial"/>
        </w:rPr>
      </w:pPr>
      <w:r>
        <w:rPr>
          <w:rFonts w:cs="Arial"/>
        </w:rPr>
        <w:t xml:space="preserve">In re: </w:t>
      </w:r>
    </w:p>
    <w:p w14:paraId="4699F7E1" w14:textId="1BC73DE5" w:rsidR="00D6009C" w:rsidRDefault="00D6009C" w:rsidP="00D6009C">
      <w:pPr>
        <w:widowControl w:val="0"/>
        <w:tabs>
          <w:tab w:val="right" w:pos="9214"/>
        </w:tabs>
        <w:autoSpaceDE w:val="0"/>
        <w:autoSpaceDN w:val="0"/>
        <w:adjustRightInd w:val="0"/>
        <w:rPr>
          <w:rFonts w:cs="Arial"/>
        </w:rPr>
      </w:pPr>
    </w:p>
    <w:p w14:paraId="615BDE81" w14:textId="77777777" w:rsidR="00D6009C" w:rsidRPr="008438C7" w:rsidRDefault="00D6009C" w:rsidP="00D6009C">
      <w:pPr>
        <w:keepNext/>
        <w:widowControl w:val="0"/>
        <w:tabs>
          <w:tab w:val="right" w:pos="9214"/>
        </w:tabs>
        <w:suppressAutoHyphens/>
        <w:autoSpaceDE w:val="0"/>
        <w:autoSpaceDN w:val="0"/>
        <w:adjustRightInd w:val="0"/>
        <w:spacing w:line="360" w:lineRule="auto"/>
        <w:ind w:right="-23"/>
        <w:outlineLvl w:val="0"/>
        <w:rPr>
          <w:rFonts w:cs="Arial"/>
        </w:rPr>
      </w:pPr>
      <w:r w:rsidRPr="008438C7">
        <w:rPr>
          <w:rFonts w:cs="Arial"/>
          <w:b/>
          <w:bCs/>
        </w:rPr>
        <w:t>DBT TECHNOLOGIES (PTY) LTD</w:t>
      </w:r>
      <w:r w:rsidRPr="008438C7">
        <w:rPr>
          <w:rFonts w:cs="Arial"/>
          <w:b/>
          <w:bCs/>
        </w:rPr>
        <w:tab/>
      </w:r>
      <w:r w:rsidRPr="008438C7">
        <w:rPr>
          <w:rFonts w:cs="Arial"/>
        </w:rPr>
        <w:t>Applicant</w:t>
      </w:r>
    </w:p>
    <w:p w14:paraId="1C73F2C0" w14:textId="77777777" w:rsidR="00D6009C" w:rsidRPr="008438C7" w:rsidRDefault="00D6009C" w:rsidP="00D6009C">
      <w:pPr>
        <w:widowControl w:val="0"/>
        <w:tabs>
          <w:tab w:val="right" w:pos="8640"/>
        </w:tabs>
        <w:autoSpaceDE w:val="0"/>
        <w:autoSpaceDN w:val="0"/>
        <w:adjustRightInd w:val="0"/>
        <w:spacing w:line="360" w:lineRule="auto"/>
        <w:rPr>
          <w:rFonts w:cs="Arial"/>
        </w:rPr>
      </w:pPr>
    </w:p>
    <w:p w14:paraId="27347B34" w14:textId="77777777" w:rsidR="00D6009C" w:rsidRPr="008438C7" w:rsidRDefault="00D6009C" w:rsidP="00D6009C">
      <w:pPr>
        <w:widowControl w:val="0"/>
        <w:tabs>
          <w:tab w:val="right" w:pos="8640"/>
        </w:tabs>
        <w:autoSpaceDE w:val="0"/>
        <w:autoSpaceDN w:val="0"/>
        <w:adjustRightInd w:val="0"/>
        <w:spacing w:line="360" w:lineRule="auto"/>
        <w:rPr>
          <w:rFonts w:cs="Arial"/>
        </w:rPr>
      </w:pPr>
      <w:r w:rsidRPr="008438C7">
        <w:rPr>
          <w:rFonts w:cs="Arial"/>
        </w:rPr>
        <w:t xml:space="preserve">and </w:t>
      </w:r>
    </w:p>
    <w:p w14:paraId="459E34C9" w14:textId="77777777" w:rsidR="00D6009C" w:rsidRPr="008438C7" w:rsidRDefault="00D6009C" w:rsidP="00D6009C">
      <w:pPr>
        <w:widowControl w:val="0"/>
        <w:tabs>
          <w:tab w:val="right" w:pos="9214"/>
        </w:tabs>
        <w:autoSpaceDE w:val="0"/>
        <w:autoSpaceDN w:val="0"/>
        <w:adjustRightInd w:val="0"/>
        <w:rPr>
          <w:rFonts w:cs="Arial"/>
        </w:rPr>
      </w:pPr>
    </w:p>
    <w:p w14:paraId="4D82A46D" w14:textId="1F8C2EFD" w:rsidR="00D6009C" w:rsidRDefault="00D6009C" w:rsidP="00D6009C">
      <w:pPr>
        <w:widowControl w:val="0"/>
        <w:tabs>
          <w:tab w:val="right" w:pos="9214"/>
        </w:tabs>
        <w:autoSpaceDE w:val="0"/>
        <w:autoSpaceDN w:val="0"/>
        <w:adjustRightInd w:val="0"/>
        <w:rPr>
          <w:rFonts w:cs="Arial"/>
        </w:rPr>
      </w:pPr>
      <w:r w:rsidRPr="008438C7">
        <w:rPr>
          <w:rFonts w:cs="Arial"/>
          <w:b/>
          <w:bCs/>
        </w:rPr>
        <w:t>LOMBARD I</w:t>
      </w:r>
      <w:r>
        <w:rPr>
          <w:rFonts w:cs="Arial"/>
          <w:b/>
          <w:bCs/>
        </w:rPr>
        <w:t>NSURANCE COMPANY LIMITED</w:t>
      </w:r>
      <w:r>
        <w:rPr>
          <w:rFonts w:cs="Arial"/>
          <w:b/>
          <w:bCs/>
        </w:rPr>
        <w:tab/>
      </w:r>
      <w:r w:rsidRPr="00D6009C">
        <w:rPr>
          <w:rFonts w:cs="Arial"/>
        </w:rPr>
        <w:t>First</w:t>
      </w:r>
      <w:r>
        <w:rPr>
          <w:rFonts w:cs="Arial"/>
          <w:b/>
          <w:bCs/>
        </w:rPr>
        <w:t xml:space="preserve"> </w:t>
      </w:r>
      <w:r w:rsidRPr="008438C7">
        <w:rPr>
          <w:rFonts w:cs="Arial"/>
        </w:rPr>
        <w:t>Respondent</w:t>
      </w:r>
    </w:p>
    <w:p w14:paraId="771CDBEB" w14:textId="77777777" w:rsidR="00D6009C" w:rsidRPr="008438C7" w:rsidRDefault="00D6009C" w:rsidP="00D6009C">
      <w:pPr>
        <w:widowControl w:val="0"/>
        <w:tabs>
          <w:tab w:val="right" w:pos="8640"/>
        </w:tabs>
        <w:autoSpaceDE w:val="0"/>
        <w:autoSpaceDN w:val="0"/>
        <w:adjustRightInd w:val="0"/>
        <w:rPr>
          <w:rFonts w:cs="Arial"/>
        </w:rPr>
      </w:pPr>
    </w:p>
    <w:p w14:paraId="292DC00E" w14:textId="77777777" w:rsidR="00D6009C" w:rsidRPr="008438C7" w:rsidRDefault="00D6009C" w:rsidP="00D6009C">
      <w:pPr>
        <w:widowControl w:val="0"/>
        <w:tabs>
          <w:tab w:val="right" w:pos="8640"/>
        </w:tabs>
        <w:autoSpaceDE w:val="0"/>
        <w:autoSpaceDN w:val="0"/>
        <w:adjustRightInd w:val="0"/>
        <w:rPr>
          <w:rFonts w:cs="Arial"/>
          <w:b/>
          <w:bCs/>
        </w:rPr>
      </w:pPr>
      <w:r w:rsidRPr="008438C7">
        <w:rPr>
          <w:rFonts w:cs="Arial"/>
          <w:b/>
          <w:bCs/>
        </w:rPr>
        <w:t>TUBULAR CONSTRUCTION PROJECTS</w:t>
      </w:r>
    </w:p>
    <w:p w14:paraId="5B2DB253"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(PTY) LTD</w:t>
      </w:r>
      <w:r>
        <w:rPr>
          <w:rFonts w:cs="Arial"/>
        </w:rPr>
        <w:tab/>
      </w:r>
      <w:r w:rsidRPr="008438C7">
        <w:rPr>
          <w:rFonts w:cs="Arial"/>
        </w:rPr>
        <w:t>Second Respondent</w:t>
      </w:r>
    </w:p>
    <w:p w14:paraId="031F00CF" w14:textId="77777777" w:rsidR="00D6009C" w:rsidRPr="008438C7" w:rsidRDefault="00D6009C" w:rsidP="00D6009C">
      <w:pPr>
        <w:widowControl w:val="0"/>
        <w:tabs>
          <w:tab w:val="right" w:pos="8931"/>
        </w:tabs>
        <w:autoSpaceDE w:val="0"/>
        <w:autoSpaceDN w:val="0"/>
        <w:adjustRightInd w:val="0"/>
        <w:rPr>
          <w:rFonts w:cs="Arial"/>
        </w:rPr>
      </w:pPr>
    </w:p>
    <w:p w14:paraId="576EB2D4" w14:textId="77777777" w:rsidR="00D6009C" w:rsidRPr="008438C7" w:rsidRDefault="00D6009C" w:rsidP="00D6009C">
      <w:pPr>
        <w:widowControl w:val="0"/>
        <w:tabs>
          <w:tab w:val="right" w:pos="8931"/>
        </w:tabs>
        <w:autoSpaceDE w:val="0"/>
        <w:autoSpaceDN w:val="0"/>
        <w:adjustRightInd w:val="0"/>
        <w:rPr>
          <w:rFonts w:cs="Arial"/>
        </w:rPr>
      </w:pPr>
      <w:r w:rsidRPr="008438C7">
        <w:rPr>
          <w:rFonts w:cs="Arial"/>
        </w:rPr>
        <w:t>and</w:t>
      </w:r>
    </w:p>
    <w:p w14:paraId="4CCF609C" w14:textId="77777777" w:rsidR="00D6009C" w:rsidRPr="008438C7" w:rsidRDefault="00D6009C" w:rsidP="00D6009C">
      <w:pPr>
        <w:widowControl w:val="0"/>
        <w:tabs>
          <w:tab w:val="right" w:pos="8931"/>
        </w:tabs>
        <w:autoSpaceDE w:val="0"/>
        <w:autoSpaceDN w:val="0"/>
        <w:adjustRightInd w:val="0"/>
        <w:rPr>
          <w:rFonts w:cs="Arial"/>
        </w:rPr>
      </w:pPr>
    </w:p>
    <w:p w14:paraId="4ABA193D" w14:textId="77777777" w:rsidR="00D6009C" w:rsidRPr="008438C7" w:rsidRDefault="00D6009C" w:rsidP="00D6009C">
      <w:pPr>
        <w:widowControl w:val="0"/>
        <w:tabs>
          <w:tab w:val="right" w:pos="9214"/>
        </w:tabs>
        <w:autoSpaceDE w:val="0"/>
        <w:autoSpaceDN w:val="0"/>
        <w:adjustRightInd w:val="0"/>
        <w:rPr>
          <w:rFonts w:cs="Arial"/>
          <w:b/>
          <w:bCs/>
        </w:rPr>
      </w:pPr>
      <w:r w:rsidRPr="008438C7">
        <w:rPr>
          <w:rFonts w:cs="Arial"/>
          <w:b/>
          <w:bCs/>
        </w:rPr>
        <w:t>TUBULAR TECHNICAL CONSTRUCTION</w:t>
      </w:r>
    </w:p>
    <w:p w14:paraId="60670775"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(PTY) LTD</w:t>
      </w:r>
      <w:r>
        <w:rPr>
          <w:rFonts w:cs="Arial"/>
        </w:rPr>
        <w:tab/>
        <w:t>First Third Party</w:t>
      </w:r>
    </w:p>
    <w:p w14:paraId="6B960C96" w14:textId="77777777" w:rsidR="00D6009C" w:rsidRPr="008438C7" w:rsidRDefault="00D6009C" w:rsidP="00D6009C">
      <w:pPr>
        <w:widowControl w:val="0"/>
        <w:tabs>
          <w:tab w:val="right" w:pos="9214"/>
        </w:tabs>
        <w:autoSpaceDE w:val="0"/>
        <w:autoSpaceDN w:val="0"/>
        <w:adjustRightInd w:val="0"/>
        <w:rPr>
          <w:rFonts w:cs="Arial"/>
        </w:rPr>
      </w:pPr>
    </w:p>
    <w:p w14:paraId="766DC4B5" w14:textId="77777777" w:rsidR="00D6009C" w:rsidRPr="008438C7" w:rsidRDefault="00D6009C" w:rsidP="00D6009C">
      <w:pPr>
        <w:widowControl w:val="0"/>
        <w:tabs>
          <w:tab w:val="right" w:pos="9214"/>
        </w:tabs>
        <w:autoSpaceDE w:val="0"/>
        <w:autoSpaceDN w:val="0"/>
        <w:adjustRightInd w:val="0"/>
        <w:rPr>
          <w:rFonts w:cs="Arial"/>
          <w:b/>
          <w:bCs/>
        </w:rPr>
      </w:pPr>
      <w:r w:rsidRPr="008438C7">
        <w:rPr>
          <w:rFonts w:cs="Arial"/>
          <w:b/>
          <w:bCs/>
        </w:rPr>
        <w:t>TUBULAR ELECTRICAL AND INSTRUMENTATION</w:t>
      </w:r>
    </w:p>
    <w:p w14:paraId="6C205B72"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(PTY) LTD</w:t>
      </w:r>
      <w:r w:rsidRPr="008438C7">
        <w:rPr>
          <w:rFonts w:cs="Arial"/>
        </w:rPr>
        <w:tab/>
        <w:t>Second Third Party</w:t>
      </w:r>
    </w:p>
    <w:p w14:paraId="306122D2" w14:textId="77777777" w:rsidR="00D6009C" w:rsidRPr="008438C7" w:rsidRDefault="00D6009C" w:rsidP="00D6009C">
      <w:pPr>
        <w:widowControl w:val="0"/>
        <w:tabs>
          <w:tab w:val="right" w:pos="9214"/>
        </w:tabs>
        <w:autoSpaceDE w:val="0"/>
        <w:autoSpaceDN w:val="0"/>
        <w:adjustRightInd w:val="0"/>
        <w:rPr>
          <w:rFonts w:cs="Arial"/>
        </w:rPr>
      </w:pPr>
    </w:p>
    <w:p w14:paraId="19819640"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TUBULAR PLANT HIRE (PTY) LTD</w:t>
      </w:r>
      <w:r w:rsidRPr="008438C7">
        <w:rPr>
          <w:rFonts w:cs="Arial"/>
        </w:rPr>
        <w:tab/>
        <w:t>Third Third Party</w:t>
      </w:r>
    </w:p>
    <w:p w14:paraId="1B6DE56D" w14:textId="77777777" w:rsidR="00D6009C" w:rsidRPr="008438C7" w:rsidRDefault="00D6009C" w:rsidP="00D6009C">
      <w:pPr>
        <w:widowControl w:val="0"/>
        <w:tabs>
          <w:tab w:val="right" w:pos="9214"/>
        </w:tabs>
        <w:autoSpaceDE w:val="0"/>
        <w:autoSpaceDN w:val="0"/>
        <w:adjustRightInd w:val="0"/>
        <w:rPr>
          <w:rFonts w:cs="Arial"/>
        </w:rPr>
      </w:pPr>
    </w:p>
    <w:p w14:paraId="620747B5"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TUBULAR PROPERTY INVESTMENTS (PTY) LTD</w:t>
      </w:r>
      <w:r w:rsidRPr="008438C7">
        <w:rPr>
          <w:rFonts w:cs="Arial"/>
          <w:b/>
          <w:bCs/>
        </w:rPr>
        <w:tab/>
      </w:r>
      <w:r w:rsidRPr="008438C7">
        <w:rPr>
          <w:rFonts w:cs="Arial"/>
        </w:rPr>
        <w:t>Fourth Third Party</w:t>
      </w:r>
    </w:p>
    <w:p w14:paraId="4C56E509" w14:textId="77777777" w:rsidR="00D6009C" w:rsidRPr="008438C7" w:rsidRDefault="00D6009C" w:rsidP="00D6009C">
      <w:pPr>
        <w:widowControl w:val="0"/>
        <w:tabs>
          <w:tab w:val="right" w:pos="9214"/>
        </w:tabs>
        <w:autoSpaceDE w:val="0"/>
        <w:autoSpaceDN w:val="0"/>
        <w:adjustRightInd w:val="0"/>
        <w:rPr>
          <w:rFonts w:cs="Arial"/>
        </w:rPr>
      </w:pPr>
    </w:p>
    <w:p w14:paraId="3C9D74E5"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TUBULAR STRUCTURAL ENGINEERING (PTY) LTD</w:t>
      </w:r>
      <w:r w:rsidRPr="008438C7">
        <w:rPr>
          <w:rFonts w:cs="Arial"/>
        </w:rPr>
        <w:tab/>
        <w:t>Fifth Third Party</w:t>
      </w:r>
    </w:p>
    <w:p w14:paraId="7F9A3ADF" w14:textId="77777777" w:rsidR="00D6009C" w:rsidRPr="008438C7" w:rsidRDefault="00D6009C" w:rsidP="00D6009C">
      <w:pPr>
        <w:widowControl w:val="0"/>
        <w:tabs>
          <w:tab w:val="right" w:pos="9214"/>
        </w:tabs>
        <w:autoSpaceDE w:val="0"/>
        <w:autoSpaceDN w:val="0"/>
        <w:adjustRightInd w:val="0"/>
        <w:rPr>
          <w:rFonts w:cs="Arial"/>
        </w:rPr>
      </w:pPr>
    </w:p>
    <w:p w14:paraId="5AD17A5E"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TUBULAR HOLDINGS (PTY) LTD</w:t>
      </w:r>
      <w:r w:rsidRPr="008438C7">
        <w:rPr>
          <w:rFonts w:cs="Arial"/>
        </w:rPr>
        <w:tab/>
        <w:t>Sixth Third Party</w:t>
      </w:r>
    </w:p>
    <w:p w14:paraId="31503DA5" w14:textId="77777777" w:rsidR="00D6009C" w:rsidRPr="008438C7" w:rsidRDefault="00D6009C" w:rsidP="00D6009C">
      <w:pPr>
        <w:widowControl w:val="0"/>
        <w:tabs>
          <w:tab w:val="right" w:pos="9214"/>
        </w:tabs>
        <w:autoSpaceDE w:val="0"/>
        <w:autoSpaceDN w:val="0"/>
        <w:adjustRightInd w:val="0"/>
        <w:rPr>
          <w:rFonts w:cs="Arial"/>
        </w:rPr>
      </w:pPr>
    </w:p>
    <w:p w14:paraId="6E59A015"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JORGE ALEXANDRE DA COSTA BONIFACIO</w:t>
      </w:r>
      <w:r w:rsidRPr="008438C7">
        <w:rPr>
          <w:rFonts w:cs="Arial"/>
        </w:rPr>
        <w:tab/>
        <w:t>Seventh Third Party</w:t>
      </w:r>
    </w:p>
    <w:p w14:paraId="7F5F27DB" w14:textId="77777777" w:rsidR="00D6009C" w:rsidRPr="008438C7" w:rsidRDefault="00D6009C" w:rsidP="00D6009C">
      <w:pPr>
        <w:widowControl w:val="0"/>
        <w:tabs>
          <w:tab w:val="right" w:pos="9214"/>
        </w:tabs>
        <w:autoSpaceDE w:val="0"/>
        <w:autoSpaceDN w:val="0"/>
        <w:adjustRightInd w:val="0"/>
        <w:rPr>
          <w:rFonts w:cs="Arial"/>
        </w:rPr>
      </w:pPr>
    </w:p>
    <w:p w14:paraId="008901DC"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SERGIO RUI DA CAST A BONIFACIO</w:t>
      </w:r>
      <w:r w:rsidRPr="008438C7">
        <w:rPr>
          <w:rFonts w:cs="Arial"/>
          <w:b/>
          <w:bCs/>
        </w:rPr>
        <w:tab/>
      </w:r>
      <w:r w:rsidRPr="008438C7">
        <w:rPr>
          <w:rFonts w:cs="Arial"/>
        </w:rPr>
        <w:t>Eighth Third Party</w:t>
      </w:r>
    </w:p>
    <w:p w14:paraId="23190DCB" w14:textId="77777777" w:rsidR="00D6009C" w:rsidRPr="008438C7" w:rsidRDefault="00D6009C" w:rsidP="00D6009C">
      <w:pPr>
        <w:widowControl w:val="0"/>
        <w:tabs>
          <w:tab w:val="right" w:pos="9214"/>
        </w:tabs>
        <w:autoSpaceDE w:val="0"/>
        <w:autoSpaceDN w:val="0"/>
        <w:adjustRightInd w:val="0"/>
        <w:rPr>
          <w:rFonts w:cs="Arial"/>
          <w:b/>
          <w:bCs/>
        </w:rPr>
      </w:pPr>
    </w:p>
    <w:p w14:paraId="1332F96B"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CARLOS ALBERTO TEIXEIRA DE MELO</w:t>
      </w:r>
      <w:r w:rsidRPr="008438C7">
        <w:rPr>
          <w:rFonts w:cs="Arial"/>
          <w:b/>
          <w:bCs/>
        </w:rPr>
        <w:tab/>
      </w:r>
      <w:r w:rsidRPr="008438C7">
        <w:rPr>
          <w:rFonts w:cs="Arial"/>
        </w:rPr>
        <w:t>Ninth Third Party</w:t>
      </w:r>
    </w:p>
    <w:p w14:paraId="25974697" w14:textId="77777777" w:rsidR="00D6009C" w:rsidRPr="008438C7" w:rsidRDefault="00D6009C" w:rsidP="00D6009C">
      <w:pPr>
        <w:widowControl w:val="0"/>
        <w:tabs>
          <w:tab w:val="right" w:pos="9214"/>
        </w:tabs>
        <w:autoSpaceDE w:val="0"/>
        <w:autoSpaceDN w:val="0"/>
        <w:adjustRightInd w:val="0"/>
        <w:rPr>
          <w:rFonts w:cs="Arial"/>
          <w:b/>
          <w:bCs/>
        </w:rPr>
      </w:pPr>
    </w:p>
    <w:p w14:paraId="377BE057" w14:textId="77777777" w:rsidR="00D6009C" w:rsidRPr="008438C7" w:rsidRDefault="00D6009C" w:rsidP="00D6009C">
      <w:pPr>
        <w:widowControl w:val="0"/>
        <w:tabs>
          <w:tab w:val="right" w:pos="9214"/>
        </w:tabs>
        <w:autoSpaceDE w:val="0"/>
        <w:autoSpaceDN w:val="0"/>
        <w:adjustRightInd w:val="0"/>
        <w:rPr>
          <w:rFonts w:cs="Arial"/>
        </w:rPr>
      </w:pPr>
      <w:r w:rsidRPr="008438C7">
        <w:rPr>
          <w:rFonts w:cs="Arial"/>
          <w:b/>
          <w:bCs/>
        </w:rPr>
        <w:t>ANTONIO JOSE DA COSTA TRINDADE</w:t>
      </w:r>
      <w:r w:rsidRPr="008438C7">
        <w:rPr>
          <w:rFonts w:cs="Arial"/>
          <w:b/>
          <w:bCs/>
        </w:rPr>
        <w:tab/>
      </w:r>
      <w:r w:rsidRPr="008438C7">
        <w:rPr>
          <w:rFonts w:cs="Arial"/>
        </w:rPr>
        <w:t>Tenth Third Party</w:t>
      </w:r>
    </w:p>
    <w:p w14:paraId="58AD9B6D" w14:textId="405D05F6" w:rsidR="007265F3" w:rsidRDefault="007265F3" w:rsidP="007265F3">
      <w:pPr>
        <w:widowControl w:val="0"/>
        <w:tabs>
          <w:tab w:val="right" w:pos="8640"/>
        </w:tabs>
        <w:autoSpaceDE w:val="0"/>
        <w:autoSpaceDN w:val="0"/>
        <w:adjustRightInd w:val="0"/>
        <w:spacing w:line="360" w:lineRule="auto"/>
        <w:rPr>
          <w:rFonts w:cs="Arial"/>
        </w:rPr>
      </w:pPr>
    </w:p>
    <w:p w14:paraId="4BBA8EA6" w14:textId="41D5EDAE" w:rsidR="00150902" w:rsidRDefault="00150902" w:rsidP="00150902">
      <w:pPr>
        <w:pStyle w:val="TramLines"/>
      </w:pPr>
      <w:r>
        <w:t>JUDGMENT : LEAVE TO APPEAL</w:t>
      </w:r>
    </w:p>
    <w:p w14:paraId="470C102A" w14:textId="49F8276E" w:rsidR="00150902" w:rsidRDefault="00150902" w:rsidP="00150902">
      <w:pPr>
        <w:rPr>
          <w:b/>
          <w:bCs/>
        </w:rPr>
      </w:pPr>
      <w:r>
        <w:rPr>
          <w:b/>
          <w:bCs/>
        </w:rPr>
        <w:t>STRYDOM J</w:t>
      </w:r>
    </w:p>
    <w:p w14:paraId="7101A92A" w14:textId="6DF2BEE9" w:rsidR="00150902" w:rsidRDefault="00AB1652" w:rsidP="00AB1652">
      <w:pPr>
        <w:pStyle w:val="1"/>
        <w:numPr>
          <w:ilvl w:val="0"/>
          <w:numId w:val="0"/>
        </w:numPr>
        <w:tabs>
          <w:tab w:val="left" w:pos="567"/>
        </w:tabs>
        <w:ind w:left="567" w:hanging="567"/>
      </w:pPr>
      <w:r>
        <w:t>[1</w:t>
      </w:r>
      <w:bookmarkStart w:id="1" w:name="_GoBack"/>
      <w:bookmarkEnd w:id="1"/>
      <w:r>
        <w:t>]</w:t>
      </w:r>
      <w:r>
        <w:tab/>
      </w:r>
      <w:r w:rsidR="00150902">
        <w:t>The applicants, to whom I shall refer to as the Bonifacio brothers, seek leave to appeal</w:t>
      </w:r>
      <w:r w:rsidR="000053FC">
        <w:t xml:space="preserve"> against this court’s judgment holding them liable to indemnify Lombard Insurance Company Ltd (Lombard)</w:t>
      </w:r>
      <w:r w:rsidR="00150902">
        <w:t xml:space="preserve"> on essentially one ground which is elaborated upon in paragraph 1.3.3 of the application for leave to appeal. </w:t>
      </w:r>
    </w:p>
    <w:p w14:paraId="21617CEF" w14:textId="0C492A91" w:rsidR="00150902" w:rsidRDefault="00AB1652" w:rsidP="00AB1652">
      <w:pPr>
        <w:pStyle w:val="1"/>
        <w:numPr>
          <w:ilvl w:val="0"/>
          <w:numId w:val="0"/>
        </w:numPr>
        <w:tabs>
          <w:tab w:val="left" w:pos="567"/>
        </w:tabs>
        <w:ind w:left="567" w:hanging="567"/>
      </w:pPr>
      <w:r>
        <w:t>[2]</w:t>
      </w:r>
      <w:r>
        <w:tab/>
      </w:r>
      <w:r w:rsidR="00150902">
        <w:t>This ground of appeal relates to the procedural rights of the Bonifacio brothers</w:t>
      </w:r>
      <w:r w:rsidR="00E21950">
        <w:t xml:space="preserve"> to dispute the liabi</w:t>
      </w:r>
      <w:r w:rsidR="000053FC">
        <w:t xml:space="preserve">lity of Lombard </w:t>
      </w:r>
      <w:r w:rsidR="00E21950">
        <w:t>to honour a performance guarantee</w:t>
      </w:r>
      <w:r w:rsidR="000053FC">
        <w:t xml:space="preserve"> issued by it</w:t>
      </w:r>
      <w:r w:rsidR="00E21950">
        <w:t xml:space="preserve"> in favour of DBT Technologies (Pty) Ltd (DBT)</w:t>
      </w:r>
      <w:r w:rsidR="000053FC">
        <w:t>. This right according to the</w:t>
      </w:r>
      <w:r w:rsidR="00E21950">
        <w:t xml:space="preserve"> Bonifacio Brothers</w:t>
      </w:r>
      <w:r w:rsidR="000053FC">
        <w:t xml:space="preserve"> they</w:t>
      </w:r>
      <w:r w:rsidR="00E21950">
        <w:t xml:space="preserve"> obtained pursuant to</w:t>
      </w:r>
      <w:r w:rsidR="00150902">
        <w:t xml:space="preserve"> a Rule 13 notice</w:t>
      </w:r>
      <w:r w:rsidR="004622D9">
        <w:t xml:space="preserve"> which</w:t>
      </w:r>
      <w:r w:rsidR="00150902">
        <w:t xml:space="preserve"> was served on them by Lombard</w:t>
      </w:r>
      <w:r w:rsidR="00E21950">
        <w:t>. In this</w:t>
      </w:r>
      <w:r w:rsidR="004622D9">
        <w:t xml:space="preserve"> Rule 13</w:t>
      </w:r>
      <w:r w:rsidR="00E21950">
        <w:t xml:space="preserve"> notice Lombard</w:t>
      </w:r>
      <w:r w:rsidR="004622D9">
        <w:t xml:space="preserve"> indicated that it has opposed the application of DBT</w:t>
      </w:r>
      <w:r w:rsidR="000053FC">
        <w:t xml:space="preserve"> disputing its liability</w:t>
      </w:r>
      <w:r w:rsidR="004622D9">
        <w:t xml:space="preserve">, but claimed an </w:t>
      </w:r>
      <w:r w:rsidR="004622D9">
        <w:lastRenderedPageBreak/>
        <w:t xml:space="preserve">indemnification from, </w:t>
      </w:r>
      <w:r w:rsidR="004622D9">
        <w:rPr>
          <w:i/>
        </w:rPr>
        <w:t>inter alia,</w:t>
      </w:r>
      <w:r w:rsidR="004622D9">
        <w:t xml:space="preserve"> the Bonifacio Brothers</w:t>
      </w:r>
      <w:r w:rsidR="00505B9F">
        <w:t xml:space="preserve"> to the extent as set out as set out in the Annexure to the</w:t>
      </w:r>
      <w:r w:rsidR="000053FC">
        <w:t xml:space="preserve"> Rule 13</w:t>
      </w:r>
      <w:r w:rsidR="00505B9F">
        <w:t xml:space="preserve"> notice and on the grounds set forth in the Founding Affidavit annexed to the notice. The notice further stated that if the third parties disputed the First Respondent’s claim against them for an indemnification, or if they di</w:t>
      </w:r>
      <w:r w:rsidR="000053FC">
        <w:t>spute the claim of the DBT</w:t>
      </w:r>
      <w:r w:rsidR="00505B9F">
        <w:t xml:space="preserve"> against Lombard the third parties had to give notice of their intention to oppose the notice</w:t>
      </w:r>
      <w:r w:rsidR="00150902">
        <w:t>.</w:t>
      </w:r>
    </w:p>
    <w:p w14:paraId="0E96BA89" w14:textId="6623F3B4" w:rsidR="00505B9F" w:rsidRDefault="00AB1652" w:rsidP="00AB1652">
      <w:pPr>
        <w:pStyle w:val="1"/>
        <w:numPr>
          <w:ilvl w:val="0"/>
          <w:numId w:val="0"/>
        </w:numPr>
        <w:tabs>
          <w:tab w:val="left" w:pos="567"/>
        </w:tabs>
        <w:ind w:left="567" w:hanging="567"/>
      </w:pPr>
      <w:r>
        <w:t>[3]</w:t>
      </w:r>
      <w:r>
        <w:tab/>
      </w:r>
      <w:r w:rsidR="00505B9F">
        <w:t>In the affidavit attached to the notice it was stated that in the event that the Court upholds the claim of DBT, then Lombard alleges that it is entitled to an indemnification</w:t>
      </w:r>
      <w:r w:rsidR="00162F6B">
        <w:t xml:space="preserve"> </w:t>
      </w:r>
      <w:r w:rsidR="00505B9F">
        <w:t>from the Third Parties</w:t>
      </w:r>
      <w:r w:rsidR="00162F6B">
        <w:t xml:space="preserve">. </w:t>
      </w:r>
    </w:p>
    <w:p w14:paraId="389CA2F8" w14:textId="1B3F4AC4" w:rsidR="00162F6B" w:rsidRDefault="00AB1652" w:rsidP="00AB1652">
      <w:pPr>
        <w:pStyle w:val="1"/>
        <w:numPr>
          <w:ilvl w:val="0"/>
          <w:numId w:val="0"/>
        </w:numPr>
        <w:tabs>
          <w:tab w:val="left" w:pos="567"/>
        </w:tabs>
        <w:ind w:left="567" w:hanging="567"/>
      </w:pPr>
      <w:r>
        <w:t>[4]</w:t>
      </w:r>
      <w:r>
        <w:tab/>
      </w:r>
      <w:r w:rsidR="00162F6B">
        <w:t>The Bonifacio Brothers initially did not oppose</w:t>
      </w:r>
      <w:r w:rsidR="000053FC">
        <w:t xml:space="preserve"> the</w:t>
      </w:r>
      <w:r w:rsidR="00162F6B">
        <w:t xml:space="preserve"> third party notices</w:t>
      </w:r>
      <w:r w:rsidR="000053FC">
        <w:t xml:space="preserve"> as the other  </w:t>
      </w:r>
      <w:r w:rsidR="00162F6B">
        <w:t xml:space="preserve"> third parties did. Later these other third parties withdrew their opposition to the notices. The Bonafacio brothers were relying on Lomb</w:t>
      </w:r>
      <w:r w:rsidR="000053FC">
        <w:t>ard to defend the claim of DBT on the basis that the claim was fraudulently made.</w:t>
      </w:r>
    </w:p>
    <w:p w14:paraId="2A10A201" w14:textId="2EE8277A" w:rsidR="00150902" w:rsidRDefault="00AB1652" w:rsidP="00AB1652">
      <w:pPr>
        <w:pStyle w:val="1"/>
        <w:numPr>
          <w:ilvl w:val="0"/>
          <w:numId w:val="0"/>
        </w:numPr>
        <w:tabs>
          <w:tab w:val="left" w:pos="567"/>
        </w:tabs>
        <w:ind w:left="567" w:hanging="567"/>
      </w:pPr>
      <w:r>
        <w:t>[5]</w:t>
      </w:r>
      <w:r>
        <w:tab/>
      </w:r>
      <w:r w:rsidR="00150902">
        <w:t xml:space="preserve">Before the Bonifacio brothers defended the claim of Lombard, the latter settled its liability towards DBT. </w:t>
      </w:r>
      <w:r w:rsidR="00162F6B">
        <w:t xml:space="preserve"> A court order was made</w:t>
      </w:r>
      <w:r w:rsidR="000053FC">
        <w:t xml:space="preserve"> by this court reflecting the settlement. The Bonifacio brothers were not part of the settlement.</w:t>
      </w:r>
      <w:r w:rsidR="00162F6B">
        <w:t xml:space="preserve"> </w:t>
      </w:r>
      <w:r w:rsidR="000053FC">
        <w:t>S</w:t>
      </w:r>
      <w:r w:rsidR="00150902">
        <w:t xml:space="preserve">ubsequent thereto the Bonifacio </w:t>
      </w:r>
      <w:r w:rsidR="00DA29BE">
        <w:t>brothers</w:t>
      </w:r>
      <w:r w:rsidR="00150902">
        <w:t xml:space="preserve"> then filed an answering affidavit disputing</w:t>
      </w:r>
      <w:r w:rsidR="00FE7E45">
        <w:t xml:space="preserve"> their own liability towards Lombard but also</w:t>
      </w:r>
      <w:r w:rsidR="00150902">
        <w:t xml:space="preserve"> Lombard’s liability towards DBT. This court held the Bonifacio brothers liable in terms of the indemnity they signed in favour of Lombard. </w:t>
      </w:r>
    </w:p>
    <w:p w14:paraId="5A4CE80F" w14:textId="7BC77BDF" w:rsidR="00150902" w:rsidRDefault="00AB1652" w:rsidP="00AB1652">
      <w:pPr>
        <w:pStyle w:val="1"/>
        <w:numPr>
          <w:ilvl w:val="0"/>
          <w:numId w:val="0"/>
        </w:numPr>
        <w:tabs>
          <w:tab w:val="left" w:pos="567"/>
        </w:tabs>
        <w:ind w:left="567" w:hanging="567"/>
      </w:pPr>
      <w:r>
        <w:t>[6]</w:t>
      </w:r>
      <w:r>
        <w:tab/>
      </w:r>
      <w:r w:rsidR="00150902">
        <w:t xml:space="preserve">Before this court it was argued in this application for leave to appeal that a settlement between Lombard and DBT did not entitle Lombard to obtain an indemnity in terms of the third party process set out in Rule 13 because the Bonifacio </w:t>
      </w:r>
      <w:r w:rsidR="00DA29BE">
        <w:t>brothers</w:t>
      </w:r>
      <w:r w:rsidR="00150902">
        <w:t xml:space="preserve"> were denied their procedural right of defending the claim of </w:t>
      </w:r>
      <w:r w:rsidR="00150902">
        <w:lastRenderedPageBreak/>
        <w:t xml:space="preserve">DBT against Lombard. Moreover the Bonifacio </w:t>
      </w:r>
      <w:r w:rsidR="00DA29BE">
        <w:t>brothers</w:t>
      </w:r>
      <w:r w:rsidR="00150902">
        <w:t xml:space="preserve"> did not consent to or participate in the settlement agreement. </w:t>
      </w:r>
    </w:p>
    <w:p w14:paraId="653644B5" w14:textId="4E430299" w:rsidR="00150902" w:rsidRDefault="00AB1652" w:rsidP="00AB1652">
      <w:pPr>
        <w:pStyle w:val="1"/>
        <w:numPr>
          <w:ilvl w:val="0"/>
          <w:numId w:val="0"/>
        </w:numPr>
        <w:tabs>
          <w:tab w:val="left" w:pos="567"/>
        </w:tabs>
        <w:ind w:left="567" w:hanging="567"/>
      </w:pPr>
      <w:r>
        <w:t>[7]</w:t>
      </w:r>
      <w:r>
        <w:tab/>
      </w:r>
      <w:r w:rsidR="00150902">
        <w:t xml:space="preserve">Having regard to Rule 13(6) a third party, </w:t>
      </w:r>
      <w:r w:rsidR="00FE7E45">
        <w:t>can by filing an answering affidavit</w:t>
      </w:r>
      <w:r w:rsidR="00D5607D">
        <w:t xml:space="preserve"> contest the liability of the party issuing the notice on any ground notwithstanding that such ground has not been raised in the action by such latter party. This would mean that the Bonifacio brothers would have been entitled to contes</w:t>
      </w:r>
      <w:r w:rsidR="00FE7E45">
        <w:t>t</w:t>
      </w:r>
      <w:r w:rsidR="00D5607D">
        <w:t xml:space="preserve"> the liability of Lombard towards DBT once they have become parties in the application. </w:t>
      </w:r>
    </w:p>
    <w:p w14:paraId="0472CEE9" w14:textId="4B426C56" w:rsidR="00D5607D" w:rsidRDefault="00AB1652" w:rsidP="00AB1652">
      <w:pPr>
        <w:pStyle w:val="1"/>
        <w:numPr>
          <w:ilvl w:val="0"/>
          <w:numId w:val="0"/>
        </w:numPr>
        <w:tabs>
          <w:tab w:val="left" w:pos="567"/>
        </w:tabs>
        <w:ind w:left="567" w:hanging="567"/>
      </w:pPr>
      <w:r>
        <w:t>[8]</w:t>
      </w:r>
      <w:r>
        <w:tab/>
      </w:r>
      <w:r w:rsidR="00D5607D">
        <w:t>In essence, the point raised in this application for leave to appeal is that the settlement between Lombard and DBT</w:t>
      </w:r>
      <w:r w:rsidR="007B4021">
        <w:t xml:space="preserve"> did not entitle Lombard to obtain an indemnity in terms of the third party process set out in Rule 13 because the Bonifacio brothers were denied their procedural right of defending the claim of DBT against Lombard and the Bonifacio brothers did not consent to or participate in the settlement agreement.</w:t>
      </w:r>
    </w:p>
    <w:p w14:paraId="6D652099" w14:textId="3C05F2DA" w:rsidR="007B4021" w:rsidRDefault="00AB1652" w:rsidP="00AB1652">
      <w:pPr>
        <w:pStyle w:val="1"/>
        <w:numPr>
          <w:ilvl w:val="0"/>
          <w:numId w:val="0"/>
        </w:numPr>
        <w:tabs>
          <w:tab w:val="left" w:pos="567"/>
        </w:tabs>
        <w:ind w:left="567" w:hanging="567"/>
      </w:pPr>
      <w:r>
        <w:t>[9]</w:t>
      </w:r>
      <w:r>
        <w:tab/>
      </w:r>
      <w:r w:rsidR="007B4021">
        <w:t xml:space="preserve">It was argued on behalf of Lombard that this point is bad in law and should be dismissed for various reasons. </w:t>
      </w:r>
    </w:p>
    <w:p w14:paraId="40B13EA2" w14:textId="716B4A15" w:rsidR="007B4021" w:rsidRDefault="00AB1652" w:rsidP="00AB1652">
      <w:pPr>
        <w:pStyle w:val="2"/>
        <w:numPr>
          <w:ilvl w:val="0"/>
          <w:numId w:val="0"/>
        </w:numPr>
        <w:tabs>
          <w:tab w:val="left" w:pos="1134"/>
        </w:tabs>
        <w:ind w:left="1134" w:hanging="567"/>
      </w:pPr>
      <w:r>
        <w:t>9.1</w:t>
      </w:r>
      <w:r>
        <w:tab/>
      </w:r>
      <w:r w:rsidR="007B4021">
        <w:t xml:space="preserve">Firstly, the point does not arise from the pleadings. It was raised for the first time in the oral argument of Mr Ferreira after pleadings had closed. </w:t>
      </w:r>
    </w:p>
    <w:p w14:paraId="263A8572" w14:textId="46A2DFAA" w:rsidR="007B4021" w:rsidRDefault="00AB1652" w:rsidP="00AB1652">
      <w:pPr>
        <w:pStyle w:val="2"/>
        <w:numPr>
          <w:ilvl w:val="0"/>
          <w:numId w:val="0"/>
        </w:numPr>
        <w:tabs>
          <w:tab w:val="left" w:pos="1134"/>
        </w:tabs>
        <w:ind w:left="1134" w:hanging="567"/>
      </w:pPr>
      <w:r>
        <w:t>9.2</w:t>
      </w:r>
      <w:r>
        <w:tab/>
      </w:r>
      <w:r w:rsidR="007B4021">
        <w:t xml:space="preserve">Secondly, it is not Lombard’s case that its entitlement to the </w:t>
      </w:r>
      <w:r w:rsidR="00DA29BE">
        <w:t>indemnity</w:t>
      </w:r>
      <w:r w:rsidR="007B4021">
        <w:t xml:space="preserve"> flows from the settlement. Lombard’s entitlement to an indemnification flows from the indemnity contract that was concluded between the parties. It was argued that the indemnity required only two things</w:t>
      </w:r>
      <w:r w:rsidR="00FE7E45">
        <w:t>:</w:t>
      </w:r>
      <w:r w:rsidR="007B4021">
        <w:t xml:space="preserve"> (i) a claim under the guarantee on Lombard, which demand was made immediately after DBT made claim against Lombard and (ii) a demand by Lombard on the </w:t>
      </w:r>
      <w:r w:rsidR="007B4021">
        <w:lastRenderedPageBreak/>
        <w:t>Bonifacio brothers</w:t>
      </w:r>
      <w:r w:rsidR="00D64E94">
        <w:t xml:space="preserve">, which was made immediately thereafter. The third party proceedings only commenced after these events. </w:t>
      </w:r>
    </w:p>
    <w:p w14:paraId="49A83426" w14:textId="498D23CA" w:rsidR="00D64E94" w:rsidRDefault="00AB1652" w:rsidP="00AB1652">
      <w:pPr>
        <w:pStyle w:val="2"/>
        <w:numPr>
          <w:ilvl w:val="0"/>
          <w:numId w:val="0"/>
        </w:numPr>
        <w:tabs>
          <w:tab w:val="left" w:pos="1134"/>
        </w:tabs>
        <w:ind w:left="1134" w:hanging="567"/>
      </w:pPr>
      <w:r>
        <w:t>9.3</w:t>
      </w:r>
      <w:r>
        <w:tab/>
      </w:r>
      <w:r w:rsidR="00D64E94">
        <w:t xml:space="preserve">Thirdly, it was argued that it does not assist the Bonifacio brothers to rely on Rule 13 as the basis of their conditional liability as this rule only </w:t>
      </w:r>
      <w:r w:rsidR="00FE7E45">
        <w:t>creat</w:t>
      </w:r>
      <w:r w:rsidR="00DA29BE">
        <w:t>es</w:t>
      </w:r>
      <w:r w:rsidR="00D64E94">
        <w:t xml:space="preserve"> procedural rights. It does not give rise to a </w:t>
      </w:r>
      <w:r w:rsidR="00FE7E45">
        <w:t>substantive bar to liability in</w:t>
      </w:r>
      <w:r w:rsidR="00D64E94">
        <w:t xml:space="preserve"> circumstances where the liability is </w:t>
      </w:r>
      <w:r w:rsidR="00DA29BE">
        <w:t>already</w:t>
      </w:r>
      <w:r w:rsidR="00D64E94">
        <w:t xml:space="preserve"> contractually </w:t>
      </w:r>
      <w:r w:rsidR="00DA29BE">
        <w:t>established</w:t>
      </w:r>
      <w:r w:rsidR="00D64E94">
        <w:t xml:space="preserve"> before the third party proceedings started.</w:t>
      </w:r>
    </w:p>
    <w:p w14:paraId="71A7A1C2" w14:textId="4FB0B7EF" w:rsidR="00D64E94" w:rsidRDefault="00AB1652" w:rsidP="00AB1652">
      <w:pPr>
        <w:pStyle w:val="2"/>
        <w:numPr>
          <w:ilvl w:val="0"/>
          <w:numId w:val="0"/>
        </w:numPr>
        <w:tabs>
          <w:tab w:val="left" w:pos="1134"/>
        </w:tabs>
        <w:ind w:left="1134" w:hanging="567"/>
      </w:pPr>
      <w:r>
        <w:t>9.4</w:t>
      </w:r>
      <w:r>
        <w:tab/>
      </w:r>
      <w:r w:rsidR="00D64E94">
        <w:t xml:space="preserve">Fourthly, it was argued that the fact that the Bonifacio </w:t>
      </w:r>
      <w:r w:rsidR="00DA29BE">
        <w:t>brothers</w:t>
      </w:r>
      <w:r w:rsidR="00D64E94">
        <w:t xml:space="preserve"> did not participate in or consent to the settlement agreement between DBT and Lombard is not material. They agreed to that happening by way of clause 9.4 of the indemnity contract.</w:t>
      </w:r>
    </w:p>
    <w:p w14:paraId="36D7647C" w14:textId="5C695362" w:rsidR="00D64E94" w:rsidRDefault="00AB1652" w:rsidP="00AB1652">
      <w:pPr>
        <w:pStyle w:val="1"/>
        <w:numPr>
          <w:ilvl w:val="0"/>
          <w:numId w:val="0"/>
        </w:numPr>
        <w:tabs>
          <w:tab w:val="left" w:pos="567"/>
        </w:tabs>
        <w:ind w:left="567" w:hanging="567"/>
      </w:pPr>
      <w:r>
        <w:t>[10]</w:t>
      </w:r>
      <w:r>
        <w:tab/>
      </w:r>
      <w:r w:rsidR="00D64E94">
        <w:t xml:space="preserve">Having considered the </w:t>
      </w:r>
      <w:r w:rsidR="00DA29BE">
        <w:t>arguments</w:t>
      </w:r>
      <w:r w:rsidR="00D64E94">
        <w:t xml:space="preserve"> on behalf of the parties, it becomes clear that the settlement, albeit that it took place before the Bonifacio brothers disputed the liability of Lombard towards DBT on the basis of fraud, had the effect that the </w:t>
      </w:r>
      <w:r w:rsidR="00DA29BE">
        <w:t>liability</w:t>
      </w:r>
      <w:r w:rsidR="00D64E94">
        <w:t xml:space="preserve"> of Lombard towards DBT was no longer contested whilst the Bonifacio brothers persisted in their averment that no such liability existed. </w:t>
      </w:r>
    </w:p>
    <w:p w14:paraId="5DEA5E40" w14:textId="7BD60421" w:rsidR="00D64E94" w:rsidRDefault="00AB1652" w:rsidP="00AB1652">
      <w:pPr>
        <w:pStyle w:val="1"/>
        <w:numPr>
          <w:ilvl w:val="0"/>
          <w:numId w:val="0"/>
        </w:numPr>
        <w:tabs>
          <w:tab w:val="left" w:pos="567"/>
        </w:tabs>
        <w:ind w:left="567" w:hanging="567"/>
      </w:pPr>
      <w:r>
        <w:t>[11]</w:t>
      </w:r>
      <w:r>
        <w:tab/>
      </w:r>
      <w:r w:rsidR="00FE7E45">
        <w:t>Ironically, s</w:t>
      </w:r>
      <w:r w:rsidR="00D64E94">
        <w:t>hould</w:t>
      </w:r>
      <w:r w:rsidR="00FE7E45">
        <w:t xml:space="preserve"> Lombard not have followed</w:t>
      </w:r>
      <w:r w:rsidR="00D64E94">
        <w:t xml:space="preserve"> the third party procedure and Lombard settled with DBT, Lombard would </w:t>
      </w:r>
      <w:r w:rsidR="00FE7E45">
        <w:t xml:space="preserve">have been entitled to claim an indemnity from the Bonafacio brothers with reliance on the indemnity which </w:t>
      </w:r>
      <w:r w:rsidR="00A37686">
        <w:t xml:space="preserve">allowed Lombard to settle with DBT without involving the Bonifacio brother. </w:t>
      </w:r>
      <w:r w:rsidR="00D64E94">
        <w:t>Once however</w:t>
      </w:r>
      <w:r w:rsidR="00A37686">
        <w:t>,</w:t>
      </w:r>
      <w:r w:rsidR="00D64E94">
        <w:t xml:space="preserve"> after the provisions of Rule 13 has been invoked, certain rights are provided to a third party.</w:t>
      </w:r>
      <w:r w:rsidR="00A37686">
        <w:t xml:space="preserve"> The question then arises how a court should deal with such a situation. On the one hand Lombard was entitled to settle with DBT and claim against the Bonifacio brothers in terms of the indemnity. On the other the </w:t>
      </w:r>
      <w:r w:rsidR="00A37686">
        <w:lastRenderedPageBreak/>
        <w:t xml:space="preserve">Bonifacio brother have lost the opportunity to challenge the liability, or the extent of the liability, of Lombard towards DBT. At least a possibility existed that the Bonifacio brothers could have shown that Lombard was not liable to DBT, or only liable in a substantially lesser amount.  </w:t>
      </w:r>
      <w:r w:rsidR="00D64E94">
        <w:t xml:space="preserve"> </w:t>
      </w:r>
    </w:p>
    <w:p w14:paraId="35C742D6" w14:textId="45AF9438" w:rsidR="0086454D" w:rsidRDefault="00AB1652" w:rsidP="00AB1652">
      <w:pPr>
        <w:pStyle w:val="1"/>
        <w:numPr>
          <w:ilvl w:val="0"/>
          <w:numId w:val="0"/>
        </w:numPr>
        <w:tabs>
          <w:tab w:val="left" w:pos="567"/>
        </w:tabs>
        <w:ind w:left="567" w:hanging="567"/>
      </w:pPr>
      <w:r>
        <w:t>[12]</w:t>
      </w:r>
      <w:r>
        <w:tab/>
      </w:r>
      <w:r w:rsidR="00D64E94">
        <w:t>It should be noted that this line of argument</w:t>
      </w:r>
      <w:r w:rsidR="00A06602">
        <w:t xml:space="preserve"> with reference to rule 13.6</w:t>
      </w:r>
      <w:r w:rsidR="00D64E94">
        <w:t xml:space="preserve"> was not pursued when the main application was considered.</w:t>
      </w:r>
      <w:r w:rsidR="00A06602">
        <w:t xml:space="preserve"> The Bonifacio brothers disputed their liability towards Lombard and asked for the dispute between them and Lombard to be referred to trial. It was always the case of the Bonifacio brothers that DBT could not make demand on Lombard for payment of the performance guar</w:t>
      </w:r>
      <w:r w:rsidR="0086454D">
        <w:t>antee as such claim wou</w:t>
      </w:r>
      <w:r w:rsidR="00A06602">
        <w:t>l</w:t>
      </w:r>
      <w:r w:rsidR="0086454D">
        <w:t>d have been</w:t>
      </w:r>
      <w:r w:rsidR="00A06602">
        <w:t xml:space="preserve"> fraudulently made. </w:t>
      </w:r>
      <w:r w:rsidR="00D64E94">
        <w:t xml:space="preserve"> </w:t>
      </w:r>
    </w:p>
    <w:p w14:paraId="37A18D45" w14:textId="72D738EB" w:rsidR="00D64E94" w:rsidRDefault="00AB1652" w:rsidP="00AB1652">
      <w:pPr>
        <w:pStyle w:val="1"/>
        <w:numPr>
          <w:ilvl w:val="0"/>
          <w:numId w:val="0"/>
        </w:numPr>
        <w:tabs>
          <w:tab w:val="left" w:pos="567"/>
        </w:tabs>
        <w:ind w:left="567" w:hanging="567"/>
      </w:pPr>
      <w:r>
        <w:t>[13]</w:t>
      </w:r>
      <w:r>
        <w:tab/>
      </w:r>
      <w:r w:rsidR="0086454D">
        <w:t xml:space="preserve">In my view, the rule 13.6 argument could have been raised as part of an application for leave to appeal despite not previously fully ventilated on the papers or during argument as it </w:t>
      </w:r>
      <w:r w:rsidR="00D64E94">
        <w:t>is of a legal nature</w:t>
      </w:r>
      <w:r w:rsidR="0086454D">
        <w:t xml:space="preserve"> despite the fact that it relates to procedural rights.</w:t>
      </w:r>
    </w:p>
    <w:p w14:paraId="572673E8" w14:textId="163B0FBB" w:rsidR="0086454D" w:rsidRDefault="00AB1652" w:rsidP="00AB1652">
      <w:pPr>
        <w:pStyle w:val="1"/>
        <w:numPr>
          <w:ilvl w:val="0"/>
          <w:numId w:val="0"/>
        </w:numPr>
        <w:tabs>
          <w:tab w:val="left" w:pos="567"/>
        </w:tabs>
        <w:ind w:left="567" w:hanging="567"/>
      </w:pPr>
      <w:r>
        <w:t>[14]</w:t>
      </w:r>
      <w:r>
        <w:tab/>
      </w:r>
      <w:r w:rsidR="0086454D">
        <w:t xml:space="preserve">In my view another court may conclude that the right to challenge the liability of Lombard towards DBT remained intact and that this court should not have made an order holding the Bonifacio brother liable in terms of the indemnity before they had the opportunity to have challenged the liability of Lombard. </w:t>
      </w:r>
      <w:r w:rsidR="001A30C3">
        <w:t xml:space="preserve">Another court may be inclined to refer certain issues to trial for adjudication. </w:t>
      </w:r>
    </w:p>
    <w:p w14:paraId="6B2B21A4" w14:textId="26794AE6" w:rsidR="00D64E94" w:rsidRDefault="00AB1652" w:rsidP="00AB1652">
      <w:pPr>
        <w:pStyle w:val="1"/>
        <w:numPr>
          <w:ilvl w:val="0"/>
          <w:numId w:val="0"/>
        </w:numPr>
        <w:tabs>
          <w:tab w:val="left" w:pos="567"/>
        </w:tabs>
        <w:ind w:left="567" w:hanging="567"/>
      </w:pPr>
      <w:r>
        <w:t>[15]</w:t>
      </w:r>
      <w:r>
        <w:tab/>
      </w:r>
      <w:r w:rsidR="00D64E94">
        <w:t>In my view</w:t>
      </w:r>
      <w:r w:rsidR="001A30C3">
        <w:t xml:space="preserve"> there</w:t>
      </w:r>
      <w:r w:rsidR="00D64E94">
        <w:t xml:space="preserve"> is also a compelling reason why the appeal should be heard as limited authority</w:t>
      </w:r>
      <w:r w:rsidR="001A30C3">
        <w:t>, or only authority which is distinguishable from the facts of this matter, exist</w:t>
      </w:r>
      <w:r w:rsidR="00D64E94">
        <w:t xml:space="preserve"> on this point as to what effect would a settlement between a debtor and a creditor have on the</w:t>
      </w:r>
      <w:r w:rsidR="001A30C3">
        <w:t xml:space="preserve"> procedural rights of third parties as envisaged in rule 13.6.</w:t>
      </w:r>
      <w:r w:rsidR="00D64E94">
        <w:t xml:space="preserve"> </w:t>
      </w:r>
    </w:p>
    <w:p w14:paraId="7D621014" w14:textId="5E70BFC1" w:rsidR="001A30C3" w:rsidRDefault="00AB1652" w:rsidP="00AB1652">
      <w:pPr>
        <w:pStyle w:val="1"/>
        <w:numPr>
          <w:ilvl w:val="0"/>
          <w:numId w:val="0"/>
        </w:numPr>
        <w:tabs>
          <w:tab w:val="left" w:pos="567"/>
        </w:tabs>
        <w:ind w:left="567" w:hanging="567"/>
      </w:pPr>
      <w:r>
        <w:lastRenderedPageBreak/>
        <w:t>[16]</w:t>
      </w:r>
      <w:r>
        <w:tab/>
      </w:r>
      <w:r w:rsidR="001A30C3">
        <w:t>Moreover, i</w:t>
      </w:r>
      <w:r w:rsidR="00D64E94">
        <w:t>n my view it is in the interests of justice that leave to appeal be gr</w:t>
      </w:r>
      <w:r w:rsidR="001A30C3">
        <w:t xml:space="preserve">anted to the Bonifacio brothers who at all relevant times maintained that the demand made by DBT was fraudulent. </w:t>
      </w:r>
    </w:p>
    <w:p w14:paraId="5FA33FE8" w14:textId="5ED2F794" w:rsidR="00D64E94" w:rsidRDefault="00AB1652" w:rsidP="00AB1652">
      <w:pPr>
        <w:pStyle w:val="1"/>
        <w:numPr>
          <w:ilvl w:val="0"/>
          <w:numId w:val="0"/>
        </w:numPr>
        <w:tabs>
          <w:tab w:val="left" w:pos="567"/>
        </w:tabs>
        <w:ind w:left="567" w:hanging="567"/>
      </w:pPr>
      <w:r>
        <w:t>[17]</w:t>
      </w:r>
      <w:r>
        <w:tab/>
      </w:r>
      <w:r w:rsidR="001A30C3">
        <w:t>The following order is made:</w:t>
      </w:r>
      <w:r w:rsidR="00D64E94">
        <w:t xml:space="preserve"> </w:t>
      </w:r>
    </w:p>
    <w:p w14:paraId="63C0BD1F" w14:textId="6BDB8039" w:rsidR="00EC7928" w:rsidRDefault="00AB1652" w:rsidP="00AB1652">
      <w:pPr>
        <w:pStyle w:val="1"/>
        <w:numPr>
          <w:ilvl w:val="0"/>
          <w:numId w:val="0"/>
        </w:numPr>
        <w:ind w:left="927" w:hanging="360"/>
      </w:pPr>
      <w:r>
        <w:t>1.</w:t>
      </w:r>
      <w:r>
        <w:tab/>
      </w:r>
      <w:r w:rsidR="00EC7928">
        <w:t>Leave to appeal is granted to the</w:t>
      </w:r>
      <w:r w:rsidR="0084464B">
        <w:t xml:space="preserve"> First and Second Applicants</w:t>
      </w:r>
      <w:r w:rsidR="00EC7928">
        <w:t xml:space="preserve"> </w:t>
      </w:r>
      <w:r w:rsidR="0084464B">
        <w:t>(Seventh and E</w:t>
      </w:r>
      <w:r w:rsidR="00EC7928">
        <w:t>ighth third parties</w:t>
      </w:r>
      <w:r w:rsidR="0084464B">
        <w:t>)</w:t>
      </w:r>
      <w:r w:rsidR="00EC7928">
        <w:t xml:space="preserve"> to appeal to the Supreme Court of Appeal against the whole of the judgment of this court. </w:t>
      </w:r>
    </w:p>
    <w:p w14:paraId="3BF8B3F8" w14:textId="76D887B7" w:rsidR="00EC7928" w:rsidRDefault="00AB1652" w:rsidP="00AB1652">
      <w:pPr>
        <w:pStyle w:val="1"/>
        <w:numPr>
          <w:ilvl w:val="0"/>
          <w:numId w:val="0"/>
        </w:numPr>
        <w:ind w:left="927" w:hanging="360"/>
      </w:pPr>
      <w:r>
        <w:t>2.</w:t>
      </w:r>
      <w:r>
        <w:tab/>
      </w:r>
      <w:r w:rsidR="00EC7928">
        <w:t>Costs to be costs in the appeal.</w:t>
      </w:r>
    </w:p>
    <w:p w14:paraId="46FC0D97" w14:textId="77777777" w:rsidR="00FD5E15" w:rsidRDefault="00FD5E15" w:rsidP="00FD5E15">
      <w:pPr>
        <w:pStyle w:val="1"/>
        <w:numPr>
          <w:ilvl w:val="0"/>
          <w:numId w:val="0"/>
        </w:numPr>
        <w:ind w:left="927"/>
      </w:pPr>
    </w:p>
    <w:p w14:paraId="7424453F" w14:textId="77777777" w:rsidR="00EC7928" w:rsidRDefault="00EC7928" w:rsidP="00EC7928">
      <w:pPr>
        <w:ind w:left="4111"/>
      </w:pPr>
      <w:r>
        <w:t>_________________________</w:t>
      </w:r>
    </w:p>
    <w:p w14:paraId="2E816CD0" w14:textId="77777777" w:rsidR="00EC7928" w:rsidRPr="00FD5E15" w:rsidRDefault="00EC7928" w:rsidP="00EC7928">
      <w:pPr>
        <w:ind w:left="4111"/>
        <w:rPr>
          <w:b/>
        </w:rPr>
      </w:pPr>
      <w:r w:rsidRPr="00FD5E15">
        <w:rPr>
          <w:b/>
        </w:rPr>
        <w:t xml:space="preserve"> R</w:t>
      </w:r>
      <w:r w:rsidRPr="00FD5E15">
        <w:rPr>
          <w:rFonts w:cs="Arial"/>
          <w:b/>
        </w:rPr>
        <w:t>É</w:t>
      </w:r>
      <w:r w:rsidRPr="00FD5E15">
        <w:rPr>
          <w:b/>
        </w:rPr>
        <w:t xml:space="preserve">AN STRYDOM </w:t>
      </w:r>
    </w:p>
    <w:p w14:paraId="363822D5" w14:textId="77777777" w:rsidR="00EC7928" w:rsidRPr="00FD5E15" w:rsidRDefault="00EC7928" w:rsidP="00EC7928">
      <w:pPr>
        <w:ind w:left="4111"/>
        <w:rPr>
          <w:b/>
        </w:rPr>
      </w:pPr>
      <w:r w:rsidRPr="00FD5E15">
        <w:rPr>
          <w:b/>
        </w:rPr>
        <w:t>JUDGE OF THE HIGH COURT</w:t>
      </w:r>
    </w:p>
    <w:p w14:paraId="229D12DB" w14:textId="77777777" w:rsidR="00EC7928" w:rsidRPr="00FD5E15" w:rsidRDefault="00EC7928" w:rsidP="00EC7928">
      <w:pPr>
        <w:ind w:left="4111"/>
        <w:rPr>
          <w:b/>
        </w:rPr>
      </w:pPr>
      <w:r w:rsidRPr="00FD5E15">
        <w:rPr>
          <w:b/>
        </w:rPr>
        <w:t>GAUTENG LOCAL DIVISION</w:t>
      </w:r>
    </w:p>
    <w:p w14:paraId="7EE92E5A" w14:textId="1E5A6FA8" w:rsidR="00EC7928" w:rsidRDefault="00EC7928" w:rsidP="00EC7928">
      <w:pPr>
        <w:ind w:left="4111"/>
        <w:rPr>
          <w:b/>
        </w:rPr>
      </w:pPr>
      <w:r w:rsidRPr="00FD5E15">
        <w:rPr>
          <w:b/>
        </w:rPr>
        <w:t>JOHANNESBURG</w:t>
      </w:r>
    </w:p>
    <w:p w14:paraId="0E7A505C" w14:textId="1C1AE24A" w:rsidR="00FD5E15" w:rsidRDefault="00FD5E15" w:rsidP="00EC7928">
      <w:pPr>
        <w:ind w:left="4111"/>
        <w:rPr>
          <w:b/>
        </w:rPr>
      </w:pPr>
    </w:p>
    <w:p w14:paraId="4E67FD9C" w14:textId="77777777" w:rsidR="00FD5E15" w:rsidRPr="00FD5E15" w:rsidRDefault="00FD5E15" w:rsidP="00EC7928">
      <w:pPr>
        <w:ind w:left="4111"/>
        <w:rPr>
          <w:b/>
        </w:rPr>
      </w:pPr>
    </w:p>
    <w:p w14:paraId="52A427E2" w14:textId="77777777" w:rsidR="00EC7928" w:rsidRDefault="00EC7928" w:rsidP="00EC7928"/>
    <w:p w14:paraId="0416EE1F" w14:textId="4D578895" w:rsidR="00FD5E15" w:rsidRDefault="00EC7928" w:rsidP="00EC7928">
      <w:r>
        <w:t>Date of Hearing:</w:t>
      </w:r>
      <w:r>
        <w:tab/>
      </w:r>
      <w:r>
        <w:tab/>
      </w:r>
      <w:r w:rsidR="00FD5E15">
        <w:tab/>
      </w:r>
      <w:r w:rsidR="00FD5E15">
        <w:tab/>
      </w:r>
      <w:r w:rsidR="00FD5E15">
        <w:tab/>
      </w:r>
      <w:r w:rsidR="00FD5E15">
        <w:tab/>
        <w:t>13 JANUARY 2023</w:t>
      </w:r>
    </w:p>
    <w:p w14:paraId="7E9AE63C" w14:textId="062993C7" w:rsidR="00EC7928" w:rsidRDefault="00EC7928" w:rsidP="00EC7928">
      <w:r>
        <w:tab/>
      </w:r>
    </w:p>
    <w:p w14:paraId="177F8389" w14:textId="362545DC" w:rsidR="00EC7928" w:rsidRDefault="00EC7928" w:rsidP="00EC7928">
      <w:r>
        <w:t>Date of Judgment:</w:t>
      </w:r>
      <w:r>
        <w:tab/>
      </w:r>
      <w:r>
        <w:tab/>
      </w:r>
      <w:r>
        <w:tab/>
      </w:r>
      <w:r w:rsidR="00FD5E15">
        <w:tab/>
      </w:r>
      <w:r w:rsidR="00FD5E15">
        <w:tab/>
      </w:r>
      <w:r w:rsidR="00FD5E15">
        <w:tab/>
      </w:r>
      <w:r w:rsidR="00FD5E15" w:rsidRPr="00FD5E15">
        <w:t xml:space="preserve">07 </w:t>
      </w:r>
      <w:r w:rsidR="00FD5E15">
        <w:t>FEBRUARY 2023</w:t>
      </w:r>
    </w:p>
    <w:p w14:paraId="4D893A7F" w14:textId="77777777" w:rsidR="00FD5E15" w:rsidRDefault="00FD5E15" w:rsidP="00EC7928"/>
    <w:p w14:paraId="7F955025" w14:textId="77777777" w:rsidR="00EC7928" w:rsidRDefault="00EC7928" w:rsidP="00EC7928"/>
    <w:p w14:paraId="11E5DC70" w14:textId="6987FCB3" w:rsidR="00EC7928" w:rsidRPr="00FD5E15" w:rsidRDefault="00EC7928" w:rsidP="00EC7928">
      <w:pPr>
        <w:rPr>
          <w:b/>
        </w:rPr>
      </w:pPr>
      <w:r w:rsidRPr="00FD5E15">
        <w:rPr>
          <w:b/>
        </w:rPr>
        <w:t>APPEARANCES</w:t>
      </w:r>
    </w:p>
    <w:p w14:paraId="20F6459B" w14:textId="77777777" w:rsidR="00FD5E15" w:rsidRDefault="00FD5E15" w:rsidP="00EC7928"/>
    <w:p w14:paraId="42296A0B" w14:textId="357B33C8" w:rsidR="00FD5E15" w:rsidRDefault="00EC7928" w:rsidP="00FD5E15">
      <w:pPr>
        <w:spacing w:line="276" w:lineRule="auto"/>
      </w:pPr>
      <w:r>
        <w:t>On behalf of the Applicants:</w:t>
      </w:r>
      <w:r w:rsidR="00FD5E15">
        <w:tab/>
      </w:r>
      <w:r w:rsidR="00FD5E15">
        <w:tab/>
      </w:r>
      <w:r w:rsidR="00FD5E15">
        <w:tab/>
      </w:r>
      <w:r w:rsidR="00FD5E15">
        <w:tab/>
        <w:t>E. J. Ferreira SC</w:t>
      </w:r>
    </w:p>
    <w:p w14:paraId="747961C4" w14:textId="5D399866" w:rsidR="00FD5E15" w:rsidRDefault="00FD5E15" w:rsidP="00FD5E15">
      <w:pPr>
        <w:spacing w:line="276" w:lineRule="auto"/>
      </w:pPr>
      <w:r>
        <w:t>Instructed by;</w:t>
      </w:r>
      <w:r>
        <w:tab/>
      </w:r>
      <w:r>
        <w:tab/>
      </w:r>
      <w:r>
        <w:tab/>
      </w:r>
      <w:r>
        <w:tab/>
      </w:r>
      <w:r>
        <w:tab/>
      </w:r>
      <w:r>
        <w:tab/>
        <w:t>Raees Chothia Attorneys</w:t>
      </w:r>
      <w:r w:rsidR="00EC7928">
        <w:tab/>
      </w:r>
    </w:p>
    <w:p w14:paraId="3E2480B4" w14:textId="77777777" w:rsidR="00FD5E15" w:rsidRDefault="00FD5E15" w:rsidP="00FD5E15">
      <w:pPr>
        <w:spacing w:line="276" w:lineRule="auto"/>
      </w:pPr>
    </w:p>
    <w:p w14:paraId="3CE86478" w14:textId="2122A40A" w:rsidR="00EC7928" w:rsidRDefault="00FD5E15" w:rsidP="00FD5E15">
      <w:pPr>
        <w:spacing w:line="276" w:lineRule="auto"/>
      </w:pPr>
      <w:r>
        <w:t>On behalf of the 3</w:t>
      </w:r>
      <w:r w:rsidRPr="00FD5E15">
        <w:rPr>
          <w:vertAlign w:val="superscript"/>
        </w:rPr>
        <w:t>rd</w:t>
      </w:r>
      <w:r>
        <w:t>, 7</w:t>
      </w:r>
      <w:r w:rsidRPr="00FD5E15">
        <w:rPr>
          <w:vertAlign w:val="superscript"/>
        </w:rPr>
        <w:t>th</w:t>
      </w:r>
      <w:r>
        <w:t>, 8</w:t>
      </w:r>
      <w:r w:rsidRPr="00FD5E15">
        <w:rPr>
          <w:vertAlign w:val="superscript"/>
        </w:rPr>
        <w:t>th</w:t>
      </w:r>
      <w:r>
        <w:t>, 10</w:t>
      </w:r>
      <w:r w:rsidRPr="00FD5E15">
        <w:rPr>
          <w:vertAlign w:val="superscript"/>
        </w:rPr>
        <w:t>th</w:t>
      </w:r>
      <w:r>
        <w:t xml:space="preserve"> Respondents:</w:t>
      </w:r>
      <w:r>
        <w:tab/>
      </w:r>
      <w:r>
        <w:tab/>
      </w:r>
      <w:r w:rsidR="00EC7928">
        <w:t xml:space="preserve">Adv. E.J Ferreira SC </w:t>
      </w:r>
    </w:p>
    <w:p w14:paraId="48FBDFC2" w14:textId="6CD5D7E8" w:rsidR="00FD5E15" w:rsidRDefault="00FD5E15" w:rsidP="00FD5E15">
      <w:pPr>
        <w:spacing w:line="276" w:lineRule="auto"/>
      </w:pPr>
      <w:r>
        <w:t>Instructed by:</w:t>
      </w:r>
      <w:r>
        <w:tab/>
      </w:r>
      <w:r>
        <w:tab/>
      </w:r>
      <w:r>
        <w:tab/>
      </w:r>
      <w:r>
        <w:tab/>
      </w:r>
      <w:r>
        <w:tab/>
      </w:r>
      <w:r>
        <w:tab/>
        <w:t>Frese Moll &amp; Partners</w:t>
      </w:r>
    </w:p>
    <w:p w14:paraId="2D496DBB" w14:textId="77777777" w:rsidR="00EC7928" w:rsidRDefault="00EC7928" w:rsidP="00EC7928"/>
    <w:p w14:paraId="2BB53C4D" w14:textId="77777777" w:rsidR="00D64E94" w:rsidRPr="00150902" w:rsidRDefault="00D64E94" w:rsidP="00D64E94">
      <w:pPr>
        <w:pStyle w:val="1"/>
        <w:numPr>
          <w:ilvl w:val="0"/>
          <w:numId w:val="0"/>
        </w:numPr>
        <w:ind w:left="567"/>
      </w:pPr>
    </w:p>
    <w:sectPr w:rsidR="00D64E94" w:rsidRPr="00150902"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E535F" w14:textId="77777777" w:rsidR="00F661B1" w:rsidRDefault="00F661B1" w:rsidP="00115245">
      <w:r>
        <w:separator/>
      </w:r>
    </w:p>
  </w:endnote>
  <w:endnote w:type="continuationSeparator" w:id="0">
    <w:p w14:paraId="53F81B1E" w14:textId="77777777" w:rsidR="00F661B1" w:rsidRDefault="00F661B1"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53AA" w14:textId="77777777" w:rsidR="00F661B1" w:rsidRDefault="00F661B1" w:rsidP="00115245">
      <w:r>
        <w:separator/>
      </w:r>
    </w:p>
  </w:footnote>
  <w:footnote w:type="continuationSeparator" w:id="0">
    <w:p w14:paraId="65C18638" w14:textId="77777777" w:rsidR="00F661B1" w:rsidRDefault="00F661B1"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74CB8AC9" w:rsidR="00281301" w:rsidRDefault="00281301">
    <w:pPr>
      <w:pStyle w:val="Header"/>
      <w:jc w:val="right"/>
    </w:pPr>
    <w:r>
      <w:fldChar w:fldCharType="begin"/>
    </w:r>
    <w:r>
      <w:instrText xml:space="preserve"> PAGE   \* MERGEFORMAT </w:instrText>
    </w:r>
    <w:r>
      <w:fldChar w:fldCharType="separate"/>
    </w:r>
    <w:r w:rsidR="00AB1652">
      <w:rPr>
        <w:noProof/>
      </w:rPr>
      <w:t>2</w:t>
    </w:r>
    <w:r>
      <w:rPr>
        <w:noProof/>
      </w:rPr>
      <w:fldChar w:fldCharType="end"/>
    </w:r>
  </w:p>
  <w:p w14:paraId="7C19FFE2" w14:textId="77777777" w:rsidR="00281301" w:rsidRDefault="0028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75B20259"/>
    <w:multiLevelType w:val="hybridMultilevel"/>
    <w:tmpl w:val="9E42D84A"/>
    <w:lvl w:ilvl="0" w:tplc="7390DD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2E7D"/>
    <w:rsid w:val="00003D4F"/>
    <w:rsid w:val="000043C3"/>
    <w:rsid w:val="0000489E"/>
    <w:rsid w:val="00004C50"/>
    <w:rsid w:val="00004FF5"/>
    <w:rsid w:val="00005393"/>
    <w:rsid w:val="000053FC"/>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7A3"/>
    <w:rsid w:val="00020C06"/>
    <w:rsid w:val="00021839"/>
    <w:rsid w:val="000223BA"/>
    <w:rsid w:val="00022E2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2"/>
    <w:rsid w:val="00036B3C"/>
    <w:rsid w:val="00036CBB"/>
    <w:rsid w:val="00036E35"/>
    <w:rsid w:val="00037B4A"/>
    <w:rsid w:val="00037E9A"/>
    <w:rsid w:val="00040121"/>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636"/>
    <w:rsid w:val="00046726"/>
    <w:rsid w:val="0004700B"/>
    <w:rsid w:val="000471C4"/>
    <w:rsid w:val="00047380"/>
    <w:rsid w:val="00047496"/>
    <w:rsid w:val="00047864"/>
    <w:rsid w:val="00047964"/>
    <w:rsid w:val="00051139"/>
    <w:rsid w:val="000526FC"/>
    <w:rsid w:val="000538B0"/>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5E4"/>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3DAA"/>
    <w:rsid w:val="000743C1"/>
    <w:rsid w:val="00074490"/>
    <w:rsid w:val="00075A7B"/>
    <w:rsid w:val="000768B7"/>
    <w:rsid w:val="00076AEB"/>
    <w:rsid w:val="00076C32"/>
    <w:rsid w:val="00077A72"/>
    <w:rsid w:val="00077DA0"/>
    <w:rsid w:val="00081B44"/>
    <w:rsid w:val="00081DC7"/>
    <w:rsid w:val="000821DD"/>
    <w:rsid w:val="00082997"/>
    <w:rsid w:val="00083DA8"/>
    <w:rsid w:val="00084A85"/>
    <w:rsid w:val="00085710"/>
    <w:rsid w:val="00087F0F"/>
    <w:rsid w:val="00090D1E"/>
    <w:rsid w:val="00090E6B"/>
    <w:rsid w:val="00091102"/>
    <w:rsid w:val="00091EF1"/>
    <w:rsid w:val="00092FE0"/>
    <w:rsid w:val="00094423"/>
    <w:rsid w:val="00094488"/>
    <w:rsid w:val="00095CA6"/>
    <w:rsid w:val="00095F1C"/>
    <w:rsid w:val="0009617B"/>
    <w:rsid w:val="000968A2"/>
    <w:rsid w:val="000975B2"/>
    <w:rsid w:val="000977C7"/>
    <w:rsid w:val="00097C41"/>
    <w:rsid w:val="00097F5E"/>
    <w:rsid w:val="000A0398"/>
    <w:rsid w:val="000A03ED"/>
    <w:rsid w:val="000A18F0"/>
    <w:rsid w:val="000A1B6E"/>
    <w:rsid w:val="000A1C84"/>
    <w:rsid w:val="000A1CF7"/>
    <w:rsid w:val="000A2515"/>
    <w:rsid w:val="000A29C9"/>
    <w:rsid w:val="000A3154"/>
    <w:rsid w:val="000A5992"/>
    <w:rsid w:val="000A6549"/>
    <w:rsid w:val="000A7F92"/>
    <w:rsid w:val="000B0497"/>
    <w:rsid w:val="000B1B70"/>
    <w:rsid w:val="000B2B54"/>
    <w:rsid w:val="000B2C72"/>
    <w:rsid w:val="000B2E1A"/>
    <w:rsid w:val="000B3A8F"/>
    <w:rsid w:val="000B4A7E"/>
    <w:rsid w:val="000B4E9C"/>
    <w:rsid w:val="000B5306"/>
    <w:rsid w:val="000B5890"/>
    <w:rsid w:val="000B66A1"/>
    <w:rsid w:val="000B77A3"/>
    <w:rsid w:val="000B7F3F"/>
    <w:rsid w:val="000C07AB"/>
    <w:rsid w:val="000C0C9A"/>
    <w:rsid w:val="000C0E29"/>
    <w:rsid w:val="000C12AC"/>
    <w:rsid w:val="000C15AC"/>
    <w:rsid w:val="000C2A6D"/>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85A"/>
    <w:rsid w:val="000F1B35"/>
    <w:rsid w:val="000F1FCB"/>
    <w:rsid w:val="000F201C"/>
    <w:rsid w:val="000F2614"/>
    <w:rsid w:val="000F390B"/>
    <w:rsid w:val="000F3DA5"/>
    <w:rsid w:val="000F4FE4"/>
    <w:rsid w:val="000F58DB"/>
    <w:rsid w:val="000F58E7"/>
    <w:rsid w:val="000F6E19"/>
    <w:rsid w:val="000F71BA"/>
    <w:rsid w:val="000F72F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33E"/>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902"/>
    <w:rsid w:val="00150C6C"/>
    <w:rsid w:val="0015121B"/>
    <w:rsid w:val="00151489"/>
    <w:rsid w:val="00153A81"/>
    <w:rsid w:val="00153A8B"/>
    <w:rsid w:val="00153BCD"/>
    <w:rsid w:val="00154728"/>
    <w:rsid w:val="0015650B"/>
    <w:rsid w:val="0015676D"/>
    <w:rsid w:val="001567D0"/>
    <w:rsid w:val="00157759"/>
    <w:rsid w:val="0015786A"/>
    <w:rsid w:val="00157C3E"/>
    <w:rsid w:val="00160F54"/>
    <w:rsid w:val="00161B42"/>
    <w:rsid w:val="00162F6B"/>
    <w:rsid w:val="0016348C"/>
    <w:rsid w:val="00164BE7"/>
    <w:rsid w:val="001650A8"/>
    <w:rsid w:val="001652B4"/>
    <w:rsid w:val="0016546B"/>
    <w:rsid w:val="00165C34"/>
    <w:rsid w:val="00165F11"/>
    <w:rsid w:val="00167B5A"/>
    <w:rsid w:val="00167BB4"/>
    <w:rsid w:val="0017016C"/>
    <w:rsid w:val="00170D47"/>
    <w:rsid w:val="0017129E"/>
    <w:rsid w:val="00171543"/>
    <w:rsid w:val="00172E31"/>
    <w:rsid w:val="00172F5D"/>
    <w:rsid w:val="00173B17"/>
    <w:rsid w:val="00173C62"/>
    <w:rsid w:val="00173DFC"/>
    <w:rsid w:val="001742A0"/>
    <w:rsid w:val="0017472F"/>
    <w:rsid w:val="001750DB"/>
    <w:rsid w:val="0017518A"/>
    <w:rsid w:val="00175E7C"/>
    <w:rsid w:val="001779BC"/>
    <w:rsid w:val="00180CD7"/>
    <w:rsid w:val="001812DE"/>
    <w:rsid w:val="001822E1"/>
    <w:rsid w:val="00183192"/>
    <w:rsid w:val="00183E73"/>
    <w:rsid w:val="00184317"/>
    <w:rsid w:val="001879BC"/>
    <w:rsid w:val="00192567"/>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0C3"/>
    <w:rsid w:val="001A33EA"/>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44A7"/>
    <w:rsid w:val="001C58CC"/>
    <w:rsid w:val="001C5BE4"/>
    <w:rsid w:val="001C5EF4"/>
    <w:rsid w:val="001C5FF8"/>
    <w:rsid w:val="001C61FF"/>
    <w:rsid w:val="001C77DD"/>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1F5"/>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1C33"/>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5631"/>
    <w:rsid w:val="0023625A"/>
    <w:rsid w:val="0023769E"/>
    <w:rsid w:val="0023795E"/>
    <w:rsid w:val="00237B60"/>
    <w:rsid w:val="002400E6"/>
    <w:rsid w:val="002406D4"/>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136"/>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1301"/>
    <w:rsid w:val="00282000"/>
    <w:rsid w:val="0028385F"/>
    <w:rsid w:val="00283C99"/>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236"/>
    <w:rsid w:val="002E3F05"/>
    <w:rsid w:val="002E48E8"/>
    <w:rsid w:val="002E4B25"/>
    <w:rsid w:val="002E4C3D"/>
    <w:rsid w:val="002E59C3"/>
    <w:rsid w:val="002E68D9"/>
    <w:rsid w:val="002E6C8A"/>
    <w:rsid w:val="002F03B7"/>
    <w:rsid w:val="002F12CF"/>
    <w:rsid w:val="002F179E"/>
    <w:rsid w:val="002F1A79"/>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0DD"/>
    <w:rsid w:val="0032626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67B"/>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C98"/>
    <w:rsid w:val="00383FFC"/>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4DE"/>
    <w:rsid w:val="003B2C36"/>
    <w:rsid w:val="003B2D29"/>
    <w:rsid w:val="003B2DE0"/>
    <w:rsid w:val="003B323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0572"/>
    <w:rsid w:val="003D130B"/>
    <w:rsid w:val="003D139F"/>
    <w:rsid w:val="003D3D28"/>
    <w:rsid w:val="003D3D85"/>
    <w:rsid w:val="003D4381"/>
    <w:rsid w:val="003D4EFC"/>
    <w:rsid w:val="003D5332"/>
    <w:rsid w:val="003D6C2F"/>
    <w:rsid w:val="003D6D58"/>
    <w:rsid w:val="003D7FD0"/>
    <w:rsid w:val="003E0545"/>
    <w:rsid w:val="003E081E"/>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1FB"/>
    <w:rsid w:val="00440B4D"/>
    <w:rsid w:val="00440D55"/>
    <w:rsid w:val="00441696"/>
    <w:rsid w:val="00441A24"/>
    <w:rsid w:val="0044236C"/>
    <w:rsid w:val="00442C23"/>
    <w:rsid w:val="004444FE"/>
    <w:rsid w:val="004462A3"/>
    <w:rsid w:val="004469AE"/>
    <w:rsid w:val="00446DAF"/>
    <w:rsid w:val="004472C4"/>
    <w:rsid w:val="004475C5"/>
    <w:rsid w:val="0044775E"/>
    <w:rsid w:val="004479F5"/>
    <w:rsid w:val="0045091A"/>
    <w:rsid w:val="00450988"/>
    <w:rsid w:val="00450A43"/>
    <w:rsid w:val="00451464"/>
    <w:rsid w:val="00451B01"/>
    <w:rsid w:val="00452EDC"/>
    <w:rsid w:val="00452F24"/>
    <w:rsid w:val="004530B7"/>
    <w:rsid w:val="00454018"/>
    <w:rsid w:val="004548FA"/>
    <w:rsid w:val="00455CF9"/>
    <w:rsid w:val="00456FFD"/>
    <w:rsid w:val="00457466"/>
    <w:rsid w:val="004574B7"/>
    <w:rsid w:val="00457AE7"/>
    <w:rsid w:val="00457DD8"/>
    <w:rsid w:val="00457F30"/>
    <w:rsid w:val="004609DA"/>
    <w:rsid w:val="0046101D"/>
    <w:rsid w:val="00461699"/>
    <w:rsid w:val="00461849"/>
    <w:rsid w:val="00461C68"/>
    <w:rsid w:val="004622D9"/>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0BD"/>
    <w:rsid w:val="00475159"/>
    <w:rsid w:val="004751E6"/>
    <w:rsid w:val="0047571E"/>
    <w:rsid w:val="00475B92"/>
    <w:rsid w:val="004763AB"/>
    <w:rsid w:val="004766C1"/>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5EC"/>
    <w:rsid w:val="0049176E"/>
    <w:rsid w:val="00491EE2"/>
    <w:rsid w:val="004922F0"/>
    <w:rsid w:val="004927FF"/>
    <w:rsid w:val="004928D9"/>
    <w:rsid w:val="00493426"/>
    <w:rsid w:val="004937E8"/>
    <w:rsid w:val="004956AD"/>
    <w:rsid w:val="004962E9"/>
    <w:rsid w:val="004A02B0"/>
    <w:rsid w:val="004A1083"/>
    <w:rsid w:val="004A1968"/>
    <w:rsid w:val="004A1EA1"/>
    <w:rsid w:val="004A21E0"/>
    <w:rsid w:val="004A33EB"/>
    <w:rsid w:val="004A383D"/>
    <w:rsid w:val="004A468E"/>
    <w:rsid w:val="004A5A06"/>
    <w:rsid w:val="004A63CC"/>
    <w:rsid w:val="004A6508"/>
    <w:rsid w:val="004A6A0C"/>
    <w:rsid w:val="004B08C4"/>
    <w:rsid w:val="004B0E80"/>
    <w:rsid w:val="004B1421"/>
    <w:rsid w:val="004B2BDB"/>
    <w:rsid w:val="004B3290"/>
    <w:rsid w:val="004B4530"/>
    <w:rsid w:val="004B45BF"/>
    <w:rsid w:val="004B4855"/>
    <w:rsid w:val="004B5C5F"/>
    <w:rsid w:val="004B5EE2"/>
    <w:rsid w:val="004B6E2D"/>
    <w:rsid w:val="004C0BEF"/>
    <w:rsid w:val="004C24F9"/>
    <w:rsid w:val="004C3375"/>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273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1F7"/>
    <w:rsid w:val="004F6227"/>
    <w:rsid w:val="004F68B9"/>
    <w:rsid w:val="004F6A3A"/>
    <w:rsid w:val="004F731B"/>
    <w:rsid w:val="004F7339"/>
    <w:rsid w:val="00500A53"/>
    <w:rsid w:val="005017C8"/>
    <w:rsid w:val="00502C53"/>
    <w:rsid w:val="0050338C"/>
    <w:rsid w:val="00503410"/>
    <w:rsid w:val="005035D5"/>
    <w:rsid w:val="00503CDE"/>
    <w:rsid w:val="005044F3"/>
    <w:rsid w:val="00504CC9"/>
    <w:rsid w:val="005052C4"/>
    <w:rsid w:val="00505B9F"/>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2556"/>
    <w:rsid w:val="005229A6"/>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2C7D"/>
    <w:rsid w:val="00554224"/>
    <w:rsid w:val="00554243"/>
    <w:rsid w:val="00554CD7"/>
    <w:rsid w:val="00555F21"/>
    <w:rsid w:val="00560DD0"/>
    <w:rsid w:val="00561227"/>
    <w:rsid w:val="00561C6F"/>
    <w:rsid w:val="005637A2"/>
    <w:rsid w:val="00563923"/>
    <w:rsid w:val="00564495"/>
    <w:rsid w:val="0056552B"/>
    <w:rsid w:val="00565D72"/>
    <w:rsid w:val="005663ED"/>
    <w:rsid w:val="0056710C"/>
    <w:rsid w:val="00567620"/>
    <w:rsid w:val="00567967"/>
    <w:rsid w:val="00570225"/>
    <w:rsid w:val="00570362"/>
    <w:rsid w:val="00570F1E"/>
    <w:rsid w:val="005716B7"/>
    <w:rsid w:val="005718E1"/>
    <w:rsid w:val="00571C4F"/>
    <w:rsid w:val="00571F3E"/>
    <w:rsid w:val="0057274A"/>
    <w:rsid w:val="00573270"/>
    <w:rsid w:val="00573692"/>
    <w:rsid w:val="005741C7"/>
    <w:rsid w:val="00574201"/>
    <w:rsid w:val="0057450D"/>
    <w:rsid w:val="00574DBE"/>
    <w:rsid w:val="00575F5B"/>
    <w:rsid w:val="00576BEF"/>
    <w:rsid w:val="00577105"/>
    <w:rsid w:val="0057755A"/>
    <w:rsid w:val="00577A0F"/>
    <w:rsid w:val="00580751"/>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4E8"/>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119"/>
    <w:rsid w:val="005B376C"/>
    <w:rsid w:val="005B413D"/>
    <w:rsid w:val="005B46F0"/>
    <w:rsid w:val="005B489E"/>
    <w:rsid w:val="005B57B7"/>
    <w:rsid w:val="005B5912"/>
    <w:rsid w:val="005B6A29"/>
    <w:rsid w:val="005B78AA"/>
    <w:rsid w:val="005B7B61"/>
    <w:rsid w:val="005C0471"/>
    <w:rsid w:val="005C0A86"/>
    <w:rsid w:val="005C131F"/>
    <w:rsid w:val="005C16CD"/>
    <w:rsid w:val="005C2295"/>
    <w:rsid w:val="005C29A7"/>
    <w:rsid w:val="005C2D99"/>
    <w:rsid w:val="005C3F98"/>
    <w:rsid w:val="005C6D9F"/>
    <w:rsid w:val="005C7C32"/>
    <w:rsid w:val="005C7DAA"/>
    <w:rsid w:val="005D0375"/>
    <w:rsid w:val="005D1ECB"/>
    <w:rsid w:val="005D3D10"/>
    <w:rsid w:val="005D598A"/>
    <w:rsid w:val="005D6EBC"/>
    <w:rsid w:val="005E02A8"/>
    <w:rsid w:val="005E04CB"/>
    <w:rsid w:val="005E07B1"/>
    <w:rsid w:val="005E2689"/>
    <w:rsid w:val="005E26D9"/>
    <w:rsid w:val="005E2D0C"/>
    <w:rsid w:val="005E352B"/>
    <w:rsid w:val="005E380E"/>
    <w:rsid w:val="005E4870"/>
    <w:rsid w:val="005E490F"/>
    <w:rsid w:val="005E4ACF"/>
    <w:rsid w:val="005E58BD"/>
    <w:rsid w:val="005E5C08"/>
    <w:rsid w:val="005E6E48"/>
    <w:rsid w:val="005E6F74"/>
    <w:rsid w:val="005E767E"/>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0772A"/>
    <w:rsid w:val="0061204F"/>
    <w:rsid w:val="006134D3"/>
    <w:rsid w:val="006134FA"/>
    <w:rsid w:val="00613F81"/>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3FAD"/>
    <w:rsid w:val="0065480C"/>
    <w:rsid w:val="00654C02"/>
    <w:rsid w:val="00654E38"/>
    <w:rsid w:val="00655A7B"/>
    <w:rsid w:val="0065617A"/>
    <w:rsid w:val="0065693F"/>
    <w:rsid w:val="00656E37"/>
    <w:rsid w:val="00657E4C"/>
    <w:rsid w:val="00660BBF"/>
    <w:rsid w:val="00660DF9"/>
    <w:rsid w:val="0066240C"/>
    <w:rsid w:val="0066294A"/>
    <w:rsid w:val="00662B17"/>
    <w:rsid w:val="00662EBC"/>
    <w:rsid w:val="00663523"/>
    <w:rsid w:val="006635B3"/>
    <w:rsid w:val="0066468B"/>
    <w:rsid w:val="00664C6F"/>
    <w:rsid w:val="00664D3A"/>
    <w:rsid w:val="00665CAD"/>
    <w:rsid w:val="00666A0C"/>
    <w:rsid w:val="00666DEE"/>
    <w:rsid w:val="00670E31"/>
    <w:rsid w:val="006712DD"/>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1992"/>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367B"/>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0BC0"/>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221"/>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2FF8"/>
    <w:rsid w:val="0072431A"/>
    <w:rsid w:val="007262BD"/>
    <w:rsid w:val="007265F3"/>
    <w:rsid w:val="00726652"/>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3FAE"/>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3BA4"/>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4D91"/>
    <w:rsid w:val="00795C4E"/>
    <w:rsid w:val="0079646F"/>
    <w:rsid w:val="007965AD"/>
    <w:rsid w:val="007977DE"/>
    <w:rsid w:val="007A014D"/>
    <w:rsid w:val="007A1ECE"/>
    <w:rsid w:val="007A2891"/>
    <w:rsid w:val="007A55A8"/>
    <w:rsid w:val="007A568E"/>
    <w:rsid w:val="007A6646"/>
    <w:rsid w:val="007A6675"/>
    <w:rsid w:val="007A689E"/>
    <w:rsid w:val="007A7B28"/>
    <w:rsid w:val="007B0DE6"/>
    <w:rsid w:val="007B2965"/>
    <w:rsid w:val="007B2D43"/>
    <w:rsid w:val="007B4021"/>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1FE"/>
    <w:rsid w:val="007E2713"/>
    <w:rsid w:val="007E3A9B"/>
    <w:rsid w:val="007E3B9D"/>
    <w:rsid w:val="007E4887"/>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60FE"/>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430"/>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604"/>
    <w:rsid w:val="008338AF"/>
    <w:rsid w:val="00833C0B"/>
    <w:rsid w:val="00833D39"/>
    <w:rsid w:val="008357F0"/>
    <w:rsid w:val="008362A6"/>
    <w:rsid w:val="008363C8"/>
    <w:rsid w:val="00836F39"/>
    <w:rsid w:val="00840BE7"/>
    <w:rsid w:val="008424C5"/>
    <w:rsid w:val="00842AAE"/>
    <w:rsid w:val="00843037"/>
    <w:rsid w:val="008438C7"/>
    <w:rsid w:val="00843A42"/>
    <w:rsid w:val="00844108"/>
    <w:rsid w:val="008445F5"/>
    <w:rsid w:val="0084464B"/>
    <w:rsid w:val="00844F2D"/>
    <w:rsid w:val="00845F39"/>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454D"/>
    <w:rsid w:val="008651CC"/>
    <w:rsid w:val="008654FC"/>
    <w:rsid w:val="00865B22"/>
    <w:rsid w:val="0086727D"/>
    <w:rsid w:val="00867CF3"/>
    <w:rsid w:val="00867E33"/>
    <w:rsid w:val="00873332"/>
    <w:rsid w:val="00873E3F"/>
    <w:rsid w:val="0087478D"/>
    <w:rsid w:val="00874B70"/>
    <w:rsid w:val="008750D3"/>
    <w:rsid w:val="00876DD7"/>
    <w:rsid w:val="00877A07"/>
    <w:rsid w:val="008803B1"/>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6DF9"/>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975"/>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17E"/>
    <w:rsid w:val="008E5751"/>
    <w:rsid w:val="008E5DCC"/>
    <w:rsid w:val="008E6313"/>
    <w:rsid w:val="008E6F91"/>
    <w:rsid w:val="008E718A"/>
    <w:rsid w:val="008E7BB1"/>
    <w:rsid w:val="008F0029"/>
    <w:rsid w:val="008F0155"/>
    <w:rsid w:val="008F0327"/>
    <w:rsid w:val="008F19A2"/>
    <w:rsid w:val="008F32D2"/>
    <w:rsid w:val="008F3A0B"/>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332"/>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0EE1"/>
    <w:rsid w:val="009312C7"/>
    <w:rsid w:val="0093170E"/>
    <w:rsid w:val="00931CED"/>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B25"/>
    <w:rsid w:val="00974E3E"/>
    <w:rsid w:val="00975094"/>
    <w:rsid w:val="00976A8C"/>
    <w:rsid w:val="00977031"/>
    <w:rsid w:val="0097721C"/>
    <w:rsid w:val="00980DA5"/>
    <w:rsid w:val="00982912"/>
    <w:rsid w:val="00982918"/>
    <w:rsid w:val="00982AEF"/>
    <w:rsid w:val="00982E37"/>
    <w:rsid w:val="00983AAA"/>
    <w:rsid w:val="00983F4B"/>
    <w:rsid w:val="0098418F"/>
    <w:rsid w:val="00984A6F"/>
    <w:rsid w:val="00984EFE"/>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64A8"/>
    <w:rsid w:val="009C79AD"/>
    <w:rsid w:val="009C7A03"/>
    <w:rsid w:val="009D0335"/>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24B4"/>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60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686"/>
    <w:rsid w:val="00A37B47"/>
    <w:rsid w:val="00A404AE"/>
    <w:rsid w:val="00A40A1A"/>
    <w:rsid w:val="00A4180C"/>
    <w:rsid w:val="00A4317E"/>
    <w:rsid w:val="00A43F39"/>
    <w:rsid w:val="00A44477"/>
    <w:rsid w:val="00A451F7"/>
    <w:rsid w:val="00A4563A"/>
    <w:rsid w:val="00A467F2"/>
    <w:rsid w:val="00A4777D"/>
    <w:rsid w:val="00A47A26"/>
    <w:rsid w:val="00A47D88"/>
    <w:rsid w:val="00A50383"/>
    <w:rsid w:val="00A50FCC"/>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77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3FC"/>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1652"/>
    <w:rsid w:val="00AB3D82"/>
    <w:rsid w:val="00AB3FB3"/>
    <w:rsid w:val="00AB4AA7"/>
    <w:rsid w:val="00AB4EF7"/>
    <w:rsid w:val="00AB6A74"/>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000"/>
    <w:rsid w:val="00B05234"/>
    <w:rsid w:val="00B05306"/>
    <w:rsid w:val="00B056E4"/>
    <w:rsid w:val="00B05B94"/>
    <w:rsid w:val="00B06003"/>
    <w:rsid w:val="00B076ED"/>
    <w:rsid w:val="00B10B00"/>
    <w:rsid w:val="00B11B4C"/>
    <w:rsid w:val="00B14837"/>
    <w:rsid w:val="00B149AA"/>
    <w:rsid w:val="00B14B3C"/>
    <w:rsid w:val="00B15609"/>
    <w:rsid w:val="00B16527"/>
    <w:rsid w:val="00B1680A"/>
    <w:rsid w:val="00B16B0B"/>
    <w:rsid w:val="00B17562"/>
    <w:rsid w:val="00B17B9C"/>
    <w:rsid w:val="00B17E71"/>
    <w:rsid w:val="00B200F3"/>
    <w:rsid w:val="00B20781"/>
    <w:rsid w:val="00B20AFE"/>
    <w:rsid w:val="00B20F0D"/>
    <w:rsid w:val="00B20FCE"/>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1C"/>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B9D"/>
    <w:rsid w:val="00B51E2D"/>
    <w:rsid w:val="00B52485"/>
    <w:rsid w:val="00B53B29"/>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097B"/>
    <w:rsid w:val="00BA1483"/>
    <w:rsid w:val="00BA184E"/>
    <w:rsid w:val="00BA221F"/>
    <w:rsid w:val="00BA273D"/>
    <w:rsid w:val="00BA2F49"/>
    <w:rsid w:val="00BA327F"/>
    <w:rsid w:val="00BA38F2"/>
    <w:rsid w:val="00BA401C"/>
    <w:rsid w:val="00BA574E"/>
    <w:rsid w:val="00BA5FBC"/>
    <w:rsid w:val="00BA607B"/>
    <w:rsid w:val="00BA6266"/>
    <w:rsid w:val="00BA653D"/>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0420"/>
    <w:rsid w:val="00BE2B70"/>
    <w:rsid w:val="00BE3C7F"/>
    <w:rsid w:val="00BE3CA9"/>
    <w:rsid w:val="00BE7551"/>
    <w:rsid w:val="00BF0022"/>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5F0D"/>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102"/>
    <w:rsid w:val="00C126A0"/>
    <w:rsid w:val="00C127A8"/>
    <w:rsid w:val="00C12A1C"/>
    <w:rsid w:val="00C12D89"/>
    <w:rsid w:val="00C141AF"/>
    <w:rsid w:val="00C142C3"/>
    <w:rsid w:val="00C14926"/>
    <w:rsid w:val="00C16C0F"/>
    <w:rsid w:val="00C16CAD"/>
    <w:rsid w:val="00C20FE8"/>
    <w:rsid w:val="00C22453"/>
    <w:rsid w:val="00C23D0E"/>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074"/>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57D73"/>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A7CF1"/>
    <w:rsid w:val="00CB2501"/>
    <w:rsid w:val="00CB39E0"/>
    <w:rsid w:val="00CB3BA5"/>
    <w:rsid w:val="00CB3E90"/>
    <w:rsid w:val="00CB3F60"/>
    <w:rsid w:val="00CB4D0E"/>
    <w:rsid w:val="00CB5F33"/>
    <w:rsid w:val="00CB68A7"/>
    <w:rsid w:val="00CB69D8"/>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7BE"/>
    <w:rsid w:val="00CD2F77"/>
    <w:rsid w:val="00CD3399"/>
    <w:rsid w:val="00CD3673"/>
    <w:rsid w:val="00CD446B"/>
    <w:rsid w:val="00CD5E9A"/>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4BC6"/>
    <w:rsid w:val="00D159C4"/>
    <w:rsid w:val="00D17E00"/>
    <w:rsid w:val="00D207D4"/>
    <w:rsid w:val="00D20F57"/>
    <w:rsid w:val="00D21C3F"/>
    <w:rsid w:val="00D22FD5"/>
    <w:rsid w:val="00D2369D"/>
    <w:rsid w:val="00D23769"/>
    <w:rsid w:val="00D23EE7"/>
    <w:rsid w:val="00D250AF"/>
    <w:rsid w:val="00D25C7C"/>
    <w:rsid w:val="00D26948"/>
    <w:rsid w:val="00D26F58"/>
    <w:rsid w:val="00D31438"/>
    <w:rsid w:val="00D32E03"/>
    <w:rsid w:val="00D3382F"/>
    <w:rsid w:val="00D338BB"/>
    <w:rsid w:val="00D33EE7"/>
    <w:rsid w:val="00D33F62"/>
    <w:rsid w:val="00D341DC"/>
    <w:rsid w:val="00D35312"/>
    <w:rsid w:val="00D35DF4"/>
    <w:rsid w:val="00D3649E"/>
    <w:rsid w:val="00D37305"/>
    <w:rsid w:val="00D3740D"/>
    <w:rsid w:val="00D376C0"/>
    <w:rsid w:val="00D37993"/>
    <w:rsid w:val="00D4053D"/>
    <w:rsid w:val="00D4196F"/>
    <w:rsid w:val="00D42C25"/>
    <w:rsid w:val="00D43F8F"/>
    <w:rsid w:val="00D44CDB"/>
    <w:rsid w:val="00D45D66"/>
    <w:rsid w:val="00D46150"/>
    <w:rsid w:val="00D46968"/>
    <w:rsid w:val="00D46C96"/>
    <w:rsid w:val="00D51393"/>
    <w:rsid w:val="00D513C6"/>
    <w:rsid w:val="00D51672"/>
    <w:rsid w:val="00D51A92"/>
    <w:rsid w:val="00D52E5E"/>
    <w:rsid w:val="00D52EF1"/>
    <w:rsid w:val="00D5324B"/>
    <w:rsid w:val="00D53CD8"/>
    <w:rsid w:val="00D553B3"/>
    <w:rsid w:val="00D55E23"/>
    <w:rsid w:val="00D5607D"/>
    <w:rsid w:val="00D56109"/>
    <w:rsid w:val="00D56498"/>
    <w:rsid w:val="00D568DC"/>
    <w:rsid w:val="00D57375"/>
    <w:rsid w:val="00D57693"/>
    <w:rsid w:val="00D576AA"/>
    <w:rsid w:val="00D5777B"/>
    <w:rsid w:val="00D57E34"/>
    <w:rsid w:val="00D6009C"/>
    <w:rsid w:val="00D608B5"/>
    <w:rsid w:val="00D60AD5"/>
    <w:rsid w:val="00D60B1C"/>
    <w:rsid w:val="00D6148A"/>
    <w:rsid w:val="00D61911"/>
    <w:rsid w:val="00D625A2"/>
    <w:rsid w:val="00D64E94"/>
    <w:rsid w:val="00D6608B"/>
    <w:rsid w:val="00D6627E"/>
    <w:rsid w:val="00D663C7"/>
    <w:rsid w:val="00D66825"/>
    <w:rsid w:val="00D66FFB"/>
    <w:rsid w:val="00D67994"/>
    <w:rsid w:val="00D7074C"/>
    <w:rsid w:val="00D70908"/>
    <w:rsid w:val="00D70F76"/>
    <w:rsid w:val="00D716D2"/>
    <w:rsid w:val="00D71C18"/>
    <w:rsid w:val="00D72519"/>
    <w:rsid w:val="00D738B5"/>
    <w:rsid w:val="00D74158"/>
    <w:rsid w:val="00D77576"/>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29BE"/>
    <w:rsid w:val="00DA32FC"/>
    <w:rsid w:val="00DA495B"/>
    <w:rsid w:val="00DA556F"/>
    <w:rsid w:val="00DA74E7"/>
    <w:rsid w:val="00DA7CF8"/>
    <w:rsid w:val="00DA7FE2"/>
    <w:rsid w:val="00DB0F71"/>
    <w:rsid w:val="00DB16A2"/>
    <w:rsid w:val="00DB17B4"/>
    <w:rsid w:val="00DB2646"/>
    <w:rsid w:val="00DB26C5"/>
    <w:rsid w:val="00DB307C"/>
    <w:rsid w:val="00DB3894"/>
    <w:rsid w:val="00DB3A0B"/>
    <w:rsid w:val="00DB4C26"/>
    <w:rsid w:val="00DB6FBB"/>
    <w:rsid w:val="00DB7AD3"/>
    <w:rsid w:val="00DB7E20"/>
    <w:rsid w:val="00DC091E"/>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9DC"/>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1A02"/>
    <w:rsid w:val="00E12C19"/>
    <w:rsid w:val="00E12FB6"/>
    <w:rsid w:val="00E13740"/>
    <w:rsid w:val="00E138DB"/>
    <w:rsid w:val="00E13C60"/>
    <w:rsid w:val="00E14205"/>
    <w:rsid w:val="00E14CF1"/>
    <w:rsid w:val="00E15148"/>
    <w:rsid w:val="00E16401"/>
    <w:rsid w:val="00E177A0"/>
    <w:rsid w:val="00E17C64"/>
    <w:rsid w:val="00E20852"/>
    <w:rsid w:val="00E21533"/>
    <w:rsid w:val="00E21675"/>
    <w:rsid w:val="00E217F5"/>
    <w:rsid w:val="00E21950"/>
    <w:rsid w:val="00E21F6A"/>
    <w:rsid w:val="00E229AC"/>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0D6F"/>
    <w:rsid w:val="00E31247"/>
    <w:rsid w:val="00E31F3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577CC"/>
    <w:rsid w:val="00E61A39"/>
    <w:rsid w:val="00E61BBA"/>
    <w:rsid w:val="00E61BBC"/>
    <w:rsid w:val="00E62519"/>
    <w:rsid w:val="00E62920"/>
    <w:rsid w:val="00E62986"/>
    <w:rsid w:val="00E62FE6"/>
    <w:rsid w:val="00E6492A"/>
    <w:rsid w:val="00E66EA9"/>
    <w:rsid w:val="00E677BE"/>
    <w:rsid w:val="00E67E88"/>
    <w:rsid w:val="00E71784"/>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E1B"/>
    <w:rsid w:val="00E962BC"/>
    <w:rsid w:val="00E9661F"/>
    <w:rsid w:val="00E96872"/>
    <w:rsid w:val="00E972E4"/>
    <w:rsid w:val="00EA06E1"/>
    <w:rsid w:val="00EA088F"/>
    <w:rsid w:val="00EA09E7"/>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C7928"/>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11A"/>
    <w:rsid w:val="00EF3F90"/>
    <w:rsid w:val="00EF3FB5"/>
    <w:rsid w:val="00EF4193"/>
    <w:rsid w:val="00EF4C9F"/>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07EF7"/>
    <w:rsid w:val="00F10565"/>
    <w:rsid w:val="00F10CB4"/>
    <w:rsid w:val="00F10DB3"/>
    <w:rsid w:val="00F1101C"/>
    <w:rsid w:val="00F116C1"/>
    <w:rsid w:val="00F1268C"/>
    <w:rsid w:val="00F139C1"/>
    <w:rsid w:val="00F13C84"/>
    <w:rsid w:val="00F14830"/>
    <w:rsid w:val="00F14B7E"/>
    <w:rsid w:val="00F15789"/>
    <w:rsid w:val="00F15C36"/>
    <w:rsid w:val="00F15F1D"/>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45"/>
    <w:rsid w:val="00F574BB"/>
    <w:rsid w:val="00F60C31"/>
    <w:rsid w:val="00F60F89"/>
    <w:rsid w:val="00F61531"/>
    <w:rsid w:val="00F6174D"/>
    <w:rsid w:val="00F61FFB"/>
    <w:rsid w:val="00F644C2"/>
    <w:rsid w:val="00F648D6"/>
    <w:rsid w:val="00F64B26"/>
    <w:rsid w:val="00F661B1"/>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68D"/>
    <w:rsid w:val="00FA089C"/>
    <w:rsid w:val="00FA1820"/>
    <w:rsid w:val="00FA198B"/>
    <w:rsid w:val="00FA35D2"/>
    <w:rsid w:val="00FA3BF1"/>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E69"/>
    <w:rsid w:val="00FC1E0D"/>
    <w:rsid w:val="00FC24BB"/>
    <w:rsid w:val="00FC271B"/>
    <w:rsid w:val="00FC313F"/>
    <w:rsid w:val="00FC36A2"/>
    <w:rsid w:val="00FC47FA"/>
    <w:rsid w:val="00FC5508"/>
    <w:rsid w:val="00FC5BF0"/>
    <w:rsid w:val="00FC5DD8"/>
    <w:rsid w:val="00FC61FF"/>
    <w:rsid w:val="00FC6260"/>
    <w:rsid w:val="00FC67A2"/>
    <w:rsid w:val="00FC6997"/>
    <w:rsid w:val="00FC7AFA"/>
    <w:rsid w:val="00FD009F"/>
    <w:rsid w:val="00FD00EC"/>
    <w:rsid w:val="00FD049B"/>
    <w:rsid w:val="00FD0B2A"/>
    <w:rsid w:val="00FD2793"/>
    <w:rsid w:val="00FD3C03"/>
    <w:rsid w:val="00FD456C"/>
    <w:rsid w:val="00FD4660"/>
    <w:rsid w:val="00FD53C3"/>
    <w:rsid w:val="00FD5CCF"/>
    <w:rsid w:val="00FD5E15"/>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6C5"/>
    <w:rsid w:val="00FE7B1A"/>
    <w:rsid w:val="00FE7E45"/>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paragraph" w:styleId="Title">
    <w:name w:val="Title"/>
    <w:basedOn w:val="Normal"/>
    <w:next w:val="Normal"/>
    <w:link w:val="TitleChar"/>
    <w:uiPriority w:val="10"/>
    <w:qFormat/>
    <w:rsid w:val="007265F3"/>
    <w:pPr>
      <w:jc w:val="center"/>
    </w:pPr>
    <w:rPr>
      <w:rFonts w:cs="Arial"/>
      <w:b/>
      <w:bCs/>
      <w:lang w:eastAsia="en-GB"/>
    </w:rPr>
  </w:style>
  <w:style w:type="character" w:customStyle="1" w:styleId="TitleChar">
    <w:name w:val="Title Char"/>
    <w:basedOn w:val="DefaultParagraphFont"/>
    <w:link w:val="Title"/>
    <w:uiPriority w:val="10"/>
    <w:rsid w:val="007265F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2AA6-3312-428A-A396-6882494B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7</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2023-02-07T10:45:00Z</cp:lastPrinted>
  <dcterms:created xsi:type="dcterms:W3CDTF">2023-02-10T08:39:00Z</dcterms:created>
  <dcterms:modified xsi:type="dcterms:W3CDTF">2023-02-10T08:39:00Z</dcterms:modified>
</cp:coreProperties>
</file>