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81421" w14:textId="568409F3" w:rsidR="006C43D7" w:rsidRPr="006C43D7" w:rsidRDefault="006C43D7" w:rsidP="00C74E97">
      <w:pPr>
        <w:spacing w:after="120" w:line="360" w:lineRule="auto"/>
        <w:jc w:val="center"/>
        <w:rPr>
          <w:rFonts w:cs="Arial"/>
          <w:b/>
          <w:bCs/>
        </w:rPr>
      </w:pPr>
      <w:r w:rsidRPr="006C43D7">
        <w:rPr>
          <w:rFonts w:cs="Arial"/>
          <w:b/>
          <w:bCs/>
          <w:noProof/>
          <w:lang w:val="en-US"/>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C74E97" w:rsidRDefault="006C43D7" w:rsidP="00C74E97">
      <w:pPr>
        <w:spacing w:line="360" w:lineRule="auto"/>
        <w:jc w:val="center"/>
        <w:rPr>
          <w:b/>
          <w:szCs w:val="22"/>
        </w:rPr>
      </w:pPr>
      <w:r w:rsidRPr="006C43D7">
        <w:rPr>
          <w:b/>
        </w:rPr>
        <w:t>I</w:t>
      </w:r>
      <w:r w:rsidRPr="00C74E97">
        <w:rPr>
          <w:b/>
          <w:szCs w:val="22"/>
        </w:rPr>
        <w:t xml:space="preserve">N THE HIGH COURT OF SOUTH AFRICA, </w:t>
      </w:r>
    </w:p>
    <w:p w14:paraId="566C4D1B" w14:textId="77777777" w:rsidR="006C43D7" w:rsidRPr="00C74E97" w:rsidRDefault="006C43D7" w:rsidP="00C74E97">
      <w:pPr>
        <w:spacing w:line="360" w:lineRule="auto"/>
        <w:jc w:val="center"/>
        <w:rPr>
          <w:b/>
          <w:szCs w:val="22"/>
        </w:rPr>
      </w:pPr>
      <w:r w:rsidRPr="00C74E97">
        <w:rPr>
          <w:b/>
          <w:szCs w:val="22"/>
        </w:rPr>
        <w:t>GAUTENG DIVISION, JOHANNESBURG</w:t>
      </w:r>
    </w:p>
    <w:p w14:paraId="13D6E83E" w14:textId="77777777" w:rsidR="006C43D7" w:rsidRPr="00C74E97" w:rsidRDefault="006C43D7" w:rsidP="00C74E97">
      <w:pPr>
        <w:spacing w:line="360" w:lineRule="auto"/>
        <w:jc w:val="both"/>
        <w:rPr>
          <w:b/>
          <w:szCs w:val="22"/>
        </w:rPr>
      </w:pPr>
    </w:p>
    <w:p w14:paraId="3698476C" w14:textId="0B32A8B1" w:rsidR="006C43D7" w:rsidRPr="00C74E97" w:rsidRDefault="006C43D7" w:rsidP="00C74E97">
      <w:pPr>
        <w:spacing w:line="360" w:lineRule="auto"/>
        <w:jc w:val="right"/>
        <w:rPr>
          <w:b/>
          <w:szCs w:val="22"/>
        </w:rPr>
      </w:pPr>
      <w:r w:rsidRPr="00C74E97">
        <w:rPr>
          <w:b/>
          <w:szCs w:val="22"/>
        </w:rPr>
        <w:t xml:space="preserve">CASE NO: </w:t>
      </w:r>
      <w:r w:rsidR="00A27A51" w:rsidRPr="00C74E97">
        <w:rPr>
          <w:b/>
          <w:szCs w:val="22"/>
        </w:rPr>
        <w:t>20</w:t>
      </w:r>
      <w:r w:rsidR="00762178" w:rsidRPr="00C74E97">
        <w:rPr>
          <w:b/>
          <w:szCs w:val="22"/>
        </w:rPr>
        <w:t>1</w:t>
      </w:r>
      <w:r w:rsidR="00B35EFB">
        <w:rPr>
          <w:b/>
          <w:szCs w:val="22"/>
        </w:rPr>
        <w:t>5</w:t>
      </w:r>
      <w:r w:rsidR="00A27A51" w:rsidRPr="00C74E97">
        <w:rPr>
          <w:b/>
          <w:szCs w:val="22"/>
        </w:rPr>
        <w:t>/</w:t>
      </w:r>
      <w:r w:rsidR="00B35EFB">
        <w:rPr>
          <w:b/>
          <w:szCs w:val="22"/>
        </w:rPr>
        <w:t>34496</w:t>
      </w:r>
    </w:p>
    <w:p w14:paraId="0AF8DD38" w14:textId="77777777" w:rsidR="006C43D7" w:rsidRPr="00C74E97" w:rsidRDefault="006C43D7" w:rsidP="00C74E97">
      <w:pPr>
        <w:spacing w:line="360" w:lineRule="auto"/>
        <w:jc w:val="right"/>
        <w:rPr>
          <w:szCs w:val="22"/>
        </w:rPr>
      </w:pPr>
      <w:r w:rsidRPr="00C74E97">
        <w:rPr>
          <w:noProof/>
          <w:szCs w:val="22"/>
          <w:lang w:val="en-US"/>
        </w:rPr>
        <mc:AlternateContent>
          <mc:Choice Requires="wps">
            <w:drawing>
              <wp:anchor distT="0" distB="0" distL="114300" distR="114300" simplePos="0" relativeHeight="251659264" behindDoc="0" locked="0" layoutInCell="1" allowOverlap="1" wp14:anchorId="2E430887" wp14:editId="55507A88">
                <wp:simplePos x="0" y="0"/>
                <wp:positionH relativeFrom="margin">
                  <wp:align>left</wp:align>
                </wp:positionH>
                <wp:positionV relativeFrom="paragraph">
                  <wp:posOffset>49304</wp:posOffset>
                </wp:positionV>
                <wp:extent cx="3314700" cy="1592825"/>
                <wp:effectExtent l="0" t="0" r="1905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825"/>
                        </a:xfrm>
                        <a:prstGeom prst="rect">
                          <a:avLst/>
                        </a:prstGeom>
                        <a:solidFill>
                          <a:srgbClr val="FFFFFF"/>
                        </a:solidFill>
                        <a:ln w="9525">
                          <a:solidFill>
                            <a:srgbClr val="000000"/>
                          </a:solidFill>
                          <a:miter lim="800000"/>
                          <a:headEnd/>
                          <a:tailEnd/>
                        </a:ln>
                      </wps:spPr>
                      <wps:txbx>
                        <w:txbxContent>
                          <w:p w14:paraId="0EA4B470" w14:textId="77777777" w:rsidR="00D645C6" w:rsidRPr="00913F95" w:rsidRDefault="00D645C6" w:rsidP="006C43D7">
                            <w:pPr>
                              <w:jc w:val="center"/>
                              <w:rPr>
                                <w:rFonts w:ascii="Century Gothic" w:hAnsi="Century Gothic"/>
                                <w:b/>
                                <w:sz w:val="20"/>
                                <w:szCs w:val="20"/>
                              </w:rPr>
                            </w:pPr>
                          </w:p>
                          <w:p w14:paraId="01FDAE28" w14:textId="22AE827E" w:rsidR="00D645C6" w:rsidRDefault="00EA270B" w:rsidP="00EA270B">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45C6" w:rsidRPr="001D3CC2">
                              <w:rPr>
                                <w:rFonts w:ascii="Century Gothic" w:hAnsi="Century Gothic"/>
                                <w:sz w:val="20"/>
                                <w:szCs w:val="20"/>
                              </w:rPr>
                              <w:t xml:space="preserve">REPORTABLE: </w:t>
                            </w:r>
                            <w:r w:rsidR="00B35EFB">
                              <w:rPr>
                                <w:rFonts w:ascii="Century Gothic" w:hAnsi="Century Gothic"/>
                                <w:sz w:val="20"/>
                                <w:szCs w:val="20"/>
                              </w:rPr>
                              <w:t>NO</w:t>
                            </w:r>
                          </w:p>
                          <w:p w14:paraId="3A4C7296" w14:textId="2153B0B3" w:rsidR="00D645C6" w:rsidRPr="001D3CC2" w:rsidRDefault="00EA270B" w:rsidP="00EA270B">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D645C6" w:rsidRPr="001D3CC2">
                              <w:rPr>
                                <w:rFonts w:ascii="Century Gothic" w:hAnsi="Century Gothic"/>
                                <w:sz w:val="20"/>
                                <w:szCs w:val="20"/>
                              </w:rPr>
                              <w:t>OF INTEREST TO OTHER JUDGES</w:t>
                            </w:r>
                            <w:r w:rsidR="00D645C6">
                              <w:rPr>
                                <w:rFonts w:ascii="Century Gothic" w:hAnsi="Century Gothic"/>
                                <w:sz w:val="20"/>
                                <w:szCs w:val="20"/>
                              </w:rPr>
                              <w:t xml:space="preserve">: </w:t>
                            </w:r>
                            <w:r w:rsidR="004B192C">
                              <w:rPr>
                                <w:rFonts w:ascii="Century Gothic" w:hAnsi="Century Gothic"/>
                                <w:sz w:val="20"/>
                                <w:szCs w:val="20"/>
                              </w:rPr>
                              <w:t>YES</w:t>
                            </w:r>
                          </w:p>
                          <w:p w14:paraId="21D4A71B" w14:textId="5B58BFC8" w:rsidR="00D645C6" w:rsidRPr="00913F95" w:rsidRDefault="00D645C6" w:rsidP="001D3CC2">
                            <w:pPr>
                              <w:ind w:left="180"/>
                              <w:rPr>
                                <w:rFonts w:ascii="Century Gothic" w:hAnsi="Century Gothic"/>
                                <w:sz w:val="20"/>
                                <w:szCs w:val="20"/>
                              </w:rPr>
                            </w:pPr>
                          </w:p>
                          <w:p w14:paraId="761B7CA4" w14:textId="77777777" w:rsidR="00D645C6" w:rsidRDefault="00D645C6" w:rsidP="006C43D7">
                            <w:pPr>
                              <w:rPr>
                                <w:rFonts w:ascii="Century Gothic" w:hAnsi="Century Gothic"/>
                                <w:b/>
                                <w:sz w:val="18"/>
                                <w:szCs w:val="18"/>
                              </w:rPr>
                            </w:pPr>
                          </w:p>
                          <w:p w14:paraId="0EC4BA5C" w14:textId="61945B0D" w:rsidR="00D645C6" w:rsidRPr="001D3CC2" w:rsidRDefault="00D645C6"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D645C6" w:rsidRPr="00084341" w:rsidRDefault="00D645C6"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30887" id="_x0000_t202" coordsize="21600,21600" o:spt="202" path="m,l,21600r21600,l21600,xe">
                <v:stroke joinstyle="miter"/>
                <v:path gradientshapeok="t" o:connecttype="rect"/>
              </v:shapetype>
              <v:shape id="Text Box 4"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">
                <v:textbox>
                  <w:txbxContent>
                    <w:p w14:paraId="0EA4B470" w14:textId="77777777" w:rsidR="00D645C6" w:rsidRPr="00913F95" w:rsidRDefault="00D645C6" w:rsidP="006C43D7">
                      <w:pPr>
                        <w:jc w:val="center"/>
                        <w:rPr>
                          <w:rFonts w:ascii="Century Gothic" w:hAnsi="Century Gothic"/>
                          <w:b/>
                          <w:sz w:val="20"/>
                          <w:szCs w:val="20"/>
                        </w:rPr>
                      </w:pPr>
                    </w:p>
                    <w:p w14:paraId="01FDAE28" w14:textId="22AE827E" w:rsidR="00D645C6" w:rsidRDefault="00EA270B" w:rsidP="00EA270B">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45C6" w:rsidRPr="001D3CC2">
                        <w:rPr>
                          <w:rFonts w:ascii="Century Gothic" w:hAnsi="Century Gothic"/>
                          <w:sz w:val="20"/>
                          <w:szCs w:val="20"/>
                        </w:rPr>
                        <w:t xml:space="preserve">REPORTABLE: </w:t>
                      </w:r>
                      <w:r w:rsidR="00B35EFB">
                        <w:rPr>
                          <w:rFonts w:ascii="Century Gothic" w:hAnsi="Century Gothic"/>
                          <w:sz w:val="20"/>
                          <w:szCs w:val="20"/>
                        </w:rPr>
                        <w:t>NO</w:t>
                      </w:r>
                    </w:p>
                    <w:p w14:paraId="3A4C7296" w14:textId="2153B0B3" w:rsidR="00D645C6" w:rsidRPr="001D3CC2" w:rsidRDefault="00EA270B" w:rsidP="00EA270B">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D645C6" w:rsidRPr="001D3CC2">
                        <w:rPr>
                          <w:rFonts w:ascii="Century Gothic" w:hAnsi="Century Gothic"/>
                          <w:sz w:val="20"/>
                          <w:szCs w:val="20"/>
                        </w:rPr>
                        <w:t>OF INTEREST TO OTHER JUDGES</w:t>
                      </w:r>
                      <w:r w:rsidR="00D645C6">
                        <w:rPr>
                          <w:rFonts w:ascii="Century Gothic" w:hAnsi="Century Gothic"/>
                          <w:sz w:val="20"/>
                          <w:szCs w:val="20"/>
                        </w:rPr>
                        <w:t xml:space="preserve">: </w:t>
                      </w:r>
                      <w:r w:rsidR="004B192C">
                        <w:rPr>
                          <w:rFonts w:ascii="Century Gothic" w:hAnsi="Century Gothic"/>
                          <w:sz w:val="20"/>
                          <w:szCs w:val="20"/>
                        </w:rPr>
                        <w:t>YES</w:t>
                      </w:r>
                    </w:p>
                    <w:p w14:paraId="21D4A71B" w14:textId="5B58BFC8" w:rsidR="00D645C6" w:rsidRPr="00913F95" w:rsidRDefault="00D645C6" w:rsidP="001D3CC2">
                      <w:pPr>
                        <w:ind w:left="180"/>
                        <w:rPr>
                          <w:rFonts w:ascii="Century Gothic" w:hAnsi="Century Gothic"/>
                          <w:sz w:val="20"/>
                          <w:szCs w:val="20"/>
                        </w:rPr>
                      </w:pPr>
                    </w:p>
                    <w:p w14:paraId="761B7CA4" w14:textId="77777777" w:rsidR="00D645C6" w:rsidRDefault="00D645C6" w:rsidP="006C43D7">
                      <w:pPr>
                        <w:rPr>
                          <w:rFonts w:ascii="Century Gothic" w:hAnsi="Century Gothic"/>
                          <w:b/>
                          <w:sz w:val="18"/>
                          <w:szCs w:val="18"/>
                        </w:rPr>
                      </w:pPr>
                    </w:p>
                    <w:p w14:paraId="0EC4BA5C" w14:textId="61945B0D" w:rsidR="00D645C6" w:rsidRPr="001D3CC2" w:rsidRDefault="00D645C6"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D645C6" w:rsidRPr="00084341" w:rsidRDefault="00D645C6"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084B5ECD" w14:textId="77777777" w:rsidR="006C43D7" w:rsidRPr="00C74E97" w:rsidRDefault="006C43D7" w:rsidP="00C74E97">
      <w:pPr>
        <w:spacing w:line="360" w:lineRule="auto"/>
        <w:jc w:val="both"/>
        <w:rPr>
          <w:szCs w:val="22"/>
        </w:rPr>
      </w:pPr>
    </w:p>
    <w:p w14:paraId="4E808D74" w14:textId="77777777" w:rsidR="006C43D7" w:rsidRPr="00C74E97" w:rsidRDefault="006C43D7" w:rsidP="00C74E97">
      <w:pPr>
        <w:spacing w:line="360" w:lineRule="auto"/>
        <w:jc w:val="both"/>
        <w:rPr>
          <w:szCs w:val="22"/>
        </w:rPr>
      </w:pPr>
    </w:p>
    <w:p w14:paraId="34BF70B6" w14:textId="77777777" w:rsidR="006C43D7" w:rsidRPr="00C74E97" w:rsidRDefault="006C43D7" w:rsidP="00C74E97">
      <w:pPr>
        <w:spacing w:line="360" w:lineRule="auto"/>
        <w:jc w:val="both"/>
        <w:rPr>
          <w:szCs w:val="22"/>
        </w:rPr>
      </w:pPr>
    </w:p>
    <w:p w14:paraId="2F53BA3A" w14:textId="77777777" w:rsidR="006C43D7" w:rsidRPr="00C74E97" w:rsidRDefault="006C43D7" w:rsidP="00C74E97">
      <w:pPr>
        <w:spacing w:line="360" w:lineRule="auto"/>
        <w:jc w:val="both"/>
        <w:rPr>
          <w:szCs w:val="22"/>
        </w:rPr>
      </w:pPr>
    </w:p>
    <w:p w14:paraId="3A1C212E" w14:textId="77777777" w:rsidR="006C43D7" w:rsidRPr="00C74E97" w:rsidRDefault="006C43D7" w:rsidP="00C74E97">
      <w:pPr>
        <w:spacing w:line="360" w:lineRule="auto"/>
        <w:jc w:val="both"/>
        <w:rPr>
          <w:szCs w:val="22"/>
        </w:rPr>
      </w:pPr>
    </w:p>
    <w:p w14:paraId="04919B1B" w14:textId="77777777" w:rsidR="001D3CC2" w:rsidRPr="00C74E97" w:rsidRDefault="001D3CC2" w:rsidP="00C74E97">
      <w:pPr>
        <w:spacing w:line="360" w:lineRule="auto"/>
        <w:jc w:val="both"/>
        <w:rPr>
          <w:rFonts w:cs="Arial"/>
          <w:szCs w:val="22"/>
        </w:rPr>
      </w:pPr>
    </w:p>
    <w:p w14:paraId="65EE98C6" w14:textId="7A252702" w:rsidR="00AA7A76" w:rsidRDefault="00AA7A76" w:rsidP="00C74E97">
      <w:pPr>
        <w:spacing w:line="360" w:lineRule="auto"/>
        <w:jc w:val="both"/>
        <w:rPr>
          <w:rFonts w:cs="Arial"/>
          <w:szCs w:val="22"/>
        </w:rPr>
      </w:pPr>
      <w:r w:rsidRPr="00C74E97">
        <w:rPr>
          <w:rFonts w:cs="Arial"/>
          <w:szCs w:val="22"/>
        </w:rPr>
        <w:t>In the matter between:</w:t>
      </w:r>
    </w:p>
    <w:p w14:paraId="7E567C59" w14:textId="77777777" w:rsidR="00EB4FC0" w:rsidRPr="00C74E97" w:rsidRDefault="00EB4FC0" w:rsidP="00C74E97">
      <w:pPr>
        <w:spacing w:line="360" w:lineRule="auto"/>
        <w:jc w:val="both"/>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5"/>
        <w:gridCol w:w="2246"/>
      </w:tblGrid>
      <w:tr w:rsidR="007A1D60" w:rsidRPr="00C74E97" w14:paraId="4E86F7E7" w14:textId="77777777" w:rsidTr="00F4468A">
        <w:tc>
          <w:tcPr>
            <w:tcW w:w="6305" w:type="dxa"/>
          </w:tcPr>
          <w:p w14:paraId="74EE3EDE" w14:textId="1288073F" w:rsidR="002104BF" w:rsidRPr="00C74E97" w:rsidRDefault="00B35EFB" w:rsidP="00C74E97">
            <w:pPr>
              <w:spacing w:line="360" w:lineRule="auto"/>
              <w:jc w:val="both"/>
              <w:rPr>
                <w:rFonts w:cs="Arial"/>
                <w:b/>
                <w:szCs w:val="22"/>
              </w:rPr>
            </w:pPr>
            <w:r>
              <w:rPr>
                <w:rFonts w:cs="Arial"/>
                <w:b/>
                <w:szCs w:val="22"/>
              </w:rPr>
              <w:t>THOMAS, HENRY GRAHAM</w:t>
            </w:r>
          </w:p>
        </w:tc>
        <w:tc>
          <w:tcPr>
            <w:tcW w:w="2246" w:type="dxa"/>
          </w:tcPr>
          <w:p w14:paraId="72EECEF8" w14:textId="1C67AEEB" w:rsidR="002104BF" w:rsidRPr="00C74E97" w:rsidRDefault="0001593E" w:rsidP="00C74E97">
            <w:pPr>
              <w:spacing w:line="360" w:lineRule="auto"/>
              <w:rPr>
                <w:rFonts w:cs="Arial"/>
                <w:szCs w:val="22"/>
              </w:rPr>
            </w:pPr>
            <w:r w:rsidRPr="00C74E97">
              <w:rPr>
                <w:rFonts w:cs="Arial"/>
                <w:szCs w:val="22"/>
              </w:rPr>
              <w:t>Plaintiff</w:t>
            </w:r>
          </w:p>
        </w:tc>
      </w:tr>
      <w:tr w:rsidR="007A1D60" w:rsidRPr="00C74E97" w14:paraId="64E42908" w14:textId="77777777" w:rsidTr="00F4468A">
        <w:tc>
          <w:tcPr>
            <w:tcW w:w="6305" w:type="dxa"/>
          </w:tcPr>
          <w:p w14:paraId="5042A4FA" w14:textId="77777777" w:rsidR="00EB4FC0" w:rsidRDefault="00EB4FC0" w:rsidP="00C74E97">
            <w:pPr>
              <w:spacing w:line="360" w:lineRule="auto"/>
              <w:jc w:val="both"/>
              <w:rPr>
                <w:szCs w:val="22"/>
              </w:rPr>
            </w:pPr>
          </w:p>
          <w:p w14:paraId="22188E4D" w14:textId="77777777" w:rsidR="002104BF" w:rsidRDefault="00A22A14" w:rsidP="00C74E97">
            <w:pPr>
              <w:spacing w:line="360" w:lineRule="auto"/>
              <w:jc w:val="both"/>
              <w:rPr>
                <w:szCs w:val="22"/>
              </w:rPr>
            </w:pPr>
            <w:r w:rsidRPr="00C74E97">
              <w:rPr>
                <w:szCs w:val="22"/>
              </w:rPr>
              <w:t>a</w:t>
            </w:r>
            <w:r w:rsidR="002104BF" w:rsidRPr="00C74E97">
              <w:rPr>
                <w:szCs w:val="22"/>
              </w:rPr>
              <w:t>nd</w:t>
            </w:r>
            <w:r w:rsidRPr="00C74E97">
              <w:rPr>
                <w:szCs w:val="22"/>
              </w:rPr>
              <w:t xml:space="preserve">  </w:t>
            </w:r>
          </w:p>
          <w:p w14:paraId="6E1E5BEB" w14:textId="28B0CF97" w:rsidR="00BE4BD9" w:rsidRPr="00C74E97" w:rsidRDefault="00BE4BD9" w:rsidP="00C74E97">
            <w:pPr>
              <w:spacing w:line="360" w:lineRule="auto"/>
              <w:jc w:val="both"/>
              <w:rPr>
                <w:szCs w:val="22"/>
              </w:rPr>
            </w:pPr>
          </w:p>
        </w:tc>
        <w:tc>
          <w:tcPr>
            <w:tcW w:w="2246" w:type="dxa"/>
          </w:tcPr>
          <w:p w14:paraId="1DB932F2" w14:textId="77777777" w:rsidR="002104BF" w:rsidRPr="00C74E97" w:rsidRDefault="002104BF" w:rsidP="00C74E97">
            <w:pPr>
              <w:spacing w:line="360" w:lineRule="auto"/>
              <w:jc w:val="right"/>
              <w:rPr>
                <w:rFonts w:cs="Arial"/>
                <w:szCs w:val="22"/>
              </w:rPr>
            </w:pPr>
          </w:p>
        </w:tc>
      </w:tr>
      <w:tr w:rsidR="007A1D60" w:rsidRPr="00C74E97" w14:paraId="3BCAF70A" w14:textId="77777777" w:rsidTr="00F4468A">
        <w:tc>
          <w:tcPr>
            <w:tcW w:w="6305" w:type="dxa"/>
          </w:tcPr>
          <w:p w14:paraId="0E8BF73D" w14:textId="70B43B79" w:rsidR="002104BF" w:rsidRPr="00C74E97" w:rsidRDefault="00B35EFB" w:rsidP="00C74E97">
            <w:pPr>
              <w:spacing w:line="360" w:lineRule="auto"/>
              <w:jc w:val="both"/>
              <w:rPr>
                <w:b/>
                <w:szCs w:val="22"/>
              </w:rPr>
            </w:pPr>
            <w:r>
              <w:rPr>
                <w:rFonts w:cs="Arial"/>
                <w:b/>
                <w:szCs w:val="22"/>
                <w:lang w:val="en-US"/>
              </w:rPr>
              <w:t>THE MINISTER OF POLICE</w:t>
            </w:r>
          </w:p>
        </w:tc>
        <w:tc>
          <w:tcPr>
            <w:tcW w:w="2246" w:type="dxa"/>
          </w:tcPr>
          <w:p w14:paraId="2A989CFA" w14:textId="37DE3EED" w:rsidR="002104BF" w:rsidRPr="00C74E97" w:rsidRDefault="007A1D60" w:rsidP="00C74E97">
            <w:pPr>
              <w:spacing w:line="360" w:lineRule="auto"/>
              <w:rPr>
                <w:rFonts w:cs="Arial"/>
                <w:szCs w:val="22"/>
              </w:rPr>
            </w:pPr>
            <w:r w:rsidRPr="00C74E97">
              <w:rPr>
                <w:rFonts w:cs="Arial"/>
                <w:szCs w:val="22"/>
              </w:rPr>
              <w:t>Defendant</w:t>
            </w:r>
          </w:p>
        </w:tc>
      </w:tr>
    </w:tbl>
    <w:p w14:paraId="4D632D47" w14:textId="70CCEB16" w:rsidR="00F9202F" w:rsidRPr="00C74E97" w:rsidRDefault="00F9202F" w:rsidP="00C74E97">
      <w:pPr>
        <w:pBdr>
          <w:bottom w:val="single" w:sz="4" w:space="1" w:color="auto"/>
        </w:pBdr>
        <w:spacing w:line="360" w:lineRule="auto"/>
        <w:jc w:val="both"/>
        <w:rPr>
          <w:rFonts w:cs="Arial"/>
          <w:szCs w:val="22"/>
        </w:rPr>
      </w:pPr>
    </w:p>
    <w:p w14:paraId="64CFD117" w14:textId="77777777" w:rsidR="00CE6301" w:rsidRPr="00C74E97" w:rsidRDefault="00CE6301" w:rsidP="00C74E97">
      <w:pPr>
        <w:pBdr>
          <w:bottom w:val="single" w:sz="4" w:space="1" w:color="auto"/>
        </w:pBdr>
        <w:spacing w:line="360" w:lineRule="auto"/>
        <w:jc w:val="both"/>
        <w:rPr>
          <w:rFonts w:cs="Arial"/>
          <w:szCs w:val="22"/>
        </w:rPr>
      </w:pPr>
    </w:p>
    <w:p w14:paraId="58DE5549" w14:textId="77777777" w:rsidR="006C43D7" w:rsidRPr="00C74E97" w:rsidRDefault="006C43D7" w:rsidP="00C74E97">
      <w:pPr>
        <w:spacing w:line="360" w:lineRule="auto"/>
        <w:jc w:val="both"/>
        <w:rPr>
          <w:rFonts w:cs="Arial"/>
          <w:szCs w:val="22"/>
        </w:rPr>
      </w:pPr>
    </w:p>
    <w:p w14:paraId="647AB70C" w14:textId="77777777" w:rsidR="006C43D7" w:rsidRPr="00C74E97" w:rsidRDefault="006C43D7" w:rsidP="00C74E97">
      <w:pPr>
        <w:keepNext/>
        <w:spacing w:line="360" w:lineRule="auto"/>
        <w:jc w:val="center"/>
        <w:outlineLvl w:val="1"/>
        <w:rPr>
          <w:rFonts w:cs="Arial"/>
          <w:b/>
          <w:bCs/>
          <w:szCs w:val="22"/>
        </w:rPr>
      </w:pPr>
      <w:r w:rsidRPr="00C74E97">
        <w:rPr>
          <w:rFonts w:cs="Arial"/>
          <w:b/>
          <w:bCs/>
          <w:szCs w:val="22"/>
        </w:rPr>
        <w:t>JUDGMENT</w:t>
      </w:r>
    </w:p>
    <w:p w14:paraId="52CD25EB" w14:textId="77777777" w:rsidR="006C43D7" w:rsidRPr="00C74E97" w:rsidRDefault="006C43D7" w:rsidP="00C74E97">
      <w:pPr>
        <w:pBdr>
          <w:bottom w:val="single" w:sz="4" w:space="1" w:color="auto"/>
        </w:pBdr>
        <w:spacing w:line="360" w:lineRule="auto"/>
        <w:jc w:val="both"/>
        <w:rPr>
          <w:rFonts w:cs="Arial"/>
          <w:szCs w:val="22"/>
        </w:rPr>
      </w:pPr>
    </w:p>
    <w:p w14:paraId="0CA76DA1" w14:textId="77777777" w:rsidR="00DC621D" w:rsidRPr="00C74E97" w:rsidRDefault="00DC621D" w:rsidP="00C74E97">
      <w:pPr>
        <w:spacing w:line="360" w:lineRule="auto"/>
        <w:jc w:val="both"/>
        <w:rPr>
          <w:rFonts w:cs="Arial"/>
          <w:b/>
          <w:szCs w:val="22"/>
        </w:rPr>
      </w:pPr>
    </w:p>
    <w:p w14:paraId="5BD82EFE" w14:textId="0F8FBF70" w:rsidR="00BE6AB8" w:rsidRPr="00C74E97" w:rsidRDefault="00C676F3" w:rsidP="00C74E97">
      <w:pPr>
        <w:spacing w:after="480" w:line="360" w:lineRule="auto"/>
        <w:jc w:val="both"/>
        <w:rPr>
          <w:rFonts w:cs="Arial"/>
          <w:b/>
          <w:szCs w:val="22"/>
        </w:rPr>
      </w:pPr>
      <w:r w:rsidRPr="00C74E97">
        <w:rPr>
          <w:rFonts w:cs="Arial"/>
          <w:b/>
          <w:szCs w:val="22"/>
        </w:rPr>
        <w:t>MOORCROFT</w:t>
      </w:r>
      <w:r w:rsidR="006C43D7" w:rsidRPr="00C74E97">
        <w:rPr>
          <w:rFonts w:cs="Arial"/>
          <w:b/>
          <w:szCs w:val="22"/>
        </w:rPr>
        <w:t xml:space="preserve"> AJ:</w:t>
      </w:r>
    </w:p>
    <w:p w14:paraId="09239A78" w14:textId="202EF25D" w:rsidR="00C460A0" w:rsidRPr="00B13150" w:rsidRDefault="00C460A0" w:rsidP="00C74E97">
      <w:pPr>
        <w:keepNext/>
        <w:spacing w:after="480" w:line="360" w:lineRule="auto"/>
        <w:jc w:val="both"/>
        <w:rPr>
          <w:rFonts w:cs="Arial"/>
          <w:bCs/>
          <w:i/>
          <w:iCs/>
          <w:szCs w:val="22"/>
          <w:u w:val="single"/>
        </w:rPr>
      </w:pPr>
      <w:r w:rsidRPr="00B13150">
        <w:rPr>
          <w:rFonts w:cs="Arial"/>
          <w:bCs/>
          <w:i/>
          <w:iCs/>
          <w:szCs w:val="22"/>
          <w:u w:val="single"/>
        </w:rPr>
        <w:lastRenderedPageBreak/>
        <w:t>Summary</w:t>
      </w:r>
    </w:p>
    <w:p w14:paraId="203967F4" w14:textId="15E2018B" w:rsidR="00B35EFB" w:rsidRPr="00B13150" w:rsidRDefault="00700534" w:rsidP="00B35EFB">
      <w:pPr>
        <w:spacing w:after="480" w:line="360" w:lineRule="auto"/>
        <w:jc w:val="both"/>
        <w:rPr>
          <w:rFonts w:cs="Arial"/>
          <w:bCs/>
          <w:i/>
          <w:iCs/>
          <w:szCs w:val="22"/>
        </w:rPr>
      </w:pPr>
      <w:r w:rsidRPr="00B13150">
        <w:rPr>
          <w:rFonts w:cs="Arial"/>
          <w:bCs/>
          <w:i/>
          <w:iCs/>
          <w:szCs w:val="22"/>
        </w:rPr>
        <w:t>A</w:t>
      </w:r>
      <w:r w:rsidR="00B35EFB" w:rsidRPr="00B13150">
        <w:rPr>
          <w:rFonts w:cs="Arial"/>
          <w:bCs/>
          <w:i/>
          <w:iCs/>
          <w:szCs w:val="22"/>
        </w:rPr>
        <w:t>rrest and detention – Plaintiff arrested and release</w:t>
      </w:r>
      <w:r w:rsidR="004E40E8" w:rsidRPr="00B13150">
        <w:rPr>
          <w:rFonts w:cs="Arial"/>
          <w:bCs/>
          <w:i/>
          <w:iCs/>
          <w:szCs w:val="22"/>
        </w:rPr>
        <w:t>d</w:t>
      </w:r>
      <w:r w:rsidR="00B35EFB" w:rsidRPr="00B13150">
        <w:rPr>
          <w:rFonts w:cs="Arial"/>
          <w:bCs/>
          <w:i/>
          <w:iCs/>
          <w:szCs w:val="22"/>
        </w:rPr>
        <w:t xml:space="preserve"> 24 hours later without appearing in court</w:t>
      </w:r>
    </w:p>
    <w:p w14:paraId="3CECA457" w14:textId="53FABFC7" w:rsidR="00700534" w:rsidRPr="00B13150" w:rsidRDefault="004B192C" w:rsidP="00B35EFB">
      <w:pPr>
        <w:spacing w:after="480" w:line="360" w:lineRule="auto"/>
        <w:jc w:val="both"/>
        <w:rPr>
          <w:rFonts w:cs="Arial"/>
          <w:bCs/>
          <w:i/>
          <w:iCs/>
          <w:szCs w:val="22"/>
        </w:rPr>
      </w:pPr>
      <w:r w:rsidRPr="00B13150">
        <w:rPr>
          <w:rFonts w:cs="Arial"/>
          <w:bCs/>
          <w:i/>
          <w:iCs/>
          <w:szCs w:val="22"/>
        </w:rPr>
        <w:t xml:space="preserve">Criminal Procedure Act, 51 of 1977 - section 40(1)(h) – arrest of suspect by peace </w:t>
      </w:r>
      <w:r w:rsidR="00102B03" w:rsidRPr="00B13150">
        <w:rPr>
          <w:rFonts w:cs="Arial"/>
          <w:bCs/>
          <w:i/>
          <w:iCs/>
          <w:szCs w:val="22"/>
        </w:rPr>
        <w:t>officer</w:t>
      </w:r>
      <w:r w:rsidRPr="00B13150">
        <w:rPr>
          <w:rFonts w:cs="Arial"/>
          <w:bCs/>
          <w:i/>
          <w:iCs/>
          <w:szCs w:val="22"/>
        </w:rPr>
        <w:t xml:space="preserve"> </w:t>
      </w:r>
      <w:r w:rsidRPr="00B13150">
        <w:rPr>
          <w:i/>
          <w:iCs/>
          <w:lang w:eastAsia="en-ZA"/>
        </w:rPr>
        <w:t>entertaining reasonable suspicion that arrestee committed an offence u</w:t>
      </w:r>
      <w:r w:rsidRPr="00B13150">
        <w:rPr>
          <w:i/>
          <w:iCs/>
        </w:rPr>
        <w:t>nder any law governing</w:t>
      </w:r>
      <w:r w:rsidR="00B13150" w:rsidRPr="00B13150">
        <w:rPr>
          <w:i/>
          <w:iCs/>
        </w:rPr>
        <w:t xml:space="preserve"> inter alia</w:t>
      </w:r>
      <w:r w:rsidRPr="00B13150">
        <w:rPr>
          <w:i/>
          <w:iCs/>
        </w:rPr>
        <w:t xml:space="preserve"> the making, supply, possession or conveyance of dependence-producing drugs</w:t>
      </w:r>
    </w:p>
    <w:p w14:paraId="37898AE9" w14:textId="78432F91" w:rsidR="009F676E" w:rsidRPr="00B13150" w:rsidRDefault="009F676E" w:rsidP="00B35EFB">
      <w:pPr>
        <w:spacing w:after="480" w:line="360" w:lineRule="auto"/>
        <w:jc w:val="both"/>
        <w:rPr>
          <w:rFonts w:cs="Arial"/>
          <w:bCs/>
          <w:i/>
          <w:iCs/>
          <w:szCs w:val="22"/>
        </w:rPr>
      </w:pPr>
      <w:r w:rsidRPr="00B13150">
        <w:rPr>
          <w:rFonts w:cs="Arial"/>
          <w:bCs/>
          <w:i/>
          <w:iCs/>
          <w:szCs w:val="22"/>
        </w:rPr>
        <w:t xml:space="preserve">Possession of </w:t>
      </w:r>
      <w:r w:rsidR="00700534" w:rsidRPr="00B13150">
        <w:rPr>
          <w:rFonts w:cs="Arial"/>
          <w:i/>
          <w:iCs/>
          <w:szCs w:val="22"/>
        </w:rPr>
        <w:t xml:space="preserve">undesirable dependence-producing substance </w:t>
      </w:r>
      <w:r w:rsidR="004B192C" w:rsidRPr="00B13150">
        <w:rPr>
          <w:rFonts w:cs="Arial"/>
          <w:i/>
          <w:iCs/>
          <w:szCs w:val="22"/>
        </w:rPr>
        <w:t>– Drugs and Drug Trafficking Act</w:t>
      </w:r>
      <w:r w:rsidR="008A4C8C" w:rsidRPr="00B13150">
        <w:rPr>
          <w:rFonts w:cs="Arial"/>
          <w:i/>
          <w:iCs/>
          <w:szCs w:val="22"/>
        </w:rPr>
        <w:t>, 140 of 1992</w:t>
      </w:r>
      <w:r w:rsidR="004B192C" w:rsidRPr="00B13150">
        <w:rPr>
          <w:rFonts w:cs="Arial"/>
          <w:i/>
          <w:iCs/>
          <w:szCs w:val="22"/>
        </w:rPr>
        <w:t xml:space="preserve"> – section 4 - undesirable dependence-producing substance in Part III of Schedule 2 – section 11 – powers of search and seizure</w:t>
      </w:r>
    </w:p>
    <w:p w14:paraId="25AC8358" w14:textId="6F8698BE" w:rsidR="00253F72" w:rsidRPr="00C74E97" w:rsidRDefault="00253F72" w:rsidP="00C74E97">
      <w:pPr>
        <w:spacing w:after="480" w:line="360" w:lineRule="auto"/>
        <w:jc w:val="both"/>
        <w:rPr>
          <w:rFonts w:cs="Arial"/>
          <w:bCs/>
          <w:i/>
          <w:iCs/>
          <w:szCs w:val="22"/>
        </w:rPr>
      </w:pPr>
    </w:p>
    <w:p w14:paraId="18AFD427" w14:textId="35E99A54" w:rsidR="00BE6AB8" w:rsidRPr="00C74E97" w:rsidRDefault="00BE6AB8" w:rsidP="00C74E97">
      <w:pPr>
        <w:keepNext/>
        <w:spacing w:after="480" w:line="360" w:lineRule="auto"/>
        <w:jc w:val="both"/>
        <w:rPr>
          <w:rFonts w:cs="Arial"/>
          <w:bCs/>
          <w:szCs w:val="22"/>
          <w:u w:val="single"/>
        </w:rPr>
      </w:pPr>
      <w:r w:rsidRPr="00C74E97">
        <w:rPr>
          <w:rFonts w:cs="Arial"/>
          <w:bCs/>
          <w:szCs w:val="22"/>
          <w:u w:val="single"/>
        </w:rPr>
        <w:t>Order</w:t>
      </w:r>
    </w:p>
    <w:p w14:paraId="25A66E53" w14:textId="73D3D9B3" w:rsidR="00DC6EF8" w:rsidRPr="00C74E97" w:rsidRDefault="00EA270B" w:rsidP="00EA270B">
      <w:pPr>
        <w:tabs>
          <w:tab w:val="left" w:pos="567"/>
        </w:tabs>
        <w:spacing w:after="480" w:line="360" w:lineRule="auto"/>
        <w:jc w:val="both"/>
        <w:rPr>
          <w:rFonts w:cs="Arial"/>
          <w:bCs/>
          <w:szCs w:val="22"/>
        </w:rPr>
      </w:pPr>
      <w:r w:rsidRPr="00C74E97">
        <w:rPr>
          <w:rFonts w:cs="Arial"/>
          <w:bCs/>
          <w:szCs w:val="22"/>
        </w:rPr>
        <w:t>[1</w:t>
      </w:r>
      <w:bookmarkStart w:id="0" w:name="_GoBack"/>
      <w:bookmarkEnd w:id="0"/>
      <w:r w:rsidRPr="00C74E97">
        <w:rPr>
          <w:rFonts w:cs="Arial"/>
          <w:bCs/>
          <w:szCs w:val="22"/>
        </w:rPr>
        <w:t>]</w:t>
      </w:r>
      <w:r w:rsidRPr="00C74E97">
        <w:rPr>
          <w:rFonts w:cs="Arial"/>
          <w:bCs/>
          <w:szCs w:val="22"/>
        </w:rPr>
        <w:tab/>
      </w:r>
      <w:r w:rsidR="003B4100" w:rsidRPr="00C74E97">
        <w:rPr>
          <w:rFonts w:cs="Arial"/>
          <w:bCs/>
          <w:szCs w:val="22"/>
        </w:rPr>
        <w:t xml:space="preserve">In this </w:t>
      </w:r>
      <w:r w:rsidR="00B56906" w:rsidRPr="00C74E97">
        <w:rPr>
          <w:rFonts w:cs="Arial"/>
          <w:bCs/>
          <w:szCs w:val="22"/>
        </w:rPr>
        <w:t xml:space="preserve">matter </w:t>
      </w:r>
      <w:r w:rsidR="00C460A0" w:rsidRPr="00C74E97">
        <w:rPr>
          <w:rFonts w:cs="Arial"/>
          <w:bCs/>
          <w:szCs w:val="22"/>
        </w:rPr>
        <w:t>I ma</w:t>
      </w:r>
      <w:r w:rsidR="00DF5291" w:rsidRPr="00C74E97">
        <w:rPr>
          <w:rFonts w:cs="Arial"/>
          <w:bCs/>
          <w:szCs w:val="22"/>
        </w:rPr>
        <w:t>k</w:t>
      </w:r>
      <w:r w:rsidR="00DC6EF8" w:rsidRPr="00C74E97">
        <w:rPr>
          <w:rFonts w:cs="Arial"/>
          <w:bCs/>
          <w:szCs w:val="22"/>
        </w:rPr>
        <w:t>e</w:t>
      </w:r>
      <w:r w:rsidR="00C460A0" w:rsidRPr="00C74E97">
        <w:rPr>
          <w:rFonts w:cs="Arial"/>
          <w:bCs/>
          <w:szCs w:val="22"/>
        </w:rPr>
        <w:t xml:space="preserve"> the following order:</w:t>
      </w:r>
    </w:p>
    <w:p w14:paraId="3B893A85" w14:textId="47F096BE" w:rsidR="00DF5291" w:rsidRPr="00EA270B" w:rsidRDefault="00EA270B" w:rsidP="00EA270B">
      <w:pPr>
        <w:spacing w:before="120" w:after="120" w:line="360" w:lineRule="auto"/>
        <w:ind w:left="360" w:hanging="360"/>
        <w:rPr>
          <w:i/>
          <w:iCs/>
          <w:szCs w:val="22"/>
        </w:rPr>
      </w:pPr>
      <w:r>
        <w:rPr>
          <w:i/>
          <w:iCs/>
          <w:szCs w:val="22"/>
        </w:rPr>
        <w:t>1.</w:t>
      </w:r>
      <w:r>
        <w:rPr>
          <w:i/>
          <w:iCs/>
          <w:szCs w:val="22"/>
        </w:rPr>
        <w:tab/>
      </w:r>
      <w:r w:rsidR="00442091" w:rsidRPr="00EA270B">
        <w:rPr>
          <w:i/>
          <w:iCs/>
          <w:szCs w:val="22"/>
        </w:rPr>
        <w:t>The plaintiff’s claim is dismissed;</w:t>
      </w:r>
    </w:p>
    <w:p w14:paraId="4D229948" w14:textId="1AD8569E" w:rsidR="00442091" w:rsidRPr="00EA270B" w:rsidRDefault="00EA270B" w:rsidP="00EA270B">
      <w:pPr>
        <w:spacing w:before="120" w:after="120" w:line="360" w:lineRule="auto"/>
        <w:ind w:left="360" w:hanging="360"/>
        <w:rPr>
          <w:i/>
          <w:iCs/>
          <w:szCs w:val="22"/>
        </w:rPr>
      </w:pPr>
      <w:r w:rsidRPr="00442091">
        <w:rPr>
          <w:i/>
          <w:iCs/>
          <w:szCs w:val="22"/>
        </w:rPr>
        <w:t>2.</w:t>
      </w:r>
      <w:r w:rsidRPr="00442091">
        <w:rPr>
          <w:i/>
          <w:iCs/>
          <w:szCs w:val="22"/>
        </w:rPr>
        <w:tab/>
      </w:r>
      <w:r w:rsidR="00442091" w:rsidRPr="00EA270B">
        <w:rPr>
          <w:i/>
          <w:iCs/>
          <w:szCs w:val="22"/>
        </w:rPr>
        <w:t>The plaintiff is ordered to pay the defendant’s costs.</w:t>
      </w:r>
    </w:p>
    <w:p w14:paraId="5493FAA1" w14:textId="77777777" w:rsidR="00B16F69" w:rsidRPr="00C74E97" w:rsidRDefault="00B16F69" w:rsidP="00C74E97">
      <w:pPr>
        <w:spacing w:before="120" w:after="120" w:line="360" w:lineRule="auto"/>
        <w:rPr>
          <w:i/>
          <w:iCs/>
          <w:szCs w:val="22"/>
        </w:rPr>
      </w:pPr>
    </w:p>
    <w:p w14:paraId="08540072" w14:textId="3E8CD494" w:rsidR="00C9310B" w:rsidRPr="00EA270B" w:rsidRDefault="00EA270B" w:rsidP="00EA270B">
      <w:pPr>
        <w:widowControl w:val="0"/>
        <w:tabs>
          <w:tab w:val="left" w:pos="567"/>
        </w:tabs>
        <w:spacing w:before="480" w:after="480" w:line="360" w:lineRule="auto"/>
        <w:jc w:val="both"/>
        <w:rPr>
          <w:rFonts w:cs="Arial"/>
          <w:bCs/>
          <w:szCs w:val="22"/>
          <w:u w:val="single"/>
        </w:rPr>
      </w:pPr>
      <w:r w:rsidRPr="00C74E97">
        <w:rPr>
          <w:rFonts w:cs="Arial"/>
          <w:bCs/>
          <w:szCs w:val="22"/>
        </w:rPr>
        <w:t>[2]</w:t>
      </w:r>
      <w:r w:rsidRPr="00C74E97">
        <w:rPr>
          <w:rFonts w:cs="Arial"/>
          <w:bCs/>
          <w:szCs w:val="22"/>
        </w:rPr>
        <w:tab/>
      </w:r>
      <w:r w:rsidR="00573FF9" w:rsidRPr="00EA270B">
        <w:rPr>
          <w:rFonts w:cs="Arial"/>
          <w:bCs/>
          <w:szCs w:val="22"/>
        </w:rPr>
        <w:t xml:space="preserve">The reasons for the order </w:t>
      </w:r>
      <w:r w:rsidR="00A63709" w:rsidRPr="00EA270B">
        <w:rPr>
          <w:rFonts w:cs="Arial"/>
          <w:bCs/>
          <w:szCs w:val="22"/>
        </w:rPr>
        <w:t>follow</w:t>
      </w:r>
      <w:r w:rsidR="00573FF9" w:rsidRPr="00EA270B">
        <w:rPr>
          <w:rFonts w:cs="Arial"/>
          <w:bCs/>
          <w:szCs w:val="22"/>
        </w:rPr>
        <w:t xml:space="preserve"> below.</w:t>
      </w:r>
    </w:p>
    <w:p w14:paraId="3658C913" w14:textId="73DC7682" w:rsidR="00573FF9" w:rsidRPr="00C74E97" w:rsidRDefault="00D9086C" w:rsidP="00C74E97">
      <w:pPr>
        <w:keepNext/>
        <w:widowControl w:val="0"/>
        <w:spacing w:before="480" w:after="480" w:line="360" w:lineRule="auto"/>
        <w:jc w:val="both"/>
        <w:rPr>
          <w:rFonts w:cs="Arial"/>
          <w:bCs/>
          <w:szCs w:val="22"/>
          <w:u w:val="single"/>
        </w:rPr>
      </w:pPr>
      <w:r w:rsidRPr="00C74E97">
        <w:rPr>
          <w:rFonts w:cs="Arial"/>
          <w:bCs/>
          <w:szCs w:val="22"/>
          <w:u w:val="single"/>
        </w:rPr>
        <w:t>Introduction</w:t>
      </w:r>
    </w:p>
    <w:p w14:paraId="7461565B" w14:textId="5CCEEF5D" w:rsidR="00555F54" w:rsidRPr="00555F54" w:rsidRDefault="00EA270B" w:rsidP="00EA270B">
      <w:pPr>
        <w:widowControl w:val="0"/>
        <w:tabs>
          <w:tab w:val="left" w:pos="567"/>
        </w:tabs>
        <w:spacing w:before="480" w:after="480" w:line="360" w:lineRule="auto"/>
        <w:jc w:val="both"/>
        <w:rPr>
          <w:rFonts w:cs="Arial"/>
          <w:bCs/>
          <w:szCs w:val="22"/>
        </w:rPr>
      </w:pPr>
      <w:r w:rsidRPr="00555F54">
        <w:rPr>
          <w:rFonts w:cs="Arial"/>
          <w:bCs/>
          <w:szCs w:val="22"/>
        </w:rPr>
        <w:t>[3]</w:t>
      </w:r>
      <w:r w:rsidRPr="00555F54">
        <w:rPr>
          <w:rFonts w:cs="Arial"/>
          <w:bCs/>
          <w:szCs w:val="22"/>
        </w:rPr>
        <w:tab/>
      </w:r>
      <w:r w:rsidR="00AA612A" w:rsidRPr="00AA612A">
        <w:rPr>
          <w:rFonts w:cs="Arial"/>
          <w:bCs/>
          <w:szCs w:val="22"/>
          <w:lang w:val="en-GB"/>
        </w:rPr>
        <w:t>The plaintiff</w:t>
      </w:r>
      <w:r w:rsidR="00AA612A">
        <w:rPr>
          <w:rFonts w:cs="Arial"/>
          <w:bCs/>
          <w:szCs w:val="22"/>
          <w:lang w:val="en-GB"/>
        </w:rPr>
        <w:t>’</w:t>
      </w:r>
      <w:r w:rsidR="00AA612A" w:rsidRPr="00AA612A">
        <w:rPr>
          <w:rFonts w:cs="Arial"/>
          <w:bCs/>
          <w:szCs w:val="22"/>
          <w:lang w:val="en-GB"/>
        </w:rPr>
        <w:t xml:space="preserve">s </w:t>
      </w:r>
      <w:r w:rsidR="00A00304">
        <w:rPr>
          <w:rFonts w:cs="Arial"/>
          <w:bCs/>
          <w:szCs w:val="22"/>
          <w:lang w:val="en-GB"/>
        </w:rPr>
        <w:t xml:space="preserve">delictual </w:t>
      </w:r>
      <w:r w:rsidR="00AA612A" w:rsidRPr="00AA612A">
        <w:rPr>
          <w:rFonts w:cs="Arial"/>
          <w:bCs/>
          <w:szCs w:val="22"/>
          <w:lang w:val="en-GB"/>
        </w:rPr>
        <w:t>claim</w:t>
      </w:r>
      <w:r w:rsidR="003A361B">
        <w:rPr>
          <w:rStyle w:val="FootnoteReference"/>
          <w:rFonts w:cs="Arial"/>
          <w:bCs/>
          <w:szCs w:val="22"/>
          <w:lang w:val="en-GB"/>
        </w:rPr>
        <w:footnoteReference w:id="1"/>
      </w:r>
      <w:r w:rsidR="00AA612A" w:rsidRPr="00AA612A">
        <w:rPr>
          <w:rFonts w:cs="Arial"/>
          <w:bCs/>
          <w:szCs w:val="22"/>
          <w:lang w:val="en-GB"/>
        </w:rPr>
        <w:t xml:space="preserve"> against the defendant </w:t>
      </w:r>
      <w:r w:rsidR="00A00304">
        <w:rPr>
          <w:rFonts w:cs="Arial"/>
          <w:bCs/>
          <w:szCs w:val="22"/>
          <w:lang w:val="en-GB"/>
        </w:rPr>
        <w:t xml:space="preserve">for unlawful arrest and </w:t>
      </w:r>
      <w:r w:rsidR="009F676E">
        <w:rPr>
          <w:rFonts w:cs="Arial"/>
          <w:bCs/>
          <w:szCs w:val="22"/>
          <w:lang w:val="en-GB"/>
        </w:rPr>
        <w:t xml:space="preserve">unlawful </w:t>
      </w:r>
      <w:r w:rsidR="00A00304">
        <w:rPr>
          <w:rFonts w:cs="Arial"/>
          <w:bCs/>
          <w:szCs w:val="22"/>
          <w:lang w:val="en-GB"/>
        </w:rPr>
        <w:t xml:space="preserve">detention </w:t>
      </w:r>
      <w:r w:rsidR="009F676E">
        <w:rPr>
          <w:rFonts w:cs="Arial"/>
          <w:bCs/>
          <w:szCs w:val="22"/>
          <w:lang w:val="en-GB"/>
        </w:rPr>
        <w:t>is</w:t>
      </w:r>
      <w:r w:rsidR="00AA612A" w:rsidRPr="00AA612A">
        <w:rPr>
          <w:rFonts w:cs="Arial"/>
          <w:bCs/>
          <w:szCs w:val="22"/>
          <w:lang w:val="en-GB"/>
        </w:rPr>
        <w:t xml:space="preserve"> based on </w:t>
      </w:r>
      <w:r w:rsidR="00A00304">
        <w:rPr>
          <w:rFonts w:cs="Arial"/>
          <w:bCs/>
          <w:szCs w:val="22"/>
          <w:lang w:val="en-GB"/>
        </w:rPr>
        <w:t xml:space="preserve">the </w:t>
      </w:r>
      <w:r w:rsidR="00A00304" w:rsidRPr="00A00304">
        <w:rPr>
          <w:rFonts w:cs="Arial"/>
          <w:i/>
          <w:iCs/>
          <w:szCs w:val="22"/>
          <w:lang w:eastAsia="en-ZA"/>
        </w:rPr>
        <w:t>actio iniuriarum</w:t>
      </w:r>
      <w:r w:rsidR="00A00304">
        <w:rPr>
          <w:rFonts w:cs="Arial"/>
          <w:i/>
          <w:iCs/>
          <w:szCs w:val="22"/>
          <w:lang w:eastAsia="en-ZA"/>
        </w:rPr>
        <w:t>.</w:t>
      </w:r>
      <w:r w:rsidR="0014048E">
        <w:rPr>
          <w:rFonts w:cs="Arial"/>
          <w:bCs/>
          <w:szCs w:val="22"/>
          <w:lang w:val="en-GB"/>
        </w:rPr>
        <w:t xml:space="preserve"> </w:t>
      </w:r>
      <w:r w:rsidR="00A00304">
        <w:rPr>
          <w:rFonts w:cs="Arial"/>
          <w:bCs/>
          <w:szCs w:val="22"/>
          <w:lang w:val="en-GB"/>
        </w:rPr>
        <w:t>The delict</w:t>
      </w:r>
      <w:r w:rsidR="009F676E">
        <w:rPr>
          <w:rFonts w:cs="Arial"/>
          <w:bCs/>
          <w:szCs w:val="22"/>
          <w:lang w:val="en-GB"/>
        </w:rPr>
        <w:t xml:space="preserve"> i</w:t>
      </w:r>
      <w:r w:rsidR="00A00304">
        <w:rPr>
          <w:rFonts w:cs="Arial"/>
          <w:bCs/>
          <w:szCs w:val="22"/>
          <w:lang w:val="en-GB"/>
        </w:rPr>
        <w:t xml:space="preserve">s </w:t>
      </w:r>
      <w:r w:rsidR="0014048E">
        <w:rPr>
          <w:rFonts w:cs="Arial"/>
          <w:bCs/>
          <w:szCs w:val="22"/>
          <w:lang w:val="en-GB"/>
        </w:rPr>
        <w:t xml:space="preserve">alleged to have been </w:t>
      </w:r>
      <w:r w:rsidR="00B13150">
        <w:rPr>
          <w:rFonts w:cs="Arial"/>
          <w:bCs/>
          <w:szCs w:val="22"/>
          <w:lang w:val="en-GB"/>
        </w:rPr>
        <w:t>committed</w:t>
      </w:r>
      <w:r w:rsidR="0014048E">
        <w:rPr>
          <w:rFonts w:cs="Arial"/>
          <w:bCs/>
          <w:szCs w:val="22"/>
          <w:lang w:val="en-GB"/>
        </w:rPr>
        <w:t xml:space="preserve"> by members of the South African Police Service</w:t>
      </w:r>
      <w:r w:rsidR="00AA612A" w:rsidRPr="00AA612A">
        <w:rPr>
          <w:rFonts w:cs="Arial"/>
          <w:bCs/>
          <w:szCs w:val="22"/>
          <w:lang w:val="en-GB"/>
        </w:rPr>
        <w:t>.</w:t>
      </w:r>
      <w:r w:rsidR="003A361B">
        <w:rPr>
          <w:rStyle w:val="FootnoteReference"/>
          <w:rFonts w:cs="Arial"/>
          <w:bCs/>
          <w:szCs w:val="22"/>
          <w:lang w:val="en-GB"/>
        </w:rPr>
        <w:footnoteReference w:id="2"/>
      </w:r>
      <w:r w:rsidR="00555F54">
        <w:rPr>
          <w:rFonts w:cs="Arial"/>
          <w:bCs/>
          <w:szCs w:val="22"/>
          <w:lang w:val="en-GB"/>
        </w:rPr>
        <w:t xml:space="preserve"> </w:t>
      </w:r>
      <w:r w:rsidR="00555F54" w:rsidRPr="00555F54">
        <w:rPr>
          <w:rFonts w:cs="Arial"/>
          <w:bCs/>
          <w:szCs w:val="22"/>
          <w:lang w:val="en-GB"/>
        </w:rPr>
        <w:t xml:space="preserve">A second claim based on assault was </w:t>
      </w:r>
      <w:r w:rsidR="00555F54" w:rsidRPr="00555F54">
        <w:rPr>
          <w:rFonts w:cs="Arial"/>
          <w:bCs/>
          <w:szCs w:val="22"/>
          <w:lang w:val="en-GB"/>
        </w:rPr>
        <w:lastRenderedPageBreak/>
        <w:t xml:space="preserve">abandoned and correctly so as no factual allegations </w:t>
      </w:r>
      <w:r w:rsidR="00555F54">
        <w:rPr>
          <w:rFonts w:cs="Arial"/>
          <w:bCs/>
          <w:szCs w:val="22"/>
          <w:lang w:val="en-GB"/>
        </w:rPr>
        <w:t xml:space="preserve">of </w:t>
      </w:r>
      <w:r w:rsidR="00555F54" w:rsidRPr="00555F54">
        <w:rPr>
          <w:rFonts w:cs="Arial"/>
          <w:bCs/>
          <w:szCs w:val="22"/>
          <w:lang w:val="en-GB"/>
        </w:rPr>
        <w:t>assault were made in the particulars of claim.</w:t>
      </w:r>
      <w:r w:rsidR="00AA612A">
        <w:rPr>
          <w:rFonts w:cs="Arial"/>
          <w:bCs/>
          <w:szCs w:val="22"/>
          <w:lang w:val="en-GB"/>
        </w:rPr>
        <w:t xml:space="preserve"> </w:t>
      </w:r>
      <w:r w:rsidR="00527217" w:rsidRPr="00527217">
        <w:rPr>
          <w:rFonts w:cs="Arial"/>
          <w:bCs/>
          <w:szCs w:val="22"/>
          <w:lang w:val="en-GB"/>
        </w:rPr>
        <w:t xml:space="preserve">The parties were </w:t>
      </w:r>
      <w:r w:rsidR="00527217" w:rsidRPr="00B13150">
        <w:rPr>
          <w:rFonts w:cs="Arial"/>
          <w:bCs/>
          <w:i/>
          <w:iCs/>
          <w:szCs w:val="22"/>
          <w:lang w:val="en-GB"/>
        </w:rPr>
        <w:t>ad idem</w:t>
      </w:r>
      <w:r w:rsidR="00527217">
        <w:rPr>
          <w:rFonts w:cs="Arial"/>
          <w:bCs/>
          <w:szCs w:val="22"/>
          <w:lang w:val="en-GB"/>
        </w:rPr>
        <w:t xml:space="preserve"> </w:t>
      </w:r>
      <w:r w:rsidR="00527217" w:rsidRPr="00527217">
        <w:rPr>
          <w:rFonts w:cs="Arial"/>
          <w:bCs/>
          <w:szCs w:val="22"/>
          <w:lang w:val="en-GB"/>
        </w:rPr>
        <w:t>that the onus</w:t>
      </w:r>
      <w:r w:rsidR="00527217">
        <w:rPr>
          <w:rFonts w:cs="Arial"/>
          <w:bCs/>
          <w:szCs w:val="22"/>
          <w:lang w:val="en-GB"/>
        </w:rPr>
        <w:t xml:space="preserve"> </w:t>
      </w:r>
      <w:r w:rsidR="00527217" w:rsidRPr="00527217">
        <w:rPr>
          <w:rFonts w:cs="Arial"/>
          <w:bCs/>
          <w:szCs w:val="22"/>
          <w:lang w:val="en-GB"/>
        </w:rPr>
        <w:t>to prove that the arrest and detention</w:t>
      </w:r>
      <w:r w:rsidR="00527217">
        <w:rPr>
          <w:rFonts w:cs="Arial"/>
          <w:bCs/>
          <w:szCs w:val="22"/>
          <w:lang w:val="en-GB"/>
        </w:rPr>
        <w:t xml:space="preserve"> </w:t>
      </w:r>
      <w:r w:rsidR="00527217" w:rsidRPr="00527217">
        <w:rPr>
          <w:rFonts w:cs="Arial"/>
          <w:bCs/>
          <w:szCs w:val="22"/>
          <w:lang w:val="en-GB"/>
        </w:rPr>
        <w:t>were</w:t>
      </w:r>
      <w:r w:rsidR="00527217">
        <w:rPr>
          <w:rFonts w:cs="Arial"/>
          <w:bCs/>
          <w:szCs w:val="22"/>
          <w:lang w:val="en-GB"/>
        </w:rPr>
        <w:t xml:space="preserve"> </w:t>
      </w:r>
      <w:r w:rsidR="00527217" w:rsidRPr="00527217">
        <w:rPr>
          <w:rFonts w:cs="Arial"/>
          <w:bCs/>
          <w:szCs w:val="22"/>
          <w:lang w:val="en-GB"/>
        </w:rPr>
        <w:t>lawful was on the defendant and that the defendant would have the duty to begin.</w:t>
      </w:r>
    </w:p>
    <w:p w14:paraId="78E15960" w14:textId="00808084" w:rsidR="00555F54" w:rsidRPr="00555F54" w:rsidRDefault="00EA270B" w:rsidP="00EA270B">
      <w:pPr>
        <w:widowControl w:val="0"/>
        <w:tabs>
          <w:tab w:val="left" w:pos="567"/>
        </w:tabs>
        <w:spacing w:before="480" w:after="480" w:line="360" w:lineRule="auto"/>
        <w:jc w:val="both"/>
        <w:rPr>
          <w:rFonts w:cs="Arial"/>
          <w:bCs/>
          <w:szCs w:val="22"/>
        </w:rPr>
      </w:pPr>
      <w:r w:rsidRPr="00555F54">
        <w:rPr>
          <w:rFonts w:cs="Arial"/>
          <w:bCs/>
          <w:szCs w:val="22"/>
        </w:rPr>
        <w:t>[4]</w:t>
      </w:r>
      <w:r w:rsidRPr="00555F54">
        <w:rPr>
          <w:rFonts w:cs="Arial"/>
          <w:bCs/>
          <w:szCs w:val="22"/>
        </w:rPr>
        <w:tab/>
      </w:r>
      <w:r w:rsidR="00AA612A" w:rsidRPr="00AA612A">
        <w:rPr>
          <w:rFonts w:cs="Arial"/>
          <w:bCs/>
          <w:szCs w:val="22"/>
          <w:lang w:val="en-GB"/>
        </w:rPr>
        <w:t xml:space="preserve">It </w:t>
      </w:r>
      <w:r w:rsidR="0071153B">
        <w:rPr>
          <w:rFonts w:cs="Arial"/>
          <w:bCs/>
          <w:szCs w:val="22"/>
          <w:lang w:val="en-GB"/>
        </w:rPr>
        <w:t>was</w:t>
      </w:r>
      <w:r w:rsidR="00AA612A" w:rsidRPr="00AA612A">
        <w:rPr>
          <w:rFonts w:cs="Arial"/>
          <w:bCs/>
          <w:szCs w:val="22"/>
          <w:lang w:val="en-GB"/>
        </w:rPr>
        <w:t xml:space="preserve"> common cause that </w:t>
      </w:r>
    </w:p>
    <w:p w14:paraId="0CC24A92" w14:textId="0B380E12" w:rsidR="00555F54" w:rsidRPr="00555F54" w:rsidRDefault="00EA270B" w:rsidP="00EA270B">
      <w:pPr>
        <w:widowControl w:val="0"/>
        <w:tabs>
          <w:tab w:val="left" w:pos="1418"/>
        </w:tabs>
        <w:spacing w:before="480" w:after="480" w:line="360" w:lineRule="auto"/>
        <w:ind w:left="1418" w:hanging="851"/>
        <w:jc w:val="both"/>
        <w:rPr>
          <w:rFonts w:cs="Arial"/>
          <w:bCs/>
          <w:szCs w:val="22"/>
        </w:rPr>
      </w:pPr>
      <w:r w:rsidRPr="00555F54">
        <w:rPr>
          <w:rFonts w:cs="Arial"/>
          <w:bCs/>
          <w:szCs w:val="22"/>
        </w:rPr>
        <w:t>4.1</w:t>
      </w:r>
      <w:r w:rsidRPr="00555F54">
        <w:rPr>
          <w:rFonts w:cs="Arial"/>
          <w:bCs/>
          <w:szCs w:val="22"/>
        </w:rPr>
        <w:tab/>
      </w:r>
      <w:r w:rsidR="00AA612A" w:rsidRPr="00AA612A">
        <w:rPr>
          <w:rFonts w:cs="Arial"/>
          <w:bCs/>
          <w:szCs w:val="22"/>
          <w:lang w:val="en-GB"/>
        </w:rPr>
        <w:t>the plaintiff was arrested by members of the South African Police Service</w:t>
      </w:r>
      <w:r w:rsidR="00AA612A">
        <w:rPr>
          <w:rFonts w:cs="Arial"/>
          <w:bCs/>
          <w:szCs w:val="22"/>
          <w:lang w:val="en-GB"/>
        </w:rPr>
        <w:t xml:space="preserve"> </w:t>
      </w:r>
      <w:r w:rsidR="004716B0">
        <w:rPr>
          <w:rFonts w:cs="Arial"/>
          <w:bCs/>
          <w:szCs w:val="22"/>
          <w:lang w:val="en-GB"/>
        </w:rPr>
        <w:t>acting within the course and scope of their duties</w:t>
      </w:r>
      <w:r w:rsidR="004716B0" w:rsidRPr="00AA612A">
        <w:rPr>
          <w:rFonts w:cs="Arial"/>
          <w:bCs/>
          <w:szCs w:val="22"/>
          <w:lang w:val="en-GB"/>
        </w:rPr>
        <w:t xml:space="preserve"> </w:t>
      </w:r>
      <w:r w:rsidR="00AA612A" w:rsidRPr="00AA612A">
        <w:rPr>
          <w:rFonts w:cs="Arial"/>
          <w:bCs/>
          <w:szCs w:val="22"/>
          <w:lang w:val="en-GB"/>
        </w:rPr>
        <w:t>on</w:t>
      </w:r>
      <w:r w:rsidR="00AA612A">
        <w:rPr>
          <w:rFonts w:cs="Arial"/>
          <w:bCs/>
          <w:szCs w:val="22"/>
          <w:lang w:val="en-GB"/>
        </w:rPr>
        <w:t xml:space="preserve"> </w:t>
      </w:r>
      <w:r w:rsidR="00AA612A" w:rsidRPr="00AA612A">
        <w:rPr>
          <w:rFonts w:cs="Arial"/>
          <w:bCs/>
          <w:szCs w:val="22"/>
          <w:lang w:val="en-GB"/>
        </w:rPr>
        <w:t xml:space="preserve">19 </w:t>
      </w:r>
      <w:r w:rsidR="009D5ED2">
        <w:rPr>
          <w:rFonts w:cs="Arial"/>
          <w:bCs/>
          <w:szCs w:val="22"/>
          <w:lang w:val="en-GB"/>
        </w:rPr>
        <w:t>January</w:t>
      </w:r>
      <w:r w:rsidR="00555F54">
        <w:rPr>
          <w:rFonts w:cs="Arial"/>
          <w:bCs/>
          <w:szCs w:val="22"/>
          <w:lang w:val="en-GB"/>
        </w:rPr>
        <w:t xml:space="preserve"> </w:t>
      </w:r>
      <w:r w:rsidR="00AA612A" w:rsidRPr="00AA612A">
        <w:rPr>
          <w:rFonts w:cs="Arial"/>
          <w:bCs/>
          <w:szCs w:val="22"/>
          <w:lang w:val="en-GB"/>
        </w:rPr>
        <w:t xml:space="preserve">2015 </w:t>
      </w:r>
      <w:r w:rsidR="00555F54" w:rsidRPr="00555F54">
        <w:rPr>
          <w:rFonts w:cs="Arial"/>
          <w:bCs/>
          <w:szCs w:val="22"/>
          <w:lang w:val="en-GB"/>
        </w:rPr>
        <w:t xml:space="preserve">at approximately 15 minutes past </w:t>
      </w:r>
      <w:r w:rsidR="00555F54">
        <w:rPr>
          <w:rFonts w:cs="Arial"/>
          <w:bCs/>
          <w:szCs w:val="22"/>
          <w:lang w:val="en-GB"/>
        </w:rPr>
        <w:t xml:space="preserve">five o’clock </w:t>
      </w:r>
      <w:r w:rsidR="00555F54" w:rsidRPr="00555F54">
        <w:rPr>
          <w:rFonts w:cs="Arial"/>
          <w:bCs/>
          <w:szCs w:val="22"/>
          <w:lang w:val="en-GB"/>
        </w:rPr>
        <w:t>in the afternoon</w:t>
      </w:r>
      <w:r w:rsidR="00555F54">
        <w:rPr>
          <w:rFonts w:cs="Arial"/>
          <w:bCs/>
          <w:szCs w:val="22"/>
          <w:lang w:val="en-GB"/>
        </w:rPr>
        <w:t xml:space="preserve"> </w:t>
      </w:r>
      <w:r w:rsidR="00AA612A" w:rsidRPr="00AA612A">
        <w:rPr>
          <w:rFonts w:cs="Arial"/>
          <w:bCs/>
          <w:szCs w:val="22"/>
          <w:lang w:val="en-GB"/>
        </w:rPr>
        <w:t>on a charge of</w:t>
      </w:r>
      <w:r w:rsidR="00AA612A">
        <w:rPr>
          <w:rFonts w:cs="Arial"/>
          <w:bCs/>
          <w:szCs w:val="22"/>
          <w:lang w:val="en-GB"/>
        </w:rPr>
        <w:t xml:space="preserve"> </w:t>
      </w:r>
      <w:r w:rsidR="00AA612A" w:rsidRPr="003C083B">
        <w:rPr>
          <w:rFonts w:cs="Arial"/>
          <w:bCs/>
          <w:i/>
          <w:iCs/>
          <w:szCs w:val="22"/>
          <w:lang w:val="en-GB"/>
        </w:rPr>
        <w:t>“possession of drugs”</w:t>
      </w:r>
      <w:r w:rsidR="00AA612A">
        <w:rPr>
          <w:rFonts w:cs="Arial"/>
          <w:bCs/>
          <w:szCs w:val="22"/>
          <w:lang w:val="en-GB"/>
        </w:rPr>
        <w:t xml:space="preserve"> </w:t>
      </w:r>
      <w:r w:rsidR="00555F54" w:rsidRPr="00555F54">
        <w:rPr>
          <w:rFonts w:cs="Arial"/>
          <w:bCs/>
          <w:szCs w:val="22"/>
          <w:lang w:val="en-GB"/>
        </w:rPr>
        <w:t>under the Drugs And Drugs Trafficking Act</w:t>
      </w:r>
      <w:r w:rsidR="00555F54">
        <w:rPr>
          <w:rFonts w:cs="Arial"/>
          <w:bCs/>
          <w:szCs w:val="22"/>
          <w:lang w:val="en-GB"/>
        </w:rPr>
        <w:t xml:space="preserve">, </w:t>
      </w:r>
      <w:r w:rsidR="00555F54" w:rsidRPr="00555F54">
        <w:rPr>
          <w:rFonts w:cs="Arial"/>
          <w:bCs/>
          <w:szCs w:val="22"/>
          <w:lang w:val="en-GB"/>
        </w:rPr>
        <w:t>140 of 1992</w:t>
      </w:r>
      <w:r w:rsidR="00555F54">
        <w:rPr>
          <w:rFonts w:cs="Arial"/>
          <w:bCs/>
          <w:szCs w:val="22"/>
          <w:lang w:val="en-GB"/>
        </w:rPr>
        <w:t>,</w:t>
      </w:r>
      <w:r w:rsidR="007815E0">
        <w:rPr>
          <w:rStyle w:val="FootnoteReference"/>
          <w:rFonts w:cs="Arial"/>
          <w:bCs/>
          <w:szCs w:val="22"/>
          <w:lang w:val="en-GB"/>
        </w:rPr>
        <w:footnoteReference w:id="3"/>
      </w:r>
      <w:r w:rsidR="00555F54">
        <w:rPr>
          <w:rFonts w:cs="Arial"/>
          <w:bCs/>
          <w:szCs w:val="22"/>
          <w:lang w:val="en-GB"/>
        </w:rPr>
        <w:t xml:space="preserve"> </w:t>
      </w:r>
      <w:r w:rsidR="00555F54" w:rsidRPr="00555F54">
        <w:rPr>
          <w:rFonts w:cs="Arial"/>
          <w:bCs/>
          <w:szCs w:val="22"/>
          <w:lang w:val="en-GB"/>
        </w:rPr>
        <w:t>and</w:t>
      </w:r>
      <w:r w:rsidR="00555F54">
        <w:rPr>
          <w:rFonts w:cs="Arial"/>
          <w:bCs/>
          <w:szCs w:val="22"/>
          <w:lang w:val="en-GB"/>
        </w:rPr>
        <w:t xml:space="preserve"> </w:t>
      </w:r>
      <w:r w:rsidR="00555F54" w:rsidRPr="00555F54">
        <w:rPr>
          <w:rFonts w:cs="Arial"/>
          <w:bCs/>
          <w:szCs w:val="22"/>
          <w:lang w:val="en-GB"/>
        </w:rPr>
        <w:t xml:space="preserve">he was released the next day at approximately </w:t>
      </w:r>
      <w:r w:rsidR="00555F54">
        <w:rPr>
          <w:rFonts w:cs="Arial"/>
          <w:bCs/>
          <w:szCs w:val="22"/>
          <w:lang w:val="en-GB"/>
        </w:rPr>
        <w:t>half past three o’clock in the afternoon;</w:t>
      </w:r>
    </w:p>
    <w:p w14:paraId="7FBAF97B" w14:textId="6DEF2A56" w:rsidR="00555F54" w:rsidRPr="00555F54" w:rsidRDefault="00EA270B" w:rsidP="00EA270B">
      <w:pPr>
        <w:widowControl w:val="0"/>
        <w:tabs>
          <w:tab w:val="left" w:pos="1418"/>
        </w:tabs>
        <w:spacing w:before="480" w:after="480" w:line="360" w:lineRule="auto"/>
        <w:ind w:left="1418" w:hanging="851"/>
        <w:jc w:val="both"/>
        <w:rPr>
          <w:rFonts w:cs="Arial"/>
          <w:bCs/>
          <w:szCs w:val="22"/>
        </w:rPr>
      </w:pPr>
      <w:r w:rsidRPr="00555F54">
        <w:rPr>
          <w:rFonts w:cs="Arial"/>
          <w:bCs/>
          <w:szCs w:val="22"/>
        </w:rPr>
        <w:t>4.2</w:t>
      </w:r>
      <w:r w:rsidRPr="00555F54">
        <w:rPr>
          <w:rFonts w:cs="Arial"/>
          <w:bCs/>
          <w:szCs w:val="22"/>
        </w:rPr>
        <w:tab/>
      </w:r>
      <w:r w:rsidR="00555F54">
        <w:rPr>
          <w:rFonts w:cs="Arial"/>
          <w:bCs/>
          <w:szCs w:val="22"/>
          <w:lang w:val="en-GB"/>
        </w:rPr>
        <w:t>t</w:t>
      </w:r>
      <w:r w:rsidR="00555F54" w:rsidRPr="00555F54">
        <w:rPr>
          <w:rFonts w:cs="Arial"/>
          <w:bCs/>
          <w:szCs w:val="22"/>
          <w:lang w:val="en-GB"/>
        </w:rPr>
        <w:t xml:space="preserve">he officers were patrolling in a marked police vehicle on the </w:t>
      </w:r>
      <w:r w:rsidR="003A361B">
        <w:rPr>
          <w:rFonts w:cs="Arial"/>
          <w:bCs/>
          <w:szCs w:val="22"/>
          <w:lang w:val="en-GB"/>
        </w:rPr>
        <w:t>K4</w:t>
      </w:r>
      <w:r w:rsidR="00F24C53">
        <w:rPr>
          <w:rFonts w:cs="Arial"/>
          <w:bCs/>
          <w:szCs w:val="22"/>
          <w:lang w:val="en-GB"/>
        </w:rPr>
        <w:t>3</w:t>
      </w:r>
      <w:r w:rsidR="00555F54">
        <w:rPr>
          <w:rFonts w:cs="Arial"/>
          <w:bCs/>
          <w:szCs w:val="22"/>
          <w:lang w:val="en-GB"/>
        </w:rPr>
        <w:t xml:space="preserve"> road </w:t>
      </w:r>
      <w:r w:rsidR="00555F54" w:rsidRPr="00555F54">
        <w:rPr>
          <w:rFonts w:cs="Arial"/>
          <w:bCs/>
          <w:szCs w:val="22"/>
          <w:lang w:val="en-GB"/>
        </w:rPr>
        <w:t>in</w:t>
      </w:r>
      <w:r w:rsidR="00555F54">
        <w:rPr>
          <w:rFonts w:cs="Arial"/>
          <w:bCs/>
          <w:szCs w:val="22"/>
          <w:lang w:val="en-GB"/>
        </w:rPr>
        <w:t xml:space="preserve"> Klipspruit West </w:t>
      </w:r>
      <w:r w:rsidR="0075063B" w:rsidRPr="0075063B">
        <w:rPr>
          <w:rFonts w:cs="Arial"/>
          <w:bCs/>
          <w:szCs w:val="22"/>
          <w:lang w:val="en-GB"/>
        </w:rPr>
        <w:t>In the vicinity of a bridge on the boundary between</w:t>
      </w:r>
      <w:r w:rsidR="0075063B">
        <w:rPr>
          <w:rFonts w:cs="Arial"/>
          <w:bCs/>
          <w:szCs w:val="22"/>
          <w:lang w:val="en-GB"/>
        </w:rPr>
        <w:t xml:space="preserve"> Klipspruit and Eldorado Park </w:t>
      </w:r>
      <w:r w:rsidR="00555F54" w:rsidRPr="00555F54">
        <w:rPr>
          <w:rFonts w:cs="Arial"/>
          <w:bCs/>
          <w:szCs w:val="22"/>
          <w:lang w:val="en-GB"/>
        </w:rPr>
        <w:t>when they encountered the plaintiff walking on the shoulder of the road</w:t>
      </w:r>
      <w:r w:rsidR="00555F54">
        <w:rPr>
          <w:rFonts w:cs="Arial"/>
          <w:bCs/>
          <w:szCs w:val="22"/>
          <w:lang w:val="en-GB"/>
        </w:rPr>
        <w:t xml:space="preserve"> </w:t>
      </w:r>
      <w:r w:rsidR="00555F54" w:rsidRPr="00555F54">
        <w:rPr>
          <w:rFonts w:cs="Arial"/>
          <w:bCs/>
          <w:szCs w:val="22"/>
          <w:lang w:val="en-GB"/>
        </w:rPr>
        <w:t xml:space="preserve">and </w:t>
      </w:r>
      <w:r w:rsidR="00555F54">
        <w:rPr>
          <w:rFonts w:cs="Arial"/>
          <w:bCs/>
          <w:szCs w:val="22"/>
          <w:lang w:val="en-GB"/>
        </w:rPr>
        <w:t xml:space="preserve">Constable (now </w:t>
      </w:r>
      <w:r w:rsidR="009D5ED2">
        <w:rPr>
          <w:rFonts w:cs="Arial"/>
          <w:bCs/>
          <w:szCs w:val="22"/>
          <w:lang w:val="en-GB"/>
        </w:rPr>
        <w:t xml:space="preserve">Detective </w:t>
      </w:r>
      <w:r w:rsidR="00AC2999">
        <w:rPr>
          <w:rFonts w:cs="Arial"/>
          <w:bCs/>
          <w:szCs w:val="22"/>
          <w:lang w:val="en-GB"/>
        </w:rPr>
        <w:t>Sergeant</w:t>
      </w:r>
      <w:r w:rsidR="00555F54">
        <w:rPr>
          <w:rFonts w:cs="Arial"/>
          <w:bCs/>
          <w:szCs w:val="22"/>
          <w:lang w:val="en-GB"/>
        </w:rPr>
        <w:t xml:space="preserve">) Nkosi </w:t>
      </w:r>
      <w:r w:rsidR="00555F54" w:rsidRPr="00555F54">
        <w:rPr>
          <w:rFonts w:cs="Arial"/>
          <w:bCs/>
          <w:szCs w:val="22"/>
          <w:lang w:val="en-GB"/>
        </w:rPr>
        <w:t>was the driver of</w:t>
      </w:r>
      <w:r w:rsidR="00555F54">
        <w:rPr>
          <w:rFonts w:cs="Arial"/>
          <w:bCs/>
          <w:szCs w:val="22"/>
          <w:lang w:val="en-GB"/>
        </w:rPr>
        <w:t xml:space="preserve"> </w:t>
      </w:r>
      <w:r w:rsidR="00555F54" w:rsidRPr="00555F54">
        <w:rPr>
          <w:rFonts w:cs="Arial"/>
          <w:bCs/>
          <w:szCs w:val="22"/>
          <w:lang w:val="en-GB"/>
        </w:rPr>
        <w:t>the police vehicle</w:t>
      </w:r>
      <w:r w:rsidR="00555F54">
        <w:rPr>
          <w:rFonts w:cs="Arial"/>
          <w:bCs/>
          <w:szCs w:val="22"/>
          <w:lang w:val="en-GB"/>
        </w:rPr>
        <w:t>.</w:t>
      </w:r>
    </w:p>
    <w:p w14:paraId="4D5AC815" w14:textId="6D298C10" w:rsidR="009D5ED2" w:rsidRPr="002459F6" w:rsidRDefault="00EA270B" w:rsidP="00EA270B">
      <w:pPr>
        <w:widowControl w:val="0"/>
        <w:tabs>
          <w:tab w:val="left" w:pos="567"/>
        </w:tabs>
        <w:spacing w:before="480" w:after="480" w:line="360" w:lineRule="auto"/>
        <w:jc w:val="both"/>
        <w:rPr>
          <w:rFonts w:cs="Arial"/>
          <w:bCs/>
          <w:szCs w:val="22"/>
        </w:rPr>
      </w:pPr>
      <w:r w:rsidRPr="002459F6">
        <w:rPr>
          <w:rFonts w:cs="Arial"/>
          <w:bCs/>
          <w:szCs w:val="22"/>
        </w:rPr>
        <w:t>[5]</w:t>
      </w:r>
      <w:r w:rsidRPr="002459F6">
        <w:rPr>
          <w:rFonts w:cs="Arial"/>
          <w:bCs/>
          <w:szCs w:val="22"/>
        </w:rPr>
        <w:tab/>
      </w:r>
      <w:r w:rsidR="009D5ED2" w:rsidRPr="009D5ED2">
        <w:rPr>
          <w:rFonts w:cs="Arial"/>
          <w:bCs/>
          <w:szCs w:val="22"/>
          <w:lang w:val="en-GB"/>
        </w:rPr>
        <w:t>The plaintiff denied that he was in possession of drugs and that he was arrested by the police officer who was behind the steering wheel of the police vehicle</w:t>
      </w:r>
      <w:r w:rsidR="0071153B">
        <w:rPr>
          <w:rFonts w:cs="Arial"/>
          <w:bCs/>
          <w:szCs w:val="22"/>
          <w:lang w:val="en-GB"/>
        </w:rPr>
        <w:t xml:space="preserve"> as testified by the defendant’s witnesses</w:t>
      </w:r>
      <w:r w:rsidR="009D5ED2" w:rsidRPr="009D5ED2">
        <w:rPr>
          <w:rFonts w:cs="Arial"/>
          <w:bCs/>
          <w:szCs w:val="22"/>
          <w:lang w:val="en-GB"/>
        </w:rPr>
        <w:t>. His evidence was that th</w:t>
      </w:r>
      <w:r w:rsidR="0071153B">
        <w:rPr>
          <w:rFonts w:cs="Arial"/>
          <w:bCs/>
          <w:szCs w:val="22"/>
          <w:lang w:val="en-GB"/>
        </w:rPr>
        <w:t>ere</w:t>
      </w:r>
      <w:r w:rsidR="009D5ED2" w:rsidRPr="009D5ED2">
        <w:rPr>
          <w:rFonts w:cs="Arial"/>
          <w:bCs/>
          <w:szCs w:val="22"/>
          <w:lang w:val="en-GB"/>
        </w:rPr>
        <w:t xml:space="preserve"> were three policemen in the vehicle and the one who arrested him was not the driver.</w:t>
      </w:r>
    </w:p>
    <w:p w14:paraId="01C4D675" w14:textId="5F62D245" w:rsidR="002459F6" w:rsidRPr="009D5ED2" w:rsidRDefault="00EA270B" w:rsidP="00EA270B">
      <w:pPr>
        <w:widowControl w:val="0"/>
        <w:tabs>
          <w:tab w:val="left" w:pos="567"/>
        </w:tabs>
        <w:spacing w:before="480" w:after="480" w:line="360" w:lineRule="auto"/>
        <w:jc w:val="both"/>
        <w:rPr>
          <w:rFonts w:cs="Arial"/>
          <w:bCs/>
          <w:szCs w:val="22"/>
        </w:rPr>
      </w:pPr>
      <w:r w:rsidRPr="009D5ED2">
        <w:rPr>
          <w:rFonts w:cs="Arial"/>
          <w:bCs/>
          <w:szCs w:val="22"/>
        </w:rPr>
        <w:t>[6]</w:t>
      </w:r>
      <w:r w:rsidRPr="009D5ED2">
        <w:rPr>
          <w:rFonts w:cs="Arial"/>
          <w:bCs/>
          <w:szCs w:val="22"/>
        </w:rPr>
        <w:tab/>
      </w:r>
      <w:r w:rsidR="002459F6">
        <w:rPr>
          <w:lang w:val="en-GB"/>
        </w:rPr>
        <w:t>I</w:t>
      </w:r>
      <w:r w:rsidR="004716B0">
        <w:rPr>
          <w:lang w:val="en-GB"/>
        </w:rPr>
        <w:t xml:space="preserve"> was advised that </w:t>
      </w:r>
      <w:r w:rsidR="002459F6">
        <w:rPr>
          <w:lang w:val="en-GB"/>
        </w:rPr>
        <w:t xml:space="preserve">had been agreed at </w:t>
      </w:r>
      <w:r w:rsidR="004716B0">
        <w:rPr>
          <w:lang w:val="en-GB"/>
        </w:rPr>
        <w:t>a</w:t>
      </w:r>
      <w:r w:rsidR="002459F6">
        <w:rPr>
          <w:lang w:val="en-GB"/>
        </w:rPr>
        <w:t xml:space="preserve"> pretrial conference that documents in the bundle were what they purported to be without admission of the contents. In the judgment I only t</w:t>
      </w:r>
      <w:r w:rsidR="004716B0">
        <w:rPr>
          <w:lang w:val="en-GB"/>
        </w:rPr>
        <w:t>ake</w:t>
      </w:r>
      <w:r w:rsidR="002459F6">
        <w:rPr>
          <w:lang w:val="en-GB"/>
        </w:rPr>
        <w:t xml:space="preserve"> account of the documents referred to in evidence.</w:t>
      </w:r>
    </w:p>
    <w:p w14:paraId="2C4B2C88" w14:textId="77777777" w:rsidR="005B36E7" w:rsidRDefault="005B36E7" w:rsidP="005B36E7">
      <w:pPr>
        <w:widowControl w:val="0"/>
        <w:spacing w:before="480" w:after="480" w:line="360" w:lineRule="auto"/>
        <w:jc w:val="both"/>
        <w:rPr>
          <w:rFonts w:cs="Arial"/>
          <w:bCs/>
          <w:szCs w:val="22"/>
          <w:u w:val="single"/>
        </w:rPr>
      </w:pPr>
    </w:p>
    <w:p w14:paraId="1FB6913E" w14:textId="75612EBE" w:rsidR="005B36E7" w:rsidRPr="005B36E7" w:rsidRDefault="005B36E7" w:rsidP="003C083B">
      <w:pPr>
        <w:keepNext/>
        <w:widowControl w:val="0"/>
        <w:spacing w:before="480" w:after="480" w:line="360" w:lineRule="auto"/>
        <w:jc w:val="both"/>
        <w:rPr>
          <w:rFonts w:cs="Arial"/>
          <w:bCs/>
          <w:szCs w:val="22"/>
          <w:u w:val="single"/>
        </w:rPr>
      </w:pPr>
      <w:r w:rsidRPr="005B36E7">
        <w:rPr>
          <w:rFonts w:cs="Arial"/>
          <w:bCs/>
          <w:szCs w:val="22"/>
          <w:u w:val="single"/>
        </w:rPr>
        <w:lastRenderedPageBreak/>
        <w:t>The defendant’s witnesses</w:t>
      </w:r>
    </w:p>
    <w:p w14:paraId="51613129" w14:textId="0DCBD2CE" w:rsidR="009241B5" w:rsidRPr="009241B5" w:rsidRDefault="00EA270B" w:rsidP="00EA270B">
      <w:pPr>
        <w:keepNext/>
        <w:widowControl w:val="0"/>
        <w:tabs>
          <w:tab w:val="left" w:pos="567"/>
        </w:tabs>
        <w:spacing w:before="480" w:after="480" w:line="360" w:lineRule="auto"/>
        <w:jc w:val="both"/>
        <w:rPr>
          <w:rFonts w:cs="Arial"/>
          <w:bCs/>
          <w:szCs w:val="22"/>
        </w:rPr>
      </w:pPr>
      <w:r w:rsidRPr="009241B5">
        <w:rPr>
          <w:rFonts w:cs="Arial"/>
          <w:bCs/>
          <w:szCs w:val="22"/>
        </w:rPr>
        <w:t>[7]</w:t>
      </w:r>
      <w:r w:rsidRPr="009241B5">
        <w:rPr>
          <w:rFonts w:cs="Arial"/>
          <w:bCs/>
          <w:szCs w:val="22"/>
        </w:rPr>
        <w:tab/>
      </w:r>
      <w:r w:rsidR="009D5ED2" w:rsidRPr="009D5ED2">
        <w:rPr>
          <w:rFonts w:cs="Arial"/>
          <w:bCs/>
          <w:szCs w:val="22"/>
          <w:lang w:val="en-GB"/>
        </w:rPr>
        <w:t xml:space="preserve">The defendant called </w:t>
      </w:r>
      <w:r w:rsidR="00A90CFE">
        <w:rPr>
          <w:rFonts w:cs="Arial"/>
          <w:bCs/>
          <w:szCs w:val="22"/>
          <w:lang w:val="en-GB"/>
        </w:rPr>
        <w:t>three</w:t>
      </w:r>
      <w:r w:rsidR="009D5ED2" w:rsidRPr="009D5ED2">
        <w:rPr>
          <w:rFonts w:cs="Arial"/>
          <w:bCs/>
          <w:szCs w:val="22"/>
          <w:lang w:val="en-GB"/>
        </w:rPr>
        <w:t xml:space="preserve"> police officers to testify.</w:t>
      </w:r>
      <w:r w:rsidR="009D5ED2">
        <w:rPr>
          <w:rFonts w:cs="Arial"/>
          <w:bCs/>
          <w:szCs w:val="22"/>
          <w:lang w:val="en-GB"/>
        </w:rPr>
        <w:t xml:space="preserve"> </w:t>
      </w:r>
      <w:r w:rsidR="009D5ED2" w:rsidRPr="009D5ED2">
        <w:rPr>
          <w:rFonts w:cs="Arial"/>
          <w:bCs/>
          <w:szCs w:val="22"/>
          <w:lang w:val="en-GB"/>
        </w:rPr>
        <w:t xml:space="preserve">They </w:t>
      </w:r>
      <w:r w:rsidR="0014048E">
        <w:rPr>
          <w:rFonts w:cs="Arial"/>
          <w:bCs/>
          <w:szCs w:val="22"/>
          <w:lang w:val="en-GB"/>
        </w:rPr>
        <w:t>were</w:t>
      </w:r>
      <w:r w:rsidR="009D5ED2">
        <w:rPr>
          <w:rFonts w:cs="Arial"/>
          <w:bCs/>
          <w:szCs w:val="22"/>
          <w:lang w:val="en-GB"/>
        </w:rPr>
        <w:t xml:space="preserve"> Sgt (then Constable) </w:t>
      </w:r>
      <w:r w:rsidR="00527217">
        <w:rPr>
          <w:rFonts w:cs="Arial"/>
          <w:bCs/>
          <w:szCs w:val="22"/>
          <w:lang w:val="en-GB"/>
        </w:rPr>
        <w:t xml:space="preserve">Mduduzi </w:t>
      </w:r>
      <w:r w:rsidR="009D5ED2">
        <w:rPr>
          <w:rFonts w:cs="Arial"/>
          <w:bCs/>
          <w:szCs w:val="22"/>
          <w:lang w:val="en-GB"/>
        </w:rPr>
        <w:t>Nkosi</w:t>
      </w:r>
      <w:r w:rsidR="00527217">
        <w:rPr>
          <w:rFonts w:cs="Arial"/>
          <w:bCs/>
          <w:szCs w:val="22"/>
          <w:lang w:val="en-GB"/>
        </w:rPr>
        <w:t>,</w:t>
      </w:r>
      <w:r w:rsidR="009D5ED2">
        <w:rPr>
          <w:rFonts w:cs="Arial"/>
          <w:bCs/>
          <w:szCs w:val="22"/>
          <w:lang w:val="en-GB"/>
        </w:rPr>
        <w:t xml:space="preserve"> </w:t>
      </w:r>
      <w:r w:rsidR="00527217">
        <w:rPr>
          <w:rFonts w:cs="Arial"/>
          <w:bCs/>
          <w:szCs w:val="22"/>
          <w:lang w:val="en-GB"/>
        </w:rPr>
        <w:t>S</w:t>
      </w:r>
      <w:r w:rsidR="009D5ED2">
        <w:rPr>
          <w:rFonts w:cs="Arial"/>
          <w:bCs/>
          <w:szCs w:val="22"/>
          <w:lang w:val="en-GB"/>
        </w:rPr>
        <w:t>gt (then Constable) Malulek</w:t>
      </w:r>
      <w:r w:rsidR="004716B0">
        <w:rPr>
          <w:rFonts w:cs="Arial"/>
          <w:bCs/>
          <w:szCs w:val="22"/>
          <w:lang w:val="en-GB"/>
        </w:rPr>
        <w:t>e</w:t>
      </w:r>
      <w:r w:rsidR="00A90CFE">
        <w:rPr>
          <w:rFonts w:cs="Arial"/>
          <w:bCs/>
          <w:szCs w:val="22"/>
          <w:lang w:val="en-GB"/>
        </w:rPr>
        <w:t xml:space="preserve"> and </w:t>
      </w:r>
      <w:r w:rsidR="009241B5">
        <w:rPr>
          <w:rFonts w:cs="Arial"/>
          <w:bCs/>
          <w:szCs w:val="22"/>
          <w:lang w:val="en-GB"/>
        </w:rPr>
        <w:t xml:space="preserve">Warrant Officer </w:t>
      </w:r>
      <w:r w:rsidR="00527217">
        <w:rPr>
          <w:rFonts w:cs="Arial"/>
          <w:bCs/>
          <w:szCs w:val="22"/>
          <w:lang w:val="en-GB"/>
        </w:rPr>
        <w:t xml:space="preserve">Shadrack </w:t>
      </w:r>
      <w:r w:rsidR="009241B5">
        <w:rPr>
          <w:rFonts w:cs="Arial"/>
          <w:bCs/>
          <w:szCs w:val="22"/>
          <w:lang w:val="en-GB"/>
        </w:rPr>
        <w:t>Hlongwane</w:t>
      </w:r>
      <w:r w:rsidR="009D5ED2">
        <w:rPr>
          <w:rFonts w:cs="Arial"/>
          <w:bCs/>
          <w:szCs w:val="22"/>
          <w:lang w:val="en-GB"/>
        </w:rPr>
        <w:t>.</w:t>
      </w:r>
      <w:r w:rsidR="00700C2B">
        <w:rPr>
          <w:rFonts w:cs="Arial"/>
          <w:bCs/>
          <w:szCs w:val="22"/>
          <w:lang w:val="en-GB"/>
        </w:rPr>
        <w:t xml:space="preserve"> </w:t>
      </w:r>
    </w:p>
    <w:p w14:paraId="6D59FE4A" w14:textId="50CE1A17" w:rsidR="009D5ED2" w:rsidRPr="009D5ED2" w:rsidRDefault="00EA270B" w:rsidP="00EA270B">
      <w:pPr>
        <w:widowControl w:val="0"/>
        <w:tabs>
          <w:tab w:val="left" w:pos="567"/>
        </w:tabs>
        <w:spacing w:before="480" w:after="480" w:line="360" w:lineRule="auto"/>
        <w:jc w:val="both"/>
        <w:rPr>
          <w:rFonts w:cs="Arial"/>
          <w:bCs/>
          <w:szCs w:val="22"/>
        </w:rPr>
      </w:pPr>
      <w:r w:rsidRPr="009D5ED2">
        <w:rPr>
          <w:rFonts w:cs="Arial"/>
          <w:bCs/>
          <w:szCs w:val="22"/>
        </w:rPr>
        <w:t>[8]</w:t>
      </w:r>
      <w:r w:rsidRPr="009D5ED2">
        <w:rPr>
          <w:rFonts w:cs="Arial"/>
          <w:bCs/>
          <w:szCs w:val="22"/>
        </w:rPr>
        <w:tab/>
      </w:r>
      <w:r w:rsidR="00700C2B" w:rsidRPr="00700C2B">
        <w:rPr>
          <w:rFonts w:cs="Arial"/>
          <w:bCs/>
          <w:szCs w:val="22"/>
          <w:lang w:val="en-GB"/>
        </w:rPr>
        <w:t xml:space="preserve">The investigating </w:t>
      </w:r>
      <w:r w:rsidR="00700C2B">
        <w:rPr>
          <w:rFonts w:cs="Arial"/>
          <w:bCs/>
          <w:szCs w:val="22"/>
          <w:lang w:val="en-GB"/>
        </w:rPr>
        <w:t>officer, Const</w:t>
      </w:r>
      <w:r w:rsidR="00102B03">
        <w:rPr>
          <w:rFonts w:cs="Arial"/>
          <w:bCs/>
          <w:szCs w:val="22"/>
          <w:lang w:val="en-GB"/>
        </w:rPr>
        <w:t>able</w:t>
      </w:r>
      <w:r w:rsidR="00700C2B">
        <w:rPr>
          <w:rFonts w:cs="Arial"/>
          <w:bCs/>
          <w:szCs w:val="22"/>
          <w:lang w:val="en-GB"/>
        </w:rPr>
        <w:t xml:space="preserve"> Mkhawana, </w:t>
      </w:r>
      <w:r w:rsidR="00700C2B" w:rsidRPr="00700C2B">
        <w:rPr>
          <w:rFonts w:cs="Arial"/>
          <w:bCs/>
          <w:szCs w:val="22"/>
          <w:lang w:val="en-GB"/>
        </w:rPr>
        <w:t>was not called to testify nor was the failure to call this witness explained</w:t>
      </w:r>
      <w:r w:rsidR="004C21C1">
        <w:rPr>
          <w:rFonts w:cs="Arial"/>
          <w:bCs/>
          <w:szCs w:val="22"/>
          <w:lang w:val="en-GB"/>
        </w:rPr>
        <w:t xml:space="preserve"> until after the close of both parties’ cases.</w:t>
      </w:r>
    </w:p>
    <w:p w14:paraId="65DB133C" w14:textId="3D9323B8" w:rsidR="00B35EFB" w:rsidRDefault="00EA270B" w:rsidP="00EA270B">
      <w:pPr>
        <w:widowControl w:val="0"/>
        <w:tabs>
          <w:tab w:val="left" w:pos="567"/>
        </w:tabs>
        <w:spacing w:before="480" w:after="480" w:line="360" w:lineRule="auto"/>
        <w:jc w:val="both"/>
        <w:rPr>
          <w:rFonts w:cs="Arial"/>
          <w:bCs/>
          <w:szCs w:val="22"/>
        </w:rPr>
      </w:pPr>
      <w:r>
        <w:rPr>
          <w:rFonts w:cs="Arial"/>
          <w:bCs/>
          <w:szCs w:val="22"/>
        </w:rPr>
        <w:t>[9]</w:t>
      </w:r>
      <w:r>
        <w:rPr>
          <w:rFonts w:cs="Arial"/>
          <w:bCs/>
          <w:szCs w:val="22"/>
        </w:rPr>
        <w:tab/>
      </w:r>
      <w:r w:rsidR="00814EB0">
        <w:rPr>
          <w:rFonts w:cs="Arial"/>
          <w:bCs/>
          <w:szCs w:val="22"/>
          <w:lang w:val="en-GB"/>
        </w:rPr>
        <w:t>Sgt Nkosi</w:t>
      </w:r>
      <w:r w:rsidR="00814EB0" w:rsidRPr="00555F54">
        <w:rPr>
          <w:rFonts w:cs="Arial"/>
          <w:bCs/>
          <w:szCs w:val="22"/>
          <w:lang w:val="en-GB"/>
        </w:rPr>
        <w:t xml:space="preserve"> </w:t>
      </w:r>
      <w:r w:rsidR="00555F54" w:rsidRPr="00555F54">
        <w:rPr>
          <w:rFonts w:cs="Arial"/>
          <w:bCs/>
          <w:szCs w:val="22"/>
          <w:lang w:val="en-GB"/>
        </w:rPr>
        <w:t>testified</w:t>
      </w:r>
      <w:r w:rsidR="004716B0" w:rsidRPr="004716B0">
        <w:rPr>
          <w:rFonts w:cs="Arial"/>
          <w:bCs/>
          <w:szCs w:val="22"/>
          <w:lang w:val="en-GB"/>
        </w:rPr>
        <w:t xml:space="preserve"> </w:t>
      </w:r>
      <w:r w:rsidR="004716B0">
        <w:rPr>
          <w:rFonts w:cs="Arial"/>
          <w:bCs/>
          <w:szCs w:val="22"/>
          <w:lang w:val="en-GB"/>
        </w:rPr>
        <w:t>that in 2015 h</w:t>
      </w:r>
      <w:r w:rsidR="004716B0" w:rsidRPr="00050DA2">
        <w:rPr>
          <w:rFonts w:cs="Arial"/>
          <w:bCs/>
          <w:szCs w:val="22"/>
          <w:lang w:val="en-GB"/>
        </w:rPr>
        <w:t>e was a constable at the Crime Prevention Unit</w:t>
      </w:r>
      <w:r w:rsidR="004716B0">
        <w:rPr>
          <w:rFonts w:cs="Arial"/>
          <w:bCs/>
          <w:szCs w:val="22"/>
          <w:lang w:val="en-GB"/>
        </w:rPr>
        <w:t xml:space="preserve"> </w:t>
      </w:r>
      <w:r w:rsidR="007D181F">
        <w:rPr>
          <w:rFonts w:cs="Arial"/>
          <w:bCs/>
          <w:szCs w:val="22"/>
          <w:lang w:val="en-GB"/>
        </w:rPr>
        <w:t xml:space="preserve">at the Kliptown Police Station </w:t>
      </w:r>
      <w:r w:rsidR="004716B0" w:rsidRPr="00050DA2">
        <w:rPr>
          <w:rFonts w:cs="Arial"/>
          <w:bCs/>
          <w:szCs w:val="22"/>
          <w:lang w:val="en-GB"/>
        </w:rPr>
        <w:t xml:space="preserve">dealing mostly with drug related offences and robbery. </w:t>
      </w:r>
      <w:r w:rsidR="004716B0">
        <w:rPr>
          <w:rFonts w:cs="Arial"/>
          <w:bCs/>
          <w:szCs w:val="22"/>
          <w:lang w:val="en-GB"/>
        </w:rPr>
        <w:t xml:space="preserve">On 19 January 2015 he was on patrol in a police vehicle with Sgt Maluleke. Driving along the K43 road he </w:t>
      </w:r>
      <w:r w:rsidR="00814EB0">
        <w:rPr>
          <w:rFonts w:cs="Arial"/>
          <w:bCs/>
          <w:szCs w:val="22"/>
          <w:lang w:val="en-GB"/>
        </w:rPr>
        <w:t>saw</w:t>
      </w:r>
      <w:r w:rsidR="00555F54" w:rsidRPr="00555F54">
        <w:rPr>
          <w:rFonts w:cs="Arial"/>
          <w:bCs/>
          <w:szCs w:val="22"/>
          <w:lang w:val="en-GB"/>
        </w:rPr>
        <w:t xml:space="preserve"> the plaintiff walking with another man</w:t>
      </w:r>
      <w:r w:rsidR="004716B0">
        <w:rPr>
          <w:rFonts w:cs="Arial"/>
          <w:bCs/>
          <w:szCs w:val="22"/>
          <w:lang w:val="en-GB"/>
        </w:rPr>
        <w:t>.</w:t>
      </w:r>
      <w:r w:rsidR="00814EB0">
        <w:rPr>
          <w:rFonts w:cs="Arial"/>
          <w:bCs/>
          <w:szCs w:val="22"/>
          <w:lang w:val="en-GB"/>
        </w:rPr>
        <w:t xml:space="preserve"> </w:t>
      </w:r>
      <w:r w:rsidR="00555F54" w:rsidRPr="00555F54">
        <w:rPr>
          <w:rFonts w:cs="Arial"/>
          <w:bCs/>
          <w:szCs w:val="22"/>
          <w:lang w:val="en-GB"/>
        </w:rPr>
        <w:t xml:space="preserve">When the plaintiff </w:t>
      </w:r>
      <w:r w:rsidR="00814EB0">
        <w:rPr>
          <w:rFonts w:cs="Arial"/>
          <w:bCs/>
          <w:szCs w:val="22"/>
          <w:lang w:val="en-GB"/>
        </w:rPr>
        <w:t xml:space="preserve">saw </w:t>
      </w:r>
      <w:r w:rsidR="00555F54" w:rsidRPr="00555F54">
        <w:rPr>
          <w:rFonts w:cs="Arial"/>
          <w:bCs/>
          <w:szCs w:val="22"/>
          <w:lang w:val="en-GB"/>
        </w:rPr>
        <w:t>the police vehicle he started to run away</w:t>
      </w:r>
      <w:r w:rsidR="00814EB0">
        <w:rPr>
          <w:rFonts w:cs="Arial"/>
          <w:bCs/>
          <w:szCs w:val="22"/>
          <w:lang w:val="en-GB"/>
        </w:rPr>
        <w:t xml:space="preserve">. </w:t>
      </w:r>
      <w:r w:rsidR="00814EB0" w:rsidRPr="00814EB0">
        <w:rPr>
          <w:rFonts w:cs="Arial"/>
          <w:bCs/>
          <w:szCs w:val="22"/>
          <w:lang w:val="en-GB"/>
        </w:rPr>
        <w:t>This was suspicious</w:t>
      </w:r>
      <w:r w:rsidR="00814EB0">
        <w:rPr>
          <w:rFonts w:cs="Arial"/>
          <w:bCs/>
          <w:szCs w:val="22"/>
          <w:lang w:val="en-GB"/>
        </w:rPr>
        <w:t xml:space="preserve">. </w:t>
      </w:r>
      <w:r w:rsidR="007D181F">
        <w:rPr>
          <w:rFonts w:cs="Arial"/>
          <w:bCs/>
          <w:szCs w:val="22"/>
          <w:lang w:val="en-GB"/>
        </w:rPr>
        <w:t>Sgt Nkosi’s</w:t>
      </w:r>
      <w:r w:rsidR="0075063B" w:rsidRPr="0075063B">
        <w:rPr>
          <w:rFonts w:cs="Arial"/>
          <w:bCs/>
          <w:szCs w:val="22"/>
          <w:lang w:val="en-GB"/>
        </w:rPr>
        <w:t xml:space="preserve"> experience was that people who run away when they s</w:t>
      </w:r>
      <w:r w:rsidR="0075063B">
        <w:rPr>
          <w:rFonts w:cs="Arial"/>
          <w:bCs/>
          <w:szCs w:val="22"/>
          <w:lang w:val="en-GB"/>
        </w:rPr>
        <w:t>ee</w:t>
      </w:r>
      <w:r w:rsidR="0075063B" w:rsidRPr="0075063B">
        <w:rPr>
          <w:rFonts w:cs="Arial"/>
          <w:bCs/>
          <w:szCs w:val="22"/>
          <w:lang w:val="en-GB"/>
        </w:rPr>
        <w:t xml:space="preserve"> a police vehicle might be in possession of drugs or an unlicensed firearm</w:t>
      </w:r>
      <w:r w:rsidR="0075063B">
        <w:rPr>
          <w:rFonts w:cs="Arial"/>
          <w:bCs/>
          <w:szCs w:val="22"/>
          <w:lang w:val="en-GB"/>
        </w:rPr>
        <w:t xml:space="preserve">. </w:t>
      </w:r>
      <w:r w:rsidR="007D181F">
        <w:rPr>
          <w:rFonts w:cs="Arial"/>
          <w:bCs/>
          <w:szCs w:val="22"/>
          <w:lang w:val="en-GB"/>
        </w:rPr>
        <w:t>He</w:t>
      </w:r>
      <w:r w:rsidR="00814EB0" w:rsidRPr="00814EB0">
        <w:rPr>
          <w:rFonts w:cs="Arial"/>
          <w:bCs/>
          <w:szCs w:val="22"/>
          <w:lang w:val="en-GB"/>
        </w:rPr>
        <w:t xml:space="preserve"> brought the vehicle to a stop and gave chase. He apprehended the plaintiff and during a search he notice</w:t>
      </w:r>
      <w:r w:rsidR="004B192C">
        <w:rPr>
          <w:rFonts w:cs="Arial"/>
          <w:bCs/>
          <w:szCs w:val="22"/>
          <w:lang w:val="en-GB"/>
        </w:rPr>
        <w:t>d</w:t>
      </w:r>
      <w:r w:rsidR="00814EB0" w:rsidRPr="00814EB0">
        <w:rPr>
          <w:rFonts w:cs="Arial"/>
          <w:bCs/>
          <w:szCs w:val="22"/>
          <w:lang w:val="en-GB"/>
        </w:rPr>
        <w:t xml:space="preserve"> that the plaintiff was holding something in his left hand. When he opened the plaintiff</w:t>
      </w:r>
      <w:r w:rsidR="00814EB0">
        <w:rPr>
          <w:rFonts w:cs="Arial"/>
          <w:bCs/>
          <w:szCs w:val="22"/>
          <w:lang w:val="en-GB"/>
        </w:rPr>
        <w:t>’</w:t>
      </w:r>
      <w:r w:rsidR="00814EB0" w:rsidRPr="00814EB0">
        <w:rPr>
          <w:rFonts w:cs="Arial"/>
          <w:bCs/>
          <w:szCs w:val="22"/>
          <w:lang w:val="en-GB"/>
        </w:rPr>
        <w:t>s hand he found</w:t>
      </w:r>
      <w:r w:rsidR="007D181F">
        <w:rPr>
          <w:rStyle w:val="FootnoteReference"/>
          <w:rFonts w:cs="Arial"/>
          <w:bCs/>
          <w:szCs w:val="22"/>
          <w:lang w:val="en-GB"/>
        </w:rPr>
        <w:footnoteReference w:id="4"/>
      </w:r>
      <w:r w:rsidR="00814EB0" w:rsidRPr="00814EB0">
        <w:rPr>
          <w:rFonts w:cs="Arial"/>
          <w:bCs/>
          <w:szCs w:val="22"/>
          <w:lang w:val="en-GB"/>
        </w:rPr>
        <w:t xml:space="preserve"> one </w:t>
      </w:r>
      <w:r w:rsidR="00814EB0">
        <w:rPr>
          <w:rFonts w:cs="Arial"/>
          <w:bCs/>
          <w:szCs w:val="22"/>
          <w:lang w:val="en-GB"/>
        </w:rPr>
        <w:t>M</w:t>
      </w:r>
      <w:r w:rsidR="00814EB0" w:rsidRPr="00814EB0">
        <w:rPr>
          <w:rFonts w:cs="Arial"/>
          <w:bCs/>
          <w:szCs w:val="22"/>
          <w:lang w:val="en-GB"/>
        </w:rPr>
        <w:t>andrax tablet in his hand</w:t>
      </w:r>
      <w:r w:rsidR="00814EB0">
        <w:rPr>
          <w:rFonts w:cs="Arial"/>
          <w:bCs/>
          <w:szCs w:val="22"/>
          <w:lang w:val="en-GB"/>
        </w:rPr>
        <w:t xml:space="preserve">. </w:t>
      </w:r>
      <w:r w:rsidR="00180FC9">
        <w:rPr>
          <w:rFonts w:cs="Arial"/>
          <w:bCs/>
          <w:szCs w:val="22"/>
          <w:lang w:val="en-GB"/>
        </w:rPr>
        <w:t xml:space="preserve">Sgt Nkosi was familiar with the appearance of a Mandrax tablet, typically blue and with a </w:t>
      </w:r>
      <w:r w:rsidR="00996F0C">
        <w:rPr>
          <w:rFonts w:cs="Arial"/>
          <w:bCs/>
          <w:szCs w:val="22"/>
          <w:lang w:val="en-GB"/>
        </w:rPr>
        <w:t xml:space="preserve">distinctive </w:t>
      </w:r>
      <w:r w:rsidR="00180FC9">
        <w:rPr>
          <w:rFonts w:cs="Arial"/>
          <w:bCs/>
          <w:szCs w:val="22"/>
          <w:lang w:val="en-GB"/>
        </w:rPr>
        <w:t>star emblem on its face.</w:t>
      </w:r>
      <w:r w:rsidR="004B192C" w:rsidRPr="004B192C">
        <w:rPr>
          <w:rFonts w:cs="Arial"/>
          <w:bCs/>
          <w:szCs w:val="22"/>
          <w:lang w:val="en-GB"/>
        </w:rPr>
        <w:t xml:space="preserve"> </w:t>
      </w:r>
      <w:r w:rsidR="004B192C">
        <w:rPr>
          <w:rFonts w:cs="Arial"/>
          <w:bCs/>
          <w:szCs w:val="22"/>
          <w:lang w:val="en-GB"/>
        </w:rPr>
        <w:t>He e</w:t>
      </w:r>
      <w:r w:rsidR="004B192C" w:rsidRPr="00814EB0">
        <w:rPr>
          <w:rFonts w:cs="Arial"/>
          <w:bCs/>
          <w:szCs w:val="22"/>
          <w:lang w:val="en-GB"/>
        </w:rPr>
        <w:t xml:space="preserve">xplained that such a tablet would </w:t>
      </w:r>
      <w:r w:rsidR="004B192C" w:rsidRPr="00050DA2">
        <w:rPr>
          <w:rFonts w:cs="Arial"/>
          <w:bCs/>
          <w:szCs w:val="22"/>
          <w:lang w:val="en-GB"/>
        </w:rPr>
        <w:t>usually</w:t>
      </w:r>
      <w:r w:rsidR="004B192C">
        <w:rPr>
          <w:rFonts w:cs="Arial"/>
          <w:bCs/>
          <w:szCs w:val="22"/>
          <w:lang w:val="en-GB"/>
        </w:rPr>
        <w:t xml:space="preserve"> </w:t>
      </w:r>
      <w:r w:rsidR="004B192C" w:rsidRPr="00814EB0">
        <w:rPr>
          <w:rFonts w:cs="Arial"/>
          <w:bCs/>
          <w:szCs w:val="22"/>
          <w:lang w:val="en-GB"/>
        </w:rPr>
        <w:t xml:space="preserve">be smoked by </w:t>
      </w:r>
      <w:r w:rsidR="004B192C">
        <w:rPr>
          <w:rFonts w:cs="Arial"/>
          <w:bCs/>
          <w:szCs w:val="22"/>
          <w:lang w:val="en-GB"/>
        </w:rPr>
        <w:t xml:space="preserve">addicts </w:t>
      </w:r>
      <w:r w:rsidR="004B192C" w:rsidRPr="00050DA2">
        <w:rPr>
          <w:rFonts w:cs="Arial"/>
          <w:bCs/>
          <w:szCs w:val="22"/>
          <w:lang w:val="en-GB"/>
        </w:rPr>
        <w:t xml:space="preserve">In combination with </w:t>
      </w:r>
      <w:r w:rsidR="004B192C">
        <w:rPr>
          <w:rFonts w:cs="Arial"/>
          <w:bCs/>
          <w:szCs w:val="22"/>
          <w:lang w:val="en-GB"/>
        </w:rPr>
        <w:t>dagga (cannabis).</w:t>
      </w:r>
    </w:p>
    <w:p w14:paraId="0EB2A936" w14:textId="3DF00F99" w:rsidR="004B192C" w:rsidRPr="004B192C" w:rsidRDefault="00EA270B" w:rsidP="00EA270B">
      <w:pPr>
        <w:widowControl w:val="0"/>
        <w:tabs>
          <w:tab w:val="left" w:pos="567"/>
        </w:tabs>
        <w:spacing w:before="480" w:after="480" w:line="360" w:lineRule="auto"/>
        <w:jc w:val="both"/>
        <w:rPr>
          <w:rFonts w:cs="Arial"/>
          <w:bCs/>
          <w:szCs w:val="22"/>
        </w:rPr>
      </w:pPr>
      <w:r w:rsidRPr="004B192C">
        <w:rPr>
          <w:rFonts w:cs="Arial"/>
          <w:bCs/>
          <w:szCs w:val="22"/>
        </w:rPr>
        <w:t>[10]</w:t>
      </w:r>
      <w:r w:rsidRPr="004B192C">
        <w:rPr>
          <w:rFonts w:cs="Arial"/>
          <w:bCs/>
          <w:szCs w:val="22"/>
        </w:rPr>
        <w:tab/>
      </w:r>
      <w:r w:rsidR="00814EB0" w:rsidRPr="00814EB0">
        <w:rPr>
          <w:rFonts w:cs="Arial"/>
          <w:bCs/>
          <w:szCs w:val="22"/>
          <w:lang w:val="en-GB"/>
        </w:rPr>
        <w:t xml:space="preserve">He read the plaintiff </w:t>
      </w:r>
      <w:r w:rsidR="00050DA2">
        <w:rPr>
          <w:rFonts w:cs="Arial"/>
          <w:bCs/>
          <w:szCs w:val="22"/>
          <w:lang w:val="en-GB"/>
        </w:rPr>
        <w:t>his</w:t>
      </w:r>
      <w:r w:rsidR="00814EB0" w:rsidRPr="00814EB0">
        <w:rPr>
          <w:rFonts w:cs="Arial"/>
          <w:bCs/>
          <w:szCs w:val="22"/>
          <w:lang w:val="en-GB"/>
        </w:rPr>
        <w:t xml:space="preserve"> right</w:t>
      </w:r>
      <w:r w:rsidR="00814EB0">
        <w:rPr>
          <w:rFonts w:cs="Arial"/>
          <w:bCs/>
          <w:szCs w:val="22"/>
          <w:lang w:val="en-GB"/>
        </w:rPr>
        <w:t>s</w:t>
      </w:r>
      <w:r w:rsidR="00814EB0" w:rsidRPr="00814EB0">
        <w:rPr>
          <w:rFonts w:cs="Arial"/>
          <w:bCs/>
          <w:szCs w:val="22"/>
          <w:lang w:val="en-GB"/>
        </w:rPr>
        <w:t xml:space="preserve"> and arrested him for unlawful pos</w:t>
      </w:r>
      <w:r w:rsidR="00814EB0">
        <w:rPr>
          <w:rFonts w:cs="Arial"/>
          <w:bCs/>
          <w:szCs w:val="22"/>
          <w:lang w:val="en-GB"/>
        </w:rPr>
        <w:t>session of</w:t>
      </w:r>
      <w:r w:rsidR="00814EB0" w:rsidRPr="00814EB0">
        <w:rPr>
          <w:rFonts w:cs="Arial"/>
          <w:bCs/>
          <w:szCs w:val="22"/>
          <w:lang w:val="en-GB"/>
        </w:rPr>
        <w:t xml:space="preserve"> the Mandrax tablet</w:t>
      </w:r>
      <w:r w:rsidR="00814EB0">
        <w:rPr>
          <w:rFonts w:cs="Arial"/>
          <w:bCs/>
          <w:szCs w:val="22"/>
          <w:lang w:val="en-GB"/>
        </w:rPr>
        <w:t>.</w:t>
      </w:r>
      <w:r w:rsidR="00814EB0" w:rsidRPr="00814EB0">
        <w:rPr>
          <w:rFonts w:cs="Arial"/>
          <w:bCs/>
          <w:szCs w:val="22"/>
          <w:lang w:val="en-GB"/>
        </w:rPr>
        <w:t xml:space="preserve"> </w:t>
      </w:r>
      <w:r w:rsidR="00814EB0">
        <w:rPr>
          <w:rFonts w:cs="Arial"/>
          <w:bCs/>
          <w:szCs w:val="22"/>
          <w:lang w:val="en-GB"/>
        </w:rPr>
        <w:t xml:space="preserve">Sgt </w:t>
      </w:r>
      <w:r w:rsidR="004716B0">
        <w:rPr>
          <w:rFonts w:cs="Arial"/>
          <w:bCs/>
          <w:szCs w:val="22"/>
          <w:lang w:val="en-GB"/>
        </w:rPr>
        <w:t>Maluleke</w:t>
      </w:r>
      <w:r w:rsidR="00814EB0">
        <w:rPr>
          <w:rFonts w:cs="Arial"/>
          <w:bCs/>
          <w:szCs w:val="22"/>
          <w:lang w:val="en-GB"/>
        </w:rPr>
        <w:t xml:space="preserve"> </w:t>
      </w:r>
      <w:r w:rsidR="008A3C4E" w:rsidRPr="008A3C4E">
        <w:rPr>
          <w:rFonts w:cs="Arial"/>
          <w:bCs/>
          <w:szCs w:val="22"/>
          <w:lang w:val="en-GB"/>
        </w:rPr>
        <w:t xml:space="preserve">had followed </w:t>
      </w:r>
      <w:r w:rsidR="008A3C4E">
        <w:rPr>
          <w:rFonts w:cs="Arial"/>
          <w:bCs/>
          <w:szCs w:val="22"/>
          <w:lang w:val="en-GB"/>
        </w:rPr>
        <w:t xml:space="preserve">Sgt Nkosi </w:t>
      </w:r>
      <w:r w:rsidR="008A3C4E" w:rsidRPr="008A3C4E">
        <w:rPr>
          <w:rFonts w:cs="Arial"/>
          <w:bCs/>
          <w:szCs w:val="22"/>
          <w:lang w:val="en-GB"/>
        </w:rPr>
        <w:t xml:space="preserve">out of the vehicle and </w:t>
      </w:r>
      <w:r w:rsidR="00ED1D7F">
        <w:rPr>
          <w:rFonts w:cs="Arial"/>
          <w:bCs/>
          <w:szCs w:val="22"/>
          <w:lang w:val="en-GB"/>
        </w:rPr>
        <w:t xml:space="preserve">they confiscated the tablet. It was later sealed in a forensic bag at the police station </w:t>
      </w:r>
      <w:r w:rsidR="008A3C4E" w:rsidRPr="008A3C4E">
        <w:rPr>
          <w:rFonts w:cs="Arial"/>
          <w:bCs/>
          <w:szCs w:val="22"/>
          <w:lang w:val="en-GB"/>
        </w:rPr>
        <w:t>under the number</w:t>
      </w:r>
      <w:r w:rsidR="008A3C4E">
        <w:rPr>
          <w:rFonts w:cs="Arial"/>
          <w:bCs/>
          <w:szCs w:val="22"/>
          <w:lang w:val="en-GB"/>
        </w:rPr>
        <w:t xml:space="preserve"> PA5001667950.</w:t>
      </w:r>
      <w:r w:rsidR="008A3C4E" w:rsidRPr="008A3C4E">
        <w:rPr>
          <w:rFonts w:cs="Arial"/>
          <w:bCs/>
          <w:szCs w:val="22"/>
          <w:lang w:val="en-GB"/>
        </w:rPr>
        <w:t xml:space="preserve"> The </w:t>
      </w:r>
      <w:r w:rsidR="00050DA2">
        <w:rPr>
          <w:rFonts w:cs="Arial"/>
          <w:bCs/>
          <w:szCs w:val="22"/>
          <w:lang w:val="en-GB"/>
        </w:rPr>
        <w:t>bag w</w:t>
      </w:r>
      <w:r w:rsidR="008A3C4E" w:rsidRPr="008A3C4E">
        <w:rPr>
          <w:rFonts w:cs="Arial"/>
          <w:bCs/>
          <w:szCs w:val="22"/>
          <w:lang w:val="en-GB"/>
        </w:rPr>
        <w:t xml:space="preserve">as </w:t>
      </w:r>
      <w:r w:rsidR="00ED1D7F">
        <w:rPr>
          <w:rFonts w:cs="Arial"/>
          <w:bCs/>
          <w:szCs w:val="22"/>
          <w:lang w:val="en-GB"/>
        </w:rPr>
        <w:t>then</w:t>
      </w:r>
      <w:r w:rsidR="008A3C4E" w:rsidRPr="008A3C4E">
        <w:rPr>
          <w:rFonts w:cs="Arial"/>
          <w:bCs/>
          <w:szCs w:val="22"/>
          <w:lang w:val="en-GB"/>
        </w:rPr>
        <w:t xml:space="preserve"> booked into the S</w:t>
      </w:r>
      <w:r w:rsidR="008A3C4E">
        <w:rPr>
          <w:rFonts w:cs="Arial"/>
          <w:bCs/>
          <w:szCs w:val="22"/>
          <w:lang w:val="en-GB"/>
        </w:rPr>
        <w:t>A</w:t>
      </w:r>
      <w:r w:rsidR="008A3C4E" w:rsidRPr="008A3C4E">
        <w:rPr>
          <w:rFonts w:cs="Arial"/>
          <w:bCs/>
          <w:szCs w:val="22"/>
          <w:lang w:val="en-GB"/>
        </w:rPr>
        <w:t>P</w:t>
      </w:r>
      <w:r w:rsidR="0085241B">
        <w:rPr>
          <w:rFonts w:cs="Arial"/>
          <w:bCs/>
          <w:szCs w:val="22"/>
          <w:lang w:val="en-GB"/>
        </w:rPr>
        <w:t>13</w:t>
      </w:r>
      <w:r w:rsidR="008A3C4E" w:rsidRPr="008A3C4E">
        <w:rPr>
          <w:rFonts w:cs="Arial"/>
          <w:bCs/>
          <w:szCs w:val="22"/>
          <w:lang w:val="en-GB"/>
        </w:rPr>
        <w:t xml:space="preserve"> store a</w:t>
      </w:r>
      <w:r w:rsidR="008A3C4E">
        <w:rPr>
          <w:rFonts w:cs="Arial"/>
          <w:bCs/>
          <w:szCs w:val="22"/>
          <w:lang w:val="en-GB"/>
        </w:rPr>
        <w:t xml:space="preserve">t the Kliptown </w:t>
      </w:r>
      <w:r w:rsidR="008A3C4E" w:rsidRPr="008A3C4E">
        <w:rPr>
          <w:rFonts w:cs="Arial"/>
          <w:bCs/>
          <w:szCs w:val="22"/>
          <w:lang w:val="en-GB"/>
        </w:rPr>
        <w:t>Police Station.</w:t>
      </w:r>
      <w:r w:rsidR="004B192C" w:rsidRPr="004B192C">
        <w:rPr>
          <w:rFonts w:cs="Arial"/>
          <w:bCs/>
          <w:szCs w:val="22"/>
          <w:lang w:val="en-GB"/>
        </w:rPr>
        <w:t xml:space="preserve"> </w:t>
      </w:r>
    </w:p>
    <w:p w14:paraId="198D78C7" w14:textId="08945791" w:rsidR="0075063B" w:rsidRPr="008A3C4E" w:rsidRDefault="00EA270B" w:rsidP="00EA270B">
      <w:pPr>
        <w:widowControl w:val="0"/>
        <w:tabs>
          <w:tab w:val="left" w:pos="567"/>
        </w:tabs>
        <w:spacing w:before="480" w:after="480" w:line="360" w:lineRule="auto"/>
        <w:jc w:val="both"/>
        <w:rPr>
          <w:rFonts w:cs="Arial"/>
          <w:bCs/>
          <w:szCs w:val="22"/>
        </w:rPr>
      </w:pPr>
      <w:r w:rsidRPr="008A3C4E">
        <w:rPr>
          <w:rFonts w:cs="Arial"/>
          <w:bCs/>
          <w:szCs w:val="22"/>
        </w:rPr>
        <w:t>[11]</w:t>
      </w:r>
      <w:r w:rsidRPr="008A3C4E">
        <w:rPr>
          <w:rFonts w:cs="Arial"/>
          <w:bCs/>
          <w:szCs w:val="22"/>
        </w:rPr>
        <w:tab/>
      </w:r>
      <w:r w:rsidR="0075063B" w:rsidRPr="0075063B">
        <w:rPr>
          <w:rFonts w:cs="Arial"/>
          <w:bCs/>
          <w:szCs w:val="22"/>
          <w:lang w:val="en-GB"/>
        </w:rPr>
        <w:t>They took the suspect to the</w:t>
      </w:r>
      <w:r w:rsidR="0075063B">
        <w:rPr>
          <w:rFonts w:cs="Arial"/>
          <w:bCs/>
          <w:szCs w:val="22"/>
          <w:lang w:val="en-GB"/>
        </w:rPr>
        <w:t xml:space="preserve"> Kliptown </w:t>
      </w:r>
      <w:r w:rsidR="0075063B" w:rsidRPr="008A3C4E">
        <w:rPr>
          <w:rFonts w:cs="Arial"/>
          <w:bCs/>
          <w:szCs w:val="22"/>
          <w:lang w:val="en-GB"/>
        </w:rPr>
        <w:t>Police Station</w:t>
      </w:r>
      <w:r w:rsidR="0075063B">
        <w:rPr>
          <w:rFonts w:cs="Arial"/>
          <w:bCs/>
          <w:szCs w:val="22"/>
          <w:lang w:val="en-GB"/>
        </w:rPr>
        <w:t xml:space="preserve"> </w:t>
      </w:r>
      <w:r w:rsidR="0075063B" w:rsidRPr="0075063B">
        <w:rPr>
          <w:rFonts w:cs="Arial"/>
          <w:bCs/>
          <w:szCs w:val="22"/>
          <w:lang w:val="en-GB"/>
        </w:rPr>
        <w:t>where</w:t>
      </w:r>
      <w:r w:rsidR="0075063B">
        <w:rPr>
          <w:rFonts w:cs="Arial"/>
          <w:bCs/>
          <w:szCs w:val="22"/>
          <w:lang w:val="en-GB"/>
        </w:rPr>
        <w:t xml:space="preserve"> Sgt Nkosi </w:t>
      </w:r>
      <w:r w:rsidR="0075063B" w:rsidRPr="0075063B">
        <w:rPr>
          <w:rFonts w:cs="Arial"/>
          <w:bCs/>
          <w:szCs w:val="22"/>
          <w:lang w:val="en-GB"/>
        </w:rPr>
        <w:t>opened a police docket</w:t>
      </w:r>
      <w:r w:rsidR="00A90CFE">
        <w:rPr>
          <w:rStyle w:val="FootnoteReference"/>
          <w:rFonts w:cs="Arial"/>
          <w:bCs/>
          <w:szCs w:val="22"/>
          <w:lang w:val="en-GB"/>
        </w:rPr>
        <w:footnoteReference w:id="5"/>
      </w:r>
      <w:r w:rsidR="0075063B" w:rsidRPr="0075063B">
        <w:rPr>
          <w:rFonts w:cs="Arial"/>
          <w:bCs/>
          <w:szCs w:val="22"/>
          <w:lang w:val="en-GB"/>
        </w:rPr>
        <w:t xml:space="preserve"> and</w:t>
      </w:r>
      <w:r w:rsidR="0075063B">
        <w:rPr>
          <w:rFonts w:cs="Arial"/>
          <w:bCs/>
          <w:szCs w:val="22"/>
          <w:lang w:val="en-GB"/>
        </w:rPr>
        <w:t xml:space="preserve"> Sgt </w:t>
      </w:r>
      <w:r w:rsidR="004716B0">
        <w:rPr>
          <w:rFonts w:cs="Arial"/>
          <w:bCs/>
          <w:szCs w:val="22"/>
          <w:lang w:val="en-GB"/>
        </w:rPr>
        <w:t>Maluleke</w:t>
      </w:r>
      <w:r w:rsidR="0075063B">
        <w:rPr>
          <w:rFonts w:cs="Arial"/>
          <w:bCs/>
          <w:szCs w:val="22"/>
          <w:lang w:val="en-GB"/>
        </w:rPr>
        <w:t xml:space="preserve"> </w:t>
      </w:r>
      <w:r w:rsidR="0075063B" w:rsidRPr="0075063B">
        <w:rPr>
          <w:rFonts w:cs="Arial"/>
          <w:bCs/>
          <w:szCs w:val="22"/>
          <w:lang w:val="en-GB"/>
        </w:rPr>
        <w:t xml:space="preserve">took the </w:t>
      </w:r>
      <w:r w:rsidR="00A90CFE">
        <w:rPr>
          <w:rFonts w:cs="Arial"/>
          <w:bCs/>
          <w:szCs w:val="22"/>
          <w:lang w:val="en-GB"/>
        </w:rPr>
        <w:t>plaintiff</w:t>
      </w:r>
      <w:r w:rsidR="0075063B" w:rsidRPr="0075063B">
        <w:rPr>
          <w:rFonts w:cs="Arial"/>
          <w:bCs/>
          <w:szCs w:val="22"/>
          <w:lang w:val="en-GB"/>
        </w:rPr>
        <w:t xml:space="preserve"> to the </w:t>
      </w:r>
      <w:r w:rsidR="0075063B">
        <w:rPr>
          <w:rFonts w:cs="Arial"/>
          <w:bCs/>
          <w:szCs w:val="22"/>
          <w:lang w:val="en-GB"/>
        </w:rPr>
        <w:t>police cells.</w:t>
      </w:r>
      <w:r w:rsidR="00A90CFE">
        <w:rPr>
          <w:rFonts w:cs="Arial"/>
          <w:bCs/>
          <w:szCs w:val="22"/>
          <w:lang w:val="en-GB"/>
        </w:rPr>
        <w:t xml:space="preserve"> </w:t>
      </w:r>
      <w:r w:rsidR="00A90CFE" w:rsidRPr="00A90CFE">
        <w:rPr>
          <w:rFonts w:cs="Arial"/>
          <w:bCs/>
          <w:szCs w:val="22"/>
          <w:lang w:val="en-GB"/>
        </w:rPr>
        <w:t>He could not recall any subsequent contact with the plaintiff</w:t>
      </w:r>
      <w:r w:rsidR="00A90CFE">
        <w:rPr>
          <w:rFonts w:cs="Arial"/>
          <w:bCs/>
          <w:szCs w:val="22"/>
          <w:lang w:val="en-GB"/>
        </w:rPr>
        <w:t>.</w:t>
      </w:r>
    </w:p>
    <w:p w14:paraId="32950B9F" w14:textId="0DBF8D17" w:rsidR="007D181F" w:rsidRPr="007D181F" w:rsidRDefault="00EA270B" w:rsidP="00EA270B">
      <w:pPr>
        <w:widowControl w:val="0"/>
        <w:tabs>
          <w:tab w:val="left" w:pos="567"/>
        </w:tabs>
        <w:spacing w:before="480" w:after="480" w:line="360" w:lineRule="auto"/>
        <w:jc w:val="both"/>
        <w:rPr>
          <w:rFonts w:cs="Arial"/>
          <w:bCs/>
          <w:szCs w:val="22"/>
        </w:rPr>
      </w:pPr>
      <w:r w:rsidRPr="007D181F">
        <w:rPr>
          <w:rFonts w:cs="Arial"/>
          <w:bCs/>
          <w:szCs w:val="22"/>
        </w:rPr>
        <w:lastRenderedPageBreak/>
        <w:t>[12]</w:t>
      </w:r>
      <w:r w:rsidRPr="007D181F">
        <w:rPr>
          <w:rFonts w:cs="Arial"/>
          <w:bCs/>
          <w:szCs w:val="22"/>
        </w:rPr>
        <w:tab/>
      </w:r>
      <w:r w:rsidR="009D5ED2" w:rsidRPr="009D5ED2">
        <w:rPr>
          <w:rFonts w:cs="Arial"/>
          <w:bCs/>
          <w:szCs w:val="22"/>
          <w:lang w:val="en-GB"/>
        </w:rPr>
        <w:t>The witness identified</w:t>
      </w:r>
      <w:r w:rsidR="009D5ED2">
        <w:rPr>
          <w:rFonts w:cs="Arial"/>
          <w:bCs/>
          <w:szCs w:val="22"/>
          <w:lang w:val="en-GB"/>
        </w:rPr>
        <w:t xml:space="preserve"> his </w:t>
      </w:r>
      <w:r w:rsidR="009D5ED2" w:rsidRPr="009D5ED2">
        <w:rPr>
          <w:rFonts w:cs="Arial"/>
          <w:bCs/>
          <w:szCs w:val="22"/>
          <w:lang w:val="en-GB"/>
        </w:rPr>
        <w:t>contemporaneous statement and con</w:t>
      </w:r>
      <w:r w:rsidR="009D5ED2">
        <w:rPr>
          <w:rFonts w:cs="Arial"/>
          <w:bCs/>
          <w:szCs w:val="22"/>
          <w:lang w:val="en-GB"/>
        </w:rPr>
        <w:t>ced</w:t>
      </w:r>
      <w:r w:rsidR="009D5ED2" w:rsidRPr="009D5ED2">
        <w:rPr>
          <w:rFonts w:cs="Arial"/>
          <w:bCs/>
          <w:szCs w:val="22"/>
          <w:lang w:val="en-GB"/>
        </w:rPr>
        <w:t>e</w:t>
      </w:r>
      <w:r w:rsidR="009D5ED2">
        <w:rPr>
          <w:rFonts w:cs="Arial"/>
          <w:bCs/>
          <w:szCs w:val="22"/>
          <w:lang w:val="en-GB"/>
        </w:rPr>
        <w:t>d</w:t>
      </w:r>
      <w:r w:rsidR="009D5ED2" w:rsidRPr="009D5ED2">
        <w:rPr>
          <w:rFonts w:cs="Arial"/>
          <w:bCs/>
          <w:szCs w:val="22"/>
          <w:lang w:val="en-GB"/>
        </w:rPr>
        <w:t xml:space="preserve"> that </w:t>
      </w:r>
      <w:r w:rsidR="0014048E">
        <w:rPr>
          <w:rFonts w:cs="Arial"/>
          <w:bCs/>
          <w:szCs w:val="22"/>
          <w:lang w:val="en-GB"/>
        </w:rPr>
        <w:t>h</w:t>
      </w:r>
      <w:r w:rsidR="009D5ED2" w:rsidRPr="009D5ED2">
        <w:rPr>
          <w:rFonts w:cs="Arial"/>
          <w:bCs/>
          <w:szCs w:val="22"/>
          <w:lang w:val="en-GB"/>
        </w:rPr>
        <w:t>is independent recollection of the arrest was very vague</w:t>
      </w:r>
      <w:r w:rsidR="00050DA2">
        <w:rPr>
          <w:rFonts w:cs="Arial"/>
          <w:bCs/>
          <w:szCs w:val="22"/>
          <w:lang w:val="en-GB"/>
        </w:rPr>
        <w:t xml:space="preserve"> (not unexpected</w:t>
      </w:r>
      <w:r w:rsidR="002D5281">
        <w:rPr>
          <w:rFonts w:cs="Arial"/>
          <w:bCs/>
          <w:szCs w:val="22"/>
          <w:lang w:val="en-GB"/>
        </w:rPr>
        <w:t>ly</w:t>
      </w:r>
      <w:r w:rsidR="00050DA2">
        <w:rPr>
          <w:rFonts w:cs="Arial"/>
          <w:bCs/>
          <w:szCs w:val="22"/>
          <w:lang w:val="en-GB"/>
        </w:rPr>
        <w:t xml:space="preserve"> </w:t>
      </w:r>
      <w:r w:rsidR="007D181F">
        <w:rPr>
          <w:rFonts w:cs="Arial"/>
          <w:bCs/>
          <w:szCs w:val="22"/>
          <w:lang w:val="en-GB"/>
        </w:rPr>
        <w:t>as these events took place</w:t>
      </w:r>
      <w:r w:rsidR="003B1C11">
        <w:rPr>
          <w:rFonts w:cs="Arial"/>
          <w:bCs/>
          <w:szCs w:val="22"/>
          <w:lang w:val="en-GB"/>
        </w:rPr>
        <w:t xml:space="preserve"> more than</w:t>
      </w:r>
      <w:r w:rsidR="007D181F">
        <w:rPr>
          <w:rFonts w:cs="Arial"/>
          <w:bCs/>
          <w:szCs w:val="22"/>
          <w:lang w:val="en-GB"/>
        </w:rPr>
        <w:t xml:space="preserve"> </w:t>
      </w:r>
      <w:r w:rsidR="00050DA2">
        <w:rPr>
          <w:rFonts w:cs="Arial"/>
          <w:bCs/>
          <w:szCs w:val="22"/>
          <w:lang w:val="en-GB"/>
        </w:rPr>
        <w:t xml:space="preserve">eight years </w:t>
      </w:r>
      <w:r w:rsidR="007D181F">
        <w:rPr>
          <w:rFonts w:cs="Arial"/>
          <w:bCs/>
          <w:szCs w:val="22"/>
          <w:lang w:val="en-GB"/>
        </w:rPr>
        <w:t>earlier</w:t>
      </w:r>
      <w:r w:rsidR="00050DA2">
        <w:rPr>
          <w:rFonts w:cs="Arial"/>
          <w:bCs/>
          <w:szCs w:val="22"/>
          <w:lang w:val="en-GB"/>
        </w:rPr>
        <w:t>)</w:t>
      </w:r>
      <w:r w:rsidR="009D5ED2" w:rsidRPr="009D5ED2">
        <w:rPr>
          <w:rFonts w:cs="Arial"/>
          <w:bCs/>
          <w:szCs w:val="22"/>
          <w:lang w:val="en-GB"/>
        </w:rPr>
        <w:t xml:space="preserve"> and that he wa</w:t>
      </w:r>
      <w:r w:rsidR="009D5ED2">
        <w:rPr>
          <w:rFonts w:cs="Arial"/>
          <w:bCs/>
          <w:szCs w:val="22"/>
          <w:lang w:val="en-GB"/>
        </w:rPr>
        <w:t xml:space="preserve">s relying </w:t>
      </w:r>
      <w:r w:rsidR="009D5ED2" w:rsidRPr="009D5ED2">
        <w:rPr>
          <w:rFonts w:cs="Arial"/>
          <w:bCs/>
          <w:szCs w:val="22"/>
          <w:lang w:val="en-GB"/>
        </w:rPr>
        <w:t>largely on his statement</w:t>
      </w:r>
      <w:r w:rsidR="00050DA2">
        <w:rPr>
          <w:rStyle w:val="FootnoteReference"/>
          <w:rFonts w:cs="Arial"/>
          <w:bCs/>
          <w:szCs w:val="22"/>
          <w:lang w:val="en-GB"/>
        </w:rPr>
        <w:footnoteReference w:id="6"/>
      </w:r>
      <w:r w:rsidR="009D5ED2" w:rsidRPr="009D5ED2">
        <w:rPr>
          <w:rFonts w:cs="Arial"/>
          <w:bCs/>
          <w:szCs w:val="22"/>
          <w:lang w:val="en-GB"/>
        </w:rPr>
        <w:t xml:space="preserve"> deposed </w:t>
      </w:r>
      <w:r w:rsidR="00050DA2" w:rsidRPr="009D5ED2">
        <w:rPr>
          <w:rFonts w:cs="Arial"/>
          <w:bCs/>
          <w:szCs w:val="22"/>
          <w:lang w:val="en-GB"/>
        </w:rPr>
        <w:t>to</w:t>
      </w:r>
      <w:r w:rsidR="00050DA2">
        <w:rPr>
          <w:rFonts w:cs="Arial"/>
          <w:bCs/>
          <w:szCs w:val="22"/>
          <w:lang w:val="en-GB"/>
        </w:rPr>
        <w:t xml:space="preserve"> </w:t>
      </w:r>
      <w:r w:rsidR="00050DA2" w:rsidRPr="009D5ED2">
        <w:rPr>
          <w:rFonts w:cs="Arial"/>
          <w:bCs/>
          <w:szCs w:val="22"/>
          <w:lang w:val="en-GB"/>
        </w:rPr>
        <w:t xml:space="preserve">at the </w:t>
      </w:r>
      <w:r w:rsidR="00050DA2">
        <w:rPr>
          <w:rFonts w:cs="Arial"/>
          <w:bCs/>
          <w:szCs w:val="22"/>
          <w:lang w:val="en-GB"/>
        </w:rPr>
        <w:t xml:space="preserve">Kliptown </w:t>
      </w:r>
      <w:r w:rsidR="00050DA2" w:rsidRPr="009D5ED2">
        <w:rPr>
          <w:rFonts w:cs="Arial"/>
          <w:bCs/>
          <w:szCs w:val="22"/>
          <w:lang w:val="en-GB"/>
        </w:rPr>
        <w:t xml:space="preserve">police station </w:t>
      </w:r>
      <w:r w:rsidR="009D5ED2" w:rsidRPr="009D5ED2">
        <w:rPr>
          <w:rFonts w:cs="Arial"/>
          <w:bCs/>
          <w:szCs w:val="22"/>
          <w:lang w:val="en-GB"/>
        </w:rPr>
        <w:t>about 40 minutes after the arrest.</w:t>
      </w:r>
      <w:r w:rsidR="00050DA2">
        <w:rPr>
          <w:rFonts w:cs="Arial"/>
          <w:bCs/>
          <w:szCs w:val="22"/>
          <w:lang w:val="en-GB"/>
        </w:rPr>
        <w:t xml:space="preserve"> </w:t>
      </w:r>
    </w:p>
    <w:p w14:paraId="215FEDDD" w14:textId="2719397F" w:rsidR="008A3C4E" w:rsidRPr="00A55E13" w:rsidRDefault="00EA270B" w:rsidP="00EA270B">
      <w:pPr>
        <w:widowControl w:val="0"/>
        <w:tabs>
          <w:tab w:val="left" w:pos="567"/>
        </w:tabs>
        <w:spacing w:before="480" w:after="480" w:line="360" w:lineRule="auto"/>
        <w:jc w:val="both"/>
        <w:rPr>
          <w:rFonts w:cs="Arial"/>
          <w:bCs/>
          <w:szCs w:val="22"/>
        </w:rPr>
      </w:pPr>
      <w:r w:rsidRPr="00A55E13">
        <w:rPr>
          <w:rFonts w:cs="Arial"/>
          <w:bCs/>
          <w:szCs w:val="22"/>
        </w:rPr>
        <w:t>[13]</w:t>
      </w:r>
      <w:r w:rsidRPr="00A55E13">
        <w:rPr>
          <w:rFonts w:cs="Arial"/>
          <w:bCs/>
          <w:szCs w:val="22"/>
        </w:rPr>
        <w:tab/>
      </w:r>
      <w:r w:rsidR="00050DA2" w:rsidRPr="00050DA2">
        <w:rPr>
          <w:rFonts w:cs="Arial"/>
          <w:bCs/>
          <w:szCs w:val="22"/>
          <w:lang w:val="en-GB"/>
        </w:rPr>
        <w:t xml:space="preserve">He identified the place where the </w:t>
      </w:r>
      <w:r w:rsidR="0075063B">
        <w:rPr>
          <w:rFonts w:cs="Arial"/>
          <w:bCs/>
          <w:szCs w:val="22"/>
          <w:lang w:val="en-GB"/>
        </w:rPr>
        <w:t>arrest</w:t>
      </w:r>
      <w:r w:rsidR="00050DA2" w:rsidRPr="00050DA2">
        <w:rPr>
          <w:rFonts w:cs="Arial"/>
          <w:bCs/>
          <w:szCs w:val="22"/>
          <w:lang w:val="en-GB"/>
        </w:rPr>
        <w:t xml:space="preserve"> took place as a</w:t>
      </w:r>
      <w:r w:rsidR="00050DA2">
        <w:rPr>
          <w:rFonts w:cs="Arial"/>
          <w:bCs/>
          <w:szCs w:val="22"/>
          <w:lang w:val="en-GB"/>
        </w:rPr>
        <w:t xml:space="preserve"> </w:t>
      </w:r>
      <w:r w:rsidR="00050DA2" w:rsidRPr="003C083B">
        <w:rPr>
          <w:rFonts w:cs="Arial"/>
          <w:bCs/>
          <w:i/>
          <w:iCs/>
          <w:szCs w:val="22"/>
          <w:lang w:val="en-GB"/>
        </w:rPr>
        <w:t>“drug hotspot.”</w:t>
      </w:r>
      <w:r w:rsidR="0075063B">
        <w:rPr>
          <w:rFonts w:cs="Arial"/>
          <w:bCs/>
          <w:szCs w:val="22"/>
          <w:lang w:val="en-GB"/>
        </w:rPr>
        <w:t xml:space="preserve"> </w:t>
      </w:r>
      <w:r w:rsidR="0075063B" w:rsidRPr="0075063B">
        <w:rPr>
          <w:rFonts w:cs="Arial"/>
          <w:bCs/>
          <w:szCs w:val="22"/>
          <w:lang w:val="en-GB"/>
        </w:rPr>
        <w:t xml:space="preserve">He added that people usually </w:t>
      </w:r>
      <w:r w:rsidR="0014048E">
        <w:rPr>
          <w:rFonts w:cs="Arial"/>
          <w:bCs/>
          <w:szCs w:val="22"/>
          <w:lang w:val="en-GB"/>
        </w:rPr>
        <w:t>bought</w:t>
      </w:r>
      <w:r w:rsidR="0075063B" w:rsidRPr="0075063B">
        <w:rPr>
          <w:rFonts w:cs="Arial"/>
          <w:bCs/>
          <w:szCs w:val="22"/>
          <w:lang w:val="en-GB"/>
        </w:rPr>
        <w:t xml:space="preserve"> to drugs in </w:t>
      </w:r>
      <w:r w:rsidR="00B52CB3">
        <w:rPr>
          <w:rFonts w:cs="Arial"/>
          <w:bCs/>
          <w:szCs w:val="22"/>
          <w:lang w:val="en-GB"/>
        </w:rPr>
        <w:t>Eldorado</w:t>
      </w:r>
      <w:r w:rsidR="0075063B" w:rsidRPr="0075063B">
        <w:rPr>
          <w:rFonts w:cs="Arial"/>
          <w:bCs/>
          <w:szCs w:val="22"/>
          <w:lang w:val="en-GB"/>
        </w:rPr>
        <w:t xml:space="preserve">park and then crossed into </w:t>
      </w:r>
      <w:r w:rsidR="0075063B">
        <w:rPr>
          <w:rFonts w:cs="Arial"/>
          <w:bCs/>
          <w:szCs w:val="22"/>
          <w:lang w:val="en-GB"/>
        </w:rPr>
        <w:t>Klipspruit</w:t>
      </w:r>
      <w:r w:rsidR="0075063B" w:rsidRPr="0075063B">
        <w:rPr>
          <w:rFonts w:cs="Arial"/>
          <w:bCs/>
          <w:szCs w:val="22"/>
          <w:lang w:val="en-GB"/>
        </w:rPr>
        <w:t xml:space="preserve"> using </w:t>
      </w:r>
      <w:r w:rsidR="004716B0">
        <w:rPr>
          <w:rFonts w:cs="Arial"/>
          <w:bCs/>
          <w:szCs w:val="22"/>
          <w:lang w:val="en-GB"/>
        </w:rPr>
        <w:t>t</w:t>
      </w:r>
      <w:r w:rsidR="0075063B" w:rsidRPr="0075063B">
        <w:rPr>
          <w:rFonts w:cs="Arial"/>
          <w:bCs/>
          <w:szCs w:val="22"/>
          <w:lang w:val="en-GB"/>
        </w:rPr>
        <w:t>his roa</w:t>
      </w:r>
      <w:r w:rsidR="0075063B">
        <w:rPr>
          <w:rFonts w:cs="Arial"/>
          <w:bCs/>
          <w:szCs w:val="22"/>
          <w:lang w:val="en-GB"/>
        </w:rPr>
        <w:t xml:space="preserve">d, </w:t>
      </w:r>
      <w:r w:rsidR="0075063B" w:rsidRPr="0075063B">
        <w:rPr>
          <w:rFonts w:cs="Arial"/>
          <w:bCs/>
          <w:szCs w:val="22"/>
          <w:lang w:val="en-GB"/>
        </w:rPr>
        <w:t>the K</w:t>
      </w:r>
      <w:r w:rsidR="003A361B">
        <w:rPr>
          <w:rFonts w:cs="Arial"/>
          <w:bCs/>
          <w:szCs w:val="22"/>
          <w:lang w:val="en-GB"/>
        </w:rPr>
        <w:t>4</w:t>
      </w:r>
      <w:r w:rsidR="00F24C53">
        <w:rPr>
          <w:rFonts w:cs="Arial"/>
          <w:bCs/>
          <w:szCs w:val="22"/>
          <w:lang w:val="en-GB"/>
        </w:rPr>
        <w:t>3</w:t>
      </w:r>
      <w:r w:rsidR="0075063B" w:rsidRPr="0075063B">
        <w:rPr>
          <w:rFonts w:cs="Arial"/>
          <w:bCs/>
          <w:szCs w:val="22"/>
          <w:lang w:val="en-GB"/>
        </w:rPr>
        <w:t>.</w:t>
      </w:r>
    </w:p>
    <w:p w14:paraId="023601AB" w14:textId="184EEE50" w:rsidR="004B192C" w:rsidRPr="004B192C" w:rsidRDefault="00EA270B" w:rsidP="00EA270B">
      <w:pPr>
        <w:widowControl w:val="0"/>
        <w:tabs>
          <w:tab w:val="left" w:pos="567"/>
        </w:tabs>
        <w:spacing w:before="480" w:after="480" w:line="360" w:lineRule="auto"/>
        <w:jc w:val="both"/>
        <w:rPr>
          <w:rFonts w:cs="Arial"/>
          <w:bCs/>
          <w:szCs w:val="22"/>
        </w:rPr>
      </w:pPr>
      <w:r w:rsidRPr="004B192C">
        <w:rPr>
          <w:rFonts w:cs="Arial"/>
          <w:bCs/>
          <w:szCs w:val="22"/>
        </w:rPr>
        <w:t>[14]</w:t>
      </w:r>
      <w:r w:rsidRPr="004B192C">
        <w:rPr>
          <w:rFonts w:cs="Arial"/>
          <w:bCs/>
          <w:szCs w:val="22"/>
        </w:rPr>
        <w:tab/>
      </w:r>
      <w:r w:rsidR="00A55E13" w:rsidRPr="00A55E13">
        <w:rPr>
          <w:rFonts w:cs="Arial"/>
          <w:bCs/>
          <w:szCs w:val="22"/>
          <w:lang w:val="en-GB"/>
        </w:rPr>
        <w:t>During cross examination S</w:t>
      </w:r>
      <w:r w:rsidR="00A55E13">
        <w:rPr>
          <w:rFonts w:cs="Arial"/>
          <w:bCs/>
          <w:szCs w:val="22"/>
          <w:lang w:val="en-GB"/>
        </w:rPr>
        <w:t xml:space="preserve">gt Nkosi </w:t>
      </w:r>
      <w:r w:rsidR="00A55E13" w:rsidRPr="00A55E13">
        <w:rPr>
          <w:rFonts w:cs="Arial"/>
          <w:bCs/>
          <w:szCs w:val="22"/>
          <w:lang w:val="en-GB"/>
        </w:rPr>
        <w:t>testified that he joined the South African Police Service</w:t>
      </w:r>
      <w:r w:rsidR="00A55E13">
        <w:rPr>
          <w:rFonts w:cs="Arial"/>
          <w:bCs/>
          <w:szCs w:val="22"/>
          <w:lang w:val="en-GB"/>
        </w:rPr>
        <w:t xml:space="preserve"> </w:t>
      </w:r>
      <w:r w:rsidR="00A55E13" w:rsidRPr="00A55E13">
        <w:rPr>
          <w:rFonts w:cs="Arial"/>
          <w:bCs/>
          <w:szCs w:val="22"/>
          <w:lang w:val="en-GB"/>
        </w:rPr>
        <w:t>in 2006 and had been</w:t>
      </w:r>
      <w:r w:rsidR="00AC2999">
        <w:rPr>
          <w:rFonts w:cs="Arial"/>
          <w:bCs/>
          <w:szCs w:val="22"/>
          <w:lang w:val="en-GB"/>
        </w:rPr>
        <w:t xml:space="preserve"> stationed</w:t>
      </w:r>
      <w:r w:rsidR="00A55E13" w:rsidRPr="00A55E13">
        <w:rPr>
          <w:rFonts w:cs="Arial"/>
          <w:bCs/>
          <w:szCs w:val="22"/>
          <w:lang w:val="en-GB"/>
        </w:rPr>
        <w:t xml:space="preserve"> at the </w:t>
      </w:r>
      <w:r w:rsidR="00A55E13">
        <w:rPr>
          <w:rFonts w:cs="Arial"/>
          <w:bCs/>
          <w:szCs w:val="22"/>
          <w:lang w:val="en-GB"/>
        </w:rPr>
        <w:t>Kliptown</w:t>
      </w:r>
      <w:r w:rsidR="00A55E13" w:rsidRPr="00A55E13">
        <w:rPr>
          <w:rFonts w:cs="Arial"/>
          <w:bCs/>
          <w:szCs w:val="22"/>
          <w:lang w:val="en-GB"/>
        </w:rPr>
        <w:t xml:space="preserve"> police station since 2007</w:t>
      </w:r>
      <w:r w:rsidR="00A55E13">
        <w:rPr>
          <w:rFonts w:cs="Arial"/>
          <w:bCs/>
          <w:szCs w:val="22"/>
          <w:lang w:val="en-GB"/>
        </w:rPr>
        <w:t>.</w:t>
      </w:r>
      <w:r w:rsidR="00ED57A2">
        <w:rPr>
          <w:rFonts w:cs="Arial"/>
          <w:bCs/>
          <w:szCs w:val="22"/>
          <w:lang w:val="en-GB"/>
        </w:rPr>
        <w:t xml:space="preserve"> </w:t>
      </w:r>
      <w:r w:rsidR="00ED57A2" w:rsidRPr="00ED57A2">
        <w:rPr>
          <w:rFonts w:cs="Arial"/>
          <w:bCs/>
          <w:szCs w:val="22"/>
          <w:lang w:val="en-GB"/>
        </w:rPr>
        <w:t xml:space="preserve">In about 2013 he joined the </w:t>
      </w:r>
      <w:r w:rsidR="00AC2999">
        <w:rPr>
          <w:rFonts w:cs="Arial"/>
          <w:bCs/>
          <w:szCs w:val="22"/>
          <w:lang w:val="en-GB"/>
        </w:rPr>
        <w:t>section</w:t>
      </w:r>
      <w:r w:rsidR="00ED57A2" w:rsidRPr="00ED57A2">
        <w:rPr>
          <w:rFonts w:cs="Arial"/>
          <w:bCs/>
          <w:szCs w:val="22"/>
          <w:lang w:val="en-GB"/>
        </w:rPr>
        <w:t xml:space="preserve"> dealing with drugs and robbery. He confirmed that the</w:t>
      </w:r>
      <w:r w:rsidR="00ED57A2">
        <w:rPr>
          <w:rFonts w:cs="Arial"/>
          <w:bCs/>
          <w:szCs w:val="22"/>
          <w:lang w:val="en-GB"/>
        </w:rPr>
        <w:t xml:space="preserve"> Kliptown </w:t>
      </w:r>
      <w:r w:rsidR="00ED57A2" w:rsidRPr="00ED57A2">
        <w:rPr>
          <w:rFonts w:cs="Arial"/>
          <w:bCs/>
          <w:szCs w:val="22"/>
          <w:lang w:val="en-GB"/>
        </w:rPr>
        <w:t xml:space="preserve">police station </w:t>
      </w:r>
      <w:r w:rsidR="00ED57A2">
        <w:rPr>
          <w:rFonts w:cs="Arial"/>
          <w:bCs/>
          <w:szCs w:val="22"/>
          <w:lang w:val="en-GB"/>
        </w:rPr>
        <w:t>served</w:t>
      </w:r>
      <w:r w:rsidR="00ED57A2" w:rsidRPr="00ED57A2">
        <w:rPr>
          <w:rFonts w:cs="Arial"/>
          <w:bCs/>
          <w:szCs w:val="22"/>
          <w:lang w:val="en-GB"/>
        </w:rPr>
        <w:t xml:space="preserve"> the </w:t>
      </w:r>
      <w:r w:rsidR="00ED57A2">
        <w:rPr>
          <w:rFonts w:cs="Arial"/>
          <w:bCs/>
          <w:szCs w:val="22"/>
          <w:lang w:val="en-GB"/>
        </w:rPr>
        <w:t>Kliptown</w:t>
      </w:r>
      <w:r w:rsidR="00ED57A2" w:rsidRPr="00ED57A2">
        <w:rPr>
          <w:rFonts w:cs="Arial"/>
          <w:bCs/>
          <w:szCs w:val="22"/>
          <w:lang w:val="en-GB"/>
        </w:rPr>
        <w:t xml:space="preserve"> area</w:t>
      </w:r>
      <w:r w:rsidR="00ED57A2">
        <w:rPr>
          <w:rFonts w:cs="Arial"/>
          <w:bCs/>
          <w:szCs w:val="22"/>
          <w:lang w:val="en-GB"/>
        </w:rPr>
        <w:t xml:space="preserve"> </w:t>
      </w:r>
      <w:r w:rsidR="00ED57A2" w:rsidRPr="00ED57A2">
        <w:rPr>
          <w:rFonts w:cs="Arial"/>
          <w:bCs/>
          <w:szCs w:val="22"/>
          <w:lang w:val="en-GB"/>
        </w:rPr>
        <w:t xml:space="preserve">and a </w:t>
      </w:r>
      <w:r w:rsidR="0014048E">
        <w:rPr>
          <w:rFonts w:cs="Arial"/>
          <w:bCs/>
          <w:szCs w:val="22"/>
          <w:lang w:val="en-GB"/>
        </w:rPr>
        <w:t>section</w:t>
      </w:r>
      <w:r w:rsidR="00ED57A2" w:rsidRPr="00ED57A2">
        <w:rPr>
          <w:rFonts w:cs="Arial"/>
          <w:bCs/>
          <w:szCs w:val="22"/>
          <w:lang w:val="en-GB"/>
        </w:rPr>
        <w:t xml:space="preserve"> of </w:t>
      </w:r>
      <w:r w:rsidR="00ED57A2">
        <w:rPr>
          <w:rFonts w:cs="Arial"/>
          <w:bCs/>
          <w:szCs w:val="22"/>
          <w:lang w:val="en-GB"/>
        </w:rPr>
        <w:t>Eldorado</w:t>
      </w:r>
      <w:r w:rsidR="00ED57A2" w:rsidRPr="00ED57A2">
        <w:rPr>
          <w:rFonts w:cs="Arial"/>
          <w:bCs/>
          <w:szCs w:val="22"/>
          <w:lang w:val="en-GB"/>
        </w:rPr>
        <w:t xml:space="preserve"> Park</w:t>
      </w:r>
      <w:r w:rsidR="00ED57A2">
        <w:rPr>
          <w:rFonts w:cs="Arial"/>
          <w:bCs/>
          <w:szCs w:val="22"/>
          <w:lang w:val="en-GB"/>
        </w:rPr>
        <w:t xml:space="preserve">. </w:t>
      </w:r>
    </w:p>
    <w:p w14:paraId="393D9122" w14:textId="0AAFE0C7" w:rsidR="00A55E13" w:rsidRPr="00ED57A2" w:rsidRDefault="00EA270B" w:rsidP="00EA270B">
      <w:pPr>
        <w:widowControl w:val="0"/>
        <w:tabs>
          <w:tab w:val="left" w:pos="567"/>
        </w:tabs>
        <w:spacing w:before="480" w:after="480" w:line="360" w:lineRule="auto"/>
        <w:jc w:val="both"/>
        <w:rPr>
          <w:rFonts w:cs="Arial"/>
          <w:bCs/>
          <w:szCs w:val="22"/>
        </w:rPr>
      </w:pPr>
      <w:r w:rsidRPr="00ED57A2">
        <w:rPr>
          <w:rFonts w:cs="Arial"/>
          <w:bCs/>
          <w:szCs w:val="22"/>
        </w:rPr>
        <w:t>[15]</w:t>
      </w:r>
      <w:r w:rsidRPr="00ED57A2">
        <w:rPr>
          <w:rFonts w:cs="Arial"/>
          <w:bCs/>
          <w:szCs w:val="22"/>
        </w:rPr>
        <w:tab/>
      </w:r>
      <w:r w:rsidR="00ED57A2" w:rsidRPr="00ED57A2">
        <w:rPr>
          <w:rFonts w:cs="Arial"/>
          <w:bCs/>
          <w:szCs w:val="22"/>
          <w:lang w:val="en-GB"/>
        </w:rPr>
        <w:t>When it was put to him that they were three police officers in the vehicle and not t</w:t>
      </w:r>
      <w:r w:rsidR="00ED57A2">
        <w:rPr>
          <w:rFonts w:cs="Arial"/>
          <w:bCs/>
          <w:szCs w:val="22"/>
          <w:lang w:val="en-GB"/>
        </w:rPr>
        <w:t xml:space="preserve">wo, </w:t>
      </w:r>
      <w:r w:rsidR="00ED57A2" w:rsidRPr="00ED57A2">
        <w:rPr>
          <w:rFonts w:cs="Arial"/>
          <w:bCs/>
          <w:szCs w:val="22"/>
          <w:lang w:val="en-GB"/>
        </w:rPr>
        <w:t>he replied that he could not be sure but that</w:t>
      </w:r>
      <w:r w:rsidR="00ED57A2">
        <w:rPr>
          <w:rFonts w:cs="Arial"/>
          <w:bCs/>
          <w:szCs w:val="22"/>
          <w:lang w:val="en-GB"/>
        </w:rPr>
        <w:t xml:space="preserve"> they </w:t>
      </w:r>
      <w:r w:rsidR="00ED57A2" w:rsidRPr="00ED57A2">
        <w:rPr>
          <w:rFonts w:cs="Arial"/>
          <w:bCs/>
          <w:szCs w:val="22"/>
          <w:lang w:val="en-GB"/>
        </w:rPr>
        <w:t>usually patrolled in pa</w:t>
      </w:r>
      <w:r w:rsidR="00ED57A2">
        <w:rPr>
          <w:rFonts w:cs="Arial"/>
          <w:bCs/>
          <w:szCs w:val="22"/>
          <w:lang w:val="en-GB"/>
        </w:rPr>
        <w:t>irs a</w:t>
      </w:r>
      <w:r w:rsidR="00ED57A2" w:rsidRPr="00ED57A2">
        <w:rPr>
          <w:rFonts w:cs="Arial"/>
          <w:bCs/>
          <w:szCs w:val="22"/>
          <w:lang w:val="en-GB"/>
        </w:rPr>
        <w:t>nd that he could not remember or recall a third officer in the vehicle</w:t>
      </w:r>
      <w:r w:rsidR="00ED57A2">
        <w:rPr>
          <w:rFonts w:cs="Arial"/>
          <w:bCs/>
          <w:szCs w:val="22"/>
          <w:lang w:val="en-GB"/>
        </w:rPr>
        <w:t xml:space="preserve">. </w:t>
      </w:r>
      <w:r w:rsidR="00ED57A2" w:rsidRPr="00ED57A2">
        <w:rPr>
          <w:rFonts w:cs="Arial"/>
          <w:bCs/>
          <w:szCs w:val="22"/>
          <w:lang w:val="en-GB"/>
        </w:rPr>
        <w:t xml:space="preserve">On occasion </w:t>
      </w:r>
      <w:r w:rsidR="007D181F">
        <w:rPr>
          <w:rFonts w:cs="Arial"/>
          <w:bCs/>
          <w:szCs w:val="22"/>
          <w:lang w:val="en-GB"/>
        </w:rPr>
        <w:t xml:space="preserve">however </w:t>
      </w:r>
      <w:r w:rsidR="00ED57A2" w:rsidRPr="00ED57A2">
        <w:rPr>
          <w:rFonts w:cs="Arial"/>
          <w:bCs/>
          <w:szCs w:val="22"/>
          <w:lang w:val="en-GB"/>
        </w:rPr>
        <w:t>there would be more than two police officers in a vehicle.</w:t>
      </w:r>
      <w:r w:rsidR="00ED57A2">
        <w:rPr>
          <w:rFonts w:cs="Arial"/>
          <w:bCs/>
          <w:szCs w:val="22"/>
          <w:lang w:val="en-GB"/>
        </w:rPr>
        <w:t xml:space="preserve"> </w:t>
      </w:r>
      <w:r w:rsidR="00ED57A2" w:rsidRPr="00ED57A2">
        <w:rPr>
          <w:rFonts w:cs="Arial"/>
          <w:bCs/>
          <w:szCs w:val="22"/>
          <w:lang w:val="en-GB"/>
        </w:rPr>
        <w:t>He also confirmed that</w:t>
      </w:r>
      <w:r w:rsidR="00ED57A2">
        <w:rPr>
          <w:rFonts w:cs="Arial"/>
          <w:bCs/>
          <w:szCs w:val="22"/>
          <w:lang w:val="en-GB"/>
        </w:rPr>
        <w:t xml:space="preserve"> </w:t>
      </w:r>
      <w:r w:rsidR="00ED57A2" w:rsidRPr="00ED57A2">
        <w:rPr>
          <w:rFonts w:cs="Arial"/>
          <w:bCs/>
          <w:szCs w:val="22"/>
          <w:lang w:val="en-GB"/>
        </w:rPr>
        <w:t xml:space="preserve">they often wore plain clothes </w:t>
      </w:r>
      <w:r w:rsidR="0014048E">
        <w:rPr>
          <w:rFonts w:cs="Arial"/>
          <w:bCs/>
          <w:szCs w:val="22"/>
          <w:lang w:val="en-GB"/>
        </w:rPr>
        <w:t>when</w:t>
      </w:r>
      <w:r w:rsidR="00ED57A2" w:rsidRPr="00ED57A2">
        <w:rPr>
          <w:rFonts w:cs="Arial"/>
          <w:bCs/>
          <w:szCs w:val="22"/>
          <w:lang w:val="en-GB"/>
        </w:rPr>
        <w:t xml:space="preserve"> on patrol</w:t>
      </w:r>
      <w:r w:rsidR="0075063B" w:rsidRPr="0075063B">
        <w:rPr>
          <w:rFonts w:cs="Arial"/>
          <w:bCs/>
          <w:szCs w:val="22"/>
          <w:lang w:val="en-GB"/>
        </w:rPr>
        <w:t xml:space="preserve"> but he could not recall whether they were in uniform on this occasion</w:t>
      </w:r>
      <w:r w:rsidR="00ED57A2">
        <w:rPr>
          <w:rFonts w:cs="Arial"/>
          <w:bCs/>
          <w:szCs w:val="22"/>
          <w:lang w:val="en-GB"/>
        </w:rPr>
        <w:t>.</w:t>
      </w:r>
    </w:p>
    <w:p w14:paraId="340B230E" w14:textId="4A99D5E7" w:rsidR="00ED57A2" w:rsidRPr="007E68AA" w:rsidRDefault="00EA270B" w:rsidP="00EA270B">
      <w:pPr>
        <w:widowControl w:val="0"/>
        <w:tabs>
          <w:tab w:val="left" w:pos="567"/>
        </w:tabs>
        <w:spacing w:before="480" w:after="480" w:line="360" w:lineRule="auto"/>
        <w:jc w:val="both"/>
        <w:rPr>
          <w:rFonts w:cs="Arial"/>
          <w:bCs/>
          <w:szCs w:val="22"/>
        </w:rPr>
      </w:pPr>
      <w:r w:rsidRPr="007E68AA">
        <w:rPr>
          <w:rFonts w:cs="Arial"/>
          <w:bCs/>
          <w:szCs w:val="22"/>
        </w:rPr>
        <w:t>[16]</w:t>
      </w:r>
      <w:r w:rsidRPr="007E68AA">
        <w:rPr>
          <w:rFonts w:cs="Arial"/>
          <w:bCs/>
          <w:szCs w:val="22"/>
        </w:rPr>
        <w:tab/>
      </w:r>
      <w:r w:rsidR="00ED57A2" w:rsidRPr="00ED57A2">
        <w:rPr>
          <w:rFonts w:cs="Arial"/>
          <w:bCs/>
          <w:szCs w:val="22"/>
          <w:lang w:val="en-GB"/>
        </w:rPr>
        <w:t xml:space="preserve">It was put to him that the plaintiff was not in the company of a third party prior to the arrest and that while he </w:t>
      </w:r>
      <w:r w:rsidR="00ED57A2">
        <w:rPr>
          <w:rFonts w:cs="Arial"/>
          <w:bCs/>
          <w:szCs w:val="22"/>
          <w:lang w:val="en-GB"/>
        </w:rPr>
        <w:t xml:space="preserve">(Sgt Nkosi) </w:t>
      </w:r>
      <w:r w:rsidR="00ED57A2" w:rsidRPr="00ED57A2">
        <w:rPr>
          <w:rFonts w:cs="Arial"/>
          <w:bCs/>
          <w:szCs w:val="22"/>
          <w:lang w:val="en-GB"/>
        </w:rPr>
        <w:t>was the driver of the car</w:t>
      </w:r>
      <w:r w:rsidR="008A4C8C">
        <w:rPr>
          <w:rFonts w:cs="Arial"/>
          <w:bCs/>
          <w:szCs w:val="22"/>
          <w:lang w:val="en-GB"/>
        </w:rPr>
        <w:t>,</w:t>
      </w:r>
      <w:r w:rsidR="00ED57A2" w:rsidRPr="00ED57A2">
        <w:rPr>
          <w:rFonts w:cs="Arial"/>
          <w:bCs/>
          <w:szCs w:val="22"/>
          <w:lang w:val="en-GB"/>
        </w:rPr>
        <w:t xml:space="preserve"> he was not the arresting officer. It was also put to him that the plaintiff was not found with drugs in his</w:t>
      </w:r>
      <w:r w:rsidR="00ED57A2">
        <w:rPr>
          <w:rFonts w:cs="Arial"/>
          <w:bCs/>
          <w:szCs w:val="22"/>
          <w:lang w:val="en-GB"/>
        </w:rPr>
        <w:t xml:space="preserve"> possession</w:t>
      </w:r>
      <w:r w:rsidR="0075063B">
        <w:rPr>
          <w:rFonts w:cs="Arial"/>
          <w:bCs/>
          <w:szCs w:val="22"/>
          <w:lang w:val="en-GB"/>
        </w:rPr>
        <w:t xml:space="preserve">, </w:t>
      </w:r>
      <w:r w:rsidR="0075063B" w:rsidRPr="0075063B">
        <w:rPr>
          <w:rFonts w:cs="Arial"/>
          <w:bCs/>
          <w:szCs w:val="22"/>
          <w:lang w:val="en-GB"/>
        </w:rPr>
        <w:t>that his rights where never</w:t>
      </w:r>
      <w:r w:rsidR="0075063B">
        <w:rPr>
          <w:rFonts w:cs="Arial"/>
          <w:bCs/>
          <w:szCs w:val="22"/>
          <w:lang w:val="en-GB"/>
        </w:rPr>
        <w:t xml:space="preserve"> </w:t>
      </w:r>
      <w:r w:rsidR="0075063B" w:rsidRPr="0075063B">
        <w:rPr>
          <w:rFonts w:cs="Arial"/>
          <w:bCs/>
          <w:szCs w:val="22"/>
          <w:lang w:val="en-GB"/>
        </w:rPr>
        <w:t>explained to him</w:t>
      </w:r>
      <w:r w:rsidR="0075063B">
        <w:rPr>
          <w:rFonts w:cs="Arial"/>
          <w:bCs/>
          <w:szCs w:val="22"/>
          <w:lang w:val="en-GB"/>
        </w:rPr>
        <w:t>,</w:t>
      </w:r>
      <w:r w:rsidR="00535624">
        <w:rPr>
          <w:rFonts w:cs="Arial"/>
          <w:bCs/>
          <w:szCs w:val="22"/>
          <w:lang w:val="en-GB"/>
        </w:rPr>
        <w:t xml:space="preserve"> </w:t>
      </w:r>
      <w:r w:rsidR="00535624" w:rsidRPr="00535624">
        <w:rPr>
          <w:rFonts w:cs="Arial"/>
          <w:bCs/>
          <w:szCs w:val="22"/>
          <w:lang w:val="en-GB"/>
        </w:rPr>
        <w:t>and that when the plaintiff insisted on identification of the police officers who were wearing plain clothes</w:t>
      </w:r>
      <w:r w:rsidR="00535624">
        <w:rPr>
          <w:rFonts w:cs="Arial"/>
          <w:bCs/>
          <w:szCs w:val="22"/>
          <w:lang w:val="en-GB"/>
        </w:rPr>
        <w:t>,</w:t>
      </w:r>
      <w:r w:rsidR="00535624" w:rsidRPr="00535624">
        <w:rPr>
          <w:rFonts w:cs="Arial"/>
          <w:bCs/>
          <w:szCs w:val="22"/>
          <w:lang w:val="en-GB"/>
        </w:rPr>
        <w:t xml:space="preserve"> the police officers told him </w:t>
      </w:r>
      <w:r w:rsidR="00535624">
        <w:rPr>
          <w:rFonts w:cs="Arial"/>
          <w:bCs/>
          <w:szCs w:val="22"/>
          <w:lang w:val="en-GB"/>
        </w:rPr>
        <w:t>(</w:t>
      </w:r>
      <w:r w:rsidR="00535624" w:rsidRPr="00535624">
        <w:rPr>
          <w:rFonts w:cs="Arial"/>
          <w:bCs/>
          <w:szCs w:val="22"/>
          <w:lang w:val="en-GB"/>
        </w:rPr>
        <w:t>and I paraphrase</w:t>
      </w:r>
      <w:r w:rsidR="00535624">
        <w:rPr>
          <w:rFonts w:cs="Arial"/>
          <w:bCs/>
          <w:szCs w:val="22"/>
          <w:lang w:val="en-GB"/>
        </w:rPr>
        <w:t xml:space="preserve">) </w:t>
      </w:r>
      <w:r w:rsidR="00535624" w:rsidRPr="00535624">
        <w:rPr>
          <w:rFonts w:cs="Arial"/>
          <w:bCs/>
          <w:szCs w:val="22"/>
          <w:lang w:val="en-GB"/>
        </w:rPr>
        <w:t>that</w:t>
      </w:r>
      <w:r w:rsidR="00535624">
        <w:rPr>
          <w:rFonts w:cs="Arial"/>
          <w:bCs/>
          <w:szCs w:val="22"/>
          <w:lang w:val="en-GB"/>
        </w:rPr>
        <w:t xml:space="preserve"> </w:t>
      </w:r>
      <w:r w:rsidR="0014048E" w:rsidRPr="0014048E">
        <w:rPr>
          <w:rFonts w:cs="Arial"/>
          <w:bCs/>
          <w:i/>
          <w:iCs/>
          <w:szCs w:val="22"/>
          <w:lang w:val="en-GB"/>
        </w:rPr>
        <w:t>“you think you are clever, can you not see that we are in a Police vehicle”</w:t>
      </w:r>
      <w:r w:rsidR="00535624">
        <w:rPr>
          <w:rFonts w:cs="Arial"/>
          <w:bCs/>
          <w:szCs w:val="22"/>
          <w:lang w:val="en-GB"/>
        </w:rPr>
        <w:t xml:space="preserve"> </w:t>
      </w:r>
      <w:r w:rsidR="00680D47">
        <w:rPr>
          <w:rFonts w:cs="Arial"/>
          <w:bCs/>
          <w:szCs w:val="22"/>
          <w:lang w:val="en-GB"/>
        </w:rPr>
        <w:t>t</w:t>
      </w:r>
      <w:r w:rsidR="00535624" w:rsidRPr="00535624">
        <w:rPr>
          <w:rFonts w:cs="Arial"/>
          <w:bCs/>
          <w:szCs w:val="22"/>
          <w:lang w:val="en-GB"/>
        </w:rPr>
        <w:t>o which the plaintiff responded that people who were not police officers were often driving around in vehicles</w:t>
      </w:r>
      <w:r w:rsidR="00535624">
        <w:rPr>
          <w:rFonts w:cs="Arial"/>
          <w:bCs/>
          <w:szCs w:val="22"/>
          <w:lang w:val="en-GB"/>
        </w:rPr>
        <w:t xml:space="preserve"> </w:t>
      </w:r>
      <w:r w:rsidR="00535624" w:rsidRPr="00535624">
        <w:rPr>
          <w:rFonts w:cs="Arial"/>
          <w:bCs/>
          <w:szCs w:val="22"/>
          <w:lang w:val="en-GB"/>
        </w:rPr>
        <w:t>carrying police markings</w:t>
      </w:r>
      <w:r w:rsidR="00ED57A2">
        <w:rPr>
          <w:rFonts w:cs="Arial"/>
          <w:bCs/>
          <w:szCs w:val="22"/>
          <w:lang w:val="en-GB"/>
        </w:rPr>
        <w:t xml:space="preserve">. </w:t>
      </w:r>
      <w:r w:rsidR="00535624">
        <w:rPr>
          <w:rFonts w:cs="Arial"/>
          <w:bCs/>
          <w:szCs w:val="22"/>
          <w:lang w:val="en-GB"/>
        </w:rPr>
        <w:t xml:space="preserve">Sgt Nkosi </w:t>
      </w:r>
      <w:r w:rsidR="00535624" w:rsidRPr="00535624">
        <w:rPr>
          <w:rFonts w:cs="Arial"/>
          <w:bCs/>
          <w:szCs w:val="22"/>
          <w:lang w:val="en-GB"/>
        </w:rPr>
        <w:t>disputed this conversation and</w:t>
      </w:r>
      <w:r w:rsidR="00535624">
        <w:rPr>
          <w:rFonts w:cs="Arial"/>
          <w:bCs/>
          <w:szCs w:val="22"/>
          <w:lang w:val="en-GB"/>
        </w:rPr>
        <w:t xml:space="preserve"> </w:t>
      </w:r>
      <w:r w:rsidR="00ED57A2" w:rsidRPr="00ED57A2">
        <w:rPr>
          <w:rFonts w:cs="Arial"/>
          <w:bCs/>
          <w:szCs w:val="22"/>
          <w:lang w:val="en-GB"/>
        </w:rPr>
        <w:t>reiterated his own version of events</w:t>
      </w:r>
      <w:r w:rsidR="00ED57A2">
        <w:rPr>
          <w:rFonts w:cs="Arial"/>
          <w:bCs/>
          <w:szCs w:val="22"/>
          <w:lang w:val="en-GB"/>
        </w:rPr>
        <w:t xml:space="preserve">. </w:t>
      </w:r>
    </w:p>
    <w:p w14:paraId="6B058EB1" w14:textId="1CFA54F4" w:rsidR="007E68AA" w:rsidRDefault="00EA270B" w:rsidP="00EA270B">
      <w:pPr>
        <w:widowControl w:val="0"/>
        <w:tabs>
          <w:tab w:val="left" w:pos="567"/>
        </w:tabs>
        <w:spacing w:before="480" w:after="480" w:line="360" w:lineRule="auto"/>
        <w:jc w:val="both"/>
        <w:rPr>
          <w:rFonts w:cs="Arial"/>
          <w:bCs/>
          <w:szCs w:val="22"/>
        </w:rPr>
      </w:pPr>
      <w:r>
        <w:rPr>
          <w:rFonts w:cs="Arial"/>
          <w:bCs/>
          <w:szCs w:val="22"/>
        </w:rPr>
        <w:t>[17]</w:t>
      </w:r>
      <w:r>
        <w:rPr>
          <w:rFonts w:cs="Arial"/>
          <w:bCs/>
          <w:szCs w:val="22"/>
        </w:rPr>
        <w:tab/>
      </w:r>
      <w:r w:rsidR="007E68AA">
        <w:rPr>
          <w:rFonts w:cs="Arial"/>
          <w:bCs/>
          <w:szCs w:val="22"/>
          <w:lang w:val="en-GB"/>
        </w:rPr>
        <w:t xml:space="preserve">I found Sgt Nkosi to be a reliable witness. He readily conceded that his memory was sketchy eight years after the events took place but he was adamant about the essential facts, namely that he arrested the plaintiff for possession of what he (an </w:t>
      </w:r>
      <w:r w:rsidR="007E68AA">
        <w:rPr>
          <w:rFonts w:cs="Arial"/>
          <w:bCs/>
          <w:szCs w:val="22"/>
          <w:lang w:val="en-GB"/>
        </w:rPr>
        <w:lastRenderedPageBreak/>
        <w:t>experienced policeman) regarded as a Mandrax tablet.</w:t>
      </w:r>
    </w:p>
    <w:p w14:paraId="2900AE1D" w14:textId="622ABF50" w:rsidR="00B35EFB" w:rsidRPr="00831481" w:rsidRDefault="00EA270B" w:rsidP="00EA270B">
      <w:pPr>
        <w:widowControl w:val="0"/>
        <w:tabs>
          <w:tab w:val="left" w:pos="567"/>
        </w:tabs>
        <w:spacing w:before="480" w:after="480" w:line="360" w:lineRule="auto"/>
        <w:jc w:val="both"/>
        <w:rPr>
          <w:rFonts w:cs="Arial"/>
          <w:bCs/>
          <w:szCs w:val="22"/>
        </w:rPr>
      </w:pPr>
      <w:r w:rsidRPr="00831481">
        <w:rPr>
          <w:rFonts w:cs="Arial"/>
          <w:bCs/>
          <w:szCs w:val="22"/>
        </w:rPr>
        <w:t>[18]</w:t>
      </w:r>
      <w:r w:rsidRPr="00831481">
        <w:rPr>
          <w:rFonts w:cs="Arial"/>
          <w:bCs/>
          <w:szCs w:val="22"/>
        </w:rPr>
        <w:tab/>
      </w:r>
      <w:r w:rsidR="00050DA2">
        <w:rPr>
          <w:rFonts w:cs="Arial"/>
          <w:bCs/>
          <w:szCs w:val="22"/>
        </w:rPr>
        <w:t xml:space="preserve">Sgt </w:t>
      </w:r>
      <w:r w:rsidR="004716B0">
        <w:rPr>
          <w:rFonts w:cs="Arial"/>
          <w:bCs/>
          <w:szCs w:val="22"/>
        </w:rPr>
        <w:t>Maluleke</w:t>
      </w:r>
      <w:r w:rsidR="00050DA2">
        <w:rPr>
          <w:rFonts w:cs="Arial"/>
          <w:bCs/>
          <w:szCs w:val="22"/>
        </w:rPr>
        <w:t xml:space="preserve"> </w:t>
      </w:r>
      <w:r w:rsidR="00831481" w:rsidRPr="00831481">
        <w:rPr>
          <w:rFonts w:cs="Arial"/>
          <w:bCs/>
          <w:szCs w:val="22"/>
          <w:lang w:val="en-GB"/>
        </w:rPr>
        <w:t xml:space="preserve">was the second witness called by the defendant. </w:t>
      </w:r>
      <w:r w:rsidR="0014048E">
        <w:rPr>
          <w:rFonts w:cs="Arial"/>
          <w:bCs/>
          <w:szCs w:val="22"/>
          <w:lang w:val="en-GB"/>
        </w:rPr>
        <w:t>He</w:t>
      </w:r>
      <w:r w:rsidR="00831481" w:rsidRPr="00831481">
        <w:rPr>
          <w:rFonts w:cs="Arial"/>
          <w:bCs/>
          <w:szCs w:val="22"/>
          <w:lang w:val="en-GB"/>
        </w:rPr>
        <w:t xml:space="preserve"> testified that he was in the vehicle</w:t>
      </w:r>
      <w:r w:rsidR="00831481">
        <w:rPr>
          <w:rFonts w:cs="Arial"/>
          <w:bCs/>
          <w:szCs w:val="22"/>
          <w:lang w:val="en-GB"/>
        </w:rPr>
        <w:t xml:space="preserve"> </w:t>
      </w:r>
      <w:r w:rsidR="00831481" w:rsidRPr="00831481">
        <w:rPr>
          <w:rFonts w:cs="Arial"/>
          <w:bCs/>
          <w:szCs w:val="22"/>
          <w:lang w:val="en-GB"/>
        </w:rPr>
        <w:t xml:space="preserve">with </w:t>
      </w:r>
      <w:r w:rsidR="00831481">
        <w:rPr>
          <w:rFonts w:cs="Arial"/>
          <w:bCs/>
          <w:szCs w:val="22"/>
          <w:lang w:val="en-GB"/>
        </w:rPr>
        <w:t>Sgt Nkosi</w:t>
      </w:r>
      <w:r w:rsidR="00831481" w:rsidRPr="00831481">
        <w:rPr>
          <w:rFonts w:cs="Arial"/>
          <w:bCs/>
          <w:szCs w:val="22"/>
          <w:lang w:val="en-GB"/>
        </w:rPr>
        <w:t xml:space="preserve"> when</w:t>
      </w:r>
      <w:r w:rsidR="00831481">
        <w:rPr>
          <w:rFonts w:cs="Arial"/>
          <w:bCs/>
          <w:szCs w:val="22"/>
          <w:lang w:val="en-GB"/>
        </w:rPr>
        <w:t xml:space="preserve"> Sgt Nkosi </w:t>
      </w:r>
      <w:r w:rsidR="00831481" w:rsidRPr="00831481">
        <w:rPr>
          <w:rFonts w:cs="Arial"/>
          <w:bCs/>
          <w:szCs w:val="22"/>
          <w:lang w:val="en-GB"/>
        </w:rPr>
        <w:t xml:space="preserve">first saw the plaintiff running away. He also </w:t>
      </w:r>
      <w:r w:rsidR="0014048E">
        <w:rPr>
          <w:rFonts w:cs="Arial"/>
          <w:bCs/>
          <w:szCs w:val="22"/>
          <w:lang w:val="en-GB"/>
        </w:rPr>
        <w:t>alighted</w:t>
      </w:r>
      <w:r w:rsidR="00831481" w:rsidRPr="00831481">
        <w:rPr>
          <w:rFonts w:cs="Arial"/>
          <w:bCs/>
          <w:szCs w:val="22"/>
          <w:lang w:val="en-GB"/>
        </w:rPr>
        <w:t xml:space="preserve"> from the vehicle and followed</w:t>
      </w:r>
      <w:r w:rsidR="00831481">
        <w:rPr>
          <w:rFonts w:cs="Arial"/>
          <w:bCs/>
          <w:szCs w:val="22"/>
          <w:lang w:val="en-GB"/>
        </w:rPr>
        <w:t xml:space="preserve"> Sgt Nkosi</w:t>
      </w:r>
      <w:r w:rsidR="00831481" w:rsidRPr="00831481">
        <w:rPr>
          <w:rFonts w:cs="Arial"/>
          <w:bCs/>
          <w:szCs w:val="22"/>
          <w:lang w:val="en-GB"/>
        </w:rPr>
        <w:t xml:space="preserve"> who apprehended the suspect. He stood close behind</w:t>
      </w:r>
      <w:r w:rsidR="00831481">
        <w:rPr>
          <w:rFonts w:cs="Arial"/>
          <w:bCs/>
          <w:szCs w:val="22"/>
          <w:lang w:val="en-GB"/>
        </w:rPr>
        <w:t xml:space="preserve"> Sgt Nkosi </w:t>
      </w:r>
      <w:r w:rsidR="00831481" w:rsidRPr="00831481">
        <w:rPr>
          <w:rFonts w:cs="Arial"/>
          <w:bCs/>
          <w:szCs w:val="22"/>
          <w:lang w:val="en-GB"/>
        </w:rPr>
        <w:t>when</w:t>
      </w:r>
      <w:r w:rsidR="00831481">
        <w:rPr>
          <w:rFonts w:cs="Arial"/>
          <w:bCs/>
          <w:szCs w:val="22"/>
          <w:lang w:val="en-GB"/>
        </w:rPr>
        <w:t xml:space="preserve"> </w:t>
      </w:r>
      <w:r w:rsidR="00B13150">
        <w:rPr>
          <w:rFonts w:cs="Arial"/>
          <w:bCs/>
          <w:szCs w:val="22"/>
          <w:lang w:val="en-GB"/>
        </w:rPr>
        <w:t>they</w:t>
      </w:r>
      <w:r w:rsidR="00831481" w:rsidRPr="00831481">
        <w:rPr>
          <w:rFonts w:cs="Arial"/>
          <w:bCs/>
          <w:szCs w:val="22"/>
          <w:lang w:val="en-GB"/>
        </w:rPr>
        <w:t xml:space="preserve"> saw the tablet that was confiscated</w:t>
      </w:r>
      <w:r w:rsidR="00831481">
        <w:rPr>
          <w:rFonts w:cs="Arial"/>
          <w:bCs/>
          <w:szCs w:val="22"/>
          <w:lang w:val="en-GB"/>
        </w:rPr>
        <w:t xml:space="preserve">. </w:t>
      </w:r>
      <w:r w:rsidR="00831481" w:rsidRPr="00831481">
        <w:rPr>
          <w:rFonts w:cs="Arial"/>
          <w:bCs/>
          <w:szCs w:val="22"/>
          <w:lang w:val="en-GB"/>
        </w:rPr>
        <w:t>When they drove to the police station he was sitting in the back of the vehicle with the plaintiff</w:t>
      </w:r>
      <w:r w:rsidR="00831481">
        <w:rPr>
          <w:rFonts w:cs="Arial"/>
          <w:bCs/>
          <w:szCs w:val="22"/>
          <w:lang w:val="en-GB"/>
        </w:rPr>
        <w:t xml:space="preserve">. </w:t>
      </w:r>
      <w:r w:rsidR="00831481" w:rsidRPr="00831481">
        <w:rPr>
          <w:rFonts w:cs="Arial"/>
          <w:bCs/>
          <w:szCs w:val="22"/>
          <w:lang w:val="en-GB"/>
        </w:rPr>
        <w:t>He was</w:t>
      </w:r>
      <w:r w:rsidR="00831481">
        <w:rPr>
          <w:rFonts w:cs="Arial"/>
          <w:bCs/>
          <w:szCs w:val="22"/>
          <w:lang w:val="en-GB"/>
        </w:rPr>
        <w:t xml:space="preserve"> un</w:t>
      </w:r>
      <w:r w:rsidR="00831481" w:rsidRPr="00831481">
        <w:rPr>
          <w:rFonts w:cs="Arial"/>
          <w:bCs/>
          <w:szCs w:val="22"/>
          <w:lang w:val="en-GB"/>
        </w:rPr>
        <w:t xml:space="preserve">certain whether they may have been a third policeman with them </w:t>
      </w:r>
      <w:r w:rsidR="00180FC9">
        <w:rPr>
          <w:rFonts w:cs="Arial"/>
          <w:bCs/>
          <w:szCs w:val="22"/>
          <w:lang w:val="en-GB"/>
        </w:rPr>
        <w:t>but</w:t>
      </w:r>
      <w:r w:rsidR="00831481" w:rsidRPr="00831481">
        <w:rPr>
          <w:rFonts w:cs="Arial"/>
          <w:bCs/>
          <w:szCs w:val="22"/>
          <w:lang w:val="en-GB"/>
        </w:rPr>
        <w:t xml:space="preserve"> testified that they were normally two policemen in </w:t>
      </w:r>
      <w:r w:rsidR="0014048E">
        <w:rPr>
          <w:rFonts w:cs="Arial"/>
          <w:bCs/>
          <w:szCs w:val="22"/>
          <w:lang w:val="en-GB"/>
        </w:rPr>
        <w:t>a</w:t>
      </w:r>
      <w:r w:rsidR="00831481" w:rsidRPr="00831481">
        <w:rPr>
          <w:rFonts w:cs="Arial"/>
          <w:bCs/>
          <w:szCs w:val="22"/>
          <w:lang w:val="en-GB"/>
        </w:rPr>
        <w:t xml:space="preserve"> vehicle.</w:t>
      </w:r>
      <w:r w:rsidR="00831481">
        <w:rPr>
          <w:rFonts w:cs="Arial"/>
          <w:bCs/>
          <w:szCs w:val="22"/>
          <w:lang w:val="en-GB"/>
        </w:rPr>
        <w:t xml:space="preserve"> </w:t>
      </w:r>
      <w:r w:rsidR="00831481" w:rsidRPr="00831481">
        <w:rPr>
          <w:rFonts w:cs="Arial"/>
          <w:bCs/>
          <w:szCs w:val="22"/>
          <w:lang w:val="en-GB"/>
        </w:rPr>
        <w:t xml:space="preserve">He was also </w:t>
      </w:r>
      <w:r w:rsidR="0014048E">
        <w:rPr>
          <w:rFonts w:cs="Arial"/>
          <w:bCs/>
          <w:szCs w:val="22"/>
          <w:lang w:val="en-GB"/>
        </w:rPr>
        <w:t xml:space="preserve">not </w:t>
      </w:r>
      <w:r w:rsidR="00831481" w:rsidRPr="00831481">
        <w:rPr>
          <w:rFonts w:cs="Arial"/>
          <w:bCs/>
          <w:szCs w:val="22"/>
          <w:lang w:val="en-GB"/>
        </w:rPr>
        <w:t xml:space="preserve">sure </w:t>
      </w:r>
      <w:r w:rsidR="0014048E">
        <w:rPr>
          <w:rFonts w:cs="Arial"/>
          <w:bCs/>
          <w:szCs w:val="22"/>
          <w:lang w:val="en-GB"/>
        </w:rPr>
        <w:t>whether</w:t>
      </w:r>
      <w:r w:rsidR="00831481" w:rsidRPr="00831481">
        <w:rPr>
          <w:rFonts w:cs="Arial"/>
          <w:bCs/>
          <w:szCs w:val="22"/>
          <w:lang w:val="en-GB"/>
        </w:rPr>
        <w:t xml:space="preserve"> they were in uniform on that particular day as they ofte</w:t>
      </w:r>
      <w:r w:rsidR="00180FC9">
        <w:rPr>
          <w:rFonts w:cs="Arial"/>
          <w:bCs/>
          <w:szCs w:val="22"/>
          <w:lang w:val="en-GB"/>
        </w:rPr>
        <w:t xml:space="preserve">n </w:t>
      </w:r>
      <w:r w:rsidR="00831481" w:rsidRPr="00831481">
        <w:rPr>
          <w:rFonts w:cs="Arial"/>
          <w:bCs/>
          <w:szCs w:val="22"/>
          <w:lang w:val="en-GB"/>
        </w:rPr>
        <w:t>wore plain clothes.</w:t>
      </w:r>
      <w:r w:rsidR="006C45FC" w:rsidRPr="006C45FC">
        <w:rPr>
          <w:rFonts w:cs="Arial"/>
          <w:bCs/>
          <w:szCs w:val="22"/>
          <w:lang w:val="en-GB"/>
        </w:rPr>
        <w:t xml:space="preserve"> He never deposed to a statement in this matter and it </w:t>
      </w:r>
      <w:r w:rsidR="007D181F">
        <w:rPr>
          <w:rFonts w:cs="Arial"/>
          <w:bCs/>
          <w:szCs w:val="22"/>
          <w:lang w:val="en-GB"/>
        </w:rPr>
        <w:t>wa</w:t>
      </w:r>
      <w:r w:rsidR="006C45FC" w:rsidRPr="006C45FC">
        <w:rPr>
          <w:rFonts w:cs="Arial"/>
          <w:bCs/>
          <w:szCs w:val="22"/>
          <w:lang w:val="en-GB"/>
        </w:rPr>
        <w:t>s impossible for him to refresh his memory.</w:t>
      </w:r>
    </w:p>
    <w:p w14:paraId="076B1CCB" w14:textId="580F688D" w:rsidR="00831481" w:rsidRDefault="00EA270B" w:rsidP="00EA270B">
      <w:pPr>
        <w:widowControl w:val="0"/>
        <w:tabs>
          <w:tab w:val="left" w:pos="567"/>
        </w:tabs>
        <w:spacing w:before="480" w:after="480" w:line="360" w:lineRule="auto"/>
        <w:jc w:val="both"/>
        <w:rPr>
          <w:rFonts w:cs="Arial"/>
          <w:bCs/>
          <w:szCs w:val="22"/>
        </w:rPr>
      </w:pPr>
      <w:r>
        <w:rPr>
          <w:rFonts w:cs="Arial"/>
          <w:bCs/>
          <w:szCs w:val="22"/>
        </w:rPr>
        <w:t>[19]</w:t>
      </w:r>
      <w:r>
        <w:rPr>
          <w:rFonts w:cs="Arial"/>
          <w:bCs/>
          <w:szCs w:val="22"/>
        </w:rPr>
        <w:tab/>
      </w:r>
      <w:r w:rsidR="00831481" w:rsidRPr="00831481">
        <w:rPr>
          <w:rFonts w:cs="Arial"/>
          <w:bCs/>
          <w:szCs w:val="22"/>
          <w:lang w:val="en-GB"/>
        </w:rPr>
        <w:t xml:space="preserve">When they arrived at the police station he informed the plaintiff </w:t>
      </w:r>
      <w:r w:rsidR="00B52CB3">
        <w:rPr>
          <w:rFonts w:cs="Arial"/>
          <w:bCs/>
          <w:szCs w:val="22"/>
          <w:lang w:val="en-GB"/>
        </w:rPr>
        <w:t xml:space="preserve">of his </w:t>
      </w:r>
      <w:r w:rsidR="00831481" w:rsidRPr="00831481">
        <w:rPr>
          <w:rFonts w:cs="Arial"/>
          <w:bCs/>
          <w:szCs w:val="22"/>
          <w:lang w:val="en-GB"/>
        </w:rPr>
        <w:t>right</w:t>
      </w:r>
      <w:r w:rsidR="00B52CB3">
        <w:rPr>
          <w:rFonts w:cs="Arial"/>
          <w:bCs/>
          <w:szCs w:val="22"/>
          <w:lang w:val="en-GB"/>
        </w:rPr>
        <w:t>s</w:t>
      </w:r>
      <w:r w:rsidR="00831481" w:rsidRPr="00831481">
        <w:rPr>
          <w:rFonts w:cs="Arial"/>
          <w:bCs/>
          <w:szCs w:val="22"/>
          <w:lang w:val="en-GB"/>
        </w:rPr>
        <w:t xml:space="preserve"> in terms of the Constitution</w:t>
      </w:r>
      <w:r w:rsidR="00B52CB3">
        <w:rPr>
          <w:rFonts w:cs="Arial"/>
          <w:bCs/>
          <w:szCs w:val="22"/>
          <w:lang w:val="en-GB"/>
        </w:rPr>
        <w:t xml:space="preserve"> </w:t>
      </w:r>
      <w:r w:rsidR="00180FC9">
        <w:rPr>
          <w:rFonts w:cs="Arial"/>
          <w:bCs/>
          <w:szCs w:val="22"/>
          <w:lang w:val="en-GB"/>
        </w:rPr>
        <w:t>by</w:t>
      </w:r>
      <w:r w:rsidR="00B52CB3" w:rsidRPr="00B52CB3">
        <w:rPr>
          <w:rFonts w:cs="Arial"/>
          <w:bCs/>
          <w:szCs w:val="22"/>
          <w:lang w:val="en-GB"/>
        </w:rPr>
        <w:t xml:space="preserve"> reading the </w:t>
      </w:r>
      <w:r w:rsidR="00180FC9">
        <w:rPr>
          <w:rFonts w:cs="Arial"/>
          <w:bCs/>
          <w:szCs w:val="22"/>
          <w:lang w:val="en-GB"/>
        </w:rPr>
        <w:t>standard</w:t>
      </w:r>
      <w:r w:rsidR="00B52CB3" w:rsidRPr="00B52CB3">
        <w:rPr>
          <w:rFonts w:cs="Arial"/>
          <w:bCs/>
          <w:szCs w:val="22"/>
          <w:lang w:val="en-GB"/>
        </w:rPr>
        <w:t xml:space="preserve"> notice </w:t>
      </w:r>
      <w:r w:rsidR="00180FC9">
        <w:rPr>
          <w:rFonts w:cs="Arial"/>
          <w:bCs/>
          <w:szCs w:val="22"/>
          <w:lang w:val="en-GB"/>
        </w:rPr>
        <w:t>to the plaintiff</w:t>
      </w:r>
      <w:r w:rsidR="00B52CB3">
        <w:rPr>
          <w:rFonts w:cs="Arial"/>
          <w:bCs/>
          <w:szCs w:val="22"/>
          <w:lang w:val="en-GB"/>
        </w:rPr>
        <w:t xml:space="preserve">. </w:t>
      </w:r>
      <w:r w:rsidR="00B52CB3" w:rsidRPr="00B52CB3">
        <w:rPr>
          <w:rFonts w:cs="Arial"/>
          <w:bCs/>
          <w:szCs w:val="22"/>
          <w:lang w:val="en-GB"/>
        </w:rPr>
        <w:t>He placed particular emphasis on the right to consult with a lawyer</w:t>
      </w:r>
      <w:r w:rsidR="00ED1D7F" w:rsidRPr="00ED1D7F">
        <w:rPr>
          <w:rFonts w:cs="Arial"/>
          <w:bCs/>
          <w:szCs w:val="22"/>
          <w:lang w:val="en-GB"/>
        </w:rPr>
        <w:t xml:space="preserve"> </w:t>
      </w:r>
      <w:r w:rsidR="00ED1D7F">
        <w:rPr>
          <w:rFonts w:cs="Arial"/>
          <w:bCs/>
          <w:szCs w:val="22"/>
          <w:lang w:val="en-GB"/>
        </w:rPr>
        <w:t xml:space="preserve">and told </w:t>
      </w:r>
      <w:r w:rsidR="00ED1D7F" w:rsidRPr="00ED1D7F">
        <w:rPr>
          <w:rFonts w:cs="Arial"/>
          <w:bCs/>
          <w:szCs w:val="22"/>
          <w:lang w:val="en-GB"/>
        </w:rPr>
        <w:t xml:space="preserve">the plaintiff that he should speak up if there was anything he did not </w:t>
      </w:r>
      <w:r w:rsidR="00ED1D7F">
        <w:rPr>
          <w:rFonts w:cs="Arial"/>
          <w:bCs/>
          <w:szCs w:val="22"/>
          <w:lang w:val="en-GB"/>
        </w:rPr>
        <w:t>understand.</w:t>
      </w:r>
      <w:r w:rsidR="00ED1D7F" w:rsidRPr="00ED1D7F">
        <w:rPr>
          <w:rFonts w:cs="Arial"/>
          <w:bCs/>
          <w:szCs w:val="22"/>
          <w:lang w:val="en-GB"/>
        </w:rPr>
        <w:t xml:space="preserve"> The plaintiff never said </w:t>
      </w:r>
      <w:r w:rsidR="00ED1D7F">
        <w:rPr>
          <w:rFonts w:cs="Arial"/>
          <w:bCs/>
          <w:szCs w:val="22"/>
          <w:lang w:val="en-GB"/>
        </w:rPr>
        <w:t xml:space="preserve">anything. </w:t>
      </w:r>
      <w:r w:rsidR="00B52CB3" w:rsidRPr="00B52CB3">
        <w:rPr>
          <w:rFonts w:cs="Arial"/>
          <w:bCs/>
          <w:szCs w:val="22"/>
          <w:lang w:val="en-GB"/>
        </w:rPr>
        <w:t xml:space="preserve"> Both he</w:t>
      </w:r>
      <w:r w:rsidR="00B52CB3">
        <w:rPr>
          <w:rFonts w:cs="Arial"/>
          <w:bCs/>
          <w:szCs w:val="22"/>
          <w:lang w:val="en-GB"/>
        </w:rPr>
        <w:t xml:space="preserve"> </w:t>
      </w:r>
      <w:r w:rsidR="00B52CB3" w:rsidRPr="00B52CB3">
        <w:rPr>
          <w:rFonts w:cs="Arial"/>
          <w:bCs/>
          <w:szCs w:val="22"/>
          <w:lang w:val="en-GB"/>
        </w:rPr>
        <w:t>and the plaintiff signed the notice</w:t>
      </w:r>
      <w:r w:rsidR="00831481">
        <w:rPr>
          <w:rFonts w:cs="Arial"/>
          <w:bCs/>
          <w:szCs w:val="22"/>
          <w:lang w:val="en-GB"/>
        </w:rPr>
        <w:t>.</w:t>
      </w:r>
      <w:r w:rsidR="00831481">
        <w:rPr>
          <w:rStyle w:val="FootnoteReference"/>
          <w:rFonts w:cs="Arial"/>
          <w:bCs/>
          <w:szCs w:val="22"/>
          <w:lang w:val="en-GB"/>
        </w:rPr>
        <w:footnoteReference w:id="7"/>
      </w:r>
      <w:r w:rsidR="00B52CB3">
        <w:rPr>
          <w:rFonts w:cs="Arial"/>
          <w:bCs/>
          <w:szCs w:val="22"/>
          <w:lang w:val="en-GB"/>
        </w:rPr>
        <w:t xml:space="preserve"> </w:t>
      </w:r>
    </w:p>
    <w:p w14:paraId="7F4C98FF" w14:textId="23463942" w:rsidR="00B35EFB" w:rsidRDefault="00EA270B" w:rsidP="00EA270B">
      <w:pPr>
        <w:widowControl w:val="0"/>
        <w:tabs>
          <w:tab w:val="left" w:pos="567"/>
        </w:tabs>
        <w:spacing w:before="480" w:after="480" w:line="360" w:lineRule="auto"/>
        <w:jc w:val="both"/>
        <w:rPr>
          <w:rFonts w:cs="Arial"/>
          <w:bCs/>
          <w:szCs w:val="22"/>
        </w:rPr>
      </w:pPr>
      <w:r>
        <w:rPr>
          <w:rFonts w:cs="Arial"/>
          <w:bCs/>
          <w:szCs w:val="22"/>
        </w:rPr>
        <w:t>[20]</w:t>
      </w:r>
      <w:r>
        <w:rPr>
          <w:rFonts w:cs="Arial"/>
          <w:bCs/>
          <w:szCs w:val="22"/>
        </w:rPr>
        <w:tab/>
      </w:r>
      <w:r w:rsidR="006C45FC">
        <w:rPr>
          <w:rFonts w:cs="Arial"/>
          <w:bCs/>
          <w:szCs w:val="22"/>
        </w:rPr>
        <w:t xml:space="preserve">Sgt </w:t>
      </w:r>
      <w:r w:rsidR="004716B0">
        <w:rPr>
          <w:rFonts w:cs="Arial"/>
          <w:bCs/>
          <w:szCs w:val="22"/>
        </w:rPr>
        <w:t>Maluleke</w:t>
      </w:r>
      <w:r w:rsidR="006C45FC">
        <w:rPr>
          <w:rFonts w:cs="Arial"/>
          <w:bCs/>
          <w:szCs w:val="22"/>
        </w:rPr>
        <w:t xml:space="preserve"> </w:t>
      </w:r>
      <w:r w:rsidR="006C45FC" w:rsidRPr="006C45FC">
        <w:rPr>
          <w:rFonts w:cs="Arial"/>
          <w:bCs/>
          <w:szCs w:val="22"/>
          <w:lang w:val="en-GB"/>
        </w:rPr>
        <w:t>identified an entry made</w:t>
      </w:r>
      <w:r w:rsidR="006C45FC">
        <w:rPr>
          <w:rFonts w:cs="Arial"/>
          <w:bCs/>
          <w:szCs w:val="22"/>
          <w:lang w:val="en-GB"/>
        </w:rPr>
        <w:t xml:space="preserve"> </w:t>
      </w:r>
      <w:r w:rsidR="006C45FC" w:rsidRPr="006C45FC">
        <w:rPr>
          <w:rFonts w:cs="Arial"/>
          <w:bCs/>
          <w:szCs w:val="22"/>
          <w:lang w:val="en-GB"/>
        </w:rPr>
        <w:t xml:space="preserve">by him in the </w:t>
      </w:r>
      <w:r w:rsidR="006C45FC">
        <w:rPr>
          <w:rFonts w:cs="Arial"/>
          <w:bCs/>
          <w:szCs w:val="22"/>
          <w:lang w:val="en-GB"/>
        </w:rPr>
        <w:t xml:space="preserve">SAP </w:t>
      </w:r>
      <w:r w:rsidR="00180FC9">
        <w:rPr>
          <w:rFonts w:cs="Arial"/>
          <w:bCs/>
          <w:szCs w:val="22"/>
          <w:lang w:val="en-GB"/>
        </w:rPr>
        <w:t>Record</w:t>
      </w:r>
      <w:r w:rsidR="006C45FC" w:rsidRPr="006C45FC">
        <w:rPr>
          <w:rFonts w:cs="Arial"/>
          <w:bCs/>
          <w:szCs w:val="22"/>
          <w:lang w:val="en-GB"/>
        </w:rPr>
        <w:t xml:space="preserve"> on 19 January 2015</w:t>
      </w:r>
      <w:r w:rsidR="006C45FC">
        <w:rPr>
          <w:rFonts w:cs="Arial"/>
          <w:bCs/>
          <w:szCs w:val="22"/>
          <w:lang w:val="en-GB"/>
        </w:rPr>
        <w:t>.</w:t>
      </w:r>
      <w:r w:rsidR="006C45FC">
        <w:rPr>
          <w:rStyle w:val="FootnoteReference"/>
          <w:rFonts w:cs="Arial"/>
          <w:bCs/>
          <w:szCs w:val="22"/>
          <w:lang w:val="en-GB"/>
        </w:rPr>
        <w:footnoteReference w:id="8"/>
      </w:r>
      <w:r w:rsidR="006C45FC">
        <w:rPr>
          <w:rFonts w:cs="Arial"/>
          <w:bCs/>
          <w:szCs w:val="22"/>
          <w:lang w:val="en-GB"/>
        </w:rPr>
        <w:t xml:space="preserve"> I</w:t>
      </w:r>
      <w:r w:rsidR="006C45FC" w:rsidRPr="006C45FC">
        <w:rPr>
          <w:rFonts w:cs="Arial"/>
          <w:bCs/>
          <w:szCs w:val="22"/>
          <w:lang w:val="en-GB"/>
        </w:rPr>
        <w:t>t was noted that the number C</w:t>
      </w:r>
      <w:r w:rsidR="006C45FC">
        <w:rPr>
          <w:rFonts w:cs="Arial"/>
          <w:bCs/>
          <w:szCs w:val="22"/>
          <w:lang w:val="en-GB"/>
        </w:rPr>
        <w:t>A</w:t>
      </w:r>
      <w:r w:rsidR="006C45FC" w:rsidRPr="006C45FC">
        <w:rPr>
          <w:rFonts w:cs="Arial"/>
          <w:bCs/>
          <w:szCs w:val="22"/>
          <w:lang w:val="en-GB"/>
        </w:rPr>
        <w:t>S 414</w:t>
      </w:r>
      <w:r w:rsidR="006C45FC">
        <w:rPr>
          <w:rFonts w:cs="Arial"/>
          <w:bCs/>
          <w:szCs w:val="22"/>
          <w:lang w:val="en-GB"/>
        </w:rPr>
        <w:t>/1/2015</w:t>
      </w:r>
      <w:r w:rsidR="006C45FC" w:rsidRPr="006C45FC">
        <w:rPr>
          <w:rFonts w:cs="Arial"/>
          <w:bCs/>
          <w:szCs w:val="22"/>
          <w:lang w:val="en-GB"/>
        </w:rPr>
        <w:t xml:space="preserve"> was allocated</w:t>
      </w:r>
      <w:r w:rsidR="00B52CB3">
        <w:rPr>
          <w:rFonts w:cs="Arial"/>
          <w:bCs/>
          <w:szCs w:val="22"/>
          <w:lang w:val="en-GB"/>
        </w:rPr>
        <w:t xml:space="preserve"> t</w:t>
      </w:r>
      <w:r w:rsidR="00B52CB3" w:rsidRPr="00B52CB3">
        <w:rPr>
          <w:rFonts w:cs="Arial"/>
          <w:bCs/>
          <w:szCs w:val="22"/>
          <w:lang w:val="en-GB"/>
        </w:rPr>
        <w:t>o the case</w:t>
      </w:r>
      <w:r w:rsidR="00B52CB3">
        <w:rPr>
          <w:rFonts w:cs="Arial"/>
          <w:bCs/>
          <w:szCs w:val="22"/>
          <w:lang w:val="en-GB"/>
        </w:rPr>
        <w:t xml:space="preserve">, </w:t>
      </w:r>
      <w:r w:rsidR="00B52CB3" w:rsidRPr="00B52CB3">
        <w:rPr>
          <w:rFonts w:cs="Arial"/>
          <w:bCs/>
          <w:szCs w:val="22"/>
          <w:lang w:val="en-GB"/>
        </w:rPr>
        <w:t>and that the</w:t>
      </w:r>
      <w:r w:rsidR="00B52CB3">
        <w:rPr>
          <w:rFonts w:cs="Arial"/>
          <w:bCs/>
          <w:szCs w:val="22"/>
          <w:lang w:val="en-GB"/>
        </w:rPr>
        <w:t xml:space="preserve"> </w:t>
      </w:r>
      <w:r w:rsidR="006C45FC" w:rsidRPr="006C45FC">
        <w:rPr>
          <w:rFonts w:cs="Arial"/>
          <w:bCs/>
          <w:szCs w:val="22"/>
          <w:lang w:val="en-GB"/>
        </w:rPr>
        <w:t>suspect</w:t>
      </w:r>
      <w:r w:rsidR="00B52CB3">
        <w:rPr>
          <w:rFonts w:cs="Arial"/>
          <w:bCs/>
          <w:szCs w:val="22"/>
          <w:lang w:val="en-GB"/>
        </w:rPr>
        <w:t xml:space="preserve"> </w:t>
      </w:r>
      <w:r w:rsidR="00B52CB3" w:rsidRPr="00B52CB3">
        <w:rPr>
          <w:rFonts w:cs="Arial"/>
          <w:bCs/>
          <w:szCs w:val="22"/>
          <w:lang w:val="en-GB"/>
        </w:rPr>
        <w:t>had provided a home address</w:t>
      </w:r>
      <w:r w:rsidR="00B52CB3">
        <w:rPr>
          <w:rFonts w:cs="Arial"/>
          <w:bCs/>
          <w:szCs w:val="22"/>
          <w:lang w:val="en-GB"/>
        </w:rPr>
        <w:t xml:space="preserve"> in Klipspruit. </w:t>
      </w:r>
      <w:r w:rsidR="00B52CB3" w:rsidRPr="00B52CB3">
        <w:rPr>
          <w:rFonts w:cs="Arial"/>
          <w:bCs/>
          <w:szCs w:val="22"/>
          <w:lang w:val="en-GB"/>
        </w:rPr>
        <w:t xml:space="preserve">It was recorded that </w:t>
      </w:r>
      <w:r w:rsidR="00B52CB3">
        <w:rPr>
          <w:rFonts w:cs="Arial"/>
          <w:bCs/>
          <w:szCs w:val="22"/>
          <w:lang w:val="en-GB"/>
        </w:rPr>
        <w:t xml:space="preserve">one </w:t>
      </w:r>
      <w:r w:rsidR="00B52CB3" w:rsidRPr="00B52CB3">
        <w:rPr>
          <w:rFonts w:cs="Arial"/>
          <w:bCs/>
          <w:i/>
          <w:iCs/>
          <w:szCs w:val="22"/>
          <w:lang w:val="en-GB"/>
        </w:rPr>
        <w:t>“tablet with star (drug)”</w:t>
      </w:r>
      <w:r w:rsidR="00B52CB3">
        <w:rPr>
          <w:rFonts w:cs="Arial"/>
          <w:bCs/>
          <w:szCs w:val="22"/>
          <w:lang w:val="en-GB"/>
        </w:rPr>
        <w:t xml:space="preserve"> </w:t>
      </w:r>
      <w:r w:rsidR="00180FC9">
        <w:rPr>
          <w:rFonts w:cs="Arial"/>
          <w:bCs/>
          <w:szCs w:val="22"/>
          <w:lang w:val="en-GB"/>
        </w:rPr>
        <w:t>h</w:t>
      </w:r>
      <w:r w:rsidR="00B52CB3" w:rsidRPr="00B52CB3">
        <w:rPr>
          <w:rFonts w:cs="Arial"/>
          <w:bCs/>
          <w:szCs w:val="22"/>
          <w:lang w:val="en-GB"/>
        </w:rPr>
        <w:t xml:space="preserve">ad been found in possession of the </w:t>
      </w:r>
      <w:r w:rsidR="00180FC9">
        <w:rPr>
          <w:rFonts w:cs="Arial"/>
          <w:bCs/>
          <w:szCs w:val="22"/>
          <w:lang w:val="en-GB"/>
        </w:rPr>
        <w:t>plaintiff</w:t>
      </w:r>
      <w:r w:rsidR="00B52CB3" w:rsidRPr="00B52CB3">
        <w:rPr>
          <w:rFonts w:cs="Arial"/>
          <w:bCs/>
          <w:szCs w:val="22"/>
          <w:lang w:val="en-GB"/>
        </w:rPr>
        <w:t xml:space="preserve"> and sealed in the forensic </w:t>
      </w:r>
      <w:r w:rsidR="00B52CB3">
        <w:rPr>
          <w:rFonts w:cs="Arial"/>
          <w:bCs/>
          <w:szCs w:val="22"/>
          <w:lang w:val="en-GB"/>
        </w:rPr>
        <w:t>bag</w:t>
      </w:r>
      <w:r w:rsidR="00B52CB3" w:rsidRPr="00B52CB3">
        <w:rPr>
          <w:rFonts w:cs="Arial"/>
          <w:bCs/>
          <w:szCs w:val="22"/>
          <w:lang w:val="en-GB"/>
        </w:rPr>
        <w:t xml:space="preserve"> already referred to above</w:t>
      </w:r>
      <w:r w:rsidR="00B52CB3">
        <w:rPr>
          <w:rFonts w:cs="Arial"/>
          <w:bCs/>
          <w:szCs w:val="22"/>
          <w:lang w:val="en-GB"/>
        </w:rPr>
        <w:t xml:space="preserve">. </w:t>
      </w:r>
      <w:r w:rsidR="00B52CB3" w:rsidRPr="00B52CB3">
        <w:rPr>
          <w:rFonts w:cs="Arial"/>
          <w:bCs/>
          <w:szCs w:val="22"/>
          <w:lang w:val="en-GB"/>
        </w:rPr>
        <w:t xml:space="preserve">After fulfilling his duties he never </w:t>
      </w:r>
      <w:r w:rsidR="00180FC9">
        <w:rPr>
          <w:rFonts w:cs="Arial"/>
          <w:bCs/>
          <w:szCs w:val="22"/>
          <w:lang w:val="en-GB"/>
        </w:rPr>
        <w:t>saw</w:t>
      </w:r>
      <w:r w:rsidR="00B52CB3" w:rsidRPr="00B52CB3">
        <w:rPr>
          <w:rFonts w:cs="Arial"/>
          <w:bCs/>
          <w:szCs w:val="22"/>
          <w:lang w:val="en-GB"/>
        </w:rPr>
        <w:t xml:space="preserve"> or dealt with the plaintiff again</w:t>
      </w:r>
      <w:r w:rsidR="00B52CB3">
        <w:rPr>
          <w:rFonts w:cs="Arial"/>
          <w:bCs/>
          <w:szCs w:val="22"/>
          <w:lang w:val="en-GB"/>
        </w:rPr>
        <w:t>.</w:t>
      </w:r>
    </w:p>
    <w:p w14:paraId="7BF958F0" w14:textId="1BBC5644" w:rsidR="00B35EFB" w:rsidRDefault="00EA270B" w:rsidP="00EA270B">
      <w:pPr>
        <w:widowControl w:val="0"/>
        <w:tabs>
          <w:tab w:val="left" w:pos="567"/>
        </w:tabs>
        <w:spacing w:before="480" w:after="480" w:line="360" w:lineRule="auto"/>
        <w:jc w:val="both"/>
        <w:rPr>
          <w:rFonts w:cs="Arial"/>
          <w:bCs/>
          <w:szCs w:val="22"/>
        </w:rPr>
      </w:pPr>
      <w:r>
        <w:rPr>
          <w:rFonts w:cs="Arial"/>
          <w:bCs/>
          <w:szCs w:val="22"/>
        </w:rPr>
        <w:t>[21]</w:t>
      </w:r>
      <w:r>
        <w:rPr>
          <w:rFonts w:cs="Arial"/>
          <w:bCs/>
          <w:szCs w:val="22"/>
        </w:rPr>
        <w:tab/>
      </w:r>
      <w:r w:rsidR="00ED1D7F" w:rsidRPr="00ED1D7F">
        <w:rPr>
          <w:rFonts w:cs="Arial"/>
          <w:bCs/>
          <w:szCs w:val="22"/>
          <w:lang w:val="en-GB"/>
        </w:rPr>
        <w:t>It was put to</w:t>
      </w:r>
      <w:r w:rsidR="00ED1D7F">
        <w:rPr>
          <w:rFonts w:cs="Arial"/>
          <w:bCs/>
          <w:szCs w:val="22"/>
          <w:lang w:val="en-GB"/>
        </w:rPr>
        <w:t xml:space="preserve"> Sgt </w:t>
      </w:r>
      <w:r w:rsidR="004716B0">
        <w:rPr>
          <w:rFonts w:cs="Arial"/>
          <w:bCs/>
          <w:szCs w:val="22"/>
          <w:lang w:val="en-GB"/>
        </w:rPr>
        <w:t>Maluleke</w:t>
      </w:r>
      <w:r w:rsidR="00ED1D7F">
        <w:rPr>
          <w:rFonts w:cs="Arial"/>
          <w:bCs/>
          <w:szCs w:val="22"/>
          <w:lang w:val="en-GB"/>
        </w:rPr>
        <w:t xml:space="preserve"> </w:t>
      </w:r>
      <w:r w:rsidR="00ED1D7F" w:rsidRPr="00ED1D7F">
        <w:rPr>
          <w:rFonts w:cs="Arial"/>
          <w:bCs/>
          <w:szCs w:val="22"/>
          <w:lang w:val="en-GB"/>
        </w:rPr>
        <w:t xml:space="preserve">that the plaintiff </w:t>
      </w:r>
      <w:r w:rsidR="00180FC9">
        <w:rPr>
          <w:rFonts w:cs="Arial"/>
          <w:bCs/>
          <w:szCs w:val="22"/>
          <w:lang w:val="en-GB"/>
        </w:rPr>
        <w:t xml:space="preserve">was taken to the cells </w:t>
      </w:r>
      <w:r w:rsidR="00ED1D7F" w:rsidRPr="00ED1D7F">
        <w:rPr>
          <w:rFonts w:cs="Arial"/>
          <w:bCs/>
          <w:szCs w:val="22"/>
          <w:lang w:val="en-GB"/>
        </w:rPr>
        <w:t>by the arresting officer and not by either of</w:t>
      </w:r>
      <w:r w:rsidR="00ED1D7F">
        <w:rPr>
          <w:rFonts w:cs="Arial"/>
          <w:bCs/>
          <w:szCs w:val="22"/>
          <w:lang w:val="en-GB"/>
        </w:rPr>
        <w:t xml:space="preserve"> Sgt </w:t>
      </w:r>
      <w:r w:rsidR="004716B0">
        <w:rPr>
          <w:rFonts w:cs="Arial"/>
          <w:bCs/>
          <w:szCs w:val="22"/>
          <w:lang w:val="en-GB"/>
        </w:rPr>
        <w:t>Maluleke</w:t>
      </w:r>
      <w:r w:rsidR="00ED1D7F">
        <w:rPr>
          <w:rFonts w:cs="Arial"/>
          <w:bCs/>
          <w:szCs w:val="22"/>
          <w:lang w:val="en-GB"/>
        </w:rPr>
        <w:t xml:space="preserve"> </w:t>
      </w:r>
      <w:r w:rsidR="007D181F">
        <w:rPr>
          <w:rFonts w:cs="Arial"/>
          <w:bCs/>
          <w:szCs w:val="22"/>
          <w:lang w:val="en-GB"/>
        </w:rPr>
        <w:t>or by</w:t>
      </w:r>
      <w:r w:rsidR="00ED1D7F">
        <w:rPr>
          <w:rFonts w:cs="Arial"/>
          <w:bCs/>
          <w:szCs w:val="22"/>
          <w:lang w:val="en-GB"/>
        </w:rPr>
        <w:t xml:space="preserve"> Sgt Nkosi.</w:t>
      </w:r>
      <w:r w:rsidR="00ED1D7F" w:rsidRPr="00ED1D7F">
        <w:rPr>
          <w:rFonts w:cs="Arial"/>
          <w:bCs/>
          <w:szCs w:val="22"/>
          <w:lang w:val="en-GB"/>
        </w:rPr>
        <w:t xml:space="preserve"> The plaintiff could not identify this police officer</w:t>
      </w:r>
      <w:r w:rsidR="00ED1D7F">
        <w:rPr>
          <w:rFonts w:cs="Arial"/>
          <w:bCs/>
          <w:szCs w:val="22"/>
          <w:lang w:val="en-GB"/>
        </w:rPr>
        <w:t>.</w:t>
      </w:r>
    </w:p>
    <w:p w14:paraId="75ACE244" w14:textId="4C98C4A2" w:rsidR="0026309E" w:rsidRDefault="00EA270B" w:rsidP="00EA270B">
      <w:pPr>
        <w:widowControl w:val="0"/>
        <w:tabs>
          <w:tab w:val="left" w:pos="567"/>
        </w:tabs>
        <w:spacing w:before="480" w:after="480" w:line="360" w:lineRule="auto"/>
        <w:jc w:val="both"/>
        <w:rPr>
          <w:rFonts w:cs="Arial"/>
          <w:bCs/>
          <w:szCs w:val="22"/>
        </w:rPr>
      </w:pPr>
      <w:r>
        <w:rPr>
          <w:rFonts w:cs="Arial"/>
          <w:bCs/>
          <w:szCs w:val="22"/>
        </w:rPr>
        <w:t>[22]</w:t>
      </w:r>
      <w:r>
        <w:rPr>
          <w:rFonts w:cs="Arial"/>
          <w:bCs/>
          <w:szCs w:val="22"/>
        </w:rPr>
        <w:tab/>
      </w:r>
      <w:r w:rsidR="00ED1D7F" w:rsidRPr="00ED1D7F">
        <w:rPr>
          <w:rFonts w:cs="Arial"/>
          <w:bCs/>
          <w:szCs w:val="22"/>
          <w:lang w:val="en-GB"/>
        </w:rPr>
        <w:t xml:space="preserve">It was </w:t>
      </w:r>
      <w:r w:rsidR="00180FC9">
        <w:rPr>
          <w:rFonts w:cs="Arial"/>
          <w:bCs/>
          <w:szCs w:val="22"/>
          <w:lang w:val="en-GB"/>
        </w:rPr>
        <w:t xml:space="preserve">also </w:t>
      </w:r>
      <w:r w:rsidR="00ED1D7F" w:rsidRPr="00ED1D7F">
        <w:rPr>
          <w:rFonts w:cs="Arial"/>
          <w:bCs/>
          <w:szCs w:val="22"/>
          <w:lang w:val="en-GB"/>
        </w:rPr>
        <w:t xml:space="preserve">put to </w:t>
      </w:r>
      <w:r w:rsidR="00180FC9">
        <w:rPr>
          <w:rFonts w:cs="Arial"/>
          <w:bCs/>
          <w:szCs w:val="22"/>
          <w:lang w:val="en-GB"/>
        </w:rPr>
        <w:t>him</w:t>
      </w:r>
      <w:r w:rsidR="00ED1D7F" w:rsidRPr="00ED1D7F">
        <w:rPr>
          <w:rFonts w:cs="Arial"/>
          <w:bCs/>
          <w:szCs w:val="22"/>
          <w:lang w:val="en-GB"/>
        </w:rPr>
        <w:t xml:space="preserve"> that the plaintiff had not been permitted to make a telephone call during his detention and that it was therefore not possible for him </w:t>
      </w:r>
      <w:r w:rsidR="00ED1D7F">
        <w:rPr>
          <w:rFonts w:cs="Arial"/>
          <w:bCs/>
          <w:szCs w:val="22"/>
          <w:lang w:val="en-GB"/>
        </w:rPr>
        <w:t xml:space="preserve">to call his </w:t>
      </w:r>
      <w:r w:rsidR="00ED1D7F" w:rsidRPr="00ED1D7F">
        <w:rPr>
          <w:rFonts w:cs="Arial"/>
          <w:bCs/>
          <w:szCs w:val="22"/>
          <w:lang w:val="en-GB"/>
        </w:rPr>
        <w:t xml:space="preserve">relatives </w:t>
      </w:r>
      <w:r w:rsidR="00ED1D7F" w:rsidRPr="00ED1D7F">
        <w:rPr>
          <w:rFonts w:cs="Arial"/>
          <w:bCs/>
          <w:szCs w:val="22"/>
          <w:lang w:val="en-GB"/>
        </w:rPr>
        <w:lastRenderedPageBreak/>
        <w:t>to bring his epilepsy</w:t>
      </w:r>
      <w:r w:rsidR="00CC53A1">
        <w:rPr>
          <w:rStyle w:val="FootnoteReference"/>
          <w:rFonts w:cs="Arial"/>
          <w:bCs/>
          <w:szCs w:val="22"/>
          <w:lang w:val="en-GB"/>
        </w:rPr>
        <w:footnoteReference w:id="9"/>
      </w:r>
      <w:r w:rsidR="00ED1D7F" w:rsidRPr="00ED1D7F">
        <w:rPr>
          <w:rFonts w:cs="Arial"/>
          <w:bCs/>
          <w:szCs w:val="22"/>
          <w:lang w:val="en-GB"/>
        </w:rPr>
        <w:t xml:space="preserve"> </w:t>
      </w:r>
      <w:r w:rsidR="000B4F62">
        <w:rPr>
          <w:rFonts w:cs="Arial"/>
          <w:bCs/>
          <w:szCs w:val="22"/>
          <w:lang w:val="en-GB"/>
        </w:rPr>
        <w:t>medication</w:t>
      </w:r>
      <w:r w:rsidR="00ED1D7F" w:rsidRPr="00ED1D7F">
        <w:rPr>
          <w:rFonts w:cs="Arial"/>
          <w:bCs/>
          <w:szCs w:val="22"/>
          <w:lang w:val="en-GB"/>
        </w:rPr>
        <w:t xml:space="preserve"> </w:t>
      </w:r>
      <w:r w:rsidR="00ED1D7F">
        <w:rPr>
          <w:rFonts w:cs="Arial"/>
          <w:bCs/>
          <w:szCs w:val="22"/>
          <w:lang w:val="en-GB"/>
        </w:rPr>
        <w:t>t</w:t>
      </w:r>
      <w:r w:rsidR="00ED1D7F" w:rsidRPr="00ED1D7F">
        <w:rPr>
          <w:rFonts w:cs="Arial"/>
          <w:bCs/>
          <w:szCs w:val="22"/>
          <w:lang w:val="en-GB"/>
        </w:rPr>
        <w:t xml:space="preserve">o the cells so that he could take </w:t>
      </w:r>
      <w:r w:rsidR="00ED1D7F">
        <w:rPr>
          <w:rFonts w:cs="Arial"/>
          <w:bCs/>
          <w:szCs w:val="22"/>
          <w:lang w:val="en-GB"/>
        </w:rPr>
        <w:t>his</w:t>
      </w:r>
      <w:r w:rsidR="00ED1D7F" w:rsidRPr="00ED1D7F">
        <w:rPr>
          <w:rFonts w:cs="Arial"/>
          <w:bCs/>
          <w:szCs w:val="22"/>
          <w:lang w:val="en-GB"/>
        </w:rPr>
        <w:t xml:space="preserve"> </w:t>
      </w:r>
      <w:r w:rsidR="000B4F62">
        <w:rPr>
          <w:rFonts w:cs="Arial"/>
          <w:bCs/>
          <w:szCs w:val="22"/>
          <w:lang w:val="en-GB"/>
        </w:rPr>
        <w:t>medication</w:t>
      </w:r>
      <w:r w:rsidR="00ED1D7F" w:rsidRPr="00ED1D7F">
        <w:rPr>
          <w:rFonts w:cs="Arial"/>
          <w:bCs/>
          <w:szCs w:val="22"/>
          <w:lang w:val="en-GB"/>
        </w:rPr>
        <w:t xml:space="preserve"> in time</w:t>
      </w:r>
      <w:r w:rsidR="00ED1D7F">
        <w:rPr>
          <w:rFonts w:cs="Arial"/>
          <w:bCs/>
          <w:szCs w:val="22"/>
          <w:lang w:val="en-GB"/>
        </w:rPr>
        <w:t xml:space="preserve">. </w:t>
      </w:r>
      <w:r w:rsidR="00ED1D7F" w:rsidRPr="00ED1D7F">
        <w:rPr>
          <w:rFonts w:cs="Arial"/>
          <w:bCs/>
          <w:szCs w:val="22"/>
          <w:lang w:val="en-GB"/>
        </w:rPr>
        <w:t>He denied this</w:t>
      </w:r>
      <w:r w:rsidR="00ED1D7F">
        <w:rPr>
          <w:rFonts w:cs="Arial"/>
          <w:bCs/>
          <w:szCs w:val="22"/>
          <w:lang w:val="en-GB"/>
        </w:rPr>
        <w:t>.</w:t>
      </w:r>
    </w:p>
    <w:p w14:paraId="06961796" w14:textId="12045E0D" w:rsidR="0026309E" w:rsidRPr="00666CE2" w:rsidRDefault="00EA270B" w:rsidP="00EA270B">
      <w:pPr>
        <w:widowControl w:val="0"/>
        <w:tabs>
          <w:tab w:val="left" w:pos="567"/>
        </w:tabs>
        <w:spacing w:before="480" w:after="480" w:line="360" w:lineRule="auto"/>
        <w:jc w:val="both"/>
        <w:rPr>
          <w:rFonts w:cs="Arial"/>
          <w:bCs/>
          <w:szCs w:val="22"/>
        </w:rPr>
      </w:pPr>
      <w:r w:rsidRPr="00666CE2">
        <w:rPr>
          <w:rFonts w:cs="Arial"/>
          <w:bCs/>
          <w:szCs w:val="22"/>
        </w:rPr>
        <w:t>[23]</w:t>
      </w:r>
      <w:r w:rsidRPr="00666CE2">
        <w:rPr>
          <w:rFonts w:cs="Arial"/>
          <w:bCs/>
          <w:szCs w:val="22"/>
        </w:rPr>
        <w:tab/>
      </w:r>
      <w:r w:rsidR="006144EF" w:rsidRPr="00477C59">
        <w:rPr>
          <w:rFonts w:cs="Arial"/>
          <w:bCs/>
          <w:szCs w:val="22"/>
        </w:rPr>
        <w:t xml:space="preserve">W/O Hlongwane </w:t>
      </w:r>
      <w:r w:rsidR="002459F6">
        <w:rPr>
          <w:rFonts w:cs="Arial"/>
          <w:bCs/>
          <w:szCs w:val="22"/>
        </w:rPr>
        <w:t>was the last of the defendant’s witnesses.</w:t>
      </w:r>
      <w:r w:rsidR="002459F6" w:rsidRPr="00477C59">
        <w:rPr>
          <w:rFonts w:cs="Arial"/>
          <w:bCs/>
          <w:szCs w:val="22"/>
          <w:lang w:val="en-GB"/>
        </w:rPr>
        <w:t xml:space="preserve"> He confirmed the contents of his contemporaneous statement.</w:t>
      </w:r>
      <w:r w:rsidR="002459F6">
        <w:rPr>
          <w:rStyle w:val="FootnoteReference"/>
          <w:rFonts w:cs="Arial"/>
          <w:bCs/>
          <w:szCs w:val="22"/>
          <w:lang w:val="en-GB"/>
        </w:rPr>
        <w:footnoteReference w:id="10"/>
      </w:r>
      <w:r w:rsidR="002459F6">
        <w:rPr>
          <w:rFonts w:cs="Arial"/>
          <w:bCs/>
          <w:szCs w:val="22"/>
        </w:rPr>
        <w:t xml:space="preserve"> He </w:t>
      </w:r>
      <w:r w:rsidR="006144EF" w:rsidRPr="00477C59">
        <w:rPr>
          <w:rFonts w:cs="Arial"/>
          <w:bCs/>
          <w:szCs w:val="22"/>
        </w:rPr>
        <w:t>testified that on the morning of the 20</w:t>
      </w:r>
      <w:r w:rsidR="006144EF" w:rsidRPr="00477C59">
        <w:rPr>
          <w:rFonts w:cs="Arial"/>
          <w:bCs/>
          <w:szCs w:val="22"/>
          <w:vertAlign w:val="superscript"/>
        </w:rPr>
        <w:t xml:space="preserve">th </w:t>
      </w:r>
      <w:r w:rsidR="006144EF" w:rsidRPr="00477C59">
        <w:rPr>
          <w:rFonts w:cs="Arial"/>
          <w:bCs/>
          <w:szCs w:val="22"/>
        </w:rPr>
        <w:t xml:space="preserve">at about 8 o’clock he took </w:t>
      </w:r>
      <w:r w:rsidR="006144EF" w:rsidRPr="00477C59">
        <w:rPr>
          <w:rFonts w:cs="Arial"/>
          <w:bCs/>
          <w:szCs w:val="22"/>
          <w:lang w:val="en-GB"/>
        </w:rPr>
        <w:t>the plaintiff’s fingerprints</w:t>
      </w:r>
      <w:r w:rsidR="007D181F">
        <w:rPr>
          <w:rFonts w:cs="Arial"/>
          <w:bCs/>
          <w:szCs w:val="22"/>
          <w:lang w:val="en-GB"/>
        </w:rPr>
        <w:t xml:space="preserve"> digitally</w:t>
      </w:r>
      <w:r w:rsidR="006144EF" w:rsidRPr="00477C59">
        <w:rPr>
          <w:rFonts w:cs="Arial"/>
          <w:bCs/>
          <w:szCs w:val="22"/>
          <w:lang w:val="en-GB"/>
        </w:rPr>
        <w:t xml:space="preserve"> using the electronic MCD fingerprint machine linked to the South African Police </w:t>
      </w:r>
      <w:r w:rsidR="002459F6">
        <w:rPr>
          <w:rFonts w:cs="Arial"/>
          <w:bCs/>
          <w:szCs w:val="22"/>
          <w:lang w:val="en-GB"/>
        </w:rPr>
        <w:t xml:space="preserve">Service </w:t>
      </w:r>
      <w:r w:rsidR="006144EF" w:rsidRPr="00477C59">
        <w:rPr>
          <w:rFonts w:cs="Arial"/>
          <w:bCs/>
          <w:szCs w:val="22"/>
          <w:lang w:val="en-GB"/>
        </w:rPr>
        <w:t xml:space="preserve">data base. He found a match between the plaintiff’s fingerprints and those of a suspect wanted for questioning by the police station in Eldorado Park in a theft complaint referenced under CAS 773/12/2003. He informed his colleagues </w:t>
      </w:r>
      <w:r w:rsidR="005B36E7" w:rsidRPr="00477C59">
        <w:rPr>
          <w:rFonts w:cs="Arial"/>
          <w:bCs/>
          <w:szCs w:val="22"/>
          <w:lang w:val="en-GB"/>
        </w:rPr>
        <w:t xml:space="preserve">in Eldorado Park </w:t>
      </w:r>
      <w:r w:rsidR="006144EF" w:rsidRPr="00477C59">
        <w:rPr>
          <w:rFonts w:cs="Arial"/>
          <w:bCs/>
          <w:szCs w:val="22"/>
          <w:lang w:val="en-GB"/>
        </w:rPr>
        <w:t xml:space="preserve">accordingly and </w:t>
      </w:r>
      <w:r w:rsidR="005B36E7" w:rsidRPr="00477C59">
        <w:rPr>
          <w:rFonts w:cs="Arial"/>
          <w:bCs/>
          <w:szCs w:val="22"/>
          <w:lang w:val="en-GB"/>
        </w:rPr>
        <w:t xml:space="preserve">it was confirmed by them that the plaintiff was indeed a suspect. He expected the officers of the Eldorado Park Police Station to make the necessary arrangements for the plaintiff to appear in court on the theft charge and he </w:t>
      </w:r>
      <w:r w:rsidR="006144EF" w:rsidRPr="00477C59">
        <w:rPr>
          <w:rFonts w:cs="Arial"/>
          <w:bCs/>
          <w:szCs w:val="22"/>
          <w:lang w:val="en-GB"/>
        </w:rPr>
        <w:t>had no further involvement in the matter.</w:t>
      </w:r>
    </w:p>
    <w:p w14:paraId="6DC8AF64" w14:textId="02E7CF32" w:rsidR="00666CE2" w:rsidRPr="00666CE2" w:rsidRDefault="00EA270B" w:rsidP="00EA270B">
      <w:pPr>
        <w:widowControl w:val="0"/>
        <w:tabs>
          <w:tab w:val="left" w:pos="567"/>
        </w:tabs>
        <w:spacing w:before="480" w:after="480" w:line="360" w:lineRule="auto"/>
        <w:jc w:val="both"/>
      </w:pPr>
      <w:r w:rsidRPr="00666CE2">
        <w:t>[24]</w:t>
      </w:r>
      <w:r w:rsidRPr="00666CE2">
        <w:tab/>
      </w:r>
      <w:r w:rsidR="00666CE2" w:rsidRPr="00666CE2">
        <w:rPr>
          <w:rFonts w:cs="Arial"/>
          <w:bCs/>
          <w:szCs w:val="22"/>
          <w:lang w:val="en-GB"/>
        </w:rPr>
        <w:t xml:space="preserve">There were a number of </w:t>
      </w:r>
      <w:r w:rsidR="00BF73F2">
        <w:rPr>
          <w:rFonts w:cs="Arial"/>
          <w:bCs/>
          <w:szCs w:val="22"/>
          <w:lang w:val="en-GB"/>
        </w:rPr>
        <w:t xml:space="preserve">perceived </w:t>
      </w:r>
      <w:r w:rsidR="00666CE2" w:rsidRPr="00666CE2">
        <w:rPr>
          <w:rFonts w:cs="Arial"/>
          <w:bCs/>
          <w:szCs w:val="22"/>
          <w:lang w:val="en-GB"/>
        </w:rPr>
        <w:t xml:space="preserve">differences between the evidence of Sgt Nkosi and that of Sgt </w:t>
      </w:r>
      <w:r w:rsidR="004716B0">
        <w:rPr>
          <w:rFonts w:cs="Arial"/>
          <w:bCs/>
          <w:szCs w:val="22"/>
          <w:lang w:val="en-GB"/>
        </w:rPr>
        <w:t>Maluleke</w:t>
      </w:r>
      <w:r w:rsidR="00666CE2" w:rsidRPr="00666CE2">
        <w:rPr>
          <w:rFonts w:cs="Arial"/>
          <w:bCs/>
          <w:szCs w:val="22"/>
          <w:lang w:val="en-GB"/>
        </w:rPr>
        <w:t>. These are as follows:</w:t>
      </w:r>
    </w:p>
    <w:p w14:paraId="193A1CB2" w14:textId="1EE644BD" w:rsidR="00666CE2" w:rsidRDefault="00EA270B" w:rsidP="00EA270B">
      <w:pPr>
        <w:widowControl w:val="0"/>
        <w:tabs>
          <w:tab w:val="left" w:pos="1418"/>
        </w:tabs>
        <w:spacing w:before="480" w:after="480" w:line="360" w:lineRule="auto"/>
        <w:ind w:left="1418" w:hanging="851"/>
        <w:jc w:val="both"/>
      </w:pPr>
      <w:r>
        <w:t>24.1</w:t>
      </w:r>
      <w:r>
        <w:tab/>
      </w:r>
      <w:r w:rsidR="00666CE2" w:rsidRPr="0036273E">
        <w:t>Sgt Nkosi testified that he gave the tablet to Sgt Maluleke a</w:t>
      </w:r>
      <w:r w:rsidR="00666CE2">
        <w:t>t</w:t>
      </w:r>
      <w:r w:rsidR="00666CE2" w:rsidRPr="0036273E">
        <w:t xml:space="preserve"> the scene of the arrest: Sgt </w:t>
      </w:r>
      <w:r w:rsidR="004716B0">
        <w:t>Maluleke</w:t>
      </w:r>
      <w:r w:rsidR="00666CE2" w:rsidRPr="0036273E">
        <w:t xml:space="preserve"> said he was given it at the Police Station</w:t>
      </w:r>
      <w:r w:rsidR="00666CE2">
        <w:t>;</w:t>
      </w:r>
    </w:p>
    <w:p w14:paraId="5AA5E11E" w14:textId="24850A3B" w:rsidR="00666CE2" w:rsidRDefault="00EA270B" w:rsidP="00EA270B">
      <w:pPr>
        <w:widowControl w:val="0"/>
        <w:tabs>
          <w:tab w:val="left" w:pos="1418"/>
        </w:tabs>
        <w:spacing w:before="480" w:after="480" w:line="360" w:lineRule="auto"/>
        <w:ind w:left="1418" w:hanging="851"/>
        <w:jc w:val="both"/>
      </w:pPr>
      <w:r>
        <w:t>24.2</w:t>
      </w:r>
      <w:r>
        <w:tab/>
      </w:r>
      <w:r w:rsidR="00666CE2">
        <w:t xml:space="preserve">Sgt </w:t>
      </w:r>
      <w:r w:rsidR="004716B0">
        <w:t>Maluleke</w:t>
      </w:r>
      <w:r w:rsidR="00666CE2" w:rsidRPr="00E654A8">
        <w:t xml:space="preserve"> testified that they all went </w:t>
      </w:r>
      <w:r w:rsidR="007D181F">
        <w:t>in</w:t>
      </w:r>
      <w:r w:rsidR="00666CE2" w:rsidRPr="00E654A8">
        <w:t>to the charge office</w:t>
      </w:r>
      <w:r w:rsidR="00666CE2">
        <w:t xml:space="preserve"> upon arriving at the police station</w:t>
      </w:r>
      <w:r w:rsidR="00666CE2" w:rsidRPr="00E654A8">
        <w:t xml:space="preserve">, whereas </w:t>
      </w:r>
      <w:r w:rsidR="00666CE2">
        <w:t xml:space="preserve">Sgt </w:t>
      </w:r>
      <w:r w:rsidR="00666CE2" w:rsidRPr="00E654A8">
        <w:t xml:space="preserve">Nkosi said </w:t>
      </w:r>
      <w:r w:rsidR="00B13150">
        <w:t>went in</w:t>
      </w:r>
      <w:r w:rsidR="00666CE2" w:rsidRPr="00E654A8">
        <w:t xml:space="preserve"> alone to prepare a docket; </w:t>
      </w:r>
    </w:p>
    <w:p w14:paraId="50FC9CD4" w14:textId="18C3A45C" w:rsidR="00666CE2" w:rsidRDefault="00EA270B" w:rsidP="00EA270B">
      <w:pPr>
        <w:widowControl w:val="0"/>
        <w:tabs>
          <w:tab w:val="left" w:pos="1418"/>
        </w:tabs>
        <w:spacing w:before="480" w:after="480" w:line="360" w:lineRule="auto"/>
        <w:ind w:left="1418" w:hanging="851"/>
        <w:jc w:val="both"/>
      </w:pPr>
      <w:r>
        <w:t>24.3</w:t>
      </w:r>
      <w:r>
        <w:tab/>
      </w:r>
      <w:r w:rsidR="00666CE2">
        <w:t xml:space="preserve">Sgt </w:t>
      </w:r>
      <w:r w:rsidR="00666CE2" w:rsidRPr="00E654A8">
        <w:t>Nkosi</w:t>
      </w:r>
      <w:r w:rsidR="00666CE2">
        <w:t xml:space="preserve"> testified that t</w:t>
      </w:r>
      <w:r w:rsidR="00666CE2" w:rsidRPr="00E654A8">
        <w:t xml:space="preserve">he </w:t>
      </w:r>
      <w:r w:rsidR="00666CE2">
        <w:t>p</w:t>
      </w:r>
      <w:r w:rsidR="00666CE2" w:rsidRPr="00E654A8">
        <w:t xml:space="preserve">laintiff’s details were obtained at the scene of arrest </w:t>
      </w:r>
      <w:r w:rsidR="00666CE2">
        <w:t>whereas Sgt</w:t>
      </w:r>
      <w:r w:rsidR="00666CE2" w:rsidRPr="00E654A8">
        <w:t xml:space="preserve"> </w:t>
      </w:r>
      <w:r w:rsidR="004716B0">
        <w:t>Maluleke</w:t>
      </w:r>
      <w:r w:rsidR="00666CE2" w:rsidRPr="00E654A8">
        <w:t xml:space="preserve"> said </w:t>
      </w:r>
      <w:r w:rsidR="00666CE2">
        <w:t xml:space="preserve">this happened at the </w:t>
      </w:r>
      <w:r w:rsidR="00666CE2" w:rsidRPr="00E654A8">
        <w:t>charge office</w:t>
      </w:r>
      <w:r w:rsidR="004879A3">
        <w:t>.</w:t>
      </w:r>
    </w:p>
    <w:p w14:paraId="757AD764" w14:textId="260E9700" w:rsidR="007E68AA" w:rsidRDefault="00EA270B" w:rsidP="00EA270B">
      <w:pPr>
        <w:widowControl w:val="0"/>
        <w:tabs>
          <w:tab w:val="left" w:pos="567"/>
        </w:tabs>
        <w:spacing w:before="480" w:after="480" w:line="360" w:lineRule="auto"/>
        <w:jc w:val="both"/>
      </w:pPr>
      <w:r>
        <w:t>[25]</w:t>
      </w:r>
      <w:r>
        <w:tab/>
      </w:r>
      <w:r w:rsidR="007E68AA">
        <w:t xml:space="preserve">After eight years these discrepancies were not unexpected. </w:t>
      </w:r>
    </w:p>
    <w:p w14:paraId="55AAEA8C" w14:textId="1E4431F8" w:rsidR="0026309E" w:rsidRDefault="0026309E" w:rsidP="005B36E7">
      <w:pPr>
        <w:widowControl w:val="0"/>
        <w:spacing w:before="480" w:after="480" w:line="360" w:lineRule="auto"/>
        <w:jc w:val="both"/>
        <w:rPr>
          <w:rFonts w:cs="Arial"/>
          <w:bCs/>
          <w:szCs w:val="22"/>
        </w:rPr>
      </w:pPr>
    </w:p>
    <w:p w14:paraId="11BF06EF" w14:textId="329470FB" w:rsidR="005B36E7" w:rsidRPr="005B36E7" w:rsidRDefault="005B36E7" w:rsidP="007E68AA">
      <w:pPr>
        <w:keepNext/>
        <w:widowControl w:val="0"/>
        <w:spacing w:before="480" w:after="480" w:line="360" w:lineRule="auto"/>
        <w:jc w:val="both"/>
        <w:rPr>
          <w:rFonts w:cs="Arial"/>
          <w:bCs/>
          <w:szCs w:val="22"/>
          <w:u w:val="single"/>
        </w:rPr>
      </w:pPr>
      <w:r w:rsidRPr="005B36E7">
        <w:rPr>
          <w:rFonts w:cs="Arial"/>
          <w:bCs/>
          <w:szCs w:val="22"/>
          <w:u w:val="single"/>
          <w:lang w:val="en-GB"/>
        </w:rPr>
        <w:lastRenderedPageBreak/>
        <w:t>The evidence of the plaintiff</w:t>
      </w:r>
    </w:p>
    <w:p w14:paraId="0419BFFD" w14:textId="55CFF59E" w:rsidR="0026309E" w:rsidRPr="00477C59" w:rsidRDefault="00EA270B" w:rsidP="00EA270B">
      <w:pPr>
        <w:keepNext/>
        <w:widowControl w:val="0"/>
        <w:tabs>
          <w:tab w:val="left" w:pos="567"/>
        </w:tabs>
        <w:spacing w:before="480" w:after="480" w:line="360" w:lineRule="auto"/>
        <w:jc w:val="both"/>
        <w:rPr>
          <w:rFonts w:cs="Arial"/>
          <w:bCs/>
          <w:szCs w:val="22"/>
        </w:rPr>
      </w:pPr>
      <w:r w:rsidRPr="00477C59">
        <w:rPr>
          <w:rFonts w:cs="Arial"/>
          <w:bCs/>
          <w:szCs w:val="22"/>
        </w:rPr>
        <w:t>[26]</w:t>
      </w:r>
      <w:r w:rsidRPr="00477C59">
        <w:rPr>
          <w:rFonts w:cs="Arial"/>
          <w:bCs/>
          <w:szCs w:val="22"/>
        </w:rPr>
        <w:tab/>
      </w:r>
      <w:r w:rsidR="00477C59" w:rsidRPr="00477C59">
        <w:rPr>
          <w:rFonts w:cs="Arial"/>
          <w:bCs/>
          <w:szCs w:val="22"/>
          <w:lang w:val="en-GB"/>
        </w:rPr>
        <w:t xml:space="preserve">The plaintiff testified that he was </w:t>
      </w:r>
      <w:r w:rsidR="00477C59">
        <w:rPr>
          <w:rFonts w:cs="Arial"/>
          <w:bCs/>
          <w:szCs w:val="22"/>
          <w:lang w:val="en-GB"/>
        </w:rPr>
        <w:t xml:space="preserve">a </w:t>
      </w:r>
      <w:r w:rsidR="00477C59" w:rsidRPr="00477C59">
        <w:rPr>
          <w:rFonts w:cs="Arial"/>
          <w:bCs/>
          <w:szCs w:val="22"/>
          <w:lang w:val="en-GB"/>
        </w:rPr>
        <w:t>widower</w:t>
      </w:r>
      <w:r w:rsidR="00477C59">
        <w:rPr>
          <w:rFonts w:cs="Arial"/>
          <w:bCs/>
          <w:szCs w:val="22"/>
          <w:lang w:val="en-GB"/>
        </w:rPr>
        <w:t xml:space="preserve"> </w:t>
      </w:r>
      <w:r w:rsidR="00477C59" w:rsidRPr="00477C59">
        <w:rPr>
          <w:rFonts w:cs="Arial"/>
          <w:bCs/>
          <w:szCs w:val="22"/>
          <w:lang w:val="en-GB"/>
        </w:rPr>
        <w:t>and that he was born in 1964</w:t>
      </w:r>
      <w:r w:rsidR="00477C59">
        <w:rPr>
          <w:rFonts w:cs="Arial"/>
          <w:bCs/>
          <w:szCs w:val="22"/>
          <w:lang w:val="en-GB"/>
        </w:rPr>
        <w:t xml:space="preserve">. </w:t>
      </w:r>
      <w:r w:rsidR="00477C59" w:rsidRPr="00477C59">
        <w:rPr>
          <w:rFonts w:cs="Arial"/>
          <w:bCs/>
          <w:szCs w:val="22"/>
          <w:lang w:val="en-GB"/>
        </w:rPr>
        <w:t xml:space="preserve">He resided in </w:t>
      </w:r>
      <w:r w:rsidR="00477C59">
        <w:rPr>
          <w:rFonts w:cs="Arial"/>
          <w:bCs/>
          <w:szCs w:val="22"/>
          <w:lang w:val="en-GB"/>
        </w:rPr>
        <w:t>Kliptown</w:t>
      </w:r>
      <w:r w:rsidR="00477C59" w:rsidRPr="00477C59">
        <w:rPr>
          <w:rFonts w:cs="Arial"/>
          <w:bCs/>
          <w:szCs w:val="22"/>
          <w:lang w:val="en-GB"/>
        </w:rPr>
        <w:t xml:space="preserve"> West</w:t>
      </w:r>
      <w:r w:rsidR="00477C59">
        <w:rPr>
          <w:rFonts w:cs="Arial"/>
          <w:bCs/>
          <w:szCs w:val="22"/>
          <w:lang w:val="en-GB"/>
        </w:rPr>
        <w:t xml:space="preserve">. </w:t>
      </w:r>
      <w:r w:rsidR="00477C59" w:rsidRPr="00477C59">
        <w:rPr>
          <w:rFonts w:cs="Arial"/>
          <w:bCs/>
          <w:szCs w:val="22"/>
          <w:lang w:val="en-GB"/>
        </w:rPr>
        <w:t xml:space="preserve">He was </w:t>
      </w:r>
      <w:r w:rsidR="007D181F">
        <w:rPr>
          <w:rFonts w:cs="Arial"/>
          <w:bCs/>
          <w:szCs w:val="22"/>
          <w:lang w:val="en-GB"/>
        </w:rPr>
        <w:t xml:space="preserve">medically </w:t>
      </w:r>
      <w:r w:rsidR="00477C59" w:rsidRPr="00477C59">
        <w:rPr>
          <w:rFonts w:cs="Arial"/>
          <w:bCs/>
          <w:szCs w:val="22"/>
          <w:lang w:val="en-GB"/>
        </w:rPr>
        <w:t>boarded in 2012 because he suffered from epilepsy and</w:t>
      </w:r>
      <w:r w:rsidR="00477C59">
        <w:rPr>
          <w:rFonts w:cs="Arial"/>
          <w:bCs/>
          <w:szCs w:val="22"/>
          <w:lang w:val="en-GB"/>
        </w:rPr>
        <w:t xml:space="preserve"> </w:t>
      </w:r>
      <w:r w:rsidR="00477C59" w:rsidRPr="00477C59">
        <w:rPr>
          <w:rFonts w:cs="Arial"/>
          <w:bCs/>
          <w:szCs w:val="22"/>
          <w:lang w:val="en-GB"/>
        </w:rPr>
        <w:t>in 2015 he was doing</w:t>
      </w:r>
      <w:r w:rsidR="00477C59">
        <w:rPr>
          <w:rFonts w:cs="Arial"/>
          <w:bCs/>
          <w:szCs w:val="22"/>
          <w:lang w:val="en-GB"/>
        </w:rPr>
        <w:t xml:space="preserve"> </w:t>
      </w:r>
      <w:r w:rsidR="00477C59" w:rsidRPr="003C083B">
        <w:rPr>
          <w:rFonts w:cs="Arial"/>
          <w:bCs/>
          <w:i/>
          <w:iCs/>
          <w:szCs w:val="22"/>
          <w:lang w:val="en-GB"/>
        </w:rPr>
        <w:t>“odd jobs”</w:t>
      </w:r>
      <w:r w:rsidR="00477C59">
        <w:rPr>
          <w:rFonts w:cs="Arial"/>
          <w:bCs/>
          <w:szCs w:val="22"/>
          <w:lang w:val="en-GB"/>
        </w:rPr>
        <w:t xml:space="preserve"> </w:t>
      </w:r>
      <w:r w:rsidR="00C03FB2" w:rsidRPr="00C03FB2">
        <w:rPr>
          <w:rFonts w:cs="Arial"/>
          <w:bCs/>
          <w:szCs w:val="22"/>
          <w:lang w:val="en-GB"/>
        </w:rPr>
        <w:t>as a carpenter</w:t>
      </w:r>
      <w:r w:rsidR="00C03FB2">
        <w:rPr>
          <w:rFonts w:cs="Arial"/>
          <w:bCs/>
          <w:szCs w:val="22"/>
          <w:lang w:val="en-GB"/>
        </w:rPr>
        <w:t xml:space="preserve">. </w:t>
      </w:r>
      <w:r w:rsidR="00477C59" w:rsidRPr="00477C59">
        <w:rPr>
          <w:rFonts w:cs="Arial"/>
          <w:bCs/>
          <w:szCs w:val="22"/>
          <w:lang w:val="en-GB"/>
        </w:rPr>
        <w:t>At the time of his arrest he was painting a house in El</w:t>
      </w:r>
      <w:r w:rsidR="00477C59">
        <w:rPr>
          <w:rFonts w:cs="Arial"/>
          <w:bCs/>
          <w:szCs w:val="22"/>
          <w:lang w:val="en-GB"/>
        </w:rPr>
        <w:t>d</w:t>
      </w:r>
      <w:r w:rsidR="00477C59" w:rsidRPr="00477C59">
        <w:rPr>
          <w:rFonts w:cs="Arial"/>
          <w:bCs/>
          <w:szCs w:val="22"/>
          <w:lang w:val="en-GB"/>
        </w:rPr>
        <w:t>orado Park ext 9 for an owner who was in the process of moving</w:t>
      </w:r>
      <w:r w:rsidR="00477C59">
        <w:rPr>
          <w:rFonts w:cs="Arial"/>
          <w:bCs/>
          <w:szCs w:val="22"/>
          <w:lang w:val="en-GB"/>
        </w:rPr>
        <w:t>.</w:t>
      </w:r>
    </w:p>
    <w:p w14:paraId="56DD7104" w14:textId="22BD5E1B" w:rsidR="00477C59" w:rsidRPr="00477C59" w:rsidRDefault="00EA270B" w:rsidP="00EA270B">
      <w:pPr>
        <w:widowControl w:val="0"/>
        <w:tabs>
          <w:tab w:val="left" w:pos="567"/>
        </w:tabs>
        <w:spacing w:before="480" w:after="480" w:line="360" w:lineRule="auto"/>
        <w:jc w:val="both"/>
        <w:rPr>
          <w:rFonts w:cs="Arial"/>
          <w:bCs/>
          <w:szCs w:val="22"/>
        </w:rPr>
      </w:pPr>
      <w:r w:rsidRPr="00477C59">
        <w:rPr>
          <w:rFonts w:cs="Arial"/>
          <w:bCs/>
          <w:szCs w:val="22"/>
        </w:rPr>
        <w:t>[27]</w:t>
      </w:r>
      <w:r w:rsidRPr="00477C59">
        <w:rPr>
          <w:rFonts w:cs="Arial"/>
          <w:bCs/>
          <w:szCs w:val="22"/>
        </w:rPr>
        <w:tab/>
      </w:r>
      <w:r w:rsidR="00477C59" w:rsidRPr="00477C59">
        <w:rPr>
          <w:rFonts w:cs="Arial"/>
          <w:bCs/>
          <w:szCs w:val="22"/>
          <w:lang w:val="en-GB"/>
        </w:rPr>
        <w:t>On the day of the arrest he left</w:t>
      </w:r>
      <w:r w:rsidR="00477C59">
        <w:rPr>
          <w:rFonts w:cs="Arial"/>
          <w:bCs/>
          <w:szCs w:val="22"/>
          <w:lang w:val="en-GB"/>
        </w:rPr>
        <w:t xml:space="preserve"> </w:t>
      </w:r>
      <w:r w:rsidR="00477C59" w:rsidRPr="00477C59">
        <w:rPr>
          <w:rFonts w:cs="Arial"/>
          <w:bCs/>
          <w:szCs w:val="22"/>
          <w:lang w:val="en-GB"/>
        </w:rPr>
        <w:t xml:space="preserve">the house </w:t>
      </w:r>
      <w:r w:rsidR="008A4C8C">
        <w:rPr>
          <w:rFonts w:cs="Arial"/>
          <w:bCs/>
          <w:szCs w:val="22"/>
          <w:lang w:val="en-GB"/>
        </w:rPr>
        <w:t xml:space="preserve">where he was working at the end of the working day </w:t>
      </w:r>
      <w:r w:rsidR="00477C59" w:rsidRPr="00477C59">
        <w:rPr>
          <w:rFonts w:cs="Arial"/>
          <w:bCs/>
          <w:szCs w:val="22"/>
          <w:lang w:val="en-GB"/>
        </w:rPr>
        <w:t xml:space="preserve">and was walking </w:t>
      </w:r>
      <w:r w:rsidR="00477C59">
        <w:rPr>
          <w:rFonts w:cs="Arial"/>
          <w:bCs/>
          <w:szCs w:val="22"/>
          <w:lang w:val="en-GB"/>
        </w:rPr>
        <w:t xml:space="preserve">to </w:t>
      </w:r>
      <w:r w:rsidR="008A4C8C">
        <w:rPr>
          <w:rFonts w:cs="Arial"/>
          <w:bCs/>
          <w:szCs w:val="22"/>
          <w:lang w:val="en-GB"/>
        </w:rPr>
        <w:t xml:space="preserve">his home in </w:t>
      </w:r>
      <w:r w:rsidR="00477C59">
        <w:rPr>
          <w:rFonts w:cs="Arial"/>
          <w:bCs/>
          <w:szCs w:val="22"/>
          <w:lang w:val="en-GB"/>
        </w:rPr>
        <w:t>Klipspruit</w:t>
      </w:r>
      <w:r w:rsidR="00B13150">
        <w:rPr>
          <w:rFonts w:cs="Arial"/>
          <w:bCs/>
          <w:szCs w:val="22"/>
          <w:lang w:val="en-GB"/>
        </w:rPr>
        <w:t xml:space="preserve"> West</w:t>
      </w:r>
      <w:r w:rsidR="00477C59">
        <w:rPr>
          <w:rFonts w:cs="Arial"/>
          <w:bCs/>
          <w:szCs w:val="22"/>
          <w:lang w:val="en-GB"/>
        </w:rPr>
        <w:t xml:space="preserve">. </w:t>
      </w:r>
      <w:r w:rsidR="00477C59" w:rsidRPr="00477C59">
        <w:rPr>
          <w:rFonts w:cs="Arial"/>
          <w:bCs/>
          <w:szCs w:val="22"/>
          <w:lang w:val="en-GB"/>
        </w:rPr>
        <w:t xml:space="preserve">Near the bridge between </w:t>
      </w:r>
      <w:r w:rsidR="00477C59">
        <w:rPr>
          <w:rFonts w:cs="Arial"/>
          <w:bCs/>
          <w:szCs w:val="22"/>
          <w:lang w:val="en-GB"/>
        </w:rPr>
        <w:t>Klipspruit</w:t>
      </w:r>
      <w:r w:rsidR="00477C59" w:rsidRPr="00477C59">
        <w:rPr>
          <w:rFonts w:cs="Arial"/>
          <w:bCs/>
          <w:szCs w:val="22"/>
          <w:lang w:val="en-GB"/>
        </w:rPr>
        <w:t xml:space="preserve"> and </w:t>
      </w:r>
      <w:r w:rsidR="00477C59">
        <w:rPr>
          <w:rFonts w:cs="Arial"/>
          <w:bCs/>
          <w:szCs w:val="22"/>
          <w:lang w:val="en-GB"/>
        </w:rPr>
        <w:t>Eldorado</w:t>
      </w:r>
      <w:r w:rsidR="00477C59" w:rsidRPr="00477C59">
        <w:rPr>
          <w:rFonts w:cs="Arial"/>
          <w:bCs/>
          <w:szCs w:val="22"/>
          <w:lang w:val="en-GB"/>
        </w:rPr>
        <w:t xml:space="preserve"> </w:t>
      </w:r>
      <w:r w:rsidR="00477C59">
        <w:rPr>
          <w:rFonts w:cs="Arial"/>
          <w:bCs/>
          <w:szCs w:val="22"/>
          <w:lang w:val="en-GB"/>
        </w:rPr>
        <w:t>P</w:t>
      </w:r>
      <w:r w:rsidR="00477C59" w:rsidRPr="00477C59">
        <w:rPr>
          <w:rFonts w:cs="Arial"/>
          <w:bCs/>
          <w:szCs w:val="22"/>
          <w:lang w:val="en-GB"/>
        </w:rPr>
        <w:t>ark</w:t>
      </w:r>
      <w:r w:rsidR="00477C59">
        <w:rPr>
          <w:rFonts w:cs="Arial"/>
          <w:bCs/>
          <w:szCs w:val="22"/>
          <w:lang w:val="en-GB"/>
        </w:rPr>
        <w:t xml:space="preserve"> </w:t>
      </w:r>
      <w:r w:rsidR="00477C59" w:rsidRPr="00477C59">
        <w:rPr>
          <w:rFonts w:cs="Arial"/>
          <w:bCs/>
          <w:szCs w:val="22"/>
          <w:lang w:val="en-GB"/>
        </w:rPr>
        <w:t>a marked police vehicle approached and stopped next to him</w:t>
      </w:r>
      <w:r w:rsidR="00477C59">
        <w:rPr>
          <w:rFonts w:cs="Arial"/>
          <w:bCs/>
          <w:szCs w:val="22"/>
          <w:lang w:val="en-GB"/>
        </w:rPr>
        <w:t xml:space="preserve">. </w:t>
      </w:r>
      <w:r w:rsidR="00477C59" w:rsidRPr="00477C59">
        <w:rPr>
          <w:rFonts w:cs="Arial"/>
          <w:bCs/>
          <w:szCs w:val="22"/>
          <w:lang w:val="en-GB"/>
        </w:rPr>
        <w:t>The</w:t>
      </w:r>
      <w:r w:rsidR="00B13150">
        <w:rPr>
          <w:rFonts w:cs="Arial"/>
          <w:bCs/>
          <w:szCs w:val="22"/>
          <w:lang w:val="en-GB"/>
        </w:rPr>
        <w:t>re</w:t>
      </w:r>
      <w:r w:rsidR="00477C59" w:rsidRPr="00477C59">
        <w:rPr>
          <w:rFonts w:cs="Arial"/>
          <w:bCs/>
          <w:szCs w:val="22"/>
          <w:lang w:val="en-GB"/>
        </w:rPr>
        <w:t xml:space="preserve"> were two other members of the public close by but he was not walking with them. There were three </w:t>
      </w:r>
      <w:r w:rsidR="002459F6">
        <w:rPr>
          <w:rFonts w:cs="Arial"/>
          <w:bCs/>
          <w:szCs w:val="22"/>
          <w:lang w:val="en-GB"/>
        </w:rPr>
        <w:t>men</w:t>
      </w:r>
      <w:r w:rsidR="00477C59" w:rsidRPr="00477C59">
        <w:rPr>
          <w:rFonts w:cs="Arial"/>
          <w:bCs/>
          <w:szCs w:val="22"/>
          <w:lang w:val="en-GB"/>
        </w:rPr>
        <w:t xml:space="preserve"> in the vehicle</w:t>
      </w:r>
      <w:r w:rsidR="00477C59">
        <w:rPr>
          <w:rFonts w:cs="Arial"/>
          <w:bCs/>
          <w:szCs w:val="22"/>
          <w:lang w:val="en-GB"/>
        </w:rPr>
        <w:t xml:space="preserve">, </w:t>
      </w:r>
      <w:r w:rsidR="00477C59" w:rsidRPr="00477C59">
        <w:rPr>
          <w:rFonts w:cs="Arial"/>
          <w:bCs/>
          <w:szCs w:val="22"/>
          <w:lang w:val="en-GB"/>
        </w:rPr>
        <w:t>all of them wearing plain clothes</w:t>
      </w:r>
      <w:r w:rsidR="00477C59">
        <w:rPr>
          <w:rFonts w:cs="Arial"/>
          <w:bCs/>
          <w:szCs w:val="22"/>
          <w:lang w:val="en-GB"/>
        </w:rPr>
        <w:t xml:space="preserve">. </w:t>
      </w:r>
      <w:r w:rsidR="00477C59" w:rsidRPr="00477C59">
        <w:rPr>
          <w:rFonts w:cs="Arial"/>
          <w:bCs/>
          <w:szCs w:val="22"/>
          <w:lang w:val="en-GB"/>
        </w:rPr>
        <w:t>A man alighted from the front passenger</w:t>
      </w:r>
      <w:r w:rsidR="00477C59">
        <w:rPr>
          <w:rFonts w:cs="Arial"/>
          <w:bCs/>
          <w:szCs w:val="22"/>
          <w:lang w:val="en-GB"/>
        </w:rPr>
        <w:t xml:space="preserve"> </w:t>
      </w:r>
      <w:r w:rsidR="00477C59" w:rsidRPr="00477C59">
        <w:rPr>
          <w:rFonts w:cs="Arial"/>
          <w:bCs/>
          <w:szCs w:val="22"/>
          <w:lang w:val="en-GB"/>
        </w:rPr>
        <w:t>seat of the vehicle and asked if he could search him.</w:t>
      </w:r>
      <w:r w:rsidR="00477C59">
        <w:rPr>
          <w:rFonts w:cs="Arial"/>
          <w:bCs/>
          <w:szCs w:val="22"/>
          <w:lang w:val="en-GB"/>
        </w:rPr>
        <w:t xml:space="preserve"> </w:t>
      </w:r>
      <w:r w:rsidR="00477C59" w:rsidRPr="00477C59">
        <w:rPr>
          <w:rFonts w:cs="Arial"/>
          <w:bCs/>
          <w:szCs w:val="22"/>
          <w:lang w:val="en-GB"/>
        </w:rPr>
        <w:t>The plaintiff responded by asking for the man's identification</w:t>
      </w:r>
      <w:r w:rsidR="00477C59">
        <w:rPr>
          <w:rFonts w:cs="Arial"/>
          <w:bCs/>
          <w:szCs w:val="22"/>
          <w:lang w:val="en-GB"/>
        </w:rPr>
        <w:t xml:space="preserve"> </w:t>
      </w:r>
      <w:r w:rsidR="00477C59" w:rsidRPr="00477C59">
        <w:rPr>
          <w:rFonts w:cs="Arial"/>
          <w:bCs/>
          <w:szCs w:val="22"/>
          <w:lang w:val="en-GB"/>
        </w:rPr>
        <w:t>whereupon the m</w:t>
      </w:r>
      <w:r w:rsidR="00477C59">
        <w:rPr>
          <w:rFonts w:cs="Arial"/>
          <w:bCs/>
          <w:szCs w:val="22"/>
          <w:lang w:val="en-GB"/>
        </w:rPr>
        <w:t>a</w:t>
      </w:r>
      <w:r w:rsidR="00477C59" w:rsidRPr="00477C59">
        <w:rPr>
          <w:rFonts w:cs="Arial"/>
          <w:bCs/>
          <w:szCs w:val="22"/>
          <w:lang w:val="en-GB"/>
        </w:rPr>
        <w:t>n grabbed him and dragged him to the car and forced him into the rear of the vehicle</w:t>
      </w:r>
      <w:r w:rsidR="00477C59">
        <w:rPr>
          <w:rFonts w:cs="Arial"/>
          <w:bCs/>
          <w:szCs w:val="22"/>
          <w:lang w:val="en-GB"/>
        </w:rPr>
        <w:t xml:space="preserve">. </w:t>
      </w:r>
      <w:r w:rsidR="00477C59" w:rsidRPr="00477C59">
        <w:rPr>
          <w:rFonts w:cs="Arial"/>
          <w:bCs/>
          <w:szCs w:val="22"/>
          <w:lang w:val="en-GB"/>
        </w:rPr>
        <w:t>The m</w:t>
      </w:r>
      <w:r w:rsidR="00477C59">
        <w:rPr>
          <w:rFonts w:cs="Arial"/>
          <w:bCs/>
          <w:szCs w:val="22"/>
          <w:lang w:val="en-GB"/>
        </w:rPr>
        <w:t xml:space="preserve">an </w:t>
      </w:r>
      <w:r w:rsidR="00477C59" w:rsidRPr="00477C59">
        <w:rPr>
          <w:rFonts w:cs="Arial"/>
          <w:bCs/>
          <w:szCs w:val="22"/>
          <w:lang w:val="en-GB"/>
        </w:rPr>
        <w:t xml:space="preserve">who had accosted him </w:t>
      </w:r>
      <w:r w:rsidR="00477C59">
        <w:rPr>
          <w:rFonts w:cs="Arial"/>
          <w:bCs/>
          <w:szCs w:val="22"/>
          <w:lang w:val="en-GB"/>
        </w:rPr>
        <w:t xml:space="preserve">said </w:t>
      </w:r>
      <w:r w:rsidR="00477C59" w:rsidRPr="00477C59">
        <w:rPr>
          <w:rFonts w:cs="Arial"/>
          <w:bCs/>
          <w:szCs w:val="22"/>
          <w:lang w:val="en-GB"/>
        </w:rPr>
        <w:t>to the other two</w:t>
      </w:r>
      <w:r w:rsidR="00477C59">
        <w:rPr>
          <w:rFonts w:cs="Arial"/>
          <w:bCs/>
          <w:szCs w:val="22"/>
          <w:lang w:val="en-GB"/>
        </w:rPr>
        <w:t xml:space="preserve">, </w:t>
      </w:r>
      <w:r w:rsidR="00477C59" w:rsidRPr="00477C59">
        <w:rPr>
          <w:rFonts w:cs="Arial"/>
          <w:bCs/>
          <w:szCs w:val="22"/>
          <w:lang w:val="en-GB"/>
        </w:rPr>
        <w:t xml:space="preserve">and I </w:t>
      </w:r>
      <w:r w:rsidR="00477C59">
        <w:rPr>
          <w:rFonts w:cs="Arial"/>
          <w:bCs/>
          <w:szCs w:val="22"/>
          <w:lang w:val="en-GB"/>
        </w:rPr>
        <w:t xml:space="preserve">paraphrase, </w:t>
      </w:r>
      <w:r w:rsidR="00477C59" w:rsidRPr="00477C59">
        <w:rPr>
          <w:rFonts w:cs="Arial"/>
          <w:bCs/>
          <w:i/>
          <w:iCs/>
          <w:szCs w:val="22"/>
          <w:lang w:val="en-GB"/>
        </w:rPr>
        <w:t>“this one thinks he's clever, he wants identification.”</w:t>
      </w:r>
    </w:p>
    <w:p w14:paraId="4730B3D2" w14:textId="20922C62" w:rsidR="00477C59" w:rsidRPr="002B1693" w:rsidRDefault="00EA270B" w:rsidP="00EA270B">
      <w:pPr>
        <w:widowControl w:val="0"/>
        <w:tabs>
          <w:tab w:val="left" w:pos="567"/>
        </w:tabs>
        <w:spacing w:before="480" w:after="480" w:line="360" w:lineRule="auto"/>
        <w:jc w:val="both"/>
        <w:rPr>
          <w:rFonts w:cs="Arial"/>
          <w:bCs/>
          <w:szCs w:val="22"/>
        </w:rPr>
      </w:pPr>
      <w:r w:rsidRPr="002B1693">
        <w:rPr>
          <w:rFonts w:cs="Arial"/>
          <w:bCs/>
          <w:szCs w:val="22"/>
        </w:rPr>
        <w:t>[28]</w:t>
      </w:r>
      <w:r w:rsidRPr="002B1693">
        <w:rPr>
          <w:rFonts w:cs="Arial"/>
          <w:bCs/>
          <w:szCs w:val="22"/>
        </w:rPr>
        <w:tab/>
      </w:r>
      <w:r w:rsidR="00477C59">
        <w:rPr>
          <w:rFonts w:cs="Arial"/>
          <w:bCs/>
          <w:szCs w:val="22"/>
          <w:lang w:val="en-GB"/>
        </w:rPr>
        <w:t xml:space="preserve">When </w:t>
      </w:r>
      <w:r w:rsidR="00477C59" w:rsidRPr="00477C59">
        <w:rPr>
          <w:rFonts w:cs="Arial"/>
          <w:bCs/>
          <w:szCs w:val="22"/>
          <w:lang w:val="en-GB"/>
        </w:rPr>
        <w:t>told that</w:t>
      </w:r>
      <w:r w:rsidR="002B1693">
        <w:rPr>
          <w:rFonts w:cs="Arial"/>
          <w:bCs/>
          <w:szCs w:val="22"/>
          <w:lang w:val="en-GB"/>
        </w:rPr>
        <w:t xml:space="preserve"> </w:t>
      </w:r>
      <w:r w:rsidR="002B1693" w:rsidRPr="002B1693">
        <w:rPr>
          <w:rFonts w:cs="Arial"/>
          <w:bCs/>
          <w:szCs w:val="22"/>
          <w:lang w:val="en-GB"/>
        </w:rPr>
        <w:t>he could see that</w:t>
      </w:r>
      <w:r w:rsidR="00477C59" w:rsidRPr="00477C59">
        <w:rPr>
          <w:rFonts w:cs="Arial"/>
          <w:bCs/>
          <w:szCs w:val="22"/>
          <w:lang w:val="en-GB"/>
        </w:rPr>
        <w:t xml:space="preserve"> the car was a police car he responded by saying that even robbers had police cars.</w:t>
      </w:r>
      <w:r w:rsidR="002B1693">
        <w:rPr>
          <w:rFonts w:cs="Arial"/>
          <w:bCs/>
          <w:szCs w:val="22"/>
          <w:lang w:val="en-GB"/>
        </w:rPr>
        <w:t xml:space="preserve"> </w:t>
      </w:r>
    </w:p>
    <w:p w14:paraId="009A5C3D" w14:textId="59DD79B0" w:rsidR="000B4F62" w:rsidRPr="000B4F62" w:rsidRDefault="00EA270B" w:rsidP="00EA270B">
      <w:pPr>
        <w:widowControl w:val="0"/>
        <w:tabs>
          <w:tab w:val="left" w:pos="567"/>
        </w:tabs>
        <w:spacing w:before="480" w:after="480" w:line="360" w:lineRule="auto"/>
        <w:jc w:val="both"/>
        <w:rPr>
          <w:rFonts w:cs="Arial"/>
          <w:bCs/>
          <w:szCs w:val="22"/>
        </w:rPr>
      </w:pPr>
      <w:r w:rsidRPr="000B4F62">
        <w:rPr>
          <w:rFonts w:cs="Arial"/>
          <w:bCs/>
          <w:szCs w:val="22"/>
        </w:rPr>
        <w:t>[29]</w:t>
      </w:r>
      <w:r w:rsidRPr="000B4F62">
        <w:rPr>
          <w:rFonts w:cs="Arial"/>
          <w:bCs/>
          <w:szCs w:val="22"/>
        </w:rPr>
        <w:tab/>
      </w:r>
      <w:r w:rsidR="002B1693" w:rsidRPr="002B1693">
        <w:rPr>
          <w:rFonts w:cs="Arial"/>
          <w:bCs/>
          <w:szCs w:val="22"/>
          <w:lang w:val="en-GB"/>
        </w:rPr>
        <w:t>The m</w:t>
      </w:r>
      <w:r w:rsidR="002B1693">
        <w:rPr>
          <w:rFonts w:cs="Arial"/>
          <w:bCs/>
          <w:szCs w:val="22"/>
          <w:lang w:val="en-GB"/>
        </w:rPr>
        <w:t>a</w:t>
      </w:r>
      <w:r w:rsidR="002B1693" w:rsidRPr="002B1693">
        <w:rPr>
          <w:rFonts w:cs="Arial"/>
          <w:bCs/>
          <w:szCs w:val="22"/>
          <w:lang w:val="en-GB"/>
        </w:rPr>
        <w:t>n then went back and searched</w:t>
      </w:r>
      <w:r w:rsidR="002B1693">
        <w:rPr>
          <w:rFonts w:cs="Arial"/>
          <w:bCs/>
          <w:szCs w:val="22"/>
          <w:lang w:val="en-GB"/>
        </w:rPr>
        <w:t xml:space="preserve"> </w:t>
      </w:r>
      <w:r w:rsidR="002B1693" w:rsidRPr="002B1693">
        <w:rPr>
          <w:rFonts w:cs="Arial"/>
          <w:bCs/>
          <w:szCs w:val="22"/>
          <w:lang w:val="en-GB"/>
        </w:rPr>
        <w:t xml:space="preserve">the other person who had been walking on the shoulder of the road </w:t>
      </w:r>
      <w:r w:rsidR="002B1693">
        <w:rPr>
          <w:rFonts w:cs="Arial"/>
          <w:bCs/>
          <w:szCs w:val="22"/>
          <w:lang w:val="en-GB"/>
        </w:rPr>
        <w:t>b</w:t>
      </w:r>
      <w:r w:rsidR="002B1693" w:rsidRPr="002B1693">
        <w:rPr>
          <w:rFonts w:cs="Arial"/>
          <w:bCs/>
          <w:szCs w:val="22"/>
          <w:lang w:val="en-GB"/>
        </w:rPr>
        <w:t xml:space="preserve">efore returning to the vehicle. They then took </w:t>
      </w:r>
      <w:r w:rsidR="000B4F62">
        <w:rPr>
          <w:rFonts w:cs="Arial"/>
          <w:bCs/>
          <w:szCs w:val="22"/>
          <w:lang w:val="en-GB"/>
        </w:rPr>
        <w:t>the plaintiff</w:t>
      </w:r>
      <w:r w:rsidR="002B1693" w:rsidRPr="002B1693">
        <w:rPr>
          <w:rFonts w:cs="Arial"/>
          <w:bCs/>
          <w:szCs w:val="22"/>
          <w:lang w:val="en-GB"/>
        </w:rPr>
        <w:t xml:space="preserve"> to the</w:t>
      </w:r>
      <w:r w:rsidR="002B1693">
        <w:rPr>
          <w:rFonts w:cs="Arial"/>
          <w:bCs/>
          <w:szCs w:val="22"/>
          <w:lang w:val="en-GB"/>
        </w:rPr>
        <w:t xml:space="preserve"> Kliptown </w:t>
      </w:r>
      <w:r w:rsidR="002B1693" w:rsidRPr="002B1693">
        <w:rPr>
          <w:rFonts w:cs="Arial"/>
          <w:bCs/>
          <w:szCs w:val="22"/>
          <w:lang w:val="en-GB"/>
        </w:rPr>
        <w:t>police station.</w:t>
      </w:r>
      <w:r w:rsidR="002B1693">
        <w:rPr>
          <w:rFonts w:cs="Arial"/>
          <w:bCs/>
          <w:szCs w:val="22"/>
          <w:lang w:val="en-GB"/>
        </w:rPr>
        <w:t xml:space="preserve"> </w:t>
      </w:r>
      <w:r w:rsidR="002B1693" w:rsidRPr="002B1693">
        <w:rPr>
          <w:rFonts w:cs="Arial"/>
          <w:bCs/>
          <w:szCs w:val="22"/>
          <w:lang w:val="en-GB"/>
        </w:rPr>
        <w:t xml:space="preserve">They were three men in plain clothes with him in the vehicle and he was sitting in the back between two of them. </w:t>
      </w:r>
      <w:r w:rsidR="000B4F62">
        <w:rPr>
          <w:rFonts w:cs="Arial"/>
          <w:bCs/>
          <w:szCs w:val="22"/>
          <w:lang w:val="en-GB"/>
        </w:rPr>
        <w:t xml:space="preserve">Sgt Nkosi was driving. </w:t>
      </w:r>
    </w:p>
    <w:p w14:paraId="137F953B" w14:textId="23FDC78F" w:rsidR="002B1693" w:rsidRPr="00702CB1" w:rsidRDefault="00EA270B" w:rsidP="00EA270B">
      <w:pPr>
        <w:widowControl w:val="0"/>
        <w:tabs>
          <w:tab w:val="left" w:pos="567"/>
        </w:tabs>
        <w:spacing w:before="480" w:after="480" w:line="360" w:lineRule="auto"/>
        <w:jc w:val="both"/>
        <w:rPr>
          <w:rFonts w:cs="Arial"/>
          <w:bCs/>
          <w:szCs w:val="22"/>
        </w:rPr>
      </w:pPr>
      <w:r w:rsidRPr="00702CB1">
        <w:rPr>
          <w:rFonts w:cs="Arial"/>
          <w:bCs/>
          <w:szCs w:val="22"/>
        </w:rPr>
        <w:t>[30]</w:t>
      </w:r>
      <w:r w:rsidRPr="00702CB1">
        <w:rPr>
          <w:rFonts w:cs="Arial"/>
          <w:bCs/>
          <w:szCs w:val="22"/>
        </w:rPr>
        <w:tab/>
      </w:r>
      <w:r w:rsidR="002B1693" w:rsidRPr="002B1693">
        <w:rPr>
          <w:rFonts w:cs="Arial"/>
          <w:bCs/>
          <w:szCs w:val="22"/>
          <w:lang w:val="en-GB"/>
        </w:rPr>
        <w:t xml:space="preserve">He </w:t>
      </w:r>
      <w:r w:rsidR="007D181F">
        <w:rPr>
          <w:rFonts w:cs="Arial"/>
          <w:bCs/>
          <w:szCs w:val="22"/>
          <w:lang w:val="en-GB"/>
        </w:rPr>
        <w:t xml:space="preserve">testified that </w:t>
      </w:r>
      <w:r w:rsidR="002B1693" w:rsidRPr="002B1693">
        <w:rPr>
          <w:rFonts w:cs="Arial"/>
          <w:bCs/>
          <w:szCs w:val="22"/>
          <w:lang w:val="en-GB"/>
        </w:rPr>
        <w:t>was never searched and nothing was found on him</w:t>
      </w:r>
      <w:r w:rsidR="002B1693">
        <w:rPr>
          <w:rFonts w:cs="Arial"/>
          <w:bCs/>
          <w:szCs w:val="22"/>
          <w:lang w:val="en-GB"/>
        </w:rPr>
        <w:t>.</w:t>
      </w:r>
      <w:r w:rsidR="002B1693" w:rsidRPr="002B1693">
        <w:rPr>
          <w:rFonts w:cs="Arial"/>
          <w:bCs/>
          <w:szCs w:val="22"/>
          <w:lang w:val="en-GB"/>
        </w:rPr>
        <w:t xml:space="preserve"> At the police station he was taken round the back to the cells</w:t>
      </w:r>
      <w:r w:rsidR="002B1693">
        <w:rPr>
          <w:rFonts w:cs="Arial"/>
          <w:bCs/>
          <w:szCs w:val="22"/>
          <w:lang w:val="en-GB"/>
        </w:rPr>
        <w:t xml:space="preserve"> </w:t>
      </w:r>
      <w:r w:rsidR="002B1693" w:rsidRPr="002B1693">
        <w:rPr>
          <w:rFonts w:cs="Arial"/>
          <w:bCs/>
          <w:szCs w:val="22"/>
          <w:lang w:val="en-GB"/>
        </w:rPr>
        <w:t>and</w:t>
      </w:r>
      <w:r w:rsidR="002B1693">
        <w:rPr>
          <w:rFonts w:cs="Arial"/>
          <w:bCs/>
          <w:szCs w:val="22"/>
          <w:lang w:val="en-GB"/>
        </w:rPr>
        <w:t xml:space="preserve"> </w:t>
      </w:r>
      <w:r w:rsidR="002B1693" w:rsidRPr="002B1693">
        <w:rPr>
          <w:rFonts w:cs="Arial"/>
          <w:bCs/>
          <w:szCs w:val="22"/>
          <w:lang w:val="en-GB"/>
        </w:rPr>
        <w:t>placed in the custody of a man in police uniform</w:t>
      </w:r>
      <w:r w:rsidR="002B1693">
        <w:rPr>
          <w:rFonts w:cs="Arial"/>
          <w:bCs/>
          <w:szCs w:val="22"/>
          <w:lang w:val="en-GB"/>
        </w:rPr>
        <w:t>.</w:t>
      </w:r>
      <w:r w:rsidR="002B1693" w:rsidRPr="002B1693">
        <w:rPr>
          <w:rFonts w:cs="Arial"/>
          <w:bCs/>
          <w:szCs w:val="22"/>
          <w:lang w:val="en-GB"/>
        </w:rPr>
        <w:t xml:space="preserve"> He gave his name and address to this </w:t>
      </w:r>
      <w:r w:rsidR="008A4C8C">
        <w:rPr>
          <w:rFonts w:cs="Arial"/>
          <w:bCs/>
          <w:szCs w:val="22"/>
          <w:lang w:val="en-GB"/>
        </w:rPr>
        <w:t>officer</w:t>
      </w:r>
      <w:r w:rsidR="002B1693" w:rsidRPr="002B1693">
        <w:rPr>
          <w:rFonts w:cs="Arial"/>
          <w:bCs/>
          <w:szCs w:val="22"/>
          <w:lang w:val="en-GB"/>
        </w:rPr>
        <w:t xml:space="preserve"> who enter</w:t>
      </w:r>
      <w:r w:rsidR="000B4F62">
        <w:rPr>
          <w:rFonts w:cs="Arial"/>
          <w:bCs/>
          <w:szCs w:val="22"/>
          <w:lang w:val="en-GB"/>
        </w:rPr>
        <w:t>ed</w:t>
      </w:r>
      <w:r w:rsidR="002B1693" w:rsidRPr="002B1693">
        <w:rPr>
          <w:rFonts w:cs="Arial"/>
          <w:bCs/>
          <w:szCs w:val="22"/>
          <w:lang w:val="en-GB"/>
        </w:rPr>
        <w:t xml:space="preserve"> these details in the register.</w:t>
      </w:r>
      <w:r w:rsidR="00702CB1" w:rsidRPr="00702CB1">
        <w:rPr>
          <w:rFonts w:cs="Arial"/>
          <w:bCs/>
          <w:szCs w:val="22"/>
          <w:lang w:val="en-GB"/>
        </w:rPr>
        <w:t xml:space="preserve"> The other man who had been with him in the police car</w:t>
      </w:r>
      <w:r w:rsidR="00702CB1">
        <w:rPr>
          <w:rFonts w:cs="Arial"/>
          <w:bCs/>
          <w:szCs w:val="22"/>
          <w:lang w:val="en-GB"/>
        </w:rPr>
        <w:t xml:space="preserve"> (</w:t>
      </w:r>
      <w:r w:rsidR="00702CB1" w:rsidRPr="00702CB1">
        <w:rPr>
          <w:rFonts w:cs="Arial"/>
          <w:bCs/>
          <w:szCs w:val="22"/>
          <w:lang w:val="en-GB"/>
        </w:rPr>
        <w:t>but who was not one of the police witnesses who testified</w:t>
      </w:r>
      <w:r w:rsidR="00702CB1">
        <w:rPr>
          <w:rFonts w:cs="Arial"/>
          <w:bCs/>
          <w:szCs w:val="22"/>
          <w:lang w:val="en-GB"/>
        </w:rPr>
        <w:t xml:space="preserve">) </w:t>
      </w:r>
      <w:r w:rsidR="00702CB1" w:rsidRPr="00702CB1">
        <w:rPr>
          <w:rFonts w:cs="Arial"/>
          <w:bCs/>
          <w:szCs w:val="22"/>
          <w:lang w:val="en-GB"/>
        </w:rPr>
        <w:t>returned and asked for the detained rights book</w:t>
      </w:r>
      <w:r w:rsidR="00702CB1">
        <w:rPr>
          <w:rFonts w:cs="Arial"/>
          <w:bCs/>
          <w:szCs w:val="22"/>
          <w:lang w:val="en-GB"/>
        </w:rPr>
        <w:t>.</w:t>
      </w:r>
      <w:r w:rsidR="00702CB1" w:rsidRPr="00702CB1">
        <w:rPr>
          <w:rFonts w:cs="Arial"/>
          <w:bCs/>
          <w:szCs w:val="22"/>
          <w:lang w:val="en-GB"/>
        </w:rPr>
        <w:t xml:space="preserve"> This police officer then wrote his details in the book and told him to sign</w:t>
      </w:r>
      <w:r w:rsidR="00702CB1">
        <w:rPr>
          <w:rFonts w:cs="Arial"/>
          <w:bCs/>
          <w:szCs w:val="22"/>
          <w:lang w:val="en-GB"/>
        </w:rPr>
        <w:t>.</w:t>
      </w:r>
    </w:p>
    <w:p w14:paraId="63547DE6" w14:textId="177CA620" w:rsidR="00702CB1" w:rsidRDefault="00EA270B" w:rsidP="00EA270B">
      <w:pPr>
        <w:widowControl w:val="0"/>
        <w:tabs>
          <w:tab w:val="left" w:pos="567"/>
        </w:tabs>
        <w:spacing w:before="480" w:after="480" w:line="360" w:lineRule="auto"/>
        <w:jc w:val="both"/>
        <w:rPr>
          <w:rFonts w:cs="Arial"/>
          <w:bCs/>
          <w:szCs w:val="22"/>
        </w:rPr>
      </w:pPr>
      <w:r>
        <w:rPr>
          <w:rFonts w:cs="Arial"/>
          <w:bCs/>
          <w:szCs w:val="22"/>
        </w:rPr>
        <w:t>[31]</w:t>
      </w:r>
      <w:r>
        <w:rPr>
          <w:rFonts w:cs="Arial"/>
          <w:bCs/>
          <w:szCs w:val="22"/>
        </w:rPr>
        <w:tab/>
      </w:r>
      <w:r w:rsidR="00702CB1" w:rsidRPr="00702CB1">
        <w:rPr>
          <w:rFonts w:cs="Arial"/>
          <w:bCs/>
          <w:szCs w:val="22"/>
          <w:lang w:val="en-GB"/>
        </w:rPr>
        <w:t xml:space="preserve">It was then that he </w:t>
      </w:r>
      <w:r w:rsidR="00702CB1">
        <w:rPr>
          <w:rFonts w:cs="Arial"/>
          <w:bCs/>
          <w:szCs w:val="22"/>
          <w:lang w:val="en-GB"/>
        </w:rPr>
        <w:t xml:space="preserve">saw </w:t>
      </w:r>
      <w:r w:rsidR="00702CB1" w:rsidRPr="00702CB1">
        <w:rPr>
          <w:rFonts w:cs="Arial"/>
          <w:bCs/>
          <w:szCs w:val="22"/>
          <w:lang w:val="en-GB"/>
        </w:rPr>
        <w:t>the reference to</w:t>
      </w:r>
      <w:r w:rsidR="00702CB1">
        <w:rPr>
          <w:rFonts w:cs="Arial"/>
          <w:bCs/>
          <w:szCs w:val="22"/>
          <w:lang w:val="en-GB"/>
        </w:rPr>
        <w:t xml:space="preserve"> </w:t>
      </w:r>
      <w:r w:rsidR="00702CB1" w:rsidRPr="000B4F62">
        <w:rPr>
          <w:rFonts w:cs="Arial"/>
          <w:bCs/>
          <w:i/>
          <w:iCs/>
          <w:szCs w:val="22"/>
          <w:lang w:val="en-GB"/>
        </w:rPr>
        <w:t xml:space="preserve">“possession of drugs” </w:t>
      </w:r>
      <w:r w:rsidR="00702CB1" w:rsidRPr="00702CB1">
        <w:rPr>
          <w:rFonts w:cs="Arial"/>
          <w:bCs/>
          <w:szCs w:val="22"/>
          <w:lang w:val="en-GB"/>
        </w:rPr>
        <w:t xml:space="preserve">on the notice of rights </w:t>
      </w:r>
      <w:r w:rsidR="00702CB1" w:rsidRPr="00702CB1">
        <w:rPr>
          <w:rFonts w:cs="Arial"/>
          <w:bCs/>
          <w:szCs w:val="22"/>
          <w:lang w:val="en-GB"/>
        </w:rPr>
        <w:lastRenderedPageBreak/>
        <w:t>document</w:t>
      </w:r>
      <w:r w:rsidR="00702CB1">
        <w:rPr>
          <w:rStyle w:val="FootnoteReference"/>
          <w:rFonts w:cs="Arial"/>
          <w:bCs/>
          <w:szCs w:val="22"/>
          <w:lang w:val="en-GB"/>
        </w:rPr>
        <w:footnoteReference w:id="11"/>
      </w:r>
      <w:r w:rsidR="00702CB1" w:rsidRPr="00702CB1">
        <w:rPr>
          <w:rFonts w:cs="Arial"/>
          <w:bCs/>
          <w:szCs w:val="22"/>
          <w:lang w:val="en-GB"/>
        </w:rPr>
        <w:t xml:space="preserve"> and he questioned the </w:t>
      </w:r>
      <w:r w:rsidR="00702CB1">
        <w:rPr>
          <w:rFonts w:cs="Arial"/>
          <w:bCs/>
          <w:szCs w:val="22"/>
          <w:lang w:val="en-GB"/>
        </w:rPr>
        <w:t>police officer</w:t>
      </w:r>
      <w:r w:rsidR="00702CB1" w:rsidRPr="00702CB1">
        <w:rPr>
          <w:rFonts w:cs="Arial"/>
          <w:bCs/>
          <w:szCs w:val="22"/>
          <w:lang w:val="en-GB"/>
        </w:rPr>
        <w:t xml:space="preserve"> about that.</w:t>
      </w:r>
      <w:r w:rsidR="00702CB1">
        <w:rPr>
          <w:rFonts w:cs="Arial"/>
          <w:bCs/>
          <w:szCs w:val="22"/>
          <w:lang w:val="en-GB"/>
        </w:rPr>
        <w:t xml:space="preserve"> </w:t>
      </w:r>
      <w:r w:rsidR="00702CB1" w:rsidRPr="00702CB1">
        <w:rPr>
          <w:rFonts w:cs="Arial"/>
          <w:bCs/>
          <w:szCs w:val="22"/>
          <w:lang w:val="en-GB"/>
        </w:rPr>
        <w:t>He was told to sign and to keep quiet. He signed the document.</w:t>
      </w:r>
    </w:p>
    <w:p w14:paraId="397CD95B" w14:textId="4C5C9994" w:rsidR="0026309E" w:rsidRPr="009751C6" w:rsidRDefault="00EA270B" w:rsidP="00EA270B">
      <w:pPr>
        <w:widowControl w:val="0"/>
        <w:tabs>
          <w:tab w:val="left" w:pos="567"/>
        </w:tabs>
        <w:spacing w:before="480" w:after="480" w:line="360" w:lineRule="auto"/>
        <w:jc w:val="both"/>
        <w:rPr>
          <w:rFonts w:cs="Arial"/>
          <w:bCs/>
          <w:szCs w:val="22"/>
        </w:rPr>
      </w:pPr>
      <w:r w:rsidRPr="009751C6">
        <w:rPr>
          <w:rFonts w:cs="Arial"/>
          <w:bCs/>
          <w:szCs w:val="22"/>
        </w:rPr>
        <w:t>[32]</w:t>
      </w:r>
      <w:r w:rsidRPr="009751C6">
        <w:rPr>
          <w:rFonts w:cs="Arial"/>
          <w:bCs/>
          <w:szCs w:val="22"/>
        </w:rPr>
        <w:tab/>
      </w:r>
      <w:r w:rsidR="00702CB1" w:rsidRPr="00702CB1">
        <w:rPr>
          <w:rFonts w:cs="Arial"/>
          <w:bCs/>
          <w:szCs w:val="22"/>
          <w:lang w:val="en-GB"/>
        </w:rPr>
        <w:t>H</w:t>
      </w:r>
      <w:r w:rsidR="00702CB1">
        <w:rPr>
          <w:rFonts w:cs="Arial"/>
          <w:bCs/>
          <w:szCs w:val="22"/>
          <w:lang w:val="en-GB"/>
        </w:rPr>
        <w:t>is</w:t>
      </w:r>
      <w:r w:rsidR="00702CB1" w:rsidRPr="00702CB1">
        <w:rPr>
          <w:rFonts w:cs="Arial"/>
          <w:bCs/>
          <w:szCs w:val="22"/>
          <w:lang w:val="en-GB"/>
        </w:rPr>
        <w:t xml:space="preserve"> personal belongings were taken and he was given a receipt</w:t>
      </w:r>
      <w:r w:rsidR="00702CB1">
        <w:rPr>
          <w:rFonts w:cs="Arial"/>
          <w:bCs/>
          <w:szCs w:val="22"/>
          <w:lang w:val="en-GB"/>
        </w:rPr>
        <w:t xml:space="preserve">. </w:t>
      </w:r>
      <w:r w:rsidR="00702CB1" w:rsidRPr="00702CB1">
        <w:rPr>
          <w:rFonts w:cs="Arial"/>
          <w:bCs/>
          <w:szCs w:val="22"/>
          <w:lang w:val="en-GB"/>
        </w:rPr>
        <w:t>He then made a request th</w:t>
      </w:r>
      <w:r w:rsidR="00702CB1">
        <w:rPr>
          <w:rFonts w:cs="Arial"/>
          <w:bCs/>
          <w:szCs w:val="22"/>
          <w:lang w:val="en-GB"/>
        </w:rPr>
        <w:t>at</w:t>
      </w:r>
      <w:r w:rsidR="00702CB1" w:rsidRPr="00702CB1">
        <w:rPr>
          <w:rFonts w:cs="Arial"/>
          <w:bCs/>
          <w:szCs w:val="22"/>
          <w:lang w:val="en-GB"/>
        </w:rPr>
        <w:t xml:space="preserve"> he</w:t>
      </w:r>
      <w:r w:rsidR="00702CB1">
        <w:rPr>
          <w:rFonts w:cs="Arial"/>
          <w:bCs/>
          <w:szCs w:val="22"/>
          <w:lang w:val="en-GB"/>
        </w:rPr>
        <w:t xml:space="preserve"> </w:t>
      </w:r>
      <w:r w:rsidR="00702CB1" w:rsidRPr="00702CB1">
        <w:rPr>
          <w:rFonts w:cs="Arial"/>
          <w:bCs/>
          <w:szCs w:val="22"/>
          <w:lang w:val="en-GB"/>
        </w:rPr>
        <w:t xml:space="preserve">be permitted a telephone call </w:t>
      </w:r>
      <w:r w:rsidR="00702CB1">
        <w:rPr>
          <w:rFonts w:cs="Arial"/>
          <w:bCs/>
          <w:szCs w:val="22"/>
          <w:lang w:val="en-GB"/>
        </w:rPr>
        <w:t>t</w:t>
      </w:r>
      <w:r w:rsidR="00702CB1" w:rsidRPr="00702CB1">
        <w:rPr>
          <w:rFonts w:cs="Arial"/>
          <w:bCs/>
          <w:szCs w:val="22"/>
          <w:lang w:val="en-GB"/>
        </w:rPr>
        <w:t xml:space="preserve">o tell his </w:t>
      </w:r>
      <w:r w:rsidR="005952C3" w:rsidRPr="005952C3">
        <w:rPr>
          <w:rFonts w:cs="Arial"/>
          <w:bCs/>
          <w:szCs w:val="22"/>
          <w:lang w:val="en-GB"/>
        </w:rPr>
        <w:t>relatives</w:t>
      </w:r>
      <w:r w:rsidR="005952C3">
        <w:rPr>
          <w:rFonts w:cs="Arial"/>
          <w:bCs/>
          <w:szCs w:val="22"/>
          <w:lang w:val="en-GB"/>
        </w:rPr>
        <w:t xml:space="preserve"> </w:t>
      </w:r>
      <w:r w:rsidR="00702CB1" w:rsidRPr="00702CB1">
        <w:rPr>
          <w:rFonts w:cs="Arial"/>
          <w:bCs/>
          <w:szCs w:val="22"/>
          <w:lang w:val="en-GB"/>
        </w:rPr>
        <w:t xml:space="preserve">where he was and to ask them to bring </w:t>
      </w:r>
      <w:r w:rsidR="000B4F62">
        <w:rPr>
          <w:rFonts w:cs="Arial"/>
          <w:bCs/>
          <w:szCs w:val="22"/>
          <w:lang w:val="en-GB"/>
        </w:rPr>
        <w:t>his</w:t>
      </w:r>
      <w:r w:rsidR="00702CB1" w:rsidRPr="00702CB1">
        <w:rPr>
          <w:rFonts w:cs="Arial"/>
          <w:bCs/>
          <w:szCs w:val="22"/>
          <w:lang w:val="en-GB"/>
        </w:rPr>
        <w:t xml:space="preserve"> epilepsy </w:t>
      </w:r>
      <w:r w:rsidR="000B4F62">
        <w:rPr>
          <w:rFonts w:cs="Arial"/>
          <w:bCs/>
          <w:szCs w:val="22"/>
          <w:lang w:val="en-GB"/>
        </w:rPr>
        <w:t>medication</w:t>
      </w:r>
      <w:r w:rsidR="00702CB1" w:rsidRPr="00702CB1">
        <w:rPr>
          <w:rFonts w:cs="Arial"/>
          <w:bCs/>
          <w:szCs w:val="22"/>
          <w:lang w:val="en-GB"/>
        </w:rPr>
        <w:t xml:space="preserve"> to the police station</w:t>
      </w:r>
      <w:r w:rsidR="00702CB1">
        <w:rPr>
          <w:rFonts w:cs="Arial"/>
          <w:bCs/>
          <w:szCs w:val="22"/>
          <w:lang w:val="en-GB"/>
        </w:rPr>
        <w:t xml:space="preserve">. </w:t>
      </w:r>
      <w:r w:rsidR="00702CB1" w:rsidRPr="00702CB1">
        <w:rPr>
          <w:rFonts w:cs="Arial"/>
          <w:bCs/>
          <w:szCs w:val="22"/>
          <w:lang w:val="en-GB"/>
        </w:rPr>
        <w:t>The police officer</w:t>
      </w:r>
      <w:r w:rsidR="00702CB1">
        <w:rPr>
          <w:rFonts w:cs="Arial"/>
          <w:bCs/>
          <w:szCs w:val="22"/>
          <w:lang w:val="en-GB"/>
        </w:rPr>
        <w:t xml:space="preserve"> </w:t>
      </w:r>
      <w:r w:rsidR="00702CB1" w:rsidRPr="00702CB1">
        <w:rPr>
          <w:rFonts w:cs="Arial"/>
          <w:bCs/>
          <w:szCs w:val="22"/>
          <w:lang w:val="en-GB"/>
        </w:rPr>
        <w:t xml:space="preserve">said that this was not possible as he did not have the code for the telephone. He was given blankets and placed in a </w:t>
      </w:r>
      <w:r w:rsidR="00CC53A1" w:rsidRPr="00CC53A1">
        <w:rPr>
          <w:rFonts w:cs="Arial"/>
          <w:bCs/>
          <w:szCs w:val="22"/>
          <w:lang w:val="en-GB"/>
        </w:rPr>
        <w:t>three by three metre</w:t>
      </w:r>
      <w:r w:rsidR="00CC53A1">
        <w:rPr>
          <w:rFonts w:cs="Arial"/>
          <w:bCs/>
          <w:szCs w:val="22"/>
          <w:lang w:val="en-GB"/>
        </w:rPr>
        <w:t xml:space="preserve"> </w:t>
      </w:r>
      <w:r w:rsidR="00702CB1" w:rsidRPr="00702CB1">
        <w:rPr>
          <w:rFonts w:cs="Arial"/>
          <w:bCs/>
          <w:szCs w:val="22"/>
          <w:lang w:val="en-GB"/>
        </w:rPr>
        <w:t xml:space="preserve">cell with three other men. The blankets </w:t>
      </w:r>
      <w:r w:rsidR="009751C6" w:rsidRPr="009751C6">
        <w:rPr>
          <w:rFonts w:cs="Arial"/>
          <w:bCs/>
          <w:szCs w:val="22"/>
          <w:lang w:val="en-GB"/>
        </w:rPr>
        <w:t>and the cell were dirty and smelled of urine</w:t>
      </w:r>
      <w:r w:rsidR="009751C6">
        <w:rPr>
          <w:rFonts w:cs="Arial"/>
          <w:bCs/>
          <w:szCs w:val="22"/>
          <w:lang w:val="en-GB"/>
        </w:rPr>
        <w:t>.</w:t>
      </w:r>
    </w:p>
    <w:p w14:paraId="220A298C" w14:textId="409FC530" w:rsidR="009751C6" w:rsidRPr="005952C3" w:rsidRDefault="00EA270B" w:rsidP="00EA270B">
      <w:pPr>
        <w:widowControl w:val="0"/>
        <w:tabs>
          <w:tab w:val="left" w:pos="567"/>
        </w:tabs>
        <w:spacing w:before="480" w:after="480" w:line="360" w:lineRule="auto"/>
        <w:jc w:val="both"/>
        <w:rPr>
          <w:rFonts w:cs="Arial"/>
          <w:bCs/>
          <w:szCs w:val="22"/>
        </w:rPr>
      </w:pPr>
      <w:r w:rsidRPr="005952C3">
        <w:rPr>
          <w:rFonts w:cs="Arial"/>
          <w:bCs/>
          <w:szCs w:val="22"/>
        </w:rPr>
        <w:t>[33]</w:t>
      </w:r>
      <w:r w:rsidRPr="005952C3">
        <w:rPr>
          <w:rFonts w:cs="Arial"/>
          <w:bCs/>
          <w:szCs w:val="22"/>
        </w:rPr>
        <w:tab/>
      </w:r>
      <w:r w:rsidR="009751C6" w:rsidRPr="009751C6">
        <w:rPr>
          <w:rFonts w:cs="Arial"/>
          <w:bCs/>
          <w:szCs w:val="22"/>
          <w:lang w:val="en-GB"/>
        </w:rPr>
        <w:t xml:space="preserve">He was called again at approximately </w:t>
      </w:r>
      <w:r w:rsidR="009751C6">
        <w:rPr>
          <w:rFonts w:cs="Arial"/>
          <w:bCs/>
          <w:szCs w:val="22"/>
          <w:lang w:val="en-GB"/>
        </w:rPr>
        <w:t xml:space="preserve">half </w:t>
      </w:r>
      <w:r w:rsidR="009751C6" w:rsidRPr="009751C6">
        <w:rPr>
          <w:rFonts w:cs="Arial"/>
          <w:bCs/>
          <w:szCs w:val="22"/>
          <w:lang w:val="en-GB"/>
        </w:rPr>
        <w:t>p</w:t>
      </w:r>
      <w:r w:rsidR="009751C6">
        <w:rPr>
          <w:rFonts w:cs="Arial"/>
          <w:bCs/>
          <w:szCs w:val="22"/>
          <w:lang w:val="en-GB"/>
        </w:rPr>
        <w:t>a</w:t>
      </w:r>
      <w:r w:rsidR="009751C6" w:rsidRPr="009751C6">
        <w:rPr>
          <w:rFonts w:cs="Arial"/>
          <w:bCs/>
          <w:szCs w:val="22"/>
          <w:lang w:val="en-GB"/>
        </w:rPr>
        <w:t>st</w:t>
      </w:r>
      <w:r w:rsidR="009751C6">
        <w:rPr>
          <w:rFonts w:cs="Arial"/>
          <w:bCs/>
          <w:szCs w:val="22"/>
          <w:lang w:val="en-GB"/>
        </w:rPr>
        <w:t xml:space="preserve"> six o’clock</w:t>
      </w:r>
      <w:r w:rsidR="009751C6" w:rsidRPr="009751C6">
        <w:rPr>
          <w:rFonts w:cs="Arial"/>
          <w:bCs/>
          <w:szCs w:val="22"/>
          <w:lang w:val="en-GB"/>
        </w:rPr>
        <w:t xml:space="preserve"> and met the investigating officer who told him that he would be charged with possession of drugs</w:t>
      </w:r>
      <w:r w:rsidR="009751C6">
        <w:rPr>
          <w:rFonts w:cs="Arial"/>
          <w:bCs/>
          <w:szCs w:val="22"/>
          <w:lang w:val="en-GB"/>
        </w:rPr>
        <w:t xml:space="preserve">. </w:t>
      </w:r>
      <w:r w:rsidR="009751C6" w:rsidRPr="009751C6">
        <w:rPr>
          <w:rFonts w:cs="Arial"/>
          <w:bCs/>
          <w:szCs w:val="22"/>
          <w:lang w:val="en-GB"/>
        </w:rPr>
        <w:t>The investigating officer had the docket with him</w:t>
      </w:r>
      <w:r w:rsidR="009751C6">
        <w:rPr>
          <w:rFonts w:cs="Arial"/>
          <w:bCs/>
          <w:szCs w:val="22"/>
          <w:lang w:val="en-GB"/>
        </w:rPr>
        <w:t>.</w:t>
      </w:r>
      <w:r w:rsidR="009751C6" w:rsidRPr="009751C6">
        <w:rPr>
          <w:rFonts w:cs="Arial"/>
          <w:bCs/>
          <w:szCs w:val="22"/>
          <w:lang w:val="en-GB"/>
        </w:rPr>
        <w:t xml:space="preserve"> When asked whether he wanted to make a statement he replied in the affirmative</w:t>
      </w:r>
      <w:r w:rsidR="009751C6">
        <w:rPr>
          <w:rFonts w:cs="Arial"/>
          <w:bCs/>
          <w:szCs w:val="22"/>
          <w:lang w:val="en-GB"/>
        </w:rPr>
        <w:t xml:space="preserve">, </w:t>
      </w:r>
      <w:r w:rsidR="009751C6" w:rsidRPr="009751C6">
        <w:rPr>
          <w:rFonts w:cs="Arial"/>
          <w:bCs/>
          <w:szCs w:val="22"/>
          <w:lang w:val="en-GB"/>
        </w:rPr>
        <w:t>and he wrote</w:t>
      </w:r>
      <w:r w:rsidR="009751C6">
        <w:rPr>
          <w:rFonts w:cs="Arial"/>
          <w:bCs/>
          <w:szCs w:val="22"/>
          <w:lang w:val="en-GB"/>
        </w:rPr>
        <w:t>:</w:t>
      </w:r>
      <w:r w:rsidR="009751C6">
        <w:rPr>
          <w:rStyle w:val="FootnoteReference"/>
          <w:rFonts w:cs="Arial"/>
          <w:bCs/>
          <w:szCs w:val="22"/>
          <w:lang w:val="en-GB"/>
        </w:rPr>
        <w:footnoteReference w:id="12"/>
      </w:r>
      <w:r w:rsidR="009751C6">
        <w:rPr>
          <w:rFonts w:cs="Arial"/>
          <w:bCs/>
          <w:szCs w:val="22"/>
          <w:lang w:val="en-GB"/>
        </w:rPr>
        <w:t xml:space="preserve"> </w:t>
      </w:r>
      <w:r w:rsidR="009751C6" w:rsidRPr="009751C6">
        <w:rPr>
          <w:rFonts w:cs="Arial"/>
          <w:bCs/>
          <w:i/>
          <w:iCs/>
          <w:szCs w:val="22"/>
          <w:lang w:val="en-GB"/>
        </w:rPr>
        <w:t>“I deny the allegations against me because they found nothing on me</w:t>
      </w:r>
      <w:r w:rsidR="009751C6">
        <w:rPr>
          <w:rFonts w:cs="Arial"/>
          <w:bCs/>
          <w:i/>
          <w:iCs/>
          <w:szCs w:val="22"/>
          <w:lang w:val="en-GB"/>
        </w:rPr>
        <w:t>.</w:t>
      </w:r>
      <w:r w:rsidR="009751C6" w:rsidRPr="009751C6">
        <w:rPr>
          <w:rFonts w:cs="Arial"/>
          <w:bCs/>
          <w:i/>
          <w:iCs/>
          <w:szCs w:val="22"/>
          <w:lang w:val="en-GB"/>
        </w:rPr>
        <w:t>”</w:t>
      </w:r>
      <w:r w:rsidR="009751C6">
        <w:rPr>
          <w:rFonts w:cs="Arial"/>
          <w:bCs/>
          <w:i/>
          <w:iCs/>
          <w:szCs w:val="22"/>
          <w:lang w:val="en-GB"/>
        </w:rPr>
        <w:t xml:space="preserve"> </w:t>
      </w:r>
      <w:r w:rsidR="009751C6" w:rsidRPr="009751C6">
        <w:rPr>
          <w:rFonts w:cs="Arial"/>
          <w:bCs/>
          <w:szCs w:val="22"/>
          <w:lang w:val="en-GB"/>
        </w:rPr>
        <w:t>He signed this document which forms part of the warning statement</w:t>
      </w:r>
      <w:r w:rsidR="007D181F">
        <w:rPr>
          <w:rFonts w:cs="Arial"/>
          <w:bCs/>
          <w:szCs w:val="22"/>
          <w:lang w:val="en-GB"/>
        </w:rPr>
        <w:t>.</w:t>
      </w:r>
      <w:r w:rsidR="009751C6">
        <w:rPr>
          <w:rStyle w:val="FootnoteReference"/>
          <w:rFonts w:cs="Arial"/>
          <w:bCs/>
          <w:szCs w:val="22"/>
          <w:lang w:val="en-GB"/>
        </w:rPr>
        <w:footnoteReference w:id="13"/>
      </w:r>
    </w:p>
    <w:p w14:paraId="51D37A60" w14:textId="05F5C553" w:rsidR="005952C3" w:rsidRDefault="00EA270B" w:rsidP="00EA270B">
      <w:pPr>
        <w:widowControl w:val="0"/>
        <w:tabs>
          <w:tab w:val="left" w:pos="567"/>
        </w:tabs>
        <w:spacing w:before="480" w:after="480" w:line="360" w:lineRule="auto"/>
        <w:jc w:val="both"/>
        <w:rPr>
          <w:rFonts w:cs="Arial"/>
          <w:bCs/>
          <w:szCs w:val="22"/>
        </w:rPr>
      </w:pPr>
      <w:r>
        <w:rPr>
          <w:rFonts w:cs="Arial"/>
          <w:bCs/>
          <w:szCs w:val="22"/>
        </w:rPr>
        <w:t>[34]</w:t>
      </w:r>
      <w:r>
        <w:rPr>
          <w:rFonts w:cs="Arial"/>
          <w:bCs/>
          <w:szCs w:val="22"/>
        </w:rPr>
        <w:tab/>
      </w:r>
      <w:r w:rsidR="005952C3" w:rsidRPr="005952C3">
        <w:rPr>
          <w:rFonts w:cs="Arial"/>
          <w:bCs/>
          <w:szCs w:val="22"/>
          <w:lang w:val="en-GB"/>
        </w:rPr>
        <w:t xml:space="preserve">He again requested an opportunity to telephone his relatives so that they could bring his </w:t>
      </w:r>
      <w:r w:rsidR="000B4F62">
        <w:rPr>
          <w:rFonts w:cs="Arial"/>
          <w:bCs/>
          <w:szCs w:val="22"/>
          <w:lang w:val="en-GB"/>
        </w:rPr>
        <w:t>medication</w:t>
      </w:r>
      <w:r w:rsidR="005952C3" w:rsidRPr="005952C3">
        <w:rPr>
          <w:rFonts w:cs="Arial"/>
          <w:bCs/>
          <w:szCs w:val="22"/>
          <w:lang w:val="en-GB"/>
        </w:rPr>
        <w:t xml:space="preserve"> to the police station.</w:t>
      </w:r>
      <w:r w:rsidR="005952C3">
        <w:rPr>
          <w:rFonts w:cs="Arial"/>
          <w:bCs/>
          <w:szCs w:val="22"/>
          <w:lang w:val="en-GB"/>
        </w:rPr>
        <w:t xml:space="preserve"> </w:t>
      </w:r>
      <w:r w:rsidR="005952C3" w:rsidRPr="005952C3">
        <w:rPr>
          <w:rFonts w:cs="Arial"/>
          <w:bCs/>
          <w:szCs w:val="22"/>
          <w:lang w:val="en-GB"/>
        </w:rPr>
        <w:t xml:space="preserve">The officers were not </w:t>
      </w:r>
      <w:r w:rsidR="005952C3">
        <w:rPr>
          <w:rFonts w:cs="Arial"/>
          <w:bCs/>
          <w:szCs w:val="22"/>
          <w:lang w:val="en-GB"/>
        </w:rPr>
        <w:t>un</w:t>
      </w:r>
      <w:r w:rsidR="005952C3" w:rsidRPr="005952C3">
        <w:rPr>
          <w:rFonts w:cs="Arial"/>
          <w:bCs/>
          <w:szCs w:val="22"/>
          <w:lang w:val="en-GB"/>
        </w:rPr>
        <w:t>willing to assist but they did not have the code for the telephone.</w:t>
      </w:r>
    </w:p>
    <w:p w14:paraId="00314D42" w14:textId="105E1FC7" w:rsidR="00AB6B76" w:rsidRPr="00AB6B76" w:rsidRDefault="00EA270B" w:rsidP="00EA270B">
      <w:pPr>
        <w:widowControl w:val="0"/>
        <w:tabs>
          <w:tab w:val="left" w:pos="567"/>
        </w:tabs>
        <w:spacing w:before="480" w:after="480" w:line="360" w:lineRule="auto"/>
        <w:jc w:val="both"/>
        <w:rPr>
          <w:rFonts w:cs="Arial"/>
          <w:bCs/>
          <w:szCs w:val="22"/>
        </w:rPr>
      </w:pPr>
      <w:r w:rsidRPr="00AB6B76">
        <w:rPr>
          <w:rFonts w:cs="Arial"/>
          <w:bCs/>
          <w:szCs w:val="22"/>
        </w:rPr>
        <w:t>[35]</w:t>
      </w:r>
      <w:r w:rsidRPr="00AB6B76">
        <w:rPr>
          <w:rFonts w:cs="Arial"/>
          <w:bCs/>
          <w:szCs w:val="22"/>
        </w:rPr>
        <w:tab/>
      </w:r>
      <w:r w:rsidR="005952C3" w:rsidRPr="005952C3">
        <w:rPr>
          <w:rFonts w:cs="Arial"/>
          <w:bCs/>
          <w:szCs w:val="22"/>
          <w:lang w:val="en-GB"/>
        </w:rPr>
        <w:t xml:space="preserve">He was then taken back to the </w:t>
      </w:r>
      <w:r w:rsidR="000B4F62">
        <w:rPr>
          <w:rFonts w:cs="Arial"/>
          <w:bCs/>
          <w:szCs w:val="22"/>
          <w:lang w:val="en-GB"/>
        </w:rPr>
        <w:t>cells</w:t>
      </w:r>
      <w:r w:rsidR="005952C3" w:rsidRPr="005952C3">
        <w:rPr>
          <w:rFonts w:cs="Arial"/>
          <w:bCs/>
          <w:szCs w:val="22"/>
          <w:lang w:val="en-GB"/>
        </w:rPr>
        <w:t xml:space="preserve"> and a while later he had </w:t>
      </w:r>
      <w:r w:rsidR="00555A4B" w:rsidRPr="005952C3">
        <w:rPr>
          <w:rFonts w:cs="Arial"/>
          <w:bCs/>
          <w:szCs w:val="22"/>
          <w:lang w:val="en-GB"/>
        </w:rPr>
        <w:t>an</w:t>
      </w:r>
      <w:r w:rsidR="005952C3" w:rsidRPr="005952C3">
        <w:rPr>
          <w:rFonts w:cs="Arial"/>
          <w:bCs/>
          <w:szCs w:val="22"/>
          <w:lang w:val="en-GB"/>
        </w:rPr>
        <w:t xml:space="preserve"> </w:t>
      </w:r>
      <w:r w:rsidR="005952C3">
        <w:rPr>
          <w:rFonts w:cs="Arial"/>
          <w:bCs/>
          <w:szCs w:val="22"/>
          <w:lang w:val="en-GB"/>
        </w:rPr>
        <w:t xml:space="preserve">epileptic </w:t>
      </w:r>
      <w:r w:rsidR="005952C3" w:rsidRPr="005952C3">
        <w:rPr>
          <w:rFonts w:cs="Arial"/>
          <w:bCs/>
          <w:szCs w:val="22"/>
          <w:lang w:val="en-GB"/>
        </w:rPr>
        <w:t>seizure.</w:t>
      </w:r>
      <w:r w:rsidR="005952C3">
        <w:rPr>
          <w:rFonts w:cs="Arial"/>
          <w:bCs/>
          <w:szCs w:val="22"/>
          <w:lang w:val="en-GB"/>
        </w:rPr>
        <w:t xml:space="preserve"> </w:t>
      </w:r>
      <w:r w:rsidR="005952C3" w:rsidRPr="005952C3">
        <w:rPr>
          <w:rFonts w:cs="Arial"/>
          <w:bCs/>
          <w:szCs w:val="22"/>
          <w:lang w:val="en-GB"/>
        </w:rPr>
        <w:t>There were no policemen present and he was assisted by the other men in the cell with him.</w:t>
      </w:r>
      <w:r w:rsidR="00CC53A1" w:rsidRPr="00CC53A1">
        <w:rPr>
          <w:rFonts w:cs="Arial"/>
          <w:bCs/>
          <w:szCs w:val="22"/>
          <w:lang w:val="en-GB"/>
        </w:rPr>
        <w:t xml:space="preserve"> At </w:t>
      </w:r>
      <w:r w:rsidR="00CC53A1">
        <w:rPr>
          <w:rFonts w:cs="Arial"/>
          <w:bCs/>
          <w:szCs w:val="22"/>
          <w:lang w:val="en-GB"/>
        </w:rPr>
        <w:t>nine o’clock</w:t>
      </w:r>
      <w:r w:rsidR="00CC53A1" w:rsidRPr="00CC53A1">
        <w:rPr>
          <w:rFonts w:cs="Arial"/>
          <w:bCs/>
          <w:szCs w:val="22"/>
          <w:lang w:val="en-GB"/>
        </w:rPr>
        <w:t xml:space="preserve"> that evening a policeman did arrive </w:t>
      </w:r>
      <w:r w:rsidR="00CC53A1">
        <w:rPr>
          <w:rFonts w:cs="Arial"/>
          <w:bCs/>
          <w:szCs w:val="22"/>
          <w:lang w:val="en-GB"/>
        </w:rPr>
        <w:t>t</w:t>
      </w:r>
      <w:r w:rsidR="00CC53A1" w:rsidRPr="00CC53A1">
        <w:rPr>
          <w:rFonts w:cs="Arial"/>
          <w:bCs/>
          <w:szCs w:val="22"/>
          <w:lang w:val="en-GB"/>
        </w:rPr>
        <w:t xml:space="preserve">o do a cell inspection and he </w:t>
      </w:r>
      <w:r w:rsidR="00CC53A1">
        <w:rPr>
          <w:rFonts w:cs="Arial"/>
          <w:bCs/>
          <w:szCs w:val="22"/>
          <w:lang w:val="en-GB"/>
        </w:rPr>
        <w:t xml:space="preserve">told </w:t>
      </w:r>
      <w:r w:rsidR="00CC53A1" w:rsidRPr="00CC53A1">
        <w:rPr>
          <w:rFonts w:cs="Arial"/>
          <w:bCs/>
          <w:szCs w:val="22"/>
          <w:lang w:val="en-GB"/>
        </w:rPr>
        <w:t>this policeman about the seizure and</w:t>
      </w:r>
      <w:r w:rsidR="00CC53A1">
        <w:rPr>
          <w:rFonts w:cs="Arial"/>
          <w:bCs/>
          <w:szCs w:val="22"/>
          <w:lang w:val="en-GB"/>
        </w:rPr>
        <w:t xml:space="preserve"> </w:t>
      </w:r>
      <w:r w:rsidR="00CC53A1" w:rsidRPr="00CC53A1">
        <w:rPr>
          <w:rFonts w:cs="Arial"/>
          <w:bCs/>
          <w:szCs w:val="22"/>
          <w:lang w:val="en-GB"/>
        </w:rPr>
        <w:t>again requested that his relatives be contacted</w:t>
      </w:r>
      <w:r w:rsidR="00CC53A1">
        <w:rPr>
          <w:rFonts w:cs="Arial"/>
          <w:bCs/>
          <w:szCs w:val="22"/>
          <w:lang w:val="en-GB"/>
        </w:rPr>
        <w:t>.</w:t>
      </w:r>
      <w:r w:rsidR="00CC53A1" w:rsidRPr="00CC53A1">
        <w:rPr>
          <w:rFonts w:cs="Arial"/>
          <w:bCs/>
          <w:szCs w:val="22"/>
          <w:lang w:val="en-GB"/>
        </w:rPr>
        <w:t xml:space="preserve"> He then fell asleep </w:t>
      </w:r>
      <w:r w:rsidR="000B4F62">
        <w:rPr>
          <w:rFonts w:cs="Arial"/>
          <w:bCs/>
          <w:szCs w:val="22"/>
          <w:lang w:val="en-GB"/>
        </w:rPr>
        <w:t xml:space="preserve">until </w:t>
      </w:r>
      <w:r w:rsidR="00CC53A1" w:rsidRPr="00CC53A1">
        <w:rPr>
          <w:rFonts w:cs="Arial"/>
          <w:bCs/>
          <w:szCs w:val="22"/>
          <w:lang w:val="en-GB"/>
        </w:rPr>
        <w:t xml:space="preserve">the next morning when he was </w:t>
      </w:r>
      <w:r w:rsidR="00B13150">
        <w:rPr>
          <w:rFonts w:cs="Arial"/>
          <w:bCs/>
          <w:szCs w:val="22"/>
          <w:lang w:val="en-GB"/>
        </w:rPr>
        <w:t>offered</w:t>
      </w:r>
      <w:r w:rsidR="00CC53A1" w:rsidRPr="00CC53A1">
        <w:rPr>
          <w:rFonts w:cs="Arial"/>
          <w:bCs/>
          <w:szCs w:val="22"/>
          <w:lang w:val="en-GB"/>
        </w:rPr>
        <w:t xml:space="preserve"> tea and bread</w:t>
      </w:r>
      <w:r w:rsidR="000B4F62">
        <w:rPr>
          <w:rFonts w:cs="Arial"/>
          <w:bCs/>
          <w:szCs w:val="22"/>
          <w:lang w:val="en-GB"/>
        </w:rPr>
        <w:t>,</w:t>
      </w:r>
      <w:r w:rsidR="00CC53A1" w:rsidRPr="00CC53A1">
        <w:rPr>
          <w:rFonts w:cs="Arial"/>
          <w:bCs/>
          <w:szCs w:val="22"/>
          <w:lang w:val="en-GB"/>
        </w:rPr>
        <w:t xml:space="preserve"> and</w:t>
      </w:r>
      <w:r w:rsidR="000B4F62">
        <w:rPr>
          <w:rFonts w:cs="Arial"/>
          <w:bCs/>
          <w:szCs w:val="22"/>
          <w:lang w:val="en-GB"/>
        </w:rPr>
        <w:t xml:space="preserve"> he was</w:t>
      </w:r>
      <w:r w:rsidR="00CC53A1" w:rsidRPr="00CC53A1">
        <w:rPr>
          <w:rFonts w:cs="Arial"/>
          <w:bCs/>
          <w:szCs w:val="22"/>
          <w:lang w:val="en-GB"/>
        </w:rPr>
        <w:t xml:space="preserve"> then taken to court</w:t>
      </w:r>
      <w:r w:rsidR="00CC53A1">
        <w:rPr>
          <w:rFonts w:cs="Arial"/>
          <w:bCs/>
          <w:szCs w:val="22"/>
          <w:lang w:val="en-GB"/>
        </w:rPr>
        <w:t xml:space="preserve">. </w:t>
      </w:r>
    </w:p>
    <w:p w14:paraId="16C289A1" w14:textId="0B888B8C" w:rsidR="0026309E" w:rsidRDefault="00EA270B" w:rsidP="00EA270B">
      <w:pPr>
        <w:widowControl w:val="0"/>
        <w:tabs>
          <w:tab w:val="left" w:pos="567"/>
        </w:tabs>
        <w:spacing w:before="480" w:after="480" w:line="360" w:lineRule="auto"/>
        <w:jc w:val="both"/>
        <w:rPr>
          <w:rFonts w:cs="Arial"/>
          <w:bCs/>
          <w:szCs w:val="22"/>
        </w:rPr>
      </w:pPr>
      <w:r>
        <w:rPr>
          <w:rFonts w:cs="Arial"/>
          <w:bCs/>
          <w:szCs w:val="22"/>
        </w:rPr>
        <w:t>[36]</w:t>
      </w:r>
      <w:r>
        <w:rPr>
          <w:rFonts w:cs="Arial"/>
          <w:bCs/>
          <w:szCs w:val="22"/>
        </w:rPr>
        <w:tab/>
      </w:r>
      <w:r w:rsidR="00CC53A1" w:rsidRPr="00CC53A1">
        <w:rPr>
          <w:rFonts w:cs="Arial"/>
          <w:bCs/>
          <w:szCs w:val="22"/>
          <w:lang w:val="en-GB"/>
        </w:rPr>
        <w:t xml:space="preserve">He was detained in the cells at the court </w:t>
      </w:r>
      <w:r w:rsidR="00CC53A1">
        <w:rPr>
          <w:rFonts w:cs="Arial"/>
          <w:bCs/>
          <w:szCs w:val="22"/>
          <w:lang w:val="en-GB"/>
        </w:rPr>
        <w:t>un</w:t>
      </w:r>
      <w:r w:rsidR="00CC53A1" w:rsidRPr="00CC53A1">
        <w:rPr>
          <w:rFonts w:cs="Arial"/>
          <w:bCs/>
          <w:szCs w:val="22"/>
          <w:lang w:val="en-GB"/>
        </w:rPr>
        <w:t xml:space="preserve">til about </w:t>
      </w:r>
      <w:r w:rsidR="00CC53A1">
        <w:rPr>
          <w:rFonts w:cs="Arial"/>
          <w:bCs/>
          <w:szCs w:val="22"/>
          <w:lang w:val="en-GB"/>
        </w:rPr>
        <w:t>half past three o’clock</w:t>
      </w:r>
      <w:r w:rsidR="00CC53A1" w:rsidRPr="00CC53A1">
        <w:rPr>
          <w:rFonts w:cs="Arial"/>
          <w:bCs/>
          <w:szCs w:val="22"/>
          <w:lang w:val="en-GB"/>
        </w:rPr>
        <w:t xml:space="preserve"> in the afternoon when his name was called and he was released without appearing in court.</w:t>
      </w:r>
      <w:r w:rsidR="00CC53A1">
        <w:rPr>
          <w:rFonts w:cs="Arial"/>
          <w:bCs/>
          <w:szCs w:val="22"/>
          <w:lang w:val="en-GB"/>
        </w:rPr>
        <w:t xml:space="preserve"> </w:t>
      </w:r>
      <w:r w:rsidR="00CC53A1" w:rsidRPr="00CC53A1">
        <w:rPr>
          <w:rFonts w:cs="Arial"/>
          <w:bCs/>
          <w:szCs w:val="22"/>
          <w:lang w:val="en-GB"/>
        </w:rPr>
        <w:t>It appears from an extract</w:t>
      </w:r>
      <w:r w:rsidR="00CC53A1">
        <w:rPr>
          <w:rStyle w:val="FootnoteReference"/>
          <w:rFonts w:cs="Arial"/>
          <w:bCs/>
          <w:szCs w:val="22"/>
          <w:lang w:val="en-GB"/>
        </w:rPr>
        <w:footnoteReference w:id="14"/>
      </w:r>
      <w:r w:rsidR="00CC53A1" w:rsidRPr="00CC53A1">
        <w:rPr>
          <w:rFonts w:cs="Arial"/>
          <w:bCs/>
          <w:szCs w:val="22"/>
          <w:lang w:val="en-GB"/>
        </w:rPr>
        <w:t xml:space="preserve"> from the court attendance register that the matter was never </w:t>
      </w:r>
      <w:r w:rsidR="00CC53A1" w:rsidRPr="00CC53A1">
        <w:rPr>
          <w:rFonts w:cs="Arial"/>
          <w:bCs/>
          <w:szCs w:val="22"/>
          <w:lang w:val="en-GB"/>
        </w:rPr>
        <w:lastRenderedPageBreak/>
        <w:t>placed on the court roll.</w:t>
      </w:r>
    </w:p>
    <w:p w14:paraId="245C86AE" w14:textId="1631B20E" w:rsidR="0026309E" w:rsidRDefault="00EA270B" w:rsidP="00EA270B">
      <w:pPr>
        <w:widowControl w:val="0"/>
        <w:tabs>
          <w:tab w:val="left" w:pos="567"/>
        </w:tabs>
        <w:spacing w:before="480" w:after="480" w:line="360" w:lineRule="auto"/>
        <w:jc w:val="both"/>
        <w:rPr>
          <w:rFonts w:cs="Arial"/>
          <w:bCs/>
          <w:szCs w:val="22"/>
        </w:rPr>
      </w:pPr>
      <w:r>
        <w:rPr>
          <w:rFonts w:cs="Arial"/>
          <w:bCs/>
          <w:szCs w:val="22"/>
        </w:rPr>
        <w:t>[37]</w:t>
      </w:r>
      <w:r>
        <w:rPr>
          <w:rFonts w:cs="Arial"/>
          <w:bCs/>
          <w:szCs w:val="22"/>
        </w:rPr>
        <w:tab/>
      </w:r>
      <w:r w:rsidR="00AB6B76" w:rsidRPr="00AB6B76">
        <w:rPr>
          <w:rFonts w:cs="Arial"/>
          <w:bCs/>
          <w:szCs w:val="22"/>
          <w:lang w:val="en-GB"/>
        </w:rPr>
        <w:t>The total lack of any explanation as to what happened to the investigations both b</w:t>
      </w:r>
      <w:r w:rsidR="00AB6B76">
        <w:rPr>
          <w:rFonts w:cs="Arial"/>
          <w:bCs/>
          <w:szCs w:val="22"/>
          <w:lang w:val="en-GB"/>
        </w:rPr>
        <w:t xml:space="preserve">y </w:t>
      </w:r>
      <w:r w:rsidR="00AB6B76" w:rsidRPr="00AB6B76">
        <w:rPr>
          <w:rFonts w:cs="Arial"/>
          <w:bCs/>
          <w:szCs w:val="22"/>
          <w:lang w:val="en-GB"/>
        </w:rPr>
        <w:t>the El</w:t>
      </w:r>
      <w:r w:rsidR="00AB6B76">
        <w:rPr>
          <w:rFonts w:cs="Arial"/>
          <w:bCs/>
          <w:szCs w:val="22"/>
          <w:lang w:val="en-GB"/>
        </w:rPr>
        <w:t>d</w:t>
      </w:r>
      <w:r w:rsidR="00AB6B76" w:rsidRPr="00AB6B76">
        <w:rPr>
          <w:rFonts w:cs="Arial"/>
          <w:bCs/>
          <w:szCs w:val="22"/>
          <w:lang w:val="en-GB"/>
        </w:rPr>
        <w:t xml:space="preserve">orado Park Police Station and the </w:t>
      </w:r>
      <w:r w:rsidR="00B13150">
        <w:rPr>
          <w:rFonts w:cs="Arial"/>
          <w:bCs/>
          <w:szCs w:val="22"/>
          <w:lang w:val="en-GB"/>
        </w:rPr>
        <w:t>Kliptown</w:t>
      </w:r>
      <w:r w:rsidR="00AB6B76" w:rsidRPr="00AB6B76">
        <w:rPr>
          <w:rFonts w:cs="Arial"/>
          <w:bCs/>
          <w:szCs w:val="22"/>
          <w:lang w:val="en-GB"/>
        </w:rPr>
        <w:t xml:space="preserve"> Police Station is worrying</w:t>
      </w:r>
      <w:r w:rsidR="00AB6B76">
        <w:rPr>
          <w:rFonts w:cs="Arial"/>
          <w:bCs/>
          <w:szCs w:val="22"/>
          <w:lang w:val="en-GB"/>
        </w:rPr>
        <w:t xml:space="preserve">. </w:t>
      </w:r>
      <w:r w:rsidR="000614C8" w:rsidRPr="000614C8">
        <w:rPr>
          <w:rFonts w:cs="Arial"/>
          <w:bCs/>
          <w:szCs w:val="22"/>
          <w:lang w:val="en-GB"/>
        </w:rPr>
        <w:t>The confiscated tablet</w:t>
      </w:r>
      <w:r w:rsidR="000614C8">
        <w:rPr>
          <w:rFonts w:cs="Arial"/>
          <w:bCs/>
          <w:szCs w:val="22"/>
          <w:lang w:val="en-GB"/>
        </w:rPr>
        <w:t xml:space="preserve"> w</w:t>
      </w:r>
      <w:r w:rsidR="000614C8" w:rsidRPr="000614C8">
        <w:rPr>
          <w:rFonts w:cs="Arial"/>
          <w:bCs/>
          <w:szCs w:val="22"/>
          <w:lang w:val="en-GB"/>
        </w:rPr>
        <w:t xml:space="preserve">as </w:t>
      </w:r>
      <w:r w:rsidR="000614C8">
        <w:rPr>
          <w:rFonts w:cs="Arial"/>
          <w:bCs/>
          <w:szCs w:val="22"/>
          <w:lang w:val="en-GB"/>
        </w:rPr>
        <w:t xml:space="preserve">sealed and </w:t>
      </w:r>
      <w:r w:rsidR="000614C8" w:rsidRPr="000614C8">
        <w:rPr>
          <w:rFonts w:cs="Arial"/>
          <w:bCs/>
          <w:szCs w:val="22"/>
          <w:lang w:val="en-GB"/>
        </w:rPr>
        <w:t>booked into the SAP</w:t>
      </w:r>
      <w:r w:rsidR="0085241B">
        <w:rPr>
          <w:rFonts w:cs="Arial"/>
          <w:bCs/>
          <w:szCs w:val="22"/>
          <w:lang w:val="en-GB"/>
        </w:rPr>
        <w:t>13</w:t>
      </w:r>
      <w:r w:rsidR="000614C8" w:rsidRPr="000614C8">
        <w:rPr>
          <w:rFonts w:cs="Arial"/>
          <w:bCs/>
          <w:szCs w:val="22"/>
          <w:lang w:val="en-GB"/>
        </w:rPr>
        <w:t xml:space="preserve"> store and never seen again</w:t>
      </w:r>
      <w:r w:rsidR="000614C8">
        <w:rPr>
          <w:rFonts w:cs="Arial"/>
          <w:bCs/>
          <w:szCs w:val="22"/>
          <w:lang w:val="en-GB"/>
        </w:rPr>
        <w:t xml:space="preserve">. </w:t>
      </w:r>
      <w:r w:rsidR="00AB6B76" w:rsidRPr="00AB6B76">
        <w:rPr>
          <w:rFonts w:cs="Arial"/>
          <w:bCs/>
          <w:szCs w:val="22"/>
          <w:lang w:val="en-GB"/>
        </w:rPr>
        <w:t>I was told from the bar that the investigating officer had left the employ of the South African Police Service and was not available to testify</w:t>
      </w:r>
      <w:r w:rsidR="00AB6B76">
        <w:rPr>
          <w:rFonts w:cs="Arial"/>
          <w:bCs/>
          <w:szCs w:val="22"/>
          <w:lang w:val="en-GB"/>
        </w:rPr>
        <w:t xml:space="preserve">, </w:t>
      </w:r>
      <w:r w:rsidR="00AB6B76" w:rsidRPr="00AB6B76">
        <w:rPr>
          <w:rFonts w:cs="Arial"/>
          <w:bCs/>
          <w:szCs w:val="22"/>
          <w:lang w:val="en-GB"/>
        </w:rPr>
        <w:t>and that no further investigation was possible as the police docket went missing on</w:t>
      </w:r>
      <w:r w:rsidR="00AB6B76">
        <w:rPr>
          <w:rFonts w:cs="Arial"/>
          <w:bCs/>
          <w:szCs w:val="22"/>
          <w:lang w:val="en-GB"/>
        </w:rPr>
        <w:t xml:space="preserve"> 20 </w:t>
      </w:r>
      <w:r w:rsidR="00AB6B76" w:rsidRPr="00AB6B76">
        <w:rPr>
          <w:rFonts w:cs="Arial"/>
          <w:bCs/>
          <w:szCs w:val="22"/>
          <w:lang w:val="en-GB"/>
        </w:rPr>
        <w:t>January 2015</w:t>
      </w:r>
      <w:r w:rsidR="00AB6B76">
        <w:rPr>
          <w:rFonts w:cs="Arial"/>
          <w:bCs/>
          <w:szCs w:val="22"/>
          <w:lang w:val="en-GB"/>
        </w:rPr>
        <w:t xml:space="preserve">, </w:t>
      </w:r>
      <w:r w:rsidR="00AB6B76" w:rsidRPr="00AB6B76">
        <w:rPr>
          <w:rFonts w:cs="Arial"/>
          <w:bCs/>
          <w:szCs w:val="22"/>
          <w:lang w:val="en-GB"/>
        </w:rPr>
        <w:t xml:space="preserve">the day after the arrest and the date on which the plaintiff was taken </w:t>
      </w:r>
      <w:r w:rsidR="00AB6B76">
        <w:rPr>
          <w:rFonts w:cs="Arial"/>
          <w:bCs/>
          <w:szCs w:val="22"/>
          <w:lang w:val="en-GB"/>
        </w:rPr>
        <w:t>t</w:t>
      </w:r>
      <w:r w:rsidR="00AB6B76" w:rsidRPr="00AB6B76">
        <w:rPr>
          <w:rFonts w:cs="Arial"/>
          <w:bCs/>
          <w:szCs w:val="22"/>
          <w:lang w:val="en-GB"/>
        </w:rPr>
        <w:t>o court</w:t>
      </w:r>
      <w:r w:rsidR="00AB6B76">
        <w:rPr>
          <w:rFonts w:cs="Arial"/>
          <w:bCs/>
          <w:szCs w:val="22"/>
          <w:lang w:val="en-GB"/>
        </w:rPr>
        <w:t xml:space="preserve">. </w:t>
      </w:r>
      <w:r w:rsidR="00AB6B76" w:rsidRPr="00AB6B76">
        <w:rPr>
          <w:rFonts w:cs="Arial"/>
          <w:bCs/>
          <w:szCs w:val="22"/>
          <w:lang w:val="en-GB"/>
        </w:rPr>
        <w:t xml:space="preserve">No evidence was </w:t>
      </w:r>
      <w:r w:rsidR="00AB6B76">
        <w:rPr>
          <w:rFonts w:cs="Arial"/>
          <w:bCs/>
          <w:szCs w:val="22"/>
          <w:lang w:val="en-GB"/>
        </w:rPr>
        <w:t xml:space="preserve">led </w:t>
      </w:r>
      <w:r w:rsidR="00AB6B76" w:rsidRPr="00AB6B76">
        <w:rPr>
          <w:rFonts w:cs="Arial"/>
          <w:bCs/>
          <w:szCs w:val="22"/>
          <w:lang w:val="en-GB"/>
        </w:rPr>
        <w:t>in this regard.</w:t>
      </w:r>
      <w:r w:rsidR="00346B97">
        <w:rPr>
          <w:rFonts w:cs="Arial"/>
          <w:bCs/>
          <w:szCs w:val="22"/>
          <w:lang w:val="en-GB"/>
        </w:rPr>
        <w:t xml:space="preserve"> It is stating the obvious that police dockets are important documents and should not go missing, and when they do go missing the matter ought to be investigated to determine the reason. None of this was done on the evidence before the Court.</w:t>
      </w:r>
    </w:p>
    <w:p w14:paraId="554465F2" w14:textId="7DF0B3E1" w:rsidR="00BF73F2" w:rsidRPr="00BF73F2" w:rsidRDefault="00EA270B" w:rsidP="00EA270B">
      <w:pPr>
        <w:widowControl w:val="0"/>
        <w:tabs>
          <w:tab w:val="left" w:pos="567"/>
        </w:tabs>
        <w:spacing w:before="480" w:after="480" w:line="360" w:lineRule="auto"/>
        <w:jc w:val="both"/>
        <w:rPr>
          <w:rFonts w:cs="Arial"/>
          <w:bCs/>
          <w:szCs w:val="22"/>
        </w:rPr>
      </w:pPr>
      <w:r w:rsidRPr="00BF73F2">
        <w:rPr>
          <w:rFonts w:cs="Arial"/>
          <w:bCs/>
          <w:szCs w:val="22"/>
        </w:rPr>
        <w:t>[38]</w:t>
      </w:r>
      <w:r w:rsidRPr="00BF73F2">
        <w:rPr>
          <w:rFonts w:cs="Arial"/>
          <w:bCs/>
          <w:szCs w:val="22"/>
        </w:rPr>
        <w:tab/>
      </w:r>
      <w:r w:rsidR="00AB6B76" w:rsidRPr="00AB6B76">
        <w:rPr>
          <w:rFonts w:cs="Arial"/>
          <w:bCs/>
          <w:szCs w:val="22"/>
          <w:lang w:val="en-GB"/>
        </w:rPr>
        <w:t>The plaintiff was not a satisfactory witness.</w:t>
      </w:r>
      <w:r w:rsidR="00AB6B76">
        <w:rPr>
          <w:rFonts w:cs="Arial"/>
          <w:bCs/>
          <w:szCs w:val="22"/>
          <w:lang w:val="en-GB"/>
        </w:rPr>
        <w:t xml:space="preserve"> </w:t>
      </w:r>
      <w:r w:rsidR="000B4F62">
        <w:rPr>
          <w:rFonts w:cs="Arial"/>
          <w:bCs/>
          <w:szCs w:val="22"/>
          <w:lang w:val="en-GB"/>
        </w:rPr>
        <w:t>His counsel</w:t>
      </w:r>
      <w:r w:rsidR="00AB6B76" w:rsidRPr="00AB6B76">
        <w:rPr>
          <w:rFonts w:cs="Arial"/>
          <w:bCs/>
          <w:szCs w:val="22"/>
          <w:lang w:val="en-GB"/>
        </w:rPr>
        <w:t xml:space="preserve"> did not test the evidence o</w:t>
      </w:r>
      <w:r w:rsidR="00AB6B76">
        <w:rPr>
          <w:rFonts w:cs="Arial"/>
          <w:bCs/>
          <w:szCs w:val="22"/>
          <w:lang w:val="en-GB"/>
        </w:rPr>
        <w:t xml:space="preserve">f W/O Hlongwane </w:t>
      </w:r>
      <w:r w:rsidR="00AB6B76" w:rsidRPr="00AB6B76">
        <w:rPr>
          <w:rFonts w:cs="Arial"/>
          <w:bCs/>
          <w:szCs w:val="22"/>
          <w:lang w:val="en-GB"/>
        </w:rPr>
        <w:t xml:space="preserve">in cross examination </w:t>
      </w:r>
      <w:r w:rsidR="00AB6B76">
        <w:rPr>
          <w:rFonts w:cs="Arial"/>
          <w:bCs/>
          <w:szCs w:val="22"/>
          <w:lang w:val="en-GB"/>
        </w:rPr>
        <w:t>but</w:t>
      </w:r>
      <w:r w:rsidR="00AB6B76" w:rsidRPr="00AB6B76">
        <w:rPr>
          <w:rFonts w:cs="Arial"/>
          <w:bCs/>
          <w:szCs w:val="22"/>
          <w:lang w:val="en-GB"/>
        </w:rPr>
        <w:t xml:space="preserve"> when he himself testified he denied that the evidence by</w:t>
      </w:r>
      <w:r w:rsidR="000B4F62">
        <w:rPr>
          <w:rFonts w:cs="Arial"/>
          <w:bCs/>
          <w:szCs w:val="22"/>
          <w:lang w:val="en-GB"/>
        </w:rPr>
        <w:t xml:space="preserve"> the Warrant Officer</w:t>
      </w:r>
      <w:r w:rsidR="007F204C">
        <w:rPr>
          <w:rFonts w:cs="Arial"/>
          <w:bCs/>
          <w:szCs w:val="22"/>
          <w:lang w:val="en-GB"/>
        </w:rPr>
        <w:t xml:space="preserve"> was true. </w:t>
      </w:r>
      <w:r w:rsidR="007F204C" w:rsidRPr="007F204C">
        <w:rPr>
          <w:rFonts w:cs="Arial"/>
          <w:bCs/>
          <w:szCs w:val="22"/>
          <w:lang w:val="en-GB"/>
        </w:rPr>
        <w:t>H</w:t>
      </w:r>
      <w:r w:rsidR="007F204C">
        <w:rPr>
          <w:rFonts w:cs="Arial"/>
          <w:bCs/>
          <w:szCs w:val="22"/>
          <w:lang w:val="en-GB"/>
        </w:rPr>
        <w:t>i</w:t>
      </w:r>
      <w:r w:rsidR="007F204C" w:rsidRPr="007F204C">
        <w:rPr>
          <w:rFonts w:cs="Arial"/>
          <w:bCs/>
          <w:szCs w:val="22"/>
          <w:lang w:val="en-GB"/>
        </w:rPr>
        <w:t>s evidence of a seizure on the night of the 19</w:t>
      </w:r>
      <w:r w:rsidR="007F204C" w:rsidRPr="007F204C">
        <w:rPr>
          <w:rFonts w:cs="Arial"/>
          <w:bCs/>
          <w:szCs w:val="22"/>
          <w:vertAlign w:val="superscript"/>
          <w:lang w:val="en-GB"/>
        </w:rPr>
        <w:t>th</w:t>
      </w:r>
      <w:r w:rsidR="007F204C">
        <w:rPr>
          <w:rFonts w:cs="Arial"/>
          <w:bCs/>
          <w:szCs w:val="22"/>
          <w:lang w:val="en-GB"/>
        </w:rPr>
        <w:t xml:space="preserve"> </w:t>
      </w:r>
      <w:r w:rsidR="007F204C" w:rsidRPr="007F204C">
        <w:rPr>
          <w:rFonts w:cs="Arial"/>
          <w:bCs/>
          <w:szCs w:val="22"/>
          <w:lang w:val="en-GB"/>
        </w:rPr>
        <w:t>stands in contrast with the particulars of claim where in the abandoned</w:t>
      </w:r>
      <w:r w:rsidR="007F204C">
        <w:rPr>
          <w:rFonts w:cs="Arial"/>
          <w:bCs/>
          <w:szCs w:val="22"/>
          <w:lang w:val="en-GB"/>
        </w:rPr>
        <w:t xml:space="preserve"> </w:t>
      </w:r>
      <w:r w:rsidR="007F204C" w:rsidRPr="007F204C">
        <w:rPr>
          <w:rFonts w:cs="Arial"/>
          <w:bCs/>
          <w:szCs w:val="22"/>
          <w:lang w:val="en-GB"/>
        </w:rPr>
        <w:t xml:space="preserve">second claim he alleged that because he was not permitted access to his </w:t>
      </w:r>
      <w:r w:rsidR="000B4F62">
        <w:rPr>
          <w:rFonts w:cs="Arial"/>
          <w:bCs/>
          <w:szCs w:val="22"/>
          <w:lang w:val="en-GB"/>
        </w:rPr>
        <w:t>medication</w:t>
      </w:r>
      <w:r w:rsidR="007F204C" w:rsidRPr="007F204C">
        <w:rPr>
          <w:rFonts w:cs="Arial"/>
          <w:bCs/>
          <w:szCs w:val="22"/>
          <w:lang w:val="en-GB"/>
        </w:rPr>
        <w:t xml:space="preserve"> he was </w:t>
      </w:r>
      <w:r w:rsidR="007F204C" w:rsidRPr="000B4F62">
        <w:rPr>
          <w:rFonts w:cs="Arial"/>
          <w:bCs/>
          <w:i/>
          <w:iCs/>
          <w:szCs w:val="22"/>
          <w:lang w:val="en-GB"/>
        </w:rPr>
        <w:t>at risk</w:t>
      </w:r>
      <w:r w:rsidR="007F204C" w:rsidRPr="007F204C">
        <w:rPr>
          <w:rFonts w:cs="Arial"/>
          <w:bCs/>
          <w:szCs w:val="22"/>
          <w:lang w:val="en-GB"/>
        </w:rPr>
        <w:t xml:space="preserve"> of seizures</w:t>
      </w:r>
      <w:r w:rsidR="007F204C">
        <w:rPr>
          <w:rFonts w:cs="Arial"/>
          <w:bCs/>
          <w:szCs w:val="22"/>
          <w:lang w:val="en-GB"/>
        </w:rPr>
        <w:t xml:space="preserve">. </w:t>
      </w:r>
      <w:r w:rsidR="007F204C" w:rsidRPr="007F204C">
        <w:rPr>
          <w:rFonts w:cs="Arial"/>
          <w:bCs/>
          <w:szCs w:val="22"/>
          <w:lang w:val="en-GB"/>
        </w:rPr>
        <w:t>The</w:t>
      </w:r>
      <w:r w:rsidR="007F204C">
        <w:rPr>
          <w:rFonts w:cs="Arial"/>
          <w:bCs/>
          <w:szCs w:val="22"/>
          <w:lang w:val="en-GB"/>
        </w:rPr>
        <w:t xml:space="preserve">re </w:t>
      </w:r>
      <w:r w:rsidR="007F204C" w:rsidRPr="007F204C">
        <w:rPr>
          <w:rFonts w:cs="Arial"/>
          <w:bCs/>
          <w:szCs w:val="22"/>
          <w:lang w:val="en-GB"/>
        </w:rPr>
        <w:t xml:space="preserve">was and </w:t>
      </w:r>
      <w:r w:rsidR="007F204C">
        <w:rPr>
          <w:rFonts w:cs="Arial"/>
          <w:bCs/>
          <w:szCs w:val="22"/>
          <w:lang w:val="en-GB"/>
        </w:rPr>
        <w:t>is</w:t>
      </w:r>
      <w:r w:rsidR="007F204C" w:rsidRPr="007F204C">
        <w:rPr>
          <w:rFonts w:cs="Arial"/>
          <w:bCs/>
          <w:szCs w:val="22"/>
          <w:lang w:val="en-GB"/>
        </w:rPr>
        <w:t xml:space="preserve"> no explanation</w:t>
      </w:r>
      <w:r w:rsidR="007F204C">
        <w:rPr>
          <w:rFonts w:cs="Arial"/>
          <w:bCs/>
          <w:szCs w:val="22"/>
          <w:lang w:val="en-GB"/>
        </w:rPr>
        <w:t xml:space="preserve"> </w:t>
      </w:r>
      <w:r w:rsidR="007F204C" w:rsidRPr="007F204C">
        <w:rPr>
          <w:rFonts w:cs="Arial"/>
          <w:bCs/>
          <w:szCs w:val="22"/>
          <w:lang w:val="en-GB"/>
        </w:rPr>
        <w:t xml:space="preserve">for this discrepancy and in the absence of any explanation the inference is </w:t>
      </w:r>
      <w:r w:rsidR="00346B97">
        <w:rPr>
          <w:rFonts w:cs="Arial"/>
          <w:bCs/>
          <w:szCs w:val="22"/>
          <w:lang w:val="en-GB"/>
        </w:rPr>
        <w:t xml:space="preserve">or it is at least likely </w:t>
      </w:r>
      <w:r w:rsidR="007F204C" w:rsidRPr="007F204C">
        <w:rPr>
          <w:rFonts w:cs="Arial"/>
          <w:bCs/>
          <w:szCs w:val="22"/>
          <w:lang w:val="en-GB"/>
        </w:rPr>
        <w:t>that such an allegation was not conveyed to the plaintiff</w:t>
      </w:r>
      <w:r w:rsidR="007F204C">
        <w:rPr>
          <w:rFonts w:cs="Arial"/>
          <w:bCs/>
          <w:szCs w:val="22"/>
          <w:lang w:val="en-GB"/>
        </w:rPr>
        <w:t>’</w:t>
      </w:r>
      <w:r w:rsidR="007F204C" w:rsidRPr="007F204C">
        <w:rPr>
          <w:rFonts w:cs="Arial"/>
          <w:bCs/>
          <w:szCs w:val="22"/>
          <w:lang w:val="en-GB"/>
        </w:rPr>
        <w:t>s attorneys</w:t>
      </w:r>
      <w:r w:rsidR="007F204C">
        <w:rPr>
          <w:rFonts w:cs="Arial"/>
          <w:bCs/>
          <w:szCs w:val="22"/>
          <w:lang w:val="en-GB"/>
        </w:rPr>
        <w:t xml:space="preserve"> </w:t>
      </w:r>
      <w:r w:rsidR="007F204C" w:rsidRPr="007F204C">
        <w:rPr>
          <w:rFonts w:cs="Arial"/>
          <w:bCs/>
          <w:szCs w:val="22"/>
          <w:lang w:val="en-GB"/>
        </w:rPr>
        <w:t>at the time when pleadings were drafted nor was the allegation conveyed to the plaintiff</w:t>
      </w:r>
      <w:r w:rsidR="007F204C">
        <w:rPr>
          <w:rFonts w:cs="Arial"/>
          <w:bCs/>
          <w:szCs w:val="22"/>
          <w:lang w:val="en-GB"/>
        </w:rPr>
        <w:t>’</w:t>
      </w:r>
      <w:r w:rsidR="007F204C" w:rsidRPr="007F204C">
        <w:rPr>
          <w:rFonts w:cs="Arial"/>
          <w:bCs/>
          <w:szCs w:val="22"/>
          <w:lang w:val="en-GB"/>
        </w:rPr>
        <w:t>s counsel</w:t>
      </w:r>
      <w:r w:rsidR="007F204C">
        <w:rPr>
          <w:rFonts w:cs="Arial"/>
          <w:bCs/>
          <w:szCs w:val="22"/>
          <w:lang w:val="en-GB"/>
        </w:rPr>
        <w:t xml:space="preserve"> </w:t>
      </w:r>
      <w:r w:rsidR="007F204C" w:rsidRPr="007F204C">
        <w:rPr>
          <w:rFonts w:cs="Arial"/>
          <w:bCs/>
          <w:szCs w:val="22"/>
          <w:lang w:val="en-GB"/>
        </w:rPr>
        <w:t>as nothing was put to the defendant</w:t>
      </w:r>
      <w:r w:rsidR="007F204C">
        <w:rPr>
          <w:rFonts w:cs="Arial"/>
          <w:bCs/>
          <w:szCs w:val="22"/>
          <w:lang w:val="en-GB"/>
        </w:rPr>
        <w:t>’</w:t>
      </w:r>
      <w:r w:rsidR="007F204C" w:rsidRPr="007F204C">
        <w:rPr>
          <w:rFonts w:cs="Arial"/>
          <w:bCs/>
          <w:szCs w:val="22"/>
          <w:lang w:val="en-GB"/>
        </w:rPr>
        <w:t>s witnesses in this context</w:t>
      </w:r>
      <w:r w:rsidR="007F204C">
        <w:rPr>
          <w:rFonts w:cs="Arial"/>
          <w:bCs/>
          <w:szCs w:val="22"/>
          <w:lang w:val="en-GB"/>
        </w:rPr>
        <w:t>.</w:t>
      </w:r>
    </w:p>
    <w:p w14:paraId="3BDF11D7" w14:textId="77777777" w:rsidR="00B13150" w:rsidRDefault="00B13150" w:rsidP="00295FA0">
      <w:pPr>
        <w:widowControl w:val="0"/>
        <w:spacing w:before="480" w:after="480" w:line="360" w:lineRule="auto"/>
        <w:jc w:val="both"/>
        <w:rPr>
          <w:rFonts w:cs="Arial"/>
          <w:bCs/>
          <w:szCs w:val="22"/>
          <w:u w:val="single"/>
        </w:rPr>
      </w:pPr>
    </w:p>
    <w:p w14:paraId="73E95FA5" w14:textId="0677C577" w:rsidR="00295FA0" w:rsidRDefault="00295FA0" w:rsidP="00295FA0">
      <w:pPr>
        <w:widowControl w:val="0"/>
        <w:spacing w:before="480" w:after="480" w:line="360" w:lineRule="auto"/>
        <w:jc w:val="both"/>
        <w:rPr>
          <w:rFonts w:cs="Arial"/>
          <w:bCs/>
          <w:szCs w:val="22"/>
          <w:u w:val="single"/>
        </w:rPr>
      </w:pPr>
      <w:r w:rsidRPr="00295FA0">
        <w:rPr>
          <w:rFonts w:cs="Arial"/>
          <w:bCs/>
          <w:szCs w:val="22"/>
          <w:u w:val="single"/>
        </w:rPr>
        <w:t>Analysis</w:t>
      </w:r>
    </w:p>
    <w:p w14:paraId="41BA91F5" w14:textId="551A04C1" w:rsidR="008A4C8C" w:rsidRPr="008A4C8C" w:rsidRDefault="008A4C8C" w:rsidP="008A4C8C">
      <w:pPr>
        <w:widowControl w:val="0"/>
        <w:spacing w:before="480" w:after="480" w:line="360" w:lineRule="auto"/>
        <w:jc w:val="both"/>
        <w:rPr>
          <w:rFonts w:cs="Arial"/>
          <w:bCs/>
          <w:i/>
          <w:iCs/>
          <w:szCs w:val="22"/>
          <w:u w:val="single"/>
        </w:rPr>
      </w:pPr>
      <w:r w:rsidRPr="008A4C8C">
        <w:rPr>
          <w:rFonts w:cs="Arial"/>
          <w:bCs/>
          <w:i/>
          <w:iCs/>
          <w:szCs w:val="22"/>
          <w:u w:val="single"/>
          <w:lang w:val="en-GB"/>
        </w:rPr>
        <w:t>The Drugs and Drug Trafficking Act</w:t>
      </w:r>
      <w:r w:rsidR="003C083B">
        <w:rPr>
          <w:rFonts w:cs="Arial"/>
          <w:bCs/>
          <w:i/>
          <w:iCs/>
          <w:szCs w:val="22"/>
          <w:u w:val="single"/>
          <w:lang w:val="en-GB"/>
        </w:rPr>
        <w:t>, 140 of 1992</w:t>
      </w:r>
    </w:p>
    <w:p w14:paraId="2D7E4C28" w14:textId="64A3E0B7" w:rsidR="008A4C8C" w:rsidRPr="00BF73F2" w:rsidRDefault="00EA270B" w:rsidP="00EA270B">
      <w:pPr>
        <w:widowControl w:val="0"/>
        <w:tabs>
          <w:tab w:val="left" w:pos="567"/>
        </w:tabs>
        <w:spacing w:before="480" w:after="480" w:line="360" w:lineRule="auto"/>
        <w:jc w:val="both"/>
        <w:rPr>
          <w:rFonts w:cs="Arial"/>
          <w:bCs/>
          <w:szCs w:val="22"/>
        </w:rPr>
      </w:pPr>
      <w:r w:rsidRPr="00BF73F2">
        <w:rPr>
          <w:rFonts w:cs="Arial"/>
          <w:bCs/>
          <w:szCs w:val="22"/>
        </w:rPr>
        <w:t>[39]</w:t>
      </w:r>
      <w:r w:rsidRPr="00BF73F2">
        <w:rPr>
          <w:rFonts w:cs="Arial"/>
          <w:bCs/>
          <w:szCs w:val="22"/>
        </w:rPr>
        <w:tab/>
      </w:r>
      <w:r w:rsidR="008A4C8C" w:rsidRPr="00AC210D">
        <w:rPr>
          <w:rFonts w:cs="Arial"/>
          <w:szCs w:val="22"/>
          <w:lang w:eastAsia="en-ZA"/>
        </w:rPr>
        <w:t>Methaqualone, including Mandrax, Isonox, Quaalude, or any other preparation containing methaqualone and known by any other trade name</w:t>
      </w:r>
      <w:r w:rsidR="008A4C8C" w:rsidRPr="008A374C">
        <w:rPr>
          <w:rFonts w:cs="Arial"/>
          <w:szCs w:val="22"/>
          <w:lang w:eastAsia="en-ZA"/>
        </w:rPr>
        <w:t xml:space="preserve"> is classified as an </w:t>
      </w:r>
      <w:r w:rsidR="008A4C8C">
        <w:rPr>
          <w:rFonts w:cs="Arial"/>
          <w:szCs w:val="22"/>
        </w:rPr>
        <w:t>u</w:t>
      </w:r>
      <w:r w:rsidR="008A4C8C" w:rsidRPr="008A374C">
        <w:rPr>
          <w:rFonts w:cs="Arial"/>
          <w:szCs w:val="22"/>
        </w:rPr>
        <w:t>ndesirable dependence-producing substance in Part III of Schedule 2 of the Drugs and Drug Trafficking Act.</w:t>
      </w:r>
    </w:p>
    <w:p w14:paraId="7D26479D" w14:textId="4EDBE318" w:rsidR="008A4C8C" w:rsidRPr="008A4C8C" w:rsidRDefault="00EA270B" w:rsidP="00EA270B">
      <w:pPr>
        <w:widowControl w:val="0"/>
        <w:tabs>
          <w:tab w:val="left" w:pos="567"/>
        </w:tabs>
        <w:spacing w:before="480" w:after="480" w:line="360" w:lineRule="auto"/>
        <w:jc w:val="both"/>
        <w:rPr>
          <w:rFonts w:cs="Arial"/>
          <w:bCs/>
          <w:szCs w:val="22"/>
        </w:rPr>
      </w:pPr>
      <w:r w:rsidRPr="008A4C8C">
        <w:rPr>
          <w:rFonts w:cs="Arial"/>
          <w:bCs/>
          <w:szCs w:val="22"/>
        </w:rPr>
        <w:lastRenderedPageBreak/>
        <w:t>[40]</w:t>
      </w:r>
      <w:r w:rsidRPr="008A4C8C">
        <w:rPr>
          <w:rFonts w:cs="Arial"/>
          <w:bCs/>
          <w:szCs w:val="22"/>
        </w:rPr>
        <w:tab/>
      </w:r>
      <w:r w:rsidR="008A4C8C">
        <w:rPr>
          <w:rFonts w:cs="Arial"/>
          <w:szCs w:val="22"/>
        </w:rPr>
        <w:t xml:space="preserve">Section 4 of the Act prohibits the use or possession of such substances except </w:t>
      </w:r>
      <w:r w:rsidR="00B13150">
        <w:rPr>
          <w:rFonts w:cs="Arial"/>
          <w:szCs w:val="22"/>
        </w:rPr>
        <w:t xml:space="preserve">under </w:t>
      </w:r>
      <w:r w:rsidR="008A4C8C">
        <w:rPr>
          <w:rFonts w:cs="Arial"/>
          <w:szCs w:val="22"/>
        </w:rPr>
        <w:t>strictly controlled circumstances not relied upon by the plaintiff</w:t>
      </w:r>
      <w:r w:rsidR="008A4C8C">
        <w:rPr>
          <w:rFonts w:cs="Arial"/>
          <w:bCs/>
          <w:szCs w:val="22"/>
          <w:lang w:val="en-GB"/>
        </w:rPr>
        <w:t xml:space="preserve">. Section 11 of the Act arms police officials with the power, </w:t>
      </w:r>
      <w:r w:rsidR="008A4C8C" w:rsidRPr="00102B03">
        <w:rPr>
          <w:rFonts w:cs="Arial"/>
          <w:bCs/>
          <w:i/>
          <w:iCs/>
          <w:szCs w:val="22"/>
          <w:lang w:val="en-GB"/>
        </w:rPr>
        <w:t>inter alia</w:t>
      </w:r>
      <w:r w:rsidR="008A4C8C">
        <w:rPr>
          <w:rFonts w:cs="Arial"/>
          <w:bCs/>
          <w:szCs w:val="22"/>
          <w:lang w:val="en-GB"/>
        </w:rPr>
        <w:t>, to search people when there is a reasonable suspicion of the commission of an offence.</w:t>
      </w:r>
    </w:p>
    <w:p w14:paraId="42E545BF" w14:textId="77777777" w:rsidR="007E68AA" w:rsidRDefault="007E68AA" w:rsidP="008A4C8C">
      <w:pPr>
        <w:widowControl w:val="0"/>
        <w:spacing w:before="480" w:after="480" w:line="360" w:lineRule="auto"/>
        <w:jc w:val="both"/>
        <w:rPr>
          <w:rFonts w:cs="Arial"/>
          <w:bCs/>
          <w:i/>
          <w:iCs/>
          <w:szCs w:val="22"/>
          <w:u w:val="single"/>
          <w:lang w:val="en-GB"/>
        </w:rPr>
      </w:pPr>
    </w:p>
    <w:p w14:paraId="613C6070" w14:textId="70C14E49" w:rsidR="008A4C8C" w:rsidRPr="008A4C8C" w:rsidRDefault="008A4C8C" w:rsidP="008A4C8C">
      <w:pPr>
        <w:widowControl w:val="0"/>
        <w:spacing w:before="480" w:after="480" w:line="360" w:lineRule="auto"/>
        <w:jc w:val="both"/>
        <w:rPr>
          <w:rFonts w:cs="Arial"/>
          <w:bCs/>
          <w:i/>
          <w:iCs/>
          <w:szCs w:val="22"/>
          <w:u w:val="single"/>
        </w:rPr>
      </w:pPr>
      <w:r>
        <w:rPr>
          <w:rFonts w:cs="Arial"/>
          <w:bCs/>
          <w:i/>
          <w:iCs/>
          <w:szCs w:val="22"/>
          <w:u w:val="single"/>
          <w:lang w:val="en-GB"/>
        </w:rPr>
        <w:t>Section 40 of the</w:t>
      </w:r>
      <w:r w:rsidRPr="008A4C8C">
        <w:rPr>
          <w:rFonts w:cs="Arial"/>
          <w:bCs/>
          <w:i/>
          <w:iCs/>
          <w:szCs w:val="22"/>
          <w:u w:val="single"/>
          <w:lang w:val="en-GB"/>
        </w:rPr>
        <w:t xml:space="preserve"> Criminal Procedure Act</w:t>
      </w:r>
    </w:p>
    <w:p w14:paraId="01E010A0" w14:textId="48C87FCE" w:rsidR="008A4C8C" w:rsidRPr="00295FA0" w:rsidRDefault="00EA270B" w:rsidP="00EA270B">
      <w:pPr>
        <w:widowControl w:val="0"/>
        <w:tabs>
          <w:tab w:val="left" w:pos="567"/>
        </w:tabs>
        <w:spacing w:before="480" w:after="480" w:line="360" w:lineRule="auto"/>
        <w:jc w:val="both"/>
        <w:rPr>
          <w:rFonts w:cs="Arial"/>
          <w:bCs/>
          <w:szCs w:val="22"/>
        </w:rPr>
      </w:pPr>
      <w:r w:rsidRPr="00295FA0">
        <w:rPr>
          <w:rFonts w:cs="Arial"/>
          <w:bCs/>
          <w:szCs w:val="22"/>
        </w:rPr>
        <w:t>[41]</w:t>
      </w:r>
      <w:r w:rsidRPr="00295FA0">
        <w:rPr>
          <w:rFonts w:cs="Arial"/>
          <w:bCs/>
          <w:szCs w:val="22"/>
        </w:rPr>
        <w:tab/>
      </w:r>
      <w:r w:rsidR="008A4C8C">
        <w:rPr>
          <w:rFonts w:cs="Arial"/>
          <w:bCs/>
          <w:szCs w:val="22"/>
        </w:rPr>
        <w:t xml:space="preserve">The jurisdictional facts for an arrest on reasonable suspicion were set out in </w:t>
      </w:r>
      <w:r w:rsidR="008A4C8C" w:rsidRPr="002D582B">
        <w:rPr>
          <w:i/>
          <w:iCs/>
          <w:lang w:eastAsia="en-ZA"/>
        </w:rPr>
        <w:t>Minister of Safety and Security v Sekhoto and another</w:t>
      </w:r>
      <w:r w:rsidR="008A4C8C">
        <w:rPr>
          <w:rStyle w:val="FootnoteReference"/>
          <w:lang w:eastAsia="en-ZA"/>
        </w:rPr>
        <w:footnoteReference w:id="15"/>
      </w:r>
      <w:r w:rsidR="008A4C8C">
        <w:rPr>
          <w:i/>
          <w:iCs/>
          <w:lang w:eastAsia="en-ZA"/>
        </w:rPr>
        <w:t xml:space="preserve"> </w:t>
      </w:r>
      <w:r w:rsidR="008A4C8C">
        <w:rPr>
          <w:lang w:eastAsia="en-ZA"/>
        </w:rPr>
        <w:t>in the context of section 40(1)(b) and can be summarised as follows for the purposes of section 40(1)(h) of the Criminal Procedure Act:</w:t>
      </w:r>
    </w:p>
    <w:p w14:paraId="0BEA8B77" w14:textId="4806D28E" w:rsidR="008A4C8C" w:rsidRPr="00295FA0" w:rsidRDefault="00EA270B" w:rsidP="00EA270B">
      <w:pPr>
        <w:widowControl w:val="0"/>
        <w:tabs>
          <w:tab w:val="left" w:pos="1418"/>
        </w:tabs>
        <w:spacing w:before="480" w:after="480" w:line="360" w:lineRule="auto"/>
        <w:ind w:left="1418" w:hanging="851"/>
        <w:jc w:val="both"/>
        <w:rPr>
          <w:rFonts w:cs="Arial"/>
          <w:bCs/>
          <w:szCs w:val="22"/>
        </w:rPr>
      </w:pPr>
      <w:r w:rsidRPr="00295FA0">
        <w:rPr>
          <w:rFonts w:cs="Arial"/>
          <w:bCs/>
          <w:szCs w:val="22"/>
        </w:rPr>
        <w:t>41.1</w:t>
      </w:r>
      <w:r w:rsidRPr="00295FA0">
        <w:rPr>
          <w:rFonts w:cs="Arial"/>
          <w:bCs/>
          <w:szCs w:val="22"/>
        </w:rPr>
        <w:tab/>
      </w:r>
      <w:r w:rsidR="008A4C8C">
        <w:rPr>
          <w:lang w:eastAsia="en-ZA"/>
        </w:rPr>
        <w:t>The arresting officer must be a peace officer, such as a police officer;</w:t>
      </w:r>
    </w:p>
    <w:p w14:paraId="3FF516B2" w14:textId="1A3395CE" w:rsidR="008A4C8C" w:rsidRDefault="00EA270B" w:rsidP="00EA270B">
      <w:pPr>
        <w:widowControl w:val="0"/>
        <w:tabs>
          <w:tab w:val="left" w:pos="1418"/>
        </w:tabs>
        <w:spacing w:before="480" w:after="480" w:line="360" w:lineRule="auto"/>
        <w:ind w:left="1418" w:hanging="851"/>
        <w:jc w:val="both"/>
        <w:rPr>
          <w:rFonts w:cs="Arial"/>
          <w:bCs/>
          <w:szCs w:val="22"/>
        </w:rPr>
      </w:pPr>
      <w:r>
        <w:rPr>
          <w:rFonts w:cs="Arial"/>
          <w:bCs/>
          <w:szCs w:val="22"/>
        </w:rPr>
        <w:t>41.2</w:t>
      </w:r>
      <w:r>
        <w:rPr>
          <w:rFonts w:cs="Arial"/>
          <w:bCs/>
          <w:szCs w:val="22"/>
        </w:rPr>
        <w:tab/>
      </w:r>
      <w:r w:rsidR="008A4C8C">
        <w:rPr>
          <w:lang w:eastAsia="en-ZA"/>
        </w:rPr>
        <w:t>The arresting officer must entertain a reasonable suspicion that the arrestee committed an offence u</w:t>
      </w:r>
      <w:r w:rsidR="008A4C8C">
        <w:t>nder any law governing the making, supply, possession or conveyance of intoxicating liquor or of dependence-producing drugs or the possession or disposal of arms or ammunition;</w:t>
      </w:r>
    </w:p>
    <w:p w14:paraId="663406CB" w14:textId="55B84B74" w:rsidR="008A4C8C" w:rsidRPr="00354197" w:rsidRDefault="00EA270B" w:rsidP="00EA270B">
      <w:pPr>
        <w:widowControl w:val="0"/>
        <w:tabs>
          <w:tab w:val="left" w:pos="567"/>
        </w:tabs>
        <w:spacing w:before="480" w:after="480" w:line="360" w:lineRule="auto"/>
        <w:jc w:val="both"/>
        <w:rPr>
          <w:rFonts w:cs="Arial"/>
          <w:bCs/>
          <w:szCs w:val="22"/>
        </w:rPr>
      </w:pPr>
      <w:r w:rsidRPr="00354197">
        <w:rPr>
          <w:rFonts w:cs="Arial"/>
          <w:bCs/>
          <w:szCs w:val="22"/>
        </w:rPr>
        <w:t>[42]</w:t>
      </w:r>
      <w:r w:rsidRPr="00354197">
        <w:rPr>
          <w:rFonts w:cs="Arial"/>
          <w:bCs/>
          <w:szCs w:val="22"/>
        </w:rPr>
        <w:tab/>
      </w:r>
      <w:r w:rsidR="008A4C8C">
        <w:rPr>
          <w:rFonts w:cs="Arial"/>
          <w:bCs/>
          <w:szCs w:val="22"/>
        </w:rPr>
        <w:t xml:space="preserve">In the </w:t>
      </w:r>
      <w:r w:rsidR="008A4C8C" w:rsidRPr="00993BEC">
        <w:rPr>
          <w:rFonts w:cs="Arial"/>
          <w:bCs/>
          <w:i/>
          <w:iCs/>
          <w:szCs w:val="22"/>
        </w:rPr>
        <w:t>Sekhoto</w:t>
      </w:r>
      <w:r w:rsidR="008A4C8C">
        <w:rPr>
          <w:rFonts w:cs="Arial"/>
          <w:bCs/>
          <w:szCs w:val="22"/>
        </w:rPr>
        <w:t xml:space="preserve"> case, Harms DP quoted</w:t>
      </w:r>
      <w:r w:rsidR="008A4C8C">
        <w:rPr>
          <w:rStyle w:val="FootnoteReference"/>
          <w:rFonts w:cs="Arial"/>
          <w:bCs/>
          <w:szCs w:val="22"/>
        </w:rPr>
        <w:footnoteReference w:id="16"/>
      </w:r>
      <w:r w:rsidR="008A4C8C">
        <w:rPr>
          <w:rFonts w:cs="Arial"/>
          <w:bCs/>
          <w:szCs w:val="22"/>
        </w:rPr>
        <w:t xml:space="preserve"> with approval the judgment of Innes ACJ in </w:t>
      </w:r>
      <w:r w:rsidR="008A4C8C" w:rsidRPr="0079304B">
        <w:rPr>
          <w:i/>
          <w:iCs/>
        </w:rPr>
        <w:t>Shidiack v Union Government (Minister of the Interior)</w:t>
      </w:r>
      <w:r w:rsidR="008A4C8C" w:rsidRPr="00354197">
        <w:t>:</w:t>
      </w:r>
      <w:r w:rsidR="008A4C8C">
        <w:rPr>
          <w:rStyle w:val="FootnoteReference"/>
        </w:rPr>
        <w:footnoteReference w:id="17"/>
      </w:r>
    </w:p>
    <w:p w14:paraId="2FCB1941" w14:textId="77777777" w:rsidR="00555A4B" w:rsidRPr="00555A4B" w:rsidRDefault="00555A4B" w:rsidP="00555A4B">
      <w:pPr>
        <w:widowControl w:val="0"/>
        <w:spacing w:before="480" w:after="480" w:line="360" w:lineRule="auto"/>
        <w:ind w:left="720"/>
        <w:jc w:val="both"/>
        <w:rPr>
          <w:rFonts w:cs="Arial"/>
          <w:bCs/>
          <w:szCs w:val="22"/>
        </w:rPr>
      </w:pPr>
      <w:r w:rsidRPr="007E0533">
        <w:rPr>
          <w:rFonts w:cs="Arial"/>
          <w:i/>
          <w:iCs/>
          <w:szCs w:val="22"/>
        </w:rPr>
        <w:t xml:space="preserve">“Now it is settled law that where a matter is left to the discretion or the determination of a public officer, and where his discretion has been bona fide exercised or his judgment bona fide expressed, the Court will not interfere with the result. Not being a judicial functionary no appeal or review in the ordinary sense would lie; and if he has duly and honestly applied himself to the question which has been left to his discretion, it is impossible for a Court of Law either to make him change his mind or to substitute its conclusion for his own. This doctrine was recognised in Moll v Civil Commissioner, Paarl (14 S.C., at p. 468); it was </w:t>
      </w:r>
      <w:r w:rsidRPr="007E0533">
        <w:rPr>
          <w:rFonts w:cs="Arial"/>
          <w:i/>
          <w:iCs/>
          <w:szCs w:val="22"/>
        </w:rPr>
        <w:lastRenderedPageBreak/>
        <w:t>acted upon in Judes v Registrar of Mining Rights (1907, T.S., p. 1046); and it was expressly affirmed by this Court in Nathalia v Immigration Officer (</w:t>
      </w:r>
      <w:hyperlink r:id="rId9" w:history="1">
        <w:r w:rsidRPr="007E0533">
          <w:rPr>
            <w:rStyle w:val="Hyperlink"/>
            <w:rFonts w:cs="Arial"/>
            <w:i/>
            <w:iCs/>
            <w:color w:val="000000" w:themeColor="text1"/>
            <w:szCs w:val="22"/>
            <w:u w:val="none"/>
          </w:rPr>
          <w:t>1912 AD 23</w:t>
        </w:r>
      </w:hyperlink>
      <w:r w:rsidRPr="007E0533">
        <w:rPr>
          <w:rFonts w:cs="Arial"/>
          <w:i/>
          <w:iCs/>
          <w:szCs w:val="22"/>
        </w:rPr>
        <w:t>). There are circumstances in which interference would be possible and right. If for instance such an officer had acted mala fide or from ulterior and improper motives, if he had not applied his mind to the matter or exercised his discretion at all, or if he had disregarded the express provisions of a statute - in such cases the Court might grant relief. But it would be unable to interfere with a due and honest exercise of discretion, even if it considered the decision inequitable or wrong.”</w:t>
      </w:r>
    </w:p>
    <w:p w14:paraId="0B3A06CF" w14:textId="0EA7C835" w:rsidR="008A4C8C" w:rsidRPr="00295FA0" w:rsidRDefault="00EA270B" w:rsidP="00EA270B">
      <w:pPr>
        <w:widowControl w:val="0"/>
        <w:tabs>
          <w:tab w:val="left" w:pos="567"/>
        </w:tabs>
        <w:spacing w:before="480" w:after="480" w:line="360" w:lineRule="auto"/>
        <w:jc w:val="both"/>
        <w:rPr>
          <w:rFonts w:cs="Arial"/>
          <w:bCs/>
          <w:szCs w:val="22"/>
        </w:rPr>
      </w:pPr>
      <w:r w:rsidRPr="00295FA0">
        <w:rPr>
          <w:rFonts w:cs="Arial"/>
          <w:bCs/>
          <w:szCs w:val="22"/>
        </w:rPr>
        <w:t>[43]</w:t>
      </w:r>
      <w:r w:rsidRPr="00295FA0">
        <w:rPr>
          <w:rFonts w:cs="Arial"/>
          <w:bCs/>
          <w:szCs w:val="22"/>
        </w:rPr>
        <w:tab/>
      </w:r>
      <w:r w:rsidR="008A4C8C" w:rsidRPr="00295FA0">
        <w:rPr>
          <w:rFonts w:cs="Arial"/>
          <w:bCs/>
          <w:szCs w:val="22"/>
        </w:rPr>
        <w:t xml:space="preserve">Similarly, in </w:t>
      </w:r>
      <w:r w:rsidR="008A4C8C" w:rsidRPr="00295FA0">
        <w:rPr>
          <w:i/>
          <w:iCs/>
          <w:szCs w:val="22"/>
        </w:rPr>
        <w:t>Duncan v Minister of Law and Order</w:t>
      </w:r>
      <w:r w:rsidR="008A4C8C" w:rsidRPr="00295FA0">
        <w:rPr>
          <w:rStyle w:val="FootnoteReference"/>
          <w:i/>
          <w:iCs/>
          <w:szCs w:val="22"/>
        </w:rPr>
        <w:footnoteReference w:id="18"/>
      </w:r>
      <w:r w:rsidR="008A4C8C" w:rsidRPr="00295FA0">
        <w:rPr>
          <w:szCs w:val="22"/>
        </w:rPr>
        <w:t xml:space="preserve"> HJO van Heerden JA said:</w:t>
      </w:r>
    </w:p>
    <w:p w14:paraId="4C23EC38" w14:textId="77777777" w:rsidR="008A4C8C" w:rsidRPr="00295FA0" w:rsidRDefault="008A4C8C" w:rsidP="008A4C8C">
      <w:pPr>
        <w:widowControl w:val="0"/>
        <w:spacing w:before="480" w:after="480" w:line="360" w:lineRule="auto"/>
        <w:ind w:left="720"/>
        <w:jc w:val="both"/>
        <w:rPr>
          <w:rFonts w:cs="Arial"/>
          <w:bCs/>
          <w:i/>
          <w:iCs/>
          <w:szCs w:val="22"/>
        </w:rPr>
      </w:pPr>
      <w:r w:rsidRPr="00295FA0">
        <w:rPr>
          <w:rFonts w:cs="Arial"/>
          <w:i/>
          <w:iCs/>
          <w:color w:val="000000"/>
          <w:szCs w:val="22"/>
          <w:shd w:val="clear" w:color="auto" w:fill="FFFFFF"/>
        </w:rPr>
        <w:t>“If the jurisdictional requirements are satisfied, the peace officer may invoke the power conferred by the subsection, ie, he may arrest the suspect. In other words, he then has a discretion as to whether or not to exercise that power (cf Holgate-Mohammed v Duke [1984] 1 All ER 1054 (HL) at 1057). No doubt the discretion must be properly exercised. But the grounds on which the exercise of such a discretion can be questioned are narrowly circumscribed. Whether every improper application of a discretion conferred by the subsection will render an arrest unlawful, need not be considered because it does not arise in this case.”</w:t>
      </w:r>
    </w:p>
    <w:p w14:paraId="192A02F4" w14:textId="2CDBFDE3" w:rsidR="008A4C8C" w:rsidRDefault="00EA270B" w:rsidP="00EA270B">
      <w:pPr>
        <w:widowControl w:val="0"/>
        <w:tabs>
          <w:tab w:val="left" w:pos="567"/>
        </w:tabs>
        <w:spacing w:before="480" w:after="480" w:line="360" w:lineRule="auto"/>
        <w:jc w:val="both"/>
        <w:rPr>
          <w:rFonts w:cs="Arial"/>
          <w:bCs/>
          <w:szCs w:val="22"/>
        </w:rPr>
      </w:pPr>
      <w:r>
        <w:rPr>
          <w:rFonts w:cs="Arial"/>
          <w:bCs/>
          <w:szCs w:val="22"/>
        </w:rPr>
        <w:t>[44]</w:t>
      </w:r>
      <w:r>
        <w:rPr>
          <w:rFonts w:cs="Arial"/>
          <w:bCs/>
          <w:szCs w:val="22"/>
        </w:rPr>
        <w:tab/>
      </w:r>
      <w:r w:rsidR="008A4C8C">
        <w:rPr>
          <w:rFonts w:cs="Arial"/>
          <w:bCs/>
          <w:szCs w:val="22"/>
        </w:rPr>
        <w:t xml:space="preserve">In the Constitutional era the exercise of </w:t>
      </w:r>
      <w:r w:rsidR="00102B03">
        <w:rPr>
          <w:rFonts w:cs="Arial"/>
          <w:bCs/>
          <w:szCs w:val="22"/>
        </w:rPr>
        <w:t>a</w:t>
      </w:r>
      <w:r w:rsidR="008A4C8C">
        <w:rPr>
          <w:rFonts w:cs="Arial"/>
          <w:bCs/>
          <w:szCs w:val="22"/>
        </w:rPr>
        <w:t xml:space="preserve"> discretion must also be rational. Chaskelson P said in </w:t>
      </w:r>
      <w:r w:rsidR="008A4C8C" w:rsidRPr="00674933">
        <w:rPr>
          <w:i/>
          <w:iCs/>
        </w:rPr>
        <w:t>Pharmaceutical Manufacturers Association of SA: In Re Ex Parte Application of President of the RSA</w:t>
      </w:r>
      <w:r w:rsidR="008A4C8C">
        <w:rPr>
          <w:rFonts w:cs="Arial"/>
          <w:bCs/>
          <w:szCs w:val="22"/>
        </w:rPr>
        <w:t>:</w:t>
      </w:r>
      <w:r w:rsidR="008A4C8C">
        <w:rPr>
          <w:rStyle w:val="FootnoteReference"/>
          <w:rFonts w:cs="Arial"/>
          <w:bCs/>
          <w:szCs w:val="22"/>
        </w:rPr>
        <w:footnoteReference w:id="19"/>
      </w:r>
    </w:p>
    <w:p w14:paraId="7BBFFF9D" w14:textId="77777777" w:rsidR="008A4C8C" w:rsidRPr="00674933" w:rsidRDefault="008A4C8C" w:rsidP="008A4C8C">
      <w:pPr>
        <w:pStyle w:val="q-normal"/>
        <w:shd w:val="clear" w:color="auto" w:fill="FFFFFF"/>
        <w:spacing w:before="120" w:beforeAutospacing="0" w:after="0" w:afterAutospacing="0" w:line="360" w:lineRule="auto"/>
        <w:ind w:left="720"/>
        <w:jc w:val="both"/>
        <w:rPr>
          <w:rFonts w:ascii="Arial" w:hAnsi="Arial" w:cs="Arial"/>
          <w:i/>
          <w:iCs/>
          <w:color w:val="000000"/>
          <w:sz w:val="22"/>
          <w:szCs w:val="22"/>
        </w:rPr>
      </w:pPr>
      <w:r>
        <w:rPr>
          <w:rFonts w:ascii="Arial" w:hAnsi="Arial" w:cs="Arial"/>
          <w:i/>
          <w:iCs/>
          <w:color w:val="000000"/>
          <w:sz w:val="22"/>
          <w:szCs w:val="22"/>
        </w:rPr>
        <w:t>“</w:t>
      </w:r>
      <w:r w:rsidRPr="00674933">
        <w:rPr>
          <w:rFonts w:ascii="Arial" w:hAnsi="Arial" w:cs="Arial"/>
          <w:i/>
          <w:iCs/>
          <w:color w:val="000000"/>
          <w:sz w:val="22"/>
          <w:szCs w:val="22"/>
        </w:rPr>
        <w:t>It is a requirement of the rule of</w:t>
      </w:r>
      <w:r>
        <w:rPr>
          <w:rFonts w:ascii="Arial" w:hAnsi="Arial" w:cs="Arial"/>
          <w:i/>
          <w:iCs/>
          <w:color w:val="000000"/>
          <w:sz w:val="22"/>
          <w:szCs w:val="22"/>
        </w:rPr>
        <w:t xml:space="preserve"> law t</w:t>
      </w:r>
      <w:r w:rsidRPr="00674933">
        <w:rPr>
          <w:rFonts w:ascii="Arial" w:hAnsi="Arial" w:cs="Arial"/>
          <w:i/>
          <w:iCs/>
          <w:color w:val="000000"/>
          <w:sz w:val="22"/>
          <w:szCs w:val="22"/>
        </w:rPr>
        <w:t>hat the exercise of public power by the Executive and other functionaries should not be arbitrary. Decisions must be rationally related to the purpose for which the power was given, otherwise they are in effect arbitrary and inconsistent with this requirement. It follows that in</w:t>
      </w:r>
      <w:r>
        <w:rPr>
          <w:rFonts w:ascii="Arial" w:hAnsi="Arial" w:cs="Arial"/>
          <w:i/>
          <w:iCs/>
          <w:color w:val="000000"/>
          <w:sz w:val="22"/>
          <w:szCs w:val="22"/>
        </w:rPr>
        <w:t xml:space="preserve"> order </w:t>
      </w:r>
      <w:r w:rsidRPr="00674933">
        <w:rPr>
          <w:rFonts w:ascii="Arial" w:hAnsi="Arial" w:cs="Arial"/>
          <w:i/>
          <w:iCs/>
          <w:color w:val="000000"/>
          <w:sz w:val="22"/>
          <w:szCs w:val="22"/>
        </w:rPr>
        <w:t>to pass constitutional scrutiny the exercise of public power by the Executive and other functionaries must, at least, comply with this requirement. If it does not, it falls short of the standards demanded by our Constitution for such action.</w:t>
      </w:r>
    </w:p>
    <w:p w14:paraId="0FBE13FD" w14:textId="77777777" w:rsidR="008A4C8C" w:rsidRPr="00674933" w:rsidRDefault="008A4C8C" w:rsidP="008A4C8C">
      <w:pPr>
        <w:pStyle w:val="q-normal"/>
        <w:shd w:val="clear" w:color="auto" w:fill="FFFFFF"/>
        <w:spacing w:before="120" w:beforeAutospacing="0" w:after="0" w:afterAutospacing="0" w:line="360" w:lineRule="auto"/>
        <w:ind w:left="720"/>
        <w:jc w:val="both"/>
        <w:rPr>
          <w:rFonts w:ascii="Arial" w:hAnsi="Arial" w:cs="Arial"/>
          <w:i/>
          <w:iCs/>
          <w:color w:val="000000"/>
          <w:sz w:val="22"/>
          <w:szCs w:val="22"/>
        </w:rPr>
      </w:pPr>
      <w:r w:rsidRPr="00674933">
        <w:rPr>
          <w:rFonts w:ascii="Arial" w:hAnsi="Arial" w:cs="Arial"/>
          <w:i/>
          <w:iCs/>
          <w:color w:val="000000"/>
          <w:sz w:val="22"/>
          <w:szCs w:val="22"/>
        </w:rPr>
        <w:t xml:space="preserve">The question whether a decision is rationally related to the purpose for which the power was given calls for an objective enquiry. Otherwise a decision that, viewed </w:t>
      </w:r>
      <w:r w:rsidRPr="00674933">
        <w:rPr>
          <w:rFonts w:ascii="Arial" w:hAnsi="Arial" w:cs="Arial"/>
          <w:i/>
          <w:iCs/>
          <w:color w:val="000000"/>
          <w:sz w:val="22"/>
          <w:szCs w:val="22"/>
        </w:rPr>
        <w:lastRenderedPageBreak/>
        <w:t>objectively, is in fact irrational, might pass muster simply because the person who took it mistakenly and in good faith believed it to be rational. Such a conclusion would place form above substance, and undermine an important constitutional principle.”</w:t>
      </w:r>
    </w:p>
    <w:p w14:paraId="0B215038" w14:textId="77777777" w:rsidR="008A4C8C" w:rsidRDefault="008A4C8C" w:rsidP="008A4C8C">
      <w:pPr>
        <w:widowControl w:val="0"/>
        <w:spacing w:before="480" w:after="480" w:line="360" w:lineRule="auto"/>
        <w:jc w:val="both"/>
        <w:rPr>
          <w:rFonts w:cs="Arial"/>
          <w:bCs/>
          <w:i/>
          <w:iCs/>
          <w:szCs w:val="22"/>
          <w:u w:val="single"/>
          <w:lang w:val="en-GB"/>
        </w:rPr>
      </w:pPr>
    </w:p>
    <w:p w14:paraId="10558B6B" w14:textId="5881EB00" w:rsidR="008A4C8C" w:rsidRPr="008A4C8C" w:rsidRDefault="008A4C8C" w:rsidP="008A4C8C">
      <w:pPr>
        <w:widowControl w:val="0"/>
        <w:spacing w:before="480" w:after="480" w:line="360" w:lineRule="auto"/>
        <w:jc w:val="both"/>
        <w:rPr>
          <w:rFonts w:cs="Arial"/>
          <w:bCs/>
          <w:i/>
          <w:iCs/>
          <w:szCs w:val="22"/>
          <w:u w:val="single"/>
        </w:rPr>
      </w:pPr>
      <w:r w:rsidRPr="008A4C8C">
        <w:rPr>
          <w:rFonts w:cs="Arial"/>
          <w:bCs/>
          <w:i/>
          <w:iCs/>
          <w:szCs w:val="22"/>
          <w:u w:val="single"/>
          <w:lang w:val="en-GB"/>
        </w:rPr>
        <w:t>Probabilities and credibility</w:t>
      </w:r>
    </w:p>
    <w:p w14:paraId="3CD23401" w14:textId="6B90CB81" w:rsidR="008A4C8C" w:rsidRPr="00EA270B" w:rsidRDefault="00EA270B" w:rsidP="00EA270B">
      <w:pPr>
        <w:widowControl w:val="0"/>
        <w:tabs>
          <w:tab w:val="left" w:pos="567"/>
        </w:tabs>
        <w:spacing w:before="480" w:after="480" w:line="360" w:lineRule="auto"/>
        <w:jc w:val="both"/>
        <w:rPr>
          <w:rFonts w:cs="Arial"/>
          <w:bCs/>
          <w:szCs w:val="22"/>
        </w:rPr>
      </w:pPr>
      <w:r w:rsidRPr="00D3069D">
        <w:rPr>
          <w:rFonts w:cs="Arial"/>
          <w:bCs/>
          <w:szCs w:val="22"/>
        </w:rPr>
        <w:t>[45]</w:t>
      </w:r>
      <w:r w:rsidRPr="00D3069D">
        <w:rPr>
          <w:rFonts w:cs="Arial"/>
          <w:bCs/>
          <w:szCs w:val="22"/>
        </w:rPr>
        <w:tab/>
      </w:r>
      <w:r w:rsidR="008A4C8C" w:rsidRPr="00EA270B">
        <w:rPr>
          <w:rFonts w:cs="Arial"/>
          <w:bCs/>
          <w:szCs w:val="22"/>
        </w:rPr>
        <w:t>In</w:t>
      </w:r>
      <w:r w:rsidR="00B13150" w:rsidRPr="00EA270B">
        <w:rPr>
          <w:rFonts w:cs="Arial"/>
          <w:bCs/>
          <w:szCs w:val="22"/>
        </w:rPr>
        <w:t xml:space="preserve"> the oft-quoted case of</w:t>
      </w:r>
      <w:r w:rsidR="008A4C8C" w:rsidRPr="00EA270B">
        <w:rPr>
          <w:rFonts w:cs="Arial"/>
          <w:bCs/>
          <w:szCs w:val="22"/>
        </w:rPr>
        <w:t xml:space="preserve"> </w:t>
      </w:r>
      <w:r w:rsidR="008A4C8C" w:rsidRPr="00EA270B">
        <w:rPr>
          <w:i/>
          <w:iCs/>
        </w:rPr>
        <w:t>National Employers' General Insurance Co Ltd v Jagers</w:t>
      </w:r>
      <w:r w:rsidR="008A4C8C">
        <w:rPr>
          <w:rStyle w:val="FootnoteReference"/>
          <w:i/>
          <w:iCs/>
        </w:rPr>
        <w:footnoteReference w:id="20"/>
      </w:r>
      <w:r w:rsidR="008A4C8C" w:rsidRPr="00EA270B">
        <w:rPr>
          <w:i/>
          <w:iCs/>
        </w:rPr>
        <w:t xml:space="preserve"> </w:t>
      </w:r>
      <w:r w:rsidR="008A4C8C">
        <w:t xml:space="preserve">Eksteen AJP said that where there are two mutually destructive versions the parties on whom he onus rests </w:t>
      </w:r>
    </w:p>
    <w:p w14:paraId="6721E3AD" w14:textId="77777777" w:rsidR="008A4C8C" w:rsidRPr="008E1674" w:rsidRDefault="008A4C8C" w:rsidP="008A4C8C">
      <w:pPr>
        <w:spacing w:line="360" w:lineRule="auto"/>
        <w:ind w:left="720"/>
        <w:jc w:val="both"/>
        <w:rPr>
          <w:rFonts w:cs="Arial"/>
          <w:i/>
          <w:iCs/>
        </w:rPr>
      </w:pPr>
      <w:r>
        <w:rPr>
          <w:rFonts w:cs="Arial"/>
          <w:i/>
          <w:iCs/>
        </w:rPr>
        <w:t>“</w:t>
      </w:r>
      <w:r w:rsidRPr="008E1674">
        <w:rPr>
          <w:rFonts w:cs="Arial"/>
          <w:i/>
          <w:iCs/>
        </w:rPr>
        <w:t>…. can only succeed if he satisfies the Court on a preponderance of probabilities that his version is true and accurate and therefore acceptable, and that the other version advanced by the defendant is therefore false or mistaken and falls to be rejected. In deciding whether that evidence is true or not the Court will weigh up and test the plaintiff's allegations against the general probabilities. The estimate of the credibility of a witness will therefore be inextricably bound up with a consideration of the probabilities of the case and, if the balance of probabilities favours the plaintiff, then the Court will accept his version as being probably true. If however the probabilities are evenly balanced in the sense that they do not favour the plaintiff's case any more than they do the defendant's, the plaintiff can only succeed if the Court nevertheless believes him and is satisfied that his evidence is true and that the defendant's version is false.</w:t>
      </w:r>
    </w:p>
    <w:p w14:paraId="6C0FE682" w14:textId="77777777" w:rsidR="007E68AA" w:rsidRDefault="007E68AA" w:rsidP="008A4C8C">
      <w:pPr>
        <w:spacing w:line="360" w:lineRule="auto"/>
        <w:ind w:left="720"/>
        <w:jc w:val="both"/>
        <w:rPr>
          <w:rFonts w:cs="Arial"/>
          <w:i/>
          <w:iCs/>
        </w:rPr>
      </w:pPr>
    </w:p>
    <w:p w14:paraId="1A285178" w14:textId="2644488F" w:rsidR="008A4C8C" w:rsidRDefault="008A4C8C" w:rsidP="008A4C8C">
      <w:pPr>
        <w:spacing w:line="360" w:lineRule="auto"/>
        <w:ind w:left="720"/>
        <w:jc w:val="both"/>
        <w:rPr>
          <w:rFonts w:cs="Arial"/>
          <w:i/>
          <w:iCs/>
        </w:rPr>
      </w:pPr>
      <w:r w:rsidRPr="008E1674">
        <w:rPr>
          <w:rFonts w:cs="Arial"/>
          <w:i/>
          <w:iCs/>
        </w:rPr>
        <w:t>This view seems to me to be in general accordance with the views expressed by COETZEE J in Koster Ko-operatiewe Landboumaatskappy Bpk v Suid-Afrikaanse Spoorweë en Hawens (supra)</w:t>
      </w:r>
      <w:r>
        <w:rPr>
          <w:rStyle w:val="FootnoteReference"/>
          <w:rFonts w:cs="Arial"/>
          <w:i/>
          <w:iCs/>
        </w:rPr>
        <w:footnoteReference w:id="21"/>
      </w:r>
      <w:r w:rsidRPr="008E1674">
        <w:rPr>
          <w:rFonts w:cs="Arial"/>
          <w:i/>
          <w:iCs/>
        </w:rPr>
        <w:t xml:space="preserve"> and African Eagle Assurance Co Ltd v Cainer (supra).</w:t>
      </w:r>
      <w:r>
        <w:rPr>
          <w:rStyle w:val="FootnoteReference"/>
          <w:rFonts w:cs="Arial"/>
          <w:i/>
          <w:iCs/>
        </w:rPr>
        <w:footnoteReference w:id="22"/>
      </w:r>
      <w:r w:rsidRPr="008E1674">
        <w:rPr>
          <w:rFonts w:cs="Arial"/>
          <w:i/>
          <w:iCs/>
        </w:rPr>
        <w:t xml:space="preserve"> I would merely stress however that when in such circumstances one talks about a plaintiff having discharged the onus which rested upon him on a balance of probabilities one really means that the Court is satisfied on a balance </w:t>
      </w:r>
      <w:r w:rsidRPr="008E1674">
        <w:rPr>
          <w:rFonts w:cs="Arial"/>
          <w:i/>
          <w:iCs/>
        </w:rPr>
        <w:lastRenderedPageBreak/>
        <w:t>of probabilities that he was telling the truth and that his version was therefore acceptable. It does not seem to me to be desirable for a Court first to consider the question of the credibility of the witnesses as the trial Judge did in the present case, and then, having concluded that enquiry, to consider the probabilities of the case, as though the two aspects constitute separate fields of enquiry. In fact, as I have pointed out,</w:t>
      </w:r>
      <w:r w:rsidR="00102B03">
        <w:rPr>
          <w:rFonts w:cs="Arial"/>
          <w:i/>
          <w:iCs/>
        </w:rPr>
        <w:t xml:space="preserve"> </w:t>
      </w:r>
      <w:r w:rsidRPr="008E1674">
        <w:rPr>
          <w:rFonts w:cs="Arial"/>
          <w:i/>
          <w:iCs/>
        </w:rPr>
        <w:t>it is only where a consideration of the probabilities fails to indicate where the truth probably lies, that recourse is had to an estimate of relative credibility apart from the probabilities.”</w:t>
      </w:r>
    </w:p>
    <w:p w14:paraId="4C340CA2" w14:textId="77777777" w:rsidR="008A4C8C" w:rsidRPr="008E1674" w:rsidRDefault="008A4C8C" w:rsidP="008A4C8C">
      <w:pPr>
        <w:spacing w:line="360" w:lineRule="auto"/>
        <w:ind w:left="720"/>
        <w:jc w:val="both"/>
        <w:rPr>
          <w:rFonts w:cs="Arial"/>
          <w:i/>
          <w:iCs/>
        </w:rPr>
      </w:pPr>
    </w:p>
    <w:p w14:paraId="639371A9" w14:textId="77777777" w:rsidR="008A4C8C" w:rsidRDefault="008A4C8C" w:rsidP="008A4C8C">
      <w:pPr>
        <w:widowControl w:val="0"/>
        <w:spacing w:before="480" w:after="480" w:line="360" w:lineRule="auto"/>
        <w:jc w:val="both"/>
        <w:rPr>
          <w:rFonts w:cs="Arial"/>
          <w:bCs/>
          <w:i/>
          <w:iCs/>
          <w:szCs w:val="22"/>
          <w:u w:val="single"/>
        </w:rPr>
      </w:pPr>
    </w:p>
    <w:p w14:paraId="3DDE32F4" w14:textId="40935931" w:rsidR="008A4C8C" w:rsidRPr="008A4C8C" w:rsidRDefault="007360A0" w:rsidP="008A4C8C">
      <w:pPr>
        <w:widowControl w:val="0"/>
        <w:spacing w:before="480" w:after="480" w:line="360" w:lineRule="auto"/>
        <w:jc w:val="both"/>
        <w:rPr>
          <w:rFonts w:cs="Arial"/>
          <w:bCs/>
          <w:i/>
          <w:iCs/>
          <w:szCs w:val="22"/>
          <w:u w:val="single"/>
        </w:rPr>
      </w:pPr>
      <w:r>
        <w:rPr>
          <w:rFonts w:cs="Arial"/>
          <w:bCs/>
          <w:i/>
          <w:iCs/>
          <w:szCs w:val="22"/>
          <w:u w:val="single"/>
        </w:rPr>
        <w:t>Conclusions</w:t>
      </w:r>
    </w:p>
    <w:p w14:paraId="5940ADB2" w14:textId="07EE7B39" w:rsidR="000614C8" w:rsidRPr="000614C8" w:rsidRDefault="00EA270B" w:rsidP="00EA270B">
      <w:pPr>
        <w:widowControl w:val="0"/>
        <w:tabs>
          <w:tab w:val="left" w:pos="567"/>
        </w:tabs>
        <w:spacing w:before="480" w:after="480" w:line="360" w:lineRule="auto"/>
        <w:jc w:val="both"/>
        <w:rPr>
          <w:rFonts w:cs="Arial"/>
          <w:bCs/>
          <w:szCs w:val="22"/>
        </w:rPr>
      </w:pPr>
      <w:r w:rsidRPr="000614C8">
        <w:rPr>
          <w:rFonts w:cs="Arial"/>
          <w:bCs/>
          <w:szCs w:val="22"/>
        </w:rPr>
        <w:t>[46]</w:t>
      </w:r>
      <w:r w:rsidRPr="000614C8">
        <w:rPr>
          <w:rFonts w:cs="Arial"/>
          <w:bCs/>
          <w:szCs w:val="22"/>
        </w:rPr>
        <w:tab/>
      </w:r>
      <w:r w:rsidR="007F204C" w:rsidRPr="007F204C">
        <w:rPr>
          <w:rFonts w:cs="Arial"/>
          <w:bCs/>
          <w:szCs w:val="22"/>
          <w:lang w:val="en-GB"/>
        </w:rPr>
        <w:t xml:space="preserve">I </w:t>
      </w:r>
      <w:r w:rsidR="007F204C">
        <w:rPr>
          <w:rFonts w:cs="Arial"/>
          <w:bCs/>
          <w:szCs w:val="22"/>
          <w:lang w:val="en-GB"/>
        </w:rPr>
        <w:t xml:space="preserve">accept </w:t>
      </w:r>
      <w:r w:rsidR="007F204C" w:rsidRPr="007F204C">
        <w:rPr>
          <w:rFonts w:cs="Arial"/>
          <w:bCs/>
          <w:szCs w:val="22"/>
          <w:lang w:val="en-GB"/>
        </w:rPr>
        <w:t>the evidence of</w:t>
      </w:r>
      <w:r w:rsidR="007F204C">
        <w:rPr>
          <w:rFonts w:cs="Arial"/>
          <w:bCs/>
          <w:szCs w:val="22"/>
          <w:lang w:val="en-GB"/>
        </w:rPr>
        <w:t xml:space="preserve"> </w:t>
      </w:r>
      <w:r w:rsidR="007F204C" w:rsidRPr="007F204C">
        <w:rPr>
          <w:rFonts w:cs="Arial"/>
          <w:bCs/>
          <w:szCs w:val="22"/>
          <w:lang w:val="en-GB"/>
        </w:rPr>
        <w:t>the two police officers who carried out the arrest</w:t>
      </w:r>
      <w:r w:rsidR="007F204C">
        <w:rPr>
          <w:rFonts w:cs="Arial"/>
          <w:bCs/>
          <w:szCs w:val="22"/>
          <w:lang w:val="en-GB"/>
        </w:rPr>
        <w:t xml:space="preserve"> </w:t>
      </w:r>
      <w:r w:rsidR="007F204C" w:rsidRPr="007F204C">
        <w:rPr>
          <w:rFonts w:cs="Arial"/>
          <w:bCs/>
          <w:szCs w:val="22"/>
          <w:lang w:val="en-GB"/>
        </w:rPr>
        <w:t xml:space="preserve">that </w:t>
      </w:r>
    </w:p>
    <w:p w14:paraId="3E6A77D1" w14:textId="76DC9935" w:rsidR="000614C8" w:rsidRPr="000614C8" w:rsidRDefault="00EA270B" w:rsidP="00EA270B">
      <w:pPr>
        <w:widowControl w:val="0"/>
        <w:tabs>
          <w:tab w:val="left" w:pos="1418"/>
        </w:tabs>
        <w:spacing w:before="480" w:after="480" w:line="360" w:lineRule="auto"/>
        <w:ind w:left="1418" w:hanging="851"/>
        <w:jc w:val="both"/>
        <w:rPr>
          <w:rFonts w:cs="Arial"/>
          <w:bCs/>
          <w:szCs w:val="22"/>
        </w:rPr>
      </w:pPr>
      <w:r w:rsidRPr="000614C8">
        <w:rPr>
          <w:rFonts w:cs="Arial"/>
          <w:bCs/>
          <w:szCs w:val="22"/>
        </w:rPr>
        <w:t>46.1</w:t>
      </w:r>
      <w:r w:rsidRPr="000614C8">
        <w:rPr>
          <w:rFonts w:cs="Arial"/>
          <w:bCs/>
          <w:szCs w:val="22"/>
        </w:rPr>
        <w:tab/>
      </w:r>
      <w:r w:rsidR="007F204C" w:rsidRPr="007F204C">
        <w:rPr>
          <w:rFonts w:cs="Arial"/>
          <w:bCs/>
          <w:szCs w:val="22"/>
          <w:lang w:val="en-GB"/>
        </w:rPr>
        <w:t>they encountered the plaintiff walking on the shoulder of the road</w:t>
      </w:r>
      <w:r w:rsidR="007F204C">
        <w:rPr>
          <w:rFonts w:cs="Arial"/>
          <w:bCs/>
          <w:szCs w:val="22"/>
          <w:lang w:val="en-GB"/>
        </w:rPr>
        <w:t xml:space="preserve">, </w:t>
      </w:r>
    </w:p>
    <w:p w14:paraId="6E99CCE5" w14:textId="70A4A1B5" w:rsidR="000614C8" w:rsidRPr="000614C8" w:rsidRDefault="00EA270B" w:rsidP="00EA270B">
      <w:pPr>
        <w:widowControl w:val="0"/>
        <w:tabs>
          <w:tab w:val="left" w:pos="1418"/>
        </w:tabs>
        <w:spacing w:before="480" w:after="480" w:line="360" w:lineRule="auto"/>
        <w:ind w:left="1418" w:hanging="851"/>
        <w:jc w:val="both"/>
        <w:rPr>
          <w:rFonts w:cs="Arial"/>
          <w:bCs/>
          <w:szCs w:val="22"/>
        </w:rPr>
      </w:pPr>
      <w:r w:rsidRPr="000614C8">
        <w:rPr>
          <w:rFonts w:cs="Arial"/>
          <w:bCs/>
          <w:szCs w:val="22"/>
        </w:rPr>
        <w:t>46.2</w:t>
      </w:r>
      <w:r w:rsidRPr="000614C8">
        <w:rPr>
          <w:rFonts w:cs="Arial"/>
          <w:bCs/>
          <w:szCs w:val="22"/>
        </w:rPr>
        <w:tab/>
      </w:r>
      <w:r w:rsidR="007F204C" w:rsidRPr="007F204C">
        <w:rPr>
          <w:rFonts w:cs="Arial"/>
          <w:bCs/>
          <w:szCs w:val="22"/>
          <w:lang w:val="en-GB"/>
        </w:rPr>
        <w:t>that</w:t>
      </w:r>
      <w:r w:rsidR="007F204C">
        <w:rPr>
          <w:rFonts w:cs="Arial"/>
          <w:bCs/>
          <w:szCs w:val="22"/>
          <w:lang w:val="en-GB"/>
        </w:rPr>
        <w:t xml:space="preserve"> Sgt Nkosi </w:t>
      </w:r>
      <w:r w:rsidR="007F204C" w:rsidRPr="007F204C">
        <w:rPr>
          <w:rFonts w:cs="Arial"/>
          <w:bCs/>
          <w:szCs w:val="22"/>
          <w:lang w:val="en-GB"/>
        </w:rPr>
        <w:t>not</w:t>
      </w:r>
      <w:r w:rsidR="007F204C">
        <w:rPr>
          <w:rFonts w:cs="Arial"/>
          <w:bCs/>
          <w:szCs w:val="22"/>
          <w:lang w:val="en-GB"/>
        </w:rPr>
        <w:t xml:space="preserve">iced </w:t>
      </w:r>
      <w:r w:rsidR="007F204C" w:rsidRPr="007F204C">
        <w:rPr>
          <w:rFonts w:cs="Arial"/>
          <w:bCs/>
          <w:szCs w:val="22"/>
          <w:lang w:val="en-GB"/>
        </w:rPr>
        <w:t>the plaintiff's reaction when he saw the police vehicle</w:t>
      </w:r>
      <w:r w:rsidR="007F204C">
        <w:rPr>
          <w:rFonts w:cs="Arial"/>
          <w:bCs/>
          <w:szCs w:val="22"/>
          <w:lang w:val="en-GB"/>
        </w:rPr>
        <w:t xml:space="preserve">, </w:t>
      </w:r>
    </w:p>
    <w:p w14:paraId="1802E99E" w14:textId="04775280" w:rsidR="000614C8" w:rsidRPr="000614C8" w:rsidRDefault="00EA270B" w:rsidP="00EA270B">
      <w:pPr>
        <w:widowControl w:val="0"/>
        <w:tabs>
          <w:tab w:val="left" w:pos="1418"/>
        </w:tabs>
        <w:spacing w:before="480" w:after="480" w:line="360" w:lineRule="auto"/>
        <w:ind w:left="1418" w:hanging="851"/>
        <w:jc w:val="both"/>
        <w:rPr>
          <w:rFonts w:cs="Arial"/>
          <w:bCs/>
          <w:szCs w:val="22"/>
        </w:rPr>
      </w:pPr>
      <w:r w:rsidRPr="000614C8">
        <w:rPr>
          <w:rFonts w:cs="Arial"/>
          <w:bCs/>
          <w:szCs w:val="22"/>
        </w:rPr>
        <w:t>46.3</w:t>
      </w:r>
      <w:r w:rsidRPr="000614C8">
        <w:rPr>
          <w:rFonts w:cs="Arial"/>
          <w:bCs/>
          <w:szCs w:val="22"/>
        </w:rPr>
        <w:tab/>
      </w:r>
      <w:r w:rsidR="007F204C" w:rsidRPr="007F204C">
        <w:rPr>
          <w:rFonts w:cs="Arial"/>
          <w:bCs/>
          <w:szCs w:val="22"/>
          <w:lang w:val="en-GB"/>
        </w:rPr>
        <w:t xml:space="preserve">that he then brought the vehicle to a stop and </w:t>
      </w:r>
      <w:r w:rsidR="007F204C">
        <w:rPr>
          <w:rFonts w:cs="Arial"/>
          <w:bCs/>
          <w:szCs w:val="22"/>
          <w:lang w:val="en-GB"/>
        </w:rPr>
        <w:t>accosted</w:t>
      </w:r>
      <w:r w:rsidR="007F204C" w:rsidRPr="007F204C">
        <w:rPr>
          <w:rFonts w:cs="Arial"/>
          <w:bCs/>
          <w:szCs w:val="22"/>
          <w:lang w:val="en-GB"/>
        </w:rPr>
        <w:t xml:space="preserve"> that the plaintiff</w:t>
      </w:r>
      <w:r w:rsidR="007F204C">
        <w:rPr>
          <w:rFonts w:cs="Arial"/>
          <w:bCs/>
          <w:szCs w:val="22"/>
          <w:lang w:val="en-GB"/>
        </w:rPr>
        <w:t xml:space="preserve">, </w:t>
      </w:r>
    </w:p>
    <w:p w14:paraId="34385C74" w14:textId="40EAA2E0" w:rsidR="000614C8" w:rsidRPr="000614C8" w:rsidRDefault="00EA270B" w:rsidP="00EA270B">
      <w:pPr>
        <w:widowControl w:val="0"/>
        <w:tabs>
          <w:tab w:val="left" w:pos="1418"/>
        </w:tabs>
        <w:spacing w:before="480" w:after="480" w:line="360" w:lineRule="auto"/>
        <w:ind w:left="1418" w:hanging="851"/>
        <w:jc w:val="both"/>
        <w:rPr>
          <w:rFonts w:cs="Arial"/>
          <w:bCs/>
          <w:szCs w:val="22"/>
        </w:rPr>
      </w:pPr>
      <w:r w:rsidRPr="000614C8">
        <w:rPr>
          <w:rFonts w:cs="Arial"/>
          <w:bCs/>
          <w:szCs w:val="22"/>
        </w:rPr>
        <w:t>46.4</w:t>
      </w:r>
      <w:r w:rsidRPr="000614C8">
        <w:rPr>
          <w:rFonts w:cs="Arial"/>
          <w:bCs/>
          <w:szCs w:val="22"/>
        </w:rPr>
        <w:tab/>
      </w:r>
      <w:r w:rsidR="007F204C" w:rsidRPr="007F204C">
        <w:rPr>
          <w:rFonts w:cs="Arial"/>
          <w:bCs/>
          <w:szCs w:val="22"/>
          <w:lang w:val="en-GB"/>
        </w:rPr>
        <w:t xml:space="preserve">that he then found the Mandrax tablet in the </w:t>
      </w:r>
      <w:r w:rsidR="007F204C">
        <w:rPr>
          <w:rFonts w:cs="Arial"/>
          <w:bCs/>
          <w:szCs w:val="22"/>
          <w:lang w:val="en-GB"/>
        </w:rPr>
        <w:t xml:space="preserve">possession </w:t>
      </w:r>
      <w:r w:rsidR="007F204C" w:rsidRPr="007F204C">
        <w:rPr>
          <w:rFonts w:cs="Arial"/>
          <w:bCs/>
          <w:szCs w:val="22"/>
          <w:lang w:val="en-GB"/>
        </w:rPr>
        <w:t>of the plaintiff</w:t>
      </w:r>
      <w:r w:rsidR="007F204C">
        <w:rPr>
          <w:rFonts w:cs="Arial"/>
          <w:bCs/>
          <w:szCs w:val="22"/>
          <w:lang w:val="en-GB"/>
        </w:rPr>
        <w:t xml:space="preserve">, </w:t>
      </w:r>
    </w:p>
    <w:p w14:paraId="31F0FBCC" w14:textId="18C10BB3" w:rsidR="000614C8" w:rsidRPr="00AE37DB" w:rsidRDefault="00EA270B" w:rsidP="00EA270B">
      <w:pPr>
        <w:widowControl w:val="0"/>
        <w:tabs>
          <w:tab w:val="left" w:pos="1418"/>
        </w:tabs>
        <w:spacing w:before="480" w:after="480" w:line="360" w:lineRule="auto"/>
        <w:ind w:left="1418" w:hanging="851"/>
        <w:jc w:val="both"/>
        <w:rPr>
          <w:rFonts w:cs="Arial"/>
          <w:bCs/>
          <w:szCs w:val="22"/>
        </w:rPr>
      </w:pPr>
      <w:r w:rsidRPr="00AE37DB">
        <w:rPr>
          <w:rFonts w:cs="Arial"/>
          <w:bCs/>
          <w:szCs w:val="22"/>
        </w:rPr>
        <w:t>46.5</w:t>
      </w:r>
      <w:r w:rsidRPr="00AE37DB">
        <w:rPr>
          <w:rFonts w:cs="Arial"/>
          <w:bCs/>
          <w:szCs w:val="22"/>
        </w:rPr>
        <w:tab/>
      </w:r>
      <w:r w:rsidR="007F204C" w:rsidRPr="007F204C">
        <w:rPr>
          <w:rFonts w:cs="Arial"/>
          <w:bCs/>
          <w:szCs w:val="22"/>
          <w:lang w:val="en-GB"/>
        </w:rPr>
        <w:t>that he formed a reasonable suspicion</w:t>
      </w:r>
      <w:r w:rsidR="00CD2831">
        <w:rPr>
          <w:rStyle w:val="FootnoteReference"/>
          <w:rFonts w:cs="Arial"/>
          <w:bCs/>
          <w:szCs w:val="22"/>
          <w:lang w:val="en-GB"/>
        </w:rPr>
        <w:footnoteReference w:id="23"/>
      </w:r>
      <w:r w:rsidR="007F204C" w:rsidRPr="007F204C">
        <w:rPr>
          <w:rFonts w:cs="Arial"/>
          <w:bCs/>
          <w:szCs w:val="22"/>
          <w:lang w:val="en-GB"/>
        </w:rPr>
        <w:t xml:space="preserve"> that a crime had been committed</w:t>
      </w:r>
      <w:r w:rsidR="007F204C">
        <w:rPr>
          <w:rFonts w:cs="Arial"/>
          <w:bCs/>
          <w:szCs w:val="22"/>
          <w:lang w:val="en-GB"/>
        </w:rPr>
        <w:t xml:space="preserve"> </w:t>
      </w:r>
      <w:r w:rsidR="007F204C" w:rsidRPr="007F204C">
        <w:rPr>
          <w:rFonts w:cs="Arial"/>
          <w:bCs/>
          <w:szCs w:val="22"/>
          <w:lang w:val="en-GB"/>
        </w:rPr>
        <w:t>and arrested the plaintiff lawfully</w:t>
      </w:r>
      <w:r w:rsidR="007F204C">
        <w:rPr>
          <w:rFonts w:cs="Arial"/>
          <w:bCs/>
          <w:szCs w:val="22"/>
          <w:lang w:val="en-GB"/>
        </w:rPr>
        <w:t>,</w:t>
      </w:r>
      <w:r w:rsidR="003A361B">
        <w:rPr>
          <w:rStyle w:val="FootnoteReference"/>
          <w:rFonts w:cs="Arial"/>
          <w:bCs/>
          <w:szCs w:val="22"/>
          <w:lang w:val="en-GB"/>
        </w:rPr>
        <w:footnoteReference w:id="24"/>
      </w:r>
      <w:r w:rsidR="007F204C">
        <w:rPr>
          <w:rFonts w:cs="Arial"/>
          <w:bCs/>
          <w:szCs w:val="22"/>
          <w:lang w:val="en-GB"/>
        </w:rPr>
        <w:t xml:space="preserve"> </w:t>
      </w:r>
    </w:p>
    <w:p w14:paraId="4E12C855" w14:textId="000D4948" w:rsidR="000614C8" w:rsidRPr="000614C8" w:rsidRDefault="00EA270B" w:rsidP="00EA270B">
      <w:pPr>
        <w:widowControl w:val="0"/>
        <w:tabs>
          <w:tab w:val="left" w:pos="1418"/>
        </w:tabs>
        <w:spacing w:before="480" w:after="480" w:line="360" w:lineRule="auto"/>
        <w:ind w:left="1418" w:hanging="851"/>
        <w:jc w:val="both"/>
        <w:rPr>
          <w:rFonts w:cs="Arial"/>
          <w:bCs/>
          <w:szCs w:val="22"/>
        </w:rPr>
      </w:pPr>
      <w:r w:rsidRPr="000614C8">
        <w:rPr>
          <w:rFonts w:cs="Arial"/>
          <w:bCs/>
          <w:szCs w:val="22"/>
        </w:rPr>
        <w:t>46.6</w:t>
      </w:r>
      <w:r w:rsidRPr="000614C8">
        <w:rPr>
          <w:rFonts w:cs="Arial"/>
          <w:bCs/>
          <w:szCs w:val="22"/>
        </w:rPr>
        <w:tab/>
      </w:r>
      <w:r w:rsidR="007F204C" w:rsidRPr="007F204C">
        <w:rPr>
          <w:rFonts w:cs="Arial"/>
          <w:bCs/>
          <w:szCs w:val="22"/>
          <w:lang w:val="en-GB"/>
        </w:rPr>
        <w:t xml:space="preserve">that the plaintiff was taken to the </w:t>
      </w:r>
      <w:r w:rsidR="00B13150">
        <w:rPr>
          <w:rFonts w:cs="Arial"/>
          <w:bCs/>
          <w:szCs w:val="22"/>
          <w:lang w:val="en-GB"/>
        </w:rPr>
        <w:t xml:space="preserve">Kliptown </w:t>
      </w:r>
      <w:r w:rsidR="007F204C" w:rsidRPr="007F204C">
        <w:rPr>
          <w:rFonts w:cs="Arial"/>
          <w:bCs/>
          <w:szCs w:val="22"/>
          <w:lang w:val="en-GB"/>
        </w:rPr>
        <w:t xml:space="preserve">police station </w:t>
      </w:r>
      <w:r w:rsidR="008C5A15" w:rsidRPr="008C5A15">
        <w:rPr>
          <w:rFonts w:cs="Arial"/>
          <w:bCs/>
          <w:szCs w:val="22"/>
          <w:lang w:val="en-GB"/>
        </w:rPr>
        <w:t xml:space="preserve">soon as was </w:t>
      </w:r>
      <w:r w:rsidR="008C5A15" w:rsidRPr="008C5A15">
        <w:rPr>
          <w:rFonts w:cs="Arial"/>
          <w:bCs/>
          <w:szCs w:val="22"/>
          <w:lang w:val="en-GB"/>
        </w:rPr>
        <w:lastRenderedPageBreak/>
        <w:t>possible</w:t>
      </w:r>
      <w:r w:rsidR="008C5A15">
        <w:rPr>
          <w:rFonts w:cs="Arial"/>
          <w:bCs/>
          <w:szCs w:val="22"/>
          <w:lang w:val="en-GB"/>
        </w:rPr>
        <w:t xml:space="preserve"> and</w:t>
      </w:r>
      <w:r w:rsidR="007F204C">
        <w:rPr>
          <w:rFonts w:cs="Arial"/>
          <w:bCs/>
          <w:szCs w:val="22"/>
          <w:lang w:val="en-GB"/>
        </w:rPr>
        <w:t xml:space="preserve"> </w:t>
      </w:r>
      <w:r w:rsidR="007F204C" w:rsidRPr="007F204C">
        <w:rPr>
          <w:rFonts w:cs="Arial"/>
          <w:bCs/>
          <w:szCs w:val="22"/>
          <w:lang w:val="en-GB"/>
        </w:rPr>
        <w:t>proper procedures were followed</w:t>
      </w:r>
      <w:r w:rsidR="008C5A15">
        <w:rPr>
          <w:rFonts w:cs="Arial"/>
          <w:bCs/>
          <w:szCs w:val="22"/>
          <w:lang w:val="en-GB"/>
        </w:rPr>
        <w:t>.</w:t>
      </w:r>
      <w:r w:rsidR="008C5A15">
        <w:rPr>
          <w:rStyle w:val="FootnoteReference"/>
          <w:rFonts w:cs="Arial"/>
          <w:bCs/>
          <w:szCs w:val="22"/>
          <w:lang w:val="en-GB"/>
        </w:rPr>
        <w:footnoteReference w:id="25"/>
      </w:r>
    </w:p>
    <w:p w14:paraId="4B694E35" w14:textId="62BCCCE5" w:rsidR="007360A0" w:rsidRDefault="00EA270B" w:rsidP="00EA270B">
      <w:pPr>
        <w:widowControl w:val="0"/>
        <w:tabs>
          <w:tab w:val="left" w:pos="567"/>
        </w:tabs>
        <w:spacing w:before="480" w:after="480" w:line="360" w:lineRule="auto"/>
        <w:jc w:val="both"/>
        <w:rPr>
          <w:rFonts w:cs="Arial"/>
          <w:bCs/>
          <w:szCs w:val="22"/>
        </w:rPr>
      </w:pPr>
      <w:r>
        <w:rPr>
          <w:rFonts w:cs="Arial"/>
          <w:bCs/>
          <w:szCs w:val="22"/>
        </w:rPr>
        <w:t>[47]</w:t>
      </w:r>
      <w:r>
        <w:rPr>
          <w:rFonts w:cs="Arial"/>
          <w:bCs/>
          <w:szCs w:val="22"/>
        </w:rPr>
        <w:tab/>
      </w:r>
      <w:r w:rsidR="007E68AA">
        <w:rPr>
          <w:rFonts w:cs="Arial"/>
          <w:bCs/>
          <w:szCs w:val="22"/>
        </w:rPr>
        <w:t xml:space="preserve">The decision to arrest the plaintiff when he was encountered next to the road with what Sgt Nkosi identified, </w:t>
      </w:r>
      <w:r w:rsidR="007E68AA" w:rsidRPr="007E68AA">
        <w:rPr>
          <w:rFonts w:cs="Arial"/>
          <w:bCs/>
          <w:i/>
          <w:iCs/>
          <w:szCs w:val="22"/>
        </w:rPr>
        <w:t>prima facie</w:t>
      </w:r>
      <w:r w:rsidR="007E68AA">
        <w:rPr>
          <w:rFonts w:cs="Arial"/>
          <w:bCs/>
          <w:szCs w:val="22"/>
        </w:rPr>
        <w:t>, as a Mandrax tablet was therefore a reasonable one.</w:t>
      </w:r>
      <w:r w:rsidR="007E68AA">
        <w:rPr>
          <w:rStyle w:val="FootnoteReference"/>
          <w:rFonts w:cs="Arial"/>
          <w:bCs/>
          <w:szCs w:val="22"/>
        </w:rPr>
        <w:footnoteReference w:id="26"/>
      </w:r>
      <w:r w:rsidR="007E68AA">
        <w:rPr>
          <w:rFonts w:cs="Arial"/>
          <w:bCs/>
          <w:szCs w:val="22"/>
        </w:rPr>
        <w:t xml:space="preserve"> The police officers had a discretion and they exercised their discretion.</w:t>
      </w:r>
      <w:r w:rsidR="007E68AA" w:rsidRPr="007E68AA">
        <w:rPr>
          <w:rFonts w:cs="Arial"/>
          <w:bCs/>
          <w:szCs w:val="22"/>
        </w:rPr>
        <w:t xml:space="preserve"> </w:t>
      </w:r>
      <w:r w:rsidR="007360A0">
        <w:t xml:space="preserve">A police officer encountering a tablet that his experience tells him is a Mandrax tablet is entitled to apply his experience and form a reasonable </w:t>
      </w:r>
      <w:r w:rsidR="007360A0" w:rsidRPr="005A2BAC">
        <w:rPr>
          <w:i/>
          <w:iCs/>
        </w:rPr>
        <w:t>prima facie</w:t>
      </w:r>
      <w:r w:rsidR="007360A0">
        <w:t xml:space="preserve"> view that this is indeed a prohibited substance.</w:t>
      </w:r>
    </w:p>
    <w:p w14:paraId="6B81F4EB" w14:textId="414A8428" w:rsidR="007E68AA" w:rsidRDefault="00EA270B" w:rsidP="00EA270B">
      <w:pPr>
        <w:widowControl w:val="0"/>
        <w:tabs>
          <w:tab w:val="left" w:pos="567"/>
        </w:tabs>
        <w:spacing w:before="480" w:after="480" w:line="360" w:lineRule="auto"/>
        <w:jc w:val="both"/>
        <w:rPr>
          <w:rFonts w:cs="Arial"/>
          <w:bCs/>
          <w:szCs w:val="22"/>
        </w:rPr>
      </w:pPr>
      <w:r>
        <w:rPr>
          <w:rFonts w:cs="Arial"/>
          <w:bCs/>
          <w:szCs w:val="22"/>
        </w:rPr>
        <w:t>[48]</w:t>
      </w:r>
      <w:r>
        <w:rPr>
          <w:rFonts w:cs="Arial"/>
          <w:bCs/>
          <w:szCs w:val="22"/>
        </w:rPr>
        <w:tab/>
      </w:r>
      <w:r w:rsidR="007E68AA">
        <w:rPr>
          <w:rFonts w:cs="Arial"/>
          <w:bCs/>
          <w:szCs w:val="22"/>
        </w:rPr>
        <w:t>At that point in time it was not possible to verify the plaintiff’s identity and address. There is simply no ground for arguing that other, equally rational options to ensure the plaintiff’s attendance at court were available at that stage. Once he was under arrest, a bail application became necessary to ensure his freedom.</w:t>
      </w:r>
      <w:r w:rsidR="00102B03" w:rsidRPr="00102B03">
        <w:rPr>
          <w:rFonts w:cs="Arial"/>
          <w:bCs/>
          <w:szCs w:val="22"/>
          <w:lang w:val="en-GB"/>
        </w:rPr>
        <w:t xml:space="preserve"> </w:t>
      </w:r>
      <w:r w:rsidR="00102B03" w:rsidRPr="00D3069D">
        <w:rPr>
          <w:rFonts w:cs="Arial"/>
          <w:bCs/>
          <w:szCs w:val="22"/>
          <w:lang w:val="en-GB"/>
        </w:rPr>
        <w:t>The plaintiff would not have qualified to be released on bail granted by a police officer of or above the rank of non- commissioned officer in terms of section 59 of the Criminal Procedure Act: He was suspected of an offence listed in Part II of Schedule 2 of the Act namely the possession of a dependence producing drug.</w:t>
      </w:r>
    </w:p>
    <w:p w14:paraId="2E8ACBDD" w14:textId="383E18CF" w:rsidR="000614C8" w:rsidRPr="000614C8" w:rsidRDefault="00EA270B" w:rsidP="00EA270B">
      <w:pPr>
        <w:widowControl w:val="0"/>
        <w:tabs>
          <w:tab w:val="left" w:pos="567"/>
        </w:tabs>
        <w:spacing w:before="480" w:after="480" w:line="360" w:lineRule="auto"/>
        <w:jc w:val="both"/>
        <w:rPr>
          <w:rFonts w:cs="Arial"/>
          <w:bCs/>
          <w:szCs w:val="22"/>
        </w:rPr>
      </w:pPr>
      <w:r w:rsidRPr="000614C8">
        <w:rPr>
          <w:rFonts w:cs="Arial"/>
          <w:bCs/>
          <w:szCs w:val="22"/>
        </w:rPr>
        <w:t>[49]</w:t>
      </w:r>
      <w:r w:rsidRPr="000614C8">
        <w:rPr>
          <w:rFonts w:cs="Arial"/>
          <w:bCs/>
          <w:szCs w:val="22"/>
        </w:rPr>
        <w:tab/>
      </w:r>
      <w:r w:rsidR="000614C8">
        <w:rPr>
          <w:rFonts w:cs="Arial"/>
          <w:bCs/>
          <w:szCs w:val="22"/>
          <w:lang w:val="en-GB"/>
        </w:rPr>
        <w:t xml:space="preserve">I also accept the evidence </w:t>
      </w:r>
    </w:p>
    <w:p w14:paraId="4942BDD3" w14:textId="6BDDD4EA" w:rsidR="007F204C" w:rsidRPr="000614C8" w:rsidRDefault="00EA270B" w:rsidP="00EA270B">
      <w:pPr>
        <w:widowControl w:val="0"/>
        <w:tabs>
          <w:tab w:val="left" w:pos="1418"/>
        </w:tabs>
        <w:spacing w:before="480" w:after="480" w:line="360" w:lineRule="auto"/>
        <w:ind w:left="1418" w:hanging="851"/>
        <w:jc w:val="both"/>
        <w:rPr>
          <w:rFonts w:cs="Arial"/>
          <w:bCs/>
          <w:szCs w:val="22"/>
        </w:rPr>
      </w:pPr>
      <w:r w:rsidRPr="000614C8">
        <w:rPr>
          <w:rFonts w:cs="Arial"/>
          <w:bCs/>
          <w:szCs w:val="22"/>
        </w:rPr>
        <w:t>49.1</w:t>
      </w:r>
      <w:r w:rsidRPr="000614C8">
        <w:rPr>
          <w:rFonts w:cs="Arial"/>
          <w:bCs/>
          <w:szCs w:val="22"/>
        </w:rPr>
        <w:tab/>
      </w:r>
      <w:r w:rsidR="000614C8">
        <w:rPr>
          <w:rFonts w:cs="Arial"/>
          <w:bCs/>
          <w:szCs w:val="22"/>
          <w:lang w:val="en-GB"/>
        </w:rPr>
        <w:t>that</w:t>
      </w:r>
      <w:r w:rsidR="007F204C">
        <w:rPr>
          <w:rFonts w:cs="Arial"/>
          <w:bCs/>
          <w:szCs w:val="22"/>
          <w:lang w:val="en-GB"/>
        </w:rPr>
        <w:t xml:space="preserve"> </w:t>
      </w:r>
      <w:r w:rsidR="007F204C" w:rsidRPr="007F204C">
        <w:rPr>
          <w:rFonts w:cs="Arial"/>
          <w:bCs/>
          <w:szCs w:val="22"/>
          <w:lang w:val="en-GB"/>
        </w:rPr>
        <w:t>the next morning</w:t>
      </w:r>
      <w:r w:rsidR="007F204C">
        <w:rPr>
          <w:rFonts w:cs="Arial"/>
          <w:bCs/>
          <w:szCs w:val="22"/>
          <w:lang w:val="en-GB"/>
        </w:rPr>
        <w:t xml:space="preserve"> </w:t>
      </w:r>
      <w:r w:rsidR="000614C8">
        <w:rPr>
          <w:rFonts w:cs="Arial"/>
          <w:bCs/>
          <w:szCs w:val="22"/>
          <w:lang w:val="en-GB"/>
        </w:rPr>
        <w:t>W/O Hlongwane</w:t>
      </w:r>
      <w:r w:rsidR="007F204C" w:rsidRPr="007F204C">
        <w:rPr>
          <w:rFonts w:cs="Arial"/>
          <w:bCs/>
          <w:szCs w:val="22"/>
          <w:lang w:val="en-GB"/>
        </w:rPr>
        <w:t xml:space="preserve"> formed a reasonable suspicion that the plaintiff might be linked </w:t>
      </w:r>
      <w:r w:rsidR="007F204C">
        <w:rPr>
          <w:rFonts w:cs="Arial"/>
          <w:bCs/>
          <w:szCs w:val="22"/>
          <w:lang w:val="en-GB"/>
        </w:rPr>
        <w:t>t</w:t>
      </w:r>
      <w:r w:rsidR="007F204C" w:rsidRPr="007F204C">
        <w:rPr>
          <w:rFonts w:cs="Arial"/>
          <w:bCs/>
          <w:szCs w:val="22"/>
          <w:lang w:val="en-GB"/>
        </w:rPr>
        <w:t>o a charge of theft</w:t>
      </w:r>
      <w:r w:rsidR="000614C8" w:rsidRPr="000614C8">
        <w:rPr>
          <w:rFonts w:cs="Arial"/>
          <w:bCs/>
          <w:szCs w:val="22"/>
          <w:lang w:val="en-GB"/>
        </w:rPr>
        <w:t xml:space="preserve"> committed in 2003 and investigated by the El</w:t>
      </w:r>
      <w:r w:rsidR="000614C8">
        <w:rPr>
          <w:rFonts w:cs="Arial"/>
          <w:bCs/>
          <w:szCs w:val="22"/>
          <w:lang w:val="en-GB"/>
        </w:rPr>
        <w:t>d</w:t>
      </w:r>
      <w:r w:rsidR="000614C8" w:rsidRPr="000614C8">
        <w:rPr>
          <w:rFonts w:cs="Arial"/>
          <w:bCs/>
          <w:szCs w:val="22"/>
          <w:lang w:val="en-GB"/>
        </w:rPr>
        <w:t>orado Park Police station</w:t>
      </w:r>
      <w:r w:rsidR="000614C8">
        <w:rPr>
          <w:rFonts w:cs="Arial"/>
          <w:bCs/>
          <w:szCs w:val="22"/>
          <w:lang w:val="en-GB"/>
        </w:rPr>
        <w:t>,</w:t>
      </w:r>
    </w:p>
    <w:p w14:paraId="430E9396" w14:textId="7A0D50B3" w:rsidR="000614C8" w:rsidRPr="00694462" w:rsidRDefault="00EA270B" w:rsidP="00EA270B">
      <w:pPr>
        <w:widowControl w:val="0"/>
        <w:tabs>
          <w:tab w:val="left" w:pos="1418"/>
        </w:tabs>
        <w:spacing w:before="480" w:after="480" w:line="360" w:lineRule="auto"/>
        <w:ind w:left="1418" w:hanging="851"/>
        <w:jc w:val="both"/>
        <w:rPr>
          <w:rFonts w:cs="Arial"/>
          <w:bCs/>
          <w:szCs w:val="22"/>
        </w:rPr>
      </w:pPr>
      <w:r w:rsidRPr="00694462">
        <w:rPr>
          <w:rFonts w:cs="Arial"/>
          <w:bCs/>
          <w:szCs w:val="22"/>
        </w:rPr>
        <w:t>49.2</w:t>
      </w:r>
      <w:r w:rsidRPr="00694462">
        <w:rPr>
          <w:rFonts w:cs="Arial"/>
          <w:bCs/>
          <w:szCs w:val="22"/>
        </w:rPr>
        <w:tab/>
      </w:r>
      <w:r w:rsidR="000614C8" w:rsidRPr="000614C8">
        <w:rPr>
          <w:rFonts w:cs="Arial"/>
          <w:bCs/>
          <w:szCs w:val="22"/>
          <w:lang w:val="en-GB"/>
        </w:rPr>
        <w:t xml:space="preserve">that the plaintiff was taken to the court </w:t>
      </w:r>
      <w:r w:rsidR="008C5A15" w:rsidRPr="008C5A15">
        <w:rPr>
          <w:rFonts w:cs="Arial"/>
          <w:bCs/>
          <w:szCs w:val="22"/>
          <w:lang w:val="en-GB"/>
        </w:rPr>
        <w:t>the next morning</w:t>
      </w:r>
      <w:r w:rsidR="008C5A15">
        <w:rPr>
          <w:rFonts w:cs="Arial"/>
          <w:bCs/>
          <w:szCs w:val="22"/>
          <w:lang w:val="en-GB"/>
        </w:rPr>
        <w:t xml:space="preserve"> </w:t>
      </w:r>
      <w:r w:rsidR="000614C8" w:rsidRPr="000614C8">
        <w:rPr>
          <w:rFonts w:cs="Arial"/>
          <w:bCs/>
          <w:szCs w:val="22"/>
          <w:lang w:val="en-GB"/>
        </w:rPr>
        <w:t xml:space="preserve">where he was detained lawfully </w:t>
      </w:r>
      <w:r w:rsidR="000614C8">
        <w:rPr>
          <w:rFonts w:cs="Arial"/>
          <w:bCs/>
          <w:szCs w:val="22"/>
          <w:lang w:val="en-GB"/>
        </w:rPr>
        <w:t>until a</w:t>
      </w:r>
      <w:r w:rsidR="000614C8" w:rsidRPr="000614C8">
        <w:rPr>
          <w:rFonts w:cs="Arial"/>
          <w:bCs/>
          <w:szCs w:val="22"/>
          <w:lang w:val="en-GB"/>
        </w:rPr>
        <w:t xml:space="preserve"> decision was made to release him</w:t>
      </w:r>
      <w:r w:rsidR="00694462">
        <w:rPr>
          <w:rFonts w:cs="Arial"/>
          <w:bCs/>
          <w:szCs w:val="22"/>
          <w:lang w:val="en-GB"/>
        </w:rPr>
        <w:t>,</w:t>
      </w:r>
    </w:p>
    <w:p w14:paraId="0095B9E0" w14:textId="2DDC5DF5" w:rsidR="00694462" w:rsidRPr="000614C8" w:rsidRDefault="00EA270B" w:rsidP="00EA270B">
      <w:pPr>
        <w:widowControl w:val="0"/>
        <w:tabs>
          <w:tab w:val="left" w:pos="1418"/>
        </w:tabs>
        <w:spacing w:before="480" w:after="480" w:line="360" w:lineRule="auto"/>
        <w:ind w:left="1418" w:hanging="851"/>
        <w:jc w:val="both"/>
        <w:rPr>
          <w:rFonts w:cs="Arial"/>
          <w:bCs/>
          <w:szCs w:val="22"/>
        </w:rPr>
      </w:pPr>
      <w:r w:rsidRPr="000614C8">
        <w:rPr>
          <w:rFonts w:cs="Arial"/>
          <w:bCs/>
          <w:szCs w:val="22"/>
        </w:rPr>
        <w:t>49.3</w:t>
      </w:r>
      <w:r w:rsidRPr="000614C8">
        <w:rPr>
          <w:rFonts w:cs="Arial"/>
          <w:bCs/>
          <w:szCs w:val="22"/>
        </w:rPr>
        <w:tab/>
      </w:r>
      <w:r w:rsidR="00694462">
        <w:rPr>
          <w:rFonts w:cs="Arial"/>
          <w:bCs/>
          <w:szCs w:val="22"/>
          <w:lang w:val="en-GB"/>
        </w:rPr>
        <w:t>t</w:t>
      </w:r>
      <w:r w:rsidR="00694462" w:rsidRPr="00694462">
        <w:rPr>
          <w:rFonts w:cs="Arial"/>
          <w:bCs/>
          <w:szCs w:val="22"/>
          <w:lang w:val="en-GB"/>
        </w:rPr>
        <w:t>hat he was released before the expiry of the 48 hour</w:t>
      </w:r>
      <w:r w:rsidR="00102B03">
        <w:rPr>
          <w:rFonts w:cs="Arial"/>
          <w:bCs/>
          <w:szCs w:val="22"/>
          <w:lang w:val="en-GB"/>
        </w:rPr>
        <w:t xml:space="preserve"> period</w:t>
      </w:r>
      <w:r w:rsidR="00694462" w:rsidRPr="00694462">
        <w:rPr>
          <w:rFonts w:cs="Arial"/>
          <w:bCs/>
          <w:szCs w:val="22"/>
          <w:lang w:val="en-GB"/>
        </w:rPr>
        <w:t xml:space="preserve"> </w:t>
      </w:r>
      <w:r w:rsidR="00694462">
        <w:rPr>
          <w:rFonts w:cs="Arial"/>
          <w:bCs/>
          <w:szCs w:val="22"/>
          <w:lang w:val="en-GB"/>
        </w:rPr>
        <w:t>r</w:t>
      </w:r>
      <w:r w:rsidR="00694462" w:rsidRPr="00694462">
        <w:rPr>
          <w:rFonts w:cs="Arial"/>
          <w:bCs/>
          <w:szCs w:val="22"/>
          <w:lang w:val="en-GB"/>
        </w:rPr>
        <w:t>efer</w:t>
      </w:r>
      <w:r w:rsidR="00694462">
        <w:rPr>
          <w:rFonts w:cs="Arial"/>
          <w:bCs/>
          <w:szCs w:val="22"/>
          <w:lang w:val="en-GB"/>
        </w:rPr>
        <w:t>red</w:t>
      </w:r>
      <w:r w:rsidR="00694462" w:rsidRPr="00694462">
        <w:rPr>
          <w:rFonts w:cs="Arial"/>
          <w:bCs/>
          <w:szCs w:val="22"/>
          <w:lang w:val="en-GB"/>
        </w:rPr>
        <w:t xml:space="preserve"> to in section</w:t>
      </w:r>
      <w:r w:rsidR="00694462">
        <w:rPr>
          <w:rFonts w:cs="Arial"/>
          <w:bCs/>
          <w:szCs w:val="22"/>
          <w:lang w:val="en-GB"/>
        </w:rPr>
        <w:t xml:space="preserve"> 50(1)(c) of the Criminal Procedure Act</w:t>
      </w:r>
      <w:r w:rsidR="003A361B">
        <w:rPr>
          <w:rFonts w:cs="Arial"/>
          <w:bCs/>
          <w:szCs w:val="22"/>
          <w:lang w:val="en-GB"/>
        </w:rPr>
        <w:t>, 51 of 1977</w:t>
      </w:r>
      <w:r w:rsidR="00694462">
        <w:rPr>
          <w:rFonts w:cs="Arial"/>
          <w:bCs/>
          <w:szCs w:val="22"/>
          <w:lang w:val="en-GB"/>
        </w:rPr>
        <w:t>.</w:t>
      </w:r>
    </w:p>
    <w:p w14:paraId="72C39A3E" w14:textId="34E41A94" w:rsidR="000614C8" w:rsidRDefault="00EA270B" w:rsidP="00EA270B">
      <w:pPr>
        <w:widowControl w:val="0"/>
        <w:tabs>
          <w:tab w:val="left" w:pos="567"/>
        </w:tabs>
        <w:spacing w:before="480" w:after="480" w:line="360" w:lineRule="auto"/>
        <w:jc w:val="both"/>
        <w:rPr>
          <w:rFonts w:cs="Arial"/>
          <w:bCs/>
          <w:szCs w:val="22"/>
        </w:rPr>
      </w:pPr>
      <w:r>
        <w:rPr>
          <w:rFonts w:cs="Arial"/>
          <w:bCs/>
          <w:szCs w:val="22"/>
        </w:rPr>
        <w:t>[50]</w:t>
      </w:r>
      <w:r>
        <w:rPr>
          <w:rFonts w:cs="Arial"/>
          <w:bCs/>
          <w:szCs w:val="22"/>
        </w:rPr>
        <w:tab/>
      </w:r>
      <w:r w:rsidR="000614C8" w:rsidRPr="000614C8">
        <w:rPr>
          <w:rFonts w:cs="Arial"/>
          <w:bCs/>
          <w:szCs w:val="22"/>
          <w:lang w:val="en-GB"/>
        </w:rPr>
        <w:t>Whether the decision taken on the 20</w:t>
      </w:r>
      <w:r w:rsidR="000614C8" w:rsidRPr="007360A0">
        <w:rPr>
          <w:rFonts w:cs="Arial"/>
          <w:bCs/>
          <w:szCs w:val="22"/>
          <w:vertAlign w:val="superscript"/>
          <w:lang w:val="en-GB"/>
        </w:rPr>
        <w:t>th</w:t>
      </w:r>
      <w:r w:rsidR="007360A0">
        <w:rPr>
          <w:rFonts w:cs="Arial"/>
          <w:bCs/>
          <w:szCs w:val="22"/>
          <w:lang w:val="en-GB"/>
        </w:rPr>
        <w:t xml:space="preserve"> </w:t>
      </w:r>
      <w:r w:rsidR="000614C8" w:rsidRPr="000614C8">
        <w:rPr>
          <w:rFonts w:cs="Arial"/>
          <w:bCs/>
          <w:szCs w:val="22"/>
          <w:lang w:val="en-GB"/>
        </w:rPr>
        <w:t>to release the plaintiff</w:t>
      </w:r>
      <w:r w:rsidR="000614C8">
        <w:rPr>
          <w:rFonts w:cs="Arial"/>
          <w:bCs/>
          <w:szCs w:val="22"/>
          <w:lang w:val="en-GB"/>
        </w:rPr>
        <w:t xml:space="preserve"> (</w:t>
      </w:r>
      <w:r w:rsidR="000614C8" w:rsidRPr="000614C8">
        <w:rPr>
          <w:rFonts w:cs="Arial"/>
          <w:bCs/>
          <w:szCs w:val="22"/>
          <w:lang w:val="en-GB"/>
        </w:rPr>
        <w:t>presumably on the ground that the docket was missing</w:t>
      </w:r>
      <w:r w:rsidR="000614C8">
        <w:rPr>
          <w:rFonts w:cs="Arial"/>
          <w:bCs/>
          <w:szCs w:val="22"/>
          <w:lang w:val="en-GB"/>
        </w:rPr>
        <w:t xml:space="preserve">) </w:t>
      </w:r>
      <w:r w:rsidR="000614C8" w:rsidRPr="000614C8">
        <w:rPr>
          <w:rFonts w:cs="Arial"/>
          <w:bCs/>
          <w:szCs w:val="22"/>
          <w:lang w:val="en-GB"/>
        </w:rPr>
        <w:t xml:space="preserve">was a good decision or a bad decision need not now </w:t>
      </w:r>
      <w:r w:rsidR="000614C8" w:rsidRPr="000614C8">
        <w:rPr>
          <w:rFonts w:cs="Arial"/>
          <w:bCs/>
          <w:szCs w:val="22"/>
          <w:lang w:val="en-GB"/>
        </w:rPr>
        <w:lastRenderedPageBreak/>
        <w:t>be decided</w:t>
      </w:r>
      <w:r w:rsidR="000614C8">
        <w:rPr>
          <w:rFonts w:cs="Arial"/>
          <w:bCs/>
          <w:szCs w:val="22"/>
          <w:lang w:val="en-GB"/>
        </w:rPr>
        <w:t xml:space="preserve">. </w:t>
      </w:r>
    </w:p>
    <w:p w14:paraId="025CE242" w14:textId="04686B2C" w:rsidR="004E40E8" w:rsidRPr="004E40E8" w:rsidRDefault="00EA270B" w:rsidP="00EA270B">
      <w:pPr>
        <w:widowControl w:val="0"/>
        <w:tabs>
          <w:tab w:val="left" w:pos="567"/>
        </w:tabs>
        <w:spacing w:before="480" w:after="480" w:line="360" w:lineRule="auto"/>
        <w:jc w:val="both"/>
        <w:rPr>
          <w:rFonts w:cs="Arial"/>
          <w:bCs/>
          <w:szCs w:val="22"/>
        </w:rPr>
      </w:pPr>
      <w:r w:rsidRPr="004E40E8">
        <w:rPr>
          <w:rFonts w:cs="Arial"/>
          <w:bCs/>
          <w:szCs w:val="22"/>
        </w:rPr>
        <w:t>[51]</w:t>
      </w:r>
      <w:r w:rsidRPr="004E40E8">
        <w:rPr>
          <w:rFonts w:cs="Arial"/>
          <w:bCs/>
          <w:szCs w:val="22"/>
        </w:rPr>
        <w:tab/>
      </w:r>
      <w:r w:rsidR="00B42AA9" w:rsidRPr="00B42AA9">
        <w:rPr>
          <w:rFonts w:cs="Arial"/>
          <w:bCs/>
          <w:szCs w:val="22"/>
          <w:lang w:val="en-GB"/>
        </w:rPr>
        <w:t>It is so that the notice of rights read to the plaintiff does not expressly refer to the right to apply for bail.</w:t>
      </w:r>
      <w:r w:rsidR="00B42AA9">
        <w:rPr>
          <w:rFonts w:cs="Arial"/>
          <w:bCs/>
          <w:szCs w:val="22"/>
          <w:lang w:val="en-GB"/>
        </w:rPr>
        <w:t xml:space="preserve"> </w:t>
      </w:r>
      <w:r w:rsidR="00B42AA9" w:rsidRPr="00B42AA9">
        <w:rPr>
          <w:rFonts w:cs="Arial"/>
          <w:bCs/>
          <w:szCs w:val="22"/>
          <w:lang w:val="en-GB"/>
        </w:rPr>
        <w:t>It does so in a rather oblique way in that the suspect is informed that</w:t>
      </w:r>
      <w:r w:rsidR="00B42AA9">
        <w:rPr>
          <w:rFonts w:cs="Arial"/>
          <w:bCs/>
          <w:szCs w:val="22"/>
          <w:lang w:val="en-GB"/>
        </w:rPr>
        <w:t xml:space="preserve"> </w:t>
      </w:r>
      <w:r w:rsidR="00B42AA9" w:rsidRPr="00F07336">
        <w:rPr>
          <w:rFonts w:cs="Arial"/>
          <w:bCs/>
          <w:i/>
          <w:iCs/>
          <w:szCs w:val="22"/>
          <w:lang w:val="en-GB"/>
        </w:rPr>
        <w:t>“you have the right to be released from detention if the interests of justice permit</w:t>
      </w:r>
      <w:r w:rsidR="00F07336" w:rsidRPr="00F07336">
        <w:rPr>
          <w:rFonts w:cs="Arial"/>
          <w:bCs/>
          <w:i/>
          <w:iCs/>
          <w:szCs w:val="22"/>
          <w:lang w:val="en-GB"/>
        </w:rPr>
        <w:t>, subject to reasonable conditions.</w:t>
      </w:r>
      <w:r w:rsidR="00B42AA9" w:rsidRPr="00F07336">
        <w:rPr>
          <w:rFonts w:cs="Arial"/>
          <w:bCs/>
          <w:i/>
          <w:iCs/>
          <w:szCs w:val="22"/>
          <w:lang w:val="en-GB"/>
        </w:rPr>
        <w:t>”</w:t>
      </w:r>
      <w:r w:rsidR="00F07336">
        <w:rPr>
          <w:rFonts w:cs="Arial"/>
          <w:bCs/>
          <w:i/>
          <w:iCs/>
          <w:szCs w:val="22"/>
          <w:lang w:val="en-GB"/>
        </w:rPr>
        <w:t xml:space="preserve"> </w:t>
      </w:r>
      <w:r w:rsidR="00F07336" w:rsidRPr="00F07336">
        <w:rPr>
          <w:rFonts w:cs="Arial"/>
          <w:bCs/>
          <w:szCs w:val="22"/>
          <w:lang w:val="en-GB"/>
        </w:rPr>
        <w:t xml:space="preserve">Consideration might be given to improving the wording to make it clear that under certain circumstances </w:t>
      </w:r>
      <w:r w:rsidR="00F07336">
        <w:rPr>
          <w:rFonts w:cs="Arial"/>
          <w:bCs/>
          <w:szCs w:val="22"/>
          <w:lang w:val="en-GB"/>
        </w:rPr>
        <w:t xml:space="preserve">a </w:t>
      </w:r>
      <w:r w:rsidR="00F07336" w:rsidRPr="00F07336">
        <w:rPr>
          <w:rFonts w:cs="Arial"/>
          <w:bCs/>
          <w:szCs w:val="22"/>
          <w:lang w:val="en-GB"/>
        </w:rPr>
        <w:t>suspect</w:t>
      </w:r>
      <w:r w:rsidR="00F07336">
        <w:rPr>
          <w:rFonts w:cs="Arial"/>
          <w:bCs/>
          <w:szCs w:val="22"/>
          <w:lang w:val="en-GB"/>
        </w:rPr>
        <w:t xml:space="preserve"> </w:t>
      </w:r>
      <w:r w:rsidR="00F07336" w:rsidRPr="00F07336">
        <w:rPr>
          <w:rFonts w:cs="Arial"/>
          <w:bCs/>
          <w:szCs w:val="22"/>
          <w:lang w:val="en-GB"/>
        </w:rPr>
        <w:t>might be released on bail even before</w:t>
      </w:r>
      <w:r w:rsidR="004E40E8">
        <w:rPr>
          <w:rStyle w:val="FootnoteReference"/>
          <w:rFonts w:cs="Arial"/>
          <w:bCs/>
          <w:szCs w:val="22"/>
          <w:lang w:val="en-GB"/>
        </w:rPr>
        <w:footnoteReference w:id="27"/>
      </w:r>
      <w:r w:rsidR="00F07336" w:rsidRPr="00F07336">
        <w:rPr>
          <w:rFonts w:cs="Arial"/>
          <w:bCs/>
          <w:szCs w:val="22"/>
          <w:lang w:val="en-GB"/>
        </w:rPr>
        <w:t xml:space="preserve"> his or her first appearance in court</w:t>
      </w:r>
      <w:r w:rsidR="00F07336">
        <w:rPr>
          <w:rFonts w:cs="Arial"/>
          <w:bCs/>
          <w:szCs w:val="22"/>
          <w:lang w:val="en-GB"/>
        </w:rPr>
        <w:t>,</w:t>
      </w:r>
      <w:r w:rsidR="00F07336">
        <w:rPr>
          <w:rStyle w:val="FootnoteReference"/>
          <w:rFonts w:cs="Arial"/>
          <w:bCs/>
          <w:szCs w:val="22"/>
          <w:lang w:val="en-GB"/>
        </w:rPr>
        <w:footnoteReference w:id="28"/>
      </w:r>
      <w:r w:rsidR="00F07336">
        <w:rPr>
          <w:rFonts w:cs="Arial"/>
          <w:bCs/>
          <w:szCs w:val="22"/>
          <w:lang w:val="en-GB"/>
        </w:rPr>
        <w:t xml:space="preserve"> </w:t>
      </w:r>
      <w:r w:rsidR="00694462" w:rsidRPr="00694462">
        <w:rPr>
          <w:rFonts w:cs="Arial"/>
          <w:bCs/>
          <w:szCs w:val="22"/>
          <w:lang w:val="en-GB"/>
        </w:rPr>
        <w:t>while in other circumstances a bail application may</w:t>
      </w:r>
      <w:r w:rsidR="00694462">
        <w:rPr>
          <w:rFonts w:cs="Arial"/>
          <w:bCs/>
          <w:szCs w:val="22"/>
          <w:lang w:val="en-GB"/>
        </w:rPr>
        <w:t xml:space="preserve"> </w:t>
      </w:r>
      <w:r w:rsidR="00694462" w:rsidRPr="00694462">
        <w:rPr>
          <w:rFonts w:cs="Arial"/>
          <w:bCs/>
          <w:szCs w:val="22"/>
          <w:lang w:val="en-GB"/>
        </w:rPr>
        <w:t xml:space="preserve">be </w:t>
      </w:r>
      <w:r w:rsidR="00694462">
        <w:rPr>
          <w:rFonts w:cs="Arial"/>
          <w:bCs/>
          <w:szCs w:val="22"/>
          <w:lang w:val="en-GB"/>
        </w:rPr>
        <w:t xml:space="preserve">brought </w:t>
      </w:r>
      <w:r w:rsidR="00694462" w:rsidRPr="00694462">
        <w:rPr>
          <w:rFonts w:cs="Arial"/>
          <w:bCs/>
          <w:szCs w:val="22"/>
          <w:lang w:val="en-GB"/>
        </w:rPr>
        <w:t>at the first appearance in court</w:t>
      </w:r>
      <w:r w:rsidR="00694462">
        <w:rPr>
          <w:rFonts w:cs="Arial"/>
          <w:bCs/>
          <w:szCs w:val="22"/>
          <w:lang w:val="en-GB"/>
        </w:rPr>
        <w:t xml:space="preserve"> </w:t>
      </w:r>
      <w:r w:rsidR="00694462" w:rsidRPr="00694462">
        <w:rPr>
          <w:rFonts w:cs="Arial"/>
          <w:bCs/>
          <w:szCs w:val="22"/>
          <w:lang w:val="en-GB"/>
        </w:rPr>
        <w:t>that must take place within 48 hours of arrest.</w:t>
      </w:r>
      <w:r w:rsidR="00694462">
        <w:rPr>
          <w:rStyle w:val="FootnoteReference"/>
          <w:rFonts w:cs="Arial"/>
          <w:bCs/>
          <w:szCs w:val="22"/>
          <w:lang w:val="en-GB"/>
        </w:rPr>
        <w:footnoteReference w:id="29"/>
      </w:r>
      <w:r w:rsidR="004E40E8">
        <w:rPr>
          <w:rFonts w:cs="Arial"/>
          <w:bCs/>
          <w:szCs w:val="22"/>
          <w:lang w:val="en-GB"/>
        </w:rPr>
        <w:t xml:space="preserve"> </w:t>
      </w:r>
    </w:p>
    <w:p w14:paraId="612EF1FF" w14:textId="1E43193C" w:rsidR="000962FA" w:rsidRDefault="00EA270B" w:rsidP="00EA270B">
      <w:pPr>
        <w:widowControl w:val="0"/>
        <w:tabs>
          <w:tab w:val="left" w:pos="567"/>
        </w:tabs>
        <w:spacing w:before="480" w:after="480" w:line="360" w:lineRule="auto"/>
        <w:jc w:val="both"/>
        <w:rPr>
          <w:rFonts w:cs="Arial"/>
          <w:bCs/>
          <w:szCs w:val="22"/>
        </w:rPr>
      </w:pPr>
      <w:r>
        <w:rPr>
          <w:rFonts w:cs="Arial"/>
          <w:bCs/>
          <w:szCs w:val="22"/>
        </w:rPr>
        <w:t>[52]</w:t>
      </w:r>
      <w:r>
        <w:rPr>
          <w:rFonts w:cs="Arial"/>
          <w:bCs/>
          <w:szCs w:val="22"/>
        </w:rPr>
        <w:tab/>
      </w:r>
      <w:r w:rsidR="00B96D6E">
        <w:rPr>
          <w:rFonts w:cs="Arial"/>
          <w:bCs/>
          <w:szCs w:val="22"/>
        </w:rPr>
        <w:t>I find the defendant’s version of what occurred on 19 January 2015 more probable than the version put up by the defendant</w:t>
      </w:r>
      <w:r w:rsidR="000962FA">
        <w:rPr>
          <w:rFonts w:cs="Arial"/>
          <w:bCs/>
          <w:szCs w:val="22"/>
        </w:rPr>
        <w:t>.</w:t>
      </w:r>
      <w:r w:rsidR="00B96D6E">
        <w:rPr>
          <w:rFonts w:cs="Arial"/>
          <w:bCs/>
          <w:szCs w:val="22"/>
        </w:rPr>
        <w:t xml:space="preserve"> On the defendant’s version, the suspicions of the police was aroused when the plaintiff ran away when he saw the police vehicle. They stopped, searched the plaintiff, and found a Mandrax tablet. On the plaintiff’s version, the Police confronted him and arrested him for no reason at all.</w:t>
      </w:r>
    </w:p>
    <w:p w14:paraId="2123C4F6" w14:textId="075D383C" w:rsidR="00051A2B" w:rsidRPr="00C74E97" w:rsidRDefault="00EA270B" w:rsidP="00EA270B">
      <w:pPr>
        <w:widowControl w:val="0"/>
        <w:tabs>
          <w:tab w:val="left" w:pos="567"/>
        </w:tabs>
        <w:spacing w:before="480" w:after="480" w:line="360" w:lineRule="auto"/>
        <w:jc w:val="both"/>
        <w:rPr>
          <w:rFonts w:cs="Arial"/>
          <w:bCs/>
          <w:szCs w:val="22"/>
        </w:rPr>
      </w:pPr>
      <w:r w:rsidRPr="00C74E97">
        <w:rPr>
          <w:rFonts w:cs="Arial"/>
          <w:bCs/>
          <w:szCs w:val="22"/>
        </w:rPr>
        <w:t>[53]</w:t>
      </w:r>
      <w:r w:rsidRPr="00C74E97">
        <w:rPr>
          <w:rFonts w:cs="Arial"/>
          <w:bCs/>
          <w:szCs w:val="22"/>
        </w:rPr>
        <w:tab/>
      </w:r>
      <w:r w:rsidR="00102B03">
        <w:rPr>
          <w:rFonts w:cs="Arial"/>
          <w:bCs/>
          <w:szCs w:val="22"/>
        </w:rPr>
        <w:t xml:space="preserve">On a preponderance of probabilities the claim must fail and </w:t>
      </w:r>
      <w:r w:rsidR="00051A2B" w:rsidRPr="00C74E97">
        <w:rPr>
          <w:rFonts w:cs="Arial"/>
          <w:bCs/>
          <w:szCs w:val="22"/>
        </w:rPr>
        <w:t xml:space="preserve">I make the order </w:t>
      </w:r>
      <w:r w:rsidR="00102B03">
        <w:rPr>
          <w:rFonts w:cs="Arial"/>
          <w:bCs/>
          <w:szCs w:val="22"/>
        </w:rPr>
        <w:t>in paragraph 1.</w:t>
      </w:r>
    </w:p>
    <w:p w14:paraId="3E6BA7DA" w14:textId="43133B0D" w:rsidR="00AE287F" w:rsidRPr="00C74E97" w:rsidRDefault="00AE287F" w:rsidP="006C43D7">
      <w:pPr>
        <w:tabs>
          <w:tab w:val="right" w:pos="0"/>
        </w:tabs>
        <w:spacing w:line="360" w:lineRule="auto"/>
        <w:contextualSpacing/>
        <w:jc w:val="right"/>
        <w:rPr>
          <w:rFonts w:cs="Arial"/>
          <w:b/>
          <w:szCs w:val="22"/>
        </w:rPr>
      </w:pPr>
    </w:p>
    <w:p w14:paraId="53CD27EE" w14:textId="672559CF" w:rsidR="00AE287F" w:rsidRPr="00C74E97" w:rsidRDefault="00A649E6" w:rsidP="006C43D7">
      <w:pPr>
        <w:tabs>
          <w:tab w:val="right" w:pos="0"/>
        </w:tabs>
        <w:spacing w:line="360" w:lineRule="auto"/>
        <w:contextualSpacing/>
        <w:jc w:val="right"/>
        <w:rPr>
          <w:rFonts w:cs="Arial"/>
          <w:b/>
          <w:szCs w:val="22"/>
        </w:rPr>
      </w:pPr>
      <w:r w:rsidRPr="00C74E97">
        <w:rPr>
          <w:rFonts w:cs="Arial"/>
          <w:b/>
          <w:szCs w:val="22"/>
        </w:rPr>
        <w:t>______________</w:t>
      </w:r>
    </w:p>
    <w:p w14:paraId="0CCB9BFE" w14:textId="7ABE564D" w:rsidR="006C43D7" w:rsidRPr="00C74E97" w:rsidRDefault="00C676F3" w:rsidP="006C43D7">
      <w:pPr>
        <w:tabs>
          <w:tab w:val="right" w:pos="0"/>
        </w:tabs>
        <w:spacing w:line="360" w:lineRule="auto"/>
        <w:contextualSpacing/>
        <w:jc w:val="right"/>
        <w:rPr>
          <w:rFonts w:cs="Arial"/>
          <w:b/>
          <w:szCs w:val="22"/>
        </w:rPr>
      </w:pPr>
      <w:r w:rsidRPr="00C74E97">
        <w:rPr>
          <w:rFonts w:cs="Arial"/>
          <w:b/>
          <w:szCs w:val="22"/>
        </w:rPr>
        <w:t>J MOORCROFT</w:t>
      </w:r>
    </w:p>
    <w:p w14:paraId="7A2C1059" w14:textId="77777777" w:rsidR="006C43D7" w:rsidRPr="00C74E97" w:rsidRDefault="006C43D7" w:rsidP="006C43D7">
      <w:pPr>
        <w:tabs>
          <w:tab w:val="right" w:pos="0"/>
        </w:tabs>
        <w:spacing w:line="360" w:lineRule="auto"/>
        <w:contextualSpacing/>
        <w:jc w:val="right"/>
        <w:rPr>
          <w:rFonts w:cs="Arial"/>
          <w:b/>
          <w:szCs w:val="22"/>
        </w:rPr>
      </w:pPr>
      <w:r w:rsidRPr="00C74E97">
        <w:rPr>
          <w:rFonts w:cs="Arial"/>
          <w:b/>
          <w:szCs w:val="22"/>
        </w:rPr>
        <w:t>ACTING JUDGE OF THE HIGH COURT OF SOUTH AFRICA</w:t>
      </w:r>
    </w:p>
    <w:p w14:paraId="077C2590" w14:textId="7452355B" w:rsidR="006C43D7" w:rsidRPr="00C74E97" w:rsidRDefault="006C43D7" w:rsidP="006C43D7">
      <w:pPr>
        <w:tabs>
          <w:tab w:val="right" w:pos="0"/>
          <w:tab w:val="left" w:pos="4253"/>
        </w:tabs>
        <w:spacing w:line="360" w:lineRule="auto"/>
        <w:contextualSpacing/>
        <w:jc w:val="right"/>
        <w:rPr>
          <w:rFonts w:cs="Arial"/>
          <w:b/>
          <w:szCs w:val="22"/>
        </w:rPr>
      </w:pPr>
      <w:r w:rsidRPr="00C74E97">
        <w:rPr>
          <w:rFonts w:cs="Arial"/>
          <w:b/>
          <w:szCs w:val="22"/>
        </w:rPr>
        <w:t>GAUTENG DIVISION</w:t>
      </w:r>
    </w:p>
    <w:p w14:paraId="40B9C946" w14:textId="77777777" w:rsidR="006C43D7" w:rsidRPr="00C74E97" w:rsidRDefault="006C43D7" w:rsidP="006C43D7">
      <w:pPr>
        <w:tabs>
          <w:tab w:val="right" w:pos="0"/>
          <w:tab w:val="left" w:pos="4253"/>
        </w:tabs>
        <w:spacing w:line="360" w:lineRule="auto"/>
        <w:contextualSpacing/>
        <w:jc w:val="right"/>
        <w:rPr>
          <w:rFonts w:cs="Arial"/>
          <w:b/>
          <w:szCs w:val="22"/>
        </w:rPr>
      </w:pPr>
      <w:r w:rsidRPr="00C74E97">
        <w:rPr>
          <w:rFonts w:cs="Arial"/>
          <w:b/>
          <w:szCs w:val="22"/>
        </w:rPr>
        <w:t>JOHANNESBURG</w:t>
      </w:r>
    </w:p>
    <w:p w14:paraId="326B529B" w14:textId="77777777" w:rsidR="006C43D7" w:rsidRPr="00C74E97" w:rsidRDefault="006C43D7" w:rsidP="006C43D7">
      <w:pPr>
        <w:tabs>
          <w:tab w:val="right" w:pos="0"/>
          <w:tab w:val="left" w:pos="4253"/>
        </w:tabs>
        <w:spacing w:line="360" w:lineRule="auto"/>
        <w:contextualSpacing/>
        <w:jc w:val="center"/>
        <w:rPr>
          <w:rFonts w:cs="Arial"/>
          <w:b/>
          <w:szCs w:val="22"/>
        </w:rPr>
      </w:pPr>
    </w:p>
    <w:p w14:paraId="5A4CC56C" w14:textId="051C4E22" w:rsidR="006C43D7" w:rsidRPr="00C74E97" w:rsidRDefault="006C43D7" w:rsidP="006C43D7">
      <w:pPr>
        <w:spacing w:after="200" w:line="480" w:lineRule="auto"/>
        <w:contextualSpacing/>
        <w:jc w:val="right"/>
        <w:rPr>
          <w:rFonts w:cs="Arial"/>
          <w:b/>
          <w:i/>
          <w:iCs/>
          <w:szCs w:val="22"/>
        </w:rPr>
      </w:pPr>
      <w:r w:rsidRPr="00C74E97">
        <w:rPr>
          <w:rFonts w:cs="Arial"/>
          <w:b/>
          <w:i/>
          <w:iCs/>
          <w:szCs w:val="22"/>
        </w:rPr>
        <w:t>Electronically submitted</w:t>
      </w:r>
    </w:p>
    <w:p w14:paraId="4E3E9427" w14:textId="77777777" w:rsidR="006C43D7" w:rsidRPr="00C74E97" w:rsidRDefault="006C43D7" w:rsidP="006C43D7">
      <w:pPr>
        <w:spacing w:after="200" w:line="360" w:lineRule="auto"/>
        <w:contextualSpacing/>
        <w:jc w:val="both"/>
        <w:rPr>
          <w:rFonts w:eastAsia="Arial Unicode MS" w:cs="Arial"/>
          <w:bCs/>
          <w:szCs w:val="22"/>
        </w:rPr>
      </w:pPr>
    </w:p>
    <w:p w14:paraId="51C686CA" w14:textId="60960733" w:rsidR="006C43D7" w:rsidRDefault="006C43D7" w:rsidP="006C43D7">
      <w:pPr>
        <w:spacing w:after="200" w:line="360" w:lineRule="auto"/>
        <w:contextualSpacing/>
        <w:jc w:val="both"/>
        <w:rPr>
          <w:rFonts w:eastAsia="Arial Unicode MS" w:cs="Arial"/>
          <w:bCs/>
          <w:szCs w:val="22"/>
        </w:rPr>
      </w:pPr>
      <w:r w:rsidRPr="00C74E97">
        <w:rPr>
          <w:rFonts w:eastAsia="Arial Unicode MS" w:cs="Arial"/>
          <w:bCs/>
          <w:szCs w:val="22"/>
        </w:rPr>
        <w:t>Delivered: This judgement was prepared and authored by the Acting Judge whose name is reflected and is handed down electronically by circulation to the Parties / their legal representatives by email and by uploading it to the electronic file of this matter on CaseLines. The date of the judgment is deemed to be</w:t>
      </w:r>
      <w:r w:rsidR="00C460A0" w:rsidRPr="00C74E97">
        <w:rPr>
          <w:rFonts w:eastAsia="Arial Unicode MS" w:cs="Arial"/>
          <w:bCs/>
          <w:szCs w:val="22"/>
        </w:rPr>
        <w:t xml:space="preserve"> </w:t>
      </w:r>
      <w:r w:rsidR="00346B97">
        <w:rPr>
          <w:rFonts w:eastAsia="Arial Unicode MS" w:cs="Arial"/>
          <w:b/>
          <w:szCs w:val="22"/>
        </w:rPr>
        <w:t>14</w:t>
      </w:r>
      <w:r w:rsidR="00347E19">
        <w:rPr>
          <w:rFonts w:eastAsia="Arial Unicode MS" w:cs="Arial"/>
          <w:b/>
          <w:szCs w:val="22"/>
        </w:rPr>
        <w:t xml:space="preserve"> </w:t>
      </w:r>
      <w:r w:rsidR="00B35EFB">
        <w:rPr>
          <w:rFonts w:eastAsia="Arial Unicode MS" w:cs="Arial"/>
          <w:b/>
          <w:szCs w:val="22"/>
        </w:rPr>
        <w:t xml:space="preserve">AUGUST </w:t>
      </w:r>
      <w:r w:rsidR="00237FF9" w:rsidRPr="00C74E97">
        <w:rPr>
          <w:rFonts w:eastAsia="Arial Unicode MS" w:cs="Arial"/>
          <w:b/>
          <w:bCs/>
          <w:szCs w:val="22"/>
        </w:rPr>
        <w:t>202</w:t>
      </w:r>
      <w:r w:rsidR="00051A2B" w:rsidRPr="00C74E97">
        <w:rPr>
          <w:rFonts w:eastAsia="Arial Unicode MS" w:cs="Arial"/>
          <w:b/>
          <w:bCs/>
          <w:szCs w:val="22"/>
        </w:rPr>
        <w:t>3</w:t>
      </w:r>
      <w:r w:rsidR="00051A2B" w:rsidRPr="00C74E97">
        <w:rPr>
          <w:rFonts w:eastAsia="Arial Unicode MS" w:cs="Arial"/>
          <w:bCs/>
          <w:szCs w:val="22"/>
        </w:rPr>
        <w:t>.</w:t>
      </w:r>
    </w:p>
    <w:p w14:paraId="181056A8" w14:textId="77777777" w:rsidR="00102B03" w:rsidRPr="00C74E97" w:rsidRDefault="00102B03" w:rsidP="006C43D7">
      <w:pPr>
        <w:spacing w:after="200" w:line="360" w:lineRule="auto"/>
        <w:contextualSpacing/>
        <w:jc w:val="both"/>
        <w:rPr>
          <w:rFonts w:eastAsia="Arial Unicode MS" w:cs="Arial"/>
          <w:bCs/>
          <w:szCs w:val="22"/>
        </w:rPr>
      </w:pPr>
    </w:p>
    <w:p w14:paraId="482DDF6E" w14:textId="77777777" w:rsidR="006C43D7" w:rsidRPr="00C74E97" w:rsidRDefault="006C43D7" w:rsidP="006C43D7">
      <w:pPr>
        <w:tabs>
          <w:tab w:val="right" w:pos="0"/>
          <w:tab w:val="left" w:pos="4253"/>
        </w:tabs>
        <w:spacing w:line="360" w:lineRule="auto"/>
        <w:contextualSpacing/>
        <w:jc w:val="center"/>
        <w:rPr>
          <w:rFonts w:cs="Arial"/>
          <w:b/>
          <w:szCs w:val="22"/>
        </w:rPr>
      </w:pPr>
    </w:p>
    <w:tbl>
      <w:tblPr>
        <w:tblStyle w:val="TableGrid"/>
        <w:tblW w:w="836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961"/>
      </w:tblGrid>
      <w:tr w:rsidR="009D35B5" w:rsidRPr="00C74E97" w14:paraId="493AF0D7" w14:textId="77777777" w:rsidTr="00C72CE5">
        <w:tc>
          <w:tcPr>
            <w:tcW w:w="3402" w:type="dxa"/>
          </w:tcPr>
          <w:p w14:paraId="6A05541A" w14:textId="018CD297" w:rsidR="009D35B5" w:rsidRPr="00C74E97" w:rsidRDefault="009D35B5" w:rsidP="006C49F6">
            <w:pPr>
              <w:tabs>
                <w:tab w:val="right" w:pos="0"/>
                <w:tab w:val="left" w:pos="4253"/>
              </w:tabs>
              <w:spacing w:before="120" w:after="120"/>
              <w:rPr>
                <w:rFonts w:cs="Arial"/>
                <w:szCs w:val="22"/>
              </w:rPr>
            </w:pPr>
            <w:r w:rsidRPr="00C74E97">
              <w:rPr>
                <w:rFonts w:cs="Arial"/>
                <w:szCs w:val="22"/>
              </w:rPr>
              <w:t xml:space="preserve">COUNSEL FOR THE </w:t>
            </w:r>
            <w:r w:rsidR="00346B97">
              <w:rPr>
                <w:rFonts w:cs="Arial"/>
                <w:szCs w:val="22"/>
              </w:rPr>
              <w:t>P</w:t>
            </w:r>
            <w:r w:rsidR="006245EC" w:rsidRPr="00C74E97">
              <w:rPr>
                <w:rFonts w:cs="Arial"/>
                <w:szCs w:val="22"/>
              </w:rPr>
              <w:t>LAINTIFF</w:t>
            </w:r>
            <w:r w:rsidRPr="00C74E97">
              <w:rPr>
                <w:rFonts w:cs="Arial"/>
                <w:szCs w:val="22"/>
              </w:rPr>
              <w:t>:</w:t>
            </w:r>
          </w:p>
        </w:tc>
        <w:tc>
          <w:tcPr>
            <w:tcW w:w="4961" w:type="dxa"/>
          </w:tcPr>
          <w:p w14:paraId="69785AA9" w14:textId="07586FC0" w:rsidR="00DC6EF8" w:rsidRPr="00C74E97" w:rsidRDefault="00346B97" w:rsidP="006C49F6">
            <w:pPr>
              <w:tabs>
                <w:tab w:val="right" w:pos="0"/>
                <w:tab w:val="left" w:pos="567"/>
                <w:tab w:val="right" w:pos="2727"/>
                <w:tab w:val="left" w:pos="4253"/>
              </w:tabs>
              <w:spacing w:before="120" w:after="120"/>
              <w:jc w:val="right"/>
              <w:rPr>
                <w:rFonts w:cs="Arial"/>
                <w:szCs w:val="22"/>
              </w:rPr>
            </w:pPr>
            <w:r>
              <w:rPr>
                <w:rFonts w:cs="Arial"/>
                <w:szCs w:val="22"/>
              </w:rPr>
              <w:t>J M V MALEMA</w:t>
            </w:r>
          </w:p>
        </w:tc>
      </w:tr>
      <w:tr w:rsidR="009D35B5" w:rsidRPr="00C74E97" w14:paraId="183C176D" w14:textId="77777777" w:rsidTr="00C72CE5">
        <w:tc>
          <w:tcPr>
            <w:tcW w:w="3402" w:type="dxa"/>
          </w:tcPr>
          <w:p w14:paraId="75365413" w14:textId="481747BC" w:rsidR="009D35B5" w:rsidRPr="00C74E97" w:rsidRDefault="009D35B5" w:rsidP="006C49F6">
            <w:pPr>
              <w:tabs>
                <w:tab w:val="right" w:pos="0"/>
                <w:tab w:val="left" w:pos="4253"/>
              </w:tabs>
              <w:spacing w:before="120" w:after="120"/>
              <w:rPr>
                <w:rFonts w:cs="Arial"/>
                <w:szCs w:val="22"/>
              </w:rPr>
            </w:pPr>
            <w:r w:rsidRPr="00C74E97">
              <w:rPr>
                <w:rFonts w:cs="Arial"/>
                <w:szCs w:val="22"/>
              </w:rPr>
              <w:t>INSTRUCTED BY:</w:t>
            </w:r>
          </w:p>
        </w:tc>
        <w:tc>
          <w:tcPr>
            <w:tcW w:w="4961" w:type="dxa"/>
          </w:tcPr>
          <w:p w14:paraId="4044534A" w14:textId="26CE1341" w:rsidR="00762178" w:rsidRPr="00C74E97" w:rsidRDefault="00346B97" w:rsidP="006C49F6">
            <w:pPr>
              <w:tabs>
                <w:tab w:val="right" w:pos="0"/>
                <w:tab w:val="left" w:pos="4253"/>
              </w:tabs>
              <w:spacing w:before="120" w:after="120"/>
              <w:jc w:val="right"/>
              <w:rPr>
                <w:rFonts w:cs="Arial"/>
                <w:szCs w:val="22"/>
              </w:rPr>
            </w:pPr>
            <w:r>
              <w:rPr>
                <w:rFonts w:cs="Arial"/>
                <w:szCs w:val="22"/>
              </w:rPr>
              <w:t>MADELAINE GOWRIE ATTORNEYS</w:t>
            </w:r>
          </w:p>
        </w:tc>
      </w:tr>
      <w:tr w:rsidR="009D35B5" w:rsidRPr="00C74E97" w14:paraId="6E2BF966" w14:textId="77777777" w:rsidTr="00C72CE5">
        <w:tc>
          <w:tcPr>
            <w:tcW w:w="3402" w:type="dxa"/>
          </w:tcPr>
          <w:p w14:paraId="545B6665" w14:textId="5221A6A7" w:rsidR="009D35B5" w:rsidRPr="00C74E97" w:rsidRDefault="009D35B5" w:rsidP="006C49F6">
            <w:pPr>
              <w:tabs>
                <w:tab w:val="right" w:pos="0"/>
                <w:tab w:val="left" w:pos="4253"/>
              </w:tabs>
              <w:spacing w:before="120" w:after="120"/>
              <w:rPr>
                <w:rFonts w:cs="Arial"/>
                <w:szCs w:val="22"/>
              </w:rPr>
            </w:pPr>
            <w:r w:rsidRPr="00C74E97">
              <w:rPr>
                <w:rFonts w:cs="Arial"/>
                <w:szCs w:val="22"/>
              </w:rPr>
              <w:t xml:space="preserve">COUNSEL FOR </w:t>
            </w:r>
            <w:r w:rsidR="00C72CE5">
              <w:rPr>
                <w:rFonts w:cs="Arial"/>
                <w:szCs w:val="22"/>
              </w:rPr>
              <w:t xml:space="preserve">THE </w:t>
            </w:r>
            <w:r w:rsidR="006245EC" w:rsidRPr="00C74E97">
              <w:rPr>
                <w:rFonts w:cs="Arial"/>
                <w:szCs w:val="22"/>
              </w:rPr>
              <w:t>DEFENDANT</w:t>
            </w:r>
            <w:r w:rsidRPr="00C74E97">
              <w:rPr>
                <w:rFonts w:cs="Arial"/>
                <w:szCs w:val="22"/>
              </w:rPr>
              <w:t>:</w:t>
            </w:r>
          </w:p>
        </w:tc>
        <w:tc>
          <w:tcPr>
            <w:tcW w:w="4961" w:type="dxa"/>
          </w:tcPr>
          <w:p w14:paraId="51741A90" w14:textId="4609A1BF" w:rsidR="009D35B5" w:rsidRPr="00C74E97" w:rsidRDefault="00346B97" w:rsidP="006C49F6">
            <w:pPr>
              <w:tabs>
                <w:tab w:val="right" w:pos="0"/>
                <w:tab w:val="left" w:pos="4253"/>
              </w:tabs>
              <w:spacing w:before="120" w:after="120"/>
              <w:jc w:val="right"/>
              <w:rPr>
                <w:rFonts w:cs="Arial"/>
                <w:szCs w:val="22"/>
              </w:rPr>
            </w:pPr>
            <w:r>
              <w:rPr>
                <w:rFonts w:cs="Arial"/>
                <w:szCs w:val="22"/>
              </w:rPr>
              <w:t>L H ADAMS</w:t>
            </w:r>
          </w:p>
        </w:tc>
      </w:tr>
      <w:tr w:rsidR="009D35B5" w:rsidRPr="00C74E97" w14:paraId="1EC4105A" w14:textId="77777777" w:rsidTr="00C72CE5">
        <w:tc>
          <w:tcPr>
            <w:tcW w:w="3402" w:type="dxa"/>
          </w:tcPr>
          <w:p w14:paraId="184EC2ED" w14:textId="1E42F28A" w:rsidR="009D35B5" w:rsidRPr="00C74E97" w:rsidRDefault="009D35B5" w:rsidP="006C49F6">
            <w:pPr>
              <w:tabs>
                <w:tab w:val="right" w:pos="0"/>
                <w:tab w:val="left" w:pos="4253"/>
              </w:tabs>
              <w:spacing w:before="120" w:after="120"/>
              <w:rPr>
                <w:rFonts w:cs="Arial"/>
                <w:szCs w:val="22"/>
              </w:rPr>
            </w:pPr>
            <w:r w:rsidRPr="00C74E97">
              <w:rPr>
                <w:rFonts w:cs="Arial"/>
                <w:szCs w:val="22"/>
              </w:rPr>
              <w:t>INSTRUCTED BY:</w:t>
            </w:r>
          </w:p>
        </w:tc>
        <w:tc>
          <w:tcPr>
            <w:tcW w:w="4961" w:type="dxa"/>
          </w:tcPr>
          <w:p w14:paraId="2098BE2A" w14:textId="7AF05CFB" w:rsidR="009D35B5" w:rsidRPr="00C74E97" w:rsidRDefault="00694462" w:rsidP="006C49F6">
            <w:pPr>
              <w:tabs>
                <w:tab w:val="right" w:pos="0"/>
                <w:tab w:val="left" w:pos="4253"/>
              </w:tabs>
              <w:spacing w:before="120" w:after="120"/>
              <w:jc w:val="right"/>
              <w:rPr>
                <w:rFonts w:cs="Arial"/>
                <w:szCs w:val="22"/>
              </w:rPr>
            </w:pPr>
            <w:r>
              <w:rPr>
                <w:rFonts w:cs="Arial"/>
                <w:szCs w:val="22"/>
              </w:rPr>
              <w:t>STATE ATTORNEY</w:t>
            </w:r>
          </w:p>
        </w:tc>
      </w:tr>
      <w:tr w:rsidR="009D35B5" w:rsidRPr="00C74E97" w14:paraId="2A3FE2B1" w14:textId="77777777" w:rsidTr="00C72CE5">
        <w:tc>
          <w:tcPr>
            <w:tcW w:w="3402" w:type="dxa"/>
          </w:tcPr>
          <w:p w14:paraId="0767D0FE" w14:textId="4707CE9D" w:rsidR="009D35B5" w:rsidRPr="00C74E97" w:rsidRDefault="009D35B5" w:rsidP="006C49F6">
            <w:pPr>
              <w:tabs>
                <w:tab w:val="right" w:pos="0"/>
                <w:tab w:val="left" w:pos="4253"/>
              </w:tabs>
              <w:spacing w:before="120" w:after="120"/>
              <w:rPr>
                <w:rFonts w:cs="Arial"/>
                <w:szCs w:val="22"/>
              </w:rPr>
            </w:pPr>
            <w:r w:rsidRPr="00C74E97">
              <w:rPr>
                <w:rFonts w:cs="Arial"/>
                <w:szCs w:val="22"/>
              </w:rPr>
              <w:t xml:space="preserve">DATE OF THE </w:t>
            </w:r>
            <w:r w:rsidR="006245EC" w:rsidRPr="00C74E97">
              <w:rPr>
                <w:rFonts w:cs="Arial"/>
                <w:szCs w:val="22"/>
              </w:rPr>
              <w:t>TRIAL</w:t>
            </w:r>
            <w:r w:rsidRPr="00C74E97">
              <w:rPr>
                <w:rFonts w:cs="Arial"/>
                <w:szCs w:val="22"/>
              </w:rPr>
              <w:t>:</w:t>
            </w:r>
          </w:p>
        </w:tc>
        <w:tc>
          <w:tcPr>
            <w:tcW w:w="4961" w:type="dxa"/>
          </w:tcPr>
          <w:p w14:paraId="34C95147" w14:textId="64BF8347" w:rsidR="009D35B5" w:rsidRPr="00C74E97" w:rsidRDefault="0075063B" w:rsidP="006C49F6">
            <w:pPr>
              <w:tabs>
                <w:tab w:val="right" w:pos="0"/>
                <w:tab w:val="left" w:pos="4253"/>
              </w:tabs>
              <w:spacing w:before="120" w:after="120"/>
              <w:jc w:val="right"/>
              <w:rPr>
                <w:rFonts w:cs="Arial"/>
                <w:szCs w:val="22"/>
              </w:rPr>
            </w:pPr>
            <w:r>
              <w:rPr>
                <w:rFonts w:cs="Arial"/>
                <w:szCs w:val="22"/>
              </w:rPr>
              <w:t>18 &amp;</w:t>
            </w:r>
            <w:r w:rsidR="00B35EFB">
              <w:rPr>
                <w:rFonts w:cs="Arial"/>
                <w:szCs w:val="22"/>
              </w:rPr>
              <w:t xml:space="preserve"> </w:t>
            </w:r>
            <w:r w:rsidR="00C72CE5">
              <w:rPr>
                <w:rFonts w:cs="Arial"/>
                <w:szCs w:val="22"/>
              </w:rPr>
              <w:t xml:space="preserve">19 </w:t>
            </w:r>
            <w:r w:rsidR="00B35EFB">
              <w:rPr>
                <w:rFonts w:cs="Arial"/>
                <w:szCs w:val="22"/>
              </w:rPr>
              <w:t>JULY</w:t>
            </w:r>
            <w:r w:rsidR="0070560F" w:rsidRPr="00C74E97">
              <w:rPr>
                <w:rFonts w:cs="Arial"/>
                <w:szCs w:val="22"/>
              </w:rPr>
              <w:t>,</w:t>
            </w:r>
            <w:r w:rsidR="006C49F6" w:rsidRPr="00C74E97">
              <w:rPr>
                <w:rFonts w:cs="Arial"/>
                <w:szCs w:val="22"/>
              </w:rPr>
              <w:t xml:space="preserve"> </w:t>
            </w:r>
            <w:r>
              <w:rPr>
                <w:rFonts w:cs="Arial"/>
                <w:szCs w:val="22"/>
              </w:rPr>
              <w:t>&amp;</w:t>
            </w:r>
            <w:r w:rsidR="00762178" w:rsidRPr="00C74E97">
              <w:rPr>
                <w:rFonts w:cs="Arial"/>
                <w:szCs w:val="22"/>
              </w:rPr>
              <w:t xml:space="preserve"> </w:t>
            </w:r>
            <w:r w:rsidR="00B35EFB">
              <w:rPr>
                <w:rFonts w:cs="Arial"/>
                <w:szCs w:val="22"/>
              </w:rPr>
              <w:t>11 AUGUST</w:t>
            </w:r>
            <w:r w:rsidR="006245EC" w:rsidRPr="00C74E97">
              <w:rPr>
                <w:rFonts w:cs="Arial"/>
                <w:szCs w:val="22"/>
              </w:rPr>
              <w:t xml:space="preserve"> </w:t>
            </w:r>
            <w:r w:rsidR="00051A2B" w:rsidRPr="00C74E97">
              <w:rPr>
                <w:rFonts w:cs="Arial"/>
                <w:szCs w:val="22"/>
              </w:rPr>
              <w:t>2023</w:t>
            </w:r>
          </w:p>
        </w:tc>
      </w:tr>
      <w:tr w:rsidR="009D35B5" w:rsidRPr="00C74E97" w14:paraId="757AA656" w14:textId="77777777" w:rsidTr="00C72CE5">
        <w:tc>
          <w:tcPr>
            <w:tcW w:w="3402" w:type="dxa"/>
          </w:tcPr>
          <w:p w14:paraId="05387251" w14:textId="5A778948" w:rsidR="009D35B5" w:rsidRPr="00C74E97" w:rsidRDefault="009D35B5" w:rsidP="006C49F6">
            <w:pPr>
              <w:tabs>
                <w:tab w:val="right" w:pos="0"/>
                <w:tab w:val="left" w:pos="4253"/>
              </w:tabs>
              <w:spacing w:before="120" w:after="120"/>
              <w:rPr>
                <w:rFonts w:cs="Arial"/>
                <w:szCs w:val="22"/>
              </w:rPr>
            </w:pPr>
            <w:r w:rsidRPr="00C74E97">
              <w:rPr>
                <w:rFonts w:cs="Arial"/>
                <w:szCs w:val="22"/>
              </w:rPr>
              <w:t>DATE OF JUDGMENT:</w:t>
            </w:r>
          </w:p>
        </w:tc>
        <w:tc>
          <w:tcPr>
            <w:tcW w:w="4961" w:type="dxa"/>
          </w:tcPr>
          <w:p w14:paraId="61863A62" w14:textId="5E58F997" w:rsidR="009D35B5" w:rsidRPr="00C74E97" w:rsidRDefault="00346B97" w:rsidP="006C49F6">
            <w:pPr>
              <w:tabs>
                <w:tab w:val="right" w:pos="0"/>
                <w:tab w:val="left" w:pos="4253"/>
              </w:tabs>
              <w:spacing w:before="120" w:after="120"/>
              <w:jc w:val="right"/>
              <w:rPr>
                <w:rFonts w:cs="Arial"/>
                <w:szCs w:val="22"/>
              </w:rPr>
            </w:pPr>
            <w:r>
              <w:rPr>
                <w:rFonts w:cs="Arial"/>
                <w:szCs w:val="22"/>
              </w:rPr>
              <w:t>14</w:t>
            </w:r>
            <w:r w:rsidR="00B35EFB">
              <w:rPr>
                <w:rFonts w:cs="Arial"/>
                <w:szCs w:val="22"/>
              </w:rPr>
              <w:t xml:space="preserve"> AUGUST</w:t>
            </w:r>
            <w:r w:rsidR="00051A2B" w:rsidRPr="00C74E97">
              <w:rPr>
                <w:rFonts w:cs="Arial"/>
                <w:szCs w:val="22"/>
              </w:rPr>
              <w:t xml:space="preserve"> 2023</w:t>
            </w:r>
          </w:p>
        </w:tc>
      </w:tr>
    </w:tbl>
    <w:p w14:paraId="1BD8F4EB" w14:textId="24205645" w:rsidR="00A402F6" w:rsidRPr="00C74E97" w:rsidRDefault="00A402F6" w:rsidP="00A402F6">
      <w:pPr>
        <w:tabs>
          <w:tab w:val="right" w:pos="8647"/>
        </w:tabs>
        <w:spacing w:line="360" w:lineRule="auto"/>
        <w:contextualSpacing/>
        <w:jc w:val="both"/>
        <w:rPr>
          <w:rFonts w:cs="Arial"/>
          <w:szCs w:val="22"/>
        </w:rPr>
      </w:pPr>
      <w:r w:rsidRPr="00C74E97">
        <w:rPr>
          <w:rFonts w:cs="Arial"/>
          <w:szCs w:val="22"/>
        </w:rPr>
        <w:tab/>
      </w:r>
    </w:p>
    <w:sectPr w:rsidR="00A402F6" w:rsidRPr="00C74E97" w:rsidSect="009869F2">
      <w:headerReference w:type="default" r:id="rId10"/>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ECF91" w14:textId="77777777" w:rsidR="007D1922" w:rsidRDefault="007D1922">
      <w:r>
        <w:separator/>
      </w:r>
    </w:p>
  </w:endnote>
  <w:endnote w:type="continuationSeparator" w:id="0">
    <w:p w14:paraId="67E9D654" w14:textId="77777777" w:rsidR="007D1922" w:rsidRDefault="007D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3886D" w14:textId="77777777" w:rsidR="007D1922" w:rsidRDefault="007D1922">
      <w:r>
        <w:separator/>
      </w:r>
    </w:p>
  </w:footnote>
  <w:footnote w:type="continuationSeparator" w:id="0">
    <w:p w14:paraId="54EE3622" w14:textId="77777777" w:rsidR="007D1922" w:rsidRDefault="007D1922">
      <w:r>
        <w:continuationSeparator/>
      </w:r>
    </w:p>
  </w:footnote>
  <w:footnote w:id="1">
    <w:p w14:paraId="68EF017B" w14:textId="762EE062" w:rsidR="003A361B" w:rsidRPr="003A361B" w:rsidRDefault="003A361B">
      <w:pPr>
        <w:pStyle w:val="FootnoteText"/>
        <w:rPr>
          <w:rFonts w:cs="Arial"/>
        </w:rPr>
      </w:pPr>
      <w:r>
        <w:rPr>
          <w:rStyle w:val="FootnoteReference"/>
        </w:rPr>
        <w:footnoteRef/>
      </w:r>
      <w:r>
        <w:t xml:space="preserve"> </w:t>
      </w:r>
      <w:r>
        <w:tab/>
        <w:t xml:space="preserve">It was common cause that the plaintiff had complied with </w:t>
      </w:r>
      <w:r w:rsidRPr="003A361B">
        <w:rPr>
          <w:rFonts w:cs="Arial"/>
        </w:rPr>
        <w:t>section 3 of the Institution of Legal Proceedings Against Certain Organs of State, Act 40 of 2002</w:t>
      </w:r>
      <w:r>
        <w:rPr>
          <w:rFonts w:cs="Arial"/>
        </w:rPr>
        <w:t>.</w:t>
      </w:r>
    </w:p>
  </w:footnote>
  <w:footnote w:id="2">
    <w:p w14:paraId="645F400B" w14:textId="5CB5F8E3" w:rsidR="003A361B" w:rsidRPr="003A361B" w:rsidRDefault="003A361B">
      <w:pPr>
        <w:pStyle w:val="FootnoteText"/>
        <w:rPr>
          <w:rFonts w:cs="Arial"/>
        </w:rPr>
      </w:pPr>
      <w:r w:rsidRPr="003A361B">
        <w:rPr>
          <w:rStyle w:val="FootnoteReference"/>
          <w:rFonts w:cs="Arial"/>
        </w:rPr>
        <w:footnoteRef/>
      </w:r>
      <w:r w:rsidRPr="003A361B">
        <w:rPr>
          <w:rFonts w:cs="Arial"/>
        </w:rPr>
        <w:t xml:space="preserve"> </w:t>
      </w:r>
      <w:r w:rsidRPr="003A361B">
        <w:rPr>
          <w:rFonts w:cs="Arial"/>
        </w:rPr>
        <w:tab/>
        <w:t xml:space="preserve">The plaintiff </w:t>
      </w:r>
      <w:r w:rsidR="003C083B">
        <w:rPr>
          <w:rFonts w:cs="Arial"/>
        </w:rPr>
        <w:t>referred in argument to</w:t>
      </w:r>
      <w:r w:rsidRPr="003A361B">
        <w:rPr>
          <w:rFonts w:cs="Arial"/>
        </w:rPr>
        <w:t xml:space="preserve"> sections 10, 12 and 35 of the Constitution, 1996.</w:t>
      </w:r>
    </w:p>
  </w:footnote>
  <w:footnote w:id="3">
    <w:p w14:paraId="2C9E2538" w14:textId="18AC44FE" w:rsidR="007815E0" w:rsidRPr="003A361B" w:rsidRDefault="007815E0">
      <w:pPr>
        <w:pStyle w:val="FootnoteText"/>
        <w:rPr>
          <w:rFonts w:cs="Arial"/>
        </w:rPr>
      </w:pPr>
      <w:r w:rsidRPr="003A361B">
        <w:rPr>
          <w:rStyle w:val="FootnoteReference"/>
          <w:rFonts w:cs="Arial"/>
        </w:rPr>
        <w:footnoteRef/>
      </w:r>
      <w:r w:rsidRPr="003A361B">
        <w:rPr>
          <w:rFonts w:cs="Arial"/>
        </w:rPr>
        <w:t xml:space="preserve"> </w:t>
      </w:r>
      <w:r w:rsidRPr="003A361B">
        <w:rPr>
          <w:rFonts w:cs="Arial"/>
        </w:rPr>
        <w:tab/>
        <w:t>See section 4, and Part III of Schedule 2</w:t>
      </w:r>
      <w:r w:rsidR="0072711F" w:rsidRPr="003A361B">
        <w:rPr>
          <w:rFonts w:cs="Arial"/>
        </w:rPr>
        <w:t xml:space="preserve"> of the Act.</w:t>
      </w:r>
    </w:p>
  </w:footnote>
  <w:footnote w:id="4">
    <w:p w14:paraId="2BEB0A12" w14:textId="0AF6045E" w:rsidR="007D181F" w:rsidRDefault="007D181F" w:rsidP="007D181F">
      <w:pPr>
        <w:pStyle w:val="FootnoteText"/>
      </w:pPr>
      <w:r>
        <w:rPr>
          <w:rStyle w:val="FootnoteReference"/>
        </w:rPr>
        <w:footnoteRef/>
      </w:r>
      <w:r>
        <w:t xml:space="preserve"> </w:t>
      </w:r>
      <w:r>
        <w:tab/>
        <w:t xml:space="preserve">The chemical composition of the tablet could of course only be definitively determined in a laboratory analysis. </w:t>
      </w:r>
    </w:p>
  </w:footnote>
  <w:footnote w:id="5">
    <w:p w14:paraId="06795BEC" w14:textId="29CE0C17" w:rsidR="00A90CFE" w:rsidRPr="003A361B" w:rsidRDefault="00A90CFE">
      <w:pPr>
        <w:pStyle w:val="FootnoteText"/>
        <w:rPr>
          <w:rFonts w:cs="Arial"/>
        </w:rPr>
      </w:pPr>
      <w:r w:rsidRPr="003A361B">
        <w:rPr>
          <w:rStyle w:val="FootnoteReference"/>
          <w:rFonts w:cs="Arial"/>
        </w:rPr>
        <w:footnoteRef/>
      </w:r>
      <w:r w:rsidRPr="003A361B">
        <w:rPr>
          <w:rFonts w:cs="Arial"/>
        </w:rPr>
        <w:t xml:space="preserve"> </w:t>
      </w:r>
      <w:r w:rsidRPr="003A361B">
        <w:rPr>
          <w:rFonts w:cs="Arial"/>
        </w:rPr>
        <w:tab/>
        <w:t>CaseLines 011-67.</w:t>
      </w:r>
    </w:p>
  </w:footnote>
  <w:footnote w:id="6">
    <w:p w14:paraId="58680710" w14:textId="5DA97E71" w:rsidR="00050DA2" w:rsidRPr="003A361B" w:rsidRDefault="00050DA2">
      <w:pPr>
        <w:pStyle w:val="FootnoteText"/>
        <w:rPr>
          <w:rFonts w:cs="Arial"/>
        </w:rPr>
      </w:pPr>
      <w:r w:rsidRPr="003A361B">
        <w:rPr>
          <w:rStyle w:val="FootnoteReference"/>
          <w:rFonts w:cs="Arial"/>
        </w:rPr>
        <w:footnoteRef/>
      </w:r>
      <w:r w:rsidRPr="003A361B">
        <w:rPr>
          <w:rFonts w:cs="Arial"/>
        </w:rPr>
        <w:t xml:space="preserve"> </w:t>
      </w:r>
      <w:r w:rsidRPr="003A361B">
        <w:rPr>
          <w:rFonts w:cs="Arial"/>
        </w:rPr>
        <w:tab/>
        <w:t>CaseLines 011-95.</w:t>
      </w:r>
    </w:p>
  </w:footnote>
  <w:footnote w:id="7">
    <w:p w14:paraId="57CA4C0D" w14:textId="0E611547" w:rsidR="00831481" w:rsidRPr="003A361B" w:rsidRDefault="00831481">
      <w:pPr>
        <w:pStyle w:val="FootnoteText"/>
        <w:rPr>
          <w:rFonts w:cs="Arial"/>
        </w:rPr>
      </w:pPr>
      <w:r w:rsidRPr="003A361B">
        <w:rPr>
          <w:rStyle w:val="FootnoteReference"/>
          <w:rFonts w:cs="Arial"/>
        </w:rPr>
        <w:footnoteRef/>
      </w:r>
      <w:r w:rsidRPr="003A361B">
        <w:rPr>
          <w:rFonts w:cs="Arial"/>
        </w:rPr>
        <w:t xml:space="preserve"> </w:t>
      </w:r>
      <w:r w:rsidRPr="003A361B">
        <w:rPr>
          <w:rFonts w:cs="Arial"/>
        </w:rPr>
        <w:tab/>
        <w:t>CaseLines 014-94.</w:t>
      </w:r>
    </w:p>
  </w:footnote>
  <w:footnote w:id="8">
    <w:p w14:paraId="326CB752" w14:textId="7CA6E0AA" w:rsidR="006C45FC" w:rsidRPr="003A361B" w:rsidRDefault="006C45FC">
      <w:pPr>
        <w:pStyle w:val="FootnoteText"/>
        <w:rPr>
          <w:rFonts w:cs="Arial"/>
        </w:rPr>
      </w:pPr>
      <w:r w:rsidRPr="003A361B">
        <w:rPr>
          <w:rStyle w:val="FootnoteReference"/>
          <w:rFonts w:cs="Arial"/>
        </w:rPr>
        <w:footnoteRef/>
      </w:r>
      <w:r w:rsidRPr="003A361B">
        <w:rPr>
          <w:rFonts w:cs="Arial"/>
        </w:rPr>
        <w:t xml:space="preserve"> </w:t>
      </w:r>
      <w:r w:rsidRPr="003A361B">
        <w:rPr>
          <w:rFonts w:cs="Arial"/>
        </w:rPr>
        <w:tab/>
        <w:t xml:space="preserve">CaseLines </w:t>
      </w:r>
      <w:r w:rsidRPr="003A361B">
        <w:rPr>
          <w:rFonts w:cs="Arial"/>
          <w:lang w:val="en-GB"/>
        </w:rPr>
        <w:t>011-108.</w:t>
      </w:r>
    </w:p>
  </w:footnote>
  <w:footnote w:id="9">
    <w:p w14:paraId="18B12267" w14:textId="5FC487B9" w:rsidR="00CC53A1" w:rsidRPr="003A361B" w:rsidRDefault="00CC53A1">
      <w:pPr>
        <w:pStyle w:val="FootnoteText"/>
        <w:rPr>
          <w:rFonts w:cs="Arial"/>
        </w:rPr>
      </w:pPr>
      <w:r w:rsidRPr="003A361B">
        <w:rPr>
          <w:rStyle w:val="FootnoteReference"/>
          <w:rFonts w:cs="Arial"/>
        </w:rPr>
        <w:footnoteRef/>
      </w:r>
      <w:r w:rsidRPr="003A361B">
        <w:rPr>
          <w:rFonts w:cs="Arial"/>
        </w:rPr>
        <w:t xml:space="preserve"> </w:t>
      </w:r>
      <w:r w:rsidRPr="003A361B">
        <w:rPr>
          <w:rFonts w:cs="Arial"/>
        </w:rPr>
        <w:tab/>
      </w:r>
      <w:r w:rsidRPr="003A361B">
        <w:rPr>
          <w:rFonts w:cs="Arial"/>
          <w:lang w:val="en-GB"/>
        </w:rPr>
        <w:t>it was common cause at the trial that the plaintiff was being treated for epilepsy and documentation of the City of Johannesburg Health Services formed part of the trial bundle at CaseLines 005-10.</w:t>
      </w:r>
      <w:r w:rsidR="002459F6" w:rsidRPr="003A361B">
        <w:rPr>
          <w:rFonts w:cs="Arial"/>
          <w:lang w:val="en-GB"/>
        </w:rPr>
        <w:t xml:space="preserve"> </w:t>
      </w:r>
    </w:p>
  </w:footnote>
  <w:footnote w:id="10">
    <w:p w14:paraId="350C85A4" w14:textId="77777777" w:rsidR="002459F6" w:rsidRPr="003A361B" w:rsidRDefault="002459F6" w:rsidP="002459F6">
      <w:pPr>
        <w:pStyle w:val="FootnoteText"/>
        <w:rPr>
          <w:rFonts w:cs="Arial"/>
        </w:rPr>
      </w:pPr>
      <w:r w:rsidRPr="003A361B">
        <w:rPr>
          <w:rStyle w:val="FootnoteReference"/>
          <w:rFonts w:cs="Arial"/>
        </w:rPr>
        <w:footnoteRef/>
      </w:r>
      <w:r w:rsidRPr="003A361B">
        <w:rPr>
          <w:rFonts w:cs="Arial"/>
        </w:rPr>
        <w:t xml:space="preserve"> </w:t>
      </w:r>
      <w:r w:rsidRPr="003A361B">
        <w:rPr>
          <w:rFonts w:cs="Arial"/>
        </w:rPr>
        <w:tab/>
        <w:t>CaseLines 011-87.</w:t>
      </w:r>
    </w:p>
  </w:footnote>
  <w:footnote w:id="11">
    <w:p w14:paraId="6B3C59FA" w14:textId="745C8C76" w:rsidR="00702CB1" w:rsidRPr="003A361B" w:rsidRDefault="00702CB1">
      <w:pPr>
        <w:pStyle w:val="FootnoteText"/>
        <w:rPr>
          <w:rFonts w:cs="Arial"/>
        </w:rPr>
      </w:pPr>
      <w:r w:rsidRPr="003A361B">
        <w:rPr>
          <w:rStyle w:val="FootnoteReference"/>
          <w:rFonts w:cs="Arial"/>
        </w:rPr>
        <w:footnoteRef/>
      </w:r>
      <w:r w:rsidRPr="003A361B">
        <w:rPr>
          <w:rFonts w:cs="Arial"/>
        </w:rPr>
        <w:t xml:space="preserve"> </w:t>
      </w:r>
      <w:r w:rsidRPr="003A361B">
        <w:rPr>
          <w:rFonts w:cs="Arial"/>
        </w:rPr>
        <w:tab/>
        <w:t>CaseLines 011-94.</w:t>
      </w:r>
    </w:p>
  </w:footnote>
  <w:footnote w:id="12">
    <w:p w14:paraId="3142BDDA" w14:textId="20ADF924" w:rsidR="009751C6" w:rsidRPr="003A361B" w:rsidRDefault="009751C6">
      <w:pPr>
        <w:pStyle w:val="FootnoteText"/>
        <w:rPr>
          <w:rFonts w:cs="Arial"/>
        </w:rPr>
      </w:pPr>
      <w:r w:rsidRPr="003A361B">
        <w:rPr>
          <w:rStyle w:val="FootnoteReference"/>
          <w:rFonts w:cs="Arial"/>
        </w:rPr>
        <w:footnoteRef/>
      </w:r>
      <w:r w:rsidRPr="003A361B">
        <w:rPr>
          <w:rFonts w:cs="Arial"/>
        </w:rPr>
        <w:t xml:space="preserve"> </w:t>
      </w:r>
      <w:r w:rsidRPr="003A361B">
        <w:rPr>
          <w:rFonts w:cs="Arial"/>
        </w:rPr>
        <w:tab/>
        <w:t>CaseLines 011-90B.</w:t>
      </w:r>
      <w:r w:rsidR="00CC53A1" w:rsidRPr="003A361B">
        <w:rPr>
          <w:rFonts w:cs="Arial"/>
        </w:rPr>
        <w:t xml:space="preserve"> </w:t>
      </w:r>
      <w:r w:rsidR="00CC53A1" w:rsidRPr="003A361B">
        <w:rPr>
          <w:rFonts w:cs="Arial"/>
          <w:lang w:val="en-GB"/>
        </w:rPr>
        <w:t xml:space="preserve">This document did not form part of the trial bundle </w:t>
      </w:r>
      <w:r w:rsidR="008A4C8C">
        <w:rPr>
          <w:rFonts w:cs="Arial"/>
          <w:lang w:val="en-GB"/>
        </w:rPr>
        <w:t>but</w:t>
      </w:r>
      <w:r w:rsidR="00CC53A1" w:rsidRPr="003A361B">
        <w:rPr>
          <w:rFonts w:cs="Arial"/>
          <w:lang w:val="en-GB"/>
        </w:rPr>
        <w:t xml:space="preserve"> was handed up by agreement.</w:t>
      </w:r>
    </w:p>
  </w:footnote>
  <w:footnote w:id="13">
    <w:p w14:paraId="7FF09A8F" w14:textId="490E1016" w:rsidR="009751C6" w:rsidRPr="003A361B" w:rsidRDefault="009751C6">
      <w:pPr>
        <w:pStyle w:val="FootnoteText"/>
        <w:rPr>
          <w:rFonts w:cs="Arial"/>
        </w:rPr>
      </w:pPr>
      <w:r w:rsidRPr="003A361B">
        <w:rPr>
          <w:rStyle w:val="FootnoteReference"/>
          <w:rFonts w:cs="Arial"/>
        </w:rPr>
        <w:footnoteRef/>
      </w:r>
      <w:r w:rsidRPr="003A361B">
        <w:rPr>
          <w:rFonts w:cs="Arial"/>
        </w:rPr>
        <w:t xml:space="preserve"> </w:t>
      </w:r>
      <w:r w:rsidRPr="003A361B">
        <w:rPr>
          <w:rFonts w:cs="Arial"/>
        </w:rPr>
        <w:tab/>
        <w:t>CaseLines 011-88.</w:t>
      </w:r>
    </w:p>
  </w:footnote>
  <w:footnote w:id="14">
    <w:p w14:paraId="3C6D4DEC" w14:textId="29147A42" w:rsidR="00CC53A1" w:rsidRPr="003A361B" w:rsidRDefault="00CC53A1">
      <w:pPr>
        <w:pStyle w:val="FootnoteText"/>
        <w:rPr>
          <w:rFonts w:cs="Arial"/>
        </w:rPr>
      </w:pPr>
      <w:r w:rsidRPr="003A361B">
        <w:rPr>
          <w:rStyle w:val="FootnoteReference"/>
          <w:rFonts w:cs="Arial"/>
        </w:rPr>
        <w:footnoteRef/>
      </w:r>
      <w:r w:rsidRPr="003A361B">
        <w:rPr>
          <w:rFonts w:cs="Arial"/>
        </w:rPr>
        <w:t xml:space="preserve"> </w:t>
      </w:r>
      <w:r w:rsidRPr="003A361B">
        <w:rPr>
          <w:rFonts w:cs="Arial"/>
        </w:rPr>
        <w:tab/>
        <w:t>CaseLines 005-6.</w:t>
      </w:r>
    </w:p>
  </w:footnote>
  <w:footnote w:id="15">
    <w:p w14:paraId="7ACE455E" w14:textId="77777777" w:rsidR="008A4C8C" w:rsidRDefault="008A4C8C" w:rsidP="008A4C8C">
      <w:pPr>
        <w:pStyle w:val="FootnoteText"/>
      </w:pPr>
      <w:r>
        <w:rPr>
          <w:rStyle w:val="FootnoteReference"/>
        </w:rPr>
        <w:footnoteRef/>
      </w:r>
      <w:r>
        <w:t xml:space="preserve"> </w:t>
      </w:r>
      <w:r>
        <w:tab/>
      </w:r>
      <w:r w:rsidRPr="005A2BAC">
        <w:rPr>
          <w:i/>
          <w:iCs/>
        </w:rPr>
        <w:t>Ibid</w:t>
      </w:r>
      <w:r>
        <w:t xml:space="preserve"> para 6.</w:t>
      </w:r>
    </w:p>
  </w:footnote>
  <w:footnote w:id="16">
    <w:p w14:paraId="0A117E65" w14:textId="77777777" w:rsidR="008A4C8C" w:rsidRDefault="008A4C8C" w:rsidP="008A4C8C">
      <w:pPr>
        <w:pStyle w:val="FootnoteText"/>
      </w:pPr>
      <w:r>
        <w:rPr>
          <w:rStyle w:val="FootnoteReference"/>
        </w:rPr>
        <w:footnoteRef/>
      </w:r>
      <w:r>
        <w:t xml:space="preserve"> </w:t>
      </w:r>
      <w:r>
        <w:tab/>
      </w:r>
      <w:r w:rsidRPr="005A2BAC">
        <w:rPr>
          <w:i/>
          <w:iCs/>
        </w:rPr>
        <w:t>Ibid</w:t>
      </w:r>
      <w:r>
        <w:t xml:space="preserve"> para 34.</w:t>
      </w:r>
    </w:p>
  </w:footnote>
  <w:footnote w:id="17">
    <w:p w14:paraId="5C2AA5FB" w14:textId="591DE48F" w:rsidR="008A4C8C" w:rsidRDefault="008A4C8C" w:rsidP="008A4C8C">
      <w:pPr>
        <w:pStyle w:val="FootnoteText"/>
      </w:pPr>
      <w:r>
        <w:rPr>
          <w:rStyle w:val="FootnoteReference"/>
        </w:rPr>
        <w:footnoteRef/>
      </w:r>
      <w:r>
        <w:t xml:space="preserve"> </w:t>
      </w:r>
      <w:r>
        <w:tab/>
      </w:r>
      <w:r w:rsidRPr="0079304B">
        <w:rPr>
          <w:i/>
          <w:iCs/>
        </w:rPr>
        <w:t>Shidiack v Union Government (Minister of the Interior)</w:t>
      </w:r>
      <w:r w:rsidRPr="0079304B">
        <w:t> 1912 AD 642 at 651–652</w:t>
      </w:r>
      <w:r>
        <w:t>.</w:t>
      </w:r>
    </w:p>
  </w:footnote>
  <w:footnote w:id="18">
    <w:p w14:paraId="6B2E7E59" w14:textId="77777777" w:rsidR="008A4C8C" w:rsidRDefault="008A4C8C" w:rsidP="008A4C8C">
      <w:pPr>
        <w:pStyle w:val="FootnoteText"/>
      </w:pPr>
      <w:r>
        <w:rPr>
          <w:rStyle w:val="FootnoteReference"/>
        </w:rPr>
        <w:footnoteRef/>
      </w:r>
      <w:r>
        <w:t xml:space="preserve"> </w:t>
      </w:r>
      <w:r>
        <w:tab/>
      </w:r>
      <w:r w:rsidRPr="00354197">
        <w:rPr>
          <w:i/>
          <w:iCs/>
        </w:rPr>
        <w:t>Duncan v Minister of Law and Order</w:t>
      </w:r>
      <w:r>
        <w:t xml:space="preserve"> </w:t>
      </w:r>
      <w:r w:rsidRPr="000C58C9">
        <w:t>[1986] 2 All</w:t>
      </w:r>
      <w:r>
        <w:t xml:space="preserve"> </w:t>
      </w:r>
      <w:r w:rsidRPr="000C58C9">
        <w:t>SA 241</w:t>
      </w:r>
      <w:r>
        <w:t xml:space="preserve">, </w:t>
      </w:r>
      <w:r w:rsidRPr="000C58C9">
        <w:t>1986</w:t>
      </w:r>
      <w:r>
        <w:t xml:space="preserve"> </w:t>
      </w:r>
      <w:r w:rsidRPr="000C58C9">
        <w:t>(2)</w:t>
      </w:r>
      <w:r>
        <w:t xml:space="preserve"> </w:t>
      </w:r>
      <w:r w:rsidRPr="000C58C9">
        <w:t>SA</w:t>
      </w:r>
      <w:r>
        <w:t xml:space="preserve"> </w:t>
      </w:r>
      <w:r w:rsidRPr="000C58C9">
        <w:t>805 (A)</w:t>
      </w:r>
      <w:r>
        <w:t xml:space="preserve"> 818H.</w:t>
      </w:r>
    </w:p>
  </w:footnote>
  <w:footnote w:id="19">
    <w:p w14:paraId="71B2194F" w14:textId="2F003BE3" w:rsidR="008A4C8C" w:rsidRDefault="008A4C8C" w:rsidP="008A4C8C">
      <w:pPr>
        <w:pStyle w:val="FootnoteText"/>
      </w:pPr>
      <w:r>
        <w:rPr>
          <w:rStyle w:val="FootnoteReference"/>
        </w:rPr>
        <w:footnoteRef/>
      </w:r>
      <w:r>
        <w:t xml:space="preserve"> </w:t>
      </w:r>
      <w:r>
        <w:tab/>
      </w:r>
      <w:r w:rsidRPr="00674933">
        <w:rPr>
          <w:i/>
          <w:iCs/>
        </w:rPr>
        <w:t>Pharmaceutical Manufacturers Association of SA: In Re Ex Parte Application of President of the RSA</w:t>
      </w:r>
      <w:r>
        <w:t xml:space="preserve"> </w:t>
      </w:r>
      <w:r w:rsidRPr="002B744F">
        <w:t>2000</w:t>
      </w:r>
      <w:r>
        <w:t xml:space="preserve"> </w:t>
      </w:r>
      <w:r w:rsidRPr="002B744F">
        <w:t>(2)</w:t>
      </w:r>
      <w:r>
        <w:t xml:space="preserve"> </w:t>
      </w:r>
      <w:r w:rsidRPr="002B744F">
        <w:t>SA</w:t>
      </w:r>
      <w:r>
        <w:t xml:space="preserve"> </w:t>
      </w:r>
      <w:r w:rsidRPr="002B744F">
        <w:t>674 paras 85</w:t>
      </w:r>
      <w:r>
        <w:t xml:space="preserve"> to </w:t>
      </w:r>
      <w:r w:rsidRPr="002B744F">
        <w:t>86</w:t>
      </w:r>
      <w:r>
        <w:t xml:space="preserve">, quoted in the </w:t>
      </w:r>
      <w:r w:rsidRPr="00555A4B">
        <w:rPr>
          <w:i/>
          <w:iCs/>
        </w:rPr>
        <w:t>Sekhoto</w:t>
      </w:r>
      <w:r>
        <w:t xml:space="preserve"> case</w:t>
      </w:r>
      <w:r w:rsidR="00102B03">
        <w:t>,</w:t>
      </w:r>
    </w:p>
  </w:footnote>
  <w:footnote w:id="20">
    <w:p w14:paraId="17CA3878" w14:textId="77777777" w:rsidR="008A4C8C" w:rsidRDefault="008A4C8C" w:rsidP="008A4C8C">
      <w:pPr>
        <w:pStyle w:val="FootnoteText"/>
      </w:pPr>
      <w:r>
        <w:rPr>
          <w:rStyle w:val="FootnoteReference"/>
        </w:rPr>
        <w:footnoteRef/>
      </w:r>
      <w:r>
        <w:t xml:space="preserve"> </w:t>
      </w:r>
      <w:r>
        <w:tab/>
      </w:r>
      <w:r w:rsidRPr="008E1674">
        <w:rPr>
          <w:i/>
          <w:iCs/>
        </w:rPr>
        <w:t>National Employers' General Insurance Co Ltd v Jagers</w:t>
      </w:r>
      <w:r>
        <w:rPr>
          <w:i/>
          <w:iCs/>
        </w:rPr>
        <w:t xml:space="preserve"> </w:t>
      </w:r>
      <w:r w:rsidRPr="008E1674">
        <w:t>1984</w:t>
      </w:r>
      <w:r>
        <w:t xml:space="preserve"> </w:t>
      </w:r>
      <w:r w:rsidRPr="008E1674">
        <w:t>(4)</w:t>
      </w:r>
      <w:r>
        <w:t xml:space="preserve"> </w:t>
      </w:r>
      <w:r w:rsidRPr="008E1674">
        <w:t>SA</w:t>
      </w:r>
      <w:r>
        <w:t xml:space="preserve"> </w:t>
      </w:r>
      <w:r w:rsidRPr="008E1674">
        <w:t>437</w:t>
      </w:r>
      <w:r>
        <w:t xml:space="preserve"> </w:t>
      </w:r>
      <w:r w:rsidRPr="008E1674">
        <w:t>(E)</w:t>
      </w:r>
      <w:r>
        <w:t xml:space="preserve"> 440E to 441B.</w:t>
      </w:r>
    </w:p>
  </w:footnote>
  <w:footnote w:id="21">
    <w:p w14:paraId="43E51F32" w14:textId="77777777" w:rsidR="008A4C8C" w:rsidRDefault="008A4C8C" w:rsidP="008A4C8C">
      <w:pPr>
        <w:pStyle w:val="FootnoteText"/>
      </w:pPr>
      <w:r>
        <w:rPr>
          <w:rStyle w:val="FootnoteReference"/>
        </w:rPr>
        <w:footnoteRef/>
      </w:r>
      <w:r>
        <w:t xml:space="preserve"> </w:t>
      </w:r>
      <w:r>
        <w:tab/>
      </w:r>
      <w:r w:rsidRPr="008E1674">
        <w:rPr>
          <w:rFonts w:cs="Arial"/>
          <w:i/>
          <w:iCs/>
        </w:rPr>
        <w:t xml:space="preserve">Koster Ko-operatiewe Landboumaatskappy Bpk v Suid-Afrikaans Spoorweë en Hawens </w:t>
      </w:r>
      <w:r w:rsidRPr="008E1674">
        <w:rPr>
          <w:rFonts w:cs="Arial"/>
        </w:rPr>
        <w:t>1974 (4) SA 420 (W)</w:t>
      </w:r>
      <w:r>
        <w:rPr>
          <w:rFonts w:cs="Arial"/>
        </w:rPr>
        <w:t>.</w:t>
      </w:r>
    </w:p>
  </w:footnote>
  <w:footnote w:id="22">
    <w:p w14:paraId="47EAA591" w14:textId="77777777" w:rsidR="008A4C8C" w:rsidRDefault="008A4C8C" w:rsidP="008A4C8C">
      <w:pPr>
        <w:pStyle w:val="FootnoteText"/>
      </w:pPr>
      <w:r>
        <w:rPr>
          <w:rStyle w:val="FootnoteReference"/>
        </w:rPr>
        <w:footnoteRef/>
      </w:r>
      <w:r>
        <w:t xml:space="preserve"> </w:t>
      </w:r>
      <w:r>
        <w:tab/>
      </w:r>
      <w:r w:rsidRPr="00D3069D">
        <w:rPr>
          <w:i/>
          <w:iCs/>
        </w:rPr>
        <w:t>African Eagle Life Assurance Co Ltd v Cainer</w:t>
      </w:r>
      <w:r>
        <w:t xml:space="preserve"> </w:t>
      </w:r>
      <w:r w:rsidRPr="008E1674">
        <w:t>1980 (2) SA 234 (W)</w:t>
      </w:r>
      <w:r>
        <w:t>.</w:t>
      </w:r>
    </w:p>
  </w:footnote>
  <w:footnote w:id="23">
    <w:p w14:paraId="275BC41B" w14:textId="0A74B146" w:rsidR="00CD2831" w:rsidRDefault="00CD2831">
      <w:pPr>
        <w:pStyle w:val="FootnoteText"/>
      </w:pPr>
      <w:r>
        <w:rPr>
          <w:rStyle w:val="FootnoteReference"/>
        </w:rPr>
        <w:footnoteRef/>
      </w:r>
      <w:r>
        <w:t xml:space="preserve"> </w:t>
      </w:r>
      <w:r>
        <w:tab/>
        <w:t xml:space="preserve">See </w:t>
      </w:r>
      <w:r w:rsidR="004067B2" w:rsidRPr="004067B2">
        <w:rPr>
          <w:i/>
          <w:iCs/>
        </w:rPr>
        <w:t>Mabona and Another v Minister of Law and Order and Others</w:t>
      </w:r>
      <w:r w:rsidR="004067B2" w:rsidRPr="00A060E7">
        <w:t xml:space="preserve"> </w:t>
      </w:r>
      <w:bookmarkStart w:id="1" w:name="_Hlk142746257"/>
      <w:r w:rsidR="004067B2" w:rsidRPr="00A060E7">
        <w:t>1988 (2) SA 654 (SE)</w:t>
      </w:r>
      <w:r w:rsidR="004067B2">
        <w:t xml:space="preserve"> </w:t>
      </w:r>
      <w:bookmarkEnd w:id="1"/>
      <w:r w:rsidR="004067B2">
        <w:t>658E</w:t>
      </w:r>
      <w:r w:rsidR="00295FA0">
        <w:t xml:space="preserve"> in respect of a reasonable suspicion, albeit in terms of section 40(1)(b).</w:t>
      </w:r>
    </w:p>
  </w:footnote>
  <w:footnote w:id="24">
    <w:p w14:paraId="1E5AC225" w14:textId="676B6AFB" w:rsidR="003A361B" w:rsidRPr="003A361B" w:rsidRDefault="003A361B">
      <w:pPr>
        <w:pStyle w:val="FootnoteText"/>
        <w:rPr>
          <w:rFonts w:cs="Arial"/>
        </w:rPr>
      </w:pPr>
      <w:r w:rsidRPr="003A361B">
        <w:rPr>
          <w:rStyle w:val="FootnoteReference"/>
          <w:rFonts w:cs="Arial"/>
        </w:rPr>
        <w:footnoteRef/>
      </w:r>
      <w:r w:rsidRPr="003A361B">
        <w:rPr>
          <w:rFonts w:cs="Arial"/>
        </w:rPr>
        <w:t xml:space="preserve"> </w:t>
      </w:r>
      <w:r w:rsidRPr="003A361B">
        <w:rPr>
          <w:rFonts w:cs="Arial"/>
        </w:rPr>
        <w:tab/>
        <w:t>The arrest was for possession of drugs in terms of section 40(1)(</w:t>
      </w:r>
      <w:r w:rsidR="00174044" w:rsidRPr="003A361B">
        <w:rPr>
          <w:rFonts w:cs="Arial"/>
        </w:rPr>
        <w:t xml:space="preserve"> </w:t>
      </w:r>
      <w:r w:rsidRPr="003A361B">
        <w:rPr>
          <w:rFonts w:cs="Arial"/>
        </w:rPr>
        <w:t>h) of the Criminal Procedure Act</w:t>
      </w:r>
      <w:r w:rsidR="00AE37DB">
        <w:rPr>
          <w:rFonts w:cs="Arial"/>
        </w:rPr>
        <w:t xml:space="preserve">. </w:t>
      </w:r>
    </w:p>
  </w:footnote>
  <w:footnote w:id="25">
    <w:p w14:paraId="40C511C8" w14:textId="3490C268" w:rsidR="008C5A15" w:rsidRPr="003A361B" w:rsidRDefault="008C5A15">
      <w:pPr>
        <w:pStyle w:val="FootnoteText"/>
        <w:rPr>
          <w:rFonts w:cs="Arial"/>
        </w:rPr>
      </w:pPr>
      <w:r w:rsidRPr="003A361B">
        <w:rPr>
          <w:rStyle w:val="FootnoteReference"/>
          <w:rFonts w:cs="Arial"/>
        </w:rPr>
        <w:footnoteRef/>
      </w:r>
      <w:r w:rsidRPr="003A361B">
        <w:rPr>
          <w:rFonts w:cs="Arial"/>
        </w:rPr>
        <w:t xml:space="preserve"> </w:t>
      </w:r>
      <w:r w:rsidRPr="003A361B">
        <w:rPr>
          <w:rFonts w:cs="Arial"/>
        </w:rPr>
        <w:tab/>
        <w:t>See section 50 of the Criminal Procedure Act</w:t>
      </w:r>
      <w:r w:rsidR="003A361B" w:rsidRPr="003A361B">
        <w:rPr>
          <w:rFonts w:cs="Arial"/>
        </w:rPr>
        <w:t>.</w:t>
      </w:r>
    </w:p>
  </w:footnote>
  <w:footnote w:id="26">
    <w:p w14:paraId="6951472D" w14:textId="3ECD7874" w:rsidR="007E68AA" w:rsidRDefault="007E68AA" w:rsidP="007E68AA">
      <w:pPr>
        <w:pStyle w:val="FootnoteText"/>
      </w:pPr>
      <w:r>
        <w:rPr>
          <w:rStyle w:val="FootnoteReference"/>
        </w:rPr>
        <w:footnoteRef/>
      </w:r>
      <w:r>
        <w:t xml:space="preserve"> </w:t>
      </w:r>
      <w:r>
        <w:tab/>
        <w:t xml:space="preserve">Compare </w:t>
      </w:r>
      <w:r w:rsidRPr="002D582B">
        <w:rPr>
          <w:i/>
          <w:iCs/>
          <w:lang w:eastAsia="en-ZA"/>
        </w:rPr>
        <w:t>Minister of Safety and Security v Sekhoto and another</w:t>
      </w:r>
      <w:r w:rsidRPr="002D582B">
        <w:t xml:space="preserve"> </w:t>
      </w:r>
      <w:r w:rsidRPr="002D582B">
        <w:rPr>
          <w:lang w:eastAsia="en-ZA"/>
        </w:rPr>
        <w:t>2011 (5) SA 367 (SCA)</w:t>
      </w:r>
      <w:r>
        <w:rPr>
          <w:lang w:eastAsia="en-ZA"/>
        </w:rPr>
        <w:t>,</w:t>
      </w:r>
      <w:r w:rsidRPr="002D582B">
        <w:t xml:space="preserve"> [ 2011 ] 2 All SA 157 ( SCA )</w:t>
      </w:r>
      <w:r>
        <w:t xml:space="preserve"> para 32.</w:t>
      </w:r>
    </w:p>
  </w:footnote>
  <w:footnote w:id="27">
    <w:p w14:paraId="2B5D6000" w14:textId="2FFC6BEA" w:rsidR="004E40E8" w:rsidRPr="003A361B" w:rsidRDefault="004E40E8">
      <w:pPr>
        <w:pStyle w:val="FootnoteText"/>
        <w:rPr>
          <w:rFonts w:cs="Arial"/>
        </w:rPr>
      </w:pPr>
      <w:r w:rsidRPr="003A361B">
        <w:rPr>
          <w:rStyle w:val="FootnoteReference"/>
          <w:rFonts w:cs="Arial"/>
        </w:rPr>
        <w:footnoteRef/>
      </w:r>
      <w:r w:rsidRPr="003A361B">
        <w:rPr>
          <w:rFonts w:cs="Arial"/>
        </w:rPr>
        <w:t xml:space="preserve"> </w:t>
      </w:r>
      <w:r w:rsidRPr="003A361B">
        <w:rPr>
          <w:rFonts w:cs="Arial"/>
        </w:rPr>
        <w:tab/>
        <w:t>Referred to as ‘police bail.’</w:t>
      </w:r>
    </w:p>
  </w:footnote>
  <w:footnote w:id="28">
    <w:p w14:paraId="41F2C34B" w14:textId="316F71A5" w:rsidR="00F07336" w:rsidRPr="003A361B" w:rsidRDefault="00F07336">
      <w:pPr>
        <w:pStyle w:val="FootnoteText"/>
        <w:rPr>
          <w:rFonts w:cs="Arial"/>
        </w:rPr>
      </w:pPr>
      <w:r w:rsidRPr="003A361B">
        <w:rPr>
          <w:rStyle w:val="FootnoteReference"/>
          <w:rFonts w:cs="Arial"/>
        </w:rPr>
        <w:footnoteRef/>
      </w:r>
      <w:r w:rsidRPr="003A361B">
        <w:rPr>
          <w:rFonts w:cs="Arial"/>
        </w:rPr>
        <w:t xml:space="preserve"> </w:t>
      </w:r>
      <w:r w:rsidRPr="003A361B">
        <w:rPr>
          <w:rFonts w:cs="Arial"/>
        </w:rPr>
        <w:tab/>
        <w:t xml:space="preserve">Section </w:t>
      </w:r>
      <w:r w:rsidR="00694462" w:rsidRPr="003A361B">
        <w:rPr>
          <w:rFonts w:cs="Arial"/>
        </w:rPr>
        <w:t>59 of the Criminal Procedure Act, 51 of 1977.</w:t>
      </w:r>
    </w:p>
  </w:footnote>
  <w:footnote w:id="29">
    <w:p w14:paraId="2EDC2D91" w14:textId="13C824BD" w:rsidR="00694462" w:rsidRPr="003A361B" w:rsidRDefault="00694462">
      <w:pPr>
        <w:pStyle w:val="FootnoteText"/>
        <w:rPr>
          <w:rFonts w:cs="Arial"/>
        </w:rPr>
      </w:pPr>
      <w:r w:rsidRPr="003A361B">
        <w:rPr>
          <w:rStyle w:val="FootnoteReference"/>
          <w:rFonts w:cs="Arial"/>
        </w:rPr>
        <w:footnoteRef/>
      </w:r>
      <w:r w:rsidRPr="003A361B">
        <w:rPr>
          <w:rFonts w:cs="Arial"/>
        </w:rPr>
        <w:t xml:space="preserve"> </w:t>
      </w:r>
      <w:r w:rsidRPr="003A361B">
        <w:rPr>
          <w:rFonts w:cs="Arial"/>
        </w:rPr>
        <w:tab/>
      </w:r>
      <w:r w:rsidRPr="005A2BAC">
        <w:rPr>
          <w:rFonts w:cs="Arial"/>
          <w:i/>
          <w:iCs/>
        </w:rPr>
        <w:t>Ibid</w:t>
      </w:r>
      <w:r w:rsidRPr="003A361B">
        <w:rPr>
          <w:rFonts w:cs="Arial"/>
        </w:rPr>
        <w:t>, section 50(c).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68A9B" w14:textId="2DAD38FB" w:rsidR="00D645C6" w:rsidRPr="006C43D7" w:rsidRDefault="00D645C6"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EA270B">
      <w:rPr>
        <w:rFonts w:cs="Arial"/>
        <w:noProof/>
        <w:sz w:val="20"/>
        <w:szCs w:val="20"/>
        <w:lang w:val="en-GB"/>
      </w:rPr>
      <w:t>2</w:t>
    </w:r>
    <w:r w:rsidRPr="006C43D7">
      <w:rPr>
        <w:rFonts w:cs="Arial"/>
        <w:sz w:val="20"/>
        <w:szCs w:val="20"/>
        <w:lang w:val="en-GB"/>
      </w:rPr>
      <w:fldChar w:fldCharType="end"/>
    </w:r>
  </w:p>
  <w:p w14:paraId="08C008E5" w14:textId="77777777" w:rsidR="00D645C6" w:rsidRPr="006C43D7" w:rsidRDefault="00D645C6" w:rsidP="006C43D7">
    <w:pPr>
      <w:tabs>
        <w:tab w:val="center" w:pos="4153"/>
        <w:tab w:val="right" w:pos="8306"/>
      </w:tabs>
      <w:spacing w:line="276" w:lineRule="auto"/>
      <w:jc w:val="right"/>
      <w:rPr>
        <w:rFonts w:cs="Arial"/>
        <w:lang w:val="en-US"/>
      </w:rPr>
    </w:pPr>
  </w:p>
  <w:p w14:paraId="4A21EF97" w14:textId="77777777" w:rsidR="00D645C6" w:rsidRPr="006C43D7" w:rsidRDefault="00D645C6" w:rsidP="006C4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1395632B"/>
    <w:multiLevelType w:val="multilevel"/>
    <w:tmpl w:val="18D4C7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8DD7D02"/>
    <w:multiLevelType w:val="multilevel"/>
    <w:tmpl w:val="DF0C55CC"/>
    <w:lvl w:ilvl="0">
      <w:start w:val="1"/>
      <w:numFmt w:val="decimal"/>
      <w:pStyle w:val="AFUaffidavitnumbering"/>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7">
    <w:nsid w:val="3F8F0C59"/>
    <w:multiLevelType w:val="hybridMultilevel"/>
    <w:tmpl w:val="FCCCA750"/>
    <w:lvl w:ilvl="0" w:tplc="F6887E70">
      <w:start w:val="1"/>
      <w:numFmt w:val="decimal"/>
      <w:lvlText w:val="%1."/>
      <w:lvlJc w:val="left"/>
      <w:pPr>
        <w:ind w:left="1650" w:hanging="564"/>
      </w:pPr>
      <w:rPr>
        <w:rFonts w:hint="default"/>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8">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9950EA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nsid w:val="77EE27A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11"/>
  </w:num>
  <w:num w:numId="4">
    <w:abstractNumId w:val="5"/>
  </w:num>
  <w:num w:numId="5">
    <w:abstractNumId w:val="10"/>
  </w:num>
  <w:num w:numId="6">
    <w:abstractNumId w:val="8"/>
  </w:num>
  <w:num w:numId="7">
    <w:abstractNumId w:val="0"/>
  </w:num>
  <w:num w:numId="8">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12"/>
  </w:num>
  <w:num w:numId="12">
    <w:abstractNumId w:val="3"/>
    <w:lvlOverride w:ilvl="0">
      <w:lvl w:ilvl="0">
        <w:start w:val="1"/>
        <w:numFmt w:val="decimal"/>
        <w:pStyle w:val="AFUaffidavitnumbering"/>
        <w:lvlText w:val="%1"/>
        <w:lvlJc w:val="left"/>
        <w:pPr>
          <w:tabs>
            <w:tab w:val="num" w:pos="567"/>
          </w:tabs>
          <w:ind w:left="567" w:hanging="567"/>
        </w:pPr>
        <w:rPr>
          <w:rFonts w:hint="default"/>
        </w:rPr>
      </w:lvl>
    </w:lvlOverride>
    <w:lvlOverride w:ilvl="1">
      <w:lvl w:ilvl="1">
        <w:start w:val="1"/>
        <w:numFmt w:val="decimal"/>
        <w:lvlText w:val="%1.%2"/>
        <w:lvlJc w:val="left"/>
        <w:pPr>
          <w:tabs>
            <w:tab w:val="num" w:pos="1418"/>
          </w:tabs>
          <w:ind w:left="1418" w:hanging="851"/>
        </w:pPr>
        <w:rPr>
          <w:rFonts w:hint="default"/>
        </w:rPr>
      </w:lvl>
    </w:lvlOverride>
    <w:lvlOverride w:ilvl="2">
      <w:lvl w:ilvl="2">
        <w:start w:val="1"/>
        <w:numFmt w:val="decimal"/>
        <w:lvlText w:val="%1.%2.%3"/>
        <w:lvlJc w:val="left"/>
        <w:pPr>
          <w:tabs>
            <w:tab w:val="num" w:pos="2268"/>
          </w:tabs>
          <w:ind w:left="2268" w:hanging="850"/>
        </w:pPr>
        <w:rPr>
          <w:rFonts w:hint="default"/>
          <w:b w:val="0"/>
        </w:rPr>
      </w:lvl>
    </w:lvlOverride>
    <w:lvlOverride w:ilvl="3">
      <w:lvl w:ilvl="3">
        <w:start w:val="1"/>
        <w:numFmt w:val="decimal"/>
        <w:lvlText w:val="%1.%2.%3.%4"/>
        <w:lvlJc w:val="left"/>
        <w:pPr>
          <w:tabs>
            <w:tab w:val="num" w:pos="141"/>
          </w:tabs>
          <w:ind w:left="2409" w:hanging="567"/>
        </w:pPr>
        <w:rPr>
          <w:rFonts w:hint="default"/>
          <w:b w:val="0"/>
        </w:rPr>
      </w:lvl>
    </w:lvlOverride>
    <w:lvlOverride w:ilvl="4">
      <w:lvl w:ilvl="4">
        <w:start w:val="1"/>
        <w:numFmt w:val="decimal"/>
        <w:lvlText w:val="%1.%2.%3.%4.%5."/>
        <w:lvlJc w:val="left"/>
        <w:pPr>
          <w:tabs>
            <w:tab w:val="num" w:pos="0"/>
          </w:tabs>
          <w:ind w:left="2835" w:hanging="567"/>
        </w:pPr>
        <w:rPr>
          <w:rFonts w:hint="default"/>
        </w:rPr>
      </w:lvl>
    </w:lvlOverride>
    <w:lvlOverride w:ilvl="5">
      <w:lvl w:ilvl="5">
        <w:start w:val="1"/>
        <w:numFmt w:val="decimal"/>
        <w:lvlText w:val="%1.%2.%3.%4.%5.%6."/>
        <w:lvlJc w:val="left"/>
        <w:pPr>
          <w:tabs>
            <w:tab w:val="num" w:pos="0"/>
          </w:tabs>
          <w:ind w:left="3402" w:hanging="567"/>
        </w:pPr>
        <w:rPr>
          <w:rFonts w:hint="default"/>
        </w:rPr>
      </w:lvl>
    </w:lvlOverride>
    <w:lvlOverride w:ilvl="6">
      <w:lvl w:ilvl="6">
        <w:start w:val="1"/>
        <w:numFmt w:val="decimal"/>
        <w:lvlText w:val="%1.%2.%3.%4.%5.%6.%7."/>
        <w:lvlJc w:val="left"/>
        <w:pPr>
          <w:tabs>
            <w:tab w:val="num" w:pos="0"/>
          </w:tabs>
          <w:ind w:left="3969" w:hanging="567"/>
        </w:pPr>
        <w:rPr>
          <w:rFonts w:hint="default"/>
        </w:rPr>
      </w:lvl>
    </w:lvlOverride>
    <w:lvlOverride w:ilvl="7">
      <w:lvl w:ilvl="7">
        <w:start w:val="1"/>
        <w:numFmt w:val="decimal"/>
        <w:lvlText w:val="%1.%2.%3.%4.%5.%6.%7.%8."/>
        <w:lvlJc w:val="left"/>
        <w:pPr>
          <w:tabs>
            <w:tab w:val="num" w:pos="0"/>
          </w:tabs>
          <w:ind w:left="4536" w:hanging="567"/>
        </w:pPr>
        <w:rPr>
          <w:rFonts w:hint="default"/>
        </w:rPr>
      </w:lvl>
    </w:lvlOverride>
    <w:lvlOverride w:ilvl="8">
      <w:lvl w:ilvl="8">
        <w:start w:val="1"/>
        <w:numFmt w:val="decimal"/>
        <w:lvlText w:val="%1.%2.%3.%4.%5.%6.%7.%8.%9."/>
        <w:lvlJc w:val="left"/>
        <w:pPr>
          <w:tabs>
            <w:tab w:val="num" w:pos="0"/>
          </w:tabs>
          <w:ind w:left="5103" w:hanging="567"/>
        </w:pPr>
        <w:rPr>
          <w:rFonts w:hint="default"/>
        </w:rPr>
      </w:lvl>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F3"/>
    <w:rsid w:val="000004A3"/>
    <w:rsid w:val="00000AFE"/>
    <w:rsid w:val="00001138"/>
    <w:rsid w:val="000019D2"/>
    <w:rsid w:val="00006113"/>
    <w:rsid w:val="0001111B"/>
    <w:rsid w:val="0001140A"/>
    <w:rsid w:val="00011522"/>
    <w:rsid w:val="00013B7F"/>
    <w:rsid w:val="00013F00"/>
    <w:rsid w:val="0001593E"/>
    <w:rsid w:val="00015D74"/>
    <w:rsid w:val="00022ACD"/>
    <w:rsid w:val="00024A29"/>
    <w:rsid w:val="00024BA7"/>
    <w:rsid w:val="000262B3"/>
    <w:rsid w:val="00030A89"/>
    <w:rsid w:val="000325E2"/>
    <w:rsid w:val="00036508"/>
    <w:rsid w:val="00047F26"/>
    <w:rsid w:val="00050086"/>
    <w:rsid w:val="000504F1"/>
    <w:rsid w:val="00050DA2"/>
    <w:rsid w:val="00051A2B"/>
    <w:rsid w:val="000614C8"/>
    <w:rsid w:val="00063F7B"/>
    <w:rsid w:val="00066971"/>
    <w:rsid w:val="000737E1"/>
    <w:rsid w:val="00073E30"/>
    <w:rsid w:val="00081716"/>
    <w:rsid w:val="00082EDC"/>
    <w:rsid w:val="000833BB"/>
    <w:rsid w:val="00087AE6"/>
    <w:rsid w:val="00092591"/>
    <w:rsid w:val="0009429D"/>
    <w:rsid w:val="000946A1"/>
    <w:rsid w:val="0009488C"/>
    <w:rsid w:val="0009540B"/>
    <w:rsid w:val="000962FA"/>
    <w:rsid w:val="00097968"/>
    <w:rsid w:val="000A2127"/>
    <w:rsid w:val="000A6AD8"/>
    <w:rsid w:val="000B21DA"/>
    <w:rsid w:val="000B4F62"/>
    <w:rsid w:val="000D415C"/>
    <w:rsid w:val="000D5760"/>
    <w:rsid w:val="000D71C5"/>
    <w:rsid w:val="000D7D6A"/>
    <w:rsid w:val="000E1EC8"/>
    <w:rsid w:val="000E3EE8"/>
    <w:rsid w:val="000E5343"/>
    <w:rsid w:val="000F59F8"/>
    <w:rsid w:val="001025B5"/>
    <w:rsid w:val="00102B03"/>
    <w:rsid w:val="00104142"/>
    <w:rsid w:val="00105F97"/>
    <w:rsid w:val="001142D1"/>
    <w:rsid w:val="00120C79"/>
    <w:rsid w:val="00120FB1"/>
    <w:rsid w:val="00130253"/>
    <w:rsid w:val="00133E81"/>
    <w:rsid w:val="0014048E"/>
    <w:rsid w:val="00140CED"/>
    <w:rsid w:val="00147FF5"/>
    <w:rsid w:val="00151DA9"/>
    <w:rsid w:val="00152899"/>
    <w:rsid w:val="00154961"/>
    <w:rsid w:val="00155A21"/>
    <w:rsid w:val="00161057"/>
    <w:rsid w:val="001671C1"/>
    <w:rsid w:val="00171182"/>
    <w:rsid w:val="0017124B"/>
    <w:rsid w:val="00171D7F"/>
    <w:rsid w:val="00172DDF"/>
    <w:rsid w:val="00174044"/>
    <w:rsid w:val="00180CB6"/>
    <w:rsid w:val="00180FC9"/>
    <w:rsid w:val="001838CC"/>
    <w:rsid w:val="00183EB6"/>
    <w:rsid w:val="00185ACF"/>
    <w:rsid w:val="00190579"/>
    <w:rsid w:val="001916C4"/>
    <w:rsid w:val="00192F78"/>
    <w:rsid w:val="00195810"/>
    <w:rsid w:val="00196E14"/>
    <w:rsid w:val="001A5145"/>
    <w:rsid w:val="001A522A"/>
    <w:rsid w:val="001A7904"/>
    <w:rsid w:val="001B1D39"/>
    <w:rsid w:val="001B4217"/>
    <w:rsid w:val="001B4893"/>
    <w:rsid w:val="001B5D3E"/>
    <w:rsid w:val="001B606B"/>
    <w:rsid w:val="001C0755"/>
    <w:rsid w:val="001C2371"/>
    <w:rsid w:val="001C33E6"/>
    <w:rsid w:val="001C34E5"/>
    <w:rsid w:val="001C7048"/>
    <w:rsid w:val="001D3CC2"/>
    <w:rsid w:val="001E2EED"/>
    <w:rsid w:val="001E4691"/>
    <w:rsid w:val="001E518E"/>
    <w:rsid w:val="001F0A29"/>
    <w:rsid w:val="001F3DBD"/>
    <w:rsid w:val="001F648A"/>
    <w:rsid w:val="00200727"/>
    <w:rsid w:val="00201620"/>
    <w:rsid w:val="0020474A"/>
    <w:rsid w:val="00205392"/>
    <w:rsid w:val="00206919"/>
    <w:rsid w:val="002104BF"/>
    <w:rsid w:val="002108B6"/>
    <w:rsid w:val="00215824"/>
    <w:rsid w:val="00216BC8"/>
    <w:rsid w:val="002175BA"/>
    <w:rsid w:val="0022218D"/>
    <w:rsid w:val="00226926"/>
    <w:rsid w:val="00232528"/>
    <w:rsid w:val="00235D20"/>
    <w:rsid w:val="00237FF9"/>
    <w:rsid w:val="0024012B"/>
    <w:rsid w:val="002459F6"/>
    <w:rsid w:val="00250164"/>
    <w:rsid w:val="00251668"/>
    <w:rsid w:val="00253F38"/>
    <w:rsid w:val="00253F72"/>
    <w:rsid w:val="00260E6F"/>
    <w:rsid w:val="002625C5"/>
    <w:rsid w:val="00262819"/>
    <w:rsid w:val="0026309E"/>
    <w:rsid w:val="0027499A"/>
    <w:rsid w:val="00285040"/>
    <w:rsid w:val="00285062"/>
    <w:rsid w:val="0029369B"/>
    <w:rsid w:val="00295FA0"/>
    <w:rsid w:val="002976B8"/>
    <w:rsid w:val="002A030C"/>
    <w:rsid w:val="002A4B7B"/>
    <w:rsid w:val="002B1693"/>
    <w:rsid w:val="002B77A4"/>
    <w:rsid w:val="002C15AC"/>
    <w:rsid w:val="002C2E80"/>
    <w:rsid w:val="002C4687"/>
    <w:rsid w:val="002D2842"/>
    <w:rsid w:val="002D47B3"/>
    <w:rsid w:val="002D5281"/>
    <w:rsid w:val="002E5B57"/>
    <w:rsid w:val="002E6CD7"/>
    <w:rsid w:val="002F1C4D"/>
    <w:rsid w:val="002F2881"/>
    <w:rsid w:val="002F508A"/>
    <w:rsid w:val="002F72D3"/>
    <w:rsid w:val="00302290"/>
    <w:rsid w:val="00302C31"/>
    <w:rsid w:val="00303919"/>
    <w:rsid w:val="003047C2"/>
    <w:rsid w:val="0030653F"/>
    <w:rsid w:val="0030698F"/>
    <w:rsid w:val="003102C8"/>
    <w:rsid w:val="0031117B"/>
    <w:rsid w:val="00312EBC"/>
    <w:rsid w:val="00313056"/>
    <w:rsid w:val="003312BF"/>
    <w:rsid w:val="003313A2"/>
    <w:rsid w:val="00337135"/>
    <w:rsid w:val="0034147B"/>
    <w:rsid w:val="00342E02"/>
    <w:rsid w:val="003463D6"/>
    <w:rsid w:val="00346B97"/>
    <w:rsid w:val="00346D31"/>
    <w:rsid w:val="00346DE6"/>
    <w:rsid w:val="00347E19"/>
    <w:rsid w:val="0035170A"/>
    <w:rsid w:val="00354197"/>
    <w:rsid w:val="003541F6"/>
    <w:rsid w:val="003543C5"/>
    <w:rsid w:val="00354EF2"/>
    <w:rsid w:val="00357081"/>
    <w:rsid w:val="00357D35"/>
    <w:rsid w:val="00363FCD"/>
    <w:rsid w:val="00364C43"/>
    <w:rsid w:val="00364E6A"/>
    <w:rsid w:val="00364E80"/>
    <w:rsid w:val="003676CF"/>
    <w:rsid w:val="00367720"/>
    <w:rsid w:val="00367778"/>
    <w:rsid w:val="0037029D"/>
    <w:rsid w:val="00372A48"/>
    <w:rsid w:val="00373181"/>
    <w:rsid w:val="00377123"/>
    <w:rsid w:val="00381213"/>
    <w:rsid w:val="003832F7"/>
    <w:rsid w:val="003840EC"/>
    <w:rsid w:val="00390C3F"/>
    <w:rsid w:val="00393127"/>
    <w:rsid w:val="00395873"/>
    <w:rsid w:val="003A361B"/>
    <w:rsid w:val="003A7864"/>
    <w:rsid w:val="003B1C11"/>
    <w:rsid w:val="003B4100"/>
    <w:rsid w:val="003C083B"/>
    <w:rsid w:val="003C1488"/>
    <w:rsid w:val="003C1A16"/>
    <w:rsid w:val="003C1E91"/>
    <w:rsid w:val="003C7FCC"/>
    <w:rsid w:val="003D19C3"/>
    <w:rsid w:val="003D36F9"/>
    <w:rsid w:val="003D77F1"/>
    <w:rsid w:val="003E2560"/>
    <w:rsid w:val="003E449A"/>
    <w:rsid w:val="003E4A33"/>
    <w:rsid w:val="003E724B"/>
    <w:rsid w:val="003E7A60"/>
    <w:rsid w:val="003F1F49"/>
    <w:rsid w:val="003F4801"/>
    <w:rsid w:val="003F7448"/>
    <w:rsid w:val="003F78AE"/>
    <w:rsid w:val="004067B2"/>
    <w:rsid w:val="00407F28"/>
    <w:rsid w:val="0041100A"/>
    <w:rsid w:val="004131C5"/>
    <w:rsid w:val="00413D9B"/>
    <w:rsid w:val="0042423E"/>
    <w:rsid w:val="00424BA6"/>
    <w:rsid w:val="004339E6"/>
    <w:rsid w:val="0043683A"/>
    <w:rsid w:val="00437EB1"/>
    <w:rsid w:val="00441422"/>
    <w:rsid w:val="00442091"/>
    <w:rsid w:val="00444ED6"/>
    <w:rsid w:val="00445DCB"/>
    <w:rsid w:val="0045044C"/>
    <w:rsid w:val="00450F3E"/>
    <w:rsid w:val="00460495"/>
    <w:rsid w:val="00460EEA"/>
    <w:rsid w:val="004630B6"/>
    <w:rsid w:val="00463106"/>
    <w:rsid w:val="004716B0"/>
    <w:rsid w:val="00474607"/>
    <w:rsid w:val="00474910"/>
    <w:rsid w:val="004749AF"/>
    <w:rsid w:val="00475410"/>
    <w:rsid w:val="004774FF"/>
    <w:rsid w:val="00477C59"/>
    <w:rsid w:val="00484116"/>
    <w:rsid w:val="0048424E"/>
    <w:rsid w:val="00486F42"/>
    <w:rsid w:val="004879A3"/>
    <w:rsid w:val="00487D14"/>
    <w:rsid w:val="00495F7C"/>
    <w:rsid w:val="004A1E3F"/>
    <w:rsid w:val="004A2C7E"/>
    <w:rsid w:val="004A6625"/>
    <w:rsid w:val="004A69D6"/>
    <w:rsid w:val="004A7DFE"/>
    <w:rsid w:val="004B0DBA"/>
    <w:rsid w:val="004B192C"/>
    <w:rsid w:val="004B21D9"/>
    <w:rsid w:val="004C0CE3"/>
    <w:rsid w:val="004C21C1"/>
    <w:rsid w:val="004C368B"/>
    <w:rsid w:val="004D1A31"/>
    <w:rsid w:val="004D262A"/>
    <w:rsid w:val="004D2C6F"/>
    <w:rsid w:val="004D2E01"/>
    <w:rsid w:val="004D3237"/>
    <w:rsid w:val="004E0F3F"/>
    <w:rsid w:val="004E3305"/>
    <w:rsid w:val="004E40E8"/>
    <w:rsid w:val="004E568C"/>
    <w:rsid w:val="004E5AD8"/>
    <w:rsid w:val="004F0806"/>
    <w:rsid w:val="004F12D8"/>
    <w:rsid w:val="004F22A6"/>
    <w:rsid w:val="004F4A37"/>
    <w:rsid w:val="00504B53"/>
    <w:rsid w:val="0051015D"/>
    <w:rsid w:val="0051292D"/>
    <w:rsid w:val="0051442D"/>
    <w:rsid w:val="0051622D"/>
    <w:rsid w:val="00516F20"/>
    <w:rsid w:val="00520146"/>
    <w:rsid w:val="005219EB"/>
    <w:rsid w:val="005262C2"/>
    <w:rsid w:val="0052705A"/>
    <w:rsid w:val="00527217"/>
    <w:rsid w:val="00535624"/>
    <w:rsid w:val="00537A72"/>
    <w:rsid w:val="005405F8"/>
    <w:rsid w:val="00546878"/>
    <w:rsid w:val="005509BE"/>
    <w:rsid w:val="00555A4B"/>
    <w:rsid w:val="00555F54"/>
    <w:rsid w:val="00560E18"/>
    <w:rsid w:val="005621E7"/>
    <w:rsid w:val="00571E81"/>
    <w:rsid w:val="00573FF9"/>
    <w:rsid w:val="00576B16"/>
    <w:rsid w:val="005949BC"/>
    <w:rsid w:val="005952C3"/>
    <w:rsid w:val="005A2BAC"/>
    <w:rsid w:val="005A313A"/>
    <w:rsid w:val="005A35EB"/>
    <w:rsid w:val="005A680F"/>
    <w:rsid w:val="005A70F0"/>
    <w:rsid w:val="005B07CB"/>
    <w:rsid w:val="005B2FF9"/>
    <w:rsid w:val="005B36E7"/>
    <w:rsid w:val="005B696E"/>
    <w:rsid w:val="005B6D81"/>
    <w:rsid w:val="005B7767"/>
    <w:rsid w:val="005B7DD3"/>
    <w:rsid w:val="005C7FC2"/>
    <w:rsid w:val="005D1F92"/>
    <w:rsid w:val="005D2408"/>
    <w:rsid w:val="005D6122"/>
    <w:rsid w:val="005D6E80"/>
    <w:rsid w:val="005E0B20"/>
    <w:rsid w:val="005E2936"/>
    <w:rsid w:val="005E2F7B"/>
    <w:rsid w:val="005E3C94"/>
    <w:rsid w:val="005E4C81"/>
    <w:rsid w:val="005E5C01"/>
    <w:rsid w:val="005E7118"/>
    <w:rsid w:val="005E7E9F"/>
    <w:rsid w:val="005F1CDA"/>
    <w:rsid w:val="005F37A4"/>
    <w:rsid w:val="005F3AC8"/>
    <w:rsid w:val="00602403"/>
    <w:rsid w:val="006041A4"/>
    <w:rsid w:val="006109EC"/>
    <w:rsid w:val="00610F53"/>
    <w:rsid w:val="00611D8A"/>
    <w:rsid w:val="0061430D"/>
    <w:rsid w:val="006144EF"/>
    <w:rsid w:val="006150CE"/>
    <w:rsid w:val="006165F4"/>
    <w:rsid w:val="006245EC"/>
    <w:rsid w:val="006309D5"/>
    <w:rsid w:val="00642664"/>
    <w:rsid w:val="00644BBE"/>
    <w:rsid w:val="006466DA"/>
    <w:rsid w:val="00646711"/>
    <w:rsid w:val="006479F9"/>
    <w:rsid w:val="00647DDD"/>
    <w:rsid w:val="00653BA4"/>
    <w:rsid w:val="00657478"/>
    <w:rsid w:val="00657EDA"/>
    <w:rsid w:val="006609A2"/>
    <w:rsid w:val="00660C84"/>
    <w:rsid w:val="0066132D"/>
    <w:rsid w:val="0066194B"/>
    <w:rsid w:val="00661FC4"/>
    <w:rsid w:val="00666CE2"/>
    <w:rsid w:val="00666D4D"/>
    <w:rsid w:val="00672205"/>
    <w:rsid w:val="00674933"/>
    <w:rsid w:val="0067508C"/>
    <w:rsid w:val="00677059"/>
    <w:rsid w:val="00680072"/>
    <w:rsid w:val="00680D47"/>
    <w:rsid w:val="006858DA"/>
    <w:rsid w:val="006902F1"/>
    <w:rsid w:val="006918E9"/>
    <w:rsid w:val="00694462"/>
    <w:rsid w:val="006951CE"/>
    <w:rsid w:val="00695B2C"/>
    <w:rsid w:val="006A1F2C"/>
    <w:rsid w:val="006A3B6B"/>
    <w:rsid w:val="006A438B"/>
    <w:rsid w:val="006A4F20"/>
    <w:rsid w:val="006B09B6"/>
    <w:rsid w:val="006B1E87"/>
    <w:rsid w:val="006B514A"/>
    <w:rsid w:val="006C2AB0"/>
    <w:rsid w:val="006C2B5F"/>
    <w:rsid w:val="006C31B7"/>
    <w:rsid w:val="006C4213"/>
    <w:rsid w:val="006C43D7"/>
    <w:rsid w:val="006C45FC"/>
    <w:rsid w:val="006C49F6"/>
    <w:rsid w:val="006C53ED"/>
    <w:rsid w:val="006C5694"/>
    <w:rsid w:val="006D11AD"/>
    <w:rsid w:val="006D29AA"/>
    <w:rsid w:val="006D4128"/>
    <w:rsid w:val="006D4C1B"/>
    <w:rsid w:val="006D5E57"/>
    <w:rsid w:val="006E0996"/>
    <w:rsid w:val="006E2083"/>
    <w:rsid w:val="006E2725"/>
    <w:rsid w:val="006E3064"/>
    <w:rsid w:val="006E68E6"/>
    <w:rsid w:val="006F042A"/>
    <w:rsid w:val="006F0C74"/>
    <w:rsid w:val="006F1875"/>
    <w:rsid w:val="006F2187"/>
    <w:rsid w:val="006F25E5"/>
    <w:rsid w:val="006F2FCE"/>
    <w:rsid w:val="006F36B9"/>
    <w:rsid w:val="006F415C"/>
    <w:rsid w:val="00700534"/>
    <w:rsid w:val="00700C2B"/>
    <w:rsid w:val="00702CB1"/>
    <w:rsid w:val="0070560F"/>
    <w:rsid w:val="007112CA"/>
    <w:rsid w:val="0071153B"/>
    <w:rsid w:val="007202BD"/>
    <w:rsid w:val="007205BF"/>
    <w:rsid w:val="007237D1"/>
    <w:rsid w:val="007241D4"/>
    <w:rsid w:val="00724D82"/>
    <w:rsid w:val="0072711F"/>
    <w:rsid w:val="00730BF2"/>
    <w:rsid w:val="00732A6F"/>
    <w:rsid w:val="007360A0"/>
    <w:rsid w:val="0074214D"/>
    <w:rsid w:val="00742764"/>
    <w:rsid w:val="00745456"/>
    <w:rsid w:val="0075063B"/>
    <w:rsid w:val="00751452"/>
    <w:rsid w:val="0075156A"/>
    <w:rsid w:val="00751F90"/>
    <w:rsid w:val="007619C5"/>
    <w:rsid w:val="00761C35"/>
    <w:rsid w:val="00762178"/>
    <w:rsid w:val="00766026"/>
    <w:rsid w:val="00772025"/>
    <w:rsid w:val="00772736"/>
    <w:rsid w:val="007815E0"/>
    <w:rsid w:val="00781AA0"/>
    <w:rsid w:val="00781CF7"/>
    <w:rsid w:val="00781D24"/>
    <w:rsid w:val="00782DE8"/>
    <w:rsid w:val="00792E10"/>
    <w:rsid w:val="007A1D60"/>
    <w:rsid w:val="007B165A"/>
    <w:rsid w:val="007B2DAD"/>
    <w:rsid w:val="007B7246"/>
    <w:rsid w:val="007B78C2"/>
    <w:rsid w:val="007C23FF"/>
    <w:rsid w:val="007C416B"/>
    <w:rsid w:val="007C4CB7"/>
    <w:rsid w:val="007C5008"/>
    <w:rsid w:val="007C658B"/>
    <w:rsid w:val="007D181F"/>
    <w:rsid w:val="007D1922"/>
    <w:rsid w:val="007D1E79"/>
    <w:rsid w:val="007D27CF"/>
    <w:rsid w:val="007D4DAF"/>
    <w:rsid w:val="007E1175"/>
    <w:rsid w:val="007E220A"/>
    <w:rsid w:val="007E468A"/>
    <w:rsid w:val="007E58FC"/>
    <w:rsid w:val="007E68AA"/>
    <w:rsid w:val="007F1517"/>
    <w:rsid w:val="007F204C"/>
    <w:rsid w:val="007F207F"/>
    <w:rsid w:val="007F450A"/>
    <w:rsid w:val="007F5B91"/>
    <w:rsid w:val="007F7304"/>
    <w:rsid w:val="00803CEC"/>
    <w:rsid w:val="008076A4"/>
    <w:rsid w:val="00810CA3"/>
    <w:rsid w:val="00814EB0"/>
    <w:rsid w:val="008200A7"/>
    <w:rsid w:val="00822050"/>
    <w:rsid w:val="00830952"/>
    <w:rsid w:val="00830F84"/>
    <w:rsid w:val="00831481"/>
    <w:rsid w:val="008443A9"/>
    <w:rsid w:val="008469B3"/>
    <w:rsid w:val="0085241B"/>
    <w:rsid w:val="00860576"/>
    <w:rsid w:val="0086688C"/>
    <w:rsid w:val="008674AA"/>
    <w:rsid w:val="008675CC"/>
    <w:rsid w:val="0087609B"/>
    <w:rsid w:val="0088094C"/>
    <w:rsid w:val="00881004"/>
    <w:rsid w:val="00882C40"/>
    <w:rsid w:val="00885973"/>
    <w:rsid w:val="00892908"/>
    <w:rsid w:val="008942FC"/>
    <w:rsid w:val="0089562F"/>
    <w:rsid w:val="008A082A"/>
    <w:rsid w:val="008A374C"/>
    <w:rsid w:val="008A3C4E"/>
    <w:rsid w:val="008A4C8C"/>
    <w:rsid w:val="008A4DF4"/>
    <w:rsid w:val="008B1DA9"/>
    <w:rsid w:val="008B44E5"/>
    <w:rsid w:val="008B6162"/>
    <w:rsid w:val="008C3EBC"/>
    <w:rsid w:val="008C56F6"/>
    <w:rsid w:val="008C57F6"/>
    <w:rsid w:val="008C5A15"/>
    <w:rsid w:val="008D33A3"/>
    <w:rsid w:val="008D4715"/>
    <w:rsid w:val="008D5B23"/>
    <w:rsid w:val="008D6F1D"/>
    <w:rsid w:val="008E2ACD"/>
    <w:rsid w:val="008E7F87"/>
    <w:rsid w:val="008F0CC7"/>
    <w:rsid w:val="008F11CF"/>
    <w:rsid w:val="008F189C"/>
    <w:rsid w:val="008F1FE1"/>
    <w:rsid w:val="008F32FF"/>
    <w:rsid w:val="008F4486"/>
    <w:rsid w:val="008F4FC6"/>
    <w:rsid w:val="008F72CD"/>
    <w:rsid w:val="00902179"/>
    <w:rsid w:val="00903877"/>
    <w:rsid w:val="0091544C"/>
    <w:rsid w:val="00921D03"/>
    <w:rsid w:val="00922AF1"/>
    <w:rsid w:val="009241B5"/>
    <w:rsid w:val="00925CD2"/>
    <w:rsid w:val="00933065"/>
    <w:rsid w:val="00933569"/>
    <w:rsid w:val="009365B1"/>
    <w:rsid w:val="0093799C"/>
    <w:rsid w:val="009422A1"/>
    <w:rsid w:val="00944804"/>
    <w:rsid w:val="009449FB"/>
    <w:rsid w:val="0094634F"/>
    <w:rsid w:val="009473D8"/>
    <w:rsid w:val="00960ADF"/>
    <w:rsid w:val="00963A0C"/>
    <w:rsid w:val="009661B5"/>
    <w:rsid w:val="00974A92"/>
    <w:rsid w:val="009751C6"/>
    <w:rsid w:val="00975270"/>
    <w:rsid w:val="00975BA1"/>
    <w:rsid w:val="009809DD"/>
    <w:rsid w:val="009835E3"/>
    <w:rsid w:val="009837A6"/>
    <w:rsid w:val="00983EF8"/>
    <w:rsid w:val="009869F2"/>
    <w:rsid w:val="00987CDB"/>
    <w:rsid w:val="00993BEC"/>
    <w:rsid w:val="00996F0C"/>
    <w:rsid w:val="009A2726"/>
    <w:rsid w:val="009A30E0"/>
    <w:rsid w:val="009A3619"/>
    <w:rsid w:val="009A66D0"/>
    <w:rsid w:val="009B08AF"/>
    <w:rsid w:val="009B3DFC"/>
    <w:rsid w:val="009B793E"/>
    <w:rsid w:val="009C1EA6"/>
    <w:rsid w:val="009C37B9"/>
    <w:rsid w:val="009C38E7"/>
    <w:rsid w:val="009D32BD"/>
    <w:rsid w:val="009D33F1"/>
    <w:rsid w:val="009D35B5"/>
    <w:rsid w:val="009D4486"/>
    <w:rsid w:val="009D5ED2"/>
    <w:rsid w:val="009D7128"/>
    <w:rsid w:val="009F211E"/>
    <w:rsid w:val="009F2572"/>
    <w:rsid w:val="009F294E"/>
    <w:rsid w:val="009F30F1"/>
    <w:rsid w:val="009F37C7"/>
    <w:rsid w:val="009F50AB"/>
    <w:rsid w:val="009F676E"/>
    <w:rsid w:val="00A00304"/>
    <w:rsid w:val="00A005F6"/>
    <w:rsid w:val="00A0424F"/>
    <w:rsid w:val="00A103FF"/>
    <w:rsid w:val="00A121B5"/>
    <w:rsid w:val="00A16C6E"/>
    <w:rsid w:val="00A17DB2"/>
    <w:rsid w:val="00A22A14"/>
    <w:rsid w:val="00A23A49"/>
    <w:rsid w:val="00A26214"/>
    <w:rsid w:val="00A26566"/>
    <w:rsid w:val="00A27A51"/>
    <w:rsid w:val="00A3310D"/>
    <w:rsid w:val="00A37BA4"/>
    <w:rsid w:val="00A402F6"/>
    <w:rsid w:val="00A42167"/>
    <w:rsid w:val="00A43739"/>
    <w:rsid w:val="00A47815"/>
    <w:rsid w:val="00A47A18"/>
    <w:rsid w:val="00A539CB"/>
    <w:rsid w:val="00A55E13"/>
    <w:rsid w:val="00A62396"/>
    <w:rsid w:val="00A63709"/>
    <w:rsid w:val="00A649E6"/>
    <w:rsid w:val="00A660AF"/>
    <w:rsid w:val="00A70A95"/>
    <w:rsid w:val="00A70BDA"/>
    <w:rsid w:val="00A740B6"/>
    <w:rsid w:val="00A7621E"/>
    <w:rsid w:val="00A817D5"/>
    <w:rsid w:val="00A90CFE"/>
    <w:rsid w:val="00A93351"/>
    <w:rsid w:val="00A95538"/>
    <w:rsid w:val="00A956F8"/>
    <w:rsid w:val="00AA0013"/>
    <w:rsid w:val="00AA26FF"/>
    <w:rsid w:val="00AA612A"/>
    <w:rsid w:val="00AA6E8C"/>
    <w:rsid w:val="00AA6F19"/>
    <w:rsid w:val="00AA75E6"/>
    <w:rsid w:val="00AA79A8"/>
    <w:rsid w:val="00AA7A76"/>
    <w:rsid w:val="00AA7C2E"/>
    <w:rsid w:val="00AB0286"/>
    <w:rsid w:val="00AB4C6D"/>
    <w:rsid w:val="00AB53F2"/>
    <w:rsid w:val="00AB55F7"/>
    <w:rsid w:val="00AB6B76"/>
    <w:rsid w:val="00AC2995"/>
    <w:rsid w:val="00AC2999"/>
    <w:rsid w:val="00AC4165"/>
    <w:rsid w:val="00AC556A"/>
    <w:rsid w:val="00AC76EA"/>
    <w:rsid w:val="00AC7FB7"/>
    <w:rsid w:val="00AD25B6"/>
    <w:rsid w:val="00AD2631"/>
    <w:rsid w:val="00AE1220"/>
    <w:rsid w:val="00AE287F"/>
    <w:rsid w:val="00AE37DB"/>
    <w:rsid w:val="00AE39F3"/>
    <w:rsid w:val="00AE63BD"/>
    <w:rsid w:val="00AF0B2B"/>
    <w:rsid w:val="00AF2914"/>
    <w:rsid w:val="00AF363F"/>
    <w:rsid w:val="00AF3E4F"/>
    <w:rsid w:val="00AF71E5"/>
    <w:rsid w:val="00B03D36"/>
    <w:rsid w:val="00B071FF"/>
    <w:rsid w:val="00B11505"/>
    <w:rsid w:val="00B11DC2"/>
    <w:rsid w:val="00B13150"/>
    <w:rsid w:val="00B15142"/>
    <w:rsid w:val="00B16F69"/>
    <w:rsid w:val="00B1789D"/>
    <w:rsid w:val="00B21F05"/>
    <w:rsid w:val="00B223FE"/>
    <w:rsid w:val="00B3208F"/>
    <w:rsid w:val="00B35EFB"/>
    <w:rsid w:val="00B42807"/>
    <w:rsid w:val="00B428A6"/>
    <w:rsid w:val="00B42AA9"/>
    <w:rsid w:val="00B43340"/>
    <w:rsid w:val="00B4461C"/>
    <w:rsid w:val="00B52CB3"/>
    <w:rsid w:val="00B53913"/>
    <w:rsid w:val="00B554D4"/>
    <w:rsid w:val="00B55F3A"/>
    <w:rsid w:val="00B56906"/>
    <w:rsid w:val="00B71CB5"/>
    <w:rsid w:val="00B72922"/>
    <w:rsid w:val="00B72A13"/>
    <w:rsid w:val="00B72ADA"/>
    <w:rsid w:val="00B75819"/>
    <w:rsid w:val="00B819E4"/>
    <w:rsid w:val="00B84042"/>
    <w:rsid w:val="00B84DD5"/>
    <w:rsid w:val="00B924B4"/>
    <w:rsid w:val="00B9487E"/>
    <w:rsid w:val="00B95910"/>
    <w:rsid w:val="00B96D6E"/>
    <w:rsid w:val="00BA29E7"/>
    <w:rsid w:val="00BA3A4C"/>
    <w:rsid w:val="00BB0F20"/>
    <w:rsid w:val="00BB50D7"/>
    <w:rsid w:val="00BB65C0"/>
    <w:rsid w:val="00BB7F08"/>
    <w:rsid w:val="00BC0623"/>
    <w:rsid w:val="00BC35CD"/>
    <w:rsid w:val="00BC415B"/>
    <w:rsid w:val="00BD2C66"/>
    <w:rsid w:val="00BD2CDE"/>
    <w:rsid w:val="00BD41CF"/>
    <w:rsid w:val="00BE0164"/>
    <w:rsid w:val="00BE12BD"/>
    <w:rsid w:val="00BE2ED7"/>
    <w:rsid w:val="00BE3498"/>
    <w:rsid w:val="00BE4BD9"/>
    <w:rsid w:val="00BE6AB8"/>
    <w:rsid w:val="00BF040B"/>
    <w:rsid w:val="00BF086D"/>
    <w:rsid w:val="00BF2167"/>
    <w:rsid w:val="00BF43BC"/>
    <w:rsid w:val="00BF4DDA"/>
    <w:rsid w:val="00BF55C7"/>
    <w:rsid w:val="00BF73F2"/>
    <w:rsid w:val="00BF7ED8"/>
    <w:rsid w:val="00C0222C"/>
    <w:rsid w:val="00C03FB2"/>
    <w:rsid w:val="00C04139"/>
    <w:rsid w:val="00C0572E"/>
    <w:rsid w:val="00C15C65"/>
    <w:rsid w:val="00C21B3D"/>
    <w:rsid w:val="00C24267"/>
    <w:rsid w:val="00C243E6"/>
    <w:rsid w:val="00C2788D"/>
    <w:rsid w:val="00C31D37"/>
    <w:rsid w:val="00C33398"/>
    <w:rsid w:val="00C361F6"/>
    <w:rsid w:val="00C3669A"/>
    <w:rsid w:val="00C371D5"/>
    <w:rsid w:val="00C423E3"/>
    <w:rsid w:val="00C44BAC"/>
    <w:rsid w:val="00C45626"/>
    <w:rsid w:val="00C458AF"/>
    <w:rsid w:val="00C460A0"/>
    <w:rsid w:val="00C4720D"/>
    <w:rsid w:val="00C473ED"/>
    <w:rsid w:val="00C50068"/>
    <w:rsid w:val="00C549F4"/>
    <w:rsid w:val="00C610F2"/>
    <w:rsid w:val="00C674EB"/>
    <w:rsid w:val="00C676F3"/>
    <w:rsid w:val="00C71AB8"/>
    <w:rsid w:val="00C72CE5"/>
    <w:rsid w:val="00C73E8B"/>
    <w:rsid w:val="00C74E97"/>
    <w:rsid w:val="00C75909"/>
    <w:rsid w:val="00C767D5"/>
    <w:rsid w:val="00C77EFD"/>
    <w:rsid w:val="00C809AF"/>
    <w:rsid w:val="00C81A10"/>
    <w:rsid w:val="00C825B3"/>
    <w:rsid w:val="00C829DF"/>
    <w:rsid w:val="00C82F5A"/>
    <w:rsid w:val="00C84021"/>
    <w:rsid w:val="00C86AEA"/>
    <w:rsid w:val="00C875AE"/>
    <w:rsid w:val="00C9310B"/>
    <w:rsid w:val="00C937FB"/>
    <w:rsid w:val="00CA696D"/>
    <w:rsid w:val="00CA6B5A"/>
    <w:rsid w:val="00CB1536"/>
    <w:rsid w:val="00CB3907"/>
    <w:rsid w:val="00CB6167"/>
    <w:rsid w:val="00CC0C54"/>
    <w:rsid w:val="00CC1016"/>
    <w:rsid w:val="00CC53A1"/>
    <w:rsid w:val="00CD1673"/>
    <w:rsid w:val="00CD1721"/>
    <w:rsid w:val="00CD2831"/>
    <w:rsid w:val="00CD4DDC"/>
    <w:rsid w:val="00CD547D"/>
    <w:rsid w:val="00CE284C"/>
    <w:rsid w:val="00CE6301"/>
    <w:rsid w:val="00CF047B"/>
    <w:rsid w:val="00CF2008"/>
    <w:rsid w:val="00CF3649"/>
    <w:rsid w:val="00CF4188"/>
    <w:rsid w:val="00CF4E9E"/>
    <w:rsid w:val="00CF6D8C"/>
    <w:rsid w:val="00CF7848"/>
    <w:rsid w:val="00D058FC"/>
    <w:rsid w:val="00D06213"/>
    <w:rsid w:val="00D10010"/>
    <w:rsid w:val="00D11510"/>
    <w:rsid w:val="00D12BB7"/>
    <w:rsid w:val="00D159D4"/>
    <w:rsid w:val="00D21601"/>
    <w:rsid w:val="00D22F1C"/>
    <w:rsid w:val="00D3069D"/>
    <w:rsid w:val="00D31882"/>
    <w:rsid w:val="00D31BAB"/>
    <w:rsid w:val="00D31D27"/>
    <w:rsid w:val="00D32109"/>
    <w:rsid w:val="00D34AFB"/>
    <w:rsid w:val="00D35A03"/>
    <w:rsid w:val="00D37377"/>
    <w:rsid w:val="00D41830"/>
    <w:rsid w:val="00D45B8C"/>
    <w:rsid w:val="00D56058"/>
    <w:rsid w:val="00D567E0"/>
    <w:rsid w:val="00D56A09"/>
    <w:rsid w:val="00D61F2D"/>
    <w:rsid w:val="00D630DE"/>
    <w:rsid w:val="00D645C6"/>
    <w:rsid w:val="00D65905"/>
    <w:rsid w:val="00D7327A"/>
    <w:rsid w:val="00D74EC8"/>
    <w:rsid w:val="00D8135E"/>
    <w:rsid w:val="00D81AC9"/>
    <w:rsid w:val="00D858CC"/>
    <w:rsid w:val="00D9086C"/>
    <w:rsid w:val="00D94745"/>
    <w:rsid w:val="00D94BA5"/>
    <w:rsid w:val="00D95DFF"/>
    <w:rsid w:val="00D963D5"/>
    <w:rsid w:val="00DA2380"/>
    <w:rsid w:val="00DA41B2"/>
    <w:rsid w:val="00DA5D06"/>
    <w:rsid w:val="00DA7B20"/>
    <w:rsid w:val="00DB5727"/>
    <w:rsid w:val="00DC52BC"/>
    <w:rsid w:val="00DC621D"/>
    <w:rsid w:val="00DC6A98"/>
    <w:rsid w:val="00DC6EF8"/>
    <w:rsid w:val="00DC7245"/>
    <w:rsid w:val="00DC730A"/>
    <w:rsid w:val="00DD12FC"/>
    <w:rsid w:val="00DD2B0D"/>
    <w:rsid w:val="00DE130A"/>
    <w:rsid w:val="00DE1F21"/>
    <w:rsid w:val="00DE38B2"/>
    <w:rsid w:val="00DF2C9A"/>
    <w:rsid w:val="00DF5291"/>
    <w:rsid w:val="00DF6AC1"/>
    <w:rsid w:val="00E010C4"/>
    <w:rsid w:val="00E05572"/>
    <w:rsid w:val="00E16292"/>
    <w:rsid w:val="00E166FD"/>
    <w:rsid w:val="00E20294"/>
    <w:rsid w:val="00E25706"/>
    <w:rsid w:val="00E264BB"/>
    <w:rsid w:val="00E276DF"/>
    <w:rsid w:val="00E30596"/>
    <w:rsid w:val="00E31FF9"/>
    <w:rsid w:val="00E33434"/>
    <w:rsid w:val="00E43C23"/>
    <w:rsid w:val="00E45E6A"/>
    <w:rsid w:val="00E50A42"/>
    <w:rsid w:val="00E54FA5"/>
    <w:rsid w:val="00E56D64"/>
    <w:rsid w:val="00E61081"/>
    <w:rsid w:val="00E65B18"/>
    <w:rsid w:val="00E65B9D"/>
    <w:rsid w:val="00E71CE6"/>
    <w:rsid w:val="00E71E16"/>
    <w:rsid w:val="00E728C6"/>
    <w:rsid w:val="00E76641"/>
    <w:rsid w:val="00E77AC7"/>
    <w:rsid w:val="00E851E8"/>
    <w:rsid w:val="00E86DF2"/>
    <w:rsid w:val="00E879EC"/>
    <w:rsid w:val="00E95703"/>
    <w:rsid w:val="00EA0297"/>
    <w:rsid w:val="00EA270B"/>
    <w:rsid w:val="00EA2C29"/>
    <w:rsid w:val="00EA3F05"/>
    <w:rsid w:val="00EA5E85"/>
    <w:rsid w:val="00EB0B07"/>
    <w:rsid w:val="00EB144E"/>
    <w:rsid w:val="00EB1B82"/>
    <w:rsid w:val="00EB462A"/>
    <w:rsid w:val="00EB4FC0"/>
    <w:rsid w:val="00EB635D"/>
    <w:rsid w:val="00EB6AA6"/>
    <w:rsid w:val="00EC0354"/>
    <w:rsid w:val="00EC5A70"/>
    <w:rsid w:val="00EC70BC"/>
    <w:rsid w:val="00ED018E"/>
    <w:rsid w:val="00ED044F"/>
    <w:rsid w:val="00ED07AD"/>
    <w:rsid w:val="00ED1D7F"/>
    <w:rsid w:val="00ED39D5"/>
    <w:rsid w:val="00ED3B36"/>
    <w:rsid w:val="00ED57A2"/>
    <w:rsid w:val="00EE55F9"/>
    <w:rsid w:val="00EE62A5"/>
    <w:rsid w:val="00EE63DE"/>
    <w:rsid w:val="00EF00EA"/>
    <w:rsid w:val="00EF34E1"/>
    <w:rsid w:val="00EF36A0"/>
    <w:rsid w:val="00EF5446"/>
    <w:rsid w:val="00F07336"/>
    <w:rsid w:val="00F11454"/>
    <w:rsid w:val="00F12E5A"/>
    <w:rsid w:val="00F221FC"/>
    <w:rsid w:val="00F24025"/>
    <w:rsid w:val="00F24C53"/>
    <w:rsid w:val="00F35CAE"/>
    <w:rsid w:val="00F36EE7"/>
    <w:rsid w:val="00F41D9D"/>
    <w:rsid w:val="00F4468A"/>
    <w:rsid w:val="00F57AFC"/>
    <w:rsid w:val="00F627E4"/>
    <w:rsid w:val="00F65DBD"/>
    <w:rsid w:val="00F669B9"/>
    <w:rsid w:val="00F773E6"/>
    <w:rsid w:val="00F80A07"/>
    <w:rsid w:val="00F80CEE"/>
    <w:rsid w:val="00F81C18"/>
    <w:rsid w:val="00F81F36"/>
    <w:rsid w:val="00F8493C"/>
    <w:rsid w:val="00F85468"/>
    <w:rsid w:val="00F86A45"/>
    <w:rsid w:val="00F86BC7"/>
    <w:rsid w:val="00F907D4"/>
    <w:rsid w:val="00F9202F"/>
    <w:rsid w:val="00F92AA4"/>
    <w:rsid w:val="00FA2519"/>
    <w:rsid w:val="00FA6B1E"/>
    <w:rsid w:val="00FB4165"/>
    <w:rsid w:val="00FB59A0"/>
    <w:rsid w:val="00FC1792"/>
    <w:rsid w:val="00FC42BD"/>
    <w:rsid w:val="00FD2E9B"/>
    <w:rsid w:val="00FE065B"/>
    <w:rsid w:val="00FE17D2"/>
    <w:rsid w:val="00FF6D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57696"/>
  <w15:docId w15:val="{E1F9935E-2E9F-4B13-8260-886E8E0B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9869F2"/>
    <w:pPr>
      <w:ind w:left="340" w:hanging="340"/>
      <w:jc w:val="both"/>
    </w:pPr>
    <w:rPr>
      <w:sz w:val="20"/>
      <w:szCs w:val="20"/>
    </w:rPr>
  </w:style>
  <w:style w:type="character" w:customStyle="1" w:styleId="FootnoteTextChar">
    <w:name w:val="Footnote Text Char"/>
    <w:basedOn w:val="DefaultParagraphFont"/>
    <w:link w:val="FootnoteText"/>
    <w:uiPriority w:val="99"/>
    <w:rsid w:val="009869F2"/>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semiHidden/>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iPriority w:val="99"/>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59"/>
    <w:rsid w:val="00210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30A89"/>
    <w:rPr>
      <w:sz w:val="20"/>
      <w:szCs w:val="20"/>
    </w:rPr>
  </w:style>
  <w:style w:type="character" w:customStyle="1" w:styleId="EndnoteTextChar">
    <w:name w:val="Endnote Text Char"/>
    <w:basedOn w:val="DefaultParagraphFont"/>
    <w:link w:val="EndnoteText"/>
    <w:uiPriority w:val="99"/>
    <w:semiHidden/>
    <w:rsid w:val="00030A89"/>
    <w:rPr>
      <w:rFonts w:ascii="Arial" w:hAnsi="Arial"/>
      <w:lang w:eastAsia="en-US"/>
    </w:rPr>
  </w:style>
  <w:style w:type="character" w:styleId="EndnoteReference">
    <w:name w:val="endnote reference"/>
    <w:basedOn w:val="DefaultParagraphFont"/>
    <w:uiPriority w:val="99"/>
    <w:semiHidden/>
    <w:unhideWhenUsed/>
    <w:rsid w:val="00030A89"/>
    <w:rPr>
      <w:vertAlign w:val="superscript"/>
    </w:rPr>
  </w:style>
  <w:style w:type="character" w:customStyle="1" w:styleId="footnoteanchor">
    <w:name w:val="footnoteanchor"/>
    <w:basedOn w:val="DefaultParagraphFont"/>
    <w:rsid w:val="00BF7ED8"/>
  </w:style>
  <w:style w:type="character" w:customStyle="1" w:styleId="AFUBodytextCharChar">
    <w:name w:val="AFU Body text Char Char"/>
    <w:basedOn w:val="DefaultParagraphFont"/>
    <w:link w:val="AFUBodytext"/>
    <w:locked/>
    <w:rsid w:val="007A1D60"/>
    <w:rPr>
      <w:rFonts w:ascii="Arial" w:hAnsi="Arial" w:cs="Arial"/>
      <w:sz w:val="22"/>
      <w:szCs w:val="22"/>
      <w:lang w:eastAsia="en-GB"/>
    </w:rPr>
  </w:style>
  <w:style w:type="paragraph" w:customStyle="1" w:styleId="AFUBodytext">
    <w:name w:val="AFU Body text"/>
    <w:basedOn w:val="Normal"/>
    <w:link w:val="AFUBodytextCharChar"/>
    <w:rsid w:val="007A1D60"/>
    <w:pPr>
      <w:spacing w:before="120" w:after="120" w:line="480" w:lineRule="auto"/>
      <w:jc w:val="both"/>
    </w:pPr>
    <w:rPr>
      <w:rFonts w:cs="Arial"/>
      <w:szCs w:val="22"/>
      <w:lang w:eastAsia="en-GB"/>
    </w:rPr>
  </w:style>
  <w:style w:type="paragraph" w:customStyle="1" w:styleId="AFUaffidavitnumbering">
    <w:name w:val="AFU affidavit numbering"/>
    <w:basedOn w:val="Normal"/>
    <w:link w:val="AFUaffidavitnumberingCharChar"/>
    <w:uiPriority w:val="99"/>
    <w:qFormat/>
    <w:rsid w:val="00E61081"/>
    <w:pPr>
      <w:numPr>
        <w:numId w:val="12"/>
      </w:numPr>
      <w:spacing w:before="240" w:after="240" w:line="480" w:lineRule="auto"/>
      <w:jc w:val="both"/>
    </w:pPr>
    <w:rPr>
      <w:rFonts w:eastAsia="Calibri"/>
      <w:szCs w:val="22"/>
    </w:rPr>
  </w:style>
  <w:style w:type="character" w:customStyle="1" w:styleId="AFUaffidavitnumberingCharChar">
    <w:name w:val="AFU affidavit numbering Char Char"/>
    <w:basedOn w:val="DefaultParagraphFont"/>
    <w:link w:val="AFUaffidavitnumbering"/>
    <w:uiPriority w:val="99"/>
    <w:rsid w:val="00E61081"/>
    <w:rPr>
      <w:rFonts w:ascii="Arial" w:eastAsia="Calibri" w:hAnsi="Arial"/>
      <w:sz w:val="22"/>
      <w:szCs w:val="22"/>
      <w:lang w:eastAsia="en-US"/>
    </w:rPr>
  </w:style>
  <w:style w:type="paragraph" w:customStyle="1" w:styleId="q-normal">
    <w:name w:val="q-normal"/>
    <w:basedOn w:val="Normal"/>
    <w:rsid w:val="00674933"/>
    <w:pPr>
      <w:spacing w:before="100" w:beforeAutospacing="1" w:after="100" w:afterAutospacing="1"/>
    </w:pPr>
    <w:rPr>
      <w:rFonts w:ascii="Times New Roman" w:hAnsi="Times New Roman"/>
      <w:sz w:val="24"/>
      <w:lang w:eastAsia="en-ZA"/>
    </w:rPr>
  </w:style>
  <w:style w:type="character" w:customStyle="1" w:styleId="lphit">
    <w:name w:val="lphit"/>
    <w:basedOn w:val="DefaultParagraphFont"/>
    <w:rsid w:val="00674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163209253">
      <w:bodyDiv w:val="1"/>
      <w:marLeft w:val="0"/>
      <w:marRight w:val="0"/>
      <w:marTop w:val="0"/>
      <w:marBottom w:val="0"/>
      <w:divBdr>
        <w:top w:val="none" w:sz="0" w:space="0" w:color="auto"/>
        <w:left w:val="none" w:sz="0" w:space="0" w:color="auto"/>
        <w:bottom w:val="none" w:sz="0" w:space="0" w:color="auto"/>
        <w:right w:val="none" w:sz="0" w:space="0" w:color="auto"/>
      </w:divBdr>
      <w:divsChild>
        <w:div w:id="1238244361">
          <w:marLeft w:val="0"/>
          <w:marRight w:val="0"/>
          <w:marTop w:val="240"/>
          <w:marBottom w:val="0"/>
          <w:divBdr>
            <w:top w:val="none" w:sz="0" w:space="0" w:color="auto"/>
            <w:left w:val="none" w:sz="0" w:space="0" w:color="auto"/>
            <w:bottom w:val="none" w:sz="0" w:space="0" w:color="auto"/>
            <w:right w:val="none" w:sz="0" w:space="0" w:color="auto"/>
          </w:divBdr>
        </w:div>
        <w:div w:id="559486776">
          <w:marLeft w:val="0"/>
          <w:marRight w:val="0"/>
          <w:marTop w:val="120"/>
          <w:marBottom w:val="0"/>
          <w:divBdr>
            <w:top w:val="none" w:sz="0" w:space="0" w:color="auto"/>
            <w:left w:val="none" w:sz="0" w:space="0" w:color="auto"/>
            <w:bottom w:val="none" w:sz="0" w:space="0" w:color="auto"/>
            <w:right w:val="none" w:sz="0" w:space="0" w:color="auto"/>
          </w:divBdr>
        </w:div>
        <w:div w:id="1412848520">
          <w:marLeft w:val="567"/>
          <w:marRight w:val="567"/>
          <w:marTop w:val="20"/>
          <w:marBottom w:val="20"/>
          <w:divBdr>
            <w:top w:val="none" w:sz="0" w:space="0" w:color="auto"/>
            <w:left w:val="none" w:sz="0" w:space="0" w:color="auto"/>
            <w:bottom w:val="none" w:sz="0" w:space="0" w:color="auto"/>
            <w:right w:val="none" w:sz="0" w:space="0" w:color="auto"/>
          </w:divBdr>
        </w:div>
      </w:divsChild>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447895792">
      <w:bodyDiv w:val="1"/>
      <w:marLeft w:val="0"/>
      <w:marRight w:val="0"/>
      <w:marTop w:val="0"/>
      <w:marBottom w:val="0"/>
      <w:divBdr>
        <w:top w:val="none" w:sz="0" w:space="0" w:color="auto"/>
        <w:left w:val="none" w:sz="0" w:space="0" w:color="auto"/>
        <w:bottom w:val="none" w:sz="0" w:space="0" w:color="auto"/>
        <w:right w:val="none" w:sz="0" w:space="0" w:color="auto"/>
      </w:divBdr>
    </w:div>
    <w:div w:id="570697089">
      <w:bodyDiv w:val="1"/>
      <w:marLeft w:val="0"/>
      <w:marRight w:val="0"/>
      <w:marTop w:val="0"/>
      <w:marBottom w:val="0"/>
      <w:divBdr>
        <w:top w:val="none" w:sz="0" w:space="0" w:color="auto"/>
        <w:left w:val="none" w:sz="0" w:space="0" w:color="auto"/>
        <w:bottom w:val="none" w:sz="0" w:space="0" w:color="auto"/>
        <w:right w:val="none" w:sz="0" w:space="0" w:color="auto"/>
      </w:divBdr>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150560590">
      <w:bodyDiv w:val="1"/>
      <w:marLeft w:val="0"/>
      <w:marRight w:val="0"/>
      <w:marTop w:val="0"/>
      <w:marBottom w:val="0"/>
      <w:divBdr>
        <w:top w:val="none" w:sz="0" w:space="0" w:color="auto"/>
        <w:left w:val="none" w:sz="0" w:space="0" w:color="auto"/>
        <w:bottom w:val="none" w:sz="0" w:space="0" w:color="auto"/>
        <w:right w:val="none" w:sz="0" w:space="0" w:color="auto"/>
      </w:divBdr>
    </w:div>
    <w:div w:id="1174035608">
      <w:bodyDiv w:val="1"/>
      <w:marLeft w:val="0"/>
      <w:marRight w:val="0"/>
      <w:marTop w:val="0"/>
      <w:marBottom w:val="0"/>
      <w:divBdr>
        <w:top w:val="none" w:sz="0" w:space="0" w:color="auto"/>
        <w:left w:val="none" w:sz="0" w:space="0" w:color="auto"/>
        <w:bottom w:val="none" w:sz="0" w:space="0" w:color="auto"/>
        <w:right w:val="none" w:sz="0" w:space="0" w:color="auto"/>
      </w:divBdr>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407846059">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670987435">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p.jutastatevolve.co.za/y1912ADpg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528B1-E47F-48F6-86CC-9FEBC81DF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1</TotalTime>
  <Pages>17</Pages>
  <Words>4219</Words>
  <Characters>24049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28212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creator>JR TYPING SERVICES</dc:creator>
  <cp:keywords>JOHAN MOORCROFT</cp:keywords>
  <cp:lastModifiedBy>Mokone</cp:lastModifiedBy>
  <cp:revision>3</cp:revision>
  <cp:lastPrinted>2023-08-13T05:43:00Z</cp:lastPrinted>
  <dcterms:created xsi:type="dcterms:W3CDTF">2023-08-16T13:18:00Z</dcterms:created>
  <dcterms:modified xsi:type="dcterms:W3CDTF">2023-08-16T13:19:00Z</dcterms:modified>
</cp:coreProperties>
</file>