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5BDC6" w14:textId="77777777" w:rsidR="006A7118" w:rsidRPr="00DB2A06" w:rsidRDefault="006A7118" w:rsidP="006A711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90769E1" w14:textId="77777777" w:rsidR="006A7118" w:rsidRDefault="006A7118" w:rsidP="00DB1F05">
      <w:pPr>
        <w:jc w:val="center"/>
        <w:rPr>
          <w:rFonts w:ascii="Arial" w:hAnsi="Arial" w:cs="Arial"/>
          <w:b/>
          <w:sz w:val="24"/>
          <w:szCs w:val="24"/>
          <w:lang w:val="en-US"/>
        </w:rPr>
      </w:pPr>
    </w:p>
    <w:p w14:paraId="7E4D226A" w14:textId="77777777" w:rsidR="004B1033" w:rsidRPr="007A296C" w:rsidRDefault="004B1033" w:rsidP="00DB1F05">
      <w:pPr>
        <w:jc w:val="center"/>
        <w:rPr>
          <w:rFonts w:ascii="Arial" w:hAnsi="Arial" w:cs="Arial"/>
          <w:b/>
          <w:sz w:val="24"/>
          <w:szCs w:val="24"/>
          <w:lang w:val="en-US"/>
        </w:rPr>
      </w:pPr>
      <w:r w:rsidRPr="007A296C">
        <w:rPr>
          <w:rFonts w:ascii="Arial" w:hAnsi="Arial" w:cs="Arial"/>
          <w:b/>
          <w:sz w:val="24"/>
          <w:szCs w:val="24"/>
          <w:lang w:val="en-US"/>
        </w:rPr>
        <w:t>THE REPUBLIC OF SOUTH AFRICA</w:t>
      </w:r>
    </w:p>
    <w:p w14:paraId="702E33F1" w14:textId="77777777" w:rsidR="004B1033" w:rsidRPr="007A296C" w:rsidRDefault="004B1033" w:rsidP="00D80A9D">
      <w:pPr>
        <w:spacing w:before="120" w:after="120"/>
        <w:jc w:val="center"/>
        <w:rPr>
          <w:rFonts w:ascii="Arial" w:hAnsi="Arial" w:cs="Arial"/>
          <w:b/>
          <w:bCs/>
          <w:sz w:val="24"/>
          <w:szCs w:val="24"/>
          <w:lang w:val="en-US"/>
        </w:rPr>
      </w:pPr>
    </w:p>
    <w:p w14:paraId="378B9312" w14:textId="6B3CB63F" w:rsidR="004B1033" w:rsidRPr="007A296C" w:rsidRDefault="002A2AFC" w:rsidP="00D80A9D">
      <w:pPr>
        <w:spacing w:before="120" w:after="120"/>
        <w:jc w:val="center"/>
        <w:rPr>
          <w:rFonts w:ascii="Arial" w:hAnsi="Arial" w:cs="Arial"/>
          <w:b/>
          <w:bCs/>
          <w:sz w:val="24"/>
          <w:szCs w:val="24"/>
          <w:lang w:val="en-US"/>
        </w:rPr>
      </w:pPr>
      <w:r>
        <w:rPr>
          <w:rFonts w:ascii="Arial" w:hAnsi="Arial" w:cs="Arial"/>
          <w:noProof/>
          <w:sz w:val="24"/>
          <w:szCs w:val="24"/>
          <w:lang w:val="en-US"/>
        </w:rPr>
        <w:drawing>
          <wp:inline distT="0" distB="0" distL="0" distR="0" wp14:anchorId="77E3EE00" wp14:editId="745B3CE9">
            <wp:extent cx="1440815" cy="1440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inline>
        </w:drawing>
      </w:r>
    </w:p>
    <w:p w14:paraId="0095F063" w14:textId="77777777" w:rsidR="004B1033" w:rsidRPr="007A296C" w:rsidRDefault="004B1033" w:rsidP="00D80A9D">
      <w:pPr>
        <w:spacing w:before="120" w:after="120"/>
        <w:jc w:val="center"/>
        <w:rPr>
          <w:rFonts w:ascii="Arial" w:hAnsi="Arial" w:cs="Arial"/>
          <w:b/>
          <w:bCs/>
          <w:sz w:val="24"/>
          <w:szCs w:val="24"/>
          <w:lang w:val="en-US"/>
        </w:rPr>
      </w:pPr>
      <w:r w:rsidRPr="007A296C">
        <w:rPr>
          <w:rFonts w:ascii="Arial" w:hAnsi="Arial" w:cs="Arial"/>
          <w:b/>
          <w:bCs/>
          <w:sz w:val="24"/>
          <w:szCs w:val="24"/>
          <w:lang w:val="en-US"/>
        </w:rPr>
        <w:t>IN THE HIGH COURT OF SOUTH AFRICA</w:t>
      </w:r>
    </w:p>
    <w:p w14:paraId="1333A716" w14:textId="77777777" w:rsidR="004B1033" w:rsidRPr="007A296C" w:rsidRDefault="004B1033" w:rsidP="00D80A9D">
      <w:pPr>
        <w:spacing w:before="120" w:after="120"/>
        <w:jc w:val="center"/>
        <w:rPr>
          <w:rFonts w:ascii="Arial" w:hAnsi="Arial" w:cs="Arial"/>
          <w:b/>
          <w:bCs/>
          <w:sz w:val="24"/>
          <w:szCs w:val="24"/>
          <w:lang w:val="en-US"/>
        </w:rPr>
      </w:pPr>
      <w:r w:rsidRPr="007A296C">
        <w:rPr>
          <w:rFonts w:ascii="Arial" w:hAnsi="Arial" w:cs="Arial"/>
          <w:b/>
          <w:bCs/>
          <w:sz w:val="24"/>
          <w:szCs w:val="24"/>
          <w:lang w:val="en-US"/>
        </w:rPr>
        <w:t>GAUTENG</w:t>
      </w:r>
      <w:r w:rsidR="00A20854" w:rsidRPr="007A296C">
        <w:rPr>
          <w:rFonts w:ascii="Arial" w:hAnsi="Arial" w:cs="Arial"/>
          <w:b/>
          <w:bCs/>
          <w:sz w:val="24"/>
          <w:szCs w:val="24"/>
          <w:lang w:val="en-US"/>
        </w:rPr>
        <w:t xml:space="preserve"> </w:t>
      </w:r>
      <w:r w:rsidRPr="007A296C">
        <w:rPr>
          <w:rFonts w:ascii="Arial" w:hAnsi="Arial" w:cs="Arial"/>
          <w:b/>
          <w:bCs/>
          <w:sz w:val="24"/>
          <w:szCs w:val="24"/>
          <w:lang w:val="en-US"/>
        </w:rPr>
        <w:t>DIVISION, JOHANNESBURG</w:t>
      </w:r>
    </w:p>
    <w:p w14:paraId="3F9DB569" w14:textId="279F31A0" w:rsidR="00DB1F05" w:rsidRPr="007A296C" w:rsidRDefault="00DB1F05" w:rsidP="00D80A9D">
      <w:pPr>
        <w:spacing w:before="120" w:after="120"/>
        <w:jc w:val="right"/>
        <w:rPr>
          <w:rFonts w:ascii="Arial" w:hAnsi="Arial" w:cs="Arial"/>
          <w:b/>
          <w:bCs/>
          <w:sz w:val="24"/>
          <w:szCs w:val="24"/>
          <w:lang w:val="en-US"/>
        </w:rPr>
      </w:pPr>
      <w:r w:rsidRPr="007A296C">
        <w:rPr>
          <w:rFonts w:ascii="Arial" w:eastAsia="Times New Roman" w:hAnsi="Arial" w:cs="Arial"/>
          <w:b/>
          <w:bCs/>
          <w:sz w:val="24"/>
          <w:szCs w:val="24"/>
        </w:rPr>
        <w:t>CASE NO:  20</w:t>
      </w:r>
      <w:r w:rsidR="004C2D79">
        <w:rPr>
          <w:rFonts w:ascii="Arial" w:eastAsia="Times New Roman" w:hAnsi="Arial" w:cs="Arial"/>
          <w:b/>
          <w:bCs/>
          <w:sz w:val="24"/>
          <w:szCs w:val="24"/>
        </w:rPr>
        <w:t>18</w:t>
      </w:r>
      <w:r w:rsidRPr="007A296C">
        <w:rPr>
          <w:rFonts w:ascii="Arial" w:eastAsia="Times New Roman" w:hAnsi="Arial" w:cs="Arial"/>
          <w:b/>
          <w:bCs/>
          <w:sz w:val="24"/>
          <w:szCs w:val="24"/>
        </w:rPr>
        <w:t>/</w:t>
      </w:r>
      <w:r w:rsidR="004C2D79">
        <w:rPr>
          <w:rFonts w:ascii="Arial" w:eastAsia="Times New Roman" w:hAnsi="Arial" w:cs="Arial"/>
          <w:b/>
          <w:bCs/>
          <w:sz w:val="24"/>
          <w:szCs w:val="24"/>
        </w:rPr>
        <w:t>39527</w:t>
      </w:r>
    </w:p>
    <w:p w14:paraId="204547E3" w14:textId="77777777" w:rsidR="004B1033" w:rsidRPr="007A296C" w:rsidRDefault="004B1033" w:rsidP="00D80A9D">
      <w:pPr>
        <w:spacing w:before="120" w:after="120"/>
        <w:jc w:val="center"/>
        <w:rPr>
          <w:rFonts w:ascii="Arial" w:hAnsi="Arial" w:cs="Arial"/>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4B1033" w:rsidRPr="007A296C" w14:paraId="3C41D18B" w14:textId="77777777" w:rsidTr="004B1033">
        <w:tc>
          <w:tcPr>
            <w:tcW w:w="5148" w:type="dxa"/>
            <w:tcBorders>
              <w:top w:val="single" w:sz="4" w:space="0" w:color="auto"/>
              <w:left w:val="single" w:sz="4" w:space="0" w:color="auto"/>
              <w:bottom w:val="single" w:sz="4" w:space="0" w:color="auto"/>
              <w:right w:val="single" w:sz="4" w:space="0" w:color="auto"/>
            </w:tcBorders>
          </w:tcPr>
          <w:p w14:paraId="1CE39D3E" w14:textId="77777777" w:rsidR="004B1033" w:rsidRPr="007A296C" w:rsidRDefault="004B1033" w:rsidP="00D80A9D">
            <w:pPr>
              <w:rPr>
                <w:rFonts w:ascii="Arial" w:eastAsia="Times New Roman" w:hAnsi="Arial" w:cs="Arial"/>
                <w:sz w:val="24"/>
                <w:szCs w:val="24"/>
                <w:lang w:eastAsia="en-GB"/>
              </w:rPr>
            </w:pPr>
          </w:p>
          <w:p w14:paraId="63141BD4" w14:textId="4A3A3B8D" w:rsidR="004B1033" w:rsidRPr="004C2D79" w:rsidRDefault="004B1033" w:rsidP="00D80A9D">
            <w:pPr>
              <w:rPr>
                <w:rFonts w:ascii="Arial" w:eastAsia="Times New Roman" w:hAnsi="Arial" w:cs="Arial"/>
                <w:lang w:eastAsia="en-GB"/>
              </w:rPr>
            </w:pPr>
            <w:r w:rsidRPr="004C2D79">
              <w:rPr>
                <w:rFonts w:ascii="Arial" w:eastAsia="Times New Roman" w:hAnsi="Arial" w:cs="Arial"/>
                <w:lang w:eastAsia="en-GB"/>
              </w:rPr>
              <w:t xml:space="preserve">(1)    REPORTABLE:  </w:t>
            </w:r>
            <w:r w:rsidR="00F5151C">
              <w:rPr>
                <w:rFonts w:ascii="Arial" w:eastAsia="Times New Roman" w:hAnsi="Arial" w:cs="Arial"/>
                <w:lang w:eastAsia="en-GB"/>
              </w:rPr>
              <w:t>NO</w:t>
            </w:r>
          </w:p>
          <w:p w14:paraId="157C78B9" w14:textId="4C389640" w:rsidR="004B1033" w:rsidRPr="004C2D79" w:rsidRDefault="004B1033" w:rsidP="00D80A9D">
            <w:pPr>
              <w:rPr>
                <w:rFonts w:ascii="Arial" w:eastAsia="Times New Roman" w:hAnsi="Arial" w:cs="Arial"/>
                <w:lang w:eastAsia="en-GB"/>
              </w:rPr>
            </w:pPr>
            <w:r w:rsidRPr="004C2D79">
              <w:rPr>
                <w:rFonts w:ascii="Arial" w:eastAsia="Times New Roman" w:hAnsi="Arial" w:cs="Arial"/>
                <w:lang w:eastAsia="en-GB"/>
              </w:rPr>
              <w:t xml:space="preserve">(2)    OF INTEREST TO OTHER JUDGES:  </w:t>
            </w:r>
            <w:r w:rsidR="00F5151C">
              <w:rPr>
                <w:rFonts w:ascii="Arial" w:eastAsia="Times New Roman" w:hAnsi="Arial" w:cs="Arial"/>
                <w:lang w:eastAsia="en-GB"/>
              </w:rPr>
              <w:t>NO</w:t>
            </w:r>
          </w:p>
          <w:p w14:paraId="6330097A" w14:textId="77777777" w:rsidR="004B1033" w:rsidRPr="004C2D79" w:rsidRDefault="004B1033" w:rsidP="00D80A9D">
            <w:pPr>
              <w:rPr>
                <w:rFonts w:ascii="Arial" w:eastAsia="Times New Roman" w:hAnsi="Arial" w:cs="Arial"/>
                <w:lang w:eastAsia="en-GB"/>
              </w:rPr>
            </w:pPr>
            <w:r w:rsidRPr="004C2D79">
              <w:rPr>
                <w:rFonts w:ascii="Arial" w:eastAsia="Times New Roman" w:hAnsi="Arial" w:cs="Arial"/>
                <w:lang w:eastAsia="en-GB"/>
              </w:rPr>
              <w:t>(3)    REVISED</w:t>
            </w:r>
          </w:p>
          <w:p w14:paraId="44E876F8" w14:textId="77777777" w:rsidR="004B1033" w:rsidRPr="004C2D79" w:rsidRDefault="004B1033" w:rsidP="00D80A9D">
            <w:pPr>
              <w:rPr>
                <w:rFonts w:ascii="Arial" w:eastAsia="Times New Roman" w:hAnsi="Arial" w:cs="Arial"/>
                <w:lang w:eastAsia="en-GB"/>
              </w:rPr>
            </w:pPr>
          </w:p>
          <w:p w14:paraId="2528E648" w14:textId="77777777" w:rsidR="002949CA" w:rsidRPr="004C2D79" w:rsidRDefault="004B1033" w:rsidP="00D80A9D">
            <w:pPr>
              <w:rPr>
                <w:rFonts w:ascii="Arial" w:eastAsia="Times New Roman" w:hAnsi="Arial" w:cs="Arial"/>
                <w:lang w:eastAsia="en-GB"/>
              </w:rPr>
            </w:pPr>
            <w:r w:rsidRPr="004C2D79">
              <w:rPr>
                <w:rFonts w:ascii="Arial" w:eastAsia="Times New Roman" w:hAnsi="Arial" w:cs="Arial"/>
                <w:lang w:eastAsia="en-GB"/>
              </w:rPr>
              <w:t xml:space="preserve">______________________         </w:t>
            </w:r>
          </w:p>
          <w:p w14:paraId="2D1717FF" w14:textId="77777777" w:rsidR="002949CA" w:rsidRPr="004C2D79" w:rsidRDefault="002949CA" w:rsidP="00D80A9D">
            <w:pPr>
              <w:rPr>
                <w:rFonts w:ascii="Arial" w:eastAsia="Times New Roman" w:hAnsi="Arial" w:cs="Arial"/>
                <w:lang w:eastAsia="en-GB"/>
              </w:rPr>
            </w:pPr>
            <w:r w:rsidRPr="004C2D79">
              <w:rPr>
                <w:rFonts w:ascii="Arial" w:eastAsia="Times New Roman" w:hAnsi="Arial" w:cs="Arial"/>
                <w:lang w:eastAsia="en-GB"/>
              </w:rPr>
              <w:t xml:space="preserve">DATE </w:t>
            </w:r>
          </w:p>
          <w:p w14:paraId="6A00622F" w14:textId="77777777" w:rsidR="002949CA" w:rsidRPr="007A296C" w:rsidRDefault="002949CA" w:rsidP="00D80A9D">
            <w:pPr>
              <w:rPr>
                <w:rFonts w:ascii="Arial" w:eastAsia="Times New Roman" w:hAnsi="Arial" w:cs="Arial"/>
                <w:sz w:val="24"/>
                <w:szCs w:val="24"/>
                <w:lang w:eastAsia="en-GB"/>
              </w:rPr>
            </w:pPr>
          </w:p>
          <w:p w14:paraId="2BC38908" w14:textId="77777777" w:rsidR="004B1033" w:rsidRPr="007A296C" w:rsidRDefault="004B1033" w:rsidP="00D80A9D">
            <w:pPr>
              <w:rPr>
                <w:rFonts w:ascii="Arial" w:eastAsia="Times New Roman" w:hAnsi="Arial" w:cs="Arial"/>
                <w:sz w:val="24"/>
                <w:szCs w:val="24"/>
                <w:lang w:eastAsia="en-GB"/>
              </w:rPr>
            </w:pPr>
            <w:r w:rsidRPr="007A296C">
              <w:rPr>
                <w:rFonts w:ascii="Arial" w:eastAsia="Times New Roman" w:hAnsi="Arial" w:cs="Arial"/>
                <w:sz w:val="24"/>
                <w:szCs w:val="24"/>
                <w:lang w:eastAsia="en-GB"/>
              </w:rPr>
              <w:t>______________________</w:t>
            </w:r>
          </w:p>
          <w:p w14:paraId="076CB739" w14:textId="77777777" w:rsidR="004B1033" w:rsidRPr="007A296C" w:rsidRDefault="004B1033" w:rsidP="00D80A9D">
            <w:pPr>
              <w:rPr>
                <w:rFonts w:ascii="Arial" w:eastAsia="Times New Roman" w:hAnsi="Arial" w:cs="Arial"/>
                <w:sz w:val="24"/>
                <w:szCs w:val="24"/>
                <w:lang w:eastAsia="en-GB"/>
              </w:rPr>
            </w:pPr>
            <w:r w:rsidRPr="007A296C">
              <w:rPr>
                <w:rFonts w:ascii="Arial" w:eastAsia="Times New Roman" w:hAnsi="Arial" w:cs="Arial"/>
                <w:sz w:val="24"/>
                <w:szCs w:val="24"/>
                <w:lang w:eastAsia="en-GB"/>
              </w:rPr>
              <w:t>SIGNATURE</w:t>
            </w:r>
          </w:p>
          <w:p w14:paraId="70BDCBD6" w14:textId="77777777" w:rsidR="004B1033" w:rsidRPr="007A296C" w:rsidRDefault="004B1033" w:rsidP="00D80A9D">
            <w:pPr>
              <w:rPr>
                <w:rFonts w:ascii="Arial" w:eastAsia="Times New Roman" w:hAnsi="Arial" w:cs="Arial"/>
                <w:sz w:val="24"/>
                <w:szCs w:val="24"/>
                <w:lang w:eastAsia="en-GB"/>
              </w:rPr>
            </w:pPr>
          </w:p>
        </w:tc>
      </w:tr>
    </w:tbl>
    <w:p w14:paraId="4410A4A0" w14:textId="77777777" w:rsidR="004B1033" w:rsidRPr="007A296C" w:rsidRDefault="004B1033" w:rsidP="00D80A9D">
      <w:pPr>
        <w:jc w:val="center"/>
        <w:rPr>
          <w:rFonts w:ascii="Arial" w:hAnsi="Arial" w:cs="Arial"/>
          <w:b/>
          <w:sz w:val="24"/>
          <w:szCs w:val="24"/>
          <w:lang w:val="en-ZA"/>
        </w:rPr>
      </w:pPr>
    </w:p>
    <w:p w14:paraId="4D8873E1" w14:textId="77777777" w:rsidR="00C52956" w:rsidRPr="007A296C" w:rsidRDefault="00C52956" w:rsidP="00D80A9D">
      <w:pPr>
        <w:tabs>
          <w:tab w:val="left" w:pos="900"/>
          <w:tab w:val="left" w:pos="1980"/>
          <w:tab w:val="left" w:pos="2880"/>
          <w:tab w:val="right" w:pos="8364"/>
        </w:tabs>
        <w:jc w:val="center"/>
        <w:rPr>
          <w:rFonts w:ascii="Arial" w:eastAsia="Times New Roman" w:hAnsi="Arial" w:cs="Arial"/>
          <w:b/>
          <w:bCs/>
          <w:sz w:val="24"/>
          <w:szCs w:val="24"/>
        </w:rPr>
      </w:pPr>
      <w:r w:rsidRPr="007A296C">
        <w:rPr>
          <w:rFonts w:ascii="Arial" w:eastAsia="Times New Roman" w:hAnsi="Arial" w:cs="Arial"/>
          <w:b/>
          <w:bCs/>
          <w:sz w:val="24"/>
          <w:szCs w:val="24"/>
        </w:rPr>
        <w:tab/>
      </w:r>
      <w:r w:rsidRPr="007A296C">
        <w:rPr>
          <w:rFonts w:ascii="Arial" w:eastAsia="Times New Roman" w:hAnsi="Arial" w:cs="Arial"/>
          <w:b/>
          <w:bCs/>
          <w:sz w:val="24"/>
          <w:szCs w:val="24"/>
        </w:rPr>
        <w:tab/>
      </w:r>
      <w:r w:rsidRPr="007A296C">
        <w:rPr>
          <w:rFonts w:ascii="Arial" w:eastAsia="Times New Roman" w:hAnsi="Arial" w:cs="Arial"/>
          <w:b/>
          <w:bCs/>
          <w:sz w:val="24"/>
          <w:szCs w:val="24"/>
        </w:rPr>
        <w:tab/>
      </w:r>
      <w:r w:rsidRPr="007A296C">
        <w:rPr>
          <w:rFonts w:ascii="Arial" w:eastAsia="Times New Roman" w:hAnsi="Arial" w:cs="Arial"/>
          <w:b/>
          <w:bCs/>
          <w:sz w:val="24"/>
          <w:szCs w:val="24"/>
        </w:rPr>
        <w:tab/>
      </w:r>
    </w:p>
    <w:p w14:paraId="06D24BD8" w14:textId="77777777" w:rsidR="003E50E5" w:rsidRPr="007A296C" w:rsidRDefault="003E50E5" w:rsidP="00D80A9D">
      <w:pPr>
        <w:tabs>
          <w:tab w:val="left" w:pos="900"/>
          <w:tab w:val="left" w:pos="1980"/>
          <w:tab w:val="left" w:pos="2880"/>
          <w:tab w:val="right" w:pos="8364"/>
        </w:tabs>
        <w:rPr>
          <w:rFonts w:ascii="Arial" w:eastAsia="Times New Roman" w:hAnsi="Arial" w:cs="Arial"/>
          <w:bCs/>
          <w:sz w:val="24"/>
          <w:szCs w:val="24"/>
        </w:rPr>
      </w:pPr>
    </w:p>
    <w:p w14:paraId="4CB44D6C" w14:textId="77777777" w:rsidR="00C52956" w:rsidRPr="007A296C" w:rsidRDefault="00C52956" w:rsidP="00D80A9D">
      <w:pPr>
        <w:tabs>
          <w:tab w:val="left" w:pos="900"/>
          <w:tab w:val="left" w:pos="1980"/>
          <w:tab w:val="left" w:pos="2880"/>
          <w:tab w:val="right" w:pos="8364"/>
        </w:tabs>
        <w:rPr>
          <w:rFonts w:ascii="Arial" w:eastAsia="Times New Roman" w:hAnsi="Arial" w:cs="Arial"/>
          <w:bCs/>
          <w:sz w:val="24"/>
          <w:szCs w:val="24"/>
        </w:rPr>
      </w:pPr>
      <w:r w:rsidRPr="007A296C">
        <w:rPr>
          <w:rFonts w:ascii="Arial" w:eastAsia="Times New Roman" w:hAnsi="Arial" w:cs="Arial"/>
          <w:bCs/>
          <w:sz w:val="24"/>
          <w:szCs w:val="24"/>
        </w:rPr>
        <w:t>In the matter between:</w:t>
      </w:r>
    </w:p>
    <w:p w14:paraId="6A26E753" w14:textId="77777777" w:rsidR="003643C1" w:rsidRPr="007A296C" w:rsidRDefault="003643C1" w:rsidP="00D80A9D">
      <w:pPr>
        <w:tabs>
          <w:tab w:val="left" w:pos="900"/>
          <w:tab w:val="left" w:pos="1980"/>
          <w:tab w:val="left" w:pos="2880"/>
          <w:tab w:val="right" w:pos="8364"/>
        </w:tabs>
        <w:rPr>
          <w:rFonts w:ascii="Arial" w:eastAsia="Times New Roman" w:hAnsi="Arial" w:cs="Arial"/>
          <w:bCs/>
          <w:sz w:val="24"/>
          <w:szCs w:val="24"/>
        </w:rPr>
      </w:pPr>
    </w:p>
    <w:p w14:paraId="22B59340" w14:textId="3B2A86BF" w:rsidR="003643C1" w:rsidRPr="007A296C" w:rsidRDefault="008A08E7" w:rsidP="003643C1">
      <w:pPr>
        <w:tabs>
          <w:tab w:val="left" w:pos="900"/>
          <w:tab w:val="left" w:pos="1980"/>
          <w:tab w:val="left" w:pos="2880"/>
          <w:tab w:val="right" w:pos="8931"/>
        </w:tabs>
        <w:rPr>
          <w:rFonts w:ascii="Arial" w:eastAsia="Times New Roman" w:hAnsi="Arial" w:cs="Arial"/>
          <w:bCs/>
          <w:sz w:val="24"/>
          <w:szCs w:val="24"/>
        </w:rPr>
      </w:pPr>
      <w:r>
        <w:rPr>
          <w:rFonts w:ascii="Arial" w:eastAsia="Times New Roman" w:hAnsi="Arial" w:cs="Arial"/>
          <w:b/>
          <w:sz w:val="24"/>
          <w:szCs w:val="24"/>
        </w:rPr>
        <w:t>N W M</w:t>
      </w:r>
      <w:r w:rsidR="004C2D79">
        <w:rPr>
          <w:rFonts w:ascii="Arial" w:eastAsia="Times New Roman" w:hAnsi="Arial" w:cs="Arial"/>
          <w:b/>
          <w:sz w:val="24"/>
          <w:szCs w:val="24"/>
        </w:rPr>
        <w:t xml:space="preserve"> </w:t>
      </w:r>
      <w:r w:rsidR="004C2D79">
        <w:rPr>
          <w:rFonts w:ascii="Arial" w:eastAsia="Times New Roman" w:hAnsi="Arial" w:cs="Arial"/>
          <w:b/>
          <w:sz w:val="24"/>
          <w:szCs w:val="24"/>
        </w:rPr>
        <w:tab/>
      </w:r>
      <w:r w:rsidR="00F5151C" w:rsidRPr="00F5151C">
        <w:rPr>
          <w:rFonts w:ascii="Arial" w:eastAsia="Times New Roman" w:hAnsi="Arial" w:cs="Arial"/>
          <w:b/>
          <w:sz w:val="24"/>
          <w:szCs w:val="24"/>
        </w:rPr>
        <w:t xml:space="preserve">PLAINTIFF </w:t>
      </w:r>
    </w:p>
    <w:p w14:paraId="39222FAA" w14:textId="77777777" w:rsidR="003643C1" w:rsidRPr="007A296C" w:rsidRDefault="003643C1" w:rsidP="003643C1">
      <w:pPr>
        <w:tabs>
          <w:tab w:val="left" w:pos="900"/>
          <w:tab w:val="left" w:pos="1980"/>
          <w:tab w:val="left" w:pos="2880"/>
          <w:tab w:val="right" w:pos="8931"/>
        </w:tabs>
        <w:rPr>
          <w:rFonts w:ascii="Arial" w:eastAsia="Times New Roman" w:hAnsi="Arial" w:cs="Arial"/>
          <w:bCs/>
          <w:sz w:val="24"/>
          <w:szCs w:val="24"/>
        </w:rPr>
      </w:pPr>
    </w:p>
    <w:p w14:paraId="46CF66AB" w14:textId="77777777" w:rsidR="003643C1" w:rsidRPr="007A296C" w:rsidRDefault="003643C1" w:rsidP="003643C1">
      <w:pPr>
        <w:tabs>
          <w:tab w:val="left" w:pos="900"/>
          <w:tab w:val="left" w:pos="1980"/>
          <w:tab w:val="left" w:pos="2880"/>
          <w:tab w:val="right" w:pos="8931"/>
        </w:tabs>
        <w:rPr>
          <w:rFonts w:ascii="Arial" w:eastAsia="Times New Roman" w:hAnsi="Arial" w:cs="Arial"/>
          <w:bCs/>
          <w:sz w:val="24"/>
          <w:szCs w:val="24"/>
        </w:rPr>
      </w:pPr>
    </w:p>
    <w:p w14:paraId="011B44F7" w14:textId="39E88851" w:rsidR="003643C1" w:rsidRPr="007A296C" w:rsidRDefault="00DB3089" w:rsidP="003643C1">
      <w:pPr>
        <w:tabs>
          <w:tab w:val="left" w:pos="900"/>
          <w:tab w:val="left" w:pos="1980"/>
          <w:tab w:val="left" w:pos="2880"/>
          <w:tab w:val="right" w:pos="8931"/>
        </w:tabs>
        <w:rPr>
          <w:rFonts w:ascii="Arial" w:eastAsia="Times New Roman" w:hAnsi="Arial" w:cs="Arial"/>
          <w:bCs/>
          <w:sz w:val="24"/>
          <w:szCs w:val="24"/>
        </w:rPr>
      </w:pPr>
      <w:r>
        <w:rPr>
          <w:rFonts w:ascii="Arial" w:eastAsia="Times New Roman" w:hAnsi="Arial" w:cs="Arial"/>
          <w:bCs/>
          <w:sz w:val="24"/>
          <w:szCs w:val="24"/>
        </w:rPr>
        <w:t>a</w:t>
      </w:r>
      <w:r w:rsidR="003643C1" w:rsidRPr="007A296C">
        <w:rPr>
          <w:rFonts w:ascii="Arial" w:eastAsia="Times New Roman" w:hAnsi="Arial" w:cs="Arial"/>
          <w:bCs/>
          <w:sz w:val="24"/>
          <w:szCs w:val="24"/>
        </w:rPr>
        <w:t xml:space="preserve">nd </w:t>
      </w:r>
    </w:p>
    <w:p w14:paraId="407D8FBA" w14:textId="77777777" w:rsidR="003643C1" w:rsidRPr="007A296C" w:rsidRDefault="003643C1" w:rsidP="003643C1">
      <w:pPr>
        <w:tabs>
          <w:tab w:val="left" w:pos="900"/>
          <w:tab w:val="left" w:pos="1980"/>
          <w:tab w:val="left" w:pos="2880"/>
          <w:tab w:val="right" w:pos="8931"/>
        </w:tabs>
        <w:rPr>
          <w:rFonts w:ascii="Arial" w:eastAsia="Times New Roman" w:hAnsi="Arial" w:cs="Arial"/>
          <w:bCs/>
          <w:sz w:val="24"/>
          <w:szCs w:val="24"/>
        </w:rPr>
      </w:pPr>
    </w:p>
    <w:p w14:paraId="0C2F76AE" w14:textId="77777777" w:rsidR="003643C1" w:rsidRPr="007A296C" w:rsidRDefault="003643C1" w:rsidP="003643C1">
      <w:pPr>
        <w:tabs>
          <w:tab w:val="left" w:pos="900"/>
          <w:tab w:val="left" w:pos="1980"/>
          <w:tab w:val="left" w:pos="2880"/>
          <w:tab w:val="right" w:pos="8931"/>
        </w:tabs>
        <w:rPr>
          <w:rFonts w:ascii="Arial" w:eastAsia="Times New Roman" w:hAnsi="Arial" w:cs="Arial"/>
          <w:bCs/>
          <w:sz w:val="24"/>
          <w:szCs w:val="24"/>
        </w:rPr>
      </w:pPr>
    </w:p>
    <w:p w14:paraId="4F208230" w14:textId="0EDE59D9" w:rsidR="003643C1" w:rsidRDefault="008A08E7" w:rsidP="003643C1">
      <w:pPr>
        <w:tabs>
          <w:tab w:val="left" w:pos="900"/>
          <w:tab w:val="left" w:pos="1980"/>
          <w:tab w:val="left" w:pos="2880"/>
          <w:tab w:val="right" w:pos="8931"/>
        </w:tabs>
        <w:rPr>
          <w:rFonts w:ascii="Arial" w:eastAsia="Times New Roman" w:hAnsi="Arial" w:cs="Arial"/>
          <w:bCs/>
          <w:sz w:val="24"/>
          <w:szCs w:val="24"/>
        </w:rPr>
      </w:pPr>
      <w:r>
        <w:rPr>
          <w:rFonts w:ascii="Arial" w:eastAsia="Times New Roman" w:hAnsi="Arial" w:cs="Arial"/>
          <w:b/>
          <w:sz w:val="24"/>
          <w:szCs w:val="24"/>
        </w:rPr>
        <w:t>N Q M</w:t>
      </w:r>
      <w:bookmarkStart w:id="0" w:name="_GoBack"/>
      <w:bookmarkEnd w:id="0"/>
      <w:r w:rsidR="003643C1" w:rsidRPr="007A296C">
        <w:rPr>
          <w:rFonts w:ascii="Arial" w:eastAsia="Times New Roman" w:hAnsi="Arial" w:cs="Arial"/>
          <w:bCs/>
          <w:sz w:val="24"/>
          <w:szCs w:val="24"/>
        </w:rPr>
        <w:tab/>
      </w:r>
      <w:r w:rsidR="004C2D79">
        <w:rPr>
          <w:rFonts w:ascii="Arial" w:eastAsia="Times New Roman" w:hAnsi="Arial" w:cs="Arial"/>
          <w:bCs/>
          <w:sz w:val="24"/>
          <w:szCs w:val="24"/>
        </w:rPr>
        <w:tab/>
      </w:r>
      <w:r w:rsidR="00F5151C" w:rsidRPr="00F5151C">
        <w:rPr>
          <w:rFonts w:ascii="Arial" w:eastAsia="Times New Roman" w:hAnsi="Arial" w:cs="Arial"/>
          <w:b/>
          <w:sz w:val="24"/>
          <w:szCs w:val="24"/>
        </w:rPr>
        <w:t xml:space="preserve">FIRST DEFENDANT </w:t>
      </w:r>
    </w:p>
    <w:p w14:paraId="49790B3E" w14:textId="77777777" w:rsidR="004C2D79" w:rsidRDefault="004C2D79" w:rsidP="003643C1">
      <w:pPr>
        <w:tabs>
          <w:tab w:val="left" w:pos="900"/>
          <w:tab w:val="left" w:pos="1980"/>
          <w:tab w:val="left" w:pos="2880"/>
          <w:tab w:val="right" w:pos="8931"/>
        </w:tabs>
        <w:rPr>
          <w:rFonts w:ascii="Arial" w:eastAsia="Times New Roman" w:hAnsi="Arial" w:cs="Arial"/>
          <w:bCs/>
          <w:sz w:val="24"/>
          <w:szCs w:val="24"/>
        </w:rPr>
      </w:pPr>
    </w:p>
    <w:p w14:paraId="7B6A7231" w14:textId="54643755" w:rsidR="004C2D79" w:rsidRDefault="004C2D79" w:rsidP="003643C1">
      <w:pPr>
        <w:tabs>
          <w:tab w:val="left" w:pos="900"/>
          <w:tab w:val="left" w:pos="1980"/>
          <w:tab w:val="left" w:pos="2880"/>
          <w:tab w:val="right" w:pos="8931"/>
        </w:tabs>
        <w:rPr>
          <w:rFonts w:ascii="Arial" w:hAnsi="Arial" w:cs="Arial"/>
          <w:sz w:val="24"/>
          <w:szCs w:val="24"/>
        </w:rPr>
      </w:pPr>
      <w:r>
        <w:rPr>
          <w:rFonts w:ascii="Arial" w:eastAsia="Times New Roman" w:hAnsi="Arial" w:cs="Arial"/>
          <w:b/>
          <w:sz w:val="24"/>
          <w:szCs w:val="24"/>
        </w:rPr>
        <w:t>THE REGISTRAR OF DEEDS, JOHANNESBURG</w:t>
      </w:r>
      <w:r>
        <w:tab/>
      </w:r>
      <w:r w:rsidR="00F5151C" w:rsidRPr="00F5151C">
        <w:rPr>
          <w:rFonts w:ascii="Arial" w:hAnsi="Arial" w:cs="Arial"/>
          <w:b/>
          <w:bCs/>
          <w:sz w:val="24"/>
          <w:szCs w:val="24"/>
        </w:rPr>
        <w:t>SECOND DEFENDANT</w:t>
      </w:r>
      <w:r w:rsidRPr="0058735E">
        <w:rPr>
          <w:rFonts w:ascii="Arial" w:hAnsi="Arial" w:cs="Arial"/>
          <w:sz w:val="24"/>
          <w:szCs w:val="24"/>
        </w:rPr>
        <w:t xml:space="preserve"> </w:t>
      </w:r>
    </w:p>
    <w:p w14:paraId="15E375BB" w14:textId="77777777" w:rsidR="00FD0050" w:rsidRDefault="00FD0050" w:rsidP="003643C1">
      <w:pPr>
        <w:tabs>
          <w:tab w:val="left" w:pos="900"/>
          <w:tab w:val="left" w:pos="1980"/>
          <w:tab w:val="left" w:pos="2880"/>
          <w:tab w:val="right" w:pos="8931"/>
        </w:tabs>
        <w:rPr>
          <w:rFonts w:ascii="Arial" w:hAnsi="Arial" w:cs="Arial"/>
          <w:sz w:val="24"/>
          <w:szCs w:val="24"/>
        </w:rPr>
      </w:pPr>
    </w:p>
    <w:p w14:paraId="3B7D51AE" w14:textId="77777777" w:rsidR="00FD0050" w:rsidRDefault="00FD0050" w:rsidP="003643C1">
      <w:pPr>
        <w:tabs>
          <w:tab w:val="left" w:pos="900"/>
          <w:tab w:val="left" w:pos="1980"/>
          <w:tab w:val="left" w:pos="2880"/>
          <w:tab w:val="right" w:pos="8931"/>
        </w:tabs>
        <w:rPr>
          <w:rFonts w:ascii="Arial" w:hAnsi="Arial" w:cs="Arial"/>
          <w:sz w:val="24"/>
          <w:szCs w:val="24"/>
        </w:rPr>
      </w:pPr>
    </w:p>
    <w:p w14:paraId="324F96AC" w14:textId="77777777" w:rsidR="000F1362" w:rsidRDefault="000F1362" w:rsidP="000F1362">
      <w:pPr>
        <w:tabs>
          <w:tab w:val="left" w:pos="900"/>
          <w:tab w:val="left" w:pos="1980"/>
          <w:tab w:val="left" w:pos="2880"/>
          <w:tab w:val="right" w:pos="8931"/>
        </w:tabs>
        <w:rPr>
          <w:rFonts w:ascii="Arial" w:eastAsia="Times New Roman" w:hAnsi="Arial" w:cs="Arial"/>
          <w:bCs/>
          <w:sz w:val="24"/>
          <w:szCs w:val="24"/>
          <w:lang w:val="en-ZA"/>
        </w:rPr>
      </w:pPr>
      <w:r>
        <w:rPr>
          <w:rFonts w:ascii="Arial" w:eastAsia="Times New Roman" w:hAnsi="Arial" w:cs="Arial"/>
          <w:b/>
          <w:sz w:val="24"/>
          <w:szCs w:val="24"/>
          <w:lang w:val="en-ZA"/>
        </w:rPr>
        <w:t xml:space="preserve">Delivered: </w:t>
      </w:r>
      <w:r>
        <w:rPr>
          <w:rFonts w:ascii="Arial" w:eastAsia="Times New Roman" w:hAnsi="Arial" w:cs="Arial"/>
          <w:bCs/>
          <w:sz w:val="24"/>
          <w:szCs w:val="24"/>
          <w:lang w:val="en-ZA"/>
        </w:rPr>
        <w:t xml:space="preserve">16 August 2023 – This judgment was handed down electronically by circulation to the parties' representatives by email, being uploaded to </w:t>
      </w:r>
      <w:r>
        <w:rPr>
          <w:rFonts w:ascii="Arial" w:eastAsia="Times New Roman" w:hAnsi="Arial" w:cs="Arial"/>
          <w:bCs/>
          <w:i/>
          <w:sz w:val="24"/>
          <w:szCs w:val="24"/>
          <w:lang w:val="en-ZA"/>
        </w:rPr>
        <w:t>CaseLines</w:t>
      </w:r>
      <w:r>
        <w:rPr>
          <w:rFonts w:ascii="Arial" w:eastAsia="Times New Roman" w:hAnsi="Arial" w:cs="Arial"/>
          <w:bCs/>
          <w:sz w:val="24"/>
          <w:szCs w:val="24"/>
          <w:lang w:val="en-ZA"/>
        </w:rPr>
        <w:t xml:space="preserve"> and by release to SAFLII. The date and time for hand-down is deemed to be 10:00 on 16 August 2023.</w:t>
      </w:r>
    </w:p>
    <w:p w14:paraId="5816714B" w14:textId="77777777" w:rsidR="000F1362" w:rsidRDefault="000F1362" w:rsidP="003643C1">
      <w:pPr>
        <w:tabs>
          <w:tab w:val="left" w:pos="900"/>
          <w:tab w:val="left" w:pos="1980"/>
          <w:tab w:val="left" w:pos="2880"/>
          <w:tab w:val="right" w:pos="8931"/>
        </w:tabs>
        <w:rPr>
          <w:rFonts w:ascii="Arial" w:hAnsi="Arial" w:cs="Arial"/>
          <w:sz w:val="24"/>
          <w:szCs w:val="24"/>
        </w:rPr>
      </w:pPr>
    </w:p>
    <w:p w14:paraId="132050D1" w14:textId="77777777" w:rsidR="000F1362" w:rsidRDefault="000F1362" w:rsidP="003643C1">
      <w:pPr>
        <w:tabs>
          <w:tab w:val="left" w:pos="900"/>
          <w:tab w:val="left" w:pos="1980"/>
          <w:tab w:val="left" w:pos="2880"/>
          <w:tab w:val="right" w:pos="8931"/>
        </w:tabs>
        <w:rPr>
          <w:rFonts w:ascii="Arial" w:hAnsi="Arial" w:cs="Arial"/>
          <w:sz w:val="24"/>
          <w:szCs w:val="24"/>
        </w:rPr>
      </w:pPr>
    </w:p>
    <w:p w14:paraId="1BD3540B" w14:textId="5A06AB32" w:rsidR="00FD0050" w:rsidRPr="00451896" w:rsidRDefault="00FD0050" w:rsidP="003643C1">
      <w:pPr>
        <w:tabs>
          <w:tab w:val="left" w:pos="900"/>
          <w:tab w:val="left" w:pos="1980"/>
          <w:tab w:val="left" w:pos="2880"/>
          <w:tab w:val="right" w:pos="8931"/>
        </w:tabs>
        <w:rPr>
          <w:rFonts w:ascii="Arial" w:hAnsi="Arial" w:cs="Arial"/>
          <w:i/>
          <w:iCs/>
          <w:sz w:val="24"/>
          <w:szCs w:val="24"/>
        </w:rPr>
      </w:pPr>
      <w:r w:rsidRPr="00451896">
        <w:rPr>
          <w:rFonts w:ascii="Arial" w:hAnsi="Arial" w:cs="Arial"/>
          <w:i/>
          <w:iCs/>
          <w:sz w:val="24"/>
          <w:szCs w:val="24"/>
        </w:rPr>
        <w:t xml:space="preserve">Husband and wife — Community of </w:t>
      </w:r>
      <w:r w:rsidR="000F1362">
        <w:rPr>
          <w:rFonts w:ascii="Arial" w:hAnsi="Arial" w:cs="Arial"/>
          <w:i/>
          <w:iCs/>
          <w:sz w:val="24"/>
          <w:szCs w:val="24"/>
        </w:rPr>
        <w:t>p</w:t>
      </w:r>
      <w:r w:rsidRPr="00451896">
        <w:rPr>
          <w:rFonts w:ascii="Arial" w:hAnsi="Arial" w:cs="Arial"/>
          <w:i/>
          <w:iCs/>
          <w:sz w:val="24"/>
          <w:szCs w:val="24"/>
        </w:rPr>
        <w:t>roperty —</w:t>
      </w:r>
      <w:r w:rsidR="00451896" w:rsidRPr="00451896">
        <w:rPr>
          <w:rFonts w:ascii="Arial" w:hAnsi="Arial" w:cs="Arial"/>
          <w:i/>
          <w:iCs/>
          <w:sz w:val="24"/>
          <w:szCs w:val="24"/>
        </w:rPr>
        <w:t xml:space="preserve"> </w:t>
      </w:r>
      <w:r w:rsidR="005D4F97" w:rsidRPr="00451896">
        <w:rPr>
          <w:rFonts w:ascii="Arial" w:hAnsi="Arial" w:cs="Arial"/>
          <w:i/>
          <w:iCs/>
          <w:sz w:val="24"/>
          <w:szCs w:val="24"/>
        </w:rPr>
        <w:t xml:space="preserve">Immovable </w:t>
      </w:r>
      <w:r w:rsidR="000F1362">
        <w:rPr>
          <w:rFonts w:ascii="Arial" w:hAnsi="Arial" w:cs="Arial"/>
          <w:i/>
          <w:iCs/>
          <w:sz w:val="24"/>
          <w:szCs w:val="24"/>
        </w:rPr>
        <w:t>p</w:t>
      </w:r>
      <w:r w:rsidR="005D4F97" w:rsidRPr="00451896">
        <w:rPr>
          <w:rFonts w:ascii="Arial" w:hAnsi="Arial" w:cs="Arial"/>
          <w:i/>
          <w:iCs/>
          <w:sz w:val="24"/>
          <w:szCs w:val="24"/>
        </w:rPr>
        <w:t>roperty — Divorce</w:t>
      </w:r>
      <w:r w:rsidRPr="00451896">
        <w:rPr>
          <w:rFonts w:ascii="Arial" w:hAnsi="Arial" w:cs="Arial"/>
          <w:i/>
          <w:iCs/>
          <w:sz w:val="24"/>
          <w:szCs w:val="24"/>
        </w:rPr>
        <w:t xml:space="preserve"> —</w:t>
      </w:r>
      <w:r w:rsidRPr="000F1362">
        <w:rPr>
          <w:rFonts w:ascii="Arial" w:hAnsi="Arial" w:cs="Arial"/>
          <w:b/>
          <w:bCs/>
          <w:i/>
          <w:iCs/>
          <w:sz w:val="24"/>
          <w:szCs w:val="24"/>
          <w:lang w:val="en-ZA"/>
        </w:rPr>
        <w:t xml:space="preserve"> </w:t>
      </w:r>
      <w:r w:rsidR="00617547" w:rsidRPr="00451896">
        <w:rPr>
          <w:rFonts w:ascii="Arial" w:hAnsi="Arial" w:cs="Arial"/>
          <w:i/>
          <w:iCs/>
          <w:sz w:val="24"/>
          <w:szCs w:val="24"/>
        </w:rPr>
        <w:t>Practice —</w:t>
      </w:r>
      <w:r w:rsidRPr="00451896">
        <w:rPr>
          <w:rFonts w:ascii="Arial" w:hAnsi="Arial" w:cs="Arial"/>
          <w:i/>
          <w:iCs/>
          <w:sz w:val="24"/>
          <w:szCs w:val="24"/>
        </w:rPr>
        <w:t xml:space="preserve"> Pleading —</w:t>
      </w:r>
      <w:r w:rsidR="005D4F97" w:rsidRPr="000F1362">
        <w:rPr>
          <w:rFonts w:ascii="Arial" w:hAnsi="Arial" w:cs="Arial"/>
          <w:i/>
          <w:iCs/>
          <w:sz w:val="24"/>
          <w:szCs w:val="24"/>
        </w:rPr>
        <w:t xml:space="preserve"> </w:t>
      </w:r>
      <w:r w:rsidR="00451896" w:rsidRPr="000F1362">
        <w:rPr>
          <w:rFonts w:ascii="Arial" w:hAnsi="Arial" w:cs="Arial"/>
          <w:i/>
          <w:iCs/>
          <w:sz w:val="24"/>
          <w:szCs w:val="24"/>
        </w:rPr>
        <w:t xml:space="preserve">Grounds for </w:t>
      </w:r>
      <w:r w:rsidR="000F1362">
        <w:rPr>
          <w:rFonts w:ascii="Arial" w:hAnsi="Arial" w:cs="Arial"/>
          <w:i/>
          <w:iCs/>
          <w:sz w:val="24"/>
          <w:szCs w:val="24"/>
        </w:rPr>
        <w:t>e</w:t>
      </w:r>
      <w:r w:rsidR="00451896" w:rsidRPr="00451896">
        <w:rPr>
          <w:rFonts w:ascii="Arial" w:hAnsi="Arial" w:cs="Arial"/>
          <w:i/>
          <w:iCs/>
          <w:sz w:val="24"/>
          <w:szCs w:val="24"/>
        </w:rPr>
        <w:t xml:space="preserve">xception — </w:t>
      </w:r>
      <w:r w:rsidR="000F1362">
        <w:rPr>
          <w:rFonts w:ascii="Arial" w:hAnsi="Arial" w:cs="Arial"/>
          <w:i/>
          <w:iCs/>
          <w:sz w:val="24"/>
          <w:szCs w:val="24"/>
        </w:rPr>
        <w:t>No s</w:t>
      </w:r>
      <w:r w:rsidR="00481893">
        <w:rPr>
          <w:rFonts w:ascii="Arial" w:hAnsi="Arial" w:cs="Arial"/>
          <w:i/>
          <w:iCs/>
          <w:sz w:val="24"/>
          <w:szCs w:val="24"/>
        </w:rPr>
        <w:t xml:space="preserve">erious </w:t>
      </w:r>
      <w:r w:rsidR="000F1362">
        <w:rPr>
          <w:rFonts w:ascii="Arial" w:hAnsi="Arial" w:cs="Arial"/>
          <w:i/>
          <w:iCs/>
          <w:sz w:val="24"/>
          <w:szCs w:val="24"/>
        </w:rPr>
        <w:t>p</w:t>
      </w:r>
      <w:r w:rsidR="00481893">
        <w:rPr>
          <w:rFonts w:ascii="Arial" w:hAnsi="Arial" w:cs="Arial"/>
          <w:i/>
          <w:iCs/>
          <w:sz w:val="24"/>
          <w:szCs w:val="24"/>
        </w:rPr>
        <w:t xml:space="preserve">rejudice </w:t>
      </w:r>
      <w:r w:rsidR="00481893" w:rsidRPr="00481893">
        <w:rPr>
          <w:rFonts w:ascii="Arial" w:hAnsi="Arial" w:cs="Arial"/>
          <w:i/>
          <w:iCs/>
          <w:sz w:val="24"/>
          <w:szCs w:val="24"/>
        </w:rPr>
        <w:t>—</w:t>
      </w:r>
      <w:r w:rsidR="00481893">
        <w:rPr>
          <w:rFonts w:ascii="Arial" w:hAnsi="Arial" w:cs="Arial"/>
          <w:i/>
          <w:iCs/>
          <w:sz w:val="24"/>
          <w:szCs w:val="24"/>
        </w:rPr>
        <w:t xml:space="preserve"> Exception dismissed</w:t>
      </w:r>
      <w:r w:rsidR="00617547">
        <w:rPr>
          <w:rFonts w:ascii="Arial" w:hAnsi="Arial" w:cs="Arial"/>
          <w:i/>
          <w:iCs/>
          <w:sz w:val="24"/>
          <w:szCs w:val="24"/>
        </w:rPr>
        <w:t>.</w:t>
      </w:r>
    </w:p>
    <w:p w14:paraId="33EAEA14" w14:textId="77777777" w:rsidR="00FD0050" w:rsidRPr="000F1362" w:rsidRDefault="00FD0050" w:rsidP="003643C1">
      <w:pPr>
        <w:tabs>
          <w:tab w:val="left" w:pos="900"/>
          <w:tab w:val="left" w:pos="1980"/>
          <w:tab w:val="left" w:pos="2880"/>
          <w:tab w:val="right" w:pos="8931"/>
        </w:tabs>
        <w:rPr>
          <w:rFonts w:ascii="Arial" w:hAnsi="Arial"/>
          <w:b/>
          <w:bCs/>
          <w:i/>
          <w:iCs/>
          <w:szCs w:val="24"/>
          <w:lang w:val="en-ZA"/>
        </w:rPr>
      </w:pPr>
    </w:p>
    <w:p w14:paraId="17DED7EB" w14:textId="77777777" w:rsidR="003643C1" w:rsidRPr="007A296C" w:rsidRDefault="003643C1" w:rsidP="00D80A9D">
      <w:pPr>
        <w:tabs>
          <w:tab w:val="left" w:pos="900"/>
          <w:tab w:val="left" w:pos="1980"/>
          <w:tab w:val="left" w:pos="2880"/>
          <w:tab w:val="right" w:pos="8364"/>
        </w:tabs>
        <w:rPr>
          <w:rFonts w:ascii="Arial" w:eastAsia="Times New Roman" w:hAnsi="Arial" w:cs="Arial"/>
          <w:bCs/>
          <w:sz w:val="24"/>
          <w:szCs w:val="24"/>
        </w:rPr>
      </w:pPr>
    </w:p>
    <w:p w14:paraId="68FB1AB4" w14:textId="77777777" w:rsidR="002F07D2" w:rsidRPr="007A296C" w:rsidRDefault="002F07D2" w:rsidP="00A11209">
      <w:pPr>
        <w:pStyle w:val="Header"/>
        <w:tabs>
          <w:tab w:val="left" w:pos="900"/>
          <w:tab w:val="left" w:pos="1980"/>
          <w:tab w:val="left" w:pos="2880"/>
          <w:tab w:val="right" w:pos="8460"/>
        </w:tabs>
        <w:spacing w:before="20"/>
        <w:rPr>
          <w:rFonts w:ascii="Arial" w:hAnsi="Arial" w:cs="Arial"/>
          <w:sz w:val="24"/>
          <w:szCs w:val="24"/>
        </w:rPr>
      </w:pPr>
    </w:p>
    <w:p w14:paraId="043C5651" w14:textId="77777777" w:rsidR="00C52956" w:rsidRPr="007A296C" w:rsidRDefault="00C52956" w:rsidP="00A11209">
      <w:pPr>
        <w:pStyle w:val="Header"/>
        <w:pBdr>
          <w:top w:val="single" w:sz="6" w:space="1" w:color="auto"/>
          <w:bottom w:val="single" w:sz="6" w:space="1" w:color="auto"/>
        </w:pBdr>
        <w:tabs>
          <w:tab w:val="left" w:pos="900"/>
          <w:tab w:val="left" w:pos="1980"/>
          <w:tab w:val="left" w:pos="2880"/>
          <w:tab w:val="right" w:pos="8460"/>
        </w:tabs>
        <w:spacing w:before="20"/>
        <w:rPr>
          <w:rFonts w:ascii="Arial" w:hAnsi="Arial" w:cs="Arial"/>
          <w:sz w:val="24"/>
          <w:szCs w:val="24"/>
        </w:rPr>
      </w:pPr>
    </w:p>
    <w:p w14:paraId="19C81C9F" w14:textId="77777777" w:rsidR="00C52956" w:rsidRPr="007A296C" w:rsidRDefault="00C52956" w:rsidP="00A11209">
      <w:pPr>
        <w:pStyle w:val="Header"/>
        <w:pBdr>
          <w:top w:val="single" w:sz="6" w:space="1" w:color="auto"/>
          <w:bottom w:val="single" w:sz="6" w:space="1" w:color="auto"/>
        </w:pBdr>
        <w:tabs>
          <w:tab w:val="left" w:pos="900"/>
          <w:tab w:val="left" w:pos="1980"/>
          <w:tab w:val="left" w:pos="2880"/>
          <w:tab w:val="right" w:pos="8460"/>
        </w:tabs>
        <w:spacing w:before="20"/>
        <w:jc w:val="center"/>
        <w:rPr>
          <w:rFonts w:ascii="Arial" w:hAnsi="Arial" w:cs="Arial"/>
          <w:b/>
          <w:sz w:val="24"/>
          <w:szCs w:val="24"/>
        </w:rPr>
      </w:pPr>
      <w:r w:rsidRPr="007A296C">
        <w:rPr>
          <w:rFonts w:ascii="Arial" w:hAnsi="Arial" w:cs="Arial"/>
          <w:b/>
          <w:sz w:val="24"/>
          <w:szCs w:val="24"/>
        </w:rPr>
        <w:t>JUDGMENT</w:t>
      </w:r>
    </w:p>
    <w:p w14:paraId="2CFEC645" w14:textId="77777777" w:rsidR="00C52956" w:rsidRPr="007A296C" w:rsidRDefault="00C52956" w:rsidP="00A11209">
      <w:pPr>
        <w:pStyle w:val="Header"/>
        <w:pBdr>
          <w:top w:val="single" w:sz="6" w:space="1" w:color="auto"/>
          <w:bottom w:val="single" w:sz="6" w:space="1" w:color="auto"/>
        </w:pBdr>
        <w:tabs>
          <w:tab w:val="left" w:pos="900"/>
          <w:tab w:val="left" w:pos="1980"/>
          <w:tab w:val="left" w:pos="2880"/>
          <w:tab w:val="right" w:pos="8460"/>
        </w:tabs>
        <w:spacing w:before="20"/>
        <w:rPr>
          <w:rFonts w:ascii="Arial" w:hAnsi="Arial" w:cs="Arial"/>
          <w:sz w:val="24"/>
          <w:szCs w:val="24"/>
        </w:rPr>
      </w:pPr>
    </w:p>
    <w:p w14:paraId="45091BFC" w14:textId="77777777" w:rsidR="00C52956" w:rsidRPr="007A296C" w:rsidRDefault="00E41377" w:rsidP="00D80A9D">
      <w:pPr>
        <w:spacing w:before="480" w:after="480"/>
        <w:rPr>
          <w:rFonts w:ascii="Arial" w:hAnsi="Arial" w:cs="Arial"/>
          <w:sz w:val="24"/>
          <w:szCs w:val="24"/>
        </w:rPr>
      </w:pPr>
      <w:r w:rsidRPr="007A296C">
        <w:rPr>
          <w:rFonts w:ascii="Arial" w:hAnsi="Arial" w:cs="Arial"/>
          <w:b/>
          <w:sz w:val="24"/>
          <w:szCs w:val="24"/>
        </w:rPr>
        <w:t>PG LOUW</w:t>
      </w:r>
      <w:r w:rsidR="005E4896" w:rsidRPr="007A296C">
        <w:rPr>
          <w:rFonts w:ascii="Arial" w:hAnsi="Arial" w:cs="Arial"/>
          <w:b/>
          <w:sz w:val="24"/>
          <w:szCs w:val="24"/>
        </w:rPr>
        <w:t>,</w:t>
      </w:r>
      <w:r w:rsidR="00C52956" w:rsidRPr="007A296C">
        <w:rPr>
          <w:rFonts w:ascii="Arial" w:hAnsi="Arial" w:cs="Arial"/>
          <w:b/>
          <w:sz w:val="24"/>
          <w:szCs w:val="24"/>
        </w:rPr>
        <w:t xml:space="preserve"> AJ</w:t>
      </w:r>
    </w:p>
    <w:p w14:paraId="091EECD9" w14:textId="71B3BE78" w:rsidR="0058735E"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w:t>
      </w:r>
      <w:r>
        <w:rPr>
          <w:rFonts w:ascii="Arial" w:hAnsi="Arial" w:cs="Arial"/>
          <w:sz w:val="24"/>
          <w:szCs w:val="24"/>
        </w:rPr>
        <w:tab/>
      </w:r>
      <w:r w:rsidR="0058735E">
        <w:rPr>
          <w:rFonts w:ascii="Arial" w:hAnsi="Arial" w:cs="Arial"/>
          <w:sz w:val="24"/>
          <w:szCs w:val="24"/>
        </w:rPr>
        <w:t xml:space="preserve">The plaintiff filed an exception to the first defendant’s plea on the ground that the plea </w:t>
      </w:r>
      <w:r w:rsidR="00F5151C">
        <w:rPr>
          <w:rFonts w:ascii="Arial" w:hAnsi="Arial" w:cs="Arial"/>
          <w:sz w:val="24"/>
          <w:szCs w:val="24"/>
        </w:rPr>
        <w:t xml:space="preserve">does </w:t>
      </w:r>
      <w:r w:rsidR="0058735E">
        <w:rPr>
          <w:rFonts w:ascii="Arial" w:hAnsi="Arial" w:cs="Arial"/>
          <w:sz w:val="24"/>
          <w:szCs w:val="24"/>
        </w:rPr>
        <w:t>not disclose</w:t>
      </w:r>
      <w:r w:rsidR="00DB3089">
        <w:rPr>
          <w:rFonts w:ascii="Arial" w:hAnsi="Arial" w:cs="Arial"/>
          <w:sz w:val="24"/>
          <w:szCs w:val="24"/>
        </w:rPr>
        <w:t xml:space="preserve"> </w:t>
      </w:r>
      <w:r w:rsidR="0058735E">
        <w:rPr>
          <w:rFonts w:ascii="Arial" w:hAnsi="Arial" w:cs="Arial"/>
          <w:sz w:val="24"/>
          <w:szCs w:val="24"/>
        </w:rPr>
        <w:t xml:space="preserve">a defence. </w:t>
      </w:r>
    </w:p>
    <w:p w14:paraId="2F2BEBF5" w14:textId="391EE7EA" w:rsidR="00F5151C"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w:t>
      </w:r>
      <w:r>
        <w:rPr>
          <w:rFonts w:ascii="Arial" w:hAnsi="Arial" w:cs="Arial"/>
          <w:sz w:val="24"/>
          <w:szCs w:val="24"/>
        </w:rPr>
        <w:tab/>
      </w:r>
      <w:r w:rsidR="0058735E">
        <w:rPr>
          <w:rFonts w:ascii="Arial" w:hAnsi="Arial" w:cs="Arial"/>
          <w:sz w:val="24"/>
          <w:szCs w:val="24"/>
        </w:rPr>
        <w:t xml:space="preserve">The plaintiff and the first defendant were married </w:t>
      </w:r>
      <w:r w:rsidR="00F5151C">
        <w:rPr>
          <w:rFonts w:ascii="Arial" w:hAnsi="Arial" w:cs="Arial"/>
          <w:sz w:val="24"/>
          <w:szCs w:val="24"/>
        </w:rPr>
        <w:t xml:space="preserve">to each other </w:t>
      </w:r>
      <w:r w:rsidR="0058735E">
        <w:rPr>
          <w:rFonts w:ascii="Arial" w:hAnsi="Arial" w:cs="Arial"/>
          <w:sz w:val="24"/>
          <w:szCs w:val="24"/>
        </w:rPr>
        <w:t xml:space="preserve">in community of property on 9 March 1995. </w:t>
      </w:r>
      <w:r w:rsidR="00F5151C">
        <w:rPr>
          <w:rFonts w:ascii="Arial" w:hAnsi="Arial" w:cs="Arial"/>
          <w:sz w:val="24"/>
          <w:szCs w:val="24"/>
        </w:rPr>
        <w:t>T</w:t>
      </w:r>
      <w:r w:rsidR="0058735E">
        <w:rPr>
          <w:rFonts w:ascii="Arial" w:hAnsi="Arial" w:cs="Arial"/>
          <w:sz w:val="24"/>
          <w:szCs w:val="24"/>
        </w:rPr>
        <w:t>hey purchased an immovable property which forms the subject matter of the plaintiff’s action (the property). The property was registered in both the names of the plaintiff and the first defendant</w:t>
      </w:r>
      <w:r w:rsidR="00F5151C">
        <w:rPr>
          <w:rFonts w:ascii="Arial" w:hAnsi="Arial" w:cs="Arial"/>
          <w:sz w:val="24"/>
          <w:szCs w:val="24"/>
        </w:rPr>
        <w:t xml:space="preserve"> on 31 July 2002.</w:t>
      </w:r>
    </w:p>
    <w:p w14:paraId="5774A12A" w14:textId="02DED1AF" w:rsidR="0058735E" w:rsidRPr="000F1362" w:rsidRDefault="008B2AEC" w:rsidP="008B2AEC">
      <w:pPr>
        <w:tabs>
          <w:tab w:val="left" w:pos="692"/>
        </w:tabs>
        <w:spacing w:before="480" w:after="480" w:line="360" w:lineRule="auto"/>
        <w:ind w:left="692" w:hanging="692"/>
        <w:rPr>
          <w:rFonts w:ascii="Arial" w:hAnsi="Arial"/>
          <w:b/>
          <w:bCs/>
          <w:szCs w:val="24"/>
          <w:lang w:val="en-ZA"/>
        </w:rPr>
      </w:pPr>
      <w:r w:rsidRPr="000F1362">
        <w:rPr>
          <w:rFonts w:ascii="Arial" w:hAnsi="Arial" w:cs="Arial"/>
          <w:sz w:val="24"/>
          <w:szCs w:val="24"/>
          <w:lang w:val="en-ZA"/>
        </w:rPr>
        <w:t>[3]</w:t>
      </w:r>
      <w:r w:rsidRPr="000F1362">
        <w:rPr>
          <w:rFonts w:ascii="Arial" w:hAnsi="Arial" w:cs="Arial"/>
          <w:sz w:val="24"/>
          <w:szCs w:val="24"/>
          <w:lang w:val="en-ZA"/>
        </w:rPr>
        <w:tab/>
      </w:r>
      <w:r w:rsidR="0058735E">
        <w:rPr>
          <w:rFonts w:ascii="Arial" w:hAnsi="Arial" w:cs="Arial"/>
          <w:sz w:val="24"/>
          <w:szCs w:val="24"/>
        </w:rPr>
        <w:t xml:space="preserve">On 6 June 2012 the marriage was dissolved </w:t>
      </w:r>
      <w:r w:rsidR="003467E3">
        <w:rPr>
          <w:rFonts w:ascii="Arial" w:hAnsi="Arial" w:cs="Arial"/>
          <w:sz w:val="24"/>
          <w:szCs w:val="24"/>
        </w:rPr>
        <w:t>in terms of a de</w:t>
      </w:r>
      <w:r w:rsidR="00F5151C">
        <w:rPr>
          <w:rFonts w:ascii="Arial" w:hAnsi="Arial" w:cs="Arial"/>
          <w:sz w:val="24"/>
          <w:szCs w:val="24"/>
        </w:rPr>
        <w:t>c</w:t>
      </w:r>
      <w:r w:rsidR="003467E3">
        <w:rPr>
          <w:rFonts w:ascii="Arial" w:hAnsi="Arial" w:cs="Arial"/>
          <w:sz w:val="24"/>
          <w:szCs w:val="24"/>
        </w:rPr>
        <w:t xml:space="preserve">ree of divorce granted by the </w:t>
      </w:r>
      <w:r w:rsidR="008B4FB4">
        <w:rPr>
          <w:rFonts w:ascii="Arial" w:hAnsi="Arial" w:cs="Arial"/>
          <w:sz w:val="24"/>
          <w:szCs w:val="24"/>
        </w:rPr>
        <w:t>r</w:t>
      </w:r>
      <w:r w:rsidR="003467E3">
        <w:rPr>
          <w:rFonts w:ascii="Arial" w:hAnsi="Arial" w:cs="Arial"/>
          <w:sz w:val="24"/>
          <w:szCs w:val="24"/>
        </w:rPr>
        <w:t xml:space="preserve">egional </w:t>
      </w:r>
      <w:r w:rsidR="008B4FB4">
        <w:rPr>
          <w:rFonts w:ascii="Arial" w:hAnsi="Arial" w:cs="Arial"/>
          <w:sz w:val="24"/>
          <w:szCs w:val="24"/>
        </w:rPr>
        <w:t>c</w:t>
      </w:r>
      <w:r w:rsidR="003467E3">
        <w:rPr>
          <w:rFonts w:ascii="Arial" w:hAnsi="Arial" w:cs="Arial"/>
          <w:sz w:val="24"/>
          <w:szCs w:val="24"/>
        </w:rPr>
        <w:t xml:space="preserve">ourt for the </w:t>
      </w:r>
      <w:r w:rsidR="008B4FB4">
        <w:rPr>
          <w:rFonts w:ascii="Arial" w:hAnsi="Arial" w:cs="Arial"/>
          <w:sz w:val="24"/>
          <w:szCs w:val="24"/>
        </w:rPr>
        <w:t>r</w:t>
      </w:r>
      <w:r w:rsidR="003467E3">
        <w:rPr>
          <w:rFonts w:ascii="Arial" w:hAnsi="Arial" w:cs="Arial"/>
          <w:sz w:val="24"/>
          <w:szCs w:val="24"/>
        </w:rPr>
        <w:t xml:space="preserve">egional </w:t>
      </w:r>
      <w:r w:rsidR="008B4FB4">
        <w:rPr>
          <w:rFonts w:ascii="Arial" w:hAnsi="Arial" w:cs="Arial"/>
          <w:sz w:val="24"/>
          <w:szCs w:val="24"/>
        </w:rPr>
        <w:t>division of Gauteng. The relevant part of the de</w:t>
      </w:r>
      <w:r w:rsidR="00F5151C">
        <w:rPr>
          <w:rFonts w:ascii="Arial" w:hAnsi="Arial" w:cs="Arial"/>
          <w:sz w:val="24"/>
          <w:szCs w:val="24"/>
        </w:rPr>
        <w:t>c</w:t>
      </w:r>
      <w:r w:rsidR="008B4FB4">
        <w:rPr>
          <w:rFonts w:ascii="Arial" w:hAnsi="Arial" w:cs="Arial"/>
          <w:sz w:val="24"/>
          <w:szCs w:val="24"/>
        </w:rPr>
        <w:t>ree reads as follows</w:t>
      </w:r>
      <w:r w:rsidR="00FA61E2">
        <w:rPr>
          <w:rFonts w:ascii="Arial" w:hAnsi="Arial" w:cs="Arial"/>
          <w:sz w:val="24"/>
          <w:szCs w:val="24"/>
        </w:rPr>
        <w:t>:</w:t>
      </w:r>
    </w:p>
    <w:p w14:paraId="34BD4821" w14:textId="35B4EF5C" w:rsidR="008B4FB4" w:rsidRPr="008B4FB4" w:rsidRDefault="008B4FB4" w:rsidP="008B4FB4">
      <w:pPr>
        <w:tabs>
          <w:tab w:val="left" w:pos="1418"/>
          <w:tab w:val="left" w:pos="2127"/>
        </w:tabs>
        <w:spacing w:before="480" w:after="480" w:line="360" w:lineRule="auto"/>
        <w:ind w:left="2127" w:hanging="1435"/>
        <w:rPr>
          <w:rFonts w:ascii="Arial" w:hAnsi="Arial" w:cs="Arial"/>
        </w:rPr>
      </w:pPr>
      <w:r>
        <w:rPr>
          <w:rFonts w:ascii="Arial" w:hAnsi="Arial" w:cs="Arial"/>
          <w:sz w:val="24"/>
          <w:szCs w:val="24"/>
        </w:rPr>
        <w:tab/>
      </w:r>
      <w:r w:rsidRPr="008B4FB4">
        <w:rPr>
          <w:rFonts w:ascii="Arial" w:hAnsi="Arial" w:cs="Arial"/>
        </w:rPr>
        <w:t>“</w:t>
      </w:r>
      <w:r>
        <w:rPr>
          <w:rFonts w:ascii="Arial" w:hAnsi="Arial" w:cs="Arial"/>
        </w:rPr>
        <w:t>2.</w:t>
      </w:r>
      <w:r>
        <w:rPr>
          <w:rFonts w:ascii="Arial" w:hAnsi="Arial" w:cs="Arial"/>
        </w:rPr>
        <w:tab/>
        <w:t>Forfeiture of the benefits arising from the marriage in community of property in favour of the Plaintiff.”</w:t>
      </w:r>
    </w:p>
    <w:p w14:paraId="7D48CB4F" w14:textId="0A087E38" w:rsidR="008B4FB4"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w:t>
      </w:r>
      <w:r>
        <w:rPr>
          <w:rFonts w:ascii="Arial" w:hAnsi="Arial" w:cs="Arial"/>
          <w:sz w:val="24"/>
          <w:szCs w:val="24"/>
        </w:rPr>
        <w:tab/>
      </w:r>
      <w:r w:rsidR="008B4FB4">
        <w:rPr>
          <w:rFonts w:ascii="Arial" w:hAnsi="Arial" w:cs="Arial"/>
          <w:sz w:val="24"/>
          <w:szCs w:val="24"/>
        </w:rPr>
        <w:t xml:space="preserve">The </w:t>
      </w:r>
      <w:r w:rsidR="00F5151C">
        <w:rPr>
          <w:rFonts w:ascii="Arial" w:hAnsi="Arial" w:cs="Arial"/>
          <w:sz w:val="24"/>
          <w:szCs w:val="24"/>
        </w:rPr>
        <w:t xml:space="preserve">first </w:t>
      </w:r>
      <w:r w:rsidR="008B4FB4">
        <w:rPr>
          <w:rFonts w:ascii="Arial" w:hAnsi="Arial" w:cs="Arial"/>
          <w:sz w:val="24"/>
          <w:szCs w:val="24"/>
        </w:rPr>
        <w:t xml:space="preserve">defendant in this court was the plaintiff in the regional court. </w:t>
      </w:r>
      <w:r w:rsidR="00C21700">
        <w:rPr>
          <w:rFonts w:ascii="Arial" w:hAnsi="Arial" w:cs="Arial"/>
          <w:sz w:val="24"/>
          <w:szCs w:val="24"/>
        </w:rPr>
        <w:t>The plaintiff in this court was the defendant in the regional court.</w:t>
      </w:r>
    </w:p>
    <w:p w14:paraId="4B4782CE" w14:textId="446C4E66" w:rsidR="008B4FB4"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[5]</w:t>
      </w:r>
      <w:r>
        <w:rPr>
          <w:rFonts w:ascii="Arial" w:hAnsi="Arial" w:cs="Arial"/>
          <w:sz w:val="24"/>
          <w:szCs w:val="24"/>
        </w:rPr>
        <w:tab/>
      </w:r>
      <w:r w:rsidR="008B4FB4">
        <w:rPr>
          <w:rFonts w:ascii="Arial" w:hAnsi="Arial" w:cs="Arial"/>
          <w:sz w:val="24"/>
          <w:szCs w:val="24"/>
        </w:rPr>
        <w:t>At the time of the divorce the property was one of the assets in the joint estate. The joint estate consist</w:t>
      </w:r>
      <w:r w:rsidR="00F5151C">
        <w:rPr>
          <w:rFonts w:ascii="Arial" w:hAnsi="Arial" w:cs="Arial"/>
          <w:sz w:val="24"/>
          <w:szCs w:val="24"/>
        </w:rPr>
        <w:t xml:space="preserve">ed </w:t>
      </w:r>
      <w:r w:rsidR="008B4FB4">
        <w:rPr>
          <w:rFonts w:ascii="Arial" w:hAnsi="Arial" w:cs="Arial"/>
          <w:sz w:val="24"/>
          <w:szCs w:val="24"/>
        </w:rPr>
        <w:t xml:space="preserve">of a number of assets including furniture, pension </w:t>
      </w:r>
      <w:r w:rsidR="008B4FB4">
        <w:rPr>
          <w:rFonts w:ascii="Arial" w:hAnsi="Arial" w:cs="Arial"/>
          <w:sz w:val="24"/>
          <w:szCs w:val="24"/>
        </w:rPr>
        <w:lastRenderedPageBreak/>
        <w:t>benefits and motor vehicles. The joint estate also had a number of debts, including a bond registered against the property.</w:t>
      </w:r>
    </w:p>
    <w:p w14:paraId="141250E0" w14:textId="082667E4" w:rsidR="008B4FB4"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[6]</w:t>
      </w:r>
      <w:r>
        <w:rPr>
          <w:rFonts w:ascii="Arial" w:hAnsi="Arial" w:cs="Arial"/>
          <w:sz w:val="24"/>
          <w:szCs w:val="24"/>
        </w:rPr>
        <w:tab/>
      </w:r>
      <w:r w:rsidR="008B4FB4">
        <w:rPr>
          <w:rFonts w:ascii="Arial" w:hAnsi="Arial" w:cs="Arial"/>
          <w:sz w:val="24"/>
          <w:szCs w:val="24"/>
        </w:rPr>
        <w:t xml:space="preserve">On 28 June 2018, the </w:t>
      </w:r>
      <w:r w:rsidR="001B7AEA">
        <w:rPr>
          <w:rFonts w:ascii="Arial" w:hAnsi="Arial" w:cs="Arial"/>
          <w:sz w:val="24"/>
          <w:szCs w:val="24"/>
        </w:rPr>
        <w:t>Registrar of Deeds, Johannesburg (</w:t>
      </w:r>
      <w:r w:rsidR="008B4FB4">
        <w:rPr>
          <w:rFonts w:ascii="Arial" w:hAnsi="Arial" w:cs="Arial"/>
          <w:sz w:val="24"/>
          <w:szCs w:val="24"/>
        </w:rPr>
        <w:t>second defendant</w:t>
      </w:r>
      <w:r w:rsidR="001B7AEA">
        <w:rPr>
          <w:rFonts w:ascii="Arial" w:hAnsi="Arial" w:cs="Arial"/>
          <w:sz w:val="24"/>
          <w:szCs w:val="24"/>
        </w:rPr>
        <w:t>)</w:t>
      </w:r>
      <w:r w:rsidR="008B4FB4">
        <w:rPr>
          <w:rFonts w:ascii="Arial" w:hAnsi="Arial" w:cs="Arial"/>
          <w:sz w:val="24"/>
          <w:szCs w:val="24"/>
        </w:rPr>
        <w:t xml:space="preserve"> acting in terms of the </w:t>
      </w:r>
      <w:r w:rsidR="00B34386">
        <w:rPr>
          <w:rFonts w:ascii="Arial" w:hAnsi="Arial" w:cs="Arial"/>
          <w:sz w:val="24"/>
          <w:szCs w:val="24"/>
        </w:rPr>
        <w:t xml:space="preserve">provisions of </w:t>
      </w:r>
      <w:r w:rsidR="001B7AEA">
        <w:rPr>
          <w:rFonts w:ascii="Arial" w:hAnsi="Arial" w:cs="Arial"/>
          <w:sz w:val="24"/>
          <w:szCs w:val="24"/>
        </w:rPr>
        <w:t>s</w:t>
      </w:r>
      <w:r w:rsidR="00B34386">
        <w:rPr>
          <w:rFonts w:ascii="Arial" w:hAnsi="Arial" w:cs="Arial"/>
          <w:sz w:val="24"/>
          <w:szCs w:val="24"/>
        </w:rPr>
        <w:t xml:space="preserve"> 45</w:t>
      </w:r>
      <w:r w:rsidR="003E48FF" w:rsidRPr="003E48FF">
        <w:rPr>
          <w:rFonts w:ascii="Arial" w:hAnsi="Arial" w:cs="Arial"/>
          <w:i/>
          <w:iCs/>
          <w:sz w:val="24"/>
          <w:szCs w:val="24"/>
        </w:rPr>
        <w:t>bis</w:t>
      </w:r>
      <w:r w:rsidR="003E48FF">
        <w:rPr>
          <w:rFonts w:ascii="Arial" w:hAnsi="Arial" w:cs="Arial"/>
          <w:sz w:val="24"/>
          <w:szCs w:val="24"/>
        </w:rPr>
        <w:t>(1)</w:t>
      </w:r>
      <w:r w:rsidR="000E1790">
        <w:rPr>
          <w:rFonts w:ascii="Arial" w:hAnsi="Arial" w:cs="Arial"/>
          <w:sz w:val="24"/>
          <w:szCs w:val="24"/>
        </w:rPr>
        <w:t xml:space="preserve"> </w:t>
      </w:r>
      <w:r w:rsidR="00B34386">
        <w:rPr>
          <w:rFonts w:ascii="Arial" w:hAnsi="Arial" w:cs="Arial"/>
          <w:sz w:val="24"/>
          <w:szCs w:val="24"/>
        </w:rPr>
        <w:t>of the De</w:t>
      </w:r>
      <w:r w:rsidR="000E1790">
        <w:rPr>
          <w:rFonts w:ascii="Arial" w:hAnsi="Arial" w:cs="Arial"/>
          <w:sz w:val="24"/>
          <w:szCs w:val="24"/>
        </w:rPr>
        <w:t>e</w:t>
      </w:r>
      <w:r w:rsidR="00B34386">
        <w:rPr>
          <w:rFonts w:ascii="Arial" w:hAnsi="Arial" w:cs="Arial"/>
          <w:sz w:val="24"/>
          <w:szCs w:val="24"/>
        </w:rPr>
        <w:t xml:space="preserve">ds Registry’s Act 47 of 1937 (the Act) made an endorsement on the Deed of Transfer in terms of which the plaintiff’s right, title and interest </w:t>
      </w:r>
      <w:r w:rsidR="003E48FF">
        <w:rPr>
          <w:rFonts w:ascii="Arial" w:hAnsi="Arial" w:cs="Arial"/>
          <w:sz w:val="24"/>
          <w:szCs w:val="24"/>
        </w:rPr>
        <w:t xml:space="preserve">in the property was transferred to the first defendant. </w:t>
      </w:r>
    </w:p>
    <w:p w14:paraId="75769A74" w14:textId="05A0E2B8" w:rsidR="003E48FF"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[7]</w:t>
      </w:r>
      <w:r>
        <w:rPr>
          <w:rFonts w:ascii="Arial" w:hAnsi="Arial" w:cs="Arial"/>
          <w:sz w:val="24"/>
          <w:szCs w:val="24"/>
        </w:rPr>
        <w:tab/>
      </w:r>
      <w:r w:rsidR="003E48FF">
        <w:rPr>
          <w:rFonts w:ascii="Arial" w:hAnsi="Arial" w:cs="Arial"/>
          <w:sz w:val="24"/>
          <w:szCs w:val="24"/>
        </w:rPr>
        <w:t xml:space="preserve">These are the </w:t>
      </w:r>
      <w:r w:rsidR="000E1790">
        <w:rPr>
          <w:rFonts w:ascii="Arial" w:hAnsi="Arial" w:cs="Arial"/>
          <w:sz w:val="24"/>
          <w:szCs w:val="24"/>
        </w:rPr>
        <w:t xml:space="preserve">pertinent </w:t>
      </w:r>
      <w:r w:rsidR="003E48FF">
        <w:rPr>
          <w:rFonts w:ascii="Arial" w:hAnsi="Arial" w:cs="Arial"/>
          <w:sz w:val="24"/>
          <w:szCs w:val="24"/>
        </w:rPr>
        <w:t>common cause facts</w:t>
      </w:r>
      <w:r w:rsidR="000E1790">
        <w:rPr>
          <w:rFonts w:ascii="Arial" w:hAnsi="Arial" w:cs="Arial"/>
          <w:sz w:val="24"/>
          <w:szCs w:val="24"/>
        </w:rPr>
        <w:t xml:space="preserve"> of the matter</w:t>
      </w:r>
      <w:r w:rsidR="003E48FF">
        <w:rPr>
          <w:rFonts w:ascii="Arial" w:hAnsi="Arial" w:cs="Arial"/>
          <w:sz w:val="24"/>
          <w:szCs w:val="24"/>
        </w:rPr>
        <w:t xml:space="preserve">. </w:t>
      </w:r>
    </w:p>
    <w:p w14:paraId="49B401EA" w14:textId="109D826A" w:rsidR="003E48FF"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[8]</w:t>
      </w:r>
      <w:r>
        <w:rPr>
          <w:rFonts w:ascii="Arial" w:hAnsi="Arial" w:cs="Arial"/>
          <w:sz w:val="24"/>
          <w:szCs w:val="24"/>
        </w:rPr>
        <w:tab/>
      </w:r>
      <w:r w:rsidR="003E48FF">
        <w:rPr>
          <w:rFonts w:ascii="Arial" w:hAnsi="Arial" w:cs="Arial"/>
          <w:sz w:val="24"/>
          <w:szCs w:val="24"/>
        </w:rPr>
        <w:t xml:space="preserve">In essence, the plaintiff claims that the second defendant </w:t>
      </w:r>
      <w:r w:rsidR="000E1790">
        <w:rPr>
          <w:rFonts w:ascii="Arial" w:hAnsi="Arial" w:cs="Arial"/>
          <w:sz w:val="24"/>
          <w:szCs w:val="24"/>
        </w:rPr>
        <w:t>was</w:t>
      </w:r>
      <w:r w:rsidR="003E48FF">
        <w:rPr>
          <w:rFonts w:ascii="Arial" w:hAnsi="Arial" w:cs="Arial"/>
          <w:sz w:val="24"/>
          <w:szCs w:val="24"/>
        </w:rPr>
        <w:t xml:space="preserve"> only entitled to effect the endorsement if the first defendant lawfully acquired the share of the plaintiff and that the first defendant has never lawfully acquired the plaintiff’s share in the property. As such, the plaintiff alleges that the second defendant was not entitled to endorse the Deed of Transfer as it did. </w:t>
      </w:r>
    </w:p>
    <w:p w14:paraId="4FD50A52" w14:textId="331A3CDC" w:rsidR="003E48FF" w:rsidRPr="000F1362" w:rsidRDefault="008B2AEC" w:rsidP="008B2AEC">
      <w:pPr>
        <w:tabs>
          <w:tab w:val="left" w:pos="692"/>
        </w:tabs>
        <w:spacing w:before="480" w:after="480" w:line="360" w:lineRule="auto"/>
        <w:ind w:left="692" w:hanging="692"/>
        <w:rPr>
          <w:rFonts w:ascii="Arial" w:hAnsi="Arial"/>
          <w:b/>
          <w:bCs/>
          <w:szCs w:val="24"/>
          <w:lang w:val="en-ZA"/>
        </w:rPr>
      </w:pPr>
      <w:r w:rsidRPr="000F1362">
        <w:rPr>
          <w:rFonts w:ascii="Arial" w:hAnsi="Arial" w:cs="Arial"/>
          <w:sz w:val="24"/>
          <w:szCs w:val="24"/>
          <w:lang w:val="en-ZA"/>
        </w:rPr>
        <w:t>[9]</w:t>
      </w:r>
      <w:r w:rsidRPr="000F1362">
        <w:rPr>
          <w:rFonts w:ascii="Arial" w:hAnsi="Arial" w:cs="Arial"/>
          <w:sz w:val="24"/>
          <w:szCs w:val="24"/>
          <w:lang w:val="en-ZA"/>
        </w:rPr>
        <w:tab/>
      </w:r>
      <w:r w:rsidR="003E48FF">
        <w:rPr>
          <w:rFonts w:ascii="Arial" w:hAnsi="Arial" w:cs="Arial"/>
          <w:sz w:val="24"/>
          <w:szCs w:val="24"/>
        </w:rPr>
        <w:t>The plaintiff claims</w:t>
      </w:r>
      <w:r w:rsidR="000E1790">
        <w:rPr>
          <w:rFonts w:ascii="Arial" w:hAnsi="Arial" w:cs="Arial"/>
          <w:sz w:val="24"/>
          <w:szCs w:val="24"/>
        </w:rPr>
        <w:t xml:space="preserve"> that</w:t>
      </w:r>
      <w:r w:rsidR="00FA61E2">
        <w:rPr>
          <w:rFonts w:ascii="Arial" w:hAnsi="Arial" w:cs="Arial"/>
          <w:sz w:val="24"/>
          <w:szCs w:val="24"/>
        </w:rPr>
        <w:t>:</w:t>
      </w:r>
    </w:p>
    <w:p w14:paraId="57D0C49B" w14:textId="0FBF25CF" w:rsidR="003E48FF" w:rsidRDefault="008B2AEC" w:rsidP="008B2AEC">
      <w:pPr>
        <w:spacing w:before="480" w:after="480" w:line="360" w:lineRule="auto"/>
        <w:ind w:left="1052" w:hanging="360"/>
        <w:rPr>
          <w:rFonts w:ascii="Arial" w:hAnsi="Arial" w:cs="Arial"/>
          <w:sz w:val="24"/>
          <w:szCs w:val="24"/>
        </w:rPr>
      </w:pPr>
      <w:r>
        <w:rPr>
          <w:rFonts w:ascii="Arial" w:hAnsi="Arial" w:cs="Arial"/>
          <w:sz w:val="24"/>
          <w:szCs w:val="24"/>
        </w:rPr>
        <w:t>a)</w:t>
      </w:r>
      <w:r>
        <w:rPr>
          <w:rFonts w:ascii="Arial" w:hAnsi="Arial" w:cs="Arial"/>
          <w:sz w:val="24"/>
          <w:szCs w:val="24"/>
        </w:rPr>
        <w:tab/>
      </w:r>
      <w:r w:rsidR="000E1790">
        <w:rPr>
          <w:rFonts w:ascii="Arial" w:hAnsi="Arial" w:cs="Arial"/>
          <w:sz w:val="24"/>
          <w:szCs w:val="24"/>
        </w:rPr>
        <w:t>T</w:t>
      </w:r>
      <w:r w:rsidR="003E48FF">
        <w:rPr>
          <w:rFonts w:ascii="Arial" w:hAnsi="Arial" w:cs="Arial"/>
          <w:sz w:val="24"/>
          <w:szCs w:val="24"/>
        </w:rPr>
        <w:t>he second defendant is ordered to cancel the endorsement</w:t>
      </w:r>
      <w:r w:rsidR="000E1790">
        <w:rPr>
          <w:rFonts w:ascii="Arial" w:hAnsi="Arial" w:cs="Arial"/>
          <w:sz w:val="24"/>
          <w:szCs w:val="24"/>
        </w:rPr>
        <w:t>.</w:t>
      </w:r>
    </w:p>
    <w:p w14:paraId="4B4E5788" w14:textId="72F0822E" w:rsidR="00752132" w:rsidRDefault="008B2AEC" w:rsidP="008B2AEC">
      <w:pPr>
        <w:spacing w:before="480" w:after="480" w:line="360" w:lineRule="auto"/>
        <w:ind w:left="1052" w:hanging="360"/>
        <w:rPr>
          <w:rFonts w:ascii="Arial" w:hAnsi="Arial" w:cs="Arial"/>
          <w:sz w:val="24"/>
          <w:szCs w:val="24"/>
        </w:rPr>
      </w:pPr>
      <w:r>
        <w:rPr>
          <w:rFonts w:ascii="Arial" w:hAnsi="Arial" w:cs="Arial"/>
          <w:sz w:val="24"/>
          <w:szCs w:val="24"/>
        </w:rPr>
        <w:t>b)</w:t>
      </w:r>
      <w:r>
        <w:rPr>
          <w:rFonts w:ascii="Arial" w:hAnsi="Arial" w:cs="Arial"/>
          <w:sz w:val="24"/>
          <w:szCs w:val="24"/>
        </w:rPr>
        <w:tab/>
      </w:r>
      <w:r w:rsidR="003E48FF">
        <w:rPr>
          <w:rFonts w:ascii="Arial" w:hAnsi="Arial" w:cs="Arial"/>
          <w:sz w:val="24"/>
          <w:szCs w:val="24"/>
        </w:rPr>
        <w:t>The joint ownership in the property is terminated</w:t>
      </w:r>
      <w:r w:rsidR="000E1790">
        <w:rPr>
          <w:rFonts w:ascii="Arial" w:hAnsi="Arial" w:cs="Arial"/>
          <w:sz w:val="24"/>
          <w:szCs w:val="24"/>
        </w:rPr>
        <w:t>.</w:t>
      </w:r>
    </w:p>
    <w:p w14:paraId="3ABC9A2B" w14:textId="3E7A3FDB" w:rsidR="00752132" w:rsidRDefault="008B2AEC" w:rsidP="008B2AEC">
      <w:pPr>
        <w:spacing w:before="480" w:after="480" w:line="360" w:lineRule="auto"/>
        <w:ind w:left="1052" w:hanging="360"/>
        <w:rPr>
          <w:rFonts w:ascii="Arial" w:hAnsi="Arial" w:cs="Arial"/>
          <w:sz w:val="24"/>
          <w:szCs w:val="24"/>
        </w:rPr>
      </w:pPr>
      <w:r>
        <w:rPr>
          <w:rFonts w:ascii="Arial" w:hAnsi="Arial" w:cs="Arial"/>
          <w:sz w:val="24"/>
          <w:szCs w:val="24"/>
        </w:rPr>
        <w:t>c)</w:t>
      </w:r>
      <w:r>
        <w:rPr>
          <w:rFonts w:ascii="Arial" w:hAnsi="Arial" w:cs="Arial"/>
          <w:sz w:val="24"/>
          <w:szCs w:val="24"/>
        </w:rPr>
        <w:tab/>
      </w:r>
      <w:r w:rsidR="00752132">
        <w:rPr>
          <w:rFonts w:ascii="Arial" w:hAnsi="Arial" w:cs="Arial"/>
          <w:sz w:val="24"/>
          <w:szCs w:val="24"/>
        </w:rPr>
        <w:t>The property is to be sold a</w:t>
      </w:r>
      <w:r w:rsidR="000E1790">
        <w:rPr>
          <w:rFonts w:ascii="Arial" w:hAnsi="Arial" w:cs="Arial"/>
          <w:sz w:val="24"/>
          <w:szCs w:val="24"/>
        </w:rPr>
        <w:t xml:space="preserve">nd </w:t>
      </w:r>
      <w:r w:rsidR="00752132">
        <w:rPr>
          <w:rFonts w:ascii="Arial" w:hAnsi="Arial" w:cs="Arial"/>
          <w:sz w:val="24"/>
          <w:szCs w:val="24"/>
        </w:rPr>
        <w:t>the net proceeds of the sale is to be divided equally between the plaintiff and the first defendant.</w:t>
      </w:r>
    </w:p>
    <w:p w14:paraId="5BA0192E" w14:textId="636F436B" w:rsidR="00752132"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[10]</w:t>
      </w:r>
      <w:r>
        <w:rPr>
          <w:rFonts w:ascii="Arial" w:hAnsi="Arial" w:cs="Arial"/>
          <w:sz w:val="24"/>
          <w:szCs w:val="24"/>
        </w:rPr>
        <w:tab/>
      </w:r>
      <w:r w:rsidR="00752132">
        <w:rPr>
          <w:rFonts w:ascii="Arial" w:hAnsi="Arial" w:cs="Arial"/>
          <w:sz w:val="24"/>
          <w:szCs w:val="24"/>
        </w:rPr>
        <w:t>The first defendant has delivered a plea and conditional counterclaim. The defence raised in the plea is essentially that:</w:t>
      </w:r>
    </w:p>
    <w:p w14:paraId="4C12BD73" w14:textId="6B370A92" w:rsidR="00752132" w:rsidRPr="00752132" w:rsidRDefault="00752132" w:rsidP="00752132">
      <w:pPr>
        <w:tabs>
          <w:tab w:val="left" w:pos="1418"/>
          <w:tab w:val="left" w:pos="2268"/>
        </w:tabs>
        <w:spacing w:before="480" w:after="480" w:line="360" w:lineRule="auto"/>
        <w:ind w:left="2268" w:hanging="1576"/>
        <w:rPr>
          <w:rFonts w:ascii="Arial" w:hAnsi="Arial" w:cs="Arial"/>
        </w:rPr>
      </w:pPr>
      <w:r>
        <w:rPr>
          <w:rFonts w:ascii="Arial" w:hAnsi="Arial" w:cs="Arial"/>
          <w:sz w:val="24"/>
          <w:szCs w:val="24"/>
        </w:rPr>
        <w:tab/>
      </w:r>
      <w:r w:rsidRPr="00752132">
        <w:rPr>
          <w:rFonts w:ascii="Arial" w:hAnsi="Arial" w:cs="Arial"/>
          <w:i/>
          <w:iCs/>
        </w:rPr>
        <w:t>“</w:t>
      </w:r>
      <w:r>
        <w:rPr>
          <w:rFonts w:ascii="Arial" w:hAnsi="Arial" w:cs="Arial"/>
        </w:rPr>
        <w:t>5.5</w:t>
      </w:r>
      <w:r>
        <w:rPr>
          <w:rFonts w:ascii="Arial" w:hAnsi="Arial" w:cs="Arial"/>
        </w:rPr>
        <w:tab/>
        <w:t>The effect of the order was that the court granting the de</w:t>
      </w:r>
      <w:r w:rsidR="000E1790">
        <w:rPr>
          <w:rFonts w:ascii="Arial" w:hAnsi="Arial" w:cs="Arial"/>
        </w:rPr>
        <w:t>c</w:t>
      </w:r>
      <w:r>
        <w:rPr>
          <w:rFonts w:ascii="Arial" w:hAnsi="Arial" w:cs="Arial"/>
        </w:rPr>
        <w:t xml:space="preserve">ree of divorce was satisfied on the facts before it that an equal division of the joint estate would result in the plaintiff receiving an undue benefit. The court </w:t>
      </w:r>
      <w:r>
        <w:rPr>
          <w:rFonts w:ascii="Arial" w:hAnsi="Arial" w:cs="Arial"/>
        </w:rPr>
        <w:lastRenderedPageBreak/>
        <w:t>accordingly granted an order the effect of which was that the plaintiff forfeited the whole of the benefit that he would receive from a division of the joint estate. Accordingly, the effect of the order was that there would be an unequal division of the estate, the plaintiff forfeiting his share of the joint estate and the first defendant receiving 100% of the joint estate.”</w:t>
      </w:r>
    </w:p>
    <w:p w14:paraId="3AFE2929" w14:textId="3EB290F1" w:rsidR="00752132" w:rsidRPr="000F1362" w:rsidRDefault="008B2AEC" w:rsidP="008B2AEC">
      <w:pPr>
        <w:tabs>
          <w:tab w:val="left" w:pos="692"/>
        </w:tabs>
        <w:spacing w:before="480" w:after="480" w:line="360" w:lineRule="auto"/>
        <w:ind w:left="692" w:hanging="692"/>
        <w:rPr>
          <w:rFonts w:ascii="Arial" w:hAnsi="Arial"/>
          <w:b/>
          <w:bCs/>
          <w:szCs w:val="24"/>
          <w:lang w:val="en-ZA"/>
        </w:rPr>
      </w:pPr>
      <w:r w:rsidRPr="000F1362">
        <w:rPr>
          <w:rFonts w:ascii="Arial" w:hAnsi="Arial" w:cs="Arial"/>
          <w:sz w:val="24"/>
          <w:szCs w:val="24"/>
          <w:lang w:val="en-ZA"/>
        </w:rPr>
        <w:t>[11]</w:t>
      </w:r>
      <w:r w:rsidRPr="000F1362">
        <w:rPr>
          <w:rFonts w:ascii="Arial" w:hAnsi="Arial" w:cs="Arial"/>
          <w:sz w:val="24"/>
          <w:szCs w:val="24"/>
          <w:lang w:val="en-ZA"/>
        </w:rPr>
        <w:tab/>
      </w:r>
      <w:r w:rsidR="00752132">
        <w:rPr>
          <w:rFonts w:ascii="Arial" w:hAnsi="Arial" w:cs="Arial"/>
          <w:sz w:val="24"/>
          <w:szCs w:val="24"/>
        </w:rPr>
        <w:t>The first defendant pleads further that</w:t>
      </w:r>
      <w:r w:rsidR="001512F5">
        <w:rPr>
          <w:rFonts w:ascii="Arial" w:hAnsi="Arial" w:cs="Arial"/>
          <w:sz w:val="24"/>
          <w:szCs w:val="24"/>
        </w:rPr>
        <w:t xml:space="preserve"> -</w:t>
      </w:r>
    </w:p>
    <w:p w14:paraId="4B44F74A" w14:textId="00739674" w:rsidR="00752132" w:rsidRPr="00752132" w:rsidRDefault="00752132" w:rsidP="00752132">
      <w:pPr>
        <w:tabs>
          <w:tab w:val="left" w:pos="1418"/>
        </w:tabs>
        <w:spacing w:before="480" w:after="480" w:line="360" w:lineRule="auto"/>
        <w:ind w:left="1418" w:hanging="726"/>
        <w:rPr>
          <w:rFonts w:ascii="Arial" w:hAnsi="Arial" w:cs="Arial"/>
        </w:rPr>
      </w:pPr>
      <w:r>
        <w:rPr>
          <w:rFonts w:ascii="Arial" w:hAnsi="Arial" w:cs="Arial"/>
          <w:sz w:val="24"/>
          <w:szCs w:val="24"/>
        </w:rPr>
        <w:tab/>
      </w:r>
      <w:r>
        <w:rPr>
          <w:rFonts w:ascii="Arial" w:hAnsi="Arial" w:cs="Arial"/>
        </w:rPr>
        <w:t>“the endorsement made by the second defendant was lawful in that upon the unequal division of the joint estate whereby the plaintiff forfeited his entire share in the joint estate in favour of the first defendant, the first defendant became the sole owner of the immovable property.”</w:t>
      </w:r>
      <w:r w:rsidR="008524C3">
        <w:rPr>
          <w:rStyle w:val="FootnoteReference"/>
          <w:rFonts w:ascii="Arial" w:hAnsi="Arial" w:cs="Arial"/>
        </w:rPr>
        <w:footnoteReference w:id="1"/>
      </w:r>
    </w:p>
    <w:p w14:paraId="301BCB8F" w14:textId="39B06229" w:rsidR="00752132"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[12]</w:t>
      </w:r>
      <w:r>
        <w:rPr>
          <w:rFonts w:ascii="Arial" w:hAnsi="Arial" w:cs="Arial"/>
          <w:sz w:val="24"/>
          <w:szCs w:val="24"/>
        </w:rPr>
        <w:tab/>
      </w:r>
      <w:r w:rsidR="008524C3">
        <w:rPr>
          <w:rFonts w:ascii="Arial" w:hAnsi="Arial" w:cs="Arial"/>
          <w:sz w:val="24"/>
          <w:szCs w:val="24"/>
        </w:rPr>
        <w:t>The first defendant also pleads that she has assumed responsibility for</w:t>
      </w:r>
      <w:r w:rsidR="000E1790">
        <w:rPr>
          <w:rFonts w:ascii="Arial" w:hAnsi="Arial" w:cs="Arial"/>
          <w:sz w:val="24"/>
          <w:szCs w:val="24"/>
        </w:rPr>
        <w:t>:</w:t>
      </w:r>
      <w:r w:rsidR="008524C3">
        <w:rPr>
          <w:rFonts w:ascii="Arial" w:hAnsi="Arial" w:cs="Arial"/>
          <w:sz w:val="24"/>
          <w:szCs w:val="24"/>
        </w:rPr>
        <w:t xml:space="preserve"> (i) all bond repayments in respect of the property prior to and subsequent to the divorce; (ii) municipal rates and taxes in respect of the property before and subsequent to the divorce; and (iii) the maintenance and improvement of the property.</w:t>
      </w:r>
      <w:r w:rsidR="008524C3">
        <w:rPr>
          <w:rStyle w:val="FootnoteReference"/>
          <w:rFonts w:ascii="Arial" w:hAnsi="Arial" w:cs="Arial"/>
          <w:sz w:val="24"/>
          <w:szCs w:val="24"/>
        </w:rPr>
        <w:footnoteReference w:id="2"/>
      </w:r>
    </w:p>
    <w:p w14:paraId="21A11E10" w14:textId="71EA0435" w:rsidR="000E1790"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[13]</w:t>
      </w:r>
      <w:r>
        <w:rPr>
          <w:rFonts w:ascii="Arial" w:hAnsi="Arial" w:cs="Arial"/>
          <w:sz w:val="24"/>
          <w:szCs w:val="24"/>
        </w:rPr>
        <w:tab/>
      </w:r>
      <w:r w:rsidR="008524C3">
        <w:rPr>
          <w:rFonts w:ascii="Arial" w:hAnsi="Arial" w:cs="Arial"/>
          <w:sz w:val="24"/>
          <w:szCs w:val="24"/>
        </w:rPr>
        <w:t>The plaintiff pleads that a division of the joint estate has never taken place.</w:t>
      </w:r>
      <w:r w:rsidR="008524C3">
        <w:rPr>
          <w:rStyle w:val="FootnoteReference"/>
          <w:rFonts w:ascii="Arial" w:hAnsi="Arial" w:cs="Arial"/>
          <w:sz w:val="24"/>
          <w:szCs w:val="24"/>
        </w:rPr>
        <w:footnoteReference w:id="3"/>
      </w:r>
      <w:r w:rsidR="008524C3">
        <w:rPr>
          <w:rFonts w:ascii="Arial" w:hAnsi="Arial" w:cs="Arial"/>
          <w:sz w:val="24"/>
          <w:szCs w:val="24"/>
        </w:rPr>
        <w:t xml:space="preserve"> </w:t>
      </w:r>
    </w:p>
    <w:p w14:paraId="512F55A9" w14:textId="0762BC9A" w:rsidR="008524C3"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[14]</w:t>
      </w:r>
      <w:r>
        <w:rPr>
          <w:rFonts w:ascii="Arial" w:hAnsi="Arial" w:cs="Arial"/>
          <w:sz w:val="24"/>
          <w:szCs w:val="24"/>
        </w:rPr>
        <w:tab/>
      </w:r>
      <w:r w:rsidR="008524C3">
        <w:rPr>
          <w:rFonts w:ascii="Arial" w:hAnsi="Arial" w:cs="Arial"/>
          <w:sz w:val="24"/>
          <w:szCs w:val="24"/>
        </w:rPr>
        <w:t xml:space="preserve">The first defendant pleads that the parties’ joint ownership of the joint estate </w:t>
      </w:r>
      <w:r w:rsidR="009D0F0A">
        <w:rPr>
          <w:rFonts w:ascii="Arial" w:hAnsi="Arial" w:cs="Arial"/>
          <w:sz w:val="24"/>
          <w:szCs w:val="24"/>
        </w:rPr>
        <w:t>has terminated in accordance with the provisions of the de</w:t>
      </w:r>
      <w:r w:rsidR="000E1790">
        <w:rPr>
          <w:rFonts w:ascii="Arial" w:hAnsi="Arial" w:cs="Arial"/>
          <w:sz w:val="24"/>
          <w:szCs w:val="24"/>
        </w:rPr>
        <w:t>c</w:t>
      </w:r>
      <w:r w:rsidR="009D0F0A">
        <w:rPr>
          <w:rFonts w:ascii="Arial" w:hAnsi="Arial" w:cs="Arial"/>
          <w:sz w:val="24"/>
          <w:szCs w:val="24"/>
        </w:rPr>
        <w:t>ree of divorce and, in the alternative, pleads that should the court find that there was no division of the joint estate then an order in terms of the first defendant’s conditional counterclaim should be granted.</w:t>
      </w:r>
      <w:r w:rsidR="009D0F0A">
        <w:rPr>
          <w:rStyle w:val="FootnoteReference"/>
          <w:rFonts w:ascii="Arial" w:hAnsi="Arial" w:cs="Arial"/>
          <w:sz w:val="24"/>
          <w:szCs w:val="24"/>
        </w:rPr>
        <w:footnoteReference w:id="4"/>
      </w:r>
    </w:p>
    <w:p w14:paraId="1714A70A" w14:textId="1C0F05EB" w:rsidR="00463A2C" w:rsidRPr="000E1790" w:rsidRDefault="008B2AEC" w:rsidP="008B2AEC">
      <w:pPr>
        <w:tabs>
          <w:tab w:val="left" w:pos="692"/>
        </w:tabs>
        <w:spacing w:before="480" w:after="480" w:line="360" w:lineRule="auto"/>
        <w:ind w:left="692" w:hanging="692"/>
        <w:rPr>
          <w:rFonts w:ascii="Arial" w:hAnsi="Arial" w:cs="Arial"/>
          <w:sz w:val="24"/>
          <w:szCs w:val="24"/>
        </w:rPr>
      </w:pPr>
      <w:r w:rsidRPr="000E1790">
        <w:rPr>
          <w:rFonts w:ascii="Arial" w:hAnsi="Arial" w:cs="Arial"/>
          <w:sz w:val="24"/>
          <w:szCs w:val="24"/>
        </w:rPr>
        <w:lastRenderedPageBreak/>
        <w:t>[15]</w:t>
      </w:r>
      <w:r w:rsidRPr="000E1790">
        <w:rPr>
          <w:rFonts w:ascii="Arial" w:hAnsi="Arial" w:cs="Arial"/>
          <w:sz w:val="24"/>
          <w:szCs w:val="24"/>
        </w:rPr>
        <w:tab/>
      </w:r>
      <w:r w:rsidR="00463A2C">
        <w:rPr>
          <w:rFonts w:ascii="Arial" w:hAnsi="Arial" w:cs="Arial"/>
          <w:sz w:val="24"/>
          <w:szCs w:val="24"/>
        </w:rPr>
        <w:t>In the conditional counterclaim, the first defendant claims that, if there has not been a division of the joint estate</w:t>
      </w:r>
      <w:r w:rsidR="00790319">
        <w:rPr>
          <w:rFonts w:ascii="Arial" w:hAnsi="Arial" w:cs="Arial"/>
          <w:sz w:val="24"/>
          <w:szCs w:val="24"/>
        </w:rPr>
        <w:t>,</w:t>
      </w:r>
      <w:r w:rsidR="000E1790">
        <w:rPr>
          <w:rFonts w:ascii="Arial" w:hAnsi="Arial" w:cs="Arial"/>
          <w:sz w:val="24"/>
          <w:szCs w:val="24"/>
        </w:rPr>
        <w:t xml:space="preserve"> a</w:t>
      </w:r>
      <w:r w:rsidR="00463A2C" w:rsidRPr="000E1790">
        <w:rPr>
          <w:rFonts w:ascii="Arial" w:hAnsi="Arial" w:cs="Arial"/>
          <w:sz w:val="24"/>
          <w:szCs w:val="24"/>
        </w:rPr>
        <w:t xml:space="preserve"> receiver must be appointed with certain powers</w:t>
      </w:r>
      <w:r w:rsidR="000E1790">
        <w:rPr>
          <w:rFonts w:ascii="Arial" w:hAnsi="Arial" w:cs="Arial"/>
          <w:sz w:val="24"/>
          <w:szCs w:val="24"/>
        </w:rPr>
        <w:t>,</w:t>
      </w:r>
      <w:r w:rsidR="00463A2C" w:rsidRPr="000E1790">
        <w:rPr>
          <w:rFonts w:ascii="Arial" w:hAnsi="Arial" w:cs="Arial"/>
          <w:sz w:val="24"/>
          <w:szCs w:val="24"/>
        </w:rPr>
        <w:t xml:space="preserve"> essentially to cause a division of the joint estate.</w:t>
      </w:r>
      <w:r w:rsidR="00463A2C">
        <w:rPr>
          <w:rStyle w:val="FootnoteReference"/>
          <w:rFonts w:ascii="Arial" w:hAnsi="Arial" w:cs="Arial"/>
          <w:sz w:val="24"/>
          <w:szCs w:val="24"/>
        </w:rPr>
        <w:footnoteReference w:id="5"/>
      </w:r>
    </w:p>
    <w:p w14:paraId="33C8F408" w14:textId="7228A356" w:rsidR="000E1790"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[16]</w:t>
      </w:r>
      <w:r>
        <w:rPr>
          <w:rFonts w:ascii="Arial" w:hAnsi="Arial" w:cs="Arial"/>
          <w:sz w:val="24"/>
          <w:szCs w:val="24"/>
        </w:rPr>
        <w:tab/>
      </w:r>
      <w:r w:rsidR="000E1790">
        <w:rPr>
          <w:rFonts w:ascii="Arial" w:hAnsi="Arial" w:cs="Arial"/>
          <w:sz w:val="24"/>
          <w:szCs w:val="24"/>
        </w:rPr>
        <w:t>Paragraph 4 of the exception reads as follows</w:t>
      </w:r>
      <w:r w:rsidR="001512F5">
        <w:rPr>
          <w:rFonts w:ascii="Arial" w:hAnsi="Arial" w:cs="Arial"/>
          <w:sz w:val="24"/>
          <w:szCs w:val="24"/>
        </w:rPr>
        <w:t>:</w:t>
      </w:r>
    </w:p>
    <w:p w14:paraId="3F46A4C2" w14:textId="6D5F87A0" w:rsidR="000E1790" w:rsidRPr="00863FC1" w:rsidRDefault="000E1790" w:rsidP="000E1790">
      <w:pPr>
        <w:tabs>
          <w:tab w:val="left" w:pos="1418"/>
        </w:tabs>
        <w:spacing w:before="480" w:after="480" w:line="360" w:lineRule="auto"/>
        <w:ind w:left="1418" w:hanging="726"/>
        <w:rPr>
          <w:rFonts w:ascii="Arial" w:hAnsi="Arial" w:cs="Arial"/>
        </w:rPr>
      </w:pPr>
      <w:r>
        <w:rPr>
          <w:rFonts w:ascii="Arial" w:hAnsi="Arial" w:cs="Arial"/>
          <w:sz w:val="24"/>
          <w:szCs w:val="24"/>
        </w:rPr>
        <w:tab/>
      </w:r>
      <w:r>
        <w:rPr>
          <w:rFonts w:ascii="Arial" w:hAnsi="Arial" w:cs="Arial"/>
        </w:rPr>
        <w:t>“It is respectfully submitted that an order for forfeiture, having regard to the admitted facts in this matter was nothing more than an order for a division of the joint estate. The forfeiture order was never an order that the plaintiff forfeited his undivided share in the joint estate (Keyser v Keyser 1974 (4) SA 12 TPD at 15). He retained the interest in the vehicle he used as well</w:t>
      </w:r>
      <w:r w:rsidR="00790319">
        <w:rPr>
          <w:rFonts w:ascii="Arial" w:hAnsi="Arial" w:cs="Arial"/>
        </w:rPr>
        <w:t xml:space="preserve"> as in</w:t>
      </w:r>
      <w:r>
        <w:rPr>
          <w:rFonts w:ascii="Arial" w:hAnsi="Arial" w:cs="Arial"/>
        </w:rPr>
        <w:t xml:space="preserve"> his pension interest.”</w:t>
      </w:r>
    </w:p>
    <w:p w14:paraId="142B75C1" w14:textId="4A030D78" w:rsidR="000E1790"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[17]</w:t>
      </w:r>
      <w:r>
        <w:rPr>
          <w:rFonts w:ascii="Arial" w:hAnsi="Arial" w:cs="Arial"/>
          <w:sz w:val="24"/>
          <w:szCs w:val="24"/>
        </w:rPr>
        <w:tab/>
      </w:r>
      <w:r w:rsidR="000E1790">
        <w:rPr>
          <w:rFonts w:ascii="Arial" w:hAnsi="Arial" w:cs="Arial"/>
          <w:sz w:val="24"/>
          <w:szCs w:val="24"/>
        </w:rPr>
        <w:t>Mr Bruwer, counsel for the plaintiff, also referred</w:t>
      </w:r>
      <w:r w:rsidR="00790319">
        <w:rPr>
          <w:rFonts w:ascii="Arial" w:hAnsi="Arial" w:cs="Arial"/>
          <w:sz w:val="24"/>
          <w:szCs w:val="24"/>
        </w:rPr>
        <w:t xml:space="preserve"> the court</w:t>
      </w:r>
      <w:r w:rsidR="000E1790">
        <w:rPr>
          <w:rFonts w:ascii="Arial" w:hAnsi="Arial" w:cs="Arial"/>
          <w:sz w:val="24"/>
          <w:szCs w:val="24"/>
        </w:rPr>
        <w:t xml:space="preserve"> to </w:t>
      </w:r>
      <w:r w:rsidR="00C66A8B">
        <w:rPr>
          <w:rFonts w:ascii="Arial" w:hAnsi="Arial" w:cs="Arial"/>
          <w:i/>
          <w:iCs/>
          <w:sz w:val="24"/>
          <w:szCs w:val="24"/>
        </w:rPr>
        <w:t>Smith v Smith</w:t>
      </w:r>
      <w:r w:rsidR="00C66A8B">
        <w:rPr>
          <w:rFonts w:ascii="Arial" w:hAnsi="Arial" w:cs="Arial"/>
          <w:sz w:val="24"/>
          <w:szCs w:val="24"/>
        </w:rPr>
        <w:t>.</w:t>
      </w:r>
      <w:r w:rsidR="00C66A8B">
        <w:rPr>
          <w:rStyle w:val="FootnoteReference"/>
          <w:rFonts w:ascii="Arial" w:hAnsi="Arial" w:cs="Arial"/>
          <w:sz w:val="24"/>
          <w:szCs w:val="24"/>
        </w:rPr>
        <w:footnoteReference w:id="6"/>
      </w:r>
    </w:p>
    <w:p w14:paraId="637CCC3E" w14:textId="5B439048" w:rsidR="00463A2C"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[18]</w:t>
      </w:r>
      <w:r>
        <w:rPr>
          <w:rFonts w:ascii="Arial" w:hAnsi="Arial" w:cs="Arial"/>
          <w:sz w:val="24"/>
          <w:szCs w:val="24"/>
        </w:rPr>
        <w:tab/>
      </w:r>
      <w:r w:rsidR="00086192">
        <w:rPr>
          <w:rFonts w:ascii="Arial" w:hAnsi="Arial" w:cs="Arial"/>
          <w:sz w:val="24"/>
          <w:szCs w:val="24"/>
        </w:rPr>
        <w:t xml:space="preserve">It bears mentioning that the plaintiff previously successfully excepted against the defendant’s </w:t>
      </w:r>
      <w:r w:rsidR="00C66A8B">
        <w:rPr>
          <w:rFonts w:ascii="Arial" w:hAnsi="Arial" w:cs="Arial"/>
          <w:sz w:val="24"/>
          <w:szCs w:val="24"/>
        </w:rPr>
        <w:t xml:space="preserve">(previous) </w:t>
      </w:r>
      <w:r w:rsidR="00086192">
        <w:rPr>
          <w:rFonts w:ascii="Arial" w:hAnsi="Arial" w:cs="Arial"/>
          <w:sz w:val="24"/>
          <w:szCs w:val="24"/>
        </w:rPr>
        <w:t>plea</w:t>
      </w:r>
      <w:r w:rsidR="00B04D45">
        <w:rPr>
          <w:rFonts w:ascii="Arial" w:hAnsi="Arial" w:cs="Arial"/>
          <w:sz w:val="24"/>
          <w:szCs w:val="24"/>
        </w:rPr>
        <w:t xml:space="preserve"> on the basis that it did not disclose a defence. Dlamini AJ upheld the previous exception in a judgment dated 5 September 2019.</w:t>
      </w:r>
      <w:r w:rsidR="00B04D45">
        <w:rPr>
          <w:rStyle w:val="FootnoteReference"/>
          <w:rFonts w:ascii="Arial" w:hAnsi="Arial" w:cs="Arial"/>
          <w:sz w:val="24"/>
          <w:szCs w:val="24"/>
        </w:rPr>
        <w:footnoteReference w:id="7"/>
      </w:r>
    </w:p>
    <w:p w14:paraId="10775595" w14:textId="2D70CBB4" w:rsidR="00B04D45"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[19]</w:t>
      </w:r>
      <w:r>
        <w:rPr>
          <w:rFonts w:ascii="Arial" w:hAnsi="Arial" w:cs="Arial"/>
          <w:sz w:val="24"/>
          <w:szCs w:val="24"/>
        </w:rPr>
        <w:tab/>
      </w:r>
      <w:r w:rsidR="00C66A8B">
        <w:rPr>
          <w:rFonts w:ascii="Arial" w:hAnsi="Arial" w:cs="Arial"/>
          <w:sz w:val="24"/>
          <w:szCs w:val="24"/>
        </w:rPr>
        <w:t>From the judgment of Dlamini AJ i</w:t>
      </w:r>
      <w:r w:rsidR="00B04D45">
        <w:rPr>
          <w:rFonts w:ascii="Arial" w:hAnsi="Arial" w:cs="Arial"/>
          <w:sz w:val="24"/>
          <w:szCs w:val="24"/>
        </w:rPr>
        <w:t xml:space="preserve">t </w:t>
      </w:r>
      <w:r w:rsidR="00C66A8B">
        <w:rPr>
          <w:rFonts w:ascii="Arial" w:hAnsi="Arial" w:cs="Arial"/>
          <w:sz w:val="24"/>
          <w:szCs w:val="24"/>
        </w:rPr>
        <w:t xml:space="preserve">is clear </w:t>
      </w:r>
      <w:r w:rsidR="00B04D45">
        <w:rPr>
          <w:rFonts w:ascii="Arial" w:hAnsi="Arial" w:cs="Arial"/>
          <w:sz w:val="24"/>
          <w:szCs w:val="24"/>
        </w:rPr>
        <w:t>that the previous exception was raised against the first defendant’s plea</w:t>
      </w:r>
      <w:r w:rsidR="00790319">
        <w:rPr>
          <w:rFonts w:ascii="Arial" w:hAnsi="Arial" w:cs="Arial"/>
          <w:sz w:val="24"/>
          <w:szCs w:val="24"/>
        </w:rPr>
        <w:t xml:space="preserve"> that</w:t>
      </w:r>
      <w:r w:rsidR="001512F5">
        <w:rPr>
          <w:rFonts w:ascii="Arial" w:hAnsi="Arial" w:cs="Arial"/>
          <w:sz w:val="24"/>
          <w:szCs w:val="24"/>
        </w:rPr>
        <w:t xml:space="preserve"> -</w:t>
      </w:r>
      <w:r w:rsidR="00B04D45">
        <w:rPr>
          <w:rFonts w:ascii="Arial" w:hAnsi="Arial" w:cs="Arial"/>
          <w:sz w:val="24"/>
          <w:szCs w:val="24"/>
        </w:rPr>
        <w:t xml:space="preserve"> </w:t>
      </w:r>
    </w:p>
    <w:p w14:paraId="566C46E0" w14:textId="29A3F1C3" w:rsidR="00B04D45" w:rsidRPr="00B04D45" w:rsidRDefault="00B04D45" w:rsidP="00B04D45">
      <w:pPr>
        <w:tabs>
          <w:tab w:val="left" w:pos="1418"/>
        </w:tabs>
        <w:spacing w:before="480" w:after="480" w:line="360" w:lineRule="auto"/>
        <w:ind w:left="1418" w:hanging="726"/>
        <w:rPr>
          <w:rFonts w:ascii="Arial" w:hAnsi="Arial" w:cs="Arial"/>
        </w:rPr>
      </w:pPr>
      <w:r>
        <w:rPr>
          <w:rFonts w:ascii="Arial" w:hAnsi="Arial" w:cs="Arial"/>
          <w:sz w:val="24"/>
          <w:szCs w:val="24"/>
        </w:rPr>
        <w:tab/>
      </w:r>
      <w:r>
        <w:rPr>
          <w:rFonts w:ascii="Arial" w:hAnsi="Arial" w:cs="Arial"/>
          <w:i/>
          <w:iCs/>
        </w:rPr>
        <w:t>“</w:t>
      </w:r>
      <w:r w:rsidR="00C66A8B">
        <w:rPr>
          <w:rFonts w:ascii="Arial" w:hAnsi="Arial" w:cs="Arial"/>
          <w:i/>
          <w:iCs/>
        </w:rPr>
        <w:t xml:space="preserve">… </w:t>
      </w:r>
      <w:r>
        <w:rPr>
          <w:rFonts w:ascii="Arial" w:hAnsi="Arial" w:cs="Arial"/>
        </w:rPr>
        <w:t xml:space="preserve">the Regional </w:t>
      </w:r>
      <w:r w:rsidR="00DB3089">
        <w:rPr>
          <w:rFonts w:ascii="Arial" w:hAnsi="Arial" w:cs="Arial"/>
        </w:rPr>
        <w:t>c</w:t>
      </w:r>
      <w:r>
        <w:rPr>
          <w:rFonts w:ascii="Arial" w:hAnsi="Arial" w:cs="Arial"/>
        </w:rPr>
        <w:t xml:space="preserve">ourt made an order in terms of which the plaintiff forfeited his share in the joint estate in favour of the first defendant and that the issue of forfeiture is </w:t>
      </w:r>
      <w:r w:rsidRPr="00C66A8B">
        <w:rPr>
          <w:rFonts w:ascii="Arial" w:hAnsi="Arial" w:cs="Arial"/>
          <w:u w:val="single"/>
        </w:rPr>
        <w:t>res judicata</w:t>
      </w:r>
      <w:r>
        <w:rPr>
          <w:rFonts w:ascii="Arial" w:hAnsi="Arial" w:cs="Arial"/>
        </w:rPr>
        <w:t>, and further that the first defendant became the lawful owner of the whole of the property and the endorsement made was lawful.”</w:t>
      </w:r>
      <w:r>
        <w:rPr>
          <w:rStyle w:val="FootnoteReference"/>
          <w:rFonts w:ascii="Arial" w:hAnsi="Arial" w:cs="Arial"/>
        </w:rPr>
        <w:footnoteReference w:id="8"/>
      </w:r>
      <w:r w:rsidR="00C66A8B">
        <w:rPr>
          <w:rFonts w:ascii="Arial" w:hAnsi="Arial" w:cs="Arial"/>
        </w:rPr>
        <w:t xml:space="preserve"> [Underlining added.]</w:t>
      </w:r>
    </w:p>
    <w:p w14:paraId="6B590F0B" w14:textId="02485EFD" w:rsidR="00B04D45"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FF7709">
        <w:rPr>
          <w:rFonts w:ascii="Arial" w:hAnsi="Arial" w:cs="Arial"/>
          <w:sz w:val="24"/>
          <w:szCs w:val="24"/>
        </w:rPr>
        <w:t xml:space="preserve">Dlamini AJ held that the </w:t>
      </w:r>
      <w:r w:rsidR="00FF7709">
        <w:rPr>
          <w:rFonts w:ascii="Arial" w:hAnsi="Arial" w:cs="Arial"/>
          <w:i/>
          <w:iCs/>
          <w:sz w:val="24"/>
          <w:szCs w:val="24"/>
        </w:rPr>
        <w:t xml:space="preserve">res judicata </w:t>
      </w:r>
      <w:r w:rsidR="00FF7709">
        <w:rPr>
          <w:rFonts w:ascii="Arial" w:hAnsi="Arial" w:cs="Arial"/>
          <w:sz w:val="24"/>
          <w:szCs w:val="24"/>
        </w:rPr>
        <w:t>plea is misplaced and upheld the exception.</w:t>
      </w:r>
      <w:r w:rsidR="00FF7709">
        <w:rPr>
          <w:rStyle w:val="FootnoteReference"/>
          <w:rFonts w:ascii="Arial" w:hAnsi="Arial" w:cs="Arial"/>
          <w:sz w:val="24"/>
          <w:szCs w:val="24"/>
        </w:rPr>
        <w:footnoteReference w:id="9"/>
      </w:r>
    </w:p>
    <w:p w14:paraId="095A9E8B" w14:textId="6A776AC8" w:rsidR="00FF7709"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[21]</w:t>
      </w:r>
      <w:r>
        <w:rPr>
          <w:rFonts w:ascii="Arial" w:hAnsi="Arial" w:cs="Arial"/>
          <w:sz w:val="24"/>
          <w:szCs w:val="24"/>
        </w:rPr>
        <w:tab/>
      </w:r>
      <w:r w:rsidR="00FF7709">
        <w:rPr>
          <w:rFonts w:ascii="Arial" w:hAnsi="Arial" w:cs="Arial"/>
          <w:sz w:val="24"/>
          <w:szCs w:val="24"/>
        </w:rPr>
        <w:t>Reliance is placed in the</w:t>
      </w:r>
      <w:r w:rsidR="00790319">
        <w:rPr>
          <w:rFonts w:ascii="Arial" w:hAnsi="Arial" w:cs="Arial"/>
          <w:sz w:val="24"/>
          <w:szCs w:val="24"/>
        </w:rPr>
        <w:t xml:space="preserve"> (current)</w:t>
      </w:r>
      <w:r w:rsidR="00FF7709">
        <w:rPr>
          <w:rFonts w:ascii="Arial" w:hAnsi="Arial" w:cs="Arial"/>
          <w:sz w:val="24"/>
          <w:szCs w:val="24"/>
        </w:rPr>
        <w:t xml:space="preserve"> exception on the Dlamini AJ judgment</w:t>
      </w:r>
      <w:r w:rsidR="00E448FD">
        <w:rPr>
          <w:rFonts w:ascii="Arial" w:hAnsi="Arial" w:cs="Arial"/>
          <w:sz w:val="24"/>
          <w:szCs w:val="24"/>
        </w:rPr>
        <w:t>.</w:t>
      </w:r>
      <w:r w:rsidR="00E448FD">
        <w:rPr>
          <w:rStyle w:val="FootnoteReference"/>
          <w:rFonts w:ascii="Arial" w:hAnsi="Arial" w:cs="Arial"/>
          <w:sz w:val="24"/>
          <w:szCs w:val="24"/>
        </w:rPr>
        <w:footnoteReference w:id="10"/>
      </w:r>
      <w:r w:rsidR="00E448FD">
        <w:rPr>
          <w:rFonts w:ascii="Arial" w:hAnsi="Arial" w:cs="Arial"/>
          <w:sz w:val="24"/>
          <w:szCs w:val="24"/>
        </w:rPr>
        <w:t xml:space="preserve"> The plaintiff contends that the first defendant did not appeal the judgment upholding the exception and that the plea does not disclose a defence.</w:t>
      </w:r>
      <w:r w:rsidR="00E448FD">
        <w:rPr>
          <w:rStyle w:val="FootnoteReference"/>
          <w:rFonts w:ascii="Arial" w:hAnsi="Arial" w:cs="Arial"/>
          <w:sz w:val="24"/>
          <w:szCs w:val="24"/>
        </w:rPr>
        <w:footnoteReference w:id="11"/>
      </w:r>
    </w:p>
    <w:p w14:paraId="33C32D89" w14:textId="74653A38" w:rsidR="00790319" w:rsidRPr="00F46D96" w:rsidRDefault="008B2AEC" w:rsidP="008B2AEC">
      <w:pPr>
        <w:tabs>
          <w:tab w:val="left" w:pos="692"/>
        </w:tabs>
        <w:spacing w:before="480" w:after="480" w:line="360" w:lineRule="auto"/>
        <w:ind w:left="692" w:hanging="692"/>
        <w:rPr>
          <w:rFonts w:ascii="Arial" w:hAnsi="Arial" w:cs="Arial"/>
          <w:sz w:val="24"/>
          <w:szCs w:val="24"/>
        </w:rPr>
      </w:pPr>
      <w:r w:rsidRPr="00F46D96">
        <w:rPr>
          <w:rFonts w:ascii="Arial" w:hAnsi="Arial" w:cs="Arial"/>
          <w:sz w:val="24"/>
          <w:szCs w:val="24"/>
        </w:rPr>
        <w:t>[22]</w:t>
      </w:r>
      <w:r w:rsidRPr="00F46D96">
        <w:rPr>
          <w:rFonts w:ascii="Arial" w:hAnsi="Arial" w:cs="Arial"/>
          <w:sz w:val="24"/>
          <w:szCs w:val="24"/>
        </w:rPr>
        <w:tab/>
      </w:r>
      <w:r w:rsidR="00C166EF">
        <w:rPr>
          <w:rFonts w:ascii="Arial" w:hAnsi="Arial" w:cs="Arial"/>
          <w:sz w:val="24"/>
          <w:szCs w:val="24"/>
        </w:rPr>
        <w:t xml:space="preserve">The first defendant’s plea forming the subject matter of this exception does not place reliance on </w:t>
      </w:r>
      <w:r w:rsidR="00C166EF">
        <w:rPr>
          <w:rFonts w:ascii="Arial" w:hAnsi="Arial" w:cs="Arial"/>
          <w:i/>
          <w:iCs/>
          <w:sz w:val="24"/>
          <w:szCs w:val="24"/>
        </w:rPr>
        <w:t>res judicata</w:t>
      </w:r>
      <w:r w:rsidR="00C166EF">
        <w:rPr>
          <w:rFonts w:ascii="Arial" w:hAnsi="Arial" w:cs="Arial"/>
          <w:sz w:val="24"/>
          <w:szCs w:val="24"/>
        </w:rPr>
        <w:t xml:space="preserve">. </w:t>
      </w:r>
    </w:p>
    <w:p w14:paraId="3F072649" w14:textId="310DAAFB" w:rsidR="00C166EF" w:rsidRPr="004F2FF9" w:rsidRDefault="008B2AEC" w:rsidP="008B2AEC">
      <w:pPr>
        <w:tabs>
          <w:tab w:val="left" w:pos="692"/>
        </w:tabs>
        <w:spacing w:before="480" w:after="480" w:line="360" w:lineRule="auto"/>
        <w:ind w:left="692" w:hanging="692"/>
        <w:rPr>
          <w:rFonts w:ascii="Arial" w:hAnsi="Arial" w:cs="Arial"/>
          <w:sz w:val="24"/>
          <w:szCs w:val="24"/>
        </w:rPr>
      </w:pPr>
      <w:r w:rsidRPr="004F2FF9">
        <w:rPr>
          <w:rFonts w:ascii="Arial" w:hAnsi="Arial" w:cs="Arial"/>
          <w:sz w:val="24"/>
          <w:szCs w:val="24"/>
        </w:rPr>
        <w:t>[23]</w:t>
      </w:r>
      <w:r w:rsidRPr="004F2FF9">
        <w:rPr>
          <w:rFonts w:ascii="Arial" w:hAnsi="Arial" w:cs="Arial"/>
          <w:sz w:val="24"/>
          <w:szCs w:val="24"/>
        </w:rPr>
        <w:tab/>
      </w:r>
      <w:r w:rsidR="00C66A8B">
        <w:rPr>
          <w:rFonts w:ascii="Arial" w:hAnsi="Arial" w:cs="Arial"/>
          <w:sz w:val="24"/>
          <w:szCs w:val="24"/>
        </w:rPr>
        <w:t>It is trite that an excipient is bound to the grounds of exception set out in his notice of exception and he will not be allowed to, at the hearing</w:t>
      </w:r>
      <w:r w:rsidR="00790319">
        <w:rPr>
          <w:rFonts w:ascii="Arial" w:hAnsi="Arial" w:cs="Arial"/>
          <w:sz w:val="24"/>
          <w:szCs w:val="24"/>
        </w:rPr>
        <w:t>,</w:t>
      </w:r>
      <w:r w:rsidR="00C66A8B">
        <w:rPr>
          <w:rFonts w:ascii="Arial" w:hAnsi="Arial" w:cs="Arial"/>
          <w:sz w:val="24"/>
          <w:szCs w:val="24"/>
        </w:rPr>
        <w:t xml:space="preserve"> rely on different grounds or different exceptions.</w:t>
      </w:r>
      <w:r w:rsidR="00C66A8B">
        <w:rPr>
          <w:rStyle w:val="FootnoteReference"/>
          <w:rFonts w:ascii="Arial" w:hAnsi="Arial" w:cs="Arial"/>
          <w:sz w:val="24"/>
          <w:szCs w:val="24"/>
        </w:rPr>
        <w:footnoteReference w:id="12"/>
      </w:r>
    </w:p>
    <w:p w14:paraId="79FA46CD" w14:textId="6B72E024" w:rsidR="004F2FF9"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[24]</w:t>
      </w:r>
      <w:r>
        <w:rPr>
          <w:rFonts w:ascii="Arial" w:hAnsi="Arial" w:cs="Arial"/>
          <w:sz w:val="24"/>
          <w:szCs w:val="24"/>
        </w:rPr>
        <w:tab/>
      </w:r>
      <w:r w:rsidR="00C166EF">
        <w:rPr>
          <w:rFonts w:ascii="Arial" w:hAnsi="Arial" w:cs="Arial"/>
          <w:sz w:val="24"/>
          <w:szCs w:val="24"/>
        </w:rPr>
        <w:t xml:space="preserve">Another judgment in this matter bears mentioning. The first defendant at first failed to amend her plea pursuant to the previous exception being upheld. The first defendant was placed under bar to file a plea and the plaintiff applied for default judgment. This triggered the first defendant to bring an application to uplift the bar. </w:t>
      </w:r>
    </w:p>
    <w:p w14:paraId="1B54CFA2" w14:textId="1BFD9CBE" w:rsidR="00C166EF"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[25]</w:t>
      </w:r>
      <w:r>
        <w:rPr>
          <w:rFonts w:ascii="Arial" w:hAnsi="Arial" w:cs="Arial"/>
          <w:sz w:val="24"/>
          <w:szCs w:val="24"/>
        </w:rPr>
        <w:tab/>
      </w:r>
      <w:r w:rsidR="004F2FF9">
        <w:rPr>
          <w:rFonts w:ascii="Arial" w:hAnsi="Arial" w:cs="Arial"/>
          <w:sz w:val="24"/>
          <w:szCs w:val="24"/>
        </w:rPr>
        <w:t>The a</w:t>
      </w:r>
      <w:r w:rsidR="00C166EF">
        <w:rPr>
          <w:rFonts w:ascii="Arial" w:hAnsi="Arial" w:cs="Arial"/>
          <w:sz w:val="24"/>
          <w:szCs w:val="24"/>
        </w:rPr>
        <w:t>pplication to uplift the bar was heard by Karachi AJ. On 3 January 2022, Karachi AJ granted an order uplifting the bar.</w:t>
      </w:r>
      <w:r w:rsidR="004F2FF9">
        <w:rPr>
          <w:rStyle w:val="FootnoteReference"/>
          <w:rFonts w:ascii="Arial" w:hAnsi="Arial" w:cs="Arial"/>
          <w:sz w:val="24"/>
          <w:szCs w:val="24"/>
        </w:rPr>
        <w:footnoteReference w:id="13"/>
      </w:r>
      <w:r w:rsidR="00C166EF">
        <w:rPr>
          <w:rFonts w:ascii="Arial" w:hAnsi="Arial" w:cs="Arial"/>
          <w:sz w:val="24"/>
          <w:szCs w:val="24"/>
        </w:rPr>
        <w:t xml:space="preserve"> A copy of the plea and conditional counterclaim was attached to the application to uplift the bar.</w:t>
      </w:r>
      <w:r w:rsidR="00C166EF">
        <w:rPr>
          <w:rStyle w:val="FootnoteReference"/>
          <w:rFonts w:ascii="Arial" w:hAnsi="Arial" w:cs="Arial"/>
          <w:sz w:val="24"/>
          <w:szCs w:val="24"/>
        </w:rPr>
        <w:footnoteReference w:id="14"/>
      </w:r>
    </w:p>
    <w:p w14:paraId="228F26CD" w14:textId="7538B827" w:rsidR="00C166EF"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[26]</w:t>
      </w:r>
      <w:r>
        <w:rPr>
          <w:rFonts w:ascii="Arial" w:hAnsi="Arial" w:cs="Arial"/>
          <w:sz w:val="24"/>
          <w:szCs w:val="24"/>
        </w:rPr>
        <w:tab/>
      </w:r>
      <w:r w:rsidR="003759B7">
        <w:rPr>
          <w:rFonts w:ascii="Arial" w:hAnsi="Arial" w:cs="Arial"/>
          <w:sz w:val="24"/>
          <w:szCs w:val="24"/>
        </w:rPr>
        <w:t xml:space="preserve">Karachi AJ considered the plea and conditional counterclaim in determining whether good cause </w:t>
      </w:r>
      <w:r w:rsidR="004F2FF9">
        <w:rPr>
          <w:rFonts w:ascii="Arial" w:hAnsi="Arial" w:cs="Arial"/>
          <w:sz w:val="24"/>
          <w:szCs w:val="24"/>
        </w:rPr>
        <w:t xml:space="preserve">was </w:t>
      </w:r>
      <w:r w:rsidR="003759B7">
        <w:rPr>
          <w:rFonts w:ascii="Arial" w:hAnsi="Arial" w:cs="Arial"/>
          <w:sz w:val="24"/>
          <w:szCs w:val="24"/>
        </w:rPr>
        <w:t>shown in order for the bar to be uplifted.</w:t>
      </w:r>
      <w:r w:rsidR="003759B7">
        <w:rPr>
          <w:rStyle w:val="FootnoteReference"/>
          <w:rFonts w:ascii="Arial" w:hAnsi="Arial" w:cs="Arial"/>
          <w:sz w:val="24"/>
          <w:szCs w:val="24"/>
        </w:rPr>
        <w:footnoteReference w:id="15"/>
      </w:r>
      <w:r w:rsidR="003759B7">
        <w:rPr>
          <w:rFonts w:ascii="Arial" w:hAnsi="Arial" w:cs="Arial"/>
          <w:sz w:val="24"/>
          <w:szCs w:val="24"/>
        </w:rPr>
        <w:t xml:space="preserve"> </w:t>
      </w:r>
    </w:p>
    <w:p w14:paraId="5372BF03" w14:textId="4F07B1B1" w:rsidR="003759B7"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3759B7">
        <w:rPr>
          <w:rFonts w:ascii="Arial" w:hAnsi="Arial" w:cs="Arial"/>
          <w:sz w:val="24"/>
          <w:szCs w:val="24"/>
        </w:rPr>
        <w:t xml:space="preserve">Karachi AJ held that </w:t>
      </w:r>
      <w:r w:rsidR="005000CD">
        <w:rPr>
          <w:rFonts w:ascii="Arial" w:hAnsi="Arial" w:cs="Arial"/>
          <w:sz w:val="24"/>
          <w:szCs w:val="24"/>
        </w:rPr>
        <w:t xml:space="preserve">the first defendant has a </w:t>
      </w:r>
      <w:r w:rsidR="005000CD">
        <w:rPr>
          <w:rFonts w:ascii="Arial" w:hAnsi="Arial" w:cs="Arial"/>
          <w:i/>
          <w:iCs/>
          <w:sz w:val="24"/>
          <w:szCs w:val="24"/>
        </w:rPr>
        <w:t>bona fide</w:t>
      </w:r>
      <w:r w:rsidR="005000CD">
        <w:rPr>
          <w:rFonts w:ascii="Arial" w:hAnsi="Arial" w:cs="Arial"/>
          <w:sz w:val="24"/>
          <w:szCs w:val="24"/>
        </w:rPr>
        <w:t xml:space="preserve"> defence which is not patently unfounded. It was also held that </w:t>
      </w:r>
      <w:r w:rsidR="00863FC1">
        <w:rPr>
          <w:rFonts w:ascii="Arial" w:hAnsi="Arial" w:cs="Arial"/>
          <w:i/>
          <w:iCs/>
          <w:sz w:val="24"/>
          <w:szCs w:val="24"/>
        </w:rPr>
        <w:t>“regard must be had to the importance of the issues raised in this case and that it is in the interests of justice that the trial court adjudicate the matter”.</w:t>
      </w:r>
      <w:r w:rsidR="00863FC1" w:rsidRPr="000F01E1">
        <w:rPr>
          <w:rStyle w:val="FootnoteReference"/>
          <w:rFonts w:ascii="Arial" w:hAnsi="Arial" w:cs="Arial"/>
          <w:sz w:val="24"/>
          <w:szCs w:val="24"/>
        </w:rPr>
        <w:footnoteReference w:id="16"/>
      </w:r>
      <w:r w:rsidR="00863FC1">
        <w:rPr>
          <w:rFonts w:ascii="Arial" w:hAnsi="Arial" w:cs="Arial"/>
          <w:i/>
          <w:iCs/>
          <w:sz w:val="24"/>
          <w:szCs w:val="24"/>
        </w:rPr>
        <w:t xml:space="preserve"> </w:t>
      </w:r>
      <w:r w:rsidR="00863FC1">
        <w:rPr>
          <w:rFonts w:ascii="Arial" w:hAnsi="Arial" w:cs="Arial"/>
          <w:sz w:val="24"/>
          <w:szCs w:val="24"/>
        </w:rPr>
        <w:t xml:space="preserve">I agree. </w:t>
      </w:r>
    </w:p>
    <w:p w14:paraId="3E613E0D" w14:textId="59F2B49C" w:rsidR="00D42C9A"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[28]</w:t>
      </w:r>
      <w:r>
        <w:rPr>
          <w:rFonts w:ascii="Arial" w:hAnsi="Arial" w:cs="Arial"/>
          <w:sz w:val="24"/>
          <w:szCs w:val="24"/>
        </w:rPr>
        <w:tab/>
      </w:r>
      <w:r w:rsidR="004D0380">
        <w:rPr>
          <w:rFonts w:ascii="Arial" w:hAnsi="Arial" w:cs="Arial"/>
          <w:sz w:val="24"/>
          <w:szCs w:val="24"/>
        </w:rPr>
        <w:t xml:space="preserve">It is </w:t>
      </w:r>
      <w:r w:rsidR="00E479E1">
        <w:rPr>
          <w:rFonts w:ascii="Arial" w:hAnsi="Arial" w:cs="Arial"/>
          <w:sz w:val="24"/>
          <w:szCs w:val="24"/>
        </w:rPr>
        <w:t xml:space="preserve">trite </w:t>
      </w:r>
      <w:r w:rsidR="00790319">
        <w:rPr>
          <w:rFonts w:ascii="Arial" w:hAnsi="Arial" w:cs="Arial"/>
          <w:sz w:val="24"/>
          <w:szCs w:val="24"/>
        </w:rPr>
        <w:t xml:space="preserve">that </w:t>
      </w:r>
      <w:r w:rsidR="00E479E1">
        <w:rPr>
          <w:rFonts w:ascii="Arial" w:hAnsi="Arial" w:cs="Arial"/>
          <w:sz w:val="24"/>
          <w:szCs w:val="24"/>
        </w:rPr>
        <w:t>in determining an exception the pleading must be looked at as a whole.</w:t>
      </w:r>
      <w:r w:rsidR="00E479E1">
        <w:rPr>
          <w:rStyle w:val="FootnoteReference"/>
          <w:rFonts w:ascii="Arial" w:hAnsi="Arial" w:cs="Arial"/>
          <w:sz w:val="24"/>
          <w:szCs w:val="24"/>
        </w:rPr>
        <w:footnoteReference w:id="17"/>
      </w:r>
      <w:r w:rsidR="00E479E1">
        <w:rPr>
          <w:rFonts w:ascii="Arial" w:hAnsi="Arial" w:cs="Arial"/>
          <w:sz w:val="24"/>
          <w:szCs w:val="24"/>
        </w:rPr>
        <w:t xml:space="preserve"> The plea should to my mind be read </w:t>
      </w:r>
      <w:r w:rsidR="00790319">
        <w:rPr>
          <w:rFonts w:ascii="Arial" w:hAnsi="Arial" w:cs="Arial"/>
          <w:sz w:val="24"/>
          <w:szCs w:val="24"/>
        </w:rPr>
        <w:t xml:space="preserve">together </w:t>
      </w:r>
      <w:r w:rsidR="00E479E1">
        <w:rPr>
          <w:rFonts w:ascii="Arial" w:hAnsi="Arial" w:cs="Arial"/>
          <w:sz w:val="24"/>
          <w:szCs w:val="24"/>
        </w:rPr>
        <w:t xml:space="preserve">with </w:t>
      </w:r>
      <w:r w:rsidR="00790319">
        <w:rPr>
          <w:rFonts w:ascii="Arial" w:hAnsi="Arial" w:cs="Arial"/>
          <w:sz w:val="24"/>
          <w:szCs w:val="24"/>
        </w:rPr>
        <w:t>the</w:t>
      </w:r>
      <w:r w:rsidR="00E479E1">
        <w:rPr>
          <w:rFonts w:ascii="Arial" w:hAnsi="Arial" w:cs="Arial"/>
          <w:sz w:val="24"/>
          <w:szCs w:val="24"/>
        </w:rPr>
        <w:t xml:space="preserve"> conditional counterclaim. </w:t>
      </w:r>
    </w:p>
    <w:p w14:paraId="1F3B0870" w14:textId="68C7F444" w:rsidR="004D0380" w:rsidRPr="006B0C02" w:rsidRDefault="008B2AEC" w:rsidP="008B2AEC">
      <w:pPr>
        <w:tabs>
          <w:tab w:val="left" w:pos="692"/>
        </w:tabs>
        <w:spacing w:before="480" w:after="480" w:line="360" w:lineRule="auto"/>
        <w:ind w:left="692" w:hanging="692"/>
        <w:rPr>
          <w:rFonts w:ascii="Arial" w:hAnsi="Arial" w:cs="Arial"/>
          <w:sz w:val="24"/>
          <w:szCs w:val="24"/>
        </w:rPr>
      </w:pPr>
      <w:r w:rsidRPr="006B0C02">
        <w:rPr>
          <w:rFonts w:ascii="Arial" w:hAnsi="Arial" w:cs="Arial"/>
          <w:sz w:val="24"/>
          <w:szCs w:val="24"/>
        </w:rPr>
        <w:t>[29]</w:t>
      </w:r>
      <w:r w:rsidRPr="006B0C02">
        <w:rPr>
          <w:rFonts w:ascii="Arial" w:hAnsi="Arial" w:cs="Arial"/>
          <w:sz w:val="24"/>
          <w:szCs w:val="24"/>
        </w:rPr>
        <w:tab/>
      </w:r>
      <w:r w:rsidR="00E479E1">
        <w:rPr>
          <w:rFonts w:ascii="Arial" w:hAnsi="Arial" w:cs="Arial"/>
          <w:sz w:val="24"/>
          <w:szCs w:val="24"/>
        </w:rPr>
        <w:t xml:space="preserve">It is </w:t>
      </w:r>
      <w:r w:rsidR="00176538">
        <w:rPr>
          <w:rFonts w:ascii="Arial" w:hAnsi="Arial" w:cs="Arial"/>
          <w:sz w:val="24"/>
          <w:szCs w:val="24"/>
        </w:rPr>
        <w:t xml:space="preserve">also so that an exception should be dealt with sensibly and not in an </w:t>
      </w:r>
      <w:r w:rsidR="004D0380">
        <w:rPr>
          <w:rFonts w:ascii="Arial" w:hAnsi="Arial" w:cs="Arial"/>
          <w:sz w:val="24"/>
          <w:szCs w:val="24"/>
        </w:rPr>
        <w:t>over</w:t>
      </w:r>
      <w:r w:rsidR="006B0C02">
        <w:rPr>
          <w:rFonts w:ascii="Arial" w:hAnsi="Arial" w:cs="Arial"/>
          <w:sz w:val="24"/>
          <w:szCs w:val="24"/>
        </w:rPr>
        <w:t>-</w:t>
      </w:r>
      <w:r w:rsidR="004D0380">
        <w:rPr>
          <w:rFonts w:ascii="Arial" w:hAnsi="Arial" w:cs="Arial"/>
          <w:sz w:val="24"/>
          <w:szCs w:val="24"/>
        </w:rPr>
        <w:t xml:space="preserve"> </w:t>
      </w:r>
      <w:r w:rsidR="00176538">
        <w:rPr>
          <w:rFonts w:ascii="Arial" w:hAnsi="Arial" w:cs="Arial"/>
          <w:sz w:val="24"/>
          <w:szCs w:val="24"/>
        </w:rPr>
        <w:t>technical manner.</w:t>
      </w:r>
      <w:r w:rsidR="00176538">
        <w:rPr>
          <w:rStyle w:val="FootnoteReference"/>
          <w:rFonts w:ascii="Arial" w:hAnsi="Arial" w:cs="Arial"/>
          <w:sz w:val="24"/>
          <w:szCs w:val="24"/>
        </w:rPr>
        <w:footnoteReference w:id="18"/>
      </w:r>
      <w:r w:rsidR="004D0380">
        <w:rPr>
          <w:rFonts w:ascii="Arial" w:hAnsi="Arial" w:cs="Arial"/>
          <w:sz w:val="24"/>
          <w:szCs w:val="24"/>
        </w:rPr>
        <w:t xml:space="preserve"> As such, the court l</w:t>
      </w:r>
      <w:r w:rsidR="000F01E1">
        <w:rPr>
          <w:rFonts w:ascii="Arial" w:hAnsi="Arial" w:cs="Arial"/>
          <w:sz w:val="24"/>
          <w:szCs w:val="24"/>
        </w:rPr>
        <w:t>ooks</w:t>
      </w:r>
      <w:r w:rsidR="004D0380">
        <w:rPr>
          <w:rFonts w:ascii="Arial" w:hAnsi="Arial" w:cs="Arial"/>
          <w:sz w:val="24"/>
          <w:szCs w:val="24"/>
        </w:rPr>
        <w:t xml:space="preserve"> benevolently instead of over-critically at a pleading.</w:t>
      </w:r>
      <w:r w:rsidR="004D0380">
        <w:rPr>
          <w:rStyle w:val="FootnoteReference"/>
          <w:rFonts w:ascii="Arial" w:hAnsi="Arial" w:cs="Arial"/>
          <w:sz w:val="24"/>
          <w:szCs w:val="24"/>
        </w:rPr>
        <w:footnoteReference w:id="19"/>
      </w:r>
    </w:p>
    <w:p w14:paraId="0939208A" w14:textId="13CE34B0" w:rsidR="004D0380"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[30]</w:t>
      </w:r>
      <w:r>
        <w:rPr>
          <w:rFonts w:ascii="Arial" w:hAnsi="Arial" w:cs="Arial"/>
          <w:sz w:val="24"/>
          <w:szCs w:val="24"/>
        </w:rPr>
        <w:tab/>
      </w:r>
      <w:r w:rsidR="004D0380">
        <w:rPr>
          <w:rFonts w:ascii="Arial" w:hAnsi="Arial" w:cs="Arial"/>
          <w:sz w:val="24"/>
          <w:szCs w:val="24"/>
        </w:rPr>
        <w:t>Mr Meyer</w:t>
      </w:r>
      <w:r w:rsidR="0020505C">
        <w:rPr>
          <w:rFonts w:ascii="Arial" w:hAnsi="Arial" w:cs="Arial"/>
          <w:sz w:val="24"/>
          <w:szCs w:val="24"/>
        </w:rPr>
        <w:t>, who appeared for the first defendant,</w:t>
      </w:r>
      <w:r w:rsidR="004D0380">
        <w:rPr>
          <w:rFonts w:ascii="Arial" w:hAnsi="Arial" w:cs="Arial"/>
          <w:sz w:val="24"/>
          <w:szCs w:val="24"/>
        </w:rPr>
        <w:t xml:space="preserve"> submitted that the exception puts the cart before the horse in circumstances where, before any judicial finding is made pertaining to the degree to which the plaintiff should forfeit the benefits referred to in the de</w:t>
      </w:r>
      <w:r w:rsidR="0020505C">
        <w:rPr>
          <w:rFonts w:ascii="Arial" w:hAnsi="Arial" w:cs="Arial"/>
          <w:sz w:val="24"/>
          <w:szCs w:val="24"/>
        </w:rPr>
        <w:t>c</w:t>
      </w:r>
      <w:r w:rsidR="004D0380">
        <w:rPr>
          <w:rFonts w:ascii="Arial" w:hAnsi="Arial" w:cs="Arial"/>
          <w:sz w:val="24"/>
          <w:szCs w:val="24"/>
        </w:rPr>
        <w:t xml:space="preserve">ree of divorce, evidence needs to be led before the trial court whereafter, and if satisfied, the trial court may order that a receiver and liquidator be appointed to finalise the division of the joint estate. </w:t>
      </w:r>
    </w:p>
    <w:p w14:paraId="3C652410" w14:textId="6D208654" w:rsidR="004D0380" w:rsidRPr="0020505C" w:rsidRDefault="008B2AEC" w:rsidP="008B2AEC">
      <w:pPr>
        <w:tabs>
          <w:tab w:val="left" w:pos="692"/>
        </w:tabs>
        <w:spacing w:before="480" w:after="480" w:line="360" w:lineRule="auto"/>
        <w:ind w:left="692" w:hanging="692"/>
        <w:rPr>
          <w:rFonts w:ascii="Arial" w:hAnsi="Arial" w:cs="Arial"/>
          <w:sz w:val="24"/>
          <w:szCs w:val="24"/>
        </w:rPr>
      </w:pPr>
      <w:r w:rsidRPr="0020505C">
        <w:rPr>
          <w:rFonts w:ascii="Arial" w:hAnsi="Arial" w:cs="Arial"/>
          <w:sz w:val="24"/>
          <w:szCs w:val="24"/>
        </w:rPr>
        <w:t>[31]</w:t>
      </w:r>
      <w:r w:rsidRPr="0020505C">
        <w:rPr>
          <w:rFonts w:ascii="Arial" w:hAnsi="Arial" w:cs="Arial"/>
          <w:sz w:val="24"/>
          <w:szCs w:val="24"/>
        </w:rPr>
        <w:tab/>
      </w:r>
      <w:r w:rsidR="0020505C">
        <w:rPr>
          <w:rFonts w:ascii="Arial" w:hAnsi="Arial" w:cs="Arial"/>
          <w:sz w:val="24"/>
          <w:szCs w:val="24"/>
        </w:rPr>
        <w:t>Sight should not be lost of the fact that the second defendant may be called as a witness at the trial to explain the circumstances under which the endorsement was effected. It will be for the trial court to adjudicate upon the question as to whether the first defendant lawfully acquired the plaintiff’s share in the property.</w:t>
      </w:r>
    </w:p>
    <w:p w14:paraId="608046CB" w14:textId="11470892" w:rsidR="00176538"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176538">
        <w:rPr>
          <w:rFonts w:ascii="Arial" w:hAnsi="Arial" w:cs="Arial"/>
          <w:sz w:val="24"/>
          <w:szCs w:val="24"/>
        </w:rPr>
        <w:t xml:space="preserve">I cannot </w:t>
      </w:r>
      <w:r w:rsidR="006402C8">
        <w:rPr>
          <w:rFonts w:ascii="Arial" w:hAnsi="Arial" w:cs="Arial"/>
          <w:sz w:val="24"/>
          <w:szCs w:val="24"/>
        </w:rPr>
        <w:t>at this stage conclude that it is impossible for the first defendant’s defence to succeed at trial, irrespective of the facts which may emerge at the trial. As such, the exception should not be upheld.</w:t>
      </w:r>
      <w:r w:rsidR="006402C8">
        <w:rPr>
          <w:rStyle w:val="FootnoteReference"/>
          <w:rFonts w:ascii="Arial" w:hAnsi="Arial" w:cs="Arial"/>
          <w:sz w:val="24"/>
          <w:szCs w:val="24"/>
        </w:rPr>
        <w:footnoteReference w:id="20"/>
      </w:r>
    </w:p>
    <w:p w14:paraId="50FBF24A" w14:textId="36D12A0D" w:rsidR="0020505C"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[33]</w:t>
      </w:r>
      <w:r>
        <w:rPr>
          <w:rFonts w:ascii="Arial" w:hAnsi="Arial" w:cs="Arial"/>
          <w:sz w:val="24"/>
          <w:szCs w:val="24"/>
        </w:rPr>
        <w:tab/>
      </w:r>
      <w:r w:rsidR="0020505C">
        <w:rPr>
          <w:rFonts w:ascii="Arial" w:hAnsi="Arial" w:cs="Arial"/>
          <w:sz w:val="24"/>
          <w:szCs w:val="24"/>
        </w:rPr>
        <w:t>Ultimately, the plaintiff must satisfy the court that he would be seriously prejudiced if the plea is allowed to stand.</w:t>
      </w:r>
      <w:r w:rsidR="0020505C">
        <w:rPr>
          <w:rStyle w:val="FootnoteReference"/>
          <w:rFonts w:ascii="Arial" w:hAnsi="Arial" w:cs="Arial"/>
          <w:sz w:val="24"/>
          <w:szCs w:val="24"/>
        </w:rPr>
        <w:footnoteReference w:id="21"/>
      </w:r>
    </w:p>
    <w:p w14:paraId="1DCD9D30" w14:textId="7C13B7DB" w:rsidR="00C21700" w:rsidRPr="00C21700" w:rsidRDefault="008B2AEC" w:rsidP="008B2AEC">
      <w:pPr>
        <w:tabs>
          <w:tab w:val="left" w:pos="692"/>
        </w:tabs>
        <w:spacing w:before="480" w:after="480" w:line="360" w:lineRule="auto"/>
        <w:ind w:left="692" w:hanging="692"/>
        <w:rPr>
          <w:rFonts w:ascii="Arial" w:hAnsi="Arial" w:cs="Arial"/>
          <w:sz w:val="24"/>
          <w:szCs w:val="24"/>
        </w:rPr>
      </w:pPr>
      <w:r w:rsidRPr="00C21700">
        <w:rPr>
          <w:rFonts w:ascii="Arial" w:hAnsi="Arial" w:cs="Arial"/>
          <w:sz w:val="24"/>
          <w:szCs w:val="24"/>
        </w:rPr>
        <w:t>[34]</w:t>
      </w:r>
      <w:r w:rsidRPr="00C21700">
        <w:rPr>
          <w:rFonts w:ascii="Arial" w:hAnsi="Arial" w:cs="Arial"/>
          <w:sz w:val="24"/>
          <w:szCs w:val="24"/>
        </w:rPr>
        <w:tab/>
      </w:r>
      <w:r w:rsidR="00C21700">
        <w:rPr>
          <w:rFonts w:ascii="Arial" w:hAnsi="Arial" w:cs="Arial"/>
          <w:sz w:val="24"/>
          <w:szCs w:val="24"/>
        </w:rPr>
        <w:t>I am not satisfied that the plaintiff will be seriously prejudiced if the exception fails.</w:t>
      </w:r>
    </w:p>
    <w:p w14:paraId="52B4E60B" w14:textId="744E54AF" w:rsidR="006B0C02"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[35]</w:t>
      </w:r>
      <w:r>
        <w:rPr>
          <w:rFonts w:ascii="Arial" w:hAnsi="Arial" w:cs="Arial"/>
          <w:sz w:val="24"/>
          <w:szCs w:val="24"/>
        </w:rPr>
        <w:tab/>
      </w:r>
      <w:r w:rsidR="00CD53A8">
        <w:rPr>
          <w:rFonts w:ascii="Arial" w:hAnsi="Arial" w:cs="Arial"/>
          <w:sz w:val="24"/>
          <w:szCs w:val="24"/>
        </w:rPr>
        <w:t>Mr Meyer</w:t>
      </w:r>
      <w:r w:rsidR="000D7EEA">
        <w:rPr>
          <w:rFonts w:ascii="Arial" w:hAnsi="Arial" w:cs="Arial"/>
          <w:sz w:val="24"/>
          <w:szCs w:val="24"/>
        </w:rPr>
        <w:t xml:space="preserve"> submitted that if the exception is dismissed, no cost order should be made, alternatively that the </w:t>
      </w:r>
      <w:r w:rsidR="001512F5">
        <w:rPr>
          <w:rFonts w:ascii="Arial" w:hAnsi="Arial" w:cs="Arial"/>
          <w:sz w:val="24"/>
          <w:szCs w:val="24"/>
        </w:rPr>
        <w:t>plaintiff</w:t>
      </w:r>
      <w:r w:rsidR="000D7EEA">
        <w:rPr>
          <w:rFonts w:ascii="Arial" w:hAnsi="Arial" w:cs="Arial"/>
          <w:sz w:val="24"/>
          <w:szCs w:val="24"/>
        </w:rPr>
        <w:t xml:space="preserve"> should pay the costs on the party and party scale. This submission was made on the back of the submission that the dispute between the plaintiff and the first defendant has been ongoing for a very long time and that it is in their interests that the matter be finalised.</w:t>
      </w:r>
    </w:p>
    <w:p w14:paraId="3B474376" w14:textId="655B22AE" w:rsidR="00FA22CD"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[36]</w:t>
      </w:r>
      <w:r>
        <w:rPr>
          <w:rFonts w:ascii="Arial" w:hAnsi="Arial" w:cs="Arial"/>
          <w:sz w:val="24"/>
          <w:szCs w:val="24"/>
        </w:rPr>
        <w:tab/>
      </w:r>
      <w:r w:rsidR="006B0C02" w:rsidRPr="006B0C02">
        <w:rPr>
          <w:rFonts w:ascii="Arial" w:hAnsi="Arial" w:cs="Arial"/>
          <w:sz w:val="24"/>
          <w:szCs w:val="24"/>
        </w:rPr>
        <w:t>I have already held that I agree with Karachi AJ that it is in the interests of justice that the trial court adjudicate the matter</w:t>
      </w:r>
      <w:r w:rsidR="006B0C02">
        <w:rPr>
          <w:rFonts w:ascii="Arial" w:hAnsi="Arial" w:cs="Arial"/>
          <w:sz w:val="24"/>
          <w:szCs w:val="24"/>
        </w:rPr>
        <w:t>.</w:t>
      </w:r>
      <w:r w:rsidR="000D7EEA">
        <w:rPr>
          <w:rFonts w:ascii="Arial" w:hAnsi="Arial" w:cs="Arial"/>
          <w:sz w:val="24"/>
          <w:szCs w:val="24"/>
        </w:rPr>
        <w:t xml:space="preserve"> In the circumstances I do not intend to make any order as to costs.</w:t>
      </w:r>
    </w:p>
    <w:p w14:paraId="23DBD634" w14:textId="1DEA7084" w:rsidR="0020505C" w:rsidRPr="0020505C" w:rsidRDefault="00FA22CD" w:rsidP="0020505C">
      <w:pPr>
        <w:spacing w:before="480" w:after="480" w:line="360" w:lineRule="auto"/>
        <w:rPr>
          <w:rFonts w:ascii="Arial" w:hAnsi="Arial" w:cs="Arial"/>
          <w:i/>
          <w:iCs/>
          <w:sz w:val="24"/>
          <w:szCs w:val="24"/>
        </w:rPr>
      </w:pPr>
      <w:r w:rsidRPr="00263EB5">
        <w:rPr>
          <w:rFonts w:ascii="Arial" w:hAnsi="Arial" w:cs="Arial"/>
          <w:i/>
          <w:iCs/>
          <w:sz w:val="24"/>
          <w:szCs w:val="24"/>
        </w:rPr>
        <w:t>Order</w:t>
      </w:r>
    </w:p>
    <w:p w14:paraId="43B550D2" w14:textId="64713069" w:rsidR="0020505C" w:rsidRDefault="008B2AEC" w:rsidP="008B2AEC">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[37]</w:t>
      </w:r>
      <w:r>
        <w:rPr>
          <w:rFonts w:ascii="Arial" w:hAnsi="Arial" w:cs="Arial"/>
          <w:sz w:val="24"/>
          <w:szCs w:val="24"/>
        </w:rPr>
        <w:tab/>
      </w:r>
      <w:r w:rsidR="0020505C">
        <w:rPr>
          <w:rFonts w:ascii="Arial" w:hAnsi="Arial" w:cs="Arial"/>
          <w:sz w:val="24"/>
          <w:szCs w:val="24"/>
        </w:rPr>
        <w:t xml:space="preserve">In the premises the following order </w:t>
      </w:r>
      <w:r w:rsidR="005E1D0A">
        <w:rPr>
          <w:rFonts w:ascii="Arial" w:hAnsi="Arial" w:cs="Arial"/>
          <w:sz w:val="24"/>
          <w:szCs w:val="24"/>
        </w:rPr>
        <w:t xml:space="preserve">is </w:t>
      </w:r>
      <w:r w:rsidR="0020505C">
        <w:rPr>
          <w:rFonts w:ascii="Arial" w:hAnsi="Arial" w:cs="Arial"/>
          <w:sz w:val="24"/>
          <w:szCs w:val="24"/>
        </w:rPr>
        <w:t>granted</w:t>
      </w:r>
      <w:r w:rsidR="00FA61E2">
        <w:rPr>
          <w:rFonts w:ascii="Arial" w:hAnsi="Arial" w:cs="Arial"/>
          <w:sz w:val="24"/>
          <w:szCs w:val="24"/>
        </w:rPr>
        <w:t>:</w:t>
      </w:r>
    </w:p>
    <w:p w14:paraId="1B4B67F8" w14:textId="5CAFEF03" w:rsidR="00FA22CD" w:rsidRDefault="008B2AEC" w:rsidP="008B2AEC">
      <w:pPr>
        <w:spacing w:before="480" w:after="480" w:line="360" w:lineRule="auto"/>
        <w:ind w:left="1418" w:hanging="709"/>
        <w:rPr>
          <w:rFonts w:ascii="Arial" w:hAnsi="Arial" w:cs="Arial"/>
          <w:sz w:val="24"/>
          <w:szCs w:val="24"/>
        </w:rPr>
      </w:pPr>
      <w:r>
        <w:rPr>
          <w:rFonts w:ascii="Arial" w:hAnsi="Arial" w:cs="Arial"/>
          <w:sz w:val="24"/>
          <w:szCs w:val="24"/>
        </w:rPr>
        <w:t>1.</w:t>
      </w:r>
      <w:r>
        <w:rPr>
          <w:rFonts w:ascii="Arial" w:hAnsi="Arial" w:cs="Arial"/>
          <w:sz w:val="24"/>
          <w:szCs w:val="24"/>
        </w:rPr>
        <w:tab/>
      </w:r>
      <w:r w:rsidR="00FA22CD">
        <w:rPr>
          <w:rFonts w:ascii="Arial" w:hAnsi="Arial" w:cs="Arial"/>
          <w:sz w:val="24"/>
          <w:szCs w:val="24"/>
        </w:rPr>
        <w:t xml:space="preserve">The plaintiff’s exception dated January 2020 is dismissed. </w:t>
      </w:r>
    </w:p>
    <w:p w14:paraId="0CDEB165" w14:textId="77777777" w:rsidR="000B6E4A" w:rsidRDefault="000B6E4A" w:rsidP="000F1362">
      <w:pPr>
        <w:spacing w:before="480" w:after="480" w:line="360" w:lineRule="auto"/>
        <w:ind w:left="1418"/>
        <w:rPr>
          <w:rFonts w:ascii="Arial" w:hAnsi="Arial" w:cs="Arial"/>
          <w:sz w:val="24"/>
          <w:szCs w:val="24"/>
        </w:rPr>
      </w:pPr>
    </w:p>
    <w:p w14:paraId="4205C31D" w14:textId="77777777" w:rsidR="000B6E4A" w:rsidRDefault="000B6E4A" w:rsidP="000B6E4A">
      <w:pPr>
        <w:pStyle w:val="JudgmentNumbered"/>
        <w:numPr>
          <w:ilvl w:val="0"/>
          <w:numId w:val="0"/>
        </w:numPr>
        <w:spacing w:after="0"/>
        <w:ind w:left="567" w:hanging="567"/>
        <w:jc w:val="right"/>
      </w:pPr>
      <w:r>
        <w:t>___________________________</w:t>
      </w:r>
    </w:p>
    <w:p w14:paraId="6E982EEF" w14:textId="1156922D" w:rsidR="000B6E4A" w:rsidRDefault="000B6E4A" w:rsidP="000B6E4A">
      <w:pPr>
        <w:pStyle w:val="JudgmentNumbered"/>
        <w:numPr>
          <w:ilvl w:val="0"/>
          <w:numId w:val="0"/>
        </w:numPr>
        <w:spacing w:after="0"/>
        <w:ind w:left="567" w:hanging="567"/>
        <w:jc w:val="right"/>
        <w:rPr>
          <w:b/>
        </w:rPr>
      </w:pPr>
      <w:r>
        <w:rPr>
          <w:b/>
        </w:rPr>
        <w:t>PG LOUW</w:t>
      </w:r>
    </w:p>
    <w:p w14:paraId="591C6DED" w14:textId="785C9786" w:rsidR="000B6E4A" w:rsidRDefault="00FA61E2" w:rsidP="000B6E4A">
      <w:pPr>
        <w:pStyle w:val="JudgmentNumbered"/>
        <w:numPr>
          <w:ilvl w:val="0"/>
          <w:numId w:val="0"/>
        </w:numPr>
        <w:spacing w:after="0"/>
        <w:ind w:left="567" w:hanging="567"/>
        <w:jc w:val="right"/>
        <w:rPr>
          <w:b/>
        </w:rPr>
      </w:pPr>
      <w:r>
        <w:rPr>
          <w:b/>
        </w:rPr>
        <w:lastRenderedPageBreak/>
        <w:t xml:space="preserve">ACTING </w:t>
      </w:r>
      <w:r w:rsidR="000B6E4A">
        <w:rPr>
          <w:b/>
        </w:rPr>
        <w:t>JUDGE OF THE HIGH COURT</w:t>
      </w:r>
    </w:p>
    <w:p w14:paraId="51ECB7D2" w14:textId="61A02E48" w:rsidR="0020505C" w:rsidRPr="000F1362" w:rsidRDefault="000B6E4A" w:rsidP="000F1362">
      <w:pPr>
        <w:pStyle w:val="JudgmentNumbered"/>
        <w:numPr>
          <w:ilvl w:val="0"/>
          <w:numId w:val="0"/>
        </w:numPr>
        <w:spacing w:after="0"/>
        <w:ind w:left="567" w:hanging="567"/>
        <w:jc w:val="right"/>
        <w:rPr>
          <w:b/>
        </w:rPr>
      </w:pPr>
      <w:r>
        <w:rPr>
          <w:b/>
        </w:rPr>
        <w:t>JOHANNESBURG</w:t>
      </w:r>
    </w:p>
    <w:p w14:paraId="1EA5884C" w14:textId="77777777" w:rsidR="0020505C" w:rsidRDefault="0020505C" w:rsidP="000F1362">
      <w:pPr>
        <w:ind w:firstLine="3828"/>
        <w:rPr>
          <w:rFonts w:ascii="Arial" w:hAnsi="Arial" w:cs="Arial"/>
          <w:b/>
          <w:bCs/>
          <w:sz w:val="24"/>
          <w:szCs w:val="24"/>
        </w:rPr>
      </w:pPr>
    </w:p>
    <w:p w14:paraId="03748591" w14:textId="0E4A69E9" w:rsidR="00FA22CD" w:rsidRPr="00084F14" w:rsidRDefault="0020505C" w:rsidP="00FA22CD">
      <w:pPr>
        <w:rPr>
          <w:rFonts w:ascii="Arial" w:hAnsi="Arial" w:cs="Arial"/>
          <w:sz w:val="24"/>
          <w:szCs w:val="24"/>
        </w:rPr>
      </w:pPr>
      <w:r>
        <w:rPr>
          <w:rFonts w:ascii="Arial" w:hAnsi="Arial" w:cs="Arial"/>
          <w:sz w:val="24"/>
          <w:szCs w:val="24"/>
        </w:rPr>
        <w:br w:type="column"/>
      </w:r>
      <w:r w:rsidR="00FA22CD" w:rsidRPr="00084F14">
        <w:rPr>
          <w:rFonts w:ascii="Arial" w:hAnsi="Arial" w:cs="Arial"/>
          <w:sz w:val="24"/>
          <w:szCs w:val="24"/>
        </w:rPr>
        <w:lastRenderedPageBreak/>
        <w:t xml:space="preserve">Counsel for </w:t>
      </w:r>
      <w:r w:rsidR="00CD53A8">
        <w:rPr>
          <w:rFonts w:ascii="Arial" w:hAnsi="Arial" w:cs="Arial"/>
          <w:sz w:val="24"/>
          <w:szCs w:val="24"/>
        </w:rPr>
        <w:t>Plaintiff</w:t>
      </w:r>
      <w:r w:rsidR="00FA22CD" w:rsidRPr="00084F14">
        <w:rPr>
          <w:rFonts w:ascii="Arial" w:hAnsi="Arial" w:cs="Arial"/>
          <w:sz w:val="24"/>
          <w:szCs w:val="24"/>
        </w:rPr>
        <w:t>:</w:t>
      </w:r>
      <w:r w:rsidR="000F1362">
        <w:rPr>
          <w:rFonts w:ascii="Arial" w:hAnsi="Arial" w:cs="Arial"/>
          <w:sz w:val="24"/>
          <w:szCs w:val="24"/>
        </w:rPr>
        <w:tab/>
      </w:r>
      <w:r>
        <w:rPr>
          <w:rFonts w:ascii="Arial" w:hAnsi="Arial" w:cs="Arial"/>
          <w:sz w:val="24"/>
          <w:szCs w:val="24"/>
        </w:rPr>
        <w:t xml:space="preserve"> Adv A P Bruwer</w:t>
      </w:r>
      <w:r w:rsidR="00FA22CD" w:rsidRPr="00084F14">
        <w:rPr>
          <w:rFonts w:ascii="Arial" w:hAnsi="Arial" w:cs="Arial"/>
          <w:sz w:val="24"/>
          <w:szCs w:val="24"/>
        </w:rPr>
        <w:t xml:space="preserve"> </w:t>
      </w:r>
      <w:r w:rsidR="00FA22CD">
        <w:rPr>
          <w:rFonts w:ascii="Arial" w:hAnsi="Arial" w:cs="Arial"/>
          <w:sz w:val="24"/>
          <w:szCs w:val="24"/>
        </w:rPr>
        <w:tab/>
      </w:r>
    </w:p>
    <w:p w14:paraId="2834CF90" w14:textId="0E8959E9" w:rsidR="00FA22CD" w:rsidRPr="00084F14" w:rsidRDefault="00FA22CD" w:rsidP="00FA22CD">
      <w:pPr>
        <w:rPr>
          <w:rFonts w:ascii="Arial" w:hAnsi="Arial" w:cs="Arial"/>
          <w:sz w:val="24"/>
          <w:szCs w:val="24"/>
        </w:rPr>
      </w:pPr>
      <w:r w:rsidRPr="00084F14">
        <w:rPr>
          <w:rFonts w:ascii="Arial" w:hAnsi="Arial" w:cs="Arial"/>
          <w:sz w:val="24"/>
          <w:szCs w:val="24"/>
        </w:rPr>
        <w:t xml:space="preserve">Instructed by: </w:t>
      </w:r>
      <w:r w:rsidR="0020505C">
        <w:rPr>
          <w:rFonts w:ascii="Arial" w:hAnsi="Arial" w:cs="Arial"/>
          <w:sz w:val="24"/>
          <w:szCs w:val="24"/>
        </w:rPr>
        <w:t>Kitching Attorneys</w:t>
      </w:r>
      <w:r w:rsidRPr="00084F14">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0D0B9085" w14:textId="77777777" w:rsidR="00FA22CD" w:rsidRPr="00084F14" w:rsidRDefault="00FA22CD" w:rsidP="00FA22CD">
      <w:pPr>
        <w:rPr>
          <w:rFonts w:ascii="Arial" w:hAnsi="Arial" w:cs="Arial"/>
          <w:sz w:val="24"/>
          <w:szCs w:val="24"/>
        </w:rPr>
      </w:pPr>
    </w:p>
    <w:p w14:paraId="0E972401" w14:textId="2B21F12D" w:rsidR="00CD53A8" w:rsidRDefault="00FA22CD" w:rsidP="00FA22CD">
      <w:pPr>
        <w:rPr>
          <w:rFonts w:ascii="Arial" w:hAnsi="Arial" w:cs="Arial"/>
          <w:sz w:val="24"/>
          <w:szCs w:val="24"/>
        </w:rPr>
      </w:pPr>
      <w:r w:rsidRPr="00084F14">
        <w:rPr>
          <w:rFonts w:ascii="Arial" w:hAnsi="Arial" w:cs="Arial"/>
          <w:sz w:val="24"/>
          <w:szCs w:val="24"/>
        </w:rPr>
        <w:t xml:space="preserve">Counsel for </w:t>
      </w:r>
      <w:r w:rsidR="00CD53A8">
        <w:rPr>
          <w:rFonts w:ascii="Arial" w:hAnsi="Arial" w:cs="Arial"/>
          <w:sz w:val="24"/>
          <w:szCs w:val="24"/>
        </w:rPr>
        <w:t>First Defendant</w:t>
      </w:r>
      <w:r w:rsidRPr="00084F14">
        <w:rPr>
          <w:rFonts w:ascii="Arial" w:hAnsi="Arial" w:cs="Arial"/>
          <w:sz w:val="24"/>
          <w:szCs w:val="24"/>
        </w:rPr>
        <w:t xml:space="preserve">: </w:t>
      </w:r>
      <w:r w:rsidR="0020505C">
        <w:rPr>
          <w:rFonts w:ascii="Arial" w:hAnsi="Arial" w:cs="Arial"/>
          <w:sz w:val="24"/>
          <w:szCs w:val="24"/>
        </w:rPr>
        <w:t xml:space="preserve">Adv G </w:t>
      </w:r>
      <w:r w:rsidR="00C21700">
        <w:rPr>
          <w:rFonts w:ascii="Arial" w:hAnsi="Arial" w:cs="Arial"/>
          <w:sz w:val="24"/>
          <w:szCs w:val="24"/>
        </w:rPr>
        <w:t>H</w:t>
      </w:r>
      <w:r w:rsidR="0020505C">
        <w:rPr>
          <w:rFonts w:ascii="Arial" w:hAnsi="Arial" w:cs="Arial"/>
          <w:sz w:val="24"/>
          <w:szCs w:val="24"/>
        </w:rPr>
        <w:t xml:space="preserve"> </w:t>
      </w:r>
      <w:r w:rsidR="00CD53A8">
        <w:rPr>
          <w:rFonts w:ascii="Arial" w:hAnsi="Arial" w:cs="Arial"/>
          <w:sz w:val="24"/>
          <w:szCs w:val="24"/>
        </w:rPr>
        <w:t>Meyer</w:t>
      </w:r>
    </w:p>
    <w:p w14:paraId="07F90BC5" w14:textId="4585A4A7" w:rsidR="00FA22CD" w:rsidRPr="00084F14" w:rsidRDefault="00CD53A8" w:rsidP="00FA22CD">
      <w:pPr>
        <w:rPr>
          <w:rFonts w:ascii="Arial" w:hAnsi="Arial" w:cs="Arial"/>
          <w:sz w:val="24"/>
          <w:szCs w:val="24"/>
        </w:rPr>
      </w:pPr>
      <w:r>
        <w:rPr>
          <w:rFonts w:ascii="Arial" w:hAnsi="Arial" w:cs="Arial"/>
          <w:sz w:val="24"/>
          <w:szCs w:val="24"/>
        </w:rPr>
        <w:t xml:space="preserve">Instructed </w:t>
      </w:r>
      <w:r w:rsidR="00FA22CD" w:rsidRPr="00084F14">
        <w:rPr>
          <w:rFonts w:ascii="Arial" w:hAnsi="Arial" w:cs="Arial"/>
          <w:sz w:val="24"/>
          <w:szCs w:val="24"/>
        </w:rPr>
        <w:t xml:space="preserve">by:  </w:t>
      </w:r>
      <w:r w:rsidR="0020505C">
        <w:rPr>
          <w:rFonts w:ascii="Arial" w:hAnsi="Arial" w:cs="Arial"/>
          <w:sz w:val="24"/>
          <w:szCs w:val="24"/>
        </w:rPr>
        <w:t>J H Van Heerden &amp; Cohen Attorneys</w:t>
      </w:r>
    </w:p>
    <w:p w14:paraId="78454C58" w14:textId="77777777" w:rsidR="00FA22CD" w:rsidRPr="00084F14" w:rsidRDefault="00FA22CD" w:rsidP="00FA22CD">
      <w:pPr>
        <w:rPr>
          <w:rFonts w:ascii="Arial" w:hAnsi="Arial" w:cs="Arial"/>
          <w:sz w:val="24"/>
          <w:szCs w:val="24"/>
        </w:rPr>
      </w:pPr>
    </w:p>
    <w:p w14:paraId="158ECCA0" w14:textId="09AC8C49" w:rsidR="00FA22CD" w:rsidRPr="00084F14" w:rsidRDefault="00FA22CD" w:rsidP="00FA22CD">
      <w:pPr>
        <w:rPr>
          <w:rFonts w:ascii="Arial" w:hAnsi="Arial" w:cs="Arial"/>
          <w:sz w:val="24"/>
          <w:szCs w:val="24"/>
        </w:rPr>
      </w:pPr>
      <w:r w:rsidRPr="00084F14">
        <w:rPr>
          <w:rFonts w:ascii="Arial" w:hAnsi="Arial" w:cs="Arial"/>
          <w:sz w:val="24"/>
          <w:szCs w:val="24"/>
        </w:rPr>
        <w:t xml:space="preserve">Date of hearing:  </w:t>
      </w:r>
      <w:r w:rsidR="0020505C">
        <w:rPr>
          <w:rFonts w:ascii="Arial" w:hAnsi="Arial" w:cs="Arial"/>
          <w:sz w:val="24"/>
          <w:szCs w:val="24"/>
        </w:rPr>
        <w:t>18 May 2023</w:t>
      </w:r>
    </w:p>
    <w:p w14:paraId="224CC4F5" w14:textId="77777777" w:rsidR="00FA22CD" w:rsidRDefault="00FA22CD" w:rsidP="00FA22CD">
      <w:pPr>
        <w:rPr>
          <w:rFonts w:ascii="Arial" w:hAnsi="Arial" w:cs="Arial"/>
          <w:sz w:val="24"/>
          <w:szCs w:val="24"/>
        </w:rPr>
      </w:pPr>
    </w:p>
    <w:p w14:paraId="762CB2A2" w14:textId="26A29C7A" w:rsidR="00FA22CD" w:rsidRPr="00084F14" w:rsidRDefault="00FA22CD" w:rsidP="00FA22CD">
      <w:pPr>
        <w:rPr>
          <w:rFonts w:ascii="Arial" w:hAnsi="Arial" w:cs="Arial"/>
          <w:sz w:val="24"/>
          <w:szCs w:val="24"/>
        </w:rPr>
      </w:pPr>
      <w:r w:rsidRPr="00084F14">
        <w:rPr>
          <w:rFonts w:ascii="Arial" w:hAnsi="Arial" w:cs="Arial"/>
          <w:sz w:val="24"/>
          <w:szCs w:val="24"/>
        </w:rPr>
        <w:t xml:space="preserve">Date of </w:t>
      </w:r>
      <w:r>
        <w:rPr>
          <w:rFonts w:ascii="Arial" w:hAnsi="Arial" w:cs="Arial"/>
          <w:sz w:val="24"/>
          <w:szCs w:val="24"/>
        </w:rPr>
        <w:t>j</w:t>
      </w:r>
      <w:r w:rsidRPr="00084F14">
        <w:rPr>
          <w:rFonts w:ascii="Arial" w:hAnsi="Arial" w:cs="Arial"/>
          <w:sz w:val="24"/>
          <w:szCs w:val="24"/>
        </w:rPr>
        <w:t xml:space="preserve">udgment: </w:t>
      </w:r>
      <w:r w:rsidR="0020505C" w:rsidRPr="000F1362">
        <w:rPr>
          <w:rFonts w:ascii="Arial" w:hAnsi="Arial" w:cs="Arial"/>
          <w:sz w:val="24"/>
          <w:szCs w:val="24"/>
        </w:rPr>
        <w:t>1</w:t>
      </w:r>
      <w:r w:rsidR="000F1362">
        <w:rPr>
          <w:rFonts w:ascii="Arial" w:hAnsi="Arial" w:cs="Arial"/>
          <w:sz w:val="24"/>
          <w:szCs w:val="24"/>
        </w:rPr>
        <w:t>6</w:t>
      </w:r>
      <w:r w:rsidR="0020505C" w:rsidRPr="000F1362">
        <w:rPr>
          <w:rFonts w:ascii="Arial" w:hAnsi="Arial" w:cs="Arial"/>
          <w:sz w:val="24"/>
          <w:szCs w:val="24"/>
        </w:rPr>
        <w:t xml:space="preserve"> August 2023</w:t>
      </w:r>
    </w:p>
    <w:p w14:paraId="2BCDE391" w14:textId="77777777" w:rsidR="00FA22CD" w:rsidRPr="00F05502" w:rsidRDefault="00FA22CD" w:rsidP="00FA22CD">
      <w:pPr>
        <w:spacing w:before="480" w:after="480" w:line="360" w:lineRule="auto"/>
        <w:ind w:left="720"/>
        <w:rPr>
          <w:rFonts w:ascii="Arial" w:hAnsi="Arial" w:cs="Arial"/>
          <w:sz w:val="24"/>
          <w:szCs w:val="24"/>
        </w:rPr>
      </w:pPr>
    </w:p>
    <w:p w14:paraId="1EF20082" w14:textId="77777777" w:rsidR="00E448FD" w:rsidRPr="00752132" w:rsidRDefault="00E448FD" w:rsidP="00C166EF">
      <w:pPr>
        <w:spacing w:before="480" w:after="480" w:line="360" w:lineRule="auto"/>
        <w:rPr>
          <w:rFonts w:ascii="Arial" w:hAnsi="Arial" w:cs="Arial"/>
          <w:sz w:val="24"/>
          <w:szCs w:val="24"/>
        </w:rPr>
      </w:pPr>
    </w:p>
    <w:sectPr w:rsidR="00E448FD" w:rsidRPr="00752132" w:rsidSect="00D80A9D">
      <w:headerReference w:type="default"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8080" w14:textId="77777777" w:rsidR="00E330E4" w:rsidRDefault="00E330E4" w:rsidP="00514B49">
      <w:r>
        <w:separator/>
      </w:r>
    </w:p>
  </w:endnote>
  <w:endnote w:type="continuationSeparator" w:id="0">
    <w:p w14:paraId="4E72126D" w14:textId="77777777" w:rsidR="00E330E4" w:rsidRDefault="00E330E4" w:rsidP="005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1E0D" w14:textId="77777777" w:rsidR="007D1D15" w:rsidRDefault="007D1D15">
    <w:pPr>
      <w:pStyle w:val="Footer"/>
      <w:jc w:val="right"/>
    </w:pPr>
    <w:r>
      <w:fldChar w:fldCharType="begin"/>
    </w:r>
    <w:r>
      <w:instrText xml:space="preserve"> PAGE   \* MERGEFORMAT </w:instrText>
    </w:r>
    <w:r>
      <w:fldChar w:fldCharType="separate"/>
    </w:r>
    <w:r w:rsidR="005A3185">
      <w:rPr>
        <w:noProof/>
      </w:rPr>
      <w:t>9</w:t>
    </w:r>
    <w:r>
      <w:rPr>
        <w:noProof/>
      </w:rPr>
      <w:fldChar w:fldCharType="end"/>
    </w:r>
  </w:p>
  <w:p w14:paraId="13CD89F4" w14:textId="77777777" w:rsidR="007D1D15" w:rsidRDefault="007D1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29390" w14:textId="77777777" w:rsidR="00E330E4" w:rsidRDefault="00E330E4" w:rsidP="00514B49">
      <w:r>
        <w:separator/>
      </w:r>
    </w:p>
  </w:footnote>
  <w:footnote w:type="continuationSeparator" w:id="0">
    <w:p w14:paraId="2F661E8E" w14:textId="77777777" w:rsidR="00E330E4" w:rsidRDefault="00E330E4" w:rsidP="00514B49">
      <w:r>
        <w:continuationSeparator/>
      </w:r>
    </w:p>
  </w:footnote>
  <w:footnote w:id="1">
    <w:p w14:paraId="774AEB6C" w14:textId="404332C5" w:rsidR="008524C3" w:rsidRDefault="008524C3">
      <w:pPr>
        <w:pStyle w:val="FootnoteText"/>
      </w:pPr>
      <w:r>
        <w:rPr>
          <w:rStyle w:val="FootnoteReference"/>
        </w:rPr>
        <w:footnoteRef/>
      </w:r>
      <w:r>
        <w:t xml:space="preserve"> Plea</w:t>
      </w:r>
      <w:r w:rsidR="0060082B">
        <w:t xml:space="preserve"> </w:t>
      </w:r>
      <w:r>
        <w:t>para 8.2.</w:t>
      </w:r>
    </w:p>
  </w:footnote>
  <w:footnote w:id="2">
    <w:p w14:paraId="2BDE2A52" w14:textId="2324827F" w:rsidR="008524C3" w:rsidRDefault="008524C3">
      <w:pPr>
        <w:pStyle w:val="FootnoteText"/>
      </w:pPr>
      <w:r>
        <w:rPr>
          <w:rStyle w:val="FootnoteReference"/>
        </w:rPr>
        <w:footnoteRef/>
      </w:r>
      <w:r>
        <w:t xml:space="preserve"> Plea</w:t>
      </w:r>
      <w:r w:rsidR="0060082B">
        <w:t xml:space="preserve"> </w:t>
      </w:r>
      <w:r>
        <w:t>para 9.</w:t>
      </w:r>
    </w:p>
  </w:footnote>
  <w:footnote w:id="3">
    <w:p w14:paraId="6C12D716" w14:textId="39332A1E" w:rsidR="008524C3" w:rsidRDefault="008524C3">
      <w:pPr>
        <w:pStyle w:val="FootnoteText"/>
      </w:pPr>
      <w:r>
        <w:rPr>
          <w:rStyle w:val="FootnoteReference"/>
        </w:rPr>
        <w:footnoteRef/>
      </w:r>
      <w:r>
        <w:t xml:space="preserve"> Particulars of claim</w:t>
      </w:r>
      <w:r w:rsidR="0060082B">
        <w:t xml:space="preserve"> </w:t>
      </w:r>
      <w:r>
        <w:t>para 8.</w:t>
      </w:r>
    </w:p>
  </w:footnote>
  <w:footnote w:id="4">
    <w:p w14:paraId="275A0B47" w14:textId="0594FA4A" w:rsidR="009D0F0A" w:rsidRDefault="009D0F0A">
      <w:pPr>
        <w:pStyle w:val="FootnoteText"/>
      </w:pPr>
      <w:r>
        <w:rPr>
          <w:rStyle w:val="FootnoteReference"/>
        </w:rPr>
        <w:footnoteRef/>
      </w:r>
      <w:r>
        <w:t xml:space="preserve"> Plea</w:t>
      </w:r>
      <w:r w:rsidR="0060082B">
        <w:t xml:space="preserve"> </w:t>
      </w:r>
      <w:r>
        <w:t>para 10.</w:t>
      </w:r>
    </w:p>
  </w:footnote>
  <w:footnote w:id="5">
    <w:p w14:paraId="44596D27" w14:textId="5E6AD0EC" w:rsidR="00463A2C" w:rsidRDefault="00463A2C">
      <w:pPr>
        <w:pStyle w:val="FootnoteText"/>
      </w:pPr>
      <w:r>
        <w:rPr>
          <w:rStyle w:val="FootnoteReference"/>
        </w:rPr>
        <w:footnoteRef/>
      </w:r>
      <w:r>
        <w:t xml:space="preserve"> Counterclaim</w:t>
      </w:r>
      <w:r w:rsidR="0060082B">
        <w:t xml:space="preserve"> </w:t>
      </w:r>
      <w:r>
        <w:t>prayer 1.</w:t>
      </w:r>
    </w:p>
  </w:footnote>
  <w:footnote w:id="6">
    <w:p w14:paraId="5A0C7AAB" w14:textId="42DDCD6B" w:rsidR="00C66A8B" w:rsidRDefault="00C66A8B">
      <w:pPr>
        <w:pStyle w:val="FootnoteText"/>
      </w:pPr>
      <w:r>
        <w:rPr>
          <w:rStyle w:val="FootnoteReference"/>
        </w:rPr>
        <w:footnoteRef/>
      </w:r>
      <w:r>
        <w:t xml:space="preserve"> 1937 WLD 126 127-128.</w:t>
      </w:r>
    </w:p>
  </w:footnote>
  <w:footnote w:id="7">
    <w:p w14:paraId="27C8FF70" w14:textId="521E59FC" w:rsidR="00B04D45" w:rsidRDefault="00B04D45">
      <w:pPr>
        <w:pStyle w:val="FootnoteText"/>
      </w:pPr>
      <w:r>
        <w:rPr>
          <w:rStyle w:val="FootnoteReference"/>
        </w:rPr>
        <w:footnoteRef/>
      </w:r>
      <w:r>
        <w:t xml:space="preserve"> A copy of the judgment appears on Caselines at 076-10 onwards</w:t>
      </w:r>
      <w:r w:rsidR="009B5B0D">
        <w:t xml:space="preserve"> (Dlamini AJ</w:t>
      </w:r>
      <w:r w:rsidR="00F46D96">
        <w:t xml:space="preserve"> judgment</w:t>
      </w:r>
      <w:r w:rsidR="009B5B0D">
        <w:t>)</w:t>
      </w:r>
      <w:r>
        <w:t>.</w:t>
      </w:r>
    </w:p>
  </w:footnote>
  <w:footnote w:id="8">
    <w:p w14:paraId="039738D2" w14:textId="4BD66949" w:rsidR="00B04D45" w:rsidRDefault="00B04D45">
      <w:pPr>
        <w:pStyle w:val="FootnoteText"/>
      </w:pPr>
      <w:r>
        <w:rPr>
          <w:rStyle w:val="FootnoteReference"/>
        </w:rPr>
        <w:footnoteRef/>
      </w:r>
      <w:r>
        <w:t xml:space="preserve"> Dlamini AJ judgment</w:t>
      </w:r>
      <w:r w:rsidR="009B5B0D">
        <w:t xml:space="preserve"> </w:t>
      </w:r>
      <w:r>
        <w:t>para 8.</w:t>
      </w:r>
    </w:p>
  </w:footnote>
  <w:footnote w:id="9">
    <w:p w14:paraId="019199A0" w14:textId="2B55CE8A" w:rsidR="00FF7709" w:rsidRDefault="00FF7709">
      <w:pPr>
        <w:pStyle w:val="FootnoteText"/>
      </w:pPr>
      <w:r>
        <w:rPr>
          <w:rStyle w:val="FootnoteReference"/>
        </w:rPr>
        <w:footnoteRef/>
      </w:r>
      <w:r>
        <w:t xml:space="preserve"> Dlamini AJ judgment</w:t>
      </w:r>
      <w:r w:rsidR="009B5B0D">
        <w:t xml:space="preserve"> </w:t>
      </w:r>
      <w:r>
        <w:t>para 15 and 16.</w:t>
      </w:r>
    </w:p>
  </w:footnote>
  <w:footnote w:id="10">
    <w:p w14:paraId="19D63056" w14:textId="009CF99E" w:rsidR="00E448FD" w:rsidRDefault="00E448FD">
      <w:pPr>
        <w:pStyle w:val="FootnoteText"/>
      </w:pPr>
      <w:r>
        <w:rPr>
          <w:rStyle w:val="FootnoteReference"/>
        </w:rPr>
        <w:footnoteRef/>
      </w:r>
      <w:r>
        <w:t xml:space="preserve"> Exception</w:t>
      </w:r>
      <w:r w:rsidR="009B5B0D">
        <w:t xml:space="preserve"> </w:t>
      </w:r>
      <w:r>
        <w:t>para 3.</w:t>
      </w:r>
    </w:p>
  </w:footnote>
  <w:footnote w:id="11">
    <w:p w14:paraId="685219B8" w14:textId="03D682C2" w:rsidR="00E448FD" w:rsidRDefault="00E448FD">
      <w:pPr>
        <w:pStyle w:val="FootnoteText"/>
      </w:pPr>
      <w:r>
        <w:rPr>
          <w:rStyle w:val="FootnoteReference"/>
        </w:rPr>
        <w:footnoteRef/>
      </w:r>
      <w:r>
        <w:t xml:space="preserve"> Exception</w:t>
      </w:r>
      <w:r w:rsidR="009B5B0D">
        <w:t xml:space="preserve"> </w:t>
      </w:r>
      <w:r>
        <w:t>para 5 and 6.</w:t>
      </w:r>
    </w:p>
  </w:footnote>
  <w:footnote w:id="12">
    <w:p w14:paraId="62D25867" w14:textId="57630828" w:rsidR="00C66A8B" w:rsidRDefault="00C66A8B" w:rsidP="00C66A8B">
      <w:pPr>
        <w:pStyle w:val="FootnoteText"/>
      </w:pPr>
      <w:r>
        <w:rPr>
          <w:rStyle w:val="FootnoteReference"/>
        </w:rPr>
        <w:footnoteRef/>
      </w:r>
      <w:r>
        <w:t xml:space="preserve"> </w:t>
      </w:r>
      <w:r w:rsidRPr="009625C2">
        <w:rPr>
          <w:i/>
          <w:iCs/>
        </w:rPr>
        <w:t>Jowell v Bramwell</w:t>
      </w:r>
      <w:r>
        <w:rPr>
          <w:i/>
          <w:iCs/>
        </w:rPr>
        <w:t xml:space="preserve"> Jones </w:t>
      </w:r>
      <w:r>
        <w:t xml:space="preserve">1998 (1) SA 836 (W) 899A. </w:t>
      </w:r>
    </w:p>
  </w:footnote>
  <w:footnote w:id="13">
    <w:p w14:paraId="61DF9741" w14:textId="0D3CC728" w:rsidR="004F2FF9" w:rsidRDefault="004F2FF9" w:rsidP="004F2FF9">
      <w:pPr>
        <w:pStyle w:val="FootnoteText"/>
      </w:pPr>
      <w:r>
        <w:rPr>
          <w:rStyle w:val="FootnoteReference"/>
        </w:rPr>
        <w:footnoteRef/>
      </w:r>
      <w:r>
        <w:t xml:space="preserve"> A copy of the judgment appears on Caselines at 076-1 onwards</w:t>
      </w:r>
      <w:r w:rsidR="000F1362">
        <w:t xml:space="preserve"> (Karachi AJ judgment)</w:t>
      </w:r>
      <w:r>
        <w:t>.</w:t>
      </w:r>
    </w:p>
  </w:footnote>
  <w:footnote w:id="14">
    <w:p w14:paraId="71655079" w14:textId="7251B9A1" w:rsidR="00C166EF" w:rsidRDefault="00C166EF">
      <w:pPr>
        <w:pStyle w:val="FootnoteText"/>
      </w:pPr>
      <w:r>
        <w:rPr>
          <w:rStyle w:val="FootnoteReference"/>
        </w:rPr>
        <w:footnoteRef/>
      </w:r>
      <w:r>
        <w:t xml:space="preserve"> Karachi AJ judgment</w:t>
      </w:r>
      <w:r w:rsidR="007246B3">
        <w:t xml:space="preserve"> </w:t>
      </w:r>
      <w:r>
        <w:t>para 12.</w:t>
      </w:r>
    </w:p>
  </w:footnote>
  <w:footnote w:id="15">
    <w:p w14:paraId="72A8111E" w14:textId="19EC6FFF" w:rsidR="003759B7" w:rsidRDefault="003759B7">
      <w:pPr>
        <w:pStyle w:val="FootnoteText"/>
      </w:pPr>
      <w:r>
        <w:rPr>
          <w:rStyle w:val="FootnoteReference"/>
        </w:rPr>
        <w:footnoteRef/>
      </w:r>
      <w:r>
        <w:t xml:space="preserve"> Karachi AJ judgment</w:t>
      </w:r>
      <w:r w:rsidR="007246B3">
        <w:t xml:space="preserve"> </w:t>
      </w:r>
      <w:r>
        <w:t>para 12 to 15.</w:t>
      </w:r>
    </w:p>
  </w:footnote>
  <w:footnote w:id="16">
    <w:p w14:paraId="07086EF1" w14:textId="489F8824" w:rsidR="00863FC1" w:rsidRDefault="00863FC1">
      <w:pPr>
        <w:pStyle w:val="FootnoteText"/>
      </w:pPr>
      <w:r>
        <w:rPr>
          <w:rStyle w:val="FootnoteReference"/>
        </w:rPr>
        <w:footnoteRef/>
      </w:r>
      <w:r>
        <w:t xml:space="preserve"> Karachi AJ judgment</w:t>
      </w:r>
      <w:r w:rsidR="007246B3">
        <w:t xml:space="preserve"> </w:t>
      </w:r>
      <w:r>
        <w:t>para 16.</w:t>
      </w:r>
    </w:p>
  </w:footnote>
  <w:footnote w:id="17">
    <w:p w14:paraId="06F75EA3" w14:textId="2B36AF3C" w:rsidR="00E479E1" w:rsidRPr="00E479E1" w:rsidRDefault="00E479E1">
      <w:pPr>
        <w:pStyle w:val="FootnoteText"/>
      </w:pPr>
      <w:r>
        <w:rPr>
          <w:rStyle w:val="FootnoteReference"/>
        </w:rPr>
        <w:footnoteRef/>
      </w:r>
      <w:r>
        <w:t xml:space="preserve"> </w:t>
      </w:r>
      <w:r>
        <w:rPr>
          <w:i/>
          <w:iCs/>
        </w:rPr>
        <w:t>Nel and Others NNO v McArthur</w:t>
      </w:r>
      <w:r>
        <w:t xml:space="preserve"> 2003 (4) SA 142 (T) 149F.</w:t>
      </w:r>
    </w:p>
  </w:footnote>
  <w:footnote w:id="18">
    <w:p w14:paraId="5D787A07" w14:textId="0DD60441" w:rsidR="00176538" w:rsidRPr="00176538" w:rsidRDefault="00176538" w:rsidP="000F1362">
      <w:pPr>
        <w:pStyle w:val="FootnoteText"/>
        <w:tabs>
          <w:tab w:val="clear" w:pos="567"/>
          <w:tab w:val="left" w:pos="142"/>
        </w:tabs>
        <w:ind w:left="284" w:hanging="284"/>
      </w:pPr>
      <w:r>
        <w:rPr>
          <w:rStyle w:val="FootnoteReference"/>
        </w:rPr>
        <w:footnoteRef/>
      </w:r>
      <w:r>
        <w:t xml:space="preserve"> </w:t>
      </w:r>
      <w:r>
        <w:rPr>
          <w:i/>
          <w:iCs/>
        </w:rPr>
        <w:t xml:space="preserve">Telematrix (Pty) Ltd t/a Matrix Vehicle Tracking and Advertising Standards Authority SA </w:t>
      </w:r>
      <w:r>
        <w:t>2006 (1) SA</w:t>
      </w:r>
      <w:r w:rsidR="007246B3">
        <w:t xml:space="preserve"> </w:t>
      </w:r>
      <w:r>
        <w:t>461 (SCA) 465H.</w:t>
      </w:r>
    </w:p>
  </w:footnote>
  <w:footnote w:id="19">
    <w:p w14:paraId="5A25E7EC" w14:textId="673A5E25" w:rsidR="004D0380" w:rsidRPr="000F1362" w:rsidRDefault="004D0380">
      <w:pPr>
        <w:pStyle w:val="FootnoteText"/>
        <w:rPr>
          <w:lang w:val="en-ZA"/>
        </w:rPr>
      </w:pPr>
      <w:r>
        <w:rPr>
          <w:rStyle w:val="FootnoteReference"/>
        </w:rPr>
        <w:footnoteRef/>
      </w:r>
      <w:r>
        <w:t xml:space="preserve"> </w:t>
      </w:r>
      <w:r>
        <w:rPr>
          <w:i/>
          <w:iCs/>
        </w:rPr>
        <w:t>Merb (Pty) Ltd v Matthews</w:t>
      </w:r>
      <w:r>
        <w:t xml:space="preserve"> </w:t>
      </w:r>
      <w:r w:rsidR="001C239D" w:rsidRPr="001C239D">
        <w:rPr>
          <w:lang w:val="en-ZA"/>
        </w:rPr>
        <w:t>[2021] ZAGPJHC 693</w:t>
      </w:r>
      <w:r w:rsidR="001C239D">
        <w:rPr>
          <w:lang w:val="en-ZA"/>
        </w:rPr>
        <w:t xml:space="preserve"> (</w:t>
      </w:r>
      <w:r w:rsidR="001C239D" w:rsidRPr="000F1362">
        <w:rPr>
          <w:i/>
          <w:iCs/>
          <w:lang w:val="en-ZA"/>
        </w:rPr>
        <w:t>Merb</w:t>
      </w:r>
      <w:r w:rsidR="001C239D">
        <w:rPr>
          <w:lang w:val="en-ZA"/>
        </w:rPr>
        <w:t xml:space="preserve">) </w:t>
      </w:r>
      <w:r w:rsidR="00DB3089">
        <w:t>para 9</w:t>
      </w:r>
      <w:r>
        <w:t>.</w:t>
      </w:r>
    </w:p>
  </w:footnote>
  <w:footnote w:id="20">
    <w:p w14:paraId="6FC20137" w14:textId="453AA9C7" w:rsidR="006402C8" w:rsidRPr="006402C8" w:rsidRDefault="006402C8">
      <w:pPr>
        <w:pStyle w:val="FootnoteText"/>
      </w:pPr>
      <w:r>
        <w:rPr>
          <w:rStyle w:val="FootnoteReference"/>
        </w:rPr>
        <w:footnoteRef/>
      </w:r>
      <w:r>
        <w:t xml:space="preserve"> </w:t>
      </w:r>
      <w:r>
        <w:rPr>
          <w:i/>
          <w:iCs/>
        </w:rPr>
        <w:t>Tembani v President of the Republic of South Africa</w:t>
      </w:r>
      <w:r>
        <w:t xml:space="preserve"> 2023 (1) SA 432 (SCA) para 16.</w:t>
      </w:r>
    </w:p>
  </w:footnote>
  <w:footnote w:id="21">
    <w:p w14:paraId="3E3220C2" w14:textId="76900631" w:rsidR="0020505C" w:rsidRPr="0020505C" w:rsidRDefault="0020505C">
      <w:pPr>
        <w:pStyle w:val="FootnoteText"/>
      </w:pPr>
      <w:r>
        <w:rPr>
          <w:rStyle w:val="FootnoteReference"/>
        </w:rPr>
        <w:footnoteRef/>
      </w:r>
      <w:r>
        <w:t xml:space="preserve"> </w:t>
      </w:r>
      <w:r>
        <w:rPr>
          <w:i/>
          <w:iCs/>
        </w:rPr>
        <w:t>Merb</w:t>
      </w:r>
      <w:r>
        <w:t xml:space="preserve">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5A1E" w14:textId="77777777" w:rsidR="007D1D15" w:rsidRDefault="007D1D15" w:rsidP="00D80A9D">
    <w:pPr>
      <w:pStyle w:val="Header"/>
      <w:pBdr>
        <w:bottom w:val="single" w:sz="4" w:space="1" w:color="D9D9D9"/>
      </w:pBdr>
      <w:jc w:val="center"/>
      <w:rPr>
        <w:b/>
        <w:bCs/>
        <w:noProof/>
      </w:rPr>
    </w:pPr>
  </w:p>
  <w:p w14:paraId="0AC04088" w14:textId="77777777" w:rsidR="007D1D15" w:rsidRDefault="007D1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D8A"/>
    <w:multiLevelType w:val="hybridMultilevel"/>
    <w:tmpl w:val="FFDA1372"/>
    <w:lvl w:ilvl="0" w:tplc="05EEBCB4">
      <w:start w:val="1"/>
      <w:numFmt w:val="lowerRoman"/>
      <w:lvlText w:val="(%1)"/>
      <w:lvlJc w:val="left"/>
      <w:pPr>
        <w:ind w:left="1412" w:hanging="720"/>
      </w:pPr>
      <w:rPr>
        <w:rFonts w:hint="default"/>
      </w:r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
    <w:nsid w:val="140B1CED"/>
    <w:multiLevelType w:val="multilevel"/>
    <w:tmpl w:val="DD9EB7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3">
    <w:nsid w:val="1DFF6D81"/>
    <w:multiLevelType w:val="multilevel"/>
    <w:tmpl w:val="9A262332"/>
    <w:lvl w:ilvl="0">
      <w:start w:val="1"/>
      <w:numFmt w:val="decimal"/>
      <w:lvlRestart w:val="0"/>
      <w:lvlText w:val="[%1]"/>
      <w:lvlJc w:val="left"/>
      <w:pPr>
        <w:tabs>
          <w:tab w:val="num" w:pos="692"/>
        </w:tabs>
        <w:ind w:left="692" w:hanging="692"/>
      </w:pPr>
      <w:rPr>
        <w:rFonts w:ascii="Arial" w:hAnsi="Arial" w:cs="Arial" w:hint="default"/>
        <w:b w:val="0"/>
        <w:bCs w:val="0"/>
        <w:i w:val="0"/>
        <w:sz w:val="24"/>
        <w:szCs w:val="24"/>
      </w:rPr>
    </w:lvl>
    <w:lvl w:ilvl="1">
      <w:start w:val="1"/>
      <w:numFmt w:val="lowerLetter"/>
      <w:lvlText w:val="%2)"/>
      <w:lvlJc w:val="left"/>
      <w:pPr>
        <w:ind w:left="1052" w:hanging="360"/>
      </w:pPr>
    </w:lvl>
    <w:lvl w:ilvl="2">
      <w:start w:val="1"/>
      <w:numFmt w:val="decimal"/>
      <w:lvlText w:val="[%1.%2.%3]"/>
      <w:lvlJc w:val="left"/>
      <w:pPr>
        <w:tabs>
          <w:tab w:val="num" w:pos="2880"/>
        </w:tabs>
        <w:ind w:left="2880" w:hanging="1123"/>
      </w:pPr>
      <w:rPr>
        <w:rFonts w:ascii="Arial" w:hAnsi="Arial" w:cs="Arial" w:hint="default"/>
        <w:b w:val="0"/>
        <w:i w:val="0"/>
        <w:sz w:val="24"/>
        <w:szCs w:val="24"/>
      </w:rPr>
    </w:lvl>
    <w:lvl w:ilvl="3">
      <w:start w:val="1"/>
      <w:numFmt w:val="decimal"/>
      <w:lvlText w:val="%1.%2.%3.%4."/>
      <w:lvlJc w:val="left"/>
      <w:pPr>
        <w:tabs>
          <w:tab w:val="num" w:pos="4031"/>
        </w:tabs>
        <w:ind w:left="4031" w:hanging="1151"/>
      </w:pPr>
      <w:rPr>
        <w:rFonts w:hint="default"/>
      </w:rPr>
    </w:lvl>
    <w:lvl w:ilvl="4">
      <w:start w:val="1"/>
      <w:numFmt w:val="decimal"/>
      <w:lvlText w:val="%1.%2.%3.%4.%5."/>
      <w:lvlJc w:val="left"/>
      <w:pPr>
        <w:tabs>
          <w:tab w:val="num" w:pos="4535"/>
        </w:tabs>
        <w:ind w:left="4535" w:hanging="50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4">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21057754"/>
    <w:multiLevelType w:val="hybridMultilevel"/>
    <w:tmpl w:val="0FE2A052"/>
    <w:lvl w:ilvl="0" w:tplc="80C69204">
      <w:start w:val="1"/>
      <w:numFmt w:val="decimal"/>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6">
    <w:nsid w:val="22F677BD"/>
    <w:multiLevelType w:val="hybridMultilevel"/>
    <w:tmpl w:val="1AEC1FFE"/>
    <w:lvl w:ilvl="0" w:tplc="628A9CF6">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7">
    <w:nsid w:val="338F4118"/>
    <w:multiLevelType w:val="hybridMultilevel"/>
    <w:tmpl w:val="156AFF9E"/>
    <w:lvl w:ilvl="0" w:tplc="F05A440C">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nsid w:val="34740ED4"/>
    <w:multiLevelType w:val="hybridMultilevel"/>
    <w:tmpl w:val="58F8B8D8"/>
    <w:lvl w:ilvl="0" w:tplc="56FA1A1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8B5ACA"/>
    <w:multiLevelType w:val="multilevel"/>
    <w:tmpl w:val="9D2AF84E"/>
    <w:lvl w:ilvl="0">
      <w:start w:val="1"/>
      <w:numFmt w:val="decimal"/>
      <w:lvlRestart w:val="0"/>
      <w:lvlText w:val="%1."/>
      <w:lvlJc w:val="left"/>
      <w:pPr>
        <w:tabs>
          <w:tab w:val="num" w:pos="692"/>
        </w:tabs>
        <w:ind w:left="692" w:hanging="692"/>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57"/>
        </w:tabs>
        <w:ind w:left="1757" w:hanging="1065"/>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123"/>
      </w:pPr>
      <w:rPr>
        <w:rFonts w:ascii="Arial" w:hAnsi="Arial" w:cs="Arial" w:hint="default"/>
        <w:i w:val="0"/>
        <w:sz w:val="24"/>
        <w:szCs w:val="24"/>
      </w:rPr>
    </w:lvl>
    <w:lvl w:ilvl="3">
      <w:start w:val="1"/>
      <w:numFmt w:val="decimal"/>
      <w:lvlText w:val="%1.%2.%3.%4."/>
      <w:lvlJc w:val="left"/>
      <w:pPr>
        <w:tabs>
          <w:tab w:val="num" w:pos="4031"/>
        </w:tabs>
        <w:ind w:left="4031" w:hanging="1151"/>
      </w:pPr>
      <w:rPr>
        <w:rFonts w:hint="default"/>
      </w:rPr>
    </w:lvl>
    <w:lvl w:ilvl="4">
      <w:start w:val="1"/>
      <w:numFmt w:val="decimal"/>
      <w:lvlText w:val="%1.%2.%3.%4.%5."/>
      <w:lvlJc w:val="left"/>
      <w:pPr>
        <w:tabs>
          <w:tab w:val="num" w:pos="4535"/>
        </w:tabs>
        <w:ind w:left="4535" w:hanging="50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10">
    <w:nsid w:val="567C1A8B"/>
    <w:multiLevelType w:val="hybridMultilevel"/>
    <w:tmpl w:val="EC1CB2B8"/>
    <w:lvl w:ilvl="0" w:tplc="88C6BEBC">
      <w:start w:val="1"/>
      <w:numFmt w:val="lowerLetter"/>
      <w:lvlText w:val="(%1)"/>
      <w:lvlJc w:val="left"/>
      <w:pPr>
        <w:ind w:left="2627" w:hanging="360"/>
      </w:pPr>
      <w:rPr>
        <w:rFonts w:hint="default"/>
      </w:rPr>
    </w:lvl>
    <w:lvl w:ilvl="1" w:tplc="08090019" w:tentative="1">
      <w:start w:val="1"/>
      <w:numFmt w:val="lowerLetter"/>
      <w:lvlText w:val="%2."/>
      <w:lvlJc w:val="left"/>
      <w:pPr>
        <w:ind w:left="3347" w:hanging="360"/>
      </w:pPr>
    </w:lvl>
    <w:lvl w:ilvl="2" w:tplc="0809001B" w:tentative="1">
      <w:start w:val="1"/>
      <w:numFmt w:val="lowerRoman"/>
      <w:lvlText w:val="%3."/>
      <w:lvlJc w:val="right"/>
      <w:pPr>
        <w:ind w:left="4067" w:hanging="180"/>
      </w:pPr>
    </w:lvl>
    <w:lvl w:ilvl="3" w:tplc="0809000F" w:tentative="1">
      <w:start w:val="1"/>
      <w:numFmt w:val="decimal"/>
      <w:lvlText w:val="%4."/>
      <w:lvlJc w:val="left"/>
      <w:pPr>
        <w:ind w:left="4787" w:hanging="360"/>
      </w:pPr>
    </w:lvl>
    <w:lvl w:ilvl="4" w:tplc="08090019" w:tentative="1">
      <w:start w:val="1"/>
      <w:numFmt w:val="lowerLetter"/>
      <w:lvlText w:val="%5."/>
      <w:lvlJc w:val="left"/>
      <w:pPr>
        <w:ind w:left="5507" w:hanging="360"/>
      </w:pPr>
    </w:lvl>
    <w:lvl w:ilvl="5" w:tplc="0809001B" w:tentative="1">
      <w:start w:val="1"/>
      <w:numFmt w:val="lowerRoman"/>
      <w:lvlText w:val="%6."/>
      <w:lvlJc w:val="right"/>
      <w:pPr>
        <w:ind w:left="6227" w:hanging="180"/>
      </w:pPr>
    </w:lvl>
    <w:lvl w:ilvl="6" w:tplc="0809000F" w:tentative="1">
      <w:start w:val="1"/>
      <w:numFmt w:val="decimal"/>
      <w:lvlText w:val="%7."/>
      <w:lvlJc w:val="left"/>
      <w:pPr>
        <w:ind w:left="6947" w:hanging="360"/>
      </w:pPr>
    </w:lvl>
    <w:lvl w:ilvl="7" w:tplc="08090019" w:tentative="1">
      <w:start w:val="1"/>
      <w:numFmt w:val="lowerLetter"/>
      <w:lvlText w:val="%8."/>
      <w:lvlJc w:val="left"/>
      <w:pPr>
        <w:ind w:left="7667" w:hanging="360"/>
      </w:pPr>
    </w:lvl>
    <w:lvl w:ilvl="8" w:tplc="0809001B" w:tentative="1">
      <w:start w:val="1"/>
      <w:numFmt w:val="lowerRoman"/>
      <w:lvlText w:val="%9."/>
      <w:lvlJc w:val="right"/>
      <w:pPr>
        <w:ind w:left="8387" w:hanging="180"/>
      </w:pPr>
    </w:lvl>
  </w:abstractNum>
  <w:abstractNum w:abstractNumId="11">
    <w:nsid w:val="5683180E"/>
    <w:multiLevelType w:val="hybridMultilevel"/>
    <w:tmpl w:val="F754DB94"/>
    <w:lvl w:ilvl="0" w:tplc="BAF6F530">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2">
    <w:nsid w:val="60AA2AE8"/>
    <w:multiLevelType w:val="hybridMultilevel"/>
    <w:tmpl w:val="DC1482CC"/>
    <w:lvl w:ilvl="0" w:tplc="523C44E2">
      <w:start w:val="1"/>
      <w:numFmt w:val="decimal"/>
      <w:lvlText w:val="%1."/>
      <w:lvlJc w:val="left"/>
      <w:pPr>
        <w:ind w:left="1052" w:hanging="360"/>
      </w:pPr>
      <w:rPr>
        <w:rFonts w:hint="default"/>
        <w:b w:val="0"/>
        <w:bCs w:val="0"/>
        <w:i w:val="0"/>
      </w:r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3">
    <w:nsid w:val="62581F5E"/>
    <w:multiLevelType w:val="hybridMultilevel"/>
    <w:tmpl w:val="AC2E0FD8"/>
    <w:lvl w:ilvl="0" w:tplc="0D56E4CA">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4">
    <w:nsid w:val="72160DF4"/>
    <w:multiLevelType w:val="hybridMultilevel"/>
    <w:tmpl w:val="3452ACB2"/>
    <w:lvl w:ilvl="0" w:tplc="B434CF32">
      <w:start w:val="1"/>
      <w:numFmt w:val="lowerLetter"/>
      <w:lvlText w:val="(%1)"/>
      <w:lvlJc w:val="left"/>
      <w:pPr>
        <w:ind w:left="2692" w:hanging="560"/>
      </w:pPr>
      <w:rPr>
        <w:rFonts w:ascii="Arial" w:hAnsi="Arial" w:cs="Arial" w:hint="default"/>
        <w:i/>
        <w:color w:val="auto"/>
        <w:sz w:val="24"/>
      </w:rPr>
    </w:lvl>
    <w:lvl w:ilvl="1" w:tplc="08090019" w:tentative="1">
      <w:start w:val="1"/>
      <w:numFmt w:val="lowerLetter"/>
      <w:lvlText w:val="%2."/>
      <w:lvlJc w:val="left"/>
      <w:pPr>
        <w:ind w:left="3212" w:hanging="360"/>
      </w:pPr>
    </w:lvl>
    <w:lvl w:ilvl="2" w:tplc="0809001B" w:tentative="1">
      <w:start w:val="1"/>
      <w:numFmt w:val="lowerRoman"/>
      <w:lvlText w:val="%3."/>
      <w:lvlJc w:val="right"/>
      <w:pPr>
        <w:ind w:left="3932" w:hanging="180"/>
      </w:pPr>
    </w:lvl>
    <w:lvl w:ilvl="3" w:tplc="0809000F" w:tentative="1">
      <w:start w:val="1"/>
      <w:numFmt w:val="decimal"/>
      <w:lvlText w:val="%4."/>
      <w:lvlJc w:val="left"/>
      <w:pPr>
        <w:ind w:left="4652" w:hanging="360"/>
      </w:pPr>
    </w:lvl>
    <w:lvl w:ilvl="4" w:tplc="08090019" w:tentative="1">
      <w:start w:val="1"/>
      <w:numFmt w:val="lowerLetter"/>
      <w:lvlText w:val="%5."/>
      <w:lvlJc w:val="left"/>
      <w:pPr>
        <w:ind w:left="5372" w:hanging="360"/>
      </w:pPr>
    </w:lvl>
    <w:lvl w:ilvl="5" w:tplc="0809001B" w:tentative="1">
      <w:start w:val="1"/>
      <w:numFmt w:val="lowerRoman"/>
      <w:lvlText w:val="%6."/>
      <w:lvlJc w:val="right"/>
      <w:pPr>
        <w:ind w:left="6092" w:hanging="180"/>
      </w:pPr>
    </w:lvl>
    <w:lvl w:ilvl="6" w:tplc="0809000F" w:tentative="1">
      <w:start w:val="1"/>
      <w:numFmt w:val="decimal"/>
      <w:lvlText w:val="%7."/>
      <w:lvlJc w:val="left"/>
      <w:pPr>
        <w:ind w:left="6812" w:hanging="360"/>
      </w:pPr>
    </w:lvl>
    <w:lvl w:ilvl="7" w:tplc="08090019" w:tentative="1">
      <w:start w:val="1"/>
      <w:numFmt w:val="lowerLetter"/>
      <w:lvlText w:val="%8."/>
      <w:lvlJc w:val="left"/>
      <w:pPr>
        <w:ind w:left="7532" w:hanging="360"/>
      </w:pPr>
    </w:lvl>
    <w:lvl w:ilvl="8" w:tplc="0809001B" w:tentative="1">
      <w:start w:val="1"/>
      <w:numFmt w:val="lowerRoman"/>
      <w:lvlText w:val="%9."/>
      <w:lvlJc w:val="right"/>
      <w:pPr>
        <w:ind w:left="8252" w:hanging="180"/>
      </w:pPr>
    </w:lvl>
  </w:abstractNum>
  <w:abstractNum w:abstractNumId="15">
    <w:nsid w:val="7CD545FE"/>
    <w:multiLevelType w:val="hybridMultilevel"/>
    <w:tmpl w:val="9DAA03AC"/>
    <w:lvl w:ilvl="0" w:tplc="3440CF26">
      <w:start w:val="1"/>
      <w:numFmt w:val="lowerLetter"/>
      <w:lvlText w:val="(%1)"/>
      <w:lvlJc w:val="left"/>
      <w:pPr>
        <w:ind w:left="2772" w:hanging="360"/>
      </w:pPr>
      <w:rPr>
        <w:rFonts w:hint="default"/>
        <w:b w:val="0"/>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num w:numId="1">
    <w:abstractNumId w:val="3"/>
  </w:num>
  <w:num w:numId="2">
    <w:abstractNumId w:val="10"/>
  </w:num>
  <w:num w:numId="3">
    <w:abstractNumId w:val="11"/>
  </w:num>
  <w:num w:numId="4">
    <w:abstractNumId w:val="6"/>
  </w:num>
  <w:num w:numId="5">
    <w:abstractNumId w:val="13"/>
  </w:num>
  <w:num w:numId="6">
    <w:abstractNumId w:val="0"/>
  </w:num>
  <w:num w:numId="7">
    <w:abstractNumId w:val="5"/>
  </w:num>
  <w:num w:numId="8">
    <w:abstractNumId w:val="15"/>
  </w:num>
  <w:num w:numId="9">
    <w:abstractNumId w:val="9"/>
  </w:num>
  <w:num w:numId="10">
    <w:abstractNumId w:val="1"/>
  </w:num>
  <w:num w:numId="11">
    <w:abstractNumId w:val="2"/>
  </w:num>
  <w:num w:numId="12">
    <w:abstractNumId w:val="12"/>
  </w:num>
  <w:num w:numId="13">
    <w:abstractNumId w:val="8"/>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09"/>
    <w:rsid w:val="00011678"/>
    <w:rsid w:val="00017851"/>
    <w:rsid w:val="00021CA2"/>
    <w:rsid w:val="00022097"/>
    <w:rsid w:val="000236DB"/>
    <w:rsid w:val="000240B4"/>
    <w:rsid w:val="00032589"/>
    <w:rsid w:val="0003511E"/>
    <w:rsid w:val="00037477"/>
    <w:rsid w:val="0004198D"/>
    <w:rsid w:val="00044C08"/>
    <w:rsid w:val="00047199"/>
    <w:rsid w:val="000579E7"/>
    <w:rsid w:val="00061306"/>
    <w:rsid w:val="00062FEE"/>
    <w:rsid w:val="00070138"/>
    <w:rsid w:val="00070D13"/>
    <w:rsid w:val="00071060"/>
    <w:rsid w:val="00080A08"/>
    <w:rsid w:val="00080B87"/>
    <w:rsid w:val="00082821"/>
    <w:rsid w:val="00084F14"/>
    <w:rsid w:val="00086192"/>
    <w:rsid w:val="000870E2"/>
    <w:rsid w:val="00092D6D"/>
    <w:rsid w:val="00094E37"/>
    <w:rsid w:val="000A002F"/>
    <w:rsid w:val="000A107B"/>
    <w:rsid w:val="000B0414"/>
    <w:rsid w:val="000B06F1"/>
    <w:rsid w:val="000B2B84"/>
    <w:rsid w:val="000B6E4A"/>
    <w:rsid w:val="000B76C5"/>
    <w:rsid w:val="000C6EA1"/>
    <w:rsid w:val="000D052D"/>
    <w:rsid w:val="000D48BE"/>
    <w:rsid w:val="000D59D1"/>
    <w:rsid w:val="000D604D"/>
    <w:rsid w:val="000D6302"/>
    <w:rsid w:val="000D7CB1"/>
    <w:rsid w:val="000D7EEA"/>
    <w:rsid w:val="000E1790"/>
    <w:rsid w:val="000E2501"/>
    <w:rsid w:val="000E46D7"/>
    <w:rsid w:val="000F01E1"/>
    <w:rsid w:val="000F0911"/>
    <w:rsid w:val="000F0ECB"/>
    <w:rsid w:val="000F1362"/>
    <w:rsid w:val="000F1D3D"/>
    <w:rsid w:val="000F44A2"/>
    <w:rsid w:val="000F5BFD"/>
    <w:rsid w:val="0010254A"/>
    <w:rsid w:val="0010763A"/>
    <w:rsid w:val="001133A2"/>
    <w:rsid w:val="00114F8F"/>
    <w:rsid w:val="00121C2C"/>
    <w:rsid w:val="00125AD7"/>
    <w:rsid w:val="001303DF"/>
    <w:rsid w:val="001336F2"/>
    <w:rsid w:val="00137E31"/>
    <w:rsid w:val="00142D16"/>
    <w:rsid w:val="00142D91"/>
    <w:rsid w:val="00143840"/>
    <w:rsid w:val="00144BB2"/>
    <w:rsid w:val="00145CCA"/>
    <w:rsid w:val="001512F5"/>
    <w:rsid w:val="001557C9"/>
    <w:rsid w:val="00160824"/>
    <w:rsid w:val="00166889"/>
    <w:rsid w:val="00167CE4"/>
    <w:rsid w:val="00171EFA"/>
    <w:rsid w:val="00172A77"/>
    <w:rsid w:val="00175DAD"/>
    <w:rsid w:val="00176538"/>
    <w:rsid w:val="00190B85"/>
    <w:rsid w:val="001915A2"/>
    <w:rsid w:val="00192179"/>
    <w:rsid w:val="001932E3"/>
    <w:rsid w:val="00196E1D"/>
    <w:rsid w:val="00197D7E"/>
    <w:rsid w:val="001A3A5D"/>
    <w:rsid w:val="001A4548"/>
    <w:rsid w:val="001B0C59"/>
    <w:rsid w:val="001B2269"/>
    <w:rsid w:val="001B29C4"/>
    <w:rsid w:val="001B37AB"/>
    <w:rsid w:val="001B7AEA"/>
    <w:rsid w:val="001C239D"/>
    <w:rsid w:val="001C2BA3"/>
    <w:rsid w:val="001C6FD9"/>
    <w:rsid w:val="001C71F1"/>
    <w:rsid w:val="001D302D"/>
    <w:rsid w:val="001E03A8"/>
    <w:rsid w:val="001E2FCF"/>
    <w:rsid w:val="001E3FA8"/>
    <w:rsid w:val="001E4ECD"/>
    <w:rsid w:val="001F426A"/>
    <w:rsid w:val="001F5F5F"/>
    <w:rsid w:val="0020505C"/>
    <w:rsid w:val="00206682"/>
    <w:rsid w:val="0020702B"/>
    <w:rsid w:val="002110A6"/>
    <w:rsid w:val="00214CB0"/>
    <w:rsid w:val="002172A2"/>
    <w:rsid w:val="002204C7"/>
    <w:rsid w:val="00222A09"/>
    <w:rsid w:val="00226EB5"/>
    <w:rsid w:val="0023250C"/>
    <w:rsid w:val="0025237A"/>
    <w:rsid w:val="00257F7D"/>
    <w:rsid w:val="00260057"/>
    <w:rsid w:val="00263EB5"/>
    <w:rsid w:val="00265D1A"/>
    <w:rsid w:val="00266903"/>
    <w:rsid w:val="002712D6"/>
    <w:rsid w:val="00272505"/>
    <w:rsid w:val="00274BFE"/>
    <w:rsid w:val="00281396"/>
    <w:rsid w:val="002863C0"/>
    <w:rsid w:val="0028712C"/>
    <w:rsid w:val="002949CA"/>
    <w:rsid w:val="00295C81"/>
    <w:rsid w:val="002A134D"/>
    <w:rsid w:val="002A2AFC"/>
    <w:rsid w:val="002A5495"/>
    <w:rsid w:val="002A7763"/>
    <w:rsid w:val="002A7D6C"/>
    <w:rsid w:val="002B1CCC"/>
    <w:rsid w:val="002C2D42"/>
    <w:rsid w:val="002C30AF"/>
    <w:rsid w:val="002D278C"/>
    <w:rsid w:val="002F07D2"/>
    <w:rsid w:val="002F2376"/>
    <w:rsid w:val="002F2F82"/>
    <w:rsid w:val="002F3222"/>
    <w:rsid w:val="002F3774"/>
    <w:rsid w:val="002F4B6E"/>
    <w:rsid w:val="002F5686"/>
    <w:rsid w:val="0030646A"/>
    <w:rsid w:val="0030679D"/>
    <w:rsid w:val="00306AAD"/>
    <w:rsid w:val="00306DA0"/>
    <w:rsid w:val="0031065F"/>
    <w:rsid w:val="00311C81"/>
    <w:rsid w:val="0031305F"/>
    <w:rsid w:val="00313FF6"/>
    <w:rsid w:val="003149E1"/>
    <w:rsid w:val="00316464"/>
    <w:rsid w:val="00317B55"/>
    <w:rsid w:val="0032111C"/>
    <w:rsid w:val="0032153B"/>
    <w:rsid w:val="00323894"/>
    <w:rsid w:val="00327BBF"/>
    <w:rsid w:val="00327EC3"/>
    <w:rsid w:val="0033326B"/>
    <w:rsid w:val="00333CB1"/>
    <w:rsid w:val="00334F16"/>
    <w:rsid w:val="0034057A"/>
    <w:rsid w:val="003467E3"/>
    <w:rsid w:val="00347109"/>
    <w:rsid w:val="00347D09"/>
    <w:rsid w:val="00355453"/>
    <w:rsid w:val="00360CD0"/>
    <w:rsid w:val="00360D94"/>
    <w:rsid w:val="003643C1"/>
    <w:rsid w:val="00372A31"/>
    <w:rsid w:val="00372A75"/>
    <w:rsid w:val="003734C0"/>
    <w:rsid w:val="003759B7"/>
    <w:rsid w:val="00376565"/>
    <w:rsid w:val="003950F4"/>
    <w:rsid w:val="003A012D"/>
    <w:rsid w:val="003A0963"/>
    <w:rsid w:val="003A22EC"/>
    <w:rsid w:val="003A22EE"/>
    <w:rsid w:val="003A2CE8"/>
    <w:rsid w:val="003A5E9F"/>
    <w:rsid w:val="003B0583"/>
    <w:rsid w:val="003B6D0B"/>
    <w:rsid w:val="003C03A4"/>
    <w:rsid w:val="003C0A7D"/>
    <w:rsid w:val="003C1AF7"/>
    <w:rsid w:val="003C1EBA"/>
    <w:rsid w:val="003C1FAB"/>
    <w:rsid w:val="003C2CAF"/>
    <w:rsid w:val="003D1FB5"/>
    <w:rsid w:val="003D5DC1"/>
    <w:rsid w:val="003D6745"/>
    <w:rsid w:val="003E16B0"/>
    <w:rsid w:val="003E48FF"/>
    <w:rsid w:val="003E50E5"/>
    <w:rsid w:val="003E573A"/>
    <w:rsid w:val="003F4925"/>
    <w:rsid w:val="003F6666"/>
    <w:rsid w:val="003F699A"/>
    <w:rsid w:val="00402F2C"/>
    <w:rsid w:val="004065A4"/>
    <w:rsid w:val="00414905"/>
    <w:rsid w:val="00414AF0"/>
    <w:rsid w:val="00417C29"/>
    <w:rsid w:val="004256C2"/>
    <w:rsid w:val="004326B9"/>
    <w:rsid w:val="00432B95"/>
    <w:rsid w:val="00443D4B"/>
    <w:rsid w:val="00446766"/>
    <w:rsid w:val="00451896"/>
    <w:rsid w:val="00452176"/>
    <w:rsid w:val="00454748"/>
    <w:rsid w:val="00455A73"/>
    <w:rsid w:val="00455D24"/>
    <w:rsid w:val="004562B9"/>
    <w:rsid w:val="00456614"/>
    <w:rsid w:val="00456936"/>
    <w:rsid w:val="00461AC3"/>
    <w:rsid w:val="00461FD2"/>
    <w:rsid w:val="00462B7D"/>
    <w:rsid w:val="00463A2C"/>
    <w:rsid w:val="00470ED2"/>
    <w:rsid w:val="00471D18"/>
    <w:rsid w:val="00474414"/>
    <w:rsid w:val="00474A90"/>
    <w:rsid w:val="00481893"/>
    <w:rsid w:val="00482735"/>
    <w:rsid w:val="004868C5"/>
    <w:rsid w:val="004909B7"/>
    <w:rsid w:val="004A30E1"/>
    <w:rsid w:val="004A623B"/>
    <w:rsid w:val="004A7DD6"/>
    <w:rsid w:val="004B1033"/>
    <w:rsid w:val="004B71B4"/>
    <w:rsid w:val="004B796E"/>
    <w:rsid w:val="004C02CA"/>
    <w:rsid w:val="004C26D4"/>
    <w:rsid w:val="004C2D79"/>
    <w:rsid w:val="004C5D1A"/>
    <w:rsid w:val="004C638E"/>
    <w:rsid w:val="004C6F7C"/>
    <w:rsid w:val="004D0380"/>
    <w:rsid w:val="004E1432"/>
    <w:rsid w:val="004E1757"/>
    <w:rsid w:val="004F20FD"/>
    <w:rsid w:val="004F2FF9"/>
    <w:rsid w:val="004F73DE"/>
    <w:rsid w:val="005000CD"/>
    <w:rsid w:val="00502CB1"/>
    <w:rsid w:val="00504C8A"/>
    <w:rsid w:val="00507F8D"/>
    <w:rsid w:val="00511B25"/>
    <w:rsid w:val="00514B49"/>
    <w:rsid w:val="00515E06"/>
    <w:rsid w:val="00517229"/>
    <w:rsid w:val="005239C2"/>
    <w:rsid w:val="00524F51"/>
    <w:rsid w:val="00527704"/>
    <w:rsid w:val="00527C1E"/>
    <w:rsid w:val="00533706"/>
    <w:rsid w:val="00534293"/>
    <w:rsid w:val="005346C9"/>
    <w:rsid w:val="00535D44"/>
    <w:rsid w:val="00537020"/>
    <w:rsid w:val="00546CB3"/>
    <w:rsid w:val="005528EE"/>
    <w:rsid w:val="00553ED8"/>
    <w:rsid w:val="0055429F"/>
    <w:rsid w:val="00560363"/>
    <w:rsid w:val="00560D4C"/>
    <w:rsid w:val="0056468E"/>
    <w:rsid w:val="0057118F"/>
    <w:rsid w:val="005718CF"/>
    <w:rsid w:val="005727DE"/>
    <w:rsid w:val="00572FE1"/>
    <w:rsid w:val="0057386A"/>
    <w:rsid w:val="00581ECD"/>
    <w:rsid w:val="0058403F"/>
    <w:rsid w:val="00587005"/>
    <w:rsid w:val="0058735E"/>
    <w:rsid w:val="00590EFB"/>
    <w:rsid w:val="0059291D"/>
    <w:rsid w:val="005936F2"/>
    <w:rsid w:val="00597C44"/>
    <w:rsid w:val="005A132A"/>
    <w:rsid w:val="005A2BA7"/>
    <w:rsid w:val="005A3185"/>
    <w:rsid w:val="005A5086"/>
    <w:rsid w:val="005A5AD9"/>
    <w:rsid w:val="005B2D5F"/>
    <w:rsid w:val="005B3641"/>
    <w:rsid w:val="005B3AC5"/>
    <w:rsid w:val="005B468C"/>
    <w:rsid w:val="005B5F6E"/>
    <w:rsid w:val="005B73DD"/>
    <w:rsid w:val="005C23B4"/>
    <w:rsid w:val="005C3D4A"/>
    <w:rsid w:val="005C4EEC"/>
    <w:rsid w:val="005C584A"/>
    <w:rsid w:val="005C6301"/>
    <w:rsid w:val="005D3374"/>
    <w:rsid w:val="005D3BA1"/>
    <w:rsid w:val="005D3E8B"/>
    <w:rsid w:val="005D4F97"/>
    <w:rsid w:val="005E1D0A"/>
    <w:rsid w:val="005E4896"/>
    <w:rsid w:val="005E517B"/>
    <w:rsid w:val="005E5808"/>
    <w:rsid w:val="005E6E64"/>
    <w:rsid w:val="005E71C8"/>
    <w:rsid w:val="005F0051"/>
    <w:rsid w:val="005F77B1"/>
    <w:rsid w:val="0060082B"/>
    <w:rsid w:val="00606EDF"/>
    <w:rsid w:val="00611336"/>
    <w:rsid w:val="0061294F"/>
    <w:rsid w:val="0061582B"/>
    <w:rsid w:val="00615849"/>
    <w:rsid w:val="00617547"/>
    <w:rsid w:val="006202A7"/>
    <w:rsid w:val="00623DE0"/>
    <w:rsid w:val="00624735"/>
    <w:rsid w:val="00627D44"/>
    <w:rsid w:val="00637979"/>
    <w:rsid w:val="006402C8"/>
    <w:rsid w:val="00653531"/>
    <w:rsid w:val="00665686"/>
    <w:rsid w:val="00671802"/>
    <w:rsid w:val="00672335"/>
    <w:rsid w:val="00672CDA"/>
    <w:rsid w:val="00683D84"/>
    <w:rsid w:val="00685825"/>
    <w:rsid w:val="00685AEB"/>
    <w:rsid w:val="00693DCC"/>
    <w:rsid w:val="006A1B16"/>
    <w:rsid w:val="006A2D91"/>
    <w:rsid w:val="006A3CAE"/>
    <w:rsid w:val="006A6C43"/>
    <w:rsid w:val="006A7118"/>
    <w:rsid w:val="006B0C02"/>
    <w:rsid w:val="006B1895"/>
    <w:rsid w:val="006B4F53"/>
    <w:rsid w:val="006C51C7"/>
    <w:rsid w:val="006C5886"/>
    <w:rsid w:val="006C7D5A"/>
    <w:rsid w:val="006C7EE7"/>
    <w:rsid w:val="006D13B5"/>
    <w:rsid w:val="006E47FA"/>
    <w:rsid w:val="006E48E1"/>
    <w:rsid w:val="006E50E0"/>
    <w:rsid w:val="006E5CC0"/>
    <w:rsid w:val="006F14B8"/>
    <w:rsid w:val="006F3C7C"/>
    <w:rsid w:val="006F6D74"/>
    <w:rsid w:val="00703D58"/>
    <w:rsid w:val="00706F73"/>
    <w:rsid w:val="0071018B"/>
    <w:rsid w:val="007106D3"/>
    <w:rsid w:val="00720249"/>
    <w:rsid w:val="00722575"/>
    <w:rsid w:val="00723654"/>
    <w:rsid w:val="007246B3"/>
    <w:rsid w:val="00724F33"/>
    <w:rsid w:val="0073666E"/>
    <w:rsid w:val="00740250"/>
    <w:rsid w:val="00743433"/>
    <w:rsid w:val="00750E1B"/>
    <w:rsid w:val="00751BE3"/>
    <w:rsid w:val="00752132"/>
    <w:rsid w:val="0075703A"/>
    <w:rsid w:val="007621A6"/>
    <w:rsid w:val="007677B3"/>
    <w:rsid w:val="00771350"/>
    <w:rsid w:val="00772E9B"/>
    <w:rsid w:val="00773FE1"/>
    <w:rsid w:val="00776579"/>
    <w:rsid w:val="0077754C"/>
    <w:rsid w:val="00777786"/>
    <w:rsid w:val="00777AA4"/>
    <w:rsid w:val="00782992"/>
    <w:rsid w:val="00785351"/>
    <w:rsid w:val="00790319"/>
    <w:rsid w:val="0079401E"/>
    <w:rsid w:val="007A296C"/>
    <w:rsid w:val="007B0D05"/>
    <w:rsid w:val="007C1526"/>
    <w:rsid w:val="007C454F"/>
    <w:rsid w:val="007D0C27"/>
    <w:rsid w:val="007D1D15"/>
    <w:rsid w:val="007E0E07"/>
    <w:rsid w:val="007E41BE"/>
    <w:rsid w:val="007E6789"/>
    <w:rsid w:val="007F3DA4"/>
    <w:rsid w:val="007F5571"/>
    <w:rsid w:val="008021A8"/>
    <w:rsid w:val="008054EF"/>
    <w:rsid w:val="00806BDC"/>
    <w:rsid w:val="0080756E"/>
    <w:rsid w:val="008110D0"/>
    <w:rsid w:val="00815351"/>
    <w:rsid w:val="008158E7"/>
    <w:rsid w:val="00817C77"/>
    <w:rsid w:val="008225AA"/>
    <w:rsid w:val="00826562"/>
    <w:rsid w:val="00827250"/>
    <w:rsid w:val="00830043"/>
    <w:rsid w:val="008352D0"/>
    <w:rsid w:val="00835C58"/>
    <w:rsid w:val="00842D4A"/>
    <w:rsid w:val="0084477C"/>
    <w:rsid w:val="008454BE"/>
    <w:rsid w:val="00847EBF"/>
    <w:rsid w:val="008524C3"/>
    <w:rsid w:val="008534B7"/>
    <w:rsid w:val="00860803"/>
    <w:rsid w:val="00861711"/>
    <w:rsid w:val="00861DDC"/>
    <w:rsid w:val="00861DF0"/>
    <w:rsid w:val="00863FC1"/>
    <w:rsid w:val="00866021"/>
    <w:rsid w:val="008675ED"/>
    <w:rsid w:val="00873373"/>
    <w:rsid w:val="00875B5C"/>
    <w:rsid w:val="008804EE"/>
    <w:rsid w:val="00880D7F"/>
    <w:rsid w:val="0088329B"/>
    <w:rsid w:val="0088387F"/>
    <w:rsid w:val="0088470E"/>
    <w:rsid w:val="008866B6"/>
    <w:rsid w:val="00890E38"/>
    <w:rsid w:val="0089318A"/>
    <w:rsid w:val="00893815"/>
    <w:rsid w:val="00893FA6"/>
    <w:rsid w:val="008A0746"/>
    <w:rsid w:val="008A08E7"/>
    <w:rsid w:val="008A1A34"/>
    <w:rsid w:val="008A3F60"/>
    <w:rsid w:val="008B2AEC"/>
    <w:rsid w:val="008B4EEF"/>
    <w:rsid w:val="008B4FB4"/>
    <w:rsid w:val="008B694C"/>
    <w:rsid w:val="008B7CB9"/>
    <w:rsid w:val="008C1CCA"/>
    <w:rsid w:val="008D11BD"/>
    <w:rsid w:val="008D66B7"/>
    <w:rsid w:val="008D6CEC"/>
    <w:rsid w:val="008D6DE4"/>
    <w:rsid w:val="008E2F7B"/>
    <w:rsid w:val="008E62A1"/>
    <w:rsid w:val="008F04AB"/>
    <w:rsid w:val="008F0B5B"/>
    <w:rsid w:val="008F0F8D"/>
    <w:rsid w:val="008F305A"/>
    <w:rsid w:val="008F7AE6"/>
    <w:rsid w:val="00900338"/>
    <w:rsid w:val="00900A70"/>
    <w:rsid w:val="00901CEF"/>
    <w:rsid w:val="0090459B"/>
    <w:rsid w:val="00905C66"/>
    <w:rsid w:val="00907AC0"/>
    <w:rsid w:val="00912AF0"/>
    <w:rsid w:val="009210CE"/>
    <w:rsid w:val="00921769"/>
    <w:rsid w:val="00921D53"/>
    <w:rsid w:val="009353E2"/>
    <w:rsid w:val="009362CA"/>
    <w:rsid w:val="009363DE"/>
    <w:rsid w:val="00936B65"/>
    <w:rsid w:val="009371AB"/>
    <w:rsid w:val="00944C66"/>
    <w:rsid w:val="00946D78"/>
    <w:rsid w:val="009477FD"/>
    <w:rsid w:val="0095139B"/>
    <w:rsid w:val="009517EB"/>
    <w:rsid w:val="0095306A"/>
    <w:rsid w:val="0095485D"/>
    <w:rsid w:val="00956B4C"/>
    <w:rsid w:val="009613D0"/>
    <w:rsid w:val="009625C2"/>
    <w:rsid w:val="00963E58"/>
    <w:rsid w:val="009647DE"/>
    <w:rsid w:val="00964F7C"/>
    <w:rsid w:val="0097493A"/>
    <w:rsid w:val="00977A03"/>
    <w:rsid w:val="00980B48"/>
    <w:rsid w:val="0099111F"/>
    <w:rsid w:val="00991ACA"/>
    <w:rsid w:val="009947FD"/>
    <w:rsid w:val="009949F0"/>
    <w:rsid w:val="0099607D"/>
    <w:rsid w:val="009A1DA9"/>
    <w:rsid w:val="009A29EE"/>
    <w:rsid w:val="009A339B"/>
    <w:rsid w:val="009A5574"/>
    <w:rsid w:val="009A5FD6"/>
    <w:rsid w:val="009A7D67"/>
    <w:rsid w:val="009B05BC"/>
    <w:rsid w:val="009B3580"/>
    <w:rsid w:val="009B5B0D"/>
    <w:rsid w:val="009C0350"/>
    <w:rsid w:val="009C0B57"/>
    <w:rsid w:val="009C0C3E"/>
    <w:rsid w:val="009C203C"/>
    <w:rsid w:val="009C6F16"/>
    <w:rsid w:val="009D0F0A"/>
    <w:rsid w:val="009D36BB"/>
    <w:rsid w:val="009D553B"/>
    <w:rsid w:val="009D645A"/>
    <w:rsid w:val="009D7C6C"/>
    <w:rsid w:val="009E1B26"/>
    <w:rsid w:val="009E20E9"/>
    <w:rsid w:val="009E3690"/>
    <w:rsid w:val="009E41ED"/>
    <w:rsid w:val="009F641D"/>
    <w:rsid w:val="00A03661"/>
    <w:rsid w:val="00A05EEF"/>
    <w:rsid w:val="00A11147"/>
    <w:rsid w:val="00A11209"/>
    <w:rsid w:val="00A1248D"/>
    <w:rsid w:val="00A12E82"/>
    <w:rsid w:val="00A20854"/>
    <w:rsid w:val="00A21E94"/>
    <w:rsid w:val="00A22714"/>
    <w:rsid w:val="00A250B4"/>
    <w:rsid w:val="00A3541A"/>
    <w:rsid w:val="00A40A1B"/>
    <w:rsid w:val="00A5085B"/>
    <w:rsid w:val="00A55934"/>
    <w:rsid w:val="00A5680D"/>
    <w:rsid w:val="00A576DA"/>
    <w:rsid w:val="00A57CF2"/>
    <w:rsid w:val="00A61F8D"/>
    <w:rsid w:val="00A66C47"/>
    <w:rsid w:val="00A767CA"/>
    <w:rsid w:val="00A7759A"/>
    <w:rsid w:val="00A80B0E"/>
    <w:rsid w:val="00A846E5"/>
    <w:rsid w:val="00AA1CCD"/>
    <w:rsid w:val="00AA33A8"/>
    <w:rsid w:val="00AA6075"/>
    <w:rsid w:val="00AA6636"/>
    <w:rsid w:val="00AB24FA"/>
    <w:rsid w:val="00AC1F9E"/>
    <w:rsid w:val="00AC3124"/>
    <w:rsid w:val="00AC390E"/>
    <w:rsid w:val="00AD3B91"/>
    <w:rsid w:val="00AD4745"/>
    <w:rsid w:val="00AE4760"/>
    <w:rsid w:val="00AE4EA9"/>
    <w:rsid w:val="00AE6049"/>
    <w:rsid w:val="00AF0650"/>
    <w:rsid w:val="00AF7EA1"/>
    <w:rsid w:val="00B04725"/>
    <w:rsid w:val="00B04D45"/>
    <w:rsid w:val="00B0565F"/>
    <w:rsid w:val="00B05CF6"/>
    <w:rsid w:val="00B06888"/>
    <w:rsid w:val="00B10585"/>
    <w:rsid w:val="00B139C1"/>
    <w:rsid w:val="00B1769B"/>
    <w:rsid w:val="00B20487"/>
    <w:rsid w:val="00B20A16"/>
    <w:rsid w:val="00B21DE6"/>
    <w:rsid w:val="00B34386"/>
    <w:rsid w:val="00B403FA"/>
    <w:rsid w:val="00B50F08"/>
    <w:rsid w:val="00B513E0"/>
    <w:rsid w:val="00B523F8"/>
    <w:rsid w:val="00B532BE"/>
    <w:rsid w:val="00B65706"/>
    <w:rsid w:val="00B713CB"/>
    <w:rsid w:val="00B71627"/>
    <w:rsid w:val="00B7194A"/>
    <w:rsid w:val="00B83154"/>
    <w:rsid w:val="00B846BC"/>
    <w:rsid w:val="00B84BA8"/>
    <w:rsid w:val="00B87080"/>
    <w:rsid w:val="00B87FC9"/>
    <w:rsid w:val="00B92B9C"/>
    <w:rsid w:val="00B95F73"/>
    <w:rsid w:val="00B97B2C"/>
    <w:rsid w:val="00BA0550"/>
    <w:rsid w:val="00BA6A5D"/>
    <w:rsid w:val="00BB06AE"/>
    <w:rsid w:val="00BB0DAA"/>
    <w:rsid w:val="00BB27C4"/>
    <w:rsid w:val="00BB4380"/>
    <w:rsid w:val="00BB7F5B"/>
    <w:rsid w:val="00BC04C5"/>
    <w:rsid w:val="00BC3A7A"/>
    <w:rsid w:val="00BC509E"/>
    <w:rsid w:val="00BC5945"/>
    <w:rsid w:val="00BD2C8D"/>
    <w:rsid w:val="00BD55FE"/>
    <w:rsid w:val="00BD5C20"/>
    <w:rsid w:val="00BD5D0F"/>
    <w:rsid w:val="00BE3010"/>
    <w:rsid w:val="00BE3B39"/>
    <w:rsid w:val="00BF07BF"/>
    <w:rsid w:val="00BF4520"/>
    <w:rsid w:val="00C05F12"/>
    <w:rsid w:val="00C12BC6"/>
    <w:rsid w:val="00C1448B"/>
    <w:rsid w:val="00C14B79"/>
    <w:rsid w:val="00C166EF"/>
    <w:rsid w:val="00C17A2E"/>
    <w:rsid w:val="00C21700"/>
    <w:rsid w:val="00C237A6"/>
    <w:rsid w:val="00C3097E"/>
    <w:rsid w:val="00C31D85"/>
    <w:rsid w:val="00C34A14"/>
    <w:rsid w:val="00C37692"/>
    <w:rsid w:val="00C41C53"/>
    <w:rsid w:val="00C44CF2"/>
    <w:rsid w:val="00C473EB"/>
    <w:rsid w:val="00C52956"/>
    <w:rsid w:val="00C54358"/>
    <w:rsid w:val="00C62BCD"/>
    <w:rsid w:val="00C63E0D"/>
    <w:rsid w:val="00C66A8B"/>
    <w:rsid w:val="00C70D25"/>
    <w:rsid w:val="00C749ED"/>
    <w:rsid w:val="00C74E65"/>
    <w:rsid w:val="00C80C88"/>
    <w:rsid w:val="00C8203B"/>
    <w:rsid w:val="00C820DD"/>
    <w:rsid w:val="00C83DB8"/>
    <w:rsid w:val="00C91E81"/>
    <w:rsid w:val="00C92C74"/>
    <w:rsid w:val="00C96119"/>
    <w:rsid w:val="00C96D8C"/>
    <w:rsid w:val="00CA13BD"/>
    <w:rsid w:val="00CA407B"/>
    <w:rsid w:val="00CA51F0"/>
    <w:rsid w:val="00CA5727"/>
    <w:rsid w:val="00CA60F1"/>
    <w:rsid w:val="00CA6C7A"/>
    <w:rsid w:val="00CA7C1C"/>
    <w:rsid w:val="00CB0C9A"/>
    <w:rsid w:val="00CB1A73"/>
    <w:rsid w:val="00CB34E6"/>
    <w:rsid w:val="00CB626A"/>
    <w:rsid w:val="00CC1DA7"/>
    <w:rsid w:val="00CC2962"/>
    <w:rsid w:val="00CD02B1"/>
    <w:rsid w:val="00CD3B8B"/>
    <w:rsid w:val="00CD53A8"/>
    <w:rsid w:val="00CD5B97"/>
    <w:rsid w:val="00CE4FF8"/>
    <w:rsid w:val="00CE5ACA"/>
    <w:rsid w:val="00D12A36"/>
    <w:rsid w:val="00D12F28"/>
    <w:rsid w:val="00D14811"/>
    <w:rsid w:val="00D16F44"/>
    <w:rsid w:val="00D30DE4"/>
    <w:rsid w:val="00D31E5E"/>
    <w:rsid w:val="00D32AB0"/>
    <w:rsid w:val="00D42C9A"/>
    <w:rsid w:val="00D4384B"/>
    <w:rsid w:val="00D43FA9"/>
    <w:rsid w:val="00D43FD5"/>
    <w:rsid w:val="00D45AC2"/>
    <w:rsid w:val="00D61CF4"/>
    <w:rsid w:val="00D63CE5"/>
    <w:rsid w:val="00D65739"/>
    <w:rsid w:val="00D6784C"/>
    <w:rsid w:val="00D67AE1"/>
    <w:rsid w:val="00D67B8F"/>
    <w:rsid w:val="00D67BFC"/>
    <w:rsid w:val="00D752BC"/>
    <w:rsid w:val="00D75979"/>
    <w:rsid w:val="00D76B88"/>
    <w:rsid w:val="00D807F2"/>
    <w:rsid w:val="00D80A9D"/>
    <w:rsid w:val="00D8149C"/>
    <w:rsid w:val="00D818FF"/>
    <w:rsid w:val="00D86963"/>
    <w:rsid w:val="00D86A15"/>
    <w:rsid w:val="00D90E72"/>
    <w:rsid w:val="00D91DDD"/>
    <w:rsid w:val="00D95FFA"/>
    <w:rsid w:val="00DA0738"/>
    <w:rsid w:val="00DA08D0"/>
    <w:rsid w:val="00DA4ACC"/>
    <w:rsid w:val="00DA78BD"/>
    <w:rsid w:val="00DB04DD"/>
    <w:rsid w:val="00DB1F05"/>
    <w:rsid w:val="00DB3089"/>
    <w:rsid w:val="00DB731C"/>
    <w:rsid w:val="00DC161F"/>
    <w:rsid w:val="00DC256F"/>
    <w:rsid w:val="00DC2938"/>
    <w:rsid w:val="00DC3638"/>
    <w:rsid w:val="00DC61A0"/>
    <w:rsid w:val="00DD08C4"/>
    <w:rsid w:val="00DD2248"/>
    <w:rsid w:val="00DD396E"/>
    <w:rsid w:val="00DD6AC8"/>
    <w:rsid w:val="00DE0629"/>
    <w:rsid w:val="00DE29A8"/>
    <w:rsid w:val="00DE5AD0"/>
    <w:rsid w:val="00DE5DA3"/>
    <w:rsid w:val="00DF0434"/>
    <w:rsid w:val="00DF1090"/>
    <w:rsid w:val="00E003CC"/>
    <w:rsid w:val="00E00B4E"/>
    <w:rsid w:val="00E02666"/>
    <w:rsid w:val="00E063BC"/>
    <w:rsid w:val="00E11FBC"/>
    <w:rsid w:val="00E15C97"/>
    <w:rsid w:val="00E16A46"/>
    <w:rsid w:val="00E212EA"/>
    <w:rsid w:val="00E217D5"/>
    <w:rsid w:val="00E222B0"/>
    <w:rsid w:val="00E22EC9"/>
    <w:rsid w:val="00E23233"/>
    <w:rsid w:val="00E262DE"/>
    <w:rsid w:val="00E2772E"/>
    <w:rsid w:val="00E279E0"/>
    <w:rsid w:val="00E317F6"/>
    <w:rsid w:val="00E330E4"/>
    <w:rsid w:val="00E331AF"/>
    <w:rsid w:val="00E33F2D"/>
    <w:rsid w:val="00E403E5"/>
    <w:rsid w:val="00E41377"/>
    <w:rsid w:val="00E41ABB"/>
    <w:rsid w:val="00E42702"/>
    <w:rsid w:val="00E448FD"/>
    <w:rsid w:val="00E44A04"/>
    <w:rsid w:val="00E453E9"/>
    <w:rsid w:val="00E479E1"/>
    <w:rsid w:val="00E52540"/>
    <w:rsid w:val="00E52E51"/>
    <w:rsid w:val="00E54202"/>
    <w:rsid w:val="00E56EEB"/>
    <w:rsid w:val="00E5772E"/>
    <w:rsid w:val="00E70209"/>
    <w:rsid w:val="00E70859"/>
    <w:rsid w:val="00E730BD"/>
    <w:rsid w:val="00E7573D"/>
    <w:rsid w:val="00E81D02"/>
    <w:rsid w:val="00E826C4"/>
    <w:rsid w:val="00E864C2"/>
    <w:rsid w:val="00E87E71"/>
    <w:rsid w:val="00E91C1C"/>
    <w:rsid w:val="00E939E2"/>
    <w:rsid w:val="00E95074"/>
    <w:rsid w:val="00E958C0"/>
    <w:rsid w:val="00EA0B17"/>
    <w:rsid w:val="00EA1780"/>
    <w:rsid w:val="00EA256B"/>
    <w:rsid w:val="00EA26E1"/>
    <w:rsid w:val="00EA359A"/>
    <w:rsid w:val="00EA45B0"/>
    <w:rsid w:val="00EB1382"/>
    <w:rsid w:val="00EB168D"/>
    <w:rsid w:val="00EB24D7"/>
    <w:rsid w:val="00EB6F56"/>
    <w:rsid w:val="00EB7B38"/>
    <w:rsid w:val="00EC0C00"/>
    <w:rsid w:val="00EC16B6"/>
    <w:rsid w:val="00ED1C26"/>
    <w:rsid w:val="00ED61D8"/>
    <w:rsid w:val="00ED64B1"/>
    <w:rsid w:val="00EE19C1"/>
    <w:rsid w:val="00EE2460"/>
    <w:rsid w:val="00EE404B"/>
    <w:rsid w:val="00EE5F70"/>
    <w:rsid w:val="00EE78EA"/>
    <w:rsid w:val="00EF2FB7"/>
    <w:rsid w:val="00EF5A86"/>
    <w:rsid w:val="00EF7D74"/>
    <w:rsid w:val="00F05502"/>
    <w:rsid w:val="00F11A89"/>
    <w:rsid w:val="00F136D8"/>
    <w:rsid w:val="00F17392"/>
    <w:rsid w:val="00F20514"/>
    <w:rsid w:val="00F213FD"/>
    <w:rsid w:val="00F21B06"/>
    <w:rsid w:val="00F254D7"/>
    <w:rsid w:val="00F31E98"/>
    <w:rsid w:val="00F35421"/>
    <w:rsid w:val="00F4164D"/>
    <w:rsid w:val="00F4270C"/>
    <w:rsid w:val="00F462D6"/>
    <w:rsid w:val="00F46D96"/>
    <w:rsid w:val="00F47487"/>
    <w:rsid w:val="00F5151C"/>
    <w:rsid w:val="00F51DE3"/>
    <w:rsid w:val="00F52487"/>
    <w:rsid w:val="00F55A3B"/>
    <w:rsid w:val="00F57904"/>
    <w:rsid w:val="00F60225"/>
    <w:rsid w:val="00F640AD"/>
    <w:rsid w:val="00F71295"/>
    <w:rsid w:val="00F741BE"/>
    <w:rsid w:val="00F772A5"/>
    <w:rsid w:val="00F77F34"/>
    <w:rsid w:val="00F81DDD"/>
    <w:rsid w:val="00F83305"/>
    <w:rsid w:val="00F91518"/>
    <w:rsid w:val="00F94566"/>
    <w:rsid w:val="00F95439"/>
    <w:rsid w:val="00F97682"/>
    <w:rsid w:val="00FA029B"/>
    <w:rsid w:val="00FA073B"/>
    <w:rsid w:val="00FA18EA"/>
    <w:rsid w:val="00FA22CD"/>
    <w:rsid w:val="00FA3631"/>
    <w:rsid w:val="00FA58B4"/>
    <w:rsid w:val="00FA61E2"/>
    <w:rsid w:val="00FA6A41"/>
    <w:rsid w:val="00FC08E6"/>
    <w:rsid w:val="00FC2A24"/>
    <w:rsid w:val="00FC3921"/>
    <w:rsid w:val="00FC63E6"/>
    <w:rsid w:val="00FD0050"/>
    <w:rsid w:val="00FD6E59"/>
    <w:rsid w:val="00FE01AE"/>
    <w:rsid w:val="00FE1737"/>
    <w:rsid w:val="00FE7606"/>
    <w:rsid w:val="00FE77FF"/>
    <w:rsid w:val="00FF2092"/>
    <w:rsid w:val="00FF74E5"/>
    <w:rsid w:val="00FF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F6C0"/>
  <w15:chartTrackingRefBased/>
  <w15:docId w15:val="{F864C5E0-F664-4B06-9694-0FE11CB3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7F"/>
    <w:pPr>
      <w:jc w:val="both"/>
    </w:pPr>
    <w:rPr>
      <w:sz w:val="22"/>
      <w:szCs w:val="22"/>
      <w:lang w:val="en-GB" w:eastAsia="en-US"/>
    </w:rPr>
  </w:style>
  <w:style w:type="paragraph" w:styleId="Heading1">
    <w:name w:val="heading 1"/>
    <w:basedOn w:val="Normal"/>
    <w:next w:val="Normal"/>
    <w:link w:val="Heading1Char"/>
    <w:qFormat/>
    <w:rsid w:val="00C52956"/>
    <w:pPr>
      <w:keepNext/>
      <w:jc w:val="left"/>
      <w:outlineLvl w:val="0"/>
    </w:pPr>
    <w:rPr>
      <w:rFonts w:eastAsia="Times New Roman" w:cs="Arial"/>
      <w:b/>
      <w:bCs/>
      <w:caps/>
      <w:kern w:val="32"/>
      <w:sz w:val="24"/>
      <w:szCs w:val="32"/>
      <w:u w:val="single"/>
      <w:lang w:val="en-US"/>
    </w:rPr>
  </w:style>
  <w:style w:type="paragraph" w:styleId="Heading2">
    <w:name w:val="heading 2"/>
    <w:basedOn w:val="Normal"/>
    <w:next w:val="Normal"/>
    <w:link w:val="Heading2Char"/>
    <w:uiPriority w:val="9"/>
    <w:semiHidden/>
    <w:unhideWhenUsed/>
    <w:qFormat/>
    <w:rsid w:val="001C23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B49"/>
    <w:pPr>
      <w:tabs>
        <w:tab w:val="center" w:pos="4513"/>
        <w:tab w:val="right" w:pos="9026"/>
      </w:tabs>
    </w:pPr>
  </w:style>
  <w:style w:type="character" w:customStyle="1" w:styleId="HeaderChar">
    <w:name w:val="Header Char"/>
    <w:link w:val="Header"/>
    <w:uiPriority w:val="99"/>
    <w:rsid w:val="00514B49"/>
    <w:rPr>
      <w:rFonts w:cs="Times New Roman"/>
    </w:rPr>
  </w:style>
  <w:style w:type="paragraph" w:styleId="Footer">
    <w:name w:val="footer"/>
    <w:basedOn w:val="Normal"/>
    <w:link w:val="FooterChar"/>
    <w:uiPriority w:val="99"/>
    <w:unhideWhenUsed/>
    <w:rsid w:val="00514B49"/>
    <w:pPr>
      <w:tabs>
        <w:tab w:val="center" w:pos="4513"/>
        <w:tab w:val="right" w:pos="9026"/>
      </w:tabs>
    </w:pPr>
  </w:style>
  <w:style w:type="character" w:customStyle="1" w:styleId="FooterChar">
    <w:name w:val="Footer Char"/>
    <w:link w:val="Footer"/>
    <w:uiPriority w:val="99"/>
    <w:rsid w:val="00514B49"/>
    <w:rPr>
      <w:rFonts w:cs="Times New Roman"/>
    </w:rPr>
  </w:style>
  <w:style w:type="paragraph" w:styleId="ListParagraph">
    <w:name w:val="List Paragraph"/>
    <w:basedOn w:val="Normal"/>
    <w:uiPriority w:val="34"/>
    <w:qFormat/>
    <w:rsid w:val="003D5DC1"/>
    <w:pPr>
      <w:ind w:left="720"/>
      <w:contextualSpacing/>
    </w:pPr>
  </w:style>
  <w:style w:type="paragraph" w:styleId="FootnoteText">
    <w:name w:val="footnote text"/>
    <w:basedOn w:val="Normal"/>
    <w:link w:val="FootnoteTextChar"/>
    <w:uiPriority w:val="99"/>
    <w:unhideWhenUsed/>
    <w:rsid w:val="00560363"/>
    <w:pPr>
      <w:tabs>
        <w:tab w:val="left" w:pos="567"/>
      </w:tabs>
    </w:pPr>
    <w:rPr>
      <w:rFonts w:ascii="Arial" w:hAnsi="Arial"/>
      <w:sz w:val="20"/>
      <w:szCs w:val="20"/>
    </w:rPr>
  </w:style>
  <w:style w:type="character" w:customStyle="1" w:styleId="FootnoteTextChar">
    <w:name w:val="Footnote Text Char"/>
    <w:link w:val="FootnoteText"/>
    <w:uiPriority w:val="99"/>
    <w:rsid w:val="00560363"/>
    <w:rPr>
      <w:rFonts w:ascii="Arial" w:hAnsi="Arial"/>
      <w:lang w:eastAsia="en-US"/>
    </w:rPr>
  </w:style>
  <w:style w:type="character" w:styleId="FootnoteReference">
    <w:name w:val="footnote reference"/>
    <w:uiPriority w:val="99"/>
    <w:semiHidden/>
    <w:unhideWhenUsed/>
    <w:rsid w:val="003D5DC1"/>
    <w:rPr>
      <w:vertAlign w:val="superscript"/>
    </w:rPr>
  </w:style>
  <w:style w:type="character" w:customStyle="1" w:styleId="Heading1Char">
    <w:name w:val="Heading 1 Char"/>
    <w:link w:val="Heading1"/>
    <w:rsid w:val="00C52956"/>
    <w:rPr>
      <w:rFonts w:eastAsia="Times New Roman" w:cs="Arial"/>
      <w:b/>
      <w:bCs/>
      <w:caps/>
      <w:kern w:val="32"/>
      <w:sz w:val="24"/>
      <w:szCs w:val="32"/>
      <w:u w:val="single"/>
      <w:lang w:val="en-US"/>
    </w:rPr>
  </w:style>
  <w:style w:type="paragraph" w:styleId="BalloonText">
    <w:name w:val="Balloon Text"/>
    <w:basedOn w:val="Normal"/>
    <w:link w:val="BalloonTextChar"/>
    <w:uiPriority w:val="99"/>
    <w:semiHidden/>
    <w:unhideWhenUsed/>
    <w:rsid w:val="00B21DE6"/>
    <w:rPr>
      <w:rFonts w:cs="Tahoma"/>
      <w:sz w:val="16"/>
      <w:szCs w:val="16"/>
    </w:rPr>
  </w:style>
  <w:style w:type="character" w:customStyle="1" w:styleId="BalloonTextChar">
    <w:name w:val="Balloon Text Char"/>
    <w:link w:val="BalloonText"/>
    <w:uiPriority w:val="99"/>
    <w:semiHidden/>
    <w:rsid w:val="00B21DE6"/>
    <w:rPr>
      <w:rFonts w:cs="Tahoma"/>
      <w:sz w:val="16"/>
      <w:szCs w:val="16"/>
      <w:lang w:val="en-GB"/>
    </w:rPr>
  </w:style>
  <w:style w:type="character" w:styleId="Hyperlink">
    <w:name w:val="Hyperlink"/>
    <w:uiPriority w:val="99"/>
    <w:unhideWhenUsed/>
    <w:rsid w:val="003C0A7D"/>
    <w:rPr>
      <w:color w:val="0000FF"/>
      <w:u w:val="single"/>
    </w:rPr>
  </w:style>
  <w:style w:type="character" w:customStyle="1" w:styleId="UnresolvedMention">
    <w:name w:val="Unresolved Mention"/>
    <w:uiPriority w:val="99"/>
    <w:semiHidden/>
    <w:unhideWhenUsed/>
    <w:rsid w:val="00FE01AE"/>
    <w:rPr>
      <w:color w:val="605E5C"/>
      <w:shd w:val="clear" w:color="auto" w:fill="E1DFDD"/>
    </w:rPr>
  </w:style>
  <w:style w:type="paragraph" w:customStyle="1" w:styleId="WerksmansStyle1">
    <w:name w:val="Werksmans_Style1"/>
    <w:basedOn w:val="Normal"/>
    <w:next w:val="Normal"/>
    <w:link w:val="WerksmansStyle1Char"/>
    <w:rsid w:val="00CA60F1"/>
    <w:pPr>
      <w:numPr>
        <w:numId w:val="11"/>
      </w:numPr>
      <w:suppressAutoHyphens/>
      <w:snapToGrid w:val="0"/>
      <w:spacing w:line="480" w:lineRule="auto"/>
      <w:outlineLvl w:val="0"/>
    </w:pPr>
    <w:rPr>
      <w:rFonts w:ascii="Arial" w:eastAsia="Times New Roman" w:hAnsi="Arial"/>
      <w:sz w:val="24"/>
      <w:szCs w:val="20"/>
    </w:rPr>
  </w:style>
  <w:style w:type="paragraph" w:customStyle="1" w:styleId="WerksmansStyle2">
    <w:name w:val="Werksmans_Style2"/>
    <w:basedOn w:val="Normal"/>
    <w:next w:val="Normal"/>
    <w:rsid w:val="00CA60F1"/>
    <w:pPr>
      <w:numPr>
        <w:ilvl w:val="1"/>
        <w:numId w:val="11"/>
      </w:numPr>
      <w:suppressAutoHyphens/>
      <w:snapToGrid w:val="0"/>
      <w:spacing w:line="480" w:lineRule="auto"/>
      <w:outlineLvl w:val="1"/>
    </w:pPr>
    <w:rPr>
      <w:rFonts w:ascii="Arial" w:eastAsia="Times New Roman" w:hAnsi="Arial"/>
      <w:sz w:val="24"/>
      <w:szCs w:val="20"/>
    </w:rPr>
  </w:style>
  <w:style w:type="paragraph" w:customStyle="1" w:styleId="WerksmansStyle3">
    <w:name w:val="Werksmans_Style3"/>
    <w:basedOn w:val="Normal"/>
    <w:next w:val="Normal"/>
    <w:rsid w:val="00CA60F1"/>
    <w:pPr>
      <w:numPr>
        <w:ilvl w:val="2"/>
        <w:numId w:val="11"/>
      </w:numPr>
      <w:suppressAutoHyphens/>
      <w:snapToGrid w:val="0"/>
      <w:spacing w:line="480" w:lineRule="auto"/>
      <w:outlineLvl w:val="2"/>
    </w:pPr>
    <w:rPr>
      <w:rFonts w:ascii="Arial" w:eastAsia="Times New Roman" w:hAnsi="Arial"/>
      <w:sz w:val="24"/>
      <w:szCs w:val="20"/>
    </w:rPr>
  </w:style>
  <w:style w:type="paragraph" w:customStyle="1" w:styleId="WerksmansStyle4">
    <w:name w:val="Werksmans_Style4"/>
    <w:basedOn w:val="Normal"/>
    <w:next w:val="Normal"/>
    <w:rsid w:val="00CA60F1"/>
    <w:pPr>
      <w:numPr>
        <w:ilvl w:val="3"/>
        <w:numId w:val="11"/>
      </w:numPr>
      <w:suppressAutoHyphens/>
      <w:snapToGrid w:val="0"/>
      <w:spacing w:line="480" w:lineRule="auto"/>
      <w:outlineLvl w:val="3"/>
    </w:pPr>
    <w:rPr>
      <w:rFonts w:ascii="Arial" w:eastAsia="Times New Roman" w:hAnsi="Arial"/>
      <w:sz w:val="24"/>
      <w:szCs w:val="20"/>
    </w:rPr>
  </w:style>
  <w:style w:type="paragraph" w:customStyle="1" w:styleId="WerksmansStyle5">
    <w:name w:val="Werksmans_Style5"/>
    <w:basedOn w:val="Normal"/>
    <w:next w:val="Normal"/>
    <w:rsid w:val="00CA60F1"/>
    <w:pPr>
      <w:numPr>
        <w:ilvl w:val="4"/>
        <w:numId w:val="11"/>
      </w:numPr>
      <w:suppressAutoHyphens/>
      <w:snapToGrid w:val="0"/>
      <w:spacing w:line="480" w:lineRule="auto"/>
      <w:outlineLvl w:val="4"/>
    </w:pPr>
    <w:rPr>
      <w:rFonts w:ascii="Arial" w:eastAsia="Times New Roman" w:hAnsi="Arial"/>
      <w:sz w:val="24"/>
      <w:szCs w:val="20"/>
    </w:rPr>
  </w:style>
  <w:style w:type="paragraph" w:customStyle="1" w:styleId="WerksmansStyle6">
    <w:name w:val="Werksmans_Style6"/>
    <w:basedOn w:val="Normal"/>
    <w:next w:val="Normal"/>
    <w:rsid w:val="00CA60F1"/>
    <w:pPr>
      <w:numPr>
        <w:ilvl w:val="5"/>
        <w:numId w:val="11"/>
      </w:numPr>
      <w:suppressAutoHyphens/>
      <w:snapToGrid w:val="0"/>
      <w:spacing w:line="480" w:lineRule="auto"/>
      <w:outlineLvl w:val="5"/>
    </w:pPr>
    <w:rPr>
      <w:rFonts w:ascii="Arial" w:eastAsia="Times New Roman" w:hAnsi="Arial"/>
      <w:sz w:val="24"/>
      <w:szCs w:val="20"/>
    </w:rPr>
  </w:style>
  <w:style w:type="paragraph" w:customStyle="1" w:styleId="WerksmansStyle7">
    <w:name w:val="Werksmans_Style7"/>
    <w:basedOn w:val="Normal"/>
    <w:next w:val="Normal"/>
    <w:rsid w:val="00CA60F1"/>
    <w:pPr>
      <w:numPr>
        <w:ilvl w:val="6"/>
        <w:numId w:val="11"/>
      </w:numPr>
      <w:suppressAutoHyphens/>
      <w:snapToGrid w:val="0"/>
      <w:spacing w:line="480" w:lineRule="auto"/>
      <w:outlineLvl w:val="6"/>
    </w:pPr>
    <w:rPr>
      <w:rFonts w:ascii="Arial" w:eastAsia="Times New Roman" w:hAnsi="Arial"/>
      <w:sz w:val="24"/>
      <w:szCs w:val="20"/>
    </w:rPr>
  </w:style>
  <w:style w:type="paragraph" w:customStyle="1" w:styleId="WerksmansStyle8">
    <w:name w:val="Werksmans_Style8"/>
    <w:basedOn w:val="Normal"/>
    <w:next w:val="Normal"/>
    <w:rsid w:val="00CA60F1"/>
    <w:pPr>
      <w:numPr>
        <w:ilvl w:val="7"/>
        <w:numId w:val="11"/>
      </w:numPr>
      <w:suppressAutoHyphens/>
      <w:snapToGrid w:val="0"/>
      <w:spacing w:line="480" w:lineRule="auto"/>
      <w:outlineLvl w:val="7"/>
    </w:pPr>
    <w:rPr>
      <w:rFonts w:ascii="Arial" w:eastAsia="Times New Roman" w:hAnsi="Arial"/>
      <w:sz w:val="24"/>
      <w:szCs w:val="20"/>
    </w:rPr>
  </w:style>
  <w:style w:type="paragraph" w:customStyle="1" w:styleId="WerksmansStyle9">
    <w:name w:val="Werksmans_Style9"/>
    <w:basedOn w:val="Normal"/>
    <w:next w:val="Normal"/>
    <w:rsid w:val="00CA60F1"/>
    <w:pPr>
      <w:numPr>
        <w:ilvl w:val="8"/>
        <w:numId w:val="11"/>
      </w:numPr>
      <w:suppressAutoHyphens/>
      <w:snapToGrid w:val="0"/>
      <w:spacing w:line="480" w:lineRule="auto"/>
      <w:outlineLvl w:val="8"/>
    </w:pPr>
    <w:rPr>
      <w:rFonts w:ascii="Arial" w:eastAsia="Times New Roman" w:hAnsi="Arial"/>
      <w:sz w:val="24"/>
      <w:szCs w:val="20"/>
    </w:rPr>
  </w:style>
  <w:style w:type="character" w:customStyle="1" w:styleId="WerksmansStyle1Char">
    <w:name w:val="Werksmans_Style1 Char"/>
    <w:link w:val="WerksmansStyle1"/>
    <w:rsid w:val="00CA60F1"/>
    <w:rPr>
      <w:rFonts w:ascii="Arial" w:eastAsia="Times New Roman" w:hAnsi="Arial"/>
      <w:sz w:val="24"/>
      <w:lang w:eastAsia="en-US"/>
    </w:rPr>
  </w:style>
  <w:style w:type="paragraph" w:styleId="Revision">
    <w:name w:val="Revision"/>
    <w:hidden/>
    <w:uiPriority w:val="99"/>
    <w:semiHidden/>
    <w:rsid w:val="00125AD7"/>
    <w:rPr>
      <w:sz w:val="22"/>
      <w:szCs w:val="22"/>
      <w:lang w:val="en-GB" w:eastAsia="en-US"/>
    </w:rPr>
  </w:style>
  <w:style w:type="paragraph" w:styleId="EndnoteText">
    <w:name w:val="endnote text"/>
    <w:basedOn w:val="Normal"/>
    <w:link w:val="EndnoteTextChar"/>
    <w:uiPriority w:val="99"/>
    <w:semiHidden/>
    <w:unhideWhenUsed/>
    <w:rsid w:val="0031065F"/>
    <w:rPr>
      <w:sz w:val="20"/>
      <w:szCs w:val="20"/>
    </w:rPr>
  </w:style>
  <w:style w:type="character" w:customStyle="1" w:styleId="EndnoteTextChar">
    <w:name w:val="Endnote Text Char"/>
    <w:link w:val="EndnoteText"/>
    <w:uiPriority w:val="99"/>
    <w:semiHidden/>
    <w:rsid w:val="0031065F"/>
    <w:rPr>
      <w:lang w:eastAsia="en-US"/>
    </w:rPr>
  </w:style>
  <w:style w:type="character" w:styleId="EndnoteReference">
    <w:name w:val="endnote reference"/>
    <w:uiPriority w:val="99"/>
    <w:semiHidden/>
    <w:unhideWhenUsed/>
    <w:rsid w:val="0031065F"/>
    <w:rPr>
      <w:vertAlign w:val="superscript"/>
    </w:rPr>
  </w:style>
  <w:style w:type="paragraph" w:customStyle="1" w:styleId="jugmentnumbered">
    <w:name w:val="jugmentnumbered"/>
    <w:basedOn w:val="Normal"/>
    <w:rsid w:val="00DD6AC8"/>
    <w:pPr>
      <w:spacing w:before="100" w:beforeAutospacing="1" w:after="100" w:afterAutospacing="1"/>
      <w:jc w:val="left"/>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1C239D"/>
    <w:rPr>
      <w:rFonts w:asciiTheme="majorHAnsi" w:eastAsiaTheme="majorEastAsia" w:hAnsiTheme="majorHAnsi" w:cstheme="majorBidi"/>
      <w:color w:val="2F5496" w:themeColor="accent1" w:themeShade="BF"/>
      <w:sz w:val="26"/>
      <w:szCs w:val="26"/>
      <w:lang w:val="en-GB" w:eastAsia="en-US"/>
    </w:rPr>
  </w:style>
  <w:style w:type="paragraph" w:customStyle="1" w:styleId="JudgmentNumbered">
    <w:name w:val="Judgment Numbered"/>
    <w:basedOn w:val="Normal"/>
    <w:link w:val="JudgmentNumberedChar"/>
    <w:qFormat/>
    <w:rsid w:val="000B6E4A"/>
    <w:pPr>
      <w:numPr>
        <w:numId w:val="16"/>
      </w:numPr>
      <w:spacing w:after="240" w:line="360" w:lineRule="auto"/>
    </w:pPr>
    <w:rPr>
      <w:rFonts w:ascii="Arial" w:eastAsiaTheme="minorHAnsi" w:hAnsi="Arial" w:cs="Arial"/>
      <w:sz w:val="24"/>
    </w:rPr>
  </w:style>
  <w:style w:type="character" w:customStyle="1" w:styleId="JudgmentNumberedChar">
    <w:name w:val="Judgment Numbered Char"/>
    <w:basedOn w:val="DefaultParagraphFont"/>
    <w:link w:val="JudgmentNumbered"/>
    <w:rsid w:val="000B6E4A"/>
    <w:rPr>
      <w:rFonts w:ascii="Arial" w:eastAsiaTheme="minorHAnsi" w:hAnsi="Arial" w:cs="Arial"/>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083">
      <w:bodyDiv w:val="1"/>
      <w:marLeft w:val="0"/>
      <w:marRight w:val="0"/>
      <w:marTop w:val="0"/>
      <w:marBottom w:val="0"/>
      <w:divBdr>
        <w:top w:val="none" w:sz="0" w:space="0" w:color="auto"/>
        <w:left w:val="none" w:sz="0" w:space="0" w:color="auto"/>
        <w:bottom w:val="none" w:sz="0" w:space="0" w:color="auto"/>
        <w:right w:val="none" w:sz="0" w:space="0" w:color="auto"/>
      </w:divBdr>
    </w:div>
    <w:div w:id="336813884">
      <w:bodyDiv w:val="1"/>
      <w:marLeft w:val="0"/>
      <w:marRight w:val="0"/>
      <w:marTop w:val="0"/>
      <w:marBottom w:val="0"/>
      <w:divBdr>
        <w:top w:val="none" w:sz="0" w:space="0" w:color="auto"/>
        <w:left w:val="none" w:sz="0" w:space="0" w:color="auto"/>
        <w:bottom w:val="none" w:sz="0" w:space="0" w:color="auto"/>
        <w:right w:val="none" w:sz="0" w:space="0" w:color="auto"/>
      </w:divBdr>
    </w:div>
    <w:div w:id="504394808">
      <w:bodyDiv w:val="1"/>
      <w:marLeft w:val="0"/>
      <w:marRight w:val="0"/>
      <w:marTop w:val="0"/>
      <w:marBottom w:val="0"/>
      <w:divBdr>
        <w:top w:val="none" w:sz="0" w:space="0" w:color="auto"/>
        <w:left w:val="none" w:sz="0" w:space="0" w:color="auto"/>
        <w:bottom w:val="none" w:sz="0" w:space="0" w:color="auto"/>
        <w:right w:val="none" w:sz="0" w:space="0" w:color="auto"/>
      </w:divBdr>
    </w:div>
    <w:div w:id="930041721">
      <w:bodyDiv w:val="1"/>
      <w:marLeft w:val="0"/>
      <w:marRight w:val="0"/>
      <w:marTop w:val="0"/>
      <w:marBottom w:val="0"/>
      <w:divBdr>
        <w:top w:val="none" w:sz="0" w:space="0" w:color="auto"/>
        <w:left w:val="none" w:sz="0" w:space="0" w:color="auto"/>
        <w:bottom w:val="none" w:sz="0" w:space="0" w:color="auto"/>
        <w:right w:val="none" w:sz="0" w:space="0" w:color="auto"/>
      </w:divBdr>
    </w:div>
    <w:div w:id="1006714567">
      <w:bodyDiv w:val="1"/>
      <w:marLeft w:val="0"/>
      <w:marRight w:val="0"/>
      <w:marTop w:val="0"/>
      <w:marBottom w:val="0"/>
      <w:divBdr>
        <w:top w:val="none" w:sz="0" w:space="0" w:color="auto"/>
        <w:left w:val="none" w:sz="0" w:space="0" w:color="auto"/>
        <w:bottom w:val="none" w:sz="0" w:space="0" w:color="auto"/>
        <w:right w:val="none" w:sz="0" w:space="0" w:color="auto"/>
      </w:divBdr>
    </w:div>
    <w:div w:id="1130707159">
      <w:bodyDiv w:val="1"/>
      <w:marLeft w:val="0"/>
      <w:marRight w:val="0"/>
      <w:marTop w:val="0"/>
      <w:marBottom w:val="0"/>
      <w:divBdr>
        <w:top w:val="none" w:sz="0" w:space="0" w:color="auto"/>
        <w:left w:val="none" w:sz="0" w:space="0" w:color="auto"/>
        <w:bottom w:val="none" w:sz="0" w:space="0" w:color="auto"/>
        <w:right w:val="none" w:sz="0" w:space="0" w:color="auto"/>
      </w:divBdr>
    </w:div>
    <w:div w:id="1376274554">
      <w:bodyDiv w:val="1"/>
      <w:marLeft w:val="0"/>
      <w:marRight w:val="0"/>
      <w:marTop w:val="0"/>
      <w:marBottom w:val="0"/>
      <w:divBdr>
        <w:top w:val="none" w:sz="0" w:space="0" w:color="auto"/>
        <w:left w:val="none" w:sz="0" w:space="0" w:color="auto"/>
        <w:bottom w:val="none" w:sz="0" w:space="0" w:color="auto"/>
        <w:right w:val="none" w:sz="0" w:space="0" w:color="auto"/>
      </w:divBdr>
    </w:div>
    <w:div w:id="1376586060">
      <w:bodyDiv w:val="1"/>
      <w:marLeft w:val="0"/>
      <w:marRight w:val="0"/>
      <w:marTop w:val="0"/>
      <w:marBottom w:val="0"/>
      <w:divBdr>
        <w:top w:val="none" w:sz="0" w:space="0" w:color="auto"/>
        <w:left w:val="none" w:sz="0" w:space="0" w:color="auto"/>
        <w:bottom w:val="none" w:sz="0" w:space="0" w:color="auto"/>
        <w:right w:val="none" w:sz="0" w:space="0" w:color="auto"/>
      </w:divBdr>
    </w:div>
    <w:div w:id="20676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6E12-B950-429D-A3D4-9EBF851A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10863</CharactersWithSpaces>
  <SharedDoc>false</SharedDoc>
  <HLinks>
    <vt:vector size="12" baseType="variant">
      <vt:variant>
        <vt:i4>6422532</vt:i4>
      </vt:variant>
      <vt:variant>
        <vt:i4>3</vt:i4>
      </vt:variant>
      <vt:variant>
        <vt:i4>0</vt:i4>
      </vt:variant>
      <vt:variant>
        <vt:i4>5</vt:i4>
      </vt:variant>
      <vt:variant>
        <vt:lpwstr>mailto:krugerulrich@bdk.co.za</vt:lpwstr>
      </vt:variant>
      <vt:variant>
        <vt:lpwstr/>
      </vt:variant>
      <vt:variant>
        <vt:i4>3407883</vt:i4>
      </vt:variant>
      <vt:variant>
        <vt:i4>2154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Dyk</dc:creator>
  <cp:keywords/>
  <cp:lastModifiedBy>Mokone</cp:lastModifiedBy>
  <cp:revision>2</cp:revision>
  <cp:lastPrinted>2023-06-25T09:24:00Z</cp:lastPrinted>
  <dcterms:created xsi:type="dcterms:W3CDTF">2023-08-18T13:59:00Z</dcterms:created>
  <dcterms:modified xsi:type="dcterms:W3CDTF">2023-08-18T13:59:00Z</dcterms:modified>
</cp:coreProperties>
</file>