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BB5A1" w14:textId="77777777" w:rsidR="004A5D69" w:rsidRPr="004A5D69" w:rsidRDefault="004A5D69" w:rsidP="004A5D69">
      <w:pPr>
        <w:tabs>
          <w:tab w:val="left" w:pos="2342"/>
          <w:tab w:val="center" w:pos="4513"/>
        </w:tabs>
        <w:jc w:val="center"/>
        <w:outlineLvl w:val="0"/>
        <w:rPr>
          <w:rFonts w:ascii="Arial" w:eastAsia="Times New Roman" w:hAnsi="Arial" w:cs="Arial"/>
          <w:b/>
          <w:noProof/>
          <w:sz w:val="24"/>
          <w:szCs w:val="24"/>
          <w:lang w:val="en-ZA" w:eastAsia="en-ZA"/>
        </w:rPr>
      </w:pPr>
      <w:r w:rsidRPr="004A5D69">
        <w:rPr>
          <w:rFonts w:ascii="Arial" w:eastAsia="Times New Roman" w:hAnsi="Arial" w:cs="Arial"/>
          <w:b/>
          <w:noProof/>
          <w:sz w:val="24"/>
          <w:szCs w:val="24"/>
          <w:lang w:val="en-ZA" w:eastAsia="en-ZA"/>
        </w:rPr>
        <w:t>REPUBLIC OF SOUTH AFRICA</w:t>
      </w:r>
    </w:p>
    <w:p w14:paraId="34E3D2C8" w14:textId="77777777" w:rsidR="004A5D69" w:rsidRPr="004A5D69" w:rsidRDefault="004A5D69" w:rsidP="004A5D69">
      <w:pPr>
        <w:tabs>
          <w:tab w:val="left" w:pos="2342"/>
          <w:tab w:val="center" w:pos="4513"/>
        </w:tabs>
        <w:jc w:val="center"/>
        <w:outlineLvl w:val="0"/>
        <w:rPr>
          <w:rFonts w:ascii="Arial" w:eastAsia="Times New Roman" w:hAnsi="Arial" w:cs="Arial"/>
          <w:b/>
          <w:noProof/>
          <w:sz w:val="24"/>
          <w:szCs w:val="24"/>
          <w:lang w:val="en-ZA" w:eastAsia="en-ZA"/>
        </w:rPr>
      </w:pPr>
    </w:p>
    <w:p w14:paraId="231A0EB6" w14:textId="50DF40BD" w:rsidR="004A5D69" w:rsidRPr="004A5D69" w:rsidRDefault="004A5D69" w:rsidP="004A5D69">
      <w:pPr>
        <w:tabs>
          <w:tab w:val="left" w:pos="2342"/>
          <w:tab w:val="center" w:pos="4513"/>
        </w:tabs>
        <w:jc w:val="center"/>
        <w:outlineLvl w:val="0"/>
        <w:rPr>
          <w:rFonts w:ascii="Arial" w:eastAsia="Times New Roman" w:hAnsi="Arial" w:cs="Arial"/>
          <w:sz w:val="24"/>
          <w:szCs w:val="24"/>
          <w:lang w:val="en-ZA"/>
        </w:rPr>
      </w:pPr>
      <w:r w:rsidRPr="004A5D69">
        <w:rPr>
          <w:rFonts w:ascii="Arial" w:eastAsia="Times New Roman" w:hAnsi="Arial" w:cs="Arial"/>
          <w:noProof/>
          <w:sz w:val="24"/>
          <w:szCs w:val="24"/>
          <w:lang w:val="en-US"/>
        </w:rPr>
        <w:drawing>
          <wp:inline distT="0" distB="0" distL="0" distR="0" wp14:anchorId="5C53E3A7" wp14:editId="41A422FE">
            <wp:extent cx="135255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39B31D9B" w14:textId="77777777" w:rsidR="004A5D69" w:rsidRPr="004A5D69" w:rsidRDefault="004A5D69" w:rsidP="004A5D69">
      <w:pPr>
        <w:jc w:val="center"/>
        <w:outlineLvl w:val="0"/>
        <w:rPr>
          <w:rFonts w:ascii="Arial" w:eastAsia="Times New Roman" w:hAnsi="Arial" w:cs="Arial"/>
          <w:b/>
          <w:sz w:val="24"/>
          <w:szCs w:val="24"/>
          <w:lang w:val="en-ZA"/>
        </w:rPr>
      </w:pPr>
    </w:p>
    <w:p w14:paraId="278393B5" w14:textId="77777777" w:rsidR="004A5D69" w:rsidRPr="004A5D69" w:rsidRDefault="004A5D69" w:rsidP="004A5D69">
      <w:pPr>
        <w:jc w:val="center"/>
        <w:outlineLvl w:val="0"/>
        <w:rPr>
          <w:rFonts w:ascii="Arial" w:eastAsia="Times New Roman" w:hAnsi="Arial" w:cs="Arial"/>
          <w:b/>
          <w:sz w:val="24"/>
          <w:szCs w:val="24"/>
          <w:lang w:val="en-ZA"/>
        </w:rPr>
      </w:pPr>
      <w:r w:rsidRPr="004A5D69">
        <w:rPr>
          <w:rFonts w:ascii="Arial" w:eastAsia="Times New Roman" w:hAnsi="Arial" w:cs="Arial"/>
          <w:b/>
          <w:sz w:val="24"/>
          <w:szCs w:val="24"/>
          <w:lang w:val="en-ZA"/>
        </w:rPr>
        <w:t>IN THE HIGH COURT OF SOUTH AFRICA</w:t>
      </w:r>
    </w:p>
    <w:p w14:paraId="7DC65CC5" w14:textId="77777777" w:rsidR="004A5D69" w:rsidRPr="004A5D69" w:rsidRDefault="004A5D69" w:rsidP="004A5D69">
      <w:pPr>
        <w:jc w:val="center"/>
        <w:outlineLvl w:val="0"/>
        <w:rPr>
          <w:rFonts w:ascii="Arial" w:eastAsia="Times New Roman" w:hAnsi="Arial" w:cs="Arial"/>
          <w:b/>
          <w:sz w:val="24"/>
          <w:szCs w:val="24"/>
          <w:lang w:val="en-ZA"/>
        </w:rPr>
      </w:pPr>
      <w:r w:rsidRPr="004A5D69">
        <w:rPr>
          <w:rFonts w:ascii="Arial" w:eastAsia="Times New Roman" w:hAnsi="Arial" w:cs="Arial"/>
          <w:b/>
          <w:sz w:val="24"/>
          <w:szCs w:val="24"/>
          <w:lang w:val="en-ZA"/>
        </w:rPr>
        <w:t>GAUTENG DIVISION, JOHANNESBURG</w:t>
      </w:r>
    </w:p>
    <w:p w14:paraId="3DE1DF7D" w14:textId="77777777" w:rsidR="004A5D69" w:rsidRPr="004A5D69" w:rsidRDefault="004A5D69" w:rsidP="004A5D69">
      <w:pPr>
        <w:rPr>
          <w:rFonts w:ascii="Arial" w:eastAsia="Times New Roman" w:hAnsi="Arial" w:cs="Arial"/>
          <w:sz w:val="24"/>
          <w:szCs w:val="24"/>
          <w:lang w:val="en-ZA"/>
        </w:rPr>
      </w:pPr>
    </w:p>
    <w:p w14:paraId="1D4783DF" w14:textId="77777777" w:rsidR="004A5D69" w:rsidRPr="004A5D69" w:rsidRDefault="004A5D69" w:rsidP="004A5D69">
      <w:pPr>
        <w:rPr>
          <w:rFonts w:ascii="Arial" w:eastAsia="Times New Roman" w:hAnsi="Arial" w:cs="Arial"/>
          <w:sz w:val="24"/>
          <w:szCs w:val="24"/>
          <w:lang w:val="en-ZA"/>
        </w:rPr>
      </w:pPr>
    </w:p>
    <w:p w14:paraId="5B9AC419" w14:textId="77777777" w:rsidR="004A5D69" w:rsidRPr="004A5D69" w:rsidRDefault="004A5D69" w:rsidP="004A5D69">
      <w:pPr>
        <w:tabs>
          <w:tab w:val="right" w:pos="9029"/>
        </w:tabs>
        <w:rPr>
          <w:rFonts w:ascii="Arial" w:eastAsia="Times New Roman" w:hAnsi="Arial" w:cs="Arial"/>
          <w:bCs/>
          <w:sz w:val="24"/>
          <w:szCs w:val="24"/>
          <w:lang w:val="en-ZA"/>
        </w:rPr>
      </w:pPr>
      <w:r w:rsidRPr="004A5D69">
        <w:rPr>
          <w:rFonts w:ascii="Arial" w:eastAsia="Times New Roman" w:hAnsi="Arial" w:cs="Arial"/>
          <w:sz w:val="24"/>
          <w:szCs w:val="24"/>
          <w:lang w:val="en-ZA"/>
        </w:rPr>
        <w:tab/>
      </w:r>
      <w:r w:rsidRPr="004A5D69">
        <w:rPr>
          <w:rFonts w:ascii="Arial" w:eastAsia="Times New Roman" w:hAnsi="Arial" w:cs="Arial"/>
          <w:bCs/>
          <w:sz w:val="24"/>
          <w:szCs w:val="24"/>
          <w:lang w:val="en-ZA"/>
        </w:rPr>
        <w:t>Case Number: 2022/033875</w:t>
      </w:r>
    </w:p>
    <w:p w14:paraId="5B61D4DD" w14:textId="20CF8D11" w:rsidR="004A5D69" w:rsidRPr="004A5D69" w:rsidRDefault="004A5D69" w:rsidP="004A5D69">
      <w:pPr>
        <w:tabs>
          <w:tab w:val="right" w:pos="9029"/>
        </w:tabs>
        <w:rPr>
          <w:rFonts w:ascii="Arial" w:eastAsia="Times New Roman" w:hAnsi="Arial" w:cs="Arial"/>
          <w:sz w:val="24"/>
          <w:szCs w:val="24"/>
          <w:lang w:val="en-ZA"/>
        </w:rPr>
      </w:pPr>
      <w:r>
        <w:rPr>
          <w:noProof/>
          <w:lang w:val="en-US"/>
        </w:rPr>
        <mc:AlternateContent>
          <mc:Choice Requires="wps">
            <w:drawing>
              <wp:anchor distT="0" distB="0" distL="114300" distR="114300" simplePos="0" relativeHeight="251659264" behindDoc="0" locked="0" layoutInCell="1" allowOverlap="1" wp14:anchorId="7261DA83" wp14:editId="1ADCB9C5">
                <wp:simplePos x="0" y="0"/>
                <wp:positionH relativeFrom="margin">
                  <wp:align>left</wp:align>
                </wp:positionH>
                <wp:positionV relativeFrom="paragraph">
                  <wp:posOffset>23495</wp:posOffset>
                </wp:positionV>
                <wp:extent cx="3314700" cy="1371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C25A527" w14:textId="77777777" w:rsidR="00FF111A" w:rsidRPr="00913F95" w:rsidRDefault="00FF111A" w:rsidP="004A5D69">
                            <w:pPr>
                              <w:jc w:val="center"/>
                              <w:rPr>
                                <w:rFonts w:ascii="Century Gothic" w:hAnsi="Century Gothic"/>
                                <w:b/>
                                <w:sz w:val="20"/>
                                <w:szCs w:val="20"/>
                              </w:rPr>
                            </w:pPr>
                          </w:p>
                          <w:p w14:paraId="2B3DA34F" w14:textId="467E89E2" w:rsidR="00FF111A" w:rsidRPr="00C344A5" w:rsidRDefault="00170630" w:rsidP="00170630">
                            <w:pPr>
                              <w:tabs>
                                <w:tab w:val="left" w:pos="900"/>
                              </w:tabs>
                              <w:ind w:left="900" w:hanging="720"/>
                              <w:jc w:val="left"/>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FF111A" w:rsidRPr="00C344A5">
                              <w:rPr>
                                <w:rFonts w:ascii="Arial" w:hAnsi="Arial" w:cs="Arial"/>
                                <w:sz w:val="18"/>
                                <w:szCs w:val="20"/>
                              </w:rPr>
                              <w:t>REPORTABLE: NO</w:t>
                            </w:r>
                          </w:p>
                          <w:p w14:paraId="76AED4E1" w14:textId="032BE861" w:rsidR="00FF111A" w:rsidRPr="00C344A5" w:rsidRDefault="00170630" w:rsidP="00170630">
                            <w:pPr>
                              <w:tabs>
                                <w:tab w:val="left" w:pos="900"/>
                              </w:tabs>
                              <w:ind w:left="900" w:hanging="720"/>
                              <w:jc w:val="left"/>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FF111A" w:rsidRPr="00C344A5">
                              <w:rPr>
                                <w:rFonts w:ascii="Arial" w:hAnsi="Arial" w:cs="Arial"/>
                                <w:sz w:val="18"/>
                                <w:szCs w:val="20"/>
                              </w:rPr>
                              <w:t>OF INTEREST TO OTHER JUDGES: NO</w:t>
                            </w:r>
                          </w:p>
                          <w:p w14:paraId="2C29AB02" w14:textId="19D7B448" w:rsidR="00FF111A" w:rsidRPr="00C344A5" w:rsidRDefault="00170630" w:rsidP="00170630">
                            <w:pPr>
                              <w:tabs>
                                <w:tab w:val="left" w:pos="900"/>
                              </w:tabs>
                              <w:ind w:left="900" w:hanging="720"/>
                              <w:jc w:val="left"/>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FF111A" w:rsidRPr="00C344A5">
                              <w:rPr>
                                <w:rFonts w:ascii="Arial" w:hAnsi="Arial" w:cs="Arial"/>
                                <w:sz w:val="18"/>
                                <w:szCs w:val="20"/>
                              </w:rPr>
                              <w:t>REVISED</w:t>
                            </w:r>
                            <w:r w:rsidR="00FF111A">
                              <w:rPr>
                                <w:rFonts w:ascii="Arial" w:hAnsi="Arial" w:cs="Arial"/>
                                <w:sz w:val="18"/>
                                <w:szCs w:val="20"/>
                              </w:rPr>
                              <w:t>.</w:t>
                            </w:r>
                          </w:p>
                          <w:p w14:paraId="55923B86" w14:textId="77777777" w:rsidR="00FF111A" w:rsidRPr="00C344A5" w:rsidRDefault="00FF111A" w:rsidP="004A5D69">
                            <w:pPr>
                              <w:rPr>
                                <w:rFonts w:ascii="Arial" w:hAnsi="Arial" w:cs="Arial"/>
                                <w:b/>
                                <w:sz w:val="18"/>
                                <w:szCs w:val="20"/>
                              </w:rPr>
                            </w:pPr>
                          </w:p>
                          <w:p w14:paraId="66026EAD" w14:textId="77777777" w:rsidR="00FF111A" w:rsidRPr="00C344A5" w:rsidRDefault="00FF111A" w:rsidP="004A5D69">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065CCB60" w14:textId="77777777" w:rsidR="00FF111A" w:rsidRPr="00C344A5" w:rsidRDefault="00FF111A" w:rsidP="004A5D69">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1DA83"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wYKQ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YISwzS2&#10;6FEMgbyFgcwiO731BTo9WHQLA15jl1Ol3t4D/+aJgU3HTCtunYO+E6zG7PL4Mjt7OuL4CFL1H6HG&#10;MGwXIAENjdOROiSDIDp26XDqTEyF4+V8ni8up2jiaMvnl/kFKjEGK56fW+fDewGaRKGkDluf4Nn+&#10;3ofR9dklRvOgZL2VSiXFtdVGObJnOCbb9B3Rf3JThvQlvV7OliMDf4WYpu9PEFoGnHcldUmvTk6s&#10;iLy9MzWmyYrApBplrE6ZI5GRu5HFMFQDOkZ2K6gPSKmDca5xD1HowP2gpMeZLqn/vmNOUKI+GGzL&#10;db5YxCVIymJ5OUPFnVuqcwszHKFKGigZxU0YF2dnnWw7jDQOgoFbbGUjE8kvWR3zxrlNbTruWFyM&#10;cz15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DlNXwYKQIAAFEEAAAOAAAAAAAAAAAAAAAAAC4CAABkcnMvZTJv&#10;RG9jLnhtbFBLAQItABQABgAIAAAAIQCR2ASs3QAAAAYBAAAPAAAAAAAAAAAAAAAAAIMEAABkcnMv&#10;ZG93bnJldi54bWxQSwUGAAAAAAQABADzAAAAjQUAAAAA&#10;">
                <v:textbox>
                  <w:txbxContent>
                    <w:p w14:paraId="5C25A527" w14:textId="77777777" w:rsidR="00FF111A" w:rsidRPr="00913F95" w:rsidRDefault="00FF111A" w:rsidP="004A5D69">
                      <w:pPr>
                        <w:jc w:val="center"/>
                        <w:rPr>
                          <w:rFonts w:ascii="Century Gothic" w:hAnsi="Century Gothic"/>
                          <w:b/>
                          <w:sz w:val="20"/>
                          <w:szCs w:val="20"/>
                        </w:rPr>
                      </w:pPr>
                    </w:p>
                    <w:p w14:paraId="2B3DA34F" w14:textId="467E89E2" w:rsidR="00FF111A" w:rsidRPr="00C344A5" w:rsidRDefault="00170630" w:rsidP="00170630">
                      <w:pPr>
                        <w:tabs>
                          <w:tab w:val="left" w:pos="900"/>
                        </w:tabs>
                        <w:ind w:left="900" w:hanging="720"/>
                        <w:jc w:val="left"/>
                        <w:rPr>
                          <w:rFonts w:ascii="Arial" w:hAnsi="Arial" w:cs="Arial"/>
                          <w:sz w:val="18"/>
                          <w:szCs w:val="20"/>
                        </w:rPr>
                      </w:pPr>
                      <w:r w:rsidRPr="00C344A5">
                        <w:rPr>
                          <w:rFonts w:ascii="Arial" w:hAnsi="Arial" w:cs="Arial"/>
                          <w:sz w:val="18"/>
                          <w:szCs w:val="20"/>
                        </w:rPr>
                        <w:t>(1)</w:t>
                      </w:r>
                      <w:r w:rsidRPr="00C344A5">
                        <w:rPr>
                          <w:rFonts w:ascii="Arial" w:hAnsi="Arial" w:cs="Arial"/>
                          <w:sz w:val="18"/>
                          <w:szCs w:val="20"/>
                        </w:rPr>
                        <w:tab/>
                      </w:r>
                      <w:r w:rsidR="00FF111A" w:rsidRPr="00C344A5">
                        <w:rPr>
                          <w:rFonts w:ascii="Arial" w:hAnsi="Arial" w:cs="Arial"/>
                          <w:sz w:val="18"/>
                          <w:szCs w:val="20"/>
                        </w:rPr>
                        <w:t>REPORTABLE: NO</w:t>
                      </w:r>
                    </w:p>
                    <w:p w14:paraId="76AED4E1" w14:textId="032BE861" w:rsidR="00FF111A" w:rsidRPr="00C344A5" w:rsidRDefault="00170630" w:rsidP="00170630">
                      <w:pPr>
                        <w:tabs>
                          <w:tab w:val="left" w:pos="900"/>
                        </w:tabs>
                        <w:ind w:left="900" w:hanging="720"/>
                        <w:jc w:val="left"/>
                        <w:rPr>
                          <w:rFonts w:ascii="Arial" w:hAnsi="Arial" w:cs="Arial"/>
                          <w:sz w:val="18"/>
                          <w:szCs w:val="20"/>
                        </w:rPr>
                      </w:pPr>
                      <w:r w:rsidRPr="00C344A5">
                        <w:rPr>
                          <w:rFonts w:ascii="Arial" w:hAnsi="Arial" w:cs="Arial"/>
                          <w:sz w:val="18"/>
                          <w:szCs w:val="20"/>
                        </w:rPr>
                        <w:t>(2)</w:t>
                      </w:r>
                      <w:r w:rsidRPr="00C344A5">
                        <w:rPr>
                          <w:rFonts w:ascii="Arial" w:hAnsi="Arial" w:cs="Arial"/>
                          <w:sz w:val="18"/>
                          <w:szCs w:val="20"/>
                        </w:rPr>
                        <w:tab/>
                      </w:r>
                      <w:r w:rsidR="00FF111A" w:rsidRPr="00C344A5">
                        <w:rPr>
                          <w:rFonts w:ascii="Arial" w:hAnsi="Arial" w:cs="Arial"/>
                          <w:sz w:val="18"/>
                          <w:szCs w:val="20"/>
                        </w:rPr>
                        <w:t>OF INTEREST TO OTHER JUDGES: NO</w:t>
                      </w:r>
                    </w:p>
                    <w:p w14:paraId="2C29AB02" w14:textId="19D7B448" w:rsidR="00FF111A" w:rsidRPr="00C344A5" w:rsidRDefault="00170630" w:rsidP="00170630">
                      <w:pPr>
                        <w:tabs>
                          <w:tab w:val="left" w:pos="900"/>
                        </w:tabs>
                        <w:ind w:left="900" w:hanging="720"/>
                        <w:jc w:val="left"/>
                        <w:rPr>
                          <w:rFonts w:ascii="Arial" w:hAnsi="Arial" w:cs="Arial"/>
                          <w:sz w:val="18"/>
                          <w:szCs w:val="20"/>
                        </w:rPr>
                      </w:pPr>
                      <w:r w:rsidRPr="00C344A5">
                        <w:rPr>
                          <w:rFonts w:ascii="Arial" w:hAnsi="Arial" w:cs="Arial"/>
                          <w:sz w:val="18"/>
                          <w:szCs w:val="20"/>
                        </w:rPr>
                        <w:t>(3)</w:t>
                      </w:r>
                      <w:r w:rsidRPr="00C344A5">
                        <w:rPr>
                          <w:rFonts w:ascii="Arial" w:hAnsi="Arial" w:cs="Arial"/>
                          <w:sz w:val="18"/>
                          <w:szCs w:val="20"/>
                        </w:rPr>
                        <w:tab/>
                      </w:r>
                      <w:r w:rsidR="00FF111A" w:rsidRPr="00C344A5">
                        <w:rPr>
                          <w:rFonts w:ascii="Arial" w:hAnsi="Arial" w:cs="Arial"/>
                          <w:sz w:val="18"/>
                          <w:szCs w:val="20"/>
                        </w:rPr>
                        <w:t>REVISED</w:t>
                      </w:r>
                      <w:r w:rsidR="00FF111A">
                        <w:rPr>
                          <w:rFonts w:ascii="Arial" w:hAnsi="Arial" w:cs="Arial"/>
                          <w:sz w:val="18"/>
                          <w:szCs w:val="20"/>
                        </w:rPr>
                        <w:t>.</w:t>
                      </w:r>
                    </w:p>
                    <w:p w14:paraId="55923B86" w14:textId="77777777" w:rsidR="00FF111A" w:rsidRPr="00C344A5" w:rsidRDefault="00FF111A" w:rsidP="004A5D69">
                      <w:pPr>
                        <w:rPr>
                          <w:rFonts w:ascii="Arial" w:hAnsi="Arial" w:cs="Arial"/>
                          <w:b/>
                          <w:sz w:val="18"/>
                          <w:szCs w:val="20"/>
                        </w:rPr>
                      </w:pPr>
                    </w:p>
                    <w:p w14:paraId="66026EAD" w14:textId="77777777" w:rsidR="00FF111A" w:rsidRPr="00C344A5" w:rsidRDefault="00FF111A" w:rsidP="004A5D69">
                      <w:pPr>
                        <w:rPr>
                          <w:rFonts w:ascii="Arial" w:hAnsi="Arial" w:cs="Arial"/>
                          <w:b/>
                          <w:sz w:val="18"/>
                          <w:szCs w:val="20"/>
                        </w:rPr>
                      </w:pPr>
                      <w:r w:rsidRPr="00C344A5">
                        <w:rPr>
                          <w:rFonts w:ascii="Arial" w:hAnsi="Arial" w:cs="Arial"/>
                          <w:b/>
                          <w:sz w:val="18"/>
                          <w:szCs w:val="20"/>
                        </w:rPr>
                        <w:t>______________</w:t>
                      </w:r>
                      <w:r w:rsidRPr="00C344A5">
                        <w:rPr>
                          <w:rFonts w:ascii="Arial" w:hAnsi="Arial" w:cs="Arial"/>
                          <w:b/>
                          <w:sz w:val="18"/>
                          <w:szCs w:val="20"/>
                        </w:rPr>
                        <w:tab/>
                      </w:r>
                      <w:r>
                        <w:rPr>
                          <w:rFonts w:ascii="Arial" w:hAnsi="Arial" w:cs="Arial"/>
                          <w:b/>
                          <w:sz w:val="18"/>
                          <w:szCs w:val="20"/>
                        </w:rPr>
                        <w:tab/>
                      </w:r>
                      <w:r w:rsidRPr="00C344A5">
                        <w:rPr>
                          <w:rFonts w:ascii="Arial" w:hAnsi="Arial" w:cs="Arial"/>
                          <w:b/>
                          <w:sz w:val="18"/>
                          <w:szCs w:val="20"/>
                        </w:rPr>
                        <w:t>_________________________</w:t>
                      </w:r>
                    </w:p>
                    <w:p w14:paraId="065CCB60" w14:textId="77777777" w:rsidR="00FF111A" w:rsidRPr="00C344A5" w:rsidRDefault="00FF111A" w:rsidP="004A5D69">
                      <w:pPr>
                        <w:rPr>
                          <w:rFonts w:ascii="Arial" w:hAnsi="Arial" w:cs="Arial"/>
                          <w:sz w:val="18"/>
                          <w:szCs w:val="20"/>
                        </w:rPr>
                      </w:pPr>
                      <w:r w:rsidRPr="00C344A5">
                        <w:rPr>
                          <w:rFonts w:ascii="Arial" w:hAnsi="Arial" w:cs="Arial"/>
                          <w:sz w:val="18"/>
                          <w:szCs w:val="20"/>
                        </w:rPr>
                        <w:t>DATE</w:t>
                      </w:r>
                      <w:r w:rsidRPr="00C344A5">
                        <w:rPr>
                          <w:rFonts w:ascii="Arial" w:hAnsi="Arial" w:cs="Arial"/>
                          <w:sz w:val="18"/>
                          <w:szCs w:val="20"/>
                        </w:rPr>
                        <w:tab/>
                      </w:r>
                      <w:r w:rsidRPr="00C344A5">
                        <w:rPr>
                          <w:rFonts w:ascii="Arial" w:hAnsi="Arial" w:cs="Arial"/>
                          <w:sz w:val="18"/>
                          <w:szCs w:val="20"/>
                        </w:rPr>
                        <w:tab/>
                      </w:r>
                      <w:r w:rsidRPr="00C344A5">
                        <w:rPr>
                          <w:rFonts w:ascii="Arial" w:hAnsi="Arial" w:cs="Arial"/>
                          <w:sz w:val="18"/>
                          <w:szCs w:val="20"/>
                        </w:rPr>
                        <w:tab/>
                        <w:t>SIGNATURE</w:t>
                      </w:r>
                    </w:p>
                  </w:txbxContent>
                </v:textbox>
                <w10:wrap anchorx="margin"/>
              </v:shape>
            </w:pict>
          </mc:Fallback>
        </mc:AlternateContent>
      </w:r>
    </w:p>
    <w:p w14:paraId="532FFDB2" w14:textId="77777777" w:rsidR="004A5D69" w:rsidRPr="004A5D69" w:rsidRDefault="004A5D69" w:rsidP="004A5D69">
      <w:pPr>
        <w:tabs>
          <w:tab w:val="left" w:pos="8998"/>
        </w:tabs>
        <w:rPr>
          <w:rFonts w:ascii="Arial" w:eastAsia="Times New Roman" w:hAnsi="Arial" w:cs="Arial"/>
          <w:sz w:val="24"/>
          <w:szCs w:val="24"/>
          <w:lang w:val="en-ZA"/>
        </w:rPr>
      </w:pPr>
    </w:p>
    <w:p w14:paraId="73248694" w14:textId="77777777" w:rsidR="004A5D69" w:rsidRPr="004A5D69" w:rsidRDefault="004A5D69" w:rsidP="004A5D69">
      <w:pPr>
        <w:tabs>
          <w:tab w:val="left" w:pos="8998"/>
        </w:tabs>
        <w:rPr>
          <w:rFonts w:ascii="Arial" w:eastAsia="Times New Roman" w:hAnsi="Arial" w:cs="Arial"/>
          <w:sz w:val="24"/>
          <w:szCs w:val="24"/>
          <w:lang w:val="en-ZA"/>
        </w:rPr>
      </w:pPr>
    </w:p>
    <w:p w14:paraId="5B4BD1B4" w14:textId="77777777" w:rsidR="004A5D69" w:rsidRPr="004A5D69" w:rsidRDefault="004A5D69" w:rsidP="004A5D69">
      <w:pPr>
        <w:tabs>
          <w:tab w:val="left" w:pos="8998"/>
        </w:tabs>
        <w:rPr>
          <w:rFonts w:ascii="Arial" w:eastAsia="Times New Roman" w:hAnsi="Arial" w:cs="Arial"/>
          <w:sz w:val="24"/>
          <w:szCs w:val="24"/>
          <w:lang w:val="en-ZA"/>
        </w:rPr>
      </w:pPr>
      <w:r w:rsidRPr="004A5D69">
        <w:rPr>
          <w:rFonts w:ascii="Arial" w:eastAsia="Times New Roman" w:hAnsi="Arial" w:cs="Arial"/>
          <w:sz w:val="24"/>
          <w:szCs w:val="24"/>
          <w:lang w:val="en-ZA"/>
        </w:rPr>
        <w:t>In the matter between:</w:t>
      </w:r>
    </w:p>
    <w:p w14:paraId="06B8BCA3" w14:textId="77777777" w:rsidR="004A5D69" w:rsidRPr="004A5D69" w:rsidRDefault="004A5D69" w:rsidP="004A5D69">
      <w:pPr>
        <w:tabs>
          <w:tab w:val="right" w:pos="9029"/>
        </w:tabs>
        <w:rPr>
          <w:rFonts w:ascii="Arial" w:eastAsia="Times New Roman" w:hAnsi="Arial" w:cs="Arial"/>
          <w:sz w:val="24"/>
          <w:szCs w:val="24"/>
          <w:lang w:val="en-ZA"/>
        </w:rPr>
      </w:pPr>
    </w:p>
    <w:p w14:paraId="78296F4F" w14:textId="77777777" w:rsidR="004A5D69" w:rsidRPr="004A5D69" w:rsidRDefault="004A5D69" w:rsidP="004A5D69">
      <w:pPr>
        <w:tabs>
          <w:tab w:val="right" w:pos="9029"/>
        </w:tabs>
        <w:rPr>
          <w:rFonts w:ascii="Arial" w:eastAsia="Times New Roman" w:hAnsi="Arial" w:cs="Arial"/>
          <w:sz w:val="24"/>
          <w:szCs w:val="24"/>
          <w:lang w:val="en-ZA"/>
        </w:rPr>
      </w:pPr>
    </w:p>
    <w:p w14:paraId="68A02F72" w14:textId="77777777" w:rsidR="004A5D69" w:rsidRPr="004A5D69" w:rsidRDefault="004A5D69" w:rsidP="004A5D69">
      <w:pPr>
        <w:tabs>
          <w:tab w:val="right" w:pos="9029"/>
        </w:tabs>
        <w:contextualSpacing/>
        <w:rPr>
          <w:rFonts w:ascii="Arial" w:eastAsia="Times New Roman" w:hAnsi="Arial" w:cs="Arial"/>
          <w:b/>
          <w:sz w:val="24"/>
          <w:szCs w:val="24"/>
          <w:lang w:val="en-ZA"/>
        </w:rPr>
      </w:pPr>
    </w:p>
    <w:p w14:paraId="64490B18" w14:textId="77777777" w:rsidR="004A5D69" w:rsidRPr="004A5D69" w:rsidRDefault="004A5D69" w:rsidP="004A5D69">
      <w:pPr>
        <w:tabs>
          <w:tab w:val="right" w:pos="9029"/>
        </w:tabs>
        <w:contextualSpacing/>
        <w:rPr>
          <w:rFonts w:ascii="Arial" w:eastAsia="Times New Roman" w:hAnsi="Arial" w:cs="Arial"/>
          <w:b/>
          <w:sz w:val="24"/>
          <w:szCs w:val="24"/>
          <w:lang w:val="en-ZA"/>
        </w:rPr>
      </w:pPr>
    </w:p>
    <w:p w14:paraId="613B7A06" w14:textId="77777777" w:rsidR="004A5D69" w:rsidRPr="004A5D69" w:rsidRDefault="004A5D69" w:rsidP="004A5D69">
      <w:pPr>
        <w:tabs>
          <w:tab w:val="right" w:pos="9029"/>
        </w:tabs>
        <w:contextualSpacing/>
        <w:rPr>
          <w:rFonts w:ascii="Arial" w:eastAsia="Times New Roman" w:hAnsi="Arial" w:cs="Arial"/>
          <w:b/>
          <w:sz w:val="24"/>
          <w:szCs w:val="24"/>
          <w:lang w:val="en-ZA"/>
        </w:rPr>
      </w:pPr>
    </w:p>
    <w:p w14:paraId="41C51E02" w14:textId="77777777" w:rsidR="004A5D69" w:rsidRPr="004A5D69" w:rsidRDefault="004A5D69" w:rsidP="004A5D69">
      <w:pPr>
        <w:tabs>
          <w:tab w:val="right" w:pos="9029"/>
        </w:tabs>
        <w:contextualSpacing/>
        <w:rPr>
          <w:rFonts w:ascii="Arial" w:eastAsia="Times New Roman" w:hAnsi="Arial" w:cs="Arial"/>
          <w:b/>
          <w:sz w:val="24"/>
          <w:szCs w:val="24"/>
          <w:lang w:val="en-ZA"/>
        </w:rPr>
      </w:pPr>
    </w:p>
    <w:p w14:paraId="421D06CC" w14:textId="77777777" w:rsidR="004A5D69" w:rsidRPr="004A5D69" w:rsidRDefault="004A5D69" w:rsidP="004A5D69">
      <w:pPr>
        <w:tabs>
          <w:tab w:val="right" w:pos="9029"/>
        </w:tabs>
        <w:contextualSpacing/>
        <w:rPr>
          <w:rFonts w:ascii="Arial" w:eastAsia="Times New Roman" w:hAnsi="Arial" w:cs="Arial"/>
          <w:sz w:val="24"/>
          <w:szCs w:val="24"/>
          <w:lang w:val="en-ZA"/>
        </w:rPr>
      </w:pPr>
      <w:r w:rsidRPr="004A5D69">
        <w:rPr>
          <w:rFonts w:ascii="Arial" w:eastAsia="Times New Roman" w:hAnsi="Arial" w:cs="Arial"/>
          <w:sz w:val="24"/>
          <w:szCs w:val="24"/>
          <w:lang w:val="en-ZA"/>
        </w:rPr>
        <w:t>In the matter between:</w:t>
      </w:r>
    </w:p>
    <w:p w14:paraId="6E9A924E" w14:textId="77777777" w:rsidR="004A5D69" w:rsidRPr="004A5D69" w:rsidRDefault="004A5D69" w:rsidP="004A5D69">
      <w:pPr>
        <w:tabs>
          <w:tab w:val="right" w:pos="9029"/>
        </w:tabs>
        <w:contextualSpacing/>
        <w:rPr>
          <w:rFonts w:ascii="Arial" w:eastAsia="Times New Roman" w:hAnsi="Arial" w:cs="Arial"/>
          <w:b/>
          <w:sz w:val="24"/>
          <w:szCs w:val="24"/>
          <w:lang w:val="en-ZA"/>
        </w:rPr>
      </w:pPr>
    </w:p>
    <w:p w14:paraId="3AEB9E24" w14:textId="77777777" w:rsidR="004A5D69" w:rsidRPr="004A5D69" w:rsidRDefault="004A5D69" w:rsidP="004A5D69">
      <w:pPr>
        <w:tabs>
          <w:tab w:val="right" w:pos="9029"/>
        </w:tabs>
        <w:contextualSpacing/>
        <w:rPr>
          <w:rFonts w:ascii="Arial" w:eastAsia="Times New Roman" w:hAnsi="Arial" w:cs="Arial"/>
          <w:b/>
          <w:sz w:val="24"/>
          <w:szCs w:val="24"/>
          <w:lang w:val="en-ZA"/>
        </w:rPr>
      </w:pPr>
    </w:p>
    <w:p w14:paraId="7C1EA2D1" w14:textId="77777777" w:rsidR="004A5D69" w:rsidRPr="004A5D69" w:rsidRDefault="004A5D69" w:rsidP="004A5D69">
      <w:pPr>
        <w:tabs>
          <w:tab w:val="right" w:pos="9029"/>
        </w:tabs>
        <w:contextualSpacing/>
        <w:rPr>
          <w:rFonts w:ascii="Arial" w:eastAsia="Times New Roman" w:hAnsi="Arial" w:cs="Arial"/>
          <w:sz w:val="24"/>
          <w:szCs w:val="24"/>
          <w:lang w:val="en-ZA"/>
        </w:rPr>
      </w:pPr>
      <w:r w:rsidRPr="004A5D69">
        <w:rPr>
          <w:rFonts w:ascii="Arial" w:eastAsia="Times New Roman" w:hAnsi="Arial" w:cs="Arial"/>
          <w:b/>
          <w:sz w:val="24"/>
          <w:szCs w:val="24"/>
          <w:lang w:val="en-ZA"/>
        </w:rPr>
        <w:t>MARINDAFONTEIN (PTY) LTD</w:t>
      </w:r>
      <w:r w:rsidRPr="004A5D69">
        <w:rPr>
          <w:rFonts w:ascii="Arial" w:eastAsia="Times New Roman" w:hAnsi="Arial" w:cs="Arial"/>
          <w:b/>
          <w:sz w:val="24"/>
          <w:szCs w:val="24"/>
          <w:lang w:val="en-ZA"/>
        </w:rPr>
        <w:tab/>
      </w:r>
      <w:r w:rsidRPr="004A5D69">
        <w:rPr>
          <w:rFonts w:ascii="Arial" w:eastAsia="Times New Roman" w:hAnsi="Arial" w:cs="Arial"/>
          <w:sz w:val="24"/>
          <w:szCs w:val="24"/>
          <w:lang w:val="en-ZA"/>
        </w:rPr>
        <w:t>Applicant</w:t>
      </w:r>
    </w:p>
    <w:p w14:paraId="3E5920AA" w14:textId="77777777" w:rsidR="004A5D69" w:rsidRPr="004A5D69" w:rsidRDefault="004A5D69" w:rsidP="004A5D69">
      <w:pPr>
        <w:tabs>
          <w:tab w:val="right" w:pos="9029"/>
        </w:tabs>
        <w:contextualSpacing/>
        <w:rPr>
          <w:rFonts w:ascii="Arial" w:eastAsia="Times New Roman" w:hAnsi="Arial" w:cs="Arial"/>
          <w:sz w:val="24"/>
          <w:szCs w:val="24"/>
          <w:lang w:val="en-ZA"/>
        </w:rPr>
      </w:pPr>
    </w:p>
    <w:p w14:paraId="7C46F398" w14:textId="77777777" w:rsidR="004A5D69" w:rsidRPr="004A5D69" w:rsidRDefault="004A5D69" w:rsidP="004A5D69">
      <w:pPr>
        <w:tabs>
          <w:tab w:val="right" w:pos="9029"/>
        </w:tabs>
        <w:contextualSpacing/>
        <w:rPr>
          <w:rFonts w:ascii="Arial" w:eastAsia="Times New Roman" w:hAnsi="Arial" w:cs="Arial"/>
          <w:sz w:val="24"/>
          <w:szCs w:val="24"/>
          <w:lang w:val="en-ZA"/>
        </w:rPr>
      </w:pPr>
      <w:r w:rsidRPr="004A5D69">
        <w:rPr>
          <w:rFonts w:ascii="Arial" w:eastAsia="Times New Roman" w:hAnsi="Arial" w:cs="Arial"/>
          <w:sz w:val="24"/>
          <w:szCs w:val="24"/>
          <w:lang w:val="en-ZA"/>
        </w:rPr>
        <w:t>and</w:t>
      </w:r>
    </w:p>
    <w:p w14:paraId="48FC0641" w14:textId="77777777" w:rsidR="004A5D69" w:rsidRPr="004A5D69" w:rsidRDefault="004A5D69" w:rsidP="004A5D69">
      <w:pPr>
        <w:tabs>
          <w:tab w:val="right" w:pos="9029"/>
        </w:tabs>
        <w:contextualSpacing/>
        <w:rPr>
          <w:rFonts w:ascii="Arial" w:eastAsia="Times New Roman" w:hAnsi="Arial" w:cs="Arial"/>
          <w:sz w:val="24"/>
          <w:szCs w:val="24"/>
          <w:lang w:val="en-ZA"/>
        </w:rPr>
      </w:pPr>
    </w:p>
    <w:p w14:paraId="0788C528" w14:textId="77777777" w:rsidR="004A5D69" w:rsidRPr="004A5D69" w:rsidRDefault="004A5D69" w:rsidP="004A5D69">
      <w:pPr>
        <w:tabs>
          <w:tab w:val="right" w:pos="9029"/>
        </w:tabs>
        <w:contextualSpacing/>
        <w:rPr>
          <w:rFonts w:ascii="Arial" w:eastAsia="Times New Roman" w:hAnsi="Arial" w:cs="Arial"/>
          <w:sz w:val="24"/>
          <w:szCs w:val="24"/>
          <w:lang w:val="en-ZA"/>
        </w:rPr>
      </w:pPr>
      <w:r w:rsidRPr="004A5D69">
        <w:rPr>
          <w:rFonts w:ascii="Arial" w:eastAsia="Times New Roman" w:hAnsi="Arial" w:cs="Arial"/>
          <w:b/>
          <w:bCs/>
          <w:sz w:val="24"/>
          <w:szCs w:val="24"/>
          <w:lang w:val="en-ZA"/>
        </w:rPr>
        <w:t>GLEN STOPFORTH</w:t>
      </w:r>
      <w:r w:rsidRPr="004A5D69">
        <w:rPr>
          <w:rFonts w:ascii="Arial" w:hAnsi="Arial" w:cs="Arial"/>
          <w:b/>
          <w:sz w:val="24"/>
          <w:szCs w:val="24"/>
          <w:lang w:val="en-ZA"/>
        </w:rPr>
        <w:tab/>
      </w:r>
      <w:r w:rsidRPr="004A5D69">
        <w:rPr>
          <w:rFonts w:ascii="Arial" w:eastAsia="Times New Roman" w:hAnsi="Arial" w:cs="Arial"/>
          <w:sz w:val="24"/>
          <w:szCs w:val="24"/>
          <w:lang w:val="en-ZA"/>
        </w:rPr>
        <w:t>First Respondent</w:t>
      </w:r>
    </w:p>
    <w:p w14:paraId="25004555" w14:textId="77777777" w:rsidR="004A5D69" w:rsidRPr="004A5D69" w:rsidRDefault="004A5D69" w:rsidP="004A5D69">
      <w:pPr>
        <w:contextualSpacing/>
        <w:rPr>
          <w:rFonts w:ascii="Arial" w:eastAsia="Times New Roman" w:hAnsi="Arial" w:cs="Arial"/>
          <w:sz w:val="24"/>
          <w:szCs w:val="24"/>
          <w:lang w:val="en-ZA"/>
        </w:rPr>
      </w:pPr>
    </w:p>
    <w:p w14:paraId="16709164" w14:textId="371DB796" w:rsidR="004A5D69" w:rsidRPr="004A5D69" w:rsidRDefault="004A5D69" w:rsidP="004A5D69">
      <w:pPr>
        <w:tabs>
          <w:tab w:val="right" w:pos="9029"/>
        </w:tabs>
        <w:contextualSpacing/>
        <w:rPr>
          <w:rFonts w:ascii="Arial" w:eastAsia="Times New Roman" w:hAnsi="Arial" w:cs="Arial"/>
          <w:sz w:val="24"/>
          <w:szCs w:val="24"/>
          <w:lang w:val="en-ZA"/>
        </w:rPr>
      </w:pPr>
      <w:r w:rsidRPr="004A5D69">
        <w:rPr>
          <w:rFonts w:ascii="Arial" w:eastAsia="Times New Roman" w:hAnsi="Arial" w:cs="Arial"/>
          <w:b/>
          <w:bCs/>
          <w:sz w:val="24"/>
          <w:szCs w:val="24"/>
          <w:lang w:val="en-ZA"/>
        </w:rPr>
        <w:t>KEVIN REE</w:t>
      </w:r>
      <w:r w:rsidR="0069559A">
        <w:rPr>
          <w:rFonts w:ascii="Arial" w:eastAsia="Times New Roman" w:hAnsi="Arial" w:cs="Arial"/>
          <w:b/>
          <w:bCs/>
          <w:sz w:val="24"/>
          <w:szCs w:val="24"/>
          <w:lang w:val="en-ZA"/>
        </w:rPr>
        <w:t>CE</w:t>
      </w:r>
      <w:r w:rsidRPr="004A5D69">
        <w:rPr>
          <w:rFonts w:ascii="Arial" w:eastAsia="Times New Roman" w:hAnsi="Arial" w:cs="Arial"/>
          <w:sz w:val="24"/>
          <w:szCs w:val="24"/>
          <w:lang w:val="en-ZA"/>
        </w:rPr>
        <w:tab/>
        <w:t>Second Respondent</w:t>
      </w:r>
    </w:p>
    <w:p w14:paraId="7786760D" w14:textId="77777777" w:rsidR="004A5D69" w:rsidRPr="004A5D69" w:rsidRDefault="004A5D69" w:rsidP="004A5D69">
      <w:pPr>
        <w:tabs>
          <w:tab w:val="right" w:pos="9029"/>
        </w:tabs>
        <w:contextualSpacing/>
        <w:rPr>
          <w:rFonts w:ascii="Arial" w:hAnsi="Arial" w:cs="Arial"/>
          <w:b/>
          <w:sz w:val="24"/>
          <w:szCs w:val="24"/>
        </w:rPr>
      </w:pPr>
    </w:p>
    <w:p w14:paraId="208AAC59" w14:textId="77777777" w:rsidR="00803564" w:rsidRDefault="00803564" w:rsidP="00803564">
      <w:pPr>
        <w:tabs>
          <w:tab w:val="left" w:pos="900"/>
          <w:tab w:val="left" w:pos="1980"/>
          <w:tab w:val="left" w:pos="2880"/>
          <w:tab w:val="right" w:pos="8931"/>
        </w:tabs>
        <w:rPr>
          <w:rFonts w:ascii="Arial" w:eastAsia="Times New Roman" w:hAnsi="Arial" w:cs="Arial"/>
          <w:b/>
          <w:sz w:val="24"/>
          <w:szCs w:val="24"/>
          <w:lang w:val="en-ZA"/>
        </w:rPr>
      </w:pPr>
    </w:p>
    <w:p w14:paraId="14A2F30D" w14:textId="77777777" w:rsidR="00803564" w:rsidRDefault="00803564" w:rsidP="00803564">
      <w:pPr>
        <w:tabs>
          <w:tab w:val="left" w:pos="900"/>
          <w:tab w:val="left" w:pos="1980"/>
          <w:tab w:val="left" w:pos="2880"/>
          <w:tab w:val="right" w:pos="8931"/>
        </w:tabs>
        <w:rPr>
          <w:rFonts w:ascii="Arial" w:eastAsia="Times New Roman" w:hAnsi="Arial" w:cs="Arial"/>
          <w:b/>
          <w:sz w:val="24"/>
          <w:szCs w:val="24"/>
          <w:lang w:val="en-ZA"/>
        </w:rPr>
      </w:pPr>
    </w:p>
    <w:p w14:paraId="2AD2D52B" w14:textId="72755CF7" w:rsidR="00803564" w:rsidRDefault="00803564" w:rsidP="007E2823">
      <w:pPr>
        <w:tabs>
          <w:tab w:val="left" w:pos="900"/>
          <w:tab w:val="left" w:pos="1980"/>
          <w:tab w:val="left" w:pos="2880"/>
          <w:tab w:val="right" w:pos="8931"/>
        </w:tabs>
        <w:rPr>
          <w:rFonts w:ascii="Arial" w:eastAsia="Times New Roman" w:hAnsi="Arial" w:cs="Arial"/>
          <w:bCs/>
          <w:sz w:val="24"/>
          <w:szCs w:val="24"/>
          <w:lang w:val="en-ZA"/>
        </w:rPr>
      </w:pPr>
      <w:r w:rsidRPr="00737AE1">
        <w:rPr>
          <w:rFonts w:ascii="Arial" w:eastAsia="Times New Roman" w:hAnsi="Arial" w:cs="Arial"/>
          <w:b/>
          <w:sz w:val="24"/>
          <w:szCs w:val="24"/>
          <w:lang w:val="en-ZA"/>
        </w:rPr>
        <w:t>Delivered:</w:t>
      </w:r>
      <w:r>
        <w:rPr>
          <w:rFonts w:ascii="Arial" w:eastAsia="Times New Roman" w:hAnsi="Arial" w:cs="Arial"/>
          <w:b/>
          <w:sz w:val="24"/>
          <w:szCs w:val="24"/>
          <w:lang w:val="en-ZA"/>
        </w:rPr>
        <w:t xml:space="preserve"> </w:t>
      </w:r>
      <w:r>
        <w:rPr>
          <w:rFonts w:ascii="Arial" w:eastAsia="Times New Roman" w:hAnsi="Arial" w:cs="Arial"/>
          <w:bCs/>
          <w:sz w:val="24"/>
          <w:szCs w:val="24"/>
          <w:lang w:val="en-ZA"/>
        </w:rPr>
        <w:t>1</w:t>
      </w:r>
      <w:r w:rsidR="0069559A">
        <w:rPr>
          <w:rFonts w:ascii="Arial" w:eastAsia="Times New Roman" w:hAnsi="Arial" w:cs="Arial"/>
          <w:bCs/>
          <w:sz w:val="24"/>
          <w:szCs w:val="24"/>
          <w:lang w:val="en-ZA"/>
        </w:rPr>
        <w:t>6</w:t>
      </w:r>
      <w:r w:rsidRPr="007A51B1">
        <w:rPr>
          <w:rFonts w:ascii="Arial" w:eastAsia="Times New Roman" w:hAnsi="Arial" w:cs="Arial"/>
          <w:bCs/>
          <w:sz w:val="24"/>
          <w:szCs w:val="24"/>
          <w:lang w:val="en-ZA"/>
        </w:rPr>
        <w:t xml:space="preserve"> August 2023 – This judgment was handed down electronically by circulation to the parties' representatives by email, being uploaded to </w:t>
      </w:r>
      <w:r w:rsidRPr="007A51B1">
        <w:rPr>
          <w:rFonts w:ascii="Arial" w:eastAsia="Times New Roman" w:hAnsi="Arial" w:cs="Arial"/>
          <w:bCs/>
          <w:i/>
          <w:sz w:val="24"/>
          <w:szCs w:val="24"/>
          <w:lang w:val="en-ZA"/>
        </w:rPr>
        <w:t>CaseLines</w:t>
      </w:r>
      <w:r w:rsidRPr="007A51B1">
        <w:rPr>
          <w:rFonts w:ascii="Arial" w:eastAsia="Times New Roman" w:hAnsi="Arial" w:cs="Arial"/>
          <w:bCs/>
          <w:sz w:val="24"/>
          <w:szCs w:val="24"/>
          <w:lang w:val="en-ZA"/>
        </w:rPr>
        <w:t xml:space="preserve"> and by release to SAFLII. The date and time for hand-down is deemed to be 10:00 on 1</w:t>
      </w:r>
      <w:r w:rsidR="0069559A">
        <w:rPr>
          <w:rFonts w:ascii="Arial" w:eastAsia="Times New Roman" w:hAnsi="Arial" w:cs="Arial"/>
          <w:bCs/>
          <w:sz w:val="24"/>
          <w:szCs w:val="24"/>
          <w:lang w:val="en-ZA"/>
        </w:rPr>
        <w:t>6</w:t>
      </w:r>
      <w:r>
        <w:rPr>
          <w:rFonts w:ascii="Arial" w:eastAsia="Times New Roman" w:hAnsi="Arial" w:cs="Arial"/>
          <w:bCs/>
          <w:sz w:val="24"/>
          <w:szCs w:val="24"/>
          <w:lang w:val="en-ZA"/>
        </w:rPr>
        <w:t> </w:t>
      </w:r>
      <w:r w:rsidRPr="007A51B1">
        <w:rPr>
          <w:rFonts w:ascii="Arial" w:eastAsia="Times New Roman" w:hAnsi="Arial" w:cs="Arial"/>
          <w:bCs/>
          <w:sz w:val="24"/>
          <w:szCs w:val="24"/>
          <w:lang w:val="en-ZA"/>
        </w:rPr>
        <w:t>August 2023</w:t>
      </w:r>
      <w:r>
        <w:rPr>
          <w:rFonts w:ascii="Arial" w:eastAsia="Times New Roman" w:hAnsi="Arial" w:cs="Arial"/>
          <w:bCs/>
          <w:sz w:val="24"/>
          <w:szCs w:val="24"/>
          <w:lang w:val="en-ZA"/>
        </w:rPr>
        <w:t>.</w:t>
      </w:r>
    </w:p>
    <w:p w14:paraId="7548A20B" w14:textId="77777777" w:rsidR="00803564" w:rsidRDefault="00803564" w:rsidP="005F4D35">
      <w:pPr>
        <w:tabs>
          <w:tab w:val="left" w:pos="900"/>
          <w:tab w:val="left" w:pos="1980"/>
          <w:tab w:val="left" w:pos="2880"/>
          <w:tab w:val="right" w:pos="8931"/>
        </w:tabs>
        <w:rPr>
          <w:rFonts w:ascii="Arial" w:eastAsia="Times New Roman" w:hAnsi="Arial" w:cs="Arial"/>
          <w:bCs/>
          <w:sz w:val="24"/>
          <w:szCs w:val="24"/>
          <w:lang w:val="en-ZA"/>
        </w:rPr>
      </w:pPr>
    </w:p>
    <w:p w14:paraId="36929218" w14:textId="0075C438" w:rsidR="001727A0" w:rsidRDefault="00803564" w:rsidP="000A7118">
      <w:pPr>
        <w:pBdr>
          <w:bottom w:val="single" w:sz="12" w:space="1" w:color="auto"/>
        </w:pBdr>
        <w:rPr>
          <w:rFonts w:ascii="Arial" w:eastAsia="Times New Roman" w:hAnsi="Arial" w:cs="Arial"/>
          <w:bCs/>
          <w:sz w:val="24"/>
          <w:szCs w:val="24"/>
          <w:lang w:val="en-ZA"/>
        </w:rPr>
      </w:pPr>
      <w:r w:rsidRPr="005F4D35">
        <w:rPr>
          <w:rFonts w:ascii="Arial" w:eastAsia="Times New Roman" w:hAnsi="Arial" w:cs="Arial"/>
          <w:b/>
          <w:sz w:val="24"/>
          <w:szCs w:val="24"/>
          <w:lang w:val="en-ZA"/>
        </w:rPr>
        <w:t>Summary</w:t>
      </w:r>
      <w:r w:rsidRPr="005F4D35">
        <w:rPr>
          <w:rFonts w:ascii="Arial" w:eastAsia="Times New Roman" w:hAnsi="Arial" w:cs="Arial"/>
          <w:bCs/>
          <w:sz w:val="24"/>
          <w:szCs w:val="24"/>
          <w:lang w:val="en-ZA"/>
        </w:rPr>
        <w:t>:</w:t>
      </w:r>
    </w:p>
    <w:p w14:paraId="0FA10EEF" w14:textId="2997E364" w:rsidR="001727A0" w:rsidRPr="0025427E" w:rsidRDefault="005F4D35" w:rsidP="000A7118">
      <w:pPr>
        <w:pBdr>
          <w:bottom w:val="single" w:sz="12" w:space="1" w:color="auto"/>
        </w:pBdr>
        <w:rPr>
          <w:rFonts w:ascii="Arial" w:hAnsi="Arial" w:cs="Arial"/>
          <w:sz w:val="24"/>
          <w:szCs w:val="24"/>
        </w:rPr>
      </w:pPr>
      <w:r w:rsidRPr="00A650A1">
        <w:rPr>
          <w:rFonts w:ascii="Arial" w:eastAsia="Times New Roman" w:hAnsi="Arial" w:cs="Arial"/>
          <w:bCs/>
          <w:sz w:val="24"/>
          <w:szCs w:val="24"/>
          <w:lang w:val="en-ZA"/>
        </w:rPr>
        <w:t>Eviction</w:t>
      </w:r>
      <w:r w:rsidR="00803564" w:rsidRPr="005F4D35">
        <w:rPr>
          <w:rFonts w:ascii="Arial" w:eastAsia="Times New Roman" w:hAnsi="Arial" w:cs="Arial"/>
          <w:bCs/>
          <w:sz w:val="24"/>
          <w:szCs w:val="24"/>
          <w:lang w:val="en-ZA"/>
        </w:rPr>
        <w:t xml:space="preserve"> Application –</w:t>
      </w:r>
      <w:r w:rsidR="00803564" w:rsidRPr="0025427E">
        <w:rPr>
          <w:rFonts w:ascii="Arial" w:eastAsia="Times New Roman" w:hAnsi="Arial" w:cs="Arial"/>
          <w:bCs/>
          <w:sz w:val="24"/>
          <w:szCs w:val="24"/>
          <w:lang w:val="en-ZA"/>
        </w:rPr>
        <w:t xml:space="preserve"> </w:t>
      </w:r>
      <w:r w:rsidRPr="00A650A1">
        <w:rPr>
          <w:rFonts w:ascii="Arial" w:hAnsi="Arial" w:cs="Arial"/>
          <w:i/>
          <w:sz w:val="24"/>
          <w:szCs w:val="24"/>
        </w:rPr>
        <w:t xml:space="preserve">Rei </w:t>
      </w:r>
      <w:r>
        <w:rPr>
          <w:rFonts w:ascii="Arial" w:hAnsi="Arial" w:cs="Arial"/>
          <w:i/>
          <w:sz w:val="24"/>
          <w:szCs w:val="24"/>
        </w:rPr>
        <w:t>v</w:t>
      </w:r>
      <w:r w:rsidRPr="00A650A1">
        <w:rPr>
          <w:rFonts w:ascii="Arial" w:hAnsi="Arial" w:cs="Arial"/>
          <w:i/>
          <w:sz w:val="24"/>
          <w:szCs w:val="24"/>
        </w:rPr>
        <w:t>indicatio</w:t>
      </w:r>
      <w:r w:rsidR="00803564" w:rsidRPr="005F4D35">
        <w:rPr>
          <w:rFonts w:ascii="Arial" w:hAnsi="Arial" w:cs="Arial"/>
          <w:sz w:val="24"/>
          <w:szCs w:val="24"/>
        </w:rPr>
        <w:t xml:space="preserve"> </w:t>
      </w:r>
      <w:r>
        <w:rPr>
          <w:rFonts w:ascii="Arial" w:hAnsi="Arial" w:cs="Arial"/>
          <w:sz w:val="24"/>
          <w:szCs w:val="24"/>
        </w:rPr>
        <w:t xml:space="preserve">requirements </w:t>
      </w:r>
      <w:r w:rsidR="00803564" w:rsidRPr="005F4D35">
        <w:rPr>
          <w:rFonts w:ascii="Arial" w:hAnsi="Arial" w:cs="Arial"/>
          <w:sz w:val="24"/>
          <w:szCs w:val="24"/>
        </w:rPr>
        <w:t xml:space="preserve">– </w:t>
      </w:r>
      <w:r w:rsidR="001727A0">
        <w:rPr>
          <w:rFonts w:ascii="Arial" w:hAnsi="Arial" w:cs="Arial"/>
          <w:sz w:val="24"/>
          <w:szCs w:val="24"/>
        </w:rPr>
        <w:t>Applicant must show he/she is the owner of the property; and that the respondent is in possession of that property - Second respondent failed to discharge onus resting on him to prove lawful occupation of the property</w:t>
      </w:r>
      <w:r w:rsidR="00FF111A">
        <w:rPr>
          <w:rFonts w:ascii="Arial" w:hAnsi="Arial" w:cs="Arial"/>
          <w:sz w:val="24"/>
          <w:szCs w:val="24"/>
        </w:rPr>
        <w:t xml:space="preserve"> – Second respondent’s version of events was uncorroborated and the evidence submitted in support of his case was insufficient – No real, genuine or </w:t>
      </w:r>
      <w:r w:rsidR="00FF111A">
        <w:rPr>
          <w:rFonts w:ascii="Arial" w:hAnsi="Arial" w:cs="Arial"/>
          <w:i/>
          <w:sz w:val="24"/>
          <w:szCs w:val="24"/>
        </w:rPr>
        <w:lastRenderedPageBreak/>
        <w:t>bona</w:t>
      </w:r>
      <w:r w:rsidR="00FC5195">
        <w:rPr>
          <w:rFonts w:ascii="Arial" w:hAnsi="Arial" w:cs="Arial"/>
          <w:i/>
          <w:sz w:val="24"/>
          <w:szCs w:val="24"/>
        </w:rPr>
        <w:t> </w:t>
      </w:r>
      <w:r w:rsidR="00FF111A">
        <w:rPr>
          <w:rFonts w:ascii="Arial" w:hAnsi="Arial" w:cs="Arial"/>
          <w:i/>
          <w:sz w:val="24"/>
          <w:szCs w:val="24"/>
        </w:rPr>
        <w:t>fide</w:t>
      </w:r>
      <w:r w:rsidR="00FF111A">
        <w:rPr>
          <w:rFonts w:ascii="Arial" w:hAnsi="Arial" w:cs="Arial"/>
          <w:sz w:val="24"/>
          <w:szCs w:val="24"/>
        </w:rPr>
        <w:t xml:space="preserve"> dispute</w:t>
      </w:r>
      <w:r w:rsidR="00FC5195">
        <w:rPr>
          <w:rFonts w:ascii="Arial" w:hAnsi="Arial" w:cs="Arial"/>
          <w:sz w:val="24"/>
          <w:szCs w:val="24"/>
        </w:rPr>
        <w:t>s</w:t>
      </w:r>
      <w:r w:rsidR="00FF111A">
        <w:rPr>
          <w:rFonts w:ascii="Arial" w:hAnsi="Arial" w:cs="Arial"/>
          <w:sz w:val="24"/>
          <w:szCs w:val="24"/>
        </w:rPr>
        <w:t xml:space="preserve"> of fact w</w:t>
      </w:r>
      <w:r w:rsidR="00FC5195">
        <w:rPr>
          <w:rFonts w:ascii="Arial" w:hAnsi="Arial" w:cs="Arial"/>
          <w:sz w:val="24"/>
          <w:szCs w:val="24"/>
        </w:rPr>
        <w:t>ere</w:t>
      </w:r>
      <w:r w:rsidR="00FF111A">
        <w:rPr>
          <w:rFonts w:ascii="Arial" w:hAnsi="Arial" w:cs="Arial"/>
          <w:sz w:val="24"/>
          <w:szCs w:val="24"/>
        </w:rPr>
        <w:t xml:space="preserve"> raised </w:t>
      </w:r>
      <w:r w:rsidR="00FC5195">
        <w:rPr>
          <w:rFonts w:ascii="Arial" w:hAnsi="Arial" w:cs="Arial"/>
          <w:sz w:val="24"/>
          <w:szCs w:val="24"/>
        </w:rPr>
        <w:t xml:space="preserve">– Jurisdictional requirements of </w:t>
      </w:r>
      <w:r w:rsidR="00FC5195">
        <w:rPr>
          <w:rFonts w:ascii="Arial" w:hAnsi="Arial" w:cs="Arial"/>
          <w:i/>
          <w:sz w:val="24"/>
          <w:szCs w:val="24"/>
        </w:rPr>
        <w:t xml:space="preserve">rei vindicatio </w:t>
      </w:r>
      <w:r w:rsidR="00FC5195">
        <w:rPr>
          <w:rFonts w:ascii="Arial" w:hAnsi="Arial" w:cs="Arial"/>
          <w:sz w:val="24"/>
          <w:szCs w:val="24"/>
        </w:rPr>
        <w:t>were met – Eviction granted.</w:t>
      </w:r>
    </w:p>
    <w:p w14:paraId="26DB4F31" w14:textId="4679D581" w:rsidR="00FF111A" w:rsidRDefault="00FF111A" w:rsidP="000A7118">
      <w:pPr>
        <w:pBdr>
          <w:bottom w:val="single" w:sz="12" w:space="1" w:color="auto"/>
        </w:pBdr>
        <w:rPr>
          <w:rFonts w:ascii="Arial" w:hAnsi="Arial" w:cs="Arial"/>
          <w:sz w:val="24"/>
          <w:szCs w:val="24"/>
        </w:rPr>
      </w:pPr>
    </w:p>
    <w:p w14:paraId="4D4B56F5" w14:textId="77777777" w:rsidR="001727A0" w:rsidRDefault="001727A0" w:rsidP="000A7118">
      <w:pPr>
        <w:pBdr>
          <w:bottom w:val="single" w:sz="12" w:space="1" w:color="auto"/>
        </w:pBdr>
        <w:rPr>
          <w:rFonts w:ascii="Arial" w:hAnsi="Arial" w:cs="Arial"/>
          <w:sz w:val="24"/>
          <w:szCs w:val="24"/>
        </w:rPr>
      </w:pPr>
    </w:p>
    <w:p w14:paraId="4F3AE5D8" w14:textId="77777777" w:rsidR="004A5D69" w:rsidRPr="004A5D69" w:rsidRDefault="004A5D69" w:rsidP="004A5D69">
      <w:pPr>
        <w:ind w:left="1440" w:hanging="1440"/>
        <w:jc w:val="left"/>
        <w:rPr>
          <w:rFonts w:ascii="Arial" w:hAnsi="Arial" w:cs="Arial"/>
          <w:b/>
          <w:sz w:val="24"/>
          <w:szCs w:val="24"/>
        </w:rPr>
      </w:pPr>
    </w:p>
    <w:p w14:paraId="21906FE7" w14:textId="77777777" w:rsidR="004A5D69" w:rsidRPr="004A5D69" w:rsidRDefault="004A5D69" w:rsidP="004A5D69">
      <w:pPr>
        <w:pBdr>
          <w:bottom w:val="single" w:sz="12" w:space="1" w:color="auto"/>
        </w:pBdr>
        <w:spacing w:after="240" w:line="480" w:lineRule="auto"/>
        <w:jc w:val="center"/>
        <w:rPr>
          <w:rFonts w:ascii="Arial" w:hAnsi="Arial" w:cs="Arial"/>
          <w:b/>
          <w:sz w:val="24"/>
          <w:szCs w:val="24"/>
          <w:lang w:val="en-ZA"/>
        </w:rPr>
      </w:pPr>
      <w:r w:rsidRPr="004A5D69">
        <w:rPr>
          <w:rFonts w:ascii="Arial" w:hAnsi="Arial" w:cs="Arial"/>
          <w:b/>
          <w:sz w:val="24"/>
          <w:szCs w:val="24"/>
          <w:lang w:val="en-ZA"/>
        </w:rPr>
        <w:t>JUDGMENT</w:t>
      </w:r>
    </w:p>
    <w:p w14:paraId="3D21C1FE" w14:textId="77777777" w:rsidR="004A5D69" w:rsidRPr="004A5D69" w:rsidRDefault="004A5D69" w:rsidP="004A5D69">
      <w:pPr>
        <w:jc w:val="left"/>
        <w:rPr>
          <w:rFonts w:ascii="Arial" w:hAnsi="Arial" w:cs="Arial"/>
          <w:b/>
          <w:sz w:val="24"/>
          <w:szCs w:val="24"/>
        </w:rPr>
      </w:pPr>
      <w:r w:rsidRPr="00A650A1">
        <w:rPr>
          <w:rFonts w:ascii="Arial" w:hAnsi="Arial" w:cs="Arial"/>
          <w:b/>
          <w:sz w:val="24"/>
          <w:szCs w:val="24"/>
        </w:rPr>
        <w:t>PG LOUW, AJ</w:t>
      </w:r>
    </w:p>
    <w:p w14:paraId="3DC52398" w14:textId="4E95853F" w:rsidR="0002184C" w:rsidRPr="0002184C" w:rsidRDefault="0002184C" w:rsidP="00A650A1">
      <w:pPr>
        <w:spacing w:before="480" w:after="240" w:line="360" w:lineRule="auto"/>
        <w:rPr>
          <w:rFonts w:ascii="Arial" w:hAnsi="Arial" w:cs="Arial"/>
          <w:bCs/>
          <w:i/>
          <w:iCs/>
          <w:sz w:val="24"/>
          <w:szCs w:val="24"/>
        </w:rPr>
      </w:pPr>
      <w:r>
        <w:rPr>
          <w:rFonts w:ascii="Arial" w:hAnsi="Arial" w:cs="Arial"/>
          <w:bCs/>
          <w:i/>
          <w:iCs/>
          <w:sz w:val="24"/>
          <w:szCs w:val="24"/>
        </w:rPr>
        <w:t>Introduction</w:t>
      </w:r>
    </w:p>
    <w:p w14:paraId="327AD147" w14:textId="75961605" w:rsidR="002F249A" w:rsidRDefault="00170630" w:rsidP="00170630">
      <w:pPr>
        <w:tabs>
          <w:tab w:val="left" w:pos="692"/>
        </w:tabs>
        <w:spacing w:after="480" w:line="360" w:lineRule="auto"/>
        <w:ind w:left="692" w:hanging="692"/>
        <w:rPr>
          <w:rFonts w:ascii="Arial" w:hAnsi="Arial" w:cs="Arial"/>
          <w:sz w:val="24"/>
          <w:szCs w:val="24"/>
        </w:rPr>
      </w:pPr>
      <w:r>
        <w:rPr>
          <w:rFonts w:ascii="Arial" w:hAnsi="Arial" w:cs="Arial"/>
          <w:sz w:val="24"/>
          <w:szCs w:val="24"/>
        </w:rPr>
        <w:t>[1]</w:t>
      </w:r>
      <w:r>
        <w:rPr>
          <w:rFonts w:ascii="Arial" w:hAnsi="Arial" w:cs="Arial"/>
          <w:sz w:val="24"/>
          <w:szCs w:val="24"/>
        </w:rPr>
        <w:tab/>
      </w:r>
      <w:r w:rsidR="002F249A">
        <w:rPr>
          <w:rFonts w:ascii="Arial" w:hAnsi="Arial" w:cs="Arial"/>
          <w:sz w:val="24"/>
          <w:szCs w:val="24"/>
        </w:rPr>
        <w:t>The applicant (Marindafontein)</w:t>
      </w:r>
      <w:r w:rsidR="00A754D5">
        <w:rPr>
          <w:rFonts w:ascii="Arial" w:hAnsi="Arial" w:cs="Arial"/>
          <w:sz w:val="24"/>
          <w:szCs w:val="24"/>
        </w:rPr>
        <w:t xml:space="preserve"> </w:t>
      </w:r>
      <w:r w:rsidR="002F249A">
        <w:rPr>
          <w:rFonts w:ascii="Arial" w:hAnsi="Arial" w:cs="Arial"/>
          <w:sz w:val="24"/>
          <w:szCs w:val="24"/>
        </w:rPr>
        <w:t>seeks the eviction of the second respondent (</w:t>
      </w:r>
      <w:r w:rsidR="003A7B8E">
        <w:rPr>
          <w:rFonts w:ascii="Arial" w:hAnsi="Arial" w:cs="Arial"/>
          <w:sz w:val="24"/>
          <w:szCs w:val="24"/>
        </w:rPr>
        <w:t>Mr</w:t>
      </w:r>
      <w:r w:rsidR="00D83711">
        <w:rPr>
          <w:rFonts w:ascii="Arial" w:hAnsi="Arial" w:cs="Arial"/>
          <w:sz w:val="24"/>
          <w:szCs w:val="24"/>
        </w:rPr>
        <w:t> </w:t>
      </w:r>
      <w:r w:rsidR="00F54132">
        <w:rPr>
          <w:rFonts w:ascii="Arial" w:hAnsi="Arial" w:cs="Arial"/>
          <w:sz w:val="24"/>
          <w:szCs w:val="24"/>
        </w:rPr>
        <w:t>Ree</w:t>
      </w:r>
      <w:r w:rsidR="006A4EC2">
        <w:rPr>
          <w:rFonts w:ascii="Arial" w:hAnsi="Arial" w:cs="Arial"/>
          <w:sz w:val="24"/>
          <w:szCs w:val="24"/>
        </w:rPr>
        <w:t>s</w:t>
      </w:r>
      <w:r w:rsidR="002F249A">
        <w:rPr>
          <w:rFonts w:ascii="Arial" w:hAnsi="Arial" w:cs="Arial"/>
          <w:sz w:val="24"/>
          <w:szCs w:val="24"/>
        </w:rPr>
        <w:t xml:space="preserve">) from a certain </w:t>
      </w:r>
      <w:r w:rsidR="00B51915">
        <w:rPr>
          <w:rFonts w:ascii="Arial" w:hAnsi="Arial" w:cs="Arial"/>
          <w:sz w:val="24"/>
          <w:szCs w:val="24"/>
        </w:rPr>
        <w:t>hangar</w:t>
      </w:r>
      <w:r w:rsidR="002F249A">
        <w:rPr>
          <w:rFonts w:ascii="Arial" w:hAnsi="Arial" w:cs="Arial"/>
          <w:sz w:val="24"/>
          <w:szCs w:val="24"/>
        </w:rPr>
        <w:t xml:space="preserve">, </w:t>
      </w:r>
      <w:r w:rsidR="00B51915">
        <w:rPr>
          <w:rFonts w:ascii="Arial" w:hAnsi="Arial" w:cs="Arial"/>
          <w:sz w:val="24"/>
          <w:szCs w:val="24"/>
        </w:rPr>
        <w:t>Hangar</w:t>
      </w:r>
      <w:r w:rsidR="002F249A">
        <w:rPr>
          <w:rFonts w:ascii="Arial" w:hAnsi="Arial" w:cs="Arial"/>
          <w:sz w:val="24"/>
          <w:szCs w:val="24"/>
        </w:rPr>
        <w:t xml:space="preserve"> H</w:t>
      </w:r>
      <w:r w:rsidR="00B67AB1">
        <w:rPr>
          <w:rFonts w:ascii="Arial" w:hAnsi="Arial" w:cs="Arial"/>
          <w:sz w:val="24"/>
          <w:szCs w:val="24"/>
        </w:rPr>
        <w:t xml:space="preserve"> </w:t>
      </w:r>
      <w:r w:rsidR="002F249A">
        <w:rPr>
          <w:rFonts w:ascii="Arial" w:hAnsi="Arial" w:cs="Arial"/>
          <w:sz w:val="24"/>
          <w:szCs w:val="24"/>
        </w:rPr>
        <w:t xml:space="preserve">19/3 (the </w:t>
      </w:r>
      <w:r w:rsidR="00B51915">
        <w:rPr>
          <w:rFonts w:ascii="Arial" w:hAnsi="Arial" w:cs="Arial"/>
          <w:sz w:val="24"/>
          <w:szCs w:val="24"/>
        </w:rPr>
        <w:t>hangar</w:t>
      </w:r>
      <w:r w:rsidR="002F249A">
        <w:rPr>
          <w:rFonts w:ascii="Arial" w:hAnsi="Arial" w:cs="Arial"/>
          <w:sz w:val="24"/>
          <w:szCs w:val="24"/>
        </w:rPr>
        <w:t>)</w:t>
      </w:r>
      <w:r w:rsidR="00611034">
        <w:rPr>
          <w:rFonts w:ascii="Arial" w:hAnsi="Arial" w:cs="Arial"/>
          <w:sz w:val="24"/>
          <w:szCs w:val="24"/>
        </w:rPr>
        <w:t>,</w:t>
      </w:r>
      <w:r w:rsidR="002F249A">
        <w:rPr>
          <w:rFonts w:ascii="Arial" w:hAnsi="Arial" w:cs="Arial"/>
          <w:sz w:val="24"/>
          <w:szCs w:val="24"/>
        </w:rPr>
        <w:t xml:space="preserve"> situated on the Petit Airfield.</w:t>
      </w:r>
    </w:p>
    <w:p w14:paraId="556BA7D7" w14:textId="7B1A0E0C" w:rsidR="002F249A" w:rsidRPr="002F249A" w:rsidRDefault="002F249A" w:rsidP="00A650A1">
      <w:pPr>
        <w:spacing w:after="240" w:line="360" w:lineRule="auto"/>
        <w:rPr>
          <w:rFonts w:ascii="Arial" w:hAnsi="Arial" w:cs="Arial"/>
          <w:i/>
          <w:iCs/>
          <w:sz w:val="24"/>
          <w:szCs w:val="24"/>
        </w:rPr>
      </w:pPr>
      <w:r w:rsidRPr="002F249A">
        <w:rPr>
          <w:rFonts w:ascii="Arial" w:hAnsi="Arial" w:cs="Arial"/>
          <w:i/>
          <w:iCs/>
          <w:sz w:val="24"/>
          <w:szCs w:val="24"/>
        </w:rPr>
        <w:t xml:space="preserve">The </w:t>
      </w:r>
      <w:r w:rsidR="00CC2F6A">
        <w:rPr>
          <w:rFonts w:ascii="Arial" w:hAnsi="Arial" w:cs="Arial"/>
          <w:i/>
          <w:iCs/>
          <w:sz w:val="24"/>
          <w:szCs w:val="24"/>
        </w:rPr>
        <w:t>facts</w:t>
      </w:r>
    </w:p>
    <w:p w14:paraId="4FA81FCD" w14:textId="5E296860" w:rsidR="002F249A" w:rsidRDefault="00170630" w:rsidP="00170630">
      <w:pPr>
        <w:tabs>
          <w:tab w:val="left" w:pos="692"/>
        </w:tabs>
        <w:spacing w:after="480" w:line="360" w:lineRule="auto"/>
        <w:ind w:left="692" w:hanging="692"/>
        <w:rPr>
          <w:rFonts w:ascii="Arial" w:hAnsi="Arial" w:cs="Arial"/>
          <w:sz w:val="24"/>
          <w:szCs w:val="24"/>
        </w:rPr>
      </w:pPr>
      <w:r>
        <w:rPr>
          <w:rFonts w:ascii="Arial" w:hAnsi="Arial" w:cs="Arial"/>
          <w:sz w:val="24"/>
          <w:szCs w:val="24"/>
        </w:rPr>
        <w:t>[2]</w:t>
      </w:r>
      <w:r>
        <w:rPr>
          <w:rFonts w:ascii="Arial" w:hAnsi="Arial" w:cs="Arial"/>
          <w:sz w:val="24"/>
          <w:szCs w:val="24"/>
        </w:rPr>
        <w:tab/>
      </w:r>
      <w:r w:rsidR="002F249A" w:rsidRPr="002F249A">
        <w:rPr>
          <w:rFonts w:ascii="Arial" w:hAnsi="Arial" w:cs="Arial"/>
          <w:sz w:val="24"/>
          <w:szCs w:val="24"/>
        </w:rPr>
        <w:t xml:space="preserve">Marindafontein is the owner </w:t>
      </w:r>
      <w:r w:rsidR="00611034">
        <w:rPr>
          <w:rFonts w:ascii="Arial" w:hAnsi="Arial" w:cs="Arial"/>
          <w:sz w:val="24"/>
          <w:szCs w:val="24"/>
        </w:rPr>
        <w:t>of the immovable property on which the Petit</w:t>
      </w:r>
      <w:r w:rsidR="00D6450F">
        <w:rPr>
          <w:rFonts w:ascii="Arial" w:hAnsi="Arial" w:cs="Arial"/>
          <w:sz w:val="24"/>
          <w:szCs w:val="24"/>
        </w:rPr>
        <w:t> </w:t>
      </w:r>
      <w:r w:rsidR="00611034">
        <w:rPr>
          <w:rFonts w:ascii="Arial" w:hAnsi="Arial" w:cs="Arial"/>
          <w:sz w:val="24"/>
          <w:szCs w:val="24"/>
        </w:rPr>
        <w:t>Airfield is located.</w:t>
      </w:r>
    </w:p>
    <w:p w14:paraId="686BF144" w14:textId="467DAB82" w:rsidR="003A7B8E" w:rsidRPr="00611034" w:rsidRDefault="00170630" w:rsidP="00170630">
      <w:pPr>
        <w:tabs>
          <w:tab w:val="left" w:pos="692"/>
        </w:tabs>
        <w:spacing w:before="480" w:after="480" w:line="360" w:lineRule="auto"/>
        <w:ind w:left="692" w:hanging="692"/>
        <w:rPr>
          <w:rFonts w:ascii="Arial" w:hAnsi="Arial" w:cs="Arial"/>
          <w:sz w:val="24"/>
          <w:szCs w:val="24"/>
        </w:rPr>
      </w:pPr>
      <w:r w:rsidRPr="00611034">
        <w:rPr>
          <w:rFonts w:ascii="Arial" w:hAnsi="Arial" w:cs="Arial"/>
          <w:sz w:val="24"/>
          <w:szCs w:val="24"/>
        </w:rPr>
        <w:t>[3]</w:t>
      </w:r>
      <w:r w:rsidRPr="00611034">
        <w:rPr>
          <w:rFonts w:ascii="Arial" w:hAnsi="Arial" w:cs="Arial"/>
          <w:sz w:val="24"/>
          <w:szCs w:val="24"/>
        </w:rPr>
        <w:tab/>
      </w:r>
      <w:r w:rsidR="003A7B8E" w:rsidRPr="00611034">
        <w:rPr>
          <w:rFonts w:ascii="Arial" w:hAnsi="Arial" w:cs="Arial"/>
          <w:sz w:val="24"/>
          <w:szCs w:val="24"/>
        </w:rPr>
        <w:t xml:space="preserve">Mr </w:t>
      </w:r>
      <w:r w:rsidR="00F54132">
        <w:rPr>
          <w:rFonts w:ascii="Arial" w:hAnsi="Arial" w:cs="Arial"/>
          <w:sz w:val="24"/>
          <w:szCs w:val="24"/>
        </w:rPr>
        <w:t>Rees</w:t>
      </w:r>
      <w:r w:rsidR="002F249A" w:rsidRPr="00611034">
        <w:rPr>
          <w:rFonts w:ascii="Arial" w:hAnsi="Arial" w:cs="Arial"/>
          <w:sz w:val="24"/>
          <w:szCs w:val="24"/>
        </w:rPr>
        <w:t xml:space="preserve"> is in occupation of the </w:t>
      </w:r>
      <w:r w:rsidR="00B51915">
        <w:rPr>
          <w:rFonts w:ascii="Arial" w:hAnsi="Arial" w:cs="Arial"/>
          <w:sz w:val="24"/>
          <w:szCs w:val="24"/>
        </w:rPr>
        <w:t>hangar</w:t>
      </w:r>
      <w:r w:rsidR="002F249A" w:rsidRPr="00611034">
        <w:rPr>
          <w:rFonts w:ascii="Arial" w:hAnsi="Arial" w:cs="Arial"/>
          <w:sz w:val="24"/>
          <w:szCs w:val="24"/>
        </w:rPr>
        <w:t xml:space="preserve">. </w:t>
      </w:r>
      <w:r w:rsidR="00D6450F">
        <w:rPr>
          <w:rFonts w:ascii="Arial" w:hAnsi="Arial" w:cs="Arial"/>
          <w:sz w:val="24"/>
          <w:szCs w:val="24"/>
        </w:rPr>
        <w:t xml:space="preserve"> </w:t>
      </w:r>
      <w:r w:rsidR="002F249A" w:rsidRPr="00611034">
        <w:rPr>
          <w:rFonts w:ascii="Arial" w:hAnsi="Arial" w:cs="Arial"/>
          <w:sz w:val="24"/>
          <w:szCs w:val="24"/>
        </w:rPr>
        <w:t>The first respondent (</w:t>
      </w:r>
      <w:r w:rsidR="003A7B8E" w:rsidRPr="00611034">
        <w:rPr>
          <w:rFonts w:ascii="Arial" w:hAnsi="Arial" w:cs="Arial"/>
          <w:sz w:val="24"/>
          <w:szCs w:val="24"/>
        </w:rPr>
        <w:t xml:space="preserve">Mr </w:t>
      </w:r>
      <w:r w:rsidR="002F249A" w:rsidRPr="00611034">
        <w:rPr>
          <w:rFonts w:ascii="Arial" w:hAnsi="Arial" w:cs="Arial"/>
          <w:sz w:val="24"/>
          <w:szCs w:val="24"/>
        </w:rPr>
        <w:t xml:space="preserve">Stopforth) </w:t>
      </w:r>
      <w:r w:rsidR="003A7B8E" w:rsidRPr="00611034">
        <w:rPr>
          <w:rFonts w:ascii="Arial" w:hAnsi="Arial" w:cs="Arial"/>
          <w:sz w:val="24"/>
          <w:szCs w:val="24"/>
        </w:rPr>
        <w:t xml:space="preserve">is no longer in occupation of the </w:t>
      </w:r>
      <w:r w:rsidR="00B51915">
        <w:rPr>
          <w:rFonts w:ascii="Arial" w:hAnsi="Arial" w:cs="Arial"/>
          <w:sz w:val="24"/>
          <w:szCs w:val="24"/>
        </w:rPr>
        <w:t>hangar</w:t>
      </w:r>
      <w:r w:rsidR="003A7B8E" w:rsidRPr="00611034">
        <w:rPr>
          <w:rFonts w:ascii="Arial" w:hAnsi="Arial" w:cs="Arial"/>
          <w:sz w:val="24"/>
          <w:szCs w:val="24"/>
        </w:rPr>
        <w:t>.</w:t>
      </w:r>
      <w:r w:rsidR="00D6450F">
        <w:rPr>
          <w:rFonts w:ascii="Arial" w:hAnsi="Arial" w:cs="Arial"/>
          <w:sz w:val="24"/>
          <w:szCs w:val="24"/>
        </w:rPr>
        <w:t xml:space="preserve"> </w:t>
      </w:r>
      <w:r w:rsidR="003A7B8E" w:rsidRPr="00611034">
        <w:rPr>
          <w:rFonts w:ascii="Arial" w:hAnsi="Arial" w:cs="Arial"/>
          <w:sz w:val="24"/>
          <w:szCs w:val="24"/>
        </w:rPr>
        <w:t xml:space="preserve"> No relief is sought against Mr Stopforth.</w:t>
      </w:r>
    </w:p>
    <w:p w14:paraId="12492709" w14:textId="3B910BC7" w:rsidR="002F249A"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w:t>
      </w:r>
      <w:bookmarkStart w:id="0" w:name="_GoBack"/>
      <w:bookmarkEnd w:id="0"/>
      <w:r>
        <w:rPr>
          <w:rFonts w:ascii="Arial" w:hAnsi="Arial" w:cs="Arial"/>
          <w:sz w:val="24"/>
          <w:szCs w:val="24"/>
        </w:rPr>
        <w:t>4]</w:t>
      </w:r>
      <w:r>
        <w:rPr>
          <w:rFonts w:ascii="Arial" w:hAnsi="Arial" w:cs="Arial"/>
          <w:sz w:val="24"/>
          <w:szCs w:val="24"/>
        </w:rPr>
        <w:tab/>
      </w:r>
      <w:r w:rsidR="003A7B8E">
        <w:rPr>
          <w:rFonts w:ascii="Arial" w:hAnsi="Arial" w:cs="Arial"/>
          <w:sz w:val="24"/>
          <w:szCs w:val="24"/>
        </w:rPr>
        <w:t xml:space="preserve">The deponent to </w:t>
      </w:r>
      <w:r w:rsidR="00611034">
        <w:rPr>
          <w:rFonts w:ascii="Arial" w:hAnsi="Arial" w:cs="Arial"/>
          <w:sz w:val="24"/>
          <w:szCs w:val="24"/>
        </w:rPr>
        <w:t xml:space="preserve">Marindafontein’s </w:t>
      </w:r>
      <w:r w:rsidR="003A7B8E">
        <w:rPr>
          <w:rFonts w:ascii="Arial" w:hAnsi="Arial" w:cs="Arial"/>
          <w:sz w:val="24"/>
          <w:szCs w:val="24"/>
        </w:rPr>
        <w:t>founding affidavit (Mr Coetzee) is the sole director of Marindafontein.</w:t>
      </w:r>
      <w:r w:rsidR="003A7B8E">
        <w:rPr>
          <w:rStyle w:val="FootnoteReference"/>
          <w:rFonts w:ascii="Arial" w:hAnsi="Arial" w:cs="Arial"/>
          <w:sz w:val="24"/>
          <w:szCs w:val="24"/>
        </w:rPr>
        <w:footnoteReference w:id="1"/>
      </w:r>
    </w:p>
    <w:p w14:paraId="005FD0A3" w14:textId="1A3D451C" w:rsidR="003A7B8E"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[5]</w:t>
      </w:r>
      <w:r>
        <w:rPr>
          <w:rFonts w:ascii="Arial" w:hAnsi="Arial" w:cs="Arial"/>
          <w:sz w:val="24"/>
          <w:szCs w:val="24"/>
        </w:rPr>
        <w:tab/>
      </w:r>
      <w:r w:rsidR="003A7B8E">
        <w:rPr>
          <w:rFonts w:ascii="Arial" w:hAnsi="Arial" w:cs="Arial"/>
          <w:sz w:val="24"/>
          <w:szCs w:val="24"/>
        </w:rPr>
        <w:t xml:space="preserve">According to Mr Coetzee, he is also the sole director of Kitplanes For Africa (Pty) Ltd (Kitplanes) which owns 997 of the 1000 issued shares in Marindafontein. </w:t>
      </w:r>
      <w:r w:rsidR="001B32B1">
        <w:rPr>
          <w:rFonts w:ascii="Arial" w:hAnsi="Arial" w:cs="Arial"/>
          <w:sz w:val="24"/>
          <w:szCs w:val="24"/>
        </w:rPr>
        <w:t xml:space="preserve"> </w:t>
      </w:r>
      <w:r w:rsidR="003A7B8E">
        <w:rPr>
          <w:rFonts w:ascii="Arial" w:hAnsi="Arial" w:cs="Arial"/>
          <w:sz w:val="24"/>
          <w:szCs w:val="24"/>
        </w:rPr>
        <w:t>He purchased the shares in June 202</w:t>
      </w:r>
      <w:r w:rsidR="0069559A">
        <w:rPr>
          <w:rFonts w:ascii="Arial" w:hAnsi="Arial" w:cs="Arial"/>
          <w:sz w:val="24"/>
          <w:szCs w:val="24"/>
        </w:rPr>
        <w:t>2</w:t>
      </w:r>
      <w:r w:rsidR="003A7B8E">
        <w:rPr>
          <w:rFonts w:ascii="Arial" w:hAnsi="Arial" w:cs="Arial"/>
          <w:sz w:val="24"/>
          <w:szCs w:val="24"/>
        </w:rPr>
        <w:t xml:space="preserve"> </w:t>
      </w:r>
      <w:r w:rsidR="00513CDF">
        <w:rPr>
          <w:rFonts w:ascii="Arial" w:hAnsi="Arial" w:cs="Arial"/>
          <w:sz w:val="24"/>
          <w:szCs w:val="24"/>
        </w:rPr>
        <w:t>from</w:t>
      </w:r>
      <w:r w:rsidR="00611034">
        <w:rPr>
          <w:rFonts w:ascii="Arial" w:hAnsi="Arial" w:cs="Arial"/>
          <w:sz w:val="24"/>
          <w:szCs w:val="24"/>
        </w:rPr>
        <w:t xml:space="preserve"> </w:t>
      </w:r>
      <w:r w:rsidR="00513CDF">
        <w:rPr>
          <w:rFonts w:ascii="Arial" w:hAnsi="Arial" w:cs="Arial"/>
          <w:sz w:val="24"/>
          <w:szCs w:val="24"/>
        </w:rPr>
        <w:t>Hugo Visser</w:t>
      </w:r>
      <w:r w:rsidR="00611034">
        <w:rPr>
          <w:rFonts w:ascii="Arial" w:hAnsi="Arial" w:cs="Arial"/>
          <w:sz w:val="24"/>
          <w:szCs w:val="24"/>
        </w:rPr>
        <w:t xml:space="preserve"> (Mr</w:t>
      </w:r>
      <w:r w:rsidR="001B32B1">
        <w:rPr>
          <w:rFonts w:ascii="Arial" w:hAnsi="Arial" w:cs="Arial"/>
          <w:sz w:val="24"/>
          <w:szCs w:val="24"/>
        </w:rPr>
        <w:t> </w:t>
      </w:r>
      <w:r w:rsidR="00611034">
        <w:rPr>
          <w:rFonts w:ascii="Arial" w:hAnsi="Arial" w:cs="Arial"/>
          <w:sz w:val="24"/>
          <w:szCs w:val="24"/>
        </w:rPr>
        <w:t>Visser)</w:t>
      </w:r>
      <w:r w:rsidR="00513CDF">
        <w:rPr>
          <w:rFonts w:ascii="Arial" w:hAnsi="Arial" w:cs="Arial"/>
          <w:sz w:val="24"/>
          <w:szCs w:val="24"/>
        </w:rPr>
        <w:t>.</w:t>
      </w:r>
    </w:p>
    <w:p w14:paraId="567DEB00" w14:textId="0DC35915" w:rsidR="00513CDF"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[6]</w:t>
      </w:r>
      <w:r>
        <w:rPr>
          <w:rFonts w:ascii="Arial" w:hAnsi="Arial" w:cs="Arial"/>
          <w:sz w:val="24"/>
          <w:szCs w:val="24"/>
        </w:rPr>
        <w:tab/>
      </w:r>
      <w:r w:rsidR="00513CDF">
        <w:rPr>
          <w:rFonts w:ascii="Arial" w:hAnsi="Arial" w:cs="Arial"/>
          <w:sz w:val="24"/>
          <w:szCs w:val="24"/>
        </w:rPr>
        <w:t xml:space="preserve">Mr </w:t>
      </w:r>
      <w:r w:rsidR="00F54132">
        <w:rPr>
          <w:rFonts w:ascii="Arial" w:hAnsi="Arial" w:cs="Arial"/>
          <w:sz w:val="24"/>
          <w:szCs w:val="24"/>
        </w:rPr>
        <w:t>Rees</w:t>
      </w:r>
      <w:r w:rsidR="00513CDF">
        <w:rPr>
          <w:rFonts w:ascii="Arial" w:hAnsi="Arial" w:cs="Arial"/>
          <w:sz w:val="24"/>
          <w:szCs w:val="24"/>
        </w:rPr>
        <w:t xml:space="preserve"> is one of nineteen plaintiffs </w:t>
      </w:r>
      <w:r w:rsidR="00AF30AF">
        <w:rPr>
          <w:rFonts w:ascii="Arial" w:hAnsi="Arial" w:cs="Arial"/>
          <w:sz w:val="24"/>
          <w:szCs w:val="24"/>
        </w:rPr>
        <w:t xml:space="preserve">who </w:t>
      </w:r>
      <w:r w:rsidR="00513CDF">
        <w:rPr>
          <w:rFonts w:ascii="Arial" w:hAnsi="Arial" w:cs="Arial"/>
          <w:sz w:val="24"/>
          <w:szCs w:val="24"/>
        </w:rPr>
        <w:t xml:space="preserve">have instituted an action out of this court under case number 22/27374 against Marindafontein, </w:t>
      </w:r>
      <w:r w:rsidR="00611034">
        <w:rPr>
          <w:rFonts w:ascii="Arial" w:hAnsi="Arial" w:cs="Arial"/>
          <w:sz w:val="24"/>
          <w:szCs w:val="24"/>
        </w:rPr>
        <w:t xml:space="preserve">Mr </w:t>
      </w:r>
      <w:r w:rsidR="00513CDF">
        <w:rPr>
          <w:rFonts w:ascii="Arial" w:hAnsi="Arial" w:cs="Arial"/>
          <w:sz w:val="24"/>
          <w:szCs w:val="24"/>
        </w:rPr>
        <w:t>Visser, Elizabeth Maryna Visser</w:t>
      </w:r>
      <w:r w:rsidR="00611034">
        <w:rPr>
          <w:rFonts w:ascii="Arial" w:hAnsi="Arial" w:cs="Arial"/>
          <w:sz w:val="24"/>
          <w:szCs w:val="24"/>
        </w:rPr>
        <w:t xml:space="preserve"> (Mrs Visser)</w:t>
      </w:r>
      <w:r w:rsidR="00513CDF">
        <w:rPr>
          <w:rFonts w:ascii="Arial" w:hAnsi="Arial" w:cs="Arial"/>
          <w:sz w:val="24"/>
          <w:szCs w:val="24"/>
        </w:rPr>
        <w:t xml:space="preserve"> </w:t>
      </w:r>
      <w:r w:rsidR="00611034">
        <w:rPr>
          <w:rFonts w:ascii="Arial" w:hAnsi="Arial" w:cs="Arial"/>
          <w:sz w:val="24"/>
          <w:szCs w:val="24"/>
        </w:rPr>
        <w:t xml:space="preserve">(jointly referred to as “the Vissers”) </w:t>
      </w:r>
      <w:r w:rsidR="00513CDF">
        <w:rPr>
          <w:rFonts w:ascii="Arial" w:hAnsi="Arial" w:cs="Arial"/>
          <w:sz w:val="24"/>
          <w:szCs w:val="24"/>
        </w:rPr>
        <w:t xml:space="preserve">and </w:t>
      </w:r>
      <w:r w:rsidR="00513CDF">
        <w:rPr>
          <w:rFonts w:ascii="Arial" w:hAnsi="Arial" w:cs="Arial"/>
          <w:sz w:val="24"/>
          <w:szCs w:val="24"/>
        </w:rPr>
        <w:lastRenderedPageBreak/>
        <w:t xml:space="preserve">Mr Coetzee (the action proceedings). </w:t>
      </w:r>
      <w:r w:rsidR="00376821">
        <w:rPr>
          <w:rFonts w:ascii="Arial" w:hAnsi="Arial" w:cs="Arial"/>
          <w:sz w:val="24"/>
          <w:szCs w:val="24"/>
        </w:rPr>
        <w:t xml:space="preserve"> </w:t>
      </w:r>
      <w:r w:rsidR="00513CDF">
        <w:rPr>
          <w:rFonts w:ascii="Arial" w:hAnsi="Arial" w:cs="Arial"/>
          <w:sz w:val="24"/>
          <w:szCs w:val="24"/>
        </w:rPr>
        <w:t>In the action proceedings, the plaintiffs essentially claim that the sale of shares agreement between the Vissers and Mr</w:t>
      </w:r>
      <w:r w:rsidR="00376821">
        <w:rPr>
          <w:rFonts w:ascii="Arial" w:hAnsi="Arial" w:cs="Arial"/>
          <w:sz w:val="24"/>
          <w:szCs w:val="24"/>
        </w:rPr>
        <w:t> </w:t>
      </w:r>
      <w:r w:rsidR="00513CDF">
        <w:rPr>
          <w:rFonts w:ascii="Arial" w:hAnsi="Arial" w:cs="Arial"/>
          <w:sz w:val="24"/>
          <w:szCs w:val="24"/>
        </w:rPr>
        <w:t xml:space="preserve">Coetzee </w:t>
      </w:r>
      <w:r w:rsidR="00611034">
        <w:rPr>
          <w:rFonts w:ascii="Arial" w:hAnsi="Arial" w:cs="Arial"/>
          <w:sz w:val="24"/>
          <w:szCs w:val="24"/>
        </w:rPr>
        <w:t xml:space="preserve">be </w:t>
      </w:r>
      <w:r w:rsidR="00376821">
        <w:rPr>
          <w:rFonts w:ascii="Arial" w:hAnsi="Arial" w:cs="Arial"/>
          <w:sz w:val="24"/>
          <w:szCs w:val="24"/>
        </w:rPr>
        <w:t xml:space="preserve">set </w:t>
      </w:r>
      <w:r w:rsidR="00513CDF">
        <w:rPr>
          <w:rFonts w:ascii="Arial" w:hAnsi="Arial" w:cs="Arial"/>
          <w:sz w:val="24"/>
          <w:szCs w:val="24"/>
        </w:rPr>
        <w:t xml:space="preserve">aside and declared void </w:t>
      </w:r>
      <w:r w:rsidR="00513CDF">
        <w:rPr>
          <w:rFonts w:ascii="Arial" w:hAnsi="Arial" w:cs="Arial"/>
          <w:i/>
          <w:iCs/>
          <w:sz w:val="24"/>
          <w:szCs w:val="24"/>
        </w:rPr>
        <w:t>ab initio</w:t>
      </w:r>
      <w:r w:rsidR="00513CDF">
        <w:rPr>
          <w:rFonts w:ascii="Arial" w:hAnsi="Arial" w:cs="Arial"/>
          <w:sz w:val="24"/>
          <w:szCs w:val="24"/>
        </w:rPr>
        <w:t>, together with ancillary relief.</w:t>
      </w:r>
    </w:p>
    <w:p w14:paraId="12D652E1" w14:textId="1822ED57" w:rsidR="00513CDF" w:rsidRPr="00513CDF" w:rsidRDefault="00513CDF" w:rsidP="00A650A1">
      <w:pPr>
        <w:spacing w:before="480" w:line="360" w:lineRule="auto"/>
        <w:rPr>
          <w:rFonts w:ascii="Arial" w:hAnsi="Arial" w:cs="Arial"/>
          <w:i/>
          <w:iCs/>
          <w:sz w:val="24"/>
          <w:szCs w:val="24"/>
        </w:rPr>
      </w:pPr>
      <w:r>
        <w:rPr>
          <w:rFonts w:ascii="Arial" w:hAnsi="Arial" w:cs="Arial"/>
          <w:i/>
          <w:iCs/>
          <w:sz w:val="24"/>
          <w:szCs w:val="24"/>
        </w:rPr>
        <w:t>Issues to be determined</w:t>
      </w:r>
    </w:p>
    <w:p w14:paraId="4F8DFF1D" w14:textId="1443F2B9" w:rsidR="00513CDF"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[7]</w:t>
      </w:r>
      <w:r>
        <w:rPr>
          <w:rFonts w:ascii="Arial" w:hAnsi="Arial" w:cs="Arial"/>
          <w:sz w:val="24"/>
          <w:szCs w:val="24"/>
        </w:rPr>
        <w:tab/>
      </w:r>
      <w:r w:rsidR="00F1793C">
        <w:rPr>
          <w:rFonts w:ascii="Arial" w:hAnsi="Arial" w:cs="Arial"/>
          <w:sz w:val="24"/>
          <w:szCs w:val="24"/>
        </w:rPr>
        <w:t xml:space="preserve">Mr </w:t>
      </w:r>
      <w:r w:rsidR="00F54132">
        <w:rPr>
          <w:rFonts w:ascii="Arial" w:hAnsi="Arial" w:cs="Arial"/>
          <w:sz w:val="24"/>
          <w:szCs w:val="24"/>
        </w:rPr>
        <w:t>Rees</w:t>
      </w:r>
      <w:r w:rsidR="00F1793C">
        <w:rPr>
          <w:rFonts w:ascii="Arial" w:hAnsi="Arial" w:cs="Arial"/>
          <w:sz w:val="24"/>
          <w:szCs w:val="24"/>
        </w:rPr>
        <w:t xml:space="preserve"> initially contended that there has been a misjoinder in respect of Mr</w:t>
      </w:r>
      <w:r w:rsidR="004A0EB9">
        <w:rPr>
          <w:rFonts w:ascii="Arial" w:hAnsi="Arial" w:cs="Arial"/>
          <w:sz w:val="24"/>
          <w:szCs w:val="24"/>
        </w:rPr>
        <w:t> </w:t>
      </w:r>
      <w:r w:rsidR="00F1793C">
        <w:rPr>
          <w:rFonts w:ascii="Arial" w:hAnsi="Arial" w:cs="Arial"/>
          <w:sz w:val="24"/>
          <w:szCs w:val="24"/>
        </w:rPr>
        <w:t>Stopforth because the application was not served on Mr Stopforth. Mr</w:t>
      </w:r>
      <w:r w:rsidR="004A0EB9">
        <w:rPr>
          <w:rFonts w:ascii="Arial" w:hAnsi="Arial" w:cs="Arial"/>
          <w:sz w:val="24"/>
          <w:szCs w:val="24"/>
        </w:rPr>
        <w:t> </w:t>
      </w:r>
      <w:r w:rsidR="00F1793C">
        <w:rPr>
          <w:rFonts w:ascii="Arial" w:hAnsi="Arial" w:cs="Arial"/>
          <w:sz w:val="24"/>
          <w:szCs w:val="24"/>
        </w:rPr>
        <w:t xml:space="preserve">Stopforth has subsequently been served with the application and Mr </w:t>
      </w:r>
      <w:r w:rsidR="00F54132">
        <w:rPr>
          <w:rFonts w:ascii="Arial" w:hAnsi="Arial" w:cs="Arial"/>
          <w:sz w:val="24"/>
          <w:szCs w:val="24"/>
        </w:rPr>
        <w:t>Rees</w:t>
      </w:r>
      <w:r w:rsidR="00F1793C">
        <w:rPr>
          <w:rFonts w:ascii="Arial" w:hAnsi="Arial" w:cs="Arial"/>
          <w:sz w:val="24"/>
          <w:szCs w:val="24"/>
        </w:rPr>
        <w:t xml:space="preserve"> no longer persists with the misjoinder issue.</w:t>
      </w:r>
    </w:p>
    <w:p w14:paraId="4B7421BC" w14:textId="76AADF43" w:rsidR="00F1793C"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[8]</w:t>
      </w:r>
      <w:r>
        <w:rPr>
          <w:rFonts w:ascii="Arial" w:hAnsi="Arial" w:cs="Arial"/>
          <w:sz w:val="24"/>
          <w:szCs w:val="24"/>
        </w:rPr>
        <w:tab/>
      </w:r>
      <w:r w:rsidR="00F1793C">
        <w:rPr>
          <w:rFonts w:ascii="Arial" w:hAnsi="Arial" w:cs="Arial"/>
          <w:sz w:val="24"/>
          <w:szCs w:val="24"/>
        </w:rPr>
        <w:t xml:space="preserve">It </w:t>
      </w:r>
      <w:r w:rsidR="00F54132">
        <w:rPr>
          <w:rFonts w:ascii="Arial" w:hAnsi="Arial" w:cs="Arial"/>
          <w:sz w:val="24"/>
          <w:szCs w:val="24"/>
        </w:rPr>
        <w:t>wa</w:t>
      </w:r>
      <w:r w:rsidR="00F1793C">
        <w:rPr>
          <w:rFonts w:ascii="Arial" w:hAnsi="Arial" w:cs="Arial"/>
          <w:sz w:val="24"/>
          <w:szCs w:val="24"/>
        </w:rPr>
        <w:t>s also initially disputed that the Prevention of Illegal Eviction from and Unlawful Occupation of Land Act 19 of 1998 (the Act) do</w:t>
      </w:r>
      <w:r w:rsidR="009C101D">
        <w:rPr>
          <w:rFonts w:ascii="Arial" w:hAnsi="Arial" w:cs="Arial"/>
          <w:sz w:val="24"/>
          <w:szCs w:val="24"/>
        </w:rPr>
        <w:t>es</w:t>
      </w:r>
      <w:r w:rsidR="00F1793C">
        <w:rPr>
          <w:rFonts w:ascii="Arial" w:hAnsi="Arial" w:cs="Arial"/>
          <w:sz w:val="24"/>
          <w:szCs w:val="24"/>
        </w:rPr>
        <w:t xml:space="preserve"> not find application in this matter.</w:t>
      </w:r>
      <w:r w:rsidR="00137D5D">
        <w:rPr>
          <w:rFonts w:ascii="Arial" w:hAnsi="Arial" w:cs="Arial"/>
          <w:sz w:val="24"/>
          <w:szCs w:val="24"/>
        </w:rPr>
        <w:t xml:space="preserve"> </w:t>
      </w:r>
      <w:r w:rsidR="00F1793C">
        <w:rPr>
          <w:rFonts w:ascii="Arial" w:hAnsi="Arial" w:cs="Arial"/>
          <w:sz w:val="24"/>
          <w:szCs w:val="24"/>
        </w:rPr>
        <w:t xml:space="preserve"> Mr </w:t>
      </w:r>
      <w:r w:rsidR="00F54132">
        <w:rPr>
          <w:rFonts w:ascii="Arial" w:hAnsi="Arial" w:cs="Arial"/>
          <w:sz w:val="24"/>
          <w:szCs w:val="24"/>
        </w:rPr>
        <w:t>Rees</w:t>
      </w:r>
      <w:r w:rsidR="00F1793C">
        <w:rPr>
          <w:rFonts w:ascii="Arial" w:hAnsi="Arial" w:cs="Arial"/>
          <w:sz w:val="24"/>
          <w:szCs w:val="24"/>
        </w:rPr>
        <w:t xml:space="preserve"> no longer persists with this denial either.</w:t>
      </w:r>
    </w:p>
    <w:p w14:paraId="38DABBFD" w14:textId="00EBF1E0" w:rsidR="00F1793C"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[9]</w:t>
      </w:r>
      <w:r>
        <w:rPr>
          <w:rFonts w:ascii="Arial" w:hAnsi="Arial" w:cs="Arial"/>
          <w:sz w:val="24"/>
          <w:szCs w:val="24"/>
        </w:rPr>
        <w:tab/>
      </w:r>
      <w:r w:rsidR="00F1793C">
        <w:rPr>
          <w:rFonts w:ascii="Arial" w:hAnsi="Arial" w:cs="Arial"/>
          <w:sz w:val="24"/>
          <w:szCs w:val="24"/>
        </w:rPr>
        <w:t xml:space="preserve">Mr </w:t>
      </w:r>
      <w:r w:rsidR="00F54132">
        <w:rPr>
          <w:rFonts w:ascii="Arial" w:hAnsi="Arial" w:cs="Arial"/>
          <w:sz w:val="24"/>
          <w:szCs w:val="24"/>
        </w:rPr>
        <w:t>Rees</w:t>
      </w:r>
      <w:r w:rsidR="00F1793C">
        <w:rPr>
          <w:rFonts w:ascii="Arial" w:hAnsi="Arial" w:cs="Arial"/>
          <w:sz w:val="24"/>
          <w:szCs w:val="24"/>
        </w:rPr>
        <w:t xml:space="preserve"> contends that Mr Coetzee has not been lawfully appointed as the sole director of Marindafontein on the grounds set out in the particulars of claim in the action. </w:t>
      </w:r>
      <w:r w:rsidR="00137D5D">
        <w:rPr>
          <w:rFonts w:ascii="Arial" w:hAnsi="Arial" w:cs="Arial"/>
          <w:sz w:val="24"/>
          <w:szCs w:val="24"/>
        </w:rPr>
        <w:t xml:space="preserve"> </w:t>
      </w:r>
      <w:r w:rsidR="00F1793C">
        <w:rPr>
          <w:rFonts w:ascii="Arial" w:hAnsi="Arial" w:cs="Arial"/>
          <w:sz w:val="24"/>
          <w:szCs w:val="24"/>
        </w:rPr>
        <w:t xml:space="preserve">These grounds are summarised in Mr </w:t>
      </w:r>
      <w:r w:rsidR="00F54132">
        <w:rPr>
          <w:rFonts w:ascii="Arial" w:hAnsi="Arial" w:cs="Arial"/>
          <w:sz w:val="24"/>
          <w:szCs w:val="24"/>
        </w:rPr>
        <w:t>Rees</w:t>
      </w:r>
      <w:r w:rsidR="00F1793C">
        <w:rPr>
          <w:rFonts w:ascii="Arial" w:hAnsi="Arial" w:cs="Arial"/>
          <w:sz w:val="24"/>
          <w:szCs w:val="24"/>
        </w:rPr>
        <w:t>’ answering affidavit as follows:</w:t>
      </w:r>
    </w:p>
    <w:p w14:paraId="732A187D" w14:textId="667ADC60" w:rsidR="00F1793C" w:rsidRDefault="00F1793C" w:rsidP="00A650A1">
      <w:pPr>
        <w:tabs>
          <w:tab w:val="left" w:pos="1843"/>
        </w:tabs>
        <w:spacing w:before="480" w:after="480" w:line="360" w:lineRule="auto"/>
        <w:ind w:left="1843" w:hanging="709"/>
        <w:rPr>
          <w:rFonts w:ascii="Arial" w:hAnsi="Arial" w:cs="Arial"/>
        </w:rPr>
      </w:pPr>
      <w:r>
        <w:rPr>
          <w:rFonts w:ascii="Arial" w:hAnsi="Arial" w:cs="Arial"/>
        </w:rPr>
        <w:t>“</w:t>
      </w:r>
      <w:r w:rsidR="00575F1D">
        <w:rPr>
          <w:rFonts w:ascii="Arial" w:hAnsi="Arial" w:cs="Arial"/>
        </w:rPr>
        <w:t>10.</w:t>
      </w:r>
      <w:r w:rsidR="00575F1D">
        <w:rPr>
          <w:rFonts w:ascii="Arial" w:hAnsi="Arial" w:cs="Arial"/>
        </w:rPr>
        <w:tab/>
        <w:t>In</w:t>
      </w:r>
      <w:r>
        <w:rPr>
          <w:rFonts w:ascii="Arial" w:hAnsi="Arial" w:cs="Arial"/>
        </w:rPr>
        <w:t xml:space="preserve"> summary, the purported share </w:t>
      </w:r>
      <w:r w:rsidR="009734C8">
        <w:rPr>
          <w:rFonts w:ascii="Arial" w:hAnsi="Arial" w:cs="Arial"/>
        </w:rPr>
        <w:t>sale agreement in terms of which Mr Coetzee claims to have secured the right to be appointed as a director of [Marindafontein]</w:t>
      </w:r>
      <w:r w:rsidR="00575F1D">
        <w:rPr>
          <w:rFonts w:ascii="Arial" w:hAnsi="Arial" w:cs="Arial"/>
        </w:rPr>
        <w:t xml:space="preserve"> falls to be set aside and declared void </w:t>
      </w:r>
      <w:r w:rsidR="00575F1D">
        <w:rPr>
          <w:rFonts w:ascii="Arial" w:hAnsi="Arial" w:cs="Arial"/>
          <w:i/>
          <w:iCs/>
        </w:rPr>
        <w:t>ab initio</w:t>
      </w:r>
      <w:r w:rsidR="00575F1D">
        <w:rPr>
          <w:rFonts w:ascii="Arial" w:hAnsi="Arial" w:cs="Arial"/>
        </w:rPr>
        <w:t>. This is because such purported sale was fraudulently concluded between the shareholders of [Marindafontein], being Hugo Visser and Elizabeth Maryna Visser … and Mr Coetzee or his nominee company</w:t>
      </w:r>
      <w:r w:rsidR="00D97973">
        <w:rPr>
          <w:rFonts w:ascii="Arial" w:hAnsi="Arial" w:cs="Arial"/>
        </w:rPr>
        <w:t>,</w:t>
      </w:r>
      <w:r w:rsidR="00575F1D">
        <w:rPr>
          <w:rFonts w:ascii="Arial" w:hAnsi="Arial" w:cs="Arial"/>
        </w:rPr>
        <w:t xml:space="preserve"> [Kitplanes]. The purported sale also falls to be set aside in that it was concluded in contravention of the express provisions of [certain sections] of the Companies Act 71 of 200</w:t>
      </w:r>
      <w:r w:rsidR="00D97973">
        <w:rPr>
          <w:rFonts w:ascii="Arial" w:hAnsi="Arial" w:cs="Arial"/>
        </w:rPr>
        <w:t>8</w:t>
      </w:r>
      <w:r w:rsidR="00575F1D">
        <w:rPr>
          <w:rFonts w:ascii="Arial" w:hAnsi="Arial" w:cs="Arial"/>
        </w:rPr>
        <w:t>.</w:t>
      </w:r>
    </w:p>
    <w:p w14:paraId="156A5312" w14:textId="126547D0" w:rsidR="00575F1D" w:rsidRPr="00575F1D" w:rsidRDefault="00575F1D" w:rsidP="00A650A1">
      <w:pPr>
        <w:tabs>
          <w:tab w:val="left" w:pos="1134"/>
          <w:tab w:val="left" w:pos="1843"/>
        </w:tabs>
        <w:spacing w:before="480" w:after="480" w:line="360" w:lineRule="auto"/>
        <w:ind w:left="1843" w:hanging="709"/>
        <w:rPr>
          <w:rFonts w:ascii="Arial" w:hAnsi="Arial" w:cs="Arial"/>
        </w:rPr>
      </w:pPr>
      <w:r>
        <w:rPr>
          <w:rFonts w:ascii="Arial" w:hAnsi="Arial" w:cs="Arial"/>
        </w:rPr>
        <w:t>11.</w:t>
      </w:r>
      <w:r>
        <w:rPr>
          <w:rFonts w:ascii="Arial" w:hAnsi="Arial" w:cs="Arial"/>
        </w:rPr>
        <w:tab/>
        <w:t xml:space="preserve">In simple terms Mr Coetzee has hijacked and taken control over [Marindafontein] unlawfully. He now seeks to impose his unilateral terms </w:t>
      </w:r>
      <w:r>
        <w:rPr>
          <w:rFonts w:ascii="Arial" w:hAnsi="Arial" w:cs="Arial"/>
        </w:rPr>
        <w:lastRenderedPageBreak/>
        <w:t xml:space="preserve">over the occupants and owners of the airfield </w:t>
      </w:r>
      <w:r w:rsidR="00B51915">
        <w:rPr>
          <w:rFonts w:ascii="Arial" w:hAnsi="Arial" w:cs="Arial"/>
        </w:rPr>
        <w:t>hangar</w:t>
      </w:r>
      <w:r>
        <w:rPr>
          <w:rFonts w:ascii="Arial" w:hAnsi="Arial" w:cs="Arial"/>
        </w:rPr>
        <w:t>s situated on [Petit Airfield]. These are the plaintiffs in the [action].”</w:t>
      </w:r>
    </w:p>
    <w:p w14:paraId="7A942AFA" w14:textId="5C77F481" w:rsidR="00F1793C"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[10]</w:t>
      </w:r>
      <w:r>
        <w:rPr>
          <w:rFonts w:ascii="Arial" w:hAnsi="Arial" w:cs="Arial"/>
          <w:sz w:val="24"/>
          <w:szCs w:val="24"/>
        </w:rPr>
        <w:tab/>
      </w:r>
      <w:r w:rsidR="00575F1D">
        <w:rPr>
          <w:rFonts w:ascii="Arial" w:hAnsi="Arial" w:cs="Arial"/>
          <w:sz w:val="24"/>
          <w:szCs w:val="24"/>
        </w:rPr>
        <w:t xml:space="preserve">The second main issue I need to decide is whether Mr </w:t>
      </w:r>
      <w:r w:rsidR="00F54132">
        <w:rPr>
          <w:rFonts w:ascii="Arial" w:hAnsi="Arial" w:cs="Arial"/>
          <w:sz w:val="24"/>
          <w:szCs w:val="24"/>
        </w:rPr>
        <w:t>Rees</w:t>
      </w:r>
      <w:r w:rsidR="00575F1D">
        <w:rPr>
          <w:rFonts w:ascii="Arial" w:hAnsi="Arial" w:cs="Arial"/>
          <w:sz w:val="24"/>
          <w:szCs w:val="24"/>
        </w:rPr>
        <w:t xml:space="preserve"> has a right of occupation of the </w:t>
      </w:r>
      <w:r w:rsidR="00B51915">
        <w:rPr>
          <w:rFonts w:ascii="Arial" w:hAnsi="Arial" w:cs="Arial"/>
          <w:sz w:val="24"/>
          <w:szCs w:val="24"/>
        </w:rPr>
        <w:t>hangar</w:t>
      </w:r>
      <w:r w:rsidR="00575F1D">
        <w:rPr>
          <w:rFonts w:ascii="Arial" w:hAnsi="Arial" w:cs="Arial"/>
          <w:sz w:val="24"/>
          <w:szCs w:val="24"/>
        </w:rPr>
        <w:t>.</w:t>
      </w:r>
    </w:p>
    <w:p w14:paraId="4FF56C8A" w14:textId="3BF260CA" w:rsidR="00575F1D"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[11]</w:t>
      </w:r>
      <w:r>
        <w:rPr>
          <w:rFonts w:ascii="Arial" w:hAnsi="Arial" w:cs="Arial"/>
          <w:sz w:val="24"/>
          <w:szCs w:val="24"/>
        </w:rPr>
        <w:tab/>
      </w:r>
      <w:r w:rsidR="00575F1D">
        <w:rPr>
          <w:rFonts w:ascii="Arial" w:hAnsi="Arial" w:cs="Arial"/>
          <w:sz w:val="24"/>
          <w:szCs w:val="24"/>
        </w:rPr>
        <w:t xml:space="preserve">Marindafontein seeks the eviction of Mr </w:t>
      </w:r>
      <w:r w:rsidR="00F54132">
        <w:rPr>
          <w:rFonts w:ascii="Arial" w:hAnsi="Arial" w:cs="Arial"/>
          <w:sz w:val="24"/>
          <w:szCs w:val="24"/>
        </w:rPr>
        <w:t>Rees</w:t>
      </w:r>
      <w:r w:rsidR="00575F1D">
        <w:rPr>
          <w:rFonts w:ascii="Arial" w:hAnsi="Arial" w:cs="Arial"/>
          <w:sz w:val="24"/>
          <w:szCs w:val="24"/>
        </w:rPr>
        <w:t xml:space="preserve"> from the </w:t>
      </w:r>
      <w:r w:rsidR="00B51915">
        <w:rPr>
          <w:rFonts w:ascii="Arial" w:hAnsi="Arial" w:cs="Arial"/>
          <w:sz w:val="24"/>
          <w:szCs w:val="24"/>
        </w:rPr>
        <w:t>hangar</w:t>
      </w:r>
      <w:r w:rsidR="00575F1D">
        <w:rPr>
          <w:rFonts w:ascii="Arial" w:hAnsi="Arial" w:cs="Arial"/>
          <w:sz w:val="24"/>
          <w:szCs w:val="24"/>
        </w:rPr>
        <w:t xml:space="preserve"> and a cost order against Mr </w:t>
      </w:r>
      <w:r w:rsidR="00F54132">
        <w:rPr>
          <w:rFonts w:ascii="Arial" w:hAnsi="Arial" w:cs="Arial"/>
          <w:sz w:val="24"/>
          <w:szCs w:val="24"/>
        </w:rPr>
        <w:t>Rees</w:t>
      </w:r>
      <w:r w:rsidR="00575F1D">
        <w:rPr>
          <w:rFonts w:ascii="Arial" w:hAnsi="Arial" w:cs="Arial"/>
          <w:sz w:val="24"/>
          <w:szCs w:val="24"/>
        </w:rPr>
        <w:t xml:space="preserve">. </w:t>
      </w:r>
      <w:r w:rsidR="002A2F1E">
        <w:rPr>
          <w:rFonts w:ascii="Arial" w:hAnsi="Arial" w:cs="Arial"/>
          <w:sz w:val="24"/>
          <w:szCs w:val="24"/>
        </w:rPr>
        <w:t xml:space="preserve"> </w:t>
      </w:r>
      <w:r w:rsidR="00575F1D">
        <w:rPr>
          <w:rFonts w:ascii="Arial" w:hAnsi="Arial" w:cs="Arial"/>
          <w:sz w:val="24"/>
          <w:szCs w:val="24"/>
        </w:rPr>
        <w:t xml:space="preserve">Mr </w:t>
      </w:r>
      <w:r w:rsidR="00F54132">
        <w:rPr>
          <w:rFonts w:ascii="Arial" w:hAnsi="Arial" w:cs="Arial"/>
          <w:sz w:val="24"/>
          <w:szCs w:val="24"/>
        </w:rPr>
        <w:t>Rees</w:t>
      </w:r>
      <w:r w:rsidR="00575F1D">
        <w:rPr>
          <w:rFonts w:ascii="Arial" w:hAnsi="Arial" w:cs="Arial"/>
          <w:sz w:val="24"/>
          <w:szCs w:val="24"/>
        </w:rPr>
        <w:t xml:space="preserve"> seeks the dismissal of the application with costs. </w:t>
      </w:r>
      <w:r w:rsidR="002A2F1E">
        <w:rPr>
          <w:rFonts w:ascii="Arial" w:hAnsi="Arial" w:cs="Arial"/>
          <w:sz w:val="24"/>
          <w:szCs w:val="24"/>
        </w:rPr>
        <w:t xml:space="preserve"> </w:t>
      </w:r>
      <w:r w:rsidR="00575F1D">
        <w:rPr>
          <w:rFonts w:ascii="Arial" w:hAnsi="Arial" w:cs="Arial"/>
          <w:sz w:val="24"/>
          <w:szCs w:val="24"/>
        </w:rPr>
        <w:t>Neither party wishes for the matter to be referred to oral evidence or to trial.</w:t>
      </w:r>
    </w:p>
    <w:p w14:paraId="4F2468EF" w14:textId="25FABB39" w:rsidR="00575F1D" w:rsidRPr="00575F1D" w:rsidRDefault="00575F1D" w:rsidP="00DE1618">
      <w:pPr>
        <w:spacing w:before="480" w:after="480" w:line="360" w:lineRule="auto"/>
        <w:rPr>
          <w:rFonts w:ascii="Arial" w:hAnsi="Arial" w:cs="Arial"/>
          <w:i/>
          <w:iCs/>
          <w:sz w:val="24"/>
          <w:szCs w:val="24"/>
        </w:rPr>
      </w:pPr>
      <w:r>
        <w:rPr>
          <w:rFonts w:ascii="Arial" w:hAnsi="Arial" w:cs="Arial"/>
          <w:i/>
          <w:iCs/>
          <w:sz w:val="24"/>
          <w:szCs w:val="24"/>
        </w:rPr>
        <w:t>The version of Marindafontein</w:t>
      </w:r>
    </w:p>
    <w:p w14:paraId="4830C1A9" w14:textId="5A2AEDD1" w:rsidR="00575F1D"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[12]</w:t>
      </w:r>
      <w:r>
        <w:rPr>
          <w:rFonts w:ascii="Arial" w:hAnsi="Arial" w:cs="Arial"/>
          <w:sz w:val="24"/>
          <w:szCs w:val="24"/>
        </w:rPr>
        <w:tab/>
      </w:r>
      <w:r w:rsidR="00AC3871">
        <w:rPr>
          <w:rFonts w:ascii="Arial" w:hAnsi="Arial" w:cs="Arial"/>
          <w:sz w:val="24"/>
          <w:szCs w:val="24"/>
        </w:rPr>
        <w:t xml:space="preserve">Mr Coetzee </w:t>
      </w:r>
      <w:r w:rsidR="005B5AE5">
        <w:rPr>
          <w:rFonts w:ascii="Arial" w:hAnsi="Arial" w:cs="Arial"/>
          <w:sz w:val="24"/>
          <w:szCs w:val="24"/>
        </w:rPr>
        <w:t>says that pursuant to him acquiring the shares, Mr Visser handed all the financial and legal documents of Marindafontein to him.</w:t>
      </w:r>
      <w:r w:rsidR="00626806">
        <w:rPr>
          <w:rFonts w:ascii="Arial" w:hAnsi="Arial" w:cs="Arial"/>
          <w:sz w:val="24"/>
          <w:szCs w:val="24"/>
        </w:rPr>
        <w:t xml:space="preserve"> </w:t>
      </w:r>
      <w:r w:rsidR="005B5AE5">
        <w:rPr>
          <w:rFonts w:ascii="Arial" w:hAnsi="Arial" w:cs="Arial"/>
          <w:sz w:val="24"/>
          <w:szCs w:val="24"/>
        </w:rPr>
        <w:t xml:space="preserve"> These documents included lease agreements in terms of which the </w:t>
      </w:r>
      <w:r w:rsidR="00B51915">
        <w:rPr>
          <w:rFonts w:ascii="Arial" w:hAnsi="Arial" w:cs="Arial"/>
          <w:sz w:val="24"/>
          <w:szCs w:val="24"/>
        </w:rPr>
        <w:t>hangar</w:t>
      </w:r>
      <w:r w:rsidR="005B5AE5">
        <w:rPr>
          <w:rFonts w:ascii="Arial" w:hAnsi="Arial" w:cs="Arial"/>
          <w:sz w:val="24"/>
          <w:szCs w:val="24"/>
        </w:rPr>
        <w:t>s on the Petit Airfield are rented by various owners of airplanes housed at the airfield.</w:t>
      </w:r>
      <w:r w:rsidR="00626806">
        <w:rPr>
          <w:rFonts w:ascii="Arial" w:hAnsi="Arial" w:cs="Arial"/>
          <w:sz w:val="24"/>
          <w:szCs w:val="24"/>
        </w:rPr>
        <w:t xml:space="preserve"> </w:t>
      </w:r>
      <w:r w:rsidR="005B5AE5">
        <w:rPr>
          <w:rFonts w:ascii="Arial" w:hAnsi="Arial" w:cs="Arial"/>
          <w:sz w:val="24"/>
          <w:szCs w:val="24"/>
        </w:rPr>
        <w:t xml:space="preserve"> In scrutinising the lease agreements, he realised that Mr </w:t>
      </w:r>
      <w:r w:rsidR="00F54132">
        <w:rPr>
          <w:rFonts w:ascii="Arial" w:hAnsi="Arial" w:cs="Arial"/>
          <w:sz w:val="24"/>
          <w:szCs w:val="24"/>
        </w:rPr>
        <w:t>Rees</w:t>
      </w:r>
      <w:r w:rsidR="005B5AE5">
        <w:rPr>
          <w:rFonts w:ascii="Arial" w:hAnsi="Arial" w:cs="Arial"/>
          <w:sz w:val="24"/>
          <w:szCs w:val="24"/>
        </w:rPr>
        <w:t xml:space="preserve"> did not have a lease agreement for the </w:t>
      </w:r>
      <w:r w:rsidR="00B51915">
        <w:rPr>
          <w:rFonts w:ascii="Arial" w:hAnsi="Arial" w:cs="Arial"/>
          <w:sz w:val="24"/>
          <w:szCs w:val="24"/>
        </w:rPr>
        <w:t>hangar</w:t>
      </w:r>
      <w:r w:rsidR="005B5AE5">
        <w:rPr>
          <w:rFonts w:ascii="Arial" w:hAnsi="Arial" w:cs="Arial"/>
          <w:sz w:val="24"/>
          <w:szCs w:val="24"/>
        </w:rPr>
        <w:t xml:space="preserve">. </w:t>
      </w:r>
      <w:r w:rsidR="00626806">
        <w:rPr>
          <w:rFonts w:ascii="Arial" w:hAnsi="Arial" w:cs="Arial"/>
          <w:sz w:val="24"/>
          <w:szCs w:val="24"/>
        </w:rPr>
        <w:t xml:space="preserve"> </w:t>
      </w:r>
      <w:r w:rsidR="005B5AE5">
        <w:rPr>
          <w:rFonts w:ascii="Arial" w:hAnsi="Arial" w:cs="Arial"/>
          <w:sz w:val="24"/>
          <w:szCs w:val="24"/>
        </w:rPr>
        <w:t>At that stage he was under the impression that Mr</w:t>
      </w:r>
      <w:r w:rsidR="00626806">
        <w:rPr>
          <w:rFonts w:ascii="Arial" w:hAnsi="Arial" w:cs="Arial"/>
          <w:sz w:val="24"/>
          <w:szCs w:val="24"/>
        </w:rPr>
        <w:t> </w:t>
      </w:r>
      <w:r w:rsidR="005B5AE5">
        <w:rPr>
          <w:rFonts w:ascii="Arial" w:hAnsi="Arial" w:cs="Arial"/>
          <w:sz w:val="24"/>
          <w:szCs w:val="24"/>
        </w:rPr>
        <w:t xml:space="preserve">Stopforth was the sole occupant of the </w:t>
      </w:r>
      <w:r w:rsidR="00B51915">
        <w:rPr>
          <w:rFonts w:ascii="Arial" w:hAnsi="Arial" w:cs="Arial"/>
          <w:sz w:val="24"/>
          <w:szCs w:val="24"/>
        </w:rPr>
        <w:t>hangar</w:t>
      </w:r>
      <w:r w:rsidR="005B5AE5">
        <w:rPr>
          <w:rFonts w:ascii="Arial" w:hAnsi="Arial" w:cs="Arial"/>
          <w:sz w:val="24"/>
          <w:szCs w:val="24"/>
        </w:rPr>
        <w:t>.</w:t>
      </w:r>
    </w:p>
    <w:p w14:paraId="287EADBF" w14:textId="53E38324" w:rsidR="003A7B8E"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[13]</w:t>
      </w:r>
      <w:r>
        <w:rPr>
          <w:rFonts w:ascii="Arial" w:hAnsi="Arial" w:cs="Arial"/>
          <w:sz w:val="24"/>
          <w:szCs w:val="24"/>
        </w:rPr>
        <w:tab/>
      </w:r>
      <w:r w:rsidR="00CE767C">
        <w:rPr>
          <w:rFonts w:ascii="Arial" w:hAnsi="Arial" w:cs="Arial"/>
          <w:sz w:val="24"/>
          <w:szCs w:val="24"/>
        </w:rPr>
        <w:t xml:space="preserve">Mr Coetzee also states that approximately a month before the founding affidavit was deposed to on 14 October 2022, he </w:t>
      </w:r>
      <w:r w:rsidR="00CE767C" w:rsidRPr="00A650A1">
        <w:rPr>
          <w:rFonts w:ascii="Arial" w:hAnsi="Arial" w:cs="Arial"/>
          <w:iCs/>
          <w:sz w:val="24"/>
          <w:szCs w:val="24"/>
        </w:rPr>
        <w:t>“encountered”</w:t>
      </w:r>
      <w:r w:rsidR="00CE767C">
        <w:rPr>
          <w:rFonts w:ascii="Arial" w:hAnsi="Arial" w:cs="Arial"/>
          <w:sz w:val="24"/>
          <w:szCs w:val="24"/>
        </w:rPr>
        <w:t xml:space="preserve"> Mr </w:t>
      </w:r>
      <w:r w:rsidR="00F54132">
        <w:rPr>
          <w:rFonts w:ascii="Arial" w:hAnsi="Arial" w:cs="Arial"/>
          <w:sz w:val="24"/>
          <w:szCs w:val="24"/>
        </w:rPr>
        <w:t>Rees</w:t>
      </w:r>
      <w:r w:rsidR="00CE767C">
        <w:rPr>
          <w:rFonts w:ascii="Arial" w:hAnsi="Arial" w:cs="Arial"/>
          <w:sz w:val="24"/>
          <w:szCs w:val="24"/>
        </w:rPr>
        <w:t xml:space="preserve"> who told him that he had </w:t>
      </w:r>
      <w:r w:rsidR="00CE767C" w:rsidRPr="00A650A1">
        <w:rPr>
          <w:rFonts w:ascii="Arial" w:hAnsi="Arial" w:cs="Arial"/>
          <w:iCs/>
          <w:sz w:val="24"/>
          <w:szCs w:val="24"/>
        </w:rPr>
        <w:t>“bought”</w:t>
      </w:r>
      <w:r w:rsidR="00CE767C">
        <w:rPr>
          <w:rFonts w:ascii="Arial" w:hAnsi="Arial" w:cs="Arial"/>
          <w:sz w:val="24"/>
          <w:szCs w:val="24"/>
        </w:rPr>
        <w:t xml:space="preserve"> the </w:t>
      </w:r>
      <w:r w:rsidR="00B51915">
        <w:rPr>
          <w:rFonts w:ascii="Arial" w:hAnsi="Arial" w:cs="Arial"/>
          <w:sz w:val="24"/>
          <w:szCs w:val="24"/>
        </w:rPr>
        <w:t>hangar</w:t>
      </w:r>
      <w:r w:rsidR="00CE767C">
        <w:rPr>
          <w:rFonts w:ascii="Arial" w:hAnsi="Arial" w:cs="Arial"/>
          <w:sz w:val="24"/>
          <w:szCs w:val="24"/>
        </w:rPr>
        <w:t xml:space="preserve"> from Mr Stopforth but that he knew that the so</w:t>
      </w:r>
      <w:r w:rsidR="00CC2F6A">
        <w:rPr>
          <w:rFonts w:ascii="Arial" w:hAnsi="Arial" w:cs="Arial"/>
          <w:sz w:val="24"/>
          <w:szCs w:val="24"/>
        </w:rPr>
        <w:noBreakHyphen/>
      </w:r>
      <w:r w:rsidR="00CE767C">
        <w:rPr>
          <w:rFonts w:ascii="Arial" w:hAnsi="Arial" w:cs="Arial"/>
          <w:sz w:val="24"/>
          <w:szCs w:val="24"/>
        </w:rPr>
        <w:t xml:space="preserve">called </w:t>
      </w:r>
      <w:r w:rsidR="00CE767C" w:rsidRPr="00A650A1">
        <w:rPr>
          <w:rFonts w:ascii="Arial" w:hAnsi="Arial" w:cs="Arial"/>
          <w:iCs/>
          <w:sz w:val="24"/>
          <w:szCs w:val="24"/>
        </w:rPr>
        <w:t>“sale”</w:t>
      </w:r>
      <w:r w:rsidR="00CE767C">
        <w:rPr>
          <w:rFonts w:ascii="Arial" w:hAnsi="Arial" w:cs="Arial"/>
          <w:sz w:val="24"/>
          <w:szCs w:val="24"/>
        </w:rPr>
        <w:t xml:space="preserve"> was of no force and effect and that he was unlawfully occupying the </w:t>
      </w:r>
      <w:r w:rsidR="00B51915">
        <w:rPr>
          <w:rFonts w:ascii="Arial" w:hAnsi="Arial" w:cs="Arial"/>
          <w:sz w:val="24"/>
          <w:szCs w:val="24"/>
        </w:rPr>
        <w:t>hangar</w:t>
      </w:r>
      <w:r w:rsidR="00CE767C">
        <w:rPr>
          <w:rFonts w:ascii="Arial" w:hAnsi="Arial" w:cs="Arial"/>
          <w:sz w:val="24"/>
          <w:szCs w:val="24"/>
        </w:rPr>
        <w:t>.</w:t>
      </w:r>
    </w:p>
    <w:p w14:paraId="5F7B7769" w14:textId="43634F3C" w:rsidR="00CE767C"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[14]</w:t>
      </w:r>
      <w:r>
        <w:rPr>
          <w:rFonts w:ascii="Arial" w:hAnsi="Arial" w:cs="Arial"/>
          <w:sz w:val="24"/>
          <w:szCs w:val="24"/>
        </w:rPr>
        <w:tab/>
      </w:r>
      <w:r w:rsidR="00CE767C">
        <w:rPr>
          <w:rFonts w:ascii="Arial" w:hAnsi="Arial" w:cs="Arial"/>
          <w:sz w:val="24"/>
          <w:szCs w:val="24"/>
        </w:rPr>
        <w:t xml:space="preserve">Petit Airfield is zoned as agricultural land. </w:t>
      </w:r>
      <w:r w:rsidR="00CC2F6A">
        <w:rPr>
          <w:rFonts w:ascii="Arial" w:hAnsi="Arial" w:cs="Arial"/>
          <w:sz w:val="24"/>
          <w:szCs w:val="24"/>
        </w:rPr>
        <w:t xml:space="preserve"> </w:t>
      </w:r>
      <w:r w:rsidR="00CE767C">
        <w:rPr>
          <w:rFonts w:ascii="Arial" w:hAnsi="Arial" w:cs="Arial"/>
          <w:sz w:val="24"/>
          <w:szCs w:val="24"/>
        </w:rPr>
        <w:t xml:space="preserve">Therefore, it cannot be sub-divided and Mr Stopforth could not have acquired ownership of the land that the </w:t>
      </w:r>
      <w:r w:rsidR="00B51915">
        <w:rPr>
          <w:rFonts w:ascii="Arial" w:hAnsi="Arial" w:cs="Arial"/>
          <w:sz w:val="24"/>
          <w:szCs w:val="24"/>
        </w:rPr>
        <w:t>hangar</w:t>
      </w:r>
      <w:r w:rsidR="00CE767C">
        <w:rPr>
          <w:rFonts w:ascii="Arial" w:hAnsi="Arial" w:cs="Arial"/>
          <w:sz w:val="24"/>
          <w:szCs w:val="24"/>
        </w:rPr>
        <w:t xml:space="preserve"> is situated upon.</w:t>
      </w:r>
      <w:r w:rsidR="00CC2F6A">
        <w:rPr>
          <w:rFonts w:ascii="Arial" w:hAnsi="Arial" w:cs="Arial"/>
          <w:sz w:val="24"/>
          <w:szCs w:val="24"/>
        </w:rPr>
        <w:t xml:space="preserve"> </w:t>
      </w:r>
      <w:r w:rsidR="00CE767C">
        <w:rPr>
          <w:rFonts w:ascii="Arial" w:hAnsi="Arial" w:cs="Arial"/>
          <w:sz w:val="24"/>
          <w:szCs w:val="24"/>
        </w:rPr>
        <w:t xml:space="preserve"> Mr Stopforth could also not have acquired ownership of the structure of the </w:t>
      </w:r>
      <w:r w:rsidR="00B51915">
        <w:rPr>
          <w:rFonts w:ascii="Arial" w:hAnsi="Arial" w:cs="Arial"/>
          <w:sz w:val="24"/>
          <w:szCs w:val="24"/>
        </w:rPr>
        <w:t>hangar</w:t>
      </w:r>
      <w:r w:rsidR="00CE767C">
        <w:rPr>
          <w:rFonts w:ascii="Arial" w:hAnsi="Arial" w:cs="Arial"/>
          <w:sz w:val="24"/>
          <w:szCs w:val="24"/>
        </w:rPr>
        <w:t>, which is a permanent structure, as it has acceded to the land.</w:t>
      </w:r>
    </w:p>
    <w:p w14:paraId="3D7DB330" w14:textId="6755030F" w:rsidR="00CE767C"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CE767C">
        <w:rPr>
          <w:rFonts w:ascii="Arial" w:hAnsi="Arial" w:cs="Arial"/>
          <w:sz w:val="24"/>
          <w:szCs w:val="24"/>
        </w:rPr>
        <w:t xml:space="preserve">Mr </w:t>
      </w:r>
      <w:r w:rsidR="00F54132">
        <w:rPr>
          <w:rFonts w:ascii="Arial" w:hAnsi="Arial" w:cs="Arial"/>
          <w:sz w:val="24"/>
          <w:szCs w:val="24"/>
        </w:rPr>
        <w:t>Rees</w:t>
      </w:r>
      <w:r w:rsidR="00CE767C">
        <w:rPr>
          <w:rFonts w:ascii="Arial" w:hAnsi="Arial" w:cs="Arial"/>
          <w:sz w:val="24"/>
          <w:szCs w:val="24"/>
        </w:rPr>
        <w:t xml:space="preserve"> does not have Marindafontein’s consent to occupy the </w:t>
      </w:r>
      <w:r w:rsidR="00B51915">
        <w:rPr>
          <w:rFonts w:ascii="Arial" w:hAnsi="Arial" w:cs="Arial"/>
          <w:sz w:val="24"/>
          <w:szCs w:val="24"/>
        </w:rPr>
        <w:t>hangar</w:t>
      </w:r>
      <w:r w:rsidR="00CE767C">
        <w:rPr>
          <w:rFonts w:ascii="Arial" w:hAnsi="Arial" w:cs="Arial"/>
          <w:sz w:val="24"/>
          <w:szCs w:val="24"/>
        </w:rPr>
        <w:t xml:space="preserve"> and consequently his occupation of the </w:t>
      </w:r>
      <w:r w:rsidR="00B51915">
        <w:rPr>
          <w:rFonts w:ascii="Arial" w:hAnsi="Arial" w:cs="Arial"/>
          <w:sz w:val="24"/>
          <w:szCs w:val="24"/>
        </w:rPr>
        <w:t>hangar</w:t>
      </w:r>
      <w:r w:rsidR="00CE767C">
        <w:rPr>
          <w:rFonts w:ascii="Arial" w:hAnsi="Arial" w:cs="Arial"/>
          <w:sz w:val="24"/>
          <w:szCs w:val="24"/>
        </w:rPr>
        <w:t xml:space="preserve"> is unlawful.</w:t>
      </w:r>
    </w:p>
    <w:p w14:paraId="4D12D717" w14:textId="28DC1D42" w:rsidR="00CE767C" w:rsidRPr="00CE767C" w:rsidRDefault="00CE767C" w:rsidP="00A650A1">
      <w:pPr>
        <w:spacing w:before="480" w:line="360" w:lineRule="auto"/>
        <w:rPr>
          <w:rFonts w:ascii="Arial" w:hAnsi="Arial" w:cs="Arial"/>
          <w:i/>
          <w:iCs/>
          <w:sz w:val="24"/>
          <w:szCs w:val="24"/>
        </w:rPr>
      </w:pPr>
      <w:r>
        <w:rPr>
          <w:rFonts w:ascii="Arial" w:hAnsi="Arial" w:cs="Arial"/>
          <w:i/>
          <w:iCs/>
          <w:sz w:val="24"/>
          <w:szCs w:val="24"/>
        </w:rPr>
        <w:t xml:space="preserve">The version of Mr </w:t>
      </w:r>
      <w:r w:rsidR="00F54132">
        <w:rPr>
          <w:rFonts w:ascii="Arial" w:hAnsi="Arial" w:cs="Arial"/>
          <w:i/>
          <w:iCs/>
          <w:sz w:val="24"/>
          <w:szCs w:val="24"/>
        </w:rPr>
        <w:t>Rees</w:t>
      </w:r>
    </w:p>
    <w:p w14:paraId="507FF700" w14:textId="626211E2" w:rsidR="00CE767C"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[16]</w:t>
      </w:r>
      <w:r>
        <w:rPr>
          <w:rFonts w:ascii="Arial" w:hAnsi="Arial" w:cs="Arial"/>
          <w:sz w:val="24"/>
          <w:szCs w:val="24"/>
        </w:rPr>
        <w:tab/>
      </w:r>
      <w:r w:rsidR="00CE767C">
        <w:rPr>
          <w:rFonts w:ascii="Arial" w:hAnsi="Arial" w:cs="Arial"/>
          <w:sz w:val="24"/>
          <w:szCs w:val="24"/>
        </w:rPr>
        <w:t xml:space="preserve">The Vissers became owners of the majority share in Marindafontein during 2009. </w:t>
      </w:r>
      <w:r w:rsidR="00CC2F6A">
        <w:rPr>
          <w:rFonts w:ascii="Arial" w:hAnsi="Arial" w:cs="Arial"/>
          <w:sz w:val="24"/>
          <w:szCs w:val="24"/>
        </w:rPr>
        <w:t xml:space="preserve"> </w:t>
      </w:r>
      <w:r w:rsidR="000A3E08">
        <w:rPr>
          <w:rFonts w:ascii="Arial" w:hAnsi="Arial" w:cs="Arial"/>
          <w:sz w:val="24"/>
          <w:szCs w:val="24"/>
        </w:rPr>
        <w:t xml:space="preserve">The Vissers were directors of Marindafontein until June 2022. </w:t>
      </w:r>
      <w:r w:rsidR="00CC2F6A">
        <w:rPr>
          <w:rFonts w:ascii="Arial" w:hAnsi="Arial" w:cs="Arial"/>
          <w:sz w:val="24"/>
          <w:szCs w:val="24"/>
        </w:rPr>
        <w:t xml:space="preserve"> </w:t>
      </w:r>
      <w:r w:rsidR="000A3E08">
        <w:rPr>
          <w:rFonts w:ascii="Arial" w:hAnsi="Arial" w:cs="Arial"/>
          <w:sz w:val="24"/>
          <w:szCs w:val="24"/>
        </w:rPr>
        <w:t xml:space="preserve">During this period, the Vissers </w:t>
      </w:r>
      <w:r w:rsidR="000A3E08" w:rsidRPr="00A650A1">
        <w:rPr>
          <w:rFonts w:ascii="Arial" w:hAnsi="Arial" w:cs="Arial"/>
          <w:iCs/>
          <w:sz w:val="24"/>
          <w:szCs w:val="24"/>
        </w:rPr>
        <w:t>“devised a scheme”</w:t>
      </w:r>
      <w:r w:rsidR="000A3E08">
        <w:rPr>
          <w:rFonts w:ascii="Arial" w:hAnsi="Arial" w:cs="Arial"/>
          <w:i/>
          <w:iCs/>
          <w:sz w:val="24"/>
          <w:szCs w:val="24"/>
        </w:rPr>
        <w:t xml:space="preserve"> </w:t>
      </w:r>
      <w:r w:rsidR="000A3E08">
        <w:rPr>
          <w:rFonts w:ascii="Arial" w:hAnsi="Arial" w:cs="Arial"/>
          <w:sz w:val="24"/>
          <w:szCs w:val="24"/>
        </w:rPr>
        <w:t>on behalf of Marindafontein which consisted of the following:</w:t>
      </w:r>
    </w:p>
    <w:p w14:paraId="0EB7D52D" w14:textId="631D577A" w:rsidR="000A3E08" w:rsidRDefault="000A3E08" w:rsidP="00A650A1">
      <w:pPr>
        <w:tabs>
          <w:tab w:val="left" w:pos="1134"/>
          <w:tab w:val="left" w:pos="1843"/>
        </w:tabs>
        <w:spacing w:before="480" w:after="480" w:line="360" w:lineRule="auto"/>
        <w:ind w:left="1843" w:hanging="709"/>
        <w:rPr>
          <w:rFonts w:ascii="Arial" w:hAnsi="Arial" w:cs="Arial"/>
        </w:rPr>
      </w:pPr>
      <w:r>
        <w:rPr>
          <w:rFonts w:ascii="Arial" w:hAnsi="Arial" w:cs="Arial"/>
        </w:rPr>
        <w:t>“30.1</w:t>
      </w:r>
      <w:r>
        <w:rPr>
          <w:rFonts w:ascii="Arial" w:hAnsi="Arial" w:cs="Arial"/>
        </w:rPr>
        <w:tab/>
        <w:t xml:space="preserve">Selling, alternatively procuring the sale of structures or buildings known as </w:t>
      </w:r>
      <w:r w:rsidR="00B51915">
        <w:rPr>
          <w:rFonts w:ascii="Arial" w:hAnsi="Arial" w:cs="Arial"/>
        </w:rPr>
        <w:t>hangar</w:t>
      </w:r>
      <w:r>
        <w:rPr>
          <w:rFonts w:ascii="Arial" w:hAnsi="Arial" w:cs="Arial"/>
        </w:rPr>
        <w:t xml:space="preserve">s on the property which had been built to house aircraft and related equipment </w:t>
      </w:r>
      <w:r w:rsidR="00DA404B">
        <w:rPr>
          <w:rFonts w:ascii="Arial" w:hAnsi="Arial" w:cs="Arial"/>
        </w:rPr>
        <w:t>[</w:t>
      </w:r>
      <w:r>
        <w:rPr>
          <w:rFonts w:ascii="Arial" w:hAnsi="Arial" w:cs="Arial"/>
        </w:rPr>
        <w:t xml:space="preserve">‘the </w:t>
      </w:r>
      <w:r w:rsidR="00B51915">
        <w:rPr>
          <w:rFonts w:ascii="Arial" w:hAnsi="Arial" w:cs="Arial"/>
        </w:rPr>
        <w:t>hangar</w:t>
      </w:r>
      <w:r>
        <w:rPr>
          <w:rFonts w:ascii="Arial" w:hAnsi="Arial" w:cs="Arial"/>
        </w:rPr>
        <w:t>s’</w:t>
      </w:r>
      <w:r w:rsidR="00DA404B">
        <w:rPr>
          <w:rFonts w:ascii="Arial" w:hAnsi="Arial" w:cs="Arial"/>
        </w:rPr>
        <w:t>]</w:t>
      </w:r>
      <w:r>
        <w:rPr>
          <w:rFonts w:ascii="Arial" w:hAnsi="Arial" w:cs="Arial"/>
        </w:rPr>
        <w:t xml:space="preserve"> to the occupiers or users (‘the </w:t>
      </w:r>
      <w:r w:rsidR="00B51915">
        <w:rPr>
          <w:rFonts w:ascii="Arial" w:hAnsi="Arial" w:cs="Arial"/>
        </w:rPr>
        <w:t>hangar</w:t>
      </w:r>
      <w:r>
        <w:rPr>
          <w:rFonts w:ascii="Arial" w:hAnsi="Arial" w:cs="Arial"/>
        </w:rPr>
        <w:t xml:space="preserve"> sales’);</w:t>
      </w:r>
    </w:p>
    <w:p w14:paraId="186950E2" w14:textId="788D413F" w:rsidR="000A3E08" w:rsidRDefault="000A3E08" w:rsidP="00A650A1">
      <w:pPr>
        <w:tabs>
          <w:tab w:val="left" w:pos="1134"/>
          <w:tab w:val="left" w:pos="1843"/>
        </w:tabs>
        <w:spacing w:before="480" w:after="480" w:line="360" w:lineRule="auto"/>
        <w:ind w:left="1843" w:hanging="709"/>
        <w:rPr>
          <w:rFonts w:ascii="Arial" w:hAnsi="Arial" w:cs="Arial"/>
        </w:rPr>
      </w:pPr>
      <w:r>
        <w:rPr>
          <w:rFonts w:ascii="Arial" w:hAnsi="Arial" w:cs="Arial"/>
        </w:rPr>
        <w:t>30.2</w:t>
      </w:r>
      <w:r>
        <w:rPr>
          <w:rFonts w:ascii="Arial" w:hAnsi="Arial" w:cs="Arial"/>
        </w:rPr>
        <w:tab/>
        <w:t xml:space="preserve">Leasing, alternatively conferring rights of use to purchasers of the aforesaid </w:t>
      </w:r>
      <w:r w:rsidR="00B51915">
        <w:rPr>
          <w:rFonts w:ascii="Arial" w:hAnsi="Arial" w:cs="Arial"/>
        </w:rPr>
        <w:t>hangar</w:t>
      </w:r>
      <w:r>
        <w:rPr>
          <w:rFonts w:ascii="Arial" w:hAnsi="Arial" w:cs="Arial"/>
        </w:rPr>
        <w:t xml:space="preserve">s of the portion of land on which the </w:t>
      </w:r>
      <w:r w:rsidR="00B51915">
        <w:rPr>
          <w:rFonts w:ascii="Arial" w:hAnsi="Arial" w:cs="Arial"/>
        </w:rPr>
        <w:t>hangar/</w:t>
      </w:r>
      <w:r w:rsidR="00611034">
        <w:rPr>
          <w:rFonts w:ascii="Arial" w:hAnsi="Arial" w:cs="Arial"/>
        </w:rPr>
        <w:t>s</w:t>
      </w:r>
      <w:r>
        <w:rPr>
          <w:rFonts w:ascii="Arial" w:hAnsi="Arial" w:cs="Arial"/>
        </w:rPr>
        <w:t xml:space="preserve"> had been built (‘the </w:t>
      </w:r>
      <w:r w:rsidR="00B51915">
        <w:rPr>
          <w:rFonts w:ascii="Arial" w:hAnsi="Arial" w:cs="Arial"/>
        </w:rPr>
        <w:t>hangar</w:t>
      </w:r>
      <w:r>
        <w:rPr>
          <w:rFonts w:ascii="Arial" w:hAnsi="Arial" w:cs="Arial"/>
        </w:rPr>
        <w:t xml:space="preserve"> leases’).</w:t>
      </w:r>
    </w:p>
    <w:p w14:paraId="11F4081B" w14:textId="5E0CF68F" w:rsidR="000A3E08" w:rsidRPr="000A3E08" w:rsidRDefault="000A3E08" w:rsidP="00A650A1">
      <w:pPr>
        <w:tabs>
          <w:tab w:val="left" w:pos="1134"/>
          <w:tab w:val="left" w:pos="1843"/>
        </w:tabs>
        <w:spacing w:before="480" w:after="480" w:line="360" w:lineRule="auto"/>
        <w:ind w:left="1843" w:hanging="709"/>
        <w:rPr>
          <w:rFonts w:ascii="Arial" w:hAnsi="Arial" w:cs="Arial"/>
          <w:i/>
          <w:iCs/>
        </w:rPr>
      </w:pPr>
      <w:r>
        <w:rPr>
          <w:rFonts w:ascii="Arial" w:hAnsi="Arial" w:cs="Arial"/>
        </w:rPr>
        <w:t>31.</w:t>
      </w:r>
      <w:r>
        <w:rPr>
          <w:rFonts w:ascii="Arial" w:hAnsi="Arial" w:cs="Arial"/>
        </w:rPr>
        <w:tab/>
        <w:t xml:space="preserve">Each of the plaintiffs [in the action], as well as Mr Coetzee and </w:t>
      </w:r>
      <w:r w:rsidR="00DA404B">
        <w:rPr>
          <w:rFonts w:ascii="Arial" w:hAnsi="Arial" w:cs="Arial"/>
        </w:rPr>
        <w:t>[Mr Ree</w:t>
      </w:r>
      <w:r w:rsidR="008D43AB">
        <w:rPr>
          <w:rFonts w:ascii="Arial" w:hAnsi="Arial" w:cs="Arial"/>
        </w:rPr>
        <w:t>s</w:t>
      </w:r>
      <w:r w:rsidR="00DA404B">
        <w:rPr>
          <w:rFonts w:ascii="Arial" w:hAnsi="Arial" w:cs="Arial"/>
        </w:rPr>
        <w:t>]</w:t>
      </w:r>
      <w:r>
        <w:rPr>
          <w:rFonts w:ascii="Arial" w:hAnsi="Arial" w:cs="Arial"/>
        </w:rPr>
        <w:t xml:space="preserve"> concluded </w:t>
      </w:r>
      <w:r w:rsidR="00B51915">
        <w:rPr>
          <w:rFonts w:ascii="Arial" w:hAnsi="Arial" w:cs="Arial"/>
        </w:rPr>
        <w:t>hangar</w:t>
      </w:r>
      <w:r>
        <w:rPr>
          <w:rFonts w:ascii="Arial" w:hAnsi="Arial" w:cs="Arial"/>
        </w:rPr>
        <w:t xml:space="preserve"> sales and </w:t>
      </w:r>
      <w:r w:rsidR="00B51915">
        <w:rPr>
          <w:rFonts w:ascii="Arial" w:hAnsi="Arial" w:cs="Arial"/>
        </w:rPr>
        <w:t>hangar</w:t>
      </w:r>
      <w:r>
        <w:rPr>
          <w:rFonts w:ascii="Arial" w:hAnsi="Arial" w:cs="Arial"/>
        </w:rPr>
        <w:t xml:space="preserve"> leases with [Marindafontein] represented by the Vissers.</w:t>
      </w:r>
      <w:r w:rsidR="00CD4479">
        <w:rPr>
          <w:rFonts w:ascii="Arial" w:hAnsi="Arial" w:cs="Arial"/>
        </w:rPr>
        <w:t>”</w:t>
      </w:r>
    </w:p>
    <w:p w14:paraId="7FCBB477" w14:textId="59530E8D" w:rsidR="000A3E08"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[17]</w:t>
      </w:r>
      <w:r>
        <w:rPr>
          <w:rFonts w:ascii="Arial" w:hAnsi="Arial" w:cs="Arial"/>
          <w:sz w:val="24"/>
          <w:szCs w:val="24"/>
        </w:rPr>
        <w:tab/>
      </w:r>
      <w:r w:rsidR="00CD4479">
        <w:rPr>
          <w:rFonts w:ascii="Arial" w:hAnsi="Arial" w:cs="Arial"/>
          <w:sz w:val="24"/>
          <w:szCs w:val="24"/>
        </w:rPr>
        <w:t xml:space="preserve">Although some of the </w:t>
      </w:r>
      <w:r w:rsidR="00B51915">
        <w:rPr>
          <w:rFonts w:ascii="Arial" w:hAnsi="Arial" w:cs="Arial"/>
          <w:sz w:val="24"/>
          <w:szCs w:val="24"/>
        </w:rPr>
        <w:t>hangar</w:t>
      </w:r>
      <w:r w:rsidR="00CD4479">
        <w:rPr>
          <w:rFonts w:ascii="Arial" w:hAnsi="Arial" w:cs="Arial"/>
          <w:sz w:val="24"/>
          <w:szCs w:val="24"/>
        </w:rPr>
        <w:t xml:space="preserve"> leases are in the form of written documents, the Vissers were not diligent in administering and recording the terms of the </w:t>
      </w:r>
      <w:r w:rsidR="00B51915">
        <w:rPr>
          <w:rFonts w:ascii="Arial" w:hAnsi="Arial" w:cs="Arial"/>
          <w:sz w:val="24"/>
          <w:szCs w:val="24"/>
        </w:rPr>
        <w:t>hangar</w:t>
      </w:r>
      <w:r w:rsidR="00CD4479">
        <w:rPr>
          <w:rFonts w:ascii="Arial" w:hAnsi="Arial" w:cs="Arial"/>
          <w:sz w:val="24"/>
          <w:szCs w:val="24"/>
        </w:rPr>
        <w:t xml:space="preserve"> leases with the plaintiffs in the action.</w:t>
      </w:r>
      <w:r w:rsidR="0091234F">
        <w:rPr>
          <w:rFonts w:ascii="Arial" w:hAnsi="Arial" w:cs="Arial"/>
          <w:sz w:val="24"/>
          <w:szCs w:val="24"/>
        </w:rPr>
        <w:t xml:space="preserve"> </w:t>
      </w:r>
      <w:r w:rsidR="00CD4479">
        <w:rPr>
          <w:rFonts w:ascii="Arial" w:hAnsi="Arial" w:cs="Arial"/>
          <w:sz w:val="24"/>
          <w:szCs w:val="24"/>
        </w:rPr>
        <w:t xml:space="preserve"> Mr </w:t>
      </w:r>
      <w:r w:rsidR="00F54132">
        <w:rPr>
          <w:rFonts w:ascii="Arial" w:hAnsi="Arial" w:cs="Arial"/>
          <w:sz w:val="24"/>
          <w:szCs w:val="24"/>
        </w:rPr>
        <w:t>Rees</w:t>
      </w:r>
      <w:r w:rsidR="00DA404B">
        <w:rPr>
          <w:rFonts w:ascii="Arial" w:hAnsi="Arial" w:cs="Arial"/>
          <w:sz w:val="24"/>
          <w:szCs w:val="24"/>
        </w:rPr>
        <w:t xml:space="preserve"> states that</w:t>
      </w:r>
      <w:r w:rsidR="00CD4479">
        <w:rPr>
          <w:rFonts w:ascii="Arial" w:hAnsi="Arial" w:cs="Arial"/>
          <w:sz w:val="24"/>
          <w:szCs w:val="24"/>
        </w:rPr>
        <w:t xml:space="preserve"> </w:t>
      </w:r>
      <w:r w:rsidR="00CD4479" w:rsidRPr="00A650A1">
        <w:rPr>
          <w:rFonts w:ascii="Arial" w:hAnsi="Arial" w:cs="Arial"/>
          <w:iCs/>
          <w:sz w:val="24"/>
          <w:szCs w:val="24"/>
        </w:rPr>
        <w:t>“there is no written document reflecting the terms on which I occupy”</w:t>
      </w:r>
      <w:r w:rsidR="00CD4479">
        <w:rPr>
          <w:rFonts w:ascii="Arial" w:hAnsi="Arial" w:cs="Arial"/>
          <w:sz w:val="24"/>
          <w:szCs w:val="24"/>
        </w:rPr>
        <w:t xml:space="preserve"> the </w:t>
      </w:r>
      <w:r w:rsidR="00B51915">
        <w:rPr>
          <w:rFonts w:ascii="Arial" w:hAnsi="Arial" w:cs="Arial"/>
          <w:sz w:val="24"/>
          <w:szCs w:val="24"/>
        </w:rPr>
        <w:t>hangar</w:t>
      </w:r>
      <w:r w:rsidR="00CD4479">
        <w:rPr>
          <w:rFonts w:ascii="Arial" w:hAnsi="Arial" w:cs="Arial"/>
          <w:sz w:val="24"/>
          <w:szCs w:val="24"/>
        </w:rPr>
        <w:t>.</w:t>
      </w:r>
      <w:r w:rsidR="00CD4479">
        <w:rPr>
          <w:rStyle w:val="FootnoteReference"/>
          <w:rFonts w:ascii="Arial" w:hAnsi="Arial" w:cs="Arial"/>
          <w:sz w:val="24"/>
          <w:szCs w:val="24"/>
        </w:rPr>
        <w:footnoteReference w:id="2"/>
      </w:r>
    </w:p>
    <w:p w14:paraId="243387E7" w14:textId="06508034" w:rsidR="00CD4479"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[18]</w:t>
      </w:r>
      <w:r>
        <w:rPr>
          <w:rFonts w:ascii="Arial" w:hAnsi="Arial" w:cs="Arial"/>
          <w:sz w:val="24"/>
          <w:szCs w:val="24"/>
        </w:rPr>
        <w:tab/>
      </w:r>
      <w:r w:rsidR="00CD4479">
        <w:rPr>
          <w:rFonts w:ascii="Arial" w:hAnsi="Arial" w:cs="Arial"/>
          <w:sz w:val="24"/>
          <w:szCs w:val="24"/>
        </w:rPr>
        <w:t>According to Mr Rees</w:t>
      </w:r>
      <w:r w:rsidR="004E7E4A">
        <w:rPr>
          <w:rFonts w:ascii="Arial" w:hAnsi="Arial" w:cs="Arial"/>
          <w:sz w:val="24"/>
          <w:szCs w:val="24"/>
        </w:rPr>
        <w:t>,</w:t>
      </w:r>
      <w:r w:rsidR="00CD4479">
        <w:rPr>
          <w:rFonts w:ascii="Arial" w:hAnsi="Arial" w:cs="Arial"/>
          <w:sz w:val="24"/>
          <w:szCs w:val="24"/>
        </w:rPr>
        <w:t xml:space="preserve"> he, together with Mr Coetzee and the plaintiffs in the action, were promised a share in Marindafontein by the Vissers. </w:t>
      </w:r>
      <w:r w:rsidR="004E7E4A">
        <w:rPr>
          <w:rFonts w:ascii="Arial" w:hAnsi="Arial" w:cs="Arial"/>
          <w:sz w:val="24"/>
          <w:szCs w:val="24"/>
        </w:rPr>
        <w:t xml:space="preserve"> </w:t>
      </w:r>
      <w:r w:rsidR="00CD4479">
        <w:rPr>
          <w:rFonts w:ascii="Arial" w:hAnsi="Arial" w:cs="Arial"/>
          <w:sz w:val="24"/>
          <w:szCs w:val="24"/>
        </w:rPr>
        <w:t xml:space="preserve">Mr Stopforth </w:t>
      </w:r>
      <w:r w:rsidR="00CD4479">
        <w:rPr>
          <w:rFonts w:ascii="Arial" w:hAnsi="Arial" w:cs="Arial"/>
          <w:sz w:val="24"/>
          <w:szCs w:val="24"/>
        </w:rPr>
        <w:lastRenderedPageBreak/>
        <w:t xml:space="preserve">purchased the </w:t>
      </w:r>
      <w:r w:rsidR="00B51915">
        <w:rPr>
          <w:rFonts w:ascii="Arial" w:hAnsi="Arial" w:cs="Arial"/>
          <w:sz w:val="24"/>
          <w:szCs w:val="24"/>
        </w:rPr>
        <w:t>hangar</w:t>
      </w:r>
      <w:r w:rsidR="00CD4479">
        <w:rPr>
          <w:rFonts w:ascii="Arial" w:hAnsi="Arial" w:cs="Arial"/>
          <w:sz w:val="24"/>
          <w:szCs w:val="24"/>
        </w:rPr>
        <w:t xml:space="preserve"> from Marindafontein during </w:t>
      </w:r>
      <w:r w:rsidR="00611034">
        <w:rPr>
          <w:rFonts w:ascii="Arial" w:hAnsi="Arial" w:cs="Arial"/>
          <w:sz w:val="24"/>
          <w:szCs w:val="24"/>
        </w:rPr>
        <w:t>what he refers to as “</w:t>
      </w:r>
      <w:r w:rsidR="00CD4479">
        <w:rPr>
          <w:rFonts w:ascii="Arial" w:hAnsi="Arial" w:cs="Arial"/>
          <w:sz w:val="24"/>
          <w:szCs w:val="24"/>
        </w:rPr>
        <w:t>the Visser period</w:t>
      </w:r>
      <w:r w:rsidR="00611034">
        <w:rPr>
          <w:rFonts w:ascii="Arial" w:hAnsi="Arial" w:cs="Arial"/>
          <w:sz w:val="24"/>
          <w:szCs w:val="24"/>
        </w:rPr>
        <w:t>”</w:t>
      </w:r>
      <w:r w:rsidR="00CD4479">
        <w:rPr>
          <w:rFonts w:ascii="Arial" w:hAnsi="Arial" w:cs="Arial"/>
          <w:sz w:val="24"/>
          <w:szCs w:val="24"/>
        </w:rPr>
        <w:t>.</w:t>
      </w:r>
    </w:p>
    <w:p w14:paraId="12095F0A" w14:textId="122A92DA" w:rsidR="00CD4479"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[19]</w:t>
      </w:r>
      <w:r>
        <w:rPr>
          <w:rFonts w:ascii="Arial" w:hAnsi="Arial" w:cs="Arial"/>
          <w:sz w:val="24"/>
          <w:szCs w:val="24"/>
        </w:rPr>
        <w:tab/>
      </w:r>
      <w:r w:rsidR="00CD4479">
        <w:rPr>
          <w:rFonts w:ascii="Arial" w:hAnsi="Arial" w:cs="Arial"/>
          <w:sz w:val="24"/>
          <w:szCs w:val="24"/>
        </w:rPr>
        <w:t xml:space="preserve">As to how exactly Mr </w:t>
      </w:r>
      <w:r w:rsidR="00F54132">
        <w:rPr>
          <w:rFonts w:ascii="Arial" w:hAnsi="Arial" w:cs="Arial"/>
          <w:sz w:val="24"/>
          <w:szCs w:val="24"/>
        </w:rPr>
        <w:t>Rees</w:t>
      </w:r>
      <w:r w:rsidR="00CD4479">
        <w:rPr>
          <w:rFonts w:ascii="Arial" w:hAnsi="Arial" w:cs="Arial"/>
          <w:sz w:val="24"/>
          <w:szCs w:val="24"/>
        </w:rPr>
        <w:t xml:space="preserve"> acquired his rights, he states the following:</w:t>
      </w:r>
    </w:p>
    <w:p w14:paraId="0EA047B6" w14:textId="020C36D1" w:rsidR="00CD4479" w:rsidRPr="00CD4479" w:rsidRDefault="009622BE" w:rsidP="00A650A1">
      <w:pPr>
        <w:tabs>
          <w:tab w:val="left" w:pos="1134"/>
          <w:tab w:val="left" w:pos="1843"/>
        </w:tabs>
        <w:spacing w:before="480" w:after="480" w:line="360" w:lineRule="auto"/>
        <w:ind w:left="1843" w:hanging="709"/>
        <w:rPr>
          <w:rFonts w:ascii="Arial" w:hAnsi="Arial" w:cs="Arial"/>
        </w:rPr>
      </w:pPr>
      <w:r>
        <w:rPr>
          <w:rFonts w:ascii="Arial" w:hAnsi="Arial" w:cs="Arial"/>
          <w:sz w:val="24"/>
          <w:szCs w:val="24"/>
        </w:rPr>
        <w:t>“</w:t>
      </w:r>
      <w:r w:rsidR="00CD4479">
        <w:rPr>
          <w:rFonts w:ascii="Arial" w:hAnsi="Arial" w:cs="Arial"/>
        </w:rPr>
        <w:t>47.</w:t>
      </w:r>
      <w:r w:rsidR="00CD4479">
        <w:rPr>
          <w:rFonts w:ascii="Arial" w:hAnsi="Arial" w:cs="Arial"/>
        </w:rPr>
        <w:tab/>
        <w:t xml:space="preserve">Approximately three years ago Mr Stopforth who knew I was looking to purchase a </w:t>
      </w:r>
      <w:r w:rsidR="00B51915">
        <w:rPr>
          <w:rFonts w:ascii="Arial" w:hAnsi="Arial" w:cs="Arial"/>
        </w:rPr>
        <w:t>hangar</w:t>
      </w:r>
      <w:r w:rsidR="00CD4479">
        <w:rPr>
          <w:rFonts w:ascii="Arial" w:hAnsi="Arial" w:cs="Arial"/>
        </w:rPr>
        <w:t xml:space="preserve"> at the airfield called me. He told me he has </w:t>
      </w:r>
      <w:r w:rsidR="004E7E4A">
        <w:rPr>
          <w:rFonts w:ascii="Arial" w:hAnsi="Arial" w:cs="Arial"/>
        </w:rPr>
        <w:t>[</w:t>
      </w:r>
      <w:r w:rsidR="00CD4479" w:rsidRPr="00A650A1">
        <w:rPr>
          <w:rFonts w:ascii="Arial" w:hAnsi="Arial" w:cs="Arial"/>
          <w:iCs/>
        </w:rPr>
        <w:t>sic</w:t>
      </w:r>
      <w:r w:rsidR="004E7E4A">
        <w:rPr>
          <w:rFonts w:ascii="Arial" w:hAnsi="Arial" w:cs="Arial"/>
        </w:rPr>
        <w:t>]</w:t>
      </w:r>
      <w:r w:rsidR="00CD4479">
        <w:rPr>
          <w:rFonts w:ascii="Arial" w:hAnsi="Arial" w:cs="Arial"/>
        </w:rPr>
        <w:t xml:space="preserve"> selling his </w:t>
      </w:r>
      <w:r w:rsidR="00B51915">
        <w:rPr>
          <w:rFonts w:ascii="Arial" w:hAnsi="Arial" w:cs="Arial"/>
        </w:rPr>
        <w:t>hangar</w:t>
      </w:r>
      <w:r w:rsidR="00CD4479">
        <w:rPr>
          <w:rFonts w:ascii="Arial" w:hAnsi="Arial" w:cs="Arial"/>
        </w:rPr>
        <w:t xml:space="preserve"> and was looking for a buyer. I was interested and in due course I purchased my </w:t>
      </w:r>
      <w:r w:rsidR="00B51915">
        <w:rPr>
          <w:rFonts w:ascii="Arial" w:hAnsi="Arial" w:cs="Arial"/>
        </w:rPr>
        <w:t>hangar</w:t>
      </w:r>
      <w:r w:rsidR="00CD4479">
        <w:rPr>
          <w:rFonts w:ascii="Arial" w:hAnsi="Arial" w:cs="Arial"/>
        </w:rPr>
        <w:t xml:space="preserve"> from Mr Stopforth and paid him for it. When I say that I purchased my </w:t>
      </w:r>
      <w:r w:rsidR="00B51915">
        <w:rPr>
          <w:rFonts w:ascii="Arial" w:hAnsi="Arial" w:cs="Arial"/>
        </w:rPr>
        <w:t>hangar</w:t>
      </w:r>
      <w:r w:rsidR="00CD4479">
        <w:rPr>
          <w:rFonts w:ascii="Arial" w:hAnsi="Arial" w:cs="Arial"/>
        </w:rPr>
        <w:t xml:space="preserve"> from Mr Stopforth I need to emphasise that in so doing Mr Stopforth ceded and made over all of his right and title in the </w:t>
      </w:r>
      <w:r w:rsidR="00B51915">
        <w:rPr>
          <w:rFonts w:ascii="Arial" w:hAnsi="Arial" w:cs="Arial"/>
        </w:rPr>
        <w:t>hangar</w:t>
      </w:r>
      <w:r w:rsidR="00CD4479">
        <w:rPr>
          <w:rFonts w:ascii="Arial" w:hAnsi="Arial" w:cs="Arial"/>
        </w:rPr>
        <w:t xml:space="preserve"> sale and </w:t>
      </w:r>
      <w:r w:rsidR="00B51915">
        <w:rPr>
          <w:rFonts w:ascii="Arial" w:hAnsi="Arial" w:cs="Arial"/>
        </w:rPr>
        <w:t>hangar</w:t>
      </w:r>
      <w:r w:rsidR="00CD4479">
        <w:rPr>
          <w:rFonts w:ascii="Arial" w:hAnsi="Arial" w:cs="Arial"/>
        </w:rPr>
        <w:t xml:space="preserve"> lease agreement he had concluded with [Marindafontein] </w:t>
      </w:r>
      <w:r w:rsidR="00D92F5D">
        <w:rPr>
          <w:rFonts w:ascii="Arial" w:hAnsi="Arial" w:cs="Arial"/>
        </w:rPr>
        <w:t>during the Visser period</w:t>
      </w:r>
      <w:r w:rsidR="00FA7BD9">
        <w:rPr>
          <w:rFonts w:ascii="Arial" w:hAnsi="Arial" w:cs="Arial"/>
        </w:rPr>
        <w:t xml:space="preserve"> when [Marindafontein] was represented by the Vissers. In other words in consequence of my purchase of my </w:t>
      </w:r>
      <w:r w:rsidR="00B51915">
        <w:rPr>
          <w:rFonts w:ascii="Arial" w:hAnsi="Arial" w:cs="Arial"/>
        </w:rPr>
        <w:t>hangar</w:t>
      </w:r>
      <w:r w:rsidR="00FA7BD9">
        <w:rPr>
          <w:rFonts w:ascii="Arial" w:hAnsi="Arial" w:cs="Arial"/>
        </w:rPr>
        <w:t xml:space="preserve"> I stepped into the shoes of Mr Stopforth in so far as his relationship with [Marindafontein] is concerned. The Vissers are well aware of Mr Stopforth having sold his </w:t>
      </w:r>
      <w:r w:rsidR="00B51915">
        <w:rPr>
          <w:rFonts w:ascii="Arial" w:hAnsi="Arial" w:cs="Arial"/>
        </w:rPr>
        <w:t>hangar</w:t>
      </w:r>
      <w:r w:rsidR="00FA7BD9">
        <w:rPr>
          <w:rFonts w:ascii="Arial" w:hAnsi="Arial" w:cs="Arial"/>
        </w:rPr>
        <w:t xml:space="preserve"> to me.”</w:t>
      </w:r>
    </w:p>
    <w:p w14:paraId="7D3EF306" w14:textId="0337E3CB" w:rsidR="0082520A" w:rsidRPr="007E22B7" w:rsidRDefault="00170630" w:rsidP="00170630">
      <w:pPr>
        <w:tabs>
          <w:tab w:val="left" w:pos="692"/>
        </w:tabs>
        <w:spacing w:before="480" w:after="480" w:line="360" w:lineRule="auto"/>
        <w:ind w:left="692" w:hanging="692"/>
        <w:rPr>
          <w:rFonts w:ascii="Arial" w:hAnsi="Arial" w:cs="Arial"/>
          <w:sz w:val="24"/>
          <w:szCs w:val="24"/>
        </w:rPr>
      </w:pPr>
      <w:r w:rsidRPr="007E22B7">
        <w:rPr>
          <w:rFonts w:ascii="Arial" w:hAnsi="Arial" w:cs="Arial"/>
          <w:sz w:val="24"/>
          <w:szCs w:val="24"/>
        </w:rPr>
        <w:t>[20]</w:t>
      </w:r>
      <w:r w:rsidRPr="007E22B7">
        <w:rPr>
          <w:rFonts w:ascii="Arial" w:hAnsi="Arial" w:cs="Arial"/>
          <w:sz w:val="24"/>
          <w:szCs w:val="24"/>
        </w:rPr>
        <w:tab/>
      </w:r>
      <w:r w:rsidR="0082520A" w:rsidRPr="007E22B7">
        <w:rPr>
          <w:rFonts w:ascii="Arial" w:hAnsi="Arial" w:cs="Arial"/>
          <w:sz w:val="24"/>
          <w:szCs w:val="24"/>
        </w:rPr>
        <w:t xml:space="preserve">Mr </w:t>
      </w:r>
      <w:r w:rsidR="00F54132">
        <w:rPr>
          <w:rFonts w:ascii="Arial" w:hAnsi="Arial" w:cs="Arial"/>
          <w:sz w:val="24"/>
          <w:szCs w:val="24"/>
        </w:rPr>
        <w:t>Rees</w:t>
      </w:r>
      <w:r w:rsidR="0082520A" w:rsidRPr="007E22B7">
        <w:rPr>
          <w:rFonts w:ascii="Arial" w:hAnsi="Arial" w:cs="Arial"/>
          <w:sz w:val="24"/>
          <w:szCs w:val="24"/>
        </w:rPr>
        <w:t xml:space="preserve"> says that he received an invoice from Marindafontein every month and he made payment to Marindafontein in respect of the </w:t>
      </w:r>
      <w:r w:rsidR="00B51915">
        <w:rPr>
          <w:rFonts w:ascii="Arial" w:hAnsi="Arial" w:cs="Arial"/>
          <w:sz w:val="24"/>
          <w:szCs w:val="24"/>
        </w:rPr>
        <w:t>hangar</w:t>
      </w:r>
      <w:r w:rsidR="0082520A" w:rsidRPr="007E22B7">
        <w:rPr>
          <w:rFonts w:ascii="Arial" w:hAnsi="Arial" w:cs="Arial"/>
          <w:sz w:val="24"/>
          <w:szCs w:val="24"/>
        </w:rPr>
        <w:t xml:space="preserve"> lease until June</w:t>
      </w:r>
      <w:r w:rsidR="000A57BC">
        <w:rPr>
          <w:rFonts w:ascii="Arial" w:hAnsi="Arial" w:cs="Arial"/>
          <w:sz w:val="24"/>
          <w:szCs w:val="24"/>
        </w:rPr>
        <w:t> </w:t>
      </w:r>
      <w:r w:rsidR="0082520A" w:rsidRPr="007E22B7">
        <w:rPr>
          <w:rFonts w:ascii="Arial" w:hAnsi="Arial" w:cs="Arial"/>
          <w:sz w:val="24"/>
          <w:szCs w:val="24"/>
        </w:rPr>
        <w:t>2022.</w:t>
      </w:r>
      <w:r w:rsidR="0082520A" w:rsidRPr="00032986">
        <w:rPr>
          <w:rStyle w:val="FootnoteReference"/>
          <w:rFonts w:ascii="Arial" w:hAnsi="Arial" w:cs="Arial"/>
          <w:sz w:val="24"/>
          <w:szCs w:val="24"/>
        </w:rPr>
        <w:footnoteReference w:id="3"/>
      </w:r>
      <w:r w:rsidR="007E22B7" w:rsidRPr="007E22B7">
        <w:rPr>
          <w:rFonts w:ascii="Arial" w:hAnsi="Arial" w:cs="Arial"/>
          <w:sz w:val="24"/>
          <w:szCs w:val="24"/>
        </w:rPr>
        <w:t xml:space="preserve"> </w:t>
      </w:r>
      <w:r w:rsidR="0082520A" w:rsidRPr="007E22B7">
        <w:rPr>
          <w:rFonts w:ascii="Arial" w:hAnsi="Arial" w:cs="Arial"/>
          <w:sz w:val="24"/>
          <w:szCs w:val="24"/>
        </w:rPr>
        <w:t>A number of invoices are attached to the answering affidavit in support of this allegation.</w:t>
      </w:r>
      <w:r w:rsidR="0082520A" w:rsidRPr="00032986">
        <w:rPr>
          <w:rStyle w:val="FootnoteReference"/>
          <w:rFonts w:ascii="Arial" w:hAnsi="Arial" w:cs="Arial"/>
          <w:sz w:val="24"/>
          <w:szCs w:val="24"/>
        </w:rPr>
        <w:footnoteReference w:id="4"/>
      </w:r>
    </w:p>
    <w:p w14:paraId="1E95FAA5" w14:textId="2AD6884E" w:rsidR="0082520A" w:rsidRPr="00032986" w:rsidRDefault="00170630" w:rsidP="00170630">
      <w:pPr>
        <w:tabs>
          <w:tab w:val="left" w:pos="692"/>
        </w:tabs>
        <w:spacing w:before="480" w:after="480" w:line="360" w:lineRule="auto"/>
        <w:ind w:left="692" w:hanging="692"/>
        <w:rPr>
          <w:rFonts w:ascii="Arial" w:hAnsi="Arial" w:cs="Arial"/>
          <w:sz w:val="24"/>
          <w:szCs w:val="24"/>
        </w:rPr>
      </w:pPr>
      <w:r w:rsidRPr="00032986">
        <w:rPr>
          <w:rFonts w:ascii="Arial" w:hAnsi="Arial" w:cs="Arial"/>
          <w:sz w:val="24"/>
          <w:szCs w:val="24"/>
        </w:rPr>
        <w:t>[21]</w:t>
      </w:r>
      <w:r w:rsidRPr="00032986">
        <w:rPr>
          <w:rFonts w:ascii="Arial" w:hAnsi="Arial" w:cs="Arial"/>
          <w:sz w:val="24"/>
          <w:szCs w:val="24"/>
        </w:rPr>
        <w:tab/>
      </w:r>
      <w:r w:rsidR="0082520A" w:rsidRPr="00032986">
        <w:rPr>
          <w:rFonts w:ascii="Arial" w:hAnsi="Arial" w:cs="Arial"/>
          <w:sz w:val="24"/>
          <w:szCs w:val="24"/>
        </w:rPr>
        <w:t>He says that he also periodically received confirmations of ground rental and utilities from Marindafontein and attached an example dated 25 August 2021 to the answering affidavit.</w:t>
      </w:r>
      <w:r w:rsidR="0082520A" w:rsidRPr="00032986">
        <w:rPr>
          <w:rStyle w:val="FootnoteReference"/>
          <w:rFonts w:ascii="Arial" w:hAnsi="Arial" w:cs="Arial"/>
          <w:sz w:val="24"/>
          <w:szCs w:val="24"/>
        </w:rPr>
        <w:footnoteReference w:id="5"/>
      </w:r>
    </w:p>
    <w:p w14:paraId="03DC6045" w14:textId="764AB389" w:rsidR="00032986"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[22]</w:t>
      </w:r>
      <w:r>
        <w:rPr>
          <w:rFonts w:ascii="Arial" w:hAnsi="Arial" w:cs="Arial"/>
          <w:sz w:val="24"/>
          <w:szCs w:val="24"/>
        </w:rPr>
        <w:tab/>
      </w:r>
      <w:r w:rsidR="00032986" w:rsidRPr="00032986">
        <w:rPr>
          <w:rFonts w:ascii="Arial" w:hAnsi="Arial" w:cs="Arial"/>
          <w:sz w:val="24"/>
          <w:szCs w:val="24"/>
        </w:rPr>
        <w:t xml:space="preserve">Regarding the </w:t>
      </w:r>
      <w:r w:rsidR="00032986" w:rsidRPr="00A650A1">
        <w:rPr>
          <w:rFonts w:ascii="Arial" w:hAnsi="Arial" w:cs="Arial"/>
          <w:iCs/>
          <w:sz w:val="24"/>
          <w:szCs w:val="24"/>
        </w:rPr>
        <w:t>“encounter”</w:t>
      </w:r>
      <w:r w:rsidR="00032986" w:rsidRPr="00032986">
        <w:rPr>
          <w:rFonts w:ascii="Arial" w:hAnsi="Arial" w:cs="Arial"/>
          <w:sz w:val="24"/>
          <w:szCs w:val="24"/>
        </w:rPr>
        <w:t xml:space="preserve"> he had with Mr Coetzee after Mr Coetzee had purchased the Vissers’ shares, Mr </w:t>
      </w:r>
      <w:r w:rsidR="00F54132">
        <w:rPr>
          <w:rFonts w:ascii="Arial" w:hAnsi="Arial" w:cs="Arial"/>
          <w:sz w:val="24"/>
          <w:szCs w:val="24"/>
        </w:rPr>
        <w:t>Rees</w:t>
      </w:r>
      <w:r w:rsidR="00032986" w:rsidRPr="00032986">
        <w:rPr>
          <w:rFonts w:ascii="Arial" w:hAnsi="Arial" w:cs="Arial"/>
          <w:sz w:val="24"/>
          <w:szCs w:val="24"/>
        </w:rPr>
        <w:t xml:space="preserve"> states that:</w:t>
      </w:r>
    </w:p>
    <w:p w14:paraId="3000D0D5" w14:textId="1942FF61" w:rsidR="00032986" w:rsidRPr="00AD7B57" w:rsidRDefault="00032986" w:rsidP="00A650A1">
      <w:pPr>
        <w:tabs>
          <w:tab w:val="left" w:pos="1134"/>
          <w:tab w:val="left" w:pos="1843"/>
        </w:tabs>
        <w:spacing w:before="480" w:after="480" w:line="360" w:lineRule="auto"/>
        <w:ind w:left="1843" w:hanging="709"/>
        <w:rPr>
          <w:rFonts w:ascii="Arial" w:hAnsi="Arial" w:cs="Arial"/>
        </w:rPr>
      </w:pPr>
      <w:r w:rsidRPr="00AD7B57">
        <w:rPr>
          <w:rFonts w:ascii="Arial" w:hAnsi="Arial" w:cs="Arial"/>
        </w:rPr>
        <w:lastRenderedPageBreak/>
        <w:t>“</w:t>
      </w:r>
      <w:r w:rsidR="00AD7B57" w:rsidRPr="00AD7B57">
        <w:rPr>
          <w:rFonts w:ascii="Arial" w:hAnsi="Arial" w:cs="Arial"/>
        </w:rPr>
        <w:t>59.</w:t>
      </w:r>
      <w:r w:rsidR="00AD7B57" w:rsidRPr="00AD7B57">
        <w:rPr>
          <w:rFonts w:ascii="Arial" w:hAnsi="Arial" w:cs="Arial"/>
        </w:rPr>
        <w:tab/>
        <w:t>During this mee</w:t>
      </w:r>
      <w:r w:rsidR="00AD7B57">
        <w:rPr>
          <w:rFonts w:ascii="Arial" w:hAnsi="Arial" w:cs="Arial"/>
        </w:rPr>
        <w:t xml:space="preserve">ting he made all sorts of statements about how he had now taken over the whole airfield and wanted to make various improvements including improving security and the aesthetics of the whole place. We discussed changing the arrangement I had in place whereby I paid my monthly </w:t>
      </w:r>
      <w:r w:rsidR="00B51915">
        <w:rPr>
          <w:rFonts w:ascii="Arial" w:hAnsi="Arial" w:cs="Arial"/>
        </w:rPr>
        <w:t>hangar</w:t>
      </w:r>
      <w:r w:rsidR="00AD7B57">
        <w:rPr>
          <w:rFonts w:ascii="Arial" w:hAnsi="Arial" w:cs="Arial"/>
        </w:rPr>
        <w:t xml:space="preserve"> lease payment through Mr Stopforth to [Marindafontein]</w:t>
      </w:r>
      <w:r w:rsidR="008537BB">
        <w:rPr>
          <w:rFonts w:ascii="Arial" w:hAnsi="Arial" w:cs="Arial"/>
        </w:rPr>
        <w:t>. Mr Coetzee agreed that I should pay [Marindafontein] directly. I duly did so. …”.</w:t>
      </w:r>
    </w:p>
    <w:p w14:paraId="4ECBDC90" w14:textId="55BAB1FA" w:rsidR="00032986" w:rsidRPr="004627CA" w:rsidRDefault="00170630" w:rsidP="00170630">
      <w:pPr>
        <w:tabs>
          <w:tab w:val="left" w:pos="692"/>
        </w:tabs>
        <w:spacing w:before="480" w:after="480" w:line="360" w:lineRule="auto"/>
        <w:ind w:left="692" w:hanging="692"/>
        <w:rPr>
          <w:rFonts w:ascii="Arial" w:hAnsi="Arial" w:cs="Arial"/>
          <w:sz w:val="24"/>
          <w:szCs w:val="24"/>
        </w:rPr>
      </w:pPr>
      <w:r w:rsidRPr="004627CA">
        <w:rPr>
          <w:rFonts w:ascii="Arial" w:hAnsi="Arial" w:cs="Arial"/>
          <w:sz w:val="24"/>
          <w:szCs w:val="24"/>
        </w:rPr>
        <w:t>[23]</w:t>
      </w:r>
      <w:r w:rsidRPr="004627CA">
        <w:rPr>
          <w:rFonts w:ascii="Arial" w:hAnsi="Arial" w:cs="Arial"/>
          <w:sz w:val="24"/>
          <w:szCs w:val="24"/>
        </w:rPr>
        <w:tab/>
      </w:r>
      <w:r w:rsidR="008537BB">
        <w:rPr>
          <w:rFonts w:ascii="Arial" w:hAnsi="Arial" w:cs="Arial"/>
          <w:sz w:val="24"/>
          <w:szCs w:val="24"/>
        </w:rPr>
        <w:t>Copies of proof of payments</w:t>
      </w:r>
      <w:r w:rsidR="00B51915">
        <w:rPr>
          <w:rFonts w:ascii="Arial" w:hAnsi="Arial" w:cs="Arial"/>
          <w:sz w:val="24"/>
          <w:szCs w:val="24"/>
        </w:rPr>
        <w:t xml:space="preserve"> made by Mr </w:t>
      </w:r>
      <w:r w:rsidR="00F54132">
        <w:rPr>
          <w:rFonts w:ascii="Arial" w:hAnsi="Arial" w:cs="Arial"/>
          <w:sz w:val="24"/>
          <w:szCs w:val="24"/>
        </w:rPr>
        <w:t>Rees</w:t>
      </w:r>
      <w:r w:rsidR="008537BB">
        <w:rPr>
          <w:rFonts w:ascii="Arial" w:hAnsi="Arial" w:cs="Arial"/>
          <w:sz w:val="24"/>
          <w:szCs w:val="24"/>
        </w:rPr>
        <w:t xml:space="preserve"> </w:t>
      </w:r>
      <w:r w:rsidR="004627CA">
        <w:rPr>
          <w:rFonts w:ascii="Arial" w:hAnsi="Arial" w:cs="Arial"/>
          <w:sz w:val="24"/>
          <w:szCs w:val="24"/>
        </w:rPr>
        <w:t>directly to Marindafontein are attached to the answering affidavit.</w:t>
      </w:r>
      <w:r w:rsidR="004627CA">
        <w:rPr>
          <w:rStyle w:val="FootnoteReference"/>
          <w:rFonts w:ascii="Arial" w:hAnsi="Arial" w:cs="Arial"/>
          <w:sz w:val="24"/>
          <w:szCs w:val="24"/>
        </w:rPr>
        <w:footnoteReference w:id="6"/>
      </w:r>
    </w:p>
    <w:p w14:paraId="4A0FE1FF" w14:textId="206B76D6" w:rsidR="00032986"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[24]</w:t>
      </w:r>
      <w:r>
        <w:rPr>
          <w:rFonts w:ascii="Arial" w:hAnsi="Arial" w:cs="Arial"/>
          <w:sz w:val="24"/>
          <w:szCs w:val="24"/>
        </w:rPr>
        <w:tab/>
      </w:r>
      <w:r w:rsidR="001D0EC5">
        <w:rPr>
          <w:rFonts w:ascii="Arial" w:hAnsi="Arial" w:cs="Arial"/>
          <w:sz w:val="24"/>
          <w:szCs w:val="24"/>
        </w:rPr>
        <w:t xml:space="preserve">During the Visser period, Mr </w:t>
      </w:r>
      <w:r w:rsidR="00F54132">
        <w:rPr>
          <w:rFonts w:ascii="Arial" w:hAnsi="Arial" w:cs="Arial"/>
          <w:sz w:val="24"/>
          <w:szCs w:val="24"/>
        </w:rPr>
        <w:t>Rees</w:t>
      </w:r>
      <w:r w:rsidR="001D0EC5">
        <w:rPr>
          <w:rFonts w:ascii="Arial" w:hAnsi="Arial" w:cs="Arial"/>
          <w:sz w:val="24"/>
          <w:szCs w:val="24"/>
        </w:rPr>
        <w:t xml:space="preserve"> also, with the consent of Marindafontein according to him, made various improvements to the </w:t>
      </w:r>
      <w:r w:rsidR="00B51915">
        <w:rPr>
          <w:rFonts w:ascii="Arial" w:hAnsi="Arial" w:cs="Arial"/>
          <w:sz w:val="24"/>
          <w:szCs w:val="24"/>
        </w:rPr>
        <w:t>hangar</w:t>
      </w:r>
      <w:r w:rsidR="001D0EC5">
        <w:rPr>
          <w:rFonts w:ascii="Arial" w:hAnsi="Arial" w:cs="Arial"/>
          <w:sz w:val="24"/>
          <w:szCs w:val="24"/>
        </w:rPr>
        <w:t xml:space="preserve">, including flooring, installation of a bathroom/toilet and installation of a kitchenette. Certain structural improvements were also paid for by Mr </w:t>
      </w:r>
      <w:r w:rsidR="00F54132">
        <w:rPr>
          <w:rFonts w:ascii="Arial" w:hAnsi="Arial" w:cs="Arial"/>
          <w:sz w:val="24"/>
          <w:szCs w:val="24"/>
        </w:rPr>
        <w:t>Rees</w:t>
      </w:r>
      <w:r w:rsidR="001D0EC5">
        <w:rPr>
          <w:rFonts w:ascii="Arial" w:hAnsi="Arial" w:cs="Arial"/>
          <w:sz w:val="24"/>
          <w:szCs w:val="24"/>
        </w:rPr>
        <w:t xml:space="preserve">. </w:t>
      </w:r>
      <w:r w:rsidR="00CD692B">
        <w:rPr>
          <w:rFonts w:ascii="Arial" w:hAnsi="Arial" w:cs="Arial"/>
          <w:sz w:val="24"/>
          <w:szCs w:val="24"/>
        </w:rPr>
        <w:t xml:space="preserve"> </w:t>
      </w:r>
      <w:r w:rsidR="001D0EC5">
        <w:rPr>
          <w:rFonts w:ascii="Arial" w:hAnsi="Arial" w:cs="Arial"/>
          <w:sz w:val="24"/>
          <w:szCs w:val="24"/>
        </w:rPr>
        <w:t xml:space="preserve">According to Mr </w:t>
      </w:r>
      <w:r w:rsidR="00F54132">
        <w:rPr>
          <w:rFonts w:ascii="Arial" w:hAnsi="Arial" w:cs="Arial"/>
          <w:sz w:val="24"/>
          <w:szCs w:val="24"/>
        </w:rPr>
        <w:t>Rees</w:t>
      </w:r>
      <w:r w:rsidR="001D0EC5">
        <w:rPr>
          <w:rFonts w:ascii="Arial" w:hAnsi="Arial" w:cs="Arial"/>
          <w:sz w:val="24"/>
          <w:szCs w:val="24"/>
        </w:rPr>
        <w:t xml:space="preserve">, Mr Coetzee seeks to deprive Mr </w:t>
      </w:r>
      <w:r w:rsidR="00F54132">
        <w:rPr>
          <w:rFonts w:ascii="Arial" w:hAnsi="Arial" w:cs="Arial"/>
          <w:sz w:val="24"/>
          <w:szCs w:val="24"/>
        </w:rPr>
        <w:t>Rees</w:t>
      </w:r>
      <w:r w:rsidR="001D0EC5">
        <w:rPr>
          <w:rFonts w:ascii="Arial" w:hAnsi="Arial" w:cs="Arial"/>
          <w:sz w:val="24"/>
          <w:szCs w:val="24"/>
        </w:rPr>
        <w:t xml:space="preserve"> of the money spent in improving the </w:t>
      </w:r>
      <w:r w:rsidR="00B51915">
        <w:rPr>
          <w:rFonts w:ascii="Arial" w:hAnsi="Arial" w:cs="Arial"/>
          <w:sz w:val="24"/>
          <w:szCs w:val="24"/>
        </w:rPr>
        <w:t>hangar</w:t>
      </w:r>
      <w:r w:rsidR="001D0EC5">
        <w:rPr>
          <w:rFonts w:ascii="Arial" w:hAnsi="Arial" w:cs="Arial"/>
          <w:sz w:val="24"/>
          <w:szCs w:val="24"/>
        </w:rPr>
        <w:t xml:space="preserve"> and that the eviction application is </w:t>
      </w:r>
      <w:r w:rsidR="001D0EC5">
        <w:rPr>
          <w:rFonts w:ascii="Arial" w:hAnsi="Arial" w:cs="Arial"/>
          <w:i/>
          <w:iCs/>
          <w:sz w:val="24"/>
          <w:szCs w:val="24"/>
        </w:rPr>
        <w:t>“</w:t>
      </w:r>
      <w:r w:rsidR="001D0EC5" w:rsidRPr="00A650A1">
        <w:rPr>
          <w:rFonts w:ascii="Arial" w:hAnsi="Arial" w:cs="Arial"/>
          <w:iCs/>
          <w:sz w:val="24"/>
          <w:szCs w:val="24"/>
        </w:rPr>
        <w:t>part of his strategy to unlawfully enrich himself”</w:t>
      </w:r>
      <w:r w:rsidR="001D0EC5" w:rsidRPr="007E2823">
        <w:rPr>
          <w:rFonts w:ascii="Arial" w:hAnsi="Arial" w:cs="Arial"/>
          <w:sz w:val="24"/>
          <w:szCs w:val="24"/>
        </w:rPr>
        <w:t>.</w:t>
      </w:r>
      <w:r w:rsidR="001D0EC5">
        <w:rPr>
          <w:rStyle w:val="FootnoteReference"/>
          <w:rFonts w:ascii="Arial" w:hAnsi="Arial" w:cs="Arial"/>
          <w:sz w:val="24"/>
          <w:szCs w:val="24"/>
        </w:rPr>
        <w:footnoteReference w:id="7"/>
      </w:r>
    </w:p>
    <w:p w14:paraId="4750FE6C" w14:textId="2F035F62" w:rsidR="001D0EC5" w:rsidRPr="001D0EC5" w:rsidRDefault="001D0EC5" w:rsidP="00DE1618">
      <w:pPr>
        <w:spacing w:before="480" w:after="480" w:line="360" w:lineRule="auto"/>
        <w:rPr>
          <w:rFonts w:ascii="Arial" w:hAnsi="Arial" w:cs="Arial"/>
          <w:i/>
          <w:iCs/>
          <w:sz w:val="24"/>
          <w:szCs w:val="24"/>
        </w:rPr>
      </w:pPr>
      <w:r>
        <w:rPr>
          <w:rFonts w:ascii="Arial" w:hAnsi="Arial" w:cs="Arial"/>
          <w:i/>
          <w:iCs/>
          <w:sz w:val="24"/>
          <w:szCs w:val="24"/>
        </w:rPr>
        <w:t>Authority of Mr Coetzee</w:t>
      </w:r>
    </w:p>
    <w:p w14:paraId="1C538F02" w14:textId="2E7382BE" w:rsidR="006849BE"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[25]</w:t>
      </w:r>
      <w:r>
        <w:rPr>
          <w:rFonts w:ascii="Arial" w:hAnsi="Arial" w:cs="Arial"/>
          <w:sz w:val="24"/>
          <w:szCs w:val="24"/>
        </w:rPr>
        <w:tab/>
      </w:r>
      <w:r w:rsidR="006849BE">
        <w:rPr>
          <w:rFonts w:ascii="Arial" w:hAnsi="Arial" w:cs="Arial"/>
          <w:sz w:val="24"/>
          <w:szCs w:val="24"/>
        </w:rPr>
        <w:t xml:space="preserve">Mr Hollander who appeared for Marindafontein, submitted that Mr Coetzee is the sole director of Marindafontein as appears from the company search referred to above. </w:t>
      </w:r>
      <w:r w:rsidR="002B1E38">
        <w:rPr>
          <w:rFonts w:ascii="Arial" w:hAnsi="Arial" w:cs="Arial"/>
          <w:sz w:val="24"/>
          <w:szCs w:val="24"/>
        </w:rPr>
        <w:t xml:space="preserve"> </w:t>
      </w:r>
      <w:r w:rsidR="006849BE">
        <w:rPr>
          <w:rFonts w:ascii="Arial" w:hAnsi="Arial" w:cs="Arial"/>
          <w:sz w:val="24"/>
          <w:szCs w:val="24"/>
        </w:rPr>
        <w:t xml:space="preserve">Mr Rees’ challenge to the authority of Mr Coetzee is premised on the allegations made and the relief sought in the action. </w:t>
      </w:r>
      <w:r w:rsidR="002B1E38">
        <w:rPr>
          <w:rFonts w:ascii="Arial" w:hAnsi="Arial" w:cs="Arial"/>
          <w:sz w:val="24"/>
          <w:szCs w:val="24"/>
        </w:rPr>
        <w:t xml:space="preserve"> </w:t>
      </w:r>
      <w:r w:rsidR="006849BE">
        <w:rPr>
          <w:rFonts w:ascii="Arial" w:hAnsi="Arial" w:cs="Arial"/>
          <w:sz w:val="24"/>
          <w:szCs w:val="24"/>
        </w:rPr>
        <w:t xml:space="preserve">But, the relief sought by Mr Rees (and the other plaintiffs) in the action has no bearing on Mr Coetzee’s appointment as the director of Marindafontein. </w:t>
      </w:r>
      <w:r w:rsidR="002B1E38">
        <w:rPr>
          <w:rFonts w:ascii="Arial" w:hAnsi="Arial" w:cs="Arial"/>
          <w:sz w:val="24"/>
          <w:szCs w:val="24"/>
        </w:rPr>
        <w:t xml:space="preserve"> </w:t>
      </w:r>
      <w:r w:rsidR="006849BE">
        <w:rPr>
          <w:rFonts w:ascii="Arial" w:hAnsi="Arial" w:cs="Arial"/>
          <w:sz w:val="24"/>
          <w:szCs w:val="24"/>
        </w:rPr>
        <w:t>No relief is sought in the action to have Mr Coetzee removed as a director of Marindafontein or to the effect that his appointment as a director is declared unlawful.</w:t>
      </w:r>
      <w:r w:rsidR="002B1E38">
        <w:rPr>
          <w:rFonts w:ascii="Arial" w:hAnsi="Arial" w:cs="Arial"/>
          <w:sz w:val="24"/>
          <w:szCs w:val="24"/>
        </w:rPr>
        <w:t xml:space="preserve"> </w:t>
      </w:r>
      <w:r w:rsidR="006849BE">
        <w:rPr>
          <w:rFonts w:ascii="Arial" w:hAnsi="Arial" w:cs="Arial"/>
          <w:sz w:val="24"/>
          <w:szCs w:val="24"/>
        </w:rPr>
        <w:t xml:space="preserve"> In other words, even if the relief sought by Mr Rees and the other plaintiffs in the action was to be granted, Mr Coetzee would remain, as has been </w:t>
      </w:r>
      <w:r w:rsidR="006849BE">
        <w:rPr>
          <w:rFonts w:ascii="Arial" w:hAnsi="Arial" w:cs="Arial"/>
          <w:sz w:val="24"/>
          <w:szCs w:val="24"/>
        </w:rPr>
        <w:lastRenderedPageBreak/>
        <w:t>the position since June 2022, prior to the institution of the application, the sole director of Marindafontein.</w:t>
      </w:r>
      <w:r w:rsidR="002B1E38">
        <w:rPr>
          <w:rFonts w:ascii="Arial" w:hAnsi="Arial" w:cs="Arial"/>
          <w:sz w:val="24"/>
          <w:szCs w:val="24"/>
        </w:rPr>
        <w:t xml:space="preserve"> </w:t>
      </w:r>
      <w:r w:rsidR="006849BE">
        <w:rPr>
          <w:rFonts w:ascii="Arial" w:hAnsi="Arial" w:cs="Arial"/>
          <w:sz w:val="24"/>
          <w:szCs w:val="24"/>
        </w:rPr>
        <w:t xml:space="preserve"> I agree with Mr Hollander in this regard.</w:t>
      </w:r>
    </w:p>
    <w:p w14:paraId="4EB697B3" w14:textId="1FC6F361" w:rsidR="006849BE"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[26]</w:t>
      </w:r>
      <w:r>
        <w:rPr>
          <w:rFonts w:ascii="Arial" w:hAnsi="Arial" w:cs="Arial"/>
          <w:sz w:val="24"/>
          <w:szCs w:val="24"/>
        </w:rPr>
        <w:tab/>
      </w:r>
      <w:r w:rsidR="006849BE">
        <w:rPr>
          <w:rFonts w:ascii="Arial" w:hAnsi="Arial" w:cs="Arial"/>
          <w:sz w:val="24"/>
          <w:szCs w:val="24"/>
        </w:rPr>
        <w:t xml:space="preserve">Mr Bishop, who appeared for Mr Rees, submitted in this regard, with reference to </w:t>
      </w:r>
      <w:r w:rsidR="006849BE">
        <w:rPr>
          <w:rFonts w:ascii="Arial" w:hAnsi="Arial" w:cs="Arial"/>
          <w:i/>
          <w:iCs/>
          <w:sz w:val="24"/>
          <w:szCs w:val="24"/>
        </w:rPr>
        <w:t>Namasthethu Electrical v City of Cape Town</w:t>
      </w:r>
      <w:r w:rsidR="006849BE" w:rsidRPr="00D17303">
        <w:rPr>
          <w:rStyle w:val="FootnoteReference"/>
          <w:rFonts w:ascii="Arial" w:hAnsi="Arial" w:cs="Arial"/>
          <w:sz w:val="24"/>
          <w:szCs w:val="24"/>
        </w:rPr>
        <w:footnoteReference w:id="8"/>
      </w:r>
      <w:r w:rsidR="006849BE">
        <w:rPr>
          <w:rFonts w:ascii="Arial" w:hAnsi="Arial" w:cs="Arial"/>
          <w:sz w:val="24"/>
          <w:szCs w:val="24"/>
        </w:rPr>
        <w:t xml:space="preserve"> that fraud unravels all.</w:t>
      </w:r>
      <w:r w:rsidR="005C6747">
        <w:rPr>
          <w:rFonts w:ascii="Arial" w:hAnsi="Arial" w:cs="Arial"/>
          <w:sz w:val="24"/>
          <w:szCs w:val="24"/>
        </w:rPr>
        <w:t xml:space="preserve"> </w:t>
      </w:r>
      <w:r w:rsidR="007E46FD">
        <w:rPr>
          <w:rFonts w:ascii="Arial" w:hAnsi="Arial" w:cs="Arial"/>
          <w:sz w:val="24"/>
          <w:szCs w:val="24"/>
        </w:rPr>
        <w:t xml:space="preserve"> </w:t>
      </w:r>
      <w:r w:rsidR="005C6747">
        <w:rPr>
          <w:rFonts w:ascii="Arial" w:hAnsi="Arial" w:cs="Arial"/>
          <w:sz w:val="24"/>
          <w:szCs w:val="24"/>
        </w:rPr>
        <w:t>As a general proposition this is, of course, correct.</w:t>
      </w:r>
      <w:r w:rsidR="003B6CFE">
        <w:rPr>
          <w:rFonts w:ascii="Arial" w:hAnsi="Arial" w:cs="Arial"/>
          <w:sz w:val="24"/>
          <w:szCs w:val="24"/>
        </w:rPr>
        <w:t xml:space="preserve"> </w:t>
      </w:r>
      <w:r w:rsidR="006849BE">
        <w:rPr>
          <w:rFonts w:ascii="Arial" w:hAnsi="Arial" w:cs="Arial"/>
          <w:sz w:val="24"/>
          <w:szCs w:val="24"/>
        </w:rPr>
        <w:t xml:space="preserve"> In other words, so the contention goes, if the sale of shares agreement is declared void </w:t>
      </w:r>
      <w:r w:rsidR="006849BE">
        <w:rPr>
          <w:rFonts w:ascii="Arial" w:hAnsi="Arial" w:cs="Arial"/>
          <w:i/>
          <w:iCs/>
          <w:sz w:val="24"/>
          <w:szCs w:val="24"/>
        </w:rPr>
        <w:t>ab initio</w:t>
      </w:r>
      <w:r w:rsidR="006849BE">
        <w:rPr>
          <w:rFonts w:ascii="Arial" w:hAnsi="Arial" w:cs="Arial"/>
          <w:sz w:val="24"/>
          <w:szCs w:val="24"/>
        </w:rPr>
        <w:t xml:space="preserve"> on the basis of fraud, then Mr Coetzee’s appointment as a director and hence representative of Marindafontein will have arisen due to a fraud.</w:t>
      </w:r>
    </w:p>
    <w:p w14:paraId="7696A7C2" w14:textId="3A490EBB" w:rsidR="006849BE"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[27]</w:t>
      </w:r>
      <w:r>
        <w:rPr>
          <w:rFonts w:ascii="Arial" w:hAnsi="Arial" w:cs="Arial"/>
          <w:sz w:val="24"/>
          <w:szCs w:val="24"/>
        </w:rPr>
        <w:tab/>
      </w:r>
      <w:r w:rsidR="006849BE">
        <w:rPr>
          <w:rFonts w:ascii="Arial" w:hAnsi="Arial" w:cs="Arial"/>
          <w:sz w:val="24"/>
          <w:szCs w:val="24"/>
        </w:rPr>
        <w:t xml:space="preserve">Even if this is so, the point of the matter is that no proceedings are pending in terms of which Mr Rees seeks the setting aside of Mr Coetzee’s appointment as director or the stay of the eviction application pending the outcome of the action. </w:t>
      </w:r>
      <w:r w:rsidR="0012411C">
        <w:rPr>
          <w:rFonts w:ascii="Arial" w:hAnsi="Arial" w:cs="Arial"/>
          <w:sz w:val="24"/>
          <w:szCs w:val="24"/>
        </w:rPr>
        <w:t xml:space="preserve"> </w:t>
      </w:r>
      <w:r w:rsidR="006849BE">
        <w:rPr>
          <w:rFonts w:ascii="Arial" w:hAnsi="Arial" w:cs="Arial"/>
          <w:sz w:val="24"/>
          <w:szCs w:val="24"/>
        </w:rPr>
        <w:t xml:space="preserve">In other words, as things stand, even if the relief sought by Mr Rees and the other plaintiffs in the action is granted, and even though fraud unravels </w:t>
      </w:r>
      <w:r w:rsidR="005C6747">
        <w:rPr>
          <w:rFonts w:ascii="Arial" w:hAnsi="Arial" w:cs="Arial"/>
          <w:sz w:val="24"/>
          <w:szCs w:val="24"/>
        </w:rPr>
        <w:t>all</w:t>
      </w:r>
      <w:r w:rsidR="006849BE">
        <w:rPr>
          <w:rFonts w:ascii="Arial" w:hAnsi="Arial" w:cs="Arial"/>
          <w:sz w:val="24"/>
          <w:szCs w:val="24"/>
        </w:rPr>
        <w:t>, Mr Coetzee’s appointment as the sole director of Marindafontein prevails, unless and until set aside.</w:t>
      </w:r>
    </w:p>
    <w:p w14:paraId="7ECC6231" w14:textId="5A48EA15" w:rsidR="006849BE"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[28]</w:t>
      </w:r>
      <w:r>
        <w:rPr>
          <w:rFonts w:ascii="Arial" w:hAnsi="Arial" w:cs="Arial"/>
          <w:sz w:val="24"/>
          <w:szCs w:val="24"/>
        </w:rPr>
        <w:tab/>
      </w:r>
      <w:r w:rsidR="006849BE">
        <w:rPr>
          <w:rFonts w:ascii="Arial" w:hAnsi="Arial" w:cs="Arial"/>
          <w:sz w:val="24"/>
          <w:szCs w:val="24"/>
        </w:rPr>
        <w:t>Additionally, Mr Coetzee is also the sole director of Kitplanes, which is the majority shareholder in Marindafontein.</w:t>
      </w:r>
    </w:p>
    <w:p w14:paraId="1874593B" w14:textId="07DA3C53" w:rsidR="006849BE" w:rsidRPr="006849BE" w:rsidRDefault="00170630" w:rsidP="00170630">
      <w:pPr>
        <w:tabs>
          <w:tab w:val="left" w:pos="692"/>
        </w:tabs>
        <w:spacing w:before="480" w:after="480" w:line="360" w:lineRule="auto"/>
        <w:ind w:left="692" w:hanging="692"/>
        <w:rPr>
          <w:rFonts w:ascii="Arial" w:hAnsi="Arial" w:cs="Arial"/>
          <w:sz w:val="24"/>
          <w:szCs w:val="24"/>
        </w:rPr>
      </w:pPr>
      <w:r w:rsidRPr="006849BE">
        <w:rPr>
          <w:rFonts w:ascii="Arial" w:hAnsi="Arial" w:cs="Arial"/>
          <w:sz w:val="24"/>
          <w:szCs w:val="24"/>
        </w:rPr>
        <w:t>[29]</w:t>
      </w:r>
      <w:r w:rsidRPr="006849BE">
        <w:rPr>
          <w:rFonts w:ascii="Arial" w:hAnsi="Arial" w:cs="Arial"/>
          <w:sz w:val="24"/>
          <w:szCs w:val="24"/>
        </w:rPr>
        <w:tab/>
      </w:r>
      <w:r w:rsidR="006849BE">
        <w:rPr>
          <w:rFonts w:ascii="Arial" w:hAnsi="Arial" w:cs="Arial"/>
          <w:sz w:val="24"/>
          <w:szCs w:val="24"/>
        </w:rPr>
        <w:t>In the circumstances, the challenge to Mr Coetzee’s authority is without merit.</w:t>
      </w:r>
    </w:p>
    <w:p w14:paraId="2477A076" w14:textId="2C6A5F64" w:rsidR="006849BE" w:rsidRPr="006849BE" w:rsidRDefault="00170630" w:rsidP="00170630">
      <w:pPr>
        <w:tabs>
          <w:tab w:val="left" w:pos="692"/>
        </w:tabs>
        <w:spacing w:before="480" w:after="480" w:line="360" w:lineRule="auto"/>
        <w:ind w:left="692" w:hanging="692"/>
        <w:rPr>
          <w:rFonts w:ascii="Arial" w:hAnsi="Arial" w:cs="Arial"/>
          <w:sz w:val="24"/>
          <w:szCs w:val="24"/>
        </w:rPr>
      </w:pPr>
      <w:r w:rsidRPr="006849BE">
        <w:rPr>
          <w:rFonts w:ascii="Arial" w:hAnsi="Arial" w:cs="Arial"/>
          <w:sz w:val="24"/>
          <w:szCs w:val="24"/>
        </w:rPr>
        <w:t>[30]</w:t>
      </w:r>
      <w:r w:rsidRPr="006849BE">
        <w:rPr>
          <w:rFonts w:ascii="Arial" w:hAnsi="Arial" w:cs="Arial"/>
          <w:sz w:val="24"/>
          <w:szCs w:val="24"/>
        </w:rPr>
        <w:tab/>
      </w:r>
      <w:r w:rsidR="006849BE" w:rsidRPr="006849BE">
        <w:rPr>
          <w:rFonts w:ascii="Arial" w:hAnsi="Arial" w:cs="Arial"/>
          <w:sz w:val="24"/>
          <w:szCs w:val="24"/>
        </w:rPr>
        <w:t xml:space="preserve">Even if I am wrong in this regard, </w:t>
      </w:r>
      <w:r w:rsidR="006849BE">
        <w:rPr>
          <w:rFonts w:ascii="Arial" w:hAnsi="Arial" w:cs="Arial"/>
          <w:sz w:val="24"/>
          <w:szCs w:val="24"/>
        </w:rPr>
        <w:t>in my view, the remedy for Mr Rees’ challenge to the authority of Mr Coetzee lies in Rule 7</w:t>
      </w:r>
      <w:r w:rsidR="007C62DE">
        <w:rPr>
          <w:rFonts w:ascii="Arial" w:hAnsi="Arial" w:cs="Arial"/>
          <w:sz w:val="24"/>
          <w:szCs w:val="24"/>
        </w:rPr>
        <w:t xml:space="preserve"> of the Uniform Rules</w:t>
      </w:r>
      <w:r w:rsidR="006849BE">
        <w:rPr>
          <w:rFonts w:ascii="Arial" w:hAnsi="Arial" w:cs="Arial"/>
          <w:sz w:val="24"/>
          <w:szCs w:val="24"/>
        </w:rPr>
        <w:t>.</w:t>
      </w:r>
      <w:r w:rsidR="006849BE">
        <w:rPr>
          <w:rStyle w:val="FootnoteReference"/>
          <w:rFonts w:ascii="Arial" w:hAnsi="Arial" w:cs="Arial"/>
          <w:sz w:val="24"/>
          <w:szCs w:val="24"/>
        </w:rPr>
        <w:footnoteReference w:id="9"/>
      </w:r>
      <w:r w:rsidR="006849BE">
        <w:rPr>
          <w:rFonts w:ascii="Arial" w:hAnsi="Arial" w:cs="Arial"/>
          <w:sz w:val="24"/>
          <w:szCs w:val="24"/>
        </w:rPr>
        <w:t xml:space="preserve">  Mr Rees did not avail himself of the procedure so provided.</w:t>
      </w:r>
    </w:p>
    <w:p w14:paraId="751E7670" w14:textId="0980C74C" w:rsidR="007E22B7" w:rsidRPr="00440E5A" w:rsidRDefault="00170630" w:rsidP="00170630">
      <w:pPr>
        <w:tabs>
          <w:tab w:val="left" w:pos="692"/>
        </w:tabs>
        <w:spacing w:before="480" w:line="360" w:lineRule="auto"/>
        <w:ind w:left="692" w:hanging="692"/>
        <w:rPr>
          <w:rFonts w:ascii="Arial" w:hAnsi="Arial" w:cs="Arial"/>
          <w:sz w:val="24"/>
          <w:szCs w:val="24"/>
        </w:rPr>
      </w:pPr>
      <w:r w:rsidRPr="00440E5A">
        <w:rPr>
          <w:rFonts w:ascii="Arial" w:hAnsi="Arial" w:cs="Arial"/>
          <w:sz w:val="24"/>
          <w:szCs w:val="24"/>
        </w:rPr>
        <w:t>[31]</w:t>
      </w:r>
      <w:r w:rsidRPr="00440E5A">
        <w:rPr>
          <w:rFonts w:ascii="Arial" w:hAnsi="Arial" w:cs="Arial"/>
          <w:sz w:val="24"/>
          <w:szCs w:val="24"/>
        </w:rPr>
        <w:tab/>
      </w:r>
      <w:r w:rsidR="007E22B7">
        <w:rPr>
          <w:rFonts w:ascii="Arial" w:hAnsi="Arial" w:cs="Arial"/>
          <w:sz w:val="24"/>
          <w:szCs w:val="24"/>
        </w:rPr>
        <w:t>I</w:t>
      </w:r>
      <w:r w:rsidR="007E22B7" w:rsidRPr="00440E5A">
        <w:rPr>
          <w:rFonts w:ascii="Arial" w:hAnsi="Arial" w:cs="Arial"/>
          <w:sz w:val="24"/>
          <w:szCs w:val="24"/>
        </w:rPr>
        <w:t xml:space="preserve">n </w:t>
      </w:r>
      <w:r w:rsidR="007E22B7" w:rsidRPr="00440E5A">
        <w:rPr>
          <w:rFonts w:ascii="Arial" w:hAnsi="Arial" w:cs="Arial"/>
          <w:bCs/>
          <w:i/>
          <w:iCs/>
          <w:sz w:val="24"/>
          <w:szCs w:val="24"/>
        </w:rPr>
        <w:t>Ganes</w:t>
      </w:r>
      <w:r w:rsidR="00B51915">
        <w:rPr>
          <w:rFonts w:ascii="Arial" w:hAnsi="Arial" w:cs="Arial"/>
          <w:bCs/>
          <w:i/>
          <w:iCs/>
          <w:sz w:val="24"/>
          <w:szCs w:val="24"/>
        </w:rPr>
        <w:t xml:space="preserve"> and Another</w:t>
      </w:r>
      <w:r w:rsidR="007E22B7" w:rsidRPr="00440E5A">
        <w:rPr>
          <w:rFonts w:ascii="Arial" w:hAnsi="Arial" w:cs="Arial"/>
          <w:bCs/>
          <w:i/>
          <w:iCs/>
          <w:sz w:val="24"/>
          <w:szCs w:val="24"/>
        </w:rPr>
        <w:t xml:space="preserve"> v Telecom Namibia Ltd</w:t>
      </w:r>
      <w:r w:rsidR="007E22B7" w:rsidRPr="007E2823">
        <w:rPr>
          <w:rFonts w:ascii="Arial" w:hAnsi="Arial" w:cs="Arial"/>
          <w:bCs/>
          <w:sz w:val="24"/>
          <w:szCs w:val="24"/>
        </w:rPr>
        <w:t xml:space="preserve"> </w:t>
      </w:r>
      <w:r w:rsidR="007E22B7" w:rsidRPr="00440E5A">
        <w:rPr>
          <w:rFonts w:ascii="Arial" w:hAnsi="Arial" w:cs="Arial"/>
          <w:sz w:val="24"/>
          <w:szCs w:val="24"/>
        </w:rPr>
        <w:t>Streicher JA stated the position as follows</w:t>
      </w:r>
      <w:r w:rsidR="007E22B7">
        <w:rPr>
          <w:rFonts w:ascii="Arial" w:hAnsi="Arial" w:cs="Arial"/>
          <w:sz w:val="24"/>
          <w:szCs w:val="24"/>
        </w:rPr>
        <w:t>:</w:t>
      </w:r>
      <w:r w:rsidR="007E22B7">
        <w:rPr>
          <w:rStyle w:val="FootnoteReference"/>
          <w:rFonts w:ascii="Arial" w:hAnsi="Arial" w:cs="Arial"/>
          <w:sz w:val="24"/>
          <w:szCs w:val="24"/>
        </w:rPr>
        <w:footnoteReference w:id="10"/>
      </w:r>
    </w:p>
    <w:p w14:paraId="462C8188" w14:textId="60DAB6CD" w:rsidR="00C850AF" w:rsidRPr="005C6747" w:rsidRDefault="007E22B7" w:rsidP="00A650A1">
      <w:pPr>
        <w:spacing w:before="480" w:after="480" w:line="360" w:lineRule="auto"/>
        <w:ind w:left="1134"/>
        <w:rPr>
          <w:rFonts w:ascii="Arial" w:hAnsi="Arial" w:cs="Arial"/>
          <w:szCs w:val="24"/>
        </w:rPr>
      </w:pPr>
      <w:r w:rsidRPr="00DE1618">
        <w:rPr>
          <w:rFonts w:ascii="Arial" w:hAnsi="Arial" w:cs="Arial"/>
          <w:szCs w:val="24"/>
        </w:rPr>
        <w:lastRenderedPageBreak/>
        <w:t xml:space="preserve">“In the founding affidavit filed on behalf of the respondent Hanke said that he was duly authorised to depose to the affidavit. In his answering affidavit the first appellant stated that he had no knowledge as to whether Hanke was duly authorised to depose to the founding affidavit on behalf of the respondent, that he did not admit that Hanke was so authorised and that he put the respondent to the proof thereof. In my view, it is irrelevant whether Hanke had been authorised to depose to the founding affidavit. </w:t>
      </w:r>
      <w:r w:rsidRPr="00DE1618">
        <w:rPr>
          <w:rFonts w:ascii="Arial" w:hAnsi="Arial" w:cs="Arial"/>
          <w:szCs w:val="24"/>
          <w:u w:val="single"/>
        </w:rPr>
        <w:t>The deponent to an affidavit in motion proceedings need not be authorised by the party concerned to depose to the affidavit. It is the institution of the proceedings and the prosecution thereof which must be authorised</w:t>
      </w:r>
      <w:r w:rsidRPr="00DE1618">
        <w:rPr>
          <w:rFonts w:ascii="Arial" w:hAnsi="Arial" w:cs="Arial"/>
          <w:szCs w:val="24"/>
        </w:rPr>
        <w:t>” [</w:t>
      </w:r>
      <w:r w:rsidR="007C62DE">
        <w:rPr>
          <w:rFonts w:ascii="Arial" w:hAnsi="Arial" w:cs="Arial"/>
          <w:szCs w:val="24"/>
        </w:rPr>
        <w:t xml:space="preserve">Emphasis </w:t>
      </w:r>
      <w:r w:rsidRPr="00DE1618">
        <w:rPr>
          <w:rFonts w:ascii="Arial" w:hAnsi="Arial" w:cs="Arial"/>
          <w:szCs w:val="24"/>
        </w:rPr>
        <w:t>added.]</w:t>
      </w:r>
    </w:p>
    <w:p w14:paraId="705CBB17" w14:textId="1ED9182A" w:rsidR="00C850AF" w:rsidRPr="00170630" w:rsidRDefault="00170630" w:rsidP="00170630">
      <w:pPr>
        <w:widowControl w:val="0"/>
        <w:tabs>
          <w:tab w:val="left" w:pos="692"/>
        </w:tabs>
        <w:spacing w:before="480" w:after="480" w:line="360" w:lineRule="auto"/>
        <w:ind w:left="692" w:hanging="692"/>
        <w:rPr>
          <w:rFonts w:ascii="Arial" w:hAnsi="Arial" w:cs="Arial"/>
          <w:sz w:val="24"/>
          <w:szCs w:val="24"/>
        </w:rPr>
      </w:pPr>
      <w:r w:rsidRPr="00C850AF">
        <w:rPr>
          <w:rFonts w:ascii="Arial" w:hAnsi="Arial" w:cs="Arial"/>
          <w:sz w:val="24"/>
          <w:szCs w:val="24"/>
        </w:rPr>
        <w:t>[32]</w:t>
      </w:r>
      <w:r w:rsidRPr="00C850AF">
        <w:rPr>
          <w:rFonts w:ascii="Arial" w:hAnsi="Arial" w:cs="Arial"/>
          <w:sz w:val="24"/>
          <w:szCs w:val="24"/>
        </w:rPr>
        <w:tab/>
      </w:r>
      <w:r w:rsidR="00C850AF" w:rsidRPr="00170630">
        <w:rPr>
          <w:rFonts w:ascii="Arial" w:hAnsi="Arial" w:cs="Arial"/>
          <w:sz w:val="24"/>
          <w:szCs w:val="24"/>
        </w:rPr>
        <w:t xml:space="preserve">In </w:t>
      </w:r>
      <w:bookmarkStart w:id="1" w:name="_Hlk7613570"/>
      <w:r w:rsidR="00C850AF" w:rsidRPr="00170630">
        <w:rPr>
          <w:rFonts w:ascii="Arial" w:hAnsi="Arial" w:cs="Arial"/>
          <w:i/>
          <w:sz w:val="24"/>
          <w:szCs w:val="24"/>
        </w:rPr>
        <w:t xml:space="preserve">Unlawful Occupiers, School Site v City </w:t>
      </w:r>
      <w:r w:rsidR="00446D99" w:rsidRPr="00170630">
        <w:rPr>
          <w:rFonts w:ascii="Arial" w:hAnsi="Arial" w:cs="Arial"/>
          <w:i/>
          <w:sz w:val="24"/>
          <w:szCs w:val="24"/>
        </w:rPr>
        <w:t>of</w:t>
      </w:r>
      <w:r w:rsidR="00C850AF" w:rsidRPr="00170630">
        <w:rPr>
          <w:rFonts w:ascii="Arial" w:hAnsi="Arial" w:cs="Arial"/>
          <w:i/>
          <w:sz w:val="24"/>
          <w:szCs w:val="24"/>
        </w:rPr>
        <w:t xml:space="preserve"> Johannesburg</w:t>
      </w:r>
      <w:bookmarkEnd w:id="1"/>
      <w:r w:rsidR="00C850AF" w:rsidRPr="00C850AF">
        <w:rPr>
          <w:rStyle w:val="FootnoteReference"/>
          <w:rFonts w:ascii="Arial" w:hAnsi="Arial" w:cs="Arial"/>
          <w:sz w:val="24"/>
          <w:szCs w:val="24"/>
        </w:rPr>
        <w:footnoteReference w:id="11"/>
      </w:r>
      <w:r w:rsidR="00C850AF" w:rsidRPr="00170630">
        <w:rPr>
          <w:rFonts w:ascii="Arial" w:hAnsi="Arial" w:cs="Arial"/>
          <w:sz w:val="24"/>
          <w:szCs w:val="24"/>
        </w:rPr>
        <w:t xml:space="preserve"> the S</w:t>
      </w:r>
      <w:r w:rsidR="007E22B7" w:rsidRPr="00170630">
        <w:rPr>
          <w:rFonts w:ascii="Arial" w:hAnsi="Arial" w:cs="Arial"/>
          <w:sz w:val="24"/>
          <w:szCs w:val="24"/>
        </w:rPr>
        <w:t xml:space="preserve">upreme Court of Appeal </w:t>
      </w:r>
      <w:r w:rsidR="00C850AF" w:rsidRPr="00170630">
        <w:rPr>
          <w:rFonts w:ascii="Arial" w:hAnsi="Arial" w:cs="Arial"/>
          <w:sz w:val="24"/>
          <w:szCs w:val="24"/>
        </w:rPr>
        <w:t xml:space="preserve">referred to its decision in </w:t>
      </w:r>
      <w:r w:rsidR="00C850AF" w:rsidRPr="00170630">
        <w:rPr>
          <w:rFonts w:ascii="Arial" w:hAnsi="Arial" w:cs="Arial"/>
          <w:i/>
          <w:sz w:val="24"/>
          <w:szCs w:val="24"/>
        </w:rPr>
        <w:t>Ganes</w:t>
      </w:r>
      <w:r w:rsidR="00C850AF" w:rsidRPr="00170630">
        <w:rPr>
          <w:rFonts w:ascii="Arial" w:hAnsi="Arial" w:cs="Arial"/>
          <w:sz w:val="24"/>
          <w:szCs w:val="24"/>
        </w:rPr>
        <w:t xml:space="preserve"> and held that in the event of a respondent challenging the authority of a person acting on behalf of the application, the remedy lies in Rule 7(1)</w:t>
      </w:r>
      <w:r w:rsidR="007E22B7" w:rsidRPr="00170630">
        <w:rPr>
          <w:rFonts w:ascii="Arial" w:hAnsi="Arial" w:cs="Arial"/>
          <w:sz w:val="24"/>
          <w:szCs w:val="24"/>
        </w:rPr>
        <w:t xml:space="preserve">. </w:t>
      </w:r>
      <w:r w:rsidR="00446D99" w:rsidRPr="00170630">
        <w:rPr>
          <w:rFonts w:ascii="Arial" w:hAnsi="Arial" w:cs="Arial"/>
          <w:sz w:val="24"/>
          <w:szCs w:val="24"/>
        </w:rPr>
        <w:t xml:space="preserve"> </w:t>
      </w:r>
      <w:r w:rsidR="00C850AF" w:rsidRPr="00170630">
        <w:rPr>
          <w:rFonts w:ascii="Arial" w:hAnsi="Arial" w:cs="Arial"/>
          <w:sz w:val="24"/>
          <w:szCs w:val="24"/>
        </w:rPr>
        <w:t>Brand JA said:</w:t>
      </w:r>
      <w:r w:rsidR="007E22B7" w:rsidRPr="00170630">
        <w:rPr>
          <w:rFonts w:ascii="Arial" w:hAnsi="Arial" w:cs="Arial"/>
          <w:sz w:val="24"/>
          <w:szCs w:val="24"/>
        </w:rPr>
        <w:t>-</w:t>
      </w:r>
      <w:r w:rsidR="00C850AF" w:rsidRPr="00170630">
        <w:rPr>
          <w:rFonts w:ascii="Arial" w:hAnsi="Arial" w:cs="Arial"/>
          <w:sz w:val="24"/>
          <w:szCs w:val="24"/>
        </w:rPr>
        <w:t xml:space="preserve"> </w:t>
      </w:r>
    </w:p>
    <w:p w14:paraId="799B50E3" w14:textId="21BA916A" w:rsidR="001D0EC5" w:rsidRPr="00C850AF" w:rsidRDefault="00C850AF" w:rsidP="00A650A1">
      <w:pPr>
        <w:tabs>
          <w:tab w:val="left" w:pos="1134"/>
        </w:tabs>
        <w:spacing w:before="480" w:after="480" w:line="360" w:lineRule="auto"/>
        <w:ind w:left="1134"/>
        <w:rPr>
          <w:rFonts w:ascii="Arial" w:hAnsi="Arial" w:cs="Arial"/>
          <w:iCs/>
        </w:rPr>
      </w:pPr>
      <w:r w:rsidRPr="00C850AF">
        <w:rPr>
          <w:rFonts w:ascii="Arial" w:hAnsi="Arial" w:cs="Arial"/>
          <w:iCs/>
        </w:rPr>
        <w:t xml:space="preserve">“… now that the new Rule 7(1) remedy is available, a party who wishes to raise the issue of authority should not adopt the procedure followed by the appellants in this matter, </w:t>
      </w:r>
      <w:r w:rsidR="00F41FA6">
        <w:rPr>
          <w:rFonts w:ascii="Arial" w:hAnsi="Arial" w:cs="Arial"/>
          <w:iCs/>
        </w:rPr>
        <w:t>ie</w:t>
      </w:r>
      <w:r w:rsidRPr="00C850AF">
        <w:rPr>
          <w:rFonts w:ascii="Arial" w:hAnsi="Arial" w:cs="Arial"/>
          <w:iCs/>
        </w:rPr>
        <w:t xml:space="preserve"> by way of argument based on no more than a textual analysis of the words used by a deponent in an attempt to prove his or her own authority. This method invariably resulted in a costly and wasteful investigation, which normally leads to the conclusion that the application was indeed authorised. After all, there is rarely any motivation for deliberately launching an unauthorised application.”</w:t>
      </w:r>
    </w:p>
    <w:p w14:paraId="636140EF" w14:textId="3E42B4A2" w:rsidR="00C850AF"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[33]</w:t>
      </w:r>
      <w:r>
        <w:rPr>
          <w:rFonts w:ascii="Arial" w:hAnsi="Arial" w:cs="Arial"/>
          <w:sz w:val="24"/>
          <w:szCs w:val="24"/>
        </w:rPr>
        <w:tab/>
      </w:r>
      <w:r w:rsidR="00C850AF">
        <w:rPr>
          <w:rFonts w:ascii="Arial" w:hAnsi="Arial" w:cs="Arial"/>
          <w:sz w:val="24"/>
          <w:szCs w:val="24"/>
        </w:rPr>
        <w:t xml:space="preserve">In </w:t>
      </w:r>
      <w:r w:rsidR="00C850AF">
        <w:rPr>
          <w:rFonts w:ascii="Arial" w:hAnsi="Arial" w:cs="Arial"/>
          <w:i/>
          <w:iCs/>
          <w:sz w:val="24"/>
          <w:szCs w:val="24"/>
        </w:rPr>
        <w:t>Eskom v Soweto City Council</w:t>
      </w:r>
      <w:r w:rsidR="00C850AF">
        <w:rPr>
          <w:rFonts w:ascii="Arial" w:hAnsi="Arial" w:cs="Arial"/>
          <w:sz w:val="24"/>
          <w:szCs w:val="24"/>
        </w:rPr>
        <w:t xml:space="preserve"> Flemming DJP said the following:</w:t>
      </w:r>
      <w:r w:rsidR="00C850AF">
        <w:rPr>
          <w:rStyle w:val="FootnoteReference"/>
          <w:rFonts w:ascii="Arial" w:hAnsi="Arial" w:cs="Arial"/>
          <w:sz w:val="24"/>
          <w:szCs w:val="24"/>
        </w:rPr>
        <w:footnoteReference w:id="12"/>
      </w:r>
    </w:p>
    <w:p w14:paraId="22AA65AF" w14:textId="7982DC15" w:rsidR="00C850AF" w:rsidRPr="00440E5A" w:rsidRDefault="00C850AF" w:rsidP="00A650A1">
      <w:pPr>
        <w:tabs>
          <w:tab w:val="left" w:pos="1134"/>
        </w:tabs>
        <w:spacing w:before="480" w:after="480" w:line="360" w:lineRule="auto"/>
        <w:ind w:left="1134"/>
        <w:rPr>
          <w:rFonts w:ascii="Arial" w:hAnsi="Arial" w:cs="Arial"/>
          <w:lang w:val="en-ZA"/>
        </w:rPr>
      </w:pPr>
      <w:r>
        <w:rPr>
          <w:rFonts w:ascii="Arial" w:hAnsi="Arial" w:cs="Arial"/>
          <w:sz w:val="24"/>
          <w:szCs w:val="24"/>
        </w:rPr>
        <w:t>“</w:t>
      </w:r>
      <w:r w:rsidRPr="00C850AF">
        <w:rPr>
          <w:rFonts w:ascii="Arial" w:hAnsi="Arial" w:cs="Arial"/>
          <w:lang w:val="en-ZA"/>
        </w:rPr>
        <w:t>I find the regularity of arguments about the authority of a deponent unnecessary and wasteful.</w:t>
      </w:r>
      <w:r>
        <w:rPr>
          <w:rFonts w:ascii="Arial" w:hAnsi="Arial" w:cs="Arial"/>
          <w:sz w:val="24"/>
          <w:szCs w:val="24"/>
        </w:rPr>
        <w:t xml:space="preserve"> </w:t>
      </w:r>
      <w:r w:rsidRPr="00C850AF">
        <w:rPr>
          <w:rFonts w:ascii="Arial" w:hAnsi="Arial" w:cs="Arial"/>
          <w:lang w:val="en-ZA"/>
        </w:rPr>
        <w:t>A Rule of Court or a formal practice direction must be honoured despite any arbitrariness. It functions even when it lacks convincing logic or utility in its creation or in its survival. The present issue may be decided in accordance with principle without interference from constraining directives because there is now, ordinarily, no prescribed  formula for proving authority either as a routine prerequisite for issuing an application or otherwise. See</w:t>
      </w:r>
      <w:r w:rsidR="00803564">
        <w:rPr>
          <w:rFonts w:ascii="Arial" w:hAnsi="Arial" w:cs="Arial"/>
          <w:lang w:val="en-ZA"/>
        </w:rPr>
        <w:t xml:space="preserve"> </w:t>
      </w:r>
      <w:r w:rsidRPr="00C850AF">
        <w:rPr>
          <w:rFonts w:ascii="Arial" w:hAnsi="Arial" w:cs="Arial"/>
          <w:i/>
          <w:iCs/>
          <w:lang w:val="en-ZA"/>
        </w:rPr>
        <w:t xml:space="preserve">Administrator, Transvaal </w:t>
      </w:r>
      <w:r w:rsidRPr="00C850AF">
        <w:rPr>
          <w:rFonts w:ascii="Arial" w:hAnsi="Arial" w:cs="Arial"/>
          <w:i/>
          <w:iCs/>
          <w:lang w:val="en-ZA"/>
        </w:rPr>
        <w:lastRenderedPageBreak/>
        <w:t>v Mponyane and Others</w:t>
      </w:r>
      <w:r w:rsidR="00803564">
        <w:rPr>
          <w:rFonts w:ascii="Arial" w:hAnsi="Arial" w:cs="Arial"/>
          <w:lang w:val="en-ZA"/>
        </w:rPr>
        <w:t xml:space="preserve"> </w:t>
      </w:r>
      <w:r w:rsidRPr="00C850AF">
        <w:rPr>
          <w:rFonts w:ascii="Arial" w:hAnsi="Arial" w:cs="Arial"/>
          <w:lang w:val="en-ZA"/>
        </w:rPr>
        <w:t>1990 (4) SA 407 (W);</w:t>
      </w:r>
      <w:r w:rsidR="00803564">
        <w:rPr>
          <w:rFonts w:ascii="Arial" w:hAnsi="Arial" w:cs="Arial"/>
          <w:lang w:val="en-ZA"/>
        </w:rPr>
        <w:t xml:space="preserve"> </w:t>
      </w:r>
      <w:r w:rsidRPr="00C850AF">
        <w:rPr>
          <w:rFonts w:ascii="Arial" w:hAnsi="Arial" w:cs="Arial"/>
          <w:i/>
          <w:iCs/>
          <w:lang w:val="en-ZA"/>
        </w:rPr>
        <w:t xml:space="preserve">Brown v Oosthuizen en </w:t>
      </w:r>
      <w:r w:rsidR="00CF63C0">
        <w:rPr>
          <w:rFonts w:ascii="Arial" w:hAnsi="Arial" w:cs="Arial"/>
          <w:i/>
          <w:iCs/>
          <w:lang w:val="en-ZA"/>
        </w:rPr>
        <w:t>‘</w:t>
      </w:r>
      <w:r w:rsidRPr="00C850AF">
        <w:rPr>
          <w:rFonts w:ascii="Arial" w:hAnsi="Arial" w:cs="Arial"/>
          <w:i/>
          <w:iCs/>
          <w:lang w:val="en-ZA"/>
        </w:rPr>
        <w:t>n Ander</w:t>
      </w:r>
      <w:r w:rsidRPr="00C850AF">
        <w:rPr>
          <w:rFonts w:ascii="Arial" w:hAnsi="Arial" w:cs="Arial"/>
          <w:lang w:val="en-ZA"/>
        </w:rPr>
        <w:t> 1980 (2) SA 155 (O) at 162.</w:t>
      </w:r>
      <w:r>
        <w:rPr>
          <w:rFonts w:ascii="Arial" w:hAnsi="Arial" w:cs="Arial"/>
          <w:lang w:val="en-ZA"/>
        </w:rPr>
        <w:t xml:space="preserve"> </w:t>
      </w:r>
      <w:r w:rsidRPr="00C850AF">
        <w:rPr>
          <w:rFonts w:ascii="Arial" w:hAnsi="Arial" w:cs="Arial"/>
          <w:lang w:val="en-ZA"/>
        </w:rPr>
        <w:t>The care displayed in the past about proof of authority was rational.</w:t>
      </w:r>
      <w:r w:rsidR="00440E5A" w:rsidRPr="00C850AF">
        <w:rPr>
          <w:rFonts w:ascii="Arial" w:hAnsi="Arial" w:cs="Arial"/>
          <w:lang w:val="en-ZA"/>
        </w:rPr>
        <w:t xml:space="preserve"> </w:t>
      </w:r>
      <w:r w:rsidRPr="00C850AF">
        <w:rPr>
          <w:rFonts w:ascii="Arial" w:hAnsi="Arial" w:cs="Arial"/>
          <w:lang w:val="en-ZA"/>
        </w:rPr>
        <w:t>It was inspired by the fear that a person may deny that he was party to litigation carried on in his name. His signature to the process, or when that does not eventuate, formal proof of authority would avoid undue risk to the opposite party, to the administration of justice and sometimes even to his own attorney. (Compare</w:t>
      </w:r>
      <w:r w:rsidR="00803564">
        <w:rPr>
          <w:rFonts w:ascii="Arial" w:hAnsi="Arial" w:cs="Arial"/>
          <w:lang w:val="en-ZA"/>
        </w:rPr>
        <w:t xml:space="preserve"> </w:t>
      </w:r>
      <w:r w:rsidRPr="00C850AF">
        <w:rPr>
          <w:rFonts w:ascii="Arial" w:hAnsi="Arial" w:cs="Arial"/>
          <w:i/>
          <w:iCs/>
          <w:lang w:val="en-ZA"/>
        </w:rPr>
        <w:t>Viljoen v Federated Trust Ltd</w:t>
      </w:r>
      <w:r w:rsidRPr="00C850AF">
        <w:rPr>
          <w:rFonts w:ascii="Arial" w:hAnsi="Arial" w:cs="Arial"/>
          <w:lang w:val="en-ZA"/>
        </w:rPr>
        <w:t> 1971 (1) SA 750 (O) at 752D-F and the authorities there quoted.)</w:t>
      </w:r>
      <w:r w:rsidR="00440E5A">
        <w:rPr>
          <w:rFonts w:ascii="Arial" w:hAnsi="Arial" w:cs="Arial"/>
          <w:lang w:val="en-ZA"/>
        </w:rPr>
        <w:t xml:space="preserve"> </w:t>
      </w:r>
      <w:r w:rsidRPr="00C850AF">
        <w:rPr>
          <w:rFonts w:ascii="Arial" w:hAnsi="Arial" w:cs="Arial"/>
          <w:lang w:val="en-ZA"/>
        </w:rPr>
        <w:t>The developed view, adopted in Court Rule 7(1), is that the risk is adequately managed on a different level. If the attorney</w:t>
      </w:r>
      <w:r w:rsidR="00CF63C0" w:rsidRPr="00C850AF">
        <w:rPr>
          <w:rFonts w:ascii="Arial" w:hAnsi="Arial" w:cs="Arial"/>
          <w:lang w:val="en-ZA"/>
        </w:rPr>
        <w:t xml:space="preserve"> </w:t>
      </w:r>
      <w:r w:rsidRPr="00C850AF">
        <w:rPr>
          <w:rFonts w:ascii="Arial" w:hAnsi="Arial" w:cs="Arial"/>
          <w:lang w:val="en-ZA"/>
        </w:rPr>
        <w:t xml:space="preserve">is authorised to bring the application on behalf of the </w:t>
      </w:r>
      <w:r w:rsidR="00CF63C0">
        <w:rPr>
          <w:rFonts w:ascii="Arial" w:hAnsi="Arial" w:cs="Arial"/>
          <w:lang w:val="en-ZA"/>
        </w:rPr>
        <w:t>applicant</w:t>
      </w:r>
      <w:r w:rsidRPr="00C850AF">
        <w:rPr>
          <w:rFonts w:ascii="Arial" w:hAnsi="Arial" w:cs="Arial"/>
          <w:lang w:val="en-ZA"/>
        </w:rPr>
        <w:t>, the application necessarily is</w:t>
      </w:r>
      <w:r w:rsidR="00CF63C0" w:rsidRPr="00C850AF">
        <w:rPr>
          <w:rFonts w:ascii="Arial" w:hAnsi="Arial" w:cs="Arial"/>
          <w:lang w:val="en-ZA"/>
        </w:rPr>
        <w:t xml:space="preserve"> </w:t>
      </w:r>
      <w:r w:rsidRPr="00C850AF">
        <w:rPr>
          <w:rFonts w:ascii="Arial" w:hAnsi="Arial" w:cs="Arial"/>
          <w:lang w:val="en-ZA"/>
        </w:rPr>
        <w:t xml:space="preserve">that of the applicant. </w:t>
      </w:r>
      <w:r w:rsidRPr="005C6747">
        <w:rPr>
          <w:rFonts w:ascii="Arial" w:hAnsi="Arial" w:cs="Arial"/>
          <w:u w:val="single"/>
          <w:lang w:val="en-ZA"/>
        </w:rPr>
        <w:t>There is no need that any other person, whether he be a witness or someone who becomes involved especially in the context of authority, should additionally be</w:t>
      </w:r>
      <w:r w:rsidR="00440E5A" w:rsidRPr="005C6747">
        <w:rPr>
          <w:rFonts w:ascii="Arial" w:hAnsi="Arial" w:cs="Arial"/>
          <w:u w:val="single"/>
          <w:lang w:val="en-ZA"/>
        </w:rPr>
        <w:t xml:space="preserve"> </w:t>
      </w:r>
      <w:r w:rsidRPr="005C6747">
        <w:rPr>
          <w:rFonts w:ascii="Arial" w:hAnsi="Arial" w:cs="Arial"/>
          <w:u w:val="single"/>
          <w:lang w:val="en-ZA"/>
        </w:rPr>
        <w:t>authorised</w:t>
      </w:r>
      <w:r w:rsidRPr="00C850AF">
        <w:rPr>
          <w:rFonts w:ascii="Arial" w:hAnsi="Arial" w:cs="Arial"/>
          <w:lang w:val="en-ZA"/>
        </w:rPr>
        <w:t>. It is therefore sufficient to know whether or not the attorney acts with authority.</w:t>
      </w:r>
      <w:r w:rsidR="00440E5A">
        <w:rPr>
          <w:rFonts w:ascii="Arial" w:hAnsi="Arial" w:cs="Arial"/>
          <w:lang w:val="en-ZA"/>
        </w:rPr>
        <w:t xml:space="preserve"> </w:t>
      </w:r>
      <w:r w:rsidRPr="00C850AF">
        <w:rPr>
          <w:rFonts w:ascii="Arial" w:hAnsi="Arial" w:cs="Arial"/>
          <w:lang w:val="en-ZA"/>
        </w:rPr>
        <w:t>As to when and how the attorney</w:t>
      </w:r>
      <w:r w:rsidR="00CF63C0">
        <w:rPr>
          <w:rFonts w:ascii="Arial" w:hAnsi="Arial" w:cs="Arial"/>
          <w:lang w:val="en-ZA"/>
        </w:rPr>
        <w:t>’</w:t>
      </w:r>
      <w:r w:rsidRPr="00C850AF">
        <w:rPr>
          <w:rFonts w:ascii="Arial" w:hAnsi="Arial" w:cs="Arial"/>
          <w:lang w:val="en-ZA"/>
        </w:rPr>
        <w:t>s authority should be proved, the Rule-maker made a policy decision. Perhaps because the risk is minimal that an attorney will act for a person without authority to do so, proof is dispensed with except only if the other party challenges the authority. See Rule 7(1). Courts should honour that approach. Properly applied, that should lead to the elimination of the many pages of resolutions,</w:t>
      </w:r>
      <w:r w:rsidR="007E22B7">
        <w:rPr>
          <w:rFonts w:ascii="Arial" w:hAnsi="Arial" w:cs="Arial"/>
          <w:lang w:val="en-ZA"/>
        </w:rPr>
        <w:t xml:space="preserve"> d</w:t>
      </w:r>
      <w:r w:rsidR="00CF63C0">
        <w:rPr>
          <w:rFonts w:ascii="Arial" w:hAnsi="Arial" w:cs="Arial"/>
          <w:lang w:val="en-ZA"/>
        </w:rPr>
        <w:t>elegat</w:t>
      </w:r>
      <w:r w:rsidR="00192B5C">
        <w:rPr>
          <w:rFonts w:ascii="Arial" w:hAnsi="Arial" w:cs="Arial"/>
          <w:lang w:val="en-ZA"/>
        </w:rPr>
        <w:t>i</w:t>
      </w:r>
      <w:r w:rsidRPr="00C850AF">
        <w:rPr>
          <w:rFonts w:ascii="Arial" w:hAnsi="Arial" w:cs="Arial"/>
          <w:lang w:val="en-ZA"/>
        </w:rPr>
        <w:t>ons and substitutions still attached to applications by some litigants, especially certain financial institutions.</w:t>
      </w:r>
      <w:r w:rsidR="00440E5A">
        <w:rPr>
          <w:rFonts w:ascii="Arial" w:hAnsi="Arial" w:cs="Arial"/>
          <w:lang w:val="en-ZA"/>
        </w:rPr>
        <w:t>”</w:t>
      </w:r>
      <w:r w:rsidR="005C6747">
        <w:rPr>
          <w:rFonts w:ascii="Arial" w:hAnsi="Arial" w:cs="Arial"/>
          <w:lang w:val="en-ZA"/>
        </w:rPr>
        <w:t xml:space="preserve"> [</w:t>
      </w:r>
      <w:r w:rsidR="00803564">
        <w:rPr>
          <w:rFonts w:ascii="Arial" w:hAnsi="Arial" w:cs="Arial"/>
          <w:lang w:val="en-ZA"/>
        </w:rPr>
        <w:t>Emphasis added</w:t>
      </w:r>
      <w:r w:rsidR="005C6747">
        <w:rPr>
          <w:rFonts w:ascii="Arial" w:hAnsi="Arial" w:cs="Arial"/>
          <w:lang w:val="en-ZA"/>
        </w:rPr>
        <w:t>.]</w:t>
      </w:r>
    </w:p>
    <w:p w14:paraId="658F9640" w14:textId="712F4A4F" w:rsidR="00440E5A" w:rsidRPr="00440E5A" w:rsidRDefault="00170630" w:rsidP="00170630">
      <w:pPr>
        <w:tabs>
          <w:tab w:val="left" w:pos="692"/>
        </w:tabs>
        <w:spacing w:before="480" w:after="480" w:line="360" w:lineRule="auto"/>
        <w:ind w:left="692" w:hanging="692"/>
        <w:rPr>
          <w:rFonts w:ascii="Arial" w:hAnsi="Arial" w:cs="Arial"/>
          <w:sz w:val="24"/>
          <w:szCs w:val="24"/>
        </w:rPr>
      </w:pPr>
      <w:r w:rsidRPr="00440E5A">
        <w:rPr>
          <w:rFonts w:ascii="Arial" w:hAnsi="Arial" w:cs="Arial"/>
          <w:sz w:val="24"/>
          <w:szCs w:val="24"/>
        </w:rPr>
        <w:t>[34]</w:t>
      </w:r>
      <w:r w:rsidRPr="00440E5A">
        <w:rPr>
          <w:rFonts w:ascii="Arial" w:hAnsi="Arial" w:cs="Arial"/>
          <w:sz w:val="24"/>
          <w:szCs w:val="24"/>
        </w:rPr>
        <w:tab/>
      </w:r>
      <w:r w:rsidR="005C6747">
        <w:rPr>
          <w:rFonts w:ascii="Arial" w:hAnsi="Arial" w:cs="Arial"/>
          <w:sz w:val="24"/>
          <w:szCs w:val="24"/>
        </w:rPr>
        <w:t xml:space="preserve">For these reasons, </w:t>
      </w:r>
      <w:r w:rsidR="00334A0F">
        <w:rPr>
          <w:rFonts w:ascii="Arial" w:hAnsi="Arial" w:cs="Arial"/>
          <w:sz w:val="24"/>
          <w:szCs w:val="24"/>
        </w:rPr>
        <w:t xml:space="preserve">Mr </w:t>
      </w:r>
      <w:r w:rsidR="00F54132">
        <w:rPr>
          <w:rFonts w:ascii="Arial" w:hAnsi="Arial" w:cs="Arial"/>
          <w:sz w:val="24"/>
          <w:szCs w:val="24"/>
        </w:rPr>
        <w:t>Rees</w:t>
      </w:r>
      <w:r w:rsidR="00334A0F">
        <w:rPr>
          <w:rFonts w:ascii="Arial" w:hAnsi="Arial" w:cs="Arial"/>
          <w:sz w:val="24"/>
          <w:szCs w:val="24"/>
        </w:rPr>
        <w:t>’</w:t>
      </w:r>
      <w:r w:rsidR="005C6747">
        <w:rPr>
          <w:rFonts w:ascii="Arial" w:hAnsi="Arial" w:cs="Arial"/>
          <w:sz w:val="24"/>
          <w:szCs w:val="24"/>
        </w:rPr>
        <w:t xml:space="preserve"> </w:t>
      </w:r>
      <w:r w:rsidR="00440E5A" w:rsidRPr="00440E5A">
        <w:rPr>
          <w:rFonts w:ascii="Arial" w:hAnsi="Arial" w:cs="Arial"/>
          <w:sz w:val="24"/>
          <w:szCs w:val="24"/>
        </w:rPr>
        <w:t>challenge</w:t>
      </w:r>
      <w:r w:rsidR="00334A0F">
        <w:rPr>
          <w:rFonts w:ascii="Arial" w:hAnsi="Arial" w:cs="Arial"/>
          <w:sz w:val="24"/>
          <w:szCs w:val="24"/>
        </w:rPr>
        <w:t xml:space="preserve"> to Mr Coetzee’s authority</w:t>
      </w:r>
      <w:r w:rsidR="00440E5A" w:rsidRPr="00440E5A">
        <w:rPr>
          <w:rFonts w:ascii="Arial" w:hAnsi="Arial" w:cs="Arial"/>
          <w:sz w:val="24"/>
          <w:szCs w:val="24"/>
        </w:rPr>
        <w:t xml:space="preserve"> is</w:t>
      </w:r>
      <w:r w:rsidR="00334A0F">
        <w:rPr>
          <w:rFonts w:ascii="Arial" w:hAnsi="Arial" w:cs="Arial"/>
          <w:sz w:val="24"/>
          <w:szCs w:val="24"/>
        </w:rPr>
        <w:t xml:space="preserve"> </w:t>
      </w:r>
      <w:r w:rsidR="00440E5A" w:rsidRPr="00440E5A">
        <w:rPr>
          <w:rFonts w:ascii="Arial" w:hAnsi="Arial" w:cs="Arial"/>
          <w:sz w:val="24"/>
          <w:szCs w:val="24"/>
        </w:rPr>
        <w:t>misconceived.</w:t>
      </w:r>
    </w:p>
    <w:p w14:paraId="4DC536F1" w14:textId="3C4933A5" w:rsidR="002007E6" w:rsidRPr="002007E6" w:rsidRDefault="002007E6" w:rsidP="00DE1618">
      <w:pPr>
        <w:spacing w:before="480" w:after="480" w:line="360" w:lineRule="auto"/>
        <w:rPr>
          <w:rFonts w:ascii="Arial" w:hAnsi="Arial" w:cs="Arial"/>
          <w:i/>
          <w:iCs/>
          <w:sz w:val="24"/>
          <w:szCs w:val="24"/>
        </w:rPr>
      </w:pPr>
      <w:r>
        <w:rPr>
          <w:rFonts w:ascii="Arial" w:hAnsi="Arial" w:cs="Arial"/>
          <w:i/>
          <w:iCs/>
          <w:sz w:val="24"/>
          <w:szCs w:val="24"/>
        </w:rPr>
        <w:t xml:space="preserve">Mr </w:t>
      </w:r>
      <w:r w:rsidR="00F54132">
        <w:rPr>
          <w:rFonts w:ascii="Arial" w:hAnsi="Arial" w:cs="Arial"/>
          <w:i/>
          <w:iCs/>
          <w:sz w:val="24"/>
          <w:szCs w:val="24"/>
        </w:rPr>
        <w:t>Rees</w:t>
      </w:r>
      <w:r>
        <w:rPr>
          <w:rFonts w:ascii="Arial" w:hAnsi="Arial" w:cs="Arial"/>
          <w:i/>
          <w:iCs/>
          <w:sz w:val="24"/>
          <w:szCs w:val="24"/>
        </w:rPr>
        <w:t>’ occupation</w:t>
      </w:r>
      <w:r w:rsidR="00537C5C">
        <w:rPr>
          <w:rFonts w:ascii="Arial" w:hAnsi="Arial" w:cs="Arial"/>
          <w:i/>
          <w:iCs/>
          <w:sz w:val="24"/>
          <w:szCs w:val="24"/>
        </w:rPr>
        <w:t xml:space="preserve"> of the </w:t>
      </w:r>
      <w:r w:rsidR="00B51915">
        <w:rPr>
          <w:rFonts w:ascii="Arial" w:hAnsi="Arial" w:cs="Arial"/>
          <w:i/>
          <w:iCs/>
          <w:sz w:val="24"/>
          <w:szCs w:val="24"/>
        </w:rPr>
        <w:t>hangar</w:t>
      </w:r>
    </w:p>
    <w:p w14:paraId="134F2B50" w14:textId="63EC0957" w:rsidR="002007E6"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[35]</w:t>
      </w:r>
      <w:r>
        <w:rPr>
          <w:rFonts w:ascii="Arial" w:hAnsi="Arial" w:cs="Arial"/>
          <w:sz w:val="24"/>
          <w:szCs w:val="24"/>
        </w:rPr>
        <w:tab/>
      </w:r>
      <w:r w:rsidR="002007E6">
        <w:rPr>
          <w:rFonts w:ascii="Arial" w:hAnsi="Arial" w:cs="Arial"/>
          <w:sz w:val="24"/>
          <w:szCs w:val="24"/>
        </w:rPr>
        <w:t xml:space="preserve">Before I consider Mr </w:t>
      </w:r>
      <w:r w:rsidR="00F54132">
        <w:rPr>
          <w:rFonts w:ascii="Arial" w:hAnsi="Arial" w:cs="Arial"/>
          <w:sz w:val="24"/>
          <w:szCs w:val="24"/>
        </w:rPr>
        <w:t>Rees</w:t>
      </w:r>
      <w:r w:rsidR="002007E6">
        <w:rPr>
          <w:rFonts w:ascii="Arial" w:hAnsi="Arial" w:cs="Arial"/>
          <w:sz w:val="24"/>
          <w:szCs w:val="24"/>
        </w:rPr>
        <w:t xml:space="preserve">’ version </w:t>
      </w:r>
      <w:r w:rsidR="005F013B">
        <w:rPr>
          <w:rFonts w:ascii="Arial" w:hAnsi="Arial" w:cs="Arial"/>
          <w:sz w:val="24"/>
          <w:szCs w:val="24"/>
        </w:rPr>
        <w:t xml:space="preserve">as to </w:t>
      </w:r>
      <w:r w:rsidR="002007E6">
        <w:rPr>
          <w:rFonts w:ascii="Arial" w:hAnsi="Arial" w:cs="Arial"/>
          <w:sz w:val="24"/>
          <w:szCs w:val="24"/>
        </w:rPr>
        <w:t xml:space="preserve">why he is entitled to occupy the </w:t>
      </w:r>
      <w:r w:rsidR="00B51915">
        <w:rPr>
          <w:rFonts w:ascii="Arial" w:hAnsi="Arial" w:cs="Arial"/>
          <w:sz w:val="24"/>
          <w:szCs w:val="24"/>
        </w:rPr>
        <w:t>hangar</w:t>
      </w:r>
      <w:r w:rsidR="002007E6">
        <w:rPr>
          <w:rFonts w:ascii="Arial" w:hAnsi="Arial" w:cs="Arial"/>
          <w:sz w:val="24"/>
          <w:szCs w:val="24"/>
        </w:rPr>
        <w:t>, it needs to be said that Marindafontein’s cause of action is</w:t>
      </w:r>
      <w:r w:rsidR="00537C5C">
        <w:rPr>
          <w:rFonts w:ascii="Arial" w:hAnsi="Arial" w:cs="Arial"/>
          <w:sz w:val="24"/>
          <w:szCs w:val="24"/>
        </w:rPr>
        <w:t xml:space="preserve"> premised on </w:t>
      </w:r>
      <w:r w:rsidR="002007E6">
        <w:rPr>
          <w:rFonts w:ascii="Arial" w:hAnsi="Arial" w:cs="Arial"/>
          <w:sz w:val="24"/>
          <w:szCs w:val="24"/>
        </w:rPr>
        <w:t xml:space="preserve">the </w:t>
      </w:r>
      <w:r w:rsidR="002007E6">
        <w:rPr>
          <w:rFonts w:ascii="Arial" w:hAnsi="Arial" w:cs="Arial"/>
          <w:i/>
          <w:iCs/>
          <w:sz w:val="24"/>
          <w:szCs w:val="24"/>
        </w:rPr>
        <w:t>rei</w:t>
      </w:r>
      <w:r w:rsidR="002908B7">
        <w:rPr>
          <w:rFonts w:ascii="Arial" w:hAnsi="Arial" w:cs="Arial"/>
          <w:i/>
          <w:iCs/>
          <w:sz w:val="24"/>
          <w:szCs w:val="24"/>
        </w:rPr>
        <w:t> </w:t>
      </w:r>
      <w:r w:rsidR="002007E6">
        <w:rPr>
          <w:rFonts w:ascii="Arial" w:hAnsi="Arial" w:cs="Arial"/>
          <w:i/>
          <w:iCs/>
          <w:sz w:val="24"/>
          <w:szCs w:val="24"/>
        </w:rPr>
        <w:t>vindicatio</w:t>
      </w:r>
      <w:r w:rsidR="002007E6">
        <w:rPr>
          <w:rFonts w:ascii="Arial" w:hAnsi="Arial" w:cs="Arial"/>
          <w:sz w:val="24"/>
          <w:szCs w:val="24"/>
        </w:rPr>
        <w:t>.</w:t>
      </w:r>
    </w:p>
    <w:p w14:paraId="01FB8BA1" w14:textId="3802F133" w:rsidR="002007E6"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[36]</w:t>
      </w:r>
      <w:r>
        <w:rPr>
          <w:rFonts w:ascii="Arial" w:hAnsi="Arial" w:cs="Arial"/>
          <w:sz w:val="24"/>
          <w:szCs w:val="24"/>
        </w:rPr>
        <w:tab/>
      </w:r>
      <w:r w:rsidR="00EC0FAA">
        <w:rPr>
          <w:rFonts w:ascii="Arial" w:hAnsi="Arial" w:cs="Arial"/>
          <w:sz w:val="24"/>
          <w:szCs w:val="24"/>
        </w:rPr>
        <w:t xml:space="preserve">In this regard it is trite that the jurisdictional facts </w:t>
      </w:r>
      <w:r w:rsidR="00537C5C">
        <w:rPr>
          <w:rFonts w:ascii="Arial" w:hAnsi="Arial" w:cs="Arial"/>
          <w:sz w:val="24"/>
          <w:szCs w:val="24"/>
        </w:rPr>
        <w:t xml:space="preserve">which </w:t>
      </w:r>
      <w:r w:rsidR="00EC0FAA">
        <w:rPr>
          <w:rFonts w:ascii="Arial" w:hAnsi="Arial" w:cs="Arial"/>
          <w:sz w:val="24"/>
          <w:szCs w:val="24"/>
        </w:rPr>
        <w:t>an applicant seeking to obtain vindicatory relief has to show are: (i) that the applicant is the owner of the property (movable or immovable); and (ii) that the respondent is in possession of that property.</w:t>
      </w:r>
    </w:p>
    <w:p w14:paraId="358FEC70" w14:textId="48F9F398" w:rsidR="00EC0FAA" w:rsidRPr="005F6D58" w:rsidRDefault="00170630" w:rsidP="00170630">
      <w:pPr>
        <w:tabs>
          <w:tab w:val="left" w:pos="692"/>
        </w:tabs>
        <w:spacing w:before="480" w:after="480" w:line="360" w:lineRule="auto"/>
        <w:ind w:left="692" w:hanging="692"/>
        <w:rPr>
          <w:rFonts w:cs="Arial"/>
        </w:rPr>
      </w:pPr>
      <w:r w:rsidRPr="005F6D58">
        <w:rPr>
          <w:rFonts w:ascii="Arial" w:hAnsi="Arial" w:cs="Arial"/>
          <w:sz w:val="24"/>
          <w:szCs w:val="24"/>
        </w:rPr>
        <w:lastRenderedPageBreak/>
        <w:t>[37]</w:t>
      </w:r>
      <w:r w:rsidRPr="005F6D58">
        <w:rPr>
          <w:rFonts w:ascii="Arial" w:hAnsi="Arial" w:cs="Arial"/>
          <w:sz w:val="24"/>
          <w:szCs w:val="24"/>
        </w:rPr>
        <w:tab/>
      </w:r>
      <w:r w:rsidR="00EC0FAA" w:rsidRPr="00EC0FAA">
        <w:rPr>
          <w:rFonts w:ascii="Arial" w:hAnsi="Arial" w:cs="Arial"/>
          <w:sz w:val="24"/>
          <w:szCs w:val="24"/>
        </w:rPr>
        <w:t xml:space="preserve">In respect of the </w:t>
      </w:r>
      <w:r w:rsidR="00EC0FAA" w:rsidRPr="00EC0FAA">
        <w:rPr>
          <w:rFonts w:ascii="Arial" w:hAnsi="Arial" w:cs="Arial"/>
          <w:i/>
          <w:iCs/>
          <w:sz w:val="24"/>
          <w:szCs w:val="24"/>
        </w:rPr>
        <w:t xml:space="preserve">rei </w:t>
      </w:r>
      <w:r w:rsidR="00E2552E">
        <w:rPr>
          <w:rFonts w:ascii="Arial" w:hAnsi="Arial" w:cs="Arial"/>
          <w:i/>
          <w:iCs/>
          <w:sz w:val="24"/>
          <w:szCs w:val="24"/>
        </w:rPr>
        <w:t>vindicatio</w:t>
      </w:r>
      <w:r w:rsidR="00E2552E">
        <w:rPr>
          <w:rFonts w:ascii="Arial" w:hAnsi="Arial" w:cs="Arial"/>
          <w:iCs/>
          <w:sz w:val="24"/>
          <w:szCs w:val="24"/>
        </w:rPr>
        <w:t>,</w:t>
      </w:r>
      <w:r w:rsidR="00EC0FAA" w:rsidRPr="00EC0FAA">
        <w:rPr>
          <w:rFonts w:ascii="Arial" w:hAnsi="Arial" w:cs="Arial"/>
          <w:sz w:val="24"/>
          <w:szCs w:val="24"/>
        </w:rPr>
        <w:t xml:space="preserve"> Jansen JA stated the following in </w:t>
      </w:r>
      <w:r w:rsidR="00EC0FAA" w:rsidRPr="00EC0FAA">
        <w:rPr>
          <w:rFonts w:ascii="Arial" w:hAnsi="Arial" w:cs="Arial"/>
          <w:i/>
          <w:iCs/>
          <w:sz w:val="24"/>
          <w:szCs w:val="24"/>
        </w:rPr>
        <w:t>Chetty v Naidoo</w:t>
      </w:r>
      <w:r w:rsidR="00EC0FAA" w:rsidRPr="00EC0FAA">
        <w:rPr>
          <w:rFonts w:ascii="Arial" w:hAnsi="Arial" w:cs="Arial"/>
          <w:sz w:val="24"/>
          <w:szCs w:val="24"/>
        </w:rPr>
        <w:t>:</w:t>
      </w:r>
      <w:r w:rsidR="00EC0FAA" w:rsidRPr="005F013B">
        <w:rPr>
          <w:rStyle w:val="FootnoteReference"/>
          <w:rFonts w:ascii="Arial" w:hAnsi="Arial" w:cs="Arial"/>
        </w:rPr>
        <w:footnoteReference w:id="13"/>
      </w:r>
    </w:p>
    <w:p w14:paraId="6D6E4F8A" w14:textId="2F7ADCF8" w:rsidR="00EC0FAA" w:rsidRPr="00DE1618" w:rsidRDefault="00EC0FAA" w:rsidP="00A650A1">
      <w:pPr>
        <w:tabs>
          <w:tab w:val="left" w:pos="1134"/>
        </w:tabs>
        <w:spacing w:before="480" w:after="480" w:line="360" w:lineRule="auto"/>
        <w:ind w:left="1134"/>
        <w:rPr>
          <w:rFonts w:ascii="Arial" w:hAnsi="Arial" w:cs="Arial"/>
        </w:rPr>
      </w:pPr>
      <w:r w:rsidRPr="00DE1618">
        <w:rPr>
          <w:rFonts w:ascii="Arial" w:hAnsi="Arial" w:cs="Arial"/>
        </w:rPr>
        <w:t xml:space="preserve">“It is inherent in the nature of ownership that possession of the </w:t>
      </w:r>
      <w:r w:rsidRPr="00DC3970">
        <w:rPr>
          <w:rFonts w:ascii="Arial" w:hAnsi="Arial" w:cs="Arial"/>
          <w:i/>
          <w:iCs/>
        </w:rPr>
        <w:t>res</w:t>
      </w:r>
      <w:r w:rsidRPr="00DE1618">
        <w:rPr>
          <w:rFonts w:ascii="Arial" w:hAnsi="Arial" w:cs="Arial"/>
        </w:rPr>
        <w:t xml:space="preserve"> should normally be with the owner, and it follows that no other person may withhold it from the owner unless he is vested with some right enforceable against the owner (e.g., a right of retention or a contractual right). </w:t>
      </w:r>
      <w:r w:rsidRPr="00DE1618">
        <w:rPr>
          <w:rFonts w:ascii="Arial" w:hAnsi="Arial" w:cs="Arial"/>
          <w:u w:val="single"/>
        </w:rPr>
        <w:t xml:space="preserve">The owner, in instituting a </w:t>
      </w:r>
      <w:r w:rsidRPr="00DC3970">
        <w:rPr>
          <w:rFonts w:ascii="Arial" w:hAnsi="Arial" w:cs="Arial"/>
          <w:i/>
          <w:iCs/>
          <w:u w:val="single"/>
        </w:rPr>
        <w:t>rei vindicatio</w:t>
      </w:r>
      <w:r w:rsidRPr="00DE1618">
        <w:rPr>
          <w:rFonts w:ascii="Arial" w:hAnsi="Arial" w:cs="Arial"/>
          <w:u w:val="single"/>
        </w:rPr>
        <w:t>, need, therefore, do no more than allege and pro</w:t>
      </w:r>
      <w:r w:rsidR="00E2552E">
        <w:rPr>
          <w:rFonts w:ascii="Arial" w:hAnsi="Arial" w:cs="Arial"/>
          <w:u w:val="single"/>
        </w:rPr>
        <w:t>ve</w:t>
      </w:r>
      <w:r w:rsidRPr="00DE1618">
        <w:rPr>
          <w:rFonts w:ascii="Arial" w:hAnsi="Arial" w:cs="Arial"/>
          <w:u w:val="single"/>
        </w:rPr>
        <w:t xml:space="preserve"> that he is the owner and that the defendant is holding the </w:t>
      </w:r>
      <w:r w:rsidRPr="00DC3970">
        <w:rPr>
          <w:rFonts w:ascii="Arial" w:hAnsi="Arial" w:cs="Arial"/>
          <w:i/>
          <w:iCs/>
          <w:u w:val="single"/>
        </w:rPr>
        <w:t>res</w:t>
      </w:r>
      <w:r w:rsidRPr="00537C5C">
        <w:rPr>
          <w:rFonts w:ascii="Arial" w:hAnsi="Arial" w:cs="Arial"/>
          <w:u w:val="single"/>
        </w:rPr>
        <w:t xml:space="preserve"> – the </w:t>
      </w:r>
      <w:r w:rsidRPr="00DC3970">
        <w:rPr>
          <w:rFonts w:ascii="Arial" w:hAnsi="Arial" w:cs="Arial"/>
          <w:i/>
          <w:iCs/>
          <w:u w:val="single"/>
        </w:rPr>
        <w:t>onus</w:t>
      </w:r>
      <w:r w:rsidRPr="00537C5C">
        <w:rPr>
          <w:rFonts w:ascii="Arial" w:hAnsi="Arial" w:cs="Arial"/>
          <w:u w:val="single"/>
        </w:rPr>
        <w:t xml:space="preserve"> being on the defendant to allege and establish any right to continue to hold against the owner</w:t>
      </w:r>
      <w:r w:rsidRPr="00DE1618">
        <w:rPr>
          <w:rFonts w:ascii="Arial" w:hAnsi="Arial" w:cs="Arial"/>
        </w:rPr>
        <w:t xml:space="preserve"> …. But if he goes beyond alleging merely his ownership and the defendant being in possession …, other considerations come into play. If he concedes in his particulars of claim that the defendant has an existing right to hold (e.g., by conceding a lease or a hire-purchase agreement, without also alleging that it has been terminated …) his statement of claim obviously discloses no cause of action. If he does not concede an existing right to hold, but, nevertheless, says that a right to hold now would have existed but for a termination which has taken place, then </w:t>
      </w:r>
      <w:r w:rsidRPr="00DC3970">
        <w:rPr>
          <w:rFonts w:ascii="Arial" w:hAnsi="Arial" w:cs="Arial"/>
          <w:i/>
          <w:iCs/>
        </w:rPr>
        <w:t>ex facie</w:t>
      </w:r>
      <w:r w:rsidRPr="00DE1618">
        <w:rPr>
          <w:rFonts w:ascii="Arial" w:hAnsi="Arial" w:cs="Arial"/>
        </w:rPr>
        <w:t xml:space="preserve"> the statement of claim he must at least pro</w:t>
      </w:r>
      <w:r w:rsidR="00DC3970">
        <w:rPr>
          <w:rFonts w:ascii="Arial" w:hAnsi="Arial" w:cs="Arial"/>
        </w:rPr>
        <w:t>ve</w:t>
      </w:r>
      <w:r w:rsidRPr="00DE1618">
        <w:rPr>
          <w:rFonts w:ascii="Arial" w:hAnsi="Arial" w:cs="Arial"/>
        </w:rPr>
        <w:t xml:space="preserve"> the termination, which might, in the case of a contract, also entail proof of the terms of the contract.” [</w:t>
      </w:r>
      <w:r w:rsidR="00E2552E">
        <w:rPr>
          <w:rFonts w:ascii="Arial" w:hAnsi="Arial" w:cs="Arial"/>
        </w:rPr>
        <w:t>Emphasis</w:t>
      </w:r>
      <w:r w:rsidR="00E2552E" w:rsidRPr="00DE1618">
        <w:rPr>
          <w:rFonts w:ascii="Arial" w:hAnsi="Arial" w:cs="Arial"/>
        </w:rPr>
        <w:t xml:space="preserve"> </w:t>
      </w:r>
      <w:r w:rsidRPr="00DE1618">
        <w:rPr>
          <w:rFonts w:ascii="Arial" w:hAnsi="Arial" w:cs="Arial"/>
        </w:rPr>
        <w:t>added.]</w:t>
      </w:r>
    </w:p>
    <w:p w14:paraId="3ED376C7" w14:textId="7074B969" w:rsidR="00EC0FAA" w:rsidRPr="00B87CD0" w:rsidRDefault="00170630" w:rsidP="00170630">
      <w:pPr>
        <w:tabs>
          <w:tab w:val="left" w:pos="692"/>
        </w:tabs>
        <w:spacing w:before="480" w:after="480" w:line="360" w:lineRule="auto"/>
        <w:ind w:left="692" w:hanging="692"/>
        <w:rPr>
          <w:rFonts w:ascii="Arial" w:hAnsi="Arial" w:cs="Arial"/>
          <w:sz w:val="24"/>
          <w:szCs w:val="24"/>
        </w:rPr>
      </w:pPr>
      <w:r w:rsidRPr="00B87CD0">
        <w:rPr>
          <w:rFonts w:ascii="Arial" w:hAnsi="Arial" w:cs="Arial"/>
          <w:sz w:val="24"/>
          <w:szCs w:val="24"/>
        </w:rPr>
        <w:t>[38]</w:t>
      </w:r>
      <w:r w:rsidRPr="00B87CD0">
        <w:rPr>
          <w:rFonts w:ascii="Arial" w:hAnsi="Arial" w:cs="Arial"/>
          <w:sz w:val="24"/>
          <w:szCs w:val="24"/>
        </w:rPr>
        <w:tab/>
      </w:r>
      <w:r w:rsidR="00EC0FAA" w:rsidRPr="00EC0FAA">
        <w:rPr>
          <w:rFonts w:ascii="Arial" w:hAnsi="Arial" w:cs="Arial"/>
          <w:sz w:val="24"/>
          <w:szCs w:val="24"/>
        </w:rPr>
        <w:t xml:space="preserve">The right to ownership has been described as the most comprehensive right a person can have in respect of a </w:t>
      </w:r>
      <w:r w:rsidR="00EC0FAA" w:rsidRPr="00EC0FAA">
        <w:rPr>
          <w:rFonts w:ascii="Arial" w:hAnsi="Arial" w:cs="Arial"/>
          <w:i/>
          <w:iCs/>
          <w:sz w:val="24"/>
          <w:szCs w:val="24"/>
        </w:rPr>
        <w:t>res</w:t>
      </w:r>
      <w:r w:rsidR="00B87CD0">
        <w:rPr>
          <w:rFonts w:ascii="Arial" w:hAnsi="Arial" w:cs="Arial"/>
          <w:sz w:val="24"/>
          <w:szCs w:val="24"/>
        </w:rPr>
        <w:t>.</w:t>
      </w:r>
      <w:r w:rsidR="00B87CD0">
        <w:rPr>
          <w:rStyle w:val="FootnoteReference"/>
          <w:rFonts w:ascii="Arial" w:hAnsi="Arial" w:cs="Arial"/>
          <w:sz w:val="24"/>
          <w:szCs w:val="24"/>
        </w:rPr>
        <w:footnoteReference w:id="14"/>
      </w:r>
      <w:r w:rsidR="00EC0FAA" w:rsidRPr="00EC0FAA">
        <w:rPr>
          <w:rFonts w:ascii="Arial" w:hAnsi="Arial" w:cs="Arial"/>
          <w:b/>
          <w:bCs/>
          <w:i/>
          <w:iCs/>
          <w:sz w:val="24"/>
          <w:szCs w:val="24"/>
        </w:rPr>
        <w:t xml:space="preserve"> </w:t>
      </w:r>
    </w:p>
    <w:p w14:paraId="5648BAD5" w14:textId="2963B071" w:rsidR="00B87CD0" w:rsidRPr="00B87CD0" w:rsidRDefault="00170630" w:rsidP="00170630">
      <w:pPr>
        <w:tabs>
          <w:tab w:val="left" w:pos="692"/>
        </w:tabs>
        <w:suppressAutoHyphens/>
        <w:snapToGrid w:val="0"/>
        <w:spacing w:before="480" w:after="480" w:line="360" w:lineRule="auto"/>
        <w:ind w:left="692" w:hanging="692"/>
        <w:rPr>
          <w:rFonts w:ascii="Arial" w:hAnsi="Arial" w:cs="Arial"/>
          <w:sz w:val="24"/>
          <w:szCs w:val="24"/>
        </w:rPr>
      </w:pPr>
      <w:r w:rsidRPr="00B87CD0">
        <w:rPr>
          <w:rFonts w:ascii="Arial" w:hAnsi="Arial" w:cs="Arial"/>
          <w:sz w:val="24"/>
          <w:szCs w:val="24"/>
        </w:rPr>
        <w:t>[39]</w:t>
      </w:r>
      <w:r w:rsidRPr="00B87CD0">
        <w:rPr>
          <w:rFonts w:ascii="Arial" w:hAnsi="Arial" w:cs="Arial"/>
          <w:sz w:val="24"/>
          <w:szCs w:val="24"/>
        </w:rPr>
        <w:tab/>
      </w:r>
      <w:r w:rsidR="00B87CD0" w:rsidRPr="00B87CD0">
        <w:rPr>
          <w:rFonts w:ascii="Arial" w:hAnsi="Arial" w:cs="Arial"/>
          <w:sz w:val="24"/>
          <w:szCs w:val="24"/>
        </w:rPr>
        <w:t xml:space="preserve">In </w:t>
      </w:r>
      <w:r w:rsidR="00B87CD0" w:rsidRPr="00B87CD0">
        <w:rPr>
          <w:rFonts w:ascii="Arial" w:hAnsi="Arial" w:cs="Arial"/>
          <w:i/>
          <w:iCs/>
          <w:sz w:val="24"/>
          <w:szCs w:val="24"/>
        </w:rPr>
        <w:t>BLC Plant Company (Pty) Ltd v Maluti-A-Phofung Local Municipality</w:t>
      </w:r>
      <w:r w:rsidR="00B87CD0" w:rsidRPr="00B87CD0">
        <w:rPr>
          <w:rFonts w:ascii="Arial" w:hAnsi="Arial" w:cs="Arial"/>
          <w:sz w:val="24"/>
          <w:szCs w:val="24"/>
        </w:rPr>
        <w:t>,</w:t>
      </w:r>
      <w:r w:rsidR="00B87CD0">
        <w:rPr>
          <w:rStyle w:val="FootnoteReference"/>
          <w:rFonts w:ascii="Arial" w:hAnsi="Arial" w:cs="Arial"/>
          <w:sz w:val="24"/>
          <w:szCs w:val="24"/>
        </w:rPr>
        <w:footnoteReference w:id="15"/>
      </w:r>
      <w:r w:rsidR="00B87CD0" w:rsidRPr="00B87CD0">
        <w:rPr>
          <w:rFonts w:ascii="Arial" w:hAnsi="Arial" w:cs="Arial"/>
          <w:sz w:val="24"/>
          <w:szCs w:val="24"/>
        </w:rPr>
        <w:t xml:space="preserve"> Mathebula J referred to </w:t>
      </w:r>
      <w:r w:rsidR="00B87CD0" w:rsidRPr="00B87CD0">
        <w:rPr>
          <w:rFonts w:ascii="Arial" w:hAnsi="Arial" w:cs="Arial"/>
          <w:i/>
          <w:iCs/>
          <w:sz w:val="24"/>
          <w:szCs w:val="24"/>
        </w:rPr>
        <w:t>Gien</w:t>
      </w:r>
      <w:r w:rsidR="00B87CD0" w:rsidRPr="00B87CD0">
        <w:rPr>
          <w:rFonts w:ascii="Arial" w:hAnsi="Arial" w:cs="Arial"/>
          <w:sz w:val="24"/>
          <w:szCs w:val="24"/>
        </w:rPr>
        <w:t xml:space="preserve"> and stated further that:</w:t>
      </w:r>
    </w:p>
    <w:p w14:paraId="3F346AA0" w14:textId="54F2FE6F" w:rsidR="00B87CD0" w:rsidRPr="00DE1618" w:rsidRDefault="00B87CD0" w:rsidP="00A650A1">
      <w:pPr>
        <w:tabs>
          <w:tab w:val="left" w:pos="1134"/>
        </w:tabs>
        <w:spacing w:before="480" w:after="480" w:line="360" w:lineRule="auto"/>
        <w:ind w:left="1134"/>
        <w:rPr>
          <w:rFonts w:ascii="Arial" w:hAnsi="Arial" w:cs="Arial"/>
        </w:rPr>
      </w:pPr>
      <w:r w:rsidRPr="00DE1618">
        <w:rPr>
          <w:rFonts w:ascii="Arial" w:hAnsi="Arial" w:cs="Arial"/>
        </w:rPr>
        <w:t xml:space="preserve">“This right is enshrined in section 25(1) of the Constitution of the Republic of South Africa Act 108 of 1996. In matters of this nature for an owner to succeed in his action, he must prove on a balance of probabilities the following viz:- ownership, the property is still in existence and clearly identifiable and lastly that the defendant </w:t>
      </w:r>
      <w:r w:rsidRPr="00DE1618">
        <w:rPr>
          <w:rFonts w:ascii="Arial" w:hAnsi="Arial" w:cs="Arial"/>
        </w:rPr>
        <w:lastRenderedPageBreak/>
        <w:t xml:space="preserve">has possession or detention of it. </w:t>
      </w:r>
      <w:r w:rsidRPr="00DE1618">
        <w:rPr>
          <w:rFonts w:ascii="Arial" w:hAnsi="Arial" w:cs="Arial"/>
          <w:u w:val="single"/>
        </w:rPr>
        <w:t>This right is carefully protected by the courts</w:t>
      </w:r>
      <w:r w:rsidRPr="00DE1618">
        <w:rPr>
          <w:rFonts w:ascii="Arial" w:hAnsi="Arial" w:cs="Arial"/>
        </w:rPr>
        <w:t>.” [</w:t>
      </w:r>
      <w:r w:rsidR="007E2823">
        <w:rPr>
          <w:rFonts w:ascii="Arial" w:hAnsi="Arial" w:cs="Arial"/>
        </w:rPr>
        <w:t>Emphasis</w:t>
      </w:r>
      <w:r w:rsidR="007E2823" w:rsidRPr="00DE1618">
        <w:rPr>
          <w:rFonts w:ascii="Arial" w:hAnsi="Arial" w:cs="Arial"/>
        </w:rPr>
        <w:t xml:space="preserve"> </w:t>
      </w:r>
      <w:r w:rsidRPr="00DE1618">
        <w:rPr>
          <w:rFonts w:ascii="Arial" w:hAnsi="Arial" w:cs="Arial"/>
        </w:rPr>
        <w:t>added.]</w:t>
      </w:r>
    </w:p>
    <w:p w14:paraId="5E00C5CD" w14:textId="57E93A05" w:rsidR="005F013B"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[40]</w:t>
      </w:r>
      <w:r>
        <w:rPr>
          <w:rFonts w:ascii="Arial" w:hAnsi="Arial" w:cs="Arial"/>
          <w:sz w:val="24"/>
          <w:szCs w:val="24"/>
        </w:rPr>
        <w:tab/>
      </w:r>
      <w:r w:rsidR="005F013B">
        <w:rPr>
          <w:rFonts w:ascii="Arial" w:hAnsi="Arial" w:cs="Arial"/>
          <w:sz w:val="24"/>
          <w:szCs w:val="24"/>
        </w:rPr>
        <w:t>The two jurisdictional facts for vindicatory relief are common cause in this matter: (i) Marindafontein is the owner of the immovable property upon which the hangar is situated; and (ii) Mr Rees is in possession of the hangar.</w:t>
      </w:r>
    </w:p>
    <w:p w14:paraId="4C43416D" w14:textId="0869A4F0" w:rsidR="00537C5C"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[41]</w:t>
      </w:r>
      <w:r>
        <w:rPr>
          <w:rFonts w:ascii="Arial" w:hAnsi="Arial" w:cs="Arial"/>
          <w:sz w:val="24"/>
          <w:szCs w:val="24"/>
        </w:rPr>
        <w:tab/>
      </w:r>
      <w:r w:rsidR="000172DA">
        <w:rPr>
          <w:rFonts w:ascii="Arial" w:hAnsi="Arial" w:cs="Arial"/>
          <w:sz w:val="24"/>
          <w:szCs w:val="24"/>
        </w:rPr>
        <w:t xml:space="preserve">Mr </w:t>
      </w:r>
      <w:r w:rsidR="00F54132">
        <w:rPr>
          <w:rFonts w:ascii="Arial" w:hAnsi="Arial" w:cs="Arial"/>
          <w:sz w:val="24"/>
          <w:szCs w:val="24"/>
        </w:rPr>
        <w:t>Rees</w:t>
      </w:r>
      <w:r w:rsidR="000172DA">
        <w:rPr>
          <w:rFonts w:ascii="Arial" w:hAnsi="Arial" w:cs="Arial"/>
          <w:sz w:val="24"/>
          <w:szCs w:val="24"/>
        </w:rPr>
        <w:t xml:space="preserve"> relies on the following versions for his entitlement to remain in occupation of the </w:t>
      </w:r>
      <w:r w:rsidR="00B51915">
        <w:rPr>
          <w:rFonts w:ascii="Arial" w:hAnsi="Arial" w:cs="Arial"/>
          <w:sz w:val="24"/>
          <w:szCs w:val="24"/>
        </w:rPr>
        <w:t>hangar</w:t>
      </w:r>
      <w:r w:rsidR="000172DA">
        <w:rPr>
          <w:rFonts w:ascii="Arial" w:hAnsi="Arial" w:cs="Arial"/>
          <w:sz w:val="24"/>
          <w:szCs w:val="24"/>
        </w:rPr>
        <w:t>.</w:t>
      </w:r>
    </w:p>
    <w:p w14:paraId="443CA92F" w14:textId="01ED51D9" w:rsidR="00B87CD0"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[42]</w:t>
      </w:r>
      <w:r>
        <w:rPr>
          <w:rFonts w:ascii="Arial" w:hAnsi="Arial" w:cs="Arial"/>
          <w:sz w:val="24"/>
          <w:szCs w:val="24"/>
        </w:rPr>
        <w:tab/>
      </w:r>
      <w:r w:rsidR="000172DA">
        <w:rPr>
          <w:rFonts w:ascii="Arial" w:hAnsi="Arial" w:cs="Arial"/>
          <w:sz w:val="24"/>
          <w:szCs w:val="24"/>
        </w:rPr>
        <w:t xml:space="preserve">Firstly, he relies on the conclusion of a </w:t>
      </w:r>
      <w:r w:rsidR="00B51915">
        <w:rPr>
          <w:rFonts w:ascii="Arial" w:hAnsi="Arial" w:cs="Arial"/>
          <w:sz w:val="24"/>
          <w:szCs w:val="24"/>
        </w:rPr>
        <w:t>hangar</w:t>
      </w:r>
      <w:r w:rsidR="000172DA">
        <w:rPr>
          <w:rFonts w:ascii="Arial" w:hAnsi="Arial" w:cs="Arial"/>
          <w:sz w:val="24"/>
          <w:szCs w:val="24"/>
        </w:rPr>
        <w:t xml:space="preserve"> sale and </w:t>
      </w:r>
      <w:r w:rsidR="00B51915">
        <w:rPr>
          <w:rFonts w:ascii="Arial" w:hAnsi="Arial" w:cs="Arial"/>
          <w:sz w:val="24"/>
          <w:szCs w:val="24"/>
        </w:rPr>
        <w:t>hangar</w:t>
      </w:r>
      <w:r w:rsidR="000172DA">
        <w:rPr>
          <w:rFonts w:ascii="Arial" w:hAnsi="Arial" w:cs="Arial"/>
          <w:sz w:val="24"/>
          <w:szCs w:val="24"/>
        </w:rPr>
        <w:t xml:space="preserve"> lease with Marindafontein </w:t>
      </w:r>
      <w:r w:rsidR="005528C8">
        <w:rPr>
          <w:rFonts w:ascii="Arial" w:hAnsi="Arial" w:cs="Arial"/>
          <w:sz w:val="24"/>
          <w:szCs w:val="24"/>
        </w:rPr>
        <w:t>represented by the Vissers.</w:t>
      </w:r>
      <w:r w:rsidR="005528C8">
        <w:rPr>
          <w:rStyle w:val="FootnoteReference"/>
          <w:rFonts w:ascii="Arial" w:hAnsi="Arial" w:cs="Arial"/>
          <w:sz w:val="24"/>
          <w:szCs w:val="24"/>
        </w:rPr>
        <w:footnoteReference w:id="16"/>
      </w:r>
      <w:r w:rsidR="005528C8">
        <w:rPr>
          <w:rFonts w:ascii="Arial" w:hAnsi="Arial" w:cs="Arial"/>
          <w:sz w:val="24"/>
          <w:szCs w:val="24"/>
        </w:rPr>
        <w:t xml:space="preserve"> </w:t>
      </w:r>
      <w:r w:rsidR="005973C9">
        <w:rPr>
          <w:rFonts w:ascii="Arial" w:hAnsi="Arial" w:cs="Arial"/>
          <w:sz w:val="24"/>
          <w:szCs w:val="24"/>
        </w:rPr>
        <w:t xml:space="preserve"> </w:t>
      </w:r>
      <w:r w:rsidR="005528C8" w:rsidRPr="005F013B">
        <w:rPr>
          <w:rFonts w:ascii="Arial" w:hAnsi="Arial" w:cs="Arial"/>
          <w:sz w:val="24"/>
          <w:szCs w:val="24"/>
        </w:rPr>
        <w:t xml:space="preserve">There is no written </w:t>
      </w:r>
      <w:r w:rsidR="005F013B" w:rsidRPr="005F013B">
        <w:rPr>
          <w:rFonts w:ascii="Arial" w:hAnsi="Arial" w:cs="Arial"/>
          <w:sz w:val="24"/>
          <w:szCs w:val="24"/>
        </w:rPr>
        <w:t>hangar sale or hangar lease</w:t>
      </w:r>
      <w:r w:rsidR="005528C8" w:rsidRPr="005F013B">
        <w:rPr>
          <w:rFonts w:ascii="Arial" w:hAnsi="Arial" w:cs="Arial"/>
          <w:sz w:val="24"/>
          <w:szCs w:val="24"/>
        </w:rPr>
        <w:t xml:space="preserve"> agreement</w:t>
      </w:r>
      <w:r w:rsidR="005F013B" w:rsidRPr="005F013B">
        <w:rPr>
          <w:rFonts w:ascii="Arial" w:hAnsi="Arial" w:cs="Arial"/>
          <w:sz w:val="24"/>
          <w:szCs w:val="24"/>
        </w:rPr>
        <w:t xml:space="preserve"> concluded between Mr Rees and Marindafontein</w:t>
      </w:r>
      <w:r w:rsidR="005528C8" w:rsidRPr="00B97A81">
        <w:rPr>
          <w:rFonts w:ascii="Arial" w:hAnsi="Arial" w:cs="Arial"/>
          <w:sz w:val="24"/>
          <w:szCs w:val="24"/>
        </w:rPr>
        <w:t>.</w:t>
      </w:r>
      <w:r w:rsidR="005973C9">
        <w:rPr>
          <w:rFonts w:ascii="Arial" w:hAnsi="Arial" w:cs="Arial"/>
          <w:sz w:val="24"/>
          <w:szCs w:val="24"/>
        </w:rPr>
        <w:t xml:space="preserve"> </w:t>
      </w:r>
      <w:r w:rsidR="005528C8" w:rsidRPr="00B97A81">
        <w:rPr>
          <w:rFonts w:ascii="Arial" w:hAnsi="Arial" w:cs="Arial"/>
          <w:sz w:val="24"/>
          <w:szCs w:val="24"/>
        </w:rPr>
        <w:t xml:space="preserve"> I return to this aspect below</w:t>
      </w:r>
      <w:r w:rsidR="005528C8">
        <w:rPr>
          <w:rFonts w:ascii="Arial" w:hAnsi="Arial" w:cs="Arial"/>
          <w:sz w:val="24"/>
          <w:szCs w:val="24"/>
        </w:rPr>
        <w:t>.</w:t>
      </w:r>
    </w:p>
    <w:p w14:paraId="6D587D32" w14:textId="5156970B" w:rsidR="005528C8"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[43]</w:t>
      </w:r>
      <w:r>
        <w:rPr>
          <w:rFonts w:ascii="Arial" w:hAnsi="Arial" w:cs="Arial"/>
          <w:sz w:val="24"/>
          <w:szCs w:val="24"/>
        </w:rPr>
        <w:tab/>
      </w:r>
      <w:r w:rsidR="005528C8">
        <w:rPr>
          <w:rFonts w:ascii="Arial" w:hAnsi="Arial" w:cs="Arial"/>
          <w:sz w:val="24"/>
          <w:szCs w:val="24"/>
        </w:rPr>
        <w:t xml:space="preserve">Secondly, Mr </w:t>
      </w:r>
      <w:r w:rsidR="00F54132">
        <w:rPr>
          <w:rFonts w:ascii="Arial" w:hAnsi="Arial" w:cs="Arial"/>
          <w:sz w:val="24"/>
          <w:szCs w:val="24"/>
        </w:rPr>
        <w:t>Rees</w:t>
      </w:r>
      <w:r w:rsidR="005528C8">
        <w:rPr>
          <w:rFonts w:ascii="Arial" w:hAnsi="Arial" w:cs="Arial"/>
          <w:sz w:val="24"/>
          <w:szCs w:val="24"/>
        </w:rPr>
        <w:t xml:space="preserve"> relies on a purchase agreement in respect of the </w:t>
      </w:r>
      <w:r w:rsidR="00B51915">
        <w:rPr>
          <w:rFonts w:ascii="Arial" w:hAnsi="Arial" w:cs="Arial"/>
          <w:sz w:val="24"/>
          <w:szCs w:val="24"/>
        </w:rPr>
        <w:t>hangar</w:t>
      </w:r>
      <w:r w:rsidR="005528C8">
        <w:rPr>
          <w:rFonts w:ascii="Arial" w:hAnsi="Arial" w:cs="Arial"/>
          <w:sz w:val="24"/>
          <w:szCs w:val="24"/>
        </w:rPr>
        <w:t xml:space="preserve"> concluded with Mr Stopforth. </w:t>
      </w:r>
      <w:r w:rsidR="005973C9">
        <w:rPr>
          <w:rFonts w:ascii="Arial" w:hAnsi="Arial" w:cs="Arial"/>
          <w:sz w:val="24"/>
          <w:szCs w:val="24"/>
        </w:rPr>
        <w:t xml:space="preserve"> </w:t>
      </w:r>
      <w:r w:rsidR="005528C8">
        <w:rPr>
          <w:rFonts w:ascii="Arial" w:hAnsi="Arial" w:cs="Arial"/>
          <w:sz w:val="24"/>
          <w:szCs w:val="24"/>
        </w:rPr>
        <w:t xml:space="preserve">He says Mr Stopforth ceded all of his right and title in the </w:t>
      </w:r>
      <w:r w:rsidR="00B51915">
        <w:rPr>
          <w:rFonts w:ascii="Arial" w:hAnsi="Arial" w:cs="Arial"/>
          <w:sz w:val="24"/>
          <w:szCs w:val="24"/>
        </w:rPr>
        <w:t>hangar</w:t>
      </w:r>
      <w:r w:rsidR="005528C8">
        <w:rPr>
          <w:rFonts w:ascii="Arial" w:hAnsi="Arial" w:cs="Arial"/>
          <w:sz w:val="24"/>
          <w:szCs w:val="24"/>
        </w:rPr>
        <w:t xml:space="preserve"> sale and </w:t>
      </w:r>
      <w:r w:rsidR="00B51915">
        <w:rPr>
          <w:rFonts w:ascii="Arial" w:hAnsi="Arial" w:cs="Arial"/>
          <w:sz w:val="24"/>
          <w:szCs w:val="24"/>
        </w:rPr>
        <w:t>hangar</w:t>
      </w:r>
      <w:r w:rsidR="005528C8">
        <w:rPr>
          <w:rFonts w:ascii="Arial" w:hAnsi="Arial" w:cs="Arial"/>
          <w:sz w:val="24"/>
          <w:szCs w:val="24"/>
        </w:rPr>
        <w:t xml:space="preserve"> lease agreement to Mr </w:t>
      </w:r>
      <w:r w:rsidR="00F54132">
        <w:rPr>
          <w:rFonts w:ascii="Arial" w:hAnsi="Arial" w:cs="Arial"/>
          <w:sz w:val="24"/>
          <w:szCs w:val="24"/>
        </w:rPr>
        <w:t>Rees</w:t>
      </w:r>
      <w:r w:rsidR="005528C8">
        <w:rPr>
          <w:rFonts w:ascii="Arial" w:hAnsi="Arial" w:cs="Arial"/>
          <w:sz w:val="24"/>
          <w:szCs w:val="24"/>
        </w:rPr>
        <w:t>.</w:t>
      </w:r>
      <w:r w:rsidR="005528C8">
        <w:rPr>
          <w:rStyle w:val="FootnoteReference"/>
          <w:rFonts w:ascii="Arial" w:hAnsi="Arial" w:cs="Arial"/>
          <w:sz w:val="24"/>
          <w:szCs w:val="24"/>
        </w:rPr>
        <w:footnoteReference w:id="17"/>
      </w:r>
      <w:r w:rsidR="00B97A81">
        <w:rPr>
          <w:rFonts w:ascii="Arial" w:hAnsi="Arial" w:cs="Arial"/>
          <w:sz w:val="24"/>
          <w:szCs w:val="24"/>
        </w:rPr>
        <w:t xml:space="preserve"> </w:t>
      </w:r>
      <w:r w:rsidR="005973C9">
        <w:rPr>
          <w:rFonts w:ascii="Arial" w:hAnsi="Arial" w:cs="Arial"/>
          <w:sz w:val="24"/>
          <w:szCs w:val="24"/>
        </w:rPr>
        <w:t xml:space="preserve"> </w:t>
      </w:r>
      <w:r w:rsidR="00B97A81">
        <w:rPr>
          <w:rFonts w:ascii="Arial" w:hAnsi="Arial" w:cs="Arial"/>
          <w:sz w:val="24"/>
          <w:szCs w:val="24"/>
        </w:rPr>
        <w:t>I pause to mention that evidence of the purchase price and payment thereof do not appear in the answering affidavit.</w:t>
      </w:r>
    </w:p>
    <w:p w14:paraId="6940C13C" w14:textId="40CE9C7F" w:rsidR="00440E5A" w:rsidRPr="0035277C" w:rsidRDefault="00170630" w:rsidP="00170630">
      <w:pPr>
        <w:tabs>
          <w:tab w:val="left" w:pos="692"/>
        </w:tabs>
        <w:spacing w:before="480" w:after="480" w:line="360" w:lineRule="auto"/>
        <w:ind w:left="692" w:hanging="692"/>
        <w:rPr>
          <w:rFonts w:ascii="Arial" w:hAnsi="Arial" w:cs="Arial"/>
          <w:sz w:val="24"/>
          <w:szCs w:val="24"/>
        </w:rPr>
      </w:pPr>
      <w:r w:rsidRPr="0035277C">
        <w:rPr>
          <w:rFonts w:ascii="Arial" w:hAnsi="Arial" w:cs="Arial"/>
          <w:sz w:val="24"/>
          <w:szCs w:val="24"/>
        </w:rPr>
        <w:t>[44]</w:t>
      </w:r>
      <w:r w:rsidRPr="0035277C">
        <w:rPr>
          <w:rFonts w:ascii="Arial" w:hAnsi="Arial" w:cs="Arial"/>
          <w:sz w:val="24"/>
          <w:szCs w:val="24"/>
        </w:rPr>
        <w:tab/>
      </w:r>
      <w:r w:rsidR="002D7175">
        <w:rPr>
          <w:rFonts w:ascii="Arial" w:hAnsi="Arial" w:cs="Arial"/>
          <w:sz w:val="24"/>
          <w:szCs w:val="24"/>
        </w:rPr>
        <w:t xml:space="preserve">A third version is relied on in the heads of argument filed on behalf of Mr </w:t>
      </w:r>
      <w:r w:rsidR="00F54132">
        <w:rPr>
          <w:rFonts w:ascii="Arial" w:hAnsi="Arial" w:cs="Arial"/>
          <w:sz w:val="24"/>
          <w:szCs w:val="24"/>
        </w:rPr>
        <w:t>Rees</w:t>
      </w:r>
      <w:r w:rsidR="002D7175">
        <w:rPr>
          <w:rFonts w:ascii="Arial" w:hAnsi="Arial" w:cs="Arial"/>
          <w:sz w:val="24"/>
          <w:szCs w:val="24"/>
        </w:rPr>
        <w:t xml:space="preserve">. </w:t>
      </w:r>
      <w:r w:rsidR="00B34862">
        <w:rPr>
          <w:rFonts w:ascii="Arial" w:hAnsi="Arial" w:cs="Arial"/>
          <w:sz w:val="24"/>
          <w:szCs w:val="24"/>
        </w:rPr>
        <w:t xml:space="preserve"> </w:t>
      </w:r>
      <w:r w:rsidR="002D7175">
        <w:rPr>
          <w:rFonts w:ascii="Arial" w:hAnsi="Arial" w:cs="Arial"/>
          <w:sz w:val="24"/>
          <w:szCs w:val="24"/>
        </w:rPr>
        <w:t xml:space="preserve">It is contended that if the court is disinclined to accept Mr </w:t>
      </w:r>
      <w:r w:rsidR="00F54132">
        <w:rPr>
          <w:rFonts w:ascii="Arial" w:hAnsi="Arial" w:cs="Arial"/>
          <w:sz w:val="24"/>
          <w:szCs w:val="24"/>
        </w:rPr>
        <w:t>Rees</w:t>
      </w:r>
      <w:r w:rsidR="005F013B">
        <w:rPr>
          <w:rFonts w:ascii="Arial" w:hAnsi="Arial" w:cs="Arial"/>
          <w:sz w:val="24"/>
          <w:szCs w:val="24"/>
        </w:rPr>
        <w:t>’</w:t>
      </w:r>
      <w:r w:rsidR="002D7175">
        <w:rPr>
          <w:rFonts w:ascii="Arial" w:hAnsi="Arial" w:cs="Arial"/>
          <w:sz w:val="24"/>
          <w:szCs w:val="24"/>
        </w:rPr>
        <w:t xml:space="preserve"> version that he entered into an oral </w:t>
      </w:r>
      <w:r w:rsidR="00B51915">
        <w:rPr>
          <w:rFonts w:ascii="Arial" w:hAnsi="Arial" w:cs="Arial"/>
          <w:sz w:val="24"/>
          <w:szCs w:val="24"/>
        </w:rPr>
        <w:t>hangar</w:t>
      </w:r>
      <w:r w:rsidR="002D7175">
        <w:rPr>
          <w:rFonts w:ascii="Arial" w:hAnsi="Arial" w:cs="Arial"/>
          <w:sz w:val="24"/>
          <w:szCs w:val="24"/>
        </w:rPr>
        <w:t xml:space="preserve"> lease agreement with Marinda</w:t>
      </w:r>
      <w:r w:rsidR="00537C5C">
        <w:rPr>
          <w:rFonts w:ascii="Arial" w:hAnsi="Arial" w:cs="Arial"/>
          <w:sz w:val="24"/>
          <w:szCs w:val="24"/>
        </w:rPr>
        <w:t xml:space="preserve">fontein </w:t>
      </w:r>
      <w:r w:rsidR="002D7175">
        <w:rPr>
          <w:rFonts w:ascii="Arial" w:hAnsi="Arial" w:cs="Arial"/>
          <w:sz w:val="24"/>
          <w:szCs w:val="24"/>
        </w:rPr>
        <w:t xml:space="preserve">when represented by the Vissers, </w:t>
      </w:r>
      <w:r w:rsidR="0035277C">
        <w:rPr>
          <w:rFonts w:ascii="Arial" w:hAnsi="Arial" w:cs="Arial"/>
          <w:sz w:val="24"/>
          <w:szCs w:val="24"/>
        </w:rPr>
        <w:t xml:space="preserve">it is clear that a tacit contract was established between Marindafontein and Mr </w:t>
      </w:r>
      <w:r w:rsidR="00F54132">
        <w:rPr>
          <w:rFonts w:ascii="Arial" w:hAnsi="Arial" w:cs="Arial"/>
          <w:sz w:val="24"/>
          <w:szCs w:val="24"/>
        </w:rPr>
        <w:t>Rees</w:t>
      </w:r>
      <w:r w:rsidR="0035277C">
        <w:rPr>
          <w:rFonts w:ascii="Arial" w:hAnsi="Arial" w:cs="Arial"/>
          <w:sz w:val="24"/>
          <w:szCs w:val="24"/>
        </w:rPr>
        <w:t xml:space="preserve">. </w:t>
      </w:r>
      <w:r w:rsidR="00B34862">
        <w:rPr>
          <w:rFonts w:ascii="Arial" w:hAnsi="Arial" w:cs="Arial"/>
          <w:sz w:val="24"/>
          <w:szCs w:val="24"/>
        </w:rPr>
        <w:t xml:space="preserve"> </w:t>
      </w:r>
      <w:r w:rsidR="0035277C">
        <w:rPr>
          <w:rFonts w:ascii="Arial" w:hAnsi="Arial" w:cs="Arial"/>
          <w:sz w:val="24"/>
          <w:szCs w:val="24"/>
        </w:rPr>
        <w:t xml:space="preserve">Reliance is placed on </w:t>
      </w:r>
      <w:r w:rsidR="0035277C">
        <w:rPr>
          <w:rFonts w:ascii="Arial" w:hAnsi="Arial" w:cs="Arial"/>
          <w:i/>
          <w:iCs/>
          <w:sz w:val="24"/>
          <w:szCs w:val="24"/>
        </w:rPr>
        <w:t>McDonald v Young</w:t>
      </w:r>
      <w:r w:rsidR="0035277C" w:rsidRPr="00537C5C">
        <w:rPr>
          <w:rStyle w:val="FootnoteReference"/>
          <w:rFonts w:ascii="Arial" w:hAnsi="Arial" w:cs="Arial"/>
          <w:sz w:val="24"/>
          <w:szCs w:val="24"/>
        </w:rPr>
        <w:footnoteReference w:id="18"/>
      </w:r>
      <w:r w:rsidR="0035277C">
        <w:rPr>
          <w:rFonts w:ascii="Arial" w:hAnsi="Arial" w:cs="Arial"/>
          <w:sz w:val="24"/>
          <w:szCs w:val="24"/>
        </w:rPr>
        <w:t xml:space="preserve"> f</w:t>
      </w:r>
      <w:r w:rsidR="0035277C" w:rsidRPr="0035277C">
        <w:rPr>
          <w:rFonts w:ascii="Arial" w:hAnsi="Arial" w:cs="Arial"/>
          <w:sz w:val="24"/>
          <w:szCs w:val="24"/>
        </w:rPr>
        <w:t xml:space="preserve">or </w:t>
      </w:r>
      <w:r w:rsidR="0035277C">
        <w:rPr>
          <w:rFonts w:ascii="Arial" w:hAnsi="Arial" w:cs="Arial"/>
          <w:sz w:val="24"/>
          <w:szCs w:val="24"/>
        </w:rPr>
        <w:t>the submission that the conduct of Marindafontein over the past three consecutive years</w:t>
      </w:r>
      <w:r w:rsidR="005E5EBD">
        <w:rPr>
          <w:rFonts w:ascii="Arial" w:hAnsi="Arial" w:cs="Arial"/>
          <w:sz w:val="24"/>
          <w:szCs w:val="24"/>
        </w:rPr>
        <w:t xml:space="preserve"> (until Mr Coetzee became involved) justifies the </w:t>
      </w:r>
      <w:r w:rsidR="005E5EBD">
        <w:rPr>
          <w:rFonts w:ascii="Arial" w:hAnsi="Arial" w:cs="Arial"/>
          <w:sz w:val="24"/>
          <w:szCs w:val="24"/>
        </w:rPr>
        <w:lastRenderedPageBreak/>
        <w:t>inference that there was consensus between the</w:t>
      </w:r>
      <w:r w:rsidR="00537C5C">
        <w:rPr>
          <w:rFonts w:ascii="Arial" w:hAnsi="Arial" w:cs="Arial"/>
          <w:sz w:val="24"/>
          <w:szCs w:val="24"/>
        </w:rPr>
        <w:t>m</w:t>
      </w:r>
      <w:r w:rsidR="005E5EBD">
        <w:rPr>
          <w:rFonts w:ascii="Arial" w:hAnsi="Arial" w:cs="Arial"/>
          <w:sz w:val="24"/>
          <w:szCs w:val="24"/>
        </w:rPr>
        <w:t xml:space="preserve"> on the essential terms of the </w:t>
      </w:r>
      <w:r w:rsidR="00B51915">
        <w:rPr>
          <w:rFonts w:ascii="Arial" w:hAnsi="Arial" w:cs="Arial"/>
          <w:sz w:val="24"/>
          <w:szCs w:val="24"/>
        </w:rPr>
        <w:t>hangar</w:t>
      </w:r>
      <w:r w:rsidR="005E5EBD">
        <w:rPr>
          <w:rFonts w:ascii="Arial" w:hAnsi="Arial" w:cs="Arial"/>
          <w:sz w:val="24"/>
          <w:szCs w:val="24"/>
        </w:rPr>
        <w:t xml:space="preserve"> lease.</w:t>
      </w:r>
      <w:r w:rsidR="006C6941">
        <w:rPr>
          <w:rStyle w:val="FootnoteReference"/>
          <w:rFonts w:ascii="Arial" w:hAnsi="Arial" w:cs="Arial"/>
          <w:sz w:val="24"/>
          <w:szCs w:val="24"/>
        </w:rPr>
        <w:footnoteReference w:id="19"/>
      </w:r>
    </w:p>
    <w:p w14:paraId="48F13F52" w14:textId="0CD0C97E" w:rsidR="00537C5C" w:rsidRPr="00DC3970" w:rsidRDefault="00170630" w:rsidP="00170630">
      <w:pPr>
        <w:tabs>
          <w:tab w:val="left" w:pos="692"/>
        </w:tabs>
        <w:spacing w:before="480" w:after="480" w:line="360" w:lineRule="auto"/>
        <w:ind w:left="692" w:hanging="692"/>
        <w:rPr>
          <w:rFonts w:ascii="Arial" w:hAnsi="Arial" w:cs="Arial"/>
          <w:sz w:val="24"/>
          <w:szCs w:val="24"/>
        </w:rPr>
      </w:pPr>
      <w:r w:rsidRPr="00DC3970">
        <w:rPr>
          <w:rFonts w:ascii="Arial" w:hAnsi="Arial" w:cs="Arial"/>
          <w:sz w:val="24"/>
          <w:szCs w:val="24"/>
        </w:rPr>
        <w:t>[45]</w:t>
      </w:r>
      <w:r w:rsidRPr="00DC3970">
        <w:rPr>
          <w:rFonts w:ascii="Arial" w:hAnsi="Arial" w:cs="Arial"/>
          <w:sz w:val="24"/>
          <w:szCs w:val="24"/>
        </w:rPr>
        <w:tab/>
      </w:r>
      <w:r w:rsidR="00642959">
        <w:rPr>
          <w:rFonts w:ascii="Arial" w:hAnsi="Arial" w:cs="Arial"/>
          <w:sz w:val="24"/>
          <w:szCs w:val="24"/>
        </w:rPr>
        <w:t xml:space="preserve">Lacking from all three versions </w:t>
      </w:r>
      <w:r w:rsidR="009622BE">
        <w:rPr>
          <w:rFonts w:ascii="Arial" w:hAnsi="Arial" w:cs="Arial"/>
          <w:sz w:val="24"/>
          <w:szCs w:val="24"/>
        </w:rPr>
        <w:t>are</w:t>
      </w:r>
      <w:r w:rsidR="00642959">
        <w:rPr>
          <w:rFonts w:ascii="Arial" w:hAnsi="Arial" w:cs="Arial"/>
          <w:sz w:val="24"/>
          <w:szCs w:val="24"/>
        </w:rPr>
        <w:t xml:space="preserve"> allegations pertaining to when</w:t>
      </w:r>
      <w:r w:rsidR="00B97A81">
        <w:rPr>
          <w:rFonts w:ascii="Arial" w:hAnsi="Arial" w:cs="Arial"/>
          <w:sz w:val="24"/>
          <w:szCs w:val="24"/>
        </w:rPr>
        <w:t xml:space="preserve"> exactly</w:t>
      </w:r>
      <w:r w:rsidR="00642959">
        <w:rPr>
          <w:rFonts w:ascii="Arial" w:hAnsi="Arial" w:cs="Arial"/>
          <w:sz w:val="24"/>
          <w:szCs w:val="24"/>
        </w:rPr>
        <w:t xml:space="preserve"> and where these agreements were concluded. </w:t>
      </w:r>
      <w:r w:rsidR="00212784">
        <w:rPr>
          <w:rFonts w:ascii="Arial" w:hAnsi="Arial" w:cs="Arial"/>
          <w:sz w:val="24"/>
          <w:szCs w:val="24"/>
        </w:rPr>
        <w:t xml:space="preserve"> </w:t>
      </w:r>
      <w:r w:rsidR="00642959">
        <w:rPr>
          <w:rFonts w:ascii="Arial" w:hAnsi="Arial" w:cs="Arial"/>
          <w:sz w:val="24"/>
          <w:szCs w:val="24"/>
        </w:rPr>
        <w:t>The terms of these agreements are not pleaded sufficiently either.</w:t>
      </w:r>
    </w:p>
    <w:p w14:paraId="3814DD19" w14:textId="6DE888B0" w:rsidR="00642959"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[46]</w:t>
      </w:r>
      <w:r>
        <w:rPr>
          <w:rFonts w:ascii="Arial" w:hAnsi="Arial" w:cs="Arial"/>
          <w:sz w:val="24"/>
          <w:szCs w:val="24"/>
        </w:rPr>
        <w:tab/>
      </w:r>
      <w:r w:rsidR="00642959">
        <w:rPr>
          <w:rFonts w:ascii="Arial" w:hAnsi="Arial" w:cs="Arial"/>
          <w:sz w:val="24"/>
          <w:szCs w:val="24"/>
        </w:rPr>
        <w:t xml:space="preserve">Mr </w:t>
      </w:r>
      <w:r w:rsidR="00F54132">
        <w:rPr>
          <w:rFonts w:ascii="Arial" w:hAnsi="Arial" w:cs="Arial"/>
          <w:sz w:val="24"/>
          <w:szCs w:val="24"/>
        </w:rPr>
        <w:t>Rees</w:t>
      </w:r>
      <w:r w:rsidR="00642959">
        <w:rPr>
          <w:rFonts w:ascii="Arial" w:hAnsi="Arial" w:cs="Arial"/>
          <w:sz w:val="24"/>
          <w:szCs w:val="24"/>
        </w:rPr>
        <w:t xml:space="preserve"> incorporated the contents of the particulars of claim in the action </w:t>
      </w:r>
      <w:r w:rsidR="00537C5C">
        <w:rPr>
          <w:rFonts w:ascii="Arial" w:hAnsi="Arial" w:cs="Arial"/>
          <w:sz w:val="24"/>
          <w:szCs w:val="24"/>
        </w:rPr>
        <w:t>in</w:t>
      </w:r>
      <w:r w:rsidR="00642959">
        <w:rPr>
          <w:rFonts w:ascii="Arial" w:hAnsi="Arial" w:cs="Arial"/>
          <w:sz w:val="24"/>
          <w:szCs w:val="24"/>
        </w:rPr>
        <w:t>to his answering affidavit and confirmed that the contents thereof are true and correct.</w:t>
      </w:r>
      <w:r w:rsidR="00A7331C">
        <w:rPr>
          <w:rStyle w:val="FootnoteReference"/>
          <w:rFonts w:ascii="Arial" w:hAnsi="Arial" w:cs="Arial"/>
          <w:sz w:val="24"/>
          <w:szCs w:val="24"/>
        </w:rPr>
        <w:footnoteReference w:id="20"/>
      </w:r>
      <w:r w:rsidR="00A7331C">
        <w:rPr>
          <w:rFonts w:ascii="Arial" w:hAnsi="Arial" w:cs="Arial"/>
          <w:sz w:val="24"/>
          <w:szCs w:val="24"/>
        </w:rPr>
        <w:t xml:space="preserve"> </w:t>
      </w:r>
      <w:r w:rsidR="00212784">
        <w:rPr>
          <w:rFonts w:ascii="Arial" w:hAnsi="Arial" w:cs="Arial"/>
          <w:sz w:val="24"/>
          <w:szCs w:val="24"/>
        </w:rPr>
        <w:t xml:space="preserve"> </w:t>
      </w:r>
      <w:r w:rsidR="00A7331C">
        <w:rPr>
          <w:rFonts w:ascii="Arial" w:hAnsi="Arial" w:cs="Arial"/>
          <w:sz w:val="24"/>
          <w:szCs w:val="24"/>
        </w:rPr>
        <w:t>In the particulars of claim reliance is placed on an agreement of sale of movable property and an agreement of lease.</w:t>
      </w:r>
      <w:r w:rsidR="00A7331C">
        <w:rPr>
          <w:rStyle w:val="FootnoteReference"/>
          <w:rFonts w:ascii="Arial" w:hAnsi="Arial" w:cs="Arial"/>
          <w:sz w:val="24"/>
          <w:szCs w:val="24"/>
        </w:rPr>
        <w:footnoteReference w:id="21"/>
      </w:r>
      <w:r w:rsidR="00A7331C">
        <w:rPr>
          <w:rFonts w:ascii="Arial" w:hAnsi="Arial" w:cs="Arial"/>
          <w:sz w:val="24"/>
          <w:szCs w:val="24"/>
        </w:rPr>
        <w:t xml:space="preserve"> These agreements are unsigned. </w:t>
      </w:r>
      <w:r w:rsidR="00212784">
        <w:rPr>
          <w:rFonts w:ascii="Arial" w:hAnsi="Arial" w:cs="Arial"/>
          <w:sz w:val="24"/>
          <w:szCs w:val="24"/>
        </w:rPr>
        <w:t xml:space="preserve"> </w:t>
      </w:r>
      <w:r w:rsidR="00A7331C">
        <w:rPr>
          <w:rFonts w:ascii="Arial" w:hAnsi="Arial" w:cs="Arial"/>
          <w:sz w:val="24"/>
          <w:szCs w:val="24"/>
        </w:rPr>
        <w:t xml:space="preserve">The allegations set out in the particulars of claim include </w:t>
      </w:r>
      <w:r w:rsidR="00A7331C">
        <w:rPr>
          <w:rFonts w:ascii="Arial" w:hAnsi="Arial" w:cs="Arial"/>
          <w:i/>
          <w:iCs/>
          <w:sz w:val="24"/>
          <w:szCs w:val="24"/>
        </w:rPr>
        <w:t>inter alia</w:t>
      </w:r>
      <w:r w:rsidR="00A7331C">
        <w:rPr>
          <w:rFonts w:ascii="Arial" w:hAnsi="Arial" w:cs="Arial"/>
          <w:sz w:val="24"/>
          <w:szCs w:val="24"/>
        </w:rPr>
        <w:t>:</w:t>
      </w:r>
    </w:p>
    <w:p w14:paraId="59665317" w14:textId="3F990F30" w:rsidR="00A7331C" w:rsidRDefault="00170630" w:rsidP="00170630">
      <w:pPr>
        <w:tabs>
          <w:tab w:val="left" w:pos="1757"/>
        </w:tabs>
        <w:spacing w:before="480" w:after="480" w:line="360" w:lineRule="auto"/>
        <w:ind w:left="1757" w:hanging="1065"/>
        <w:rPr>
          <w:rFonts w:ascii="Arial" w:hAnsi="Arial" w:cs="Arial"/>
          <w:sz w:val="24"/>
          <w:szCs w:val="24"/>
        </w:rPr>
      </w:pPr>
      <w:r>
        <w:rPr>
          <w:rFonts w:ascii="Arial" w:hAnsi="Arial" w:cs="Arial"/>
          <w:sz w:val="24"/>
          <w:szCs w:val="24"/>
        </w:rPr>
        <w:t>[46.1]</w:t>
      </w:r>
      <w:r>
        <w:rPr>
          <w:rFonts w:ascii="Arial" w:hAnsi="Arial" w:cs="Arial"/>
          <w:sz w:val="24"/>
          <w:szCs w:val="24"/>
        </w:rPr>
        <w:tab/>
      </w:r>
      <w:r w:rsidR="00B8245E">
        <w:rPr>
          <w:rFonts w:ascii="Arial" w:hAnsi="Arial" w:cs="Arial"/>
          <w:sz w:val="24"/>
          <w:szCs w:val="24"/>
        </w:rPr>
        <w:t xml:space="preserve">That the plaintiffs in the action </w:t>
      </w:r>
      <w:r w:rsidR="00B8245E" w:rsidRPr="00A650A1">
        <w:rPr>
          <w:rFonts w:ascii="Arial" w:hAnsi="Arial" w:cs="Arial"/>
          <w:iCs/>
          <w:sz w:val="24"/>
          <w:szCs w:val="24"/>
        </w:rPr>
        <w:t xml:space="preserve">“at varying times during the Visser period concluded </w:t>
      </w:r>
      <w:r w:rsidR="00B51915" w:rsidRPr="00A650A1">
        <w:rPr>
          <w:rFonts w:ascii="Arial" w:hAnsi="Arial" w:cs="Arial"/>
          <w:iCs/>
          <w:sz w:val="24"/>
          <w:szCs w:val="24"/>
        </w:rPr>
        <w:t>hangar</w:t>
      </w:r>
      <w:r w:rsidR="00B8245E" w:rsidRPr="00A650A1">
        <w:rPr>
          <w:rFonts w:ascii="Arial" w:hAnsi="Arial" w:cs="Arial"/>
          <w:iCs/>
          <w:sz w:val="24"/>
          <w:szCs w:val="24"/>
        </w:rPr>
        <w:t xml:space="preserve"> sales and land leases with the Vissers”</w:t>
      </w:r>
      <w:r w:rsidR="00B8245E">
        <w:rPr>
          <w:rFonts w:ascii="Arial" w:hAnsi="Arial" w:cs="Arial"/>
          <w:sz w:val="24"/>
          <w:szCs w:val="24"/>
        </w:rPr>
        <w:t>.</w:t>
      </w:r>
      <w:r w:rsidR="00B8245E">
        <w:rPr>
          <w:rStyle w:val="FootnoteReference"/>
          <w:rFonts w:ascii="Arial" w:hAnsi="Arial" w:cs="Arial"/>
          <w:sz w:val="24"/>
          <w:szCs w:val="24"/>
        </w:rPr>
        <w:footnoteReference w:id="22"/>
      </w:r>
    </w:p>
    <w:p w14:paraId="60441778" w14:textId="53174AAF" w:rsidR="00B8245E" w:rsidRDefault="00170630" w:rsidP="00170630">
      <w:pPr>
        <w:tabs>
          <w:tab w:val="left" w:pos="1757"/>
        </w:tabs>
        <w:spacing w:before="480" w:after="480" w:line="360" w:lineRule="auto"/>
        <w:ind w:left="1757" w:hanging="1065"/>
        <w:rPr>
          <w:rFonts w:ascii="Arial" w:hAnsi="Arial" w:cs="Arial"/>
          <w:sz w:val="24"/>
          <w:szCs w:val="24"/>
        </w:rPr>
      </w:pPr>
      <w:r>
        <w:rPr>
          <w:rFonts w:ascii="Arial" w:hAnsi="Arial" w:cs="Arial"/>
          <w:sz w:val="24"/>
          <w:szCs w:val="24"/>
        </w:rPr>
        <w:t>[46.2]</w:t>
      </w:r>
      <w:r>
        <w:rPr>
          <w:rFonts w:ascii="Arial" w:hAnsi="Arial" w:cs="Arial"/>
          <w:sz w:val="24"/>
          <w:szCs w:val="24"/>
        </w:rPr>
        <w:tab/>
      </w:r>
      <w:r w:rsidR="00B8245E">
        <w:rPr>
          <w:rFonts w:ascii="Arial" w:hAnsi="Arial" w:cs="Arial"/>
          <w:sz w:val="24"/>
          <w:szCs w:val="24"/>
        </w:rPr>
        <w:t>The plaintiffs paid and continue to pay varying amounts of money at the instance of the Vissers, alternatively Marindafontein.</w:t>
      </w:r>
      <w:r w:rsidR="00B8245E">
        <w:rPr>
          <w:rStyle w:val="FootnoteReference"/>
          <w:rFonts w:ascii="Arial" w:hAnsi="Arial" w:cs="Arial"/>
          <w:sz w:val="24"/>
          <w:szCs w:val="24"/>
        </w:rPr>
        <w:footnoteReference w:id="23"/>
      </w:r>
    </w:p>
    <w:p w14:paraId="16C125EF" w14:textId="714DDCAA" w:rsidR="00B8245E" w:rsidRDefault="00170630" w:rsidP="00170630">
      <w:pPr>
        <w:tabs>
          <w:tab w:val="left" w:pos="1757"/>
        </w:tabs>
        <w:spacing w:before="480" w:after="480" w:line="360" w:lineRule="auto"/>
        <w:ind w:left="1757" w:hanging="1065"/>
        <w:rPr>
          <w:rFonts w:ascii="Arial" w:hAnsi="Arial" w:cs="Arial"/>
          <w:sz w:val="24"/>
          <w:szCs w:val="24"/>
        </w:rPr>
      </w:pPr>
      <w:r>
        <w:rPr>
          <w:rFonts w:ascii="Arial" w:hAnsi="Arial" w:cs="Arial"/>
          <w:sz w:val="24"/>
          <w:szCs w:val="24"/>
        </w:rPr>
        <w:t>[46.3]</w:t>
      </w:r>
      <w:r>
        <w:rPr>
          <w:rFonts w:ascii="Arial" w:hAnsi="Arial" w:cs="Arial"/>
          <w:sz w:val="24"/>
          <w:szCs w:val="24"/>
        </w:rPr>
        <w:tab/>
      </w:r>
      <w:r w:rsidR="00B8245E">
        <w:rPr>
          <w:rFonts w:ascii="Arial" w:hAnsi="Arial" w:cs="Arial"/>
          <w:sz w:val="24"/>
          <w:szCs w:val="24"/>
        </w:rPr>
        <w:t xml:space="preserve">The plaintiffs in the action concluded written </w:t>
      </w:r>
      <w:r w:rsidR="00B51915">
        <w:rPr>
          <w:rFonts w:ascii="Arial" w:hAnsi="Arial" w:cs="Arial"/>
          <w:sz w:val="24"/>
          <w:szCs w:val="24"/>
        </w:rPr>
        <w:t>hangar</w:t>
      </w:r>
      <w:r w:rsidR="00B8245E">
        <w:rPr>
          <w:rFonts w:ascii="Arial" w:hAnsi="Arial" w:cs="Arial"/>
          <w:sz w:val="24"/>
          <w:szCs w:val="24"/>
        </w:rPr>
        <w:t xml:space="preserve"> sales and land leases with the Vissers, alternatively Marindafontein, alternatively the Vissers’ appointed nominee/s.</w:t>
      </w:r>
      <w:r w:rsidR="00B8245E">
        <w:rPr>
          <w:rStyle w:val="FootnoteReference"/>
          <w:rFonts w:ascii="Arial" w:hAnsi="Arial" w:cs="Arial"/>
          <w:sz w:val="24"/>
          <w:szCs w:val="24"/>
        </w:rPr>
        <w:footnoteReference w:id="24"/>
      </w:r>
    </w:p>
    <w:p w14:paraId="4C6617EB" w14:textId="5D35BAD8" w:rsidR="00B8245E"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[47]</w:t>
      </w:r>
      <w:r>
        <w:rPr>
          <w:rFonts w:ascii="Arial" w:hAnsi="Arial" w:cs="Arial"/>
          <w:sz w:val="24"/>
          <w:szCs w:val="24"/>
        </w:rPr>
        <w:tab/>
      </w:r>
      <w:r w:rsidR="00537C5C">
        <w:rPr>
          <w:rFonts w:ascii="Arial" w:hAnsi="Arial" w:cs="Arial"/>
          <w:sz w:val="24"/>
          <w:szCs w:val="24"/>
        </w:rPr>
        <w:t xml:space="preserve">The </w:t>
      </w:r>
      <w:r w:rsidR="00491630">
        <w:rPr>
          <w:rFonts w:ascii="Arial" w:hAnsi="Arial" w:cs="Arial"/>
          <w:sz w:val="24"/>
          <w:szCs w:val="24"/>
        </w:rPr>
        <w:t xml:space="preserve">incorporation of the allegations contained in the particulars of claim into the answering affidavit cannot assist Mr </w:t>
      </w:r>
      <w:r w:rsidR="00F54132">
        <w:rPr>
          <w:rFonts w:ascii="Arial" w:hAnsi="Arial" w:cs="Arial"/>
          <w:sz w:val="24"/>
          <w:szCs w:val="24"/>
        </w:rPr>
        <w:t>Rees</w:t>
      </w:r>
      <w:r w:rsidR="0021368D">
        <w:rPr>
          <w:rFonts w:ascii="Arial" w:hAnsi="Arial" w:cs="Arial"/>
          <w:sz w:val="24"/>
          <w:szCs w:val="24"/>
        </w:rPr>
        <w:t xml:space="preserve"> in this application</w:t>
      </w:r>
      <w:r w:rsidR="00491630">
        <w:rPr>
          <w:rFonts w:ascii="Arial" w:hAnsi="Arial" w:cs="Arial"/>
          <w:sz w:val="24"/>
          <w:szCs w:val="24"/>
        </w:rPr>
        <w:t xml:space="preserve">. </w:t>
      </w:r>
      <w:r w:rsidR="00233A72">
        <w:rPr>
          <w:rFonts w:ascii="Arial" w:hAnsi="Arial" w:cs="Arial"/>
          <w:sz w:val="24"/>
          <w:szCs w:val="24"/>
        </w:rPr>
        <w:t xml:space="preserve"> </w:t>
      </w:r>
      <w:r w:rsidR="00522C03">
        <w:rPr>
          <w:rFonts w:ascii="Arial" w:hAnsi="Arial" w:cs="Arial"/>
          <w:sz w:val="24"/>
          <w:szCs w:val="24"/>
        </w:rPr>
        <w:t>It is permissible for a litigant to plead in the alternative, but it is not permissible to give evidence in the alternative.</w:t>
      </w:r>
      <w:r w:rsidR="00522C03">
        <w:rPr>
          <w:rStyle w:val="FootnoteReference"/>
          <w:rFonts w:ascii="Arial" w:hAnsi="Arial" w:cs="Arial"/>
          <w:sz w:val="24"/>
          <w:szCs w:val="24"/>
        </w:rPr>
        <w:footnoteReference w:id="25"/>
      </w:r>
    </w:p>
    <w:p w14:paraId="648BCC34" w14:textId="503D5D6B" w:rsidR="00522C03"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lastRenderedPageBreak/>
        <w:t>[48]</w:t>
      </w:r>
      <w:r>
        <w:rPr>
          <w:rFonts w:ascii="Arial" w:hAnsi="Arial" w:cs="Arial"/>
          <w:sz w:val="24"/>
          <w:szCs w:val="24"/>
        </w:rPr>
        <w:tab/>
      </w:r>
      <w:r w:rsidR="00522C03">
        <w:rPr>
          <w:rFonts w:ascii="Arial" w:hAnsi="Arial" w:cs="Arial"/>
          <w:sz w:val="24"/>
          <w:szCs w:val="24"/>
        </w:rPr>
        <w:t>I agree with Mr Holl</w:t>
      </w:r>
      <w:r w:rsidR="00537C5C">
        <w:rPr>
          <w:rFonts w:ascii="Arial" w:hAnsi="Arial" w:cs="Arial"/>
          <w:sz w:val="24"/>
          <w:szCs w:val="24"/>
        </w:rPr>
        <w:t>a</w:t>
      </w:r>
      <w:r w:rsidR="00522C03">
        <w:rPr>
          <w:rFonts w:ascii="Arial" w:hAnsi="Arial" w:cs="Arial"/>
          <w:sz w:val="24"/>
          <w:szCs w:val="24"/>
        </w:rPr>
        <w:t xml:space="preserve">nder’s submission that the version of Mr </w:t>
      </w:r>
      <w:r w:rsidR="00F54132">
        <w:rPr>
          <w:rFonts w:ascii="Arial" w:hAnsi="Arial" w:cs="Arial"/>
          <w:sz w:val="24"/>
          <w:szCs w:val="24"/>
        </w:rPr>
        <w:t>Rees</w:t>
      </w:r>
      <w:r w:rsidR="00522C03">
        <w:rPr>
          <w:rFonts w:ascii="Arial" w:hAnsi="Arial" w:cs="Arial"/>
          <w:sz w:val="24"/>
          <w:szCs w:val="24"/>
        </w:rPr>
        <w:t xml:space="preserve"> is not consistent. </w:t>
      </w:r>
      <w:r w:rsidR="000164D0">
        <w:rPr>
          <w:rFonts w:ascii="Arial" w:hAnsi="Arial" w:cs="Arial"/>
          <w:sz w:val="24"/>
          <w:szCs w:val="24"/>
        </w:rPr>
        <w:t xml:space="preserve"> </w:t>
      </w:r>
      <w:r w:rsidR="00522C03">
        <w:rPr>
          <w:rFonts w:ascii="Arial" w:hAnsi="Arial" w:cs="Arial"/>
          <w:sz w:val="24"/>
          <w:szCs w:val="24"/>
        </w:rPr>
        <w:t xml:space="preserve">In fact, the version </w:t>
      </w:r>
      <w:r w:rsidR="003A1286">
        <w:rPr>
          <w:rFonts w:ascii="Arial" w:hAnsi="Arial" w:cs="Arial"/>
          <w:sz w:val="24"/>
          <w:szCs w:val="24"/>
        </w:rPr>
        <w:t xml:space="preserve">of Mr </w:t>
      </w:r>
      <w:r w:rsidR="00F54132">
        <w:rPr>
          <w:rFonts w:ascii="Arial" w:hAnsi="Arial" w:cs="Arial"/>
          <w:sz w:val="24"/>
          <w:szCs w:val="24"/>
        </w:rPr>
        <w:t>Rees</w:t>
      </w:r>
      <w:r w:rsidR="003A1286">
        <w:rPr>
          <w:rFonts w:ascii="Arial" w:hAnsi="Arial" w:cs="Arial"/>
          <w:sz w:val="24"/>
          <w:szCs w:val="24"/>
        </w:rPr>
        <w:t xml:space="preserve"> vacillates.</w:t>
      </w:r>
    </w:p>
    <w:p w14:paraId="4FE294EB" w14:textId="220C62F7" w:rsidR="003A1286"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[49]</w:t>
      </w:r>
      <w:r>
        <w:rPr>
          <w:rFonts w:ascii="Arial" w:hAnsi="Arial" w:cs="Arial"/>
          <w:sz w:val="24"/>
          <w:szCs w:val="24"/>
        </w:rPr>
        <w:tab/>
      </w:r>
      <w:r w:rsidR="003A1286">
        <w:rPr>
          <w:rFonts w:ascii="Arial" w:hAnsi="Arial" w:cs="Arial"/>
          <w:sz w:val="24"/>
          <w:szCs w:val="24"/>
        </w:rPr>
        <w:t xml:space="preserve">Something needs to be said about the invoices relied upon by Mr </w:t>
      </w:r>
      <w:r w:rsidR="00F54132">
        <w:rPr>
          <w:rFonts w:ascii="Arial" w:hAnsi="Arial" w:cs="Arial"/>
          <w:sz w:val="24"/>
          <w:szCs w:val="24"/>
        </w:rPr>
        <w:t>Rees</w:t>
      </w:r>
      <w:r w:rsidR="003A1286">
        <w:rPr>
          <w:rFonts w:ascii="Arial" w:hAnsi="Arial" w:cs="Arial"/>
          <w:sz w:val="24"/>
          <w:szCs w:val="24"/>
        </w:rPr>
        <w:t xml:space="preserve"> in support of his version that he made payment of rental to Marindafontein. </w:t>
      </w:r>
      <w:r w:rsidR="00AA7E80">
        <w:rPr>
          <w:rFonts w:ascii="Arial" w:hAnsi="Arial" w:cs="Arial"/>
          <w:sz w:val="24"/>
          <w:szCs w:val="24"/>
        </w:rPr>
        <w:t xml:space="preserve"> </w:t>
      </w:r>
      <w:r w:rsidR="009A4F24">
        <w:rPr>
          <w:rFonts w:ascii="Arial" w:hAnsi="Arial" w:cs="Arial"/>
          <w:sz w:val="24"/>
          <w:szCs w:val="24"/>
        </w:rPr>
        <w:t xml:space="preserve">None </w:t>
      </w:r>
      <w:r w:rsidR="003A1286">
        <w:rPr>
          <w:rFonts w:ascii="Arial" w:hAnsi="Arial" w:cs="Arial"/>
          <w:sz w:val="24"/>
          <w:szCs w:val="24"/>
        </w:rPr>
        <w:t>of these invoices</w:t>
      </w:r>
      <w:r w:rsidR="003A1286">
        <w:rPr>
          <w:rStyle w:val="FootnoteReference"/>
          <w:rFonts w:ascii="Arial" w:hAnsi="Arial" w:cs="Arial"/>
          <w:sz w:val="24"/>
          <w:szCs w:val="24"/>
        </w:rPr>
        <w:footnoteReference w:id="26"/>
      </w:r>
      <w:r w:rsidR="003A1286">
        <w:rPr>
          <w:rFonts w:ascii="Arial" w:hAnsi="Arial" w:cs="Arial"/>
          <w:sz w:val="24"/>
          <w:szCs w:val="24"/>
        </w:rPr>
        <w:t xml:space="preserve"> were issued to Mr </w:t>
      </w:r>
      <w:r w:rsidR="00F54132">
        <w:rPr>
          <w:rFonts w:ascii="Arial" w:hAnsi="Arial" w:cs="Arial"/>
          <w:sz w:val="24"/>
          <w:szCs w:val="24"/>
        </w:rPr>
        <w:t>Rees</w:t>
      </w:r>
      <w:r w:rsidR="003A1286">
        <w:rPr>
          <w:rFonts w:ascii="Arial" w:hAnsi="Arial" w:cs="Arial"/>
          <w:sz w:val="24"/>
          <w:szCs w:val="24"/>
        </w:rPr>
        <w:t xml:space="preserve">. </w:t>
      </w:r>
      <w:r w:rsidR="00AA7E80">
        <w:rPr>
          <w:rFonts w:ascii="Arial" w:hAnsi="Arial" w:cs="Arial"/>
          <w:sz w:val="24"/>
          <w:szCs w:val="24"/>
        </w:rPr>
        <w:t xml:space="preserve"> </w:t>
      </w:r>
      <w:r w:rsidR="003A1286">
        <w:rPr>
          <w:rFonts w:ascii="Arial" w:hAnsi="Arial" w:cs="Arial"/>
          <w:sz w:val="24"/>
          <w:szCs w:val="24"/>
        </w:rPr>
        <w:t xml:space="preserve">They are all invoices </w:t>
      </w:r>
      <w:r w:rsidR="009A4F24">
        <w:rPr>
          <w:rFonts w:ascii="Arial" w:hAnsi="Arial" w:cs="Arial"/>
          <w:sz w:val="24"/>
          <w:szCs w:val="24"/>
        </w:rPr>
        <w:t xml:space="preserve">issued </w:t>
      </w:r>
      <w:r w:rsidR="003A1286">
        <w:rPr>
          <w:rFonts w:ascii="Arial" w:hAnsi="Arial" w:cs="Arial"/>
          <w:sz w:val="24"/>
          <w:szCs w:val="24"/>
        </w:rPr>
        <w:t>to Mr</w:t>
      </w:r>
      <w:r w:rsidR="00AA7E80">
        <w:rPr>
          <w:rFonts w:ascii="Arial" w:hAnsi="Arial" w:cs="Arial"/>
          <w:sz w:val="24"/>
          <w:szCs w:val="24"/>
        </w:rPr>
        <w:t> </w:t>
      </w:r>
      <w:r w:rsidR="003A1286">
        <w:rPr>
          <w:rFonts w:ascii="Arial" w:hAnsi="Arial" w:cs="Arial"/>
          <w:sz w:val="24"/>
          <w:szCs w:val="24"/>
        </w:rPr>
        <w:t xml:space="preserve">Stopforth. </w:t>
      </w:r>
    </w:p>
    <w:p w14:paraId="50F8016B" w14:textId="39BCFB95" w:rsidR="003A1286"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[50]</w:t>
      </w:r>
      <w:r>
        <w:rPr>
          <w:rFonts w:ascii="Arial" w:hAnsi="Arial" w:cs="Arial"/>
          <w:sz w:val="24"/>
          <w:szCs w:val="24"/>
        </w:rPr>
        <w:tab/>
      </w:r>
      <w:r w:rsidR="003A1286">
        <w:rPr>
          <w:rFonts w:ascii="Arial" w:hAnsi="Arial" w:cs="Arial"/>
          <w:sz w:val="24"/>
          <w:szCs w:val="24"/>
        </w:rPr>
        <w:t xml:space="preserve">The letter from Marindafontein </w:t>
      </w:r>
      <w:r w:rsidR="002646B0">
        <w:rPr>
          <w:rFonts w:ascii="Arial" w:hAnsi="Arial" w:cs="Arial"/>
          <w:sz w:val="24"/>
          <w:szCs w:val="24"/>
        </w:rPr>
        <w:t>in relation to monthly levies and ground rental for the period August 2021 to July 2022, dated 25 August 2021</w:t>
      </w:r>
      <w:r w:rsidR="00B97A81">
        <w:rPr>
          <w:rFonts w:ascii="Arial" w:hAnsi="Arial" w:cs="Arial"/>
          <w:sz w:val="24"/>
          <w:szCs w:val="24"/>
        </w:rPr>
        <w:t>,</w:t>
      </w:r>
      <w:r w:rsidR="002646B0">
        <w:rPr>
          <w:rStyle w:val="FootnoteReference"/>
          <w:rFonts w:ascii="Arial" w:hAnsi="Arial" w:cs="Arial"/>
          <w:sz w:val="24"/>
          <w:szCs w:val="24"/>
        </w:rPr>
        <w:footnoteReference w:id="27"/>
      </w:r>
      <w:r w:rsidR="002646B0">
        <w:rPr>
          <w:rFonts w:ascii="Arial" w:hAnsi="Arial" w:cs="Arial"/>
          <w:sz w:val="24"/>
          <w:szCs w:val="24"/>
        </w:rPr>
        <w:t xml:space="preserve"> </w:t>
      </w:r>
      <w:r w:rsidR="00FC1FB7">
        <w:rPr>
          <w:rFonts w:ascii="Arial" w:hAnsi="Arial" w:cs="Arial"/>
          <w:sz w:val="24"/>
          <w:szCs w:val="24"/>
        </w:rPr>
        <w:t xml:space="preserve">is not </w:t>
      </w:r>
      <w:r w:rsidR="00B97A81">
        <w:rPr>
          <w:rFonts w:ascii="Arial" w:hAnsi="Arial" w:cs="Arial"/>
          <w:sz w:val="24"/>
          <w:szCs w:val="24"/>
        </w:rPr>
        <w:t>addressed</w:t>
      </w:r>
      <w:r w:rsidR="00FC1FB7">
        <w:rPr>
          <w:rFonts w:ascii="Arial" w:hAnsi="Arial" w:cs="Arial"/>
          <w:sz w:val="24"/>
          <w:szCs w:val="24"/>
        </w:rPr>
        <w:t xml:space="preserve"> to Mr </w:t>
      </w:r>
      <w:r w:rsidR="00F54132">
        <w:rPr>
          <w:rFonts w:ascii="Arial" w:hAnsi="Arial" w:cs="Arial"/>
          <w:sz w:val="24"/>
          <w:szCs w:val="24"/>
        </w:rPr>
        <w:t>Rees</w:t>
      </w:r>
      <w:r w:rsidR="00FC1FB7">
        <w:rPr>
          <w:rFonts w:ascii="Arial" w:hAnsi="Arial" w:cs="Arial"/>
          <w:sz w:val="24"/>
          <w:szCs w:val="24"/>
        </w:rPr>
        <w:t xml:space="preserve"> and its contents cannot assist him either.</w:t>
      </w:r>
      <w:r w:rsidR="00AA7E80">
        <w:rPr>
          <w:rFonts w:ascii="Arial" w:hAnsi="Arial" w:cs="Arial"/>
          <w:sz w:val="24"/>
          <w:szCs w:val="24"/>
        </w:rPr>
        <w:t xml:space="preserve"> </w:t>
      </w:r>
      <w:r w:rsidR="00FC1FB7">
        <w:rPr>
          <w:rFonts w:ascii="Arial" w:hAnsi="Arial" w:cs="Arial"/>
          <w:sz w:val="24"/>
          <w:szCs w:val="24"/>
        </w:rPr>
        <w:t xml:space="preserve"> Copies of proof of payments relied upon by Mr </w:t>
      </w:r>
      <w:r w:rsidR="00F54132">
        <w:rPr>
          <w:rFonts w:ascii="Arial" w:hAnsi="Arial" w:cs="Arial"/>
          <w:sz w:val="24"/>
          <w:szCs w:val="24"/>
        </w:rPr>
        <w:t>Rees</w:t>
      </w:r>
      <w:r w:rsidR="00FC1FB7">
        <w:rPr>
          <w:rStyle w:val="FootnoteReference"/>
          <w:rFonts w:ascii="Arial" w:hAnsi="Arial" w:cs="Arial"/>
          <w:sz w:val="24"/>
          <w:szCs w:val="24"/>
        </w:rPr>
        <w:footnoteReference w:id="28"/>
      </w:r>
      <w:r w:rsidR="00FC1FB7">
        <w:rPr>
          <w:rFonts w:ascii="Arial" w:hAnsi="Arial" w:cs="Arial"/>
          <w:sz w:val="24"/>
          <w:szCs w:val="24"/>
        </w:rPr>
        <w:t xml:space="preserve"> although indicating payments to Marindafontein, bear reference to</w:t>
      </w:r>
      <w:r w:rsidR="0021368D">
        <w:rPr>
          <w:rFonts w:ascii="Arial" w:hAnsi="Arial" w:cs="Arial"/>
          <w:sz w:val="24"/>
          <w:szCs w:val="24"/>
        </w:rPr>
        <w:t xml:space="preserve"> a hanger</w:t>
      </w:r>
      <w:r w:rsidR="00FC1FB7">
        <w:rPr>
          <w:rFonts w:ascii="Arial" w:hAnsi="Arial" w:cs="Arial"/>
          <w:sz w:val="24"/>
          <w:szCs w:val="24"/>
        </w:rPr>
        <w:t xml:space="preserve"> </w:t>
      </w:r>
      <w:r w:rsidR="00FC1FB7" w:rsidRPr="00FC1FB7">
        <w:rPr>
          <w:rFonts w:ascii="Arial" w:hAnsi="Arial" w:cs="Arial"/>
          <w:sz w:val="24"/>
          <w:szCs w:val="24"/>
        </w:rPr>
        <w:t>“H19</w:t>
      </w:r>
      <w:r w:rsidR="00DE1618">
        <w:rPr>
          <w:rFonts w:ascii="Arial" w:hAnsi="Arial" w:cs="Arial"/>
          <w:sz w:val="24"/>
          <w:szCs w:val="24"/>
        </w:rPr>
        <w:t>/</w:t>
      </w:r>
      <w:r w:rsidR="00FC1FB7" w:rsidRPr="00FC1FB7">
        <w:rPr>
          <w:rFonts w:ascii="Arial" w:hAnsi="Arial" w:cs="Arial"/>
          <w:sz w:val="24"/>
          <w:szCs w:val="24"/>
        </w:rPr>
        <w:t>2”</w:t>
      </w:r>
      <w:r w:rsidR="00FA098D">
        <w:rPr>
          <w:rFonts w:ascii="Arial" w:hAnsi="Arial" w:cs="Arial"/>
          <w:sz w:val="24"/>
          <w:szCs w:val="24"/>
        </w:rPr>
        <w:t xml:space="preserve">. </w:t>
      </w:r>
      <w:r w:rsidR="00AA7E80">
        <w:rPr>
          <w:rFonts w:ascii="Arial" w:hAnsi="Arial" w:cs="Arial"/>
          <w:sz w:val="24"/>
          <w:szCs w:val="24"/>
        </w:rPr>
        <w:t xml:space="preserve"> </w:t>
      </w:r>
      <w:r w:rsidR="00FA098D">
        <w:rPr>
          <w:rFonts w:ascii="Arial" w:hAnsi="Arial" w:cs="Arial"/>
          <w:sz w:val="24"/>
          <w:szCs w:val="24"/>
        </w:rPr>
        <w:t xml:space="preserve">The </w:t>
      </w:r>
      <w:r w:rsidR="00B51915">
        <w:rPr>
          <w:rFonts w:ascii="Arial" w:hAnsi="Arial" w:cs="Arial"/>
          <w:sz w:val="24"/>
          <w:szCs w:val="24"/>
        </w:rPr>
        <w:t>hangar</w:t>
      </w:r>
      <w:r w:rsidR="00FA098D">
        <w:rPr>
          <w:rFonts w:ascii="Arial" w:hAnsi="Arial" w:cs="Arial"/>
          <w:sz w:val="24"/>
          <w:szCs w:val="24"/>
        </w:rPr>
        <w:t xml:space="preserve"> in question is known as “H19</w:t>
      </w:r>
      <w:r w:rsidR="00DE1618">
        <w:rPr>
          <w:rFonts w:ascii="Arial" w:hAnsi="Arial" w:cs="Arial"/>
          <w:sz w:val="24"/>
          <w:szCs w:val="24"/>
        </w:rPr>
        <w:t>/3</w:t>
      </w:r>
      <w:r w:rsidR="00FA098D">
        <w:rPr>
          <w:rFonts w:ascii="Arial" w:hAnsi="Arial" w:cs="Arial"/>
          <w:sz w:val="24"/>
          <w:szCs w:val="24"/>
        </w:rPr>
        <w:t xml:space="preserve">”. </w:t>
      </w:r>
    </w:p>
    <w:p w14:paraId="1BDB1401" w14:textId="23A63145" w:rsidR="00FA098D"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[51]</w:t>
      </w:r>
      <w:r>
        <w:rPr>
          <w:rFonts w:ascii="Arial" w:hAnsi="Arial" w:cs="Arial"/>
          <w:sz w:val="24"/>
          <w:szCs w:val="24"/>
        </w:rPr>
        <w:tab/>
      </w:r>
      <w:r w:rsidR="00FA098D">
        <w:rPr>
          <w:rFonts w:ascii="Arial" w:hAnsi="Arial" w:cs="Arial"/>
          <w:sz w:val="24"/>
          <w:szCs w:val="24"/>
        </w:rPr>
        <w:t xml:space="preserve">The version of Mr </w:t>
      </w:r>
      <w:r w:rsidR="00F54132">
        <w:rPr>
          <w:rFonts w:ascii="Arial" w:hAnsi="Arial" w:cs="Arial"/>
          <w:sz w:val="24"/>
          <w:szCs w:val="24"/>
        </w:rPr>
        <w:t>Rees</w:t>
      </w:r>
      <w:r w:rsidR="00FA098D">
        <w:rPr>
          <w:rFonts w:ascii="Arial" w:hAnsi="Arial" w:cs="Arial"/>
          <w:sz w:val="24"/>
          <w:szCs w:val="24"/>
        </w:rPr>
        <w:t xml:space="preserve"> is not corroborated by Mr Stopforth. </w:t>
      </w:r>
      <w:r w:rsidR="00AA7E80">
        <w:rPr>
          <w:rFonts w:ascii="Arial" w:hAnsi="Arial" w:cs="Arial"/>
          <w:sz w:val="24"/>
          <w:szCs w:val="24"/>
        </w:rPr>
        <w:t xml:space="preserve"> </w:t>
      </w:r>
      <w:r w:rsidR="00FA098D">
        <w:rPr>
          <w:rFonts w:ascii="Arial" w:hAnsi="Arial" w:cs="Arial"/>
          <w:sz w:val="24"/>
          <w:szCs w:val="24"/>
        </w:rPr>
        <w:t xml:space="preserve">During argument, the reason </w:t>
      </w:r>
      <w:r w:rsidR="009A4F24">
        <w:rPr>
          <w:rFonts w:ascii="Arial" w:hAnsi="Arial" w:cs="Arial"/>
          <w:sz w:val="24"/>
          <w:szCs w:val="24"/>
        </w:rPr>
        <w:t xml:space="preserve">advanced </w:t>
      </w:r>
      <w:r w:rsidR="00FA098D">
        <w:rPr>
          <w:rFonts w:ascii="Arial" w:hAnsi="Arial" w:cs="Arial"/>
          <w:sz w:val="24"/>
          <w:szCs w:val="24"/>
        </w:rPr>
        <w:t xml:space="preserve">for the absence of a confirmatory affidavit by Mr Stopforth was that, as stated in Marindafontein’s replying affidavit, Mr Stopforth is apparently ill. </w:t>
      </w:r>
      <w:r w:rsidR="00AA7E80">
        <w:rPr>
          <w:rFonts w:ascii="Arial" w:hAnsi="Arial" w:cs="Arial"/>
          <w:sz w:val="24"/>
          <w:szCs w:val="24"/>
        </w:rPr>
        <w:t xml:space="preserve"> </w:t>
      </w:r>
      <w:r w:rsidR="00FA098D">
        <w:rPr>
          <w:rFonts w:ascii="Arial" w:hAnsi="Arial" w:cs="Arial"/>
          <w:sz w:val="24"/>
          <w:szCs w:val="24"/>
        </w:rPr>
        <w:t xml:space="preserve">This does, however, not amount to an explanation put forward by Mr </w:t>
      </w:r>
      <w:r w:rsidR="00F54132">
        <w:rPr>
          <w:rFonts w:ascii="Arial" w:hAnsi="Arial" w:cs="Arial"/>
          <w:sz w:val="24"/>
          <w:szCs w:val="24"/>
        </w:rPr>
        <w:t>Rees</w:t>
      </w:r>
      <w:r w:rsidR="00FA098D">
        <w:rPr>
          <w:rFonts w:ascii="Arial" w:hAnsi="Arial" w:cs="Arial"/>
          <w:sz w:val="24"/>
          <w:szCs w:val="24"/>
        </w:rPr>
        <w:t xml:space="preserve"> for the absence of a confirmatory affidavit by Mr Stopforth.</w:t>
      </w:r>
    </w:p>
    <w:p w14:paraId="0B0C56ED" w14:textId="53B00B16" w:rsidR="00D41385"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[52]</w:t>
      </w:r>
      <w:r>
        <w:rPr>
          <w:rFonts w:ascii="Arial" w:hAnsi="Arial" w:cs="Arial"/>
          <w:sz w:val="24"/>
          <w:szCs w:val="24"/>
        </w:rPr>
        <w:tab/>
      </w:r>
      <w:r w:rsidR="00D41385">
        <w:rPr>
          <w:rFonts w:ascii="Arial" w:hAnsi="Arial" w:cs="Arial"/>
          <w:sz w:val="24"/>
          <w:szCs w:val="24"/>
        </w:rPr>
        <w:t>Mr Visser, on the other hand, has indeed filed a confirmatory affidavit in corroboration of Marindafontein’s version.</w:t>
      </w:r>
      <w:r w:rsidR="00D41385">
        <w:rPr>
          <w:rStyle w:val="FootnoteReference"/>
          <w:rFonts w:ascii="Arial" w:hAnsi="Arial" w:cs="Arial"/>
          <w:sz w:val="24"/>
          <w:szCs w:val="24"/>
        </w:rPr>
        <w:footnoteReference w:id="29"/>
      </w:r>
    </w:p>
    <w:p w14:paraId="01C458B9" w14:textId="6DF46412" w:rsidR="00FD0E3D"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[53]</w:t>
      </w:r>
      <w:r>
        <w:rPr>
          <w:rFonts w:ascii="Arial" w:hAnsi="Arial" w:cs="Arial"/>
          <w:sz w:val="24"/>
          <w:szCs w:val="24"/>
        </w:rPr>
        <w:tab/>
      </w:r>
      <w:r w:rsidR="00FD0E3D" w:rsidRPr="009A4F24">
        <w:rPr>
          <w:rFonts w:ascii="Arial" w:hAnsi="Arial" w:cs="Arial"/>
          <w:sz w:val="24"/>
          <w:szCs w:val="24"/>
        </w:rPr>
        <w:t xml:space="preserve">Mr Bishop submitted that the probabilities favour Mr </w:t>
      </w:r>
      <w:r w:rsidR="00F54132">
        <w:rPr>
          <w:rFonts w:ascii="Arial" w:hAnsi="Arial" w:cs="Arial"/>
          <w:sz w:val="24"/>
          <w:szCs w:val="24"/>
        </w:rPr>
        <w:t>Rees</w:t>
      </w:r>
      <w:r w:rsidR="00FD0E3D" w:rsidRPr="009A4F24">
        <w:rPr>
          <w:rFonts w:ascii="Arial" w:hAnsi="Arial" w:cs="Arial"/>
          <w:sz w:val="24"/>
          <w:szCs w:val="24"/>
        </w:rPr>
        <w:t xml:space="preserve">. </w:t>
      </w:r>
      <w:r w:rsidR="004F3B8D">
        <w:rPr>
          <w:rFonts w:ascii="Arial" w:hAnsi="Arial" w:cs="Arial"/>
          <w:sz w:val="24"/>
          <w:szCs w:val="24"/>
        </w:rPr>
        <w:t xml:space="preserve"> </w:t>
      </w:r>
      <w:r w:rsidR="00FD0E3D" w:rsidRPr="009A4F24">
        <w:rPr>
          <w:rFonts w:ascii="Arial" w:hAnsi="Arial" w:cs="Arial"/>
          <w:sz w:val="24"/>
          <w:szCs w:val="24"/>
        </w:rPr>
        <w:t xml:space="preserve">He made the submission on the basis that it would be improbable for Mr </w:t>
      </w:r>
      <w:r w:rsidR="00F54132">
        <w:rPr>
          <w:rFonts w:ascii="Arial" w:hAnsi="Arial" w:cs="Arial"/>
          <w:sz w:val="24"/>
          <w:szCs w:val="24"/>
        </w:rPr>
        <w:t>Rees</w:t>
      </w:r>
      <w:r w:rsidR="00FD0E3D" w:rsidRPr="009A4F24">
        <w:rPr>
          <w:rFonts w:ascii="Arial" w:hAnsi="Arial" w:cs="Arial"/>
          <w:sz w:val="24"/>
          <w:szCs w:val="24"/>
        </w:rPr>
        <w:t xml:space="preserve"> to be paying Marindafontein for a period of three years if there was no lawful basis upon which he occupied the </w:t>
      </w:r>
      <w:r w:rsidR="00B51915">
        <w:rPr>
          <w:rFonts w:ascii="Arial" w:hAnsi="Arial" w:cs="Arial"/>
          <w:sz w:val="24"/>
          <w:szCs w:val="24"/>
        </w:rPr>
        <w:t>hangar</w:t>
      </w:r>
      <w:r w:rsidR="00FD0E3D" w:rsidRPr="009A4F24">
        <w:rPr>
          <w:rFonts w:ascii="Arial" w:hAnsi="Arial" w:cs="Arial"/>
          <w:sz w:val="24"/>
          <w:szCs w:val="24"/>
        </w:rPr>
        <w:t xml:space="preserve">. </w:t>
      </w:r>
      <w:r w:rsidR="004F3B8D">
        <w:rPr>
          <w:rFonts w:ascii="Arial" w:hAnsi="Arial" w:cs="Arial"/>
          <w:sz w:val="24"/>
          <w:szCs w:val="24"/>
        </w:rPr>
        <w:t xml:space="preserve"> </w:t>
      </w:r>
      <w:r w:rsidR="00FD0E3D" w:rsidRPr="009A4F24">
        <w:rPr>
          <w:rFonts w:ascii="Arial" w:hAnsi="Arial" w:cs="Arial"/>
          <w:sz w:val="24"/>
          <w:szCs w:val="24"/>
        </w:rPr>
        <w:t xml:space="preserve">The money spent </w:t>
      </w:r>
      <w:r w:rsidR="00FE1D34" w:rsidRPr="009A4F24">
        <w:rPr>
          <w:rFonts w:ascii="Arial" w:hAnsi="Arial" w:cs="Arial"/>
          <w:sz w:val="24"/>
          <w:szCs w:val="24"/>
        </w:rPr>
        <w:t xml:space="preserve">by Mr </w:t>
      </w:r>
      <w:r w:rsidR="00F54132">
        <w:rPr>
          <w:rFonts w:ascii="Arial" w:hAnsi="Arial" w:cs="Arial"/>
          <w:sz w:val="24"/>
          <w:szCs w:val="24"/>
        </w:rPr>
        <w:t>Rees</w:t>
      </w:r>
      <w:r w:rsidR="00FE1D34" w:rsidRPr="009A4F24">
        <w:rPr>
          <w:rFonts w:ascii="Arial" w:hAnsi="Arial" w:cs="Arial"/>
          <w:sz w:val="24"/>
          <w:szCs w:val="24"/>
        </w:rPr>
        <w:t xml:space="preserve"> on improvements to the </w:t>
      </w:r>
      <w:r w:rsidR="00B51915">
        <w:rPr>
          <w:rFonts w:ascii="Arial" w:hAnsi="Arial" w:cs="Arial"/>
          <w:sz w:val="24"/>
          <w:szCs w:val="24"/>
        </w:rPr>
        <w:t>hangar</w:t>
      </w:r>
      <w:r w:rsidR="00FE1D34" w:rsidRPr="009A4F24">
        <w:rPr>
          <w:rFonts w:ascii="Arial" w:hAnsi="Arial" w:cs="Arial"/>
          <w:sz w:val="24"/>
          <w:szCs w:val="24"/>
        </w:rPr>
        <w:t xml:space="preserve"> also negates against the absence of a lawful basis to occupy the </w:t>
      </w:r>
      <w:r w:rsidR="00B51915">
        <w:rPr>
          <w:rFonts w:ascii="Arial" w:hAnsi="Arial" w:cs="Arial"/>
          <w:sz w:val="24"/>
          <w:szCs w:val="24"/>
        </w:rPr>
        <w:t>hangar</w:t>
      </w:r>
      <w:r w:rsidR="00FE1D34" w:rsidRPr="009A4F24">
        <w:rPr>
          <w:rFonts w:ascii="Arial" w:hAnsi="Arial" w:cs="Arial"/>
          <w:sz w:val="24"/>
          <w:szCs w:val="24"/>
        </w:rPr>
        <w:t xml:space="preserve">. </w:t>
      </w:r>
      <w:r w:rsidR="004F3B8D">
        <w:rPr>
          <w:rFonts w:ascii="Arial" w:hAnsi="Arial" w:cs="Arial"/>
          <w:sz w:val="24"/>
          <w:szCs w:val="24"/>
        </w:rPr>
        <w:t xml:space="preserve"> </w:t>
      </w:r>
      <w:r w:rsidR="00FE1D34" w:rsidRPr="009A4F24">
        <w:rPr>
          <w:rFonts w:ascii="Arial" w:hAnsi="Arial" w:cs="Arial"/>
          <w:sz w:val="24"/>
          <w:szCs w:val="24"/>
        </w:rPr>
        <w:t xml:space="preserve">The difficulty with these submissions, to my mind, is that as I have </w:t>
      </w:r>
      <w:r w:rsidR="00FE1D34" w:rsidRPr="009A4F24">
        <w:rPr>
          <w:rFonts w:ascii="Arial" w:hAnsi="Arial" w:cs="Arial"/>
          <w:sz w:val="24"/>
          <w:szCs w:val="24"/>
        </w:rPr>
        <w:lastRenderedPageBreak/>
        <w:t xml:space="preserve">already pointed out, the payments alleged to have been made by Mr </w:t>
      </w:r>
      <w:r w:rsidR="00F54132">
        <w:rPr>
          <w:rFonts w:ascii="Arial" w:hAnsi="Arial" w:cs="Arial"/>
          <w:sz w:val="24"/>
          <w:szCs w:val="24"/>
        </w:rPr>
        <w:t>Rees</w:t>
      </w:r>
      <w:r w:rsidR="00FE1D34" w:rsidRPr="009A4F24">
        <w:rPr>
          <w:rFonts w:ascii="Arial" w:hAnsi="Arial" w:cs="Arial"/>
          <w:sz w:val="24"/>
          <w:szCs w:val="24"/>
        </w:rPr>
        <w:t xml:space="preserve"> seemingly relate to a different </w:t>
      </w:r>
      <w:r w:rsidR="00B51915">
        <w:rPr>
          <w:rFonts w:ascii="Arial" w:hAnsi="Arial" w:cs="Arial"/>
          <w:sz w:val="24"/>
          <w:szCs w:val="24"/>
        </w:rPr>
        <w:t>hangar</w:t>
      </w:r>
      <w:r w:rsidR="00FE1D34" w:rsidRPr="009A4F24">
        <w:rPr>
          <w:rFonts w:ascii="Arial" w:hAnsi="Arial" w:cs="Arial"/>
          <w:sz w:val="24"/>
          <w:szCs w:val="24"/>
        </w:rPr>
        <w:t xml:space="preserve">, and not the </w:t>
      </w:r>
      <w:r w:rsidR="00B51915">
        <w:rPr>
          <w:rFonts w:ascii="Arial" w:hAnsi="Arial" w:cs="Arial"/>
          <w:sz w:val="24"/>
          <w:szCs w:val="24"/>
        </w:rPr>
        <w:t>hangar</w:t>
      </w:r>
      <w:r w:rsidR="00FE1D34" w:rsidRPr="009A4F24">
        <w:rPr>
          <w:rFonts w:ascii="Arial" w:hAnsi="Arial" w:cs="Arial"/>
          <w:sz w:val="24"/>
          <w:szCs w:val="24"/>
        </w:rPr>
        <w:t xml:space="preserve"> in question.  In so far as the improvements are concerned, no proof or corroboration at all have been proffered by Mr </w:t>
      </w:r>
      <w:r w:rsidR="00F54132">
        <w:rPr>
          <w:rFonts w:ascii="Arial" w:hAnsi="Arial" w:cs="Arial"/>
          <w:sz w:val="24"/>
          <w:szCs w:val="24"/>
        </w:rPr>
        <w:t>Rees</w:t>
      </w:r>
      <w:r w:rsidR="00FE1D34" w:rsidRPr="009A4F24">
        <w:rPr>
          <w:rFonts w:ascii="Arial" w:hAnsi="Arial" w:cs="Arial"/>
          <w:sz w:val="24"/>
          <w:szCs w:val="24"/>
        </w:rPr>
        <w:t xml:space="preserve"> in this regard, save for photos depicting what the </w:t>
      </w:r>
      <w:r w:rsidR="00B51915">
        <w:rPr>
          <w:rFonts w:ascii="Arial" w:hAnsi="Arial" w:cs="Arial"/>
          <w:sz w:val="24"/>
          <w:szCs w:val="24"/>
        </w:rPr>
        <w:t>hangar</w:t>
      </w:r>
      <w:r w:rsidR="00FE1D34" w:rsidRPr="009A4F24">
        <w:rPr>
          <w:rFonts w:ascii="Arial" w:hAnsi="Arial" w:cs="Arial"/>
          <w:sz w:val="24"/>
          <w:szCs w:val="24"/>
        </w:rPr>
        <w:t xml:space="preserve"> and its contents look like. </w:t>
      </w:r>
      <w:r w:rsidR="00737EC6">
        <w:rPr>
          <w:rFonts w:ascii="Arial" w:hAnsi="Arial" w:cs="Arial"/>
          <w:sz w:val="24"/>
          <w:szCs w:val="24"/>
        </w:rPr>
        <w:t xml:space="preserve"> </w:t>
      </w:r>
      <w:r w:rsidR="00FE1D34" w:rsidRPr="009A4F24">
        <w:rPr>
          <w:rFonts w:ascii="Arial" w:hAnsi="Arial" w:cs="Arial"/>
          <w:sz w:val="24"/>
          <w:szCs w:val="24"/>
        </w:rPr>
        <w:t xml:space="preserve">There is no evidence before </w:t>
      </w:r>
      <w:r w:rsidR="0021368D">
        <w:rPr>
          <w:rFonts w:ascii="Arial" w:hAnsi="Arial" w:cs="Arial"/>
          <w:sz w:val="24"/>
          <w:szCs w:val="24"/>
        </w:rPr>
        <w:t>the court</w:t>
      </w:r>
      <w:r w:rsidR="00FE1D34" w:rsidRPr="009A4F24">
        <w:rPr>
          <w:rFonts w:ascii="Arial" w:hAnsi="Arial" w:cs="Arial"/>
          <w:sz w:val="24"/>
          <w:szCs w:val="24"/>
        </w:rPr>
        <w:t xml:space="preserve"> of the improvements made or that Mr </w:t>
      </w:r>
      <w:r w:rsidR="00F54132">
        <w:rPr>
          <w:rFonts w:ascii="Arial" w:hAnsi="Arial" w:cs="Arial"/>
          <w:sz w:val="24"/>
          <w:szCs w:val="24"/>
        </w:rPr>
        <w:t>Rees</w:t>
      </w:r>
      <w:r w:rsidR="00FE1D34" w:rsidRPr="009A4F24">
        <w:rPr>
          <w:rFonts w:ascii="Arial" w:hAnsi="Arial" w:cs="Arial"/>
          <w:sz w:val="24"/>
          <w:szCs w:val="24"/>
        </w:rPr>
        <w:t xml:space="preserve"> in fact paid for it.</w:t>
      </w:r>
      <w:r w:rsidR="00737EC6">
        <w:rPr>
          <w:rFonts w:ascii="Arial" w:hAnsi="Arial" w:cs="Arial"/>
          <w:sz w:val="24"/>
          <w:szCs w:val="24"/>
        </w:rPr>
        <w:t xml:space="preserve"> </w:t>
      </w:r>
      <w:r w:rsidR="00FE1D34" w:rsidRPr="009A4F24">
        <w:rPr>
          <w:rFonts w:ascii="Arial" w:hAnsi="Arial" w:cs="Arial"/>
          <w:sz w:val="24"/>
          <w:szCs w:val="24"/>
        </w:rPr>
        <w:t xml:space="preserve"> These submissions accordingly take the matter no further</w:t>
      </w:r>
      <w:r w:rsidR="00CA63F0">
        <w:rPr>
          <w:rFonts w:ascii="Arial" w:hAnsi="Arial" w:cs="Arial"/>
          <w:sz w:val="24"/>
          <w:szCs w:val="24"/>
        </w:rPr>
        <w:t xml:space="preserve"> in light of the absence of evidence in support thereof, with respect</w:t>
      </w:r>
      <w:r w:rsidR="00FE1D34" w:rsidRPr="009A4F24">
        <w:rPr>
          <w:rFonts w:ascii="Arial" w:hAnsi="Arial" w:cs="Arial"/>
          <w:sz w:val="24"/>
          <w:szCs w:val="24"/>
        </w:rPr>
        <w:t>.</w:t>
      </w:r>
    </w:p>
    <w:p w14:paraId="62795D58" w14:textId="1D054352" w:rsidR="00CA63F0" w:rsidRPr="00CA63F0" w:rsidRDefault="00170630" w:rsidP="00170630">
      <w:pPr>
        <w:tabs>
          <w:tab w:val="left" w:pos="692"/>
        </w:tabs>
        <w:spacing w:before="480" w:after="480" w:line="360" w:lineRule="auto"/>
        <w:ind w:left="692" w:hanging="692"/>
        <w:rPr>
          <w:rFonts w:ascii="Arial" w:hAnsi="Arial" w:cs="Arial"/>
          <w:sz w:val="24"/>
          <w:szCs w:val="24"/>
        </w:rPr>
      </w:pPr>
      <w:r w:rsidRPr="00CA63F0">
        <w:rPr>
          <w:rFonts w:ascii="Arial" w:hAnsi="Arial" w:cs="Arial"/>
          <w:sz w:val="24"/>
          <w:szCs w:val="24"/>
        </w:rPr>
        <w:t>[54]</w:t>
      </w:r>
      <w:r w:rsidRPr="00CA63F0">
        <w:rPr>
          <w:rFonts w:ascii="Arial" w:hAnsi="Arial" w:cs="Arial"/>
          <w:sz w:val="24"/>
          <w:szCs w:val="24"/>
        </w:rPr>
        <w:tab/>
      </w:r>
      <w:r w:rsidR="00CA63F0" w:rsidRPr="00CA63F0">
        <w:rPr>
          <w:rFonts w:ascii="Arial" w:hAnsi="Arial" w:cs="Arial"/>
          <w:sz w:val="24"/>
          <w:szCs w:val="24"/>
        </w:rPr>
        <w:t>In the circumstances, I find that Mr Rees has not discharged the onus resting on him</w:t>
      </w:r>
      <w:r w:rsidR="00CA63F0">
        <w:rPr>
          <w:rFonts w:ascii="Arial" w:hAnsi="Arial" w:cs="Arial"/>
          <w:sz w:val="24"/>
          <w:szCs w:val="24"/>
        </w:rPr>
        <w:t xml:space="preserve"> in terms of </w:t>
      </w:r>
      <w:r w:rsidR="00CA63F0" w:rsidRPr="00CA63F0">
        <w:rPr>
          <w:rFonts w:ascii="Arial" w:hAnsi="Arial" w:cs="Arial"/>
          <w:i/>
          <w:iCs/>
          <w:sz w:val="24"/>
          <w:szCs w:val="24"/>
        </w:rPr>
        <w:t>Chetty</w:t>
      </w:r>
      <w:r w:rsidR="00CA63F0" w:rsidRPr="00CA63F0">
        <w:rPr>
          <w:rFonts w:ascii="Arial" w:hAnsi="Arial" w:cs="Arial"/>
          <w:sz w:val="24"/>
          <w:szCs w:val="24"/>
        </w:rPr>
        <w:t xml:space="preserve"> to prove a lawful basis for occupying the hangar.</w:t>
      </w:r>
      <w:r w:rsidR="00CA63F0">
        <w:rPr>
          <w:rFonts w:ascii="Arial" w:hAnsi="Arial" w:cs="Arial"/>
          <w:sz w:val="24"/>
          <w:szCs w:val="24"/>
        </w:rPr>
        <w:t xml:space="preserve"> </w:t>
      </w:r>
      <w:r w:rsidR="00EB2331">
        <w:rPr>
          <w:rFonts w:ascii="Arial" w:hAnsi="Arial" w:cs="Arial"/>
          <w:sz w:val="24"/>
          <w:szCs w:val="24"/>
        </w:rPr>
        <w:t xml:space="preserve"> </w:t>
      </w:r>
      <w:r w:rsidR="00CA63F0">
        <w:rPr>
          <w:rFonts w:ascii="Arial" w:hAnsi="Arial" w:cs="Arial"/>
          <w:sz w:val="24"/>
          <w:szCs w:val="24"/>
        </w:rPr>
        <w:t>My finding is guided by judgments of the Supreme Court of Appeal referred to below.</w:t>
      </w:r>
    </w:p>
    <w:p w14:paraId="2EA5DF37" w14:textId="0C726E7C" w:rsidR="009A4F24"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[55]</w:t>
      </w:r>
      <w:r>
        <w:rPr>
          <w:rFonts w:ascii="Arial" w:hAnsi="Arial" w:cs="Arial"/>
          <w:sz w:val="24"/>
          <w:szCs w:val="24"/>
        </w:rPr>
        <w:tab/>
      </w:r>
      <w:r w:rsidR="009A4F24" w:rsidRPr="00BD59CE">
        <w:rPr>
          <w:rFonts w:ascii="Arial" w:hAnsi="Arial" w:cs="Arial"/>
          <w:sz w:val="24"/>
          <w:szCs w:val="24"/>
        </w:rPr>
        <w:t xml:space="preserve">In </w:t>
      </w:r>
      <w:bookmarkStart w:id="4" w:name="_Hlk7614222"/>
      <w:r w:rsidR="009A4F24" w:rsidRPr="00BD59CE">
        <w:rPr>
          <w:rFonts w:ascii="Arial" w:hAnsi="Arial" w:cs="Arial"/>
          <w:i/>
          <w:sz w:val="24"/>
          <w:szCs w:val="24"/>
        </w:rPr>
        <w:t>Wightman t/a JW Construction v Headfour (Pty) Ltd</w:t>
      </w:r>
      <w:r w:rsidR="00EB2331">
        <w:rPr>
          <w:rFonts w:ascii="Arial" w:hAnsi="Arial" w:cs="Arial"/>
          <w:sz w:val="24"/>
          <w:szCs w:val="24"/>
        </w:rPr>
        <w:t>,</w:t>
      </w:r>
      <w:r w:rsidR="009A4F24" w:rsidRPr="0021368D">
        <w:rPr>
          <w:rStyle w:val="FootnoteReference"/>
          <w:rFonts w:ascii="Arial" w:hAnsi="Arial" w:cs="Arial"/>
          <w:iCs/>
          <w:sz w:val="24"/>
          <w:szCs w:val="24"/>
        </w:rPr>
        <w:footnoteReference w:id="30"/>
      </w:r>
      <w:bookmarkEnd w:id="4"/>
      <w:r w:rsidR="009A4F24" w:rsidRPr="00BD59CE">
        <w:rPr>
          <w:rFonts w:ascii="Arial" w:hAnsi="Arial" w:cs="Arial"/>
          <w:sz w:val="24"/>
          <w:szCs w:val="24"/>
        </w:rPr>
        <w:t xml:space="preserve"> the Supreme Court of Appeal set out what would constitute a </w:t>
      </w:r>
      <w:r w:rsidR="009A4F24" w:rsidRPr="00BD59CE">
        <w:rPr>
          <w:rFonts w:ascii="Arial" w:hAnsi="Arial" w:cs="Arial"/>
          <w:i/>
          <w:sz w:val="24"/>
          <w:szCs w:val="24"/>
        </w:rPr>
        <w:t xml:space="preserve">bona fide </w:t>
      </w:r>
      <w:r w:rsidR="009A4F24" w:rsidRPr="00BD59CE">
        <w:rPr>
          <w:rFonts w:ascii="Arial" w:hAnsi="Arial" w:cs="Arial"/>
          <w:sz w:val="24"/>
          <w:szCs w:val="24"/>
        </w:rPr>
        <w:t>dispute of fact.</w:t>
      </w:r>
    </w:p>
    <w:p w14:paraId="20108147" w14:textId="0E65850F" w:rsidR="00CA63F0" w:rsidRDefault="009A4F24" w:rsidP="00A650A1">
      <w:pPr>
        <w:tabs>
          <w:tab w:val="left" w:pos="1134"/>
        </w:tabs>
        <w:spacing w:before="480" w:after="480" w:line="360" w:lineRule="auto"/>
        <w:ind w:left="1134"/>
        <w:rPr>
          <w:rFonts w:ascii="Arial" w:hAnsi="Arial" w:cs="Arial"/>
          <w:iCs/>
        </w:rPr>
      </w:pPr>
      <w:r w:rsidRPr="00BD59CE">
        <w:rPr>
          <w:rFonts w:ascii="Arial" w:hAnsi="Arial" w:cs="Arial"/>
          <w:iCs/>
        </w:rPr>
        <w:t>“</w:t>
      </w:r>
      <w:r w:rsidRPr="00CA63F0">
        <w:rPr>
          <w:rFonts w:ascii="Arial" w:hAnsi="Arial" w:cs="Arial"/>
          <w:iCs/>
          <w:u w:val="single"/>
        </w:rPr>
        <w:t xml:space="preserve">A real, genuine and </w:t>
      </w:r>
      <w:r w:rsidRPr="00CA63F0">
        <w:rPr>
          <w:rFonts w:ascii="Arial" w:hAnsi="Arial" w:cs="Arial"/>
          <w:i/>
          <w:u w:val="single"/>
        </w:rPr>
        <w:t>bona fide</w:t>
      </w:r>
      <w:r w:rsidRPr="00CA63F0">
        <w:rPr>
          <w:rFonts w:ascii="Arial" w:hAnsi="Arial" w:cs="Arial"/>
          <w:iCs/>
          <w:u w:val="single"/>
        </w:rPr>
        <w:t xml:space="preserve"> dispute of fact can exist only where the court is satisfied that the party who purports to raise the dispute has in his affidavit seriously and unambiguously addressed the fact said to be disputed</w:t>
      </w:r>
      <w:r w:rsidRPr="00BD59CE">
        <w:rPr>
          <w:rFonts w:ascii="Arial" w:hAnsi="Arial" w:cs="Arial"/>
          <w:iCs/>
        </w:rPr>
        <w:t xml:space="preserve">. There will of course be instances where a bare denial meets the requirement because there is no other way open to the disputing party and nothing more can therefore be expected of him. But even that may not be sufficient if the fact averred lies purely within the knowledge of the averring party and no basis is laid for disputing the veracity or accuracy of the averment. </w:t>
      </w:r>
      <w:r w:rsidRPr="00CA63F0">
        <w:rPr>
          <w:rFonts w:ascii="Arial" w:hAnsi="Arial" w:cs="Arial"/>
          <w:iCs/>
          <w:u w:val="single"/>
        </w:rPr>
        <w:t>When the facts averred are such that the disputing party must necessarily possess knowledge of them and be able to provide an answer (or countervailing evidence) if they be not true or accurate but, instead of doing so, rests his case on a bare or ambiguous denial the court will generally have difficulty in finding that the test is satisfied</w:t>
      </w:r>
      <w:r w:rsidRPr="00BD59CE">
        <w:rPr>
          <w:rFonts w:ascii="Arial" w:hAnsi="Arial" w:cs="Arial"/>
          <w:iCs/>
        </w:rPr>
        <w:t>.”</w:t>
      </w:r>
      <w:r w:rsidR="00CA63F0">
        <w:rPr>
          <w:rFonts w:ascii="Arial" w:hAnsi="Arial" w:cs="Arial"/>
          <w:iCs/>
        </w:rPr>
        <w:t xml:space="preserve"> [</w:t>
      </w:r>
      <w:r w:rsidR="00AF1163">
        <w:rPr>
          <w:rFonts w:ascii="Arial" w:hAnsi="Arial" w:cs="Arial"/>
          <w:iCs/>
        </w:rPr>
        <w:t xml:space="preserve">Emphasis </w:t>
      </w:r>
      <w:r w:rsidR="00CA63F0">
        <w:rPr>
          <w:rFonts w:ascii="Arial" w:hAnsi="Arial" w:cs="Arial"/>
          <w:iCs/>
        </w:rPr>
        <w:t>added.]</w:t>
      </w:r>
    </w:p>
    <w:p w14:paraId="17E3F520" w14:textId="77777777" w:rsidR="009C101D" w:rsidRDefault="009C101D" w:rsidP="00A650A1">
      <w:pPr>
        <w:tabs>
          <w:tab w:val="left" w:pos="1134"/>
        </w:tabs>
        <w:spacing w:before="480" w:after="480" w:line="360" w:lineRule="auto"/>
        <w:ind w:left="1134"/>
        <w:rPr>
          <w:rFonts w:ascii="Arial" w:hAnsi="Arial" w:cs="Arial"/>
          <w:iCs/>
        </w:rPr>
      </w:pPr>
    </w:p>
    <w:p w14:paraId="1225950F" w14:textId="4B04A673" w:rsidR="00CA63F0"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lastRenderedPageBreak/>
        <w:t>[56]</w:t>
      </w:r>
      <w:r>
        <w:rPr>
          <w:rFonts w:ascii="Arial" w:hAnsi="Arial" w:cs="Arial"/>
          <w:sz w:val="24"/>
          <w:szCs w:val="24"/>
        </w:rPr>
        <w:tab/>
      </w:r>
      <w:r w:rsidR="00CA63F0">
        <w:rPr>
          <w:rFonts w:ascii="Arial" w:hAnsi="Arial" w:cs="Arial"/>
          <w:sz w:val="24"/>
          <w:szCs w:val="24"/>
        </w:rPr>
        <w:t>As mentioned above:</w:t>
      </w:r>
    </w:p>
    <w:p w14:paraId="31D91BD2" w14:textId="20828A69" w:rsidR="00CA63F0" w:rsidRDefault="00170630" w:rsidP="00170630">
      <w:pPr>
        <w:tabs>
          <w:tab w:val="left" w:pos="1757"/>
        </w:tabs>
        <w:spacing w:before="480" w:after="480" w:line="360" w:lineRule="auto"/>
        <w:ind w:left="1757" w:hanging="1065"/>
        <w:rPr>
          <w:rFonts w:ascii="Arial" w:hAnsi="Arial" w:cs="Arial"/>
          <w:sz w:val="24"/>
          <w:szCs w:val="24"/>
        </w:rPr>
      </w:pPr>
      <w:r>
        <w:rPr>
          <w:rFonts w:ascii="Arial" w:hAnsi="Arial" w:cs="Arial"/>
          <w:sz w:val="24"/>
          <w:szCs w:val="24"/>
        </w:rPr>
        <w:t>[56.1]</w:t>
      </w:r>
      <w:r>
        <w:rPr>
          <w:rFonts w:ascii="Arial" w:hAnsi="Arial" w:cs="Arial"/>
          <w:sz w:val="24"/>
          <w:szCs w:val="24"/>
        </w:rPr>
        <w:tab/>
      </w:r>
      <w:r w:rsidR="00CA63F0">
        <w:rPr>
          <w:rFonts w:ascii="Arial" w:hAnsi="Arial" w:cs="Arial"/>
          <w:sz w:val="24"/>
          <w:szCs w:val="24"/>
        </w:rPr>
        <w:t>Mr Rees provided no proof of payment of the purchase price to Mr</w:t>
      </w:r>
      <w:r w:rsidR="00615FFD">
        <w:rPr>
          <w:rFonts w:ascii="Arial" w:hAnsi="Arial" w:cs="Arial"/>
          <w:sz w:val="24"/>
          <w:szCs w:val="24"/>
        </w:rPr>
        <w:t> </w:t>
      </w:r>
      <w:r w:rsidR="00CA63F0">
        <w:rPr>
          <w:rFonts w:ascii="Arial" w:hAnsi="Arial" w:cs="Arial"/>
          <w:sz w:val="24"/>
          <w:szCs w:val="24"/>
        </w:rPr>
        <w:t>Stopforth.</w:t>
      </w:r>
    </w:p>
    <w:p w14:paraId="0799D6E7" w14:textId="2DE7610A" w:rsidR="00CA63F0" w:rsidRDefault="00170630" w:rsidP="00170630">
      <w:pPr>
        <w:tabs>
          <w:tab w:val="left" w:pos="1757"/>
        </w:tabs>
        <w:spacing w:before="480" w:after="480" w:line="360" w:lineRule="auto"/>
        <w:ind w:left="1757" w:hanging="1065"/>
        <w:rPr>
          <w:rFonts w:ascii="Arial" w:hAnsi="Arial" w:cs="Arial"/>
          <w:sz w:val="24"/>
          <w:szCs w:val="24"/>
        </w:rPr>
      </w:pPr>
      <w:r>
        <w:rPr>
          <w:rFonts w:ascii="Arial" w:hAnsi="Arial" w:cs="Arial"/>
          <w:sz w:val="24"/>
          <w:szCs w:val="24"/>
        </w:rPr>
        <w:t>[56.2]</w:t>
      </w:r>
      <w:r>
        <w:rPr>
          <w:rFonts w:ascii="Arial" w:hAnsi="Arial" w:cs="Arial"/>
          <w:sz w:val="24"/>
          <w:szCs w:val="24"/>
        </w:rPr>
        <w:tab/>
      </w:r>
      <w:r w:rsidR="00CA63F0">
        <w:rPr>
          <w:rFonts w:ascii="Arial" w:hAnsi="Arial" w:cs="Arial"/>
          <w:sz w:val="24"/>
          <w:szCs w:val="24"/>
        </w:rPr>
        <w:t>No evidence of payment for the improvements has been presented.</w:t>
      </w:r>
    </w:p>
    <w:p w14:paraId="12DC9991" w14:textId="6A287A44" w:rsidR="00CA63F0" w:rsidRDefault="00170630" w:rsidP="00170630">
      <w:pPr>
        <w:tabs>
          <w:tab w:val="left" w:pos="1757"/>
        </w:tabs>
        <w:spacing w:before="480" w:after="480" w:line="360" w:lineRule="auto"/>
        <w:ind w:left="1757" w:hanging="1065"/>
        <w:rPr>
          <w:rFonts w:ascii="Arial" w:hAnsi="Arial" w:cs="Arial"/>
          <w:sz w:val="24"/>
          <w:szCs w:val="24"/>
        </w:rPr>
      </w:pPr>
      <w:r>
        <w:rPr>
          <w:rFonts w:ascii="Arial" w:hAnsi="Arial" w:cs="Arial"/>
          <w:sz w:val="24"/>
          <w:szCs w:val="24"/>
        </w:rPr>
        <w:t>[56.3]</w:t>
      </w:r>
      <w:r>
        <w:rPr>
          <w:rFonts w:ascii="Arial" w:hAnsi="Arial" w:cs="Arial"/>
          <w:sz w:val="24"/>
          <w:szCs w:val="24"/>
        </w:rPr>
        <w:tab/>
      </w:r>
      <w:r w:rsidR="00CA63F0">
        <w:rPr>
          <w:rFonts w:ascii="Arial" w:hAnsi="Arial" w:cs="Arial"/>
          <w:sz w:val="24"/>
          <w:szCs w:val="24"/>
        </w:rPr>
        <w:t>Mr Stopforth has not confirmed Mr Rees’ version in which Mr</w:t>
      </w:r>
      <w:r w:rsidR="00615FFD">
        <w:rPr>
          <w:rFonts w:ascii="Arial" w:hAnsi="Arial" w:cs="Arial"/>
          <w:sz w:val="24"/>
          <w:szCs w:val="24"/>
        </w:rPr>
        <w:t> </w:t>
      </w:r>
      <w:r w:rsidR="00CA63F0">
        <w:rPr>
          <w:rFonts w:ascii="Arial" w:hAnsi="Arial" w:cs="Arial"/>
          <w:sz w:val="24"/>
          <w:szCs w:val="24"/>
        </w:rPr>
        <w:t>Stopforth is a key witness.</w:t>
      </w:r>
    </w:p>
    <w:p w14:paraId="3F27F846" w14:textId="7941BE25" w:rsidR="00CA63F0" w:rsidRDefault="00170630" w:rsidP="00170630">
      <w:pPr>
        <w:tabs>
          <w:tab w:val="left" w:pos="1757"/>
        </w:tabs>
        <w:spacing w:before="480" w:after="480" w:line="360" w:lineRule="auto"/>
        <w:ind w:left="1757" w:hanging="1065"/>
        <w:rPr>
          <w:rFonts w:ascii="Arial" w:hAnsi="Arial" w:cs="Arial"/>
          <w:sz w:val="24"/>
          <w:szCs w:val="24"/>
        </w:rPr>
      </w:pPr>
      <w:r>
        <w:rPr>
          <w:rFonts w:ascii="Arial" w:hAnsi="Arial" w:cs="Arial"/>
          <w:sz w:val="24"/>
          <w:szCs w:val="24"/>
        </w:rPr>
        <w:t>[56.4]</w:t>
      </w:r>
      <w:r>
        <w:rPr>
          <w:rFonts w:ascii="Arial" w:hAnsi="Arial" w:cs="Arial"/>
          <w:sz w:val="24"/>
          <w:szCs w:val="24"/>
        </w:rPr>
        <w:tab/>
      </w:r>
      <w:r w:rsidR="00E84AAA">
        <w:rPr>
          <w:rFonts w:ascii="Arial" w:hAnsi="Arial" w:cs="Arial"/>
          <w:sz w:val="24"/>
          <w:szCs w:val="24"/>
        </w:rPr>
        <w:t>The evidence in support of a lease agreement between Mr Rees and Marindafontein are unsatisfactory, for the reasons mentioned above.</w:t>
      </w:r>
    </w:p>
    <w:p w14:paraId="05E5EC97" w14:textId="35E3A51B" w:rsidR="009A4F24" w:rsidRPr="00C01D9F" w:rsidRDefault="00170630" w:rsidP="00170630">
      <w:pPr>
        <w:tabs>
          <w:tab w:val="left" w:pos="692"/>
        </w:tabs>
        <w:spacing w:before="480" w:after="480" w:line="360" w:lineRule="auto"/>
        <w:ind w:left="692" w:hanging="692"/>
        <w:rPr>
          <w:rFonts w:ascii="Arial" w:hAnsi="Arial" w:cs="Arial"/>
          <w:sz w:val="24"/>
          <w:szCs w:val="24"/>
        </w:rPr>
      </w:pPr>
      <w:r w:rsidRPr="00C01D9F">
        <w:rPr>
          <w:rFonts w:ascii="Arial" w:hAnsi="Arial" w:cs="Arial"/>
          <w:sz w:val="24"/>
          <w:szCs w:val="24"/>
        </w:rPr>
        <w:t>[57]</w:t>
      </w:r>
      <w:r w:rsidRPr="00C01D9F">
        <w:rPr>
          <w:rFonts w:ascii="Arial" w:hAnsi="Arial" w:cs="Arial"/>
          <w:sz w:val="24"/>
          <w:szCs w:val="24"/>
        </w:rPr>
        <w:tab/>
      </w:r>
      <w:r w:rsidR="009A4F24" w:rsidRPr="00C01D9F">
        <w:rPr>
          <w:rFonts w:ascii="Arial" w:hAnsi="Arial" w:cs="Arial"/>
          <w:sz w:val="24"/>
          <w:szCs w:val="24"/>
        </w:rPr>
        <w:t xml:space="preserve">In regard to disputes of fact in motion proceedings, the court in </w:t>
      </w:r>
      <w:r w:rsidR="009A4F24" w:rsidRPr="00C01D9F">
        <w:rPr>
          <w:rFonts w:ascii="Arial" w:hAnsi="Arial" w:cs="Arial"/>
          <w:i/>
          <w:iCs/>
          <w:sz w:val="24"/>
          <w:szCs w:val="24"/>
        </w:rPr>
        <w:t>South African Veterinary Council v Szymanski</w:t>
      </w:r>
      <w:r w:rsidR="009A4F24" w:rsidRPr="0021368D">
        <w:rPr>
          <w:rStyle w:val="FootnoteReference"/>
          <w:rFonts w:ascii="Arial" w:hAnsi="Arial" w:cs="Arial"/>
          <w:sz w:val="24"/>
          <w:szCs w:val="24"/>
        </w:rPr>
        <w:footnoteReference w:id="31"/>
      </w:r>
      <w:r w:rsidR="009A4F24" w:rsidRPr="0021368D">
        <w:rPr>
          <w:rFonts w:ascii="Arial" w:hAnsi="Arial" w:cs="Arial"/>
          <w:sz w:val="24"/>
          <w:szCs w:val="24"/>
        </w:rPr>
        <w:t xml:space="preserve"> </w:t>
      </w:r>
      <w:r w:rsidR="009A4F24" w:rsidRPr="00C01D9F">
        <w:rPr>
          <w:rFonts w:ascii="Arial" w:hAnsi="Arial" w:cs="Arial"/>
          <w:sz w:val="24"/>
          <w:szCs w:val="24"/>
        </w:rPr>
        <w:t xml:space="preserve">stated as follows: </w:t>
      </w:r>
    </w:p>
    <w:p w14:paraId="60B21EDE" w14:textId="77777777" w:rsidR="009A4F24" w:rsidRPr="00C01D9F" w:rsidRDefault="009A4F24" w:rsidP="00A650A1">
      <w:pPr>
        <w:tabs>
          <w:tab w:val="left" w:pos="1843"/>
        </w:tabs>
        <w:spacing w:before="480" w:after="480" w:line="360" w:lineRule="auto"/>
        <w:ind w:left="1843" w:hanging="709"/>
        <w:rPr>
          <w:rFonts w:ascii="Arial" w:hAnsi="Arial" w:cs="Arial"/>
        </w:rPr>
      </w:pPr>
      <w:r w:rsidRPr="00C01D9F">
        <w:rPr>
          <w:rFonts w:ascii="Arial" w:hAnsi="Arial" w:cs="Arial"/>
        </w:rPr>
        <w:t>“[23]</w:t>
      </w:r>
      <w:r w:rsidRPr="00C01D9F">
        <w:rPr>
          <w:rFonts w:ascii="Arial" w:hAnsi="Arial" w:cs="Arial"/>
        </w:rPr>
        <w:tab/>
        <w:t xml:space="preserve">It is an elementary rule of motion proceedings that an applicant cannot succeed in the face of a genuine dispute of fact that is material to the relief sought. Conflicting averments under oath cannot be tested on affidavit but only by oral evidence. Nearly 80 years ago Innes CJ explained that </w:t>
      </w:r>
    </w:p>
    <w:p w14:paraId="2C570577" w14:textId="2470D197" w:rsidR="009A4F24" w:rsidRPr="00C01D9F" w:rsidRDefault="009A4F24" w:rsidP="00A650A1">
      <w:pPr>
        <w:tabs>
          <w:tab w:val="left" w:pos="2268"/>
          <w:tab w:val="left" w:pos="2977"/>
        </w:tabs>
        <w:spacing w:before="480" w:after="480" w:line="360" w:lineRule="auto"/>
        <w:ind w:left="2268"/>
        <w:rPr>
          <w:rFonts w:ascii="Arial" w:hAnsi="Arial" w:cs="Arial"/>
        </w:rPr>
      </w:pPr>
      <w:r w:rsidRPr="00C01D9F">
        <w:rPr>
          <w:rFonts w:ascii="Arial" w:hAnsi="Arial" w:cs="Arial"/>
        </w:rPr>
        <w:t>‘(t)he reason is clear; it is undesirable in such cases to endeavour to settle the dispute of fact upon affidavit. It is more satisfactory that evidence should be led and that the Court should have an opportunity of seeing and hearing the witnesses before coming to a conclusion.’</w:t>
      </w:r>
    </w:p>
    <w:p w14:paraId="21795F67" w14:textId="77777777" w:rsidR="009A4F24" w:rsidRPr="00C01D9F" w:rsidRDefault="009A4F24" w:rsidP="00A650A1">
      <w:pPr>
        <w:tabs>
          <w:tab w:val="left" w:pos="1843"/>
        </w:tabs>
        <w:spacing w:before="480" w:after="480" w:line="360" w:lineRule="auto"/>
        <w:ind w:left="1843" w:hanging="709"/>
        <w:rPr>
          <w:rFonts w:ascii="Arial" w:hAnsi="Arial" w:cs="Arial"/>
        </w:rPr>
      </w:pPr>
      <w:r w:rsidRPr="00C01D9F">
        <w:rPr>
          <w:rFonts w:ascii="Arial" w:hAnsi="Arial" w:cs="Arial"/>
        </w:rPr>
        <w:t>[24]</w:t>
      </w:r>
      <w:r w:rsidRPr="00C01D9F">
        <w:rPr>
          <w:rFonts w:ascii="Arial" w:hAnsi="Arial" w:cs="Arial"/>
        </w:rPr>
        <w:tab/>
        <w:t>Innes CJ added a significant qualification:</w:t>
      </w:r>
    </w:p>
    <w:p w14:paraId="484DBC99" w14:textId="17256646" w:rsidR="009A4F24" w:rsidRPr="00C01D9F" w:rsidRDefault="009A4F24" w:rsidP="00A650A1">
      <w:pPr>
        <w:tabs>
          <w:tab w:val="left" w:pos="2268"/>
        </w:tabs>
        <w:spacing w:before="480" w:after="480" w:line="360" w:lineRule="auto"/>
        <w:ind w:left="2268"/>
        <w:rPr>
          <w:rFonts w:ascii="Arial" w:hAnsi="Arial" w:cs="Arial"/>
        </w:rPr>
      </w:pPr>
      <w:r w:rsidRPr="00C01D9F">
        <w:rPr>
          <w:rFonts w:ascii="Arial" w:hAnsi="Arial" w:cs="Arial"/>
        </w:rPr>
        <w:lastRenderedPageBreak/>
        <w:t>‘(W)here the facts are not really in dispute … there can be no objection, but on the contrary a manifest advantage in dealing with the matter by the speedier and less expensive method of motion.’</w:t>
      </w:r>
    </w:p>
    <w:p w14:paraId="69490CAD" w14:textId="485585B5" w:rsidR="009A4F24" w:rsidRDefault="009A4F24" w:rsidP="00A650A1">
      <w:pPr>
        <w:tabs>
          <w:tab w:val="left" w:pos="2268"/>
        </w:tabs>
        <w:spacing w:before="480" w:after="480" w:line="360" w:lineRule="auto"/>
        <w:ind w:left="2268"/>
        <w:rPr>
          <w:rFonts w:cs="Arial"/>
        </w:rPr>
      </w:pPr>
      <w:r w:rsidRPr="00C01D9F">
        <w:rPr>
          <w:rFonts w:ascii="Arial" w:hAnsi="Arial" w:cs="Arial"/>
        </w:rPr>
        <w:t xml:space="preserve">This qualification, endorsed in the subsequent classic expositions on the subject, led to a gradual but not inconsiderable relaxation </w:t>
      </w:r>
      <w:r w:rsidRPr="00A6095F">
        <w:rPr>
          <w:rFonts w:ascii="Arial" w:hAnsi="Arial" w:cs="Arial"/>
        </w:rPr>
        <w:t>of the criteria for determining whether despite a factual dispute</w:t>
      </w:r>
      <w:r w:rsidRPr="00C01D9F">
        <w:rPr>
          <w:rFonts w:ascii="Arial" w:hAnsi="Arial" w:cs="Arial"/>
        </w:rPr>
        <w:t xml:space="preserve"> relief can be granted in affidavit proceedings. </w:t>
      </w:r>
      <w:r w:rsidRPr="00C72CF6">
        <w:rPr>
          <w:rFonts w:ascii="Arial" w:hAnsi="Arial" w:cs="Arial"/>
        </w:rPr>
        <w:t>Most notably, Corbett CJ</w:t>
      </w:r>
      <w:r w:rsidRPr="00C01D9F">
        <w:rPr>
          <w:rFonts w:ascii="Arial" w:hAnsi="Arial" w:cs="Arial"/>
        </w:rPr>
        <w:t xml:space="preserve"> in </w:t>
      </w:r>
      <w:r w:rsidRPr="00C01D9F">
        <w:rPr>
          <w:rFonts w:ascii="Arial" w:hAnsi="Arial" w:cs="Arial"/>
          <w:i/>
          <w:iCs/>
        </w:rPr>
        <w:t>Plascon-Evans Paints Ltd v Van Riebeeck Paints</w:t>
      </w:r>
      <w:r w:rsidRPr="00C01D9F">
        <w:rPr>
          <w:rFonts w:ascii="Arial" w:hAnsi="Arial" w:cs="Arial"/>
        </w:rPr>
        <w:t xml:space="preserve"> </w:t>
      </w:r>
      <w:r w:rsidRPr="00C72CF6">
        <w:rPr>
          <w:rFonts w:ascii="Arial" w:hAnsi="Arial" w:cs="Arial"/>
          <w:i/>
          <w:iCs/>
        </w:rPr>
        <w:t>(Pty) Ltd</w:t>
      </w:r>
      <w:r w:rsidRPr="00C01D9F">
        <w:rPr>
          <w:rFonts w:ascii="Arial" w:hAnsi="Arial" w:cs="Arial"/>
        </w:rPr>
        <w:t xml:space="preserve"> </w:t>
      </w:r>
      <w:r w:rsidRPr="00C72CF6">
        <w:rPr>
          <w:rFonts w:ascii="Arial" w:hAnsi="Arial" w:cs="Arial"/>
        </w:rPr>
        <w:t xml:space="preserve">amplified the ambit of uncreditworthy denials that would not impede the grant of relief. He extended them beyond those not raising a real, genuine or </w:t>
      </w:r>
      <w:r w:rsidRPr="00C72CF6">
        <w:rPr>
          <w:rFonts w:ascii="Arial" w:hAnsi="Arial" w:cs="Arial"/>
          <w:i/>
          <w:iCs/>
        </w:rPr>
        <w:t>bona fide</w:t>
      </w:r>
      <w:r w:rsidRPr="00C72CF6">
        <w:rPr>
          <w:rFonts w:ascii="Arial" w:hAnsi="Arial" w:cs="Arial"/>
        </w:rPr>
        <w:t xml:space="preserve"> dispute of fact, to allegations or denials that are ‘so far-fetched or clearly untenable that the Court is justified in rejecting them merely on the papers’</w:t>
      </w:r>
      <w:r w:rsidRPr="00C01D9F">
        <w:rPr>
          <w:rFonts w:ascii="Arial" w:hAnsi="Arial" w:cs="Arial"/>
        </w:rPr>
        <w:t>.”</w:t>
      </w:r>
    </w:p>
    <w:p w14:paraId="49D74F22" w14:textId="45B20FA9" w:rsidR="00E84AAA" w:rsidRPr="00E84AAA" w:rsidRDefault="00170630" w:rsidP="00170630">
      <w:pPr>
        <w:tabs>
          <w:tab w:val="left" w:pos="692"/>
        </w:tabs>
        <w:spacing w:before="480" w:after="480" w:line="360" w:lineRule="auto"/>
        <w:ind w:left="692" w:hanging="692"/>
        <w:rPr>
          <w:rFonts w:ascii="Arial" w:hAnsi="Arial" w:cs="Arial"/>
          <w:sz w:val="24"/>
          <w:szCs w:val="24"/>
        </w:rPr>
      </w:pPr>
      <w:r w:rsidRPr="00E84AAA">
        <w:rPr>
          <w:rFonts w:ascii="Arial" w:hAnsi="Arial" w:cs="Arial"/>
          <w:sz w:val="24"/>
          <w:szCs w:val="24"/>
        </w:rPr>
        <w:t>[58]</w:t>
      </w:r>
      <w:r w:rsidRPr="00E84AAA">
        <w:rPr>
          <w:rFonts w:ascii="Arial" w:hAnsi="Arial" w:cs="Arial"/>
          <w:sz w:val="24"/>
          <w:szCs w:val="24"/>
        </w:rPr>
        <w:tab/>
      </w:r>
      <w:r w:rsidR="00E84AAA">
        <w:rPr>
          <w:rFonts w:ascii="Arial" w:hAnsi="Arial" w:cs="Arial"/>
          <w:sz w:val="24"/>
          <w:szCs w:val="24"/>
        </w:rPr>
        <w:t>Mr Rees’ case in opposing the vindicatory relief sought by Marindafontein, in my view, falls short of these trite principles in motion proceedings.</w:t>
      </w:r>
    </w:p>
    <w:p w14:paraId="770181E4" w14:textId="1B0D79B5" w:rsidR="00E84AAA" w:rsidRPr="00E84AAA" w:rsidRDefault="00E84AAA" w:rsidP="00E84AAA">
      <w:pPr>
        <w:spacing w:before="480" w:after="480" w:line="360" w:lineRule="auto"/>
        <w:rPr>
          <w:rFonts w:ascii="Arial" w:hAnsi="Arial" w:cs="Arial"/>
          <w:i/>
          <w:iCs/>
          <w:sz w:val="24"/>
          <w:szCs w:val="24"/>
        </w:rPr>
      </w:pPr>
      <w:r w:rsidRPr="00E84AAA">
        <w:rPr>
          <w:rFonts w:ascii="Arial" w:hAnsi="Arial" w:cs="Arial"/>
          <w:i/>
          <w:iCs/>
          <w:sz w:val="24"/>
          <w:szCs w:val="24"/>
        </w:rPr>
        <w:t>Conclusion</w:t>
      </w:r>
    </w:p>
    <w:p w14:paraId="0CD02BC2" w14:textId="3C73E8AD" w:rsidR="00A6095F" w:rsidRPr="00E84AAA" w:rsidRDefault="00170630" w:rsidP="00170630">
      <w:pPr>
        <w:tabs>
          <w:tab w:val="left" w:pos="692"/>
        </w:tabs>
        <w:spacing w:before="480" w:after="480" w:line="360" w:lineRule="auto"/>
        <w:ind w:left="692" w:hanging="692"/>
        <w:rPr>
          <w:rFonts w:ascii="Arial" w:hAnsi="Arial" w:cs="Arial"/>
          <w:sz w:val="24"/>
          <w:szCs w:val="24"/>
        </w:rPr>
      </w:pPr>
      <w:r w:rsidRPr="00E84AAA">
        <w:rPr>
          <w:rFonts w:ascii="Arial" w:hAnsi="Arial" w:cs="Arial"/>
          <w:sz w:val="24"/>
          <w:szCs w:val="24"/>
        </w:rPr>
        <w:t>[59]</w:t>
      </w:r>
      <w:r w:rsidRPr="00E84AAA">
        <w:rPr>
          <w:rFonts w:ascii="Arial" w:hAnsi="Arial" w:cs="Arial"/>
          <w:sz w:val="24"/>
          <w:szCs w:val="24"/>
        </w:rPr>
        <w:tab/>
      </w:r>
      <w:r w:rsidR="00A6095F" w:rsidRPr="00E84AAA">
        <w:rPr>
          <w:rFonts w:ascii="Arial" w:hAnsi="Arial" w:cs="Arial"/>
          <w:sz w:val="24"/>
          <w:szCs w:val="24"/>
        </w:rPr>
        <w:t xml:space="preserve">In the circumstances, the jurisdictional requirements of </w:t>
      </w:r>
      <w:r w:rsidR="00A6095F" w:rsidRPr="00E84AAA">
        <w:rPr>
          <w:rFonts w:ascii="Arial" w:hAnsi="Arial" w:cs="Arial"/>
          <w:i/>
          <w:iCs/>
          <w:sz w:val="24"/>
          <w:szCs w:val="24"/>
        </w:rPr>
        <w:t xml:space="preserve">rei vindicatio </w:t>
      </w:r>
      <w:r w:rsidR="00A6095F" w:rsidRPr="00E84AAA">
        <w:rPr>
          <w:rFonts w:ascii="Arial" w:hAnsi="Arial" w:cs="Arial"/>
          <w:sz w:val="24"/>
          <w:szCs w:val="24"/>
        </w:rPr>
        <w:t xml:space="preserve">have been met by Marindafontein. </w:t>
      </w:r>
      <w:r w:rsidR="00EC4514">
        <w:rPr>
          <w:rFonts w:ascii="Arial" w:hAnsi="Arial" w:cs="Arial"/>
          <w:sz w:val="24"/>
          <w:szCs w:val="24"/>
        </w:rPr>
        <w:t xml:space="preserve"> </w:t>
      </w:r>
      <w:r w:rsidR="00A6095F" w:rsidRPr="00E84AAA">
        <w:rPr>
          <w:rFonts w:ascii="Arial" w:hAnsi="Arial" w:cs="Arial"/>
          <w:sz w:val="24"/>
          <w:szCs w:val="24"/>
        </w:rPr>
        <w:t xml:space="preserve">For the reasons stated, I find that Mr </w:t>
      </w:r>
      <w:r w:rsidR="00F54132" w:rsidRPr="00E84AAA">
        <w:rPr>
          <w:rFonts w:ascii="Arial" w:hAnsi="Arial" w:cs="Arial"/>
          <w:sz w:val="24"/>
          <w:szCs w:val="24"/>
        </w:rPr>
        <w:t>Rees</w:t>
      </w:r>
      <w:r w:rsidR="00A6095F" w:rsidRPr="00E84AAA">
        <w:rPr>
          <w:rFonts w:ascii="Arial" w:hAnsi="Arial" w:cs="Arial"/>
          <w:sz w:val="24"/>
          <w:szCs w:val="24"/>
        </w:rPr>
        <w:t xml:space="preserve"> has not discharged the onus of proving a lawful entitlement to occupy the </w:t>
      </w:r>
      <w:r w:rsidR="00B51915" w:rsidRPr="00E84AAA">
        <w:rPr>
          <w:rFonts w:ascii="Arial" w:hAnsi="Arial" w:cs="Arial"/>
          <w:sz w:val="24"/>
          <w:szCs w:val="24"/>
        </w:rPr>
        <w:t>hangar</w:t>
      </w:r>
      <w:r w:rsidR="00A6095F" w:rsidRPr="00E84AAA">
        <w:rPr>
          <w:rFonts w:ascii="Arial" w:hAnsi="Arial" w:cs="Arial"/>
          <w:sz w:val="24"/>
          <w:szCs w:val="24"/>
        </w:rPr>
        <w:t>.</w:t>
      </w:r>
    </w:p>
    <w:p w14:paraId="33CF56CD" w14:textId="405BF00B" w:rsidR="00A6095F" w:rsidRPr="00A6095F" w:rsidRDefault="00A6095F" w:rsidP="00A6095F">
      <w:pPr>
        <w:spacing w:before="480" w:after="480" w:line="360" w:lineRule="auto"/>
        <w:rPr>
          <w:rFonts w:ascii="Arial" w:hAnsi="Arial" w:cs="Arial"/>
          <w:i/>
          <w:iCs/>
          <w:sz w:val="24"/>
          <w:szCs w:val="24"/>
        </w:rPr>
      </w:pPr>
      <w:r>
        <w:rPr>
          <w:rFonts w:ascii="Arial" w:hAnsi="Arial" w:cs="Arial"/>
          <w:i/>
          <w:iCs/>
          <w:sz w:val="24"/>
          <w:szCs w:val="24"/>
        </w:rPr>
        <w:t>Order</w:t>
      </w:r>
    </w:p>
    <w:p w14:paraId="39E7585B" w14:textId="1D82C2B2" w:rsidR="00A6095F" w:rsidRDefault="00170630" w:rsidP="00170630">
      <w:pPr>
        <w:tabs>
          <w:tab w:val="left" w:pos="692"/>
        </w:tabs>
        <w:spacing w:before="480" w:after="480" w:line="360" w:lineRule="auto"/>
        <w:ind w:left="692" w:hanging="692"/>
        <w:rPr>
          <w:rFonts w:ascii="Arial" w:hAnsi="Arial" w:cs="Arial"/>
          <w:sz w:val="24"/>
          <w:szCs w:val="24"/>
        </w:rPr>
      </w:pPr>
      <w:r>
        <w:rPr>
          <w:rFonts w:ascii="Arial" w:hAnsi="Arial" w:cs="Arial"/>
          <w:sz w:val="24"/>
          <w:szCs w:val="24"/>
        </w:rPr>
        <w:t>[60]</w:t>
      </w:r>
      <w:r>
        <w:rPr>
          <w:rFonts w:ascii="Arial" w:hAnsi="Arial" w:cs="Arial"/>
          <w:sz w:val="24"/>
          <w:szCs w:val="24"/>
        </w:rPr>
        <w:tab/>
      </w:r>
      <w:r w:rsidR="00A6095F">
        <w:rPr>
          <w:rFonts w:ascii="Arial" w:hAnsi="Arial" w:cs="Arial"/>
          <w:sz w:val="24"/>
          <w:szCs w:val="24"/>
        </w:rPr>
        <w:t xml:space="preserve">In the </w:t>
      </w:r>
      <w:r w:rsidR="00E70A46">
        <w:rPr>
          <w:rFonts w:ascii="Arial" w:hAnsi="Arial" w:cs="Arial"/>
          <w:sz w:val="24"/>
          <w:szCs w:val="24"/>
        </w:rPr>
        <w:t>premises</w:t>
      </w:r>
      <w:r w:rsidR="00A6095F">
        <w:rPr>
          <w:rFonts w:ascii="Arial" w:hAnsi="Arial" w:cs="Arial"/>
          <w:sz w:val="24"/>
          <w:szCs w:val="24"/>
        </w:rPr>
        <w:t>, the following order is made:</w:t>
      </w:r>
    </w:p>
    <w:p w14:paraId="72188852" w14:textId="191A357D" w:rsidR="00EE6350" w:rsidRDefault="00170630" w:rsidP="00170630">
      <w:pPr>
        <w:spacing w:before="480" w:after="480" w:line="36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00F829EF">
        <w:rPr>
          <w:rFonts w:ascii="Arial" w:hAnsi="Arial" w:cs="Arial"/>
          <w:sz w:val="24"/>
          <w:szCs w:val="24"/>
        </w:rPr>
        <w:t xml:space="preserve">The second respondent, and all persons claiming the right of occupation of </w:t>
      </w:r>
      <w:r w:rsidR="00B51915">
        <w:rPr>
          <w:rFonts w:ascii="Arial" w:hAnsi="Arial" w:cs="Arial"/>
          <w:sz w:val="24"/>
          <w:szCs w:val="24"/>
        </w:rPr>
        <w:t>Hangar</w:t>
      </w:r>
      <w:r w:rsidR="00F829EF">
        <w:rPr>
          <w:rFonts w:ascii="Arial" w:hAnsi="Arial" w:cs="Arial"/>
          <w:sz w:val="24"/>
          <w:szCs w:val="24"/>
        </w:rPr>
        <w:t xml:space="preserve"> H19/3, situated at the Petit Airfield, Rudi Street, Benoni (the premises) are evicted from the premises.</w:t>
      </w:r>
    </w:p>
    <w:p w14:paraId="4B8823F2" w14:textId="28E5F5FA" w:rsidR="00F829EF" w:rsidRDefault="00170630" w:rsidP="00170630">
      <w:pPr>
        <w:spacing w:before="480" w:after="480" w:line="360" w:lineRule="auto"/>
        <w:ind w:left="720" w:hanging="720"/>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F829EF">
        <w:rPr>
          <w:rFonts w:ascii="Arial" w:hAnsi="Arial" w:cs="Arial"/>
          <w:sz w:val="24"/>
          <w:szCs w:val="24"/>
        </w:rPr>
        <w:t xml:space="preserve">The second respondent and all such aforementioned persons </w:t>
      </w:r>
      <w:r w:rsidR="005B7183">
        <w:rPr>
          <w:rFonts w:ascii="Arial" w:hAnsi="Arial" w:cs="Arial"/>
          <w:sz w:val="24"/>
          <w:szCs w:val="24"/>
        </w:rPr>
        <w:t>shall vacate the premises within fourteen days of the granting of this order.</w:t>
      </w:r>
    </w:p>
    <w:p w14:paraId="44821822" w14:textId="71ECEA50" w:rsidR="005B7183" w:rsidRDefault="00170630" w:rsidP="00170630">
      <w:pPr>
        <w:spacing w:before="480" w:after="480" w:line="36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005B7183">
        <w:rPr>
          <w:rFonts w:ascii="Arial" w:hAnsi="Arial" w:cs="Arial"/>
          <w:sz w:val="24"/>
          <w:szCs w:val="24"/>
        </w:rPr>
        <w:t>In the event that the second respondent and such aforementioned persons do not vacate the premises, the Sheriff of this Court is authorised and directed to evict the second respondent and such aforementioned persons.</w:t>
      </w:r>
    </w:p>
    <w:p w14:paraId="79560E89" w14:textId="0C6DF8C2" w:rsidR="005B7183" w:rsidRDefault="00170630" w:rsidP="00170630">
      <w:pPr>
        <w:spacing w:before="480" w:after="480" w:line="36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005B7183">
        <w:rPr>
          <w:rFonts w:ascii="Arial" w:hAnsi="Arial" w:cs="Arial"/>
          <w:sz w:val="24"/>
          <w:szCs w:val="24"/>
        </w:rPr>
        <w:t>The second respondent is directed to pay the costs of the application.</w:t>
      </w:r>
    </w:p>
    <w:p w14:paraId="244627AA" w14:textId="77777777" w:rsidR="001A4F5D" w:rsidRDefault="001A4F5D" w:rsidP="001A4F5D">
      <w:pPr>
        <w:spacing w:before="480" w:after="480" w:line="360" w:lineRule="auto"/>
        <w:rPr>
          <w:rFonts w:ascii="Arial" w:hAnsi="Arial" w:cs="Arial"/>
          <w:sz w:val="24"/>
          <w:szCs w:val="24"/>
        </w:rPr>
      </w:pPr>
    </w:p>
    <w:p w14:paraId="3B630DDA" w14:textId="1088B593" w:rsidR="001A4F5D" w:rsidRDefault="00077AFD" w:rsidP="00A650A1">
      <w:pPr>
        <w:jc w:val="right"/>
        <w:rPr>
          <w:rFonts w:ascii="Arial" w:hAnsi="Arial" w:cs="Arial"/>
          <w:sz w:val="24"/>
          <w:szCs w:val="24"/>
        </w:rPr>
      </w:pPr>
      <w:r>
        <w:rPr>
          <w:rFonts w:ascii="Arial" w:hAnsi="Arial" w:cs="Arial"/>
          <w:sz w:val="24"/>
          <w:szCs w:val="24"/>
        </w:rPr>
        <w:t>_____________________________________</w:t>
      </w:r>
    </w:p>
    <w:p w14:paraId="621745AD" w14:textId="77777777" w:rsidR="001A4F5D" w:rsidRDefault="001A4F5D" w:rsidP="00A650A1">
      <w:pPr>
        <w:jc w:val="right"/>
        <w:rPr>
          <w:rFonts w:ascii="Arial" w:hAnsi="Arial" w:cs="Arial"/>
          <w:b/>
          <w:sz w:val="24"/>
          <w:szCs w:val="24"/>
        </w:rPr>
      </w:pPr>
      <w:r>
        <w:rPr>
          <w:rFonts w:ascii="Arial" w:hAnsi="Arial" w:cs="Arial"/>
          <w:b/>
          <w:sz w:val="24"/>
          <w:szCs w:val="24"/>
        </w:rPr>
        <w:t xml:space="preserve">PG LOUW </w:t>
      </w:r>
    </w:p>
    <w:p w14:paraId="31D8E3C0" w14:textId="77777777" w:rsidR="001A4F5D" w:rsidRDefault="001A4F5D" w:rsidP="00A650A1">
      <w:pPr>
        <w:jc w:val="right"/>
        <w:rPr>
          <w:rFonts w:ascii="Arial" w:hAnsi="Arial" w:cs="Arial"/>
          <w:b/>
          <w:sz w:val="24"/>
          <w:szCs w:val="24"/>
        </w:rPr>
      </w:pPr>
      <w:r>
        <w:rPr>
          <w:rFonts w:ascii="Arial" w:hAnsi="Arial" w:cs="Arial"/>
          <w:b/>
          <w:sz w:val="24"/>
          <w:szCs w:val="24"/>
        </w:rPr>
        <w:t>ACTING JUDGE OF THE HIGH COURT</w:t>
      </w:r>
    </w:p>
    <w:p w14:paraId="09855B71" w14:textId="68A617C9" w:rsidR="00EE6350" w:rsidRDefault="001A4F5D" w:rsidP="00A650A1">
      <w:pPr>
        <w:jc w:val="right"/>
        <w:rPr>
          <w:rFonts w:ascii="Arial" w:hAnsi="Arial" w:cs="Arial"/>
          <w:sz w:val="24"/>
          <w:szCs w:val="24"/>
        </w:rPr>
      </w:pPr>
      <w:r>
        <w:rPr>
          <w:rFonts w:ascii="Arial" w:hAnsi="Arial" w:cs="Arial"/>
          <w:b/>
          <w:bCs/>
          <w:sz w:val="24"/>
          <w:szCs w:val="24"/>
        </w:rPr>
        <w:t>GAUTENG DIVISION, JOHANNESBURG</w:t>
      </w:r>
    </w:p>
    <w:p w14:paraId="310D5499" w14:textId="77777777" w:rsidR="00EE6350" w:rsidRDefault="00EE6350" w:rsidP="00EE6350">
      <w:pPr>
        <w:rPr>
          <w:rFonts w:ascii="Arial" w:hAnsi="Arial" w:cs="Arial"/>
          <w:sz w:val="24"/>
          <w:szCs w:val="24"/>
        </w:rPr>
      </w:pPr>
    </w:p>
    <w:p w14:paraId="0908B9EB" w14:textId="67AA85B1" w:rsidR="00077AFD" w:rsidRDefault="00077AFD" w:rsidP="00EE6350">
      <w:pPr>
        <w:rPr>
          <w:rFonts w:ascii="Arial" w:hAnsi="Arial" w:cs="Arial"/>
          <w:sz w:val="24"/>
          <w:szCs w:val="24"/>
        </w:rPr>
      </w:pPr>
    </w:p>
    <w:p w14:paraId="26300B7B" w14:textId="77777777" w:rsidR="00077AFD" w:rsidRDefault="00077AFD" w:rsidP="00EE6350">
      <w:pPr>
        <w:rPr>
          <w:rFonts w:ascii="Arial" w:hAnsi="Arial" w:cs="Arial"/>
          <w:sz w:val="24"/>
          <w:szCs w:val="24"/>
        </w:rPr>
      </w:pPr>
    </w:p>
    <w:p w14:paraId="0353351D" w14:textId="77777777" w:rsidR="009C101D" w:rsidRDefault="009C101D" w:rsidP="00EE6350">
      <w:pPr>
        <w:rPr>
          <w:rFonts w:ascii="Arial" w:hAnsi="Arial" w:cs="Arial"/>
          <w:sz w:val="24"/>
          <w:szCs w:val="24"/>
        </w:rPr>
      </w:pPr>
    </w:p>
    <w:p w14:paraId="0BEF8F9D" w14:textId="77777777" w:rsidR="009C101D" w:rsidRDefault="009C101D" w:rsidP="00EE6350">
      <w:pPr>
        <w:rPr>
          <w:rFonts w:ascii="Arial" w:hAnsi="Arial" w:cs="Arial"/>
          <w:sz w:val="24"/>
          <w:szCs w:val="24"/>
        </w:rPr>
      </w:pPr>
    </w:p>
    <w:p w14:paraId="46EE50F9" w14:textId="77777777" w:rsidR="009C101D" w:rsidRDefault="009C101D" w:rsidP="00EE6350">
      <w:pPr>
        <w:rPr>
          <w:rFonts w:ascii="Arial" w:hAnsi="Arial" w:cs="Arial"/>
          <w:sz w:val="24"/>
          <w:szCs w:val="24"/>
        </w:rPr>
      </w:pPr>
    </w:p>
    <w:p w14:paraId="4294A054" w14:textId="77777777" w:rsidR="009C101D" w:rsidRDefault="009C101D" w:rsidP="00EE6350">
      <w:pPr>
        <w:rPr>
          <w:rFonts w:ascii="Arial" w:hAnsi="Arial" w:cs="Arial"/>
          <w:sz w:val="24"/>
          <w:szCs w:val="24"/>
        </w:rPr>
      </w:pPr>
    </w:p>
    <w:p w14:paraId="1B95DB8D" w14:textId="77777777" w:rsidR="009C101D" w:rsidRDefault="009C101D" w:rsidP="00EE6350">
      <w:pPr>
        <w:rPr>
          <w:rFonts w:ascii="Arial" w:hAnsi="Arial" w:cs="Arial"/>
          <w:sz w:val="24"/>
          <w:szCs w:val="24"/>
        </w:rPr>
      </w:pPr>
    </w:p>
    <w:p w14:paraId="2E5563C6" w14:textId="77777777" w:rsidR="009C101D" w:rsidRDefault="009C101D" w:rsidP="00EE6350">
      <w:pPr>
        <w:rPr>
          <w:rFonts w:ascii="Arial" w:hAnsi="Arial" w:cs="Arial"/>
          <w:sz w:val="24"/>
          <w:szCs w:val="24"/>
        </w:rPr>
      </w:pPr>
    </w:p>
    <w:p w14:paraId="1225FB9C" w14:textId="77777777" w:rsidR="009C101D" w:rsidRDefault="009C101D" w:rsidP="00EE6350">
      <w:pPr>
        <w:rPr>
          <w:rFonts w:ascii="Arial" w:hAnsi="Arial" w:cs="Arial"/>
          <w:sz w:val="24"/>
          <w:szCs w:val="24"/>
        </w:rPr>
      </w:pPr>
    </w:p>
    <w:p w14:paraId="65040F69" w14:textId="77777777" w:rsidR="009C101D" w:rsidRDefault="009C101D" w:rsidP="00EE6350">
      <w:pPr>
        <w:rPr>
          <w:rFonts w:ascii="Arial" w:hAnsi="Arial" w:cs="Arial"/>
          <w:sz w:val="24"/>
          <w:szCs w:val="24"/>
        </w:rPr>
      </w:pPr>
    </w:p>
    <w:p w14:paraId="34348EDD" w14:textId="77777777" w:rsidR="009C101D" w:rsidRDefault="009C101D" w:rsidP="00EE6350">
      <w:pPr>
        <w:rPr>
          <w:rFonts w:ascii="Arial" w:hAnsi="Arial" w:cs="Arial"/>
          <w:sz w:val="24"/>
          <w:szCs w:val="24"/>
        </w:rPr>
      </w:pPr>
    </w:p>
    <w:p w14:paraId="0A0D0F08" w14:textId="77777777" w:rsidR="009C101D" w:rsidRDefault="009C101D" w:rsidP="00EE6350">
      <w:pPr>
        <w:rPr>
          <w:rFonts w:ascii="Arial" w:hAnsi="Arial" w:cs="Arial"/>
          <w:sz w:val="24"/>
          <w:szCs w:val="24"/>
        </w:rPr>
      </w:pPr>
    </w:p>
    <w:p w14:paraId="3B2C58EB" w14:textId="77777777" w:rsidR="009C101D" w:rsidRDefault="009C101D" w:rsidP="00EE6350">
      <w:pPr>
        <w:rPr>
          <w:rFonts w:ascii="Arial" w:hAnsi="Arial" w:cs="Arial"/>
          <w:sz w:val="24"/>
          <w:szCs w:val="24"/>
        </w:rPr>
      </w:pPr>
    </w:p>
    <w:p w14:paraId="7692A88A" w14:textId="77777777" w:rsidR="009C101D" w:rsidRDefault="009C101D" w:rsidP="00EE6350">
      <w:pPr>
        <w:rPr>
          <w:rFonts w:ascii="Arial" w:hAnsi="Arial" w:cs="Arial"/>
          <w:sz w:val="24"/>
          <w:szCs w:val="24"/>
        </w:rPr>
      </w:pPr>
    </w:p>
    <w:p w14:paraId="2C2A00A5" w14:textId="77777777" w:rsidR="009C101D" w:rsidRDefault="009C101D" w:rsidP="00EE6350">
      <w:pPr>
        <w:rPr>
          <w:rFonts w:ascii="Arial" w:hAnsi="Arial" w:cs="Arial"/>
          <w:sz w:val="24"/>
          <w:szCs w:val="24"/>
        </w:rPr>
      </w:pPr>
    </w:p>
    <w:p w14:paraId="3880C9A4" w14:textId="77777777" w:rsidR="009C101D" w:rsidRDefault="009C101D" w:rsidP="00EE6350">
      <w:pPr>
        <w:rPr>
          <w:rFonts w:ascii="Arial" w:hAnsi="Arial" w:cs="Arial"/>
          <w:sz w:val="24"/>
          <w:szCs w:val="24"/>
        </w:rPr>
      </w:pPr>
    </w:p>
    <w:p w14:paraId="6F747862" w14:textId="77777777" w:rsidR="009C101D" w:rsidRDefault="009C101D" w:rsidP="00EE6350">
      <w:pPr>
        <w:rPr>
          <w:rFonts w:ascii="Arial" w:hAnsi="Arial" w:cs="Arial"/>
          <w:sz w:val="24"/>
          <w:szCs w:val="24"/>
        </w:rPr>
      </w:pPr>
    </w:p>
    <w:p w14:paraId="169D82D4" w14:textId="77777777" w:rsidR="009C101D" w:rsidRDefault="009C101D" w:rsidP="00EE6350">
      <w:pPr>
        <w:rPr>
          <w:rFonts w:ascii="Arial" w:hAnsi="Arial" w:cs="Arial"/>
          <w:sz w:val="24"/>
          <w:szCs w:val="24"/>
        </w:rPr>
      </w:pPr>
    </w:p>
    <w:p w14:paraId="1DCD7129" w14:textId="77777777" w:rsidR="009C101D" w:rsidRDefault="009C101D" w:rsidP="00EE6350">
      <w:pPr>
        <w:rPr>
          <w:rFonts w:ascii="Arial" w:hAnsi="Arial" w:cs="Arial"/>
          <w:sz w:val="24"/>
          <w:szCs w:val="24"/>
        </w:rPr>
      </w:pPr>
    </w:p>
    <w:p w14:paraId="233EEB53" w14:textId="77777777" w:rsidR="009C101D" w:rsidRDefault="009C101D" w:rsidP="00EE6350">
      <w:pPr>
        <w:rPr>
          <w:rFonts w:ascii="Arial" w:hAnsi="Arial" w:cs="Arial"/>
          <w:sz w:val="24"/>
          <w:szCs w:val="24"/>
        </w:rPr>
      </w:pPr>
    </w:p>
    <w:p w14:paraId="289F6FA3" w14:textId="77777777" w:rsidR="009C101D" w:rsidRDefault="009C101D" w:rsidP="00EE6350">
      <w:pPr>
        <w:rPr>
          <w:rFonts w:ascii="Arial" w:hAnsi="Arial" w:cs="Arial"/>
          <w:sz w:val="24"/>
          <w:szCs w:val="24"/>
        </w:rPr>
      </w:pPr>
    </w:p>
    <w:p w14:paraId="69A12FA3" w14:textId="77777777" w:rsidR="009C101D" w:rsidRDefault="009C101D" w:rsidP="00EE6350">
      <w:pPr>
        <w:rPr>
          <w:rFonts w:ascii="Arial" w:hAnsi="Arial" w:cs="Arial"/>
          <w:sz w:val="24"/>
          <w:szCs w:val="24"/>
        </w:rPr>
      </w:pPr>
    </w:p>
    <w:p w14:paraId="04417046" w14:textId="77777777" w:rsidR="009C101D" w:rsidRDefault="009C101D" w:rsidP="00EE6350">
      <w:pPr>
        <w:rPr>
          <w:rFonts w:ascii="Arial" w:hAnsi="Arial" w:cs="Arial"/>
          <w:sz w:val="24"/>
          <w:szCs w:val="24"/>
        </w:rPr>
      </w:pPr>
    </w:p>
    <w:p w14:paraId="1B00B3A1" w14:textId="77777777" w:rsidR="009C101D" w:rsidRDefault="009C101D" w:rsidP="00EE6350">
      <w:pPr>
        <w:rPr>
          <w:rFonts w:ascii="Arial" w:hAnsi="Arial" w:cs="Arial"/>
          <w:sz w:val="24"/>
          <w:szCs w:val="24"/>
        </w:rPr>
      </w:pPr>
    </w:p>
    <w:p w14:paraId="33E883C8" w14:textId="77777777" w:rsidR="009C101D" w:rsidRDefault="009C101D" w:rsidP="00EE6350">
      <w:pPr>
        <w:rPr>
          <w:rFonts w:ascii="Arial" w:hAnsi="Arial" w:cs="Arial"/>
          <w:sz w:val="24"/>
          <w:szCs w:val="24"/>
        </w:rPr>
      </w:pPr>
    </w:p>
    <w:p w14:paraId="7C034019" w14:textId="77777777" w:rsidR="009C101D" w:rsidRDefault="009C101D" w:rsidP="00EE6350">
      <w:pPr>
        <w:rPr>
          <w:rFonts w:ascii="Arial" w:hAnsi="Arial" w:cs="Arial"/>
          <w:sz w:val="24"/>
          <w:szCs w:val="24"/>
        </w:rPr>
      </w:pPr>
    </w:p>
    <w:p w14:paraId="71B06120" w14:textId="77777777" w:rsidR="009C101D" w:rsidRDefault="009C101D" w:rsidP="00EE6350">
      <w:pPr>
        <w:rPr>
          <w:rFonts w:ascii="Arial" w:hAnsi="Arial" w:cs="Arial"/>
          <w:sz w:val="24"/>
          <w:szCs w:val="24"/>
        </w:rPr>
      </w:pPr>
    </w:p>
    <w:p w14:paraId="6D54B08D" w14:textId="77777777" w:rsidR="009C101D" w:rsidRDefault="009C101D" w:rsidP="00EE6350">
      <w:pPr>
        <w:rPr>
          <w:rFonts w:ascii="Arial" w:hAnsi="Arial" w:cs="Arial"/>
          <w:sz w:val="24"/>
          <w:szCs w:val="24"/>
        </w:rPr>
      </w:pPr>
    </w:p>
    <w:p w14:paraId="353BEFE5" w14:textId="77777777" w:rsidR="009C101D" w:rsidRDefault="009C101D" w:rsidP="00EE6350">
      <w:pPr>
        <w:rPr>
          <w:rFonts w:ascii="Arial" w:hAnsi="Arial" w:cs="Arial"/>
          <w:sz w:val="24"/>
          <w:szCs w:val="24"/>
        </w:rPr>
      </w:pPr>
    </w:p>
    <w:p w14:paraId="428FD6A7" w14:textId="77777777" w:rsidR="00077AFD" w:rsidRDefault="00077AFD" w:rsidP="00EE6350">
      <w:pPr>
        <w:rPr>
          <w:rFonts w:ascii="Arial" w:hAnsi="Arial" w:cs="Arial"/>
          <w:sz w:val="24"/>
          <w:szCs w:val="24"/>
        </w:rPr>
      </w:pPr>
    </w:p>
    <w:p w14:paraId="2139DD2C" w14:textId="13D7C779" w:rsidR="00EE6350" w:rsidRPr="00084F14" w:rsidRDefault="00EE6350" w:rsidP="00EE6350">
      <w:pPr>
        <w:rPr>
          <w:rFonts w:ascii="Arial" w:hAnsi="Arial" w:cs="Arial"/>
          <w:sz w:val="24"/>
          <w:szCs w:val="24"/>
        </w:rPr>
      </w:pPr>
      <w:r w:rsidRPr="00084F14">
        <w:rPr>
          <w:rFonts w:ascii="Arial" w:hAnsi="Arial" w:cs="Arial"/>
          <w:sz w:val="24"/>
          <w:szCs w:val="24"/>
        </w:rPr>
        <w:t>Counsel for</w:t>
      </w:r>
      <w:r>
        <w:rPr>
          <w:rFonts w:ascii="Arial" w:hAnsi="Arial" w:cs="Arial"/>
          <w:sz w:val="24"/>
          <w:szCs w:val="24"/>
        </w:rPr>
        <w:t xml:space="preserve"> Applicant:</w:t>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A6095F">
        <w:rPr>
          <w:rFonts w:ascii="Arial" w:hAnsi="Arial" w:cs="Arial"/>
          <w:sz w:val="24"/>
          <w:szCs w:val="24"/>
        </w:rPr>
        <w:t xml:space="preserve">Adv L </w:t>
      </w:r>
      <w:r w:rsidR="00D17303">
        <w:rPr>
          <w:rFonts w:ascii="Arial" w:hAnsi="Arial" w:cs="Arial"/>
          <w:sz w:val="24"/>
          <w:szCs w:val="24"/>
        </w:rPr>
        <w:t>Hollander</w:t>
      </w:r>
    </w:p>
    <w:p w14:paraId="43E6A47F" w14:textId="43492DBA" w:rsidR="00EE6350" w:rsidRPr="00084F14" w:rsidRDefault="00EE6350" w:rsidP="00EE6350">
      <w:pPr>
        <w:rPr>
          <w:rFonts w:ascii="Arial" w:hAnsi="Arial" w:cs="Arial"/>
          <w:sz w:val="24"/>
          <w:szCs w:val="24"/>
        </w:rPr>
      </w:pPr>
      <w:r w:rsidRPr="00084F14">
        <w:rPr>
          <w:rFonts w:ascii="Arial" w:hAnsi="Arial" w:cs="Arial"/>
          <w:sz w:val="24"/>
          <w:szCs w:val="24"/>
        </w:rPr>
        <w:t>Instructed by:</w:t>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A6095F">
        <w:rPr>
          <w:rFonts w:ascii="Arial" w:hAnsi="Arial" w:cs="Arial"/>
          <w:sz w:val="24"/>
          <w:szCs w:val="24"/>
        </w:rPr>
        <w:t>Alice Swanepoel Attorneys</w:t>
      </w:r>
    </w:p>
    <w:p w14:paraId="024168DE" w14:textId="77777777" w:rsidR="00EE6350" w:rsidRPr="00084F14" w:rsidRDefault="00EE6350" w:rsidP="00EE6350">
      <w:pPr>
        <w:rPr>
          <w:rFonts w:ascii="Arial" w:hAnsi="Arial" w:cs="Arial"/>
          <w:sz w:val="24"/>
          <w:szCs w:val="24"/>
        </w:rPr>
      </w:pPr>
    </w:p>
    <w:p w14:paraId="67EA6430" w14:textId="696C1D0C" w:rsidR="00EE6350" w:rsidRDefault="00EE6350" w:rsidP="00EE6350">
      <w:pPr>
        <w:rPr>
          <w:rFonts w:ascii="Arial" w:hAnsi="Arial" w:cs="Arial"/>
          <w:sz w:val="24"/>
          <w:szCs w:val="24"/>
        </w:rPr>
      </w:pPr>
      <w:r>
        <w:rPr>
          <w:rFonts w:ascii="Arial" w:hAnsi="Arial" w:cs="Arial"/>
          <w:sz w:val="24"/>
          <w:szCs w:val="24"/>
        </w:rPr>
        <w:t>Counsel for Second Respondent:</w:t>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A6095F">
        <w:rPr>
          <w:rFonts w:ascii="Arial" w:hAnsi="Arial" w:cs="Arial"/>
          <w:sz w:val="24"/>
          <w:szCs w:val="24"/>
        </w:rPr>
        <w:t xml:space="preserve">Adv A </w:t>
      </w:r>
      <w:r w:rsidR="00D17303">
        <w:rPr>
          <w:rFonts w:ascii="Arial" w:hAnsi="Arial" w:cs="Arial"/>
          <w:sz w:val="24"/>
          <w:szCs w:val="24"/>
        </w:rPr>
        <w:t>Bishop</w:t>
      </w:r>
    </w:p>
    <w:p w14:paraId="6A5F3511" w14:textId="73A34573" w:rsidR="00EE6350" w:rsidRDefault="00EE6350" w:rsidP="00EE6350">
      <w:pPr>
        <w:rPr>
          <w:rFonts w:ascii="Arial" w:hAnsi="Arial" w:cs="Arial"/>
          <w:sz w:val="24"/>
          <w:szCs w:val="24"/>
        </w:rPr>
      </w:pPr>
      <w:r>
        <w:rPr>
          <w:rFonts w:ascii="Arial" w:hAnsi="Arial" w:cs="Arial"/>
          <w:sz w:val="24"/>
          <w:szCs w:val="24"/>
        </w:rPr>
        <w:t>Instructed by:</w:t>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A6095F">
        <w:rPr>
          <w:rFonts w:ascii="Arial" w:hAnsi="Arial" w:cs="Arial"/>
          <w:sz w:val="24"/>
          <w:szCs w:val="24"/>
        </w:rPr>
        <w:t>Dewey McLean Levy Inc</w:t>
      </w:r>
    </w:p>
    <w:p w14:paraId="5B1A14BB" w14:textId="77777777" w:rsidR="00EE6350" w:rsidRDefault="00EE6350" w:rsidP="00EE6350">
      <w:pPr>
        <w:rPr>
          <w:rFonts w:ascii="Arial" w:hAnsi="Arial" w:cs="Arial"/>
          <w:sz w:val="24"/>
          <w:szCs w:val="24"/>
        </w:rPr>
      </w:pPr>
    </w:p>
    <w:p w14:paraId="75FC7485" w14:textId="59AC42CA" w:rsidR="00EE6350" w:rsidRPr="00084F14" w:rsidRDefault="00EE6350" w:rsidP="00EE6350">
      <w:pPr>
        <w:rPr>
          <w:rFonts w:ascii="Arial" w:hAnsi="Arial" w:cs="Arial"/>
          <w:sz w:val="24"/>
          <w:szCs w:val="24"/>
        </w:rPr>
      </w:pPr>
      <w:r w:rsidRPr="00084F14">
        <w:rPr>
          <w:rFonts w:ascii="Arial" w:hAnsi="Arial" w:cs="Arial"/>
          <w:sz w:val="24"/>
          <w:szCs w:val="24"/>
        </w:rPr>
        <w:t>Date of hearing:</w:t>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A6095F">
        <w:rPr>
          <w:rFonts w:ascii="Arial" w:hAnsi="Arial" w:cs="Arial"/>
          <w:sz w:val="24"/>
          <w:szCs w:val="24"/>
        </w:rPr>
        <w:t>18 May 2023</w:t>
      </w:r>
      <w:r>
        <w:rPr>
          <w:rFonts w:ascii="Arial" w:hAnsi="Arial" w:cs="Arial"/>
          <w:sz w:val="24"/>
          <w:szCs w:val="24"/>
        </w:rPr>
        <w:tab/>
      </w:r>
    </w:p>
    <w:p w14:paraId="710F0541" w14:textId="77777777" w:rsidR="00EE6350" w:rsidRDefault="00EE6350" w:rsidP="00EE6350">
      <w:pPr>
        <w:rPr>
          <w:rFonts w:ascii="Arial" w:hAnsi="Arial" w:cs="Arial"/>
          <w:sz w:val="24"/>
          <w:szCs w:val="24"/>
        </w:rPr>
      </w:pPr>
    </w:p>
    <w:p w14:paraId="68498107" w14:textId="174BA2D2" w:rsidR="00EE6350" w:rsidRPr="00084F14" w:rsidRDefault="00EE6350" w:rsidP="00EE6350">
      <w:pPr>
        <w:rPr>
          <w:rFonts w:ascii="Arial" w:hAnsi="Arial" w:cs="Arial"/>
          <w:sz w:val="24"/>
          <w:szCs w:val="24"/>
        </w:rPr>
      </w:pPr>
      <w:r w:rsidRPr="00084F14">
        <w:rPr>
          <w:rFonts w:ascii="Arial" w:hAnsi="Arial" w:cs="Arial"/>
          <w:sz w:val="24"/>
          <w:szCs w:val="24"/>
        </w:rPr>
        <w:t xml:space="preserve">Date of </w:t>
      </w:r>
      <w:r>
        <w:rPr>
          <w:rFonts w:ascii="Arial" w:hAnsi="Arial" w:cs="Arial"/>
          <w:sz w:val="24"/>
          <w:szCs w:val="24"/>
        </w:rPr>
        <w:t>j</w:t>
      </w:r>
      <w:r w:rsidRPr="00084F14">
        <w:rPr>
          <w:rFonts w:ascii="Arial" w:hAnsi="Arial" w:cs="Arial"/>
          <w:sz w:val="24"/>
          <w:szCs w:val="24"/>
        </w:rPr>
        <w:t>udgment:</w:t>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077AFD">
        <w:rPr>
          <w:rFonts w:ascii="Arial" w:hAnsi="Arial" w:cs="Arial"/>
          <w:sz w:val="24"/>
          <w:szCs w:val="24"/>
        </w:rPr>
        <w:tab/>
      </w:r>
      <w:r w:rsidR="00A6095F" w:rsidRPr="00A650A1">
        <w:rPr>
          <w:rFonts w:ascii="Arial" w:hAnsi="Arial" w:cs="Arial"/>
          <w:sz w:val="24"/>
          <w:szCs w:val="24"/>
        </w:rPr>
        <w:t>1</w:t>
      </w:r>
      <w:r w:rsidR="00A650A1">
        <w:rPr>
          <w:rFonts w:ascii="Arial" w:hAnsi="Arial" w:cs="Arial"/>
          <w:sz w:val="24"/>
          <w:szCs w:val="24"/>
        </w:rPr>
        <w:t>6</w:t>
      </w:r>
      <w:r w:rsidR="00A6095F" w:rsidRPr="00A650A1">
        <w:rPr>
          <w:rFonts w:ascii="Arial" w:hAnsi="Arial" w:cs="Arial"/>
          <w:sz w:val="24"/>
          <w:szCs w:val="24"/>
        </w:rPr>
        <w:t xml:space="preserve"> August 2023</w:t>
      </w:r>
    </w:p>
    <w:p w14:paraId="7C4620F5" w14:textId="77777777" w:rsidR="00EE6350" w:rsidRPr="00517E75" w:rsidRDefault="00EE6350" w:rsidP="00EE6350">
      <w:pPr>
        <w:spacing w:before="480" w:after="480" w:line="360" w:lineRule="auto"/>
        <w:rPr>
          <w:rFonts w:ascii="Arial" w:hAnsi="Arial" w:cs="Arial"/>
          <w:sz w:val="24"/>
          <w:szCs w:val="24"/>
        </w:rPr>
      </w:pPr>
    </w:p>
    <w:sectPr w:rsidR="00EE6350" w:rsidRPr="00517E75" w:rsidSect="00D80A9D">
      <w:headerReference w:type="default" r:id="rId9"/>
      <w:foot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B6D70" w14:textId="77777777" w:rsidR="00AF43DB" w:rsidRDefault="00AF43DB" w:rsidP="00514B49">
      <w:r>
        <w:separator/>
      </w:r>
    </w:p>
  </w:endnote>
  <w:endnote w:type="continuationSeparator" w:id="0">
    <w:p w14:paraId="65202D07" w14:textId="77777777" w:rsidR="00AF43DB" w:rsidRDefault="00AF43DB" w:rsidP="0051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01E0D" w14:textId="77777777" w:rsidR="00FF111A" w:rsidRPr="00A650A1" w:rsidRDefault="00FF111A">
    <w:pPr>
      <w:pStyle w:val="Footer"/>
      <w:jc w:val="right"/>
      <w:rPr>
        <w:rFonts w:ascii="Arial" w:hAnsi="Arial" w:cs="Arial"/>
        <w:sz w:val="24"/>
        <w:szCs w:val="24"/>
      </w:rPr>
    </w:pPr>
    <w:r w:rsidRPr="00A650A1">
      <w:rPr>
        <w:rFonts w:ascii="Arial" w:hAnsi="Arial" w:cs="Arial"/>
        <w:sz w:val="24"/>
        <w:szCs w:val="24"/>
      </w:rPr>
      <w:fldChar w:fldCharType="begin"/>
    </w:r>
    <w:r w:rsidRPr="00A650A1">
      <w:rPr>
        <w:rFonts w:ascii="Arial" w:hAnsi="Arial" w:cs="Arial"/>
        <w:sz w:val="24"/>
        <w:szCs w:val="24"/>
      </w:rPr>
      <w:instrText xml:space="preserve"> PAGE   \* MERGEFORMAT </w:instrText>
    </w:r>
    <w:r w:rsidRPr="00A650A1">
      <w:rPr>
        <w:rFonts w:ascii="Arial" w:hAnsi="Arial" w:cs="Arial"/>
        <w:sz w:val="24"/>
        <w:szCs w:val="24"/>
      </w:rPr>
      <w:fldChar w:fldCharType="separate"/>
    </w:r>
    <w:r w:rsidR="00170630">
      <w:rPr>
        <w:rFonts w:ascii="Arial" w:hAnsi="Arial" w:cs="Arial"/>
        <w:noProof/>
        <w:sz w:val="24"/>
        <w:szCs w:val="24"/>
      </w:rPr>
      <w:t>3</w:t>
    </w:r>
    <w:r w:rsidRPr="00A650A1">
      <w:rPr>
        <w:rFonts w:ascii="Arial" w:hAnsi="Arial" w:cs="Arial"/>
        <w:noProof/>
        <w:sz w:val="24"/>
        <w:szCs w:val="24"/>
      </w:rPr>
      <w:fldChar w:fldCharType="end"/>
    </w:r>
  </w:p>
  <w:p w14:paraId="13CD89F4" w14:textId="77777777" w:rsidR="00FF111A" w:rsidRPr="00A650A1" w:rsidRDefault="00FF111A">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238C1" w14:textId="77777777" w:rsidR="00AF43DB" w:rsidRDefault="00AF43DB" w:rsidP="00514B49">
      <w:r>
        <w:separator/>
      </w:r>
    </w:p>
  </w:footnote>
  <w:footnote w:type="continuationSeparator" w:id="0">
    <w:p w14:paraId="5DEE0661" w14:textId="77777777" w:rsidR="00AF43DB" w:rsidRDefault="00AF43DB" w:rsidP="00514B49">
      <w:r>
        <w:continuationSeparator/>
      </w:r>
    </w:p>
  </w:footnote>
  <w:footnote w:id="1">
    <w:p w14:paraId="507202AD" w14:textId="4BB20AA2" w:rsidR="00FF111A" w:rsidRPr="00DE1618" w:rsidRDefault="00FF111A">
      <w:pPr>
        <w:pStyle w:val="FootnoteText"/>
      </w:pPr>
      <w:r>
        <w:rPr>
          <w:rStyle w:val="FootnoteReference"/>
        </w:rPr>
        <w:footnoteRef/>
      </w:r>
      <w:r>
        <w:t xml:space="preserve"> </w:t>
      </w:r>
      <w:r w:rsidRPr="00DE1618">
        <w:t xml:space="preserve">This is evident from a company search attached to the founding affidavit as </w:t>
      </w:r>
      <w:r>
        <w:t xml:space="preserve">Annexure </w:t>
      </w:r>
      <w:r w:rsidRPr="00DE1618">
        <w:t>“SC1”.</w:t>
      </w:r>
    </w:p>
  </w:footnote>
  <w:footnote w:id="2">
    <w:p w14:paraId="41F2D754" w14:textId="53F9AAA8" w:rsidR="00FF111A" w:rsidRPr="00DE1618" w:rsidRDefault="00FF111A">
      <w:pPr>
        <w:pStyle w:val="FootnoteText"/>
      </w:pPr>
      <w:r w:rsidRPr="00DE1618">
        <w:rPr>
          <w:rStyle w:val="FootnoteReference"/>
        </w:rPr>
        <w:footnoteRef/>
      </w:r>
      <w:r w:rsidRPr="00DE1618">
        <w:t xml:space="preserve"> Answering affidavit</w:t>
      </w:r>
      <w:r>
        <w:t xml:space="preserve"> at </w:t>
      </w:r>
      <w:r w:rsidRPr="00DE1618">
        <w:t>para 35.</w:t>
      </w:r>
    </w:p>
  </w:footnote>
  <w:footnote w:id="3">
    <w:p w14:paraId="180DD74E" w14:textId="36538EB3" w:rsidR="00FF111A" w:rsidRPr="00DE1618" w:rsidRDefault="00FF111A">
      <w:pPr>
        <w:pStyle w:val="FootnoteText"/>
      </w:pPr>
      <w:r w:rsidRPr="00DE1618">
        <w:rPr>
          <w:rStyle w:val="FootnoteReference"/>
        </w:rPr>
        <w:footnoteRef/>
      </w:r>
      <w:r w:rsidRPr="00DE1618">
        <w:t xml:space="preserve"> Answering affidavit</w:t>
      </w:r>
      <w:r>
        <w:t xml:space="preserve"> at</w:t>
      </w:r>
      <w:r w:rsidRPr="00DE1618">
        <w:t xml:space="preserve"> para 49.</w:t>
      </w:r>
    </w:p>
  </w:footnote>
  <w:footnote w:id="4">
    <w:p w14:paraId="6FB32758" w14:textId="3E963860" w:rsidR="00FF111A" w:rsidRPr="00DE1618" w:rsidRDefault="00FF111A">
      <w:pPr>
        <w:pStyle w:val="FootnoteText"/>
      </w:pPr>
      <w:r w:rsidRPr="00DE1618">
        <w:rPr>
          <w:rStyle w:val="FootnoteReference"/>
        </w:rPr>
        <w:footnoteRef/>
      </w:r>
      <w:r w:rsidRPr="00DE1618">
        <w:t xml:space="preserve"> Annexures “KR4” to “KR12”. </w:t>
      </w:r>
    </w:p>
  </w:footnote>
  <w:footnote w:id="5">
    <w:p w14:paraId="603D6D26" w14:textId="23FDA26E" w:rsidR="00FF111A" w:rsidRPr="00DE1618" w:rsidRDefault="00FF111A">
      <w:pPr>
        <w:pStyle w:val="FootnoteText"/>
      </w:pPr>
      <w:r w:rsidRPr="00DE1618">
        <w:rPr>
          <w:rStyle w:val="FootnoteReference"/>
        </w:rPr>
        <w:footnoteRef/>
      </w:r>
      <w:r w:rsidRPr="00DE1618">
        <w:t xml:space="preserve"> Annexure “KR13”.</w:t>
      </w:r>
    </w:p>
  </w:footnote>
  <w:footnote w:id="6">
    <w:p w14:paraId="6A29745B" w14:textId="544D0A7C" w:rsidR="00FF111A" w:rsidRPr="00DE1618" w:rsidRDefault="00FF111A">
      <w:pPr>
        <w:pStyle w:val="FootnoteText"/>
      </w:pPr>
      <w:r w:rsidRPr="00DE1618">
        <w:rPr>
          <w:rStyle w:val="FootnoteReference"/>
        </w:rPr>
        <w:footnoteRef/>
      </w:r>
      <w:r w:rsidRPr="00DE1618">
        <w:t xml:space="preserve"> “KR15” to “KR18”.</w:t>
      </w:r>
    </w:p>
  </w:footnote>
  <w:footnote w:id="7">
    <w:p w14:paraId="2007AF8B" w14:textId="608A4DA0" w:rsidR="00FF111A" w:rsidRPr="00DE1618" w:rsidRDefault="00FF111A">
      <w:pPr>
        <w:pStyle w:val="FootnoteText"/>
      </w:pPr>
      <w:r w:rsidRPr="00DE1618">
        <w:rPr>
          <w:rStyle w:val="FootnoteReference"/>
        </w:rPr>
        <w:footnoteRef/>
      </w:r>
      <w:r w:rsidRPr="00DE1618">
        <w:t xml:space="preserve"> </w:t>
      </w:r>
      <w:r>
        <w:t>Answering affidavit at p</w:t>
      </w:r>
      <w:r w:rsidRPr="00DE1618">
        <w:t>ara</w:t>
      </w:r>
      <w:r>
        <w:t>s</w:t>
      </w:r>
      <w:r w:rsidRPr="00DE1618">
        <w:t xml:space="preserve"> 77</w:t>
      </w:r>
      <w:r>
        <w:t>-</w:t>
      </w:r>
      <w:r w:rsidRPr="00DE1618">
        <w:t>78.</w:t>
      </w:r>
    </w:p>
  </w:footnote>
  <w:footnote w:id="8">
    <w:p w14:paraId="4DE687CB" w14:textId="34D0DA4D" w:rsidR="00FF111A" w:rsidRPr="00DE1618" w:rsidRDefault="00FF111A" w:rsidP="006849BE">
      <w:pPr>
        <w:pStyle w:val="FootnoteText"/>
      </w:pPr>
      <w:r w:rsidRPr="00DE1618">
        <w:rPr>
          <w:rStyle w:val="FootnoteReference"/>
        </w:rPr>
        <w:footnoteRef/>
      </w:r>
      <w:r w:rsidRPr="00DE1618">
        <w:t xml:space="preserve"> </w:t>
      </w:r>
      <w:r>
        <w:t xml:space="preserve">[2020] ZASCA 74; </w:t>
      </w:r>
      <w:r w:rsidRPr="00DE1618">
        <w:t>2020 JDR 1279 (SCA).</w:t>
      </w:r>
    </w:p>
  </w:footnote>
  <w:footnote w:id="9">
    <w:p w14:paraId="4E50320E" w14:textId="61567658" w:rsidR="00FF111A" w:rsidRPr="00334A0F" w:rsidRDefault="00FF111A" w:rsidP="006849BE">
      <w:pPr>
        <w:pStyle w:val="FootnoteText"/>
      </w:pPr>
      <w:r>
        <w:rPr>
          <w:rStyle w:val="FootnoteReference"/>
        </w:rPr>
        <w:footnoteRef/>
      </w:r>
      <w:r>
        <w:t xml:space="preserve"> </w:t>
      </w:r>
      <w:r>
        <w:rPr>
          <w:i/>
          <w:iCs/>
        </w:rPr>
        <w:t>Ganes</w:t>
      </w:r>
      <w:r w:rsidRPr="005C6747">
        <w:rPr>
          <w:rFonts w:cs="Arial"/>
          <w:bCs/>
          <w:i/>
          <w:iCs/>
        </w:rPr>
        <w:t xml:space="preserve"> and Another v Telecom Namibia Ltd</w:t>
      </w:r>
      <w:r>
        <w:t xml:space="preserve"> [2003] ZASCA 123; </w:t>
      </w:r>
      <w:r w:rsidRPr="00DE1618">
        <w:rPr>
          <w:bCs/>
        </w:rPr>
        <w:t>2004 (3) SA 615 (SCA)</w:t>
      </w:r>
      <w:r>
        <w:rPr>
          <w:bCs/>
        </w:rPr>
        <w:t xml:space="preserve"> </w:t>
      </w:r>
      <w:r>
        <w:t>at para 19.</w:t>
      </w:r>
    </w:p>
  </w:footnote>
  <w:footnote w:id="10">
    <w:p w14:paraId="16C15BBC" w14:textId="1F78C509" w:rsidR="00FF111A" w:rsidRPr="00DE1618" w:rsidRDefault="00FF111A" w:rsidP="007E22B7">
      <w:pPr>
        <w:pStyle w:val="FootnoteText"/>
      </w:pPr>
      <w:r w:rsidRPr="00DE1618">
        <w:rPr>
          <w:rStyle w:val="FootnoteReference"/>
        </w:rPr>
        <w:footnoteRef/>
      </w:r>
      <w:r w:rsidRPr="00DE1618">
        <w:t xml:space="preserve"> </w:t>
      </w:r>
      <w:r>
        <w:t>Id.</w:t>
      </w:r>
    </w:p>
  </w:footnote>
  <w:footnote w:id="11">
    <w:p w14:paraId="177EA55C" w14:textId="55BCA7CB" w:rsidR="00FF111A" w:rsidRPr="00DE1618" w:rsidRDefault="00FF111A" w:rsidP="00C850AF">
      <w:pPr>
        <w:pStyle w:val="FootnoteText"/>
        <w:ind w:left="142" w:hanging="156"/>
        <w:rPr>
          <w:lang w:val="en-US"/>
        </w:rPr>
      </w:pPr>
      <w:r w:rsidRPr="00DE1618">
        <w:rPr>
          <w:rStyle w:val="FootnoteReference"/>
        </w:rPr>
        <w:footnoteRef/>
      </w:r>
      <w:r w:rsidRPr="00DE1618">
        <w:t xml:space="preserve"> </w:t>
      </w:r>
      <w:bookmarkStart w:id="2" w:name="_Hlk7613589"/>
      <w:r>
        <w:t xml:space="preserve">[2005] ZASCA 7; </w:t>
      </w:r>
      <w:r w:rsidRPr="00DE1618">
        <w:t>2005 (4) SA 199 (SCA)</w:t>
      </w:r>
      <w:bookmarkEnd w:id="2"/>
      <w:r w:rsidRPr="00DE1618">
        <w:t xml:space="preserve"> at para 16.</w:t>
      </w:r>
    </w:p>
  </w:footnote>
  <w:footnote w:id="12">
    <w:p w14:paraId="3C4D3E19" w14:textId="417E0484" w:rsidR="00FF111A" w:rsidRPr="00DE1618" w:rsidRDefault="00FF111A">
      <w:pPr>
        <w:pStyle w:val="FootnoteText"/>
      </w:pPr>
      <w:r w:rsidRPr="00DE1618">
        <w:rPr>
          <w:rStyle w:val="FootnoteReference"/>
        </w:rPr>
        <w:footnoteRef/>
      </w:r>
      <w:r w:rsidRPr="00DE1618">
        <w:t xml:space="preserve"> 1992 (2) SA 703 (W)</w:t>
      </w:r>
      <w:r>
        <w:t xml:space="preserve"> at </w:t>
      </w:r>
      <w:r w:rsidRPr="00DE1618">
        <w:t>705C-H.</w:t>
      </w:r>
    </w:p>
  </w:footnote>
  <w:footnote w:id="13">
    <w:p w14:paraId="44FAC1F6" w14:textId="1A8019C4" w:rsidR="00FF111A" w:rsidRPr="00DE1618" w:rsidRDefault="00FF111A">
      <w:pPr>
        <w:pStyle w:val="FootnoteText"/>
      </w:pPr>
      <w:r w:rsidRPr="00DE1618">
        <w:rPr>
          <w:rStyle w:val="FootnoteReference"/>
        </w:rPr>
        <w:footnoteRef/>
      </w:r>
      <w:r w:rsidRPr="00DE1618">
        <w:t xml:space="preserve"> </w:t>
      </w:r>
      <w:bookmarkStart w:id="3" w:name="_Hlk132016454"/>
      <w:r w:rsidRPr="00DE1618">
        <w:t xml:space="preserve">1974 (3) SA 13 (A) </w:t>
      </w:r>
      <w:bookmarkEnd w:id="3"/>
      <w:r>
        <w:t xml:space="preserve">at </w:t>
      </w:r>
      <w:r w:rsidRPr="00DE1618">
        <w:t>20B-G.</w:t>
      </w:r>
    </w:p>
  </w:footnote>
  <w:footnote w:id="14">
    <w:p w14:paraId="447B6EE3" w14:textId="14D1DB51" w:rsidR="00FF111A" w:rsidRPr="00DE1618" w:rsidRDefault="00FF111A">
      <w:pPr>
        <w:pStyle w:val="FootnoteText"/>
      </w:pPr>
      <w:r w:rsidRPr="00DE1618">
        <w:rPr>
          <w:rStyle w:val="FootnoteReference"/>
        </w:rPr>
        <w:footnoteRef/>
      </w:r>
      <w:r w:rsidRPr="00DE1618">
        <w:t xml:space="preserve"> </w:t>
      </w:r>
      <w:r>
        <w:rPr>
          <w:i/>
          <w:iCs/>
        </w:rPr>
        <w:t xml:space="preserve">Gien v Gien </w:t>
      </w:r>
      <w:r w:rsidRPr="00DE1618">
        <w:t xml:space="preserve">1979 (2) SA 1113 (T) </w:t>
      </w:r>
      <w:r>
        <w:t xml:space="preserve">at </w:t>
      </w:r>
      <w:r w:rsidRPr="00DE1618">
        <w:t>1120C.</w:t>
      </w:r>
    </w:p>
  </w:footnote>
  <w:footnote w:id="15">
    <w:p w14:paraId="3B3B51BA" w14:textId="4E170FFB" w:rsidR="00FF111A" w:rsidRPr="00DE1618" w:rsidRDefault="00FF111A">
      <w:pPr>
        <w:pStyle w:val="FootnoteText"/>
      </w:pPr>
      <w:r w:rsidRPr="00DE1618">
        <w:rPr>
          <w:rStyle w:val="FootnoteReference"/>
        </w:rPr>
        <w:footnoteRef/>
      </w:r>
      <w:r w:rsidRPr="00DE1618">
        <w:t xml:space="preserve"> </w:t>
      </w:r>
      <w:r>
        <w:t>[2018] ZAFSHC at para 4</w:t>
      </w:r>
      <w:r w:rsidRPr="00DE1618">
        <w:t>.</w:t>
      </w:r>
    </w:p>
  </w:footnote>
  <w:footnote w:id="16">
    <w:p w14:paraId="26FC31EA" w14:textId="7FEA68FB" w:rsidR="00FF111A" w:rsidRPr="00DE1618" w:rsidRDefault="00FF111A">
      <w:pPr>
        <w:pStyle w:val="FootnoteText"/>
      </w:pPr>
      <w:r w:rsidRPr="00DE1618">
        <w:rPr>
          <w:rStyle w:val="FootnoteReference"/>
        </w:rPr>
        <w:footnoteRef/>
      </w:r>
      <w:r w:rsidRPr="00DE1618">
        <w:t xml:space="preserve"> Answering affidavit</w:t>
      </w:r>
      <w:r>
        <w:t xml:space="preserve"> at</w:t>
      </w:r>
      <w:r w:rsidRPr="00DE1618">
        <w:t xml:space="preserve"> para 31</w:t>
      </w:r>
      <w:r>
        <w:t>.</w:t>
      </w:r>
    </w:p>
  </w:footnote>
  <w:footnote w:id="17">
    <w:p w14:paraId="4C8B458D" w14:textId="1313D5FF" w:rsidR="00FF111A" w:rsidRPr="00DE1618" w:rsidRDefault="00FF111A">
      <w:pPr>
        <w:pStyle w:val="FootnoteText"/>
      </w:pPr>
      <w:r w:rsidRPr="00DE1618">
        <w:rPr>
          <w:rStyle w:val="FootnoteReference"/>
        </w:rPr>
        <w:footnoteRef/>
      </w:r>
      <w:r w:rsidRPr="00DE1618">
        <w:t xml:space="preserve"> Answering affidavit</w:t>
      </w:r>
      <w:r>
        <w:t xml:space="preserve"> at </w:t>
      </w:r>
      <w:r w:rsidRPr="00DE1618">
        <w:t>para 47.</w:t>
      </w:r>
    </w:p>
  </w:footnote>
  <w:footnote w:id="18">
    <w:p w14:paraId="1C30D42A" w14:textId="7B05596C" w:rsidR="00FF111A" w:rsidRPr="00DE1618" w:rsidRDefault="00FF111A">
      <w:pPr>
        <w:pStyle w:val="FootnoteText"/>
      </w:pPr>
      <w:r w:rsidRPr="00DE1618">
        <w:rPr>
          <w:rStyle w:val="FootnoteReference"/>
        </w:rPr>
        <w:footnoteRef/>
      </w:r>
      <w:r w:rsidRPr="00DE1618">
        <w:t xml:space="preserve"> </w:t>
      </w:r>
      <w:r>
        <w:t xml:space="preserve">[2011] ZASCA 31; </w:t>
      </w:r>
      <w:r w:rsidRPr="00DE1618">
        <w:t>2012 (3) SA 1 (SCA) para 25.</w:t>
      </w:r>
    </w:p>
  </w:footnote>
  <w:footnote w:id="19">
    <w:p w14:paraId="7763AA92" w14:textId="379CF0D6" w:rsidR="00FF111A" w:rsidRPr="00DE1618" w:rsidRDefault="00FF111A">
      <w:pPr>
        <w:pStyle w:val="FootnoteText"/>
      </w:pPr>
      <w:r w:rsidRPr="00DE1618">
        <w:rPr>
          <w:rStyle w:val="FootnoteReference"/>
        </w:rPr>
        <w:footnoteRef/>
      </w:r>
      <w:r w:rsidRPr="00DE1618">
        <w:t xml:space="preserve"> Second respondent’s heads of argument</w:t>
      </w:r>
      <w:r>
        <w:t xml:space="preserve"> at </w:t>
      </w:r>
      <w:r w:rsidRPr="00DE1618">
        <w:t>para 82.5.</w:t>
      </w:r>
    </w:p>
  </w:footnote>
  <w:footnote w:id="20">
    <w:p w14:paraId="086AAA56" w14:textId="3B4665BE" w:rsidR="00FF111A" w:rsidRPr="00DE1618" w:rsidRDefault="00FF111A">
      <w:pPr>
        <w:pStyle w:val="FootnoteText"/>
      </w:pPr>
      <w:r w:rsidRPr="00DE1618">
        <w:rPr>
          <w:rStyle w:val="FootnoteReference"/>
        </w:rPr>
        <w:footnoteRef/>
      </w:r>
      <w:r w:rsidRPr="00DE1618">
        <w:t xml:space="preserve"> Answering affidavit</w:t>
      </w:r>
      <w:r>
        <w:t xml:space="preserve"> at </w:t>
      </w:r>
      <w:r w:rsidRPr="00DE1618">
        <w:t>para 9.</w:t>
      </w:r>
    </w:p>
  </w:footnote>
  <w:footnote w:id="21">
    <w:p w14:paraId="2EECF262" w14:textId="16BA0630" w:rsidR="00FF111A" w:rsidRPr="00DE1618" w:rsidRDefault="00FF111A" w:rsidP="00A7331C">
      <w:pPr>
        <w:pStyle w:val="FootnoteText"/>
        <w:ind w:left="567" w:hanging="567"/>
      </w:pPr>
      <w:r w:rsidRPr="00DE1618">
        <w:rPr>
          <w:rStyle w:val="FootnoteReference"/>
        </w:rPr>
        <w:footnoteRef/>
      </w:r>
      <w:r w:rsidRPr="00DE1618">
        <w:t xml:space="preserve"> Annexures “P3” and “P4” to the particulars of claim which is annexure “KR1” to the answering affidavit.</w:t>
      </w:r>
    </w:p>
  </w:footnote>
  <w:footnote w:id="22">
    <w:p w14:paraId="00620E22" w14:textId="10259102" w:rsidR="00FF111A" w:rsidRPr="00DE1618" w:rsidRDefault="00FF111A">
      <w:pPr>
        <w:pStyle w:val="FootnoteText"/>
      </w:pPr>
      <w:r w:rsidRPr="00DE1618">
        <w:rPr>
          <w:rStyle w:val="FootnoteReference"/>
        </w:rPr>
        <w:footnoteRef/>
      </w:r>
      <w:r w:rsidRPr="00DE1618">
        <w:t xml:space="preserve"> Particulars of claim</w:t>
      </w:r>
      <w:r>
        <w:t xml:space="preserve"> at</w:t>
      </w:r>
      <w:r w:rsidRPr="00DE1618">
        <w:t xml:space="preserve"> para 41.</w:t>
      </w:r>
    </w:p>
  </w:footnote>
  <w:footnote w:id="23">
    <w:p w14:paraId="55A124E8" w14:textId="7559758F" w:rsidR="00FF111A" w:rsidRPr="00DE1618" w:rsidRDefault="00FF111A">
      <w:pPr>
        <w:pStyle w:val="FootnoteText"/>
      </w:pPr>
      <w:r w:rsidRPr="00DE1618">
        <w:rPr>
          <w:rStyle w:val="FootnoteReference"/>
        </w:rPr>
        <w:footnoteRef/>
      </w:r>
      <w:r w:rsidRPr="00DE1618">
        <w:t xml:space="preserve"> Particulars of claim</w:t>
      </w:r>
      <w:r>
        <w:t xml:space="preserve"> at</w:t>
      </w:r>
      <w:r w:rsidRPr="00DE1618">
        <w:t xml:space="preserve"> para 42.</w:t>
      </w:r>
    </w:p>
  </w:footnote>
  <w:footnote w:id="24">
    <w:p w14:paraId="6D2D3E1F" w14:textId="0C753DB2" w:rsidR="00FF111A" w:rsidRPr="00DE1618" w:rsidRDefault="00FF111A">
      <w:pPr>
        <w:pStyle w:val="FootnoteText"/>
      </w:pPr>
      <w:r w:rsidRPr="00DE1618">
        <w:rPr>
          <w:rStyle w:val="FootnoteReference"/>
        </w:rPr>
        <w:footnoteRef/>
      </w:r>
      <w:r w:rsidRPr="00DE1618">
        <w:t xml:space="preserve"> Particulars of claim</w:t>
      </w:r>
      <w:r>
        <w:t xml:space="preserve"> at </w:t>
      </w:r>
      <w:r w:rsidRPr="00DE1618">
        <w:t>para 46.2.</w:t>
      </w:r>
    </w:p>
  </w:footnote>
  <w:footnote w:id="25">
    <w:p w14:paraId="44672106" w14:textId="08CC8206" w:rsidR="00FF111A" w:rsidRPr="00DE1618" w:rsidRDefault="00FF111A">
      <w:pPr>
        <w:pStyle w:val="FootnoteText"/>
      </w:pPr>
      <w:r w:rsidRPr="00DE1618">
        <w:rPr>
          <w:rStyle w:val="FootnoteReference"/>
        </w:rPr>
        <w:footnoteRef/>
      </w:r>
      <w:r w:rsidRPr="00DE1618">
        <w:t xml:space="preserve"> </w:t>
      </w:r>
      <w:r w:rsidRPr="00DE1618">
        <w:rPr>
          <w:i/>
          <w:iCs/>
        </w:rPr>
        <w:t xml:space="preserve">McDonald v Young </w:t>
      </w:r>
      <w:r>
        <w:t xml:space="preserve">[2011] ZASCA 31; </w:t>
      </w:r>
      <w:r w:rsidRPr="00DE1618">
        <w:t>2012 (3) SA 1 (SCA)</w:t>
      </w:r>
      <w:r>
        <w:t xml:space="preserve"> at</w:t>
      </w:r>
      <w:r w:rsidRPr="00DE1618">
        <w:t xml:space="preserve"> para 23.</w:t>
      </w:r>
    </w:p>
  </w:footnote>
  <w:footnote w:id="26">
    <w:p w14:paraId="67BD2440" w14:textId="28A4E80A" w:rsidR="00FF111A" w:rsidRPr="00DE1618" w:rsidRDefault="00FF111A">
      <w:pPr>
        <w:pStyle w:val="FootnoteText"/>
      </w:pPr>
      <w:r w:rsidRPr="00DE1618">
        <w:rPr>
          <w:rStyle w:val="FootnoteReference"/>
        </w:rPr>
        <w:footnoteRef/>
      </w:r>
      <w:r w:rsidRPr="00DE1618">
        <w:t xml:space="preserve"> Annexures “KR4” to “KR12” to the answering affidavit.</w:t>
      </w:r>
    </w:p>
  </w:footnote>
  <w:footnote w:id="27">
    <w:p w14:paraId="6B95A31D" w14:textId="59668286" w:rsidR="00FF111A" w:rsidRPr="00DE1618" w:rsidRDefault="00FF111A">
      <w:pPr>
        <w:pStyle w:val="FootnoteText"/>
      </w:pPr>
      <w:r w:rsidRPr="00DE1618">
        <w:rPr>
          <w:rStyle w:val="FootnoteReference"/>
        </w:rPr>
        <w:footnoteRef/>
      </w:r>
      <w:r w:rsidRPr="00DE1618">
        <w:t xml:space="preserve"> Annexure “KR13” to the answering affidavit.</w:t>
      </w:r>
    </w:p>
  </w:footnote>
  <w:footnote w:id="28">
    <w:p w14:paraId="1DD4F69C" w14:textId="4CAA460A" w:rsidR="00FF111A" w:rsidRPr="00DE1618" w:rsidRDefault="00FF111A">
      <w:pPr>
        <w:pStyle w:val="FootnoteText"/>
      </w:pPr>
      <w:r w:rsidRPr="00DE1618">
        <w:rPr>
          <w:rStyle w:val="FootnoteReference"/>
        </w:rPr>
        <w:footnoteRef/>
      </w:r>
      <w:r w:rsidRPr="00DE1618">
        <w:t xml:space="preserve"> Annexures “KR15” to “KR18” to the answering affidavit.</w:t>
      </w:r>
    </w:p>
  </w:footnote>
  <w:footnote w:id="29">
    <w:p w14:paraId="5A094C78" w14:textId="7A3A5E16" w:rsidR="00FF111A" w:rsidRPr="00DE1618" w:rsidRDefault="00FF111A">
      <w:pPr>
        <w:pStyle w:val="FootnoteText"/>
      </w:pPr>
      <w:r w:rsidRPr="00DE1618">
        <w:rPr>
          <w:rStyle w:val="FootnoteReference"/>
        </w:rPr>
        <w:footnoteRef/>
      </w:r>
      <w:r w:rsidRPr="00DE1618">
        <w:t xml:space="preserve"> </w:t>
      </w:r>
      <w:r>
        <w:t>CaseLines at 034-</w:t>
      </w:r>
      <w:r w:rsidR="00E70A46">
        <w:t>2 onwards</w:t>
      </w:r>
      <w:r w:rsidRPr="00DE1618">
        <w:t>.</w:t>
      </w:r>
    </w:p>
  </w:footnote>
  <w:footnote w:id="30">
    <w:p w14:paraId="3278338C" w14:textId="2C385DAA" w:rsidR="00FF111A" w:rsidRPr="00DE1618" w:rsidRDefault="00FF111A" w:rsidP="009A4F24">
      <w:pPr>
        <w:pStyle w:val="FootnoteText"/>
      </w:pPr>
      <w:r w:rsidRPr="00DE1618">
        <w:rPr>
          <w:rStyle w:val="FootnoteReference"/>
        </w:rPr>
        <w:footnoteRef/>
      </w:r>
      <w:r w:rsidRPr="00DE1618">
        <w:t xml:space="preserve"> </w:t>
      </w:r>
      <w:r>
        <w:t xml:space="preserve">[2008] ZASCA 6; </w:t>
      </w:r>
      <w:r w:rsidRPr="00DE1618">
        <w:t>2008 (3) SA 371 (SCA) at para 13</w:t>
      </w:r>
      <w:r>
        <w:t>.</w:t>
      </w:r>
    </w:p>
  </w:footnote>
  <w:footnote w:id="31">
    <w:p w14:paraId="485E4E83" w14:textId="096E1D5A" w:rsidR="00FF111A" w:rsidRDefault="00FF111A" w:rsidP="009A4F24">
      <w:pPr>
        <w:pStyle w:val="FootnoteText"/>
      </w:pPr>
      <w:r w:rsidRPr="00DE1618">
        <w:rPr>
          <w:rStyle w:val="FootnoteReference"/>
        </w:rPr>
        <w:footnoteRef/>
      </w:r>
      <w:r w:rsidRPr="00DE1618">
        <w:t xml:space="preserve"> </w:t>
      </w:r>
      <w:r>
        <w:t xml:space="preserve">[2003] ZASCA 11; </w:t>
      </w:r>
      <w:r w:rsidRPr="00DE1618">
        <w:t>2003 (4) SA 42 (SCA) at para</w:t>
      </w:r>
      <w:r>
        <w:t>s</w:t>
      </w:r>
      <w:r w:rsidRPr="00DE1618">
        <w:t xml:space="preserve"> 23</w:t>
      </w:r>
      <w:r>
        <w:t>-</w:t>
      </w:r>
      <w:r w:rsidRPr="00DE1618">
        <w:t>24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04088" w14:textId="77777777" w:rsidR="00FF111A" w:rsidRDefault="00FF1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D8A"/>
    <w:multiLevelType w:val="hybridMultilevel"/>
    <w:tmpl w:val="FFDA1372"/>
    <w:lvl w:ilvl="0" w:tplc="05EEBCB4">
      <w:start w:val="1"/>
      <w:numFmt w:val="lowerRoman"/>
      <w:lvlText w:val="(%1)"/>
      <w:lvlJc w:val="left"/>
      <w:pPr>
        <w:ind w:left="1412" w:hanging="720"/>
      </w:pPr>
      <w:rPr>
        <w:rFonts w:hint="default"/>
      </w:rPr>
    </w:lvl>
    <w:lvl w:ilvl="1" w:tplc="08090019" w:tentative="1">
      <w:start w:val="1"/>
      <w:numFmt w:val="lowerLetter"/>
      <w:lvlText w:val="%2."/>
      <w:lvlJc w:val="left"/>
      <w:pPr>
        <w:ind w:left="1772" w:hanging="360"/>
      </w:pPr>
    </w:lvl>
    <w:lvl w:ilvl="2" w:tplc="0809001B" w:tentative="1">
      <w:start w:val="1"/>
      <w:numFmt w:val="lowerRoman"/>
      <w:lvlText w:val="%3."/>
      <w:lvlJc w:val="right"/>
      <w:pPr>
        <w:ind w:left="2492" w:hanging="180"/>
      </w:pPr>
    </w:lvl>
    <w:lvl w:ilvl="3" w:tplc="0809000F" w:tentative="1">
      <w:start w:val="1"/>
      <w:numFmt w:val="decimal"/>
      <w:lvlText w:val="%4."/>
      <w:lvlJc w:val="left"/>
      <w:pPr>
        <w:ind w:left="3212" w:hanging="360"/>
      </w:pPr>
    </w:lvl>
    <w:lvl w:ilvl="4" w:tplc="08090019" w:tentative="1">
      <w:start w:val="1"/>
      <w:numFmt w:val="lowerLetter"/>
      <w:lvlText w:val="%5."/>
      <w:lvlJc w:val="left"/>
      <w:pPr>
        <w:ind w:left="3932" w:hanging="360"/>
      </w:pPr>
    </w:lvl>
    <w:lvl w:ilvl="5" w:tplc="0809001B" w:tentative="1">
      <w:start w:val="1"/>
      <w:numFmt w:val="lowerRoman"/>
      <w:lvlText w:val="%6."/>
      <w:lvlJc w:val="right"/>
      <w:pPr>
        <w:ind w:left="4652" w:hanging="180"/>
      </w:pPr>
    </w:lvl>
    <w:lvl w:ilvl="6" w:tplc="0809000F" w:tentative="1">
      <w:start w:val="1"/>
      <w:numFmt w:val="decimal"/>
      <w:lvlText w:val="%7."/>
      <w:lvlJc w:val="left"/>
      <w:pPr>
        <w:ind w:left="5372" w:hanging="360"/>
      </w:pPr>
    </w:lvl>
    <w:lvl w:ilvl="7" w:tplc="08090019" w:tentative="1">
      <w:start w:val="1"/>
      <w:numFmt w:val="lowerLetter"/>
      <w:lvlText w:val="%8."/>
      <w:lvlJc w:val="left"/>
      <w:pPr>
        <w:ind w:left="6092" w:hanging="360"/>
      </w:pPr>
    </w:lvl>
    <w:lvl w:ilvl="8" w:tplc="0809001B" w:tentative="1">
      <w:start w:val="1"/>
      <w:numFmt w:val="lowerRoman"/>
      <w:lvlText w:val="%9."/>
      <w:lvlJc w:val="right"/>
      <w:pPr>
        <w:ind w:left="6812"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40B1CED"/>
    <w:multiLevelType w:val="multilevel"/>
    <w:tmpl w:val="DD9EB79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4C3444"/>
    <w:multiLevelType w:val="multilevel"/>
    <w:tmpl w:val="9C22415E"/>
    <w:lvl w:ilvl="0">
      <w:start w:val="1"/>
      <w:numFmt w:val="decimal"/>
      <w:lvlText w:val="%1."/>
      <w:lvlJc w:val="left"/>
      <w:pPr>
        <w:tabs>
          <w:tab w:val="num" w:pos="862"/>
        </w:tabs>
        <w:ind w:left="862" w:hanging="862"/>
      </w:pPr>
    </w:lvl>
    <w:lvl w:ilvl="1">
      <w:start w:val="1"/>
      <w:numFmt w:val="decimal"/>
      <w:lvlText w:val="%1.%2"/>
      <w:lvlJc w:val="left"/>
      <w:pPr>
        <w:tabs>
          <w:tab w:val="num" w:pos="1871"/>
        </w:tabs>
        <w:ind w:left="1871" w:hanging="1009"/>
      </w:pPr>
    </w:lvl>
    <w:lvl w:ilvl="2">
      <w:start w:val="1"/>
      <w:numFmt w:val="decimal"/>
      <w:lvlText w:val="%1.%2.%3"/>
      <w:lvlJc w:val="left"/>
      <w:pPr>
        <w:tabs>
          <w:tab w:val="num" w:pos="3022"/>
        </w:tabs>
        <w:ind w:left="3022" w:hanging="1151"/>
      </w:pPr>
    </w:lvl>
    <w:lvl w:ilvl="3">
      <w:start w:val="1"/>
      <w:numFmt w:val="decimal"/>
      <w:lvlText w:val="%1.%2.%3.%4"/>
      <w:lvlJc w:val="left"/>
      <w:pPr>
        <w:tabs>
          <w:tab w:val="num" w:pos="4321"/>
        </w:tabs>
        <w:ind w:left="4321" w:hanging="1299"/>
      </w:pPr>
    </w:lvl>
    <w:lvl w:ilvl="4">
      <w:start w:val="1"/>
      <w:numFmt w:val="decimal"/>
      <w:lvlText w:val="%1.%2.%3.%4.%5"/>
      <w:lvlJc w:val="left"/>
      <w:pPr>
        <w:tabs>
          <w:tab w:val="num" w:pos="5761"/>
        </w:tabs>
        <w:ind w:left="5761" w:hanging="1440"/>
      </w:pPr>
    </w:lvl>
    <w:lvl w:ilvl="5">
      <w:start w:val="1"/>
      <w:numFmt w:val="decimal"/>
      <w:lvlText w:val="%1.%2.%3.%4.%5.%6."/>
      <w:lvlJc w:val="left"/>
      <w:pPr>
        <w:tabs>
          <w:tab w:val="num" w:pos="7343"/>
        </w:tabs>
        <w:ind w:left="7343" w:hanging="1582"/>
      </w:pPr>
    </w:lvl>
    <w:lvl w:ilvl="6">
      <w:start w:val="1"/>
      <w:numFmt w:val="decimal"/>
      <w:lvlText w:val="%1.%2.%3.%4.%5.%6.%7."/>
      <w:lvlJc w:val="left"/>
      <w:pPr>
        <w:tabs>
          <w:tab w:val="num" w:pos="9072"/>
        </w:tabs>
        <w:ind w:left="9072" w:hanging="1729"/>
      </w:pPr>
    </w:lvl>
    <w:lvl w:ilvl="7">
      <w:start w:val="1"/>
      <w:numFmt w:val="decimal"/>
      <w:lvlText w:val="%1.%2.%3.%4.%5.%6.%7.%8."/>
      <w:lvlJc w:val="left"/>
      <w:pPr>
        <w:tabs>
          <w:tab w:val="num" w:pos="11232"/>
        </w:tabs>
        <w:ind w:left="10801" w:hanging="1729"/>
      </w:pPr>
    </w:lvl>
    <w:lvl w:ilvl="8">
      <w:start w:val="1"/>
      <w:numFmt w:val="decimal"/>
      <w:lvlText w:val="%1.%2.%3.%4.%5.%6.%7.%8.%9."/>
      <w:lvlJc w:val="left"/>
      <w:pPr>
        <w:tabs>
          <w:tab w:val="num" w:pos="12961"/>
        </w:tabs>
        <w:ind w:left="12531" w:hanging="1730"/>
      </w:pPr>
    </w:lvl>
  </w:abstractNum>
  <w:abstractNum w:abstractNumId="4">
    <w:nsid w:val="16143C46"/>
    <w:multiLevelType w:val="multilevel"/>
    <w:tmpl w:val="791ED2E0"/>
    <w:lvl w:ilvl="0">
      <w:start w:val="1"/>
      <w:numFmt w:val="decimal"/>
      <w:pStyle w:val="WerksmansStyle1"/>
      <w:lvlText w:val="%1"/>
      <w:lvlJc w:val="left"/>
      <w:pPr>
        <w:tabs>
          <w:tab w:val="num" w:pos="720"/>
        </w:tabs>
        <w:ind w:left="720" w:hanging="720"/>
      </w:pPr>
      <w:rPr>
        <w:rFonts w:ascii="Arial" w:hAnsi="Arial" w:hint="default"/>
        <w:b w:val="0"/>
        <w:sz w:val="24"/>
        <w:szCs w:val="24"/>
      </w:rPr>
    </w:lvl>
    <w:lvl w:ilvl="1">
      <w:start w:val="1"/>
      <w:numFmt w:val="decimal"/>
      <w:pStyle w:val="WerksmansStyle2"/>
      <w:lvlText w:val="%1.%2"/>
      <w:lvlJc w:val="left"/>
      <w:pPr>
        <w:tabs>
          <w:tab w:val="num" w:pos="1440"/>
        </w:tabs>
        <w:ind w:left="1440" w:hanging="1440"/>
      </w:pPr>
      <w:rPr>
        <w:rFonts w:ascii="Arial" w:hAnsi="Arial" w:hint="default"/>
        <w:b w:val="0"/>
        <w:sz w:val="24"/>
        <w:szCs w:val="24"/>
      </w:rPr>
    </w:lvl>
    <w:lvl w:ilvl="2">
      <w:start w:val="1"/>
      <w:numFmt w:val="decimal"/>
      <w:pStyle w:val="WerksmansStyle3"/>
      <w:lvlText w:val="%1.%2.%3"/>
      <w:lvlJc w:val="left"/>
      <w:pPr>
        <w:tabs>
          <w:tab w:val="num" w:pos="2160"/>
        </w:tabs>
        <w:ind w:left="2160" w:hanging="2160"/>
      </w:pPr>
      <w:rPr>
        <w:rFonts w:ascii="Arial" w:hAnsi="Arial" w:hint="default"/>
        <w:b w:val="0"/>
        <w:sz w:val="24"/>
        <w:szCs w:val="24"/>
      </w:rPr>
    </w:lvl>
    <w:lvl w:ilvl="3">
      <w:start w:val="1"/>
      <w:numFmt w:val="decimal"/>
      <w:pStyle w:val="WerksmansStyle4"/>
      <w:lvlText w:val="%1.%2.%3.%4"/>
      <w:lvlJc w:val="left"/>
      <w:pPr>
        <w:tabs>
          <w:tab w:val="num" w:pos="2880"/>
        </w:tabs>
        <w:ind w:left="2880" w:hanging="2880"/>
      </w:pPr>
      <w:rPr>
        <w:rFonts w:ascii="Arial" w:hAnsi="Arial" w:hint="default"/>
        <w:b w:val="0"/>
        <w:sz w:val="24"/>
        <w:szCs w:val="24"/>
      </w:rPr>
    </w:lvl>
    <w:lvl w:ilvl="4">
      <w:start w:val="1"/>
      <w:numFmt w:val="decimal"/>
      <w:pStyle w:val="WerksmansStyle5"/>
      <w:lvlText w:val="%1.%2.%3.%4.%5"/>
      <w:lvlJc w:val="left"/>
      <w:pPr>
        <w:tabs>
          <w:tab w:val="num" w:pos="3600"/>
        </w:tabs>
        <w:ind w:left="3600" w:hanging="3600"/>
      </w:pPr>
      <w:rPr>
        <w:rFonts w:ascii="Arial" w:hAnsi="Arial" w:hint="default"/>
        <w:b w:val="0"/>
        <w:sz w:val="24"/>
        <w:szCs w:val="24"/>
      </w:rPr>
    </w:lvl>
    <w:lvl w:ilvl="5">
      <w:start w:val="1"/>
      <w:numFmt w:val="decimal"/>
      <w:pStyle w:val="WerksmansStyle6"/>
      <w:lvlText w:val="%1.%2.%3.%4.%5.%6"/>
      <w:lvlJc w:val="left"/>
      <w:pPr>
        <w:tabs>
          <w:tab w:val="num" w:pos="4321"/>
        </w:tabs>
        <w:ind w:left="4321" w:hanging="4321"/>
      </w:pPr>
      <w:rPr>
        <w:rFonts w:ascii="Arial" w:hAnsi="Arial" w:hint="default"/>
        <w:b w:val="0"/>
        <w:sz w:val="24"/>
        <w:szCs w:val="24"/>
      </w:rPr>
    </w:lvl>
    <w:lvl w:ilvl="6">
      <w:start w:val="1"/>
      <w:numFmt w:val="decimal"/>
      <w:pStyle w:val="WerksmansStyle7"/>
      <w:lvlText w:val="%1.%2.%3.%4.%5.%6.%7"/>
      <w:lvlJc w:val="left"/>
      <w:pPr>
        <w:tabs>
          <w:tab w:val="num" w:pos="5041"/>
        </w:tabs>
        <w:ind w:left="5041" w:hanging="5041"/>
      </w:pPr>
      <w:rPr>
        <w:rFonts w:ascii="Arial" w:hAnsi="Arial" w:hint="default"/>
        <w:b w:val="0"/>
        <w:sz w:val="24"/>
        <w:szCs w:val="24"/>
      </w:rPr>
    </w:lvl>
    <w:lvl w:ilvl="7">
      <w:start w:val="1"/>
      <w:numFmt w:val="decimal"/>
      <w:pStyle w:val="WerksmansStyle8"/>
      <w:lvlText w:val="%1.%2.%3.%4.%5.%6.%7.%8"/>
      <w:lvlJc w:val="left"/>
      <w:pPr>
        <w:tabs>
          <w:tab w:val="num" w:pos="5761"/>
        </w:tabs>
        <w:ind w:left="5761" w:hanging="5761"/>
      </w:pPr>
      <w:rPr>
        <w:rFonts w:ascii="Arial" w:hAnsi="Arial" w:hint="default"/>
        <w:b w:val="0"/>
        <w:sz w:val="24"/>
        <w:szCs w:val="24"/>
      </w:rPr>
    </w:lvl>
    <w:lvl w:ilvl="8">
      <w:start w:val="1"/>
      <w:numFmt w:val="decimal"/>
      <w:pStyle w:val="WerksmansStyle9"/>
      <w:lvlText w:val="%1.%2.%3.%4.%5.%6.%7.%8.%9"/>
      <w:lvlJc w:val="left"/>
      <w:pPr>
        <w:tabs>
          <w:tab w:val="num" w:pos="6481"/>
        </w:tabs>
        <w:ind w:left="6481" w:hanging="6481"/>
      </w:pPr>
      <w:rPr>
        <w:rFonts w:ascii="Arial" w:hAnsi="Arial" w:hint="default"/>
        <w:b w:val="0"/>
        <w:sz w:val="24"/>
        <w:szCs w:val="24"/>
      </w:rPr>
    </w:lvl>
  </w:abstractNum>
  <w:abstractNum w:abstractNumId="5">
    <w:nsid w:val="1DFF6D81"/>
    <w:multiLevelType w:val="multilevel"/>
    <w:tmpl w:val="990AC13E"/>
    <w:lvl w:ilvl="0">
      <w:start w:val="1"/>
      <w:numFmt w:val="decimal"/>
      <w:lvlRestart w:val="0"/>
      <w:lvlText w:val="[%1]"/>
      <w:lvlJc w:val="left"/>
      <w:pPr>
        <w:tabs>
          <w:tab w:val="num" w:pos="692"/>
        </w:tabs>
        <w:ind w:left="692" w:hanging="692"/>
      </w:pPr>
      <w:rPr>
        <w:rFonts w:ascii="Arial" w:hAnsi="Arial" w:cs="Arial" w:hint="default"/>
        <w:b w:val="0"/>
        <w:bCs w:val="0"/>
        <w:i w:val="0"/>
        <w:sz w:val="24"/>
        <w:szCs w:val="24"/>
      </w:rPr>
    </w:lvl>
    <w:lvl w:ilvl="1">
      <w:start w:val="1"/>
      <w:numFmt w:val="decimal"/>
      <w:lvlText w:val="[%1.%2]"/>
      <w:lvlJc w:val="left"/>
      <w:pPr>
        <w:tabs>
          <w:tab w:val="num" w:pos="1757"/>
        </w:tabs>
        <w:ind w:left="1757" w:hanging="1065"/>
      </w:pPr>
      <w:rPr>
        <w:rFonts w:ascii="Arial" w:hAnsi="Arial" w:cs="Arial" w:hint="default"/>
        <w:b w:val="0"/>
        <w:i w:val="0"/>
        <w:sz w:val="24"/>
        <w:szCs w:val="24"/>
      </w:rPr>
    </w:lvl>
    <w:lvl w:ilvl="2">
      <w:start w:val="1"/>
      <w:numFmt w:val="decimal"/>
      <w:lvlText w:val="[%1.%2.%3]"/>
      <w:lvlJc w:val="left"/>
      <w:pPr>
        <w:tabs>
          <w:tab w:val="num" w:pos="2880"/>
        </w:tabs>
        <w:ind w:left="2880" w:hanging="1123"/>
      </w:pPr>
      <w:rPr>
        <w:rFonts w:ascii="Arial" w:hAnsi="Arial" w:cs="Arial" w:hint="default"/>
        <w:b w:val="0"/>
        <w:i w:val="0"/>
        <w:sz w:val="24"/>
        <w:szCs w:val="24"/>
      </w:rPr>
    </w:lvl>
    <w:lvl w:ilvl="3">
      <w:start w:val="1"/>
      <w:numFmt w:val="decimal"/>
      <w:lvlText w:val="%1.%2.%3.%4."/>
      <w:lvlJc w:val="left"/>
      <w:pPr>
        <w:tabs>
          <w:tab w:val="num" w:pos="4031"/>
        </w:tabs>
        <w:ind w:left="4031" w:hanging="1151"/>
      </w:pPr>
      <w:rPr>
        <w:rFonts w:hint="default"/>
      </w:rPr>
    </w:lvl>
    <w:lvl w:ilvl="4">
      <w:start w:val="1"/>
      <w:numFmt w:val="decimal"/>
      <w:lvlText w:val="%1.%2.%3.%4.%5."/>
      <w:lvlJc w:val="left"/>
      <w:pPr>
        <w:tabs>
          <w:tab w:val="num" w:pos="4535"/>
        </w:tabs>
        <w:ind w:left="4535" w:hanging="504"/>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397"/>
        </w:tabs>
        <w:ind w:left="4320" w:hanging="1440"/>
      </w:pPr>
      <w:rPr>
        <w:rFonts w:hint="default"/>
      </w:rPr>
    </w:lvl>
  </w:abstractNum>
  <w:abstractNum w:abstractNumId="6">
    <w:nsid w:val="21057754"/>
    <w:multiLevelType w:val="hybridMultilevel"/>
    <w:tmpl w:val="0FE2A052"/>
    <w:lvl w:ilvl="0" w:tplc="80C69204">
      <w:start w:val="1"/>
      <w:numFmt w:val="decimal"/>
      <w:lvlText w:val="(%1)"/>
      <w:lvlJc w:val="left"/>
      <w:pPr>
        <w:ind w:left="456" w:hanging="360"/>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7">
    <w:nsid w:val="226C5202"/>
    <w:multiLevelType w:val="hybridMultilevel"/>
    <w:tmpl w:val="38600924"/>
    <w:lvl w:ilvl="0" w:tplc="57443666">
      <w:start w:val="1"/>
      <w:numFmt w:val="lowerRoman"/>
      <w:lvlText w:val="(%1)"/>
      <w:lvlJc w:val="left"/>
      <w:pPr>
        <w:ind w:left="2142" w:hanging="720"/>
      </w:pPr>
      <w:rPr>
        <w:rFonts w:hint="default"/>
      </w:rPr>
    </w:lvl>
    <w:lvl w:ilvl="1" w:tplc="08090019">
      <w:start w:val="1"/>
      <w:numFmt w:val="lowerLetter"/>
      <w:lvlText w:val="%2."/>
      <w:lvlJc w:val="left"/>
      <w:pPr>
        <w:ind w:left="2502" w:hanging="360"/>
      </w:pPr>
    </w:lvl>
    <w:lvl w:ilvl="2" w:tplc="0809001B" w:tentative="1">
      <w:start w:val="1"/>
      <w:numFmt w:val="lowerRoman"/>
      <w:lvlText w:val="%3."/>
      <w:lvlJc w:val="right"/>
      <w:pPr>
        <w:ind w:left="3222" w:hanging="180"/>
      </w:pPr>
    </w:lvl>
    <w:lvl w:ilvl="3" w:tplc="0809000F" w:tentative="1">
      <w:start w:val="1"/>
      <w:numFmt w:val="decimal"/>
      <w:lvlText w:val="%4."/>
      <w:lvlJc w:val="left"/>
      <w:pPr>
        <w:ind w:left="3942" w:hanging="360"/>
      </w:pPr>
    </w:lvl>
    <w:lvl w:ilvl="4" w:tplc="08090019" w:tentative="1">
      <w:start w:val="1"/>
      <w:numFmt w:val="lowerLetter"/>
      <w:lvlText w:val="%5."/>
      <w:lvlJc w:val="left"/>
      <w:pPr>
        <w:ind w:left="4662" w:hanging="360"/>
      </w:pPr>
    </w:lvl>
    <w:lvl w:ilvl="5" w:tplc="0809001B" w:tentative="1">
      <w:start w:val="1"/>
      <w:numFmt w:val="lowerRoman"/>
      <w:lvlText w:val="%6."/>
      <w:lvlJc w:val="right"/>
      <w:pPr>
        <w:ind w:left="5382" w:hanging="180"/>
      </w:pPr>
    </w:lvl>
    <w:lvl w:ilvl="6" w:tplc="0809000F" w:tentative="1">
      <w:start w:val="1"/>
      <w:numFmt w:val="decimal"/>
      <w:lvlText w:val="%7."/>
      <w:lvlJc w:val="left"/>
      <w:pPr>
        <w:ind w:left="6102" w:hanging="360"/>
      </w:pPr>
    </w:lvl>
    <w:lvl w:ilvl="7" w:tplc="08090019" w:tentative="1">
      <w:start w:val="1"/>
      <w:numFmt w:val="lowerLetter"/>
      <w:lvlText w:val="%8."/>
      <w:lvlJc w:val="left"/>
      <w:pPr>
        <w:ind w:left="6822" w:hanging="360"/>
      </w:pPr>
    </w:lvl>
    <w:lvl w:ilvl="8" w:tplc="0809001B" w:tentative="1">
      <w:start w:val="1"/>
      <w:numFmt w:val="lowerRoman"/>
      <w:lvlText w:val="%9."/>
      <w:lvlJc w:val="right"/>
      <w:pPr>
        <w:ind w:left="7542" w:hanging="180"/>
      </w:pPr>
    </w:lvl>
  </w:abstractNum>
  <w:abstractNum w:abstractNumId="8">
    <w:nsid w:val="22F677BD"/>
    <w:multiLevelType w:val="hybridMultilevel"/>
    <w:tmpl w:val="1AEC1FFE"/>
    <w:lvl w:ilvl="0" w:tplc="628A9CF6">
      <w:start w:val="1"/>
      <w:numFmt w:val="lowerRoman"/>
      <w:lvlText w:val="(%1)"/>
      <w:lvlJc w:val="left"/>
      <w:pPr>
        <w:ind w:left="3270" w:hanging="72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9">
    <w:nsid w:val="2C6F64CD"/>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8F4118"/>
    <w:multiLevelType w:val="hybridMultilevel"/>
    <w:tmpl w:val="156AFF9E"/>
    <w:lvl w:ilvl="0" w:tplc="F05A440C">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1">
    <w:nsid w:val="34740ED4"/>
    <w:multiLevelType w:val="hybridMultilevel"/>
    <w:tmpl w:val="58F8B8D8"/>
    <w:lvl w:ilvl="0" w:tplc="56FA1A1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98B5ACA"/>
    <w:multiLevelType w:val="multilevel"/>
    <w:tmpl w:val="9D2AF84E"/>
    <w:lvl w:ilvl="0">
      <w:start w:val="1"/>
      <w:numFmt w:val="decimal"/>
      <w:lvlRestart w:val="0"/>
      <w:lvlText w:val="%1."/>
      <w:lvlJc w:val="left"/>
      <w:pPr>
        <w:tabs>
          <w:tab w:val="num" w:pos="692"/>
        </w:tabs>
        <w:ind w:left="692" w:hanging="692"/>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57"/>
        </w:tabs>
        <w:ind w:left="1757" w:hanging="1065"/>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123"/>
      </w:pPr>
      <w:rPr>
        <w:rFonts w:ascii="Arial" w:hAnsi="Arial" w:cs="Arial" w:hint="default"/>
        <w:i w:val="0"/>
        <w:sz w:val="24"/>
        <w:szCs w:val="24"/>
      </w:rPr>
    </w:lvl>
    <w:lvl w:ilvl="3">
      <w:start w:val="1"/>
      <w:numFmt w:val="decimal"/>
      <w:lvlText w:val="%1.%2.%3.%4."/>
      <w:lvlJc w:val="left"/>
      <w:pPr>
        <w:tabs>
          <w:tab w:val="num" w:pos="4031"/>
        </w:tabs>
        <w:ind w:left="4031" w:hanging="1151"/>
      </w:pPr>
      <w:rPr>
        <w:rFonts w:hint="default"/>
      </w:rPr>
    </w:lvl>
    <w:lvl w:ilvl="4">
      <w:start w:val="1"/>
      <w:numFmt w:val="decimal"/>
      <w:lvlText w:val="%1.%2.%3.%4.%5."/>
      <w:lvlJc w:val="left"/>
      <w:pPr>
        <w:tabs>
          <w:tab w:val="num" w:pos="4535"/>
        </w:tabs>
        <w:ind w:left="4535" w:hanging="504"/>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397"/>
        </w:tabs>
        <w:ind w:left="4320" w:hanging="1440"/>
      </w:pPr>
      <w:rPr>
        <w:rFonts w:hint="default"/>
      </w:rPr>
    </w:lvl>
  </w:abstractNum>
  <w:abstractNum w:abstractNumId="13">
    <w:nsid w:val="5445351B"/>
    <w:multiLevelType w:val="hybridMultilevel"/>
    <w:tmpl w:val="E246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7C1A8B"/>
    <w:multiLevelType w:val="hybridMultilevel"/>
    <w:tmpl w:val="EC1CB2B8"/>
    <w:lvl w:ilvl="0" w:tplc="88C6BEBC">
      <w:start w:val="1"/>
      <w:numFmt w:val="lowerLetter"/>
      <w:lvlText w:val="(%1)"/>
      <w:lvlJc w:val="left"/>
      <w:pPr>
        <w:ind w:left="2627" w:hanging="360"/>
      </w:pPr>
      <w:rPr>
        <w:rFonts w:hint="default"/>
      </w:rPr>
    </w:lvl>
    <w:lvl w:ilvl="1" w:tplc="08090019" w:tentative="1">
      <w:start w:val="1"/>
      <w:numFmt w:val="lowerLetter"/>
      <w:lvlText w:val="%2."/>
      <w:lvlJc w:val="left"/>
      <w:pPr>
        <w:ind w:left="3347" w:hanging="360"/>
      </w:pPr>
    </w:lvl>
    <w:lvl w:ilvl="2" w:tplc="0809001B" w:tentative="1">
      <w:start w:val="1"/>
      <w:numFmt w:val="lowerRoman"/>
      <w:lvlText w:val="%3."/>
      <w:lvlJc w:val="right"/>
      <w:pPr>
        <w:ind w:left="4067" w:hanging="180"/>
      </w:pPr>
    </w:lvl>
    <w:lvl w:ilvl="3" w:tplc="0809000F" w:tentative="1">
      <w:start w:val="1"/>
      <w:numFmt w:val="decimal"/>
      <w:lvlText w:val="%4."/>
      <w:lvlJc w:val="left"/>
      <w:pPr>
        <w:ind w:left="4787" w:hanging="360"/>
      </w:pPr>
    </w:lvl>
    <w:lvl w:ilvl="4" w:tplc="08090019" w:tentative="1">
      <w:start w:val="1"/>
      <w:numFmt w:val="lowerLetter"/>
      <w:lvlText w:val="%5."/>
      <w:lvlJc w:val="left"/>
      <w:pPr>
        <w:ind w:left="5507" w:hanging="360"/>
      </w:pPr>
    </w:lvl>
    <w:lvl w:ilvl="5" w:tplc="0809001B" w:tentative="1">
      <w:start w:val="1"/>
      <w:numFmt w:val="lowerRoman"/>
      <w:lvlText w:val="%6."/>
      <w:lvlJc w:val="right"/>
      <w:pPr>
        <w:ind w:left="6227" w:hanging="180"/>
      </w:pPr>
    </w:lvl>
    <w:lvl w:ilvl="6" w:tplc="0809000F" w:tentative="1">
      <w:start w:val="1"/>
      <w:numFmt w:val="decimal"/>
      <w:lvlText w:val="%7."/>
      <w:lvlJc w:val="left"/>
      <w:pPr>
        <w:ind w:left="6947" w:hanging="360"/>
      </w:pPr>
    </w:lvl>
    <w:lvl w:ilvl="7" w:tplc="08090019" w:tentative="1">
      <w:start w:val="1"/>
      <w:numFmt w:val="lowerLetter"/>
      <w:lvlText w:val="%8."/>
      <w:lvlJc w:val="left"/>
      <w:pPr>
        <w:ind w:left="7667" w:hanging="360"/>
      </w:pPr>
    </w:lvl>
    <w:lvl w:ilvl="8" w:tplc="0809001B" w:tentative="1">
      <w:start w:val="1"/>
      <w:numFmt w:val="lowerRoman"/>
      <w:lvlText w:val="%9."/>
      <w:lvlJc w:val="right"/>
      <w:pPr>
        <w:ind w:left="8387" w:hanging="180"/>
      </w:pPr>
    </w:lvl>
  </w:abstractNum>
  <w:abstractNum w:abstractNumId="15">
    <w:nsid w:val="5683180E"/>
    <w:multiLevelType w:val="hybridMultilevel"/>
    <w:tmpl w:val="F754DB94"/>
    <w:lvl w:ilvl="0" w:tplc="BAF6F530">
      <w:start w:val="1"/>
      <w:numFmt w:val="lowerLetter"/>
      <w:lvlText w:val="(%1)"/>
      <w:lvlJc w:val="left"/>
      <w:pPr>
        <w:ind w:left="2205" w:hanging="36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6">
    <w:nsid w:val="60AA2AE8"/>
    <w:multiLevelType w:val="hybridMultilevel"/>
    <w:tmpl w:val="DC1482CC"/>
    <w:lvl w:ilvl="0" w:tplc="523C44E2">
      <w:start w:val="1"/>
      <w:numFmt w:val="decimal"/>
      <w:lvlText w:val="%1."/>
      <w:lvlJc w:val="left"/>
      <w:pPr>
        <w:ind w:left="1052" w:hanging="360"/>
      </w:pPr>
      <w:rPr>
        <w:rFonts w:hint="default"/>
        <w:b w:val="0"/>
        <w:bCs w:val="0"/>
        <w:i w:val="0"/>
      </w:rPr>
    </w:lvl>
    <w:lvl w:ilvl="1" w:tplc="08090019" w:tentative="1">
      <w:start w:val="1"/>
      <w:numFmt w:val="lowerLetter"/>
      <w:lvlText w:val="%2."/>
      <w:lvlJc w:val="left"/>
      <w:pPr>
        <w:ind w:left="1772" w:hanging="360"/>
      </w:pPr>
    </w:lvl>
    <w:lvl w:ilvl="2" w:tplc="0809001B" w:tentative="1">
      <w:start w:val="1"/>
      <w:numFmt w:val="lowerRoman"/>
      <w:lvlText w:val="%3."/>
      <w:lvlJc w:val="right"/>
      <w:pPr>
        <w:ind w:left="2492" w:hanging="180"/>
      </w:pPr>
    </w:lvl>
    <w:lvl w:ilvl="3" w:tplc="0809000F" w:tentative="1">
      <w:start w:val="1"/>
      <w:numFmt w:val="decimal"/>
      <w:lvlText w:val="%4."/>
      <w:lvlJc w:val="left"/>
      <w:pPr>
        <w:ind w:left="3212" w:hanging="360"/>
      </w:pPr>
    </w:lvl>
    <w:lvl w:ilvl="4" w:tplc="08090019" w:tentative="1">
      <w:start w:val="1"/>
      <w:numFmt w:val="lowerLetter"/>
      <w:lvlText w:val="%5."/>
      <w:lvlJc w:val="left"/>
      <w:pPr>
        <w:ind w:left="3932" w:hanging="360"/>
      </w:pPr>
    </w:lvl>
    <w:lvl w:ilvl="5" w:tplc="0809001B" w:tentative="1">
      <w:start w:val="1"/>
      <w:numFmt w:val="lowerRoman"/>
      <w:lvlText w:val="%6."/>
      <w:lvlJc w:val="right"/>
      <w:pPr>
        <w:ind w:left="4652" w:hanging="180"/>
      </w:pPr>
    </w:lvl>
    <w:lvl w:ilvl="6" w:tplc="0809000F" w:tentative="1">
      <w:start w:val="1"/>
      <w:numFmt w:val="decimal"/>
      <w:lvlText w:val="%7."/>
      <w:lvlJc w:val="left"/>
      <w:pPr>
        <w:ind w:left="5372" w:hanging="360"/>
      </w:pPr>
    </w:lvl>
    <w:lvl w:ilvl="7" w:tplc="08090019" w:tentative="1">
      <w:start w:val="1"/>
      <w:numFmt w:val="lowerLetter"/>
      <w:lvlText w:val="%8."/>
      <w:lvlJc w:val="left"/>
      <w:pPr>
        <w:ind w:left="6092" w:hanging="360"/>
      </w:pPr>
    </w:lvl>
    <w:lvl w:ilvl="8" w:tplc="0809001B" w:tentative="1">
      <w:start w:val="1"/>
      <w:numFmt w:val="lowerRoman"/>
      <w:lvlText w:val="%9."/>
      <w:lvlJc w:val="right"/>
      <w:pPr>
        <w:ind w:left="6812" w:hanging="180"/>
      </w:pPr>
    </w:lvl>
  </w:abstractNum>
  <w:abstractNum w:abstractNumId="17">
    <w:nsid w:val="62581F5E"/>
    <w:multiLevelType w:val="hybridMultilevel"/>
    <w:tmpl w:val="AC2E0FD8"/>
    <w:lvl w:ilvl="0" w:tplc="0D56E4CA">
      <w:start w:val="1"/>
      <w:numFmt w:val="lowerRoman"/>
      <w:lvlText w:val="(%1)"/>
      <w:lvlJc w:val="left"/>
      <w:pPr>
        <w:ind w:left="3270" w:hanging="72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18">
    <w:nsid w:val="72160DF4"/>
    <w:multiLevelType w:val="hybridMultilevel"/>
    <w:tmpl w:val="3452ACB2"/>
    <w:lvl w:ilvl="0" w:tplc="B434CF32">
      <w:start w:val="1"/>
      <w:numFmt w:val="lowerLetter"/>
      <w:lvlText w:val="(%1)"/>
      <w:lvlJc w:val="left"/>
      <w:pPr>
        <w:ind w:left="2692" w:hanging="560"/>
      </w:pPr>
      <w:rPr>
        <w:rFonts w:ascii="Arial" w:hAnsi="Arial" w:cs="Arial" w:hint="default"/>
        <w:i/>
        <w:color w:val="auto"/>
        <w:sz w:val="24"/>
      </w:rPr>
    </w:lvl>
    <w:lvl w:ilvl="1" w:tplc="08090019" w:tentative="1">
      <w:start w:val="1"/>
      <w:numFmt w:val="lowerLetter"/>
      <w:lvlText w:val="%2."/>
      <w:lvlJc w:val="left"/>
      <w:pPr>
        <w:ind w:left="3212" w:hanging="360"/>
      </w:pPr>
    </w:lvl>
    <w:lvl w:ilvl="2" w:tplc="0809001B" w:tentative="1">
      <w:start w:val="1"/>
      <w:numFmt w:val="lowerRoman"/>
      <w:lvlText w:val="%3."/>
      <w:lvlJc w:val="right"/>
      <w:pPr>
        <w:ind w:left="3932" w:hanging="180"/>
      </w:pPr>
    </w:lvl>
    <w:lvl w:ilvl="3" w:tplc="0809000F" w:tentative="1">
      <w:start w:val="1"/>
      <w:numFmt w:val="decimal"/>
      <w:lvlText w:val="%4."/>
      <w:lvlJc w:val="left"/>
      <w:pPr>
        <w:ind w:left="4652" w:hanging="360"/>
      </w:pPr>
    </w:lvl>
    <w:lvl w:ilvl="4" w:tplc="08090019" w:tentative="1">
      <w:start w:val="1"/>
      <w:numFmt w:val="lowerLetter"/>
      <w:lvlText w:val="%5."/>
      <w:lvlJc w:val="left"/>
      <w:pPr>
        <w:ind w:left="5372" w:hanging="360"/>
      </w:pPr>
    </w:lvl>
    <w:lvl w:ilvl="5" w:tplc="0809001B" w:tentative="1">
      <w:start w:val="1"/>
      <w:numFmt w:val="lowerRoman"/>
      <w:lvlText w:val="%6."/>
      <w:lvlJc w:val="right"/>
      <w:pPr>
        <w:ind w:left="6092" w:hanging="180"/>
      </w:pPr>
    </w:lvl>
    <w:lvl w:ilvl="6" w:tplc="0809000F" w:tentative="1">
      <w:start w:val="1"/>
      <w:numFmt w:val="decimal"/>
      <w:lvlText w:val="%7."/>
      <w:lvlJc w:val="left"/>
      <w:pPr>
        <w:ind w:left="6812" w:hanging="360"/>
      </w:pPr>
    </w:lvl>
    <w:lvl w:ilvl="7" w:tplc="08090019" w:tentative="1">
      <w:start w:val="1"/>
      <w:numFmt w:val="lowerLetter"/>
      <w:lvlText w:val="%8."/>
      <w:lvlJc w:val="left"/>
      <w:pPr>
        <w:ind w:left="7532" w:hanging="360"/>
      </w:pPr>
    </w:lvl>
    <w:lvl w:ilvl="8" w:tplc="0809001B" w:tentative="1">
      <w:start w:val="1"/>
      <w:numFmt w:val="lowerRoman"/>
      <w:lvlText w:val="%9."/>
      <w:lvlJc w:val="right"/>
      <w:pPr>
        <w:ind w:left="8252" w:hanging="180"/>
      </w:pPr>
    </w:lvl>
  </w:abstractNum>
  <w:abstractNum w:abstractNumId="19">
    <w:nsid w:val="763A5AD9"/>
    <w:multiLevelType w:val="multilevel"/>
    <w:tmpl w:val="459E4DAE"/>
    <w:lvl w:ilvl="0">
      <w:start w:val="1"/>
      <w:numFmt w:val="decimal"/>
      <w:isLgl/>
      <w:lvlText w:val="%1"/>
      <w:lvlJc w:val="left"/>
      <w:pPr>
        <w:tabs>
          <w:tab w:val="num" w:pos="360"/>
        </w:tabs>
        <w:ind w:left="720" w:hanging="720"/>
      </w:pPr>
      <w:rPr>
        <w:rFonts w:ascii="Arial" w:hAnsi="Arial"/>
        <w:b w:val="0"/>
        <w:i w:val="0"/>
        <w:strike w:val="0"/>
        <w:dstrike w:val="0"/>
        <w:sz w:val="24"/>
        <w:u w:val="none"/>
      </w:rPr>
    </w:lvl>
    <w:lvl w:ilvl="1">
      <w:start w:val="1"/>
      <w:numFmt w:val="decimal"/>
      <w:isLgl/>
      <w:lvlText w:val="%1.%2"/>
      <w:lvlJc w:val="left"/>
      <w:pPr>
        <w:tabs>
          <w:tab w:val="num" w:pos="792"/>
        </w:tabs>
        <w:ind w:left="1440" w:hanging="1440"/>
      </w:pPr>
      <w:rPr>
        <w:rFonts w:ascii="Arial" w:hAnsi="Arial"/>
        <w:b w:val="0"/>
        <w:i w:val="0"/>
        <w:strike w:val="0"/>
        <w:dstrike w:val="0"/>
        <w:sz w:val="24"/>
        <w:u w:val="none"/>
      </w:rPr>
    </w:lvl>
    <w:lvl w:ilvl="2">
      <w:start w:val="1"/>
      <w:numFmt w:val="decimal"/>
      <w:isLgl/>
      <w:lvlText w:val="%1.%2.%3"/>
      <w:lvlJc w:val="left"/>
      <w:pPr>
        <w:tabs>
          <w:tab w:val="num" w:pos="1440"/>
        </w:tabs>
        <w:ind w:left="2160" w:hanging="2160"/>
      </w:pPr>
      <w:rPr>
        <w:rFonts w:ascii="Arial" w:hAnsi="Arial"/>
        <w:b w:val="0"/>
        <w:i w:val="0"/>
        <w:strike w:val="0"/>
        <w:dstrike w:val="0"/>
        <w:sz w:val="24"/>
        <w:u w:val="none"/>
      </w:rPr>
    </w:lvl>
    <w:lvl w:ilvl="3">
      <w:start w:val="1"/>
      <w:numFmt w:val="decimal"/>
      <w:isLgl/>
      <w:lvlText w:val="%1.%2.%3.%4"/>
      <w:lvlJc w:val="left"/>
      <w:pPr>
        <w:tabs>
          <w:tab w:val="num" w:pos="2160"/>
        </w:tabs>
        <w:ind w:left="2880" w:hanging="2880"/>
      </w:pPr>
      <w:rPr>
        <w:rFonts w:ascii="Arial" w:hAnsi="Arial"/>
        <w:b w:val="0"/>
        <w:i w:val="0"/>
        <w:strike w:val="0"/>
        <w:dstrike w:val="0"/>
        <w:sz w:val="24"/>
        <w:u w:val="none"/>
      </w:rPr>
    </w:lvl>
    <w:lvl w:ilvl="4">
      <w:start w:val="1"/>
      <w:numFmt w:val="decimal"/>
      <w:isLgl/>
      <w:lvlText w:val="%1.%2.%3.%4.%5"/>
      <w:lvlJc w:val="left"/>
      <w:pPr>
        <w:tabs>
          <w:tab w:val="num" w:pos="2520"/>
        </w:tabs>
        <w:ind w:left="3600" w:hanging="3600"/>
      </w:pPr>
      <w:rPr>
        <w:rFonts w:ascii="Arial" w:hAnsi="Arial"/>
        <w:b w:val="0"/>
        <w:i w:val="0"/>
        <w:strike w:val="0"/>
        <w:dstrike w:val="0"/>
        <w:sz w:val="24"/>
        <w:u w:val="none"/>
      </w:rPr>
    </w:lvl>
    <w:lvl w:ilvl="5">
      <w:start w:val="1"/>
      <w:numFmt w:val="decimal"/>
      <w:isLgl/>
      <w:lvlText w:val="%1.%2.%3.%4.%5.%6"/>
      <w:lvlJc w:val="left"/>
      <w:pPr>
        <w:tabs>
          <w:tab w:val="num" w:pos="3240"/>
        </w:tabs>
        <w:ind w:left="4320" w:hanging="4320"/>
      </w:pPr>
      <w:rPr>
        <w:rFonts w:ascii="Arial" w:hAnsi="Arial"/>
        <w:b w:val="0"/>
        <w:i w:val="0"/>
        <w:strike w:val="0"/>
        <w:dstrike w:val="0"/>
        <w:sz w:val="24"/>
        <w:u w:val="none"/>
      </w:rPr>
    </w:lvl>
    <w:lvl w:ilvl="6">
      <w:start w:val="1"/>
      <w:numFmt w:val="decimal"/>
      <w:isLgl/>
      <w:lvlText w:val="%1.%2.%3.%4.%5.%6.%7"/>
      <w:lvlJc w:val="left"/>
      <w:pPr>
        <w:tabs>
          <w:tab w:val="num" w:pos="3600"/>
        </w:tabs>
        <w:ind w:left="5040" w:hanging="5040"/>
      </w:pPr>
      <w:rPr>
        <w:rFonts w:ascii="Arial" w:hAnsi="Arial"/>
        <w:b w:val="0"/>
        <w:i w:val="0"/>
        <w:strike w:val="0"/>
        <w:dstrike w:val="0"/>
        <w:sz w:val="24"/>
        <w:u w:val="none"/>
      </w:rPr>
    </w:lvl>
    <w:lvl w:ilvl="7">
      <w:start w:val="1"/>
      <w:numFmt w:val="decimal"/>
      <w:isLgl/>
      <w:lvlText w:val="%1.%2.%3.%4.%5.%6.%7.%8"/>
      <w:lvlJc w:val="left"/>
      <w:pPr>
        <w:tabs>
          <w:tab w:val="num" w:pos="4320"/>
        </w:tabs>
        <w:ind w:left="6000" w:hanging="6000"/>
      </w:pPr>
      <w:rPr>
        <w:rFonts w:ascii="Arial" w:hAnsi="Arial"/>
        <w:b w:val="0"/>
        <w:i w:val="0"/>
        <w:strike w:val="0"/>
        <w:dstrike w:val="0"/>
        <w:sz w:val="24"/>
        <w:u w:val="none"/>
      </w:rPr>
    </w:lvl>
    <w:lvl w:ilvl="8">
      <w:start w:val="1"/>
      <w:numFmt w:val="decimal"/>
      <w:isLgl/>
      <w:lvlText w:val="%1.%2.%3.%4.%5.%6.%7.%8.%9"/>
      <w:lvlJc w:val="left"/>
      <w:pPr>
        <w:tabs>
          <w:tab w:val="num" w:pos="5040"/>
        </w:tabs>
        <w:ind w:left="6720" w:hanging="6720"/>
      </w:pPr>
      <w:rPr>
        <w:rFonts w:ascii="Arial" w:hAnsi="Arial"/>
        <w:b w:val="0"/>
        <w:i w:val="0"/>
        <w:strike w:val="0"/>
        <w:dstrike w:val="0"/>
        <w:sz w:val="24"/>
        <w:u w:val="none"/>
      </w:rPr>
    </w:lvl>
  </w:abstractNum>
  <w:abstractNum w:abstractNumId="20">
    <w:nsid w:val="7CD545FE"/>
    <w:multiLevelType w:val="hybridMultilevel"/>
    <w:tmpl w:val="9DAA03AC"/>
    <w:lvl w:ilvl="0" w:tplc="3440CF26">
      <w:start w:val="1"/>
      <w:numFmt w:val="lowerLetter"/>
      <w:lvlText w:val="(%1)"/>
      <w:lvlJc w:val="left"/>
      <w:pPr>
        <w:ind w:left="2772" w:hanging="360"/>
      </w:pPr>
      <w:rPr>
        <w:rFonts w:hint="default"/>
        <w:b w:val="0"/>
      </w:rPr>
    </w:lvl>
    <w:lvl w:ilvl="1" w:tplc="08090019" w:tentative="1">
      <w:start w:val="1"/>
      <w:numFmt w:val="lowerLetter"/>
      <w:lvlText w:val="%2."/>
      <w:lvlJc w:val="left"/>
      <w:pPr>
        <w:ind w:left="3492" w:hanging="360"/>
      </w:pPr>
    </w:lvl>
    <w:lvl w:ilvl="2" w:tplc="0809001B" w:tentative="1">
      <w:start w:val="1"/>
      <w:numFmt w:val="lowerRoman"/>
      <w:lvlText w:val="%3."/>
      <w:lvlJc w:val="right"/>
      <w:pPr>
        <w:ind w:left="4212" w:hanging="180"/>
      </w:pPr>
    </w:lvl>
    <w:lvl w:ilvl="3" w:tplc="0809000F" w:tentative="1">
      <w:start w:val="1"/>
      <w:numFmt w:val="decimal"/>
      <w:lvlText w:val="%4."/>
      <w:lvlJc w:val="left"/>
      <w:pPr>
        <w:ind w:left="4932" w:hanging="360"/>
      </w:pPr>
    </w:lvl>
    <w:lvl w:ilvl="4" w:tplc="08090019" w:tentative="1">
      <w:start w:val="1"/>
      <w:numFmt w:val="lowerLetter"/>
      <w:lvlText w:val="%5."/>
      <w:lvlJc w:val="left"/>
      <w:pPr>
        <w:ind w:left="5652" w:hanging="360"/>
      </w:pPr>
    </w:lvl>
    <w:lvl w:ilvl="5" w:tplc="0809001B" w:tentative="1">
      <w:start w:val="1"/>
      <w:numFmt w:val="lowerRoman"/>
      <w:lvlText w:val="%6."/>
      <w:lvlJc w:val="right"/>
      <w:pPr>
        <w:ind w:left="6372" w:hanging="180"/>
      </w:pPr>
    </w:lvl>
    <w:lvl w:ilvl="6" w:tplc="0809000F" w:tentative="1">
      <w:start w:val="1"/>
      <w:numFmt w:val="decimal"/>
      <w:lvlText w:val="%7."/>
      <w:lvlJc w:val="left"/>
      <w:pPr>
        <w:ind w:left="7092" w:hanging="360"/>
      </w:pPr>
    </w:lvl>
    <w:lvl w:ilvl="7" w:tplc="08090019" w:tentative="1">
      <w:start w:val="1"/>
      <w:numFmt w:val="lowerLetter"/>
      <w:lvlText w:val="%8."/>
      <w:lvlJc w:val="left"/>
      <w:pPr>
        <w:ind w:left="7812" w:hanging="360"/>
      </w:pPr>
    </w:lvl>
    <w:lvl w:ilvl="8" w:tplc="0809001B" w:tentative="1">
      <w:start w:val="1"/>
      <w:numFmt w:val="lowerRoman"/>
      <w:lvlText w:val="%9."/>
      <w:lvlJc w:val="right"/>
      <w:pPr>
        <w:ind w:left="8532" w:hanging="180"/>
      </w:pPr>
    </w:lvl>
  </w:abstractNum>
  <w:num w:numId="1">
    <w:abstractNumId w:val="5"/>
  </w:num>
  <w:num w:numId="2">
    <w:abstractNumId w:val="14"/>
  </w:num>
  <w:num w:numId="3">
    <w:abstractNumId w:val="15"/>
  </w:num>
  <w:num w:numId="4">
    <w:abstractNumId w:val="8"/>
  </w:num>
  <w:num w:numId="5">
    <w:abstractNumId w:val="17"/>
  </w:num>
  <w:num w:numId="6">
    <w:abstractNumId w:val="0"/>
  </w:num>
  <w:num w:numId="7">
    <w:abstractNumId w:val="6"/>
  </w:num>
  <w:num w:numId="8">
    <w:abstractNumId w:val="20"/>
  </w:num>
  <w:num w:numId="9">
    <w:abstractNumId w:val="12"/>
  </w:num>
  <w:num w:numId="10">
    <w:abstractNumId w:val="2"/>
  </w:num>
  <w:num w:numId="11">
    <w:abstractNumId w:val="4"/>
  </w:num>
  <w:num w:numId="12">
    <w:abstractNumId w:val="16"/>
  </w:num>
  <w:num w:numId="13">
    <w:abstractNumId w:val="11"/>
  </w:num>
  <w:num w:numId="14">
    <w:abstractNumId w:val="18"/>
  </w:num>
  <w:num w:numId="15">
    <w:abstractNumId w:val="10"/>
  </w:num>
  <w:num w:numId="16">
    <w:abstractNumId w:val="3"/>
  </w:num>
  <w:num w:numId="17">
    <w:abstractNumId w:val="7"/>
  </w:num>
  <w:num w:numId="18">
    <w:abstractNumId w:val="13"/>
  </w:num>
  <w:num w:numId="19">
    <w:abstractNumId w:val="9"/>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09"/>
    <w:rsid w:val="00011678"/>
    <w:rsid w:val="000164D0"/>
    <w:rsid w:val="000172DA"/>
    <w:rsid w:val="00017851"/>
    <w:rsid w:val="0002184C"/>
    <w:rsid w:val="00021CA2"/>
    <w:rsid w:val="00022097"/>
    <w:rsid w:val="000236DB"/>
    <w:rsid w:val="000240B4"/>
    <w:rsid w:val="00032589"/>
    <w:rsid w:val="00032986"/>
    <w:rsid w:val="0003511E"/>
    <w:rsid w:val="00037477"/>
    <w:rsid w:val="0004198D"/>
    <w:rsid w:val="00044C08"/>
    <w:rsid w:val="00047199"/>
    <w:rsid w:val="00054C61"/>
    <w:rsid w:val="000579E7"/>
    <w:rsid w:val="00061306"/>
    <w:rsid w:val="00062FEE"/>
    <w:rsid w:val="00070138"/>
    <w:rsid w:val="00070D13"/>
    <w:rsid w:val="00077AFD"/>
    <w:rsid w:val="00080A08"/>
    <w:rsid w:val="00080B87"/>
    <w:rsid w:val="00080C33"/>
    <w:rsid w:val="00082821"/>
    <w:rsid w:val="00084F14"/>
    <w:rsid w:val="00086192"/>
    <w:rsid w:val="000870E2"/>
    <w:rsid w:val="00092D6D"/>
    <w:rsid w:val="00094E37"/>
    <w:rsid w:val="00095D59"/>
    <w:rsid w:val="00097587"/>
    <w:rsid w:val="000A002F"/>
    <w:rsid w:val="000A107B"/>
    <w:rsid w:val="000A3E08"/>
    <w:rsid w:val="000A57BC"/>
    <w:rsid w:val="000A7118"/>
    <w:rsid w:val="000B0414"/>
    <w:rsid w:val="000B06F1"/>
    <w:rsid w:val="000B2B84"/>
    <w:rsid w:val="000B76C5"/>
    <w:rsid w:val="000C6EA1"/>
    <w:rsid w:val="000D052D"/>
    <w:rsid w:val="000D3DBC"/>
    <w:rsid w:val="000D48BE"/>
    <w:rsid w:val="000D59D1"/>
    <w:rsid w:val="000D604D"/>
    <w:rsid w:val="000D6302"/>
    <w:rsid w:val="000D7CB1"/>
    <w:rsid w:val="000D7EEA"/>
    <w:rsid w:val="000E2501"/>
    <w:rsid w:val="000E46D7"/>
    <w:rsid w:val="000E5277"/>
    <w:rsid w:val="000F0911"/>
    <w:rsid w:val="000F0ECB"/>
    <w:rsid w:val="000F1D3D"/>
    <w:rsid w:val="000F44A2"/>
    <w:rsid w:val="000F5BFD"/>
    <w:rsid w:val="0010254A"/>
    <w:rsid w:val="0010763A"/>
    <w:rsid w:val="001133A2"/>
    <w:rsid w:val="00114F8F"/>
    <w:rsid w:val="00121C2C"/>
    <w:rsid w:val="0012411C"/>
    <w:rsid w:val="00125AD7"/>
    <w:rsid w:val="001303DF"/>
    <w:rsid w:val="001336F2"/>
    <w:rsid w:val="00137D5D"/>
    <w:rsid w:val="00137E31"/>
    <w:rsid w:val="00142D16"/>
    <w:rsid w:val="00142D91"/>
    <w:rsid w:val="00143840"/>
    <w:rsid w:val="0014407B"/>
    <w:rsid w:val="00144BB2"/>
    <w:rsid w:val="00145CCA"/>
    <w:rsid w:val="001519B7"/>
    <w:rsid w:val="001557C9"/>
    <w:rsid w:val="00160824"/>
    <w:rsid w:val="00166889"/>
    <w:rsid w:val="00167CE4"/>
    <w:rsid w:val="001702F5"/>
    <w:rsid w:val="00170630"/>
    <w:rsid w:val="00171EFA"/>
    <w:rsid w:val="001727A0"/>
    <w:rsid w:val="00172A77"/>
    <w:rsid w:val="00175DAD"/>
    <w:rsid w:val="00176538"/>
    <w:rsid w:val="00190B85"/>
    <w:rsid w:val="001915A2"/>
    <w:rsid w:val="00192179"/>
    <w:rsid w:val="00192B5C"/>
    <w:rsid w:val="00192E20"/>
    <w:rsid w:val="001932E3"/>
    <w:rsid w:val="00196E1D"/>
    <w:rsid w:val="00197D7E"/>
    <w:rsid w:val="001A3A5D"/>
    <w:rsid w:val="001A4548"/>
    <w:rsid w:val="001A4F5D"/>
    <w:rsid w:val="001B0C59"/>
    <w:rsid w:val="001B1CA4"/>
    <w:rsid w:val="001B2269"/>
    <w:rsid w:val="001B29C4"/>
    <w:rsid w:val="001B32B1"/>
    <w:rsid w:val="001B37AB"/>
    <w:rsid w:val="001C2BA3"/>
    <w:rsid w:val="001C53CB"/>
    <w:rsid w:val="001C61FE"/>
    <w:rsid w:val="001C6FD9"/>
    <w:rsid w:val="001C71F1"/>
    <w:rsid w:val="001D0EC5"/>
    <w:rsid w:val="001D302D"/>
    <w:rsid w:val="001E03A8"/>
    <w:rsid w:val="001E2FCF"/>
    <w:rsid w:val="001E3FA8"/>
    <w:rsid w:val="001E4ECD"/>
    <w:rsid w:val="001F426A"/>
    <w:rsid w:val="001F5F5F"/>
    <w:rsid w:val="001F784A"/>
    <w:rsid w:val="002007E6"/>
    <w:rsid w:val="00206682"/>
    <w:rsid w:val="0020702B"/>
    <w:rsid w:val="002103BF"/>
    <w:rsid w:val="002110A6"/>
    <w:rsid w:val="00212784"/>
    <w:rsid w:val="0021368D"/>
    <w:rsid w:val="00214CB0"/>
    <w:rsid w:val="002172A2"/>
    <w:rsid w:val="002204C7"/>
    <w:rsid w:val="002217DE"/>
    <w:rsid w:val="00222A09"/>
    <w:rsid w:val="00226EB5"/>
    <w:rsid w:val="0023250C"/>
    <w:rsid w:val="00233A72"/>
    <w:rsid w:val="0025237A"/>
    <w:rsid w:val="00253C61"/>
    <w:rsid w:val="0025427E"/>
    <w:rsid w:val="00257F7D"/>
    <w:rsid w:val="00260057"/>
    <w:rsid w:val="00263EB5"/>
    <w:rsid w:val="002641C1"/>
    <w:rsid w:val="002646B0"/>
    <w:rsid w:val="00265D1A"/>
    <w:rsid w:val="00266903"/>
    <w:rsid w:val="002708FA"/>
    <w:rsid w:val="002712D6"/>
    <w:rsid w:val="00272505"/>
    <w:rsid w:val="00274BFE"/>
    <w:rsid w:val="00281396"/>
    <w:rsid w:val="002863C0"/>
    <w:rsid w:val="0028712C"/>
    <w:rsid w:val="002908B7"/>
    <w:rsid w:val="002949CA"/>
    <w:rsid w:val="00295C81"/>
    <w:rsid w:val="002A134D"/>
    <w:rsid w:val="002A2F1E"/>
    <w:rsid w:val="002A5495"/>
    <w:rsid w:val="002A7763"/>
    <w:rsid w:val="002A7D6C"/>
    <w:rsid w:val="002B1CCC"/>
    <w:rsid w:val="002B1E38"/>
    <w:rsid w:val="002C2D42"/>
    <w:rsid w:val="002C30AF"/>
    <w:rsid w:val="002C6D00"/>
    <w:rsid w:val="002D278C"/>
    <w:rsid w:val="002D4EC7"/>
    <w:rsid w:val="002D7175"/>
    <w:rsid w:val="002F07D2"/>
    <w:rsid w:val="002F2376"/>
    <w:rsid w:val="002F249A"/>
    <w:rsid w:val="002F2F82"/>
    <w:rsid w:val="002F3222"/>
    <w:rsid w:val="002F3774"/>
    <w:rsid w:val="002F4B6E"/>
    <w:rsid w:val="002F5686"/>
    <w:rsid w:val="0030646A"/>
    <w:rsid w:val="0030679D"/>
    <w:rsid w:val="00306AAD"/>
    <w:rsid w:val="00306DA0"/>
    <w:rsid w:val="0031065F"/>
    <w:rsid w:val="00311C81"/>
    <w:rsid w:val="00313FF6"/>
    <w:rsid w:val="003149E1"/>
    <w:rsid w:val="00316464"/>
    <w:rsid w:val="00317B55"/>
    <w:rsid w:val="0032111C"/>
    <w:rsid w:val="0032153B"/>
    <w:rsid w:val="00323894"/>
    <w:rsid w:val="00327BBF"/>
    <w:rsid w:val="00327EC3"/>
    <w:rsid w:val="0033326B"/>
    <w:rsid w:val="00333CB1"/>
    <w:rsid w:val="00334A0F"/>
    <w:rsid w:val="00334F16"/>
    <w:rsid w:val="0034057A"/>
    <w:rsid w:val="003467E3"/>
    <w:rsid w:val="00347109"/>
    <w:rsid w:val="00347D09"/>
    <w:rsid w:val="0035277C"/>
    <w:rsid w:val="00355453"/>
    <w:rsid w:val="00360CD0"/>
    <w:rsid w:val="00360D94"/>
    <w:rsid w:val="003615BB"/>
    <w:rsid w:val="003643C1"/>
    <w:rsid w:val="00372A31"/>
    <w:rsid w:val="003734C0"/>
    <w:rsid w:val="003759B7"/>
    <w:rsid w:val="00376565"/>
    <w:rsid w:val="00376821"/>
    <w:rsid w:val="003950F4"/>
    <w:rsid w:val="003969FB"/>
    <w:rsid w:val="003A012D"/>
    <w:rsid w:val="003A0963"/>
    <w:rsid w:val="003A1286"/>
    <w:rsid w:val="003A22A3"/>
    <w:rsid w:val="003A22EC"/>
    <w:rsid w:val="003A22EE"/>
    <w:rsid w:val="003A2CE8"/>
    <w:rsid w:val="003A5E9F"/>
    <w:rsid w:val="003A7B8E"/>
    <w:rsid w:val="003B0583"/>
    <w:rsid w:val="003B6CFE"/>
    <w:rsid w:val="003B6D0B"/>
    <w:rsid w:val="003C03A4"/>
    <w:rsid w:val="003C0A7D"/>
    <w:rsid w:val="003C1AF7"/>
    <w:rsid w:val="003C1EBA"/>
    <w:rsid w:val="003C1FAB"/>
    <w:rsid w:val="003C2CAF"/>
    <w:rsid w:val="003D1FB5"/>
    <w:rsid w:val="003D2D8B"/>
    <w:rsid w:val="003D5DC1"/>
    <w:rsid w:val="003D6745"/>
    <w:rsid w:val="003E16B0"/>
    <w:rsid w:val="003E48FF"/>
    <w:rsid w:val="003E50E5"/>
    <w:rsid w:val="003E573A"/>
    <w:rsid w:val="003F4925"/>
    <w:rsid w:val="003F699A"/>
    <w:rsid w:val="00402F2C"/>
    <w:rsid w:val="004065A4"/>
    <w:rsid w:val="00414905"/>
    <w:rsid w:val="00414AF0"/>
    <w:rsid w:val="00417C29"/>
    <w:rsid w:val="004256C2"/>
    <w:rsid w:val="00432B95"/>
    <w:rsid w:val="00440E5A"/>
    <w:rsid w:val="00443D4B"/>
    <w:rsid w:val="00446766"/>
    <w:rsid w:val="00446D99"/>
    <w:rsid w:val="00452176"/>
    <w:rsid w:val="00454748"/>
    <w:rsid w:val="00455A73"/>
    <w:rsid w:val="00455D24"/>
    <w:rsid w:val="004562B9"/>
    <w:rsid w:val="00456614"/>
    <w:rsid w:val="00456936"/>
    <w:rsid w:val="00461AC3"/>
    <w:rsid w:val="00461FD2"/>
    <w:rsid w:val="004627CA"/>
    <w:rsid w:val="00462B7D"/>
    <w:rsid w:val="00463A2C"/>
    <w:rsid w:val="00470ED2"/>
    <w:rsid w:val="00471D18"/>
    <w:rsid w:val="00474414"/>
    <w:rsid w:val="00474A90"/>
    <w:rsid w:val="00482735"/>
    <w:rsid w:val="004868C5"/>
    <w:rsid w:val="004909B7"/>
    <w:rsid w:val="00491630"/>
    <w:rsid w:val="004A0EB9"/>
    <w:rsid w:val="004A30E1"/>
    <w:rsid w:val="004A5D69"/>
    <w:rsid w:val="004A7DD6"/>
    <w:rsid w:val="004B1033"/>
    <w:rsid w:val="004B71B4"/>
    <w:rsid w:val="004B796E"/>
    <w:rsid w:val="004C005B"/>
    <w:rsid w:val="004C02CA"/>
    <w:rsid w:val="004C26D4"/>
    <w:rsid w:val="004C2D79"/>
    <w:rsid w:val="004C5D1A"/>
    <w:rsid w:val="004C638E"/>
    <w:rsid w:val="004C6F7C"/>
    <w:rsid w:val="004D767E"/>
    <w:rsid w:val="004E1432"/>
    <w:rsid w:val="004E1757"/>
    <w:rsid w:val="004E7E4A"/>
    <w:rsid w:val="004F20FD"/>
    <w:rsid w:val="004F3B8D"/>
    <w:rsid w:val="004F73DE"/>
    <w:rsid w:val="005000CD"/>
    <w:rsid w:val="00502CB1"/>
    <w:rsid w:val="00504C8A"/>
    <w:rsid w:val="00506458"/>
    <w:rsid w:val="00507F8D"/>
    <w:rsid w:val="00511B25"/>
    <w:rsid w:val="00513CDF"/>
    <w:rsid w:val="00514B49"/>
    <w:rsid w:val="00515E06"/>
    <w:rsid w:val="00517229"/>
    <w:rsid w:val="00517E75"/>
    <w:rsid w:val="00522C03"/>
    <w:rsid w:val="005239C2"/>
    <w:rsid w:val="00524F51"/>
    <w:rsid w:val="00527704"/>
    <w:rsid w:val="00527C1E"/>
    <w:rsid w:val="00533706"/>
    <w:rsid w:val="00534293"/>
    <w:rsid w:val="005346C9"/>
    <w:rsid w:val="00535D44"/>
    <w:rsid w:val="00537020"/>
    <w:rsid w:val="00537C5C"/>
    <w:rsid w:val="00546CB3"/>
    <w:rsid w:val="005528C8"/>
    <w:rsid w:val="005528EE"/>
    <w:rsid w:val="00553ED8"/>
    <w:rsid w:val="0055429F"/>
    <w:rsid w:val="00560363"/>
    <w:rsid w:val="00560D4C"/>
    <w:rsid w:val="0056468E"/>
    <w:rsid w:val="0057118F"/>
    <w:rsid w:val="005718CF"/>
    <w:rsid w:val="005727DE"/>
    <w:rsid w:val="00572FE1"/>
    <w:rsid w:val="0057386A"/>
    <w:rsid w:val="00575F1D"/>
    <w:rsid w:val="00581ECD"/>
    <w:rsid w:val="0058403F"/>
    <w:rsid w:val="00587005"/>
    <w:rsid w:val="0058735E"/>
    <w:rsid w:val="00590EFB"/>
    <w:rsid w:val="0059291D"/>
    <w:rsid w:val="005936F2"/>
    <w:rsid w:val="005973C9"/>
    <w:rsid w:val="00597C44"/>
    <w:rsid w:val="005A132A"/>
    <w:rsid w:val="005A2BA7"/>
    <w:rsid w:val="005A5086"/>
    <w:rsid w:val="005A5AD9"/>
    <w:rsid w:val="005B2D5F"/>
    <w:rsid w:val="005B3641"/>
    <w:rsid w:val="005B3AC5"/>
    <w:rsid w:val="005B468C"/>
    <w:rsid w:val="005B5AE5"/>
    <w:rsid w:val="005B5F6E"/>
    <w:rsid w:val="005B7183"/>
    <w:rsid w:val="005B73DD"/>
    <w:rsid w:val="005C0623"/>
    <w:rsid w:val="005C23B4"/>
    <w:rsid w:val="005C3D4A"/>
    <w:rsid w:val="005C4EEC"/>
    <w:rsid w:val="005C584A"/>
    <w:rsid w:val="005C6301"/>
    <w:rsid w:val="005C6747"/>
    <w:rsid w:val="005D3374"/>
    <w:rsid w:val="005D3BA1"/>
    <w:rsid w:val="005D3E8B"/>
    <w:rsid w:val="005E4896"/>
    <w:rsid w:val="005E502A"/>
    <w:rsid w:val="005E517B"/>
    <w:rsid w:val="005E5808"/>
    <w:rsid w:val="005E5EBD"/>
    <w:rsid w:val="005E6E64"/>
    <w:rsid w:val="005E71C8"/>
    <w:rsid w:val="005F0051"/>
    <w:rsid w:val="005F013B"/>
    <w:rsid w:val="005F4D35"/>
    <w:rsid w:val="005F77B1"/>
    <w:rsid w:val="00606EDF"/>
    <w:rsid w:val="00611034"/>
    <w:rsid w:val="00611336"/>
    <w:rsid w:val="0061294F"/>
    <w:rsid w:val="0061582B"/>
    <w:rsid w:val="00615849"/>
    <w:rsid w:val="00615FFD"/>
    <w:rsid w:val="006202A7"/>
    <w:rsid w:val="00623DE0"/>
    <w:rsid w:val="00624735"/>
    <w:rsid w:val="00626806"/>
    <w:rsid w:val="00627D44"/>
    <w:rsid w:val="00637979"/>
    <w:rsid w:val="006402C8"/>
    <w:rsid w:val="00642959"/>
    <w:rsid w:val="00653531"/>
    <w:rsid w:val="00665686"/>
    <w:rsid w:val="00671802"/>
    <w:rsid w:val="00672335"/>
    <w:rsid w:val="00672CDA"/>
    <w:rsid w:val="00674925"/>
    <w:rsid w:val="00683D84"/>
    <w:rsid w:val="006849BE"/>
    <w:rsid w:val="00685825"/>
    <w:rsid w:val="00685AEB"/>
    <w:rsid w:val="00693DCC"/>
    <w:rsid w:val="0069559A"/>
    <w:rsid w:val="006A1B16"/>
    <w:rsid w:val="006A2504"/>
    <w:rsid w:val="006A2D91"/>
    <w:rsid w:val="006A3CAE"/>
    <w:rsid w:val="006A4EC2"/>
    <w:rsid w:val="006A6C43"/>
    <w:rsid w:val="006B1895"/>
    <w:rsid w:val="006B4F53"/>
    <w:rsid w:val="006C51C7"/>
    <w:rsid w:val="006C5886"/>
    <w:rsid w:val="006C6941"/>
    <w:rsid w:val="006C7D5A"/>
    <w:rsid w:val="006C7EE7"/>
    <w:rsid w:val="006D13B5"/>
    <w:rsid w:val="006E47FA"/>
    <w:rsid w:val="006E48E1"/>
    <w:rsid w:val="006E50E0"/>
    <w:rsid w:val="006E5CC0"/>
    <w:rsid w:val="006F14B8"/>
    <w:rsid w:val="006F3C7C"/>
    <w:rsid w:val="006F6D74"/>
    <w:rsid w:val="00703D58"/>
    <w:rsid w:val="00706F73"/>
    <w:rsid w:val="0071018B"/>
    <w:rsid w:val="007106D3"/>
    <w:rsid w:val="00720249"/>
    <w:rsid w:val="007219CD"/>
    <w:rsid w:val="00722575"/>
    <w:rsid w:val="00723654"/>
    <w:rsid w:val="00724F33"/>
    <w:rsid w:val="007356EA"/>
    <w:rsid w:val="0073666E"/>
    <w:rsid w:val="00737EC6"/>
    <w:rsid w:val="00740250"/>
    <w:rsid w:val="00743433"/>
    <w:rsid w:val="00750E1B"/>
    <w:rsid w:val="00751BE3"/>
    <w:rsid w:val="00752132"/>
    <w:rsid w:val="00753D7C"/>
    <w:rsid w:val="0075703A"/>
    <w:rsid w:val="007621A6"/>
    <w:rsid w:val="007677B3"/>
    <w:rsid w:val="00771350"/>
    <w:rsid w:val="00772E9B"/>
    <w:rsid w:val="00773FE1"/>
    <w:rsid w:val="00776579"/>
    <w:rsid w:val="0077754C"/>
    <w:rsid w:val="00777786"/>
    <w:rsid w:val="00777AA4"/>
    <w:rsid w:val="00782992"/>
    <w:rsid w:val="00785351"/>
    <w:rsid w:val="0079401E"/>
    <w:rsid w:val="007A296C"/>
    <w:rsid w:val="007A4873"/>
    <w:rsid w:val="007B0D05"/>
    <w:rsid w:val="007C1526"/>
    <w:rsid w:val="007C454F"/>
    <w:rsid w:val="007C62DE"/>
    <w:rsid w:val="007D0C27"/>
    <w:rsid w:val="007D1D15"/>
    <w:rsid w:val="007E0E07"/>
    <w:rsid w:val="007E22B7"/>
    <w:rsid w:val="007E2823"/>
    <w:rsid w:val="007E41BE"/>
    <w:rsid w:val="007E434C"/>
    <w:rsid w:val="007E46FD"/>
    <w:rsid w:val="007E4CD8"/>
    <w:rsid w:val="007E6789"/>
    <w:rsid w:val="007F3DA4"/>
    <w:rsid w:val="007F5571"/>
    <w:rsid w:val="008021A8"/>
    <w:rsid w:val="00802A2C"/>
    <w:rsid w:val="00803564"/>
    <w:rsid w:val="008054EF"/>
    <w:rsid w:val="00806BDC"/>
    <w:rsid w:val="0080756E"/>
    <w:rsid w:val="008110D0"/>
    <w:rsid w:val="00813058"/>
    <w:rsid w:val="00815351"/>
    <w:rsid w:val="008158E7"/>
    <w:rsid w:val="00817C77"/>
    <w:rsid w:val="008225AA"/>
    <w:rsid w:val="0082520A"/>
    <w:rsid w:val="00826562"/>
    <w:rsid w:val="00827250"/>
    <w:rsid w:val="00830043"/>
    <w:rsid w:val="008352D0"/>
    <w:rsid w:val="00835C58"/>
    <w:rsid w:val="00842D4A"/>
    <w:rsid w:val="008454BE"/>
    <w:rsid w:val="008524C3"/>
    <w:rsid w:val="008534B7"/>
    <w:rsid w:val="008537BB"/>
    <w:rsid w:val="00860803"/>
    <w:rsid w:val="00861711"/>
    <w:rsid w:val="00861DDC"/>
    <w:rsid w:val="00861DF0"/>
    <w:rsid w:val="00863FC1"/>
    <w:rsid w:val="00866021"/>
    <w:rsid w:val="008675ED"/>
    <w:rsid w:val="00873373"/>
    <w:rsid w:val="00875B5C"/>
    <w:rsid w:val="008804EE"/>
    <w:rsid w:val="00880D7F"/>
    <w:rsid w:val="0088329B"/>
    <w:rsid w:val="0088387F"/>
    <w:rsid w:val="0088470E"/>
    <w:rsid w:val="008866B6"/>
    <w:rsid w:val="00890E38"/>
    <w:rsid w:val="0089318A"/>
    <w:rsid w:val="00893815"/>
    <w:rsid w:val="00893FA6"/>
    <w:rsid w:val="008A0746"/>
    <w:rsid w:val="008A1A34"/>
    <w:rsid w:val="008A3F60"/>
    <w:rsid w:val="008A4090"/>
    <w:rsid w:val="008B4EEF"/>
    <w:rsid w:val="008B4FB4"/>
    <w:rsid w:val="008B694C"/>
    <w:rsid w:val="008B7CB9"/>
    <w:rsid w:val="008C1CCA"/>
    <w:rsid w:val="008D11BD"/>
    <w:rsid w:val="008D43AB"/>
    <w:rsid w:val="008D66B7"/>
    <w:rsid w:val="008D6CEC"/>
    <w:rsid w:val="008D6DE4"/>
    <w:rsid w:val="008E2F7B"/>
    <w:rsid w:val="008E62A1"/>
    <w:rsid w:val="008F04AB"/>
    <w:rsid w:val="008F0B5B"/>
    <w:rsid w:val="008F0F8D"/>
    <w:rsid w:val="008F305A"/>
    <w:rsid w:val="008F7AE6"/>
    <w:rsid w:val="00900338"/>
    <w:rsid w:val="00900A70"/>
    <w:rsid w:val="00901CEF"/>
    <w:rsid w:val="00902006"/>
    <w:rsid w:val="00902092"/>
    <w:rsid w:val="0090459B"/>
    <w:rsid w:val="00905C66"/>
    <w:rsid w:val="00907AC0"/>
    <w:rsid w:val="0091234F"/>
    <w:rsid w:val="00912AF0"/>
    <w:rsid w:val="00915442"/>
    <w:rsid w:val="00921769"/>
    <w:rsid w:val="00921D53"/>
    <w:rsid w:val="00925828"/>
    <w:rsid w:val="009353E2"/>
    <w:rsid w:val="009362CA"/>
    <w:rsid w:val="009363DE"/>
    <w:rsid w:val="00936B65"/>
    <w:rsid w:val="009371AB"/>
    <w:rsid w:val="00944C66"/>
    <w:rsid w:val="00946D78"/>
    <w:rsid w:val="009477FD"/>
    <w:rsid w:val="00947C03"/>
    <w:rsid w:val="0095139B"/>
    <w:rsid w:val="009517EB"/>
    <w:rsid w:val="0095306A"/>
    <w:rsid w:val="0095485D"/>
    <w:rsid w:val="00956B4C"/>
    <w:rsid w:val="009613D0"/>
    <w:rsid w:val="009622BE"/>
    <w:rsid w:val="009625C2"/>
    <w:rsid w:val="009626D9"/>
    <w:rsid w:val="00963E58"/>
    <w:rsid w:val="009647DE"/>
    <w:rsid w:val="00964F7C"/>
    <w:rsid w:val="009734C8"/>
    <w:rsid w:val="0097493A"/>
    <w:rsid w:val="00977A03"/>
    <w:rsid w:val="00980B48"/>
    <w:rsid w:val="009840C6"/>
    <w:rsid w:val="0099111F"/>
    <w:rsid w:val="00991ACA"/>
    <w:rsid w:val="009947FD"/>
    <w:rsid w:val="009949F0"/>
    <w:rsid w:val="0099607D"/>
    <w:rsid w:val="009A1DA9"/>
    <w:rsid w:val="009A29EE"/>
    <w:rsid w:val="009A339B"/>
    <w:rsid w:val="009A4F24"/>
    <w:rsid w:val="009A5574"/>
    <w:rsid w:val="009A5FD6"/>
    <w:rsid w:val="009A7D67"/>
    <w:rsid w:val="009B05BC"/>
    <w:rsid w:val="009B3580"/>
    <w:rsid w:val="009C0350"/>
    <w:rsid w:val="009C0B57"/>
    <w:rsid w:val="009C0C3E"/>
    <w:rsid w:val="009C101D"/>
    <w:rsid w:val="009C203C"/>
    <w:rsid w:val="009C6F16"/>
    <w:rsid w:val="009D0F0A"/>
    <w:rsid w:val="009D36BB"/>
    <w:rsid w:val="009D553B"/>
    <w:rsid w:val="009D645A"/>
    <w:rsid w:val="009D7C6C"/>
    <w:rsid w:val="009E1B26"/>
    <w:rsid w:val="009E20E9"/>
    <w:rsid w:val="009E3690"/>
    <w:rsid w:val="009E41ED"/>
    <w:rsid w:val="009F641D"/>
    <w:rsid w:val="00A03661"/>
    <w:rsid w:val="00A05EEF"/>
    <w:rsid w:val="00A11147"/>
    <w:rsid w:val="00A11209"/>
    <w:rsid w:val="00A11805"/>
    <w:rsid w:val="00A1248D"/>
    <w:rsid w:val="00A12E82"/>
    <w:rsid w:val="00A20854"/>
    <w:rsid w:val="00A21E94"/>
    <w:rsid w:val="00A22714"/>
    <w:rsid w:val="00A250B4"/>
    <w:rsid w:val="00A3541A"/>
    <w:rsid w:val="00A40A1B"/>
    <w:rsid w:val="00A5085B"/>
    <w:rsid w:val="00A55934"/>
    <w:rsid w:val="00A5680D"/>
    <w:rsid w:val="00A576DA"/>
    <w:rsid w:val="00A57CF2"/>
    <w:rsid w:val="00A6095F"/>
    <w:rsid w:val="00A614DF"/>
    <w:rsid w:val="00A61F8D"/>
    <w:rsid w:val="00A650A1"/>
    <w:rsid w:val="00A66C47"/>
    <w:rsid w:val="00A7226F"/>
    <w:rsid w:val="00A7331C"/>
    <w:rsid w:val="00A754D5"/>
    <w:rsid w:val="00A767CA"/>
    <w:rsid w:val="00A7759A"/>
    <w:rsid w:val="00A80B0E"/>
    <w:rsid w:val="00A846E5"/>
    <w:rsid w:val="00AA1CCD"/>
    <w:rsid w:val="00AA33A8"/>
    <w:rsid w:val="00AA6075"/>
    <w:rsid w:val="00AA6636"/>
    <w:rsid w:val="00AA7E80"/>
    <w:rsid w:val="00AB24FA"/>
    <w:rsid w:val="00AC1F9E"/>
    <w:rsid w:val="00AC3124"/>
    <w:rsid w:val="00AC3871"/>
    <w:rsid w:val="00AC390E"/>
    <w:rsid w:val="00AC4A7F"/>
    <w:rsid w:val="00AD3B91"/>
    <w:rsid w:val="00AD4745"/>
    <w:rsid w:val="00AD7B57"/>
    <w:rsid w:val="00AE4760"/>
    <w:rsid w:val="00AE4EA9"/>
    <w:rsid w:val="00AE6049"/>
    <w:rsid w:val="00AF0650"/>
    <w:rsid w:val="00AF1163"/>
    <w:rsid w:val="00AF30AF"/>
    <w:rsid w:val="00AF43DB"/>
    <w:rsid w:val="00AF7EA1"/>
    <w:rsid w:val="00B04725"/>
    <w:rsid w:val="00B04D45"/>
    <w:rsid w:val="00B0565F"/>
    <w:rsid w:val="00B05CF6"/>
    <w:rsid w:val="00B06888"/>
    <w:rsid w:val="00B10585"/>
    <w:rsid w:val="00B139C1"/>
    <w:rsid w:val="00B1769B"/>
    <w:rsid w:val="00B20487"/>
    <w:rsid w:val="00B20A16"/>
    <w:rsid w:val="00B21DE6"/>
    <w:rsid w:val="00B34386"/>
    <w:rsid w:val="00B34862"/>
    <w:rsid w:val="00B403FA"/>
    <w:rsid w:val="00B50F08"/>
    <w:rsid w:val="00B513E0"/>
    <w:rsid w:val="00B51915"/>
    <w:rsid w:val="00B523F8"/>
    <w:rsid w:val="00B532BE"/>
    <w:rsid w:val="00B65706"/>
    <w:rsid w:val="00B67AB1"/>
    <w:rsid w:val="00B713CB"/>
    <w:rsid w:val="00B71627"/>
    <w:rsid w:val="00B7194A"/>
    <w:rsid w:val="00B8245E"/>
    <w:rsid w:val="00B83154"/>
    <w:rsid w:val="00B8421B"/>
    <w:rsid w:val="00B846BC"/>
    <w:rsid w:val="00B84BA8"/>
    <w:rsid w:val="00B87080"/>
    <w:rsid w:val="00B87CD0"/>
    <w:rsid w:val="00B87FC9"/>
    <w:rsid w:val="00B92B9C"/>
    <w:rsid w:val="00B95F73"/>
    <w:rsid w:val="00B97A81"/>
    <w:rsid w:val="00B97B2C"/>
    <w:rsid w:val="00BA0550"/>
    <w:rsid w:val="00BA6A5D"/>
    <w:rsid w:val="00BB06AE"/>
    <w:rsid w:val="00BB0DAA"/>
    <w:rsid w:val="00BB27C4"/>
    <w:rsid w:val="00BB4380"/>
    <w:rsid w:val="00BB7F5B"/>
    <w:rsid w:val="00BC04C5"/>
    <w:rsid w:val="00BC3A7A"/>
    <w:rsid w:val="00BC509E"/>
    <w:rsid w:val="00BC5945"/>
    <w:rsid w:val="00BD2C8D"/>
    <w:rsid w:val="00BD55FE"/>
    <w:rsid w:val="00BD59CE"/>
    <w:rsid w:val="00BD5C20"/>
    <w:rsid w:val="00BD5D0F"/>
    <w:rsid w:val="00BE3010"/>
    <w:rsid w:val="00BE3B39"/>
    <w:rsid w:val="00BF07BF"/>
    <w:rsid w:val="00BF4520"/>
    <w:rsid w:val="00C01D9F"/>
    <w:rsid w:val="00C05F12"/>
    <w:rsid w:val="00C12BC6"/>
    <w:rsid w:val="00C1448B"/>
    <w:rsid w:val="00C14B79"/>
    <w:rsid w:val="00C166EF"/>
    <w:rsid w:val="00C17A2E"/>
    <w:rsid w:val="00C237A6"/>
    <w:rsid w:val="00C24AAB"/>
    <w:rsid w:val="00C3097E"/>
    <w:rsid w:val="00C31D85"/>
    <w:rsid w:val="00C34A14"/>
    <w:rsid w:val="00C37692"/>
    <w:rsid w:val="00C41C53"/>
    <w:rsid w:val="00C44CF2"/>
    <w:rsid w:val="00C473EB"/>
    <w:rsid w:val="00C52956"/>
    <w:rsid w:val="00C54358"/>
    <w:rsid w:val="00C62BCD"/>
    <w:rsid w:val="00C63E0D"/>
    <w:rsid w:val="00C70D25"/>
    <w:rsid w:val="00C72CF6"/>
    <w:rsid w:val="00C749ED"/>
    <w:rsid w:val="00C74E65"/>
    <w:rsid w:val="00C7511E"/>
    <w:rsid w:val="00C80C88"/>
    <w:rsid w:val="00C8203B"/>
    <w:rsid w:val="00C820DD"/>
    <w:rsid w:val="00C83DB8"/>
    <w:rsid w:val="00C850AF"/>
    <w:rsid w:val="00C90301"/>
    <w:rsid w:val="00C91E81"/>
    <w:rsid w:val="00C92C74"/>
    <w:rsid w:val="00C96119"/>
    <w:rsid w:val="00C96D8C"/>
    <w:rsid w:val="00CA13BD"/>
    <w:rsid w:val="00CA407B"/>
    <w:rsid w:val="00CA51F0"/>
    <w:rsid w:val="00CA5727"/>
    <w:rsid w:val="00CA60F1"/>
    <w:rsid w:val="00CA63F0"/>
    <w:rsid w:val="00CA6C7A"/>
    <w:rsid w:val="00CA7C1C"/>
    <w:rsid w:val="00CB0C9A"/>
    <w:rsid w:val="00CB1A2B"/>
    <w:rsid w:val="00CB1A73"/>
    <w:rsid w:val="00CB34E6"/>
    <w:rsid w:val="00CB626A"/>
    <w:rsid w:val="00CB77DA"/>
    <w:rsid w:val="00CC1DA7"/>
    <w:rsid w:val="00CC2962"/>
    <w:rsid w:val="00CC2F6A"/>
    <w:rsid w:val="00CD02B1"/>
    <w:rsid w:val="00CD3B8B"/>
    <w:rsid w:val="00CD4479"/>
    <w:rsid w:val="00CD53A8"/>
    <w:rsid w:val="00CD5B97"/>
    <w:rsid w:val="00CD5BB2"/>
    <w:rsid w:val="00CD692B"/>
    <w:rsid w:val="00CE4FF8"/>
    <w:rsid w:val="00CE5ACA"/>
    <w:rsid w:val="00CE767C"/>
    <w:rsid w:val="00CF63C0"/>
    <w:rsid w:val="00D12A36"/>
    <w:rsid w:val="00D12F28"/>
    <w:rsid w:val="00D14811"/>
    <w:rsid w:val="00D16F44"/>
    <w:rsid w:val="00D17303"/>
    <w:rsid w:val="00D266A3"/>
    <w:rsid w:val="00D30DE4"/>
    <w:rsid w:val="00D31E5E"/>
    <w:rsid w:val="00D32AB0"/>
    <w:rsid w:val="00D41385"/>
    <w:rsid w:val="00D42C9A"/>
    <w:rsid w:val="00D4384B"/>
    <w:rsid w:val="00D43FA9"/>
    <w:rsid w:val="00D43FD5"/>
    <w:rsid w:val="00D45AC2"/>
    <w:rsid w:val="00D60F44"/>
    <w:rsid w:val="00D61CF4"/>
    <w:rsid w:val="00D63CE5"/>
    <w:rsid w:val="00D6450F"/>
    <w:rsid w:val="00D65739"/>
    <w:rsid w:val="00D6784C"/>
    <w:rsid w:val="00D67AE1"/>
    <w:rsid w:val="00D67B8F"/>
    <w:rsid w:val="00D67BFC"/>
    <w:rsid w:val="00D752BC"/>
    <w:rsid w:val="00D75979"/>
    <w:rsid w:val="00D764C9"/>
    <w:rsid w:val="00D76B88"/>
    <w:rsid w:val="00D807F2"/>
    <w:rsid w:val="00D80A9D"/>
    <w:rsid w:val="00D8149C"/>
    <w:rsid w:val="00D818FF"/>
    <w:rsid w:val="00D83711"/>
    <w:rsid w:val="00D86963"/>
    <w:rsid w:val="00D86A15"/>
    <w:rsid w:val="00D90E72"/>
    <w:rsid w:val="00D91DDD"/>
    <w:rsid w:val="00D92F5D"/>
    <w:rsid w:val="00D95FFA"/>
    <w:rsid w:val="00D97973"/>
    <w:rsid w:val="00DA0738"/>
    <w:rsid w:val="00DA08D0"/>
    <w:rsid w:val="00DA404B"/>
    <w:rsid w:val="00DA4ACC"/>
    <w:rsid w:val="00DA78BD"/>
    <w:rsid w:val="00DB04DD"/>
    <w:rsid w:val="00DB1F05"/>
    <w:rsid w:val="00DB619C"/>
    <w:rsid w:val="00DB731C"/>
    <w:rsid w:val="00DC161F"/>
    <w:rsid w:val="00DC256F"/>
    <w:rsid w:val="00DC2938"/>
    <w:rsid w:val="00DC3638"/>
    <w:rsid w:val="00DC3970"/>
    <w:rsid w:val="00DC61A0"/>
    <w:rsid w:val="00DD08C4"/>
    <w:rsid w:val="00DD2248"/>
    <w:rsid w:val="00DD396E"/>
    <w:rsid w:val="00DD6AC8"/>
    <w:rsid w:val="00DE0629"/>
    <w:rsid w:val="00DE1618"/>
    <w:rsid w:val="00DE29A8"/>
    <w:rsid w:val="00DE5AD0"/>
    <w:rsid w:val="00DE5C8B"/>
    <w:rsid w:val="00DE5DA3"/>
    <w:rsid w:val="00DF0434"/>
    <w:rsid w:val="00DF1090"/>
    <w:rsid w:val="00E003CC"/>
    <w:rsid w:val="00E00B4E"/>
    <w:rsid w:val="00E02666"/>
    <w:rsid w:val="00E063BC"/>
    <w:rsid w:val="00E11FBC"/>
    <w:rsid w:val="00E15C97"/>
    <w:rsid w:val="00E16A46"/>
    <w:rsid w:val="00E212EA"/>
    <w:rsid w:val="00E217D5"/>
    <w:rsid w:val="00E222B0"/>
    <w:rsid w:val="00E22EC9"/>
    <w:rsid w:val="00E23233"/>
    <w:rsid w:val="00E24AE8"/>
    <w:rsid w:val="00E2552E"/>
    <w:rsid w:val="00E262DE"/>
    <w:rsid w:val="00E2772E"/>
    <w:rsid w:val="00E279E0"/>
    <w:rsid w:val="00E317F6"/>
    <w:rsid w:val="00E331AF"/>
    <w:rsid w:val="00E33F2D"/>
    <w:rsid w:val="00E403E5"/>
    <w:rsid w:val="00E41377"/>
    <w:rsid w:val="00E41ABB"/>
    <w:rsid w:val="00E42702"/>
    <w:rsid w:val="00E437FF"/>
    <w:rsid w:val="00E448FD"/>
    <w:rsid w:val="00E44A04"/>
    <w:rsid w:val="00E453E9"/>
    <w:rsid w:val="00E479E1"/>
    <w:rsid w:val="00E52540"/>
    <w:rsid w:val="00E52E51"/>
    <w:rsid w:val="00E54202"/>
    <w:rsid w:val="00E56EEB"/>
    <w:rsid w:val="00E5772E"/>
    <w:rsid w:val="00E5779C"/>
    <w:rsid w:val="00E70209"/>
    <w:rsid w:val="00E70859"/>
    <w:rsid w:val="00E70A46"/>
    <w:rsid w:val="00E730BD"/>
    <w:rsid w:val="00E7573D"/>
    <w:rsid w:val="00E81D02"/>
    <w:rsid w:val="00E826C4"/>
    <w:rsid w:val="00E84AAA"/>
    <w:rsid w:val="00E864C2"/>
    <w:rsid w:val="00E87E71"/>
    <w:rsid w:val="00E91C1C"/>
    <w:rsid w:val="00E939E2"/>
    <w:rsid w:val="00E958C0"/>
    <w:rsid w:val="00EA0B17"/>
    <w:rsid w:val="00EA1780"/>
    <w:rsid w:val="00EA256B"/>
    <w:rsid w:val="00EA26E1"/>
    <w:rsid w:val="00EA359A"/>
    <w:rsid w:val="00EA45B0"/>
    <w:rsid w:val="00EB1382"/>
    <w:rsid w:val="00EB168D"/>
    <w:rsid w:val="00EB2331"/>
    <w:rsid w:val="00EB24D7"/>
    <w:rsid w:val="00EB6F56"/>
    <w:rsid w:val="00EB7B38"/>
    <w:rsid w:val="00EC0C00"/>
    <w:rsid w:val="00EC0FAA"/>
    <w:rsid w:val="00EC16B6"/>
    <w:rsid w:val="00EC4514"/>
    <w:rsid w:val="00ED0606"/>
    <w:rsid w:val="00ED1329"/>
    <w:rsid w:val="00ED1C26"/>
    <w:rsid w:val="00ED61D8"/>
    <w:rsid w:val="00ED64B1"/>
    <w:rsid w:val="00EE19C1"/>
    <w:rsid w:val="00EE2460"/>
    <w:rsid w:val="00EE404B"/>
    <w:rsid w:val="00EE5F70"/>
    <w:rsid w:val="00EE6350"/>
    <w:rsid w:val="00EE78EA"/>
    <w:rsid w:val="00EF2FB7"/>
    <w:rsid w:val="00EF5A86"/>
    <w:rsid w:val="00EF7D74"/>
    <w:rsid w:val="00F05502"/>
    <w:rsid w:val="00F11A89"/>
    <w:rsid w:val="00F136D8"/>
    <w:rsid w:val="00F17392"/>
    <w:rsid w:val="00F1793C"/>
    <w:rsid w:val="00F20514"/>
    <w:rsid w:val="00F213FD"/>
    <w:rsid w:val="00F21B06"/>
    <w:rsid w:val="00F254D7"/>
    <w:rsid w:val="00F31E98"/>
    <w:rsid w:val="00F35421"/>
    <w:rsid w:val="00F37CC3"/>
    <w:rsid w:val="00F4164D"/>
    <w:rsid w:val="00F41FA6"/>
    <w:rsid w:val="00F4270C"/>
    <w:rsid w:val="00F462D6"/>
    <w:rsid w:val="00F46F96"/>
    <w:rsid w:val="00F47487"/>
    <w:rsid w:val="00F51DE3"/>
    <w:rsid w:val="00F52487"/>
    <w:rsid w:val="00F54132"/>
    <w:rsid w:val="00F55A3B"/>
    <w:rsid w:val="00F57904"/>
    <w:rsid w:val="00F60225"/>
    <w:rsid w:val="00F63B1B"/>
    <w:rsid w:val="00F640AD"/>
    <w:rsid w:val="00F71295"/>
    <w:rsid w:val="00F741BE"/>
    <w:rsid w:val="00F772A5"/>
    <w:rsid w:val="00F77F34"/>
    <w:rsid w:val="00F81DDD"/>
    <w:rsid w:val="00F829EF"/>
    <w:rsid w:val="00F83305"/>
    <w:rsid w:val="00F91518"/>
    <w:rsid w:val="00F94566"/>
    <w:rsid w:val="00F97682"/>
    <w:rsid w:val="00FA029B"/>
    <w:rsid w:val="00FA073B"/>
    <w:rsid w:val="00FA098D"/>
    <w:rsid w:val="00FA18EA"/>
    <w:rsid w:val="00FA22CD"/>
    <w:rsid w:val="00FA3631"/>
    <w:rsid w:val="00FA6A41"/>
    <w:rsid w:val="00FA7BD9"/>
    <w:rsid w:val="00FC08E6"/>
    <w:rsid w:val="00FC0ABB"/>
    <w:rsid w:val="00FC1FB7"/>
    <w:rsid w:val="00FC2A24"/>
    <w:rsid w:val="00FC3921"/>
    <w:rsid w:val="00FC40B8"/>
    <w:rsid w:val="00FC5195"/>
    <w:rsid w:val="00FC63E6"/>
    <w:rsid w:val="00FD0E3D"/>
    <w:rsid w:val="00FD6E59"/>
    <w:rsid w:val="00FE01AE"/>
    <w:rsid w:val="00FE1737"/>
    <w:rsid w:val="00FE1D34"/>
    <w:rsid w:val="00FE7606"/>
    <w:rsid w:val="00FE77FF"/>
    <w:rsid w:val="00FF111A"/>
    <w:rsid w:val="00FF2092"/>
    <w:rsid w:val="00FF74E5"/>
    <w:rsid w:val="00FF7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1F6C0"/>
  <w15:chartTrackingRefBased/>
  <w15:docId w15:val="{F864C5E0-F664-4B06-9694-0FE11CB3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7F"/>
    <w:pPr>
      <w:jc w:val="both"/>
    </w:pPr>
    <w:rPr>
      <w:sz w:val="22"/>
      <w:szCs w:val="22"/>
      <w:lang w:val="en-GB" w:eastAsia="en-US"/>
    </w:rPr>
  </w:style>
  <w:style w:type="paragraph" w:styleId="Heading1">
    <w:name w:val="heading 1"/>
    <w:basedOn w:val="Normal"/>
    <w:next w:val="Normal"/>
    <w:link w:val="Heading1Char"/>
    <w:qFormat/>
    <w:rsid w:val="00C52956"/>
    <w:pPr>
      <w:keepNext/>
      <w:jc w:val="left"/>
      <w:outlineLvl w:val="0"/>
    </w:pPr>
    <w:rPr>
      <w:rFonts w:eastAsia="Times New Roman" w:cs="Arial"/>
      <w:b/>
      <w:bCs/>
      <w:caps/>
      <w:kern w:val="32"/>
      <w:sz w:val="24"/>
      <w:szCs w:val="32"/>
      <w:u w:val="single"/>
      <w:lang w:val="en-US"/>
    </w:rPr>
  </w:style>
  <w:style w:type="paragraph" w:styleId="Heading2">
    <w:name w:val="heading 2"/>
    <w:basedOn w:val="Heading1"/>
    <w:link w:val="Heading2Char"/>
    <w:qFormat/>
    <w:rsid w:val="00902006"/>
    <w:pPr>
      <w:keepNext w:val="0"/>
      <w:widowControl w:val="0"/>
      <w:tabs>
        <w:tab w:val="num"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ind w:left="1871" w:hanging="1009"/>
      <w:jc w:val="both"/>
      <w:outlineLvl w:val="1"/>
    </w:pPr>
    <w:rPr>
      <w:rFonts w:ascii="Arial" w:hAnsi="Arial" w:cs="Times New Roman"/>
      <w:b w:val="0"/>
      <w:bCs w:val="0"/>
      <w:caps w:val="0"/>
      <w:kern w:val="25"/>
      <w:sz w:val="25"/>
      <w:szCs w:val="20"/>
      <w:u w:val="none"/>
      <w:lang w:val="en-ZA"/>
    </w:rPr>
  </w:style>
  <w:style w:type="paragraph" w:styleId="Heading3">
    <w:name w:val="heading 3"/>
    <w:basedOn w:val="Heading2"/>
    <w:link w:val="Heading3Char"/>
    <w:qFormat/>
    <w:rsid w:val="00902006"/>
    <w:pPr>
      <w:tabs>
        <w:tab w:val="clear" w:pos="1871"/>
        <w:tab w:val="num" w:pos="3022"/>
      </w:tabs>
      <w:ind w:left="3022" w:hanging="1151"/>
      <w:outlineLvl w:val="2"/>
    </w:pPr>
  </w:style>
  <w:style w:type="paragraph" w:styleId="Heading4">
    <w:name w:val="heading 4"/>
    <w:basedOn w:val="Heading3"/>
    <w:link w:val="Heading4Char"/>
    <w:qFormat/>
    <w:rsid w:val="00902006"/>
    <w:pPr>
      <w:tabs>
        <w:tab w:val="clear" w:pos="3022"/>
        <w:tab w:val="num" w:pos="4321"/>
      </w:tabs>
      <w:ind w:left="4321" w:hanging="1299"/>
      <w:outlineLvl w:val="3"/>
    </w:pPr>
  </w:style>
  <w:style w:type="paragraph" w:styleId="Heading5">
    <w:name w:val="heading 5"/>
    <w:basedOn w:val="Heading4"/>
    <w:next w:val="Normal"/>
    <w:link w:val="Heading5Char"/>
    <w:qFormat/>
    <w:rsid w:val="00902006"/>
    <w:pPr>
      <w:tabs>
        <w:tab w:val="clear" w:pos="4321"/>
        <w:tab w:val="num" w:pos="5761"/>
      </w:tabs>
      <w:ind w:left="5761" w:hanging="14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B49"/>
    <w:pPr>
      <w:tabs>
        <w:tab w:val="center" w:pos="4513"/>
        <w:tab w:val="right" w:pos="9026"/>
      </w:tabs>
    </w:pPr>
  </w:style>
  <w:style w:type="character" w:customStyle="1" w:styleId="HeaderChar">
    <w:name w:val="Header Char"/>
    <w:link w:val="Header"/>
    <w:uiPriority w:val="99"/>
    <w:rsid w:val="00514B49"/>
    <w:rPr>
      <w:rFonts w:cs="Times New Roman"/>
    </w:rPr>
  </w:style>
  <w:style w:type="paragraph" w:styleId="Footer">
    <w:name w:val="footer"/>
    <w:basedOn w:val="Normal"/>
    <w:link w:val="FooterChar"/>
    <w:uiPriority w:val="99"/>
    <w:unhideWhenUsed/>
    <w:rsid w:val="00514B49"/>
    <w:pPr>
      <w:tabs>
        <w:tab w:val="center" w:pos="4513"/>
        <w:tab w:val="right" w:pos="9026"/>
      </w:tabs>
    </w:pPr>
  </w:style>
  <w:style w:type="character" w:customStyle="1" w:styleId="FooterChar">
    <w:name w:val="Footer Char"/>
    <w:link w:val="Footer"/>
    <w:uiPriority w:val="99"/>
    <w:rsid w:val="00514B49"/>
    <w:rPr>
      <w:rFonts w:cs="Times New Roman"/>
    </w:rPr>
  </w:style>
  <w:style w:type="paragraph" w:styleId="ListParagraph">
    <w:name w:val="List Paragraph"/>
    <w:basedOn w:val="Normal"/>
    <w:uiPriority w:val="34"/>
    <w:qFormat/>
    <w:rsid w:val="003D5DC1"/>
    <w:pPr>
      <w:ind w:left="720"/>
      <w:contextualSpacing/>
    </w:pPr>
  </w:style>
  <w:style w:type="paragraph" w:styleId="FootnoteText">
    <w:name w:val="footnote text"/>
    <w:basedOn w:val="Normal"/>
    <w:link w:val="FootnoteTextChar"/>
    <w:uiPriority w:val="99"/>
    <w:unhideWhenUsed/>
    <w:rsid w:val="00560363"/>
    <w:pPr>
      <w:tabs>
        <w:tab w:val="left" w:pos="567"/>
      </w:tabs>
    </w:pPr>
    <w:rPr>
      <w:rFonts w:ascii="Arial" w:hAnsi="Arial"/>
      <w:sz w:val="20"/>
      <w:szCs w:val="20"/>
    </w:rPr>
  </w:style>
  <w:style w:type="character" w:customStyle="1" w:styleId="FootnoteTextChar">
    <w:name w:val="Footnote Text Char"/>
    <w:link w:val="FootnoteText"/>
    <w:uiPriority w:val="99"/>
    <w:rsid w:val="00560363"/>
    <w:rPr>
      <w:rFonts w:ascii="Arial" w:hAnsi="Arial"/>
      <w:lang w:eastAsia="en-US"/>
    </w:rPr>
  </w:style>
  <w:style w:type="character" w:styleId="FootnoteReference">
    <w:name w:val="footnote reference"/>
    <w:uiPriority w:val="99"/>
    <w:semiHidden/>
    <w:unhideWhenUsed/>
    <w:rsid w:val="003D5DC1"/>
    <w:rPr>
      <w:vertAlign w:val="superscript"/>
    </w:rPr>
  </w:style>
  <w:style w:type="character" w:customStyle="1" w:styleId="Heading1Char">
    <w:name w:val="Heading 1 Char"/>
    <w:link w:val="Heading1"/>
    <w:rsid w:val="00C52956"/>
    <w:rPr>
      <w:rFonts w:eastAsia="Times New Roman" w:cs="Arial"/>
      <w:b/>
      <w:bCs/>
      <w:caps/>
      <w:kern w:val="32"/>
      <w:sz w:val="24"/>
      <w:szCs w:val="32"/>
      <w:u w:val="single"/>
      <w:lang w:val="en-US"/>
    </w:rPr>
  </w:style>
  <w:style w:type="paragraph" w:styleId="BalloonText">
    <w:name w:val="Balloon Text"/>
    <w:basedOn w:val="Normal"/>
    <w:link w:val="BalloonTextChar"/>
    <w:uiPriority w:val="99"/>
    <w:semiHidden/>
    <w:unhideWhenUsed/>
    <w:rsid w:val="00B21DE6"/>
    <w:rPr>
      <w:rFonts w:cs="Tahoma"/>
      <w:sz w:val="16"/>
      <w:szCs w:val="16"/>
    </w:rPr>
  </w:style>
  <w:style w:type="character" w:customStyle="1" w:styleId="BalloonTextChar">
    <w:name w:val="Balloon Text Char"/>
    <w:link w:val="BalloonText"/>
    <w:uiPriority w:val="99"/>
    <w:semiHidden/>
    <w:rsid w:val="00B21DE6"/>
    <w:rPr>
      <w:rFonts w:cs="Tahoma"/>
      <w:sz w:val="16"/>
      <w:szCs w:val="16"/>
      <w:lang w:val="en-GB"/>
    </w:rPr>
  </w:style>
  <w:style w:type="character" w:styleId="Hyperlink">
    <w:name w:val="Hyperlink"/>
    <w:uiPriority w:val="99"/>
    <w:unhideWhenUsed/>
    <w:rsid w:val="003C0A7D"/>
    <w:rPr>
      <w:color w:val="0000FF"/>
      <w:u w:val="single"/>
    </w:rPr>
  </w:style>
  <w:style w:type="character" w:customStyle="1" w:styleId="UnresolvedMention">
    <w:name w:val="Unresolved Mention"/>
    <w:uiPriority w:val="99"/>
    <w:semiHidden/>
    <w:unhideWhenUsed/>
    <w:rsid w:val="00FE01AE"/>
    <w:rPr>
      <w:color w:val="605E5C"/>
      <w:shd w:val="clear" w:color="auto" w:fill="E1DFDD"/>
    </w:rPr>
  </w:style>
  <w:style w:type="paragraph" w:customStyle="1" w:styleId="WerksmansStyle1">
    <w:name w:val="Werksmans_Style1"/>
    <w:basedOn w:val="Normal"/>
    <w:next w:val="Normal"/>
    <w:link w:val="WerksmansStyle1Char"/>
    <w:rsid w:val="00CA60F1"/>
    <w:pPr>
      <w:numPr>
        <w:numId w:val="11"/>
      </w:numPr>
      <w:suppressAutoHyphens/>
      <w:snapToGrid w:val="0"/>
      <w:spacing w:line="480" w:lineRule="auto"/>
      <w:outlineLvl w:val="0"/>
    </w:pPr>
    <w:rPr>
      <w:rFonts w:ascii="Arial" w:eastAsia="Times New Roman" w:hAnsi="Arial"/>
      <w:sz w:val="24"/>
      <w:szCs w:val="20"/>
    </w:rPr>
  </w:style>
  <w:style w:type="paragraph" w:customStyle="1" w:styleId="WerksmansStyle2">
    <w:name w:val="Werksmans_Style2"/>
    <w:basedOn w:val="Normal"/>
    <w:next w:val="Normal"/>
    <w:rsid w:val="00CA60F1"/>
    <w:pPr>
      <w:numPr>
        <w:ilvl w:val="1"/>
        <w:numId w:val="11"/>
      </w:numPr>
      <w:suppressAutoHyphens/>
      <w:snapToGrid w:val="0"/>
      <w:spacing w:line="480" w:lineRule="auto"/>
      <w:outlineLvl w:val="1"/>
    </w:pPr>
    <w:rPr>
      <w:rFonts w:ascii="Arial" w:eastAsia="Times New Roman" w:hAnsi="Arial"/>
      <w:sz w:val="24"/>
      <w:szCs w:val="20"/>
    </w:rPr>
  </w:style>
  <w:style w:type="paragraph" w:customStyle="1" w:styleId="WerksmansStyle3">
    <w:name w:val="Werksmans_Style3"/>
    <w:basedOn w:val="Normal"/>
    <w:next w:val="Normal"/>
    <w:rsid w:val="00CA60F1"/>
    <w:pPr>
      <w:numPr>
        <w:ilvl w:val="2"/>
        <w:numId w:val="11"/>
      </w:numPr>
      <w:suppressAutoHyphens/>
      <w:snapToGrid w:val="0"/>
      <w:spacing w:line="480" w:lineRule="auto"/>
      <w:outlineLvl w:val="2"/>
    </w:pPr>
    <w:rPr>
      <w:rFonts w:ascii="Arial" w:eastAsia="Times New Roman" w:hAnsi="Arial"/>
      <w:sz w:val="24"/>
      <w:szCs w:val="20"/>
    </w:rPr>
  </w:style>
  <w:style w:type="paragraph" w:customStyle="1" w:styleId="WerksmansStyle4">
    <w:name w:val="Werksmans_Style4"/>
    <w:basedOn w:val="Normal"/>
    <w:next w:val="Normal"/>
    <w:rsid w:val="00CA60F1"/>
    <w:pPr>
      <w:numPr>
        <w:ilvl w:val="3"/>
        <w:numId w:val="11"/>
      </w:numPr>
      <w:suppressAutoHyphens/>
      <w:snapToGrid w:val="0"/>
      <w:spacing w:line="480" w:lineRule="auto"/>
      <w:outlineLvl w:val="3"/>
    </w:pPr>
    <w:rPr>
      <w:rFonts w:ascii="Arial" w:eastAsia="Times New Roman" w:hAnsi="Arial"/>
      <w:sz w:val="24"/>
      <w:szCs w:val="20"/>
    </w:rPr>
  </w:style>
  <w:style w:type="paragraph" w:customStyle="1" w:styleId="WerksmansStyle5">
    <w:name w:val="Werksmans_Style5"/>
    <w:basedOn w:val="Normal"/>
    <w:next w:val="Normal"/>
    <w:rsid w:val="00CA60F1"/>
    <w:pPr>
      <w:numPr>
        <w:ilvl w:val="4"/>
        <w:numId w:val="11"/>
      </w:numPr>
      <w:suppressAutoHyphens/>
      <w:snapToGrid w:val="0"/>
      <w:spacing w:line="480" w:lineRule="auto"/>
      <w:outlineLvl w:val="4"/>
    </w:pPr>
    <w:rPr>
      <w:rFonts w:ascii="Arial" w:eastAsia="Times New Roman" w:hAnsi="Arial"/>
      <w:sz w:val="24"/>
      <w:szCs w:val="20"/>
    </w:rPr>
  </w:style>
  <w:style w:type="paragraph" w:customStyle="1" w:styleId="WerksmansStyle6">
    <w:name w:val="Werksmans_Style6"/>
    <w:basedOn w:val="Normal"/>
    <w:next w:val="Normal"/>
    <w:rsid w:val="00CA60F1"/>
    <w:pPr>
      <w:numPr>
        <w:ilvl w:val="5"/>
        <w:numId w:val="11"/>
      </w:numPr>
      <w:suppressAutoHyphens/>
      <w:snapToGrid w:val="0"/>
      <w:spacing w:line="480" w:lineRule="auto"/>
      <w:outlineLvl w:val="5"/>
    </w:pPr>
    <w:rPr>
      <w:rFonts w:ascii="Arial" w:eastAsia="Times New Roman" w:hAnsi="Arial"/>
      <w:sz w:val="24"/>
      <w:szCs w:val="20"/>
    </w:rPr>
  </w:style>
  <w:style w:type="paragraph" w:customStyle="1" w:styleId="WerksmansStyle7">
    <w:name w:val="Werksmans_Style7"/>
    <w:basedOn w:val="Normal"/>
    <w:next w:val="Normal"/>
    <w:rsid w:val="00CA60F1"/>
    <w:pPr>
      <w:numPr>
        <w:ilvl w:val="6"/>
        <w:numId w:val="11"/>
      </w:numPr>
      <w:suppressAutoHyphens/>
      <w:snapToGrid w:val="0"/>
      <w:spacing w:line="480" w:lineRule="auto"/>
      <w:outlineLvl w:val="6"/>
    </w:pPr>
    <w:rPr>
      <w:rFonts w:ascii="Arial" w:eastAsia="Times New Roman" w:hAnsi="Arial"/>
      <w:sz w:val="24"/>
      <w:szCs w:val="20"/>
    </w:rPr>
  </w:style>
  <w:style w:type="paragraph" w:customStyle="1" w:styleId="WerksmansStyle8">
    <w:name w:val="Werksmans_Style8"/>
    <w:basedOn w:val="Normal"/>
    <w:next w:val="Normal"/>
    <w:rsid w:val="00CA60F1"/>
    <w:pPr>
      <w:numPr>
        <w:ilvl w:val="7"/>
        <w:numId w:val="11"/>
      </w:numPr>
      <w:suppressAutoHyphens/>
      <w:snapToGrid w:val="0"/>
      <w:spacing w:line="480" w:lineRule="auto"/>
      <w:outlineLvl w:val="7"/>
    </w:pPr>
    <w:rPr>
      <w:rFonts w:ascii="Arial" w:eastAsia="Times New Roman" w:hAnsi="Arial"/>
      <w:sz w:val="24"/>
      <w:szCs w:val="20"/>
    </w:rPr>
  </w:style>
  <w:style w:type="paragraph" w:customStyle="1" w:styleId="WerksmansStyle9">
    <w:name w:val="Werksmans_Style9"/>
    <w:basedOn w:val="Normal"/>
    <w:next w:val="Normal"/>
    <w:rsid w:val="00CA60F1"/>
    <w:pPr>
      <w:numPr>
        <w:ilvl w:val="8"/>
        <w:numId w:val="11"/>
      </w:numPr>
      <w:suppressAutoHyphens/>
      <w:snapToGrid w:val="0"/>
      <w:spacing w:line="480" w:lineRule="auto"/>
      <w:outlineLvl w:val="8"/>
    </w:pPr>
    <w:rPr>
      <w:rFonts w:ascii="Arial" w:eastAsia="Times New Roman" w:hAnsi="Arial"/>
      <w:sz w:val="24"/>
      <w:szCs w:val="20"/>
    </w:rPr>
  </w:style>
  <w:style w:type="character" w:customStyle="1" w:styleId="WerksmansStyle1Char">
    <w:name w:val="Werksmans_Style1 Char"/>
    <w:link w:val="WerksmansStyle1"/>
    <w:rsid w:val="00CA60F1"/>
    <w:rPr>
      <w:rFonts w:ascii="Arial" w:eastAsia="Times New Roman" w:hAnsi="Arial"/>
      <w:sz w:val="24"/>
      <w:lang w:eastAsia="en-US"/>
    </w:rPr>
  </w:style>
  <w:style w:type="paragraph" w:styleId="Revision">
    <w:name w:val="Revision"/>
    <w:hidden/>
    <w:uiPriority w:val="99"/>
    <w:semiHidden/>
    <w:rsid w:val="00125AD7"/>
    <w:rPr>
      <w:sz w:val="22"/>
      <w:szCs w:val="22"/>
      <w:lang w:val="en-GB" w:eastAsia="en-US"/>
    </w:rPr>
  </w:style>
  <w:style w:type="paragraph" w:styleId="EndnoteText">
    <w:name w:val="endnote text"/>
    <w:basedOn w:val="Normal"/>
    <w:link w:val="EndnoteTextChar"/>
    <w:uiPriority w:val="99"/>
    <w:semiHidden/>
    <w:unhideWhenUsed/>
    <w:rsid w:val="0031065F"/>
    <w:rPr>
      <w:sz w:val="20"/>
      <w:szCs w:val="20"/>
    </w:rPr>
  </w:style>
  <w:style w:type="character" w:customStyle="1" w:styleId="EndnoteTextChar">
    <w:name w:val="Endnote Text Char"/>
    <w:link w:val="EndnoteText"/>
    <w:uiPriority w:val="99"/>
    <w:semiHidden/>
    <w:rsid w:val="0031065F"/>
    <w:rPr>
      <w:lang w:eastAsia="en-US"/>
    </w:rPr>
  </w:style>
  <w:style w:type="character" w:styleId="EndnoteReference">
    <w:name w:val="endnote reference"/>
    <w:uiPriority w:val="99"/>
    <w:semiHidden/>
    <w:unhideWhenUsed/>
    <w:rsid w:val="0031065F"/>
    <w:rPr>
      <w:vertAlign w:val="superscript"/>
    </w:rPr>
  </w:style>
  <w:style w:type="paragraph" w:customStyle="1" w:styleId="jugmentnumbered">
    <w:name w:val="jugmentnumbered"/>
    <w:basedOn w:val="Normal"/>
    <w:rsid w:val="00DD6AC8"/>
    <w:pPr>
      <w:spacing w:before="100" w:beforeAutospacing="1" w:after="100" w:afterAutospacing="1"/>
      <w:jc w:val="left"/>
    </w:pPr>
    <w:rPr>
      <w:rFonts w:ascii="Times New Roman" w:eastAsia="Times New Roman" w:hAnsi="Times New Roman"/>
      <w:sz w:val="24"/>
      <w:szCs w:val="24"/>
      <w:lang w:eastAsia="en-GB"/>
    </w:rPr>
  </w:style>
  <w:style w:type="character" w:customStyle="1" w:styleId="Heading2Char">
    <w:name w:val="Heading 2 Char"/>
    <w:link w:val="Heading2"/>
    <w:rsid w:val="00902006"/>
    <w:rPr>
      <w:rFonts w:ascii="Arial" w:eastAsia="Times New Roman" w:hAnsi="Arial"/>
      <w:kern w:val="25"/>
      <w:sz w:val="25"/>
      <w:lang w:val="en-ZA" w:eastAsia="en-US"/>
    </w:rPr>
  </w:style>
  <w:style w:type="character" w:customStyle="1" w:styleId="Heading3Char">
    <w:name w:val="Heading 3 Char"/>
    <w:link w:val="Heading3"/>
    <w:rsid w:val="00902006"/>
    <w:rPr>
      <w:rFonts w:ascii="Arial" w:eastAsia="Times New Roman" w:hAnsi="Arial"/>
      <w:kern w:val="25"/>
      <w:sz w:val="25"/>
      <w:lang w:val="en-ZA" w:eastAsia="en-US"/>
    </w:rPr>
  </w:style>
  <w:style w:type="character" w:customStyle="1" w:styleId="Heading4Char">
    <w:name w:val="Heading 4 Char"/>
    <w:link w:val="Heading4"/>
    <w:rsid w:val="00902006"/>
    <w:rPr>
      <w:rFonts w:ascii="Arial" w:eastAsia="Times New Roman" w:hAnsi="Arial"/>
      <w:kern w:val="25"/>
      <w:sz w:val="25"/>
      <w:lang w:val="en-ZA" w:eastAsia="en-US"/>
    </w:rPr>
  </w:style>
  <w:style w:type="character" w:customStyle="1" w:styleId="Heading5Char">
    <w:name w:val="Heading 5 Char"/>
    <w:link w:val="Heading5"/>
    <w:rsid w:val="00902006"/>
    <w:rPr>
      <w:rFonts w:ascii="Arial" w:eastAsia="Times New Roman" w:hAnsi="Arial"/>
      <w:kern w:val="25"/>
      <w:sz w:val="25"/>
      <w:lang w:val="en-ZA" w:eastAsia="en-US"/>
    </w:rPr>
  </w:style>
  <w:style w:type="character" w:styleId="CommentReference">
    <w:name w:val="annotation reference"/>
    <w:basedOn w:val="DefaultParagraphFont"/>
    <w:uiPriority w:val="99"/>
    <w:semiHidden/>
    <w:unhideWhenUsed/>
    <w:rsid w:val="001B32B1"/>
    <w:rPr>
      <w:sz w:val="16"/>
      <w:szCs w:val="16"/>
    </w:rPr>
  </w:style>
  <w:style w:type="paragraph" w:styleId="CommentText">
    <w:name w:val="annotation text"/>
    <w:basedOn w:val="Normal"/>
    <w:link w:val="CommentTextChar"/>
    <w:uiPriority w:val="99"/>
    <w:semiHidden/>
    <w:unhideWhenUsed/>
    <w:rsid w:val="001B32B1"/>
    <w:rPr>
      <w:sz w:val="20"/>
      <w:szCs w:val="20"/>
    </w:rPr>
  </w:style>
  <w:style w:type="character" w:customStyle="1" w:styleId="CommentTextChar">
    <w:name w:val="Comment Text Char"/>
    <w:basedOn w:val="DefaultParagraphFont"/>
    <w:link w:val="CommentText"/>
    <w:uiPriority w:val="99"/>
    <w:semiHidden/>
    <w:rsid w:val="001B32B1"/>
    <w:rPr>
      <w:lang w:val="en-GB" w:eastAsia="en-US"/>
    </w:rPr>
  </w:style>
  <w:style w:type="paragraph" w:styleId="CommentSubject">
    <w:name w:val="annotation subject"/>
    <w:basedOn w:val="CommentText"/>
    <w:next w:val="CommentText"/>
    <w:link w:val="CommentSubjectChar"/>
    <w:uiPriority w:val="99"/>
    <w:semiHidden/>
    <w:unhideWhenUsed/>
    <w:rsid w:val="001B32B1"/>
    <w:rPr>
      <w:b/>
      <w:bCs/>
    </w:rPr>
  </w:style>
  <w:style w:type="character" w:customStyle="1" w:styleId="CommentSubjectChar">
    <w:name w:val="Comment Subject Char"/>
    <w:basedOn w:val="CommentTextChar"/>
    <w:link w:val="CommentSubject"/>
    <w:uiPriority w:val="99"/>
    <w:semiHidden/>
    <w:rsid w:val="001B32B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3083">
      <w:bodyDiv w:val="1"/>
      <w:marLeft w:val="0"/>
      <w:marRight w:val="0"/>
      <w:marTop w:val="0"/>
      <w:marBottom w:val="0"/>
      <w:divBdr>
        <w:top w:val="none" w:sz="0" w:space="0" w:color="auto"/>
        <w:left w:val="none" w:sz="0" w:space="0" w:color="auto"/>
        <w:bottom w:val="none" w:sz="0" w:space="0" w:color="auto"/>
        <w:right w:val="none" w:sz="0" w:space="0" w:color="auto"/>
      </w:divBdr>
    </w:div>
    <w:div w:id="336813884">
      <w:bodyDiv w:val="1"/>
      <w:marLeft w:val="0"/>
      <w:marRight w:val="0"/>
      <w:marTop w:val="0"/>
      <w:marBottom w:val="0"/>
      <w:divBdr>
        <w:top w:val="none" w:sz="0" w:space="0" w:color="auto"/>
        <w:left w:val="none" w:sz="0" w:space="0" w:color="auto"/>
        <w:bottom w:val="none" w:sz="0" w:space="0" w:color="auto"/>
        <w:right w:val="none" w:sz="0" w:space="0" w:color="auto"/>
      </w:divBdr>
    </w:div>
    <w:div w:id="363336888">
      <w:bodyDiv w:val="1"/>
      <w:marLeft w:val="0"/>
      <w:marRight w:val="0"/>
      <w:marTop w:val="0"/>
      <w:marBottom w:val="0"/>
      <w:divBdr>
        <w:top w:val="none" w:sz="0" w:space="0" w:color="auto"/>
        <w:left w:val="none" w:sz="0" w:space="0" w:color="auto"/>
        <w:bottom w:val="none" w:sz="0" w:space="0" w:color="auto"/>
        <w:right w:val="none" w:sz="0" w:space="0" w:color="auto"/>
      </w:divBdr>
    </w:div>
    <w:div w:id="930041721">
      <w:bodyDiv w:val="1"/>
      <w:marLeft w:val="0"/>
      <w:marRight w:val="0"/>
      <w:marTop w:val="0"/>
      <w:marBottom w:val="0"/>
      <w:divBdr>
        <w:top w:val="none" w:sz="0" w:space="0" w:color="auto"/>
        <w:left w:val="none" w:sz="0" w:space="0" w:color="auto"/>
        <w:bottom w:val="none" w:sz="0" w:space="0" w:color="auto"/>
        <w:right w:val="none" w:sz="0" w:space="0" w:color="auto"/>
      </w:divBdr>
    </w:div>
    <w:div w:id="1319191793">
      <w:bodyDiv w:val="1"/>
      <w:marLeft w:val="0"/>
      <w:marRight w:val="0"/>
      <w:marTop w:val="0"/>
      <w:marBottom w:val="0"/>
      <w:divBdr>
        <w:top w:val="none" w:sz="0" w:space="0" w:color="auto"/>
        <w:left w:val="none" w:sz="0" w:space="0" w:color="auto"/>
        <w:bottom w:val="none" w:sz="0" w:space="0" w:color="auto"/>
        <w:right w:val="none" w:sz="0" w:space="0" w:color="auto"/>
      </w:divBdr>
    </w:div>
    <w:div w:id="21169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B74D8-3A2C-4AD5-BF30-E48E58B1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4291</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28693</CharactersWithSpaces>
  <SharedDoc>false</SharedDoc>
  <HLinks>
    <vt:vector size="12" baseType="variant">
      <vt:variant>
        <vt:i4>6422532</vt:i4>
      </vt:variant>
      <vt:variant>
        <vt:i4>3</vt:i4>
      </vt:variant>
      <vt:variant>
        <vt:i4>0</vt:i4>
      </vt:variant>
      <vt:variant>
        <vt:i4>5</vt:i4>
      </vt:variant>
      <vt:variant>
        <vt:lpwstr>mailto:krugerulrich@bdk.co.za</vt:lpwstr>
      </vt:variant>
      <vt:variant>
        <vt:lpwstr/>
      </vt:variant>
      <vt:variant>
        <vt:i4>3407883</vt:i4>
      </vt:variant>
      <vt:variant>
        <vt:i4>2154</vt:i4>
      </vt:variant>
      <vt:variant>
        <vt:i4>1025</vt:i4>
      </vt:variant>
      <vt:variant>
        <vt:i4>1</vt:i4>
      </vt:variant>
      <vt:variant>
        <vt:lpwstr>cid:image001.png@01D102A3.6AE54470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Dyk</dc:creator>
  <cp:keywords/>
  <cp:lastModifiedBy>Mokone</cp:lastModifiedBy>
  <cp:revision>3</cp:revision>
  <cp:lastPrinted>2023-08-08T09:37:00Z</cp:lastPrinted>
  <dcterms:created xsi:type="dcterms:W3CDTF">2023-08-18T14:11:00Z</dcterms:created>
  <dcterms:modified xsi:type="dcterms:W3CDTF">2023-08-18T14:12:00Z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12b9b7e4d6e2d52ce64c1c8f581fc4bdc32ebe938f8bc70265c532f8ed737bdb</vt:lpwstr>
  </property>
</Properties>
</file>