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548E" w14:textId="77777777" w:rsidR="00575351" w:rsidRPr="00DB2A06" w:rsidRDefault="00575351" w:rsidP="0057535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D981421" w14:textId="1BF72DDD" w:rsidR="006C43D7" w:rsidRPr="000F7813" w:rsidRDefault="00AD3D5D" w:rsidP="00C74E97">
      <w:pPr>
        <w:spacing w:after="120" w:line="360" w:lineRule="auto"/>
        <w:jc w:val="center"/>
        <w:rPr>
          <w:rFonts w:cs="Arial"/>
          <w:b/>
          <w:bCs/>
          <w:szCs w:val="22"/>
        </w:rPr>
      </w:pPr>
      <w:r w:rsidRPr="000F7813">
        <w:rPr>
          <w:rFonts w:cs="Arial"/>
          <w:b/>
          <w:bCs/>
          <w:szCs w:val="22"/>
        </w:rPr>
        <w:t xml:space="preserve"> </w:t>
      </w:r>
    </w:p>
    <w:p w14:paraId="658F95BA" w14:textId="0ACA4775" w:rsidR="00575351" w:rsidRDefault="00575351" w:rsidP="00C74E97">
      <w:pPr>
        <w:spacing w:line="360" w:lineRule="auto"/>
        <w:jc w:val="center"/>
        <w:rPr>
          <w:rFonts w:cs="Arial"/>
          <w:b/>
          <w:szCs w:val="22"/>
        </w:rPr>
      </w:pPr>
      <w:r w:rsidRPr="000F7813">
        <w:rPr>
          <w:rFonts w:cs="Arial"/>
          <w:b/>
          <w:bCs/>
          <w:noProof/>
          <w:szCs w:val="22"/>
          <w:lang w:val="en-US"/>
        </w:rPr>
        <w:drawing>
          <wp:inline distT="0" distB="0" distL="0" distR="0" wp14:anchorId="0D241BD0" wp14:editId="3D4BB8E7">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5E6459" w:rsidRDefault="006C43D7" w:rsidP="00C74E97">
      <w:pPr>
        <w:spacing w:line="360" w:lineRule="auto"/>
        <w:jc w:val="center"/>
        <w:rPr>
          <w:rFonts w:cs="Arial"/>
          <w:b/>
          <w:szCs w:val="22"/>
        </w:rPr>
      </w:pPr>
      <w:r w:rsidRPr="005E6459">
        <w:rPr>
          <w:rFonts w:cs="Arial"/>
          <w:b/>
          <w:szCs w:val="22"/>
        </w:rPr>
        <w:t xml:space="preserve">IN THE HIGH COURT OF SOUTH AFRICA, </w:t>
      </w:r>
    </w:p>
    <w:p w14:paraId="566C4D1B" w14:textId="77777777" w:rsidR="006C43D7" w:rsidRPr="005E6459" w:rsidRDefault="006C43D7" w:rsidP="00C74E97">
      <w:pPr>
        <w:spacing w:line="360" w:lineRule="auto"/>
        <w:jc w:val="center"/>
        <w:rPr>
          <w:rFonts w:cs="Arial"/>
          <w:b/>
          <w:szCs w:val="22"/>
        </w:rPr>
      </w:pPr>
      <w:r w:rsidRPr="005E6459">
        <w:rPr>
          <w:rFonts w:cs="Arial"/>
          <w:b/>
          <w:szCs w:val="22"/>
        </w:rPr>
        <w:t>GAUTENG DIVISION, JOHANNESBURG</w:t>
      </w:r>
    </w:p>
    <w:p w14:paraId="13D6E83E" w14:textId="77777777" w:rsidR="006C43D7" w:rsidRPr="005E6459" w:rsidRDefault="006C43D7" w:rsidP="00C74E97">
      <w:pPr>
        <w:spacing w:line="360" w:lineRule="auto"/>
        <w:jc w:val="both"/>
        <w:rPr>
          <w:rFonts w:cs="Arial"/>
          <w:b/>
          <w:szCs w:val="22"/>
        </w:rPr>
      </w:pPr>
    </w:p>
    <w:p w14:paraId="0AF8DD38" w14:textId="5C081F83" w:rsidR="006C43D7" w:rsidRPr="005E6459" w:rsidRDefault="00F913C7" w:rsidP="00C74E97">
      <w:pPr>
        <w:spacing w:line="360" w:lineRule="auto"/>
        <w:jc w:val="right"/>
        <w:rPr>
          <w:rFonts w:cs="Arial"/>
          <w:b/>
          <w:szCs w:val="22"/>
        </w:rPr>
      </w:pPr>
      <w:r w:rsidRPr="005E6459">
        <w:rPr>
          <w:rFonts w:cs="Arial"/>
          <w:b/>
          <w:szCs w:val="22"/>
        </w:rPr>
        <w:t xml:space="preserve">CASE NO: </w:t>
      </w:r>
      <w:r w:rsidR="000F7813" w:rsidRPr="005E6459">
        <w:rPr>
          <w:rFonts w:cs="Arial"/>
          <w:b/>
          <w:szCs w:val="22"/>
        </w:rPr>
        <w:t>2021</w:t>
      </w:r>
      <w:r w:rsidR="006C43D7" w:rsidRPr="005E6459">
        <w:rPr>
          <w:rFonts w:cs="Arial"/>
          <w:b/>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69CCD83B" w:rsidR="00893C08" w:rsidRDefault="00575351" w:rsidP="0057535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292E21A1" w:rsidR="00893C08" w:rsidRDefault="00575351" w:rsidP="0057535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69CCD83B" w:rsidR="00893C08" w:rsidRDefault="00575351" w:rsidP="0057535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292E21A1" w:rsidR="00893C08" w:rsidRDefault="00575351" w:rsidP="0057535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B13BCF" w:rsidRPr="005E6459">
        <w:rPr>
          <w:rFonts w:cs="Arial"/>
          <w:b/>
          <w:szCs w:val="22"/>
        </w:rPr>
        <w:t>/</w:t>
      </w:r>
      <w:r w:rsidR="004479C3" w:rsidRPr="005E6459">
        <w:rPr>
          <w:rFonts w:cs="Arial"/>
          <w:b/>
          <w:szCs w:val="22"/>
        </w:rPr>
        <w:t>44071</w:t>
      </w:r>
    </w:p>
    <w:p w14:paraId="084B5ECD" w14:textId="77777777" w:rsidR="006C43D7" w:rsidRPr="005E6459" w:rsidRDefault="006C43D7" w:rsidP="00C74E97">
      <w:pPr>
        <w:spacing w:line="360" w:lineRule="auto"/>
        <w:jc w:val="both"/>
        <w:rPr>
          <w:rFonts w:cs="Arial"/>
          <w:szCs w:val="22"/>
        </w:rPr>
      </w:pPr>
    </w:p>
    <w:p w14:paraId="4E808D74" w14:textId="77777777" w:rsidR="006C43D7" w:rsidRPr="005E6459" w:rsidRDefault="006C43D7" w:rsidP="00C74E97">
      <w:pPr>
        <w:spacing w:line="360" w:lineRule="auto"/>
        <w:jc w:val="both"/>
        <w:rPr>
          <w:rFonts w:cs="Arial"/>
          <w:szCs w:val="22"/>
        </w:rPr>
      </w:pPr>
    </w:p>
    <w:p w14:paraId="34BF70B6" w14:textId="77777777" w:rsidR="006C43D7" w:rsidRPr="005E6459" w:rsidRDefault="006C43D7" w:rsidP="00C74E97">
      <w:pPr>
        <w:spacing w:line="360" w:lineRule="auto"/>
        <w:jc w:val="both"/>
        <w:rPr>
          <w:rFonts w:cs="Arial"/>
          <w:szCs w:val="22"/>
        </w:rPr>
      </w:pPr>
    </w:p>
    <w:p w14:paraId="2F53BA3A" w14:textId="77777777" w:rsidR="006C43D7" w:rsidRPr="005E6459" w:rsidRDefault="006C43D7" w:rsidP="00C74E97">
      <w:pPr>
        <w:spacing w:line="360" w:lineRule="auto"/>
        <w:jc w:val="both"/>
        <w:rPr>
          <w:rFonts w:cs="Arial"/>
          <w:szCs w:val="22"/>
        </w:rPr>
      </w:pPr>
    </w:p>
    <w:p w14:paraId="3A1C212E" w14:textId="77777777" w:rsidR="006C43D7" w:rsidRPr="005E6459" w:rsidRDefault="006C43D7" w:rsidP="00C74E97">
      <w:pPr>
        <w:spacing w:line="360" w:lineRule="auto"/>
        <w:jc w:val="both"/>
        <w:rPr>
          <w:rFonts w:cs="Arial"/>
          <w:szCs w:val="22"/>
        </w:rPr>
      </w:pPr>
    </w:p>
    <w:p w14:paraId="04919B1B" w14:textId="77777777" w:rsidR="001D3CC2" w:rsidRPr="005E6459" w:rsidRDefault="001D3CC2" w:rsidP="00C74E97">
      <w:pPr>
        <w:spacing w:line="360" w:lineRule="auto"/>
        <w:jc w:val="both"/>
        <w:rPr>
          <w:rFonts w:cs="Arial"/>
          <w:szCs w:val="22"/>
        </w:rPr>
      </w:pPr>
    </w:p>
    <w:p w14:paraId="045D3852" w14:textId="77777777" w:rsidR="00E57446" w:rsidRPr="005E6459" w:rsidRDefault="00E57446" w:rsidP="00C74E97">
      <w:pPr>
        <w:spacing w:line="360" w:lineRule="auto"/>
        <w:jc w:val="both"/>
        <w:rPr>
          <w:rFonts w:cs="Arial"/>
          <w:szCs w:val="22"/>
        </w:rPr>
      </w:pPr>
    </w:p>
    <w:p w14:paraId="2804C32A" w14:textId="6C8D50AF" w:rsidR="00E57446" w:rsidRPr="005E6459" w:rsidRDefault="00E57446" w:rsidP="00C74E97">
      <w:pPr>
        <w:spacing w:line="360" w:lineRule="auto"/>
        <w:jc w:val="both"/>
        <w:rPr>
          <w:rFonts w:cs="Arial"/>
          <w:szCs w:val="22"/>
        </w:rPr>
      </w:pPr>
      <w:r w:rsidRPr="005E6459">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5E6459" w14:paraId="4CBFF906" w14:textId="77777777" w:rsidTr="00893C08">
        <w:tc>
          <w:tcPr>
            <w:tcW w:w="6305" w:type="dxa"/>
          </w:tcPr>
          <w:p w14:paraId="07466740" w14:textId="00C44DD7" w:rsidR="00E57446" w:rsidRPr="005E6459" w:rsidRDefault="00F70C0C" w:rsidP="00893C08">
            <w:pPr>
              <w:spacing w:line="360" w:lineRule="auto"/>
              <w:jc w:val="both"/>
              <w:rPr>
                <w:rFonts w:cs="Arial"/>
                <w:b/>
                <w:szCs w:val="22"/>
              </w:rPr>
            </w:pPr>
            <w:r>
              <w:rPr>
                <w:rFonts w:cs="Arial"/>
                <w:b/>
                <w:szCs w:val="22"/>
              </w:rPr>
              <w:t>K</w:t>
            </w:r>
            <w:r w:rsidR="00172763" w:rsidRPr="005E6459">
              <w:rPr>
                <w:rFonts w:cs="Arial"/>
                <w:b/>
                <w:szCs w:val="22"/>
              </w:rPr>
              <w:t xml:space="preserve">, </w:t>
            </w:r>
            <w:r>
              <w:rPr>
                <w:rFonts w:cs="Arial"/>
                <w:b/>
                <w:szCs w:val="22"/>
              </w:rPr>
              <w:t>F A E</w:t>
            </w:r>
          </w:p>
        </w:tc>
        <w:tc>
          <w:tcPr>
            <w:tcW w:w="2246" w:type="dxa"/>
          </w:tcPr>
          <w:p w14:paraId="32F3C456" w14:textId="4542077E" w:rsidR="00E57446" w:rsidRPr="005E6459" w:rsidRDefault="00E57446" w:rsidP="00893C08">
            <w:pPr>
              <w:spacing w:line="360" w:lineRule="auto"/>
              <w:rPr>
                <w:rFonts w:cs="Arial"/>
                <w:szCs w:val="22"/>
              </w:rPr>
            </w:pPr>
            <w:r w:rsidRPr="005E6459">
              <w:rPr>
                <w:rFonts w:cs="Arial"/>
                <w:szCs w:val="22"/>
              </w:rPr>
              <w:t>Applicant</w:t>
            </w:r>
          </w:p>
        </w:tc>
      </w:tr>
      <w:tr w:rsidR="00E57446" w:rsidRPr="005E6459" w14:paraId="582D8E94" w14:textId="77777777" w:rsidTr="00893C08">
        <w:tc>
          <w:tcPr>
            <w:tcW w:w="6305" w:type="dxa"/>
          </w:tcPr>
          <w:p w14:paraId="7BC13697" w14:textId="77777777" w:rsidR="00E57446" w:rsidRPr="005E6459" w:rsidRDefault="00E57446" w:rsidP="00893C08">
            <w:pPr>
              <w:spacing w:line="360" w:lineRule="auto"/>
              <w:jc w:val="both"/>
              <w:rPr>
                <w:rFonts w:cs="Arial"/>
                <w:szCs w:val="22"/>
              </w:rPr>
            </w:pPr>
            <w:r w:rsidRPr="005E6459">
              <w:rPr>
                <w:rFonts w:cs="Arial"/>
                <w:szCs w:val="22"/>
              </w:rPr>
              <w:t xml:space="preserve">and  </w:t>
            </w:r>
          </w:p>
        </w:tc>
        <w:tc>
          <w:tcPr>
            <w:tcW w:w="2246" w:type="dxa"/>
          </w:tcPr>
          <w:p w14:paraId="3E582FC6" w14:textId="77777777" w:rsidR="00E57446" w:rsidRPr="005E6459" w:rsidRDefault="00E57446" w:rsidP="00893C08">
            <w:pPr>
              <w:spacing w:line="360" w:lineRule="auto"/>
              <w:jc w:val="right"/>
              <w:rPr>
                <w:rFonts w:cs="Arial"/>
                <w:szCs w:val="22"/>
              </w:rPr>
            </w:pPr>
          </w:p>
        </w:tc>
      </w:tr>
      <w:tr w:rsidR="00E57446" w:rsidRPr="005E6459" w14:paraId="143F83E0" w14:textId="77777777" w:rsidTr="00893C08">
        <w:tc>
          <w:tcPr>
            <w:tcW w:w="6305" w:type="dxa"/>
          </w:tcPr>
          <w:p w14:paraId="66C3A0D3" w14:textId="20FD761F" w:rsidR="00E57446" w:rsidRPr="005E6459" w:rsidRDefault="00F70C0C" w:rsidP="00893C08">
            <w:pPr>
              <w:spacing w:line="360" w:lineRule="auto"/>
              <w:jc w:val="both"/>
              <w:rPr>
                <w:rFonts w:cs="Arial"/>
                <w:b/>
                <w:szCs w:val="22"/>
              </w:rPr>
            </w:pPr>
            <w:r>
              <w:rPr>
                <w:rFonts w:cs="Arial"/>
                <w:b/>
                <w:szCs w:val="22"/>
              </w:rPr>
              <w:t>K, M G</w:t>
            </w:r>
          </w:p>
        </w:tc>
        <w:tc>
          <w:tcPr>
            <w:tcW w:w="2246" w:type="dxa"/>
          </w:tcPr>
          <w:p w14:paraId="79FDAF6B" w14:textId="7F0216B9" w:rsidR="00E57446" w:rsidRPr="005E6459" w:rsidRDefault="00E57446" w:rsidP="00893C08">
            <w:pPr>
              <w:spacing w:line="360" w:lineRule="auto"/>
              <w:rPr>
                <w:rFonts w:cs="Arial"/>
                <w:szCs w:val="22"/>
              </w:rPr>
            </w:pPr>
            <w:r w:rsidRPr="005E6459">
              <w:rPr>
                <w:rFonts w:cs="Arial"/>
                <w:szCs w:val="22"/>
              </w:rPr>
              <w:t>Respondent</w:t>
            </w:r>
          </w:p>
        </w:tc>
      </w:tr>
    </w:tbl>
    <w:p w14:paraId="25A9B909" w14:textId="77777777" w:rsidR="00C1108E" w:rsidRPr="005E6459" w:rsidRDefault="00C1108E" w:rsidP="00C1108E">
      <w:pPr>
        <w:spacing w:line="360" w:lineRule="auto"/>
        <w:jc w:val="both"/>
        <w:rPr>
          <w:rFonts w:cs="Arial"/>
          <w:b/>
          <w:szCs w:val="22"/>
        </w:rPr>
      </w:pPr>
    </w:p>
    <w:p w14:paraId="73A7E259" w14:textId="77777777" w:rsidR="00C1108E" w:rsidRPr="005E6459" w:rsidRDefault="00C1108E" w:rsidP="00C74E97">
      <w:pPr>
        <w:pBdr>
          <w:bottom w:val="single" w:sz="4" w:space="1" w:color="auto"/>
        </w:pBdr>
        <w:spacing w:line="360" w:lineRule="auto"/>
        <w:jc w:val="both"/>
        <w:rPr>
          <w:rFonts w:cs="Arial"/>
          <w:szCs w:val="22"/>
        </w:rPr>
      </w:pPr>
    </w:p>
    <w:p w14:paraId="58DE5549" w14:textId="77777777" w:rsidR="006C43D7" w:rsidRPr="005E6459" w:rsidRDefault="006C43D7" w:rsidP="00C74E97">
      <w:pPr>
        <w:spacing w:line="360" w:lineRule="auto"/>
        <w:jc w:val="both"/>
        <w:rPr>
          <w:rFonts w:cs="Arial"/>
          <w:szCs w:val="22"/>
        </w:rPr>
      </w:pPr>
    </w:p>
    <w:p w14:paraId="647AB70C" w14:textId="77777777" w:rsidR="006C43D7" w:rsidRPr="005E6459" w:rsidRDefault="006C43D7" w:rsidP="00C74E97">
      <w:pPr>
        <w:keepNext/>
        <w:spacing w:line="360" w:lineRule="auto"/>
        <w:jc w:val="center"/>
        <w:outlineLvl w:val="1"/>
        <w:rPr>
          <w:rFonts w:cs="Arial"/>
          <w:b/>
          <w:bCs/>
          <w:szCs w:val="22"/>
        </w:rPr>
      </w:pPr>
      <w:r w:rsidRPr="005E6459">
        <w:rPr>
          <w:rFonts w:cs="Arial"/>
          <w:b/>
          <w:bCs/>
          <w:szCs w:val="22"/>
        </w:rPr>
        <w:t>JUDGMENT</w:t>
      </w:r>
    </w:p>
    <w:p w14:paraId="52CD25EB" w14:textId="77777777" w:rsidR="006C43D7" w:rsidRPr="005E6459" w:rsidRDefault="006C43D7" w:rsidP="00C74E97">
      <w:pPr>
        <w:pBdr>
          <w:bottom w:val="single" w:sz="4" w:space="1" w:color="auto"/>
        </w:pBdr>
        <w:spacing w:line="360" w:lineRule="auto"/>
        <w:jc w:val="both"/>
        <w:rPr>
          <w:rFonts w:cs="Arial"/>
          <w:szCs w:val="22"/>
        </w:rPr>
      </w:pPr>
    </w:p>
    <w:p w14:paraId="0CA76DA1" w14:textId="77777777" w:rsidR="00DC621D" w:rsidRPr="005E6459" w:rsidRDefault="00DC621D" w:rsidP="00C74E97">
      <w:pPr>
        <w:spacing w:line="360" w:lineRule="auto"/>
        <w:jc w:val="both"/>
        <w:rPr>
          <w:rFonts w:cs="Arial"/>
          <w:b/>
          <w:szCs w:val="22"/>
        </w:rPr>
      </w:pPr>
    </w:p>
    <w:p w14:paraId="5BD82EFE" w14:textId="0F8FBF70" w:rsidR="00BE6AB8" w:rsidRPr="005E6459" w:rsidRDefault="00C676F3" w:rsidP="00C74E97">
      <w:pPr>
        <w:spacing w:after="480" w:line="360" w:lineRule="auto"/>
        <w:jc w:val="both"/>
        <w:rPr>
          <w:rFonts w:cs="Arial"/>
          <w:b/>
          <w:szCs w:val="22"/>
        </w:rPr>
      </w:pPr>
      <w:r w:rsidRPr="005E6459">
        <w:rPr>
          <w:rFonts w:cs="Arial"/>
          <w:b/>
          <w:szCs w:val="22"/>
        </w:rPr>
        <w:t>MOORCROFT</w:t>
      </w:r>
      <w:r w:rsidR="006C43D7" w:rsidRPr="005E6459">
        <w:rPr>
          <w:rFonts w:cs="Arial"/>
          <w:b/>
          <w:szCs w:val="22"/>
        </w:rPr>
        <w:t xml:space="preserve"> AJ:</w:t>
      </w:r>
    </w:p>
    <w:p w14:paraId="4A2D6FA8" w14:textId="77777777" w:rsidR="00E4176E" w:rsidRPr="005E6459" w:rsidRDefault="00E4176E" w:rsidP="00E4176E">
      <w:pPr>
        <w:keepNext/>
        <w:spacing w:after="480" w:line="360" w:lineRule="auto"/>
        <w:jc w:val="both"/>
        <w:rPr>
          <w:rFonts w:cs="Arial"/>
          <w:bCs/>
          <w:i/>
          <w:iCs/>
          <w:szCs w:val="22"/>
          <w:u w:val="single"/>
        </w:rPr>
      </w:pPr>
      <w:r w:rsidRPr="005E6459">
        <w:rPr>
          <w:rFonts w:cs="Arial"/>
          <w:bCs/>
          <w:i/>
          <w:iCs/>
          <w:szCs w:val="22"/>
          <w:u w:val="single"/>
        </w:rPr>
        <w:lastRenderedPageBreak/>
        <w:t>Summary</w:t>
      </w:r>
    </w:p>
    <w:p w14:paraId="4C214D95" w14:textId="77777777" w:rsidR="00E4176E" w:rsidRPr="005E6459" w:rsidRDefault="00E4176E" w:rsidP="00E4176E">
      <w:pPr>
        <w:keepNext/>
        <w:spacing w:after="480" w:line="480" w:lineRule="auto"/>
        <w:jc w:val="both"/>
        <w:rPr>
          <w:rFonts w:cs="Arial"/>
          <w:bCs/>
          <w:i/>
          <w:iCs/>
          <w:szCs w:val="22"/>
        </w:rPr>
      </w:pPr>
      <w:r w:rsidRPr="005E6459">
        <w:rPr>
          <w:rFonts w:cs="Arial"/>
          <w:bCs/>
          <w:i/>
          <w:iCs/>
          <w:szCs w:val="22"/>
        </w:rPr>
        <w:t xml:space="preserve">Contempt of court – standard of proof – beyond reasonable doubt – three requirements namely (1) the existence of a court order, (2) that was served on or made known to the respondent, and (3) and that was then ignored or disobeyed by the respondent - </w:t>
      </w:r>
      <w:r w:rsidRPr="005E6459">
        <w:rPr>
          <w:rFonts w:cs="Arial"/>
          <w:i/>
          <w:iCs/>
          <w:color w:val="000000" w:themeColor="text1"/>
          <w:szCs w:val="22"/>
        </w:rPr>
        <w:t>in the absence of evidence raising a reasonable doubt as to whether the respondent acted wilfully and mala fide, all the requisites of the offence will have been established.</w:t>
      </w:r>
    </w:p>
    <w:p w14:paraId="34AA26E5" w14:textId="77777777" w:rsidR="00E4176E" w:rsidRPr="005E6459" w:rsidRDefault="00E4176E" w:rsidP="00E4176E">
      <w:pPr>
        <w:spacing w:after="480" w:line="360" w:lineRule="auto"/>
        <w:jc w:val="both"/>
        <w:rPr>
          <w:rFonts w:cs="Arial"/>
          <w:bCs/>
          <w:i/>
          <w:iCs/>
          <w:szCs w:val="22"/>
        </w:rPr>
      </w:pPr>
    </w:p>
    <w:p w14:paraId="7EA2E9E4" w14:textId="77777777" w:rsidR="00E4176E" w:rsidRPr="005E6459" w:rsidRDefault="00E4176E" w:rsidP="00E4176E">
      <w:pPr>
        <w:keepNext/>
        <w:spacing w:after="480" w:line="360" w:lineRule="auto"/>
        <w:jc w:val="both"/>
        <w:rPr>
          <w:rFonts w:cs="Arial"/>
          <w:bCs/>
          <w:szCs w:val="22"/>
          <w:u w:val="single"/>
        </w:rPr>
      </w:pPr>
    </w:p>
    <w:p w14:paraId="4AF3D3B4" w14:textId="77777777" w:rsidR="00E4176E" w:rsidRPr="005E6459" w:rsidRDefault="00E4176E" w:rsidP="00E4176E">
      <w:pPr>
        <w:keepNext/>
        <w:spacing w:after="480" w:line="360" w:lineRule="auto"/>
        <w:jc w:val="both"/>
        <w:rPr>
          <w:rFonts w:cs="Arial"/>
          <w:bCs/>
          <w:szCs w:val="22"/>
          <w:u w:val="single"/>
        </w:rPr>
      </w:pPr>
      <w:r w:rsidRPr="005E6459">
        <w:rPr>
          <w:rFonts w:cs="Arial"/>
          <w:bCs/>
          <w:szCs w:val="22"/>
          <w:u w:val="single"/>
        </w:rPr>
        <w:t>Order</w:t>
      </w:r>
    </w:p>
    <w:p w14:paraId="070D6E3F" w14:textId="4F3B18AA" w:rsidR="00E4176E" w:rsidRPr="005E6459" w:rsidRDefault="00575351" w:rsidP="00575351">
      <w:pPr>
        <w:tabs>
          <w:tab w:val="left" w:pos="567"/>
        </w:tabs>
        <w:spacing w:after="480" w:line="360" w:lineRule="auto"/>
        <w:jc w:val="both"/>
        <w:rPr>
          <w:rFonts w:cs="Arial"/>
          <w:bCs/>
          <w:szCs w:val="22"/>
        </w:rPr>
      </w:pPr>
      <w:r w:rsidRPr="005E6459">
        <w:rPr>
          <w:rFonts w:cs="Arial"/>
          <w:bCs/>
          <w:szCs w:val="22"/>
        </w:rPr>
        <w:t>[1]</w:t>
      </w:r>
      <w:r w:rsidRPr="005E6459">
        <w:rPr>
          <w:rFonts w:cs="Arial"/>
          <w:bCs/>
          <w:szCs w:val="22"/>
        </w:rPr>
        <w:tab/>
      </w:r>
      <w:r w:rsidR="00E4176E" w:rsidRPr="005E6459">
        <w:rPr>
          <w:rFonts w:cs="Arial"/>
          <w:bCs/>
          <w:szCs w:val="22"/>
        </w:rPr>
        <w:t>In this matter I make the following order:</w:t>
      </w:r>
    </w:p>
    <w:p w14:paraId="294B0FCD" w14:textId="57F78F23" w:rsidR="00E4176E" w:rsidRPr="00575351" w:rsidRDefault="00575351" w:rsidP="00575351">
      <w:pPr>
        <w:spacing w:before="120" w:after="120" w:line="360" w:lineRule="auto"/>
        <w:ind w:left="360" w:hanging="360"/>
        <w:jc w:val="both"/>
        <w:rPr>
          <w:rFonts w:cs="Arial"/>
          <w:i/>
          <w:iCs/>
          <w:szCs w:val="22"/>
        </w:rPr>
      </w:pPr>
      <w:r w:rsidRPr="005E6459">
        <w:rPr>
          <w:rFonts w:cs="Arial"/>
          <w:i/>
          <w:iCs/>
          <w:szCs w:val="22"/>
        </w:rPr>
        <w:t>1.</w:t>
      </w:r>
      <w:r w:rsidRPr="005E6459">
        <w:rPr>
          <w:rFonts w:cs="Arial"/>
          <w:i/>
          <w:iCs/>
          <w:szCs w:val="22"/>
        </w:rPr>
        <w:tab/>
      </w:r>
      <w:r w:rsidR="004D48BA" w:rsidRPr="00575351">
        <w:rPr>
          <w:rFonts w:cs="Arial"/>
          <w:i/>
          <w:iCs/>
          <w:szCs w:val="22"/>
        </w:rPr>
        <w:t>The late filing of the answering affidavit is condoned;</w:t>
      </w:r>
    </w:p>
    <w:p w14:paraId="3FA9E5B1" w14:textId="01840E32" w:rsidR="00E4176E" w:rsidRPr="00575351" w:rsidRDefault="00575351" w:rsidP="00575351">
      <w:pPr>
        <w:spacing w:before="120" w:after="120" w:line="360" w:lineRule="auto"/>
        <w:ind w:left="360" w:hanging="360"/>
        <w:jc w:val="both"/>
        <w:rPr>
          <w:rFonts w:cs="Arial"/>
          <w:i/>
          <w:iCs/>
          <w:szCs w:val="22"/>
        </w:rPr>
      </w:pPr>
      <w:r w:rsidRPr="005E6459">
        <w:rPr>
          <w:rFonts w:cs="Arial"/>
          <w:i/>
          <w:iCs/>
          <w:szCs w:val="22"/>
        </w:rPr>
        <w:t>2.</w:t>
      </w:r>
      <w:r w:rsidRPr="005E6459">
        <w:rPr>
          <w:rFonts w:cs="Arial"/>
          <w:i/>
          <w:iCs/>
          <w:szCs w:val="22"/>
        </w:rPr>
        <w:tab/>
      </w:r>
      <w:r w:rsidR="003955C2" w:rsidRPr="00575351">
        <w:rPr>
          <w:rFonts w:cs="Arial"/>
          <w:i/>
          <w:iCs/>
          <w:szCs w:val="22"/>
        </w:rPr>
        <w:t xml:space="preserve">The respondent is declared to be in contempt of </w:t>
      </w:r>
      <w:r w:rsidR="003955C2" w:rsidRPr="00575351">
        <w:rPr>
          <w:rFonts w:cs="Arial"/>
          <w:bCs/>
          <w:i/>
          <w:iCs/>
          <w:szCs w:val="22"/>
        </w:rPr>
        <w:t>paragraph 3.3 read with paragraph 3.6 of the order made in terms of rule 43 of the Uniform Rules</w:t>
      </w:r>
      <w:r w:rsidR="003955C2" w:rsidRPr="00575351">
        <w:rPr>
          <w:rFonts w:cs="Arial"/>
          <w:bCs/>
          <w:i/>
          <w:iCs/>
          <w:szCs w:val="22"/>
          <w:lang w:val="en-GB"/>
        </w:rPr>
        <w:t xml:space="preserve"> on 27 January 2022</w:t>
      </w:r>
      <w:r w:rsidR="00300ED2" w:rsidRPr="00575351">
        <w:rPr>
          <w:rFonts w:cs="Arial"/>
          <w:bCs/>
          <w:i/>
          <w:iCs/>
          <w:szCs w:val="22"/>
          <w:lang w:val="en-GB"/>
        </w:rPr>
        <w:t xml:space="preserve"> (“the rule 43 order”)</w:t>
      </w:r>
      <w:r w:rsidR="003955C2" w:rsidRPr="00575351">
        <w:rPr>
          <w:rFonts w:cs="Arial"/>
          <w:bCs/>
          <w:i/>
          <w:iCs/>
          <w:szCs w:val="22"/>
          <w:lang w:val="en-GB"/>
        </w:rPr>
        <w:t>;</w:t>
      </w:r>
    </w:p>
    <w:p w14:paraId="2ED3564F" w14:textId="67E9BB2E" w:rsidR="00A15DF4" w:rsidRPr="00575351" w:rsidRDefault="00575351" w:rsidP="00575351">
      <w:pPr>
        <w:spacing w:before="120" w:after="120" w:line="360" w:lineRule="auto"/>
        <w:ind w:left="360" w:hanging="360"/>
        <w:jc w:val="both"/>
        <w:rPr>
          <w:rFonts w:cs="Arial"/>
          <w:i/>
          <w:iCs/>
          <w:szCs w:val="22"/>
        </w:rPr>
      </w:pPr>
      <w:r w:rsidRPr="005E6459">
        <w:rPr>
          <w:rFonts w:cs="Arial"/>
          <w:i/>
          <w:iCs/>
          <w:szCs w:val="22"/>
        </w:rPr>
        <w:t>3.</w:t>
      </w:r>
      <w:r w:rsidRPr="005E6459">
        <w:rPr>
          <w:rFonts w:cs="Arial"/>
          <w:i/>
          <w:iCs/>
          <w:szCs w:val="22"/>
        </w:rPr>
        <w:tab/>
      </w:r>
    </w:p>
    <w:p w14:paraId="137E2A55" w14:textId="3F461050" w:rsidR="003955C2" w:rsidRPr="00575351" w:rsidRDefault="00575351" w:rsidP="00575351">
      <w:pPr>
        <w:spacing w:before="120" w:after="120" w:line="360" w:lineRule="auto"/>
        <w:ind w:left="792" w:hanging="432"/>
        <w:jc w:val="both"/>
        <w:rPr>
          <w:rFonts w:cs="Arial"/>
          <w:i/>
          <w:iCs/>
          <w:szCs w:val="22"/>
        </w:rPr>
      </w:pPr>
      <w:r w:rsidRPr="005E6459">
        <w:rPr>
          <w:rFonts w:cs="Arial"/>
          <w:i/>
          <w:iCs/>
          <w:szCs w:val="22"/>
        </w:rPr>
        <w:t>3.1.</w:t>
      </w:r>
      <w:r w:rsidRPr="005E6459">
        <w:rPr>
          <w:rFonts w:cs="Arial"/>
          <w:i/>
          <w:iCs/>
          <w:szCs w:val="22"/>
        </w:rPr>
        <w:tab/>
      </w:r>
      <w:r w:rsidR="00A15DF4" w:rsidRPr="00575351">
        <w:rPr>
          <w:rFonts w:cs="Arial"/>
          <w:i/>
          <w:iCs/>
          <w:szCs w:val="22"/>
        </w:rPr>
        <w:t xml:space="preserve">The respondent is ordered to pay the amount of </w:t>
      </w:r>
      <w:r w:rsidR="00A15DF4" w:rsidRPr="00575351">
        <w:rPr>
          <w:rFonts w:cs="Arial"/>
          <w:bCs/>
          <w:i/>
          <w:iCs/>
          <w:szCs w:val="22"/>
        </w:rPr>
        <w:t>R472 080.00 to the applicant in respect of arrear maintenance due</w:t>
      </w:r>
      <w:r w:rsidR="005E6459" w:rsidRPr="00575351">
        <w:rPr>
          <w:rFonts w:cs="Arial"/>
          <w:bCs/>
          <w:i/>
          <w:iCs/>
          <w:szCs w:val="22"/>
        </w:rPr>
        <w:t xml:space="preserve"> as at the end of March 2023 </w:t>
      </w:r>
      <w:r w:rsidR="00A15DF4" w:rsidRPr="00575351">
        <w:rPr>
          <w:rFonts w:cs="Arial"/>
          <w:bCs/>
          <w:i/>
          <w:iCs/>
          <w:szCs w:val="22"/>
        </w:rPr>
        <w:t xml:space="preserve">in terms of paragraphs 3.3 and 3.6 of the </w:t>
      </w:r>
      <w:r w:rsidR="00300ED2" w:rsidRPr="00575351">
        <w:rPr>
          <w:rFonts w:cs="Arial"/>
          <w:bCs/>
          <w:i/>
          <w:iCs/>
          <w:szCs w:val="22"/>
        </w:rPr>
        <w:t xml:space="preserve">rule 43 </w:t>
      </w:r>
      <w:r w:rsidR="00A15DF4" w:rsidRPr="00575351">
        <w:rPr>
          <w:rFonts w:cs="Arial"/>
          <w:bCs/>
          <w:i/>
          <w:iCs/>
          <w:szCs w:val="22"/>
        </w:rPr>
        <w:t>order, within sixty days from the date of this order</w:t>
      </w:r>
    </w:p>
    <w:p w14:paraId="5CE45645" w14:textId="71A60810" w:rsidR="00A15DF4" w:rsidRPr="00575351" w:rsidRDefault="00575351" w:rsidP="00575351">
      <w:pPr>
        <w:spacing w:before="120" w:after="120" w:line="360" w:lineRule="auto"/>
        <w:ind w:left="792" w:hanging="432"/>
        <w:jc w:val="both"/>
        <w:rPr>
          <w:rFonts w:cs="Arial"/>
          <w:i/>
          <w:iCs/>
          <w:szCs w:val="22"/>
        </w:rPr>
      </w:pPr>
      <w:r w:rsidRPr="005E6459">
        <w:rPr>
          <w:rFonts w:cs="Arial"/>
          <w:i/>
          <w:iCs/>
          <w:szCs w:val="22"/>
        </w:rPr>
        <w:t>3.2.</w:t>
      </w:r>
      <w:r w:rsidRPr="005E6459">
        <w:rPr>
          <w:rFonts w:cs="Arial"/>
          <w:i/>
          <w:iCs/>
          <w:szCs w:val="22"/>
        </w:rPr>
        <w:tab/>
      </w:r>
      <w:r w:rsidR="00A15DF4" w:rsidRPr="00575351">
        <w:rPr>
          <w:rFonts w:cs="Arial"/>
          <w:bCs/>
          <w:i/>
          <w:iCs/>
          <w:szCs w:val="22"/>
        </w:rPr>
        <w:t xml:space="preserve">The respondent make payment of monthly maintenance due from 25 April 2023 onwards in terms of the </w:t>
      </w:r>
      <w:r w:rsidR="00300ED2" w:rsidRPr="00575351">
        <w:rPr>
          <w:rFonts w:cs="Arial"/>
          <w:bCs/>
          <w:i/>
          <w:iCs/>
          <w:szCs w:val="22"/>
        </w:rPr>
        <w:t xml:space="preserve">rule 43 </w:t>
      </w:r>
      <w:r w:rsidR="00A15DF4" w:rsidRPr="00575351">
        <w:rPr>
          <w:rFonts w:cs="Arial"/>
          <w:bCs/>
          <w:i/>
          <w:iCs/>
          <w:szCs w:val="22"/>
        </w:rPr>
        <w:t>order;</w:t>
      </w:r>
    </w:p>
    <w:p w14:paraId="2CDB92CF" w14:textId="2D0E7DD4" w:rsidR="005E2ACF" w:rsidRPr="00575351" w:rsidRDefault="00575351" w:rsidP="00575351">
      <w:pPr>
        <w:spacing w:before="120" w:after="120" w:line="360" w:lineRule="auto"/>
        <w:ind w:left="792" w:hanging="432"/>
        <w:jc w:val="both"/>
        <w:rPr>
          <w:rFonts w:cs="Arial"/>
          <w:i/>
          <w:iCs/>
          <w:szCs w:val="22"/>
        </w:rPr>
      </w:pPr>
      <w:r w:rsidRPr="005E6459">
        <w:rPr>
          <w:rFonts w:cs="Arial"/>
          <w:i/>
          <w:iCs/>
          <w:szCs w:val="22"/>
        </w:rPr>
        <w:t>3.3.</w:t>
      </w:r>
      <w:r w:rsidRPr="005E6459">
        <w:rPr>
          <w:rFonts w:cs="Arial"/>
          <w:i/>
          <w:iCs/>
          <w:szCs w:val="22"/>
        </w:rPr>
        <w:tab/>
      </w:r>
      <w:r w:rsidR="005E2ACF" w:rsidRPr="00575351">
        <w:rPr>
          <w:rFonts w:cs="Arial"/>
          <w:bCs/>
          <w:i/>
          <w:iCs/>
          <w:szCs w:val="22"/>
        </w:rPr>
        <w:t xml:space="preserve">Nothing in this order amends the </w:t>
      </w:r>
      <w:r w:rsidR="00300ED2" w:rsidRPr="00575351">
        <w:rPr>
          <w:rFonts w:cs="Arial"/>
          <w:bCs/>
          <w:i/>
          <w:iCs/>
          <w:szCs w:val="22"/>
        </w:rPr>
        <w:t xml:space="preserve">rule 43 </w:t>
      </w:r>
      <w:r w:rsidR="005E2ACF" w:rsidRPr="00575351">
        <w:rPr>
          <w:rFonts w:cs="Arial"/>
          <w:bCs/>
          <w:i/>
          <w:iCs/>
          <w:szCs w:val="22"/>
        </w:rPr>
        <w:t>order;</w:t>
      </w:r>
    </w:p>
    <w:p w14:paraId="46008292" w14:textId="49B52246" w:rsidR="005E2ACF" w:rsidRPr="00575351" w:rsidRDefault="00575351" w:rsidP="00575351">
      <w:pPr>
        <w:spacing w:before="120" w:after="120" w:line="360" w:lineRule="auto"/>
        <w:ind w:left="360" w:hanging="360"/>
        <w:jc w:val="both"/>
        <w:rPr>
          <w:rFonts w:cs="Arial"/>
          <w:i/>
          <w:iCs/>
          <w:szCs w:val="22"/>
        </w:rPr>
      </w:pPr>
      <w:r w:rsidRPr="005E6459">
        <w:rPr>
          <w:rFonts w:cs="Arial"/>
          <w:i/>
          <w:iCs/>
          <w:szCs w:val="22"/>
        </w:rPr>
        <w:t>4.</w:t>
      </w:r>
      <w:r w:rsidRPr="005E6459">
        <w:rPr>
          <w:rFonts w:cs="Arial"/>
          <w:i/>
          <w:iCs/>
          <w:szCs w:val="22"/>
        </w:rPr>
        <w:tab/>
      </w:r>
      <w:r w:rsidR="005E2ACF" w:rsidRPr="00575351">
        <w:rPr>
          <w:rFonts w:cs="Arial"/>
          <w:bCs/>
          <w:i/>
          <w:iCs/>
          <w:szCs w:val="22"/>
        </w:rPr>
        <w:t xml:space="preserve">In the event that the applicant fails to comply with this order the applicant is granted leave to </w:t>
      </w:r>
      <w:r w:rsidR="001A28C7" w:rsidRPr="00575351">
        <w:rPr>
          <w:rFonts w:cs="Arial"/>
          <w:bCs/>
          <w:i/>
          <w:iCs/>
          <w:szCs w:val="22"/>
        </w:rPr>
        <w:t>approach the Court</w:t>
      </w:r>
      <w:r w:rsidR="0021457F" w:rsidRPr="00575351">
        <w:rPr>
          <w:rFonts w:cs="Arial"/>
          <w:bCs/>
          <w:i/>
          <w:iCs/>
          <w:szCs w:val="22"/>
        </w:rPr>
        <w:t xml:space="preserve"> on amplified papers and</w:t>
      </w:r>
      <w:r w:rsidR="001A28C7" w:rsidRPr="00575351">
        <w:rPr>
          <w:rFonts w:cs="Arial"/>
          <w:bCs/>
          <w:i/>
          <w:iCs/>
          <w:szCs w:val="22"/>
        </w:rPr>
        <w:t xml:space="preserve"> under the same case number for further relief;</w:t>
      </w:r>
    </w:p>
    <w:p w14:paraId="73DD964F" w14:textId="5E40BF43" w:rsidR="00E4176E" w:rsidRPr="00575351" w:rsidRDefault="00575351" w:rsidP="00575351">
      <w:pPr>
        <w:spacing w:before="120" w:after="120" w:line="360" w:lineRule="auto"/>
        <w:ind w:left="360" w:hanging="360"/>
        <w:jc w:val="both"/>
        <w:rPr>
          <w:rFonts w:cs="Arial"/>
          <w:i/>
          <w:iCs/>
          <w:szCs w:val="22"/>
        </w:rPr>
      </w:pPr>
      <w:r w:rsidRPr="005E6459">
        <w:rPr>
          <w:rFonts w:cs="Arial"/>
          <w:i/>
          <w:iCs/>
          <w:szCs w:val="22"/>
        </w:rPr>
        <w:lastRenderedPageBreak/>
        <w:t>5.</w:t>
      </w:r>
      <w:r w:rsidRPr="005E6459">
        <w:rPr>
          <w:rFonts w:cs="Arial"/>
          <w:i/>
          <w:iCs/>
          <w:szCs w:val="22"/>
        </w:rPr>
        <w:tab/>
      </w:r>
      <w:r w:rsidR="004D48BA" w:rsidRPr="00575351">
        <w:rPr>
          <w:rFonts w:cs="Arial"/>
          <w:i/>
          <w:iCs/>
          <w:szCs w:val="22"/>
        </w:rPr>
        <w:t>The respondent is ordered to pay the costs of the application.</w:t>
      </w:r>
    </w:p>
    <w:p w14:paraId="16DC3AD4" w14:textId="77777777" w:rsidR="00E4176E" w:rsidRPr="005E6459" w:rsidRDefault="00E4176E" w:rsidP="00E4176E">
      <w:pPr>
        <w:spacing w:before="120" w:after="120" w:line="360" w:lineRule="auto"/>
        <w:rPr>
          <w:rFonts w:cs="Arial"/>
          <w:i/>
          <w:iCs/>
          <w:szCs w:val="22"/>
        </w:rPr>
      </w:pPr>
    </w:p>
    <w:p w14:paraId="19C9A0AC" w14:textId="114C431A" w:rsidR="00E4176E" w:rsidRPr="00575351" w:rsidRDefault="00575351" w:rsidP="00575351">
      <w:pPr>
        <w:widowControl w:val="0"/>
        <w:tabs>
          <w:tab w:val="left" w:pos="567"/>
        </w:tabs>
        <w:spacing w:before="480" w:after="480" w:line="360" w:lineRule="auto"/>
        <w:jc w:val="both"/>
        <w:rPr>
          <w:rFonts w:cs="Arial"/>
          <w:bCs/>
          <w:szCs w:val="22"/>
          <w:u w:val="single"/>
        </w:rPr>
      </w:pPr>
      <w:r w:rsidRPr="005E6459">
        <w:rPr>
          <w:rFonts w:cs="Arial"/>
          <w:bCs/>
          <w:szCs w:val="22"/>
        </w:rPr>
        <w:t>[2]</w:t>
      </w:r>
      <w:r w:rsidRPr="005E6459">
        <w:rPr>
          <w:rFonts w:cs="Arial"/>
          <w:bCs/>
          <w:szCs w:val="22"/>
        </w:rPr>
        <w:tab/>
      </w:r>
      <w:r w:rsidR="00E4176E" w:rsidRPr="00575351">
        <w:rPr>
          <w:rFonts w:cs="Arial"/>
          <w:bCs/>
          <w:szCs w:val="22"/>
        </w:rPr>
        <w:t>The reasons for the order follow below.</w:t>
      </w:r>
    </w:p>
    <w:p w14:paraId="6725AF2A" w14:textId="77777777" w:rsidR="00E4176E" w:rsidRPr="005E6459" w:rsidRDefault="00E4176E" w:rsidP="00E4176E">
      <w:pPr>
        <w:keepNext/>
        <w:widowControl w:val="0"/>
        <w:spacing w:before="480" w:after="480" w:line="360" w:lineRule="auto"/>
        <w:jc w:val="both"/>
        <w:rPr>
          <w:rFonts w:cs="Arial"/>
          <w:bCs/>
          <w:szCs w:val="22"/>
          <w:u w:val="single"/>
        </w:rPr>
      </w:pPr>
    </w:p>
    <w:p w14:paraId="2BBDBF71" w14:textId="77777777" w:rsidR="00E4176E" w:rsidRPr="005E6459" w:rsidRDefault="00E4176E" w:rsidP="00E4176E">
      <w:pPr>
        <w:keepNext/>
        <w:widowControl w:val="0"/>
        <w:spacing w:before="480" w:after="480" w:line="360" w:lineRule="auto"/>
        <w:jc w:val="both"/>
        <w:rPr>
          <w:rFonts w:cs="Arial"/>
          <w:bCs/>
          <w:szCs w:val="22"/>
          <w:u w:val="single"/>
        </w:rPr>
      </w:pPr>
      <w:r w:rsidRPr="005E6459">
        <w:rPr>
          <w:rFonts w:cs="Arial"/>
          <w:bCs/>
          <w:szCs w:val="22"/>
          <w:u w:val="single"/>
        </w:rPr>
        <w:t>Introduction</w:t>
      </w:r>
    </w:p>
    <w:p w14:paraId="284A0BA5" w14:textId="722AC441" w:rsidR="003E0EB0" w:rsidRDefault="00575351" w:rsidP="00575351">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E4176E" w:rsidRPr="005E6459">
        <w:rPr>
          <w:rFonts w:cs="Arial"/>
          <w:bCs/>
          <w:szCs w:val="22"/>
        </w:rPr>
        <w:t>This is an application for an order that the respondent be held in contempt of court of an order made</w:t>
      </w:r>
      <w:r w:rsidR="00321C0A">
        <w:rPr>
          <w:rFonts w:cs="Arial"/>
          <w:bCs/>
          <w:szCs w:val="22"/>
        </w:rPr>
        <w:t xml:space="preserve"> by agreement and</w:t>
      </w:r>
      <w:r w:rsidR="00E4176E" w:rsidRPr="005E6459">
        <w:rPr>
          <w:rFonts w:cs="Arial"/>
          <w:bCs/>
          <w:szCs w:val="22"/>
        </w:rPr>
        <w:t xml:space="preserve"> in terms of rule 43 of the Uniform Rules</w:t>
      </w:r>
      <w:r w:rsidR="00806AB0" w:rsidRPr="005E6459">
        <w:rPr>
          <w:rFonts w:cs="Arial"/>
          <w:bCs/>
          <w:szCs w:val="22"/>
          <w:lang w:val="en-GB"/>
        </w:rPr>
        <w:t xml:space="preserve"> on 27 January 2022,</w:t>
      </w:r>
      <w:r w:rsidR="00806AB0" w:rsidRPr="005E6459">
        <w:rPr>
          <w:rStyle w:val="FootnoteReference"/>
          <w:rFonts w:cs="Arial"/>
          <w:bCs/>
          <w:szCs w:val="22"/>
          <w:lang w:val="en-GB"/>
        </w:rPr>
        <w:footnoteReference w:id="1"/>
      </w:r>
      <w:r w:rsidR="00E4176E" w:rsidRPr="005E6459">
        <w:rPr>
          <w:rFonts w:cs="Arial"/>
          <w:bCs/>
          <w:szCs w:val="22"/>
        </w:rPr>
        <w:t xml:space="preserve">. </w:t>
      </w:r>
    </w:p>
    <w:p w14:paraId="29661C15" w14:textId="4A532121" w:rsidR="00E4176E" w:rsidRPr="005E6459" w:rsidRDefault="00575351" w:rsidP="00575351">
      <w:pPr>
        <w:widowControl w:val="0"/>
        <w:tabs>
          <w:tab w:val="left" w:pos="567"/>
        </w:tabs>
        <w:spacing w:before="480" w:after="480" w:line="480" w:lineRule="auto"/>
        <w:jc w:val="both"/>
        <w:rPr>
          <w:rFonts w:cs="Arial"/>
          <w:bCs/>
          <w:szCs w:val="22"/>
        </w:rPr>
      </w:pPr>
      <w:r w:rsidRPr="005E6459">
        <w:rPr>
          <w:rFonts w:cs="Arial"/>
          <w:bCs/>
          <w:szCs w:val="22"/>
        </w:rPr>
        <w:t>[4]</w:t>
      </w:r>
      <w:r w:rsidRPr="005E6459">
        <w:rPr>
          <w:rFonts w:cs="Arial"/>
          <w:bCs/>
          <w:szCs w:val="22"/>
        </w:rPr>
        <w:tab/>
      </w:r>
      <w:r w:rsidR="00E4176E" w:rsidRPr="005E6459">
        <w:rPr>
          <w:rFonts w:cs="Arial"/>
          <w:bCs/>
          <w:szCs w:val="22"/>
        </w:rPr>
        <w:t>The criminal standard of proof, namely proof beyond reasonable doubt, applies. The applicant must show -</w:t>
      </w:r>
    </w:p>
    <w:p w14:paraId="4D5016CA" w14:textId="27B448A1" w:rsidR="00E4176E" w:rsidRPr="005E6459" w:rsidRDefault="00575351" w:rsidP="00575351">
      <w:pPr>
        <w:tabs>
          <w:tab w:val="left" w:pos="1418"/>
        </w:tabs>
        <w:spacing w:before="480" w:after="480" w:line="480" w:lineRule="auto"/>
        <w:ind w:left="1418" w:hanging="851"/>
        <w:jc w:val="both"/>
        <w:rPr>
          <w:rFonts w:cs="Arial"/>
          <w:bCs/>
          <w:szCs w:val="22"/>
        </w:rPr>
      </w:pPr>
      <w:r w:rsidRPr="005E6459">
        <w:rPr>
          <w:rFonts w:cs="Arial"/>
          <w:bCs/>
          <w:szCs w:val="22"/>
        </w:rPr>
        <w:t>4.1</w:t>
      </w:r>
      <w:r w:rsidRPr="005E6459">
        <w:rPr>
          <w:rFonts w:cs="Arial"/>
          <w:bCs/>
          <w:szCs w:val="22"/>
        </w:rPr>
        <w:tab/>
      </w:r>
      <w:r w:rsidR="00E4176E" w:rsidRPr="005E6459">
        <w:rPr>
          <w:rFonts w:cs="Arial"/>
          <w:bCs/>
          <w:szCs w:val="22"/>
        </w:rPr>
        <w:t>that the respondent was served with or otherwise informed</w:t>
      </w:r>
    </w:p>
    <w:p w14:paraId="14870FF6" w14:textId="4AA7F023" w:rsidR="00E4176E" w:rsidRPr="005E6459" w:rsidRDefault="00575351" w:rsidP="00575351">
      <w:pPr>
        <w:tabs>
          <w:tab w:val="left" w:pos="1418"/>
        </w:tabs>
        <w:spacing w:before="480" w:after="480" w:line="480" w:lineRule="auto"/>
        <w:ind w:left="1418" w:hanging="851"/>
        <w:jc w:val="both"/>
        <w:rPr>
          <w:rFonts w:cs="Arial"/>
          <w:bCs/>
          <w:szCs w:val="22"/>
        </w:rPr>
      </w:pPr>
      <w:r w:rsidRPr="005E6459">
        <w:rPr>
          <w:rFonts w:cs="Arial"/>
          <w:bCs/>
          <w:szCs w:val="22"/>
        </w:rPr>
        <w:t>4.2</w:t>
      </w:r>
      <w:r w:rsidRPr="005E6459">
        <w:rPr>
          <w:rFonts w:cs="Arial"/>
          <w:bCs/>
          <w:szCs w:val="22"/>
        </w:rPr>
        <w:tab/>
      </w:r>
      <w:r w:rsidR="00E4176E" w:rsidRPr="005E6459">
        <w:rPr>
          <w:rFonts w:cs="Arial"/>
          <w:bCs/>
          <w:szCs w:val="22"/>
        </w:rPr>
        <w:t xml:space="preserve">of an existing court order granted against him, </w:t>
      </w:r>
    </w:p>
    <w:p w14:paraId="1C7C1C46" w14:textId="4A7D796C" w:rsidR="00E4176E" w:rsidRPr="005E6459" w:rsidRDefault="00575351" w:rsidP="00575351">
      <w:pPr>
        <w:tabs>
          <w:tab w:val="left" w:pos="1418"/>
        </w:tabs>
        <w:spacing w:before="480" w:after="480" w:line="480" w:lineRule="auto"/>
        <w:ind w:left="1418" w:hanging="851"/>
        <w:jc w:val="both"/>
        <w:rPr>
          <w:rFonts w:cs="Arial"/>
          <w:bCs/>
          <w:szCs w:val="22"/>
        </w:rPr>
      </w:pPr>
      <w:r w:rsidRPr="005E6459">
        <w:rPr>
          <w:rFonts w:cs="Arial"/>
          <w:bCs/>
          <w:szCs w:val="22"/>
        </w:rPr>
        <w:t>4.3</w:t>
      </w:r>
      <w:r w:rsidRPr="005E6459">
        <w:rPr>
          <w:rFonts w:cs="Arial"/>
          <w:bCs/>
          <w:szCs w:val="22"/>
        </w:rPr>
        <w:tab/>
      </w:r>
      <w:r w:rsidR="00E4176E" w:rsidRPr="005E6459">
        <w:rPr>
          <w:rFonts w:cs="Arial"/>
          <w:bCs/>
          <w:szCs w:val="22"/>
        </w:rPr>
        <w:t>and has either ignored or disobeyed it.</w:t>
      </w:r>
      <w:r w:rsidR="00E4176E" w:rsidRPr="005E6459">
        <w:rPr>
          <w:rStyle w:val="FootnoteReference"/>
          <w:rFonts w:cs="Arial"/>
          <w:bCs/>
          <w:szCs w:val="22"/>
        </w:rPr>
        <w:footnoteReference w:id="2"/>
      </w:r>
      <w:r w:rsidR="00E4176E" w:rsidRPr="005E6459">
        <w:rPr>
          <w:rFonts w:cs="Arial"/>
          <w:bCs/>
          <w:szCs w:val="22"/>
        </w:rPr>
        <w:t xml:space="preserve"> </w:t>
      </w:r>
    </w:p>
    <w:p w14:paraId="60555CFB" w14:textId="1DE3E2B8" w:rsidR="00E4176E" w:rsidRPr="005E6459" w:rsidRDefault="00575351" w:rsidP="00575351">
      <w:pPr>
        <w:tabs>
          <w:tab w:val="left" w:pos="567"/>
        </w:tabs>
        <w:spacing w:before="480" w:after="480" w:line="480" w:lineRule="auto"/>
        <w:jc w:val="both"/>
        <w:rPr>
          <w:rFonts w:cs="Arial"/>
          <w:bCs/>
          <w:color w:val="000000" w:themeColor="text1"/>
          <w:szCs w:val="22"/>
        </w:rPr>
      </w:pPr>
      <w:r w:rsidRPr="005E6459">
        <w:rPr>
          <w:rFonts w:cs="Arial"/>
          <w:bCs/>
          <w:szCs w:val="22"/>
        </w:rPr>
        <w:t>[5]</w:t>
      </w:r>
      <w:r w:rsidRPr="005E6459">
        <w:rPr>
          <w:rFonts w:cs="Arial"/>
          <w:bCs/>
          <w:szCs w:val="22"/>
        </w:rPr>
        <w:tab/>
      </w:r>
      <w:r w:rsidR="00E4176E" w:rsidRPr="005E6459">
        <w:rPr>
          <w:rFonts w:cs="Arial"/>
          <w:bCs/>
          <w:szCs w:val="22"/>
        </w:rPr>
        <w:t xml:space="preserve">To avoid being convicted the respondent must establish a reasonable doubt as </w:t>
      </w:r>
      <w:r w:rsidR="00E4176E" w:rsidRPr="005E6459">
        <w:rPr>
          <w:rFonts w:cs="Arial"/>
          <w:bCs/>
          <w:color w:val="000000" w:themeColor="text1"/>
          <w:szCs w:val="22"/>
        </w:rPr>
        <w:t>to whether</w:t>
      </w:r>
      <w:r w:rsidR="00E4176E" w:rsidRPr="005E6459">
        <w:rPr>
          <w:rFonts w:cs="Arial"/>
          <w:color w:val="000000" w:themeColor="text1"/>
          <w:szCs w:val="22"/>
          <w:shd w:val="clear" w:color="auto" w:fill="FFFFFF"/>
        </w:rPr>
        <w:t xml:space="preserve"> his failure to comply was wilful and </w:t>
      </w:r>
      <w:r w:rsidR="00E4176E" w:rsidRPr="005E6459">
        <w:rPr>
          <w:rFonts w:cs="Arial"/>
          <w:i/>
          <w:iCs/>
          <w:color w:val="000000" w:themeColor="text1"/>
          <w:szCs w:val="22"/>
          <w:shd w:val="clear" w:color="auto" w:fill="FFFFFF"/>
        </w:rPr>
        <w:t xml:space="preserve">mala fide. </w:t>
      </w:r>
      <w:r w:rsidR="00E4176E" w:rsidRPr="005E6459">
        <w:rPr>
          <w:rFonts w:cs="Arial"/>
          <w:color w:val="000000" w:themeColor="text1"/>
          <w:szCs w:val="22"/>
          <w:shd w:val="clear" w:color="auto" w:fill="FFFFFF"/>
        </w:rPr>
        <w:t xml:space="preserve">In </w:t>
      </w:r>
      <w:r w:rsidR="008421FB" w:rsidRPr="005E6459">
        <w:rPr>
          <w:rFonts w:cs="Arial"/>
          <w:i/>
          <w:iCs/>
          <w:color w:val="000000" w:themeColor="text1"/>
          <w:szCs w:val="22"/>
        </w:rPr>
        <w:t>Fakie NO v CCII Systems (Pty) Ltd</w:t>
      </w:r>
      <w:r w:rsidR="00E4176E" w:rsidRPr="005E6459">
        <w:rPr>
          <w:rFonts w:cs="Arial"/>
          <w:i/>
          <w:iCs/>
          <w:color w:val="000000" w:themeColor="text1"/>
          <w:szCs w:val="22"/>
          <w:shd w:val="clear" w:color="auto" w:fill="FFFFFF"/>
        </w:rPr>
        <w:t>,</w:t>
      </w:r>
      <w:r w:rsidR="00E4176E" w:rsidRPr="005E6459">
        <w:rPr>
          <w:rStyle w:val="FootnoteReference"/>
          <w:rFonts w:cs="Arial"/>
          <w:i/>
          <w:iCs/>
          <w:color w:val="000000" w:themeColor="text1"/>
          <w:szCs w:val="22"/>
          <w:shd w:val="clear" w:color="auto" w:fill="FFFFFF"/>
        </w:rPr>
        <w:footnoteReference w:id="3"/>
      </w:r>
      <w:r w:rsidR="00E4176E" w:rsidRPr="005E6459">
        <w:rPr>
          <w:rFonts w:cs="Arial"/>
          <w:color w:val="000000" w:themeColor="text1"/>
          <w:szCs w:val="22"/>
          <w:shd w:val="clear" w:color="auto" w:fill="FFFFFF"/>
        </w:rPr>
        <w:t xml:space="preserve"> Cameron J said:</w:t>
      </w:r>
    </w:p>
    <w:p w14:paraId="45DCE1D3" w14:textId="77777777" w:rsidR="00E4176E" w:rsidRPr="005E6459" w:rsidRDefault="00E4176E" w:rsidP="00E4176E">
      <w:pPr>
        <w:pStyle w:val="lrpara"/>
        <w:shd w:val="clear" w:color="auto" w:fill="FFFFFF"/>
        <w:spacing w:before="180" w:beforeAutospacing="0" w:after="0" w:afterAutospacing="0" w:line="360" w:lineRule="auto"/>
        <w:ind w:left="1440"/>
        <w:jc w:val="both"/>
        <w:rPr>
          <w:rFonts w:ascii="Arial" w:hAnsi="Arial" w:cs="Arial"/>
          <w:i/>
          <w:iCs/>
          <w:color w:val="000000" w:themeColor="text1"/>
          <w:sz w:val="22"/>
          <w:szCs w:val="22"/>
        </w:rPr>
      </w:pPr>
      <w:r w:rsidRPr="005E6459">
        <w:rPr>
          <w:rFonts w:ascii="Arial" w:hAnsi="Arial" w:cs="Arial"/>
          <w:i/>
          <w:iCs/>
          <w:color w:val="000000" w:themeColor="text1"/>
          <w:sz w:val="22"/>
          <w:szCs w:val="22"/>
        </w:rPr>
        <w:lastRenderedPageBreak/>
        <w:t>“[23] It should be noted that developing the common law thus does not require the prosecution to lead evidence as to the accused's state of mind or motive: Once the three requisites mentioned have been proved, in the absence of evidence raising a reasonable doubt as to whether the accused acted wilfully and mala fide, all the requisites of the offence will have been established. What is changed is that the accused no longer bears a legal burden to disprove wilfulness and mala fides on a balance of probabilities, but to avoid conviction need only lead evidence that establishes a reasonable doubt.”</w:t>
      </w:r>
    </w:p>
    <w:p w14:paraId="45D030EC" w14:textId="4412BCDA"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[6]</w:t>
      </w:r>
      <w:r w:rsidRPr="005E6459">
        <w:rPr>
          <w:rFonts w:cs="Arial"/>
          <w:bCs/>
          <w:szCs w:val="22"/>
        </w:rPr>
        <w:tab/>
      </w:r>
      <w:r w:rsidR="00E4176E" w:rsidRPr="005E6459">
        <w:rPr>
          <w:rFonts w:cs="Arial"/>
          <w:bCs/>
          <w:color w:val="000000" w:themeColor="text1"/>
          <w:szCs w:val="22"/>
          <w:lang w:val="en-GB"/>
        </w:rPr>
        <w:t>In the present matter it is common cause that the respondent was informed of the order</w:t>
      </w:r>
      <w:r w:rsidR="00060C72">
        <w:rPr>
          <w:rFonts w:cs="Arial"/>
          <w:bCs/>
          <w:color w:val="000000" w:themeColor="text1"/>
          <w:szCs w:val="22"/>
          <w:lang w:val="en-GB"/>
        </w:rPr>
        <w:t xml:space="preserve"> that was granted with his consent</w:t>
      </w:r>
      <w:r w:rsidR="00E4176E" w:rsidRPr="005E6459">
        <w:rPr>
          <w:rFonts w:cs="Arial"/>
          <w:bCs/>
          <w:color w:val="000000" w:themeColor="text1"/>
          <w:szCs w:val="22"/>
          <w:lang w:val="en-GB"/>
        </w:rPr>
        <w:t xml:space="preserve">. The issues in dispute are whether he disobeyed the order and if so, whether he acted </w:t>
      </w:r>
      <w:r w:rsidR="00944BB9" w:rsidRPr="005E6459">
        <w:rPr>
          <w:rFonts w:cs="Arial"/>
          <w:bCs/>
          <w:color w:val="000000" w:themeColor="text1"/>
          <w:szCs w:val="22"/>
          <w:lang w:val="en-GB"/>
        </w:rPr>
        <w:t>wilfully</w:t>
      </w:r>
      <w:r w:rsidR="00E4176E" w:rsidRPr="005E6459">
        <w:rPr>
          <w:rFonts w:cs="Arial"/>
          <w:bCs/>
          <w:color w:val="000000" w:themeColor="text1"/>
          <w:szCs w:val="22"/>
          <w:lang w:val="en-GB"/>
        </w:rPr>
        <w:t xml:space="preserve"> and in bad faith. The onus is on the applicant to show that the respondent disobeyed the order and if that onus is discharged there arise</w:t>
      </w:r>
      <w:r w:rsidR="00806AB0" w:rsidRPr="005E6459">
        <w:rPr>
          <w:rFonts w:cs="Arial"/>
          <w:bCs/>
          <w:color w:val="000000" w:themeColor="text1"/>
          <w:szCs w:val="22"/>
          <w:lang w:val="en-GB"/>
        </w:rPr>
        <w:t>s</w:t>
      </w:r>
      <w:r w:rsidR="00E4176E" w:rsidRPr="005E6459">
        <w:rPr>
          <w:rFonts w:cs="Arial"/>
          <w:bCs/>
          <w:color w:val="000000" w:themeColor="text1"/>
          <w:szCs w:val="22"/>
          <w:lang w:val="en-GB"/>
        </w:rPr>
        <w:t xml:space="preserve"> an evidentiary burden on the respondent to show that his failure to comply was not </w:t>
      </w:r>
      <w:r w:rsidR="00944BB9" w:rsidRPr="005E6459">
        <w:rPr>
          <w:rFonts w:cs="Arial"/>
          <w:bCs/>
          <w:color w:val="000000" w:themeColor="text1"/>
          <w:szCs w:val="22"/>
          <w:lang w:val="en-GB"/>
        </w:rPr>
        <w:t>wilful</w:t>
      </w:r>
      <w:r w:rsidR="00E4176E" w:rsidRPr="005E6459">
        <w:rPr>
          <w:rFonts w:cs="Arial"/>
          <w:bCs/>
          <w:color w:val="000000" w:themeColor="text1"/>
          <w:szCs w:val="22"/>
          <w:lang w:val="en-GB"/>
        </w:rPr>
        <w:t xml:space="preserve"> and in bad faith.</w:t>
      </w:r>
    </w:p>
    <w:p w14:paraId="5EF19C55" w14:textId="7370A910"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[7]</w:t>
      </w:r>
      <w:r w:rsidRPr="005E6459">
        <w:rPr>
          <w:rFonts w:cs="Arial"/>
          <w:bCs/>
          <w:szCs w:val="22"/>
        </w:rPr>
        <w:tab/>
      </w:r>
      <w:r w:rsidR="00E4176E" w:rsidRPr="005E6459">
        <w:rPr>
          <w:rFonts w:cs="Arial"/>
          <w:bCs/>
          <w:szCs w:val="22"/>
          <w:lang w:val="en-GB"/>
        </w:rPr>
        <w:t>Any failure to comply with an order of court undermines the Constitution of South Africa</w:t>
      </w:r>
      <w:r w:rsidR="00E4176E" w:rsidRPr="005E6459">
        <w:rPr>
          <w:rStyle w:val="FootnoteReference"/>
          <w:rFonts w:cs="Arial"/>
          <w:bCs/>
          <w:szCs w:val="22"/>
          <w:lang w:val="en-GB"/>
        </w:rPr>
        <w:footnoteReference w:id="4"/>
      </w:r>
      <w:r w:rsidR="00E4176E" w:rsidRPr="005E6459">
        <w:rPr>
          <w:rFonts w:cs="Arial"/>
          <w:bCs/>
          <w:szCs w:val="22"/>
          <w:lang w:val="en-GB"/>
        </w:rPr>
        <w:t xml:space="preserve"> and can not be </w:t>
      </w:r>
      <w:r w:rsidR="00806AB0" w:rsidRPr="005E6459">
        <w:rPr>
          <w:rFonts w:cs="Arial"/>
          <w:bCs/>
          <w:szCs w:val="22"/>
          <w:lang w:val="en-GB"/>
        </w:rPr>
        <w:t>taken lightly</w:t>
      </w:r>
      <w:r w:rsidR="00E4176E" w:rsidRPr="005E6459">
        <w:rPr>
          <w:rFonts w:cs="Arial"/>
          <w:bCs/>
          <w:szCs w:val="22"/>
          <w:lang w:val="en-GB"/>
        </w:rPr>
        <w:t>.</w:t>
      </w:r>
      <w:r w:rsidR="00E4176E" w:rsidRPr="005E6459">
        <w:rPr>
          <w:rStyle w:val="FootnoteReference"/>
          <w:rFonts w:cs="Arial"/>
          <w:bCs/>
          <w:szCs w:val="22"/>
          <w:lang w:val="en-GB"/>
        </w:rPr>
        <w:footnoteReference w:id="5"/>
      </w:r>
    </w:p>
    <w:p w14:paraId="76075778" w14:textId="344919D4"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[8]</w:t>
      </w:r>
      <w:r w:rsidRPr="005E6459">
        <w:rPr>
          <w:rFonts w:cs="Arial"/>
          <w:bCs/>
          <w:szCs w:val="22"/>
        </w:rPr>
        <w:tab/>
      </w:r>
      <w:r w:rsidR="00E4176E" w:rsidRPr="005E6459">
        <w:rPr>
          <w:rFonts w:cs="Arial"/>
          <w:bCs/>
          <w:szCs w:val="22"/>
          <w:lang w:val="en-GB"/>
        </w:rPr>
        <w:t xml:space="preserve">The applicant seeks an order declaring the respondent to be in contempt of paragraphs 3 and 4 of the rule 43 order as well as an order that </w:t>
      </w:r>
      <w:r w:rsidR="00806AB0" w:rsidRPr="005E6459">
        <w:rPr>
          <w:rFonts w:cs="Arial"/>
          <w:bCs/>
          <w:szCs w:val="22"/>
          <w:lang w:val="en-GB"/>
        </w:rPr>
        <w:t>a</w:t>
      </w:r>
      <w:r w:rsidR="00E4176E" w:rsidRPr="005E6459">
        <w:rPr>
          <w:rFonts w:cs="Arial"/>
          <w:bCs/>
          <w:szCs w:val="22"/>
          <w:lang w:val="en-GB"/>
        </w:rPr>
        <w:t xml:space="preserve"> retirement annuity of the respondent be attached and that the respondent be ordered to reinstate the medical scheme that was in place at the time of the </w:t>
      </w:r>
      <w:r w:rsidR="008421FB" w:rsidRPr="005E6459">
        <w:rPr>
          <w:rFonts w:cs="Arial"/>
          <w:bCs/>
          <w:szCs w:val="22"/>
          <w:lang w:val="en-GB"/>
        </w:rPr>
        <w:t>rule</w:t>
      </w:r>
      <w:r w:rsidR="00E4176E" w:rsidRPr="005E6459">
        <w:rPr>
          <w:rFonts w:cs="Arial"/>
          <w:bCs/>
          <w:szCs w:val="22"/>
          <w:lang w:val="en-GB"/>
        </w:rPr>
        <w:t xml:space="preserve"> 43 order. The applicant also seeks a punitive cost order against the respondent and a </w:t>
      </w:r>
      <w:r w:rsidR="00E4176E" w:rsidRPr="005E6459">
        <w:rPr>
          <w:rFonts w:cs="Arial"/>
          <w:bCs/>
          <w:i/>
          <w:iCs/>
          <w:szCs w:val="22"/>
          <w:lang w:val="en-GB"/>
        </w:rPr>
        <w:t>de bonis proprius</w:t>
      </w:r>
      <w:r w:rsidR="00E4176E" w:rsidRPr="005E6459">
        <w:rPr>
          <w:rFonts w:cs="Arial"/>
          <w:bCs/>
          <w:szCs w:val="22"/>
          <w:lang w:val="en-GB"/>
        </w:rPr>
        <w:t xml:space="preserve"> cost order against the respondent’s attorneys.</w:t>
      </w:r>
    </w:p>
    <w:p w14:paraId="12B39AB2" w14:textId="77777777" w:rsidR="00E4176E" w:rsidRPr="005E6459" w:rsidRDefault="00E4176E" w:rsidP="00E4176E">
      <w:pPr>
        <w:widowControl w:val="0"/>
        <w:spacing w:before="480" w:after="480" w:line="360" w:lineRule="auto"/>
        <w:jc w:val="both"/>
        <w:rPr>
          <w:rFonts w:cs="Arial"/>
          <w:bCs/>
          <w:i/>
          <w:iCs/>
          <w:szCs w:val="22"/>
          <w:u w:val="single"/>
        </w:rPr>
      </w:pPr>
    </w:p>
    <w:p w14:paraId="0F425B22" w14:textId="77777777" w:rsidR="00E4176E" w:rsidRPr="005E6459" w:rsidRDefault="00E4176E" w:rsidP="00E4176E">
      <w:pPr>
        <w:widowControl w:val="0"/>
        <w:spacing w:before="480" w:after="480" w:line="360" w:lineRule="auto"/>
        <w:jc w:val="both"/>
        <w:rPr>
          <w:rFonts w:cs="Arial"/>
          <w:bCs/>
          <w:szCs w:val="22"/>
        </w:rPr>
      </w:pPr>
      <w:r w:rsidRPr="005E6459">
        <w:rPr>
          <w:rFonts w:cs="Arial"/>
          <w:bCs/>
          <w:i/>
          <w:iCs/>
          <w:szCs w:val="22"/>
          <w:u w:val="single"/>
        </w:rPr>
        <w:t>In limine</w:t>
      </w:r>
    </w:p>
    <w:p w14:paraId="7FAEF13A" w14:textId="1F87B575"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lastRenderedPageBreak/>
        <w:t>[9]</w:t>
      </w:r>
      <w:r w:rsidRPr="005E6459">
        <w:rPr>
          <w:rFonts w:cs="Arial"/>
          <w:bCs/>
          <w:szCs w:val="22"/>
        </w:rPr>
        <w:tab/>
      </w:r>
      <w:r w:rsidR="00E4176E" w:rsidRPr="005E6459">
        <w:rPr>
          <w:rFonts w:cs="Arial"/>
          <w:bCs/>
          <w:szCs w:val="22"/>
          <w:lang w:val="en-GB"/>
        </w:rPr>
        <w:t xml:space="preserve">In the replying affidavit the applicant raises three points </w:t>
      </w:r>
      <w:r w:rsidR="00E4176E" w:rsidRPr="005E6459">
        <w:rPr>
          <w:rFonts w:cs="Arial"/>
          <w:bCs/>
          <w:i/>
          <w:iCs/>
          <w:szCs w:val="22"/>
          <w:lang w:val="en-GB"/>
        </w:rPr>
        <w:t>in limine</w:t>
      </w:r>
      <w:r w:rsidR="00E4176E" w:rsidRPr="005E6459">
        <w:rPr>
          <w:rFonts w:cs="Arial"/>
          <w:bCs/>
          <w:szCs w:val="22"/>
          <w:lang w:val="en-GB"/>
        </w:rPr>
        <w:t xml:space="preserve">. The first point is that the answering affidavit was not </w:t>
      </w:r>
      <w:r w:rsidR="005E6459">
        <w:rPr>
          <w:rFonts w:cs="Arial"/>
          <w:bCs/>
          <w:szCs w:val="22"/>
          <w:lang w:val="en-GB"/>
        </w:rPr>
        <w:t>properly</w:t>
      </w:r>
      <w:r w:rsidR="00E4176E" w:rsidRPr="005E6459">
        <w:rPr>
          <w:rFonts w:cs="Arial"/>
          <w:bCs/>
          <w:szCs w:val="22"/>
          <w:lang w:val="en-GB"/>
        </w:rPr>
        <w:t xml:space="preserve"> </w:t>
      </w:r>
      <w:r w:rsidR="00806AB0" w:rsidRPr="005E6459">
        <w:rPr>
          <w:rFonts w:cs="Arial"/>
          <w:bCs/>
          <w:szCs w:val="22"/>
          <w:lang w:val="en-GB"/>
        </w:rPr>
        <w:t>commissioned</w:t>
      </w:r>
      <w:r w:rsidR="00E4176E" w:rsidRPr="005E6459">
        <w:rPr>
          <w:rFonts w:cs="Arial"/>
          <w:bCs/>
          <w:szCs w:val="22"/>
          <w:lang w:val="en-GB"/>
        </w:rPr>
        <w:t>. On the face of it the answering affidavit (incorrectly</w:t>
      </w:r>
      <w:r w:rsidR="00806AB0" w:rsidRPr="005E6459">
        <w:rPr>
          <w:rFonts w:cs="Arial"/>
          <w:bCs/>
          <w:szCs w:val="22"/>
          <w:lang w:val="en-GB"/>
        </w:rPr>
        <w:t xml:space="preserve"> and confusingly</w:t>
      </w:r>
      <w:r w:rsidR="00E4176E" w:rsidRPr="005E6459">
        <w:rPr>
          <w:rFonts w:cs="Arial"/>
          <w:bCs/>
          <w:szCs w:val="22"/>
          <w:lang w:val="en-GB"/>
        </w:rPr>
        <w:t xml:space="preserve"> identified as a replying affidavit) was deposed to in Richards Bay on 24 April 2023</w:t>
      </w:r>
      <w:r w:rsidR="00E4176E" w:rsidRPr="005E6459">
        <w:rPr>
          <w:rStyle w:val="FootnoteReference"/>
          <w:rFonts w:cs="Arial"/>
          <w:bCs/>
          <w:szCs w:val="22"/>
          <w:lang w:val="en-GB"/>
        </w:rPr>
        <w:footnoteReference w:id="6"/>
      </w:r>
      <w:r w:rsidR="00E4176E" w:rsidRPr="005E6459">
        <w:rPr>
          <w:rFonts w:cs="Arial"/>
          <w:bCs/>
          <w:szCs w:val="22"/>
          <w:lang w:val="en-GB"/>
        </w:rPr>
        <w:t xml:space="preserve"> but it appears from the context that the respondent was in Denmark and the commissioner of oaths in South Africa.</w:t>
      </w:r>
    </w:p>
    <w:p w14:paraId="64EDC86B" w14:textId="2016A369" w:rsidR="004D48BA"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[10]</w:t>
      </w:r>
      <w:r w:rsidRPr="005E6459">
        <w:rPr>
          <w:rFonts w:cs="Arial"/>
          <w:bCs/>
          <w:szCs w:val="22"/>
        </w:rPr>
        <w:tab/>
      </w:r>
      <w:r w:rsidR="00E4176E" w:rsidRPr="005E6459">
        <w:rPr>
          <w:rFonts w:cs="Arial"/>
          <w:bCs/>
          <w:szCs w:val="22"/>
          <w:lang w:val="en-GB"/>
        </w:rPr>
        <w:t xml:space="preserve"> In </w:t>
      </w:r>
      <w:r w:rsidR="00E4176E" w:rsidRPr="005E6459">
        <w:rPr>
          <w:rFonts w:cs="Arial"/>
          <w:bCs/>
          <w:i/>
          <w:iCs/>
          <w:szCs w:val="22"/>
          <w:lang w:val="en-GB"/>
        </w:rPr>
        <w:t>S v Munn</w:t>
      </w:r>
      <w:r w:rsidR="00E4176E" w:rsidRPr="005E6459">
        <w:rPr>
          <w:rStyle w:val="FootnoteReference"/>
          <w:rFonts w:cs="Arial"/>
          <w:bCs/>
          <w:i/>
          <w:iCs/>
          <w:szCs w:val="22"/>
          <w:lang w:val="en-GB"/>
        </w:rPr>
        <w:footnoteReference w:id="7"/>
      </w:r>
      <w:r w:rsidR="00E4176E" w:rsidRPr="005E6459">
        <w:rPr>
          <w:rFonts w:cs="Arial"/>
          <w:bCs/>
          <w:i/>
          <w:iCs/>
          <w:szCs w:val="22"/>
          <w:lang w:val="en-GB"/>
        </w:rPr>
        <w:t xml:space="preserve"> </w:t>
      </w:r>
      <w:r w:rsidR="00E4176E" w:rsidRPr="005E6459">
        <w:rPr>
          <w:rFonts w:cs="Arial"/>
          <w:bCs/>
          <w:szCs w:val="22"/>
          <w:lang w:val="en-GB"/>
        </w:rPr>
        <w:t xml:space="preserve">the Court </w:t>
      </w:r>
      <w:r w:rsidR="00806AB0" w:rsidRPr="005E6459">
        <w:rPr>
          <w:rFonts w:cs="Arial"/>
          <w:bCs/>
          <w:szCs w:val="22"/>
          <w:lang w:val="en-GB"/>
        </w:rPr>
        <w:t xml:space="preserve">held </w:t>
      </w:r>
      <w:r w:rsidR="00E4176E" w:rsidRPr="005E6459">
        <w:rPr>
          <w:rFonts w:cs="Arial"/>
          <w:bCs/>
          <w:szCs w:val="22"/>
          <w:lang w:val="en-GB"/>
        </w:rPr>
        <w:t>that compliance with the regulations governing the</w:t>
      </w:r>
      <w:r w:rsidR="00E4176E" w:rsidRPr="005E6459">
        <w:rPr>
          <w:rFonts w:cs="Arial"/>
          <w:color w:val="2C3E50"/>
          <w:szCs w:val="22"/>
          <w:shd w:val="clear" w:color="auto" w:fill="FFFFFF"/>
        </w:rPr>
        <w:t xml:space="preserve"> </w:t>
      </w:r>
      <w:r w:rsidR="00E4176E" w:rsidRPr="005E6459">
        <w:rPr>
          <w:rFonts w:cs="Arial"/>
          <w:color w:val="000000" w:themeColor="text1"/>
          <w:szCs w:val="22"/>
          <w:shd w:val="clear" w:color="auto" w:fill="FFFFFF"/>
        </w:rPr>
        <w:t xml:space="preserve">administering of oaths by commissioners of oaths was a matter of fact, not of law. The regulations are directory and not peremptory. </w:t>
      </w:r>
      <w:r w:rsidR="00E4176E" w:rsidRPr="005E6459">
        <w:rPr>
          <w:rFonts w:cs="Arial"/>
          <w:bCs/>
          <w:szCs w:val="22"/>
          <w:lang w:val="en-GB"/>
        </w:rPr>
        <w:t>I am satisfied when reading the affidavit as well as an affidavit</w:t>
      </w:r>
      <w:r w:rsidR="00E4176E" w:rsidRPr="005E6459">
        <w:rPr>
          <w:rStyle w:val="FootnoteReference"/>
          <w:rFonts w:cs="Arial"/>
          <w:bCs/>
          <w:szCs w:val="22"/>
          <w:lang w:val="en-GB"/>
        </w:rPr>
        <w:footnoteReference w:id="8"/>
      </w:r>
      <w:r w:rsidR="00E4176E" w:rsidRPr="005E6459">
        <w:rPr>
          <w:rFonts w:cs="Arial"/>
          <w:bCs/>
          <w:szCs w:val="22"/>
          <w:lang w:val="en-GB"/>
        </w:rPr>
        <w:t xml:space="preserve"> in </w:t>
      </w:r>
      <w:r w:rsidR="008421FB" w:rsidRPr="005E6459">
        <w:rPr>
          <w:rFonts w:cs="Arial"/>
          <w:bCs/>
          <w:szCs w:val="22"/>
          <w:lang w:val="en-GB"/>
        </w:rPr>
        <w:t>a</w:t>
      </w:r>
      <w:r w:rsidR="00E4176E" w:rsidRPr="005E6459">
        <w:rPr>
          <w:rFonts w:cs="Arial"/>
          <w:bCs/>
          <w:szCs w:val="22"/>
          <w:lang w:val="en-GB"/>
        </w:rPr>
        <w:t xml:space="preserve"> rule 35(3) application deposed to at the same time that there was substantial compliance and that the affidavits were commissioned in South Africa.</w:t>
      </w:r>
      <w:r w:rsidR="00806AB0" w:rsidRPr="005E6459">
        <w:rPr>
          <w:rFonts w:cs="Arial"/>
          <w:bCs/>
          <w:szCs w:val="22"/>
          <w:lang w:val="en-GB"/>
        </w:rPr>
        <w:t xml:space="preserve"> </w:t>
      </w:r>
      <w:r w:rsidR="008421FB" w:rsidRPr="005E6459">
        <w:rPr>
          <w:rFonts w:cs="Arial"/>
          <w:bCs/>
          <w:szCs w:val="22"/>
          <w:lang w:val="en-GB"/>
        </w:rPr>
        <w:t>Authentication in terms of rule 63 of the Uniform Rules is not required. It is however advisable that a commissioner of oath commissioning an affidavit via video link make a statement to that effect when doing so, and that a copy of the video be retained for record purposes.</w:t>
      </w:r>
    </w:p>
    <w:p w14:paraId="75694204" w14:textId="78F3126C"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[11]</w:t>
      </w:r>
      <w:r w:rsidRPr="005E6459">
        <w:rPr>
          <w:rFonts w:cs="Arial"/>
          <w:bCs/>
          <w:szCs w:val="22"/>
        </w:rPr>
        <w:tab/>
      </w:r>
      <w:r w:rsidR="00E4176E" w:rsidRPr="005E6459">
        <w:rPr>
          <w:rFonts w:cs="Arial"/>
          <w:bCs/>
          <w:szCs w:val="22"/>
          <w:lang w:val="en-GB"/>
        </w:rPr>
        <w:t>In the Rule 35(3) application the attorney in Richards Bay deposed to an affidavit</w:t>
      </w:r>
      <w:r w:rsidR="00E4176E" w:rsidRPr="005E6459">
        <w:rPr>
          <w:rStyle w:val="FootnoteReference"/>
          <w:rFonts w:cs="Arial"/>
          <w:bCs/>
          <w:szCs w:val="22"/>
          <w:lang w:val="en-GB"/>
        </w:rPr>
        <w:footnoteReference w:id="9"/>
      </w:r>
      <w:r w:rsidR="00E4176E" w:rsidRPr="005E6459">
        <w:rPr>
          <w:rFonts w:cs="Arial"/>
          <w:bCs/>
          <w:szCs w:val="22"/>
          <w:lang w:val="en-GB"/>
        </w:rPr>
        <w:t xml:space="preserve"> confirming that the affidavit was commissioned using a video link and the inference must be made that the answering affidavit was similarly dealt with by the same commissioner of oaths on the same day. When the  commissioner observed the witness deposing to the affidavit she did so in South Africa.</w:t>
      </w:r>
      <w:r w:rsidR="004D48BA" w:rsidRPr="005E6459">
        <w:rPr>
          <w:rFonts w:cs="Arial"/>
          <w:bCs/>
          <w:szCs w:val="22"/>
          <w:lang w:val="en-GB"/>
        </w:rPr>
        <w:t xml:space="preserve"> It was careless not to file a similar affidavit in the contempt application, but no more than that.</w:t>
      </w:r>
    </w:p>
    <w:p w14:paraId="62168EB5" w14:textId="6D8A97EB"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[12]</w:t>
      </w:r>
      <w:r w:rsidRPr="005E6459">
        <w:rPr>
          <w:rFonts w:cs="Arial"/>
          <w:bCs/>
          <w:szCs w:val="22"/>
        </w:rPr>
        <w:tab/>
      </w:r>
      <w:r w:rsidR="00E4176E" w:rsidRPr="005E6459">
        <w:rPr>
          <w:rFonts w:cs="Arial"/>
          <w:bCs/>
          <w:szCs w:val="22"/>
        </w:rPr>
        <w:t xml:space="preserve">The second point </w:t>
      </w:r>
      <w:r w:rsidR="00E4176E" w:rsidRPr="005E6459">
        <w:rPr>
          <w:rFonts w:cs="Arial"/>
          <w:bCs/>
          <w:i/>
          <w:iCs/>
          <w:szCs w:val="22"/>
        </w:rPr>
        <w:t>in limine</w:t>
      </w:r>
      <w:r w:rsidR="00E4176E" w:rsidRPr="005E6459">
        <w:rPr>
          <w:rFonts w:cs="Arial"/>
          <w:bCs/>
          <w:szCs w:val="22"/>
        </w:rPr>
        <w:t xml:space="preserve"> is that the answering affidavit was filed out of time. Given that proceedings were stayed pending negotiations there is no substance in this point and no prejudice to the applicant.</w:t>
      </w:r>
      <w:r w:rsidR="004D48BA" w:rsidRPr="005E6459">
        <w:rPr>
          <w:rFonts w:cs="Arial"/>
          <w:bCs/>
          <w:szCs w:val="22"/>
        </w:rPr>
        <w:t xml:space="preserve"> Condonation is granted.</w:t>
      </w:r>
    </w:p>
    <w:p w14:paraId="166DAE51" w14:textId="116BBEFD"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[13]</w:t>
      </w:r>
      <w:r w:rsidRPr="005E6459">
        <w:rPr>
          <w:rFonts w:cs="Arial"/>
          <w:bCs/>
          <w:szCs w:val="22"/>
        </w:rPr>
        <w:tab/>
      </w:r>
      <w:r w:rsidR="00E4176E" w:rsidRPr="005E6459">
        <w:rPr>
          <w:rFonts w:cs="Arial"/>
          <w:bCs/>
          <w:szCs w:val="22"/>
        </w:rPr>
        <w:t xml:space="preserve">The third point </w:t>
      </w:r>
      <w:r w:rsidR="00E4176E" w:rsidRPr="005E6459">
        <w:rPr>
          <w:rFonts w:cs="Arial"/>
          <w:bCs/>
          <w:i/>
          <w:iCs/>
          <w:szCs w:val="22"/>
        </w:rPr>
        <w:t>in limine</w:t>
      </w:r>
      <w:r w:rsidR="00E4176E" w:rsidRPr="005E6459">
        <w:rPr>
          <w:rFonts w:cs="Arial"/>
          <w:bCs/>
          <w:szCs w:val="22"/>
        </w:rPr>
        <w:t xml:space="preserve"> is not really a point </w:t>
      </w:r>
      <w:r w:rsidR="00E4176E" w:rsidRPr="005E6459">
        <w:rPr>
          <w:rFonts w:cs="Arial"/>
          <w:bCs/>
          <w:i/>
          <w:iCs/>
          <w:szCs w:val="22"/>
        </w:rPr>
        <w:t>in limine</w:t>
      </w:r>
      <w:r w:rsidR="00E4176E" w:rsidRPr="005E6459">
        <w:rPr>
          <w:rFonts w:cs="Arial"/>
          <w:bCs/>
          <w:szCs w:val="22"/>
        </w:rPr>
        <w:t xml:space="preserve"> as it relates to the merits. It is argued that the respondent rely on changed circumstances but that he failed to bring a R43(6) application. I deal with this aspect elsewhere.</w:t>
      </w:r>
    </w:p>
    <w:p w14:paraId="08C516DF" w14:textId="77777777" w:rsidR="00E4176E" w:rsidRPr="005E6459" w:rsidRDefault="00E4176E" w:rsidP="00E4176E">
      <w:pPr>
        <w:widowControl w:val="0"/>
        <w:spacing w:before="480" w:after="480" w:line="360" w:lineRule="auto"/>
        <w:jc w:val="both"/>
        <w:rPr>
          <w:rFonts w:cs="Arial"/>
          <w:bCs/>
          <w:szCs w:val="22"/>
        </w:rPr>
      </w:pPr>
    </w:p>
    <w:p w14:paraId="0C0B1A65" w14:textId="77777777" w:rsidR="00E4176E" w:rsidRPr="005E6459" w:rsidRDefault="00E4176E" w:rsidP="00E4176E">
      <w:pPr>
        <w:widowControl w:val="0"/>
        <w:spacing w:before="480" w:after="480" w:line="360" w:lineRule="auto"/>
        <w:jc w:val="both"/>
        <w:rPr>
          <w:rFonts w:cs="Arial"/>
          <w:bCs/>
          <w:szCs w:val="22"/>
          <w:u w:val="single"/>
        </w:rPr>
      </w:pPr>
      <w:r w:rsidRPr="005E6459">
        <w:rPr>
          <w:rFonts w:cs="Arial"/>
          <w:bCs/>
          <w:szCs w:val="22"/>
          <w:u w:val="single"/>
        </w:rPr>
        <w:t>The maintenance payable</w:t>
      </w:r>
    </w:p>
    <w:p w14:paraId="21003CB5" w14:textId="0DF1D457"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[14]</w:t>
      </w:r>
      <w:r w:rsidRPr="005E6459">
        <w:rPr>
          <w:rFonts w:cs="Arial"/>
          <w:bCs/>
          <w:szCs w:val="22"/>
        </w:rPr>
        <w:tab/>
      </w:r>
      <w:r w:rsidR="00E4176E" w:rsidRPr="005E6459">
        <w:rPr>
          <w:rFonts w:cs="Arial"/>
          <w:bCs/>
          <w:szCs w:val="22"/>
        </w:rPr>
        <w:t>Paragraph 3.3 of the order provides for maintenance for the applicant and the</w:t>
      </w:r>
      <w:r w:rsidR="005E6459">
        <w:rPr>
          <w:rFonts w:cs="Arial"/>
          <w:bCs/>
          <w:szCs w:val="22"/>
        </w:rPr>
        <w:t xml:space="preserve"> minor</w:t>
      </w:r>
      <w:r w:rsidR="00E4176E" w:rsidRPr="005E6459">
        <w:rPr>
          <w:rFonts w:cs="Arial"/>
          <w:bCs/>
          <w:szCs w:val="22"/>
        </w:rPr>
        <w:t xml:space="preserve"> child of R42 000 per month. A simple calculation shows that the maintenance amount for the 2022 year was R504 000. Payments were due on the 25</w:t>
      </w:r>
      <w:r w:rsidR="00E4176E" w:rsidRPr="005E6459">
        <w:rPr>
          <w:rFonts w:cs="Arial"/>
          <w:bCs/>
          <w:szCs w:val="22"/>
          <w:vertAlign w:val="superscript"/>
        </w:rPr>
        <w:t>th</w:t>
      </w:r>
      <w:r w:rsidR="00E4176E" w:rsidRPr="005E6459">
        <w:rPr>
          <w:rFonts w:cs="Arial"/>
          <w:bCs/>
          <w:szCs w:val="22"/>
        </w:rPr>
        <w:t xml:space="preserve"> day of each month. The founding affidavit</w:t>
      </w:r>
      <w:r w:rsidR="00E4176E" w:rsidRPr="005E6459">
        <w:rPr>
          <w:rStyle w:val="FootnoteReference"/>
          <w:rFonts w:cs="Arial"/>
          <w:bCs/>
          <w:szCs w:val="22"/>
        </w:rPr>
        <w:footnoteReference w:id="10"/>
      </w:r>
      <w:r w:rsidR="00E4176E" w:rsidRPr="005E6459">
        <w:rPr>
          <w:rFonts w:cs="Arial"/>
          <w:bCs/>
          <w:szCs w:val="22"/>
        </w:rPr>
        <w:t xml:space="preserve"> was signed (it would seem as the date is not quite legible) on 13 February 2023 which means that the total amount payable by then, was twelve payments of R42 000, plus one payment </w:t>
      </w:r>
      <w:r w:rsidR="005E6459" w:rsidRPr="005E6459">
        <w:rPr>
          <w:rFonts w:cs="Arial"/>
          <w:bCs/>
          <w:szCs w:val="22"/>
        </w:rPr>
        <w:t xml:space="preserve">of R45 360 </w:t>
      </w:r>
      <w:r w:rsidR="00E4176E" w:rsidRPr="005E6459">
        <w:rPr>
          <w:rFonts w:cs="Arial"/>
          <w:bCs/>
          <w:szCs w:val="22"/>
        </w:rPr>
        <w:t>for January 2023 as the order was subject to a 8% increase in January 2023.</w:t>
      </w:r>
      <w:r w:rsidR="00E4176E" w:rsidRPr="005E6459">
        <w:rPr>
          <w:rStyle w:val="FootnoteReference"/>
          <w:rFonts w:cs="Arial"/>
          <w:bCs/>
          <w:szCs w:val="22"/>
        </w:rPr>
        <w:footnoteReference w:id="11"/>
      </w:r>
      <w:r w:rsidR="00E4176E" w:rsidRPr="005E6459">
        <w:rPr>
          <w:rFonts w:cs="Arial"/>
          <w:bCs/>
          <w:szCs w:val="22"/>
        </w:rPr>
        <w:t xml:space="preserve"> The total then due was therefore R549 360.</w:t>
      </w:r>
    </w:p>
    <w:p w14:paraId="21259F15" w14:textId="18479A29"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[15]</w:t>
      </w:r>
      <w:r w:rsidRPr="005E6459">
        <w:rPr>
          <w:rFonts w:cs="Arial"/>
          <w:bCs/>
          <w:szCs w:val="22"/>
        </w:rPr>
        <w:tab/>
      </w:r>
      <w:r w:rsidR="00E4176E" w:rsidRPr="005E6459">
        <w:rPr>
          <w:rFonts w:cs="Arial"/>
          <w:bCs/>
          <w:szCs w:val="22"/>
        </w:rPr>
        <w:t>The answering affidavit</w:t>
      </w:r>
      <w:r w:rsidR="00E4176E" w:rsidRPr="005E6459">
        <w:rPr>
          <w:rStyle w:val="FootnoteReference"/>
          <w:rFonts w:cs="Arial"/>
          <w:bCs/>
          <w:szCs w:val="22"/>
        </w:rPr>
        <w:footnoteReference w:id="12"/>
      </w:r>
      <w:r w:rsidR="00E4176E" w:rsidRPr="005E6459">
        <w:rPr>
          <w:rFonts w:cs="Arial"/>
          <w:bCs/>
          <w:szCs w:val="22"/>
        </w:rPr>
        <w:t xml:space="preserve"> was deposed to on 24 April 2023. By then the payments for February and March 2023 (R90 720) had become payable and the amount of R549 360 had increased by R90 720 to </w:t>
      </w:r>
      <w:bookmarkStart w:id="0" w:name="_Hlk143849981"/>
      <w:r w:rsidR="00E4176E" w:rsidRPr="005E6459">
        <w:rPr>
          <w:rFonts w:cs="Arial"/>
          <w:bCs/>
          <w:szCs w:val="22"/>
        </w:rPr>
        <w:t>R640 080</w:t>
      </w:r>
      <w:bookmarkEnd w:id="0"/>
      <w:r w:rsidR="00E4176E" w:rsidRPr="005E6459">
        <w:rPr>
          <w:rFonts w:cs="Arial"/>
          <w:bCs/>
          <w:szCs w:val="22"/>
        </w:rPr>
        <w:t xml:space="preserve">. </w:t>
      </w:r>
    </w:p>
    <w:p w14:paraId="3B54AC5D" w14:textId="1916BC6E" w:rsidR="00E4176E" w:rsidRPr="005E6459" w:rsidRDefault="00575351" w:rsidP="00575351">
      <w:pPr>
        <w:widowControl w:val="0"/>
        <w:tabs>
          <w:tab w:val="left" w:pos="1418"/>
        </w:tabs>
        <w:spacing w:before="480" w:after="480" w:line="360" w:lineRule="auto"/>
        <w:ind w:left="1418" w:hanging="851"/>
        <w:jc w:val="both"/>
        <w:rPr>
          <w:rFonts w:cs="Arial"/>
          <w:bCs/>
          <w:szCs w:val="22"/>
        </w:rPr>
      </w:pPr>
      <w:r w:rsidRPr="005E6459">
        <w:rPr>
          <w:rFonts w:cs="Arial"/>
          <w:bCs/>
          <w:szCs w:val="22"/>
        </w:rPr>
        <w:t>15.1</w:t>
      </w:r>
      <w:r w:rsidRPr="005E6459">
        <w:rPr>
          <w:rFonts w:cs="Arial"/>
          <w:bCs/>
          <w:szCs w:val="22"/>
        </w:rPr>
        <w:tab/>
      </w:r>
      <w:r w:rsidR="00E4176E" w:rsidRPr="005E6459">
        <w:rPr>
          <w:rFonts w:cs="Arial"/>
          <w:bCs/>
          <w:szCs w:val="22"/>
        </w:rPr>
        <w:t>On the applicant’s version, the respondent had by then paid R168 000 in respect of payments due during January to April 2022.</w:t>
      </w:r>
      <w:r w:rsidR="00E4176E" w:rsidRPr="005E6459">
        <w:rPr>
          <w:rStyle w:val="FootnoteReference"/>
          <w:rFonts w:cs="Arial"/>
          <w:bCs/>
          <w:szCs w:val="22"/>
        </w:rPr>
        <w:footnoteReference w:id="13"/>
      </w:r>
      <w:r w:rsidR="00E4176E" w:rsidRPr="005E6459">
        <w:rPr>
          <w:rFonts w:cs="Arial"/>
          <w:bCs/>
          <w:szCs w:val="22"/>
        </w:rPr>
        <w:t xml:space="preserve">  He made no payments after April 2022. The arrears therefore amounted to R472 080 as at the end of March 2023.</w:t>
      </w:r>
    </w:p>
    <w:p w14:paraId="3A654D6B" w14:textId="39EECC0C" w:rsidR="00E4176E" w:rsidRPr="005E6459" w:rsidRDefault="00575351" w:rsidP="00575351">
      <w:pPr>
        <w:widowControl w:val="0"/>
        <w:tabs>
          <w:tab w:val="left" w:pos="1418"/>
        </w:tabs>
        <w:spacing w:before="480" w:after="480" w:line="360" w:lineRule="auto"/>
        <w:ind w:left="1418" w:hanging="851"/>
        <w:jc w:val="both"/>
        <w:rPr>
          <w:rFonts w:cs="Arial"/>
          <w:bCs/>
          <w:szCs w:val="22"/>
        </w:rPr>
      </w:pPr>
      <w:r w:rsidRPr="005E6459">
        <w:rPr>
          <w:rFonts w:cs="Arial"/>
          <w:bCs/>
          <w:szCs w:val="22"/>
        </w:rPr>
        <w:t>15.2</w:t>
      </w:r>
      <w:r w:rsidRPr="005E6459">
        <w:rPr>
          <w:rFonts w:cs="Arial"/>
          <w:bCs/>
          <w:szCs w:val="22"/>
        </w:rPr>
        <w:tab/>
      </w:r>
      <w:r w:rsidR="00E4176E" w:rsidRPr="005E6459">
        <w:rPr>
          <w:rFonts w:cs="Arial"/>
          <w:bCs/>
          <w:szCs w:val="22"/>
        </w:rPr>
        <w:t>The respondent averred in his answering affidavit on 24 April 2023</w:t>
      </w:r>
      <w:r w:rsidR="00E4176E" w:rsidRPr="005E6459">
        <w:rPr>
          <w:rStyle w:val="FootnoteReference"/>
          <w:rFonts w:cs="Arial"/>
          <w:bCs/>
          <w:szCs w:val="22"/>
        </w:rPr>
        <w:footnoteReference w:id="14"/>
      </w:r>
      <w:r w:rsidR="00E4176E" w:rsidRPr="005E6459">
        <w:rPr>
          <w:rFonts w:cs="Arial"/>
          <w:bCs/>
          <w:szCs w:val="22"/>
        </w:rPr>
        <w:t xml:space="preserve"> that since May 2022 he ha</w:t>
      </w:r>
      <w:r w:rsidR="008421FB" w:rsidRPr="005E6459">
        <w:rPr>
          <w:rFonts w:cs="Arial"/>
          <w:bCs/>
          <w:szCs w:val="22"/>
        </w:rPr>
        <w:t>d</w:t>
      </w:r>
      <w:r w:rsidR="00E4176E" w:rsidRPr="005E6459">
        <w:rPr>
          <w:rFonts w:cs="Arial"/>
          <w:bCs/>
          <w:szCs w:val="22"/>
        </w:rPr>
        <w:t xml:space="preserve"> paid </w:t>
      </w:r>
      <w:r w:rsidR="005E6459">
        <w:rPr>
          <w:rFonts w:cs="Arial"/>
          <w:bCs/>
          <w:szCs w:val="22"/>
        </w:rPr>
        <w:t xml:space="preserve">a further </w:t>
      </w:r>
      <w:r w:rsidR="00E4176E" w:rsidRPr="005E6459">
        <w:rPr>
          <w:rFonts w:cs="Arial"/>
          <w:bCs/>
          <w:szCs w:val="22"/>
        </w:rPr>
        <w:t>R353 252.42 towards maintenance. These payments are at odds with what is stated in the founding affidavit yet no evidence</w:t>
      </w:r>
      <w:r w:rsidR="00742012">
        <w:rPr>
          <w:rStyle w:val="FootnoteReference"/>
          <w:rFonts w:cs="Arial"/>
          <w:bCs/>
          <w:szCs w:val="22"/>
        </w:rPr>
        <w:footnoteReference w:id="15"/>
      </w:r>
      <w:r w:rsidR="00E4176E" w:rsidRPr="005E6459">
        <w:rPr>
          <w:rFonts w:cs="Arial"/>
          <w:bCs/>
          <w:szCs w:val="22"/>
        </w:rPr>
        <w:t xml:space="preserve"> is presented in the answering affidavit in support of the allegation. It is neither alleged that these were cash payments (unlikely as the respondent was in Denmark and the applicant in South Africa) nor that payments were made by cheque or electronic fund transfer or similar means. Such payments are easy to prove. The onus</w:t>
      </w:r>
      <w:r w:rsidR="00E4176E" w:rsidRPr="005E6459">
        <w:rPr>
          <w:rStyle w:val="FootnoteReference"/>
          <w:rFonts w:cs="Arial"/>
          <w:bCs/>
          <w:szCs w:val="22"/>
        </w:rPr>
        <w:footnoteReference w:id="16"/>
      </w:r>
      <w:r w:rsidR="00E4176E" w:rsidRPr="005E6459">
        <w:rPr>
          <w:rFonts w:cs="Arial"/>
          <w:bCs/>
          <w:szCs w:val="22"/>
        </w:rPr>
        <w:t xml:space="preserve"> to prove these </w:t>
      </w:r>
      <w:r w:rsidR="00E4176E" w:rsidRPr="005E6459">
        <w:rPr>
          <w:rFonts w:cs="Arial"/>
          <w:bCs/>
          <w:szCs w:val="22"/>
        </w:rPr>
        <w:lastRenderedPageBreak/>
        <w:t>payments are on the respondent and he made no attempt to do so.</w:t>
      </w:r>
      <w:r w:rsidR="00E4176E" w:rsidRPr="005E6459">
        <w:rPr>
          <w:rStyle w:val="FootnoteReference"/>
          <w:rFonts w:cs="Arial"/>
          <w:bCs/>
          <w:szCs w:val="22"/>
        </w:rPr>
        <w:footnoteReference w:id="17"/>
      </w:r>
      <w:r w:rsidR="00E4176E" w:rsidRPr="005E6459">
        <w:rPr>
          <w:rFonts w:cs="Arial"/>
          <w:bCs/>
          <w:szCs w:val="22"/>
        </w:rPr>
        <w:t xml:space="preserve"> </w:t>
      </w:r>
    </w:p>
    <w:p w14:paraId="5B57CF58" w14:textId="1127AB99" w:rsidR="00E4176E" w:rsidRPr="005E6459" w:rsidRDefault="00575351" w:rsidP="00575351">
      <w:pPr>
        <w:widowControl w:val="0"/>
        <w:tabs>
          <w:tab w:val="left" w:pos="1418"/>
        </w:tabs>
        <w:spacing w:before="480" w:after="480" w:line="360" w:lineRule="auto"/>
        <w:ind w:left="1418" w:hanging="851"/>
        <w:jc w:val="both"/>
        <w:rPr>
          <w:rFonts w:cs="Arial"/>
          <w:bCs/>
          <w:szCs w:val="22"/>
        </w:rPr>
      </w:pPr>
      <w:r w:rsidRPr="005E6459">
        <w:rPr>
          <w:rFonts w:cs="Arial"/>
          <w:bCs/>
          <w:szCs w:val="22"/>
        </w:rPr>
        <w:t>15.3</w:t>
      </w:r>
      <w:r w:rsidRPr="005E6459">
        <w:rPr>
          <w:rFonts w:cs="Arial"/>
          <w:bCs/>
          <w:szCs w:val="22"/>
        </w:rPr>
        <w:tab/>
      </w:r>
      <w:r w:rsidR="00E4176E" w:rsidRPr="005E6459">
        <w:rPr>
          <w:rFonts w:cs="Arial"/>
          <w:bCs/>
          <w:szCs w:val="22"/>
        </w:rPr>
        <w:t>On the respondent’s version he ha</w:t>
      </w:r>
      <w:r w:rsidR="005E2ACF" w:rsidRPr="005E6459">
        <w:rPr>
          <w:rFonts w:cs="Arial"/>
          <w:bCs/>
          <w:szCs w:val="22"/>
        </w:rPr>
        <w:t>s</w:t>
      </w:r>
      <w:r w:rsidR="00E4176E" w:rsidRPr="005E6459">
        <w:rPr>
          <w:rFonts w:cs="Arial"/>
          <w:bCs/>
          <w:szCs w:val="22"/>
        </w:rPr>
        <w:t xml:space="preserve"> paid a total of R521 252.42 of an indebtedness of R640 080, leaving a shortfall of R118 827.58.</w:t>
      </w:r>
    </w:p>
    <w:p w14:paraId="52BA5C21" w14:textId="6C4794E3" w:rsidR="00E4176E" w:rsidRPr="005E6459" w:rsidRDefault="00575351" w:rsidP="00575351">
      <w:pPr>
        <w:widowControl w:val="0"/>
        <w:tabs>
          <w:tab w:val="left" w:pos="1418"/>
        </w:tabs>
        <w:spacing w:before="480" w:after="480" w:line="360" w:lineRule="auto"/>
        <w:ind w:left="1418" w:hanging="851"/>
        <w:jc w:val="both"/>
        <w:rPr>
          <w:rFonts w:cs="Arial"/>
          <w:bCs/>
          <w:szCs w:val="22"/>
        </w:rPr>
      </w:pPr>
      <w:r w:rsidRPr="005E6459">
        <w:rPr>
          <w:rFonts w:cs="Arial"/>
          <w:bCs/>
          <w:szCs w:val="22"/>
        </w:rPr>
        <w:t>15.4</w:t>
      </w:r>
      <w:r w:rsidRPr="005E6459">
        <w:rPr>
          <w:rFonts w:cs="Arial"/>
          <w:bCs/>
          <w:szCs w:val="22"/>
        </w:rPr>
        <w:tab/>
      </w:r>
      <w:r w:rsidR="00E4176E" w:rsidRPr="005E6459">
        <w:rPr>
          <w:rFonts w:cs="Arial"/>
          <w:bCs/>
          <w:szCs w:val="22"/>
        </w:rPr>
        <w:t>There is</w:t>
      </w:r>
      <w:r w:rsidR="0086720C">
        <w:rPr>
          <w:rFonts w:cs="Arial"/>
          <w:bCs/>
          <w:szCs w:val="22"/>
        </w:rPr>
        <w:t xml:space="preserve"> therefore</w:t>
      </w:r>
      <w:r w:rsidR="00E4176E" w:rsidRPr="005E6459">
        <w:rPr>
          <w:rFonts w:cs="Arial"/>
          <w:bCs/>
          <w:szCs w:val="22"/>
        </w:rPr>
        <w:t xml:space="preserve"> a shortfall on both parties’ </w:t>
      </w:r>
      <w:r w:rsidR="004D48BA" w:rsidRPr="005E6459">
        <w:rPr>
          <w:rFonts w:cs="Arial"/>
          <w:bCs/>
          <w:szCs w:val="22"/>
        </w:rPr>
        <w:t>evidence</w:t>
      </w:r>
      <w:r w:rsidR="00E4176E" w:rsidRPr="005E6459">
        <w:rPr>
          <w:rFonts w:cs="Arial"/>
          <w:bCs/>
          <w:szCs w:val="22"/>
        </w:rPr>
        <w:t>.</w:t>
      </w:r>
    </w:p>
    <w:p w14:paraId="526D2CD0" w14:textId="7512C61F"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[16]</w:t>
      </w:r>
      <w:r w:rsidRPr="005E6459">
        <w:rPr>
          <w:rFonts w:cs="Arial"/>
          <w:bCs/>
          <w:szCs w:val="22"/>
        </w:rPr>
        <w:tab/>
      </w:r>
      <w:r w:rsidR="00E4176E" w:rsidRPr="005E6459">
        <w:rPr>
          <w:rFonts w:cs="Arial"/>
          <w:bCs/>
          <w:szCs w:val="22"/>
        </w:rPr>
        <w:t xml:space="preserve">In terms of paragraph 3.3 of the court order payments must be made </w:t>
      </w:r>
      <w:r w:rsidR="00E4176E" w:rsidRPr="005E6459">
        <w:rPr>
          <w:rFonts w:cs="Arial"/>
          <w:bCs/>
          <w:i/>
          <w:iCs/>
          <w:szCs w:val="22"/>
        </w:rPr>
        <w:t xml:space="preserve">“without deduction or set-off.” </w:t>
      </w:r>
      <w:r w:rsidR="00E4176E" w:rsidRPr="005E6459">
        <w:rPr>
          <w:rFonts w:cs="Arial"/>
          <w:bCs/>
          <w:szCs w:val="22"/>
        </w:rPr>
        <w:t xml:space="preserve"> The respondent however relies on deduction or set-off. He states that the applicant had transferred R2 855 000 from his account in March 2021 and then transferred R180 000 in January 2022. He states that he authorised the applicant to use this money towards any maintenance shortfall. The status of these funds is in dispute.</w:t>
      </w:r>
      <w:r w:rsidR="00E4176E" w:rsidRPr="005E6459">
        <w:rPr>
          <w:rStyle w:val="FootnoteReference"/>
          <w:rFonts w:cs="Arial"/>
          <w:bCs/>
          <w:szCs w:val="22"/>
        </w:rPr>
        <w:footnoteReference w:id="18"/>
      </w:r>
    </w:p>
    <w:p w14:paraId="415D04B3" w14:textId="30C79E5B"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[17]</w:t>
      </w:r>
      <w:r w:rsidRPr="005E6459">
        <w:rPr>
          <w:rFonts w:cs="Arial"/>
          <w:bCs/>
          <w:szCs w:val="22"/>
        </w:rPr>
        <w:tab/>
      </w:r>
      <w:r w:rsidR="00E4176E" w:rsidRPr="005E6459">
        <w:rPr>
          <w:rFonts w:cs="Arial"/>
          <w:bCs/>
          <w:szCs w:val="22"/>
        </w:rPr>
        <w:t>In the respondent’s counterclaim dated 4 February 2022 in the pending divorce action, the averment</w:t>
      </w:r>
      <w:r w:rsidR="00E4176E" w:rsidRPr="005E6459">
        <w:rPr>
          <w:rStyle w:val="FootnoteReference"/>
          <w:rFonts w:cs="Arial"/>
          <w:bCs/>
          <w:szCs w:val="22"/>
        </w:rPr>
        <w:footnoteReference w:id="19"/>
      </w:r>
      <w:r w:rsidR="00E4176E" w:rsidRPr="005E6459">
        <w:rPr>
          <w:rFonts w:cs="Arial"/>
          <w:bCs/>
          <w:szCs w:val="22"/>
        </w:rPr>
        <w:t xml:space="preserve"> is made that the applicant stole R2 700 000 from the respondent in March 2021. This amount is claimed in the counterclaim and is referred to in paragraph 31.1</w:t>
      </w:r>
      <w:r w:rsidR="00E4176E" w:rsidRPr="005E6459">
        <w:rPr>
          <w:rStyle w:val="FootnoteReference"/>
          <w:rFonts w:cs="Arial"/>
          <w:bCs/>
          <w:szCs w:val="22"/>
        </w:rPr>
        <w:footnoteReference w:id="20"/>
      </w:r>
      <w:r w:rsidR="00E4176E" w:rsidRPr="005E6459">
        <w:rPr>
          <w:rFonts w:cs="Arial"/>
          <w:bCs/>
          <w:szCs w:val="22"/>
        </w:rPr>
        <w:t xml:space="preserve"> of the answering affidavit in the Rule 43 application. The claim was therefore known to the court and the parties when the rule 43 order was granted, and can </w:t>
      </w:r>
      <w:r w:rsidR="00E4176E" w:rsidRPr="005E6459">
        <w:rPr>
          <w:rFonts w:cs="Arial"/>
          <w:bCs/>
          <w:szCs w:val="22"/>
          <w:lang w:val="en-GB"/>
        </w:rPr>
        <w:t xml:space="preserve">for this reason also </w:t>
      </w:r>
      <w:r w:rsidR="00E4176E" w:rsidRPr="005E6459">
        <w:rPr>
          <w:rFonts w:cs="Arial"/>
          <w:bCs/>
          <w:szCs w:val="22"/>
        </w:rPr>
        <w:t>not now be off-set against maintenance payments.</w:t>
      </w:r>
    </w:p>
    <w:p w14:paraId="288A1867" w14:textId="455A359D"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[18]</w:t>
      </w:r>
      <w:r w:rsidRPr="005E6459">
        <w:rPr>
          <w:rFonts w:cs="Arial"/>
          <w:bCs/>
          <w:szCs w:val="22"/>
        </w:rPr>
        <w:tab/>
      </w:r>
      <w:r w:rsidR="00E4176E" w:rsidRPr="005E6459">
        <w:rPr>
          <w:rFonts w:cs="Arial"/>
          <w:bCs/>
          <w:szCs w:val="22"/>
          <w:lang w:val="en-GB"/>
        </w:rPr>
        <w:t>On any possible version therefore the respondent has failed to make the required payments of maintenance.</w:t>
      </w:r>
      <w:r w:rsidR="005B68D9" w:rsidRPr="005E6459">
        <w:rPr>
          <w:rFonts w:cs="Arial"/>
          <w:bCs/>
          <w:szCs w:val="22"/>
          <w:lang w:val="en-GB"/>
        </w:rPr>
        <w:t xml:space="preserve"> His reliance on set-off or deduction is without any foundation.</w:t>
      </w:r>
    </w:p>
    <w:p w14:paraId="54D6E4EF" w14:textId="23711C5F"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[19]</w:t>
      </w:r>
      <w:r w:rsidRPr="005E6459">
        <w:rPr>
          <w:rFonts w:cs="Arial"/>
          <w:bCs/>
          <w:szCs w:val="22"/>
        </w:rPr>
        <w:tab/>
      </w:r>
      <w:r w:rsidR="00E4176E" w:rsidRPr="005E6459">
        <w:rPr>
          <w:rFonts w:cs="Arial"/>
          <w:bCs/>
          <w:szCs w:val="22"/>
          <w:lang w:val="en-GB"/>
        </w:rPr>
        <w:t xml:space="preserve">The respondent also relies on a change of circumstances in that he has terminated his employment and has relocated to Denmark where he earns less than he previously earned in South Africa. He has not made use of the provisions of rule 43(6) </w:t>
      </w:r>
      <w:r w:rsidR="005B68D9" w:rsidRPr="005E6459">
        <w:rPr>
          <w:rFonts w:cs="Arial"/>
          <w:bCs/>
          <w:szCs w:val="22"/>
          <w:lang w:val="en-GB"/>
        </w:rPr>
        <w:t>t</w:t>
      </w:r>
      <w:r w:rsidR="00E4176E" w:rsidRPr="005E6459">
        <w:rPr>
          <w:rFonts w:cs="Arial"/>
          <w:bCs/>
          <w:szCs w:val="22"/>
          <w:lang w:val="en-GB"/>
        </w:rPr>
        <w:t xml:space="preserve">o seek an amendment of the order on the basis of a material change in circumstances. </w:t>
      </w:r>
    </w:p>
    <w:p w14:paraId="62E267B7" w14:textId="45ECAB36" w:rsidR="00742012" w:rsidRPr="00321C0A" w:rsidRDefault="00575351" w:rsidP="00575351">
      <w:pPr>
        <w:widowControl w:val="0"/>
        <w:tabs>
          <w:tab w:val="left" w:pos="567"/>
        </w:tabs>
        <w:spacing w:before="480" w:after="480" w:line="360" w:lineRule="auto"/>
        <w:jc w:val="both"/>
        <w:rPr>
          <w:rFonts w:cs="Arial"/>
          <w:bCs/>
          <w:szCs w:val="22"/>
          <w:u w:val="single"/>
        </w:rPr>
      </w:pPr>
      <w:r w:rsidRPr="00321C0A">
        <w:rPr>
          <w:rFonts w:cs="Arial"/>
          <w:bCs/>
          <w:szCs w:val="22"/>
        </w:rPr>
        <w:t>[20]</w:t>
      </w:r>
      <w:r w:rsidRPr="00321C0A">
        <w:rPr>
          <w:rFonts w:cs="Arial"/>
          <w:bCs/>
          <w:szCs w:val="22"/>
        </w:rPr>
        <w:tab/>
      </w:r>
      <w:r w:rsidR="00E4176E" w:rsidRPr="00742012">
        <w:rPr>
          <w:rFonts w:cs="Arial"/>
          <w:bCs/>
          <w:szCs w:val="22"/>
          <w:lang w:val="en-GB"/>
        </w:rPr>
        <w:t xml:space="preserve">The </w:t>
      </w:r>
      <w:r w:rsidR="005B68D9" w:rsidRPr="00742012">
        <w:rPr>
          <w:rFonts w:cs="Arial"/>
          <w:bCs/>
          <w:szCs w:val="22"/>
          <w:lang w:val="en-GB"/>
        </w:rPr>
        <w:t xml:space="preserve">bald </w:t>
      </w:r>
      <w:r w:rsidR="00E4176E" w:rsidRPr="00742012">
        <w:rPr>
          <w:rFonts w:cs="Arial"/>
          <w:bCs/>
          <w:szCs w:val="22"/>
          <w:lang w:val="en-GB"/>
        </w:rPr>
        <w:t>allegation that the respondent is earning less in Denmark th</w:t>
      </w:r>
      <w:r w:rsidR="005E6459" w:rsidRPr="00742012">
        <w:rPr>
          <w:rFonts w:cs="Arial"/>
          <w:bCs/>
          <w:szCs w:val="22"/>
          <w:lang w:val="en-GB"/>
        </w:rPr>
        <w:t>a</w:t>
      </w:r>
      <w:r w:rsidR="00E4176E" w:rsidRPr="00742012">
        <w:rPr>
          <w:rFonts w:cs="Arial"/>
          <w:bCs/>
          <w:szCs w:val="22"/>
          <w:lang w:val="en-GB"/>
        </w:rPr>
        <w:t xml:space="preserve">n what he previously earned in South Africa is made without any evidence </w:t>
      </w:r>
      <w:r w:rsidR="005B68D9" w:rsidRPr="00742012">
        <w:rPr>
          <w:rFonts w:cs="Arial"/>
          <w:bCs/>
          <w:szCs w:val="22"/>
          <w:lang w:val="en-GB"/>
        </w:rPr>
        <w:t xml:space="preserve">and is therefore without substance. </w:t>
      </w:r>
      <w:r w:rsidR="00E4176E" w:rsidRPr="00742012">
        <w:rPr>
          <w:rFonts w:cs="Arial"/>
          <w:bCs/>
          <w:szCs w:val="22"/>
          <w:lang w:val="en-GB"/>
        </w:rPr>
        <w:t xml:space="preserve">No evidence is presented to compare his earnings and employment </w:t>
      </w:r>
      <w:r w:rsidR="00E4176E" w:rsidRPr="00742012">
        <w:rPr>
          <w:rFonts w:cs="Arial"/>
          <w:bCs/>
          <w:szCs w:val="22"/>
          <w:lang w:val="en-GB"/>
        </w:rPr>
        <w:lastRenderedPageBreak/>
        <w:t>circumstances in Denmark to his earnings and circumstances in South Africa. His expenditure in Denmark compared to South Africa is also not dealt with. These bald allegations are therefore not sufficient</w:t>
      </w:r>
      <w:r w:rsidR="00E4176E" w:rsidRPr="00742012">
        <w:rPr>
          <w:rFonts w:cs="Arial"/>
          <w:color w:val="000000" w:themeColor="text1"/>
          <w:szCs w:val="22"/>
        </w:rPr>
        <w:t xml:space="preserve"> to create a reasonable doubt as to whether the respondent acted wilfully and </w:t>
      </w:r>
      <w:r w:rsidR="00E4176E" w:rsidRPr="00742012">
        <w:rPr>
          <w:rFonts w:cs="Arial"/>
          <w:i/>
          <w:iCs/>
          <w:color w:val="000000" w:themeColor="text1"/>
          <w:szCs w:val="22"/>
        </w:rPr>
        <w:t>mala fide</w:t>
      </w:r>
      <w:r w:rsidR="00E4176E" w:rsidRPr="00742012">
        <w:rPr>
          <w:rFonts w:cs="Arial"/>
          <w:color w:val="000000" w:themeColor="text1"/>
          <w:szCs w:val="22"/>
        </w:rPr>
        <w:t xml:space="preserve">. In application proceedings the affidavits serve as pleadings and as evidence, and the failure to present evidence mean that the </w:t>
      </w:r>
      <w:r w:rsidR="0086720C">
        <w:rPr>
          <w:rFonts w:cs="Arial"/>
          <w:color w:val="000000" w:themeColor="text1"/>
          <w:szCs w:val="22"/>
        </w:rPr>
        <w:t xml:space="preserve">bald </w:t>
      </w:r>
      <w:r w:rsidR="00E4176E" w:rsidRPr="00742012">
        <w:rPr>
          <w:rFonts w:cs="Arial"/>
          <w:color w:val="000000" w:themeColor="text1"/>
          <w:szCs w:val="22"/>
        </w:rPr>
        <w:t>averments remain unsubstantiated.</w:t>
      </w:r>
    </w:p>
    <w:p w14:paraId="420B05EF" w14:textId="61599D19" w:rsidR="00321C0A" w:rsidRPr="00742012" w:rsidRDefault="00575351" w:rsidP="00575351">
      <w:pPr>
        <w:widowControl w:val="0"/>
        <w:tabs>
          <w:tab w:val="left" w:pos="567"/>
        </w:tabs>
        <w:spacing w:before="480" w:after="480" w:line="360" w:lineRule="auto"/>
        <w:jc w:val="both"/>
        <w:rPr>
          <w:rFonts w:cs="Arial"/>
          <w:bCs/>
          <w:szCs w:val="22"/>
          <w:u w:val="single"/>
        </w:rPr>
      </w:pPr>
      <w:r w:rsidRPr="00742012">
        <w:rPr>
          <w:rFonts w:cs="Arial"/>
          <w:bCs/>
          <w:szCs w:val="22"/>
        </w:rPr>
        <w:t>[21]</w:t>
      </w:r>
      <w:r w:rsidRPr="00742012">
        <w:rPr>
          <w:rFonts w:cs="Arial"/>
          <w:bCs/>
          <w:szCs w:val="22"/>
        </w:rPr>
        <w:tab/>
      </w:r>
      <w:r w:rsidR="00321C0A">
        <w:rPr>
          <w:rFonts w:cs="Arial"/>
          <w:color w:val="000000" w:themeColor="text1"/>
          <w:szCs w:val="22"/>
        </w:rPr>
        <w:t>The respondent also refers to heart attacks that he suffered but these unfortunate events occurred during the period 2018 to 2021, before the rule 43 order was granted.</w:t>
      </w:r>
    </w:p>
    <w:p w14:paraId="3A13653F" w14:textId="103521AD" w:rsidR="00E4176E" w:rsidRPr="00742012" w:rsidRDefault="00575351" w:rsidP="00575351">
      <w:pPr>
        <w:widowControl w:val="0"/>
        <w:tabs>
          <w:tab w:val="left" w:pos="567"/>
        </w:tabs>
        <w:spacing w:before="480" w:after="480" w:line="360" w:lineRule="auto"/>
        <w:jc w:val="both"/>
        <w:rPr>
          <w:rFonts w:cs="Arial"/>
          <w:bCs/>
          <w:szCs w:val="22"/>
          <w:u w:val="single"/>
        </w:rPr>
      </w:pPr>
      <w:r w:rsidRPr="00742012">
        <w:rPr>
          <w:rFonts w:cs="Arial"/>
          <w:bCs/>
          <w:szCs w:val="22"/>
        </w:rPr>
        <w:t>[22]</w:t>
      </w:r>
      <w:r w:rsidRPr="00742012">
        <w:rPr>
          <w:rFonts w:cs="Arial"/>
          <w:bCs/>
          <w:szCs w:val="22"/>
        </w:rPr>
        <w:tab/>
      </w:r>
      <w:r w:rsidR="00742012" w:rsidRPr="00742012">
        <w:rPr>
          <w:rFonts w:cs="Arial"/>
          <w:bCs/>
          <w:szCs w:val="22"/>
        </w:rPr>
        <w:t>I find that the respondent is in contempt of paragraphs 3.3 read with paragraph 3.6 of the order. He failed to make payments totalling R472 080 for the period until the end of March 2023. He remains liable for monthly payments of R45 360, payable on the 25</w:t>
      </w:r>
      <w:r w:rsidR="00742012" w:rsidRPr="00742012">
        <w:rPr>
          <w:rFonts w:cs="Arial"/>
          <w:bCs/>
          <w:szCs w:val="22"/>
          <w:vertAlign w:val="superscript"/>
        </w:rPr>
        <w:t>th</w:t>
      </w:r>
      <w:r w:rsidR="00742012" w:rsidRPr="00742012">
        <w:rPr>
          <w:rFonts w:cs="Arial"/>
          <w:bCs/>
          <w:szCs w:val="22"/>
        </w:rPr>
        <w:t xml:space="preserve"> day of each month, for the period since April 2023. This amount will escalate in January 2024 in terms of paragraph 3.6 of the order.</w:t>
      </w:r>
    </w:p>
    <w:p w14:paraId="19508168" w14:textId="77777777" w:rsidR="00742012" w:rsidRDefault="00742012" w:rsidP="00E4176E">
      <w:pPr>
        <w:widowControl w:val="0"/>
        <w:spacing w:before="480" w:after="480" w:line="360" w:lineRule="auto"/>
        <w:jc w:val="both"/>
        <w:rPr>
          <w:rFonts w:cs="Arial"/>
          <w:bCs/>
          <w:szCs w:val="22"/>
          <w:u w:val="single"/>
        </w:rPr>
      </w:pPr>
    </w:p>
    <w:p w14:paraId="151FE21A" w14:textId="22B1C7F3" w:rsidR="00E4176E" w:rsidRPr="005E6459" w:rsidRDefault="00E4176E" w:rsidP="00E4176E">
      <w:pPr>
        <w:widowControl w:val="0"/>
        <w:spacing w:before="480" w:after="480" w:line="360" w:lineRule="auto"/>
        <w:jc w:val="both"/>
        <w:rPr>
          <w:rFonts w:cs="Arial"/>
          <w:bCs/>
          <w:szCs w:val="22"/>
          <w:u w:val="single"/>
        </w:rPr>
      </w:pPr>
      <w:r w:rsidRPr="005E6459">
        <w:rPr>
          <w:rFonts w:cs="Arial"/>
          <w:bCs/>
          <w:szCs w:val="22"/>
          <w:u w:val="single"/>
        </w:rPr>
        <w:t>The medical scheme cover</w:t>
      </w:r>
    </w:p>
    <w:p w14:paraId="0331CC7A" w14:textId="262262CD"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[23]</w:t>
      </w:r>
      <w:r w:rsidRPr="005E6459">
        <w:rPr>
          <w:rFonts w:cs="Arial"/>
          <w:bCs/>
          <w:szCs w:val="22"/>
        </w:rPr>
        <w:tab/>
      </w:r>
      <w:r w:rsidR="00E4176E" w:rsidRPr="005E6459">
        <w:rPr>
          <w:rFonts w:cs="Arial"/>
          <w:bCs/>
          <w:szCs w:val="22"/>
          <w:lang w:val="en-GB"/>
        </w:rPr>
        <w:t>In terms of the order the respondent was required to continue the medical scheme cover then in place</w:t>
      </w:r>
      <w:r w:rsidR="005E2ACF" w:rsidRPr="005E6459">
        <w:rPr>
          <w:rFonts w:cs="Arial"/>
          <w:bCs/>
          <w:szCs w:val="22"/>
          <w:lang w:val="en-GB"/>
        </w:rPr>
        <w:t xml:space="preserve"> or cover in terms of a </w:t>
      </w:r>
      <w:r w:rsidR="00E4176E" w:rsidRPr="005E6459">
        <w:rPr>
          <w:rFonts w:cs="Arial"/>
          <w:bCs/>
          <w:i/>
          <w:iCs/>
          <w:szCs w:val="22"/>
          <w:lang w:val="en-GB"/>
        </w:rPr>
        <w:t>“similar medical”</w:t>
      </w:r>
      <w:r w:rsidR="00E4176E" w:rsidRPr="005E6459">
        <w:rPr>
          <w:rFonts w:cs="Arial"/>
          <w:bCs/>
          <w:szCs w:val="22"/>
          <w:lang w:val="en-GB"/>
        </w:rPr>
        <w:t xml:space="preserve"> scheme in respect of the minor child</w:t>
      </w:r>
      <w:r w:rsidR="00E4176E" w:rsidRPr="005E6459">
        <w:rPr>
          <w:rStyle w:val="FootnoteReference"/>
          <w:rFonts w:cs="Arial"/>
          <w:bCs/>
          <w:szCs w:val="22"/>
          <w:lang w:val="en-GB"/>
        </w:rPr>
        <w:footnoteReference w:id="21"/>
      </w:r>
      <w:r w:rsidR="00E4176E" w:rsidRPr="005E6459">
        <w:rPr>
          <w:rFonts w:cs="Arial"/>
          <w:bCs/>
          <w:szCs w:val="22"/>
          <w:lang w:val="en-GB"/>
        </w:rPr>
        <w:t xml:space="preserve"> and the applicant.</w:t>
      </w:r>
      <w:r w:rsidR="00E4176E" w:rsidRPr="005E6459">
        <w:rPr>
          <w:rStyle w:val="FootnoteReference"/>
          <w:rFonts w:cs="Arial"/>
          <w:bCs/>
          <w:szCs w:val="22"/>
          <w:lang w:val="en-GB"/>
        </w:rPr>
        <w:footnoteReference w:id="22"/>
      </w:r>
      <w:r w:rsidR="00E4176E" w:rsidRPr="005E6459">
        <w:rPr>
          <w:rFonts w:cs="Arial"/>
          <w:bCs/>
          <w:szCs w:val="22"/>
          <w:lang w:val="en-GB"/>
        </w:rPr>
        <w:t xml:space="preserve"> </w:t>
      </w:r>
      <w:r w:rsidR="005B68D9" w:rsidRPr="005E6459">
        <w:rPr>
          <w:rFonts w:cs="Arial"/>
          <w:bCs/>
          <w:szCs w:val="22"/>
          <w:lang w:val="en-GB"/>
        </w:rPr>
        <w:t xml:space="preserve">The </w:t>
      </w:r>
      <w:r w:rsidR="00E4176E" w:rsidRPr="005E6459">
        <w:rPr>
          <w:rFonts w:cs="Arial"/>
          <w:bCs/>
          <w:szCs w:val="22"/>
          <w:lang w:val="en-GB"/>
        </w:rPr>
        <w:t>respondent explains that he was a member of this scheme in his capacity as an employee and his entitlement to a subsidy from his employer ceased when he resigned. He then obtained a medical scheme affording similar cover at an affordable premium and enrolled the applicant and the minor child on this scheme. It provides 100</w:t>
      </w:r>
      <w:r w:rsidR="005E2ACF" w:rsidRPr="005E6459">
        <w:rPr>
          <w:rFonts w:cs="Arial"/>
          <w:bCs/>
          <w:szCs w:val="22"/>
          <w:lang w:val="en-GB"/>
        </w:rPr>
        <w:t>%</w:t>
      </w:r>
      <w:r w:rsidR="00E4176E" w:rsidRPr="005E6459">
        <w:rPr>
          <w:rFonts w:cs="Arial"/>
          <w:bCs/>
          <w:szCs w:val="22"/>
          <w:lang w:val="en-GB"/>
        </w:rPr>
        <w:t xml:space="preserve"> hospital cover, full cover for chronic medication and savings to be accessed when needed. The applicant is in any event liable for the medical expenses of the minor child and the applicant.</w:t>
      </w:r>
    </w:p>
    <w:p w14:paraId="287E0D4F" w14:textId="4CA662A0"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[24]</w:t>
      </w:r>
      <w:r w:rsidRPr="005E6459">
        <w:rPr>
          <w:rFonts w:cs="Arial"/>
          <w:bCs/>
          <w:szCs w:val="22"/>
        </w:rPr>
        <w:tab/>
      </w:r>
      <w:r w:rsidR="00E4176E" w:rsidRPr="005E6459">
        <w:rPr>
          <w:rFonts w:cs="Arial"/>
          <w:bCs/>
          <w:szCs w:val="22"/>
        </w:rPr>
        <w:t xml:space="preserve">I conclude that the respondent </w:t>
      </w:r>
      <w:r w:rsidR="00E4176E" w:rsidRPr="005E6459">
        <w:rPr>
          <w:rFonts w:cs="Arial"/>
          <w:bCs/>
          <w:szCs w:val="22"/>
          <w:lang w:val="en-GB"/>
        </w:rPr>
        <w:t xml:space="preserve">did not disobey the order in this regard and willfulness and bad faith do not arise. He </w:t>
      </w:r>
      <w:r w:rsidR="00E4176E" w:rsidRPr="005E6459">
        <w:rPr>
          <w:rFonts w:cs="Arial"/>
          <w:bCs/>
          <w:szCs w:val="22"/>
        </w:rPr>
        <w:t xml:space="preserve">is not in contempt of paragraphs 3.2 and 4.1 of </w:t>
      </w:r>
      <w:r w:rsidR="00E4176E" w:rsidRPr="005E6459">
        <w:rPr>
          <w:rFonts w:cs="Arial"/>
          <w:bCs/>
          <w:szCs w:val="22"/>
        </w:rPr>
        <w:lastRenderedPageBreak/>
        <w:t>the order.</w:t>
      </w:r>
    </w:p>
    <w:p w14:paraId="06D150E5" w14:textId="77777777" w:rsidR="00E4176E" w:rsidRPr="005E6459" w:rsidRDefault="00E4176E" w:rsidP="00E4176E">
      <w:pPr>
        <w:widowControl w:val="0"/>
        <w:spacing w:before="480" w:after="480" w:line="360" w:lineRule="auto"/>
        <w:jc w:val="both"/>
        <w:rPr>
          <w:rFonts w:cs="Arial"/>
          <w:bCs/>
          <w:szCs w:val="22"/>
          <w:u w:val="single"/>
        </w:rPr>
      </w:pPr>
    </w:p>
    <w:p w14:paraId="2719065C" w14:textId="77777777" w:rsidR="00E4176E" w:rsidRPr="005E6459" w:rsidRDefault="00E4176E" w:rsidP="00E4176E">
      <w:pPr>
        <w:widowControl w:val="0"/>
        <w:spacing w:before="480" w:after="480" w:line="360" w:lineRule="auto"/>
        <w:jc w:val="both"/>
        <w:rPr>
          <w:rFonts w:cs="Arial"/>
          <w:bCs/>
          <w:szCs w:val="22"/>
          <w:u w:val="single"/>
        </w:rPr>
      </w:pPr>
      <w:r w:rsidRPr="005E6459">
        <w:rPr>
          <w:rFonts w:cs="Arial"/>
          <w:bCs/>
          <w:szCs w:val="22"/>
          <w:u w:val="single"/>
        </w:rPr>
        <w:t>An appropriate order</w:t>
      </w:r>
    </w:p>
    <w:p w14:paraId="399E6AFB" w14:textId="6820C805" w:rsidR="00D420A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[25]</w:t>
      </w:r>
      <w:r w:rsidRPr="005E6459">
        <w:rPr>
          <w:rFonts w:cs="Arial"/>
          <w:bCs/>
          <w:szCs w:val="22"/>
        </w:rPr>
        <w:tab/>
      </w:r>
      <w:r w:rsidR="00D420AE" w:rsidRPr="005E6459">
        <w:rPr>
          <w:rFonts w:cs="Arial"/>
          <w:bCs/>
          <w:szCs w:val="22"/>
        </w:rPr>
        <w:t>Neither party addressed the question whether this court has jurisdiction to impose a sentence of imprisonment under circumstances where the respondent resides, it would seem permanently,</w:t>
      </w:r>
      <w:r w:rsidR="0086720C">
        <w:rPr>
          <w:rStyle w:val="FootnoteReference"/>
          <w:rFonts w:cs="Arial"/>
          <w:bCs/>
          <w:szCs w:val="22"/>
        </w:rPr>
        <w:footnoteReference w:id="23"/>
      </w:r>
      <w:r w:rsidR="00D420AE" w:rsidRPr="005E6459">
        <w:rPr>
          <w:rFonts w:cs="Arial"/>
          <w:bCs/>
          <w:szCs w:val="22"/>
        </w:rPr>
        <w:t xml:space="preserve"> in Denmark.</w:t>
      </w:r>
      <w:r w:rsidR="00D420AE" w:rsidRPr="005E6459">
        <w:rPr>
          <w:rStyle w:val="FootnoteReference"/>
          <w:rFonts w:cs="Arial"/>
          <w:bCs/>
          <w:szCs w:val="22"/>
        </w:rPr>
        <w:footnoteReference w:id="24"/>
      </w:r>
      <w:r w:rsidR="00EA5ECE" w:rsidRPr="005E6459">
        <w:rPr>
          <w:rFonts w:cs="Arial"/>
          <w:bCs/>
          <w:szCs w:val="22"/>
        </w:rPr>
        <w:t xml:space="preserve"> I do not find it necessary to decide this question as I have formed the view that a sentence of imprisonment is not justified on the facts before me.</w:t>
      </w:r>
    </w:p>
    <w:p w14:paraId="644E2668" w14:textId="22105886" w:rsidR="00D02BD8"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[26]</w:t>
      </w:r>
      <w:r w:rsidRPr="005E6459">
        <w:rPr>
          <w:rFonts w:cs="Arial"/>
          <w:bCs/>
          <w:szCs w:val="22"/>
        </w:rPr>
        <w:tab/>
      </w:r>
      <w:r w:rsidR="00D02BD8" w:rsidRPr="005E6459">
        <w:rPr>
          <w:rFonts w:cs="Arial"/>
          <w:bCs/>
          <w:szCs w:val="22"/>
        </w:rPr>
        <w:t>In</w:t>
      </w:r>
      <w:r w:rsidR="00326760" w:rsidRPr="005E6459">
        <w:rPr>
          <w:rFonts w:cs="Arial"/>
          <w:i/>
          <w:iCs/>
          <w:szCs w:val="22"/>
        </w:rPr>
        <w:t xml:space="preserve"> Matjhabeng Local Municipality v Eskom Holdings Ltd and Others</w:t>
      </w:r>
      <w:r w:rsidR="00D02BD8" w:rsidRPr="005E6459">
        <w:rPr>
          <w:rFonts w:cs="Arial"/>
          <w:bCs/>
          <w:szCs w:val="22"/>
        </w:rPr>
        <w:t>,</w:t>
      </w:r>
      <w:r w:rsidR="00326760" w:rsidRPr="005E6459">
        <w:rPr>
          <w:rStyle w:val="FootnoteReference"/>
          <w:rFonts w:cs="Arial"/>
          <w:bCs/>
          <w:szCs w:val="22"/>
          <w:lang w:val="en-GB"/>
        </w:rPr>
        <w:t xml:space="preserve"> </w:t>
      </w:r>
      <w:r w:rsidR="00326760" w:rsidRPr="005E6459">
        <w:rPr>
          <w:rStyle w:val="FootnoteReference"/>
          <w:rFonts w:cs="Arial"/>
          <w:bCs/>
          <w:szCs w:val="22"/>
          <w:lang w:val="en-GB"/>
        </w:rPr>
        <w:footnoteReference w:id="25"/>
      </w:r>
      <w:r w:rsidR="00D02BD8" w:rsidRPr="005E6459">
        <w:rPr>
          <w:rFonts w:cs="Arial"/>
          <w:bCs/>
          <w:szCs w:val="22"/>
        </w:rPr>
        <w:t xml:space="preserve"> Nkabinde ADCJ said:</w:t>
      </w:r>
    </w:p>
    <w:p w14:paraId="08D19029" w14:textId="77777777" w:rsidR="00D02BD8" w:rsidRPr="005E6459" w:rsidRDefault="00D02BD8" w:rsidP="00D02BD8">
      <w:pPr>
        <w:widowControl w:val="0"/>
        <w:spacing w:before="480" w:after="480" w:line="360" w:lineRule="auto"/>
        <w:ind w:left="720"/>
        <w:jc w:val="both"/>
        <w:rPr>
          <w:rFonts w:cs="Arial"/>
          <w:i/>
          <w:iCs/>
          <w:szCs w:val="22"/>
        </w:rPr>
      </w:pPr>
      <w:r w:rsidRPr="005E6459">
        <w:rPr>
          <w:rFonts w:cs="Arial"/>
          <w:i/>
          <w:iCs/>
          <w:szCs w:val="22"/>
        </w:rPr>
        <w:t>“[54] Not every court order warrants committal for contempt of court in civil proceedings. The relief in civil contempt proceedings can take a variety of forms other than criminal sanctions, such as declaratory orders, mandamuses, and structural interdicts. All of these remedies play an important part in the enforcement of court orders in civil contempt proceedings. Their objective is to compel parties to comply with a court order. In some instances, the disregard of a court order may justify committal, as a sanction for past non-compliance. This is necessary because breaching a court order, wilfully and with mala fides, undermines the authority of the courts and thereby adversely affects the broader public interest….</w:t>
      </w:r>
    </w:p>
    <w:p w14:paraId="3A1042B3" w14:textId="77777777" w:rsidR="00C424D3" w:rsidRPr="005E6459" w:rsidRDefault="00D02BD8" w:rsidP="00D02BD8">
      <w:pPr>
        <w:widowControl w:val="0"/>
        <w:spacing w:before="480" w:after="480" w:line="360" w:lineRule="auto"/>
        <w:ind w:left="720"/>
        <w:jc w:val="both"/>
        <w:rPr>
          <w:rFonts w:cs="Arial"/>
          <w:i/>
          <w:iCs/>
          <w:szCs w:val="22"/>
        </w:rPr>
      </w:pPr>
      <w:r w:rsidRPr="005E6459">
        <w:rPr>
          <w:rFonts w:cs="Arial"/>
          <w:i/>
          <w:iCs/>
          <w:szCs w:val="22"/>
        </w:rPr>
        <w:t>[56] The common law drew a sharp distinction between orders ad solvendam pecuniam, which related to the payment of money, and orders ad factum praestandum, which called upon a person to perform a certain act or refrain from specified action. Indeed, failure to comply with the order to pay money was not regarded as contempt of court, whereas disobedience of the latter order was.</w:t>
      </w:r>
    </w:p>
    <w:p w14:paraId="2DAE8EC8" w14:textId="06BD8D77" w:rsidR="00D02BD8" w:rsidRPr="00742012" w:rsidRDefault="00C424D3" w:rsidP="00D02BD8">
      <w:pPr>
        <w:widowControl w:val="0"/>
        <w:spacing w:before="480" w:after="480" w:line="360" w:lineRule="auto"/>
        <w:ind w:left="720"/>
        <w:jc w:val="both"/>
        <w:rPr>
          <w:rFonts w:cs="Arial"/>
          <w:bCs/>
          <w:szCs w:val="22"/>
        </w:rPr>
      </w:pPr>
      <w:r w:rsidRPr="005E6459">
        <w:rPr>
          <w:rFonts w:cs="Arial"/>
          <w:i/>
          <w:iCs/>
          <w:szCs w:val="22"/>
        </w:rPr>
        <w:lastRenderedPageBreak/>
        <w:t>[57] In Mjeni</w:t>
      </w:r>
      <w:r w:rsidRPr="005E6459">
        <w:rPr>
          <w:rStyle w:val="FootnoteReference"/>
          <w:rFonts w:cs="Arial"/>
          <w:i/>
          <w:iCs/>
          <w:szCs w:val="22"/>
        </w:rPr>
        <w:footnoteReference w:id="26"/>
      </w:r>
      <w:r w:rsidRPr="005E6459">
        <w:rPr>
          <w:rFonts w:cs="Arial"/>
          <w:i/>
          <w:iCs/>
          <w:szCs w:val="22"/>
        </w:rPr>
        <w:t xml:space="preserve">  Jafta J (as he then was) endorsed the long line of judicial authority that an order must be ad factum praestandum before the court can enforce it by means of committal. The court, correctly in my view, endorsed that the objective of declaratory relief for contempt, for instance, is to vindicate the rule of law rather than to 'punish the transgressor'. This does not, however, mean that a civil remedy of committal may not be imposed against a contemnor for contempt of court.</w:t>
      </w:r>
      <w:r w:rsidR="00D02BD8" w:rsidRPr="005E6459">
        <w:rPr>
          <w:rFonts w:cs="Arial"/>
          <w:i/>
          <w:iCs/>
          <w:szCs w:val="22"/>
        </w:rPr>
        <w:t>”</w:t>
      </w:r>
      <w:r w:rsidR="00D420AE" w:rsidRPr="005E6459">
        <w:rPr>
          <w:rStyle w:val="FootnoteReference"/>
          <w:rFonts w:cs="Arial"/>
          <w:i/>
          <w:iCs/>
          <w:szCs w:val="22"/>
        </w:rPr>
        <w:footnoteReference w:id="27"/>
      </w:r>
      <w:r w:rsidR="00742012">
        <w:rPr>
          <w:rFonts w:cs="Arial"/>
          <w:i/>
          <w:iCs/>
          <w:szCs w:val="22"/>
        </w:rPr>
        <w:t xml:space="preserve"> </w:t>
      </w:r>
      <w:r w:rsidR="00742012">
        <w:rPr>
          <w:rFonts w:cs="Arial"/>
          <w:szCs w:val="22"/>
        </w:rPr>
        <w:t>[Footnotes in judgment omitted]</w:t>
      </w:r>
    </w:p>
    <w:p w14:paraId="0615AE7F" w14:textId="3F1885B4"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[27]</w:t>
      </w:r>
      <w:r w:rsidRPr="005E6459">
        <w:rPr>
          <w:rFonts w:cs="Arial"/>
          <w:bCs/>
          <w:szCs w:val="22"/>
        </w:rPr>
        <w:tab/>
      </w:r>
      <w:r w:rsidR="004D48BA" w:rsidRPr="005E6459">
        <w:rPr>
          <w:rFonts w:cs="Arial"/>
          <w:bCs/>
          <w:szCs w:val="22"/>
        </w:rPr>
        <w:t xml:space="preserve">No case is made out on the papers for a punitive cost order or a cost order </w:t>
      </w:r>
      <w:r w:rsidR="004D48BA" w:rsidRPr="005E6459">
        <w:rPr>
          <w:rFonts w:cs="Arial"/>
          <w:bCs/>
          <w:i/>
          <w:iCs/>
          <w:szCs w:val="22"/>
        </w:rPr>
        <w:t>de bonis proprius</w:t>
      </w:r>
      <w:r w:rsidR="00742012" w:rsidRPr="00742012">
        <w:rPr>
          <w:rFonts w:cs="Arial"/>
          <w:bCs/>
          <w:szCs w:val="22"/>
        </w:rPr>
        <w:t xml:space="preserve"> as sought by the applicant</w:t>
      </w:r>
      <w:r w:rsidR="00E4176E" w:rsidRPr="00742012">
        <w:rPr>
          <w:rFonts w:cs="Arial"/>
          <w:bCs/>
          <w:szCs w:val="22"/>
        </w:rPr>
        <w:t>.</w:t>
      </w:r>
    </w:p>
    <w:p w14:paraId="08D40506" w14:textId="1C608D46" w:rsidR="00E4176E" w:rsidRPr="005E6459" w:rsidRDefault="00575351" w:rsidP="00575351">
      <w:pPr>
        <w:widowControl w:val="0"/>
        <w:tabs>
          <w:tab w:val="left" w:pos="567"/>
        </w:tabs>
        <w:spacing w:before="480" w:after="480" w:line="360" w:lineRule="auto"/>
        <w:jc w:val="both"/>
        <w:rPr>
          <w:rFonts w:cs="Arial"/>
          <w:bCs/>
          <w:szCs w:val="22"/>
        </w:rPr>
      </w:pPr>
      <w:r w:rsidRPr="005E6459">
        <w:rPr>
          <w:rFonts w:cs="Arial"/>
          <w:bCs/>
          <w:szCs w:val="22"/>
        </w:rPr>
        <w:t>[2</w:t>
      </w:r>
      <w:bookmarkStart w:id="1" w:name="_GoBack"/>
      <w:bookmarkEnd w:id="1"/>
      <w:r w:rsidRPr="005E6459">
        <w:rPr>
          <w:rFonts w:cs="Arial"/>
          <w:bCs/>
          <w:szCs w:val="22"/>
        </w:rPr>
        <w:t>8]</w:t>
      </w:r>
      <w:r w:rsidRPr="005E6459">
        <w:rPr>
          <w:rFonts w:cs="Arial"/>
          <w:bCs/>
          <w:szCs w:val="22"/>
        </w:rPr>
        <w:tab/>
      </w:r>
      <w:r w:rsidR="00E4176E" w:rsidRPr="005E6459">
        <w:rPr>
          <w:rFonts w:cs="Arial"/>
          <w:bCs/>
          <w:szCs w:val="22"/>
        </w:rPr>
        <w:t>For the reasons set out above I make the order in paragraph 1.</w:t>
      </w:r>
    </w:p>
    <w:p w14:paraId="48D16436" w14:textId="77777777" w:rsidR="00E4176E" w:rsidRPr="005E6459" w:rsidRDefault="00E4176E" w:rsidP="00E4176E">
      <w:pPr>
        <w:widowControl w:val="0"/>
        <w:tabs>
          <w:tab w:val="right" w:pos="0"/>
        </w:tabs>
        <w:spacing w:line="360" w:lineRule="auto"/>
        <w:contextualSpacing/>
        <w:jc w:val="right"/>
        <w:rPr>
          <w:rFonts w:cs="Arial"/>
          <w:b/>
          <w:szCs w:val="22"/>
        </w:rPr>
      </w:pPr>
    </w:p>
    <w:p w14:paraId="23FE4BD4" w14:textId="77777777" w:rsidR="00E4176E" w:rsidRPr="005E6459" w:rsidRDefault="00E4176E" w:rsidP="00E4176E">
      <w:pPr>
        <w:widowControl w:val="0"/>
        <w:tabs>
          <w:tab w:val="right" w:pos="0"/>
        </w:tabs>
        <w:spacing w:line="360" w:lineRule="auto"/>
        <w:contextualSpacing/>
        <w:jc w:val="right"/>
        <w:rPr>
          <w:rFonts w:cs="Arial"/>
          <w:b/>
          <w:szCs w:val="22"/>
        </w:rPr>
      </w:pPr>
    </w:p>
    <w:p w14:paraId="6DAFC02E" w14:textId="77777777" w:rsidR="00E4176E" w:rsidRPr="005E6459" w:rsidRDefault="00E4176E" w:rsidP="00E4176E">
      <w:pPr>
        <w:widowControl w:val="0"/>
        <w:tabs>
          <w:tab w:val="right" w:pos="0"/>
        </w:tabs>
        <w:spacing w:line="360" w:lineRule="auto"/>
        <w:contextualSpacing/>
        <w:jc w:val="right"/>
        <w:rPr>
          <w:rFonts w:cs="Arial"/>
          <w:b/>
          <w:szCs w:val="22"/>
        </w:rPr>
      </w:pPr>
    </w:p>
    <w:p w14:paraId="0A6C9F72" w14:textId="77777777" w:rsidR="00E4176E" w:rsidRPr="005E6459" w:rsidRDefault="00E4176E" w:rsidP="00E4176E">
      <w:pPr>
        <w:widowControl w:val="0"/>
        <w:tabs>
          <w:tab w:val="right" w:pos="0"/>
        </w:tabs>
        <w:spacing w:line="360" w:lineRule="auto"/>
        <w:contextualSpacing/>
        <w:jc w:val="right"/>
        <w:rPr>
          <w:rFonts w:cs="Arial"/>
          <w:b/>
          <w:szCs w:val="22"/>
        </w:rPr>
      </w:pPr>
    </w:p>
    <w:p w14:paraId="042DA046" w14:textId="77777777" w:rsidR="00E4176E" w:rsidRPr="005E6459" w:rsidRDefault="00E4176E" w:rsidP="00E4176E">
      <w:pPr>
        <w:widowControl w:val="0"/>
        <w:tabs>
          <w:tab w:val="right" w:pos="0"/>
        </w:tabs>
        <w:spacing w:line="360" w:lineRule="auto"/>
        <w:contextualSpacing/>
        <w:jc w:val="right"/>
        <w:rPr>
          <w:rFonts w:cs="Arial"/>
          <w:b/>
          <w:szCs w:val="22"/>
        </w:rPr>
      </w:pPr>
      <w:r w:rsidRPr="005E6459">
        <w:rPr>
          <w:rFonts w:cs="Arial"/>
          <w:b/>
          <w:szCs w:val="22"/>
        </w:rPr>
        <w:t>______________</w:t>
      </w:r>
    </w:p>
    <w:p w14:paraId="656A5852" w14:textId="77777777" w:rsidR="00E4176E" w:rsidRPr="005E6459" w:rsidRDefault="00E4176E" w:rsidP="00E4176E">
      <w:pPr>
        <w:widowControl w:val="0"/>
        <w:tabs>
          <w:tab w:val="right" w:pos="0"/>
        </w:tabs>
        <w:spacing w:line="360" w:lineRule="auto"/>
        <w:contextualSpacing/>
        <w:jc w:val="right"/>
        <w:rPr>
          <w:rFonts w:cs="Arial"/>
          <w:b/>
          <w:szCs w:val="22"/>
        </w:rPr>
      </w:pPr>
      <w:r w:rsidRPr="005E6459">
        <w:rPr>
          <w:rFonts w:cs="Arial"/>
          <w:b/>
          <w:szCs w:val="22"/>
        </w:rPr>
        <w:t>J MOORCROFT</w:t>
      </w:r>
    </w:p>
    <w:p w14:paraId="3BCB3927" w14:textId="77777777" w:rsidR="00E4176E" w:rsidRPr="005E6459" w:rsidRDefault="00E4176E" w:rsidP="00E4176E">
      <w:pPr>
        <w:widowControl w:val="0"/>
        <w:tabs>
          <w:tab w:val="right" w:pos="0"/>
        </w:tabs>
        <w:spacing w:line="360" w:lineRule="auto"/>
        <w:contextualSpacing/>
        <w:jc w:val="right"/>
        <w:rPr>
          <w:rFonts w:cs="Arial"/>
          <w:b/>
          <w:szCs w:val="22"/>
        </w:rPr>
      </w:pPr>
      <w:r w:rsidRPr="005E6459">
        <w:rPr>
          <w:rFonts w:cs="Arial"/>
          <w:b/>
          <w:szCs w:val="22"/>
        </w:rPr>
        <w:t>ACTING JUDGE OF THE HIGH COURT OF SOUTH AFRICA</w:t>
      </w:r>
    </w:p>
    <w:p w14:paraId="7E5C4E34" w14:textId="77777777" w:rsidR="00E4176E" w:rsidRPr="005E6459" w:rsidRDefault="00E4176E" w:rsidP="00E4176E">
      <w:pPr>
        <w:widowControl w:val="0"/>
        <w:tabs>
          <w:tab w:val="right" w:pos="0"/>
          <w:tab w:val="left" w:pos="4253"/>
        </w:tabs>
        <w:spacing w:line="360" w:lineRule="auto"/>
        <w:contextualSpacing/>
        <w:jc w:val="right"/>
        <w:rPr>
          <w:rFonts w:cs="Arial"/>
          <w:b/>
          <w:szCs w:val="22"/>
        </w:rPr>
      </w:pPr>
      <w:r w:rsidRPr="005E6459">
        <w:rPr>
          <w:rFonts w:cs="Arial"/>
          <w:b/>
          <w:szCs w:val="22"/>
        </w:rPr>
        <w:t>GAUTENG DIVISION</w:t>
      </w:r>
    </w:p>
    <w:p w14:paraId="36311435" w14:textId="77777777" w:rsidR="00E4176E" w:rsidRPr="005E6459" w:rsidRDefault="00E4176E" w:rsidP="00E4176E">
      <w:pPr>
        <w:widowControl w:val="0"/>
        <w:tabs>
          <w:tab w:val="right" w:pos="0"/>
          <w:tab w:val="left" w:pos="4253"/>
        </w:tabs>
        <w:spacing w:line="360" w:lineRule="auto"/>
        <w:contextualSpacing/>
        <w:jc w:val="right"/>
        <w:rPr>
          <w:rFonts w:cs="Arial"/>
          <w:b/>
          <w:szCs w:val="22"/>
        </w:rPr>
      </w:pPr>
      <w:r w:rsidRPr="005E6459">
        <w:rPr>
          <w:rFonts w:cs="Arial"/>
          <w:b/>
          <w:szCs w:val="22"/>
        </w:rPr>
        <w:t>JOHANNESBURG</w:t>
      </w:r>
    </w:p>
    <w:p w14:paraId="13E0FDB6" w14:textId="77777777" w:rsidR="00E4176E" w:rsidRPr="005E6459" w:rsidRDefault="00E4176E" w:rsidP="00E4176E">
      <w:pPr>
        <w:widowControl w:val="0"/>
        <w:tabs>
          <w:tab w:val="right" w:pos="0"/>
          <w:tab w:val="left" w:pos="4253"/>
        </w:tabs>
        <w:spacing w:line="360" w:lineRule="auto"/>
        <w:contextualSpacing/>
        <w:jc w:val="center"/>
        <w:rPr>
          <w:rFonts w:cs="Arial"/>
          <w:b/>
          <w:szCs w:val="22"/>
        </w:rPr>
      </w:pPr>
    </w:p>
    <w:p w14:paraId="3971FB65" w14:textId="77777777" w:rsidR="00E4176E" w:rsidRPr="005E6459" w:rsidRDefault="00E4176E" w:rsidP="00E4176E">
      <w:pPr>
        <w:widowControl w:val="0"/>
        <w:spacing w:after="200" w:line="480" w:lineRule="auto"/>
        <w:contextualSpacing/>
        <w:jc w:val="right"/>
        <w:rPr>
          <w:rFonts w:cs="Arial"/>
          <w:b/>
          <w:i/>
          <w:iCs/>
          <w:szCs w:val="22"/>
        </w:rPr>
      </w:pPr>
      <w:r w:rsidRPr="005E6459">
        <w:rPr>
          <w:rFonts w:cs="Arial"/>
          <w:b/>
          <w:i/>
          <w:iCs/>
          <w:szCs w:val="22"/>
        </w:rPr>
        <w:t>Electronically submitted</w:t>
      </w:r>
    </w:p>
    <w:p w14:paraId="4E3E9427" w14:textId="77777777" w:rsidR="006C43D7" w:rsidRPr="005E6459" w:rsidRDefault="006C43D7" w:rsidP="003A1D18">
      <w:pPr>
        <w:widowControl w:val="0"/>
        <w:spacing w:after="200" w:line="360" w:lineRule="auto"/>
        <w:contextualSpacing/>
        <w:jc w:val="both"/>
        <w:rPr>
          <w:rFonts w:eastAsia="Arial Unicode MS" w:cs="Arial"/>
          <w:bCs/>
          <w:szCs w:val="22"/>
        </w:rPr>
      </w:pPr>
    </w:p>
    <w:p w14:paraId="51C686CA" w14:textId="1D3C1035" w:rsidR="0086720C" w:rsidRDefault="006C43D7" w:rsidP="003A1D18">
      <w:pPr>
        <w:widowControl w:val="0"/>
        <w:spacing w:after="200" w:line="360" w:lineRule="auto"/>
        <w:contextualSpacing/>
        <w:jc w:val="both"/>
        <w:rPr>
          <w:rFonts w:eastAsia="Arial Unicode MS" w:cs="Arial"/>
          <w:bCs/>
          <w:szCs w:val="22"/>
        </w:rPr>
      </w:pPr>
      <w:r w:rsidRPr="005E6459">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944BB9" w:rsidRPr="005E6459">
        <w:rPr>
          <w:rFonts w:eastAsia="Arial Unicode MS" w:cs="Arial"/>
          <w:bCs/>
          <w:szCs w:val="22"/>
        </w:rPr>
        <w:t>l</w:t>
      </w:r>
      <w:r w:rsidRPr="005E6459">
        <w:rPr>
          <w:rFonts w:eastAsia="Arial Unicode MS" w:cs="Arial"/>
          <w:bCs/>
          <w:szCs w:val="22"/>
        </w:rPr>
        <w:t>ines. The date of the judgment is deemed to be</w:t>
      </w:r>
      <w:r w:rsidR="00C460A0" w:rsidRPr="005E6459">
        <w:rPr>
          <w:rFonts w:eastAsia="Arial Unicode MS" w:cs="Arial"/>
          <w:b/>
          <w:szCs w:val="22"/>
        </w:rPr>
        <w:t xml:space="preserve"> </w:t>
      </w:r>
      <w:r w:rsidR="0005282E" w:rsidRPr="005E6459">
        <w:rPr>
          <w:rFonts w:eastAsia="Arial Unicode MS" w:cs="Arial"/>
          <w:b/>
          <w:szCs w:val="22"/>
        </w:rPr>
        <w:t xml:space="preserve"> </w:t>
      </w:r>
      <w:r w:rsidR="00012FE3">
        <w:rPr>
          <w:rFonts w:eastAsia="Arial Unicode MS" w:cs="Arial"/>
          <w:b/>
          <w:szCs w:val="22"/>
        </w:rPr>
        <w:t>28</w:t>
      </w:r>
      <w:r w:rsidR="00E4176E" w:rsidRPr="005E6459">
        <w:rPr>
          <w:rFonts w:eastAsia="Arial Unicode MS" w:cs="Arial"/>
          <w:b/>
          <w:szCs w:val="22"/>
        </w:rPr>
        <w:t xml:space="preserve"> </w:t>
      </w:r>
      <w:r w:rsidR="0005282E" w:rsidRPr="005E6459">
        <w:rPr>
          <w:rFonts w:eastAsia="Arial Unicode MS" w:cs="Arial"/>
          <w:b/>
          <w:szCs w:val="22"/>
        </w:rPr>
        <w:t>AUGUST</w:t>
      </w:r>
      <w:r w:rsidR="00B5572D" w:rsidRPr="005E6459">
        <w:rPr>
          <w:rFonts w:eastAsia="Arial Unicode MS" w:cs="Arial"/>
          <w:b/>
          <w:szCs w:val="22"/>
        </w:rPr>
        <w:t xml:space="preserve"> </w:t>
      </w:r>
      <w:r w:rsidR="00237FF9" w:rsidRPr="005E6459">
        <w:rPr>
          <w:rFonts w:eastAsia="Arial Unicode MS" w:cs="Arial"/>
          <w:b/>
          <w:bCs/>
          <w:szCs w:val="22"/>
        </w:rPr>
        <w:t>202</w:t>
      </w:r>
      <w:r w:rsidR="00051A2B" w:rsidRPr="005E6459">
        <w:rPr>
          <w:rFonts w:eastAsia="Arial Unicode MS" w:cs="Arial"/>
          <w:b/>
          <w:bCs/>
          <w:szCs w:val="22"/>
        </w:rPr>
        <w:t>3</w:t>
      </w:r>
    </w:p>
    <w:p w14:paraId="24469554" w14:textId="77777777" w:rsidR="0086720C" w:rsidRDefault="0086720C">
      <w:pPr>
        <w:rPr>
          <w:rFonts w:eastAsia="Arial Unicode MS" w:cs="Arial"/>
          <w:bCs/>
          <w:szCs w:val="22"/>
        </w:rPr>
      </w:pPr>
      <w:r>
        <w:rPr>
          <w:rFonts w:eastAsia="Arial Unicode MS" w:cs="Arial"/>
          <w:bCs/>
          <w:szCs w:val="22"/>
        </w:rPr>
        <w:br w:type="page"/>
      </w: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5E6459" w14:paraId="493AF0D7" w14:textId="77777777" w:rsidTr="00615F6B">
        <w:tc>
          <w:tcPr>
            <w:tcW w:w="4678" w:type="dxa"/>
          </w:tcPr>
          <w:p w14:paraId="6A05541A" w14:textId="49AA75BF" w:rsidR="009D35B5" w:rsidRPr="005E6459" w:rsidRDefault="009D35B5" w:rsidP="00A25AB4">
            <w:pPr>
              <w:tabs>
                <w:tab w:val="right" w:pos="0"/>
                <w:tab w:val="left" w:pos="4253"/>
              </w:tabs>
              <w:spacing w:before="120" w:after="120"/>
              <w:rPr>
                <w:rFonts w:cs="Arial"/>
                <w:szCs w:val="22"/>
              </w:rPr>
            </w:pPr>
            <w:r w:rsidRPr="005E6459">
              <w:rPr>
                <w:rFonts w:cs="Arial"/>
                <w:szCs w:val="22"/>
              </w:rPr>
              <w:lastRenderedPageBreak/>
              <w:t xml:space="preserve">COUNSEL FOR </w:t>
            </w:r>
            <w:r w:rsidR="00404A52" w:rsidRPr="005E6459">
              <w:rPr>
                <w:rFonts w:cs="Arial"/>
                <w:szCs w:val="22"/>
              </w:rPr>
              <w:t>THE APPLICANT</w:t>
            </w:r>
            <w:r w:rsidRPr="005E6459">
              <w:rPr>
                <w:rFonts w:cs="Arial"/>
                <w:szCs w:val="22"/>
              </w:rPr>
              <w:t>:</w:t>
            </w:r>
          </w:p>
        </w:tc>
        <w:tc>
          <w:tcPr>
            <w:tcW w:w="3935" w:type="dxa"/>
          </w:tcPr>
          <w:p w14:paraId="69785AA9" w14:textId="38BDB68C" w:rsidR="00D15C79" w:rsidRPr="005E6459" w:rsidRDefault="00E4176E" w:rsidP="00D65571">
            <w:pPr>
              <w:tabs>
                <w:tab w:val="right" w:pos="0"/>
                <w:tab w:val="left" w:pos="567"/>
                <w:tab w:val="right" w:pos="2727"/>
                <w:tab w:val="left" w:pos="4253"/>
              </w:tabs>
              <w:spacing w:before="120" w:after="120"/>
              <w:jc w:val="right"/>
              <w:rPr>
                <w:rFonts w:cs="Arial"/>
                <w:szCs w:val="22"/>
              </w:rPr>
            </w:pPr>
            <w:r w:rsidRPr="005E6459">
              <w:rPr>
                <w:rFonts w:cs="Arial"/>
                <w:szCs w:val="22"/>
              </w:rPr>
              <w:t>M G SKHOSANA</w:t>
            </w:r>
          </w:p>
        </w:tc>
      </w:tr>
      <w:tr w:rsidR="009D35B5" w:rsidRPr="005E6459" w14:paraId="183C176D" w14:textId="77777777" w:rsidTr="00615F6B">
        <w:tc>
          <w:tcPr>
            <w:tcW w:w="4678" w:type="dxa"/>
          </w:tcPr>
          <w:p w14:paraId="75365413" w14:textId="481747BC" w:rsidR="009D35B5" w:rsidRPr="005E6459" w:rsidRDefault="009D35B5" w:rsidP="00A25AB4">
            <w:pPr>
              <w:tabs>
                <w:tab w:val="right" w:pos="0"/>
                <w:tab w:val="left" w:pos="4253"/>
              </w:tabs>
              <w:spacing w:before="120" w:after="120"/>
              <w:rPr>
                <w:rFonts w:cs="Arial"/>
                <w:szCs w:val="22"/>
              </w:rPr>
            </w:pPr>
            <w:r w:rsidRPr="005E6459">
              <w:rPr>
                <w:rFonts w:cs="Arial"/>
                <w:szCs w:val="22"/>
              </w:rPr>
              <w:t>INSTRUCTED BY:</w:t>
            </w:r>
          </w:p>
        </w:tc>
        <w:tc>
          <w:tcPr>
            <w:tcW w:w="3935" w:type="dxa"/>
          </w:tcPr>
          <w:p w14:paraId="4044534A" w14:textId="014AF854" w:rsidR="00E10D04" w:rsidRPr="005E6459" w:rsidRDefault="00E4176E" w:rsidP="00A25AB4">
            <w:pPr>
              <w:tabs>
                <w:tab w:val="right" w:pos="0"/>
                <w:tab w:val="left" w:pos="4253"/>
              </w:tabs>
              <w:spacing w:before="120" w:after="120"/>
              <w:jc w:val="right"/>
              <w:rPr>
                <w:rFonts w:cs="Arial"/>
                <w:szCs w:val="22"/>
              </w:rPr>
            </w:pPr>
            <w:r w:rsidRPr="005E6459">
              <w:rPr>
                <w:rFonts w:cs="Arial"/>
                <w:szCs w:val="22"/>
              </w:rPr>
              <w:t>KOTANA BABALWA ATTORNEYS</w:t>
            </w:r>
          </w:p>
        </w:tc>
      </w:tr>
      <w:tr w:rsidR="009D35B5" w:rsidRPr="005E6459" w14:paraId="6E2BF966" w14:textId="77777777" w:rsidTr="00615F6B">
        <w:tc>
          <w:tcPr>
            <w:tcW w:w="4678" w:type="dxa"/>
          </w:tcPr>
          <w:p w14:paraId="545B6665" w14:textId="1F6DFEFD" w:rsidR="009D35B5" w:rsidRPr="005E6459" w:rsidRDefault="009D35B5" w:rsidP="00A25AB4">
            <w:pPr>
              <w:tabs>
                <w:tab w:val="right" w:pos="0"/>
                <w:tab w:val="left" w:pos="4253"/>
              </w:tabs>
              <w:spacing w:before="120" w:after="120"/>
              <w:rPr>
                <w:rFonts w:cs="Arial"/>
                <w:szCs w:val="22"/>
              </w:rPr>
            </w:pPr>
            <w:r w:rsidRPr="005E6459">
              <w:rPr>
                <w:rFonts w:cs="Arial"/>
                <w:szCs w:val="22"/>
              </w:rPr>
              <w:t xml:space="preserve">COUNSEL FOR </w:t>
            </w:r>
            <w:r w:rsidR="00404A52" w:rsidRPr="005E6459">
              <w:rPr>
                <w:rFonts w:cs="Arial"/>
                <w:szCs w:val="22"/>
              </w:rPr>
              <w:t xml:space="preserve">THE </w:t>
            </w:r>
            <w:r w:rsidR="00027D19" w:rsidRPr="005E6459">
              <w:rPr>
                <w:rFonts w:cs="Arial"/>
                <w:szCs w:val="22"/>
              </w:rPr>
              <w:t>RESPONDENT</w:t>
            </w:r>
            <w:r w:rsidRPr="005E6459">
              <w:rPr>
                <w:rFonts w:cs="Arial"/>
                <w:szCs w:val="22"/>
              </w:rPr>
              <w:t>:</w:t>
            </w:r>
          </w:p>
        </w:tc>
        <w:tc>
          <w:tcPr>
            <w:tcW w:w="3935" w:type="dxa"/>
          </w:tcPr>
          <w:p w14:paraId="51741A90" w14:textId="638DC80B" w:rsidR="009D35B5" w:rsidRPr="005E6459" w:rsidRDefault="00E4176E" w:rsidP="00D65571">
            <w:pPr>
              <w:tabs>
                <w:tab w:val="right" w:pos="0"/>
                <w:tab w:val="left" w:pos="4253"/>
              </w:tabs>
              <w:spacing w:before="120" w:after="120"/>
              <w:jc w:val="right"/>
              <w:rPr>
                <w:rFonts w:cs="Arial"/>
                <w:szCs w:val="22"/>
              </w:rPr>
            </w:pPr>
            <w:r w:rsidRPr="005E6459">
              <w:rPr>
                <w:rFonts w:cs="Arial"/>
                <w:szCs w:val="22"/>
              </w:rPr>
              <w:t>F BEZUIDENHOUT</w:t>
            </w:r>
          </w:p>
        </w:tc>
      </w:tr>
      <w:tr w:rsidR="009D35B5" w:rsidRPr="005E6459" w14:paraId="1EC4105A" w14:textId="77777777" w:rsidTr="00615F6B">
        <w:tc>
          <w:tcPr>
            <w:tcW w:w="4678" w:type="dxa"/>
          </w:tcPr>
          <w:p w14:paraId="184EC2ED" w14:textId="1E42F28A" w:rsidR="009D35B5" w:rsidRPr="005E6459" w:rsidRDefault="009D35B5" w:rsidP="00A25AB4">
            <w:pPr>
              <w:tabs>
                <w:tab w:val="right" w:pos="0"/>
                <w:tab w:val="left" w:pos="4253"/>
              </w:tabs>
              <w:spacing w:before="120" w:after="120"/>
              <w:rPr>
                <w:rFonts w:cs="Arial"/>
                <w:szCs w:val="22"/>
              </w:rPr>
            </w:pPr>
            <w:r w:rsidRPr="005E6459">
              <w:rPr>
                <w:rFonts w:cs="Arial"/>
                <w:szCs w:val="22"/>
              </w:rPr>
              <w:t>INSTRUCTED BY:</w:t>
            </w:r>
          </w:p>
        </w:tc>
        <w:tc>
          <w:tcPr>
            <w:tcW w:w="3935" w:type="dxa"/>
          </w:tcPr>
          <w:p w14:paraId="2098BE2A" w14:textId="3A84519F" w:rsidR="009D35B5" w:rsidRPr="005E6459" w:rsidRDefault="00E4176E" w:rsidP="00A25AB4">
            <w:pPr>
              <w:tabs>
                <w:tab w:val="right" w:pos="0"/>
                <w:tab w:val="left" w:pos="4253"/>
              </w:tabs>
              <w:spacing w:before="120" w:after="120"/>
              <w:jc w:val="right"/>
              <w:rPr>
                <w:rFonts w:cs="Arial"/>
                <w:szCs w:val="22"/>
              </w:rPr>
            </w:pPr>
            <w:r w:rsidRPr="005E6459">
              <w:rPr>
                <w:rFonts w:cs="Arial"/>
                <w:szCs w:val="22"/>
              </w:rPr>
              <w:t>SHEPSTONE &amp; WYLIE ATTORNEYS</w:t>
            </w:r>
          </w:p>
        </w:tc>
      </w:tr>
      <w:tr w:rsidR="009D35B5" w:rsidRPr="005E6459" w14:paraId="2A3FE2B1" w14:textId="77777777" w:rsidTr="00615F6B">
        <w:tc>
          <w:tcPr>
            <w:tcW w:w="4678" w:type="dxa"/>
          </w:tcPr>
          <w:p w14:paraId="0767D0FE" w14:textId="61925A22" w:rsidR="009D35B5" w:rsidRPr="005E6459" w:rsidRDefault="009D35B5" w:rsidP="00A25AB4">
            <w:pPr>
              <w:tabs>
                <w:tab w:val="right" w:pos="0"/>
                <w:tab w:val="left" w:pos="4253"/>
              </w:tabs>
              <w:spacing w:before="120" w:after="120"/>
              <w:rPr>
                <w:rFonts w:cs="Arial"/>
                <w:szCs w:val="22"/>
              </w:rPr>
            </w:pPr>
            <w:r w:rsidRPr="005E6459">
              <w:rPr>
                <w:rFonts w:cs="Arial"/>
                <w:szCs w:val="22"/>
              </w:rPr>
              <w:t xml:space="preserve">DATE </w:t>
            </w:r>
            <w:r w:rsidR="00E57446" w:rsidRPr="005E6459">
              <w:rPr>
                <w:rFonts w:cs="Arial"/>
                <w:szCs w:val="22"/>
              </w:rPr>
              <w:t>OF ARGUMENT</w:t>
            </w:r>
            <w:r w:rsidRPr="005E6459">
              <w:rPr>
                <w:rFonts w:cs="Arial"/>
                <w:szCs w:val="22"/>
              </w:rPr>
              <w:t>:</w:t>
            </w:r>
          </w:p>
        </w:tc>
        <w:tc>
          <w:tcPr>
            <w:tcW w:w="3935" w:type="dxa"/>
          </w:tcPr>
          <w:p w14:paraId="34C95147" w14:textId="6CA0DA22" w:rsidR="009D35B5" w:rsidRPr="005E6459" w:rsidRDefault="00D65571" w:rsidP="00A25AB4">
            <w:pPr>
              <w:tabs>
                <w:tab w:val="right" w:pos="0"/>
                <w:tab w:val="left" w:pos="4253"/>
              </w:tabs>
              <w:spacing w:before="120" w:after="120"/>
              <w:jc w:val="right"/>
              <w:rPr>
                <w:rFonts w:cs="Arial"/>
                <w:szCs w:val="22"/>
              </w:rPr>
            </w:pPr>
            <w:r w:rsidRPr="005E6459">
              <w:rPr>
                <w:rFonts w:cs="Arial"/>
                <w:szCs w:val="22"/>
              </w:rPr>
              <w:t>1</w:t>
            </w:r>
            <w:r w:rsidR="004479C3" w:rsidRPr="005E6459">
              <w:rPr>
                <w:rFonts w:cs="Arial"/>
                <w:szCs w:val="22"/>
              </w:rPr>
              <w:t>7</w:t>
            </w:r>
            <w:r w:rsidRPr="005E6459">
              <w:rPr>
                <w:rFonts w:cs="Arial"/>
                <w:szCs w:val="22"/>
              </w:rPr>
              <w:t xml:space="preserve"> AUGUST 2023</w:t>
            </w:r>
          </w:p>
        </w:tc>
      </w:tr>
      <w:tr w:rsidR="00A25AB4" w:rsidRPr="005E6459" w14:paraId="5ECDFF3A" w14:textId="77777777" w:rsidTr="00615F6B">
        <w:tc>
          <w:tcPr>
            <w:tcW w:w="4678" w:type="dxa"/>
          </w:tcPr>
          <w:p w14:paraId="1DF2AE9E" w14:textId="1FC539A4" w:rsidR="00A25AB4" w:rsidRPr="005E6459" w:rsidRDefault="00A25AB4" w:rsidP="00A25AB4">
            <w:pPr>
              <w:tabs>
                <w:tab w:val="right" w:pos="0"/>
                <w:tab w:val="left" w:pos="4253"/>
              </w:tabs>
              <w:spacing w:before="120" w:after="120"/>
              <w:rPr>
                <w:rFonts w:cs="Arial"/>
                <w:szCs w:val="22"/>
              </w:rPr>
            </w:pPr>
            <w:r w:rsidRPr="005E6459">
              <w:rPr>
                <w:rFonts w:cs="Arial"/>
                <w:szCs w:val="22"/>
              </w:rPr>
              <w:t>DATE OF JUDGMENT:</w:t>
            </w:r>
          </w:p>
        </w:tc>
        <w:tc>
          <w:tcPr>
            <w:tcW w:w="3935" w:type="dxa"/>
          </w:tcPr>
          <w:p w14:paraId="02219E99" w14:textId="51F9FB26" w:rsidR="00A25AB4" w:rsidRPr="005E6459" w:rsidRDefault="00D65571" w:rsidP="00A25AB4">
            <w:pPr>
              <w:tabs>
                <w:tab w:val="right" w:pos="0"/>
                <w:tab w:val="left" w:pos="4253"/>
              </w:tabs>
              <w:spacing w:before="120" w:after="120"/>
              <w:jc w:val="right"/>
              <w:rPr>
                <w:rFonts w:cs="Arial"/>
                <w:szCs w:val="22"/>
              </w:rPr>
            </w:pPr>
            <w:r w:rsidRPr="005E6459">
              <w:rPr>
                <w:rFonts w:cs="Arial"/>
                <w:szCs w:val="22"/>
              </w:rPr>
              <w:t xml:space="preserve"> </w:t>
            </w:r>
            <w:r w:rsidR="00012FE3">
              <w:rPr>
                <w:rFonts w:cs="Arial"/>
                <w:szCs w:val="22"/>
              </w:rPr>
              <w:t>28</w:t>
            </w:r>
            <w:r w:rsidR="00B13BCF" w:rsidRPr="005E6459">
              <w:rPr>
                <w:rFonts w:cs="Arial"/>
                <w:szCs w:val="22"/>
              </w:rPr>
              <w:t xml:space="preserve"> </w:t>
            </w:r>
            <w:r w:rsidRPr="005E6459">
              <w:rPr>
                <w:rFonts w:cs="Arial"/>
                <w:szCs w:val="22"/>
              </w:rPr>
              <w:t xml:space="preserve">AUGUST </w:t>
            </w:r>
            <w:r w:rsidR="00A25AB4" w:rsidRPr="005E6459">
              <w:rPr>
                <w:rFonts w:cs="Arial"/>
                <w:szCs w:val="22"/>
              </w:rPr>
              <w:t>2023</w:t>
            </w:r>
          </w:p>
        </w:tc>
      </w:tr>
    </w:tbl>
    <w:p w14:paraId="1BD8F4EB" w14:textId="491B3C8F" w:rsidR="00A402F6" w:rsidRPr="005E6459" w:rsidRDefault="00A402F6" w:rsidP="00C428AB">
      <w:pPr>
        <w:widowControl w:val="0"/>
        <w:spacing w:before="480" w:after="480" w:line="360" w:lineRule="auto"/>
        <w:jc w:val="both"/>
        <w:rPr>
          <w:rFonts w:cs="Arial"/>
          <w:szCs w:val="22"/>
        </w:rPr>
      </w:pPr>
    </w:p>
    <w:sectPr w:rsidR="00A402F6" w:rsidRPr="005E6459"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6E0D" w14:textId="77777777" w:rsidR="00D04CA2" w:rsidRDefault="00D04CA2">
      <w:r>
        <w:separator/>
      </w:r>
    </w:p>
  </w:endnote>
  <w:endnote w:type="continuationSeparator" w:id="0">
    <w:p w14:paraId="0A96CF44" w14:textId="77777777" w:rsidR="00D04CA2" w:rsidRDefault="00D0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B45B" w14:textId="77777777" w:rsidR="00D04CA2" w:rsidRDefault="00D04CA2">
      <w:r>
        <w:separator/>
      </w:r>
    </w:p>
  </w:footnote>
  <w:footnote w:type="continuationSeparator" w:id="0">
    <w:p w14:paraId="2E4BD4BD" w14:textId="77777777" w:rsidR="00D04CA2" w:rsidRDefault="00D04CA2">
      <w:r>
        <w:continuationSeparator/>
      </w:r>
    </w:p>
  </w:footnote>
  <w:footnote w:id="1">
    <w:p w14:paraId="40878583" w14:textId="77777777" w:rsidR="00806AB0" w:rsidRDefault="00806AB0" w:rsidP="00806AB0">
      <w:pPr>
        <w:pStyle w:val="FootnoteText"/>
      </w:pPr>
      <w:r>
        <w:rPr>
          <w:rStyle w:val="FootnoteReference"/>
        </w:rPr>
        <w:footnoteRef/>
      </w:r>
      <w:r>
        <w:t xml:space="preserve"> </w:t>
      </w:r>
      <w:r>
        <w:tab/>
        <w:t>Caselines 019-1.</w:t>
      </w:r>
    </w:p>
  </w:footnote>
  <w:footnote w:id="2">
    <w:p w14:paraId="64C62815" w14:textId="77777777" w:rsidR="00E4176E" w:rsidRPr="00E43C23" w:rsidRDefault="00E4176E" w:rsidP="00E4176E">
      <w:pPr>
        <w:pStyle w:val="FootnoteText"/>
        <w:rPr>
          <w:color w:val="000000" w:themeColor="text1"/>
        </w:rPr>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 6 et seq</w:t>
      </w:r>
      <w:r w:rsidRPr="00E43C23">
        <w:rPr>
          <w:color w:val="000000" w:themeColor="text1"/>
        </w:rPr>
        <w:t>. See also</w:t>
      </w:r>
      <w:r w:rsidRPr="00E43C23">
        <w:rPr>
          <w:rFonts w:cs="Arial"/>
          <w:color w:val="000000" w:themeColor="text1"/>
        </w:rPr>
        <w:t xml:space="preserve"> </w:t>
      </w:r>
      <w:r w:rsidRPr="00E43C23">
        <w:rPr>
          <w:rFonts w:cs="Arial"/>
          <w:i/>
          <w:iCs/>
          <w:color w:val="000000" w:themeColor="text1"/>
        </w:rPr>
        <w:t>Uncedo Taxi Service Association v Maninjwa</w:t>
      </w:r>
      <w:r w:rsidRPr="00E43C23">
        <w:rPr>
          <w:rFonts w:cs="Arial"/>
          <w:color w:val="000000" w:themeColor="text1"/>
        </w:rPr>
        <w:t xml:space="preserve"> 1998 (3) SA 417 (ECD) 429 G – I,</w:t>
      </w:r>
      <w:r w:rsidRPr="00E43C23">
        <w:rPr>
          <w:color w:val="000000" w:themeColor="text1"/>
        </w:rPr>
        <w:t xml:space="preserve"> </w:t>
      </w:r>
      <w:r w:rsidRPr="00E43C23">
        <w:rPr>
          <w:rFonts w:cs="Arial"/>
          <w:i/>
          <w:iCs/>
          <w:color w:val="000000" w:themeColor="text1"/>
        </w:rPr>
        <w:t>Dezius v Dezius</w:t>
      </w:r>
      <w:r w:rsidRPr="00E43C23">
        <w:rPr>
          <w:rFonts w:cs="Arial"/>
          <w:color w:val="000000" w:themeColor="text1"/>
        </w:rPr>
        <w:t> </w:t>
      </w:r>
      <w:hyperlink r:id="rId1" w:tooltip="View LawCiteRecord" w:history="1">
        <w:r w:rsidRPr="00E43C23">
          <w:rPr>
            <w:rStyle w:val="Hyperlink"/>
            <w:rFonts w:cs="Arial"/>
            <w:color w:val="000000" w:themeColor="text1"/>
            <w:u w:val="none"/>
          </w:rPr>
          <w:t>2006 (6) SA 395</w:t>
        </w:r>
      </w:hyperlink>
      <w:r w:rsidRPr="00E43C23">
        <w:rPr>
          <w:rFonts w:cs="Arial"/>
          <w:color w:val="000000" w:themeColor="text1"/>
        </w:rPr>
        <w:t xml:space="preserve"> (CPD), </w:t>
      </w:r>
      <w:r w:rsidRPr="00E43C23">
        <w:rPr>
          <w:i/>
          <w:iCs/>
          <w:color w:val="000000" w:themeColor="text1"/>
        </w:rPr>
        <w:t xml:space="preserve">Wilson v Wilson </w:t>
      </w:r>
      <w:r w:rsidRPr="00E43C23">
        <w:rPr>
          <w:color w:val="000000" w:themeColor="text1"/>
        </w:rPr>
        <w:t>[2009] ZAFSHC 2</w:t>
      </w:r>
      <w:r>
        <w:rPr>
          <w:color w:val="000000" w:themeColor="text1"/>
        </w:rPr>
        <w:t xml:space="preserve"> para 10, </w:t>
      </w:r>
      <w:r w:rsidRPr="00E43C23">
        <w:rPr>
          <w:color w:val="000000" w:themeColor="text1"/>
        </w:rPr>
        <w:t xml:space="preserve">and </w:t>
      </w:r>
      <w:r w:rsidRPr="00E43C23">
        <w:rPr>
          <w:rFonts w:cs="Arial"/>
          <w:i/>
          <w:iCs/>
          <w:color w:val="000000" w:themeColor="text1"/>
        </w:rPr>
        <w:t>AR v MN</w:t>
      </w:r>
      <w:r w:rsidRPr="00E43C23">
        <w:rPr>
          <w:rFonts w:cs="Arial"/>
          <w:color w:val="000000" w:themeColor="text1"/>
        </w:rPr>
        <w:t xml:space="preserve">  [2020] ZAGPJHC 215.</w:t>
      </w:r>
    </w:p>
  </w:footnote>
  <w:footnote w:id="3">
    <w:p w14:paraId="20FC9808" w14:textId="77777777" w:rsidR="00E4176E" w:rsidRDefault="00E4176E" w:rsidP="00E4176E">
      <w:pPr>
        <w:pStyle w:val="FootnoteText"/>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 23.</w:t>
      </w:r>
    </w:p>
  </w:footnote>
  <w:footnote w:id="4">
    <w:p w14:paraId="15611BB0" w14:textId="77777777" w:rsidR="00E4176E" w:rsidRDefault="00E4176E" w:rsidP="00E4176E">
      <w:pPr>
        <w:pStyle w:val="FootnoteText"/>
      </w:pPr>
      <w:r>
        <w:rPr>
          <w:rStyle w:val="FootnoteReference"/>
        </w:rPr>
        <w:footnoteRef/>
      </w:r>
      <w:r>
        <w:t xml:space="preserve"> </w:t>
      </w:r>
      <w:r>
        <w:tab/>
      </w:r>
      <w:r w:rsidRPr="00212B99">
        <w:rPr>
          <w:i/>
          <w:iCs/>
        </w:rPr>
        <w:t>Matjhabeng Local Municipality v Eskom Holdings Ltd and Others</w:t>
      </w:r>
      <w:r>
        <w:t xml:space="preserve"> </w:t>
      </w:r>
      <w:r w:rsidRPr="00212B99">
        <w:t>2018 (1) SA 1 (CC)</w:t>
      </w:r>
      <w:r>
        <w:t xml:space="preserve"> paras 46 to 67, and the authorities referred to.</w:t>
      </w:r>
    </w:p>
  </w:footnote>
  <w:footnote w:id="5">
    <w:p w14:paraId="496FEBEE" w14:textId="5BDC2907" w:rsidR="00E4176E" w:rsidRDefault="00E4176E" w:rsidP="00E4176E">
      <w:pPr>
        <w:pStyle w:val="FootnoteText"/>
      </w:pPr>
      <w:r>
        <w:rPr>
          <w:rStyle w:val="FootnoteReference"/>
        </w:rPr>
        <w:footnoteRef/>
      </w:r>
      <w:r>
        <w:t xml:space="preserve"> </w:t>
      </w:r>
      <w:r>
        <w:tab/>
        <w:t xml:space="preserve">See also </w:t>
      </w:r>
      <w:r w:rsidRPr="00996EBE">
        <w:rPr>
          <w:i/>
          <w:iCs/>
        </w:rPr>
        <w:t>Federation of Governing Bodies of South African Schools (Gauteng) v MEC for Education, Gauteng</w:t>
      </w:r>
      <w:r w:rsidRPr="00996EBE">
        <w:t xml:space="preserve"> 2002 (1) SA 660 (T)</w:t>
      </w:r>
      <w:r>
        <w:t xml:space="preserve">, </w:t>
      </w:r>
      <w:r w:rsidRPr="00996EBE">
        <w:rPr>
          <w:rFonts w:ascii="Verdana" w:hAnsi="Verdana"/>
          <w:color w:val="2C3E50"/>
          <w:sz w:val="16"/>
          <w:szCs w:val="16"/>
          <w:lang w:eastAsia="en-ZA"/>
        </w:rPr>
        <w:t> </w:t>
      </w:r>
      <w:r w:rsidRPr="00996EBE">
        <w:rPr>
          <w:i/>
          <w:iCs/>
          <w:color w:val="000000" w:themeColor="text1"/>
          <w:lang w:eastAsia="en-ZA"/>
        </w:rPr>
        <w:t>SH v GF</w:t>
      </w:r>
      <w:r w:rsidRPr="00996EBE">
        <w:rPr>
          <w:color w:val="000000" w:themeColor="text1"/>
        </w:rPr>
        <w:t xml:space="preserve"> </w:t>
      </w:r>
      <w:hyperlink r:id="rId2" w:anchor="y2013v6SApg621" w:history="1">
        <w:r w:rsidRPr="00996EBE">
          <w:rPr>
            <w:rStyle w:val="Hyperlink"/>
            <w:color w:val="000000" w:themeColor="text1"/>
            <w:u w:val="none"/>
            <w:lang w:eastAsia="en-ZA"/>
          </w:rPr>
          <w:t>2013 (6) SA 621 (SCA)</w:t>
        </w:r>
      </w:hyperlink>
      <w:r w:rsidRPr="00996EBE">
        <w:rPr>
          <w:color w:val="000000" w:themeColor="text1"/>
        </w:rPr>
        <w:t>,</w:t>
      </w:r>
      <w:r>
        <w:rPr>
          <w:color w:val="000000" w:themeColor="text1"/>
        </w:rPr>
        <w:t xml:space="preserve"> </w:t>
      </w:r>
      <w:r w:rsidRPr="00996EBE">
        <w:rPr>
          <w:i/>
          <w:iCs/>
          <w:color w:val="000000" w:themeColor="text1"/>
          <w:lang w:eastAsia="en-ZA"/>
        </w:rPr>
        <w:t>JC v DC</w:t>
      </w:r>
      <w:r w:rsidRPr="00996EBE">
        <w:rPr>
          <w:color w:val="000000" w:themeColor="text1"/>
          <w:lang w:eastAsia="en-ZA"/>
        </w:rPr>
        <w:t> </w:t>
      </w:r>
      <w:hyperlink r:id="rId3" w:anchor="y2014v2SApg138" w:history="1">
        <w:r w:rsidRPr="00996EBE">
          <w:rPr>
            <w:rStyle w:val="Hyperlink"/>
            <w:color w:val="000000" w:themeColor="text1"/>
            <w:u w:val="none"/>
            <w:lang w:eastAsia="en-ZA"/>
          </w:rPr>
          <w:t>2014 (2) SA 138 (WCC)</w:t>
        </w:r>
      </w:hyperlink>
      <w:r>
        <w:rPr>
          <w:color w:val="000000" w:themeColor="text1"/>
          <w:lang w:eastAsia="en-ZA"/>
        </w:rPr>
        <w:t>,</w:t>
      </w:r>
      <w:r w:rsidR="00806AB0">
        <w:rPr>
          <w:color w:val="000000" w:themeColor="text1"/>
          <w:lang w:eastAsia="en-ZA"/>
        </w:rPr>
        <w:t xml:space="preserve"> and</w:t>
      </w:r>
      <w:r w:rsidRPr="00996EBE">
        <w:rPr>
          <w:i/>
          <w:iCs/>
        </w:rPr>
        <w:t xml:space="preserve"> Ndabeni v Municipal Manager: OR Tambo District Municipality (Hlazo) and another</w:t>
      </w:r>
      <w:r>
        <w:t xml:space="preserve"> [2021] JOL 49383 (SCA)</w:t>
      </w:r>
    </w:p>
  </w:footnote>
  <w:footnote w:id="6">
    <w:p w14:paraId="4CDA1C37" w14:textId="77777777" w:rsidR="00E4176E" w:rsidRDefault="00E4176E" w:rsidP="00E4176E">
      <w:pPr>
        <w:pStyle w:val="FootnoteText"/>
      </w:pPr>
      <w:r>
        <w:rPr>
          <w:rStyle w:val="FootnoteReference"/>
        </w:rPr>
        <w:footnoteRef/>
      </w:r>
      <w:r>
        <w:t xml:space="preserve"> </w:t>
      </w:r>
      <w:r>
        <w:tab/>
        <w:t>Caselines 036-21.</w:t>
      </w:r>
    </w:p>
  </w:footnote>
  <w:footnote w:id="7">
    <w:p w14:paraId="6679416B" w14:textId="77777777" w:rsidR="00E4176E" w:rsidRDefault="00E4176E" w:rsidP="00E4176E">
      <w:pPr>
        <w:pStyle w:val="FootnoteText"/>
      </w:pPr>
      <w:r>
        <w:rPr>
          <w:rStyle w:val="FootnoteReference"/>
        </w:rPr>
        <w:footnoteRef/>
      </w:r>
      <w:r>
        <w:t xml:space="preserve"> </w:t>
      </w:r>
      <w:r>
        <w:tab/>
      </w:r>
      <w:r w:rsidRPr="004F144C">
        <w:rPr>
          <w:rFonts w:cs="Arial"/>
          <w:bCs/>
          <w:i/>
          <w:iCs/>
          <w:szCs w:val="22"/>
          <w:lang w:val="en-GB"/>
        </w:rPr>
        <w:t xml:space="preserve">S v Munn </w:t>
      </w:r>
      <w:r>
        <w:rPr>
          <w:rFonts w:cs="Arial"/>
          <w:bCs/>
          <w:szCs w:val="22"/>
          <w:lang w:val="en-GB"/>
        </w:rPr>
        <w:t>1973 (3) SA 734</w:t>
      </w:r>
      <w:r w:rsidRPr="004F144C">
        <w:rPr>
          <w:rFonts w:cs="Arial"/>
          <w:bCs/>
          <w:szCs w:val="22"/>
          <w:lang w:val="en-GB"/>
        </w:rPr>
        <w:t xml:space="preserve"> </w:t>
      </w:r>
      <w:r>
        <w:rPr>
          <w:rFonts w:cs="Arial"/>
          <w:bCs/>
          <w:szCs w:val="22"/>
          <w:lang w:val="en-GB"/>
        </w:rPr>
        <w:t>(NC).</w:t>
      </w:r>
    </w:p>
  </w:footnote>
  <w:footnote w:id="8">
    <w:p w14:paraId="54CFA519" w14:textId="77777777" w:rsidR="00E4176E" w:rsidRDefault="00E4176E" w:rsidP="00E4176E">
      <w:pPr>
        <w:pStyle w:val="FootnoteText"/>
      </w:pPr>
      <w:r>
        <w:rPr>
          <w:rStyle w:val="FootnoteReference"/>
        </w:rPr>
        <w:footnoteRef/>
      </w:r>
      <w:r>
        <w:t xml:space="preserve"> </w:t>
      </w:r>
      <w:r>
        <w:tab/>
        <w:t>Caselines 038-7.</w:t>
      </w:r>
    </w:p>
  </w:footnote>
  <w:footnote w:id="9">
    <w:p w14:paraId="3CFD9A42" w14:textId="77777777" w:rsidR="00E4176E" w:rsidRDefault="00E4176E" w:rsidP="00E4176E">
      <w:pPr>
        <w:pStyle w:val="FootnoteText"/>
      </w:pPr>
      <w:r>
        <w:rPr>
          <w:rStyle w:val="FootnoteReference"/>
        </w:rPr>
        <w:footnoteRef/>
      </w:r>
      <w:r>
        <w:t xml:space="preserve"> </w:t>
      </w:r>
      <w:r>
        <w:tab/>
        <w:t>Caselines 038-27.</w:t>
      </w:r>
    </w:p>
  </w:footnote>
  <w:footnote w:id="10">
    <w:p w14:paraId="68139836" w14:textId="77777777" w:rsidR="00E4176E" w:rsidRDefault="00E4176E" w:rsidP="00E4176E">
      <w:pPr>
        <w:pStyle w:val="FootnoteText"/>
      </w:pPr>
      <w:r>
        <w:rPr>
          <w:rStyle w:val="FootnoteReference"/>
        </w:rPr>
        <w:footnoteRef/>
      </w:r>
      <w:r>
        <w:t xml:space="preserve"> </w:t>
      </w:r>
      <w:r>
        <w:tab/>
        <w:t>Caselines 034-6.</w:t>
      </w:r>
    </w:p>
  </w:footnote>
  <w:footnote w:id="11">
    <w:p w14:paraId="52C33F56" w14:textId="77777777" w:rsidR="00E4176E" w:rsidRDefault="00E4176E" w:rsidP="00E4176E">
      <w:pPr>
        <w:pStyle w:val="FootnoteText"/>
      </w:pPr>
      <w:r>
        <w:rPr>
          <w:rStyle w:val="FootnoteReference"/>
        </w:rPr>
        <w:footnoteRef/>
      </w:r>
      <w:r>
        <w:t xml:space="preserve"> </w:t>
      </w:r>
      <w:r>
        <w:tab/>
        <w:t>Para 3.6 of the order, Caselines 019-5.</w:t>
      </w:r>
    </w:p>
  </w:footnote>
  <w:footnote w:id="12">
    <w:p w14:paraId="2761996A" w14:textId="77777777" w:rsidR="00E4176E" w:rsidRDefault="00E4176E" w:rsidP="00E4176E">
      <w:pPr>
        <w:pStyle w:val="FootnoteText"/>
      </w:pPr>
      <w:r>
        <w:rPr>
          <w:rStyle w:val="FootnoteReference"/>
        </w:rPr>
        <w:footnoteRef/>
      </w:r>
      <w:r>
        <w:t xml:space="preserve"> </w:t>
      </w:r>
      <w:r>
        <w:tab/>
        <w:t>Caselines 036-3.</w:t>
      </w:r>
    </w:p>
  </w:footnote>
  <w:footnote w:id="13">
    <w:p w14:paraId="664742CF" w14:textId="77777777" w:rsidR="00E4176E" w:rsidRDefault="00E4176E" w:rsidP="00E4176E">
      <w:pPr>
        <w:pStyle w:val="FootnoteText"/>
      </w:pPr>
      <w:r>
        <w:rPr>
          <w:rStyle w:val="FootnoteReference"/>
        </w:rPr>
        <w:footnoteRef/>
      </w:r>
      <w:r>
        <w:t xml:space="preserve"> </w:t>
      </w:r>
      <w:r>
        <w:tab/>
        <w:t>Para 6.8.5 of founding affidavit, Caselines 034-16 and 036-6.</w:t>
      </w:r>
    </w:p>
  </w:footnote>
  <w:footnote w:id="14">
    <w:p w14:paraId="56DAEE18" w14:textId="77777777" w:rsidR="00E4176E" w:rsidRDefault="00E4176E" w:rsidP="00E4176E">
      <w:pPr>
        <w:pStyle w:val="FootnoteText"/>
      </w:pPr>
      <w:r>
        <w:rPr>
          <w:rStyle w:val="FootnoteReference"/>
        </w:rPr>
        <w:footnoteRef/>
      </w:r>
      <w:r>
        <w:t xml:space="preserve"> </w:t>
      </w:r>
      <w:r>
        <w:tab/>
        <w:t>Para 19.6.20.5 of answering affidavit, Caselines 036-16.</w:t>
      </w:r>
    </w:p>
  </w:footnote>
  <w:footnote w:id="15">
    <w:p w14:paraId="24666AA0" w14:textId="7E479F19" w:rsidR="00742012" w:rsidRDefault="00742012">
      <w:pPr>
        <w:pStyle w:val="FootnoteText"/>
      </w:pPr>
      <w:r>
        <w:rPr>
          <w:rStyle w:val="FootnoteReference"/>
        </w:rPr>
        <w:footnoteRef/>
      </w:r>
      <w:r>
        <w:t xml:space="preserve"> </w:t>
      </w:r>
      <w:r>
        <w:tab/>
        <w:t xml:space="preserve">Compare </w:t>
      </w:r>
      <w:r w:rsidRPr="00180DBF">
        <w:rPr>
          <w:i/>
          <w:iCs/>
        </w:rPr>
        <w:t>Room Hire Co (Pty) Ltd v Jeppe Street Mansions (Pty) Ltd</w:t>
      </w:r>
      <w:r>
        <w:t xml:space="preserve"> </w:t>
      </w:r>
      <w:r w:rsidRPr="00180DBF">
        <w:t>1949 (3) SA 1155 (T)</w:t>
      </w:r>
      <w:r>
        <w:t xml:space="preserve"> 1162.</w:t>
      </w:r>
    </w:p>
  </w:footnote>
  <w:footnote w:id="16">
    <w:p w14:paraId="27ECE1F7" w14:textId="77777777" w:rsidR="00E4176E" w:rsidRDefault="00E4176E" w:rsidP="00E4176E">
      <w:pPr>
        <w:pStyle w:val="FootnoteText"/>
      </w:pPr>
      <w:r>
        <w:rPr>
          <w:rStyle w:val="FootnoteReference"/>
        </w:rPr>
        <w:footnoteRef/>
      </w:r>
      <w:r>
        <w:t xml:space="preserve"> </w:t>
      </w:r>
      <w:r>
        <w:tab/>
      </w:r>
      <w:r w:rsidRPr="003809CD">
        <w:rPr>
          <w:i/>
          <w:iCs/>
        </w:rPr>
        <w:t>Pillay v Krishna and Another</w:t>
      </w:r>
      <w:r>
        <w:t xml:space="preserve"> </w:t>
      </w:r>
      <w:r w:rsidRPr="003809CD">
        <w:t>1946 AD 946</w:t>
      </w:r>
      <w:r>
        <w:t xml:space="preserve"> at 951 to 954.</w:t>
      </w:r>
    </w:p>
  </w:footnote>
  <w:footnote w:id="17">
    <w:p w14:paraId="45A59300" w14:textId="0F520F9C" w:rsidR="00E4176E" w:rsidRDefault="00E4176E" w:rsidP="00E4176E">
      <w:pPr>
        <w:pStyle w:val="FootnoteText"/>
      </w:pPr>
      <w:r>
        <w:rPr>
          <w:rStyle w:val="FootnoteReference"/>
        </w:rPr>
        <w:footnoteRef/>
      </w:r>
      <w:r>
        <w:t xml:space="preserve"> </w:t>
      </w:r>
      <w:r>
        <w:tab/>
      </w:r>
      <w:r w:rsidRPr="00F65772">
        <w:rPr>
          <w:lang w:val="en-GB"/>
        </w:rPr>
        <w:t xml:space="preserve">In </w:t>
      </w:r>
      <w:r>
        <w:rPr>
          <w:lang w:val="en-GB"/>
        </w:rPr>
        <w:t>annexure</w:t>
      </w:r>
      <w:r w:rsidR="00012FE3">
        <w:rPr>
          <w:lang w:val="en-GB"/>
        </w:rPr>
        <w:t xml:space="preserve"> “EK9” to the founding affidavit</w:t>
      </w:r>
      <w:r>
        <w:rPr>
          <w:lang w:val="en-GB"/>
        </w:rPr>
        <w:t xml:space="preserve"> at Caselines 034-58</w:t>
      </w:r>
      <w:r w:rsidRPr="00F65772">
        <w:rPr>
          <w:lang w:val="en-GB"/>
        </w:rPr>
        <w:t xml:space="preserve"> reference is made to a schedule of payments that it was not relied upon in argument nor is it possible to interpret it.</w:t>
      </w:r>
    </w:p>
  </w:footnote>
  <w:footnote w:id="18">
    <w:p w14:paraId="7C0551C5" w14:textId="77777777" w:rsidR="00E4176E" w:rsidRDefault="00E4176E" w:rsidP="00E4176E">
      <w:pPr>
        <w:pStyle w:val="FootnoteText"/>
      </w:pPr>
      <w:r>
        <w:rPr>
          <w:rStyle w:val="FootnoteReference"/>
        </w:rPr>
        <w:footnoteRef/>
      </w:r>
      <w:r>
        <w:t xml:space="preserve"> </w:t>
      </w:r>
      <w:r>
        <w:tab/>
        <w:t>Para 4.36 of replying affidavit, Caselines 037-19.</w:t>
      </w:r>
    </w:p>
  </w:footnote>
  <w:footnote w:id="19">
    <w:p w14:paraId="731EEC8C" w14:textId="77777777" w:rsidR="00E4176E" w:rsidRDefault="00E4176E" w:rsidP="00E4176E">
      <w:pPr>
        <w:pStyle w:val="FootnoteText"/>
      </w:pPr>
      <w:r>
        <w:rPr>
          <w:rStyle w:val="FootnoteReference"/>
        </w:rPr>
        <w:footnoteRef/>
      </w:r>
      <w:r>
        <w:t xml:space="preserve"> </w:t>
      </w:r>
      <w:r>
        <w:tab/>
        <w:t>Para 7 of the plea, Caselines 001-37.</w:t>
      </w:r>
    </w:p>
  </w:footnote>
  <w:footnote w:id="20">
    <w:p w14:paraId="0465ABFA" w14:textId="77777777" w:rsidR="00E4176E" w:rsidRDefault="00E4176E" w:rsidP="00E4176E">
      <w:pPr>
        <w:pStyle w:val="FootnoteText"/>
      </w:pPr>
      <w:r>
        <w:rPr>
          <w:rStyle w:val="FootnoteReference"/>
        </w:rPr>
        <w:footnoteRef/>
      </w:r>
      <w:r>
        <w:t xml:space="preserve"> </w:t>
      </w:r>
      <w:r>
        <w:tab/>
        <w:t>Para 31.1 of Caselines 010-27.</w:t>
      </w:r>
    </w:p>
  </w:footnote>
  <w:footnote w:id="21">
    <w:p w14:paraId="4B8345B3" w14:textId="77777777" w:rsidR="00E4176E" w:rsidRDefault="00E4176E" w:rsidP="00E4176E">
      <w:pPr>
        <w:pStyle w:val="FootnoteText"/>
      </w:pPr>
      <w:r>
        <w:rPr>
          <w:rStyle w:val="FootnoteReference"/>
        </w:rPr>
        <w:footnoteRef/>
      </w:r>
      <w:r>
        <w:t xml:space="preserve"> </w:t>
      </w:r>
      <w:r>
        <w:tab/>
        <w:t>Para 3.2 of order.</w:t>
      </w:r>
    </w:p>
  </w:footnote>
  <w:footnote w:id="22">
    <w:p w14:paraId="0615C07E" w14:textId="77777777" w:rsidR="00E4176E" w:rsidRDefault="00E4176E" w:rsidP="00E4176E">
      <w:pPr>
        <w:pStyle w:val="FootnoteText"/>
      </w:pPr>
      <w:r>
        <w:rPr>
          <w:rStyle w:val="FootnoteReference"/>
        </w:rPr>
        <w:footnoteRef/>
      </w:r>
      <w:r>
        <w:t xml:space="preserve"> </w:t>
      </w:r>
      <w:r>
        <w:tab/>
        <w:t>Para 4.1 of order.</w:t>
      </w:r>
    </w:p>
  </w:footnote>
  <w:footnote w:id="23">
    <w:p w14:paraId="02C7B594" w14:textId="4952DF02" w:rsidR="0086720C" w:rsidRDefault="0086720C">
      <w:pPr>
        <w:pStyle w:val="FootnoteText"/>
      </w:pPr>
      <w:r>
        <w:rPr>
          <w:rStyle w:val="FootnoteReference"/>
        </w:rPr>
        <w:footnoteRef/>
      </w:r>
      <w:r>
        <w:t xml:space="preserve"> </w:t>
      </w:r>
      <w:r>
        <w:tab/>
        <w:t>This implies that he is domiciled in Denmark.</w:t>
      </w:r>
    </w:p>
  </w:footnote>
  <w:footnote w:id="24">
    <w:p w14:paraId="36CEEE4D" w14:textId="78300FDC" w:rsidR="00D420AE" w:rsidRDefault="00D420AE">
      <w:pPr>
        <w:pStyle w:val="FootnoteText"/>
      </w:pPr>
      <w:r>
        <w:rPr>
          <w:rStyle w:val="FootnoteReference"/>
        </w:rPr>
        <w:footnoteRef/>
      </w:r>
      <w:r>
        <w:t xml:space="preserve"> </w:t>
      </w:r>
      <w:r>
        <w:tab/>
        <w:t xml:space="preserve">See </w:t>
      </w:r>
      <w:r w:rsidR="00EA5ECE" w:rsidRPr="00EA5ECE">
        <w:rPr>
          <w:i/>
          <w:iCs/>
        </w:rPr>
        <w:t>JC v DC</w:t>
      </w:r>
      <w:r w:rsidR="00EA5ECE" w:rsidRPr="00CB022E">
        <w:t xml:space="preserve"> 2014 (2) SA 138 (WCC) para 18 </w:t>
      </w:r>
      <w:r w:rsidR="00EA5ECE" w:rsidRPr="00EA5ECE">
        <w:rPr>
          <w:i/>
          <w:iCs/>
        </w:rPr>
        <w:t>et seq</w:t>
      </w:r>
      <w:r w:rsidR="00EA5ECE">
        <w:t>.</w:t>
      </w:r>
    </w:p>
  </w:footnote>
  <w:footnote w:id="25">
    <w:p w14:paraId="42364315" w14:textId="6EAB646C" w:rsidR="00326760" w:rsidRDefault="00326760" w:rsidP="00326760">
      <w:pPr>
        <w:pStyle w:val="FootnoteText"/>
      </w:pPr>
      <w:r>
        <w:rPr>
          <w:rStyle w:val="FootnoteReference"/>
        </w:rPr>
        <w:footnoteRef/>
      </w:r>
      <w:r>
        <w:t xml:space="preserve"> </w:t>
      </w:r>
      <w:r>
        <w:tab/>
      </w:r>
      <w:r w:rsidRPr="00212B99">
        <w:rPr>
          <w:i/>
          <w:iCs/>
        </w:rPr>
        <w:t>Matjhabeng Local Municipality v Eskom Holdings Ltd and Others</w:t>
      </w:r>
      <w:r>
        <w:t xml:space="preserve"> </w:t>
      </w:r>
      <w:r w:rsidRPr="00212B99">
        <w:t>2018 (1) SA 1 (CC)</w:t>
      </w:r>
      <w:r>
        <w:t xml:space="preserve"> paras 54 to 57.</w:t>
      </w:r>
    </w:p>
  </w:footnote>
  <w:footnote w:id="26">
    <w:p w14:paraId="69BD5972" w14:textId="4A158B58" w:rsidR="00C424D3" w:rsidRDefault="00C424D3">
      <w:pPr>
        <w:pStyle w:val="FootnoteText"/>
      </w:pPr>
      <w:r>
        <w:rPr>
          <w:rStyle w:val="FootnoteReference"/>
        </w:rPr>
        <w:footnoteRef/>
      </w:r>
      <w:r>
        <w:t xml:space="preserve"> </w:t>
      </w:r>
      <w:r w:rsidR="00326760">
        <w:tab/>
      </w:r>
      <w:r w:rsidR="00326760" w:rsidRPr="00326760">
        <w:rPr>
          <w:i/>
          <w:iCs/>
        </w:rPr>
        <w:t>Mjeni v Minister of Health and Welfare, Eastern Cape</w:t>
      </w:r>
      <w:r w:rsidR="00326760">
        <w:t xml:space="preserve"> 2000 (4) SA 446 (Tk) 451D – E</w:t>
      </w:r>
      <w:r w:rsidR="005E2ACF">
        <w:t xml:space="preserve">. </w:t>
      </w:r>
    </w:p>
  </w:footnote>
  <w:footnote w:id="27">
    <w:p w14:paraId="0D7CA8A5" w14:textId="378F8716" w:rsidR="00D420AE" w:rsidRDefault="00D420AE">
      <w:pPr>
        <w:pStyle w:val="FootnoteText"/>
      </w:pPr>
      <w:r>
        <w:rPr>
          <w:rStyle w:val="FootnoteReference"/>
        </w:rPr>
        <w:footnoteRef/>
      </w:r>
      <w:r>
        <w:t xml:space="preserve"> </w:t>
      </w:r>
      <w:r>
        <w:tab/>
        <w:t xml:space="preserve">In </w:t>
      </w:r>
      <w:r w:rsidRPr="005E2ACF">
        <w:rPr>
          <w:i/>
          <w:iCs/>
        </w:rPr>
        <w:t xml:space="preserve">SH v GF and Others </w:t>
      </w:r>
      <w:r w:rsidRPr="00CB022E">
        <w:t>2013 (6) SA 621 (SCA)</w:t>
      </w:r>
      <w:r>
        <w:t xml:space="preserve"> the Supreme Court of Appeal dismissed an appeal against a suspended sentence of imprisonment arising out of contempt of court based on a failure to pay maintenance.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5D8DBB11"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70C0C">
      <w:rPr>
        <w:rFonts w:cs="Arial"/>
        <w:noProof/>
        <w:sz w:val="20"/>
        <w:szCs w:val="20"/>
        <w:lang w:val="en-GB"/>
      </w:rPr>
      <w:t>10</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3"/>
  </w:num>
  <w:num w:numId="4">
    <w:abstractNumId w:val="6"/>
  </w:num>
  <w:num w:numId="5">
    <w:abstractNumId w:val="12"/>
  </w:num>
  <w:num w:numId="6">
    <w:abstractNumId w:val="10"/>
  </w:num>
  <w:num w:numId="7">
    <w:abstractNumId w:val="0"/>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4"/>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2FE3"/>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D0E"/>
    <w:rsid w:val="00047F26"/>
    <w:rsid w:val="00050086"/>
    <w:rsid w:val="000504F1"/>
    <w:rsid w:val="00051A2B"/>
    <w:rsid w:val="0005282E"/>
    <w:rsid w:val="000528B3"/>
    <w:rsid w:val="000550EB"/>
    <w:rsid w:val="0005636C"/>
    <w:rsid w:val="00060C72"/>
    <w:rsid w:val="00063F7B"/>
    <w:rsid w:val="00066971"/>
    <w:rsid w:val="00072105"/>
    <w:rsid w:val="000737E1"/>
    <w:rsid w:val="00073E30"/>
    <w:rsid w:val="00077D11"/>
    <w:rsid w:val="00081716"/>
    <w:rsid w:val="00082EDC"/>
    <w:rsid w:val="000833BB"/>
    <w:rsid w:val="000835BE"/>
    <w:rsid w:val="00085288"/>
    <w:rsid w:val="00087AE6"/>
    <w:rsid w:val="000906B5"/>
    <w:rsid w:val="00090FFC"/>
    <w:rsid w:val="00092591"/>
    <w:rsid w:val="0009429D"/>
    <w:rsid w:val="0009488C"/>
    <w:rsid w:val="0009540B"/>
    <w:rsid w:val="000956E5"/>
    <w:rsid w:val="00096A67"/>
    <w:rsid w:val="00097968"/>
    <w:rsid w:val="000A6AD8"/>
    <w:rsid w:val="000B21DA"/>
    <w:rsid w:val="000C7A3D"/>
    <w:rsid w:val="000D01E0"/>
    <w:rsid w:val="000D21E7"/>
    <w:rsid w:val="000D415C"/>
    <w:rsid w:val="000D4E84"/>
    <w:rsid w:val="000D53F5"/>
    <w:rsid w:val="000D5760"/>
    <w:rsid w:val="000D71C5"/>
    <w:rsid w:val="000D7D6A"/>
    <w:rsid w:val="000E1EC8"/>
    <w:rsid w:val="000E3EE8"/>
    <w:rsid w:val="000E4985"/>
    <w:rsid w:val="000E5343"/>
    <w:rsid w:val="000F430D"/>
    <w:rsid w:val="000F59F8"/>
    <w:rsid w:val="000F7813"/>
    <w:rsid w:val="00101890"/>
    <w:rsid w:val="001025B5"/>
    <w:rsid w:val="00104142"/>
    <w:rsid w:val="00105F97"/>
    <w:rsid w:val="00107D26"/>
    <w:rsid w:val="00107D90"/>
    <w:rsid w:val="001142D1"/>
    <w:rsid w:val="00120C79"/>
    <w:rsid w:val="00120FB1"/>
    <w:rsid w:val="00130253"/>
    <w:rsid w:val="00130C4A"/>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E14"/>
    <w:rsid w:val="001A2608"/>
    <w:rsid w:val="001A28C7"/>
    <w:rsid w:val="001A5145"/>
    <w:rsid w:val="001A522A"/>
    <w:rsid w:val="001A7904"/>
    <w:rsid w:val="001B1550"/>
    <w:rsid w:val="001B1D39"/>
    <w:rsid w:val="001B35C2"/>
    <w:rsid w:val="001B4217"/>
    <w:rsid w:val="001B4812"/>
    <w:rsid w:val="001B4893"/>
    <w:rsid w:val="001B5D3E"/>
    <w:rsid w:val="001B606B"/>
    <w:rsid w:val="001B7889"/>
    <w:rsid w:val="001C0755"/>
    <w:rsid w:val="001C2371"/>
    <w:rsid w:val="001C33E6"/>
    <w:rsid w:val="001C7048"/>
    <w:rsid w:val="001D3CC2"/>
    <w:rsid w:val="001E0529"/>
    <w:rsid w:val="001E2EED"/>
    <w:rsid w:val="001E44D1"/>
    <w:rsid w:val="001E4691"/>
    <w:rsid w:val="001E518E"/>
    <w:rsid w:val="001F09D1"/>
    <w:rsid w:val="001F0A29"/>
    <w:rsid w:val="001F0CE5"/>
    <w:rsid w:val="001F3DBD"/>
    <w:rsid w:val="001F648A"/>
    <w:rsid w:val="001F6F43"/>
    <w:rsid w:val="00201620"/>
    <w:rsid w:val="00203DA2"/>
    <w:rsid w:val="0020474A"/>
    <w:rsid w:val="00205392"/>
    <w:rsid w:val="00206919"/>
    <w:rsid w:val="002104BF"/>
    <w:rsid w:val="002108B6"/>
    <w:rsid w:val="0021457F"/>
    <w:rsid w:val="00214877"/>
    <w:rsid w:val="00215824"/>
    <w:rsid w:val="00216BC8"/>
    <w:rsid w:val="002175BA"/>
    <w:rsid w:val="0022218D"/>
    <w:rsid w:val="00226926"/>
    <w:rsid w:val="002302E3"/>
    <w:rsid w:val="00232528"/>
    <w:rsid w:val="00235D20"/>
    <w:rsid w:val="00237806"/>
    <w:rsid w:val="00237FF9"/>
    <w:rsid w:val="0024012B"/>
    <w:rsid w:val="00243D2F"/>
    <w:rsid w:val="00244FB9"/>
    <w:rsid w:val="00250164"/>
    <w:rsid w:val="00251668"/>
    <w:rsid w:val="002535F0"/>
    <w:rsid w:val="00253F38"/>
    <w:rsid w:val="00253F72"/>
    <w:rsid w:val="002569EC"/>
    <w:rsid w:val="00260B0A"/>
    <w:rsid w:val="002625C5"/>
    <w:rsid w:val="00262819"/>
    <w:rsid w:val="00263A96"/>
    <w:rsid w:val="00272B77"/>
    <w:rsid w:val="0027600C"/>
    <w:rsid w:val="00285040"/>
    <w:rsid w:val="00285062"/>
    <w:rsid w:val="00292E3E"/>
    <w:rsid w:val="0029369B"/>
    <w:rsid w:val="00293C02"/>
    <w:rsid w:val="0029605B"/>
    <w:rsid w:val="00296DAF"/>
    <w:rsid w:val="002976B8"/>
    <w:rsid w:val="002A030C"/>
    <w:rsid w:val="002A4B7B"/>
    <w:rsid w:val="002B0355"/>
    <w:rsid w:val="002B05EA"/>
    <w:rsid w:val="002B528D"/>
    <w:rsid w:val="002C15AC"/>
    <w:rsid w:val="002C2E80"/>
    <w:rsid w:val="002C4687"/>
    <w:rsid w:val="002D2842"/>
    <w:rsid w:val="002D47B3"/>
    <w:rsid w:val="002E0E37"/>
    <w:rsid w:val="002E3586"/>
    <w:rsid w:val="002E5B57"/>
    <w:rsid w:val="002E6CD7"/>
    <w:rsid w:val="002F1C4D"/>
    <w:rsid w:val="002F2881"/>
    <w:rsid w:val="002F41F8"/>
    <w:rsid w:val="002F508A"/>
    <w:rsid w:val="002F72D3"/>
    <w:rsid w:val="00300ED2"/>
    <w:rsid w:val="00302290"/>
    <w:rsid w:val="003023F9"/>
    <w:rsid w:val="00302C31"/>
    <w:rsid w:val="00303919"/>
    <w:rsid w:val="003047C2"/>
    <w:rsid w:val="0030653F"/>
    <w:rsid w:val="00306B41"/>
    <w:rsid w:val="003102C8"/>
    <w:rsid w:val="0031117B"/>
    <w:rsid w:val="00312EBC"/>
    <w:rsid w:val="00313056"/>
    <w:rsid w:val="00321C0A"/>
    <w:rsid w:val="00323058"/>
    <w:rsid w:val="00326760"/>
    <w:rsid w:val="003312BF"/>
    <w:rsid w:val="003313A2"/>
    <w:rsid w:val="00337135"/>
    <w:rsid w:val="0034147B"/>
    <w:rsid w:val="00342E02"/>
    <w:rsid w:val="003448B1"/>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40EC"/>
    <w:rsid w:val="00385DBA"/>
    <w:rsid w:val="0038715A"/>
    <w:rsid w:val="00390C3F"/>
    <w:rsid w:val="00393127"/>
    <w:rsid w:val="003940DD"/>
    <w:rsid w:val="00394A1A"/>
    <w:rsid w:val="003955C2"/>
    <w:rsid w:val="00395873"/>
    <w:rsid w:val="003A1D18"/>
    <w:rsid w:val="003A62CC"/>
    <w:rsid w:val="003A649B"/>
    <w:rsid w:val="003A7864"/>
    <w:rsid w:val="003A7CA2"/>
    <w:rsid w:val="003B0845"/>
    <w:rsid w:val="003B1882"/>
    <w:rsid w:val="003B4100"/>
    <w:rsid w:val="003B6C02"/>
    <w:rsid w:val="003C067B"/>
    <w:rsid w:val="003C0ED8"/>
    <w:rsid w:val="003C1488"/>
    <w:rsid w:val="003C1A16"/>
    <w:rsid w:val="003C1E91"/>
    <w:rsid w:val="003C5536"/>
    <w:rsid w:val="003C7FCC"/>
    <w:rsid w:val="003D1202"/>
    <w:rsid w:val="003D19C3"/>
    <w:rsid w:val="003D36F9"/>
    <w:rsid w:val="003D77F1"/>
    <w:rsid w:val="003D7970"/>
    <w:rsid w:val="003E0159"/>
    <w:rsid w:val="003E0EB0"/>
    <w:rsid w:val="003E449A"/>
    <w:rsid w:val="003E4A33"/>
    <w:rsid w:val="003E54E1"/>
    <w:rsid w:val="003E724B"/>
    <w:rsid w:val="003E7A60"/>
    <w:rsid w:val="003F11E2"/>
    <w:rsid w:val="003F1F49"/>
    <w:rsid w:val="003F4801"/>
    <w:rsid w:val="003F7448"/>
    <w:rsid w:val="00404A52"/>
    <w:rsid w:val="00407F28"/>
    <w:rsid w:val="00410BA9"/>
    <w:rsid w:val="0041100A"/>
    <w:rsid w:val="004131C5"/>
    <w:rsid w:val="0041363D"/>
    <w:rsid w:val="00413D9B"/>
    <w:rsid w:val="0042161A"/>
    <w:rsid w:val="0042423E"/>
    <w:rsid w:val="00424BA6"/>
    <w:rsid w:val="004274E7"/>
    <w:rsid w:val="004339E6"/>
    <w:rsid w:val="00434796"/>
    <w:rsid w:val="0043683A"/>
    <w:rsid w:val="00437EB1"/>
    <w:rsid w:val="00441422"/>
    <w:rsid w:val="00444ED6"/>
    <w:rsid w:val="00445DCB"/>
    <w:rsid w:val="00447235"/>
    <w:rsid w:val="004479C3"/>
    <w:rsid w:val="0045044C"/>
    <w:rsid w:val="00460495"/>
    <w:rsid w:val="00460EEA"/>
    <w:rsid w:val="004630B6"/>
    <w:rsid w:val="00463106"/>
    <w:rsid w:val="00466A30"/>
    <w:rsid w:val="00467F5B"/>
    <w:rsid w:val="00474607"/>
    <w:rsid w:val="00474910"/>
    <w:rsid w:val="004749AF"/>
    <w:rsid w:val="00475410"/>
    <w:rsid w:val="00475E80"/>
    <w:rsid w:val="004774FF"/>
    <w:rsid w:val="0048285C"/>
    <w:rsid w:val="00484116"/>
    <w:rsid w:val="00484163"/>
    <w:rsid w:val="0048424E"/>
    <w:rsid w:val="00486F42"/>
    <w:rsid w:val="00487D14"/>
    <w:rsid w:val="0049165E"/>
    <w:rsid w:val="004923A9"/>
    <w:rsid w:val="00495F7C"/>
    <w:rsid w:val="004976D5"/>
    <w:rsid w:val="004A11D9"/>
    <w:rsid w:val="004A1E3F"/>
    <w:rsid w:val="004A2C7E"/>
    <w:rsid w:val="004A6625"/>
    <w:rsid w:val="004A69D6"/>
    <w:rsid w:val="004A70AB"/>
    <w:rsid w:val="004A7DFE"/>
    <w:rsid w:val="004B085D"/>
    <w:rsid w:val="004B0DBA"/>
    <w:rsid w:val="004B21D9"/>
    <w:rsid w:val="004B255A"/>
    <w:rsid w:val="004B3CA9"/>
    <w:rsid w:val="004C0CE3"/>
    <w:rsid w:val="004C368B"/>
    <w:rsid w:val="004D1A31"/>
    <w:rsid w:val="004D1A91"/>
    <w:rsid w:val="004D262A"/>
    <w:rsid w:val="004D2C6F"/>
    <w:rsid w:val="004D2E01"/>
    <w:rsid w:val="004D3237"/>
    <w:rsid w:val="004D48BA"/>
    <w:rsid w:val="004D4E89"/>
    <w:rsid w:val="004D635C"/>
    <w:rsid w:val="004E0F3F"/>
    <w:rsid w:val="004E1191"/>
    <w:rsid w:val="004E1349"/>
    <w:rsid w:val="004E3305"/>
    <w:rsid w:val="004E568C"/>
    <w:rsid w:val="004E5AD8"/>
    <w:rsid w:val="004E61DE"/>
    <w:rsid w:val="004F0806"/>
    <w:rsid w:val="004F12D8"/>
    <w:rsid w:val="004F2189"/>
    <w:rsid w:val="004F22A6"/>
    <w:rsid w:val="004F4A37"/>
    <w:rsid w:val="004F5D23"/>
    <w:rsid w:val="00504B53"/>
    <w:rsid w:val="00505FF7"/>
    <w:rsid w:val="0051015D"/>
    <w:rsid w:val="0051292D"/>
    <w:rsid w:val="0051442D"/>
    <w:rsid w:val="0051622D"/>
    <w:rsid w:val="005207B2"/>
    <w:rsid w:val="005219EB"/>
    <w:rsid w:val="005262C2"/>
    <w:rsid w:val="005263F0"/>
    <w:rsid w:val="0052705A"/>
    <w:rsid w:val="00537126"/>
    <w:rsid w:val="00537A72"/>
    <w:rsid w:val="005405F8"/>
    <w:rsid w:val="00542EAE"/>
    <w:rsid w:val="00546878"/>
    <w:rsid w:val="005509BE"/>
    <w:rsid w:val="00560E18"/>
    <w:rsid w:val="005615BB"/>
    <w:rsid w:val="005621E7"/>
    <w:rsid w:val="00562B7E"/>
    <w:rsid w:val="00563355"/>
    <w:rsid w:val="00571E81"/>
    <w:rsid w:val="00573FF9"/>
    <w:rsid w:val="00575351"/>
    <w:rsid w:val="00576B16"/>
    <w:rsid w:val="00577427"/>
    <w:rsid w:val="005808E5"/>
    <w:rsid w:val="005875A9"/>
    <w:rsid w:val="005949BC"/>
    <w:rsid w:val="005971D5"/>
    <w:rsid w:val="005A313A"/>
    <w:rsid w:val="005A35EB"/>
    <w:rsid w:val="005A5582"/>
    <w:rsid w:val="005A680F"/>
    <w:rsid w:val="005A70F0"/>
    <w:rsid w:val="005A747A"/>
    <w:rsid w:val="005B07CB"/>
    <w:rsid w:val="005B2FF9"/>
    <w:rsid w:val="005B3F1C"/>
    <w:rsid w:val="005B68D9"/>
    <w:rsid w:val="005B696E"/>
    <w:rsid w:val="005B6D81"/>
    <w:rsid w:val="005B7767"/>
    <w:rsid w:val="005B7DD3"/>
    <w:rsid w:val="005C1E41"/>
    <w:rsid w:val="005C7FC2"/>
    <w:rsid w:val="005D1F92"/>
    <w:rsid w:val="005D2137"/>
    <w:rsid w:val="005D2408"/>
    <w:rsid w:val="005D32A9"/>
    <w:rsid w:val="005D6122"/>
    <w:rsid w:val="005D6E80"/>
    <w:rsid w:val="005E03B3"/>
    <w:rsid w:val="005E0B20"/>
    <w:rsid w:val="005E2936"/>
    <w:rsid w:val="005E2ACF"/>
    <w:rsid w:val="005E2F7B"/>
    <w:rsid w:val="005E3C94"/>
    <w:rsid w:val="005E5C01"/>
    <w:rsid w:val="005E6459"/>
    <w:rsid w:val="005E6A9D"/>
    <w:rsid w:val="005E7118"/>
    <w:rsid w:val="005E7E9F"/>
    <w:rsid w:val="005F1CDA"/>
    <w:rsid w:val="005F35C5"/>
    <w:rsid w:val="005F37A4"/>
    <w:rsid w:val="005F561B"/>
    <w:rsid w:val="00602403"/>
    <w:rsid w:val="006041A4"/>
    <w:rsid w:val="00610873"/>
    <w:rsid w:val="006109EC"/>
    <w:rsid w:val="00610F53"/>
    <w:rsid w:val="00611D8A"/>
    <w:rsid w:val="006122AB"/>
    <w:rsid w:val="0061430D"/>
    <w:rsid w:val="006150CE"/>
    <w:rsid w:val="00615F6B"/>
    <w:rsid w:val="006165F4"/>
    <w:rsid w:val="006245EC"/>
    <w:rsid w:val="00626ABB"/>
    <w:rsid w:val="006309D5"/>
    <w:rsid w:val="006376C5"/>
    <w:rsid w:val="00641F4F"/>
    <w:rsid w:val="00642664"/>
    <w:rsid w:val="00644BBE"/>
    <w:rsid w:val="006466DA"/>
    <w:rsid w:val="00646711"/>
    <w:rsid w:val="006479F9"/>
    <w:rsid w:val="00647CB6"/>
    <w:rsid w:val="00647DDD"/>
    <w:rsid w:val="00653BA4"/>
    <w:rsid w:val="00656E2E"/>
    <w:rsid w:val="00657478"/>
    <w:rsid w:val="00657EDA"/>
    <w:rsid w:val="00657F9A"/>
    <w:rsid w:val="006609A2"/>
    <w:rsid w:val="00660C84"/>
    <w:rsid w:val="0066132D"/>
    <w:rsid w:val="0066194B"/>
    <w:rsid w:val="00661FC4"/>
    <w:rsid w:val="00666D4D"/>
    <w:rsid w:val="00672205"/>
    <w:rsid w:val="00672E95"/>
    <w:rsid w:val="0067508C"/>
    <w:rsid w:val="006762B3"/>
    <w:rsid w:val="00677059"/>
    <w:rsid w:val="00680072"/>
    <w:rsid w:val="00680421"/>
    <w:rsid w:val="00681B06"/>
    <w:rsid w:val="006858DA"/>
    <w:rsid w:val="006902F1"/>
    <w:rsid w:val="006918E9"/>
    <w:rsid w:val="006926CC"/>
    <w:rsid w:val="00692A13"/>
    <w:rsid w:val="006951CE"/>
    <w:rsid w:val="00695B2C"/>
    <w:rsid w:val="006A1F2C"/>
    <w:rsid w:val="006A3B6B"/>
    <w:rsid w:val="006A438B"/>
    <w:rsid w:val="006A4F20"/>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405E"/>
    <w:rsid w:val="006E68E6"/>
    <w:rsid w:val="006F042A"/>
    <w:rsid w:val="006F0C74"/>
    <w:rsid w:val="006F1875"/>
    <w:rsid w:val="006F2187"/>
    <w:rsid w:val="006F25E5"/>
    <w:rsid w:val="006F2FCE"/>
    <w:rsid w:val="006F36B9"/>
    <w:rsid w:val="006F415C"/>
    <w:rsid w:val="006F489F"/>
    <w:rsid w:val="00700C86"/>
    <w:rsid w:val="0070560F"/>
    <w:rsid w:val="007112CA"/>
    <w:rsid w:val="007202BD"/>
    <w:rsid w:val="007205BF"/>
    <w:rsid w:val="00721AE9"/>
    <w:rsid w:val="007237D1"/>
    <w:rsid w:val="007241D4"/>
    <w:rsid w:val="00724D82"/>
    <w:rsid w:val="00730BF2"/>
    <w:rsid w:val="00732A6F"/>
    <w:rsid w:val="007351A5"/>
    <w:rsid w:val="00742012"/>
    <w:rsid w:val="0074214D"/>
    <w:rsid w:val="00742764"/>
    <w:rsid w:val="00745456"/>
    <w:rsid w:val="00750950"/>
    <w:rsid w:val="00751452"/>
    <w:rsid w:val="0075156A"/>
    <w:rsid w:val="00751F90"/>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DE8"/>
    <w:rsid w:val="00786D45"/>
    <w:rsid w:val="00792E10"/>
    <w:rsid w:val="0079383D"/>
    <w:rsid w:val="007A006B"/>
    <w:rsid w:val="007A1D60"/>
    <w:rsid w:val="007A5BDB"/>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19A7"/>
    <w:rsid w:val="00803CEC"/>
    <w:rsid w:val="008040B5"/>
    <w:rsid w:val="00804B15"/>
    <w:rsid w:val="00806AB0"/>
    <w:rsid w:val="008076A4"/>
    <w:rsid w:val="00807DC2"/>
    <w:rsid w:val="0081003E"/>
    <w:rsid w:val="00810CA3"/>
    <w:rsid w:val="008112DE"/>
    <w:rsid w:val="00811776"/>
    <w:rsid w:val="008200A7"/>
    <w:rsid w:val="00822050"/>
    <w:rsid w:val="008304EC"/>
    <w:rsid w:val="00830952"/>
    <w:rsid w:val="00830F84"/>
    <w:rsid w:val="0084184E"/>
    <w:rsid w:val="00841C01"/>
    <w:rsid w:val="008421FB"/>
    <w:rsid w:val="00843EFD"/>
    <w:rsid w:val="008443A9"/>
    <w:rsid w:val="008469B3"/>
    <w:rsid w:val="00847539"/>
    <w:rsid w:val="008535CA"/>
    <w:rsid w:val="00856405"/>
    <w:rsid w:val="00856FA8"/>
    <w:rsid w:val="00856FF2"/>
    <w:rsid w:val="008578F4"/>
    <w:rsid w:val="00860576"/>
    <w:rsid w:val="0086688C"/>
    <w:rsid w:val="0086720C"/>
    <w:rsid w:val="008674AA"/>
    <w:rsid w:val="008675CC"/>
    <w:rsid w:val="0087609B"/>
    <w:rsid w:val="00880850"/>
    <w:rsid w:val="0088094C"/>
    <w:rsid w:val="00881004"/>
    <w:rsid w:val="00882C40"/>
    <w:rsid w:val="00885973"/>
    <w:rsid w:val="0089145D"/>
    <w:rsid w:val="00892908"/>
    <w:rsid w:val="00893C08"/>
    <w:rsid w:val="008942FC"/>
    <w:rsid w:val="0089562F"/>
    <w:rsid w:val="008957BF"/>
    <w:rsid w:val="00895BE0"/>
    <w:rsid w:val="0089629F"/>
    <w:rsid w:val="008A082A"/>
    <w:rsid w:val="008A389B"/>
    <w:rsid w:val="008A4DF4"/>
    <w:rsid w:val="008B0950"/>
    <w:rsid w:val="008B1DA9"/>
    <w:rsid w:val="008B571D"/>
    <w:rsid w:val="008B6162"/>
    <w:rsid w:val="008C3710"/>
    <w:rsid w:val="008C3EBC"/>
    <w:rsid w:val="008C4AE0"/>
    <w:rsid w:val="008C57F6"/>
    <w:rsid w:val="008C68A7"/>
    <w:rsid w:val="008C7019"/>
    <w:rsid w:val="008D33A3"/>
    <w:rsid w:val="008D4715"/>
    <w:rsid w:val="008D5B23"/>
    <w:rsid w:val="008D6F1D"/>
    <w:rsid w:val="008E03A3"/>
    <w:rsid w:val="008E1B11"/>
    <w:rsid w:val="008E2ACD"/>
    <w:rsid w:val="008E53BA"/>
    <w:rsid w:val="008E7F87"/>
    <w:rsid w:val="008F0CC7"/>
    <w:rsid w:val="008F11CF"/>
    <w:rsid w:val="008F14EA"/>
    <w:rsid w:val="008F189C"/>
    <w:rsid w:val="008F1FE1"/>
    <w:rsid w:val="008F32FF"/>
    <w:rsid w:val="008F4486"/>
    <w:rsid w:val="008F4FC6"/>
    <w:rsid w:val="008F72CD"/>
    <w:rsid w:val="009015D3"/>
    <w:rsid w:val="00902179"/>
    <w:rsid w:val="00903877"/>
    <w:rsid w:val="00905345"/>
    <w:rsid w:val="0090677E"/>
    <w:rsid w:val="00914A6E"/>
    <w:rsid w:val="0091544C"/>
    <w:rsid w:val="00921D03"/>
    <w:rsid w:val="00925CD2"/>
    <w:rsid w:val="00932559"/>
    <w:rsid w:val="00933065"/>
    <w:rsid w:val="00933569"/>
    <w:rsid w:val="009365B1"/>
    <w:rsid w:val="0093799C"/>
    <w:rsid w:val="009422A1"/>
    <w:rsid w:val="00943484"/>
    <w:rsid w:val="00944804"/>
    <w:rsid w:val="009449FB"/>
    <w:rsid w:val="00944BB9"/>
    <w:rsid w:val="0094634F"/>
    <w:rsid w:val="009473D8"/>
    <w:rsid w:val="00954386"/>
    <w:rsid w:val="009562D0"/>
    <w:rsid w:val="00957513"/>
    <w:rsid w:val="00960ADF"/>
    <w:rsid w:val="009623DA"/>
    <w:rsid w:val="00963A0C"/>
    <w:rsid w:val="009661B5"/>
    <w:rsid w:val="009725C0"/>
    <w:rsid w:val="009729BD"/>
    <w:rsid w:val="00974A92"/>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67D3"/>
    <w:rsid w:val="009A739F"/>
    <w:rsid w:val="009B08AF"/>
    <w:rsid w:val="009B0AC9"/>
    <w:rsid w:val="009B10F4"/>
    <w:rsid w:val="009B3DFC"/>
    <w:rsid w:val="009B793E"/>
    <w:rsid w:val="009C1EA6"/>
    <w:rsid w:val="009C37B9"/>
    <w:rsid w:val="009C38E7"/>
    <w:rsid w:val="009D31FA"/>
    <w:rsid w:val="009D32BD"/>
    <w:rsid w:val="009D33F1"/>
    <w:rsid w:val="009D35B5"/>
    <w:rsid w:val="009D3771"/>
    <w:rsid w:val="009D37BD"/>
    <w:rsid w:val="009D4486"/>
    <w:rsid w:val="009D7128"/>
    <w:rsid w:val="009E21DE"/>
    <w:rsid w:val="009E6174"/>
    <w:rsid w:val="009F1DC7"/>
    <w:rsid w:val="009F211E"/>
    <w:rsid w:val="009F2572"/>
    <w:rsid w:val="009F294E"/>
    <w:rsid w:val="009F30F1"/>
    <w:rsid w:val="009F37C7"/>
    <w:rsid w:val="009F50AB"/>
    <w:rsid w:val="00A005F6"/>
    <w:rsid w:val="00A03986"/>
    <w:rsid w:val="00A0424F"/>
    <w:rsid w:val="00A051FB"/>
    <w:rsid w:val="00A10039"/>
    <w:rsid w:val="00A100BA"/>
    <w:rsid w:val="00A103FF"/>
    <w:rsid w:val="00A121B5"/>
    <w:rsid w:val="00A15DF4"/>
    <w:rsid w:val="00A16C6E"/>
    <w:rsid w:val="00A17DB2"/>
    <w:rsid w:val="00A22A14"/>
    <w:rsid w:val="00A23A49"/>
    <w:rsid w:val="00A241B2"/>
    <w:rsid w:val="00A25AB4"/>
    <w:rsid w:val="00A26214"/>
    <w:rsid w:val="00A26566"/>
    <w:rsid w:val="00A27A51"/>
    <w:rsid w:val="00A31837"/>
    <w:rsid w:val="00A33018"/>
    <w:rsid w:val="00A3310D"/>
    <w:rsid w:val="00A37BA4"/>
    <w:rsid w:val="00A402F6"/>
    <w:rsid w:val="00A42167"/>
    <w:rsid w:val="00A434B9"/>
    <w:rsid w:val="00A43739"/>
    <w:rsid w:val="00A444DD"/>
    <w:rsid w:val="00A47150"/>
    <w:rsid w:val="00A471EF"/>
    <w:rsid w:val="00A47466"/>
    <w:rsid w:val="00A47815"/>
    <w:rsid w:val="00A47A18"/>
    <w:rsid w:val="00A47CD6"/>
    <w:rsid w:val="00A539CB"/>
    <w:rsid w:val="00A57DA7"/>
    <w:rsid w:val="00A60542"/>
    <w:rsid w:val="00A63709"/>
    <w:rsid w:val="00A643AB"/>
    <w:rsid w:val="00A649E6"/>
    <w:rsid w:val="00A660AF"/>
    <w:rsid w:val="00A7021C"/>
    <w:rsid w:val="00A70A95"/>
    <w:rsid w:val="00A70BDA"/>
    <w:rsid w:val="00A740B6"/>
    <w:rsid w:val="00A7621E"/>
    <w:rsid w:val="00A817D5"/>
    <w:rsid w:val="00A84F01"/>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23B3"/>
    <w:rsid w:val="00AD23BF"/>
    <w:rsid w:val="00AD25B6"/>
    <w:rsid w:val="00AD2631"/>
    <w:rsid w:val="00AD2C31"/>
    <w:rsid w:val="00AD3D5D"/>
    <w:rsid w:val="00AD40E8"/>
    <w:rsid w:val="00AD5A05"/>
    <w:rsid w:val="00AD662C"/>
    <w:rsid w:val="00AE1220"/>
    <w:rsid w:val="00AE287F"/>
    <w:rsid w:val="00AE39F3"/>
    <w:rsid w:val="00AE4006"/>
    <w:rsid w:val="00AE4875"/>
    <w:rsid w:val="00AE5118"/>
    <w:rsid w:val="00AE63BD"/>
    <w:rsid w:val="00AE733A"/>
    <w:rsid w:val="00AF0B2B"/>
    <w:rsid w:val="00AF2914"/>
    <w:rsid w:val="00AF363F"/>
    <w:rsid w:val="00AF3E4F"/>
    <w:rsid w:val="00AF71E5"/>
    <w:rsid w:val="00B0366D"/>
    <w:rsid w:val="00B071FF"/>
    <w:rsid w:val="00B110BC"/>
    <w:rsid w:val="00B11505"/>
    <w:rsid w:val="00B11DC2"/>
    <w:rsid w:val="00B13BCF"/>
    <w:rsid w:val="00B15142"/>
    <w:rsid w:val="00B16F69"/>
    <w:rsid w:val="00B1789D"/>
    <w:rsid w:val="00B207DD"/>
    <w:rsid w:val="00B21CA9"/>
    <w:rsid w:val="00B223FE"/>
    <w:rsid w:val="00B3208F"/>
    <w:rsid w:val="00B3260E"/>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24B4"/>
    <w:rsid w:val="00B9487E"/>
    <w:rsid w:val="00B95910"/>
    <w:rsid w:val="00B9692A"/>
    <w:rsid w:val="00B972B5"/>
    <w:rsid w:val="00BA0848"/>
    <w:rsid w:val="00BA1A01"/>
    <w:rsid w:val="00BA29E7"/>
    <w:rsid w:val="00BA33AF"/>
    <w:rsid w:val="00BA3A4C"/>
    <w:rsid w:val="00BA61FA"/>
    <w:rsid w:val="00BA67FC"/>
    <w:rsid w:val="00BB0F20"/>
    <w:rsid w:val="00BB17D2"/>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0A14"/>
    <w:rsid w:val="00C0222C"/>
    <w:rsid w:val="00C04139"/>
    <w:rsid w:val="00C0572E"/>
    <w:rsid w:val="00C1108E"/>
    <w:rsid w:val="00C14A51"/>
    <w:rsid w:val="00C14B1A"/>
    <w:rsid w:val="00C15C65"/>
    <w:rsid w:val="00C17853"/>
    <w:rsid w:val="00C17EE4"/>
    <w:rsid w:val="00C21656"/>
    <w:rsid w:val="00C21B3D"/>
    <w:rsid w:val="00C24267"/>
    <w:rsid w:val="00C243E6"/>
    <w:rsid w:val="00C26FA6"/>
    <w:rsid w:val="00C2788D"/>
    <w:rsid w:val="00C31D37"/>
    <w:rsid w:val="00C33398"/>
    <w:rsid w:val="00C34388"/>
    <w:rsid w:val="00C34C5B"/>
    <w:rsid w:val="00C361F6"/>
    <w:rsid w:val="00C3669A"/>
    <w:rsid w:val="00C371D5"/>
    <w:rsid w:val="00C423E3"/>
    <w:rsid w:val="00C424D3"/>
    <w:rsid w:val="00C428AB"/>
    <w:rsid w:val="00C44BAC"/>
    <w:rsid w:val="00C45626"/>
    <w:rsid w:val="00C458AF"/>
    <w:rsid w:val="00C460A0"/>
    <w:rsid w:val="00C4720D"/>
    <w:rsid w:val="00C47768"/>
    <w:rsid w:val="00C50068"/>
    <w:rsid w:val="00C51C4B"/>
    <w:rsid w:val="00C539A5"/>
    <w:rsid w:val="00C53DFA"/>
    <w:rsid w:val="00C549F4"/>
    <w:rsid w:val="00C60DD4"/>
    <w:rsid w:val="00C60F27"/>
    <w:rsid w:val="00C610F2"/>
    <w:rsid w:val="00C61B5E"/>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5B7F"/>
    <w:rsid w:val="00C86AEA"/>
    <w:rsid w:val="00C875AE"/>
    <w:rsid w:val="00C90CE6"/>
    <w:rsid w:val="00C93030"/>
    <w:rsid w:val="00C9310B"/>
    <w:rsid w:val="00C937FB"/>
    <w:rsid w:val="00CA0F98"/>
    <w:rsid w:val="00CA2964"/>
    <w:rsid w:val="00CA696D"/>
    <w:rsid w:val="00CA6B5A"/>
    <w:rsid w:val="00CB1536"/>
    <w:rsid w:val="00CB3907"/>
    <w:rsid w:val="00CB3B51"/>
    <w:rsid w:val="00CB46F0"/>
    <w:rsid w:val="00CB6167"/>
    <w:rsid w:val="00CC0C54"/>
    <w:rsid w:val="00CC1016"/>
    <w:rsid w:val="00CC32A0"/>
    <w:rsid w:val="00CC3829"/>
    <w:rsid w:val="00CC585C"/>
    <w:rsid w:val="00CD0D1D"/>
    <w:rsid w:val="00CD1673"/>
    <w:rsid w:val="00CD1721"/>
    <w:rsid w:val="00CD4DDC"/>
    <w:rsid w:val="00CD6592"/>
    <w:rsid w:val="00CE0808"/>
    <w:rsid w:val="00CE35B4"/>
    <w:rsid w:val="00CE6301"/>
    <w:rsid w:val="00CF06D4"/>
    <w:rsid w:val="00CF2008"/>
    <w:rsid w:val="00CF2496"/>
    <w:rsid w:val="00CF3649"/>
    <w:rsid w:val="00CF4188"/>
    <w:rsid w:val="00CF4E9E"/>
    <w:rsid w:val="00CF52CE"/>
    <w:rsid w:val="00CF7848"/>
    <w:rsid w:val="00D00B84"/>
    <w:rsid w:val="00D02BD8"/>
    <w:rsid w:val="00D04CA2"/>
    <w:rsid w:val="00D058FC"/>
    <w:rsid w:val="00D06213"/>
    <w:rsid w:val="00D073D1"/>
    <w:rsid w:val="00D10010"/>
    <w:rsid w:val="00D11510"/>
    <w:rsid w:val="00D116EE"/>
    <w:rsid w:val="00D12BB7"/>
    <w:rsid w:val="00D159D4"/>
    <w:rsid w:val="00D15C79"/>
    <w:rsid w:val="00D1641A"/>
    <w:rsid w:val="00D20E16"/>
    <w:rsid w:val="00D21601"/>
    <w:rsid w:val="00D21AA7"/>
    <w:rsid w:val="00D22F1C"/>
    <w:rsid w:val="00D23D75"/>
    <w:rsid w:val="00D256F0"/>
    <w:rsid w:val="00D31882"/>
    <w:rsid w:val="00D31BAB"/>
    <w:rsid w:val="00D31D27"/>
    <w:rsid w:val="00D32109"/>
    <w:rsid w:val="00D336A4"/>
    <w:rsid w:val="00D34AFB"/>
    <w:rsid w:val="00D352EE"/>
    <w:rsid w:val="00D35A03"/>
    <w:rsid w:val="00D37377"/>
    <w:rsid w:val="00D41830"/>
    <w:rsid w:val="00D420AE"/>
    <w:rsid w:val="00D42F66"/>
    <w:rsid w:val="00D45B8C"/>
    <w:rsid w:val="00D56058"/>
    <w:rsid w:val="00D567E0"/>
    <w:rsid w:val="00D56A09"/>
    <w:rsid w:val="00D57976"/>
    <w:rsid w:val="00D61F2D"/>
    <w:rsid w:val="00D630DE"/>
    <w:rsid w:val="00D63DBC"/>
    <w:rsid w:val="00D645C6"/>
    <w:rsid w:val="00D6548A"/>
    <w:rsid w:val="00D65571"/>
    <w:rsid w:val="00D65905"/>
    <w:rsid w:val="00D65A71"/>
    <w:rsid w:val="00D67355"/>
    <w:rsid w:val="00D712C3"/>
    <w:rsid w:val="00D71B03"/>
    <w:rsid w:val="00D7327A"/>
    <w:rsid w:val="00D74EC8"/>
    <w:rsid w:val="00D76F23"/>
    <w:rsid w:val="00D81AC9"/>
    <w:rsid w:val="00D858CC"/>
    <w:rsid w:val="00D9086C"/>
    <w:rsid w:val="00D92C84"/>
    <w:rsid w:val="00D93AAA"/>
    <w:rsid w:val="00D93ECC"/>
    <w:rsid w:val="00D94745"/>
    <w:rsid w:val="00D94921"/>
    <w:rsid w:val="00D95DFF"/>
    <w:rsid w:val="00D963D5"/>
    <w:rsid w:val="00D96C96"/>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3369"/>
    <w:rsid w:val="00DE33DB"/>
    <w:rsid w:val="00DE38B2"/>
    <w:rsid w:val="00DF2C9A"/>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30596"/>
    <w:rsid w:val="00E31FF9"/>
    <w:rsid w:val="00E33434"/>
    <w:rsid w:val="00E33B23"/>
    <w:rsid w:val="00E37B1B"/>
    <w:rsid w:val="00E4176E"/>
    <w:rsid w:val="00E417B9"/>
    <w:rsid w:val="00E43C23"/>
    <w:rsid w:val="00E45160"/>
    <w:rsid w:val="00E45E6A"/>
    <w:rsid w:val="00E50A42"/>
    <w:rsid w:val="00E54FA5"/>
    <w:rsid w:val="00E56D64"/>
    <w:rsid w:val="00E57446"/>
    <w:rsid w:val="00E61081"/>
    <w:rsid w:val="00E61788"/>
    <w:rsid w:val="00E65B18"/>
    <w:rsid w:val="00E65B9D"/>
    <w:rsid w:val="00E71CE6"/>
    <w:rsid w:val="00E71E16"/>
    <w:rsid w:val="00E728C6"/>
    <w:rsid w:val="00E73E65"/>
    <w:rsid w:val="00E76641"/>
    <w:rsid w:val="00E77AC7"/>
    <w:rsid w:val="00E83DA2"/>
    <w:rsid w:val="00E851E8"/>
    <w:rsid w:val="00E856E9"/>
    <w:rsid w:val="00E862E7"/>
    <w:rsid w:val="00E86395"/>
    <w:rsid w:val="00E86DF2"/>
    <w:rsid w:val="00E879EC"/>
    <w:rsid w:val="00E94A64"/>
    <w:rsid w:val="00E9538B"/>
    <w:rsid w:val="00E95703"/>
    <w:rsid w:val="00E95707"/>
    <w:rsid w:val="00E964C2"/>
    <w:rsid w:val="00EA0297"/>
    <w:rsid w:val="00EA116B"/>
    <w:rsid w:val="00EA2C29"/>
    <w:rsid w:val="00EA3F05"/>
    <w:rsid w:val="00EA5E85"/>
    <w:rsid w:val="00EA5ECE"/>
    <w:rsid w:val="00EB0B07"/>
    <w:rsid w:val="00EB0C6A"/>
    <w:rsid w:val="00EB144E"/>
    <w:rsid w:val="00EB1B82"/>
    <w:rsid w:val="00EB2F49"/>
    <w:rsid w:val="00EB462A"/>
    <w:rsid w:val="00EB635D"/>
    <w:rsid w:val="00EB6AA6"/>
    <w:rsid w:val="00EC0354"/>
    <w:rsid w:val="00EC5A70"/>
    <w:rsid w:val="00EC5B97"/>
    <w:rsid w:val="00EC6BED"/>
    <w:rsid w:val="00EC70BC"/>
    <w:rsid w:val="00ED018E"/>
    <w:rsid w:val="00ED044F"/>
    <w:rsid w:val="00ED07AD"/>
    <w:rsid w:val="00ED2A04"/>
    <w:rsid w:val="00ED370F"/>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2E5A"/>
    <w:rsid w:val="00F221FC"/>
    <w:rsid w:val="00F24025"/>
    <w:rsid w:val="00F322F5"/>
    <w:rsid w:val="00F35033"/>
    <w:rsid w:val="00F35CAE"/>
    <w:rsid w:val="00F36EE7"/>
    <w:rsid w:val="00F41B64"/>
    <w:rsid w:val="00F41D9D"/>
    <w:rsid w:val="00F4468A"/>
    <w:rsid w:val="00F47653"/>
    <w:rsid w:val="00F47EFB"/>
    <w:rsid w:val="00F505CE"/>
    <w:rsid w:val="00F5169E"/>
    <w:rsid w:val="00F51C0B"/>
    <w:rsid w:val="00F57AFC"/>
    <w:rsid w:val="00F627E4"/>
    <w:rsid w:val="00F6494D"/>
    <w:rsid w:val="00F65DBD"/>
    <w:rsid w:val="00F669B9"/>
    <w:rsid w:val="00F67D80"/>
    <w:rsid w:val="00F70C0C"/>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A2519"/>
    <w:rsid w:val="00FA625E"/>
    <w:rsid w:val="00FA6B1E"/>
    <w:rsid w:val="00FB4165"/>
    <w:rsid w:val="00FB59A0"/>
    <w:rsid w:val="00FC1484"/>
    <w:rsid w:val="00FC1792"/>
    <w:rsid w:val="00FC2000"/>
    <w:rsid w:val="00FC42BD"/>
    <w:rsid w:val="00FD2E9B"/>
    <w:rsid w:val="00FD378D"/>
    <w:rsid w:val="00FD41A2"/>
    <w:rsid w:val="00FE065B"/>
    <w:rsid w:val="00FE06D8"/>
    <w:rsid w:val="00FE17D2"/>
    <w:rsid w:val="00FE2BF0"/>
    <w:rsid w:val="00FE43C6"/>
    <w:rsid w:val="00FE783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0B231894-C33B-41EA-A3BD-E0D4F287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795026512">
          <w:marLeft w:val="0"/>
          <w:marRight w:val="0"/>
          <w:marTop w:val="120"/>
          <w:marBottom w:val="0"/>
          <w:divBdr>
            <w:top w:val="none" w:sz="0" w:space="0" w:color="auto"/>
            <w:left w:val="none" w:sz="0" w:space="0" w:color="auto"/>
            <w:bottom w:val="none" w:sz="0" w:space="0" w:color="auto"/>
            <w:right w:val="none" w:sz="0" w:space="0" w:color="auto"/>
          </w:divBdr>
        </w:div>
        <w:div w:id="543565086">
          <w:marLeft w:val="0"/>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4v2SApg138" TargetMode="External"/><Relationship Id="rId2" Type="http://schemas.openxmlformats.org/officeDocument/2006/relationships/hyperlink" Target="https://app.jutastatevolve.co.za/y2013v6SApg621" TargetMode="External"/><Relationship Id="rId1" Type="http://schemas.openxmlformats.org/officeDocument/2006/relationships/hyperlink" Target="http://www.saflii.org/cgi-bin/LawCite?cit=2006%20%286%29%20SA%2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F806-76D7-4294-9920-26B42A42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11</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2</cp:revision>
  <cp:lastPrinted>2023-08-26T09:29:00Z</cp:lastPrinted>
  <dcterms:created xsi:type="dcterms:W3CDTF">2023-08-28T09:22:00Z</dcterms:created>
  <dcterms:modified xsi:type="dcterms:W3CDTF">2023-08-28T09:22:00Z</dcterms:modified>
</cp:coreProperties>
</file>