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97F48" w14:textId="77777777" w:rsidR="00D202C2" w:rsidRPr="00671349" w:rsidRDefault="007D51E5" w:rsidP="00C860E6">
      <w:pPr>
        <w:spacing w:after="120" w:line="360" w:lineRule="auto"/>
        <w:jc w:val="center"/>
        <w:rPr>
          <w:rFonts w:ascii="Arial" w:hAnsi="Arial" w:cs="Arial"/>
          <w:sz w:val="24"/>
          <w:szCs w:val="24"/>
        </w:rPr>
      </w:pPr>
      <w:r w:rsidRPr="00671349">
        <w:rPr>
          <w:rFonts w:ascii="Arial" w:hAnsi="Arial" w:cs="Arial"/>
          <w:noProof/>
          <w:sz w:val="24"/>
          <w:szCs w:val="24"/>
          <w:lang w:val="en-US"/>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16137A">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16137A">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6CF3654C" w14:textId="53CCE445" w:rsidR="00D202C2" w:rsidRDefault="00D202C2" w:rsidP="0016137A">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t xml:space="preserve">Case no: </w:t>
      </w:r>
      <w:r w:rsidR="00687468">
        <w:rPr>
          <w:rFonts w:ascii="Arial" w:hAnsi="Arial" w:cs="Arial"/>
          <w:sz w:val="24"/>
          <w:szCs w:val="24"/>
        </w:rPr>
        <w:t>#</w:t>
      </w:r>
      <w:r w:rsidR="00687468">
        <w:rPr>
          <w:rFonts w:ascii="Arial" w:hAnsi="Arial"/>
          <w:b/>
          <w:sz w:val="24"/>
          <w:szCs w:val="24"/>
        </w:rPr>
        <w:t>2023-002990</w:t>
      </w:r>
    </w:p>
    <w:p w14:paraId="50821842" w14:textId="77777777" w:rsidR="007D51E5" w:rsidRPr="00671349" w:rsidRDefault="007D51E5" w:rsidP="0016137A">
      <w:pPr>
        <w:autoSpaceDE w:val="0"/>
        <w:autoSpaceDN w:val="0"/>
        <w:adjustRightInd w:val="0"/>
        <w:spacing w:after="120" w:line="360" w:lineRule="auto"/>
        <w:rPr>
          <w:rFonts w:ascii="Arial" w:hAnsi="Arial" w:cs="Arial"/>
          <w:sz w:val="24"/>
          <w:szCs w:val="24"/>
        </w:rPr>
      </w:pPr>
      <w:r w:rsidRPr="00671349">
        <w:rPr>
          <w:rFonts w:ascii="Arial" w:hAnsi="Arial" w:cs="Arial"/>
          <w:noProof/>
          <w:sz w:val="24"/>
          <w:szCs w:val="24"/>
          <w:lang w:val="en-US"/>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71F0AD6D" w:rsidR="00FC0780" w:rsidRDefault="007D2029" w:rsidP="007D202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590362C3" w:rsidR="00FC0780" w:rsidRDefault="007D2029" w:rsidP="007D202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246C54">
                              <w:rPr>
                                <w:rFonts w:ascii="Century Gothic" w:hAnsi="Century Gothic"/>
                                <w:sz w:val="20"/>
                                <w:szCs w:val="20"/>
                              </w:rPr>
                              <w:t>YES</w:t>
                            </w:r>
                          </w:p>
                          <w:p w14:paraId="29110CF7" w14:textId="550FC4F2" w:rsidR="00FC0780" w:rsidRDefault="007D2029" w:rsidP="007D202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B3A24">
                              <w:rPr>
                                <w:rFonts w:ascii="Century Gothic" w:hAnsi="Century Gothic"/>
                                <w:sz w:val="20"/>
                                <w:szCs w:val="20"/>
                              </w:rPr>
                              <w:t xml:space="preserve">(FURTHER) </w:t>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65FDA581"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Pr>
                                <w:rFonts w:ascii="Century Gothic" w:hAnsi="Century Gothic"/>
                                <w:b/>
                                <w:sz w:val="18"/>
                                <w:szCs w:val="18"/>
                              </w:rPr>
                              <w:tab/>
                            </w:r>
                            <w:r w:rsidR="00E8356A">
                              <w:rPr>
                                <w:rFonts w:ascii="Century Gothic" w:hAnsi="Century Gothic"/>
                                <w:b/>
                                <w:sz w:val="18"/>
                                <w:szCs w:val="18"/>
                              </w:rPr>
                              <w:t xml:space="preserve">Date: </w:t>
                            </w:r>
                            <w:r w:rsidR="00DB3F42">
                              <w:rPr>
                                <w:rFonts w:ascii="Century Gothic" w:hAnsi="Century Gothic"/>
                                <w:b/>
                                <w:sz w:val="18"/>
                                <w:szCs w:val="18"/>
                              </w:rPr>
                              <w:t>6</w:t>
                            </w:r>
                            <w:r w:rsidR="00DF4968">
                              <w:rPr>
                                <w:rFonts w:ascii="Century Gothic" w:hAnsi="Century Gothic"/>
                                <w:b/>
                                <w:sz w:val="18"/>
                                <w:szCs w:val="18"/>
                              </w:rPr>
                              <w:t xml:space="preserve"> February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">
                <v:textbox>
                  <w:txbxContent>
                    <w:p w14:paraId="56016463" w14:textId="77777777" w:rsidR="00FC0780" w:rsidRDefault="00FC0780" w:rsidP="007D51E5">
                      <w:pPr>
                        <w:jc w:val="center"/>
                        <w:rPr>
                          <w:rFonts w:ascii="Century Gothic" w:hAnsi="Century Gothic"/>
                          <w:b/>
                          <w:sz w:val="20"/>
                          <w:szCs w:val="20"/>
                        </w:rPr>
                      </w:pPr>
                    </w:p>
                    <w:p w14:paraId="0E750DD9" w14:textId="71F0AD6D" w:rsidR="00FC0780" w:rsidRDefault="007D2029" w:rsidP="007D202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590362C3" w:rsidR="00FC0780" w:rsidRDefault="007D2029" w:rsidP="007D202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246C54">
                        <w:rPr>
                          <w:rFonts w:ascii="Century Gothic" w:hAnsi="Century Gothic"/>
                          <w:sz w:val="20"/>
                          <w:szCs w:val="20"/>
                        </w:rPr>
                        <w:t>YES</w:t>
                      </w:r>
                    </w:p>
                    <w:p w14:paraId="29110CF7" w14:textId="550FC4F2" w:rsidR="00FC0780" w:rsidRDefault="007D2029" w:rsidP="007D202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B3A24">
                        <w:rPr>
                          <w:rFonts w:ascii="Century Gothic" w:hAnsi="Century Gothic"/>
                          <w:sz w:val="20"/>
                          <w:szCs w:val="20"/>
                        </w:rPr>
                        <w:t xml:space="preserve">(FURTHER) </w:t>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65FDA581"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Pr>
                          <w:rFonts w:ascii="Century Gothic" w:hAnsi="Century Gothic"/>
                          <w:b/>
                          <w:sz w:val="18"/>
                          <w:szCs w:val="18"/>
                        </w:rPr>
                        <w:tab/>
                      </w:r>
                      <w:r w:rsidR="00E8356A">
                        <w:rPr>
                          <w:rFonts w:ascii="Century Gothic" w:hAnsi="Century Gothic"/>
                          <w:b/>
                          <w:sz w:val="18"/>
                          <w:szCs w:val="18"/>
                        </w:rPr>
                        <w:t xml:space="preserve">Date: </w:t>
                      </w:r>
                      <w:r w:rsidR="00DB3F42">
                        <w:rPr>
                          <w:rFonts w:ascii="Century Gothic" w:hAnsi="Century Gothic"/>
                          <w:b/>
                          <w:sz w:val="18"/>
                          <w:szCs w:val="18"/>
                        </w:rPr>
                        <w:t>6</w:t>
                      </w:r>
                      <w:r w:rsidR="00DF4968">
                        <w:rPr>
                          <w:rFonts w:ascii="Century Gothic" w:hAnsi="Century Gothic"/>
                          <w:b/>
                          <w:sz w:val="18"/>
                          <w:szCs w:val="18"/>
                        </w:rPr>
                        <w:t xml:space="preserve"> February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v:textbox>
                <w10:anchorlock/>
              </v:shape>
            </w:pict>
          </mc:Fallback>
        </mc:AlternateContent>
      </w:r>
    </w:p>
    <w:p w14:paraId="29E97B5D" w14:textId="77777777" w:rsidR="00D202C2" w:rsidRPr="00671349" w:rsidRDefault="00D202C2"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7D2E5B06" w14:textId="5AAD970A" w:rsidR="00D202C2" w:rsidRPr="00671349" w:rsidRDefault="00687468" w:rsidP="00B7178D">
      <w:pPr>
        <w:pStyle w:val="NoSpacing"/>
        <w:tabs>
          <w:tab w:val="left" w:pos="720"/>
          <w:tab w:val="left" w:pos="1440"/>
          <w:tab w:val="left" w:pos="2160"/>
          <w:tab w:val="right" w:pos="9356"/>
        </w:tabs>
        <w:rPr>
          <w:rFonts w:ascii="Arial" w:hAnsi="Arial"/>
          <w:b/>
          <w:bCs/>
          <w:sz w:val="24"/>
          <w:szCs w:val="24"/>
        </w:rPr>
      </w:pPr>
      <w:r>
        <w:rPr>
          <w:rFonts w:ascii="Arial" w:hAnsi="Arial"/>
          <w:b/>
          <w:sz w:val="24"/>
          <w:szCs w:val="24"/>
        </w:rPr>
        <w:t>HANSEN + GENWEST (PTY) LTD</w:t>
      </w:r>
      <w:r w:rsidR="00E970E4">
        <w:rPr>
          <w:rFonts w:ascii="Arial" w:hAnsi="Arial"/>
          <w:b/>
          <w:sz w:val="24"/>
          <w:szCs w:val="24"/>
        </w:rPr>
        <w:tab/>
      </w:r>
      <w:r w:rsidR="00E970E4" w:rsidRPr="00A76964">
        <w:rPr>
          <w:rFonts w:ascii="Arial" w:hAnsi="Arial"/>
          <w:bCs/>
          <w:sz w:val="24"/>
          <w:szCs w:val="24"/>
        </w:rPr>
        <w:t>Applicant</w:t>
      </w:r>
    </w:p>
    <w:p w14:paraId="7666F6E1" w14:textId="77777777" w:rsidR="00D202C2" w:rsidRPr="00671349" w:rsidRDefault="00D202C2" w:rsidP="00B7178D">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71682123" w:rsidR="00D202C2" w:rsidRDefault="00687468" w:rsidP="00DF4968">
      <w:pPr>
        <w:tabs>
          <w:tab w:val="left" w:pos="0"/>
          <w:tab w:val="right" w:pos="9356"/>
        </w:tabs>
        <w:autoSpaceDE w:val="0"/>
        <w:autoSpaceDN w:val="0"/>
        <w:adjustRightInd w:val="0"/>
        <w:spacing w:before="240" w:line="360" w:lineRule="auto"/>
        <w:rPr>
          <w:rFonts w:ascii="Arial" w:hAnsi="Arial" w:cs="Arial"/>
          <w:sz w:val="24"/>
          <w:szCs w:val="24"/>
        </w:rPr>
      </w:pPr>
      <w:r>
        <w:rPr>
          <w:rFonts w:ascii="Arial" w:hAnsi="Arial"/>
          <w:b/>
          <w:sz w:val="24"/>
          <w:szCs w:val="24"/>
        </w:rPr>
        <w:t>CORPORATE SELECTION UMBRELLA</w:t>
      </w:r>
      <w:r w:rsidR="00D202C2" w:rsidRPr="00671349">
        <w:rPr>
          <w:rFonts w:ascii="Arial" w:hAnsi="Arial" w:cs="Arial"/>
          <w:b/>
          <w:bCs/>
          <w:sz w:val="24"/>
          <w:szCs w:val="24"/>
        </w:rPr>
        <w:tab/>
      </w:r>
      <w:r w:rsidR="004071E9" w:rsidRPr="00A76964">
        <w:rPr>
          <w:rFonts w:ascii="Arial" w:hAnsi="Arial" w:cs="Arial"/>
          <w:sz w:val="24"/>
          <w:szCs w:val="24"/>
        </w:rPr>
        <w:t>First Respondent</w:t>
      </w:r>
    </w:p>
    <w:p w14:paraId="2D5B01B6" w14:textId="1099A553" w:rsidR="00687468" w:rsidRPr="00687468" w:rsidRDefault="00DF4968" w:rsidP="00DF4968">
      <w:pPr>
        <w:tabs>
          <w:tab w:val="left" w:pos="0"/>
          <w:tab w:val="right" w:pos="9356"/>
        </w:tabs>
        <w:autoSpaceDE w:val="0"/>
        <w:autoSpaceDN w:val="0"/>
        <w:adjustRightInd w:val="0"/>
        <w:spacing w:after="120" w:line="360" w:lineRule="auto"/>
        <w:rPr>
          <w:rFonts w:ascii="Arial" w:hAnsi="Arial" w:cs="Arial"/>
          <w:b/>
          <w:bCs/>
          <w:sz w:val="24"/>
          <w:szCs w:val="24"/>
        </w:rPr>
      </w:pPr>
      <w:r>
        <w:rPr>
          <w:rFonts w:ascii="Arial" w:hAnsi="Arial" w:cs="Arial"/>
          <w:b/>
          <w:sz w:val="24"/>
          <w:szCs w:val="24"/>
        </w:rPr>
        <w:t xml:space="preserve">RETIREMENT </w:t>
      </w:r>
      <w:r w:rsidR="00687468">
        <w:rPr>
          <w:rFonts w:ascii="Arial" w:hAnsi="Arial" w:cs="Arial"/>
          <w:b/>
          <w:sz w:val="24"/>
          <w:szCs w:val="24"/>
        </w:rPr>
        <w:t>FUND NO 2</w:t>
      </w:r>
    </w:p>
    <w:p w14:paraId="4E4273EE" w14:textId="1FDA05FA" w:rsidR="004071E9" w:rsidRDefault="00687468" w:rsidP="00B7178D">
      <w:pPr>
        <w:tabs>
          <w:tab w:val="left" w:pos="0"/>
          <w:tab w:val="right" w:pos="9356"/>
        </w:tabs>
        <w:autoSpaceDE w:val="0"/>
        <w:autoSpaceDN w:val="0"/>
        <w:adjustRightInd w:val="0"/>
        <w:spacing w:before="240" w:after="120" w:line="360" w:lineRule="auto"/>
        <w:rPr>
          <w:rFonts w:ascii="Arial" w:hAnsi="Arial" w:cs="Arial"/>
          <w:b/>
          <w:sz w:val="24"/>
          <w:szCs w:val="24"/>
        </w:rPr>
      </w:pPr>
      <w:r>
        <w:rPr>
          <w:rFonts w:ascii="Arial" w:hAnsi="Arial"/>
          <w:b/>
          <w:sz w:val="24"/>
          <w:szCs w:val="24"/>
        </w:rPr>
        <w:t>LIBERTY GROUP LIMITED</w:t>
      </w:r>
      <w:r w:rsidR="004071E9">
        <w:rPr>
          <w:rFonts w:ascii="Arial" w:hAnsi="Arial" w:cs="Arial"/>
          <w:b/>
          <w:sz w:val="24"/>
          <w:szCs w:val="24"/>
        </w:rPr>
        <w:tab/>
      </w:r>
      <w:r w:rsidR="004071E9" w:rsidRPr="00A76964">
        <w:rPr>
          <w:rFonts w:ascii="Arial" w:hAnsi="Arial" w:cs="Arial"/>
          <w:bCs/>
          <w:sz w:val="24"/>
          <w:szCs w:val="24"/>
        </w:rPr>
        <w:t>Second Respondent</w:t>
      </w:r>
    </w:p>
    <w:p w14:paraId="733FACA2" w14:textId="046E3C10" w:rsidR="00E970E4" w:rsidRDefault="00687468" w:rsidP="00B7178D">
      <w:pPr>
        <w:tabs>
          <w:tab w:val="left" w:pos="0"/>
          <w:tab w:val="right" w:pos="9356"/>
        </w:tabs>
        <w:autoSpaceDE w:val="0"/>
        <w:autoSpaceDN w:val="0"/>
        <w:adjustRightInd w:val="0"/>
        <w:spacing w:before="240" w:line="360" w:lineRule="auto"/>
        <w:rPr>
          <w:rFonts w:ascii="Arial" w:hAnsi="Arial" w:cs="Arial"/>
          <w:b/>
          <w:sz w:val="24"/>
          <w:szCs w:val="24"/>
        </w:rPr>
      </w:pPr>
      <w:r>
        <w:rPr>
          <w:rFonts w:ascii="Arial" w:hAnsi="Arial"/>
          <w:b/>
          <w:sz w:val="24"/>
          <w:szCs w:val="24"/>
        </w:rPr>
        <w:t>CLAUDIA WILKINSON</w:t>
      </w:r>
      <w:r w:rsidR="00E970E4">
        <w:rPr>
          <w:rFonts w:ascii="Arial" w:hAnsi="Arial" w:cs="Arial"/>
          <w:b/>
          <w:sz w:val="24"/>
          <w:szCs w:val="24"/>
        </w:rPr>
        <w:tab/>
      </w:r>
      <w:r w:rsidR="00E970E4" w:rsidRPr="00A76964">
        <w:rPr>
          <w:rFonts w:ascii="Arial" w:hAnsi="Arial" w:cs="Arial"/>
          <w:bCs/>
          <w:sz w:val="24"/>
          <w:szCs w:val="24"/>
        </w:rPr>
        <w:t>Third Respondent</w:t>
      </w:r>
    </w:p>
    <w:p w14:paraId="62828619" w14:textId="2BD7775F" w:rsidR="004071E9" w:rsidRDefault="00687468" w:rsidP="00B7178D">
      <w:pPr>
        <w:tabs>
          <w:tab w:val="left" w:pos="0"/>
          <w:tab w:val="right" w:pos="9356"/>
        </w:tabs>
        <w:autoSpaceDE w:val="0"/>
        <w:autoSpaceDN w:val="0"/>
        <w:adjustRightInd w:val="0"/>
        <w:spacing w:before="240" w:line="360" w:lineRule="auto"/>
        <w:rPr>
          <w:rFonts w:ascii="Arial" w:hAnsi="Arial" w:cs="Arial"/>
          <w:bCs/>
          <w:sz w:val="24"/>
          <w:szCs w:val="24"/>
        </w:rPr>
      </w:pPr>
      <w:r>
        <w:rPr>
          <w:rFonts w:ascii="Arial" w:hAnsi="Arial"/>
          <w:b/>
          <w:sz w:val="24"/>
          <w:szCs w:val="24"/>
        </w:rPr>
        <w:t>SHAUN WILKINSON</w:t>
      </w:r>
      <w:r w:rsidR="004071E9">
        <w:rPr>
          <w:rFonts w:ascii="Arial" w:hAnsi="Arial" w:cs="Arial"/>
          <w:b/>
          <w:sz w:val="24"/>
          <w:szCs w:val="24"/>
        </w:rPr>
        <w:tab/>
      </w:r>
      <w:r w:rsidR="00E970E4" w:rsidRPr="00A76964">
        <w:rPr>
          <w:rFonts w:ascii="Arial" w:hAnsi="Arial" w:cs="Arial"/>
          <w:bCs/>
          <w:sz w:val="24"/>
          <w:szCs w:val="24"/>
        </w:rPr>
        <w:t xml:space="preserve">Fourth </w:t>
      </w:r>
      <w:r w:rsidR="004071E9" w:rsidRPr="00A76964">
        <w:rPr>
          <w:rFonts w:ascii="Arial" w:hAnsi="Arial" w:cs="Arial"/>
          <w:bCs/>
          <w:sz w:val="24"/>
          <w:szCs w:val="24"/>
        </w:rPr>
        <w:t>Respondent</w:t>
      </w:r>
    </w:p>
    <w:p w14:paraId="040B40DF" w14:textId="5CDEF6C4" w:rsidR="00687468" w:rsidRPr="00687468" w:rsidRDefault="00687468" w:rsidP="00B7178D">
      <w:pPr>
        <w:tabs>
          <w:tab w:val="left" w:pos="0"/>
          <w:tab w:val="right" w:pos="9356"/>
        </w:tabs>
        <w:autoSpaceDE w:val="0"/>
        <w:autoSpaceDN w:val="0"/>
        <w:adjustRightInd w:val="0"/>
        <w:spacing w:before="240" w:line="360" w:lineRule="auto"/>
        <w:rPr>
          <w:rFonts w:ascii="Arial" w:hAnsi="Arial" w:cs="Arial"/>
          <w:sz w:val="24"/>
          <w:szCs w:val="24"/>
        </w:rPr>
      </w:pPr>
      <w:r>
        <w:rPr>
          <w:rFonts w:ascii="Arial" w:hAnsi="Arial" w:cs="Arial"/>
          <w:b/>
          <w:bCs/>
          <w:sz w:val="24"/>
          <w:szCs w:val="24"/>
        </w:rPr>
        <w:t>SELOANE INDU</w:t>
      </w:r>
      <w:r w:rsidR="00DF4968">
        <w:rPr>
          <w:rFonts w:ascii="Arial" w:hAnsi="Arial" w:cs="Arial"/>
          <w:b/>
          <w:bCs/>
          <w:sz w:val="24"/>
          <w:szCs w:val="24"/>
        </w:rPr>
        <w:t>S</w:t>
      </w:r>
      <w:r>
        <w:rPr>
          <w:rFonts w:ascii="Arial" w:hAnsi="Arial" w:cs="Arial"/>
          <w:b/>
          <w:bCs/>
          <w:sz w:val="24"/>
          <w:szCs w:val="24"/>
        </w:rPr>
        <w:t>TRIES (PTY) LIMITED</w:t>
      </w:r>
      <w:r>
        <w:rPr>
          <w:rFonts w:ascii="Arial" w:hAnsi="Arial" w:cs="Arial"/>
          <w:b/>
          <w:bCs/>
          <w:sz w:val="24"/>
          <w:szCs w:val="24"/>
        </w:rPr>
        <w:tab/>
      </w:r>
      <w:r>
        <w:rPr>
          <w:rFonts w:ascii="Arial" w:hAnsi="Arial" w:cs="Arial"/>
          <w:bCs/>
          <w:sz w:val="24"/>
          <w:szCs w:val="24"/>
        </w:rPr>
        <w:t>Fifth Respondent</w:t>
      </w:r>
    </w:p>
    <w:p w14:paraId="6B75B693" w14:textId="07FC8DD5" w:rsidR="00B928FE" w:rsidRPr="00671349" w:rsidRDefault="00B928FE" w:rsidP="00B7178D">
      <w:pPr>
        <w:tabs>
          <w:tab w:val="right" w:pos="9356"/>
        </w:tabs>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w:t>
      </w:r>
      <w:r w:rsidR="00E8356A">
        <w:rPr>
          <w:rFonts w:ascii="Arial" w:hAnsi="Arial" w:cs="Arial"/>
          <w:b/>
          <w:bCs/>
          <w:sz w:val="24"/>
          <w:szCs w:val="24"/>
        </w:rPr>
        <w:t>___</w:t>
      </w:r>
      <w:r w:rsidRPr="00671349">
        <w:rPr>
          <w:rFonts w:ascii="Arial" w:hAnsi="Arial" w:cs="Arial"/>
          <w:b/>
          <w:bCs/>
          <w:sz w:val="24"/>
          <w:szCs w:val="24"/>
        </w:rPr>
        <w:t>___</w:t>
      </w:r>
    </w:p>
    <w:p w14:paraId="1DEA2455" w14:textId="6F84BF04" w:rsidR="00D202C2" w:rsidRPr="00671349" w:rsidRDefault="00D202C2" w:rsidP="00B7178D">
      <w:pPr>
        <w:tabs>
          <w:tab w:val="right" w:pos="9356"/>
        </w:tabs>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p>
    <w:p w14:paraId="3A809F54" w14:textId="4CF72F96" w:rsidR="00B928FE" w:rsidRPr="00671349" w:rsidRDefault="00B928FE" w:rsidP="00B7178D">
      <w:pPr>
        <w:tabs>
          <w:tab w:val="right" w:pos="9356"/>
        </w:tabs>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w:t>
      </w:r>
      <w:r w:rsidR="00E8356A">
        <w:rPr>
          <w:rFonts w:ascii="Arial" w:hAnsi="Arial" w:cs="Arial"/>
          <w:b/>
          <w:bCs/>
          <w:sz w:val="24"/>
          <w:szCs w:val="24"/>
        </w:rPr>
        <w:t>___</w:t>
      </w:r>
    </w:p>
    <w:p w14:paraId="7D4970BF" w14:textId="77777777" w:rsidR="00B469F8" w:rsidRDefault="005E4834"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lastRenderedPageBreak/>
        <w:t xml:space="preserve">This judgment </w:t>
      </w:r>
      <w:r>
        <w:rPr>
          <w:rFonts w:ascii="Arial" w:hAnsi="Arial" w:cs="Arial"/>
          <w:b/>
          <w:sz w:val="24"/>
          <w:szCs w:val="24"/>
        </w:rPr>
        <w:t xml:space="preserve">is </w:t>
      </w:r>
      <w:r w:rsidRPr="00FE508D">
        <w:rPr>
          <w:rFonts w:ascii="Arial" w:hAnsi="Arial" w:cs="Arial"/>
          <w:b/>
          <w:sz w:val="24"/>
          <w:szCs w:val="24"/>
        </w:rPr>
        <w:t>handed down electronically by circulation to the parties’ legal representatives by e-mail and by uploading the signed copy to Caselines</w:t>
      </w:r>
      <w:r>
        <w:rPr>
          <w:rFonts w:ascii="Arial" w:hAnsi="Arial" w:cs="Arial"/>
          <w:b/>
          <w:sz w:val="24"/>
          <w:szCs w:val="24"/>
        </w:rPr>
        <w:t>.</w:t>
      </w:r>
    </w:p>
    <w:p w14:paraId="0B56A947" w14:textId="15467714" w:rsidR="00EF3E15" w:rsidRDefault="00EF3E15" w:rsidP="00EF3E15">
      <w:pPr>
        <w:spacing w:after="160" w:line="360" w:lineRule="auto"/>
        <w:rPr>
          <w:rFonts w:ascii="Arial" w:hAnsi="Arial" w:cs="Arial"/>
          <w:bCs/>
          <w:sz w:val="24"/>
          <w:szCs w:val="24"/>
        </w:rPr>
      </w:pPr>
      <w:r>
        <w:rPr>
          <w:rFonts w:ascii="Arial" w:hAnsi="Arial" w:cs="Arial"/>
          <w:bCs/>
          <w:sz w:val="24"/>
          <w:szCs w:val="24"/>
        </w:rPr>
        <w:t xml:space="preserve">Pension </w:t>
      </w:r>
      <w:r w:rsidRPr="00656B16">
        <w:rPr>
          <w:rFonts w:ascii="Arial" w:hAnsi="Arial" w:cs="Arial"/>
          <w:bCs/>
          <w:sz w:val="24"/>
          <w:szCs w:val="24"/>
        </w:rPr>
        <w:t>—</w:t>
      </w:r>
      <w:r>
        <w:rPr>
          <w:rFonts w:ascii="Arial" w:hAnsi="Arial" w:cs="Arial"/>
          <w:bCs/>
          <w:sz w:val="24"/>
          <w:szCs w:val="24"/>
        </w:rPr>
        <w:t xml:space="preserve"> </w:t>
      </w:r>
      <w:r w:rsidRPr="00EF3E15">
        <w:rPr>
          <w:rFonts w:ascii="Arial" w:hAnsi="Arial" w:cs="Arial"/>
          <w:bCs/>
          <w:sz w:val="24"/>
          <w:szCs w:val="24"/>
        </w:rPr>
        <w:t>Benefits</w:t>
      </w:r>
      <w:r>
        <w:rPr>
          <w:rFonts w:ascii="Arial" w:hAnsi="Arial" w:cs="Arial"/>
          <w:bCs/>
          <w:i/>
          <w:iCs/>
          <w:sz w:val="24"/>
          <w:szCs w:val="24"/>
        </w:rPr>
        <w:t xml:space="preserve"> </w:t>
      </w:r>
      <w:r w:rsidRPr="00656B16">
        <w:rPr>
          <w:rFonts w:ascii="Arial" w:hAnsi="Arial" w:cs="Arial"/>
          <w:bCs/>
          <w:sz w:val="24"/>
          <w:szCs w:val="24"/>
        </w:rPr>
        <w:t>—</w:t>
      </w:r>
      <w:r>
        <w:rPr>
          <w:rFonts w:ascii="Arial" w:hAnsi="Arial" w:cs="Arial"/>
          <w:bCs/>
          <w:sz w:val="24"/>
          <w:szCs w:val="24"/>
        </w:rPr>
        <w:t xml:space="preserve"> Withholding </w:t>
      </w:r>
      <w:r w:rsidRPr="00656B16">
        <w:rPr>
          <w:rFonts w:ascii="Arial" w:hAnsi="Arial" w:cs="Arial"/>
          <w:bCs/>
          <w:sz w:val="24"/>
          <w:szCs w:val="24"/>
        </w:rPr>
        <w:t>—</w:t>
      </w:r>
      <w:r>
        <w:rPr>
          <w:rFonts w:ascii="Arial" w:hAnsi="Arial" w:cs="Arial"/>
          <w:bCs/>
          <w:sz w:val="24"/>
          <w:szCs w:val="24"/>
        </w:rPr>
        <w:t xml:space="preserve"> Nature and requirements of employer’s application to compel fund to withhold payment of benefits pending determination of member’s liability to employer for damage caused by reason of theft, dishonesty, etc. </w:t>
      </w:r>
      <w:r w:rsidRPr="00656B16">
        <w:rPr>
          <w:rFonts w:ascii="Arial" w:hAnsi="Arial" w:cs="Arial"/>
          <w:bCs/>
          <w:sz w:val="24"/>
          <w:szCs w:val="24"/>
        </w:rPr>
        <w:t>—</w:t>
      </w:r>
      <w:r>
        <w:rPr>
          <w:rFonts w:ascii="Arial" w:hAnsi="Arial" w:cs="Arial"/>
          <w:bCs/>
          <w:sz w:val="24"/>
          <w:szCs w:val="24"/>
        </w:rPr>
        <w:t xml:space="preserve"> Requirements for anti-dissipation interdict not required to be met </w:t>
      </w:r>
      <w:r w:rsidRPr="00656B16">
        <w:rPr>
          <w:rFonts w:ascii="Arial" w:hAnsi="Arial" w:cs="Arial"/>
          <w:bCs/>
          <w:sz w:val="24"/>
          <w:szCs w:val="24"/>
        </w:rPr>
        <w:t>—</w:t>
      </w:r>
      <w:r>
        <w:rPr>
          <w:rFonts w:ascii="Arial" w:hAnsi="Arial" w:cs="Arial"/>
          <w:bCs/>
          <w:sz w:val="24"/>
          <w:szCs w:val="24"/>
        </w:rPr>
        <w:t xml:space="preserve"> Irreparable harm assumed</w:t>
      </w:r>
      <w:r w:rsidR="005B3A24">
        <w:rPr>
          <w:rFonts w:ascii="Arial" w:hAnsi="Arial" w:cs="Arial"/>
          <w:bCs/>
          <w:sz w:val="24"/>
          <w:szCs w:val="24"/>
        </w:rPr>
        <w:t>,</w:t>
      </w:r>
      <w:r>
        <w:rPr>
          <w:rFonts w:ascii="Arial" w:hAnsi="Arial" w:cs="Arial"/>
          <w:bCs/>
          <w:sz w:val="24"/>
          <w:szCs w:val="24"/>
        </w:rPr>
        <w:t xml:space="preserve"> and absence of alternative remedy not required </w:t>
      </w:r>
      <w:r w:rsidRPr="00656B16">
        <w:rPr>
          <w:rFonts w:ascii="Arial" w:hAnsi="Arial" w:cs="Arial"/>
          <w:bCs/>
          <w:sz w:val="24"/>
          <w:szCs w:val="24"/>
        </w:rPr>
        <w:t>—</w:t>
      </w:r>
      <w:r>
        <w:rPr>
          <w:rFonts w:ascii="Arial" w:hAnsi="Arial" w:cs="Arial"/>
          <w:bCs/>
          <w:sz w:val="24"/>
          <w:szCs w:val="24"/>
        </w:rPr>
        <w:t xml:space="preserve"> Relevance of the likely </w:t>
      </w:r>
      <w:r w:rsidRPr="005B3A24">
        <w:rPr>
          <w:rFonts w:ascii="Arial" w:hAnsi="Arial" w:cs="Arial"/>
          <w:bCs/>
          <w:i/>
          <w:iCs/>
          <w:sz w:val="24"/>
          <w:szCs w:val="24"/>
        </w:rPr>
        <w:t>quantum</w:t>
      </w:r>
      <w:r>
        <w:rPr>
          <w:rFonts w:ascii="Arial" w:hAnsi="Arial" w:cs="Arial"/>
          <w:bCs/>
          <w:sz w:val="24"/>
          <w:szCs w:val="24"/>
        </w:rPr>
        <w:t xml:space="preserve"> and apportionment of damages in evaluating </w:t>
      </w:r>
      <w:r w:rsidRPr="00EF3E15">
        <w:rPr>
          <w:rFonts w:ascii="Arial" w:hAnsi="Arial" w:cs="Arial"/>
          <w:bCs/>
          <w:i/>
          <w:iCs/>
          <w:sz w:val="24"/>
          <w:szCs w:val="24"/>
        </w:rPr>
        <w:t>prima facie</w:t>
      </w:r>
      <w:r>
        <w:rPr>
          <w:rFonts w:ascii="Arial" w:hAnsi="Arial" w:cs="Arial"/>
          <w:bCs/>
          <w:sz w:val="24"/>
          <w:szCs w:val="24"/>
        </w:rPr>
        <w:t xml:space="preserve"> right </w:t>
      </w:r>
      <w:r w:rsidRPr="00656B16">
        <w:rPr>
          <w:rFonts w:ascii="Arial" w:hAnsi="Arial" w:cs="Arial"/>
          <w:bCs/>
          <w:sz w:val="24"/>
          <w:szCs w:val="24"/>
        </w:rPr>
        <w:t>—</w:t>
      </w:r>
      <w:r>
        <w:rPr>
          <w:rFonts w:ascii="Arial" w:hAnsi="Arial" w:cs="Arial"/>
          <w:bCs/>
          <w:sz w:val="24"/>
          <w:szCs w:val="24"/>
        </w:rPr>
        <w:t xml:space="preserve"> Relevance of pension fund’s reasonable exercise of discretion </w:t>
      </w:r>
      <w:r w:rsidRPr="00656B16">
        <w:rPr>
          <w:rFonts w:ascii="Arial" w:hAnsi="Arial" w:cs="Arial"/>
          <w:bCs/>
          <w:sz w:val="24"/>
          <w:szCs w:val="24"/>
        </w:rPr>
        <w:t>—</w:t>
      </w:r>
      <w:r>
        <w:rPr>
          <w:rFonts w:ascii="Arial" w:hAnsi="Arial" w:cs="Arial"/>
          <w:bCs/>
          <w:sz w:val="24"/>
          <w:szCs w:val="24"/>
        </w:rPr>
        <w:t xml:space="preserve"> application of the standard of the </w:t>
      </w:r>
      <w:r w:rsidRPr="005B3A24">
        <w:rPr>
          <w:rFonts w:ascii="Arial" w:hAnsi="Arial" w:cs="Arial"/>
          <w:bCs/>
          <w:i/>
          <w:iCs/>
          <w:sz w:val="24"/>
          <w:szCs w:val="24"/>
        </w:rPr>
        <w:t>arbitrium boni viri</w:t>
      </w:r>
      <w:r>
        <w:rPr>
          <w:rFonts w:ascii="Arial" w:hAnsi="Arial" w:cs="Arial"/>
          <w:bCs/>
          <w:sz w:val="24"/>
          <w:szCs w:val="24"/>
        </w:rPr>
        <w:t>.</w:t>
      </w:r>
    </w:p>
    <w:p w14:paraId="27CBCA63" w14:textId="2581990B" w:rsidR="00EF3E15" w:rsidRDefault="00EF3E15" w:rsidP="00B928FE">
      <w:pPr>
        <w:tabs>
          <w:tab w:val="left" w:pos="0"/>
          <w:tab w:val="right" w:pos="9070"/>
        </w:tabs>
        <w:autoSpaceDE w:val="0"/>
        <w:autoSpaceDN w:val="0"/>
        <w:adjustRightInd w:val="0"/>
        <w:spacing w:before="240" w:after="120" w:line="360" w:lineRule="auto"/>
        <w:rPr>
          <w:rFonts w:ascii="Arial" w:hAnsi="Arial" w:cs="Arial"/>
          <w:b/>
          <w:sz w:val="24"/>
          <w:szCs w:val="24"/>
        </w:rPr>
        <w:sectPr w:rsidR="00EF3E15" w:rsidSect="004D2E17">
          <w:headerReference w:type="default" r:id="rId10"/>
          <w:pgSz w:w="11906" w:h="16838"/>
          <w:pgMar w:top="1440" w:right="1841" w:bottom="1440" w:left="1560" w:header="709" w:footer="709" w:gutter="0"/>
          <w:cols w:space="708"/>
          <w:titlePg/>
          <w:docGrid w:linePitch="360"/>
        </w:sectPr>
      </w:pPr>
    </w:p>
    <w:p w14:paraId="736D3A2C" w14:textId="1E21DD24" w:rsidR="00D202C2" w:rsidRPr="00671349" w:rsidRDefault="003C4F1C"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lastRenderedPageBreak/>
        <w:t>MOULTRIE</w:t>
      </w:r>
      <w:r w:rsidR="00D202C2" w:rsidRPr="00671349">
        <w:rPr>
          <w:rFonts w:ascii="Arial" w:hAnsi="Arial" w:cs="Arial"/>
          <w:b/>
          <w:sz w:val="24"/>
          <w:szCs w:val="24"/>
        </w:rPr>
        <w:t xml:space="preserve"> AJ</w:t>
      </w:r>
    </w:p>
    <w:p w14:paraId="45E1BF50" w14:textId="14888981" w:rsidR="009B6CDF" w:rsidRDefault="007D2029" w:rsidP="007D2029">
      <w:pPr>
        <w:pStyle w:val="LC1"/>
        <w:numPr>
          <w:ilvl w:val="0"/>
          <w:numId w:val="0"/>
        </w:numPr>
        <w:ind w:left="720" w:hanging="720"/>
      </w:pPr>
      <w:r>
        <w:rPr>
          <w:rFonts w:cs="Arial"/>
          <w:szCs w:val="24"/>
        </w:rPr>
        <w:t>[1]</w:t>
      </w:r>
      <w:r>
        <w:rPr>
          <w:rFonts w:cs="Arial"/>
          <w:szCs w:val="24"/>
        </w:rPr>
        <w:tab/>
      </w:r>
      <w:r w:rsidR="00974F9F">
        <w:t>The third re</w:t>
      </w:r>
      <w:bookmarkStart w:id="0" w:name="_GoBack"/>
      <w:r w:rsidR="00974F9F">
        <w:t>s</w:t>
      </w:r>
      <w:bookmarkEnd w:id="0"/>
      <w:r w:rsidR="00974F9F">
        <w:t>pondent and her husband (the fourth respondent) are both ex-employees of the applicant</w:t>
      </w:r>
      <w:r w:rsidR="00B10449">
        <w:t xml:space="preserve">. </w:t>
      </w:r>
      <w:r w:rsidR="009B6CDF">
        <w:t>The fourth respondent was a service technician who resigned from his employment in December 2021</w:t>
      </w:r>
      <w:r w:rsidR="00246C54">
        <w:t>.</w:t>
      </w:r>
      <w:r w:rsidR="009B6CDF">
        <w:t xml:space="preserve"> </w:t>
      </w:r>
      <w:r w:rsidR="00246C54">
        <w:t>T</w:t>
      </w:r>
      <w:r w:rsidR="009B6CDF">
        <w:t xml:space="preserve">he third respondent was employed as the applicant’s Assistant Financial Manager until she was dismissed on 26 May 2022 following a disciplinary enquiry in which she had been charged and found guilty of misconduct. The third respondent has not challenged </w:t>
      </w:r>
      <w:r w:rsidR="00246C54">
        <w:t xml:space="preserve">the fairness of her </w:t>
      </w:r>
      <w:r w:rsidR="009B6CDF">
        <w:t xml:space="preserve">dismissal. </w:t>
      </w:r>
    </w:p>
    <w:p w14:paraId="100FEFB4" w14:textId="4F0F2EF0" w:rsidR="004A7CB7" w:rsidRDefault="007D2029" w:rsidP="007D2029">
      <w:pPr>
        <w:pStyle w:val="LC1"/>
        <w:numPr>
          <w:ilvl w:val="0"/>
          <w:numId w:val="0"/>
        </w:numPr>
        <w:ind w:left="720" w:hanging="720"/>
      </w:pPr>
      <w:r>
        <w:rPr>
          <w:rFonts w:cs="Arial"/>
          <w:szCs w:val="24"/>
        </w:rPr>
        <w:t>[2]</w:t>
      </w:r>
      <w:r>
        <w:rPr>
          <w:rFonts w:cs="Arial"/>
          <w:szCs w:val="24"/>
        </w:rPr>
        <w:tab/>
      </w:r>
      <w:r w:rsidR="00B10449">
        <w:t>In April 2022, t</w:t>
      </w:r>
      <w:r w:rsidR="00E37AFC">
        <w:t xml:space="preserve">he applicant </w:t>
      </w:r>
      <w:r w:rsidR="00974F9F">
        <w:t xml:space="preserve">instituted an action </w:t>
      </w:r>
      <w:r w:rsidR="00672A29">
        <w:t xml:space="preserve">against </w:t>
      </w:r>
      <w:r w:rsidR="009B6CDF">
        <w:t>the third and fourth respondent</w:t>
      </w:r>
      <w:r w:rsidR="00345664">
        <w:t>s</w:t>
      </w:r>
      <w:r w:rsidR="009B6CDF">
        <w:t xml:space="preserve"> </w:t>
      </w:r>
      <w:r w:rsidR="00E37AFC">
        <w:t>as joint wrongdoer</w:t>
      </w:r>
      <w:r w:rsidR="00974F9F">
        <w:t>s</w:t>
      </w:r>
      <w:r w:rsidR="00E37AFC">
        <w:t xml:space="preserve"> together with the fifth respondent</w:t>
      </w:r>
      <w:r w:rsidR="00AF4CAC">
        <w:t xml:space="preserve">, </w:t>
      </w:r>
      <w:r w:rsidR="00974F9F">
        <w:t>a company</w:t>
      </w:r>
      <w:r w:rsidR="00B10449">
        <w:t xml:space="preserve"> </w:t>
      </w:r>
      <w:r w:rsidR="00974F9F">
        <w:t xml:space="preserve">of which the fourth respondent </w:t>
      </w:r>
      <w:r w:rsidR="00AF4CAC">
        <w:t xml:space="preserve">(but not the third respondent) </w:t>
      </w:r>
      <w:r w:rsidR="00974F9F">
        <w:t>is a director</w:t>
      </w:r>
      <w:r w:rsidR="00AF4CAC">
        <w:t>. In the action, the applicant</w:t>
      </w:r>
      <w:r w:rsidR="00060F02">
        <w:t xml:space="preserve"> </w:t>
      </w:r>
      <w:r w:rsidR="00974F9F">
        <w:t>seek</w:t>
      </w:r>
      <w:r w:rsidR="00AF4CAC">
        <w:t xml:space="preserve">s </w:t>
      </w:r>
      <w:r w:rsidR="00AF4CAC" w:rsidRPr="009B6CDF">
        <w:rPr>
          <w:i/>
          <w:iCs/>
        </w:rPr>
        <w:t>inter alia</w:t>
      </w:r>
      <w:r w:rsidR="00974F9F">
        <w:t xml:space="preserve"> </w:t>
      </w:r>
      <w:r w:rsidR="00AF4CAC">
        <w:t xml:space="preserve">an order </w:t>
      </w:r>
      <w:r w:rsidR="00672A29">
        <w:t xml:space="preserve">requiring the defendants to pay </w:t>
      </w:r>
      <w:r w:rsidR="00E37AFC">
        <w:t xml:space="preserve">damages </w:t>
      </w:r>
      <w:r w:rsidR="00AF7AF9">
        <w:t xml:space="preserve">in the sum of R1,360,030.63 </w:t>
      </w:r>
      <w:r w:rsidR="00C07234">
        <w:t>a</w:t>
      </w:r>
      <w:r w:rsidR="00E37AFC">
        <w:t xml:space="preserve">rising out of alleged breaches </w:t>
      </w:r>
      <w:r w:rsidR="00B10449">
        <w:t xml:space="preserve">by the third and fourth respondents of their </w:t>
      </w:r>
      <w:r w:rsidR="00E37AFC">
        <w:t xml:space="preserve">contractual and fiduciary duties </w:t>
      </w:r>
      <w:r w:rsidR="00060F02">
        <w:t xml:space="preserve">in </w:t>
      </w:r>
      <w:r w:rsidR="00B10449">
        <w:t xml:space="preserve">assisting </w:t>
      </w:r>
      <w:r w:rsidR="004A7CB7">
        <w:t xml:space="preserve">the fifth respondent </w:t>
      </w:r>
      <w:r w:rsidR="00B10449">
        <w:t xml:space="preserve">to compete </w:t>
      </w:r>
      <w:r w:rsidR="00060F02">
        <w:t>with</w:t>
      </w:r>
      <w:r w:rsidR="00B10449">
        <w:t xml:space="preserve"> their employer</w:t>
      </w:r>
      <w:r w:rsidR="00C07234">
        <w:t>.</w:t>
      </w:r>
      <w:r w:rsidR="00672A29">
        <w:t xml:space="preserve"> </w:t>
      </w:r>
      <w:r w:rsidR="004A7CB7">
        <w:t xml:space="preserve">The damages amount is calculated on the basis that it represents the gross profit that </w:t>
      </w:r>
      <w:r w:rsidR="00345664">
        <w:t xml:space="preserve">the applicant </w:t>
      </w:r>
      <w:r w:rsidR="004A7CB7">
        <w:t xml:space="preserve">would have earned had it exploited ten specific transactions that it contends were unlawfully diverted to the fifth respondent by the </w:t>
      </w:r>
      <w:r w:rsidR="00C14E1C">
        <w:t>defendants</w:t>
      </w:r>
      <w:r w:rsidR="004A7CB7">
        <w:t>.</w:t>
      </w:r>
    </w:p>
    <w:p w14:paraId="2A038691" w14:textId="30EEAA7C" w:rsidR="00060F02" w:rsidRDefault="007D2029" w:rsidP="007D2029">
      <w:pPr>
        <w:pStyle w:val="LC1"/>
        <w:numPr>
          <w:ilvl w:val="0"/>
          <w:numId w:val="0"/>
        </w:numPr>
        <w:ind w:left="720" w:hanging="720"/>
        <w:rPr>
          <w:rFonts w:eastAsia="Cambria"/>
        </w:rPr>
      </w:pPr>
      <w:r>
        <w:rPr>
          <w:rFonts w:eastAsia="Cambria" w:cs="Arial"/>
          <w:szCs w:val="24"/>
        </w:rPr>
        <w:t>[3]</w:t>
      </w:r>
      <w:r>
        <w:rPr>
          <w:rFonts w:eastAsia="Cambria" w:cs="Arial"/>
          <w:szCs w:val="24"/>
        </w:rPr>
        <w:tab/>
      </w:r>
      <w:r w:rsidR="00974F9F">
        <w:t xml:space="preserve">The applicant contends that the </w:t>
      </w:r>
      <w:r w:rsidR="00060F02">
        <w:t>damag</w:t>
      </w:r>
      <w:r w:rsidR="00974F9F">
        <w:t xml:space="preserve">es </w:t>
      </w:r>
      <w:r w:rsidR="00060F02">
        <w:t>that it claim</w:t>
      </w:r>
      <w:r w:rsidR="00AF4CAC">
        <w:t>s</w:t>
      </w:r>
      <w:r w:rsidR="00060F02">
        <w:t xml:space="preserve"> from the third </w:t>
      </w:r>
      <w:r w:rsidR="00060F02">
        <w:lastRenderedPageBreak/>
        <w:t xml:space="preserve">respondent </w:t>
      </w:r>
      <w:r w:rsidR="00AF4CAC">
        <w:t xml:space="preserve">in the action </w:t>
      </w:r>
      <w:r w:rsidR="00060F02">
        <w:t>were caused to it “</w:t>
      </w:r>
      <w:r w:rsidR="00060F02" w:rsidRPr="00060F02">
        <w:rPr>
          <w:i/>
          <w:iCs/>
        </w:rPr>
        <w:t>by reason of any theft, dishonesty, fraud or misconduct</w:t>
      </w:r>
      <w:r w:rsidR="00060F02">
        <w:t xml:space="preserve">” </w:t>
      </w:r>
      <w:r w:rsidR="00974F9F">
        <w:t>on her part</w:t>
      </w:r>
      <w:r w:rsidR="00060F02">
        <w:t xml:space="preserve"> </w:t>
      </w:r>
      <w:r w:rsidR="00B642F4">
        <w:t xml:space="preserve">as contemplated in </w:t>
      </w:r>
      <w:r w:rsidR="00B642F4" w:rsidRPr="00060F02">
        <w:rPr>
          <w:rFonts w:eastAsia="Cambria"/>
        </w:rPr>
        <w:t>section 37D(i)(b)(ii)</w:t>
      </w:r>
      <w:r w:rsidR="00B642F4">
        <w:rPr>
          <w:rFonts w:eastAsia="Cambria"/>
        </w:rPr>
        <w:t>(</w:t>
      </w:r>
      <w:r w:rsidR="00B642F4" w:rsidRPr="00060F02">
        <w:rPr>
          <w:rFonts w:eastAsia="Cambria"/>
        </w:rPr>
        <w:t>bb) of the Pensions Funds Act</w:t>
      </w:r>
      <w:r w:rsidR="00B642F4">
        <w:rPr>
          <w:rFonts w:eastAsia="Cambria"/>
        </w:rPr>
        <w:t xml:space="preserve">, 24 of 1956 </w:t>
      </w:r>
      <w:r w:rsidR="00974F9F">
        <w:t>and that</w:t>
      </w:r>
      <w:r w:rsidR="00AF4CAC">
        <w:t xml:space="preserve"> </w:t>
      </w:r>
      <w:r w:rsidR="00974F9F">
        <w:rPr>
          <w:rFonts w:eastAsia="Cambria"/>
        </w:rPr>
        <w:t xml:space="preserve">should </w:t>
      </w:r>
      <w:r w:rsidR="00B10449">
        <w:rPr>
          <w:rFonts w:eastAsia="Cambria"/>
        </w:rPr>
        <w:t xml:space="preserve">it </w:t>
      </w:r>
      <w:r w:rsidR="00974F9F">
        <w:rPr>
          <w:rFonts w:eastAsia="Cambria"/>
        </w:rPr>
        <w:t xml:space="preserve">ultimately be </w:t>
      </w:r>
      <w:r w:rsidR="00060F02" w:rsidRPr="00060F02">
        <w:rPr>
          <w:rFonts w:eastAsia="Cambria"/>
        </w:rPr>
        <w:t xml:space="preserve">successful in </w:t>
      </w:r>
      <w:r w:rsidR="00AF4CAC">
        <w:rPr>
          <w:rFonts w:eastAsia="Cambria"/>
        </w:rPr>
        <w:t>this regard</w:t>
      </w:r>
      <w:r w:rsidR="00060F02">
        <w:rPr>
          <w:rFonts w:eastAsia="Cambria"/>
        </w:rPr>
        <w:t xml:space="preserve">, the </w:t>
      </w:r>
      <w:r w:rsidR="00AF4CAC">
        <w:rPr>
          <w:rFonts w:eastAsia="Cambria"/>
        </w:rPr>
        <w:t xml:space="preserve">first respondent (a pension fund administered by the second respondent) </w:t>
      </w:r>
      <w:r w:rsidR="00060F02">
        <w:rPr>
          <w:rFonts w:eastAsia="Cambria"/>
        </w:rPr>
        <w:t xml:space="preserve">will be </w:t>
      </w:r>
      <w:r w:rsidR="00060F02" w:rsidRPr="00060F02">
        <w:rPr>
          <w:rFonts w:eastAsia="Cambria"/>
        </w:rPr>
        <w:t xml:space="preserve">entitled in terms of the </w:t>
      </w:r>
      <w:r w:rsidR="00B642F4">
        <w:rPr>
          <w:rFonts w:eastAsia="Cambria"/>
        </w:rPr>
        <w:t xml:space="preserve">section </w:t>
      </w:r>
      <w:r w:rsidR="00060F02" w:rsidRPr="00060F02">
        <w:rPr>
          <w:rFonts w:eastAsia="Cambria"/>
        </w:rPr>
        <w:t xml:space="preserve">to </w:t>
      </w:r>
      <w:r w:rsidR="00060F02">
        <w:rPr>
          <w:rFonts w:eastAsia="Cambria"/>
        </w:rPr>
        <w:t xml:space="preserve">deduct </w:t>
      </w:r>
      <w:r w:rsidR="00974F9F">
        <w:rPr>
          <w:rFonts w:eastAsia="Cambria"/>
        </w:rPr>
        <w:t xml:space="preserve">the </w:t>
      </w:r>
      <w:r w:rsidR="00B10449">
        <w:rPr>
          <w:rFonts w:eastAsia="Cambria"/>
        </w:rPr>
        <w:t xml:space="preserve">amount of </w:t>
      </w:r>
      <w:r w:rsidR="00974F9F">
        <w:rPr>
          <w:rFonts w:eastAsia="Cambria"/>
        </w:rPr>
        <w:t xml:space="preserve">damages found to be payable from </w:t>
      </w:r>
      <w:r w:rsidR="00AF4CAC">
        <w:rPr>
          <w:rFonts w:eastAsia="Cambria"/>
        </w:rPr>
        <w:t xml:space="preserve">the third respondent’s </w:t>
      </w:r>
      <w:r w:rsidR="00060F02" w:rsidRPr="00060F02">
        <w:rPr>
          <w:rFonts w:eastAsia="Cambria"/>
        </w:rPr>
        <w:t xml:space="preserve">pension benefit </w:t>
      </w:r>
      <w:r w:rsidR="00060F02">
        <w:rPr>
          <w:rFonts w:eastAsia="Cambria"/>
        </w:rPr>
        <w:t xml:space="preserve">and to pay </w:t>
      </w:r>
      <w:r w:rsidR="00974F9F">
        <w:rPr>
          <w:rFonts w:eastAsia="Cambria"/>
        </w:rPr>
        <w:t xml:space="preserve">them </w:t>
      </w:r>
      <w:r w:rsidR="00060F02">
        <w:rPr>
          <w:rFonts w:eastAsia="Cambria"/>
        </w:rPr>
        <w:t xml:space="preserve">over to the applicant. </w:t>
      </w:r>
    </w:p>
    <w:p w14:paraId="5E53B05D" w14:textId="28D93C65" w:rsidR="00AF4CAC" w:rsidRDefault="007D2029" w:rsidP="007D2029">
      <w:pPr>
        <w:pStyle w:val="LC1"/>
        <w:numPr>
          <w:ilvl w:val="0"/>
          <w:numId w:val="0"/>
        </w:numPr>
        <w:ind w:left="720" w:hanging="720"/>
      </w:pPr>
      <w:r>
        <w:rPr>
          <w:rFonts w:cs="Arial"/>
          <w:szCs w:val="24"/>
        </w:rPr>
        <w:t>[4]</w:t>
      </w:r>
      <w:r>
        <w:rPr>
          <w:rFonts w:cs="Arial"/>
          <w:szCs w:val="24"/>
        </w:rPr>
        <w:tab/>
      </w:r>
      <w:r w:rsidR="00B10449">
        <w:t xml:space="preserve">In view of the fact that they are no longer employed by the applicant, the third and fourth respondents are withdrawing from the pension fund and </w:t>
      </w:r>
      <w:r w:rsidR="00AF4CAC">
        <w:t xml:space="preserve">are seeking </w:t>
      </w:r>
      <w:r w:rsidR="00B10449">
        <w:t xml:space="preserve">payment of </w:t>
      </w:r>
      <w:r w:rsidR="000D7C80">
        <w:t xml:space="preserve">their </w:t>
      </w:r>
      <w:r w:rsidR="004A7CB7">
        <w:t xml:space="preserve">accrued </w:t>
      </w:r>
      <w:r w:rsidR="00B10449">
        <w:t>pension benefits</w:t>
      </w:r>
      <w:r w:rsidR="004A7CB7">
        <w:t xml:space="preserve"> (amounting to R387,926.98 </w:t>
      </w:r>
      <w:r w:rsidR="00345664">
        <w:t xml:space="preserve">and </w:t>
      </w:r>
      <w:r w:rsidR="00345664">
        <w:rPr>
          <w:lang w:eastAsia="en-ZA"/>
        </w:rPr>
        <w:t>R449,219.30</w:t>
      </w:r>
      <w:r w:rsidR="00345664">
        <w:t xml:space="preserve"> </w:t>
      </w:r>
      <w:r w:rsidR="004A7CB7">
        <w:t>respectively)</w:t>
      </w:r>
      <w:r w:rsidR="000D7C80">
        <w:t xml:space="preserve">. </w:t>
      </w:r>
      <w:r w:rsidR="00AF4CAC">
        <w:t>The applicant, on the other hand has requested the fund to withhold payment of the</w:t>
      </w:r>
      <w:r w:rsidR="00B642F4">
        <w:t>ir</w:t>
      </w:r>
      <w:r w:rsidR="00AF4CAC">
        <w:t xml:space="preserve"> pension benefits in terms of Rule 12.4.</w:t>
      </w:r>
      <w:r w:rsidR="009B6CDF">
        <w:t>5</w:t>
      </w:r>
      <w:r w:rsidR="00AF4CAC">
        <w:t xml:space="preserve"> of its rules, which provides that:</w:t>
      </w:r>
    </w:p>
    <w:p w14:paraId="4BA1CB4F" w14:textId="0D4A3CE1" w:rsidR="00AF4CAC" w:rsidRPr="00AF4CAC" w:rsidRDefault="00AF4CAC" w:rsidP="00AF4CAC">
      <w:pPr>
        <w:pStyle w:val="HeadsQuote"/>
      </w:pPr>
      <w:r>
        <w:t xml:space="preserve">Where the Employer or the Fund seek to recover an amount referred to in Section 37D(1)(b)(ii)(bb) of the Act by obtaining a judgement in value against the Member from any competent court, notwithstanding anything to the contrary stated in these Rules, the Fund shall be </w:t>
      </w:r>
      <w:r w:rsidRPr="00AF4CAC">
        <w:t>entitled</w:t>
      </w:r>
      <w:r>
        <w:t xml:space="preserve"> to withhold the amount to be recovered until the earlier of the date on which proceedings are determined, settled or withdrawn, </w:t>
      </w:r>
      <w:r w:rsidRPr="00AF4CAC">
        <w:t>provided that:</w:t>
      </w:r>
    </w:p>
    <w:p w14:paraId="19016247" w14:textId="790A48F1" w:rsidR="00AF4CAC" w:rsidRPr="00AF4CAC" w:rsidRDefault="00AF4CAC" w:rsidP="00AF4CAC">
      <w:pPr>
        <w:pStyle w:val="HeadsQuote"/>
        <w:ind w:left="2160" w:hanging="720"/>
      </w:pPr>
      <w:r w:rsidRPr="00AF4CAC">
        <w:t xml:space="preserve">(a) </w:t>
      </w:r>
      <w:r w:rsidRPr="00AF4CAC">
        <w:tab/>
        <w:t>the</w:t>
      </w:r>
      <w:r>
        <w:t xml:space="preserve"> Board of Trustees </w:t>
      </w:r>
      <w:r w:rsidRPr="00AF4CAC">
        <w:t xml:space="preserve">is satisfied that the </w:t>
      </w:r>
      <w:r>
        <w:t xml:space="preserve">Employer or Fund </w:t>
      </w:r>
      <w:r w:rsidRPr="00AF4CAC">
        <w:t xml:space="preserve">has established a prima facie case against the </w:t>
      </w:r>
      <w:r>
        <w:t>Member</w:t>
      </w:r>
      <w:r w:rsidRPr="00AF4CAC">
        <w:t>;</w:t>
      </w:r>
    </w:p>
    <w:p w14:paraId="652409B2" w14:textId="6AFE47EA" w:rsidR="00AF4CAC" w:rsidRPr="00AF4CAC" w:rsidRDefault="00AF4CAC" w:rsidP="00AF4CAC">
      <w:pPr>
        <w:pStyle w:val="HeadsQuote"/>
        <w:ind w:left="2160" w:hanging="720"/>
      </w:pPr>
      <w:r w:rsidRPr="00AF4CAC">
        <w:t xml:space="preserve">(b) </w:t>
      </w:r>
      <w:r w:rsidRPr="00AF4CAC">
        <w:tab/>
        <w:t xml:space="preserve">the </w:t>
      </w:r>
      <w:r>
        <w:t xml:space="preserve">Board of Trustees </w:t>
      </w:r>
      <w:r w:rsidRPr="00AF4CAC">
        <w:t xml:space="preserve">are of the opinion that the </w:t>
      </w:r>
      <w:r>
        <w:t xml:space="preserve">Employer or Fund </w:t>
      </w:r>
      <w:r w:rsidRPr="00AF4CAC">
        <w:t xml:space="preserve">has a reasonable chance of succeeding in the proceedings instituted against the </w:t>
      </w:r>
      <w:r>
        <w:t>Member</w:t>
      </w:r>
      <w:r w:rsidRPr="00AF4CAC">
        <w:t>; and</w:t>
      </w:r>
    </w:p>
    <w:p w14:paraId="3294CB94" w14:textId="38603C6F" w:rsidR="00AF4CAC" w:rsidRPr="00AF4CAC" w:rsidRDefault="00AF4CAC" w:rsidP="00AF4CAC">
      <w:pPr>
        <w:pStyle w:val="HeadsQuote"/>
        <w:ind w:left="2160" w:hanging="720"/>
      </w:pPr>
      <w:r w:rsidRPr="00AF4CAC">
        <w:t xml:space="preserve">(c) </w:t>
      </w:r>
      <w:r w:rsidRPr="00AF4CAC">
        <w:tab/>
        <w:t xml:space="preserve">the </w:t>
      </w:r>
      <w:r>
        <w:t xml:space="preserve">Employer or Fund </w:t>
      </w:r>
      <w:r w:rsidRPr="00AF4CAC">
        <w:t>has taken all reasonable steps to enter the case on the rolls of the court at the earliest possible date and is not responsible for any undue delays in the prosecution of the proceedings.</w:t>
      </w:r>
    </w:p>
    <w:p w14:paraId="1A5DF49B" w14:textId="32A61751" w:rsidR="000D7C80" w:rsidRPr="009B6CDF" w:rsidRDefault="007D2029" w:rsidP="007D2029">
      <w:pPr>
        <w:pStyle w:val="LC1"/>
        <w:numPr>
          <w:ilvl w:val="0"/>
          <w:numId w:val="0"/>
        </w:numPr>
        <w:ind w:left="720" w:hanging="720"/>
        <w:rPr>
          <w:rFonts w:eastAsia="Cambria"/>
        </w:rPr>
      </w:pPr>
      <w:r w:rsidRPr="009B6CDF">
        <w:rPr>
          <w:rFonts w:eastAsia="Cambria" w:cs="Arial"/>
          <w:szCs w:val="24"/>
        </w:rPr>
        <w:t>[5]</w:t>
      </w:r>
      <w:r w:rsidRPr="009B6CDF">
        <w:rPr>
          <w:rFonts w:eastAsia="Cambria" w:cs="Arial"/>
          <w:szCs w:val="24"/>
        </w:rPr>
        <w:tab/>
      </w:r>
      <w:r w:rsidR="00AF4CAC">
        <w:t xml:space="preserve">On </w:t>
      </w:r>
      <w:r w:rsidR="009B6CDF">
        <w:t>30 November 2022</w:t>
      </w:r>
      <w:r w:rsidR="00AF4CAC">
        <w:t xml:space="preserve">, the pension </w:t>
      </w:r>
      <w:r w:rsidR="009B6CDF">
        <w:t>f</w:t>
      </w:r>
      <w:r w:rsidR="00AF4CAC">
        <w:t xml:space="preserve">und </w:t>
      </w:r>
      <w:r w:rsidR="009B6CDF">
        <w:t xml:space="preserve">indicated </w:t>
      </w:r>
      <w:r w:rsidR="00AF4CAC">
        <w:t>that</w:t>
      </w:r>
      <w:r w:rsidR="002B1C10">
        <w:t>,</w:t>
      </w:r>
      <w:r w:rsidR="00AF4CAC">
        <w:t xml:space="preserve"> </w:t>
      </w:r>
      <w:r w:rsidR="002B1C10">
        <w:t>while</w:t>
      </w:r>
      <w:r w:rsidR="00AF4CAC">
        <w:t xml:space="preserve"> it </w:t>
      </w:r>
      <w:r w:rsidR="004A7CB7">
        <w:t xml:space="preserve">had decided </w:t>
      </w:r>
      <w:r w:rsidR="00B10449">
        <w:t>to withhold the fourth respondent’s pension benefits</w:t>
      </w:r>
      <w:r w:rsidR="000D7C80">
        <w:t xml:space="preserve"> in terms of </w:t>
      </w:r>
      <w:r w:rsidR="00AF4CAC">
        <w:lastRenderedPageBreak/>
        <w:t>this rule</w:t>
      </w:r>
      <w:r w:rsidR="002B1C10">
        <w:t>,</w:t>
      </w:r>
    </w:p>
    <w:p w14:paraId="5CC1664A" w14:textId="66565378" w:rsidR="009B6CDF" w:rsidRDefault="009B6CDF" w:rsidP="009B6CDF">
      <w:pPr>
        <w:pStyle w:val="HeadsQuote"/>
      </w:pPr>
      <w:r>
        <w:t>We confirm that the Board has reviewed the continued withholding of the benefits for Mrs C Wilkinson and a decision has been made to NOT continue withholding of her benefits.</w:t>
      </w:r>
    </w:p>
    <w:p w14:paraId="027E1701" w14:textId="77777777" w:rsidR="009B6CDF" w:rsidRDefault="009B6CDF" w:rsidP="009B6CDF">
      <w:pPr>
        <w:pStyle w:val="HeadsQuote"/>
      </w:pPr>
      <w:r>
        <w:t>The decision is based on the fact that:</w:t>
      </w:r>
    </w:p>
    <w:p w14:paraId="00E8622C" w14:textId="55DDA23E" w:rsidR="009B6CDF" w:rsidRDefault="007D2029" w:rsidP="007D2029">
      <w:pPr>
        <w:pStyle w:val="HeadsQuote"/>
        <w:ind w:left="2160" w:hanging="360"/>
      </w:pPr>
      <w:r>
        <w:rPr>
          <w:rFonts w:ascii="Symbol" w:hAnsi="Symbol"/>
          <w:i w:val="0"/>
        </w:rPr>
        <w:t></w:t>
      </w:r>
      <w:r>
        <w:rPr>
          <w:rFonts w:ascii="Symbol" w:hAnsi="Symbol"/>
          <w:i w:val="0"/>
        </w:rPr>
        <w:tab/>
      </w:r>
      <w:r w:rsidR="009B6CDF">
        <w:t>the amount being withheld does not exceed the amount being claimed - R 387,926.98 vs R1,3 m</w:t>
      </w:r>
    </w:p>
    <w:p w14:paraId="399F81E1" w14:textId="44C1B230" w:rsidR="009B6CDF" w:rsidRDefault="007D2029" w:rsidP="007D2029">
      <w:pPr>
        <w:pStyle w:val="HeadsQuote"/>
        <w:ind w:left="2160" w:hanging="360"/>
      </w:pPr>
      <w:r>
        <w:rPr>
          <w:rFonts w:ascii="Symbol" w:hAnsi="Symbol"/>
          <w:i w:val="0"/>
        </w:rPr>
        <w:t></w:t>
      </w:r>
      <w:r>
        <w:rPr>
          <w:rFonts w:ascii="Symbol" w:hAnsi="Symbol"/>
          <w:i w:val="0"/>
        </w:rPr>
        <w:tab/>
      </w:r>
      <w:r w:rsidR="009B6CDF">
        <w:t>The members response to the allegations has also been reviewed.</w:t>
      </w:r>
    </w:p>
    <w:p w14:paraId="5CEE712A" w14:textId="1F4F6AD2" w:rsidR="009B6CDF" w:rsidRDefault="007D2029" w:rsidP="007D2029">
      <w:pPr>
        <w:pStyle w:val="HeadsQuote"/>
        <w:ind w:left="2160" w:hanging="360"/>
      </w:pPr>
      <w:r>
        <w:rPr>
          <w:rFonts w:ascii="Symbol" w:hAnsi="Symbol"/>
          <w:i w:val="0"/>
        </w:rPr>
        <w:t></w:t>
      </w:r>
      <w:r>
        <w:rPr>
          <w:rFonts w:ascii="Symbol" w:hAnsi="Symbol"/>
          <w:i w:val="0"/>
        </w:rPr>
        <w:tab/>
      </w:r>
      <w:r w:rsidR="009B6CDF">
        <w:t>there was no undue delay in the proceedings caused by the employer</w:t>
      </w:r>
      <w:r w:rsidR="00665914">
        <w:t>,</w:t>
      </w:r>
    </w:p>
    <w:p w14:paraId="1601A5B1" w14:textId="181CAE17" w:rsidR="009B6CDF" w:rsidRDefault="007D2029" w:rsidP="007D2029">
      <w:pPr>
        <w:pStyle w:val="HeadsQuote"/>
        <w:ind w:left="2160" w:hanging="360"/>
      </w:pPr>
      <w:r>
        <w:rPr>
          <w:rFonts w:ascii="Symbol" w:hAnsi="Symbol"/>
          <w:i w:val="0"/>
        </w:rPr>
        <w:t></w:t>
      </w:r>
      <w:r>
        <w:rPr>
          <w:rFonts w:ascii="Symbol" w:hAnsi="Symbol"/>
          <w:i w:val="0"/>
        </w:rPr>
        <w:tab/>
      </w:r>
      <w:r w:rsidR="009B6CDF">
        <w:t>however, the allegations against the member are that of misconduct which the OPFA has expressly indicated is not covered by section 37D of the Act (fraud, theft, dishonesty) - the fact that the member used company time to issue invoices or follow up on outstanding payments in respect of her husband's business does not constitute fraud, theft or dishonesty as provided for in the Act.</w:t>
      </w:r>
    </w:p>
    <w:p w14:paraId="64A85E34" w14:textId="32508C00" w:rsidR="009B6CDF" w:rsidRDefault="009B6CDF" w:rsidP="009B6CDF">
      <w:pPr>
        <w:pStyle w:val="HeadsQuote"/>
      </w:pPr>
      <w:r>
        <w:t xml:space="preserve">Based on the documentation received, The board is of the view that the conditions of Rule 12.4.5 has </w:t>
      </w:r>
      <w:r w:rsidRPr="009B6CDF">
        <w:rPr>
          <w:b/>
          <w:bCs/>
          <w:u w:val="single"/>
        </w:rPr>
        <w:t>not</w:t>
      </w:r>
      <w:r>
        <w:t xml:space="preserve"> been met, and that the Fund is not entitled to withhold the member's benefit.</w:t>
      </w:r>
    </w:p>
    <w:p w14:paraId="01876718" w14:textId="26C411F4" w:rsidR="009B6CDF" w:rsidRPr="000D7C80" w:rsidRDefault="009B6CDF" w:rsidP="009B6CDF">
      <w:pPr>
        <w:pStyle w:val="HeadsQuote"/>
      </w:pPr>
      <w:r>
        <w:t>Please ensure that the Employer is advised accordingly, and failing any further action from the employer, that the members benefit be released.</w:t>
      </w:r>
    </w:p>
    <w:p w14:paraId="4CB05647" w14:textId="7E0B71E1" w:rsidR="00974F9F" w:rsidRDefault="007D2029" w:rsidP="007D2029">
      <w:pPr>
        <w:pStyle w:val="LC1"/>
        <w:numPr>
          <w:ilvl w:val="0"/>
          <w:numId w:val="0"/>
        </w:numPr>
        <w:ind w:left="720" w:hanging="720"/>
        <w:rPr>
          <w:rFonts w:eastAsia="Cambria"/>
        </w:rPr>
      </w:pPr>
      <w:r>
        <w:rPr>
          <w:rFonts w:eastAsia="Cambria" w:cs="Arial"/>
          <w:szCs w:val="24"/>
        </w:rPr>
        <w:t>[6]</w:t>
      </w:r>
      <w:r>
        <w:rPr>
          <w:rFonts w:eastAsia="Cambria" w:cs="Arial"/>
          <w:szCs w:val="24"/>
        </w:rPr>
        <w:tab/>
      </w:r>
      <w:r w:rsidR="009B6CDF">
        <w:t xml:space="preserve">The applicant now approaches this court on an urgent basis seeking </w:t>
      </w:r>
      <w:r w:rsidR="00974F9F">
        <w:t xml:space="preserve">an order </w:t>
      </w:r>
      <w:r w:rsidR="006B5C7D">
        <w:t>“</w:t>
      </w:r>
      <w:r w:rsidR="006B5C7D" w:rsidRPr="00CF02BF">
        <w:rPr>
          <w:i/>
          <w:iCs/>
        </w:rPr>
        <w:t>interdicting and restraining</w:t>
      </w:r>
      <w:r w:rsidR="006B5C7D">
        <w:t xml:space="preserve">” </w:t>
      </w:r>
      <w:r w:rsidR="00974F9F">
        <w:t xml:space="preserve">the </w:t>
      </w:r>
      <w:r w:rsidR="009B6CDF">
        <w:t xml:space="preserve">pension fund </w:t>
      </w:r>
      <w:r w:rsidR="00974F9F">
        <w:t xml:space="preserve">from paying out the </w:t>
      </w:r>
      <w:r w:rsidR="006B5C7D">
        <w:t xml:space="preserve">whole or part of the </w:t>
      </w:r>
      <w:r w:rsidR="00B10449">
        <w:t xml:space="preserve">third respondent’s pension </w:t>
      </w:r>
      <w:r w:rsidR="00974F9F">
        <w:t xml:space="preserve">benefit pending the outcome of </w:t>
      </w:r>
      <w:r w:rsidR="009B6CDF">
        <w:t xml:space="preserve">the </w:t>
      </w:r>
      <w:r w:rsidR="00974F9F">
        <w:t>action</w:t>
      </w:r>
      <w:r w:rsidR="009B6CDF">
        <w:t xml:space="preserve">. </w:t>
      </w:r>
    </w:p>
    <w:p w14:paraId="5FBDAEE7" w14:textId="658D1CAC" w:rsidR="00DC5EBA" w:rsidRPr="00DC5EBA" w:rsidRDefault="00DC5EBA" w:rsidP="00DC5EBA">
      <w:pPr>
        <w:pStyle w:val="LC1"/>
        <w:numPr>
          <w:ilvl w:val="0"/>
          <w:numId w:val="0"/>
        </w:numPr>
        <w:ind w:left="720" w:hanging="720"/>
        <w:rPr>
          <w:u w:val="single"/>
        </w:rPr>
      </w:pPr>
      <w:r w:rsidRPr="00DC5EBA">
        <w:rPr>
          <w:u w:val="single"/>
        </w:rPr>
        <w:t xml:space="preserve">The </w:t>
      </w:r>
      <w:r>
        <w:rPr>
          <w:u w:val="single"/>
        </w:rPr>
        <w:t xml:space="preserve">basis of </w:t>
      </w:r>
      <w:r w:rsidR="002B1C10">
        <w:rPr>
          <w:u w:val="single"/>
        </w:rPr>
        <w:t>t</w:t>
      </w:r>
      <w:r>
        <w:rPr>
          <w:u w:val="single"/>
        </w:rPr>
        <w:t xml:space="preserve">he third respondent’s opposition </w:t>
      </w:r>
    </w:p>
    <w:p w14:paraId="72EAC986" w14:textId="4D778A8F" w:rsidR="00D7645C" w:rsidRDefault="007D2029" w:rsidP="007D2029">
      <w:pPr>
        <w:pStyle w:val="LC1"/>
        <w:numPr>
          <w:ilvl w:val="0"/>
          <w:numId w:val="0"/>
        </w:numPr>
        <w:ind w:left="720" w:hanging="720"/>
      </w:pPr>
      <w:r>
        <w:rPr>
          <w:rFonts w:cs="Arial"/>
          <w:szCs w:val="24"/>
        </w:rPr>
        <w:t>[7]</w:t>
      </w:r>
      <w:r>
        <w:rPr>
          <w:rFonts w:cs="Arial"/>
          <w:szCs w:val="24"/>
        </w:rPr>
        <w:tab/>
      </w:r>
      <w:r w:rsidR="00D7645C">
        <w:rPr>
          <w:lang w:eastAsia="en-ZA"/>
        </w:rPr>
        <w:t xml:space="preserve">Although the third respondent’s answering affidavit disputes the urgency </w:t>
      </w:r>
      <w:r w:rsidR="00D7645C">
        <w:rPr>
          <w:lang w:eastAsia="en-ZA"/>
        </w:rPr>
        <w:lastRenderedPageBreak/>
        <w:t xml:space="preserve">of the matter, Ms Grobler </w:t>
      </w:r>
      <w:r w:rsidR="007D0DB9">
        <w:rPr>
          <w:lang w:eastAsia="en-ZA"/>
        </w:rPr>
        <w:t xml:space="preserve">appropriately </w:t>
      </w:r>
      <w:r w:rsidR="00D7645C">
        <w:rPr>
          <w:lang w:eastAsia="en-ZA"/>
        </w:rPr>
        <w:t xml:space="preserve">indicated </w:t>
      </w:r>
      <w:r w:rsidR="007D0DB9">
        <w:rPr>
          <w:lang w:eastAsia="en-ZA"/>
        </w:rPr>
        <w:t xml:space="preserve">at the hearing </w:t>
      </w:r>
      <w:r w:rsidR="00D7645C">
        <w:rPr>
          <w:lang w:eastAsia="en-ZA"/>
        </w:rPr>
        <w:t xml:space="preserve">that the third respondent no longer pressed her contention in this regard. </w:t>
      </w:r>
    </w:p>
    <w:p w14:paraId="27338F98" w14:textId="7FC541BA" w:rsidR="00D7645C" w:rsidRDefault="007D2029" w:rsidP="007D2029">
      <w:pPr>
        <w:pStyle w:val="LC1"/>
        <w:numPr>
          <w:ilvl w:val="0"/>
          <w:numId w:val="0"/>
        </w:numPr>
        <w:ind w:left="720" w:hanging="720"/>
      </w:pPr>
      <w:r>
        <w:rPr>
          <w:rFonts w:cs="Arial"/>
          <w:szCs w:val="24"/>
        </w:rPr>
        <w:t>[8]</w:t>
      </w:r>
      <w:r>
        <w:rPr>
          <w:rFonts w:cs="Arial"/>
          <w:szCs w:val="24"/>
        </w:rPr>
        <w:tab/>
      </w:r>
      <w:r w:rsidR="00D7645C">
        <w:rPr>
          <w:lang w:eastAsia="en-ZA"/>
        </w:rPr>
        <w:t xml:space="preserve">I am satisfied that the application is urgent, and </w:t>
      </w:r>
      <w:r w:rsidR="00495746">
        <w:rPr>
          <w:lang w:eastAsia="en-ZA"/>
        </w:rPr>
        <w:t xml:space="preserve">that </w:t>
      </w:r>
      <w:r w:rsidR="00D7645C">
        <w:rPr>
          <w:lang w:eastAsia="en-ZA"/>
        </w:rPr>
        <w:t>the urgency is not self-created. It was only on Sunday, 11 December 2022 that the applicant became aware that the pension fund intended to release the third respondent’s pension benefits unless the applicant obtained a court order prohibiting it from doing so by no later than Tuesday, 7 February 2023. Although it was suggested by the pension</w:t>
      </w:r>
      <w:r w:rsidR="00495746">
        <w:rPr>
          <w:lang w:eastAsia="en-ZA"/>
        </w:rPr>
        <w:t xml:space="preserve"> fund</w:t>
      </w:r>
      <w:r w:rsidR="00D7645C">
        <w:rPr>
          <w:lang w:eastAsia="en-ZA"/>
        </w:rPr>
        <w:t xml:space="preserve"> itself that the application for such an interdict might be launched on 24 January 2023, the applicant in fact served the application on it and the third respondent approximately a week earlier, on 18 January 2023, and afforded them until 24 January 2023 to deliver their answering papers. In the event, the third respondent was able to file a fulsome answering affidavit on 26 January 2023.  </w:t>
      </w:r>
    </w:p>
    <w:p w14:paraId="5363BE98" w14:textId="6D6611C9" w:rsidR="00DC5EBA" w:rsidRDefault="007D2029" w:rsidP="007D2029">
      <w:pPr>
        <w:pStyle w:val="LC1"/>
        <w:numPr>
          <w:ilvl w:val="0"/>
          <w:numId w:val="0"/>
        </w:numPr>
        <w:ind w:left="720" w:hanging="720"/>
      </w:pPr>
      <w:r>
        <w:rPr>
          <w:rFonts w:cs="Arial"/>
          <w:szCs w:val="24"/>
        </w:rPr>
        <w:t>[9]</w:t>
      </w:r>
      <w:r>
        <w:rPr>
          <w:rFonts w:cs="Arial"/>
          <w:szCs w:val="24"/>
        </w:rPr>
        <w:tab/>
      </w:r>
      <w:r w:rsidR="00D7645C">
        <w:t xml:space="preserve">In relation to the merits of the application, the </w:t>
      </w:r>
      <w:r w:rsidR="00DC5EBA">
        <w:t>third respondent</w:t>
      </w:r>
      <w:r w:rsidR="00757690">
        <w:t xml:space="preserve"> </w:t>
      </w:r>
      <w:r w:rsidR="00D7645C">
        <w:t xml:space="preserve">essentially </w:t>
      </w:r>
      <w:r w:rsidR="00DC5EBA">
        <w:t xml:space="preserve">resists the application on the following </w:t>
      </w:r>
      <w:r w:rsidR="004A7CB7">
        <w:t xml:space="preserve">four </w:t>
      </w:r>
      <w:r w:rsidR="00DC5EBA">
        <w:t>bases:</w:t>
      </w:r>
    </w:p>
    <w:p w14:paraId="3493BAFD" w14:textId="082E25A0" w:rsidR="00DC5EBA" w:rsidRDefault="007D2029" w:rsidP="007D2029">
      <w:pPr>
        <w:pStyle w:val="LC2"/>
        <w:numPr>
          <w:ilvl w:val="0"/>
          <w:numId w:val="0"/>
        </w:numPr>
        <w:ind w:left="1701" w:hanging="993"/>
      </w:pPr>
      <w:r>
        <w:t>(a)</w:t>
      </w:r>
      <w:r>
        <w:tab/>
      </w:r>
      <w:r w:rsidR="004A7CB7">
        <w:rPr>
          <w:lang w:eastAsia="en-ZA"/>
        </w:rPr>
        <w:t xml:space="preserve">Firstly, </w:t>
      </w:r>
      <w:r w:rsidR="00DC5EBA">
        <w:rPr>
          <w:lang w:eastAsia="en-ZA"/>
        </w:rPr>
        <w:t>that the applicant has not shown that its damages claim against her is based on the kind of conduct contemplated in section 37D(1)(b)(ii) of the Pension Funds Act, namely “</w:t>
      </w:r>
      <w:r w:rsidR="00DC5EBA" w:rsidRPr="00390FC9">
        <w:rPr>
          <w:i/>
          <w:iCs/>
          <w:lang w:eastAsia="en-ZA"/>
        </w:rPr>
        <w:t>any theft, dishonesty, fraud or misconduct</w:t>
      </w:r>
      <w:r w:rsidR="00DC5EBA">
        <w:rPr>
          <w:lang w:eastAsia="en-ZA"/>
        </w:rPr>
        <w:t>”</w:t>
      </w:r>
      <w:r w:rsidR="004A7CB7">
        <w:rPr>
          <w:lang w:eastAsia="en-ZA"/>
        </w:rPr>
        <w:t>.</w:t>
      </w:r>
      <w:r w:rsidR="00DC5EBA">
        <w:rPr>
          <w:lang w:eastAsia="en-ZA"/>
        </w:rPr>
        <w:t xml:space="preserve"> </w:t>
      </w:r>
      <w:r w:rsidR="00D7645C">
        <w:rPr>
          <w:lang w:eastAsia="en-ZA"/>
        </w:rPr>
        <w:t>Essentially, this echoes the reason given by the pension fund for declining to accede to the applicant’s request.</w:t>
      </w:r>
    </w:p>
    <w:p w14:paraId="227959B9" w14:textId="1DE8D488" w:rsidR="00DC5EBA" w:rsidRDefault="007D2029" w:rsidP="007D2029">
      <w:pPr>
        <w:pStyle w:val="LC2"/>
        <w:numPr>
          <w:ilvl w:val="0"/>
          <w:numId w:val="0"/>
        </w:numPr>
        <w:ind w:left="1701" w:hanging="993"/>
      </w:pPr>
      <w:r>
        <w:t>(b)</w:t>
      </w:r>
      <w:r>
        <w:tab/>
      </w:r>
      <w:r w:rsidR="004A7CB7">
        <w:rPr>
          <w:lang w:eastAsia="en-ZA"/>
        </w:rPr>
        <w:t xml:space="preserve">Secondly, </w:t>
      </w:r>
      <w:r w:rsidR="00DC5EBA">
        <w:rPr>
          <w:lang w:eastAsia="en-ZA"/>
        </w:rPr>
        <w:t xml:space="preserve">that the amount of damages claimed from her is </w:t>
      </w:r>
      <w:r w:rsidR="00D7645C">
        <w:rPr>
          <w:lang w:eastAsia="en-ZA"/>
        </w:rPr>
        <w:t>“</w:t>
      </w:r>
      <w:r w:rsidR="00DC5EBA" w:rsidRPr="00D7645C">
        <w:rPr>
          <w:i/>
          <w:iCs/>
          <w:lang w:eastAsia="en-ZA"/>
        </w:rPr>
        <w:t>excessive and inflated</w:t>
      </w:r>
      <w:r w:rsidR="00D7645C">
        <w:rPr>
          <w:lang w:eastAsia="en-ZA"/>
        </w:rPr>
        <w:t>”</w:t>
      </w:r>
      <w:r w:rsidR="00757690">
        <w:rPr>
          <w:lang w:eastAsia="en-ZA"/>
        </w:rPr>
        <w:t xml:space="preserve"> (i) because </w:t>
      </w:r>
      <w:r w:rsidR="00DC5EBA">
        <w:rPr>
          <w:lang w:eastAsia="en-ZA"/>
        </w:rPr>
        <w:t xml:space="preserve">a number of the </w:t>
      </w:r>
      <w:r w:rsidR="00757690">
        <w:rPr>
          <w:lang w:eastAsia="en-ZA"/>
        </w:rPr>
        <w:t xml:space="preserve">allegedly diverted </w:t>
      </w:r>
      <w:r w:rsidR="00DC5EBA">
        <w:rPr>
          <w:lang w:eastAsia="en-ZA"/>
        </w:rPr>
        <w:t xml:space="preserve">corporate opportunities never in fact </w:t>
      </w:r>
      <w:r w:rsidR="009374E7">
        <w:rPr>
          <w:lang w:eastAsia="en-ZA"/>
        </w:rPr>
        <w:t xml:space="preserve">resulted in work or services being rendered by the </w:t>
      </w:r>
      <w:r w:rsidR="00DC5EBA">
        <w:rPr>
          <w:lang w:eastAsia="en-ZA"/>
        </w:rPr>
        <w:t>fifth respondent</w:t>
      </w:r>
      <w:r w:rsidR="00757690">
        <w:rPr>
          <w:lang w:eastAsia="en-ZA"/>
        </w:rPr>
        <w:t xml:space="preserve">; (ii) because </w:t>
      </w:r>
      <w:r w:rsidR="00D7645C">
        <w:t>“</w:t>
      </w:r>
      <w:r w:rsidR="00D7645C" w:rsidRPr="00495746">
        <w:rPr>
          <w:i/>
          <w:iCs/>
        </w:rPr>
        <w:t xml:space="preserve">the </w:t>
      </w:r>
      <w:r w:rsidR="00D7645C" w:rsidRPr="00495746">
        <w:rPr>
          <w:rFonts w:eastAsia="Cambria"/>
          <w:i/>
          <w:iCs/>
        </w:rPr>
        <w:t>total sum of work and/or services rendered by the fifth respondent for the period of complaint and having regard to the profits made … reflects a more realistic amount of not more that R200,502.79</w:t>
      </w:r>
      <w:r w:rsidR="00495746">
        <w:rPr>
          <w:rFonts w:eastAsia="Cambria"/>
        </w:rPr>
        <w:t>”</w:t>
      </w:r>
      <w:r w:rsidR="00D7645C" w:rsidRPr="00D7645C">
        <w:rPr>
          <w:rFonts w:eastAsia="Cambria"/>
        </w:rPr>
        <w:t xml:space="preserve">; and </w:t>
      </w:r>
      <w:r w:rsidR="00757690">
        <w:rPr>
          <w:lang w:eastAsia="en-ZA"/>
        </w:rPr>
        <w:t xml:space="preserve">(iii) because </w:t>
      </w:r>
      <w:r w:rsidR="002B1C10">
        <w:rPr>
          <w:lang w:eastAsia="en-ZA"/>
        </w:rPr>
        <w:t xml:space="preserve">the </w:t>
      </w:r>
      <w:r w:rsidR="00757690">
        <w:rPr>
          <w:lang w:eastAsia="en-ZA"/>
        </w:rPr>
        <w:t xml:space="preserve">pension benefits of the fourth respondent in the amount of R449,219.30 are already being </w:t>
      </w:r>
      <w:r w:rsidR="00757690">
        <w:rPr>
          <w:lang w:eastAsia="en-ZA"/>
        </w:rPr>
        <w:lastRenderedPageBreak/>
        <w:t>withheld.</w:t>
      </w:r>
    </w:p>
    <w:p w14:paraId="7607E6AA" w14:textId="5B566EE3" w:rsidR="003E7887" w:rsidRDefault="007D2029" w:rsidP="007D2029">
      <w:pPr>
        <w:pStyle w:val="LC2"/>
        <w:numPr>
          <w:ilvl w:val="0"/>
          <w:numId w:val="0"/>
        </w:numPr>
        <w:ind w:left="1701" w:hanging="993"/>
        <w:rPr>
          <w:lang w:eastAsia="en-ZA"/>
        </w:rPr>
      </w:pPr>
      <w:r>
        <w:rPr>
          <w:lang w:eastAsia="en-ZA"/>
        </w:rPr>
        <w:t>(c)</w:t>
      </w:r>
      <w:r>
        <w:rPr>
          <w:lang w:eastAsia="en-ZA"/>
        </w:rPr>
        <w:tab/>
      </w:r>
      <w:r w:rsidR="004A7CB7">
        <w:rPr>
          <w:lang w:eastAsia="en-ZA"/>
        </w:rPr>
        <w:t xml:space="preserve">Thirdly, because </w:t>
      </w:r>
      <w:r w:rsidR="00DC5EBA">
        <w:rPr>
          <w:lang w:eastAsia="en-ZA"/>
        </w:rPr>
        <w:t xml:space="preserve">the applicant has already </w:t>
      </w:r>
      <w:r w:rsidR="004A7CB7">
        <w:rPr>
          <w:lang w:eastAsia="en-ZA"/>
        </w:rPr>
        <w:t xml:space="preserve">admittedly </w:t>
      </w:r>
      <w:r w:rsidR="00DC5EBA">
        <w:rPr>
          <w:lang w:eastAsia="en-ZA"/>
        </w:rPr>
        <w:t>withheld the sum of approximately R6</w:t>
      </w:r>
      <w:r w:rsidR="003E7887">
        <w:rPr>
          <w:lang w:eastAsia="en-ZA"/>
        </w:rPr>
        <w:t>2</w:t>
      </w:r>
      <w:r w:rsidR="00DC5EBA">
        <w:rPr>
          <w:lang w:eastAsia="en-ZA"/>
        </w:rPr>
        <w:t>,</w:t>
      </w:r>
      <w:r w:rsidR="003E7887">
        <w:rPr>
          <w:lang w:eastAsia="en-ZA"/>
        </w:rPr>
        <w:t xml:space="preserve">963.45 (net of tax) </w:t>
      </w:r>
      <w:r w:rsidR="00DC5EBA">
        <w:rPr>
          <w:lang w:eastAsia="en-ZA"/>
        </w:rPr>
        <w:t xml:space="preserve">from her in respect of accrued leave pay </w:t>
      </w:r>
      <w:r w:rsidR="004A7CB7">
        <w:rPr>
          <w:lang w:eastAsia="en-ZA"/>
        </w:rPr>
        <w:t xml:space="preserve">as well as </w:t>
      </w:r>
      <w:r w:rsidR="009374E7">
        <w:rPr>
          <w:lang w:eastAsia="en-ZA"/>
        </w:rPr>
        <w:t>an amount of R10,908.65 in respect of tax deductions which were not due</w:t>
      </w:r>
      <w:r w:rsidR="004A7CB7">
        <w:rPr>
          <w:lang w:eastAsia="en-ZA"/>
        </w:rPr>
        <w:t xml:space="preserve">. </w:t>
      </w:r>
      <w:r w:rsidR="00D7645C">
        <w:rPr>
          <w:lang w:eastAsia="en-ZA"/>
        </w:rPr>
        <w:t xml:space="preserve">While the </w:t>
      </w:r>
      <w:r w:rsidR="004A7CB7">
        <w:rPr>
          <w:lang w:eastAsia="en-ZA"/>
        </w:rPr>
        <w:t xml:space="preserve">third respondent contends that these </w:t>
      </w:r>
      <w:r w:rsidR="00D7645C">
        <w:rPr>
          <w:lang w:eastAsia="en-ZA"/>
        </w:rPr>
        <w:t>amounts have both been unlawfully withheld,</w:t>
      </w:r>
      <w:r w:rsidR="004A7CB7">
        <w:rPr>
          <w:lang w:eastAsia="en-ZA"/>
        </w:rPr>
        <w:t xml:space="preserve"> </w:t>
      </w:r>
      <w:r w:rsidR="00D7645C">
        <w:rPr>
          <w:lang w:eastAsia="en-ZA"/>
        </w:rPr>
        <w:t xml:space="preserve">the </w:t>
      </w:r>
      <w:r w:rsidR="004A7CB7">
        <w:rPr>
          <w:lang w:eastAsia="en-ZA"/>
        </w:rPr>
        <w:t xml:space="preserve">applicant contends that it was entitled to withhold these sums </w:t>
      </w:r>
      <w:r w:rsidR="003E7887">
        <w:rPr>
          <w:lang w:eastAsia="en-ZA"/>
        </w:rPr>
        <w:t xml:space="preserve">pursuant to clause 4.4 of her employment contract, which authorises the applicant to deduct from her remuneration </w:t>
      </w:r>
      <w:r w:rsidR="004A7CB7">
        <w:rPr>
          <w:lang w:eastAsia="en-ZA"/>
        </w:rPr>
        <w:t>“</w:t>
      </w:r>
      <w:r w:rsidR="003E7887" w:rsidRPr="004A7CB7">
        <w:rPr>
          <w:i/>
          <w:iCs/>
          <w:lang w:eastAsia="en-ZA"/>
        </w:rPr>
        <w:t>all amounts which may be due by the employee to the employer for any reason</w:t>
      </w:r>
      <w:r w:rsidR="004A7CB7">
        <w:rPr>
          <w:lang w:eastAsia="en-ZA"/>
        </w:rPr>
        <w:t>”</w:t>
      </w:r>
      <w:r w:rsidR="003E7887">
        <w:rPr>
          <w:lang w:eastAsia="en-ZA"/>
        </w:rPr>
        <w:t>.</w:t>
      </w:r>
    </w:p>
    <w:p w14:paraId="29968319" w14:textId="51FC6909" w:rsidR="00DC5EBA" w:rsidRDefault="007D2029" w:rsidP="007D2029">
      <w:pPr>
        <w:pStyle w:val="LC2"/>
        <w:numPr>
          <w:ilvl w:val="0"/>
          <w:numId w:val="0"/>
        </w:numPr>
        <w:ind w:left="1701" w:hanging="993"/>
        <w:rPr>
          <w:lang w:eastAsia="en-ZA"/>
        </w:rPr>
      </w:pPr>
      <w:r>
        <w:rPr>
          <w:lang w:eastAsia="en-ZA"/>
        </w:rPr>
        <w:t>(d)</w:t>
      </w:r>
      <w:r>
        <w:rPr>
          <w:lang w:eastAsia="en-ZA"/>
        </w:rPr>
        <w:tab/>
      </w:r>
      <w:r w:rsidR="00D7645C">
        <w:rPr>
          <w:lang w:eastAsia="en-ZA"/>
        </w:rPr>
        <w:t xml:space="preserve">Finally, </w:t>
      </w:r>
      <w:r w:rsidR="00495746">
        <w:rPr>
          <w:lang w:eastAsia="en-ZA"/>
        </w:rPr>
        <w:t xml:space="preserve">the third respondent </w:t>
      </w:r>
      <w:r w:rsidR="00757690">
        <w:rPr>
          <w:lang w:eastAsia="en-ZA"/>
        </w:rPr>
        <w:t>contends that the effect of the order will be to allow the applicant to “</w:t>
      </w:r>
      <w:r w:rsidR="00757690" w:rsidRPr="004A7CB7">
        <w:rPr>
          <w:i/>
          <w:iCs/>
          <w:lang w:eastAsia="en-ZA"/>
        </w:rPr>
        <w:t>jump the queue</w:t>
      </w:r>
      <w:r w:rsidR="00757690">
        <w:rPr>
          <w:lang w:eastAsia="en-ZA"/>
        </w:rPr>
        <w:t xml:space="preserve">” of creditors and become a preferent creditor to the determinant of other creditors in the event that damages are awarded against her </w:t>
      </w:r>
      <w:r w:rsidR="004A7CB7">
        <w:rPr>
          <w:lang w:eastAsia="en-ZA"/>
        </w:rPr>
        <w:t xml:space="preserve">in the application and </w:t>
      </w:r>
      <w:r w:rsidR="00757690">
        <w:rPr>
          <w:lang w:eastAsia="en-ZA"/>
        </w:rPr>
        <w:t>she is unable to satisfy</w:t>
      </w:r>
      <w:r w:rsidR="004A7CB7">
        <w:rPr>
          <w:lang w:eastAsia="en-ZA"/>
        </w:rPr>
        <w:t xml:space="preserve"> the judgment.</w:t>
      </w:r>
    </w:p>
    <w:p w14:paraId="57AE78E2" w14:textId="02511FAC" w:rsidR="00C31833" w:rsidRPr="00C31833" w:rsidRDefault="005109F9" w:rsidP="00C31833">
      <w:pPr>
        <w:pStyle w:val="LC1"/>
        <w:keepNext/>
        <w:numPr>
          <w:ilvl w:val="0"/>
          <w:numId w:val="0"/>
        </w:numPr>
        <w:rPr>
          <w:u w:val="single"/>
        </w:rPr>
      </w:pPr>
      <w:r>
        <w:rPr>
          <w:u w:val="single"/>
        </w:rPr>
        <w:t xml:space="preserve">Relevant </w:t>
      </w:r>
      <w:r w:rsidR="001716BD">
        <w:rPr>
          <w:u w:val="single"/>
        </w:rPr>
        <w:t>l</w:t>
      </w:r>
      <w:r w:rsidR="00C31833" w:rsidRPr="00C31833">
        <w:rPr>
          <w:u w:val="single"/>
        </w:rPr>
        <w:t xml:space="preserve">egal </w:t>
      </w:r>
      <w:r w:rsidR="001716BD">
        <w:rPr>
          <w:u w:val="single"/>
        </w:rPr>
        <w:t>p</w:t>
      </w:r>
      <w:r w:rsidR="00C31833" w:rsidRPr="00C31833">
        <w:rPr>
          <w:u w:val="single"/>
        </w:rPr>
        <w:t>rinciples</w:t>
      </w:r>
    </w:p>
    <w:p w14:paraId="58C6F3AB" w14:textId="1179F4A9" w:rsidR="00142D78" w:rsidRPr="002725E5" w:rsidRDefault="002725E5" w:rsidP="002725E5">
      <w:pPr>
        <w:pStyle w:val="LC1"/>
        <w:numPr>
          <w:ilvl w:val="0"/>
          <w:numId w:val="0"/>
        </w:numPr>
        <w:ind w:left="720" w:hanging="720"/>
        <w:rPr>
          <w:i/>
          <w:iCs/>
        </w:rPr>
      </w:pPr>
      <w:r w:rsidRPr="002725E5">
        <w:rPr>
          <w:i/>
          <w:iCs/>
        </w:rPr>
        <w:t>Introduction</w:t>
      </w:r>
    </w:p>
    <w:p w14:paraId="1B6E0B97" w14:textId="2D7DE665" w:rsidR="00022096" w:rsidRDefault="007D2029" w:rsidP="007D2029">
      <w:pPr>
        <w:pStyle w:val="LC1"/>
        <w:numPr>
          <w:ilvl w:val="0"/>
          <w:numId w:val="0"/>
        </w:numPr>
        <w:ind w:left="720" w:hanging="720"/>
      </w:pPr>
      <w:r>
        <w:rPr>
          <w:rFonts w:cs="Arial"/>
          <w:szCs w:val="24"/>
        </w:rPr>
        <w:t>[10]</w:t>
      </w:r>
      <w:r>
        <w:rPr>
          <w:rFonts w:cs="Arial"/>
          <w:szCs w:val="24"/>
        </w:rPr>
        <w:tab/>
      </w:r>
      <w:r w:rsidR="00022096">
        <w:t xml:space="preserve">Section </w:t>
      </w:r>
      <w:r w:rsidR="00022096" w:rsidRPr="006A4604">
        <w:t>37D(1)(b)(ii)</w:t>
      </w:r>
      <w:r w:rsidR="00022096">
        <w:t xml:space="preserve"> of the Pension Funds Act</w:t>
      </w:r>
      <w:r w:rsidR="00665914">
        <w:t xml:space="preserve"> </w:t>
      </w:r>
      <w:r w:rsidR="0045455E">
        <w:t>contains a limited exception to the principle that “</w:t>
      </w:r>
      <w:r w:rsidR="0045455E" w:rsidRPr="00665914">
        <w:rPr>
          <w:i/>
          <w:iCs/>
        </w:rPr>
        <w:t>pension benefits are sacrosanct</w:t>
      </w:r>
      <w:r w:rsidR="0045455E">
        <w:t>”</w:t>
      </w:r>
      <w:r w:rsidR="00665914">
        <w:rPr>
          <w:rStyle w:val="FootnoteReference"/>
        </w:rPr>
        <w:footnoteReference w:id="1"/>
      </w:r>
      <w:r w:rsidR="0045455E">
        <w:t xml:space="preserve"> and may </w:t>
      </w:r>
      <w:r w:rsidR="009017E1">
        <w:t xml:space="preserve">only </w:t>
      </w:r>
      <w:r w:rsidR="0045455E">
        <w:t xml:space="preserve">be dealt with strictly in accordance with the provisions of the Act and the Rules of the fund in question. It provides that </w:t>
      </w:r>
      <w:r w:rsidR="00022096">
        <w:t>that</w:t>
      </w:r>
      <w:r w:rsidR="00A71FE3">
        <w:t xml:space="preserve"> a </w:t>
      </w:r>
      <w:r w:rsidR="006A4604">
        <w:t>p</w:t>
      </w:r>
      <w:r w:rsidR="00A71FE3">
        <w:t xml:space="preserve">ension </w:t>
      </w:r>
      <w:r w:rsidR="006A4604">
        <w:t>f</w:t>
      </w:r>
      <w:r w:rsidR="00A71FE3">
        <w:t>und …</w:t>
      </w:r>
    </w:p>
    <w:p w14:paraId="59F5D6DC" w14:textId="4B0EB414" w:rsidR="00022096" w:rsidRDefault="00A71FE3" w:rsidP="00022096">
      <w:pPr>
        <w:pStyle w:val="HeadsQuote"/>
      </w:pPr>
      <w:r>
        <w:t xml:space="preserve">…. may </w:t>
      </w:r>
      <w:r w:rsidRPr="00A71FE3">
        <w:t xml:space="preserve">deduct any amount due by a member to his employer ... in respect of ... compensation </w:t>
      </w:r>
      <w:r w:rsidR="002E4D1D">
        <w:t xml:space="preserve">(including any legal costs recoverable…) </w:t>
      </w:r>
      <w:r w:rsidRPr="00A71FE3">
        <w:t xml:space="preserve">... [for] any damage caused to the employer by reason of any theft, dishonesty, fraud or misconduct by the member, and in respect of which ... the member has in writing </w:t>
      </w:r>
      <w:r w:rsidRPr="00A71FE3">
        <w:lastRenderedPageBreak/>
        <w:t>admitted liability to the employer; or ..</w:t>
      </w:r>
      <w:r>
        <w:t xml:space="preserve">.. </w:t>
      </w:r>
      <w:r w:rsidRPr="00A71FE3">
        <w:t>judgment has been obtained against the member in any court, from any benefit payable in respect of the member or a beneficiary in terms of the rules of the fund, and pay such amount to the employer concerned</w:t>
      </w:r>
      <w:r>
        <w:t>.</w:t>
      </w:r>
    </w:p>
    <w:p w14:paraId="50DF4311" w14:textId="63757E5F" w:rsidR="009266CE" w:rsidRDefault="007D2029" w:rsidP="007D2029">
      <w:pPr>
        <w:pStyle w:val="LC1"/>
        <w:numPr>
          <w:ilvl w:val="0"/>
          <w:numId w:val="0"/>
        </w:numPr>
        <w:ind w:left="720" w:hanging="720"/>
      </w:pPr>
      <w:r>
        <w:rPr>
          <w:rFonts w:cs="Arial"/>
          <w:szCs w:val="24"/>
        </w:rPr>
        <w:t>[11]</w:t>
      </w:r>
      <w:r>
        <w:rPr>
          <w:rFonts w:cs="Arial"/>
          <w:szCs w:val="24"/>
        </w:rPr>
        <w:tab/>
      </w:r>
      <w:r w:rsidR="00022096">
        <w:t xml:space="preserve">In </w:t>
      </w:r>
      <w:r w:rsidR="00022096" w:rsidRPr="00A71FE3">
        <w:rPr>
          <w:i/>
          <w:iCs/>
        </w:rPr>
        <w:t>Highveld v Oosthuizen</w:t>
      </w:r>
      <w:r w:rsidR="00A71FE3" w:rsidRPr="00A71FE3">
        <w:rPr>
          <w:rStyle w:val="FootnoteReference"/>
        </w:rPr>
        <w:footnoteReference w:id="2"/>
      </w:r>
      <w:r w:rsidR="00022096">
        <w:t> </w:t>
      </w:r>
      <w:r w:rsidR="00D7645C">
        <w:t xml:space="preserve">a pension fund had </w:t>
      </w:r>
      <w:r w:rsidR="009266CE">
        <w:t>resolved “</w:t>
      </w:r>
      <w:r w:rsidR="009266CE" w:rsidRPr="009266CE">
        <w:rPr>
          <w:i/>
          <w:iCs/>
        </w:rPr>
        <w:t>at the behest</w:t>
      </w:r>
      <w:r w:rsidR="00B642F4">
        <w:rPr>
          <w:i/>
          <w:iCs/>
        </w:rPr>
        <w:t>”</w:t>
      </w:r>
      <w:r w:rsidR="009266CE" w:rsidRPr="00E0544A">
        <w:t xml:space="preserve"> of the employer</w:t>
      </w:r>
      <w:r w:rsidR="009266CE">
        <w:t xml:space="preserve"> not to pay the benefits due </w:t>
      </w:r>
      <w:r w:rsidR="00B642F4">
        <w:t xml:space="preserve">to </w:t>
      </w:r>
      <w:r w:rsidR="009266CE">
        <w:t xml:space="preserve">a member pending the final determination of </w:t>
      </w:r>
      <w:r w:rsidR="009017E1">
        <w:t xml:space="preserve">a </w:t>
      </w:r>
      <w:r w:rsidR="009266CE">
        <w:t xml:space="preserve">damages action to be instituted by the employer. The employee sought an order compelling the fund to pay out </w:t>
      </w:r>
      <w:r w:rsidR="009017E1">
        <w:t xml:space="preserve">his </w:t>
      </w:r>
      <w:r w:rsidR="009266CE">
        <w:t>pension benefits and the employer applied to intervene in the application</w:t>
      </w:r>
      <w:r w:rsidR="009017E1">
        <w:t xml:space="preserve">, initially seeking </w:t>
      </w:r>
      <w:r w:rsidR="00AD6E4F">
        <w:t xml:space="preserve">an interdict restraining the employee from withdrawing </w:t>
      </w:r>
      <w:r w:rsidR="00B642F4">
        <w:t xml:space="preserve">the </w:t>
      </w:r>
      <w:r w:rsidR="00AD6E4F">
        <w:t>benefits (although this was not persisted with on appeal). T</w:t>
      </w:r>
      <w:r w:rsidR="009266CE">
        <w:t xml:space="preserve">he court </w:t>
      </w:r>
      <w:r w:rsidR="009266CE" w:rsidRPr="009266CE">
        <w:rPr>
          <w:i/>
          <w:iCs/>
        </w:rPr>
        <w:t>a quo</w:t>
      </w:r>
      <w:r w:rsidR="009266CE">
        <w:t xml:space="preserve"> refused </w:t>
      </w:r>
      <w:r w:rsidR="009017E1">
        <w:t xml:space="preserve">the intervention </w:t>
      </w:r>
      <w:r w:rsidR="009266CE">
        <w:t>application</w:t>
      </w:r>
      <w:r w:rsidR="00AD6E4F">
        <w:t xml:space="preserve"> and granted the employee’s application</w:t>
      </w:r>
      <w:r w:rsidR="009266CE">
        <w:t xml:space="preserve">. Having concluded that the intervention application should have been granted, the </w:t>
      </w:r>
      <w:r w:rsidR="00A71FE3">
        <w:t xml:space="preserve">Supreme Court of Appeal </w:t>
      </w:r>
      <w:r w:rsidR="00022096">
        <w:t xml:space="preserve">held that while </w:t>
      </w:r>
      <w:r w:rsidR="00A71FE3">
        <w:t xml:space="preserve">section </w:t>
      </w:r>
      <w:r w:rsidR="009266CE">
        <w:t xml:space="preserve">37D(1)(b)(ii) </w:t>
      </w:r>
      <w:r w:rsidR="00022096">
        <w:t xml:space="preserve">only </w:t>
      </w:r>
      <w:r w:rsidR="0045455E">
        <w:t xml:space="preserve">expressly </w:t>
      </w:r>
      <w:r w:rsidR="00022096">
        <w:t>refer</w:t>
      </w:r>
      <w:r w:rsidR="0045455E">
        <w:t>s</w:t>
      </w:r>
      <w:r w:rsidR="00022096">
        <w:t xml:space="preserve"> to the deduction of pension benefits</w:t>
      </w:r>
      <w:r w:rsidR="00A71FE3">
        <w:t xml:space="preserve"> </w:t>
      </w:r>
      <w:r w:rsidR="009017E1" w:rsidRPr="009017E1">
        <w:rPr>
          <w:u w:val="single"/>
        </w:rPr>
        <w:t>after</w:t>
      </w:r>
      <w:r w:rsidR="009017E1">
        <w:t xml:space="preserve"> </w:t>
      </w:r>
      <w:r w:rsidR="00A71FE3">
        <w:t>there has been an admission of liability or a judgment has been obtained</w:t>
      </w:r>
      <w:r w:rsidR="00022096">
        <w:t xml:space="preserve">, </w:t>
      </w:r>
      <w:r w:rsidR="00A71FE3">
        <w:t xml:space="preserve">it must (in view of its purpose — which is to protect an employer's right to recovery of money misappropriated from it) be interpreted to </w:t>
      </w:r>
      <w:r w:rsidR="0027142F">
        <w:t xml:space="preserve">mean that </w:t>
      </w:r>
      <w:r w:rsidR="00A71FE3">
        <w:t xml:space="preserve">a pension fund </w:t>
      </w:r>
      <w:r w:rsidR="0027142F">
        <w:t>also “</w:t>
      </w:r>
      <w:r w:rsidR="0027142F" w:rsidRPr="0027142F">
        <w:rPr>
          <w:i/>
          <w:iCs/>
        </w:rPr>
        <w:t>has the discretion to accede to [a] request</w:t>
      </w:r>
      <w:r w:rsidR="0027142F">
        <w:t>”</w:t>
      </w:r>
      <w:r w:rsidR="0027142F">
        <w:rPr>
          <w:rStyle w:val="FootnoteReference"/>
        </w:rPr>
        <w:footnoteReference w:id="3"/>
      </w:r>
      <w:r w:rsidR="0027142F">
        <w:t xml:space="preserve"> </w:t>
      </w:r>
      <w:r w:rsidR="0045455E">
        <w:t xml:space="preserve">made by an </w:t>
      </w:r>
      <w:r w:rsidR="0027142F">
        <w:t xml:space="preserve">employer </w:t>
      </w:r>
      <w:r w:rsidR="00A71FE3" w:rsidRPr="00A71FE3">
        <w:t>to withhold</w:t>
      </w:r>
      <w:r w:rsidR="00A71FE3">
        <w:t xml:space="preserve"> payment of a member's benefits pending </w:t>
      </w:r>
      <w:r w:rsidR="002E4D1D">
        <w:t xml:space="preserve">an </w:t>
      </w:r>
      <w:r w:rsidR="00A71FE3">
        <w:t xml:space="preserve">acknowledgement </w:t>
      </w:r>
      <w:r w:rsidR="002E4D1D">
        <w:t xml:space="preserve">by the member </w:t>
      </w:r>
      <w:r w:rsidR="00A71FE3">
        <w:t xml:space="preserve">or </w:t>
      </w:r>
      <w:r w:rsidR="002E4D1D">
        <w:t xml:space="preserve">a </w:t>
      </w:r>
      <w:r w:rsidR="00A71FE3">
        <w:t xml:space="preserve">determination </w:t>
      </w:r>
      <w:r w:rsidR="002E4D1D">
        <w:t xml:space="preserve">by a court that she is </w:t>
      </w:r>
      <w:r w:rsidR="002E4D1D">
        <w:rPr>
          <w:lang w:eastAsia="en-ZA"/>
        </w:rPr>
        <w:t>liable to the compensate the employer in respect of any damage caused to the employer by reason of any theft, dishonesty, fraud or misconduct</w:t>
      </w:r>
      <w:r w:rsidR="00A71FE3">
        <w:t>.</w:t>
      </w:r>
      <w:r w:rsidR="009266CE">
        <w:t xml:space="preserve"> </w:t>
      </w:r>
    </w:p>
    <w:p w14:paraId="1B9F68A8" w14:textId="36869100" w:rsidR="00736B07" w:rsidRDefault="007D2029" w:rsidP="007D2029">
      <w:pPr>
        <w:pStyle w:val="LC1"/>
        <w:numPr>
          <w:ilvl w:val="0"/>
          <w:numId w:val="0"/>
        </w:numPr>
        <w:ind w:left="720" w:hanging="720"/>
      </w:pPr>
      <w:r>
        <w:rPr>
          <w:rFonts w:cs="Arial"/>
          <w:szCs w:val="24"/>
        </w:rPr>
        <w:t>[12]</w:t>
      </w:r>
      <w:r>
        <w:rPr>
          <w:rFonts w:cs="Arial"/>
          <w:szCs w:val="24"/>
        </w:rPr>
        <w:tab/>
      </w:r>
      <w:r w:rsidR="00541272">
        <w:t xml:space="preserve">But </w:t>
      </w:r>
      <w:r w:rsidR="009017E1">
        <w:t xml:space="preserve">it does not follow axiomatically from </w:t>
      </w:r>
      <w:r w:rsidR="00B642F4">
        <w:t xml:space="preserve">the </w:t>
      </w:r>
      <w:r w:rsidR="00541272">
        <w:t xml:space="preserve">Supreme Court of Appeal’s </w:t>
      </w:r>
      <w:r w:rsidR="00B642F4">
        <w:t>holding (</w:t>
      </w:r>
      <w:r w:rsidR="00541272">
        <w:t xml:space="preserve">that a pension fund is not prohibited by the Pension Funds Act from exercising a discretion to accede to an employer’s request to withhold </w:t>
      </w:r>
      <w:r w:rsidR="00541272">
        <w:lastRenderedPageBreak/>
        <w:t>benefits</w:t>
      </w:r>
      <w:r w:rsidR="00B642F4">
        <w:t>)</w:t>
      </w:r>
      <w:r w:rsidR="00541272">
        <w:t xml:space="preserve"> that a pension fund may be compelled by a court to do so</w:t>
      </w:r>
      <w:r w:rsidR="009017E1">
        <w:t xml:space="preserve"> – </w:t>
      </w:r>
      <w:r w:rsidR="00541272">
        <w:t>especially</w:t>
      </w:r>
      <w:r w:rsidR="009017E1">
        <w:t xml:space="preserve"> </w:t>
      </w:r>
      <w:r w:rsidR="00541272">
        <w:t>where</w:t>
      </w:r>
      <w:r w:rsidR="009017E1">
        <w:t xml:space="preserve">, as in the current instance, </w:t>
      </w:r>
      <w:r w:rsidR="00541272">
        <w:t xml:space="preserve">the </w:t>
      </w:r>
      <w:r w:rsidR="009017E1">
        <w:t>r</w:t>
      </w:r>
      <w:r w:rsidR="00541272">
        <w:t>ules of the fund</w:t>
      </w:r>
      <w:r w:rsidR="009017E1">
        <w:t xml:space="preserve"> </w:t>
      </w:r>
      <w:r w:rsidR="00541272">
        <w:t xml:space="preserve">expressly stipulate the circumstances under which such a discretion may be exercised. Neither </w:t>
      </w:r>
      <w:r w:rsidR="00541272">
        <w:rPr>
          <w:lang w:eastAsia="en-ZA"/>
        </w:rPr>
        <w:t xml:space="preserve">section </w:t>
      </w:r>
      <w:r w:rsidR="00736B07">
        <w:rPr>
          <w:lang w:eastAsia="en-ZA"/>
        </w:rPr>
        <w:t xml:space="preserve">37D(1)(b)(ii) </w:t>
      </w:r>
      <w:r w:rsidR="00541272">
        <w:rPr>
          <w:lang w:eastAsia="en-ZA"/>
        </w:rPr>
        <w:t xml:space="preserve">nor the fund’s rule purport to constitute, in and of themselves, a </w:t>
      </w:r>
      <w:r w:rsidR="00736B07">
        <w:rPr>
          <w:lang w:eastAsia="en-ZA"/>
        </w:rPr>
        <w:t xml:space="preserve">source or basis of the relief sought by the applicant in the current application. </w:t>
      </w:r>
    </w:p>
    <w:p w14:paraId="4B7F015E" w14:textId="287E2CF1" w:rsidR="00142D78" w:rsidRPr="00142D78" w:rsidRDefault="00142D78" w:rsidP="002725E5">
      <w:pPr>
        <w:pStyle w:val="LC1"/>
        <w:keepNext/>
        <w:numPr>
          <w:ilvl w:val="0"/>
          <w:numId w:val="0"/>
        </w:numPr>
        <w:rPr>
          <w:i/>
          <w:iCs/>
        </w:rPr>
      </w:pPr>
      <w:r w:rsidRPr="00142D78">
        <w:rPr>
          <w:i/>
          <w:iCs/>
        </w:rPr>
        <w:t xml:space="preserve">The nature and </w:t>
      </w:r>
      <w:r>
        <w:rPr>
          <w:i/>
          <w:iCs/>
        </w:rPr>
        <w:t xml:space="preserve">basis </w:t>
      </w:r>
      <w:r w:rsidRPr="00142D78">
        <w:rPr>
          <w:i/>
          <w:iCs/>
        </w:rPr>
        <w:t>of the relief sought</w:t>
      </w:r>
      <w:r w:rsidR="002725E5">
        <w:rPr>
          <w:i/>
          <w:iCs/>
        </w:rPr>
        <w:t xml:space="preserve">: No need to show irreparable harm </w:t>
      </w:r>
      <w:r w:rsidR="009017E1">
        <w:rPr>
          <w:i/>
          <w:iCs/>
        </w:rPr>
        <w:t xml:space="preserve">or absence of an </w:t>
      </w:r>
      <w:r w:rsidR="002725E5">
        <w:rPr>
          <w:i/>
          <w:iCs/>
        </w:rPr>
        <w:t>alternative remedy</w:t>
      </w:r>
    </w:p>
    <w:p w14:paraId="089171FF" w14:textId="17FBEB82" w:rsidR="00541272" w:rsidRDefault="007D2029" w:rsidP="007D2029">
      <w:pPr>
        <w:pStyle w:val="LC1"/>
        <w:numPr>
          <w:ilvl w:val="0"/>
          <w:numId w:val="0"/>
        </w:numPr>
        <w:ind w:left="720" w:hanging="720"/>
      </w:pPr>
      <w:r>
        <w:rPr>
          <w:rFonts w:cs="Arial"/>
          <w:szCs w:val="24"/>
        </w:rPr>
        <w:t>[13]</w:t>
      </w:r>
      <w:r>
        <w:rPr>
          <w:rFonts w:cs="Arial"/>
          <w:szCs w:val="24"/>
        </w:rPr>
        <w:tab/>
      </w:r>
      <w:r w:rsidR="00541272">
        <w:t>What then, is the nature and basis of the relief sought by the applicant?</w:t>
      </w:r>
    </w:p>
    <w:p w14:paraId="036F0031" w14:textId="785CB796" w:rsidR="00383115" w:rsidRDefault="007D2029" w:rsidP="007D2029">
      <w:pPr>
        <w:pStyle w:val="LC1"/>
        <w:numPr>
          <w:ilvl w:val="0"/>
          <w:numId w:val="0"/>
        </w:numPr>
        <w:ind w:left="720" w:hanging="720"/>
      </w:pPr>
      <w:r>
        <w:rPr>
          <w:rFonts w:cs="Arial"/>
          <w:szCs w:val="24"/>
        </w:rPr>
        <w:t>[14]</w:t>
      </w:r>
      <w:r>
        <w:rPr>
          <w:rFonts w:cs="Arial"/>
          <w:szCs w:val="24"/>
        </w:rPr>
        <w:tab/>
      </w:r>
      <w:r w:rsidR="00383115">
        <w:t xml:space="preserve">Counsel for both parties approached this matter on the basis that the relief would be competent as long as the applicant could establish all the standard requirements for an interim interdict, </w:t>
      </w:r>
      <w:r w:rsidR="00383115">
        <w:rPr>
          <w:lang w:eastAsia="en-ZA"/>
        </w:rPr>
        <w:t xml:space="preserve">namely (i) a </w:t>
      </w:r>
      <w:r w:rsidR="00383115" w:rsidRPr="006D5593">
        <w:rPr>
          <w:i/>
          <w:iCs/>
          <w:lang w:eastAsia="en-ZA"/>
        </w:rPr>
        <w:t>prima facie</w:t>
      </w:r>
      <w:r w:rsidR="00383115">
        <w:rPr>
          <w:lang w:eastAsia="en-ZA"/>
        </w:rPr>
        <w:t xml:space="preserve"> right; (ii) a well-grounded apprehension of irreparable harm if the interim relief is not granted and the ultimate relief is eventually granted; (iii) a balance of convenience in favour of the granting of the interim relief; and (iv) the absence of any other satisfactory remedy.</w:t>
      </w:r>
    </w:p>
    <w:p w14:paraId="11EEA009" w14:textId="30318F8C" w:rsidR="00383115" w:rsidRDefault="007D2029" w:rsidP="007D2029">
      <w:pPr>
        <w:pStyle w:val="LC1"/>
        <w:numPr>
          <w:ilvl w:val="0"/>
          <w:numId w:val="0"/>
        </w:numPr>
        <w:ind w:left="720" w:hanging="720"/>
      </w:pPr>
      <w:r>
        <w:rPr>
          <w:rFonts w:cs="Arial"/>
          <w:szCs w:val="24"/>
        </w:rPr>
        <w:t>[15]</w:t>
      </w:r>
      <w:r>
        <w:rPr>
          <w:rFonts w:cs="Arial"/>
          <w:szCs w:val="24"/>
        </w:rPr>
        <w:tab/>
      </w:r>
      <w:r w:rsidR="00383115">
        <w:t xml:space="preserve">This is perhaps unsurprising as this also seems to have been the approach taken by both courts in the only two reported cases that I have been able to locate in which </w:t>
      </w:r>
      <w:r w:rsidR="00B642F4">
        <w:t xml:space="preserve">similar </w:t>
      </w:r>
      <w:r w:rsidR="00383115">
        <w:t xml:space="preserve">relief </w:t>
      </w:r>
      <w:r w:rsidR="009017E1">
        <w:t>has been sought</w:t>
      </w:r>
      <w:r w:rsidR="00383115">
        <w:t xml:space="preserve">, namely </w:t>
      </w:r>
      <w:r w:rsidR="00383115" w:rsidRPr="006D5593">
        <w:rPr>
          <w:i/>
          <w:iCs/>
        </w:rPr>
        <w:t>Msunduzi Municipality</w:t>
      </w:r>
      <w:r w:rsidR="00383115">
        <w:rPr>
          <w:rStyle w:val="FootnoteReference"/>
        </w:rPr>
        <w:footnoteReference w:id="4"/>
      </w:r>
      <w:r w:rsidR="00383115">
        <w:t xml:space="preserve"> </w:t>
      </w:r>
      <w:r w:rsidR="00383115" w:rsidRPr="00383115">
        <w:t>and</w:t>
      </w:r>
      <w:r w:rsidR="00383115">
        <w:rPr>
          <w:i/>
          <w:iCs/>
        </w:rPr>
        <w:t xml:space="preserve"> </w:t>
      </w:r>
      <w:r w:rsidR="00383115" w:rsidRPr="0034585C">
        <w:rPr>
          <w:i/>
          <w:iCs/>
        </w:rPr>
        <w:t>SABC v SABC Pension Fund</w:t>
      </w:r>
      <w:r w:rsidR="00383115">
        <w:t>.</w:t>
      </w:r>
      <w:r w:rsidR="00383115">
        <w:rPr>
          <w:rStyle w:val="FootnoteReference"/>
        </w:rPr>
        <w:footnoteReference w:id="5"/>
      </w:r>
      <w:r w:rsidR="00383115">
        <w:t xml:space="preserve"> </w:t>
      </w:r>
    </w:p>
    <w:p w14:paraId="7BA67CA4" w14:textId="40B66445" w:rsidR="006D5593" w:rsidRDefault="007D2029" w:rsidP="007D2029">
      <w:pPr>
        <w:pStyle w:val="LC1"/>
        <w:numPr>
          <w:ilvl w:val="0"/>
          <w:numId w:val="0"/>
        </w:numPr>
        <w:ind w:left="720" w:hanging="720"/>
      </w:pPr>
      <w:r>
        <w:rPr>
          <w:rFonts w:cs="Arial"/>
          <w:szCs w:val="24"/>
        </w:rPr>
        <w:t>[16]</w:t>
      </w:r>
      <w:r>
        <w:rPr>
          <w:rFonts w:cs="Arial"/>
          <w:szCs w:val="24"/>
        </w:rPr>
        <w:tab/>
      </w:r>
      <w:r w:rsidR="00541272">
        <w:t xml:space="preserve">At the hearing, I </w:t>
      </w:r>
      <w:r w:rsidR="00736B07">
        <w:t xml:space="preserve">briefly debated with Mr Hollander </w:t>
      </w:r>
      <w:r w:rsidR="00541272">
        <w:t xml:space="preserve">who appeared on behalf of the applicant </w:t>
      </w:r>
      <w:r w:rsidR="00736B07">
        <w:t xml:space="preserve">whether the interdict sought in </w:t>
      </w:r>
      <w:r w:rsidR="00541272">
        <w:t xml:space="preserve">this </w:t>
      </w:r>
      <w:r w:rsidR="00736B07">
        <w:t xml:space="preserve">case </w:t>
      </w:r>
      <w:r w:rsidR="00541272">
        <w:t xml:space="preserve">is </w:t>
      </w:r>
      <w:r w:rsidR="00736B07">
        <w:t xml:space="preserve">of the </w:t>
      </w:r>
      <w:r w:rsidR="00736B07" w:rsidRPr="006D5593">
        <w:rPr>
          <w:i/>
          <w:iCs/>
        </w:rPr>
        <w:t>sui generis</w:t>
      </w:r>
      <w:r w:rsidR="00736B07">
        <w:t xml:space="preserve"> type loosely (but controversially)</w:t>
      </w:r>
      <w:r w:rsidR="00736B07">
        <w:rPr>
          <w:rStyle w:val="FootnoteReference"/>
        </w:rPr>
        <w:footnoteReference w:id="6"/>
      </w:r>
      <w:r w:rsidR="00736B07">
        <w:t xml:space="preserve">  referred to in South Africa as </w:t>
      </w:r>
      <w:r w:rsidR="00541272">
        <w:t xml:space="preserve">an </w:t>
      </w:r>
      <w:r w:rsidR="00736B07">
        <w:t>“</w:t>
      </w:r>
      <w:r w:rsidR="00736B07" w:rsidRPr="006D5593">
        <w:rPr>
          <w:i/>
          <w:iCs/>
        </w:rPr>
        <w:t>anti-dissipation</w:t>
      </w:r>
      <w:r w:rsidR="00736B07">
        <w:t>” interdict</w:t>
      </w:r>
      <w:r w:rsidR="00383115">
        <w:t xml:space="preserve">, as had been suggested by the court in </w:t>
      </w:r>
      <w:r w:rsidR="00383115" w:rsidRPr="009017E1">
        <w:rPr>
          <w:i/>
          <w:iCs/>
        </w:rPr>
        <w:lastRenderedPageBreak/>
        <w:t>Msunduz</w:t>
      </w:r>
      <w:r w:rsidR="00383115">
        <w:t>i.</w:t>
      </w:r>
      <w:r w:rsidR="00383115">
        <w:rPr>
          <w:rStyle w:val="FootnoteReference"/>
        </w:rPr>
        <w:footnoteReference w:id="7"/>
      </w:r>
      <w:r w:rsidR="00383115">
        <w:t xml:space="preserve"> </w:t>
      </w:r>
    </w:p>
    <w:p w14:paraId="54ABB57E" w14:textId="368FAB96" w:rsidR="006D5593" w:rsidRDefault="007D2029" w:rsidP="007D2029">
      <w:pPr>
        <w:pStyle w:val="LC1"/>
        <w:numPr>
          <w:ilvl w:val="0"/>
          <w:numId w:val="0"/>
        </w:numPr>
        <w:ind w:left="720" w:hanging="720"/>
      </w:pPr>
      <w:r>
        <w:rPr>
          <w:rFonts w:cs="Arial"/>
          <w:szCs w:val="24"/>
        </w:rPr>
        <w:t>[17]</w:t>
      </w:r>
      <w:r>
        <w:rPr>
          <w:rFonts w:cs="Arial"/>
          <w:szCs w:val="24"/>
        </w:rPr>
        <w:tab/>
      </w:r>
      <w:r w:rsidR="006D5593">
        <w:t>Anti-dissipation interdicts serve to preserve property of the respondent “</w:t>
      </w:r>
      <w:r w:rsidR="006D5593" w:rsidRPr="00097EEF">
        <w:rPr>
          <w:i/>
          <w:iCs/>
        </w:rPr>
        <w:t>to which the applicant can lay no special claim</w:t>
      </w:r>
      <w:r w:rsidR="006D5593">
        <w:t>”</w:t>
      </w:r>
      <w:r w:rsidR="006D5593">
        <w:rPr>
          <w:rStyle w:val="FootnoteReference"/>
        </w:rPr>
        <w:footnoteReference w:id="8"/>
      </w:r>
      <w:r w:rsidR="006D5593">
        <w:t xml:space="preserve"> </w:t>
      </w:r>
      <w:r w:rsidR="006D5593" w:rsidRPr="00617943">
        <w:t xml:space="preserve">pending an action to be brought to determine the </w:t>
      </w:r>
      <w:r w:rsidR="006D5593">
        <w:t xml:space="preserve">existence of a debt. </w:t>
      </w:r>
      <w:r w:rsidR="006D5593" w:rsidRPr="00617943">
        <w:t xml:space="preserve">In </w:t>
      </w:r>
      <w:r w:rsidR="006D5593" w:rsidRPr="003745D0">
        <w:rPr>
          <w:i/>
          <w:iCs/>
        </w:rPr>
        <w:t>Knox D’Arcy Ltd v Jamieson</w:t>
      </w:r>
      <w:r w:rsidR="006D5593">
        <w:t>,</w:t>
      </w:r>
      <w:r w:rsidR="006D5593">
        <w:rPr>
          <w:rStyle w:val="FootnoteReference"/>
        </w:rPr>
        <w:t xml:space="preserve"> </w:t>
      </w:r>
      <w:r w:rsidR="006D5593">
        <w:t xml:space="preserve">the Appellate Division </w:t>
      </w:r>
      <w:r w:rsidR="006D5593" w:rsidRPr="00617943">
        <w:t xml:space="preserve">held that </w:t>
      </w:r>
      <w:r w:rsidR="006D5593">
        <w:t>an applicant for such an interdict must (</w:t>
      </w:r>
      <w:r w:rsidR="006D5593" w:rsidRPr="00617943">
        <w:t>except possibly in exceptional cases</w:t>
      </w:r>
      <w:r w:rsidR="006D5593">
        <w:t>)</w:t>
      </w:r>
      <w:r w:rsidR="006D5593" w:rsidRPr="00617943">
        <w:t xml:space="preserve">, </w:t>
      </w:r>
      <w:r w:rsidR="006D5593">
        <w:t>“</w:t>
      </w:r>
      <w:r w:rsidR="006D5593" w:rsidRPr="00097EEF">
        <w:rPr>
          <w:i/>
          <w:iCs/>
        </w:rPr>
        <w:t>show a particular state of mind on the part of the respondent, i.e. that he is getting rid of the funds, or is likely to do so, with the intention of defeating the claims of creditors</w:t>
      </w:r>
      <w:r w:rsidR="006D5593">
        <w:t>” and observed that “</w:t>
      </w:r>
      <w:r w:rsidR="006D5593" w:rsidRPr="00097EEF">
        <w:rPr>
          <w:i/>
          <w:iCs/>
        </w:rPr>
        <w:t>there would not normally be any justification to compel a respondent to regulate his bona fide expenditure so as to retain funds in his patrimony for the payment of claims (particularly disputed ones) against him</w:t>
      </w:r>
      <w:r w:rsidR="006D5593">
        <w:t>”.</w:t>
      </w:r>
      <w:r w:rsidR="006D5593">
        <w:rPr>
          <w:rStyle w:val="FootnoteReference"/>
        </w:rPr>
        <w:footnoteReference w:id="9"/>
      </w:r>
    </w:p>
    <w:p w14:paraId="5A5E8C1F" w14:textId="661108E8" w:rsidR="006D5593" w:rsidRPr="00622654" w:rsidRDefault="007D2029" w:rsidP="007D2029">
      <w:pPr>
        <w:pStyle w:val="LC1"/>
        <w:numPr>
          <w:ilvl w:val="0"/>
          <w:numId w:val="0"/>
        </w:numPr>
        <w:ind w:left="720" w:hanging="720"/>
      </w:pPr>
      <w:r w:rsidRPr="00622654">
        <w:rPr>
          <w:rFonts w:cs="Arial"/>
          <w:szCs w:val="24"/>
        </w:rPr>
        <w:t>[18]</w:t>
      </w:r>
      <w:r w:rsidRPr="00622654">
        <w:rPr>
          <w:rFonts w:cs="Arial"/>
          <w:szCs w:val="24"/>
        </w:rPr>
        <w:tab/>
      </w:r>
      <w:r w:rsidR="006D5593">
        <w:t>In my view</w:t>
      </w:r>
      <w:r w:rsidR="00383115">
        <w:t xml:space="preserve"> </w:t>
      </w:r>
      <w:r w:rsidR="006D5593">
        <w:t xml:space="preserve">the interdict sought in the current matter is not of this kind, and an applicant does </w:t>
      </w:r>
      <w:r w:rsidR="006D5593" w:rsidRPr="0034585C">
        <w:t>not</w:t>
      </w:r>
      <w:r w:rsidR="006D5593">
        <w:t xml:space="preserve"> have to demonstrate the existence of the state of mind required for the purposes of an anti-dissipation interdict. I </w:t>
      </w:r>
      <w:r w:rsidR="00B642F4">
        <w:t xml:space="preserve">say </w:t>
      </w:r>
      <w:r w:rsidR="006D5593">
        <w:t xml:space="preserve">this because section 37D(1)(b) of the Pension Funds Act itself establishes a claim </w:t>
      </w:r>
      <w:r w:rsidR="00B642F4">
        <w:t xml:space="preserve">by </w:t>
      </w:r>
      <w:r w:rsidR="006D5593">
        <w:t xml:space="preserve">an employer to the pension funds of an employee in the special circumstances identified therein. It </w:t>
      </w:r>
      <w:r w:rsidR="00383115">
        <w:t xml:space="preserve">therefore </w:t>
      </w:r>
      <w:r w:rsidR="006D5593">
        <w:t xml:space="preserve">seems to me that </w:t>
      </w:r>
      <w:r w:rsidR="009017E1">
        <w:t xml:space="preserve">this </w:t>
      </w:r>
      <w:r w:rsidR="006D5593">
        <w:t xml:space="preserve">case </w:t>
      </w:r>
      <w:r w:rsidR="009017E1">
        <w:t xml:space="preserve">is </w:t>
      </w:r>
      <w:r w:rsidR="006D5593">
        <w:t xml:space="preserve">similar to those alluded to by Innes JP (as he then was) in </w:t>
      </w:r>
      <w:r w:rsidR="006D5593" w:rsidRPr="00622654">
        <w:rPr>
          <w:rFonts w:eastAsia="Cambria" w:cs="Arial"/>
          <w:i/>
          <w:iCs/>
        </w:rPr>
        <w:t>Driefontein Consolidated Gold Mines Ltd v Schlochauer</w:t>
      </w:r>
      <w:r w:rsidR="006D5593">
        <w:rPr>
          <w:rFonts w:eastAsia="Cambria" w:cs="Arial"/>
        </w:rPr>
        <w:t xml:space="preserve"> when he said:</w:t>
      </w:r>
    </w:p>
    <w:p w14:paraId="783269EF" w14:textId="77777777" w:rsidR="006D5593" w:rsidRPr="00205871" w:rsidRDefault="006D5593" w:rsidP="006D5593">
      <w:pPr>
        <w:pStyle w:val="HeadsQuote"/>
        <w:rPr>
          <w:rFonts w:cs="Arial"/>
          <w:i w:val="0"/>
          <w:iCs w:val="0"/>
        </w:rPr>
      </w:pPr>
      <w:r w:rsidRPr="00622654">
        <w:rPr>
          <w:rFonts w:cs="Arial"/>
        </w:rPr>
        <w:t>The mere fact that a plaintiff intends to bring an action against a defendant does not warrant him in asking that the latter</w:t>
      </w:r>
      <w:r w:rsidRPr="00622654">
        <w:rPr>
          <w:rFonts w:cs="Arial"/>
          <w:sz w:val="13"/>
          <w:szCs w:val="13"/>
        </w:rPr>
        <w:t xml:space="preserve"> </w:t>
      </w:r>
      <w:r w:rsidRPr="00622654">
        <w:rPr>
          <w:rFonts w:cs="Arial"/>
        </w:rPr>
        <w:t>should be interdicted from dealing with his prope</w:t>
      </w:r>
      <w:r w:rsidRPr="00205871">
        <w:rPr>
          <w:rFonts w:cs="Arial"/>
        </w:rPr>
        <w:t xml:space="preserve">rty. It would be different if it could be shown that the property sought to be interdicted was actually the subject of the dispute between the parties, or that it was </w:t>
      </w:r>
      <w:r w:rsidRPr="00205871">
        <w:rPr>
          <w:rFonts w:cs="Arial"/>
        </w:rPr>
        <w:lastRenderedPageBreak/>
        <w:t>clearly the proceeds of other property stolen from the applicants.</w:t>
      </w:r>
      <w:r w:rsidRPr="00205871">
        <w:rPr>
          <w:rStyle w:val="FootnoteReference"/>
          <w:rFonts w:cs="Arial"/>
        </w:rPr>
        <w:footnoteReference w:id="10"/>
      </w:r>
    </w:p>
    <w:p w14:paraId="22B271B8" w14:textId="6F59E0C6" w:rsidR="002725E5" w:rsidRDefault="007D2029" w:rsidP="007D2029">
      <w:pPr>
        <w:pStyle w:val="LC1"/>
        <w:numPr>
          <w:ilvl w:val="0"/>
          <w:numId w:val="0"/>
        </w:numPr>
        <w:ind w:left="720" w:hanging="720"/>
      </w:pPr>
      <w:r>
        <w:rPr>
          <w:rFonts w:cs="Arial"/>
          <w:szCs w:val="24"/>
        </w:rPr>
        <w:t>[19]</w:t>
      </w:r>
      <w:r>
        <w:rPr>
          <w:rFonts w:cs="Arial"/>
          <w:szCs w:val="24"/>
        </w:rPr>
        <w:tab/>
      </w:r>
      <w:r w:rsidR="00383115" w:rsidRPr="00383115">
        <w:t>In view of the nature of the employer’s right under section 37D(1)(b)(ii) to claim money that “</w:t>
      </w:r>
      <w:r w:rsidR="00383115" w:rsidRPr="00383115">
        <w:rPr>
          <w:i/>
          <w:iCs/>
        </w:rPr>
        <w:t>is identifiable with or earmarked as a particular fund to which the plaintiff claims to be entitled</w:t>
      </w:r>
      <w:r w:rsidR="00383115" w:rsidRPr="00383115">
        <w:t>”,</w:t>
      </w:r>
      <w:r w:rsidR="00383115" w:rsidRPr="00383115">
        <w:rPr>
          <w:rStyle w:val="FootnoteReference"/>
        </w:rPr>
        <w:footnoteReference w:id="11"/>
      </w:r>
      <w:r w:rsidR="00383115" w:rsidRPr="00383115">
        <w:t xml:space="preserve"> it is my view that applications of the type at issue in the current matter fall into the exceptional category of “</w:t>
      </w:r>
      <w:r w:rsidR="00383115" w:rsidRPr="00383115">
        <w:rPr>
          <w:i/>
          <w:iCs/>
        </w:rPr>
        <w:t>applications for interim relief pending … 'quasi-vindicatory' actions … when delivery of specific property is claimed under some legal right to obtain possession</w:t>
      </w:r>
      <w:r w:rsidR="00383115" w:rsidRPr="00383115">
        <w:t xml:space="preserve">”. </w:t>
      </w:r>
    </w:p>
    <w:p w14:paraId="518D13B5" w14:textId="2674F14D" w:rsidR="00383115" w:rsidRPr="00383115" w:rsidRDefault="007D2029" w:rsidP="007D2029">
      <w:pPr>
        <w:pStyle w:val="LC1"/>
        <w:numPr>
          <w:ilvl w:val="0"/>
          <w:numId w:val="0"/>
        </w:numPr>
        <w:ind w:left="720" w:hanging="720"/>
      </w:pPr>
      <w:r w:rsidRPr="00383115">
        <w:rPr>
          <w:rFonts w:cs="Arial"/>
          <w:szCs w:val="24"/>
        </w:rPr>
        <w:t>[20]</w:t>
      </w:r>
      <w:r w:rsidRPr="00383115">
        <w:rPr>
          <w:rFonts w:cs="Arial"/>
          <w:szCs w:val="24"/>
        </w:rPr>
        <w:tab/>
      </w:r>
      <w:r w:rsidR="00383115" w:rsidRPr="00383115">
        <w:t>In such claims, “</w:t>
      </w:r>
      <w:r w:rsidR="00383115" w:rsidRPr="00383115">
        <w:rPr>
          <w:i/>
          <w:iCs/>
        </w:rPr>
        <w:t xml:space="preserve">the </w:t>
      </w:r>
      <w:r w:rsidR="00383115" w:rsidRPr="009017E1">
        <w:rPr>
          <w:i/>
          <w:iCs/>
        </w:rPr>
        <w:t>applicant need not allege irreparable loss</w:t>
      </w:r>
      <w:r w:rsidR="00383115" w:rsidRPr="00383115">
        <w:rPr>
          <w:i/>
          <w:iCs/>
        </w:rPr>
        <w:t xml:space="preserve"> inasmuch as there is a presumption, which may be rebutted by the respondent, that the injury is irreparable … </w:t>
      </w:r>
      <w:r w:rsidR="00383115" w:rsidRPr="009017E1">
        <w:rPr>
          <w:i/>
          <w:iCs/>
        </w:rPr>
        <w:t>nor need the applicant show that it has no other satisfactory remedy</w:t>
      </w:r>
      <w:r w:rsidR="00383115" w:rsidRPr="00383115">
        <w:t>”.</w:t>
      </w:r>
      <w:r w:rsidR="00383115" w:rsidRPr="00383115">
        <w:rPr>
          <w:rStyle w:val="FootnoteReference"/>
        </w:rPr>
        <w:footnoteReference w:id="12"/>
      </w:r>
      <w:r w:rsidR="00383115" w:rsidRPr="00383115">
        <w:t xml:space="preserve">  </w:t>
      </w:r>
    </w:p>
    <w:p w14:paraId="1742D728" w14:textId="4A74E3DF" w:rsidR="00142D78" w:rsidRPr="00142D78" w:rsidRDefault="002725E5" w:rsidP="002725E5">
      <w:pPr>
        <w:pStyle w:val="LC1"/>
        <w:numPr>
          <w:ilvl w:val="0"/>
          <w:numId w:val="0"/>
        </w:numPr>
        <w:rPr>
          <w:rFonts w:eastAsia="Cambria"/>
          <w:i/>
          <w:iCs/>
        </w:rPr>
      </w:pPr>
      <w:r>
        <w:rPr>
          <w:rFonts w:eastAsia="Cambria"/>
          <w:i/>
          <w:iCs/>
        </w:rPr>
        <w:t>The relationship between the prima facie right and t</w:t>
      </w:r>
      <w:r w:rsidR="00142D78" w:rsidRPr="00142D78">
        <w:rPr>
          <w:rFonts w:eastAsia="Cambria"/>
          <w:i/>
          <w:iCs/>
        </w:rPr>
        <w:t xml:space="preserve">he amount to be withheld </w:t>
      </w:r>
    </w:p>
    <w:p w14:paraId="4DDEC83D" w14:textId="3B617FE9" w:rsidR="00142D78" w:rsidRPr="006B02EC" w:rsidRDefault="007D2029" w:rsidP="007D2029">
      <w:pPr>
        <w:pStyle w:val="LC1"/>
        <w:numPr>
          <w:ilvl w:val="0"/>
          <w:numId w:val="0"/>
        </w:numPr>
        <w:ind w:left="720" w:hanging="720"/>
        <w:rPr>
          <w:rFonts w:eastAsia="Cambria"/>
        </w:rPr>
      </w:pPr>
      <w:r w:rsidRPr="006B02EC">
        <w:rPr>
          <w:rFonts w:eastAsia="Cambria" w:cs="Arial"/>
          <w:szCs w:val="24"/>
        </w:rPr>
        <w:t>[21]</w:t>
      </w:r>
      <w:r w:rsidRPr="006B02EC">
        <w:rPr>
          <w:rFonts w:eastAsia="Cambria" w:cs="Arial"/>
          <w:szCs w:val="24"/>
        </w:rPr>
        <w:tab/>
      </w:r>
      <w:r w:rsidR="00142D78">
        <w:t xml:space="preserve">It bears repeating at this juncture that in considering the existence of a </w:t>
      </w:r>
      <w:r w:rsidR="00142D78" w:rsidRPr="00142D78">
        <w:rPr>
          <w:i/>
          <w:iCs/>
        </w:rPr>
        <w:t>prima facie</w:t>
      </w:r>
      <w:r w:rsidR="00142D78">
        <w:t xml:space="preserve"> right, the correct approach is …  </w:t>
      </w:r>
    </w:p>
    <w:p w14:paraId="76B49AE8" w14:textId="77777777" w:rsidR="00142D78" w:rsidRPr="000B2F64" w:rsidRDefault="00142D78" w:rsidP="00142D78">
      <w:pPr>
        <w:pStyle w:val="HeadsQuote"/>
        <w:rPr>
          <w:rFonts w:cs="Arial"/>
        </w:rPr>
      </w:pPr>
      <w:r>
        <w:rPr>
          <w:rFonts w:cs="Arial"/>
        </w:rPr>
        <w:t xml:space="preserve">… </w:t>
      </w:r>
      <w:r w:rsidRPr="000B2F64">
        <w:rPr>
          <w:rFonts w:cs="Arial"/>
        </w:rPr>
        <w:t>to take the facts as set out by the applicant, together with any facts set out by the respondent which the applicant cannot dispute, and to consider whether, having regard to the inherent probabilities, the</w:t>
      </w:r>
      <w:r w:rsidRPr="000B2F64">
        <w:rPr>
          <w:rFonts w:cs="Arial"/>
          <w:sz w:val="13"/>
          <w:szCs w:val="13"/>
        </w:rPr>
        <w:t xml:space="preserve"> </w:t>
      </w:r>
      <w:r w:rsidRPr="000B2F64">
        <w:rPr>
          <w:rFonts w:cs="Arial"/>
        </w:rPr>
        <w:t xml:space="preserve">applicant [should] on those facts, obtain final relief at the trial. The facts set up in contradiction by the respondent should then be considered. If serious doubt is thrown upon the case of the applicant he could not succeed in obtaining temporary relief, for his right, </w:t>
      </w:r>
      <w:r w:rsidRPr="000B2F64">
        <w:rPr>
          <w:rFonts w:cs="Arial"/>
        </w:rPr>
        <w:lastRenderedPageBreak/>
        <w:t>prima facie established, may only be open to 'some doubt'. But if there is mere contradiction, or unconvincing explanation, the matter should be left to trial and the right be protected in the meanwhile, subject of course to the respective prejudice in the grant or refusal of interim relief.</w:t>
      </w:r>
      <w:r w:rsidRPr="000B2F64">
        <w:rPr>
          <w:rStyle w:val="FootnoteReference"/>
          <w:rFonts w:cs="Arial"/>
          <w:i w:val="0"/>
          <w:iCs w:val="0"/>
        </w:rPr>
        <w:footnoteReference w:id="13"/>
      </w:r>
    </w:p>
    <w:p w14:paraId="1A31AC83" w14:textId="47845945" w:rsidR="009F455F" w:rsidRDefault="007D2029" w:rsidP="007D2029">
      <w:pPr>
        <w:pStyle w:val="LC1"/>
        <w:numPr>
          <w:ilvl w:val="0"/>
          <w:numId w:val="0"/>
        </w:numPr>
        <w:ind w:left="720" w:hanging="720"/>
      </w:pPr>
      <w:r>
        <w:rPr>
          <w:rFonts w:cs="Arial"/>
          <w:szCs w:val="24"/>
        </w:rPr>
        <w:t>[22]</w:t>
      </w:r>
      <w:r>
        <w:rPr>
          <w:rFonts w:cs="Arial"/>
          <w:szCs w:val="24"/>
        </w:rPr>
        <w:tab/>
      </w:r>
      <w:r w:rsidR="00ED44C6">
        <w:t>I</w:t>
      </w:r>
      <w:r w:rsidR="009F455F">
        <w:t xml:space="preserve">t stands to reason that an applicant seeking relief of this nature can logically not be entitled to an order restraining a greater sum than it is able to show </w:t>
      </w:r>
      <w:r w:rsidR="00142D78">
        <w:t xml:space="preserve">(albeit </w:t>
      </w:r>
      <w:r w:rsidR="009017E1">
        <w:t xml:space="preserve">merely </w:t>
      </w:r>
      <w:r w:rsidR="00142D78">
        <w:t xml:space="preserve">on </w:t>
      </w:r>
      <w:r w:rsidR="009F455F">
        <w:t xml:space="preserve">a </w:t>
      </w:r>
      <w:r w:rsidR="009F455F" w:rsidRPr="00142D78">
        <w:rPr>
          <w:i/>
          <w:iCs/>
        </w:rPr>
        <w:t>prima facie</w:t>
      </w:r>
      <w:r w:rsidR="009F455F">
        <w:t xml:space="preserve"> basis</w:t>
      </w:r>
      <w:r w:rsidR="00142D78">
        <w:t>)</w:t>
      </w:r>
      <w:r w:rsidR="009F455F">
        <w:t xml:space="preserve"> that the employee </w:t>
      </w:r>
      <w:r w:rsidR="00142D78">
        <w:t xml:space="preserve">is likely to be ordered to pay in the action. If the employee is able to demonstrate serious doubt regarding the quantification of damages in the claim, the amount that the court may order </w:t>
      </w:r>
      <w:r w:rsidR="009017E1">
        <w:t xml:space="preserve">to </w:t>
      </w:r>
      <w:r w:rsidR="00142D78">
        <w:t xml:space="preserve">be withheld should be reduced accordingly. </w:t>
      </w:r>
    </w:p>
    <w:p w14:paraId="65DE512E" w14:textId="356956BF" w:rsidR="00142D78" w:rsidRPr="00142D78" w:rsidRDefault="00142D78" w:rsidP="002725E5">
      <w:pPr>
        <w:pStyle w:val="LC1"/>
        <w:numPr>
          <w:ilvl w:val="0"/>
          <w:numId w:val="0"/>
        </w:numPr>
        <w:rPr>
          <w:rFonts w:eastAsia="Cambria" w:cs="Arial"/>
          <w:i/>
          <w:iCs/>
        </w:rPr>
      </w:pPr>
      <w:r w:rsidRPr="00142D78">
        <w:rPr>
          <w:rFonts w:eastAsia="Cambria" w:cs="Arial"/>
          <w:i/>
          <w:iCs/>
        </w:rPr>
        <w:t xml:space="preserve">The </w:t>
      </w:r>
      <w:r>
        <w:rPr>
          <w:rFonts w:eastAsia="Cambria" w:cs="Arial"/>
          <w:i/>
          <w:iCs/>
        </w:rPr>
        <w:t xml:space="preserve">pension fund’s </w:t>
      </w:r>
      <w:r w:rsidRPr="00142D78">
        <w:rPr>
          <w:rFonts w:eastAsia="Cambria" w:cs="Arial"/>
          <w:i/>
          <w:iCs/>
        </w:rPr>
        <w:t>discretion</w:t>
      </w:r>
      <w:r w:rsidR="002725E5">
        <w:rPr>
          <w:rFonts w:eastAsia="Cambria" w:cs="Arial"/>
          <w:i/>
          <w:iCs/>
        </w:rPr>
        <w:t>: “jurisdictional facts”, reasonableness and fairness</w:t>
      </w:r>
    </w:p>
    <w:p w14:paraId="7D1243E2" w14:textId="5CCD3558" w:rsidR="00A57723" w:rsidRPr="00142D78" w:rsidRDefault="007D2029" w:rsidP="007D2029">
      <w:pPr>
        <w:pStyle w:val="LC1"/>
        <w:numPr>
          <w:ilvl w:val="0"/>
          <w:numId w:val="0"/>
        </w:numPr>
        <w:ind w:left="720" w:hanging="720"/>
        <w:rPr>
          <w:rFonts w:eastAsia="Cambria" w:cs="Arial"/>
        </w:rPr>
      </w:pPr>
      <w:r w:rsidRPr="00142D78">
        <w:rPr>
          <w:rFonts w:eastAsia="Cambria" w:cs="Arial"/>
          <w:szCs w:val="24"/>
        </w:rPr>
        <w:t>[23]</w:t>
      </w:r>
      <w:r w:rsidRPr="00142D78">
        <w:rPr>
          <w:rFonts w:eastAsia="Cambria" w:cs="Arial"/>
          <w:szCs w:val="24"/>
        </w:rPr>
        <w:tab/>
      </w:r>
      <w:r w:rsidR="008574C9">
        <w:t xml:space="preserve">There is </w:t>
      </w:r>
      <w:r w:rsidR="0051606C">
        <w:t xml:space="preserve">a further </w:t>
      </w:r>
      <w:r w:rsidR="008574C9">
        <w:t xml:space="preserve">aspect to be taken </w:t>
      </w:r>
      <w:r w:rsidR="00142D78">
        <w:t xml:space="preserve">into account </w:t>
      </w:r>
      <w:r w:rsidR="008574C9">
        <w:t>by a court in matters of this kind.</w:t>
      </w:r>
      <w:r w:rsidR="00142D78">
        <w:t xml:space="preserve"> In my view, i</w:t>
      </w:r>
      <w:r w:rsidR="00AD6E4F">
        <w:t xml:space="preserve">t is significant that </w:t>
      </w:r>
      <w:r w:rsidR="008574C9">
        <w:t xml:space="preserve">in </w:t>
      </w:r>
      <w:r w:rsidR="008574C9" w:rsidRPr="00142D78">
        <w:rPr>
          <w:i/>
          <w:iCs/>
        </w:rPr>
        <w:t>Highveld Steel</w:t>
      </w:r>
      <w:r w:rsidR="008574C9">
        <w:t xml:space="preserve"> </w:t>
      </w:r>
      <w:r w:rsidR="00AD6E4F">
        <w:t xml:space="preserve">Maya JA (as she then was) considered it necessary to </w:t>
      </w:r>
      <w:r w:rsidR="009266CE">
        <w:t xml:space="preserve">opine that the </w:t>
      </w:r>
      <w:r w:rsidR="00AD6E4F">
        <w:t xml:space="preserve">pension’ fund’s </w:t>
      </w:r>
      <w:r w:rsidR="009266CE">
        <w:t>discretion had been “</w:t>
      </w:r>
      <w:r w:rsidR="009266CE" w:rsidRPr="00142D78">
        <w:rPr>
          <w:i/>
          <w:iCs/>
        </w:rPr>
        <w:t>properly exercised in view of the glaring absence of any serious challenge to the appellant's detailed allegations of dishonesty against the respondent</w:t>
      </w:r>
      <w:r w:rsidR="009266CE">
        <w:t>”,</w:t>
      </w:r>
      <w:r w:rsidR="009266CE">
        <w:rPr>
          <w:rStyle w:val="FootnoteReference"/>
        </w:rPr>
        <w:footnoteReference w:id="14"/>
      </w:r>
      <w:r w:rsidR="009266CE">
        <w:t xml:space="preserve"> </w:t>
      </w:r>
      <w:r w:rsidR="009266CE" w:rsidRPr="00142D78">
        <w:rPr>
          <w:rFonts w:eastAsia="Cambria"/>
        </w:rPr>
        <w:t xml:space="preserve">and </w:t>
      </w:r>
      <w:r w:rsidR="00A57723" w:rsidRPr="00142D78">
        <w:rPr>
          <w:rFonts w:eastAsia="Cambria"/>
        </w:rPr>
        <w:t xml:space="preserve">stressed </w:t>
      </w:r>
      <w:r w:rsidR="009266CE" w:rsidRPr="00142D78">
        <w:rPr>
          <w:rFonts w:eastAsia="Cambria"/>
        </w:rPr>
        <w:t xml:space="preserve">that: </w:t>
      </w:r>
    </w:p>
    <w:p w14:paraId="3534EA27" w14:textId="695FED33" w:rsidR="00A57723" w:rsidRPr="00A57723" w:rsidRDefault="00A57723" w:rsidP="00A57723">
      <w:pPr>
        <w:pStyle w:val="HeadsQuote"/>
      </w:pPr>
      <w:r w:rsidRPr="00A57723">
        <w:t>Considering the potential prejudice to an employee who may urgently need to access his pension benefits and who</w:t>
      </w:r>
      <w:r>
        <w:t xml:space="preserve"> </w:t>
      </w:r>
      <w:r w:rsidRPr="00A57723">
        <w:t>is in due course found innocent</w:t>
      </w:r>
      <w:r w:rsidRPr="00205871">
        <w:t>, it is necessary that pension funds exercise their discretion with care and in</w:t>
      </w:r>
      <w:r w:rsidRPr="00A57723">
        <w:t xml:space="preserve"> the</w:t>
      </w:r>
      <w:r>
        <w:t xml:space="preserve"> </w:t>
      </w:r>
      <w:r w:rsidRPr="00A57723">
        <w:t>process balance the competing interests with due regard to the strength of the employer's claim. They may also</w:t>
      </w:r>
      <w:r w:rsidR="00E559E1">
        <w:t xml:space="preserve"> </w:t>
      </w:r>
      <w:r w:rsidRPr="00A57723">
        <w:t>impose conditions on employees to do justice to the case</w:t>
      </w:r>
      <w:r w:rsidR="00E559E1">
        <w:t>.</w:t>
      </w:r>
    </w:p>
    <w:p w14:paraId="7ACC1D1C" w14:textId="36F12961" w:rsidR="00736B07" w:rsidRDefault="007D2029" w:rsidP="007D2029">
      <w:pPr>
        <w:pStyle w:val="LC1"/>
        <w:numPr>
          <w:ilvl w:val="0"/>
          <w:numId w:val="0"/>
        </w:numPr>
        <w:ind w:left="720" w:hanging="720"/>
      </w:pPr>
      <w:r>
        <w:rPr>
          <w:rFonts w:cs="Arial"/>
          <w:szCs w:val="24"/>
        </w:rPr>
        <w:t>[24]</w:t>
      </w:r>
      <w:r>
        <w:rPr>
          <w:rFonts w:cs="Arial"/>
          <w:szCs w:val="24"/>
        </w:rPr>
        <w:tab/>
      </w:r>
      <w:r w:rsidR="00AD6E4F">
        <w:t xml:space="preserve">In view of the importance attached by the Supreme Court of Appeal to the </w:t>
      </w:r>
      <w:r w:rsidR="00AD6E4F">
        <w:lastRenderedPageBreak/>
        <w:t xml:space="preserve">exercise of a discretion on the part of the pension fund, </w:t>
      </w:r>
      <w:r w:rsidR="00736B07">
        <w:t xml:space="preserve">the provisions of the pension fund’s </w:t>
      </w:r>
      <w:r w:rsidR="00627891">
        <w:t>rule</w:t>
      </w:r>
      <w:r w:rsidR="002725E5">
        <w:t>s</w:t>
      </w:r>
      <w:r w:rsidR="00627891">
        <w:t xml:space="preserve"> </w:t>
      </w:r>
      <w:r w:rsidR="00736B07">
        <w:t xml:space="preserve">are of </w:t>
      </w:r>
      <w:r w:rsidR="008574C9">
        <w:t xml:space="preserve">relevance </w:t>
      </w:r>
      <w:r w:rsidR="00736B07">
        <w:t xml:space="preserve">in considering the circumstances under which a court would be prepared to grant relief such as that sought in the current matter. </w:t>
      </w:r>
    </w:p>
    <w:p w14:paraId="15D2602E" w14:textId="6F309C82" w:rsidR="00A30334" w:rsidRDefault="007D2029" w:rsidP="007D2029">
      <w:pPr>
        <w:pStyle w:val="LC1"/>
        <w:numPr>
          <w:ilvl w:val="0"/>
          <w:numId w:val="0"/>
        </w:numPr>
        <w:ind w:left="720" w:hanging="720"/>
      </w:pPr>
      <w:r>
        <w:rPr>
          <w:rFonts w:cs="Arial"/>
          <w:szCs w:val="24"/>
        </w:rPr>
        <w:t>[25]</w:t>
      </w:r>
      <w:r>
        <w:rPr>
          <w:rFonts w:cs="Arial"/>
          <w:szCs w:val="24"/>
        </w:rPr>
        <w:tab/>
      </w:r>
      <w:r w:rsidR="00A30334">
        <w:t xml:space="preserve">While there was no suggestion in the </w:t>
      </w:r>
      <w:r w:rsidR="00A30334" w:rsidRPr="006D5593">
        <w:rPr>
          <w:i/>
          <w:iCs/>
        </w:rPr>
        <w:t>Msunduzi</w:t>
      </w:r>
      <w:r w:rsidR="00A30334">
        <w:t xml:space="preserve"> case that the rules of the pension fund in </w:t>
      </w:r>
      <w:r w:rsidR="00ED44C6">
        <w:t xml:space="preserve">that case </w:t>
      </w:r>
      <w:r w:rsidR="00A30334">
        <w:t xml:space="preserve">imposed any limitation whatsoever on the power of the fund to withhold pension benefits, let alone specific provisions such as those applicable in the present case specifying the functionaries who would be entitled to exercise such a discretion, and the requirements that would have to be met under which such a discretion could be authorised, this was an issue that exercised the court extensively in </w:t>
      </w:r>
      <w:r w:rsidR="00A30334" w:rsidRPr="00A30334">
        <w:rPr>
          <w:i/>
          <w:iCs/>
        </w:rPr>
        <w:t>SABC</w:t>
      </w:r>
      <w:r w:rsidR="00A30334">
        <w:t>, where the rule in question was almost identical to the one that applies here.</w:t>
      </w:r>
      <w:r w:rsidR="00DF7EA0">
        <w:rPr>
          <w:rStyle w:val="FootnoteReference"/>
        </w:rPr>
        <w:footnoteReference w:id="15"/>
      </w:r>
      <w:r w:rsidR="00A30334">
        <w:t xml:space="preserve"> Thus for example:</w:t>
      </w:r>
    </w:p>
    <w:p w14:paraId="736AE119" w14:textId="4D91D8A2" w:rsidR="00A30334" w:rsidRDefault="007D2029" w:rsidP="007D2029">
      <w:pPr>
        <w:pStyle w:val="LC2"/>
        <w:numPr>
          <w:ilvl w:val="0"/>
          <w:numId w:val="0"/>
        </w:numPr>
        <w:ind w:left="1701" w:hanging="993"/>
      </w:pPr>
      <w:r>
        <w:t>(a)</w:t>
      </w:r>
      <w:r>
        <w:tab/>
      </w:r>
      <w:r w:rsidR="00872B49">
        <w:t>t</w:t>
      </w:r>
      <w:r w:rsidR="00A30334">
        <w:t xml:space="preserve">he court was at pains to </w:t>
      </w:r>
      <w:r w:rsidR="00872B49">
        <w:t xml:space="preserve">refute </w:t>
      </w:r>
      <w:r w:rsidR="00A30334">
        <w:t xml:space="preserve">the pension fund’s contention that it would be prejudiced </w:t>
      </w:r>
      <w:r w:rsidR="00DF7EA0">
        <w:t xml:space="preserve">by the fact that a number of new factual allegations were raised by the applicant in reply, and that </w:t>
      </w:r>
      <w:r w:rsidR="00205871">
        <w:t xml:space="preserve">it </w:t>
      </w:r>
      <w:r w:rsidR="00DF7EA0">
        <w:t>“</w:t>
      </w:r>
      <w:r w:rsidR="00DF7EA0" w:rsidRPr="00872B49">
        <w:rPr>
          <w:i/>
          <w:iCs/>
        </w:rPr>
        <w:t>could not exercise its discretion on the basis of new facts that were raised</w:t>
      </w:r>
      <w:r w:rsidR="00DF7EA0">
        <w:t>” in the replying affidavit</w:t>
      </w:r>
      <w:r w:rsidR="00872B49">
        <w:t>;</w:t>
      </w:r>
      <w:r w:rsidR="00DF7EA0">
        <w:rPr>
          <w:rStyle w:val="FootnoteReference"/>
        </w:rPr>
        <w:footnoteReference w:id="16"/>
      </w:r>
      <w:r w:rsidR="00872B49">
        <w:t xml:space="preserve"> and</w:t>
      </w:r>
    </w:p>
    <w:p w14:paraId="1E950030" w14:textId="64DEACA3" w:rsidR="00DF7EA0" w:rsidRPr="00205871" w:rsidRDefault="007D2029" w:rsidP="007D2029">
      <w:pPr>
        <w:pStyle w:val="LC2"/>
        <w:numPr>
          <w:ilvl w:val="0"/>
          <w:numId w:val="0"/>
        </w:numPr>
        <w:ind w:left="1701" w:hanging="993"/>
      </w:pPr>
      <w:r w:rsidRPr="00205871">
        <w:t>(b)</w:t>
      </w:r>
      <w:r w:rsidRPr="00205871">
        <w:tab/>
      </w:r>
      <w:r w:rsidR="00872B49">
        <w:t xml:space="preserve">when it considered costs, </w:t>
      </w:r>
      <w:r w:rsidR="00DF7EA0">
        <w:t>the court accepted that “</w:t>
      </w:r>
      <w:r w:rsidR="00DF7EA0" w:rsidRPr="00DF7EA0">
        <w:rPr>
          <w:rFonts w:eastAsia="Cambria"/>
          <w:i/>
          <w:iCs/>
        </w:rPr>
        <w:t>the Fund was under a duty to ensure th</w:t>
      </w:r>
      <w:r w:rsidR="00DF7EA0" w:rsidRPr="00205871">
        <w:rPr>
          <w:rFonts w:eastAsia="Cambria"/>
          <w:i/>
          <w:iCs/>
        </w:rPr>
        <w:t>at the Act and its rules were complied with, and that it was concerned about the lack of jurisdictional facts required to trigger the exercise by it of its discretion under rule 15.2 in the SABC's papers</w:t>
      </w:r>
      <w:r w:rsidR="00DF7EA0" w:rsidRPr="00205871">
        <w:rPr>
          <w:rFonts w:eastAsia="Cambria"/>
        </w:rPr>
        <w:t xml:space="preserve">”, </w:t>
      </w:r>
      <w:r w:rsidR="00872B49" w:rsidRPr="00205871">
        <w:rPr>
          <w:rFonts w:eastAsia="Cambria"/>
        </w:rPr>
        <w:t xml:space="preserve">and remarked critically on the </w:t>
      </w:r>
      <w:r w:rsidR="00DF7EA0" w:rsidRPr="00205871">
        <w:rPr>
          <w:rFonts w:eastAsia="Cambria"/>
        </w:rPr>
        <w:t>found that it had adopted a “</w:t>
      </w:r>
      <w:r w:rsidR="00DF7EA0" w:rsidRPr="00205871">
        <w:rPr>
          <w:rFonts w:eastAsia="Cambria"/>
          <w:i/>
          <w:iCs/>
        </w:rPr>
        <w:t>wavering stance in relation to the exercise by it of a discretion in the matter</w:t>
      </w:r>
      <w:r w:rsidR="00DF7EA0" w:rsidRPr="00205871">
        <w:rPr>
          <w:rFonts w:eastAsia="Cambria"/>
        </w:rPr>
        <w:t>”</w:t>
      </w:r>
      <w:r w:rsidR="00872B49" w:rsidRPr="00205871">
        <w:rPr>
          <w:rFonts w:eastAsia="Cambria"/>
        </w:rPr>
        <w:t>.</w:t>
      </w:r>
      <w:r w:rsidR="00872B49" w:rsidRPr="00205871">
        <w:rPr>
          <w:rStyle w:val="FootnoteReference"/>
          <w:rFonts w:eastAsia="Cambria"/>
        </w:rPr>
        <w:footnoteReference w:id="17"/>
      </w:r>
    </w:p>
    <w:p w14:paraId="7C56F4F4" w14:textId="73CB99F8" w:rsidR="00736B07" w:rsidRDefault="007D2029" w:rsidP="007D2029">
      <w:pPr>
        <w:pStyle w:val="LC1"/>
        <w:numPr>
          <w:ilvl w:val="0"/>
          <w:numId w:val="0"/>
        </w:numPr>
        <w:ind w:left="720" w:hanging="720"/>
      </w:pPr>
      <w:r>
        <w:rPr>
          <w:rFonts w:cs="Arial"/>
          <w:szCs w:val="24"/>
        </w:rPr>
        <w:t>[26]</w:t>
      </w:r>
      <w:r>
        <w:rPr>
          <w:rFonts w:cs="Arial"/>
          <w:szCs w:val="24"/>
        </w:rPr>
        <w:tab/>
      </w:r>
      <w:r w:rsidR="00736B07">
        <w:t xml:space="preserve">In this regard, </w:t>
      </w:r>
      <w:r w:rsidR="008574C9">
        <w:t xml:space="preserve">it should be recalled that </w:t>
      </w:r>
      <w:r w:rsidR="004237A9">
        <w:t>employer</w:t>
      </w:r>
      <w:r w:rsidR="008574C9">
        <w:t>s</w:t>
      </w:r>
      <w:r w:rsidR="004237A9">
        <w:t xml:space="preserve"> such as the applicant </w:t>
      </w:r>
      <w:r w:rsidR="008877D7">
        <w:lastRenderedPageBreak/>
        <w:t xml:space="preserve">participate </w:t>
      </w:r>
      <w:r w:rsidR="00736B07">
        <w:t xml:space="preserve">voluntarily </w:t>
      </w:r>
      <w:r w:rsidR="008877D7">
        <w:t xml:space="preserve">in </w:t>
      </w:r>
      <w:r w:rsidR="00A30334">
        <w:t xml:space="preserve">pension </w:t>
      </w:r>
      <w:r w:rsidR="008877D7">
        <w:t>fund</w:t>
      </w:r>
      <w:r w:rsidR="00A30334">
        <w:t>s,</w:t>
      </w:r>
      <w:r w:rsidR="00736B07">
        <w:t xml:space="preserve"> and </w:t>
      </w:r>
      <w:r w:rsidR="008574C9">
        <w:t xml:space="preserve">may </w:t>
      </w:r>
      <w:r w:rsidR="00A30334">
        <w:t xml:space="preserve">at the least </w:t>
      </w:r>
      <w:r w:rsidR="00736B07">
        <w:t>be assumed to be well</w:t>
      </w:r>
      <w:r w:rsidR="00A30334">
        <w:t>-</w:t>
      </w:r>
      <w:r w:rsidR="00736B07">
        <w:t xml:space="preserve">aware of </w:t>
      </w:r>
      <w:r w:rsidR="00A30334">
        <w:t xml:space="preserve">their </w:t>
      </w:r>
      <w:r w:rsidR="00736B07">
        <w:t>rules</w:t>
      </w:r>
      <w:r w:rsidR="00A30334">
        <w:t>, if not bound thereby</w:t>
      </w:r>
      <w:r w:rsidR="00736B07">
        <w:t>.</w:t>
      </w:r>
      <w:r w:rsidR="00A30334">
        <w:rPr>
          <w:rStyle w:val="FootnoteReference"/>
        </w:rPr>
        <w:footnoteReference w:id="18"/>
      </w:r>
      <w:r w:rsidR="00736B07">
        <w:t xml:space="preserve"> </w:t>
      </w:r>
      <w:r w:rsidR="008877D7">
        <w:t xml:space="preserve">As such, </w:t>
      </w:r>
      <w:r w:rsidR="00736B07">
        <w:t xml:space="preserve">I do not consider that </w:t>
      </w:r>
      <w:r w:rsidR="00A30334">
        <w:t xml:space="preserve">it would ever be appropriate </w:t>
      </w:r>
      <w:r w:rsidR="002725E5">
        <w:t xml:space="preserve">to grant </w:t>
      </w:r>
      <w:r w:rsidR="00A30334">
        <w:t xml:space="preserve">an </w:t>
      </w:r>
      <w:r w:rsidR="00736B07">
        <w:t xml:space="preserve">order </w:t>
      </w:r>
      <w:r w:rsidR="008877D7">
        <w:t>compel</w:t>
      </w:r>
      <w:r w:rsidR="00736B07">
        <w:t>ling</w:t>
      </w:r>
      <w:r w:rsidR="008877D7">
        <w:t xml:space="preserve"> the fund to undertake conduct that would </w:t>
      </w:r>
      <w:r w:rsidR="00205871">
        <w:t xml:space="preserve">involve a </w:t>
      </w:r>
      <w:r w:rsidR="008877D7">
        <w:t xml:space="preserve">breach </w:t>
      </w:r>
      <w:r w:rsidR="002725E5">
        <w:t xml:space="preserve">its own </w:t>
      </w:r>
      <w:r w:rsidR="008877D7">
        <w:t xml:space="preserve">rules. </w:t>
      </w:r>
    </w:p>
    <w:p w14:paraId="730B8F5F" w14:textId="435D77D9" w:rsidR="00872B49" w:rsidRDefault="007D2029" w:rsidP="007D2029">
      <w:pPr>
        <w:pStyle w:val="LC1"/>
        <w:numPr>
          <w:ilvl w:val="0"/>
          <w:numId w:val="0"/>
        </w:numPr>
        <w:ind w:left="720" w:hanging="720"/>
      </w:pPr>
      <w:r>
        <w:rPr>
          <w:rFonts w:cs="Arial"/>
          <w:szCs w:val="24"/>
        </w:rPr>
        <w:t>[27]</w:t>
      </w:r>
      <w:r>
        <w:rPr>
          <w:rFonts w:cs="Arial"/>
          <w:szCs w:val="24"/>
        </w:rPr>
        <w:tab/>
      </w:r>
      <w:r w:rsidR="008877D7">
        <w:t xml:space="preserve">In the current instance, </w:t>
      </w:r>
      <w:r w:rsidR="00872B49">
        <w:t xml:space="preserve">apart from requiring the employer to satisfy the board of trustees that </w:t>
      </w:r>
      <w:r w:rsidR="00ED44C6">
        <w:t xml:space="preserve">it </w:t>
      </w:r>
      <w:r w:rsidR="00872B49">
        <w:t xml:space="preserve">has established a </w:t>
      </w:r>
      <w:r w:rsidR="00872B49" w:rsidRPr="00E0544A">
        <w:rPr>
          <w:i/>
          <w:iCs/>
        </w:rPr>
        <w:t>prima facie</w:t>
      </w:r>
      <w:r w:rsidR="00872B49">
        <w:t xml:space="preserve"> right to recover damages from the member, the </w:t>
      </w:r>
      <w:r w:rsidR="008877D7">
        <w:t xml:space="preserve">rule </w:t>
      </w:r>
      <w:r w:rsidR="002725E5">
        <w:t xml:space="preserve">in question </w:t>
      </w:r>
      <w:r w:rsidR="008877D7">
        <w:t xml:space="preserve">provides that the fund may only </w:t>
      </w:r>
      <w:r w:rsidR="004237A9">
        <w:t xml:space="preserve">accede to a request to </w:t>
      </w:r>
      <w:r w:rsidR="008877D7">
        <w:t>withhold the amount to be recovered under section 37D(1)(b)(ii)(bb</w:t>
      </w:r>
      <w:r w:rsidR="00872B49">
        <w:t>)</w:t>
      </w:r>
      <w:r w:rsidR="008877D7">
        <w:t xml:space="preserve"> where </w:t>
      </w:r>
      <w:r w:rsidR="00872B49" w:rsidRPr="00AF4CAC">
        <w:t xml:space="preserve">the </w:t>
      </w:r>
      <w:r w:rsidR="00872B49">
        <w:t>Board of Trustees is “</w:t>
      </w:r>
      <w:r w:rsidR="00872B49" w:rsidRPr="00872B49">
        <w:rPr>
          <w:i/>
          <w:iCs/>
        </w:rPr>
        <w:t xml:space="preserve">of the opinion that the </w:t>
      </w:r>
      <w:r w:rsidR="002725E5">
        <w:rPr>
          <w:i/>
          <w:iCs/>
        </w:rPr>
        <w:t>e</w:t>
      </w:r>
      <w:r w:rsidR="00872B49" w:rsidRPr="00872B49">
        <w:rPr>
          <w:i/>
          <w:iCs/>
        </w:rPr>
        <w:t>mployer has a reasonable chance of succeeding in the proceedings instituted against the Member</w:t>
      </w:r>
      <w:r w:rsidR="00872B49">
        <w:t xml:space="preserve">” </w:t>
      </w:r>
      <w:r w:rsidR="00872B49" w:rsidRPr="00AF4CAC">
        <w:t>and</w:t>
      </w:r>
      <w:r w:rsidR="00872B49">
        <w:t xml:space="preserve"> </w:t>
      </w:r>
      <w:r w:rsidR="002725E5">
        <w:t xml:space="preserve">the </w:t>
      </w:r>
      <w:r w:rsidR="00872B49">
        <w:t>“</w:t>
      </w:r>
      <w:r w:rsidR="002725E5">
        <w:rPr>
          <w:i/>
          <w:iCs/>
        </w:rPr>
        <w:t>e</w:t>
      </w:r>
      <w:r w:rsidR="00872B49" w:rsidRPr="00872B49">
        <w:rPr>
          <w:i/>
          <w:iCs/>
        </w:rPr>
        <w:t xml:space="preserve">mployer </w:t>
      </w:r>
      <w:r w:rsidR="002725E5">
        <w:rPr>
          <w:i/>
          <w:iCs/>
        </w:rPr>
        <w:t xml:space="preserve">… </w:t>
      </w:r>
      <w:r w:rsidR="00872B49" w:rsidRPr="00872B49">
        <w:rPr>
          <w:i/>
          <w:iCs/>
        </w:rPr>
        <w:t>has taken all reasonable steps to</w:t>
      </w:r>
      <w:r w:rsidR="00872B49">
        <w:t xml:space="preserve">” advance its claim </w:t>
      </w:r>
      <w:r w:rsidR="00872B49" w:rsidRPr="00AF4CAC">
        <w:t xml:space="preserve">and is not responsible for any undue delays in the prosecution </w:t>
      </w:r>
      <w:r w:rsidR="00872B49">
        <w:t>thereof</w:t>
      </w:r>
      <w:r w:rsidR="00872B49" w:rsidRPr="00AF4CAC">
        <w:t>.</w:t>
      </w:r>
      <w:r w:rsidR="00872B49">
        <w:t xml:space="preserve"> </w:t>
      </w:r>
    </w:p>
    <w:p w14:paraId="29C3D6D6" w14:textId="72806988" w:rsidR="00845BCB" w:rsidRDefault="007D2029" w:rsidP="007D2029">
      <w:pPr>
        <w:pStyle w:val="LC1"/>
        <w:numPr>
          <w:ilvl w:val="0"/>
          <w:numId w:val="0"/>
        </w:numPr>
        <w:ind w:left="720" w:hanging="720"/>
      </w:pPr>
      <w:r>
        <w:rPr>
          <w:rFonts w:cs="Arial"/>
          <w:szCs w:val="24"/>
        </w:rPr>
        <w:t>[28]</w:t>
      </w:r>
      <w:r>
        <w:rPr>
          <w:rFonts w:cs="Arial"/>
          <w:szCs w:val="24"/>
        </w:rPr>
        <w:tab/>
      </w:r>
      <w:r w:rsidR="00872B49">
        <w:t xml:space="preserve">Furthermore, given their quasi-contractual nature, it seems to me that where the rules of </w:t>
      </w:r>
      <w:r w:rsidR="00205871">
        <w:t xml:space="preserve">a </w:t>
      </w:r>
      <w:r w:rsidR="00872B49">
        <w:t xml:space="preserve">fund </w:t>
      </w:r>
      <w:r w:rsidR="009F455F">
        <w:t xml:space="preserve">allow for the exercise of a discretion to withhold pension benefits, similar principles should apply as </w:t>
      </w:r>
      <w:r w:rsidR="00ED44C6">
        <w:t xml:space="preserve">where </w:t>
      </w:r>
      <w:r w:rsidR="00845BCB">
        <w:t xml:space="preserve">a contract affords one of the contracting parties a discretion to make a decision of this nature: </w:t>
      </w:r>
    </w:p>
    <w:p w14:paraId="5915A097" w14:textId="6B8B3181" w:rsidR="00845BCB" w:rsidRDefault="00845BCB" w:rsidP="00845BCB">
      <w:pPr>
        <w:pStyle w:val="HeadsQuote"/>
      </w:pPr>
      <w:r>
        <w:t xml:space="preserve">It is … a rule of our common law that unless a contractual discretionary power was clearly intended to be completely unfettered, an exercise of such a discretion must be made </w:t>
      </w:r>
      <w:r w:rsidRPr="00E0544A">
        <w:rPr>
          <w:i w:val="0"/>
          <w:iCs w:val="0"/>
        </w:rPr>
        <w:t>arbitrio bono viri</w:t>
      </w:r>
      <w:r>
        <w:t>.</w:t>
      </w:r>
      <w:r>
        <w:rPr>
          <w:rStyle w:val="FootnoteReference"/>
          <w:i w:val="0"/>
          <w:iCs w:val="0"/>
        </w:rPr>
        <w:footnoteReference w:id="19"/>
      </w:r>
    </w:p>
    <w:p w14:paraId="3FA161C9" w14:textId="5FAC5D33" w:rsidR="002725E5" w:rsidRDefault="007D2029" w:rsidP="007D2029">
      <w:pPr>
        <w:pStyle w:val="LC1"/>
        <w:numPr>
          <w:ilvl w:val="0"/>
          <w:numId w:val="0"/>
        </w:numPr>
        <w:ind w:left="720" w:hanging="720"/>
      </w:pPr>
      <w:r>
        <w:rPr>
          <w:rFonts w:cs="Arial"/>
          <w:szCs w:val="24"/>
        </w:rPr>
        <w:t>[29]</w:t>
      </w:r>
      <w:r>
        <w:rPr>
          <w:rFonts w:cs="Arial"/>
          <w:szCs w:val="24"/>
        </w:rPr>
        <w:tab/>
      </w:r>
      <w:r w:rsidR="00845BCB">
        <w:t xml:space="preserve">The Supreme Court of Appeal has </w:t>
      </w:r>
      <w:r w:rsidR="00845BCB" w:rsidRPr="001E1F6F">
        <w:t>held that</w:t>
      </w:r>
      <w:r w:rsidR="00845BCB">
        <w:t xml:space="preserve"> “</w:t>
      </w:r>
      <w:r w:rsidR="00845BCB" w:rsidRPr="002725E5">
        <w:rPr>
          <w:i/>
          <w:iCs/>
        </w:rPr>
        <w:t xml:space="preserve">[a] fair translation in the current-day context would be 'with the judgment of a fair-minded </w:t>
      </w:r>
      <w:r w:rsidR="00845BCB" w:rsidRPr="002725E5">
        <w:rPr>
          <w:i/>
          <w:iCs/>
        </w:rPr>
        <w:lastRenderedPageBreak/>
        <w:t>person'</w:t>
      </w:r>
      <w:r w:rsidR="00845BCB">
        <w:t>”.</w:t>
      </w:r>
      <w:r w:rsidR="00845BCB">
        <w:rPr>
          <w:rStyle w:val="FootnoteReference"/>
          <w:i/>
          <w:iCs/>
        </w:rPr>
        <w:footnoteReference w:id="20"/>
      </w:r>
      <w:r w:rsidR="00845BCB" w:rsidRPr="001E1F6F">
        <w:t xml:space="preserve"> </w:t>
      </w:r>
    </w:p>
    <w:p w14:paraId="361F5B2E" w14:textId="7E28009C" w:rsidR="00845BCB" w:rsidRPr="009F455F" w:rsidRDefault="007D2029" w:rsidP="007D2029">
      <w:pPr>
        <w:pStyle w:val="LC1"/>
        <w:numPr>
          <w:ilvl w:val="0"/>
          <w:numId w:val="0"/>
        </w:numPr>
        <w:ind w:left="720" w:hanging="720"/>
      </w:pPr>
      <w:r w:rsidRPr="009F455F">
        <w:rPr>
          <w:rFonts w:cs="Arial"/>
          <w:szCs w:val="24"/>
        </w:rPr>
        <w:t>[30]</w:t>
      </w:r>
      <w:r w:rsidRPr="009F455F">
        <w:rPr>
          <w:rFonts w:cs="Arial"/>
          <w:szCs w:val="24"/>
        </w:rPr>
        <w:tab/>
      </w:r>
      <w:r w:rsidR="00845BCB">
        <w:t xml:space="preserve">In </w:t>
      </w:r>
      <w:r w:rsidR="00845BCB" w:rsidRPr="002725E5">
        <w:rPr>
          <w:i/>
          <w:iCs/>
        </w:rPr>
        <w:t>Benlou Properties</w:t>
      </w:r>
      <w:r w:rsidR="00845BCB">
        <w:t xml:space="preserve">, Van Heerden JA writing on behalf of the unanimous Appellate Division described the standard of the </w:t>
      </w:r>
      <w:r w:rsidR="00845BCB" w:rsidRPr="002725E5">
        <w:rPr>
          <w:i/>
          <w:iCs/>
        </w:rPr>
        <w:t>bonus vir</w:t>
      </w:r>
      <w:r w:rsidR="00845BCB">
        <w:t xml:space="preserve"> as being “</w:t>
      </w:r>
      <w:r w:rsidR="00845BCB" w:rsidRPr="002725E5">
        <w:rPr>
          <w:i/>
          <w:iCs/>
        </w:rPr>
        <w:t xml:space="preserve">a </w:t>
      </w:r>
      <w:r w:rsidR="00845BCB" w:rsidRPr="002725E5">
        <w:rPr>
          <w:rFonts w:cs="Arial"/>
          <w:i/>
          <w:iCs/>
        </w:rPr>
        <w:t xml:space="preserve">reasonable man in the position of” </w:t>
      </w:r>
      <w:r w:rsidR="00845BCB" w:rsidRPr="002725E5">
        <w:rPr>
          <w:rFonts w:cs="Arial"/>
        </w:rPr>
        <w:t>the party afforded the discretion.</w:t>
      </w:r>
      <w:r w:rsidR="00845BCB">
        <w:rPr>
          <w:rStyle w:val="FootnoteReference"/>
          <w:rFonts w:cs="Arial"/>
        </w:rPr>
        <w:footnoteReference w:id="21"/>
      </w:r>
      <w:r w:rsidR="009F455F" w:rsidRPr="002725E5">
        <w:rPr>
          <w:rFonts w:cs="Arial"/>
        </w:rPr>
        <w:t xml:space="preserve"> </w:t>
      </w:r>
      <w:r w:rsidR="00845BCB">
        <w:t xml:space="preserve">More recently, the Supreme Court of Appeal has also held that </w:t>
      </w:r>
      <w:r w:rsidR="00845BCB" w:rsidRPr="00C1694E">
        <w:t xml:space="preserve">an obligation to act </w:t>
      </w:r>
      <w:r w:rsidR="00845BCB" w:rsidRPr="002725E5">
        <w:rPr>
          <w:i/>
          <w:iCs/>
        </w:rPr>
        <w:t>arbitrio boni viri</w:t>
      </w:r>
      <w:r w:rsidR="00845BCB" w:rsidRPr="00C1694E">
        <w:t xml:space="preserve"> obliges the person </w:t>
      </w:r>
      <w:r w:rsidR="00845BCB">
        <w:t xml:space="preserve">in question </w:t>
      </w:r>
      <w:r w:rsidR="00845BCB" w:rsidRPr="00C1694E">
        <w:t xml:space="preserve">to </w:t>
      </w:r>
      <w:r w:rsidR="00845BCB">
        <w:t>“</w:t>
      </w:r>
      <w:r w:rsidR="00845BCB" w:rsidRPr="002725E5">
        <w:rPr>
          <w:i/>
          <w:iCs/>
        </w:rPr>
        <w:t>act reasonably and to exercise a reasonable discretion</w:t>
      </w:r>
      <w:r w:rsidR="00845BCB" w:rsidRPr="009F455F">
        <w:t>”.</w:t>
      </w:r>
      <w:r w:rsidR="00845BCB" w:rsidRPr="009F455F">
        <w:rPr>
          <w:rStyle w:val="FootnoteReference"/>
        </w:rPr>
        <w:footnoteReference w:id="22"/>
      </w:r>
      <w:r w:rsidR="00845BCB" w:rsidRPr="009F455F">
        <w:t xml:space="preserve"> </w:t>
      </w:r>
    </w:p>
    <w:p w14:paraId="6BF9C00F" w14:textId="4D4F8181" w:rsidR="00845BCB" w:rsidRPr="009F455F" w:rsidRDefault="007D2029" w:rsidP="007D2029">
      <w:pPr>
        <w:pStyle w:val="LC1"/>
        <w:numPr>
          <w:ilvl w:val="0"/>
          <w:numId w:val="0"/>
        </w:numPr>
        <w:ind w:left="720" w:hanging="720"/>
      </w:pPr>
      <w:r w:rsidRPr="009F455F">
        <w:rPr>
          <w:rFonts w:cs="Arial"/>
          <w:szCs w:val="24"/>
        </w:rPr>
        <w:t>[31]</w:t>
      </w:r>
      <w:r w:rsidRPr="009F455F">
        <w:rPr>
          <w:rFonts w:cs="Arial"/>
          <w:szCs w:val="24"/>
        </w:rPr>
        <w:tab/>
      </w:r>
      <w:r w:rsidR="00845BCB">
        <w:t xml:space="preserve">In the </w:t>
      </w:r>
      <w:r w:rsidR="00845BCB" w:rsidRPr="005B2B18">
        <w:rPr>
          <w:i/>
          <w:iCs/>
        </w:rPr>
        <w:t>Machanik</w:t>
      </w:r>
      <w:r w:rsidR="00845BCB">
        <w:t xml:space="preserve"> case, Juta J (as he was at the time) held that the party in question was required to exercise its discretion “</w:t>
      </w:r>
      <w:r w:rsidR="00845BCB" w:rsidRPr="005B2B18">
        <w:rPr>
          <w:i/>
          <w:iCs/>
        </w:rPr>
        <w:t>as a</w:t>
      </w:r>
      <w:r w:rsidR="00845BCB" w:rsidRPr="009F455F">
        <w:rPr>
          <w:i/>
          <w:iCs/>
        </w:rPr>
        <w:t xml:space="preserve"> reasonable man would, under all the circumstances</w:t>
      </w:r>
      <w:r w:rsidR="00845BCB" w:rsidRPr="009F455F">
        <w:t>”</w:t>
      </w:r>
      <w:r w:rsidR="00845BCB" w:rsidRPr="009F455F">
        <w:rPr>
          <w:vertAlign w:val="superscript"/>
        </w:rPr>
        <w:footnoteReference w:id="23"/>
      </w:r>
      <w:r w:rsidR="00845BCB" w:rsidRPr="009F455F">
        <w:t xml:space="preserve"> or “</w:t>
      </w:r>
      <w:r w:rsidR="00845BCB" w:rsidRPr="009F455F">
        <w:rPr>
          <w:i/>
          <w:iCs/>
        </w:rPr>
        <w:t>to the satisfaction of a reasonable man</w:t>
      </w:r>
      <w:r w:rsidR="00845BCB" w:rsidRPr="009F455F">
        <w:t>”.</w:t>
      </w:r>
      <w:r w:rsidR="00845BCB" w:rsidRPr="009F455F">
        <w:rPr>
          <w:rStyle w:val="FootnoteReference"/>
        </w:rPr>
        <w:footnoteReference w:id="24"/>
      </w:r>
      <w:r w:rsidR="00845BCB" w:rsidRPr="009F455F">
        <w:t xml:space="preserve"> It is only in circumstances where the contract clearly allows the party an unfettered discretion that he could act “</w:t>
      </w:r>
      <w:r w:rsidR="00845BCB" w:rsidRPr="009F455F">
        <w:rPr>
          <w:i/>
          <w:iCs/>
        </w:rPr>
        <w:t>arbitrarily or capriciously</w:t>
      </w:r>
      <w:r w:rsidR="00845BCB" w:rsidRPr="009F455F">
        <w:t>”.</w:t>
      </w:r>
      <w:r w:rsidR="00845BCB" w:rsidRPr="009F455F">
        <w:rPr>
          <w:rStyle w:val="FootnoteReference"/>
        </w:rPr>
        <w:footnoteReference w:id="25"/>
      </w:r>
      <w:r w:rsidR="00845BCB" w:rsidRPr="009F455F">
        <w:t xml:space="preserve"> </w:t>
      </w:r>
    </w:p>
    <w:p w14:paraId="674A032C" w14:textId="7D3AA16B" w:rsidR="00845BCB" w:rsidRDefault="007D2029" w:rsidP="007D2029">
      <w:pPr>
        <w:pStyle w:val="LC1"/>
        <w:numPr>
          <w:ilvl w:val="0"/>
          <w:numId w:val="0"/>
        </w:numPr>
        <w:ind w:left="720" w:hanging="720"/>
      </w:pPr>
      <w:r>
        <w:rPr>
          <w:rFonts w:cs="Arial"/>
          <w:szCs w:val="24"/>
        </w:rPr>
        <w:t>[32]</w:t>
      </w:r>
      <w:r>
        <w:rPr>
          <w:rFonts w:cs="Arial"/>
          <w:szCs w:val="24"/>
        </w:rPr>
        <w:tab/>
      </w:r>
      <w:r w:rsidR="00845BCB">
        <w:t xml:space="preserve">In </w:t>
      </w:r>
      <w:r w:rsidR="00845BCB" w:rsidRPr="00C50616">
        <w:rPr>
          <w:i/>
          <w:iCs/>
        </w:rPr>
        <w:t>Joosub Investments v Maritime &amp; General Insurance</w:t>
      </w:r>
      <w:r w:rsidR="00845BCB">
        <w:t>, Seligson AJ stated the principle as follows:</w:t>
      </w:r>
    </w:p>
    <w:p w14:paraId="1D68956A" w14:textId="77777777" w:rsidR="00845BCB" w:rsidRDefault="00845BCB" w:rsidP="00845BCB">
      <w:pPr>
        <w:pStyle w:val="HeadsQuote"/>
      </w:pPr>
      <w:r w:rsidRPr="009F455F">
        <w:t xml:space="preserve">Even where a provision in a contract gives a party a discretion or allows a party's opinion or satisfaction to determine the parties' rights and obligations, it is either interpreted as importing the standard of the arbitrium boni viri, or at least as precluding such party from making an unreasonable decision. In both classes of case, an objective standard is taken to be implied and the decision </w:t>
      </w:r>
      <w:r w:rsidRPr="009F455F">
        <w:lastRenderedPageBreak/>
        <w:t>is justiciable by the Court.</w:t>
      </w:r>
      <w:r w:rsidRPr="00A24BD0">
        <w:rPr>
          <w:rStyle w:val="FootnoteReference"/>
          <w:i w:val="0"/>
          <w:iCs w:val="0"/>
        </w:rPr>
        <w:footnoteReference w:id="26"/>
      </w:r>
    </w:p>
    <w:p w14:paraId="5038C299" w14:textId="4BEDCF68" w:rsidR="00845BCB" w:rsidRDefault="007D2029" w:rsidP="007D2029">
      <w:pPr>
        <w:pStyle w:val="LC1"/>
        <w:numPr>
          <w:ilvl w:val="0"/>
          <w:numId w:val="0"/>
        </w:numPr>
        <w:ind w:left="720" w:hanging="720"/>
      </w:pPr>
      <w:r>
        <w:rPr>
          <w:rFonts w:cs="Arial"/>
          <w:szCs w:val="24"/>
        </w:rPr>
        <w:t>[33]</w:t>
      </w:r>
      <w:r>
        <w:rPr>
          <w:rFonts w:cs="Arial"/>
          <w:szCs w:val="24"/>
        </w:rPr>
        <w:tab/>
      </w:r>
      <w:r w:rsidR="00845BCB">
        <w:t xml:space="preserve">A similar approach was followed in: </w:t>
      </w:r>
    </w:p>
    <w:p w14:paraId="2C8E3F2D" w14:textId="18F6B797" w:rsidR="00845BCB" w:rsidRDefault="007D2029" w:rsidP="007D2029">
      <w:pPr>
        <w:pStyle w:val="LC2"/>
        <w:numPr>
          <w:ilvl w:val="0"/>
          <w:numId w:val="0"/>
        </w:numPr>
        <w:ind w:left="1701" w:hanging="993"/>
      </w:pPr>
      <w:r>
        <w:t>(a)</w:t>
      </w:r>
      <w:r>
        <w:tab/>
      </w:r>
      <w:r w:rsidR="00845BCB" w:rsidRPr="00A24BD0">
        <w:rPr>
          <w:i/>
          <w:iCs/>
        </w:rPr>
        <w:t>Remini v Basson</w:t>
      </w:r>
      <w:r w:rsidR="00845BCB">
        <w:t xml:space="preserve">, where the court observed that what was required for a proper exercise of the discretion according to the </w:t>
      </w:r>
      <w:r w:rsidR="00845BCB" w:rsidRPr="00C50616">
        <w:rPr>
          <w:i/>
          <w:iCs/>
        </w:rPr>
        <w:t>arbitrium boni viri</w:t>
      </w:r>
      <w:r w:rsidR="00845BCB">
        <w:t xml:space="preserve"> standard was “</w:t>
      </w:r>
      <w:r w:rsidR="00845BCB" w:rsidRPr="009F455F">
        <w:rPr>
          <w:i/>
          <w:iCs/>
        </w:rPr>
        <w:t>a reason which can be measured objectively</w:t>
      </w:r>
      <w:r w:rsidR="00845BCB" w:rsidRPr="009F455F">
        <w:t>”;</w:t>
      </w:r>
      <w:r w:rsidR="00845BCB" w:rsidRPr="009F455F">
        <w:rPr>
          <w:rStyle w:val="FootnoteReference"/>
        </w:rPr>
        <w:footnoteReference w:id="27"/>
      </w:r>
      <w:r w:rsidR="00845BCB">
        <w:t xml:space="preserve"> and </w:t>
      </w:r>
    </w:p>
    <w:p w14:paraId="681A61C9" w14:textId="5323A17A" w:rsidR="00845BCB" w:rsidRDefault="007D2029" w:rsidP="007D2029">
      <w:pPr>
        <w:pStyle w:val="LC2"/>
        <w:numPr>
          <w:ilvl w:val="0"/>
          <w:numId w:val="0"/>
        </w:numPr>
        <w:ind w:left="1701" w:hanging="993"/>
      </w:pPr>
      <w:r>
        <w:t>(b)</w:t>
      </w:r>
      <w:r>
        <w:tab/>
      </w:r>
      <w:r w:rsidR="00845BCB" w:rsidRPr="002725E5">
        <w:rPr>
          <w:i/>
          <w:iCs/>
        </w:rPr>
        <w:t>Unilever v Jepson</w:t>
      </w:r>
      <w:r w:rsidR="00845BCB">
        <w:t>, in which the court held that for the purposes of applying the principle, “</w:t>
      </w:r>
      <w:r w:rsidR="00845BCB" w:rsidRPr="002725E5">
        <w:rPr>
          <w:i/>
          <w:iCs/>
        </w:rPr>
        <w:t>[i]n deciding whether the discretion was exercised reasonably an objective standard is to be applied</w:t>
      </w:r>
      <w:r w:rsidR="00845BCB">
        <w:t>”.</w:t>
      </w:r>
      <w:r w:rsidR="00845BCB">
        <w:rPr>
          <w:rStyle w:val="FootnoteReference"/>
        </w:rPr>
        <w:footnoteReference w:id="28"/>
      </w:r>
    </w:p>
    <w:p w14:paraId="71237CA0" w14:textId="3C603D7C" w:rsidR="00845BCB" w:rsidRDefault="007D2029" w:rsidP="007D2029">
      <w:pPr>
        <w:pStyle w:val="LC1"/>
        <w:numPr>
          <w:ilvl w:val="0"/>
          <w:numId w:val="0"/>
        </w:numPr>
        <w:ind w:left="720" w:hanging="720"/>
      </w:pPr>
      <w:r>
        <w:rPr>
          <w:rFonts w:cs="Arial"/>
          <w:szCs w:val="24"/>
        </w:rPr>
        <w:t>[34]</w:t>
      </w:r>
      <w:r>
        <w:rPr>
          <w:rFonts w:cs="Arial"/>
          <w:szCs w:val="24"/>
        </w:rPr>
        <w:tab/>
      </w:r>
      <w:r w:rsidR="00845BCB">
        <w:t xml:space="preserve">Finally in this regard, as logic would suggest, it has been pointed out that, unless the information upon which the </w:t>
      </w:r>
      <w:r w:rsidR="00845BCB" w:rsidRPr="009F455F">
        <w:rPr>
          <w:i/>
          <w:iCs/>
        </w:rPr>
        <w:t xml:space="preserve">“fair-minded” </w:t>
      </w:r>
      <w:r w:rsidR="009F455F">
        <w:t xml:space="preserve">pension fund </w:t>
      </w:r>
      <w:r w:rsidR="00845BCB">
        <w:t>base</w:t>
      </w:r>
      <w:r w:rsidR="009F455F">
        <w:t>s</w:t>
      </w:r>
      <w:r w:rsidR="00845BCB">
        <w:t xml:space="preserve"> </w:t>
      </w:r>
      <w:r w:rsidR="009F455F">
        <w:t xml:space="preserve">its </w:t>
      </w:r>
      <w:r w:rsidR="00845BCB">
        <w:t xml:space="preserve">decision is clearly known to </w:t>
      </w:r>
      <w:r w:rsidR="009F455F">
        <w:t>it</w:t>
      </w:r>
      <w:r w:rsidR="00845BCB">
        <w:t xml:space="preserve">, it will sometimes be necessary for </w:t>
      </w:r>
      <w:r w:rsidR="009F455F">
        <w:t xml:space="preserve">it </w:t>
      </w:r>
      <w:r w:rsidR="00845BCB">
        <w:t xml:space="preserve">to give the other party an opportunity to be heard that is appropriate in the circumstances. Thus, in </w:t>
      </w:r>
      <w:r w:rsidR="00845BCB" w:rsidRPr="009F455F">
        <w:rPr>
          <w:i/>
          <w:iCs/>
        </w:rPr>
        <w:t>ABSA Makelaars v De Lange</w:t>
      </w:r>
      <w:r w:rsidR="00845BCB">
        <w:t xml:space="preserve">, this issue was decided in relation to a contractual provision that allowed an insurer to make a decision that might </w:t>
      </w:r>
      <w:r w:rsidR="00845BCB" w:rsidRPr="00EB763C">
        <w:t xml:space="preserve">render </w:t>
      </w:r>
      <w:r w:rsidR="00845BCB">
        <w:t xml:space="preserve">a broker </w:t>
      </w:r>
      <w:r w:rsidR="00845BCB" w:rsidRPr="00EB763C">
        <w:t xml:space="preserve">liable to reimburse </w:t>
      </w:r>
      <w:r w:rsidR="00845BCB">
        <w:t xml:space="preserve">it </w:t>
      </w:r>
      <w:r w:rsidR="00845BCB" w:rsidRPr="00EB763C">
        <w:t xml:space="preserve">for </w:t>
      </w:r>
      <w:r w:rsidR="00845BCB">
        <w:t>‘</w:t>
      </w:r>
      <w:r w:rsidR="00845BCB" w:rsidRPr="00EB763C">
        <w:t>damages</w:t>
      </w:r>
      <w:r w:rsidR="00845BCB">
        <w:t>’</w:t>
      </w:r>
      <w:r w:rsidR="00845BCB" w:rsidRPr="00EB763C">
        <w:t xml:space="preserve"> which the </w:t>
      </w:r>
      <w:r w:rsidR="00845BCB">
        <w:t xml:space="preserve">insurer </w:t>
      </w:r>
      <w:r w:rsidR="00845BCB" w:rsidRPr="00EB763C">
        <w:t>ha</w:t>
      </w:r>
      <w:r w:rsidR="00845BCB">
        <w:t>d</w:t>
      </w:r>
      <w:r w:rsidR="00845BCB" w:rsidRPr="00EB763C">
        <w:t xml:space="preserve"> paid out to its client or clients in certain circumstances</w:t>
      </w:r>
      <w:r w:rsidR="00845BCB">
        <w:t>.</w:t>
      </w:r>
      <w:r w:rsidR="00845BCB">
        <w:rPr>
          <w:rStyle w:val="FootnoteReference"/>
        </w:rPr>
        <w:footnoteReference w:id="29"/>
      </w:r>
      <w:r w:rsidR="00845BCB">
        <w:t xml:space="preserve"> The High Court had held that the applicability of </w:t>
      </w:r>
      <w:r w:rsidR="00845BCB" w:rsidRPr="009F455F">
        <w:rPr>
          <w:i/>
          <w:iCs/>
        </w:rPr>
        <w:t>audi alteram partem</w:t>
      </w:r>
      <w:r w:rsidR="00845BCB">
        <w:t xml:space="preserve"> depended on the nature of the decision being made, but:</w:t>
      </w:r>
    </w:p>
    <w:p w14:paraId="7970EECC" w14:textId="77777777" w:rsidR="00845BCB" w:rsidRPr="00305C36" w:rsidRDefault="00845BCB" w:rsidP="00845BCB">
      <w:pPr>
        <w:pStyle w:val="HeadsQuote"/>
      </w:pPr>
      <w:r>
        <w:t xml:space="preserve">…die audi alteram partem-beginsel nie outomaties by die arbitrium boni viri inbegrepe is nie. Onder bepaalde omstandighede sal die feite waarop die bonus vir sy besluit moet grond, slegs vasgestel kan word indien die ander kontraksparty gekonsulteer moet word. Indien die feite egter vasgestel kan word sonder sodanige </w:t>
      </w:r>
      <w:r>
        <w:lastRenderedPageBreak/>
        <w:t>konsultasie, sal daar geen plig op die bonus vir rus om die ander kontraksparty te raadpleeg nie.</w:t>
      </w:r>
      <w:r>
        <w:rPr>
          <w:rStyle w:val="FootnoteReference"/>
        </w:rPr>
        <w:footnoteReference w:id="30"/>
      </w:r>
    </w:p>
    <w:p w14:paraId="7C85FEDE" w14:textId="02ACDB28" w:rsidR="00845BCB" w:rsidRDefault="007D2029" w:rsidP="007D2029">
      <w:pPr>
        <w:pStyle w:val="LC1"/>
        <w:numPr>
          <w:ilvl w:val="0"/>
          <w:numId w:val="0"/>
        </w:numPr>
        <w:ind w:left="720" w:hanging="720"/>
      </w:pPr>
      <w:r>
        <w:rPr>
          <w:rFonts w:cs="Arial"/>
          <w:szCs w:val="24"/>
        </w:rPr>
        <w:t>[35]</w:t>
      </w:r>
      <w:r>
        <w:rPr>
          <w:rFonts w:cs="Arial"/>
          <w:szCs w:val="24"/>
        </w:rPr>
        <w:tab/>
      </w:r>
      <w:r w:rsidR="00845BCB">
        <w:t xml:space="preserve">On appeal, Van Heerden JA disagreed, holding that the applicability of </w:t>
      </w:r>
      <w:r w:rsidR="00845BCB" w:rsidRPr="0058515B">
        <w:rPr>
          <w:i/>
          <w:iCs/>
        </w:rPr>
        <w:t>audi</w:t>
      </w:r>
      <w:r w:rsidR="00845BCB">
        <w:t xml:space="preserve"> in the context of the principle of the </w:t>
      </w:r>
      <w:r w:rsidR="00845BCB" w:rsidRPr="00EB763C">
        <w:rPr>
          <w:i/>
          <w:iCs/>
        </w:rPr>
        <w:t>arbitrium boni viri</w:t>
      </w:r>
      <w:r w:rsidR="00845BCB">
        <w:t xml:space="preserve"> did not turn on the classification of the decision being made, and that “</w:t>
      </w:r>
      <w:r w:rsidR="00845BCB">
        <w:rPr>
          <w:i/>
          <w:iCs/>
        </w:rPr>
        <w:t>[i]</w:t>
      </w:r>
      <w:r w:rsidR="00845BCB" w:rsidRPr="0058515B">
        <w:rPr>
          <w:i/>
          <w:iCs/>
        </w:rPr>
        <w:t xml:space="preserve">n given circumstances </w:t>
      </w:r>
      <w:r w:rsidR="00845BCB">
        <w:rPr>
          <w:i/>
          <w:iCs/>
        </w:rPr>
        <w:t xml:space="preserve">[even] </w:t>
      </w:r>
      <w:r w:rsidR="00845BCB" w:rsidRPr="0058515B">
        <w:rPr>
          <w:i/>
          <w:iCs/>
        </w:rPr>
        <w:t>valuers may, by virtue of a tacit term, have at least to hear both sides</w:t>
      </w:r>
      <w:r w:rsidR="00845BCB" w:rsidRPr="0058515B">
        <w:t>”.</w:t>
      </w:r>
      <w:r w:rsidR="00845BCB">
        <w:rPr>
          <w:rStyle w:val="FootnoteReference"/>
        </w:rPr>
        <w:footnoteReference w:id="31"/>
      </w:r>
      <w:r w:rsidR="00845BCB">
        <w:t xml:space="preserve"> The Supreme Court of Appeal went on to hold that the insurer was indeed obliged to give the broker a hearing before making its decision, particularly because the clause in question</w:t>
      </w:r>
    </w:p>
    <w:p w14:paraId="3B8F871B" w14:textId="77777777" w:rsidR="00845BCB" w:rsidRDefault="00845BCB" w:rsidP="00845BCB">
      <w:pPr>
        <w:pStyle w:val="HeadsQuote"/>
      </w:pPr>
      <w:r>
        <w:t xml:space="preserve">… effectively makes it possible for ABSA to impose a potentially unlimited liability upon De Lange simply by forming the 'opinion' that ABSA is legally liable vis à vis a client who has allegedly suffered loss or damage as a result of intentional or negligent incorrect or incomplete advice given by De Lange, and by paying out to the client such loss or damage as ABSA may determine the client has sustained. In my view, the importation of the tacit term pleaded by De Lange would ensure that clause 16.6 'functions efficiently' </w:t>
      </w:r>
      <w:bookmarkStart w:id="1" w:name="0-0-0-459653"/>
      <w:bookmarkEnd w:id="1"/>
      <w:r w:rsidRPr="00EB763C">
        <w:rPr>
          <w:u w:val="single"/>
        </w:rPr>
        <w:t>and fairly</w:t>
      </w:r>
      <w:r>
        <w:t>.</w:t>
      </w:r>
      <w:r>
        <w:rPr>
          <w:rStyle w:val="FootnoteReference"/>
        </w:rPr>
        <w:footnoteReference w:id="32"/>
      </w:r>
      <w:r>
        <w:t xml:space="preserve"> </w:t>
      </w:r>
    </w:p>
    <w:p w14:paraId="7F93FAA3" w14:textId="191AE588" w:rsidR="002725E5" w:rsidRPr="002725E5" w:rsidRDefault="002725E5" w:rsidP="002725E5">
      <w:pPr>
        <w:pStyle w:val="LC1"/>
        <w:numPr>
          <w:ilvl w:val="0"/>
          <w:numId w:val="0"/>
        </w:numPr>
        <w:ind w:left="720" w:hanging="720"/>
        <w:rPr>
          <w:i/>
          <w:iCs/>
        </w:rPr>
      </w:pPr>
      <w:r w:rsidRPr="002725E5">
        <w:rPr>
          <w:i/>
          <w:iCs/>
        </w:rPr>
        <w:t>Summary</w:t>
      </w:r>
    </w:p>
    <w:p w14:paraId="7E438460" w14:textId="68BBAB70" w:rsidR="0051606C" w:rsidRDefault="007D2029" w:rsidP="007D2029">
      <w:pPr>
        <w:pStyle w:val="LC1"/>
        <w:numPr>
          <w:ilvl w:val="0"/>
          <w:numId w:val="0"/>
        </w:numPr>
        <w:ind w:left="720" w:hanging="720"/>
      </w:pPr>
      <w:r>
        <w:rPr>
          <w:rFonts w:cs="Arial"/>
          <w:szCs w:val="24"/>
        </w:rPr>
        <w:t>[36]</w:t>
      </w:r>
      <w:r>
        <w:rPr>
          <w:rFonts w:cs="Arial"/>
          <w:szCs w:val="24"/>
        </w:rPr>
        <w:tab/>
      </w:r>
      <w:r w:rsidR="00425E5B">
        <w:t>In summary,</w:t>
      </w:r>
      <w:r w:rsidR="0051606C">
        <w:t xml:space="preserve"> </w:t>
      </w:r>
      <w:r w:rsidR="00425E5B">
        <w:t xml:space="preserve">I conclude that </w:t>
      </w:r>
      <w:r w:rsidR="0051606C">
        <w:t xml:space="preserve">in order to obtain relief </w:t>
      </w:r>
      <w:r w:rsidR="009F455F">
        <w:t xml:space="preserve">of the kind sought in the current matter, an </w:t>
      </w:r>
      <w:r w:rsidR="0051606C">
        <w:t>applicant is required to establish:</w:t>
      </w:r>
    </w:p>
    <w:p w14:paraId="7585F527" w14:textId="089C2171" w:rsidR="00425E5B" w:rsidRDefault="007D2029" w:rsidP="007D2029">
      <w:pPr>
        <w:pStyle w:val="LC2"/>
        <w:numPr>
          <w:ilvl w:val="0"/>
          <w:numId w:val="0"/>
        </w:numPr>
        <w:ind w:left="1701" w:hanging="993"/>
      </w:pPr>
      <w:r>
        <w:t>(a)</w:t>
      </w:r>
      <w:r>
        <w:tab/>
      </w:r>
      <w:r w:rsidR="0051606C">
        <w:t xml:space="preserve">on a </w:t>
      </w:r>
      <w:r w:rsidR="0051606C" w:rsidRPr="000B2F64">
        <w:rPr>
          <w:i/>
          <w:iCs/>
        </w:rPr>
        <w:t>prima facie</w:t>
      </w:r>
      <w:r w:rsidR="0051606C">
        <w:t xml:space="preserve"> basis (though open to some doubt) that </w:t>
      </w:r>
      <w:r w:rsidR="00425E5B">
        <w:t xml:space="preserve">the member will </w:t>
      </w:r>
      <w:r w:rsidR="00B168BB">
        <w:t>by reason of any theft</w:t>
      </w:r>
      <w:r w:rsidR="00205871">
        <w:t>,</w:t>
      </w:r>
      <w:r w:rsidR="00B168BB">
        <w:t xml:space="preserve"> dishonesty, fraud or misconduct </w:t>
      </w:r>
      <w:r w:rsidR="00425E5B">
        <w:t xml:space="preserve">be ordered </w:t>
      </w:r>
      <w:r w:rsidR="009F455F">
        <w:t xml:space="preserve">in the action </w:t>
      </w:r>
      <w:r w:rsidR="00425E5B">
        <w:t xml:space="preserve">to pay a sum of damages </w:t>
      </w:r>
      <w:r w:rsidR="00B168BB">
        <w:t xml:space="preserve">to the employer </w:t>
      </w:r>
      <w:r w:rsidR="00425E5B">
        <w:t>that exceeds the value of the pension fund benefit sought to be withheld</w:t>
      </w:r>
      <w:r w:rsidR="009F455F">
        <w:t>;</w:t>
      </w:r>
      <w:r w:rsidR="00425E5B">
        <w:t xml:space="preserve"> </w:t>
      </w:r>
    </w:p>
    <w:p w14:paraId="7B8A7340" w14:textId="634FD49B" w:rsidR="0051606C" w:rsidRDefault="007D2029" w:rsidP="007D2029">
      <w:pPr>
        <w:pStyle w:val="LC2"/>
        <w:numPr>
          <w:ilvl w:val="0"/>
          <w:numId w:val="0"/>
        </w:numPr>
        <w:ind w:left="1701" w:hanging="993"/>
      </w:pPr>
      <w:r>
        <w:lastRenderedPageBreak/>
        <w:t>(b)</w:t>
      </w:r>
      <w:r>
        <w:tab/>
      </w:r>
      <w:r w:rsidR="0051606C">
        <w:rPr>
          <w:lang w:eastAsia="en-ZA"/>
        </w:rPr>
        <w:t>that the balance of convenience favours the withholding of the third respondent’s pension fund benefits in the meantime</w:t>
      </w:r>
      <w:r w:rsidR="002725E5">
        <w:rPr>
          <w:lang w:eastAsia="en-ZA"/>
        </w:rPr>
        <w:t>; and</w:t>
      </w:r>
    </w:p>
    <w:p w14:paraId="6B372E68" w14:textId="6E057B15" w:rsidR="002725E5" w:rsidRDefault="007D2029" w:rsidP="007D2029">
      <w:pPr>
        <w:pStyle w:val="LC2"/>
        <w:numPr>
          <w:ilvl w:val="0"/>
          <w:numId w:val="0"/>
        </w:numPr>
        <w:ind w:left="1701" w:hanging="993"/>
      </w:pPr>
      <w:r>
        <w:t>(c)</w:t>
      </w:r>
      <w:r>
        <w:tab/>
      </w:r>
      <w:r w:rsidR="002725E5">
        <w:t xml:space="preserve">that the applicant has requested the pension fund to exercise </w:t>
      </w:r>
      <w:r w:rsidR="00205871">
        <w:t>its</w:t>
      </w:r>
      <w:r w:rsidR="002725E5">
        <w:t xml:space="preserve"> discretion to withhold the pension benefits but the pension fund has unreasonably refused to grant such a request</w:t>
      </w:r>
      <w:r w:rsidR="00205871">
        <w:t xml:space="preserve"> (with such finding of unreasonableness </w:t>
      </w:r>
      <w:r w:rsidR="002725E5">
        <w:t>taking into account any specific requirements laid down by the rules of the pension fund regarding the circumstances under which such a discretion may be exercised</w:t>
      </w:r>
      <w:r w:rsidR="00B168BB">
        <w:t xml:space="preserve"> and the requirements of procedural fairness</w:t>
      </w:r>
      <w:r w:rsidR="00205871">
        <w:t>)</w:t>
      </w:r>
      <w:r w:rsidR="00B168BB">
        <w:t>.</w:t>
      </w:r>
    </w:p>
    <w:p w14:paraId="2AEAE131" w14:textId="6721438D" w:rsidR="005F6CBA" w:rsidRPr="005109F9" w:rsidRDefault="009374E7" w:rsidP="00E0544A">
      <w:pPr>
        <w:pStyle w:val="LC1"/>
        <w:keepNext/>
        <w:numPr>
          <w:ilvl w:val="0"/>
          <w:numId w:val="0"/>
        </w:numPr>
        <w:ind w:left="720" w:hanging="720"/>
        <w:rPr>
          <w:u w:val="single"/>
        </w:rPr>
      </w:pPr>
      <w:r>
        <w:rPr>
          <w:u w:val="single"/>
        </w:rPr>
        <w:t>Analysis</w:t>
      </w:r>
    </w:p>
    <w:p w14:paraId="67919871" w14:textId="3FE2773F" w:rsidR="009374E7" w:rsidRDefault="007D2029" w:rsidP="007D2029">
      <w:pPr>
        <w:pStyle w:val="LC1"/>
        <w:numPr>
          <w:ilvl w:val="0"/>
          <w:numId w:val="0"/>
        </w:numPr>
        <w:ind w:left="720" w:hanging="720"/>
      </w:pPr>
      <w:r>
        <w:rPr>
          <w:rFonts w:cs="Arial"/>
          <w:szCs w:val="24"/>
        </w:rPr>
        <w:t>[37]</w:t>
      </w:r>
      <w:r>
        <w:rPr>
          <w:rFonts w:cs="Arial"/>
          <w:szCs w:val="24"/>
        </w:rPr>
        <w:tab/>
      </w:r>
      <w:r w:rsidR="004A5C56">
        <w:t xml:space="preserve">I have considered </w:t>
      </w:r>
      <w:r w:rsidR="009374E7">
        <w:t xml:space="preserve">the particulars of claim in the action in order to determine whether it encompasses a </w:t>
      </w:r>
      <w:r w:rsidR="004A5C56">
        <w:t xml:space="preserve">cognisable </w:t>
      </w:r>
      <w:r w:rsidR="009374E7">
        <w:t>claim against the third respondent for “</w:t>
      </w:r>
      <w:r w:rsidR="009374E7" w:rsidRPr="004A5C56">
        <w:rPr>
          <w:i/>
          <w:iCs/>
        </w:rPr>
        <w:t>damages caused to the applicant by reason of any theft, dishonesty, fraud or misconduct</w:t>
      </w:r>
      <w:r w:rsidR="009374E7">
        <w:t>”</w:t>
      </w:r>
      <w:r w:rsidR="009374E7" w:rsidRPr="00A71FE3">
        <w:t xml:space="preserve"> </w:t>
      </w:r>
      <w:r w:rsidR="009374E7">
        <w:t>on her part</w:t>
      </w:r>
      <w:r w:rsidR="00B168BB">
        <w:t>.</w:t>
      </w:r>
      <w:r w:rsidR="009374E7">
        <w:t xml:space="preserve"> </w:t>
      </w:r>
    </w:p>
    <w:p w14:paraId="405306B8" w14:textId="31525DBA" w:rsidR="009374E7" w:rsidRDefault="007D2029" w:rsidP="007D2029">
      <w:pPr>
        <w:pStyle w:val="LC1"/>
        <w:numPr>
          <w:ilvl w:val="0"/>
          <w:numId w:val="0"/>
        </w:numPr>
        <w:ind w:left="720" w:hanging="720"/>
      </w:pPr>
      <w:r>
        <w:rPr>
          <w:rFonts w:cs="Arial"/>
          <w:szCs w:val="24"/>
        </w:rPr>
        <w:t>[38]</w:t>
      </w:r>
      <w:r>
        <w:rPr>
          <w:rFonts w:cs="Arial"/>
          <w:szCs w:val="24"/>
        </w:rPr>
        <w:tab/>
      </w:r>
      <w:r w:rsidR="004A5C56">
        <w:t xml:space="preserve">While there </w:t>
      </w:r>
      <w:r w:rsidR="009374E7">
        <w:t xml:space="preserve">can be no doubt that the applicant’s pleaded “claim B” against the third respondent is one for damages caused by alleged breaches of </w:t>
      </w:r>
      <w:r w:rsidR="00B168BB">
        <w:t xml:space="preserve">her </w:t>
      </w:r>
      <w:r w:rsidR="009374E7">
        <w:t>contractual undertakings and fiduciary duties to the applicant</w:t>
      </w:r>
      <w:r w:rsidR="004A5C56">
        <w:t>,</w:t>
      </w:r>
      <w:r w:rsidR="009374E7">
        <w:rPr>
          <w:rStyle w:val="FootnoteReference"/>
        </w:rPr>
        <w:footnoteReference w:id="33"/>
      </w:r>
      <w:r w:rsidR="004A5C56">
        <w:t xml:space="preserve"> </w:t>
      </w:r>
      <w:r w:rsidR="009374E7">
        <w:t xml:space="preserve">it is a little more difficult to identify precisely what conduct </w:t>
      </w:r>
      <w:r w:rsidR="00205871">
        <w:t xml:space="preserve">of </w:t>
      </w:r>
      <w:r w:rsidR="002E7178">
        <w:t>t</w:t>
      </w:r>
      <w:r w:rsidR="009374E7">
        <w:t xml:space="preserve">he third respondent is alleged to have constituted such breaches. </w:t>
      </w:r>
      <w:r w:rsidR="00656995">
        <w:t xml:space="preserve">Upon </w:t>
      </w:r>
      <w:r w:rsidR="002E7178">
        <w:t xml:space="preserve">careful analysis, however, </w:t>
      </w:r>
      <w:r w:rsidR="00656995">
        <w:t xml:space="preserve">it is apparent </w:t>
      </w:r>
      <w:r w:rsidR="002E7178">
        <w:t xml:space="preserve">that the </w:t>
      </w:r>
      <w:r w:rsidR="009374E7">
        <w:t xml:space="preserve">specific conduct of </w:t>
      </w:r>
      <w:r w:rsidR="002E7178">
        <w:t>t</w:t>
      </w:r>
      <w:r w:rsidR="009374E7">
        <w:t xml:space="preserve">he third respondent </w:t>
      </w:r>
      <w:r w:rsidR="002E7178">
        <w:t xml:space="preserve">relied upon </w:t>
      </w:r>
      <w:r w:rsidR="009374E7">
        <w:t xml:space="preserve">by the applicant is </w:t>
      </w:r>
      <w:r w:rsidR="002E7178">
        <w:t xml:space="preserve">pleaded in </w:t>
      </w:r>
      <w:r w:rsidR="009374E7">
        <w:t xml:space="preserve">paragraph 18 </w:t>
      </w:r>
      <w:r w:rsidR="002E7178">
        <w:t xml:space="preserve">(read with paragraphs 16, 17 and 19) </w:t>
      </w:r>
      <w:r w:rsidR="009374E7">
        <w:t>of the particulars of claim.</w:t>
      </w:r>
    </w:p>
    <w:p w14:paraId="4C3596C9" w14:textId="585789E8" w:rsidR="009374E7" w:rsidRPr="00672B53" w:rsidRDefault="007D2029" w:rsidP="007D2029">
      <w:pPr>
        <w:pStyle w:val="LC1"/>
        <w:numPr>
          <w:ilvl w:val="0"/>
          <w:numId w:val="0"/>
        </w:numPr>
        <w:ind w:left="720" w:hanging="720"/>
      </w:pPr>
      <w:r w:rsidRPr="00672B53">
        <w:rPr>
          <w:rFonts w:cs="Arial"/>
          <w:szCs w:val="24"/>
        </w:rPr>
        <w:t>[39]</w:t>
      </w:r>
      <w:r w:rsidRPr="00672B53">
        <w:rPr>
          <w:rFonts w:cs="Arial"/>
          <w:szCs w:val="24"/>
        </w:rPr>
        <w:tab/>
      </w:r>
      <w:r w:rsidR="009374E7">
        <w:t xml:space="preserve">In paragraph 18, it is alleged that </w:t>
      </w:r>
      <w:r w:rsidR="002E7178">
        <w:rPr>
          <w:rFonts w:eastAsia="Cambria"/>
        </w:rPr>
        <w:t>t</w:t>
      </w:r>
      <w:r w:rsidR="009374E7">
        <w:rPr>
          <w:rFonts w:eastAsia="Cambria"/>
        </w:rPr>
        <w:t>he third respondent</w:t>
      </w:r>
      <w:r w:rsidR="009374E7" w:rsidRPr="00B6252E">
        <w:rPr>
          <w:rFonts w:eastAsia="Cambria"/>
        </w:rPr>
        <w:t xml:space="preserve"> “</w:t>
      </w:r>
      <w:r w:rsidR="009374E7" w:rsidRPr="00B6252E">
        <w:rPr>
          <w:rFonts w:eastAsia="Cambria"/>
          <w:i/>
          <w:iCs/>
        </w:rPr>
        <w:t>assisted</w:t>
      </w:r>
      <w:r w:rsidR="009374E7" w:rsidRPr="00B6252E">
        <w:rPr>
          <w:rFonts w:eastAsia="Cambria"/>
        </w:rPr>
        <w:t>” the fifth respondent, a competitor of the applicant, “</w:t>
      </w:r>
      <w:r w:rsidR="009374E7" w:rsidRPr="00B6252E">
        <w:rPr>
          <w:rFonts w:eastAsia="Cambria"/>
          <w:i/>
          <w:iCs/>
        </w:rPr>
        <w:t xml:space="preserve">by processing [its] invoices and submitting them to its customers; and </w:t>
      </w:r>
      <w:r w:rsidR="009374E7" w:rsidRPr="00656995">
        <w:rPr>
          <w:rFonts w:eastAsia="Cambria"/>
          <w:i/>
          <w:iCs/>
          <w:u w:val="single"/>
        </w:rPr>
        <w:t>following up with [its] customers regarding payments and other matters relating to [its] business</w:t>
      </w:r>
      <w:r w:rsidR="009374E7" w:rsidRPr="00B6252E">
        <w:rPr>
          <w:rFonts w:eastAsia="Cambria"/>
        </w:rPr>
        <w:t>”</w:t>
      </w:r>
      <w:r w:rsidR="009374E7">
        <w:rPr>
          <w:rFonts w:eastAsia="Cambria"/>
        </w:rPr>
        <w:t xml:space="preserve">. In particular, the applicant’s case </w:t>
      </w:r>
      <w:r w:rsidR="004A5C56">
        <w:rPr>
          <w:rFonts w:eastAsia="Cambria"/>
        </w:rPr>
        <w:t xml:space="preserve">is </w:t>
      </w:r>
      <w:r w:rsidR="009374E7">
        <w:rPr>
          <w:rFonts w:eastAsia="Cambria"/>
        </w:rPr>
        <w:t xml:space="preserve">that </w:t>
      </w:r>
      <w:r w:rsidR="001621D8">
        <w:rPr>
          <w:rFonts w:eastAsia="Cambria"/>
        </w:rPr>
        <w:t>by engaging in this conduct</w:t>
      </w:r>
      <w:r w:rsidR="009374E7" w:rsidRPr="00672B53">
        <w:rPr>
          <w:rFonts w:eastAsia="Cambria"/>
        </w:rPr>
        <w:t>,</w:t>
      </w:r>
      <w:r w:rsidR="009374E7">
        <w:rPr>
          <w:rFonts w:eastAsia="Cambria"/>
        </w:rPr>
        <w:t xml:space="preserve"> </w:t>
      </w:r>
      <w:r w:rsidR="004A5C56">
        <w:rPr>
          <w:rFonts w:eastAsia="Cambria"/>
        </w:rPr>
        <w:t>t</w:t>
      </w:r>
      <w:r w:rsidR="009374E7">
        <w:rPr>
          <w:rFonts w:eastAsia="Cambria"/>
        </w:rPr>
        <w:t>he third respondent</w:t>
      </w:r>
      <w:r w:rsidR="00C07234">
        <w:rPr>
          <w:rFonts w:eastAsia="Cambria"/>
        </w:rPr>
        <w:t xml:space="preserve"> </w:t>
      </w:r>
      <w:r w:rsidR="00F62BEE">
        <w:rPr>
          <w:rFonts w:eastAsia="Cambria"/>
        </w:rPr>
        <w:t>“</w:t>
      </w:r>
      <w:r w:rsidR="00F62BEE" w:rsidRPr="00F62BEE">
        <w:rPr>
          <w:rFonts w:eastAsia="Cambria"/>
          <w:i/>
          <w:iCs/>
        </w:rPr>
        <w:t>assisted</w:t>
      </w:r>
      <w:r w:rsidR="00F62BEE">
        <w:rPr>
          <w:rFonts w:eastAsia="Cambria"/>
        </w:rPr>
        <w:t>” her husband or the fifth respondent to</w:t>
      </w:r>
      <w:r w:rsidR="009374E7">
        <w:rPr>
          <w:rFonts w:eastAsia="Cambria"/>
        </w:rPr>
        <w:t xml:space="preserve">: </w:t>
      </w:r>
    </w:p>
    <w:p w14:paraId="3EE683F9" w14:textId="7979FFCE" w:rsidR="009374E7" w:rsidRPr="00A00C6B" w:rsidRDefault="007D2029" w:rsidP="007D2029">
      <w:pPr>
        <w:pStyle w:val="LC2"/>
        <w:numPr>
          <w:ilvl w:val="0"/>
          <w:numId w:val="0"/>
        </w:numPr>
        <w:ind w:left="1701" w:hanging="993"/>
      </w:pPr>
      <w:r w:rsidRPr="00A00C6B">
        <w:lastRenderedPageBreak/>
        <w:t>(a)</w:t>
      </w:r>
      <w:r w:rsidRPr="00A00C6B">
        <w:tab/>
      </w:r>
      <w:r w:rsidR="00F62BEE">
        <w:rPr>
          <w:rFonts w:eastAsia="Cambria"/>
        </w:rPr>
        <w:t>d</w:t>
      </w:r>
      <w:r w:rsidR="009374E7" w:rsidRPr="004856E6">
        <w:rPr>
          <w:rFonts w:eastAsia="Cambria"/>
        </w:rPr>
        <w:t>iver</w:t>
      </w:r>
      <w:r w:rsidR="009374E7">
        <w:rPr>
          <w:rFonts w:eastAsia="Cambria"/>
        </w:rPr>
        <w:t>t</w:t>
      </w:r>
      <w:r w:rsidR="00F62BEE">
        <w:rPr>
          <w:rFonts w:eastAsia="Cambria"/>
        </w:rPr>
        <w:t xml:space="preserve"> to the fifth respondent </w:t>
      </w:r>
      <w:r w:rsidR="009374E7" w:rsidRPr="004856E6">
        <w:rPr>
          <w:rFonts w:eastAsia="Cambria"/>
        </w:rPr>
        <w:t xml:space="preserve">the following </w:t>
      </w:r>
      <w:r w:rsidR="00C2159C">
        <w:rPr>
          <w:rFonts w:eastAsia="Cambria"/>
        </w:rPr>
        <w:t xml:space="preserve">six </w:t>
      </w:r>
      <w:r w:rsidR="009374E7" w:rsidRPr="004856E6">
        <w:rPr>
          <w:rFonts w:eastAsia="Cambria"/>
        </w:rPr>
        <w:t>corporate opportunities</w:t>
      </w:r>
      <w:r w:rsidR="00205871">
        <w:rPr>
          <w:rStyle w:val="FootnoteReference"/>
          <w:rFonts w:eastAsia="Cambria"/>
        </w:rPr>
        <w:t xml:space="preserve"> </w:t>
      </w:r>
      <w:r w:rsidR="009374E7">
        <w:rPr>
          <w:rFonts w:eastAsia="Cambria"/>
        </w:rPr>
        <w:t xml:space="preserve">which ought to have been </w:t>
      </w:r>
      <w:r w:rsidR="009374E7" w:rsidRPr="004856E6">
        <w:rPr>
          <w:rFonts w:eastAsia="Cambria"/>
        </w:rPr>
        <w:t xml:space="preserve">available to </w:t>
      </w:r>
      <w:r w:rsidR="009374E7">
        <w:rPr>
          <w:rFonts w:eastAsia="Cambria"/>
        </w:rPr>
        <w:t xml:space="preserve">and secured by </w:t>
      </w:r>
      <w:r w:rsidR="009374E7" w:rsidRPr="004856E6">
        <w:rPr>
          <w:rFonts w:eastAsia="Cambria"/>
        </w:rPr>
        <w:t>the applicant</w:t>
      </w:r>
      <w:r w:rsidR="009374E7">
        <w:rPr>
          <w:rFonts w:eastAsia="Cambria"/>
        </w:rPr>
        <w:t xml:space="preserve">: </w:t>
      </w:r>
    </w:p>
    <w:p w14:paraId="2C61B0F7" w14:textId="4443D61D" w:rsidR="009374E7" w:rsidRPr="00C00FED" w:rsidRDefault="007D2029" w:rsidP="007D2029">
      <w:pPr>
        <w:pStyle w:val="LC2"/>
        <w:numPr>
          <w:ilvl w:val="0"/>
          <w:numId w:val="0"/>
        </w:numPr>
        <w:ind w:left="2160" w:hanging="180"/>
      </w:pPr>
      <w:r w:rsidRPr="00C00FED">
        <w:t>i.</w:t>
      </w:r>
      <w:r w:rsidRPr="00C00FED">
        <w:tab/>
      </w:r>
      <w:r w:rsidR="009374E7">
        <w:rPr>
          <w:rFonts w:eastAsia="Cambria"/>
        </w:rPr>
        <w:t>the five transactions referred to in paragraph 16 of the particulars of claim</w:t>
      </w:r>
      <w:r w:rsidR="00C2159C">
        <w:rPr>
          <w:rStyle w:val="FootnoteReference"/>
          <w:rFonts w:eastAsia="Cambria"/>
        </w:rPr>
        <w:t xml:space="preserve"> </w:t>
      </w:r>
      <w:r w:rsidR="009374E7">
        <w:rPr>
          <w:rFonts w:eastAsia="Cambria"/>
        </w:rPr>
        <w:t>(paragraph 16.17.4 of the particulars of claim, read with paragraph 19.1 thereof); and</w:t>
      </w:r>
    </w:p>
    <w:p w14:paraId="3ACEAE7A" w14:textId="1989530D" w:rsidR="009374E7" w:rsidRPr="00672B53" w:rsidRDefault="007D2029" w:rsidP="007D2029">
      <w:pPr>
        <w:pStyle w:val="LC2"/>
        <w:numPr>
          <w:ilvl w:val="0"/>
          <w:numId w:val="0"/>
        </w:numPr>
        <w:ind w:left="2160" w:hanging="180"/>
      </w:pPr>
      <w:r w:rsidRPr="00672B53">
        <w:t>ii.</w:t>
      </w:r>
      <w:r w:rsidRPr="00672B53">
        <w:tab/>
      </w:r>
      <w:r w:rsidR="009374E7">
        <w:t xml:space="preserve">the transaction referred to in paragraph 17 of the particulars of claim </w:t>
      </w:r>
      <w:r w:rsidR="009374E7">
        <w:rPr>
          <w:rFonts w:eastAsia="Cambria"/>
        </w:rPr>
        <w:t>(paragraphs 17.6.1 and 17.6.2 of the particulars of claim, read with paragraph 19.1 thereof);</w:t>
      </w:r>
    </w:p>
    <w:p w14:paraId="26084162" w14:textId="09B25591" w:rsidR="009374E7" w:rsidRDefault="007D2029" w:rsidP="007D2029">
      <w:pPr>
        <w:pStyle w:val="LC2"/>
        <w:numPr>
          <w:ilvl w:val="0"/>
          <w:numId w:val="0"/>
        </w:numPr>
        <w:ind w:left="1701" w:hanging="993"/>
      </w:pPr>
      <w:r>
        <w:t>(b)</w:t>
      </w:r>
      <w:r>
        <w:tab/>
      </w:r>
      <w:r w:rsidR="009374E7">
        <w:t xml:space="preserve">unlawfully </w:t>
      </w:r>
      <w:r w:rsidR="00C14E1C">
        <w:t>ma</w:t>
      </w:r>
      <w:r w:rsidR="00F62BEE">
        <w:t>k</w:t>
      </w:r>
      <w:r w:rsidR="00C14E1C">
        <w:t xml:space="preserve">e </w:t>
      </w:r>
      <w:r w:rsidR="009374E7">
        <w:t xml:space="preserve">use of customer connections established during her employment with the applicant </w:t>
      </w:r>
      <w:r w:rsidR="009374E7">
        <w:rPr>
          <w:rFonts w:eastAsia="Cambria"/>
        </w:rPr>
        <w:t>(paragraph 19.2 of the particulars of claim)</w:t>
      </w:r>
      <w:r w:rsidR="009374E7">
        <w:t>;</w:t>
      </w:r>
    </w:p>
    <w:p w14:paraId="25C115E2" w14:textId="1627A359" w:rsidR="009374E7" w:rsidRDefault="007D2029" w:rsidP="007D2029">
      <w:pPr>
        <w:pStyle w:val="LC2"/>
        <w:numPr>
          <w:ilvl w:val="0"/>
          <w:numId w:val="0"/>
        </w:numPr>
        <w:ind w:left="1701" w:hanging="993"/>
      </w:pPr>
      <w:r>
        <w:t>(c)</w:t>
      </w:r>
      <w:r>
        <w:tab/>
      </w:r>
      <w:r w:rsidR="009374E7">
        <w:t>provid</w:t>
      </w:r>
      <w:r w:rsidR="003C05A8">
        <w:t>e</w:t>
      </w:r>
      <w:r w:rsidR="009374E7">
        <w:t xml:space="preserve"> the fifth respondent with the applicant’s confidential intellectual property </w:t>
      </w:r>
      <w:r w:rsidR="009374E7">
        <w:rPr>
          <w:rFonts w:eastAsia="Cambria"/>
        </w:rPr>
        <w:t>(paragraph 19.</w:t>
      </w:r>
      <w:r w:rsidR="001621D8">
        <w:rPr>
          <w:rFonts w:eastAsia="Cambria"/>
        </w:rPr>
        <w:t>3</w:t>
      </w:r>
      <w:r w:rsidR="009374E7">
        <w:rPr>
          <w:rFonts w:eastAsia="Cambria"/>
        </w:rPr>
        <w:t xml:space="preserve"> of the particulars of claim)</w:t>
      </w:r>
      <w:r w:rsidR="009374E7">
        <w:t>;</w:t>
      </w:r>
      <w:r w:rsidR="001621D8">
        <w:t xml:space="preserve"> and</w:t>
      </w:r>
    </w:p>
    <w:p w14:paraId="7B714B4D" w14:textId="63357DCA" w:rsidR="009374E7" w:rsidRPr="00672B53" w:rsidRDefault="007D2029" w:rsidP="007D2029">
      <w:pPr>
        <w:pStyle w:val="LC2"/>
        <w:numPr>
          <w:ilvl w:val="0"/>
          <w:numId w:val="0"/>
        </w:numPr>
        <w:ind w:left="1701" w:hanging="993"/>
      </w:pPr>
      <w:r w:rsidRPr="00672B53">
        <w:t>(d)</w:t>
      </w:r>
      <w:r w:rsidRPr="00672B53">
        <w:tab/>
      </w:r>
      <w:r w:rsidR="00F62BEE">
        <w:t xml:space="preserve">give the </w:t>
      </w:r>
      <w:r w:rsidR="00C07234">
        <w:t xml:space="preserve">fifth respondent an unlawful advantage in </w:t>
      </w:r>
      <w:r w:rsidR="009374E7">
        <w:t>compet</w:t>
      </w:r>
      <w:r w:rsidR="00C07234">
        <w:t>ing</w:t>
      </w:r>
      <w:r w:rsidR="009374E7">
        <w:t xml:space="preserve"> with the applicant </w:t>
      </w:r>
      <w:r w:rsidR="009374E7">
        <w:rPr>
          <w:rFonts w:eastAsia="Cambria"/>
        </w:rPr>
        <w:t>(paragraph 19.</w:t>
      </w:r>
      <w:r w:rsidR="001621D8">
        <w:rPr>
          <w:rFonts w:eastAsia="Cambria"/>
        </w:rPr>
        <w:t>4</w:t>
      </w:r>
      <w:r w:rsidR="009374E7">
        <w:rPr>
          <w:rFonts w:eastAsia="Cambria"/>
        </w:rPr>
        <w:t xml:space="preserve"> of the particulars of claim)</w:t>
      </w:r>
      <w:r w:rsidR="001621D8">
        <w:rPr>
          <w:rFonts w:eastAsia="Cambria"/>
        </w:rPr>
        <w:t>.</w:t>
      </w:r>
    </w:p>
    <w:p w14:paraId="214E5F87" w14:textId="382AF63E" w:rsidR="00C14E1C" w:rsidRPr="002E7178" w:rsidRDefault="007D2029" w:rsidP="007D2029">
      <w:pPr>
        <w:pStyle w:val="LC1"/>
        <w:numPr>
          <w:ilvl w:val="0"/>
          <w:numId w:val="0"/>
        </w:numPr>
        <w:ind w:left="720" w:hanging="720"/>
      </w:pPr>
      <w:r w:rsidRPr="002E7178">
        <w:rPr>
          <w:rFonts w:cs="Arial"/>
          <w:szCs w:val="24"/>
        </w:rPr>
        <w:t>[40]</w:t>
      </w:r>
      <w:r w:rsidRPr="002E7178">
        <w:rPr>
          <w:rFonts w:cs="Arial"/>
          <w:szCs w:val="24"/>
        </w:rPr>
        <w:tab/>
      </w:r>
      <w:r w:rsidR="00C14E1C">
        <w:rPr>
          <w:rFonts w:eastAsia="Cambria"/>
        </w:rPr>
        <w:t xml:space="preserve">I am satisfied that the </w:t>
      </w:r>
      <w:r w:rsidR="00C14E1C" w:rsidRPr="00DC3E51">
        <w:rPr>
          <w:rFonts w:eastAsia="Cambria"/>
        </w:rPr>
        <w:t xml:space="preserve">conduct </w:t>
      </w:r>
      <w:r w:rsidR="00C14E1C">
        <w:rPr>
          <w:rFonts w:eastAsia="Cambria"/>
        </w:rPr>
        <w:t>identified in paragraph 18 would</w:t>
      </w:r>
      <w:r w:rsidR="00B168BB">
        <w:rPr>
          <w:rFonts w:eastAsia="Cambria"/>
        </w:rPr>
        <w:t>,</w:t>
      </w:r>
      <w:r w:rsidR="00C14E1C">
        <w:rPr>
          <w:rFonts w:eastAsia="Cambria"/>
        </w:rPr>
        <w:t xml:space="preserve"> </w:t>
      </w:r>
      <w:r w:rsidR="00C14E1C" w:rsidRPr="00DC3E51">
        <w:rPr>
          <w:rFonts w:eastAsia="Cambria"/>
        </w:rPr>
        <w:t>if proven, constitute conduct contemplated in section</w:t>
      </w:r>
      <w:r w:rsidR="00C14E1C">
        <w:rPr>
          <w:lang w:eastAsia="en-ZA"/>
        </w:rPr>
        <w:t xml:space="preserve"> 37D(1)(b)(ii) – </w:t>
      </w:r>
      <w:r w:rsidR="00C14E1C" w:rsidRPr="00DC3E51">
        <w:rPr>
          <w:rFonts w:eastAsia="Cambria"/>
        </w:rPr>
        <w:t xml:space="preserve">even applying the standard set in </w:t>
      </w:r>
      <w:r w:rsidR="00C14E1C" w:rsidRPr="00DC3E51">
        <w:rPr>
          <w:i/>
          <w:iCs/>
          <w:lang w:eastAsia="en-ZA"/>
        </w:rPr>
        <w:t>Moodley</w:t>
      </w:r>
      <w:r w:rsidR="00C14E1C">
        <w:rPr>
          <w:lang w:eastAsia="en-ZA"/>
        </w:rPr>
        <w:t>, where the word “</w:t>
      </w:r>
      <w:r w:rsidR="00C14E1C" w:rsidRPr="00DC3E51">
        <w:rPr>
          <w:i/>
          <w:iCs/>
          <w:lang w:eastAsia="en-ZA"/>
        </w:rPr>
        <w:t>misconduct</w:t>
      </w:r>
      <w:r w:rsidR="00C14E1C">
        <w:rPr>
          <w:lang w:eastAsia="en-ZA"/>
        </w:rPr>
        <w:t>” was interpreted in context as requiring an element of dishonesty</w:t>
      </w:r>
      <w:r w:rsidR="00C14E1C" w:rsidRPr="00DC3E51">
        <w:rPr>
          <w:rFonts w:eastAsia="ArialMT"/>
        </w:rPr>
        <w:t>.</w:t>
      </w:r>
      <w:r w:rsidR="00C14E1C">
        <w:rPr>
          <w:rStyle w:val="FootnoteReference"/>
          <w:rFonts w:eastAsia="ArialMT"/>
        </w:rPr>
        <w:footnoteReference w:id="34"/>
      </w:r>
      <w:r w:rsidR="00C14E1C">
        <w:rPr>
          <w:rFonts w:eastAsia="ArialMT"/>
        </w:rPr>
        <w:t xml:space="preserve"> As the court in </w:t>
      </w:r>
      <w:r w:rsidR="00C14E1C" w:rsidRPr="003C05A8">
        <w:rPr>
          <w:rFonts w:eastAsia="ArialMT"/>
          <w:i/>
          <w:iCs/>
        </w:rPr>
        <w:t>Gradwell</w:t>
      </w:r>
      <w:r w:rsidR="00C14E1C">
        <w:rPr>
          <w:rFonts w:eastAsia="ArialMT"/>
        </w:rPr>
        <w:t xml:space="preserve"> observed:</w:t>
      </w:r>
    </w:p>
    <w:p w14:paraId="56B37E68" w14:textId="6D25A2A9" w:rsidR="00C14E1C" w:rsidRPr="003C05A8" w:rsidRDefault="00C14E1C" w:rsidP="00C14E1C">
      <w:pPr>
        <w:pStyle w:val="HeadsQuote"/>
        <w:rPr>
          <w:rFonts w:cs="Arial"/>
        </w:rPr>
      </w:pPr>
      <w:r w:rsidRPr="003C05A8">
        <w:rPr>
          <w:rFonts w:cs="Arial"/>
        </w:rPr>
        <w:t xml:space="preserve">[the employer] has averred that the [employee], while being in its employ, had given confidential trade Information to a competitor </w:t>
      </w:r>
      <w:r w:rsidRPr="003C05A8">
        <w:rPr>
          <w:rFonts w:cs="Arial"/>
        </w:rPr>
        <w:lastRenderedPageBreak/>
        <w:t>and entered into an agreement, or arrangement, with a competitor with regard to pricing and terms and conditions of sale to its detriment. If it proves these allegations at the trial, there can be little doubt that the trial court's findings will imply serious misconduct and dishonesty on the part of the applicant. An employee who passes confidential trade Information to his or her employer's competitors, invariably acts in a clandestine and underhanded manner, and with full knowledge of the potential harm that his or her actions may cause the employer. It Is indeed difficult to conceive of circumstances where such conduct will not contain some element of dishonesty</w:t>
      </w:r>
      <w:r w:rsidR="003C05A8">
        <w:rPr>
          <w:rFonts w:cs="Arial"/>
        </w:rPr>
        <w:t>.</w:t>
      </w:r>
      <w:r w:rsidRPr="003C05A8">
        <w:rPr>
          <w:rFonts w:cs="Arial"/>
        </w:rPr>
        <w:t xml:space="preserve"> And in my view it matters not if these actions are motivated either by malicious intent to spite the employer, or by a desire for personal gain. I therefore agree with Mr Cole that such actions must necessarily imply dishonest conduct as contemplated by s 37D of the Act.</w:t>
      </w:r>
      <w:r w:rsidRPr="003C05A8">
        <w:rPr>
          <w:rStyle w:val="FootnoteReference"/>
          <w:rFonts w:cs="Arial"/>
        </w:rPr>
        <w:footnoteReference w:id="35"/>
      </w:r>
    </w:p>
    <w:p w14:paraId="57E516BC" w14:textId="4FBA4662" w:rsidR="0057539D" w:rsidRPr="00A92B9C" w:rsidRDefault="007D2029" w:rsidP="007D2029">
      <w:pPr>
        <w:pStyle w:val="LC1"/>
        <w:numPr>
          <w:ilvl w:val="0"/>
          <w:numId w:val="0"/>
        </w:numPr>
        <w:ind w:left="720" w:hanging="720"/>
        <w:rPr>
          <w:rFonts w:eastAsia="Cambria" w:cs="Arial"/>
          <w:szCs w:val="24"/>
        </w:rPr>
      </w:pPr>
      <w:r w:rsidRPr="00A92B9C">
        <w:rPr>
          <w:rFonts w:eastAsia="Cambria" w:cs="Arial"/>
          <w:szCs w:val="24"/>
        </w:rPr>
        <w:t>[41]</w:t>
      </w:r>
      <w:r w:rsidRPr="00A92B9C">
        <w:rPr>
          <w:rFonts w:eastAsia="Cambria" w:cs="Arial"/>
          <w:szCs w:val="24"/>
        </w:rPr>
        <w:tab/>
      </w:r>
      <w:r w:rsidR="00A92B9C">
        <w:rPr>
          <w:rFonts w:eastAsia="Cambria" w:cs="Arial"/>
          <w:szCs w:val="24"/>
        </w:rPr>
        <w:t xml:space="preserve">In the circumstances, I </w:t>
      </w:r>
      <w:r w:rsidR="00ED44C6">
        <w:rPr>
          <w:rFonts w:eastAsia="Cambria" w:cs="Arial"/>
          <w:szCs w:val="24"/>
        </w:rPr>
        <w:t xml:space="preserve">consider </w:t>
      </w:r>
      <w:r w:rsidR="00A92B9C">
        <w:rPr>
          <w:rFonts w:eastAsia="Cambria" w:cs="Arial"/>
          <w:szCs w:val="24"/>
        </w:rPr>
        <w:t xml:space="preserve">that the </w:t>
      </w:r>
      <w:r w:rsidR="0057539D">
        <w:rPr>
          <w:rFonts w:eastAsia="Cambria" w:cs="Arial"/>
          <w:szCs w:val="24"/>
        </w:rPr>
        <w:t xml:space="preserve">applicant has established the third requirement set out </w:t>
      </w:r>
      <w:r w:rsidR="00E21FDF">
        <w:rPr>
          <w:rFonts w:eastAsia="Cambria" w:cs="Arial"/>
          <w:szCs w:val="24"/>
        </w:rPr>
        <w:t xml:space="preserve">in paragraph 36 </w:t>
      </w:r>
      <w:r w:rsidR="0057539D">
        <w:rPr>
          <w:rFonts w:eastAsia="Cambria" w:cs="Arial"/>
          <w:szCs w:val="24"/>
        </w:rPr>
        <w:t xml:space="preserve">above. The </w:t>
      </w:r>
      <w:r w:rsidR="00A92B9C">
        <w:rPr>
          <w:rFonts w:eastAsia="Cambria" w:cs="Arial"/>
          <w:szCs w:val="24"/>
        </w:rPr>
        <w:t xml:space="preserve">pension fund did not act reasonably </w:t>
      </w:r>
      <w:r w:rsidR="0057539D">
        <w:rPr>
          <w:rFonts w:eastAsia="Cambria" w:cs="Arial"/>
          <w:szCs w:val="24"/>
        </w:rPr>
        <w:t xml:space="preserve">when it refused </w:t>
      </w:r>
      <w:r w:rsidR="0057539D">
        <w:t xml:space="preserve">the applicant’s request to withhold any portion of the third respondent’s pension benefits: its </w:t>
      </w:r>
      <w:r w:rsidR="00E21FDF">
        <w:t xml:space="preserve">contention </w:t>
      </w:r>
      <w:r w:rsidR="0057539D">
        <w:t>that the misconduct relied upon by the applicant is limited to allegations that the third respondent “</w:t>
      </w:r>
      <w:r w:rsidR="0057539D" w:rsidRPr="0057539D">
        <w:rPr>
          <w:i/>
          <w:iCs/>
        </w:rPr>
        <w:t>used company time to issue invoices or follow up on outstanding payments in respect of her husband’s business</w:t>
      </w:r>
      <w:r w:rsidR="0057539D">
        <w:t xml:space="preserve">” is unreasonable in light of the content of the particulars of claim, and </w:t>
      </w:r>
      <w:r w:rsidR="00E21FDF">
        <w:t xml:space="preserve">is an </w:t>
      </w:r>
      <w:r w:rsidR="0057539D">
        <w:t xml:space="preserve">indication that it failed to properly consider the request. </w:t>
      </w:r>
    </w:p>
    <w:p w14:paraId="52628D44" w14:textId="5E1466D8" w:rsidR="003C05A8" w:rsidRPr="003C05A8" w:rsidRDefault="007D2029" w:rsidP="007D2029">
      <w:pPr>
        <w:pStyle w:val="LC1"/>
        <w:numPr>
          <w:ilvl w:val="0"/>
          <w:numId w:val="0"/>
        </w:numPr>
        <w:ind w:left="720" w:hanging="720"/>
        <w:rPr>
          <w:rFonts w:eastAsia="Cambria" w:cs="Arial"/>
          <w:szCs w:val="24"/>
        </w:rPr>
      </w:pPr>
      <w:r w:rsidRPr="003C05A8">
        <w:rPr>
          <w:rFonts w:eastAsia="Cambria" w:cs="Arial"/>
          <w:szCs w:val="24"/>
        </w:rPr>
        <w:t>[42]</w:t>
      </w:r>
      <w:r w:rsidRPr="003C05A8">
        <w:rPr>
          <w:rFonts w:eastAsia="Cambria" w:cs="Arial"/>
          <w:szCs w:val="24"/>
        </w:rPr>
        <w:tab/>
      </w:r>
      <w:r w:rsidR="00AF7AF9" w:rsidRPr="005A7370">
        <w:rPr>
          <w:rFonts w:eastAsia="Cambria"/>
        </w:rPr>
        <w:t xml:space="preserve">Although the </w:t>
      </w:r>
      <w:r w:rsidR="00AF7AF9" w:rsidRPr="005A7370">
        <w:rPr>
          <w:rFonts w:eastAsia="Cambria" w:cs="Arial"/>
          <w:szCs w:val="24"/>
        </w:rPr>
        <w:t xml:space="preserve">applicant does not in its pleading </w:t>
      </w:r>
      <w:r w:rsidR="00E21FDF" w:rsidRPr="005A7370">
        <w:rPr>
          <w:rFonts w:eastAsia="Cambria" w:cs="Arial"/>
          <w:szCs w:val="24"/>
        </w:rPr>
        <w:t xml:space="preserve">elaborate </w:t>
      </w:r>
      <w:r w:rsidR="00AF7AF9" w:rsidRPr="005A7370">
        <w:rPr>
          <w:rFonts w:eastAsia="Cambria" w:cs="Arial"/>
          <w:szCs w:val="24"/>
        </w:rPr>
        <w:t>precise</w:t>
      </w:r>
      <w:r w:rsidR="005A7370">
        <w:rPr>
          <w:rFonts w:eastAsia="Cambria" w:cs="Arial"/>
          <w:szCs w:val="24"/>
        </w:rPr>
        <w:t>ly</w:t>
      </w:r>
      <w:r w:rsidR="00AF7AF9" w:rsidRPr="005A7370">
        <w:rPr>
          <w:rFonts w:eastAsia="Cambria" w:cs="Arial"/>
          <w:szCs w:val="24"/>
        </w:rPr>
        <w:t xml:space="preserve"> </w:t>
      </w:r>
      <w:r w:rsidR="005A7370">
        <w:rPr>
          <w:rFonts w:eastAsia="Cambria" w:cs="Arial"/>
          <w:szCs w:val="24"/>
        </w:rPr>
        <w:t xml:space="preserve">what activities the third respondent is alleged to have engaged in when assisting the fifth respondent by </w:t>
      </w:r>
      <w:r w:rsidR="00A92B9C">
        <w:rPr>
          <w:rFonts w:eastAsia="Cambria" w:cs="Arial"/>
          <w:szCs w:val="24"/>
        </w:rPr>
        <w:t>“</w:t>
      </w:r>
      <w:r w:rsidR="005A7370" w:rsidRPr="00A92B9C">
        <w:rPr>
          <w:rFonts w:eastAsia="Cambria"/>
          <w:i/>
          <w:iCs/>
        </w:rPr>
        <w:t xml:space="preserve">following up with its customers regarding </w:t>
      </w:r>
      <w:r w:rsidR="00A92B9C" w:rsidRPr="00A92B9C">
        <w:rPr>
          <w:rFonts w:eastAsia="Cambria"/>
          <w:i/>
          <w:iCs/>
        </w:rPr>
        <w:t xml:space="preserve">… </w:t>
      </w:r>
      <w:r w:rsidR="005A7370" w:rsidRPr="00A92B9C">
        <w:rPr>
          <w:rFonts w:eastAsia="Cambria"/>
          <w:i/>
          <w:iCs/>
        </w:rPr>
        <w:t>other matters relating to its business</w:t>
      </w:r>
      <w:r w:rsidR="00A92B9C">
        <w:rPr>
          <w:rFonts w:eastAsia="Cambria"/>
        </w:rPr>
        <w:t>”</w:t>
      </w:r>
      <w:r w:rsidR="00C07234">
        <w:rPr>
          <w:rFonts w:eastAsia="Cambria"/>
        </w:rPr>
        <w:t xml:space="preserve"> or exactly how this </w:t>
      </w:r>
      <w:r w:rsidR="003C05A8">
        <w:rPr>
          <w:rFonts w:eastAsia="Cambria"/>
        </w:rPr>
        <w:t>related to the consequences identified in paragra</w:t>
      </w:r>
      <w:r w:rsidR="003C05A8" w:rsidRPr="00E21FDF">
        <w:rPr>
          <w:rFonts w:eastAsia="Cambria"/>
        </w:rPr>
        <w:t xml:space="preserve">ph </w:t>
      </w:r>
      <w:r w:rsidR="00A92B9C" w:rsidRPr="00E21FDF">
        <w:rPr>
          <w:rFonts w:eastAsia="Cambria"/>
        </w:rPr>
        <w:t>39</w:t>
      </w:r>
      <w:r w:rsidR="003C05A8">
        <w:rPr>
          <w:rFonts w:eastAsia="Cambria"/>
        </w:rPr>
        <w:t xml:space="preserve"> (a) to (d) above</w:t>
      </w:r>
      <w:r w:rsidR="005A7370">
        <w:rPr>
          <w:rFonts w:eastAsia="Cambria"/>
        </w:rPr>
        <w:t xml:space="preserve">, it is not required </w:t>
      </w:r>
      <w:r w:rsidR="005A7370">
        <w:rPr>
          <w:rFonts w:eastAsia="Cambria"/>
        </w:rPr>
        <w:lastRenderedPageBreak/>
        <w:t>to plead evidence.</w:t>
      </w:r>
      <w:r w:rsidR="00DB3F42">
        <w:rPr>
          <w:rStyle w:val="FootnoteReference"/>
          <w:rFonts w:eastAsia="Cambria"/>
        </w:rPr>
        <w:footnoteReference w:id="36"/>
      </w:r>
      <w:r w:rsidR="005A7370">
        <w:rPr>
          <w:rFonts w:eastAsia="Cambria"/>
        </w:rPr>
        <w:t xml:space="preserve"> </w:t>
      </w:r>
    </w:p>
    <w:p w14:paraId="3AD0149E" w14:textId="07DA55A6" w:rsidR="003C05A8" w:rsidRDefault="007D2029" w:rsidP="007D2029">
      <w:pPr>
        <w:pStyle w:val="LC1"/>
        <w:numPr>
          <w:ilvl w:val="0"/>
          <w:numId w:val="0"/>
        </w:numPr>
        <w:ind w:left="720" w:hanging="720"/>
      </w:pPr>
      <w:r>
        <w:rPr>
          <w:rFonts w:cs="Arial"/>
          <w:szCs w:val="24"/>
        </w:rPr>
        <w:t>[43]</w:t>
      </w:r>
      <w:r>
        <w:rPr>
          <w:rFonts w:cs="Arial"/>
          <w:szCs w:val="24"/>
        </w:rPr>
        <w:tab/>
      </w:r>
      <w:r w:rsidR="003C05A8">
        <w:t xml:space="preserve">But the mere allegation of such conduct in the particulars of claim is insufficient to establish a </w:t>
      </w:r>
      <w:r w:rsidR="003C05A8" w:rsidRPr="00394B3D">
        <w:rPr>
          <w:i/>
          <w:iCs/>
        </w:rPr>
        <w:t>prima facie</w:t>
      </w:r>
      <w:r w:rsidR="003C05A8">
        <w:t xml:space="preserve"> right on the applicant’s part to compel the pension fund to withhold the third respondent’s pension benefits – especially in view of the content of Rule 12.4.5(b), which stipulates that the fund may only withhold the third respondent’s benefits if the pension fund’s board is “</w:t>
      </w:r>
      <w:r w:rsidR="003C05A8" w:rsidRPr="00394B3D">
        <w:rPr>
          <w:i/>
          <w:iCs/>
        </w:rPr>
        <w:t xml:space="preserve">of the opinion that the employer </w:t>
      </w:r>
      <w:r w:rsidR="003C05A8" w:rsidRPr="00A92B9C">
        <w:rPr>
          <w:i/>
          <w:iCs/>
          <w:u w:val="single"/>
        </w:rPr>
        <w:t>has a reasonable chance</w:t>
      </w:r>
      <w:r w:rsidR="003C05A8" w:rsidRPr="00394B3D">
        <w:rPr>
          <w:i/>
          <w:iCs/>
        </w:rPr>
        <w:t xml:space="preserve"> of succeeding in the proceedings instituted against the member</w:t>
      </w:r>
      <w:r w:rsidR="003C05A8">
        <w:t xml:space="preserve">”. </w:t>
      </w:r>
    </w:p>
    <w:p w14:paraId="2F852BE9" w14:textId="0AF8DA46" w:rsidR="003C05A8" w:rsidRDefault="007D2029" w:rsidP="007D2029">
      <w:pPr>
        <w:pStyle w:val="LC1"/>
        <w:numPr>
          <w:ilvl w:val="0"/>
          <w:numId w:val="0"/>
        </w:numPr>
        <w:ind w:left="720" w:hanging="720"/>
      </w:pPr>
      <w:r>
        <w:rPr>
          <w:rFonts w:cs="Arial"/>
          <w:szCs w:val="24"/>
        </w:rPr>
        <w:t>[44]</w:t>
      </w:r>
      <w:r>
        <w:rPr>
          <w:rFonts w:cs="Arial"/>
          <w:szCs w:val="24"/>
        </w:rPr>
        <w:tab/>
      </w:r>
      <w:r w:rsidR="003C05A8">
        <w:t>In considering whether the applicant has a reasonable chance of succeeding in the action against the third respondent, it is necessary to consider the evidence that it indicates it will adduce in support of its claim</w:t>
      </w:r>
      <w:r w:rsidR="00C90623">
        <w:t xml:space="preserve"> at the trial</w:t>
      </w:r>
      <w:r w:rsidR="003C05A8">
        <w:t>.</w:t>
      </w:r>
    </w:p>
    <w:p w14:paraId="0ED4E054" w14:textId="0CC55FCC" w:rsidR="005A7370" w:rsidRPr="005A7370" w:rsidRDefault="007D2029" w:rsidP="007D2029">
      <w:pPr>
        <w:pStyle w:val="LC1"/>
        <w:numPr>
          <w:ilvl w:val="0"/>
          <w:numId w:val="0"/>
        </w:numPr>
        <w:ind w:left="720" w:hanging="720"/>
        <w:rPr>
          <w:rFonts w:eastAsia="Cambria" w:cs="Arial"/>
          <w:szCs w:val="24"/>
        </w:rPr>
      </w:pPr>
      <w:r w:rsidRPr="005A7370">
        <w:rPr>
          <w:rFonts w:eastAsia="Cambria" w:cs="Arial"/>
          <w:szCs w:val="24"/>
        </w:rPr>
        <w:t>[45]</w:t>
      </w:r>
      <w:r w:rsidRPr="005A7370">
        <w:rPr>
          <w:rFonts w:eastAsia="Cambria" w:cs="Arial"/>
          <w:szCs w:val="24"/>
        </w:rPr>
        <w:tab/>
      </w:r>
      <w:r w:rsidR="005A7370">
        <w:rPr>
          <w:rFonts w:eastAsia="Cambria"/>
        </w:rPr>
        <w:t xml:space="preserve">It is apparent from the founding affidavit that the evidence </w:t>
      </w:r>
      <w:r w:rsidR="003C05A8">
        <w:rPr>
          <w:rFonts w:eastAsia="Cambria"/>
        </w:rPr>
        <w:t xml:space="preserve">in question </w:t>
      </w:r>
      <w:r w:rsidR="005A7370">
        <w:rPr>
          <w:rFonts w:eastAsia="Cambria"/>
        </w:rPr>
        <w:t xml:space="preserve">is the evidence that was led at </w:t>
      </w:r>
      <w:r w:rsidR="0057539D">
        <w:rPr>
          <w:rFonts w:eastAsia="Cambria"/>
        </w:rPr>
        <w:t xml:space="preserve">the </w:t>
      </w:r>
      <w:r w:rsidR="005A7370">
        <w:rPr>
          <w:rFonts w:eastAsia="Cambria"/>
        </w:rPr>
        <w:t>disciplinary enquiry</w:t>
      </w:r>
      <w:r w:rsidR="00C07234">
        <w:rPr>
          <w:rFonts w:eastAsia="Cambria"/>
        </w:rPr>
        <w:t xml:space="preserve"> and accepted by the chairperson thereof</w:t>
      </w:r>
      <w:r w:rsidR="00AD248D">
        <w:rPr>
          <w:rFonts w:eastAsia="Cambria"/>
        </w:rPr>
        <w:t>, combined with the fact that the third respondent has not sought to challenge the fairness of her dismissal</w:t>
      </w:r>
      <w:r w:rsidR="00C07234">
        <w:rPr>
          <w:rFonts w:eastAsia="Cambria"/>
        </w:rPr>
        <w:t xml:space="preserve">. This </w:t>
      </w:r>
      <w:r w:rsidR="0057539D">
        <w:rPr>
          <w:rFonts w:eastAsia="Cambria"/>
        </w:rPr>
        <w:t>includes the following evidence and findings</w:t>
      </w:r>
      <w:r w:rsidR="005A7370">
        <w:rPr>
          <w:rFonts w:eastAsia="Cambria"/>
        </w:rPr>
        <w:t>:</w:t>
      </w:r>
    </w:p>
    <w:p w14:paraId="503BF4EA" w14:textId="5C358893" w:rsidR="005A7370" w:rsidRDefault="007D2029" w:rsidP="007D2029">
      <w:pPr>
        <w:pStyle w:val="LC2"/>
        <w:numPr>
          <w:ilvl w:val="0"/>
          <w:numId w:val="0"/>
        </w:numPr>
        <w:ind w:left="1701" w:hanging="993"/>
        <w:rPr>
          <w:rFonts w:eastAsia="Cambria"/>
        </w:rPr>
      </w:pPr>
      <w:r>
        <w:rPr>
          <w:rFonts w:eastAsia="Cambria"/>
        </w:rPr>
        <w:t>(a)</w:t>
      </w:r>
      <w:r>
        <w:rPr>
          <w:rFonts w:eastAsia="Cambria"/>
        </w:rPr>
        <w:tab/>
      </w:r>
      <w:r w:rsidR="0057539D" w:rsidRPr="0057539D">
        <w:rPr>
          <w:rFonts w:eastAsia="Cambria"/>
        </w:rPr>
        <w:t xml:space="preserve">The third respondent </w:t>
      </w:r>
      <w:r w:rsidR="00C90623">
        <w:rPr>
          <w:rFonts w:eastAsia="Cambria"/>
        </w:rPr>
        <w:t>wa</w:t>
      </w:r>
      <w:r w:rsidR="0057539D" w:rsidRPr="0057539D">
        <w:rPr>
          <w:rFonts w:eastAsia="Cambria"/>
        </w:rPr>
        <w:t>s the Assistant Financial Manager of the applicant and thus occupie</w:t>
      </w:r>
      <w:r w:rsidR="00C90623">
        <w:rPr>
          <w:rFonts w:eastAsia="Cambria"/>
        </w:rPr>
        <w:t>d</w:t>
      </w:r>
      <w:r w:rsidR="0057539D" w:rsidRPr="0057539D">
        <w:rPr>
          <w:rFonts w:eastAsia="Cambria"/>
        </w:rPr>
        <w:t xml:space="preserve"> a position of trust, and ha</w:t>
      </w:r>
      <w:r w:rsidR="00C90623">
        <w:rPr>
          <w:rFonts w:eastAsia="Cambria"/>
        </w:rPr>
        <w:t>d</w:t>
      </w:r>
      <w:r w:rsidR="0057539D" w:rsidRPr="0057539D">
        <w:rPr>
          <w:rFonts w:eastAsia="Cambria"/>
        </w:rPr>
        <w:t xml:space="preserve"> access to confidential information such as the mark ups on the products sold by </w:t>
      </w:r>
      <w:r w:rsidR="0057539D">
        <w:rPr>
          <w:rFonts w:eastAsia="Cambria"/>
        </w:rPr>
        <w:t>the applicant</w:t>
      </w:r>
      <w:r w:rsidR="00AD248D">
        <w:rPr>
          <w:rFonts w:eastAsia="Cambria"/>
        </w:rPr>
        <w:t>.</w:t>
      </w:r>
    </w:p>
    <w:p w14:paraId="478CD05A" w14:textId="532F64A9" w:rsidR="0057539D" w:rsidRDefault="007D2029" w:rsidP="007D2029">
      <w:pPr>
        <w:pStyle w:val="LC2"/>
        <w:numPr>
          <w:ilvl w:val="0"/>
          <w:numId w:val="0"/>
        </w:numPr>
        <w:ind w:left="1701" w:hanging="993"/>
        <w:rPr>
          <w:rFonts w:eastAsia="Cambria"/>
        </w:rPr>
      </w:pPr>
      <w:r>
        <w:rPr>
          <w:rFonts w:eastAsia="Cambria"/>
        </w:rPr>
        <w:t>(b)</w:t>
      </w:r>
      <w:r>
        <w:rPr>
          <w:rFonts w:eastAsia="Cambria"/>
        </w:rPr>
        <w:tab/>
      </w:r>
      <w:r w:rsidR="0057539D" w:rsidRPr="0057539D">
        <w:rPr>
          <w:rFonts w:eastAsia="Cambria"/>
        </w:rPr>
        <w:t xml:space="preserve">The </w:t>
      </w:r>
      <w:r w:rsidR="0057539D">
        <w:rPr>
          <w:rFonts w:eastAsia="Cambria"/>
        </w:rPr>
        <w:t xml:space="preserve">third respondent </w:t>
      </w:r>
      <w:r w:rsidR="0057539D" w:rsidRPr="0057539D">
        <w:rPr>
          <w:rFonts w:eastAsia="Cambria"/>
        </w:rPr>
        <w:t xml:space="preserve">was </w:t>
      </w:r>
      <w:r w:rsidR="0057539D">
        <w:rPr>
          <w:rFonts w:eastAsia="Cambria"/>
        </w:rPr>
        <w:t>“</w:t>
      </w:r>
      <w:r w:rsidR="0057539D" w:rsidRPr="0057539D">
        <w:rPr>
          <w:rFonts w:eastAsia="Cambria"/>
          <w:i/>
          <w:iCs/>
        </w:rPr>
        <w:t>obviously conflicted and ought not to have assisted her husband in any way relating to competitive activities vis-à-vis</w:t>
      </w:r>
      <w:r w:rsidR="0057539D">
        <w:rPr>
          <w:rFonts w:eastAsia="Cambria"/>
        </w:rPr>
        <w:t>” the applicant</w:t>
      </w:r>
      <w:r w:rsidR="00AD248D">
        <w:rPr>
          <w:rFonts w:eastAsia="Cambria"/>
        </w:rPr>
        <w:t>.</w:t>
      </w:r>
    </w:p>
    <w:p w14:paraId="3220E634" w14:textId="671607A0" w:rsidR="0057539D" w:rsidRDefault="007D2029" w:rsidP="007D2029">
      <w:pPr>
        <w:pStyle w:val="LC2"/>
        <w:numPr>
          <w:ilvl w:val="0"/>
          <w:numId w:val="0"/>
        </w:numPr>
        <w:ind w:left="1701" w:hanging="993"/>
        <w:rPr>
          <w:rFonts w:eastAsia="Cambria"/>
        </w:rPr>
      </w:pPr>
      <w:r>
        <w:rPr>
          <w:rFonts w:eastAsia="Cambria"/>
        </w:rPr>
        <w:t>(c)</w:t>
      </w:r>
      <w:r>
        <w:rPr>
          <w:rFonts w:eastAsia="Cambria"/>
        </w:rPr>
        <w:tab/>
      </w:r>
      <w:r w:rsidR="0057539D">
        <w:rPr>
          <w:rFonts w:eastAsia="Cambria"/>
        </w:rPr>
        <w:t xml:space="preserve">The fifth respondent was </w:t>
      </w:r>
      <w:r w:rsidR="00AD248D">
        <w:rPr>
          <w:rFonts w:eastAsia="Cambria"/>
        </w:rPr>
        <w:t>in competition with the applicant.</w:t>
      </w:r>
    </w:p>
    <w:p w14:paraId="10FACCDA" w14:textId="03477311" w:rsidR="0057539D" w:rsidRDefault="007D2029" w:rsidP="007D2029">
      <w:pPr>
        <w:pStyle w:val="LC2"/>
        <w:numPr>
          <w:ilvl w:val="0"/>
          <w:numId w:val="0"/>
        </w:numPr>
        <w:ind w:left="1701" w:hanging="993"/>
        <w:rPr>
          <w:rFonts w:eastAsia="Cambria"/>
        </w:rPr>
      </w:pPr>
      <w:r>
        <w:rPr>
          <w:rFonts w:eastAsia="Cambria"/>
        </w:rPr>
        <w:t>(d)</w:t>
      </w:r>
      <w:r>
        <w:rPr>
          <w:rFonts w:eastAsia="Cambria"/>
        </w:rPr>
        <w:tab/>
      </w:r>
      <w:r w:rsidR="0057539D">
        <w:rPr>
          <w:rFonts w:eastAsia="Cambria"/>
        </w:rPr>
        <w:t>The third respondent assisted with invoices that the fifth respondent issued</w:t>
      </w:r>
      <w:r w:rsidR="00AD248D">
        <w:rPr>
          <w:rFonts w:eastAsia="Cambria"/>
        </w:rPr>
        <w:t xml:space="preserve"> and “</w:t>
      </w:r>
      <w:r w:rsidR="00AD248D" w:rsidRPr="00AD248D">
        <w:rPr>
          <w:rFonts w:eastAsia="Cambria"/>
          <w:i/>
          <w:iCs/>
        </w:rPr>
        <w:t xml:space="preserve">was doing a substantial amount of work </w:t>
      </w:r>
      <w:r w:rsidR="00AD248D" w:rsidRPr="00AD248D">
        <w:rPr>
          <w:rFonts w:eastAsia="Cambria"/>
          <w:i/>
          <w:iCs/>
        </w:rPr>
        <w:lastRenderedPageBreak/>
        <w:t>for the fifth respondent</w:t>
      </w:r>
      <w:r w:rsidR="00AD248D">
        <w:rPr>
          <w:rFonts w:eastAsia="Cambria"/>
        </w:rPr>
        <w:t>”, as is evidenced by documents which were sent by her to her own computer, and the fact that she had access to and operated on the fifth respondent’s banking system and attended to its VAT registration issues.</w:t>
      </w:r>
    </w:p>
    <w:p w14:paraId="4F5BD553" w14:textId="3E70AA70" w:rsidR="00AD248D" w:rsidRDefault="007D2029" w:rsidP="007D2029">
      <w:pPr>
        <w:pStyle w:val="LC2"/>
        <w:numPr>
          <w:ilvl w:val="0"/>
          <w:numId w:val="0"/>
        </w:numPr>
        <w:ind w:left="1701" w:hanging="993"/>
        <w:rPr>
          <w:rFonts w:eastAsia="Cambria"/>
        </w:rPr>
      </w:pPr>
      <w:r>
        <w:rPr>
          <w:rFonts w:eastAsia="Cambria"/>
        </w:rPr>
        <w:t>(e)</w:t>
      </w:r>
      <w:r>
        <w:rPr>
          <w:rFonts w:eastAsia="Cambria"/>
        </w:rPr>
        <w:tab/>
      </w:r>
      <w:r w:rsidR="00AD248D">
        <w:rPr>
          <w:rFonts w:eastAsia="Cambria"/>
        </w:rPr>
        <w:t>The third respondent concealed and failed to disclose the fact that she knew the fifth respondent was competing with the applicant and in fact was assisting the fifth respondent administratively at the time of such concealment and non-disclosure.</w:t>
      </w:r>
    </w:p>
    <w:p w14:paraId="56C9D743" w14:textId="19B7E248" w:rsidR="00C07234" w:rsidRPr="00C07234" w:rsidRDefault="007D2029" w:rsidP="007D2029">
      <w:pPr>
        <w:pStyle w:val="LC1"/>
        <w:numPr>
          <w:ilvl w:val="0"/>
          <w:numId w:val="0"/>
        </w:numPr>
        <w:ind w:left="720" w:hanging="720"/>
      </w:pPr>
      <w:r w:rsidRPr="00C07234">
        <w:rPr>
          <w:rFonts w:cs="Arial"/>
          <w:szCs w:val="24"/>
        </w:rPr>
        <w:t>[46]</w:t>
      </w:r>
      <w:r w:rsidRPr="00C07234">
        <w:rPr>
          <w:rFonts w:cs="Arial"/>
          <w:szCs w:val="24"/>
        </w:rPr>
        <w:tab/>
      </w:r>
      <w:r w:rsidR="00F62BEE">
        <w:t xml:space="preserve">While I accept that proof of these facts at the trial will not necessarily establish </w:t>
      </w:r>
      <w:r w:rsidR="00F62BEE" w:rsidRPr="00F62BEE">
        <w:rPr>
          <w:u w:val="single"/>
        </w:rPr>
        <w:t>all</w:t>
      </w:r>
      <w:r w:rsidR="00F62BEE">
        <w:t xml:space="preserve"> of aspects </w:t>
      </w:r>
      <w:r w:rsidR="00F62BEE">
        <w:rPr>
          <w:rFonts w:eastAsia="Cambria"/>
        </w:rPr>
        <w:t xml:space="preserve">identified in paragraph </w:t>
      </w:r>
      <w:r w:rsidR="00F62BEE" w:rsidRPr="00C90623">
        <w:rPr>
          <w:rFonts w:eastAsia="Cambria"/>
        </w:rPr>
        <w:t>39 (</w:t>
      </w:r>
      <w:r w:rsidR="00F62BEE">
        <w:rPr>
          <w:rFonts w:eastAsia="Cambria"/>
        </w:rPr>
        <w:t>a) to (d) above, I am satisfied (subject to what is said below) that the applicant has at least established that it has a reasonable chance of establishing that the third respondent “</w:t>
      </w:r>
      <w:r w:rsidR="00F62BEE" w:rsidRPr="00F62BEE">
        <w:rPr>
          <w:rFonts w:eastAsia="Cambria"/>
          <w:i/>
          <w:iCs/>
        </w:rPr>
        <w:t>assisted</w:t>
      </w:r>
      <w:r w:rsidR="00F62BEE">
        <w:rPr>
          <w:rFonts w:eastAsia="Cambria"/>
        </w:rPr>
        <w:t>” the fifth respondent to divert the corporate opportunities identified in paragraph 39 (a) above to the respondent.</w:t>
      </w:r>
      <w:r w:rsidR="00C2159C">
        <w:rPr>
          <w:rFonts w:eastAsia="Cambria"/>
        </w:rPr>
        <w:t xml:space="preserve"> These </w:t>
      </w:r>
      <w:r w:rsidR="00C2159C">
        <w:t>transactions are “</w:t>
      </w:r>
      <w:r w:rsidR="00C2159C" w:rsidRPr="003C05A8">
        <w:rPr>
          <w:i/>
          <w:iCs/>
        </w:rPr>
        <w:t xml:space="preserve">the </w:t>
      </w:r>
      <w:r w:rsidR="00C2159C">
        <w:rPr>
          <w:i/>
          <w:iCs/>
        </w:rPr>
        <w:t>F</w:t>
      </w:r>
      <w:r w:rsidR="00C2159C" w:rsidRPr="003C05A8">
        <w:rPr>
          <w:i/>
          <w:iCs/>
        </w:rPr>
        <w:t>irst Letitone transaction</w:t>
      </w:r>
      <w:r w:rsidR="00C2159C">
        <w:t>”;</w:t>
      </w:r>
      <w:r w:rsidR="00C2159C" w:rsidRPr="00C00FED">
        <w:t xml:space="preserve"> </w:t>
      </w:r>
      <w:r w:rsidR="00C2159C">
        <w:t>“</w:t>
      </w:r>
      <w:r w:rsidR="00C2159C" w:rsidRPr="003C05A8">
        <w:rPr>
          <w:i/>
          <w:iCs/>
        </w:rPr>
        <w:t xml:space="preserve">the </w:t>
      </w:r>
      <w:r w:rsidR="00C2159C">
        <w:rPr>
          <w:i/>
          <w:iCs/>
        </w:rPr>
        <w:t>S</w:t>
      </w:r>
      <w:r w:rsidR="00C2159C" w:rsidRPr="003C05A8">
        <w:rPr>
          <w:i/>
          <w:iCs/>
        </w:rPr>
        <w:t>econd Letitone transaction</w:t>
      </w:r>
      <w:r w:rsidR="00C2159C">
        <w:t>”</w:t>
      </w:r>
      <w:r w:rsidR="00C2159C" w:rsidRPr="00C00FED">
        <w:t xml:space="preserve">; </w:t>
      </w:r>
      <w:r w:rsidR="00C2159C">
        <w:t>“</w:t>
      </w:r>
      <w:r w:rsidR="00C2159C" w:rsidRPr="003C05A8">
        <w:rPr>
          <w:i/>
          <w:iCs/>
        </w:rPr>
        <w:t>the First BP Nhleko transaction</w:t>
      </w:r>
      <w:r w:rsidR="00C2159C">
        <w:t>”</w:t>
      </w:r>
      <w:r w:rsidR="00C2159C" w:rsidRPr="00C00FED">
        <w:t xml:space="preserve">; </w:t>
      </w:r>
      <w:r w:rsidR="00C2159C">
        <w:t>“</w:t>
      </w:r>
      <w:r w:rsidR="00C2159C" w:rsidRPr="003C05A8">
        <w:rPr>
          <w:i/>
          <w:iCs/>
        </w:rPr>
        <w:t>the Second BP Nhleko transaction</w:t>
      </w:r>
      <w:r w:rsidR="00C2159C">
        <w:t>”</w:t>
      </w:r>
      <w:r w:rsidR="00C2159C" w:rsidRPr="00C00FED">
        <w:t xml:space="preserve">; and </w:t>
      </w:r>
      <w:r w:rsidR="00C2159C">
        <w:t>“</w:t>
      </w:r>
      <w:r w:rsidR="00C2159C" w:rsidRPr="003C05A8">
        <w:rPr>
          <w:i/>
          <w:iCs/>
        </w:rPr>
        <w:t>the Msobo transaction</w:t>
      </w:r>
      <w:r w:rsidR="00C2159C">
        <w:t>”.</w:t>
      </w:r>
      <w:r w:rsidR="00C90623">
        <w:rPr>
          <w:rStyle w:val="FootnoteReference"/>
        </w:rPr>
        <w:footnoteReference w:id="37"/>
      </w:r>
      <w:r w:rsidR="00C2159C">
        <w:t xml:space="preserve"> </w:t>
      </w:r>
    </w:p>
    <w:p w14:paraId="01AF9E38" w14:textId="0D629341" w:rsidR="00637ABD" w:rsidRDefault="007D2029" w:rsidP="007D2029">
      <w:pPr>
        <w:pStyle w:val="LC1"/>
        <w:numPr>
          <w:ilvl w:val="0"/>
          <w:numId w:val="0"/>
        </w:numPr>
        <w:ind w:left="720" w:hanging="720"/>
      </w:pPr>
      <w:r>
        <w:rPr>
          <w:rFonts w:cs="Arial"/>
          <w:szCs w:val="24"/>
        </w:rPr>
        <w:t>[47]</w:t>
      </w:r>
      <w:r>
        <w:rPr>
          <w:rFonts w:cs="Arial"/>
          <w:szCs w:val="24"/>
        </w:rPr>
        <w:tab/>
      </w:r>
      <w:r w:rsidR="00F62BEE">
        <w:t xml:space="preserve">However, I am of the view that the third respondent has </w:t>
      </w:r>
      <w:r w:rsidR="00637ABD">
        <w:t xml:space="preserve">by means of paragraph 63 of her answering affidavit </w:t>
      </w:r>
      <w:r w:rsidR="00F62BEE">
        <w:t>created more than merely “</w:t>
      </w:r>
      <w:r w:rsidR="00F62BEE" w:rsidRPr="00F62BEE">
        <w:rPr>
          <w:i/>
          <w:iCs/>
        </w:rPr>
        <w:t>some doubt</w:t>
      </w:r>
      <w:r w:rsidR="00F62BEE">
        <w:t xml:space="preserve">” in my mind regarding </w:t>
      </w:r>
      <w:r w:rsidR="00637ABD">
        <w:t>the ability of the applicant to show diversion of the “</w:t>
      </w:r>
      <w:r w:rsidR="00637ABD" w:rsidRPr="00C2159C">
        <w:rPr>
          <w:i/>
          <w:iCs/>
        </w:rPr>
        <w:t>first BP Nhleko transaction</w:t>
      </w:r>
      <w:r w:rsidR="00637ABD">
        <w:t>”, “</w:t>
      </w:r>
      <w:r w:rsidR="00637ABD" w:rsidRPr="00C2159C">
        <w:rPr>
          <w:i/>
          <w:iCs/>
        </w:rPr>
        <w:t>the Msobo transaction</w:t>
      </w:r>
      <w:r w:rsidR="00637ABD">
        <w:t>” and “</w:t>
      </w:r>
      <w:r w:rsidR="00637ABD" w:rsidRPr="00C2159C">
        <w:rPr>
          <w:i/>
          <w:iCs/>
        </w:rPr>
        <w:t>the Springlake Colliery transaction</w:t>
      </w:r>
      <w:r w:rsidR="00637ABD">
        <w:t xml:space="preserve">”. The applicant’s response </w:t>
      </w:r>
      <w:r w:rsidR="00C90623">
        <w:t xml:space="preserve">(in paragraph 24.4 of the replying affidavit) </w:t>
      </w:r>
      <w:r w:rsidR="00637ABD">
        <w:t xml:space="preserve">to her allegation that these </w:t>
      </w:r>
      <w:r w:rsidR="00C2159C">
        <w:t xml:space="preserve">engagements </w:t>
      </w:r>
      <w:r w:rsidR="00637ABD">
        <w:t xml:space="preserve">never </w:t>
      </w:r>
      <w:r w:rsidR="00C2159C">
        <w:t xml:space="preserve">proceeded </w:t>
      </w:r>
      <w:r w:rsidR="00637ABD">
        <w:t xml:space="preserve">beyond the stage of quotation is unconvincing: it does not </w:t>
      </w:r>
      <w:r w:rsidR="00C90623">
        <w:t xml:space="preserve">contain a </w:t>
      </w:r>
      <w:r w:rsidR="00637ABD">
        <w:t xml:space="preserve">pertinent </w:t>
      </w:r>
      <w:r w:rsidR="00C90623">
        <w:t>denial</w:t>
      </w:r>
      <w:r w:rsidR="00637ABD">
        <w:t xml:space="preserve">, and </w:t>
      </w:r>
      <w:r w:rsidR="00C2159C">
        <w:t xml:space="preserve">instead merely </w:t>
      </w:r>
      <w:r w:rsidR="00637ABD">
        <w:t xml:space="preserve">criticises </w:t>
      </w:r>
      <w:r w:rsidR="00C90623">
        <w:t xml:space="preserve">the third respondent </w:t>
      </w:r>
      <w:r w:rsidR="00637ABD">
        <w:t>for not attaching the quotations themselves</w:t>
      </w:r>
      <w:r w:rsidR="00C2159C">
        <w:t xml:space="preserve"> (</w:t>
      </w:r>
      <w:r w:rsidR="00637ABD">
        <w:t>which would be irrelevant either way</w:t>
      </w:r>
      <w:r w:rsidR="00C2159C">
        <w:t>)</w:t>
      </w:r>
      <w:r w:rsidR="00C90623">
        <w:t>.</w:t>
      </w:r>
      <w:r w:rsidR="00C2159C">
        <w:t xml:space="preserve"> </w:t>
      </w:r>
      <w:r w:rsidR="00C90623">
        <w:t xml:space="preserve">The applicant proceeds to </w:t>
      </w:r>
      <w:r w:rsidR="00C2159C">
        <w:t xml:space="preserve">draw an unsupportable </w:t>
      </w:r>
      <w:r w:rsidR="00C2159C">
        <w:lastRenderedPageBreak/>
        <w:t xml:space="preserve">inference that </w:t>
      </w:r>
      <w:r w:rsidR="00C90623">
        <w:t xml:space="preserve">the third respondent’s </w:t>
      </w:r>
      <w:r w:rsidR="00C2159C">
        <w:t xml:space="preserve">ability to deal with these matters in her affidavit </w:t>
      </w:r>
      <w:r w:rsidR="00C90623">
        <w:t xml:space="preserve">indicates </w:t>
      </w:r>
      <w:r w:rsidR="00C2159C">
        <w:t>that she had full knowledge of the fifth respondent</w:t>
      </w:r>
      <w:r w:rsidR="00C90623">
        <w:t>’</w:t>
      </w:r>
      <w:r w:rsidR="00C2159C">
        <w:t>s affairs at the relevant time, rather than having subsequently investigated the matters</w:t>
      </w:r>
      <w:r w:rsidR="00637ABD">
        <w:t>.</w:t>
      </w:r>
    </w:p>
    <w:p w14:paraId="706723F5" w14:textId="715CBA43" w:rsidR="00F62BEE" w:rsidRDefault="007D2029" w:rsidP="007D2029">
      <w:pPr>
        <w:pStyle w:val="LC1"/>
        <w:numPr>
          <w:ilvl w:val="0"/>
          <w:numId w:val="0"/>
        </w:numPr>
        <w:ind w:left="720" w:hanging="720"/>
      </w:pPr>
      <w:r>
        <w:rPr>
          <w:rFonts w:cs="Arial"/>
          <w:szCs w:val="24"/>
        </w:rPr>
        <w:t>[48]</w:t>
      </w:r>
      <w:r>
        <w:rPr>
          <w:rFonts w:cs="Arial"/>
          <w:szCs w:val="24"/>
        </w:rPr>
        <w:tab/>
      </w:r>
      <w:r w:rsidR="00637ABD">
        <w:t xml:space="preserve">In the circumstances, I am satisfied that the applicant has only succeeded at this stage in demonstrating that it has a reasonable chance of succeeding in implicating the third respondent in the </w:t>
      </w:r>
      <w:r w:rsidR="00B642F4">
        <w:t xml:space="preserve">diversion of the </w:t>
      </w:r>
      <w:r w:rsidR="00637ABD">
        <w:t>following transactions:</w:t>
      </w:r>
    </w:p>
    <w:p w14:paraId="0FCE7673" w14:textId="735DD261" w:rsidR="00637ABD" w:rsidRDefault="007D2029" w:rsidP="007D2029">
      <w:pPr>
        <w:pStyle w:val="LC2"/>
        <w:numPr>
          <w:ilvl w:val="0"/>
          <w:numId w:val="0"/>
        </w:numPr>
        <w:ind w:left="1701" w:hanging="993"/>
      </w:pPr>
      <w:r>
        <w:t>(a)</w:t>
      </w:r>
      <w:r>
        <w:tab/>
      </w:r>
      <w:r w:rsidR="00637ABD">
        <w:t>“</w:t>
      </w:r>
      <w:r w:rsidR="00637ABD" w:rsidRPr="003C05A8">
        <w:rPr>
          <w:i/>
          <w:iCs/>
        </w:rPr>
        <w:t xml:space="preserve">the </w:t>
      </w:r>
      <w:r w:rsidR="00637ABD">
        <w:rPr>
          <w:i/>
          <w:iCs/>
        </w:rPr>
        <w:t>F</w:t>
      </w:r>
      <w:r w:rsidR="00637ABD" w:rsidRPr="003C05A8">
        <w:rPr>
          <w:i/>
          <w:iCs/>
        </w:rPr>
        <w:t>irst Letitone transaction</w:t>
      </w:r>
      <w:r w:rsidR="00637ABD">
        <w:t>”;</w:t>
      </w:r>
      <w:r w:rsidR="00637ABD" w:rsidRPr="00C00FED">
        <w:t xml:space="preserve"> </w:t>
      </w:r>
    </w:p>
    <w:p w14:paraId="771C17AC" w14:textId="7AB45640" w:rsidR="00637ABD" w:rsidRDefault="007D2029" w:rsidP="007D2029">
      <w:pPr>
        <w:pStyle w:val="LC2"/>
        <w:numPr>
          <w:ilvl w:val="0"/>
          <w:numId w:val="0"/>
        </w:numPr>
        <w:ind w:left="1701" w:hanging="993"/>
      </w:pPr>
      <w:r>
        <w:t>(b)</w:t>
      </w:r>
      <w:r>
        <w:tab/>
      </w:r>
      <w:r w:rsidR="00637ABD">
        <w:t>“</w:t>
      </w:r>
      <w:r w:rsidR="00637ABD" w:rsidRPr="003C05A8">
        <w:rPr>
          <w:i/>
          <w:iCs/>
        </w:rPr>
        <w:t xml:space="preserve">the </w:t>
      </w:r>
      <w:r w:rsidR="00637ABD">
        <w:rPr>
          <w:i/>
          <w:iCs/>
        </w:rPr>
        <w:t>S</w:t>
      </w:r>
      <w:r w:rsidR="00637ABD" w:rsidRPr="003C05A8">
        <w:rPr>
          <w:i/>
          <w:iCs/>
        </w:rPr>
        <w:t>econd Letitone transaction</w:t>
      </w:r>
      <w:r w:rsidR="00637ABD">
        <w:t xml:space="preserve">” and </w:t>
      </w:r>
    </w:p>
    <w:p w14:paraId="3B6FAEBB" w14:textId="2FFF92ED" w:rsidR="00637ABD" w:rsidRDefault="007D2029" w:rsidP="007D2029">
      <w:pPr>
        <w:pStyle w:val="LC2"/>
        <w:numPr>
          <w:ilvl w:val="0"/>
          <w:numId w:val="0"/>
        </w:numPr>
        <w:ind w:left="1701" w:hanging="993"/>
      </w:pPr>
      <w:r>
        <w:t>(c)</w:t>
      </w:r>
      <w:r>
        <w:tab/>
      </w:r>
      <w:r w:rsidR="00637ABD">
        <w:t>“</w:t>
      </w:r>
      <w:r w:rsidR="00637ABD" w:rsidRPr="003C05A8">
        <w:rPr>
          <w:i/>
          <w:iCs/>
        </w:rPr>
        <w:t>the Second BP Nhleko transaction</w:t>
      </w:r>
      <w:r w:rsidR="00637ABD">
        <w:t>”.</w:t>
      </w:r>
    </w:p>
    <w:p w14:paraId="07342CF6" w14:textId="729A997F" w:rsidR="00637ABD" w:rsidRDefault="007D2029" w:rsidP="007D2029">
      <w:pPr>
        <w:pStyle w:val="LC1"/>
        <w:numPr>
          <w:ilvl w:val="0"/>
          <w:numId w:val="0"/>
        </w:numPr>
        <w:ind w:left="720" w:hanging="720"/>
      </w:pPr>
      <w:r>
        <w:rPr>
          <w:rFonts w:cs="Arial"/>
          <w:szCs w:val="24"/>
        </w:rPr>
        <w:t>[49]</w:t>
      </w:r>
      <w:r>
        <w:rPr>
          <w:rFonts w:cs="Arial"/>
          <w:szCs w:val="24"/>
        </w:rPr>
        <w:tab/>
      </w:r>
      <w:r w:rsidR="00637ABD">
        <w:t xml:space="preserve">Finally, while I am satisfied that the applicant’s </w:t>
      </w:r>
      <w:r w:rsidR="00C2159C">
        <w:t xml:space="preserve">lost gross profit (as opposed to the </w:t>
      </w:r>
      <w:r w:rsidR="008774EE">
        <w:t xml:space="preserve">fifth </w:t>
      </w:r>
      <w:r w:rsidR="00C2159C">
        <w:t>respondent’s gross profit) is an appropriate measure of damages, and that the total lost profit in relation to these transactions is approximately R380,000</w:t>
      </w:r>
      <w:r w:rsidR="00ED44C6">
        <w:t xml:space="preserve"> (</w:t>
      </w:r>
      <w:r w:rsidR="00C2159C">
        <w:t xml:space="preserve">which is </w:t>
      </w:r>
      <w:r w:rsidR="00ED44C6">
        <w:t xml:space="preserve">coincidentally </w:t>
      </w:r>
      <w:r w:rsidR="00C2159C">
        <w:t xml:space="preserve">comparable to the </w:t>
      </w:r>
      <w:r w:rsidR="008774EE">
        <w:t xml:space="preserve">current </w:t>
      </w:r>
      <w:r w:rsidR="00C2159C">
        <w:t>value of the third respondent’s pension benefit</w:t>
      </w:r>
      <w:r w:rsidR="00ED44C6">
        <w:t>)</w:t>
      </w:r>
      <w:r w:rsidR="00C2159C">
        <w:t>, I consider it extremely unlikely that the third respondent will be held liable for 100% of the plaintiff’s damages arising fr</w:t>
      </w:r>
      <w:r w:rsidR="00402B75">
        <w:t>o</w:t>
      </w:r>
      <w:r w:rsidR="00C2159C">
        <w:t xml:space="preserve">m the </w:t>
      </w:r>
      <w:r w:rsidR="0019200F">
        <w:t xml:space="preserve">diversion </w:t>
      </w:r>
      <w:r w:rsidR="00C2159C">
        <w:t xml:space="preserve">of these corporate opportunities.  </w:t>
      </w:r>
    </w:p>
    <w:p w14:paraId="78C0E69A" w14:textId="48BC15BC" w:rsidR="00C14E1C" w:rsidRDefault="007D2029" w:rsidP="007D2029">
      <w:pPr>
        <w:pStyle w:val="LC1"/>
        <w:numPr>
          <w:ilvl w:val="0"/>
          <w:numId w:val="0"/>
        </w:numPr>
        <w:ind w:left="720" w:hanging="720"/>
      </w:pPr>
      <w:r>
        <w:rPr>
          <w:rFonts w:cs="Arial"/>
          <w:szCs w:val="24"/>
        </w:rPr>
        <w:t>[50]</w:t>
      </w:r>
      <w:r>
        <w:rPr>
          <w:rFonts w:cs="Arial"/>
          <w:szCs w:val="24"/>
        </w:rPr>
        <w:tab/>
      </w:r>
      <w:r w:rsidR="00C14E1C">
        <w:t xml:space="preserve">As </w:t>
      </w:r>
      <w:r w:rsidR="0019200F">
        <w:t xml:space="preserve">I have </w:t>
      </w:r>
      <w:r w:rsidR="00C14E1C">
        <w:t>noted above</w:t>
      </w:r>
      <w:r w:rsidR="0019200F">
        <w:t>,</w:t>
      </w:r>
      <w:r w:rsidR="00C14E1C">
        <w:t xml:space="preserve"> the third respondent is cited in the action as a joint wrongdoer together with the fourth and fifth respondents. </w:t>
      </w:r>
      <w:r w:rsidR="0019200F">
        <w:t xml:space="preserve">Under </w:t>
      </w:r>
      <w:r w:rsidR="00C14E1C">
        <w:t xml:space="preserve">section 2(8)(a)(ii) of the Apportionment of Damages Act, 34 of 1956, the </w:t>
      </w:r>
      <w:r w:rsidR="00C14E1C" w:rsidRPr="002B1C10">
        <w:t xml:space="preserve">Court may apportion the damages awarded against </w:t>
      </w:r>
      <w:r w:rsidR="00C14E1C">
        <w:t>them in “</w:t>
      </w:r>
      <w:r w:rsidR="00C14E1C" w:rsidRPr="002B1C10">
        <w:rPr>
          <w:i/>
          <w:iCs/>
        </w:rPr>
        <w:t xml:space="preserve">such proportions as the court may deem just and equitable having regard to the degree in which each </w:t>
      </w:r>
      <w:r w:rsidR="00C14E1C">
        <w:rPr>
          <w:i/>
          <w:iCs/>
        </w:rPr>
        <w:t xml:space="preserve">joint wrongdoer </w:t>
      </w:r>
      <w:r w:rsidR="00C14E1C" w:rsidRPr="002B1C10">
        <w:rPr>
          <w:i/>
          <w:iCs/>
        </w:rPr>
        <w:t>was at fault in relation to the damage suffered by the plaintiff</w:t>
      </w:r>
      <w:r w:rsidR="00C14E1C">
        <w:t xml:space="preserve">”, </w:t>
      </w:r>
      <w:r w:rsidR="00C14E1C" w:rsidRPr="002B1C10">
        <w:t xml:space="preserve">and give judgment separately against each </w:t>
      </w:r>
      <w:r w:rsidR="00C14E1C">
        <w:t xml:space="preserve">of them </w:t>
      </w:r>
      <w:r w:rsidR="00C14E1C" w:rsidRPr="002B1C10">
        <w:t>for the amount so apportioned.</w:t>
      </w:r>
    </w:p>
    <w:p w14:paraId="669F2CC0" w14:textId="5BB84F03" w:rsidR="008774EE" w:rsidRDefault="007D2029" w:rsidP="007D2029">
      <w:pPr>
        <w:pStyle w:val="LC1"/>
        <w:numPr>
          <w:ilvl w:val="0"/>
          <w:numId w:val="0"/>
        </w:numPr>
        <w:ind w:left="720" w:hanging="720"/>
      </w:pPr>
      <w:r>
        <w:rPr>
          <w:rFonts w:cs="Arial"/>
          <w:szCs w:val="24"/>
        </w:rPr>
        <w:t>[51]</w:t>
      </w:r>
      <w:r>
        <w:rPr>
          <w:rFonts w:cs="Arial"/>
          <w:szCs w:val="24"/>
        </w:rPr>
        <w:tab/>
      </w:r>
      <w:r w:rsidR="008774EE">
        <w:t>Taking into account all of the evidence mar</w:t>
      </w:r>
      <w:r w:rsidR="00B642F4">
        <w:t>sh</w:t>
      </w:r>
      <w:r w:rsidR="008774EE">
        <w:t xml:space="preserve">alled by the applicant, I am of the view that the applicant only has a reasonable chance of establishing </w:t>
      </w:r>
      <w:r w:rsidR="008774EE">
        <w:lastRenderedPageBreak/>
        <w:t xml:space="preserve">that the third respondent was involved in </w:t>
      </w:r>
      <w:r w:rsidR="00E36561">
        <w:t xml:space="preserve">dishonestly </w:t>
      </w:r>
      <w:r w:rsidR="008774EE">
        <w:t>assisting the fourth and fifth respondent to a very limited extent</w:t>
      </w:r>
      <w:r w:rsidR="00E36561">
        <w:t xml:space="preserve">. Although it is undoubtedly dishonest conduct when viewed in context, the </w:t>
      </w:r>
      <w:r w:rsidR="00E36561" w:rsidRPr="00E36561">
        <w:t>p</w:t>
      </w:r>
      <w:r w:rsidR="00E36561" w:rsidRPr="00E36561">
        <w:rPr>
          <w:rFonts w:eastAsia="Cambria"/>
        </w:rPr>
        <w:t xml:space="preserve">rocessing and submitting invoices and following up with customers regarding payments and other matters relating to </w:t>
      </w:r>
      <w:r w:rsidR="003C0ADF">
        <w:rPr>
          <w:rFonts w:eastAsia="Cambria"/>
        </w:rPr>
        <w:t xml:space="preserve">the fifth respondent’s </w:t>
      </w:r>
      <w:r w:rsidR="00E36561" w:rsidRPr="00E36561">
        <w:rPr>
          <w:rFonts w:eastAsia="Cambria"/>
        </w:rPr>
        <w:t xml:space="preserve">business can hardly be described as being the </w:t>
      </w:r>
      <w:r w:rsidR="003C0ADF">
        <w:rPr>
          <w:rFonts w:eastAsia="Cambria"/>
        </w:rPr>
        <w:t xml:space="preserve">key </w:t>
      </w:r>
      <w:r w:rsidR="00E36561" w:rsidRPr="00E36561">
        <w:rPr>
          <w:rFonts w:eastAsia="Cambria"/>
        </w:rPr>
        <w:t>activities involved in diverting corporate transactions</w:t>
      </w:r>
      <w:r w:rsidR="003C0ADF">
        <w:rPr>
          <w:rFonts w:eastAsia="Cambria"/>
        </w:rPr>
        <w:t xml:space="preserve"> to it</w:t>
      </w:r>
      <w:r w:rsidR="00E36561" w:rsidRPr="00E36561">
        <w:rPr>
          <w:rFonts w:eastAsia="Cambria"/>
        </w:rPr>
        <w:t>.</w:t>
      </w:r>
      <w:r w:rsidR="00E36561">
        <w:rPr>
          <w:rFonts w:eastAsia="Cambria"/>
        </w:rPr>
        <w:t xml:space="preserve"> </w:t>
      </w:r>
      <w:r w:rsidR="00E36561">
        <w:t xml:space="preserve">In my view, </w:t>
      </w:r>
      <w:r w:rsidR="008774EE">
        <w:t xml:space="preserve">any apportionment </w:t>
      </w:r>
      <w:r w:rsidR="00E36561">
        <w:t xml:space="preserve">of damages based on the third respondent’s degree of fault would be very </w:t>
      </w:r>
      <w:r w:rsidR="008774EE">
        <w:t xml:space="preserve">unlikely to exceed 20% of the damages suffered by the applicant flowing from the </w:t>
      </w:r>
      <w:r w:rsidR="003C0ADF">
        <w:t xml:space="preserve">three </w:t>
      </w:r>
      <w:r w:rsidR="008774EE">
        <w:t xml:space="preserve">diverted transactions in which </w:t>
      </w:r>
      <w:r w:rsidR="003C0ADF">
        <w:t xml:space="preserve">she </w:t>
      </w:r>
      <w:r w:rsidR="008774EE">
        <w:t xml:space="preserve">has been implicated. </w:t>
      </w:r>
    </w:p>
    <w:p w14:paraId="39A052FA" w14:textId="19729484" w:rsidR="00E36561" w:rsidRDefault="007D2029" w:rsidP="007D2029">
      <w:pPr>
        <w:pStyle w:val="LC1"/>
        <w:numPr>
          <w:ilvl w:val="0"/>
          <w:numId w:val="0"/>
        </w:numPr>
        <w:ind w:left="720" w:hanging="720"/>
      </w:pPr>
      <w:r>
        <w:rPr>
          <w:rFonts w:cs="Arial"/>
          <w:szCs w:val="24"/>
        </w:rPr>
        <w:t>[52]</w:t>
      </w:r>
      <w:r>
        <w:rPr>
          <w:rFonts w:cs="Arial"/>
          <w:szCs w:val="24"/>
        </w:rPr>
        <w:tab/>
      </w:r>
      <w:r w:rsidR="003C0ADF">
        <w:t>T</w:t>
      </w:r>
      <w:r w:rsidR="00E36561">
        <w:t xml:space="preserve">he third respondent’s contentions in relation to the withholding of her salary and deduction of tax are irrelevant. To the extent that she is correct that the applicant’s failure to pay these amounts is unlawful, nothing prevents her from claiming payment thereof. There is no basis to simply </w:t>
      </w:r>
      <w:r w:rsidR="00ED44C6">
        <w:t>‘</w:t>
      </w:r>
      <w:r w:rsidR="00E36561">
        <w:t>set them off</w:t>
      </w:r>
      <w:r w:rsidR="00ED44C6">
        <w:t>’</w:t>
      </w:r>
      <w:r w:rsidR="00E36561">
        <w:t xml:space="preserve"> against the amount to be withheld. </w:t>
      </w:r>
      <w:r w:rsidR="0037048E">
        <w:t xml:space="preserve">In addition, I am not persuaded that the fact that the applicant has persuaded the pension fund to withhold </w:t>
      </w:r>
      <w:r w:rsidR="00ED44C6">
        <w:t xml:space="preserve">the fourth respondent’s </w:t>
      </w:r>
      <w:r w:rsidR="0037048E">
        <w:t xml:space="preserve">pension benefit is of any assistance to the third respondent – even on the reduced basis set out above, the amount is unlikely to be insufficient to meet </w:t>
      </w:r>
      <w:r w:rsidR="00ED44C6">
        <w:t xml:space="preserve">his </w:t>
      </w:r>
      <w:r w:rsidR="0037048E">
        <w:t xml:space="preserve">liability. </w:t>
      </w:r>
      <w:r w:rsidR="00E36561">
        <w:t xml:space="preserve">Lastly, </w:t>
      </w:r>
      <w:r w:rsidR="00C702B9">
        <w:t xml:space="preserve">neither of the parties advanced </w:t>
      </w:r>
      <w:r w:rsidR="00E36561">
        <w:t xml:space="preserve">any basis </w:t>
      </w:r>
      <w:r w:rsidR="00C702B9">
        <w:t xml:space="preserve">upon which I am able to decide one way or the other whether </w:t>
      </w:r>
      <w:r w:rsidR="00E36561">
        <w:t xml:space="preserve">the third respondent’s argument regarding preferential treatment of creditors upon insolvency </w:t>
      </w:r>
      <w:r w:rsidR="00C702B9">
        <w:t xml:space="preserve">has any merit. This is a matter that must await further careful examination in </w:t>
      </w:r>
      <w:r w:rsidR="003C0ADF">
        <w:t>another case</w:t>
      </w:r>
      <w:r w:rsidR="00C702B9">
        <w:t>.</w:t>
      </w:r>
      <w:r w:rsidR="00E36561">
        <w:t xml:space="preserve"> </w:t>
      </w:r>
    </w:p>
    <w:p w14:paraId="75074AE4" w14:textId="299D7A89" w:rsidR="00C702B9" w:rsidRDefault="007D2029" w:rsidP="007D2029">
      <w:pPr>
        <w:pStyle w:val="LC1"/>
        <w:numPr>
          <w:ilvl w:val="0"/>
          <w:numId w:val="0"/>
        </w:numPr>
        <w:ind w:left="720" w:hanging="720"/>
      </w:pPr>
      <w:r>
        <w:rPr>
          <w:rFonts w:cs="Arial"/>
          <w:szCs w:val="24"/>
        </w:rPr>
        <w:t>[53]</w:t>
      </w:r>
      <w:r>
        <w:rPr>
          <w:rFonts w:cs="Arial"/>
          <w:szCs w:val="24"/>
        </w:rPr>
        <w:tab/>
      </w:r>
      <w:r w:rsidR="00C702B9">
        <w:t>Finally, the third respondent did not suggest, and I see no basis to find that the applicant failed to commence its action within a reasonable time or that it is not pursuing it with alacrity</w:t>
      </w:r>
      <w:r w:rsidR="00C702B9">
        <w:rPr>
          <w:rStyle w:val="FootnoteReference"/>
        </w:rPr>
        <w:footnoteReference w:id="38"/>
      </w:r>
      <w:r w:rsidR="00C702B9">
        <w:t xml:space="preserve"> </w:t>
      </w:r>
      <w:r w:rsidR="003C0ADF">
        <w:t xml:space="preserve"> – to </w:t>
      </w:r>
      <w:r w:rsidR="00C702B9">
        <w:t xml:space="preserve">the contrary, it appears that it is the respondents that are currently delaying its final determination, by delivery </w:t>
      </w:r>
      <w:r w:rsidR="00C702B9">
        <w:lastRenderedPageBreak/>
        <w:t>of successive exceptions.</w:t>
      </w:r>
    </w:p>
    <w:p w14:paraId="4A45F47B" w14:textId="3E85BED1" w:rsidR="00C14E1C" w:rsidRDefault="007D2029" w:rsidP="007D2029">
      <w:pPr>
        <w:pStyle w:val="LC1"/>
        <w:numPr>
          <w:ilvl w:val="0"/>
          <w:numId w:val="0"/>
        </w:numPr>
        <w:ind w:left="720" w:hanging="720"/>
      </w:pPr>
      <w:r>
        <w:rPr>
          <w:rFonts w:cs="Arial"/>
          <w:szCs w:val="24"/>
        </w:rPr>
        <w:t>[54]</w:t>
      </w:r>
      <w:r>
        <w:rPr>
          <w:rFonts w:cs="Arial"/>
          <w:szCs w:val="24"/>
        </w:rPr>
        <w:tab/>
      </w:r>
      <w:r w:rsidR="008774EE">
        <w:t xml:space="preserve">I therefore conclude that the applicant has established the required </w:t>
      </w:r>
      <w:r w:rsidR="008774EE" w:rsidRPr="008774EE">
        <w:rPr>
          <w:i/>
          <w:iCs/>
        </w:rPr>
        <w:t>prima facie</w:t>
      </w:r>
      <w:r w:rsidR="008774EE">
        <w:t xml:space="preserve"> right in the sum of R76,000 (being 20% of R380,000)</w:t>
      </w:r>
      <w:r w:rsidR="00E36561">
        <w:t>.</w:t>
      </w:r>
    </w:p>
    <w:p w14:paraId="6935549D" w14:textId="726862FA" w:rsidR="00DF4968" w:rsidRPr="002E4D1D" w:rsidRDefault="000B2F64" w:rsidP="00606C93">
      <w:pPr>
        <w:pStyle w:val="LC1"/>
        <w:numPr>
          <w:ilvl w:val="0"/>
          <w:numId w:val="0"/>
        </w:numPr>
        <w:rPr>
          <w:u w:val="single"/>
          <w:lang w:eastAsia="en-ZA"/>
        </w:rPr>
      </w:pPr>
      <w:r>
        <w:rPr>
          <w:u w:val="single"/>
          <w:lang w:eastAsia="en-ZA"/>
        </w:rPr>
        <w:t>Balance of convenience</w:t>
      </w:r>
      <w:r w:rsidR="002C06F6">
        <w:rPr>
          <w:u w:val="single"/>
          <w:lang w:eastAsia="en-ZA"/>
        </w:rPr>
        <w:t xml:space="preserve"> (prejudice to the respondent)</w:t>
      </w:r>
    </w:p>
    <w:p w14:paraId="640440F9" w14:textId="6F8AE525" w:rsidR="002C06F6" w:rsidRDefault="007D2029" w:rsidP="007D2029">
      <w:pPr>
        <w:pStyle w:val="LC1"/>
        <w:numPr>
          <w:ilvl w:val="0"/>
          <w:numId w:val="0"/>
        </w:numPr>
        <w:ind w:left="720" w:hanging="720"/>
      </w:pPr>
      <w:r>
        <w:rPr>
          <w:rFonts w:cs="Arial"/>
          <w:szCs w:val="24"/>
        </w:rPr>
        <w:t>[55]</w:t>
      </w:r>
      <w:r>
        <w:rPr>
          <w:rFonts w:cs="Arial"/>
          <w:szCs w:val="24"/>
        </w:rPr>
        <w:tab/>
      </w:r>
      <w:r w:rsidR="002C06F6">
        <w:t xml:space="preserve">In </w:t>
      </w:r>
      <w:r w:rsidR="00C702B9">
        <w:t xml:space="preserve">my view, while it will no doubt be </w:t>
      </w:r>
      <w:r w:rsidR="002C06F6">
        <w:t>prejudic</w:t>
      </w:r>
      <w:r w:rsidR="00C702B9">
        <w:t xml:space="preserve">ial to </w:t>
      </w:r>
      <w:r w:rsidR="002C06F6">
        <w:t xml:space="preserve">the respondent not </w:t>
      </w:r>
      <w:r w:rsidR="00C702B9">
        <w:t>to have immediate access to the portion of her pension benefit that is to be withheld, the funds remain preserved</w:t>
      </w:r>
      <w:r w:rsidR="003C0ADF">
        <w:t xml:space="preserve"> and </w:t>
      </w:r>
      <w:r w:rsidR="00ED44C6">
        <w:t xml:space="preserve">continues to </w:t>
      </w:r>
      <w:r w:rsidR="003C0ADF">
        <w:t>earn returns that will accrue to her in the event that they are not paid over to the applicant pursuant to an award of damages</w:t>
      </w:r>
      <w:r w:rsidR="00C702B9">
        <w:t xml:space="preserve">. </w:t>
      </w:r>
    </w:p>
    <w:p w14:paraId="192EBF4B" w14:textId="17684350" w:rsidR="00DF4968" w:rsidRPr="002E4D1D" w:rsidRDefault="00C702B9" w:rsidP="00606C93">
      <w:pPr>
        <w:pStyle w:val="LC1"/>
        <w:numPr>
          <w:ilvl w:val="0"/>
          <w:numId w:val="0"/>
        </w:numPr>
        <w:rPr>
          <w:u w:val="single"/>
        </w:rPr>
      </w:pPr>
      <w:r>
        <w:rPr>
          <w:u w:val="single"/>
        </w:rPr>
        <w:t xml:space="preserve">Costs and </w:t>
      </w:r>
      <w:r w:rsidR="002457BF">
        <w:rPr>
          <w:u w:val="single"/>
        </w:rPr>
        <w:t>order</w:t>
      </w:r>
    </w:p>
    <w:p w14:paraId="3F06487C" w14:textId="2E6EE66E" w:rsidR="002457BF" w:rsidRDefault="007D2029" w:rsidP="007D2029">
      <w:pPr>
        <w:pStyle w:val="LC1"/>
        <w:numPr>
          <w:ilvl w:val="0"/>
          <w:numId w:val="0"/>
        </w:numPr>
        <w:ind w:left="720" w:hanging="720"/>
      </w:pPr>
      <w:r>
        <w:rPr>
          <w:rFonts w:cs="Arial"/>
          <w:szCs w:val="24"/>
        </w:rPr>
        <w:t>[56]</w:t>
      </w:r>
      <w:r>
        <w:rPr>
          <w:rFonts w:cs="Arial"/>
          <w:szCs w:val="24"/>
        </w:rPr>
        <w:tab/>
      </w:r>
      <w:r w:rsidR="003C0ADF">
        <w:t>W</w:t>
      </w:r>
      <w:r w:rsidR="00C702B9">
        <w:t xml:space="preserve">hile the applicant has technically succeeded in obtaining the relief that it seeks, the amount that it sought to have restrained has been dramatically decreased. </w:t>
      </w:r>
      <w:r w:rsidR="002457BF">
        <w:t>Although I have found that the pension fund’s approach to the applicant’s request was unreasonable, there is no suggestion that the applicant ever indicated that it might be satisfied with a lesser amount. I therefore see no reason to mulct the pension fund in costs, especially since it did not oppose the current application.</w:t>
      </w:r>
    </w:p>
    <w:p w14:paraId="3D832153" w14:textId="2939EE12" w:rsidR="00C702B9" w:rsidRDefault="007D2029" w:rsidP="007D2029">
      <w:pPr>
        <w:pStyle w:val="LC1"/>
        <w:numPr>
          <w:ilvl w:val="0"/>
          <w:numId w:val="0"/>
        </w:numPr>
        <w:ind w:left="720" w:hanging="720"/>
      </w:pPr>
      <w:r>
        <w:rPr>
          <w:rFonts w:cs="Arial"/>
          <w:szCs w:val="24"/>
        </w:rPr>
        <w:t>[57]</w:t>
      </w:r>
      <w:r>
        <w:rPr>
          <w:rFonts w:cs="Arial"/>
          <w:szCs w:val="24"/>
        </w:rPr>
        <w:tab/>
      </w:r>
      <w:r w:rsidR="002457BF">
        <w:t>I</w:t>
      </w:r>
      <w:r w:rsidR="00C702B9">
        <w:t xml:space="preserve">t seems to me that it will not be possible to tell </w:t>
      </w:r>
      <w:r w:rsidR="002457BF">
        <w:t xml:space="preserve">whether it is the applicant or the third respondent that </w:t>
      </w:r>
      <w:r w:rsidR="00C702B9">
        <w:t xml:space="preserve">has achieved substantial success in this application until such time as the quantum of </w:t>
      </w:r>
      <w:r w:rsidR="003C0ADF">
        <w:t xml:space="preserve">any </w:t>
      </w:r>
      <w:r w:rsidR="00C702B9">
        <w:t>damages awarded against the third respondent</w:t>
      </w:r>
      <w:r w:rsidR="00EA52C5">
        <w:t>, if any,</w:t>
      </w:r>
      <w:r w:rsidR="00C702B9">
        <w:t xml:space="preserve"> is finally determined. </w:t>
      </w:r>
      <w:r w:rsidR="002457BF">
        <w:t xml:space="preserve">In my view, the </w:t>
      </w:r>
      <w:r w:rsidR="00C702B9">
        <w:t xml:space="preserve">most appropriate order </w:t>
      </w:r>
      <w:r w:rsidR="002457BF">
        <w:t xml:space="preserve">regarding the costs of this application is that they should be reserved for determination by the trial court, which will have a better view of the matter. </w:t>
      </w:r>
    </w:p>
    <w:p w14:paraId="1E7DB3B9" w14:textId="2135D505" w:rsidR="00C206D6" w:rsidRDefault="007D2029" w:rsidP="007D2029">
      <w:pPr>
        <w:pStyle w:val="LC1"/>
        <w:numPr>
          <w:ilvl w:val="0"/>
          <w:numId w:val="0"/>
        </w:numPr>
        <w:ind w:left="720" w:hanging="720"/>
      </w:pPr>
      <w:r>
        <w:rPr>
          <w:rFonts w:cs="Arial"/>
          <w:szCs w:val="24"/>
        </w:rPr>
        <w:t>[58]</w:t>
      </w:r>
      <w:r>
        <w:rPr>
          <w:rFonts w:cs="Arial"/>
          <w:szCs w:val="24"/>
        </w:rPr>
        <w:tab/>
      </w:r>
      <w:r w:rsidR="00DF4968">
        <w:t>I make the following order:</w:t>
      </w:r>
    </w:p>
    <w:p w14:paraId="73D391ED" w14:textId="58D291F2" w:rsidR="00C206D6" w:rsidRPr="00C206D6" w:rsidRDefault="007D2029" w:rsidP="007D2029">
      <w:pPr>
        <w:pStyle w:val="LCOrder"/>
        <w:numPr>
          <w:ilvl w:val="0"/>
          <w:numId w:val="0"/>
        </w:numPr>
        <w:ind w:left="1418" w:hanging="709"/>
      </w:pPr>
      <w:r w:rsidRPr="00C206D6">
        <w:t>1.</w:t>
      </w:r>
      <w:r w:rsidRPr="00C206D6">
        <w:tab/>
      </w:r>
      <w:r w:rsidR="00C206D6" w:rsidRPr="00C206D6">
        <w:t xml:space="preserve">The application is enrolled as an urgent application under the provisions of Uniform Rule 6(12) and the applicant's non-compliance with the rules of court relating to time periods and </w:t>
      </w:r>
      <w:r w:rsidR="00C206D6" w:rsidRPr="00C206D6">
        <w:lastRenderedPageBreak/>
        <w:t>manner of service is condoned.</w:t>
      </w:r>
    </w:p>
    <w:p w14:paraId="479F0840" w14:textId="2931067C" w:rsidR="00DF4968" w:rsidRDefault="007D2029" w:rsidP="007D2029">
      <w:pPr>
        <w:pStyle w:val="LCOrder"/>
        <w:numPr>
          <w:ilvl w:val="0"/>
          <w:numId w:val="0"/>
        </w:numPr>
        <w:ind w:left="1418" w:hanging="709"/>
      </w:pPr>
      <w:r>
        <w:t>2.</w:t>
      </w:r>
      <w:r>
        <w:tab/>
      </w:r>
      <w:r w:rsidR="002457BF">
        <w:t>Pending the final determination of the action instituted by the applicant against the second, third and fourth respondents under case number 22/14643, the first respondent is interdicted and restrained from paying out the sum of R76,000</w:t>
      </w:r>
      <w:r w:rsidR="00EA52C5">
        <w:t>,</w:t>
      </w:r>
      <w:r w:rsidR="002457BF">
        <w:t xml:space="preserve"> comprising a portion of the pension benefit held by the first respondent and standing to the credit of the third respondent.</w:t>
      </w:r>
    </w:p>
    <w:p w14:paraId="4848A68E" w14:textId="6A1E585E" w:rsidR="002457BF" w:rsidRDefault="007D2029" w:rsidP="007D2029">
      <w:pPr>
        <w:pStyle w:val="LCOrder"/>
        <w:numPr>
          <w:ilvl w:val="0"/>
          <w:numId w:val="0"/>
        </w:numPr>
        <w:ind w:left="1418" w:hanging="709"/>
      </w:pPr>
      <w:r>
        <w:t>3.</w:t>
      </w:r>
      <w:r>
        <w:tab/>
      </w:r>
      <w:r w:rsidR="002457BF">
        <w:t xml:space="preserve">The costs of this application are reserved for determination in the action under case number 22/14643. </w:t>
      </w:r>
    </w:p>
    <w:p w14:paraId="688838F7" w14:textId="67188963" w:rsidR="00D202C2" w:rsidRDefault="00D202C2" w:rsidP="00665B87">
      <w:pPr>
        <w:spacing w:before="240" w:after="120" w:line="360" w:lineRule="auto"/>
        <w:rPr>
          <w:rFonts w:ascii="Arial" w:hAnsi="Arial" w:cs="Arial"/>
          <w:sz w:val="24"/>
          <w:szCs w:val="24"/>
        </w:rPr>
      </w:pPr>
    </w:p>
    <w:p w14:paraId="7C116C77" w14:textId="77777777" w:rsidR="004D2E17" w:rsidRDefault="004D2E17" w:rsidP="00001F4A">
      <w:pPr>
        <w:spacing w:after="120" w:line="360" w:lineRule="auto"/>
        <w:jc w:val="left"/>
        <w:rPr>
          <w:rFonts w:ascii="Arial" w:hAnsi="Arial" w:cs="Arial"/>
          <w:sz w:val="24"/>
          <w:szCs w:val="24"/>
          <w:u w:val="single"/>
        </w:rPr>
      </w:pPr>
    </w:p>
    <w:p w14:paraId="52ACCD6E" w14:textId="75273461" w:rsidR="00D202C2" w:rsidRPr="00671349" w:rsidRDefault="00B928FE" w:rsidP="00DF4968">
      <w:pPr>
        <w:keepNext/>
        <w:spacing w:after="120" w:line="360" w:lineRule="auto"/>
        <w:jc w:val="lef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40F9B622" w:rsidR="00D202C2" w:rsidRPr="00671349" w:rsidRDefault="001A42D3" w:rsidP="00DF4968">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RJ </w:t>
      </w:r>
      <w:r w:rsidR="003C4F1C" w:rsidRPr="00671349">
        <w:rPr>
          <w:rFonts w:ascii="Arial" w:hAnsi="Arial" w:cs="Arial"/>
          <w:sz w:val="24"/>
          <w:szCs w:val="24"/>
        </w:rPr>
        <w:t>Moultrie</w:t>
      </w:r>
      <w:r w:rsidR="00D202C2" w:rsidRPr="00671349">
        <w:rPr>
          <w:rFonts w:ascii="Arial" w:hAnsi="Arial" w:cs="Arial"/>
          <w:sz w:val="24"/>
          <w:szCs w:val="24"/>
        </w:rPr>
        <w:t xml:space="preserve"> AJ</w:t>
      </w:r>
    </w:p>
    <w:p w14:paraId="40911379" w14:textId="77777777" w:rsidR="00D202C2" w:rsidRPr="00671349" w:rsidRDefault="00D202C2" w:rsidP="00DF4968">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54BA15B5" w:rsidR="007D51E5" w:rsidRPr="00671349" w:rsidRDefault="007D51E5"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sidR="00001F4A">
        <w:rPr>
          <w:rFonts w:ascii="Arial" w:hAnsi="Arial" w:cs="Arial"/>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38FCBFB2" w14:textId="3D87352B" w:rsidR="00001F4A" w:rsidRPr="00001F4A" w:rsidRDefault="00001F4A" w:rsidP="00DF4968">
      <w:pPr>
        <w:keepNext/>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sidR="00687468">
        <w:rPr>
          <w:rFonts w:ascii="Arial" w:hAnsi="Arial" w:cs="Arial"/>
          <w:sz w:val="24"/>
          <w:szCs w:val="24"/>
        </w:rPr>
        <w:t>31 January</w:t>
      </w:r>
      <w:r w:rsidR="00153692">
        <w:rPr>
          <w:rFonts w:ascii="Arial" w:hAnsi="Arial" w:cs="Arial"/>
          <w:sz w:val="24"/>
          <w:szCs w:val="24"/>
        </w:rPr>
        <w:t xml:space="preserve"> </w:t>
      </w:r>
      <w:r w:rsidR="00885647">
        <w:rPr>
          <w:rFonts w:ascii="Arial" w:hAnsi="Arial" w:cs="Arial"/>
          <w:sz w:val="24"/>
          <w:szCs w:val="24"/>
        </w:rPr>
        <w:t>2</w:t>
      </w:r>
      <w:r>
        <w:rPr>
          <w:rFonts w:ascii="Arial" w:hAnsi="Arial" w:cs="Arial"/>
          <w:sz w:val="24"/>
          <w:szCs w:val="24"/>
        </w:rPr>
        <w:t>02</w:t>
      </w:r>
      <w:r w:rsidR="00D33D7C">
        <w:rPr>
          <w:rFonts w:ascii="Arial" w:hAnsi="Arial" w:cs="Arial"/>
          <w:sz w:val="24"/>
          <w:szCs w:val="24"/>
        </w:rPr>
        <w:t>3</w:t>
      </w:r>
    </w:p>
    <w:p w14:paraId="5352ECA6" w14:textId="2FF45EEF" w:rsidR="00001F4A" w:rsidRPr="00001F4A" w:rsidRDefault="00001F4A" w:rsidP="00001F4A">
      <w:pPr>
        <w:spacing w:after="120" w:line="360" w:lineRule="auto"/>
        <w:jc w:val="left"/>
        <w:rPr>
          <w:rFonts w:ascii="Arial" w:hAnsi="Arial" w:cs="Arial"/>
          <w:sz w:val="24"/>
          <w:szCs w:val="24"/>
        </w:rPr>
      </w:pPr>
      <w:r w:rsidRPr="00001F4A">
        <w:rPr>
          <w:rFonts w:ascii="Arial" w:hAnsi="Arial" w:cs="Arial"/>
          <w:sz w:val="24"/>
          <w:szCs w:val="24"/>
        </w:rPr>
        <w:t>JUDGMENT DELIVERED:</w:t>
      </w:r>
      <w:r w:rsidRPr="00001F4A">
        <w:rPr>
          <w:rFonts w:ascii="Arial" w:hAnsi="Arial" w:cs="Arial"/>
          <w:sz w:val="24"/>
          <w:szCs w:val="24"/>
        </w:rPr>
        <w:tab/>
      </w:r>
      <w:r w:rsidRPr="00001F4A">
        <w:rPr>
          <w:rFonts w:ascii="Arial" w:hAnsi="Arial" w:cs="Arial"/>
          <w:sz w:val="24"/>
          <w:szCs w:val="24"/>
        </w:rPr>
        <w:tab/>
      </w:r>
      <w:r w:rsidR="00DB3F42">
        <w:rPr>
          <w:rFonts w:ascii="Arial" w:hAnsi="Arial" w:cs="Arial"/>
          <w:sz w:val="24"/>
          <w:szCs w:val="24"/>
        </w:rPr>
        <w:t>6</w:t>
      </w:r>
      <w:r w:rsidR="00DF4968">
        <w:rPr>
          <w:rFonts w:ascii="Arial" w:hAnsi="Arial" w:cs="Arial"/>
          <w:sz w:val="24"/>
          <w:szCs w:val="24"/>
        </w:rPr>
        <w:t xml:space="preserve"> February </w:t>
      </w:r>
      <w:r w:rsidR="00D33D7C">
        <w:rPr>
          <w:rFonts w:ascii="Arial" w:hAnsi="Arial" w:cs="Arial"/>
          <w:sz w:val="24"/>
          <w:szCs w:val="24"/>
        </w:rPr>
        <w:t>2023</w:t>
      </w:r>
    </w:p>
    <w:p w14:paraId="52402BBF" w14:textId="727E6397" w:rsidR="004156FA" w:rsidRDefault="004156FA">
      <w:pPr>
        <w:spacing w:after="160" w:line="259" w:lineRule="auto"/>
        <w:jc w:val="left"/>
        <w:rPr>
          <w:rFonts w:ascii="Arial" w:hAnsi="Arial" w:cs="Arial"/>
          <w:sz w:val="24"/>
          <w:szCs w:val="24"/>
          <w:u w:val="single"/>
        </w:rPr>
      </w:pPr>
    </w:p>
    <w:p w14:paraId="127291A0" w14:textId="472E31FA" w:rsidR="00D202C2" w:rsidRPr="00671349" w:rsidRDefault="00D202C2" w:rsidP="00DF4968">
      <w:pPr>
        <w:keepNext/>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2BE04959" w:rsidR="00D202C2" w:rsidRPr="00671349" w:rsidRDefault="00D202C2" w:rsidP="00DF4968">
      <w:pPr>
        <w:keepNext/>
        <w:autoSpaceDE w:val="0"/>
        <w:autoSpaceDN w:val="0"/>
        <w:adjustRightInd w:val="0"/>
        <w:spacing w:before="240" w:after="120" w:line="360" w:lineRule="auto"/>
        <w:ind w:left="2880" w:hanging="2880"/>
        <w:rPr>
          <w:rFonts w:ascii="Arial" w:hAnsi="Arial" w:cs="Arial"/>
          <w:sz w:val="24"/>
          <w:szCs w:val="24"/>
        </w:rPr>
      </w:pPr>
      <w:r w:rsidRPr="00671349">
        <w:rPr>
          <w:rFonts w:ascii="Arial" w:hAnsi="Arial" w:cs="Arial"/>
          <w:sz w:val="24"/>
          <w:szCs w:val="24"/>
        </w:rPr>
        <w:t xml:space="preserve">For the </w:t>
      </w:r>
      <w:r w:rsidR="00001F4A">
        <w:rPr>
          <w:rFonts w:ascii="Arial" w:hAnsi="Arial" w:cs="Arial"/>
          <w:sz w:val="24"/>
          <w:szCs w:val="24"/>
        </w:rPr>
        <w:t>Applicant</w:t>
      </w:r>
      <w:r w:rsidRPr="00671349">
        <w:rPr>
          <w:rFonts w:ascii="Arial" w:hAnsi="Arial" w:cs="Arial"/>
          <w:sz w:val="24"/>
          <w:szCs w:val="24"/>
        </w:rPr>
        <w:t>:</w:t>
      </w:r>
      <w:r w:rsidR="00687468">
        <w:rPr>
          <w:rFonts w:ascii="Arial" w:hAnsi="Arial" w:cs="Arial"/>
          <w:sz w:val="24"/>
          <w:szCs w:val="24"/>
        </w:rPr>
        <w:tab/>
        <w:t>L Hollander Instructed by LDA Inc Attorneys</w:t>
      </w:r>
    </w:p>
    <w:p w14:paraId="3DCFC38A" w14:textId="3B31AC7C" w:rsidR="00D202C2" w:rsidRPr="00671349" w:rsidRDefault="00687468" w:rsidP="00B928FE">
      <w:pPr>
        <w:autoSpaceDE w:val="0"/>
        <w:autoSpaceDN w:val="0"/>
        <w:adjustRightInd w:val="0"/>
        <w:spacing w:before="240" w:after="120" w:line="360" w:lineRule="auto"/>
        <w:rPr>
          <w:rFonts w:ascii="Arial" w:hAnsi="Arial" w:cs="Arial"/>
          <w:sz w:val="24"/>
          <w:szCs w:val="24"/>
        </w:rPr>
      </w:pPr>
      <w:r>
        <w:rPr>
          <w:rFonts w:ascii="Arial" w:hAnsi="Arial" w:cs="Arial"/>
          <w:sz w:val="24"/>
          <w:szCs w:val="24"/>
        </w:rPr>
        <w:t>For the</w:t>
      </w:r>
      <w:r w:rsidR="004D2E17">
        <w:rPr>
          <w:rFonts w:ascii="Arial" w:hAnsi="Arial" w:cs="Arial"/>
          <w:sz w:val="24"/>
          <w:szCs w:val="24"/>
        </w:rPr>
        <w:t xml:space="preserve"> </w:t>
      </w:r>
      <w:r w:rsidR="00001F4A">
        <w:rPr>
          <w:rFonts w:ascii="Arial" w:hAnsi="Arial" w:cs="Arial"/>
          <w:sz w:val="24"/>
          <w:szCs w:val="24"/>
        </w:rPr>
        <w:t>Respondent</w:t>
      </w:r>
      <w:r w:rsidR="00D202C2" w:rsidRPr="00671349">
        <w:rPr>
          <w:rFonts w:ascii="Arial" w:hAnsi="Arial" w:cs="Arial"/>
          <w:sz w:val="24"/>
          <w:szCs w:val="24"/>
        </w:rPr>
        <w:t>:</w:t>
      </w:r>
      <w:r w:rsidR="007D51E5" w:rsidRPr="00671349">
        <w:rPr>
          <w:rFonts w:ascii="Arial" w:hAnsi="Arial" w:cs="Arial"/>
          <w:sz w:val="24"/>
          <w:szCs w:val="24"/>
        </w:rPr>
        <w:tab/>
      </w:r>
      <w:r>
        <w:rPr>
          <w:rFonts w:ascii="Arial" w:hAnsi="Arial" w:cs="Arial"/>
          <w:sz w:val="24"/>
          <w:szCs w:val="24"/>
        </w:rPr>
        <w:t xml:space="preserve">L Grobler instructed by Alice Swanepoel Attorneys </w:t>
      </w:r>
    </w:p>
    <w:p w14:paraId="668D4D5D" w14:textId="3B7B70C0" w:rsidR="00914D9D" w:rsidRPr="00671349" w:rsidRDefault="00914D9D" w:rsidP="00B928FE">
      <w:pPr>
        <w:autoSpaceDE w:val="0"/>
        <w:autoSpaceDN w:val="0"/>
        <w:adjustRightInd w:val="0"/>
        <w:spacing w:before="240" w:after="120" w:line="360" w:lineRule="auto"/>
        <w:rPr>
          <w:rFonts w:ascii="Arial" w:hAnsi="Arial" w:cs="Arial"/>
          <w:sz w:val="24"/>
          <w:szCs w:val="24"/>
        </w:rPr>
      </w:pPr>
    </w:p>
    <w:sectPr w:rsidR="00914D9D" w:rsidRPr="00671349" w:rsidSect="00B469F8">
      <w:type w:val="continuous"/>
      <w:pgSz w:w="11906" w:h="16838"/>
      <w:pgMar w:top="1843" w:right="1841" w:bottom="1440" w:left="156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570A" w14:textId="77777777" w:rsidR="003D05D6" w:rsidRDefault="003D05D6" w:rsidP="00D202C2">
      <w:pPr>
        <w:spacing w:line="240" w:lineRule="auto"/>
      </w:pPr>
      <w:r>
        <w:separator/>
      </w:r>
    </w:p>
  </w:endnote>
  <w:endnote w:type="continuationSeparator" w:id="0">
    <w:p w14:paraId="3F1525BC" w14:textId="77777777" w:rsidR="003D05D6" w:rsidRDefault="003D05D6"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CAFD" w14:textId="77777777" w:rsidR="003D05D6" w:rsidRDefault="003D05D6" w:rsidP="00D202C2">
      <w:pPr>
        <w:spacing w:line="240" w:lineRule="auto"/>
      </w:pPr>
      <w:r>
        <w:separator/>
      </w:r>
    </w:p>
  </w:footnote>
  <w:footnote w:type="continuationSeparator" w:id="0">
    <w:p w14:paraId="38005C48" w14:textId="77777777" w:rsidR="003D05D6" w:rsidRDefault="003D05D6" w:rsidP="00D202C2">
      <w:pPr>
        <w:spacing w:line="240" w:lineRule="auto"/>
      </w:pPr>
      <w:r>
        <w:continuationSeparator/>
      </w:r>
    </w:p>
  </w:footnote>
  <w:footnote w:id="1">
    <w:p w14:paraId="0ECCCDC4" w14:textId="76185520" w:rsidR="00665914" w:rsidRDefault="00665914">
      <w:pPr>
        <w:pStyle w:val="FootnoteText"/>
      </w:pPr>
      <w:r>
        <w:rPr>
          <w:rStyle w:val="FootnoteReference"/>
        </w:rPr>
        <w:footnoteRef/>
      </w:r>
      <w:r>
        <w:t xml:space="preserve"> </w:t>
      </w:r>
      <w:r>
        <w:tab/>
      </w:r>
      <w:r w:rsidRPr="00665914">
        <w:rPr>
          <w:i/>
          <w:iCs/>
        </w:rPr>
        <w:t>SA Metal Group (Pty) Ltd v Jeftha</w:t>
      </w:r>
      <w:r w:rsidRPr="00665914">
        <w:t xml:space="preserve"> 2020 JDR 2379 (WCC)</w:t>
      </w:r>
      <w:r>
        <w:t xml:space="preserve"> para 9.</w:t>
      </w:r>
    </w:p>
  </w:footnote>
  <w:footnote w:id="2">
    <w:p w14:paraId="2542B8D2" w14:textId="1C60B0C9" w:rsidR="00A71FE3" w:rsidRDefault="00A71FE3" w:rsidP="00CE0E94">
      <w:pPr>
        <w:pStyle w:val="FootnoteText"/>
      </w:pPr>
      <w:r>
        <w:rPr>
          <w:rStyle w:val="FootnoteReference"/>
        </w:rPr>
        <w:footnoteRef/>
      </w:r>
      <w:r>
        <w:t xml:space="preserve"> </w:t>
      </w:r>
      <w:r w:rsidR="006D31D1">
        <w:tab/>
      </w:r>
      <w:r w:rsidRPr="00022096">
        <w:rPr>
          <w:i/>
          <w:iCs/>
        </w:rPr>
        <w:t>Highveld Steel &amp; Vanadium Corporation Ltd v Oosthuizen</w:t>
      </w:r>
      <w:r>
        <w:t> </w:t>
      </w:r>
      <w:r w:rsidRPr="00022096">
        <w:t>2009 (4) SA 1 (SCA)</w:t>
      </w:r>
      <w:r>
        <w:t>.</w:t>
      </w:r>
      <w:r w:rsidR="002E4D1D">
        <w:t xml:space="preserve"> See also </w:t>
      </w:r>
      <w:r w:rsidR="002E4D1D" w:rsidRPr="0052306E">
        <w:rPr>
          <w:i/>
          <w:iCs/>
        </w:rPr>
        <w:t>Charlton and Others v Tongaat-Hulett Pension Fund</w:t>
      </w:r>
      <w:r w:rsidR="002E4D1D" w:rsidRPr="00606C93">
        <w:t xml:space="preserve"> [2006] ZAKZHC 14</w:t>
      </w:r>
      <w:r w:rsidR="002E4D1D">
        <w:t xml:space="preserve"> at pp. 4 – 6, in which it was observed that the Pension Funds Adjudicator had on several </w:t>
      </w:r>
      <w:r w:rsidR="00CE0E94">
        <w:t>earlier o</w:t>
      </w:r>
      <w:r w:rsidR="002E4D1D">
        <w:t xml:space="preserve">ccasions ruled that such withholding was </w:t>
      </w:r>
      <w:r w:rsidR="00CE0E94">
        <w:t>not prohibited by the section and that “</w:t>
      </w:r>
      <w:r w:rsidR="00CE0E94" w:rsidRPr="00CE0E94">
        <w:rPr>
          <w:i/>
          <w:iCs/>
        </w:rPr>
        <w:t>in the absence of any rule expressly regulating this power, the fund has the implicit power to withhold the benefit</w:t>
      </w:r>
      <w:r w:rsidR="00CE0E94">
        <w:t>”.</w:t>
      </w:r>
      <w:r w:rsidR="00D7645C">
        <w:t xml:space="preserve"> </w:t>
      </w:r>
    </w:p>
  </w:footnote>
  <w:footnote w:id="3">
    <w:p w14:paraId="6EF8483D" w14:textId="298FE16D" w:rsidR="0027142F" w:rsidRPr="0027142F" w:rsidRDefault="0027142F">
      <w:pPr>
        <w:pStyle w:val="FootnoteText"/>
      </w:pPr>
      <w:r>
        <w:rPr>
          <w:rStyle w:val="FootnoteReference"/>
        </w:rPr>
        <w:footnoteRef/>
      </w:r>
      <w:r>
        <w:t xml:space="preserve"> </w:t>
      </w:r>
      <w:r>
        <w:tab/>
      </w:r>
      <w:r w:rsidRPr="00022096">
        <w:rPr>
          <w:i/>
          <w:iCs/>
        </w:rPr>
        <w:t>Highveld Steel</w:t>
      </w:r>
      <w:r>
        <w:rPr>
          <w:i/>
          <w:iCs/>
        </w:rPr>
        <w:t xml:space="preserve"> </w:t>
      </w:r>
      <w:r>
        <w:t>(above) para</w:t>
      </w:r>
      <w:r w:rsidR="009266CE">
        <w:t>s</w:t>
      </w:r>
      <w:r>
        <w:t xml:space="preserve"> 15</w:t>
      </w:r>
      <w:r w:rsidR="009266CE">
        <w:t xml:space="preserve"> and 19</w:t>
      </w:r>
      <w:r w:rsidR="00D7645C">
        <w:t>.</w:t>
      </w:r>
    </w:p>
  </w:footnote>
  <w:footnote w:id="4">
    <w:p w14:paraId="4E6C5CFC" w14:textId="537C3878" w:rsidR="00383115" w:rsidRDefault="00383115" w:rsidP="00383115">
      <w:pPr>
        <w:pStyle w:val="FootnoteText"/>
      </w:pPr>
      <w:r>
        <w:rPr>
          <w:rStyle w:val="FootnoteReference"/>
        </w:rPr>
        <w:footnoteRef/>
      </w:r>
      <w:r>
        <w:t xml:space="preserve"> </w:t>
      </w:r>
      <w:r>
        <w:tab/>
      </w:r>
      <w:r w:rsidRPr="000170DC">
        <w:rPr>
          <w:i/>
          <w:iCs/>
        </w:rPr>
        <w:t>Msunduzi Municipality v Natal Municipal Pension Provident Fund and Others</w:t>
      </w:r>
      <w:r w:rsidRPr="000170DC">
        <w:t xml:space="preserve"> 2007 (1) SA 142 (N)</w:t>
      </w:r>
      <w:r>
        <w:t xml:space="preserve"> paras 12 - 20.</w:t>
      </w:r>
    </w:p>
  </w:footnote>
  <w:footnote w:id="5">
    <w:p w14:paraId="0A7E2D59" w14:textId="062EE491" w:rsidR="00383115" w:rsidRDefault="00383115" w:rsidP="00383115">
      <w:pPr>
        <w:pStyle w:val="FootnoteText"/>
      </w:pPr>
      <w:r>
        <w:rPr>
          <w:rStyle w:val="FootnoteReference"/>
        </w:rPr>
        <w:footnoteRef/>
      </w:r>
      <w:r>
        <w:t xml:space="preserve"> </w:t>
      </w:r>
      <w:r>
        <w:tab/>
      </w:r>
      <w:r w:rsidRPr="004B1477">
        <w:rPr>
          <w:i/>
          <w:iCs/>
        </w:rPr>
        <w:t>South African Broadcasting Corporation SOC Ltd v South African Broadcasting Corporation Pension Fund</w:t>
      </w:r>
      <w:r w:rsidRPr="004B1477">
        <w:t xml:space="preserve"> 2019 (4) SA 608 (GJ) </w:t>
      </w:r>
      <w:r>
        <w:t>paras 77 – 78</w:t>
      </w:r>
    </w:p>
  </w:footnote>
  <w:footnote w:id="6">
    <w:p w14:paraId="765414CF" w14:textId="77777777" w:rsidR="00736B07" w:rsidRDefault="00736B07" w:rsidP="00736B07">
      <w:pPr>
        <w:pStyle w:val="FootnoteText"/>
      </w:pPr>
      <w:r>
        <w:rPr>
          <w:rStyle w:val="FootnoteReference"/>
        </w:rPr>
        <w:footnoteRef/>
      </w:r>
      <w:r>
        <w:t xml:space="preserve"> </w:t>
      </w:r>
      <w:r>
        <w:tab/>
        <w:t xml:space="preserve">See Van Loggerenberg </w:t>
      </w:r>
      <w:r w:rsidRPr="00393B84">
        <w:rPr>
          <w:i/>
          <w:iCs/>
        </w:rPr>
        <w:t>et al.</w:t>
      </w:r>
      <w:r>
        <w:t xml:space="preserve"> </w:t>
      </w:r>
      <w:r w:rsidRPr="004369D6">
        <w:rPr>
          <w:u w:val="single"/>
        </w:rPr>
        <w:t>Superior Court Practice</w:t>
      </w:r>
      <w:r>
        <w:rPr>
          <w:u w:val="single"/>
        </w:rPr>
        <w:t>.</w:t>
      </w:r>
      <w:r>
        <w:t xml:space="preserve"> Looseleaf RS18 (Juta, 2022) at D6-11 fn 84. </w:t>
      </w:r>
    </w:p>
  </w:footnote>
  <w:footnote w:id="7">
    <w:p w14:paraId="525DD2E9" w14:textId="24861E08" w:rsidR="00383115" w:rsidRDefault="00383115">
      <w:pPr>
        <w:pStyle w:val="FootnoteText"/>
      </w:pPr>
      <w:r>
        <w:rPr>
          <w:rStyle w:val="FootnoteReference"/>
        </w:rPr>
        <w:footnoteRef/>
      </w:r>
      <w:r>
        <w:t xml:space="preserve"> </w:t>
      </w:r>
      <w:r>
        <w:tab/>
      </w:r>
      <w:r w:rsidRPr="006D5593">
        <w:rPr>
          <w:i/>
          <w:iCs/>
        </w:rPr>
        <w:t>Msunduzi</w:t>
      </w:r>
      <w:r>
        <w:t xml:space="preserve"> (above) paras 19.</w:t>
      </w:r>
    </w:p>
  </w:footnote>
  <w:footnote w:id="8">
    <w:p w14:paraId="4116EC83" w14:textId="77777777" w:rsidR="006D5593" w:rsidRDefault="006D5593" w:rsidP="006D5593">
      <w:pPr>
        <w:pStyle w:val="FootnoteText"/>
      </w:pPr>
      <w:r>
        <w:rPr>
          <w:rStyle w:val="FootnoteReference"/>
        </w:rPr>
        <w:footnoteRef/>
      </w:r>
      <w:r>
        <w:t xml:space="preserve"> </w:t>
      </w:r>
      <w:r>
        <w:tab/>
      </w:r>
      <w:r w:rsidRPr="00097EEF">
        <w:rPr>
          <w:i/>
          <w:iCs/>
        </w:rPr>
        <w:t>Carmel Trading Co Ltd v Commissioner, South African Revenue Service and Others</w:t>
      </w:r>
      <w:r w:rsidRPr="003745D0">
        <w:t xml:space="preserve"> 2008 (2) SA 433 (SCA)</w:t>
      </w:r>
      <w:r>
        <w:t xml:space="preserve"> para 3.</w:t>
      </w:r>
    </w:p>
  </w:footnote>
  <w:footnote w:id="9">
    <w:p w14:paraId="277C2CA4" w14:textId="77777777" w:rsidR="006D5593" w:rsidRDefault="006D5593" w:rsidP="006D5593">
      <w:pPr>
        <w:pStyle w:val="FootnoteText"/>
      </w:pPr>
      <w:r>
        <w:rPr>
          <w:rStyle w:val="FootnoteReference"/>
        </w:rPr>
        <w:footnoteRef/>
      </w:r>
      <w:r>
        <w:t xml:space="preserve"> </w:t>
      </w:r>
      <w:r>
        <w:tab/>
      </w:r>
      <w:r w:rsidRPr="00617943">
        <w:rPr>
          <w:i/>
          <w:iCs/>
        </w:rPr>
        <w:t>Knox D’Arcy Ltd v Jamieson</w:t>
      </w:r>
      <w:r w:rsidRPr="00617943">
        <w:t xml:space="preserve"> 1996 (4) SA 348 (A)</w:t>
      </w:r>
      <w:r>
        <w:t xml:space="preserve"> at 372F-H.</w:t>
      </w:r>
    </w:p>
  </w:footnote>
  <w:footnote w:id="10">
    <w:p w14:paraId="61C95B41" w14:textId="77777777" w:rsidR="006D5593" w:rsidRDefault="006D5593" w:rsidP="006D5593">
      <w:pPr>
        <w:pStyle w:val="FootnoteText"/>
      </w:pPr>
      <w:r>
        <w:rPr>
          <w:rStyle w:val="FootnoteReference"/>
        </w:rPr>
        <w:footnoteRef/>
      </w:r>
      <w:r>
        <w:t xml:space="preserve"> </w:t>
      </w:r>
      <w:r>
        <w:tab/>
      </w:r>
      <w:r w:rsidRPr="00622654">
        <w:rPr>
          <w:rFonts w:cs="Arial"/>
          <w:i/>
          <w:iCs/>
        </w:rPr>
        <w:t>Driefontein Consolidated Gold Mines Ltd v Schlochauer</w:t>
      </w:r>
      <w:r w:rsidRPr="00622654">
        <w:rPr>
          <w:rFonts w:cs="Arial"/>
        </w:rPr>
        <w:t xml:space="preserve"> 1902 TS 33 at 37</w:t>
      </w:r>
      <w:r>
        <w:rPr>
          <w:rFonts w:cs="Arial"/>
        </w:rPr>
        <w:t xml:space="preserve">. </w:t>
      </w:r>
      <w:r>
        <w:t xml:space="preserve">See also </w:t>
      </w:r>
      <w:r w:rsidRPr="00957249">
        <w:rPr>
          <w:i/>
          <w:iCs/>
        </w:rPr>
        <w:t>Gernholtz and Another NNO v Geoghehan</w:t>
      </w:r>
      <w:r>
        <w:t xml:space="preserve"> 1953 (2) PH F102 (O).</w:t>
      </w:r>
    </w:p>
  </w:footnote>
  <w:footnote w:id="11">
    <w:p w14:paraId="2C39E504" w14:textId="77777777" w:rsidR="00383115" w:rsidRDefault="00383115" w:rsidP="00383115">
      <w:pPr>
        <w:pStyle w:val="FootnoteText"/>
      </w:pPr>
      <w:r>
        <w:rPr>
          <w:rStyle w:val="FootnoteReference"/>
        </w:rPr>
        <w:footnoteRef/>
      </w:r>
      <w:r>
        <w:t xml:space="preserve"> </w:t>
      </w:r>
      <w:r>
        <w:tab/>
      </w:r>
      <w:r w:rsidRPr="00957249">
        <w:rPr>
          <w:i/>
          <w:iCs/>
        </w:rPr>
        <w:t>Stern and Ruskin NO v Appleson</w:t>
      </w:r>
      <w:r>
        <w:t xml:space="preserve"> 1951 (3) SA 800 (W) at 811F–G, per Millin J: “</w:t>
      </w:r>
      <w:r w:rsidRPr="00060FBE">
        <w:rPr>
          <w:i/>
          <w:iCs/>
        </w:rPr>
        <w:t>It is quite true that money, like any other species of property, may be interdicted; but then it must be shown that the money to be interdicted is identifiable with or ear-marked as a particular fund to which the plaintiff claims to be entitled</w:t>
      </w:r>
      <w:r>
        <w:t xml:space="preserve">.” See also </w:t>
      </w:r>
      <w:r w:rsidRPr="00A366BE">
        <w:rPr>
          <w:i/>
          <w:iCs/>
        </w:rPr>
        <w:t>Absa Bank Ltd v Intensive Air (Pty) Ltd</w:t>
      </w:r>
      <w:r w:rsidRPr="00A366BE">
        <w:t xml:space="preserve"> 2011 (2) SA 275 (SCA)</w:t>
      </w:r>
      <w:r>
        <w:t xml:space="preserve"> para 24.</w:t>
      </w:r>
    </w:p>
  </w:footnote>
  <w:footnote w:id="12">
    <w:p w14:paraId="44139143" w14:textId="1D1C0F9C" w:rsidR="00383115" w:rsidRDefault="00383115" w:rsidP="00383115">
      <w:pPr>
        <w:pStyle w:val="FootnoteText"/>
      </w:pPr>
      <w:r>
        <w:rPr>
          <w:rStyle w:val="FootnoteReference"/>
        </w:rPr>
        <w:footnoteRef/>
      </w:r>
      <w:r>
        <w:t xml:space="preserve"> </w:t>
      </w:r>
      <w:r>
        <w:tab/>
      </w:r>
      <w:r w:rsidRPr="00A366BE">
        <w:rPr>
          <w:i/>
          <w:iCs/>
        </w:rPr>
        <w:t>Fedsure Life Assurance Co Ltd v Worldwide African Investment Holdings (Pty) Ltd</w:t>
      </w:r>
      <w:r w:rsidRPr="00A366BE">
        <w:t xml:space="preserve"> 2003 (3) SA 268 (W)</w:t>
      </w:r>
      <w:r>
        <w:t xml:space="preserve"> paras 27 to 33 (and the cases cited there). See also </w:t>
      </w:r>
      <w:r w:rsidRPr="00732995">
        <w:rPr>
          <w:i/>
          <w:iCs/>
        </w:rPr>
        <w:t>Saharawi Arab Democratic Republic v Owners &amp; Charterers of the Cherry Blossom</w:t>
      </w:r>
      <w:r w:rsidRPr="00732995">
        <w:t xml:space="preserve"> 2017 (5) SA 105 (ECP)</w:t>
      </w:r>
      <w:r>
        <w:t xml:space="preserve"> para 49. </w:t>
      </w:r>
    </w:p>
  </w:footnote>
  <w:footnote w:id="13">
    <w:p w14:paraId="09A7B2D1" w14:textId="77777777" w:rsidR="00142D78" w:rsidRDefault="00142D78" w:rsidP="00142D78">
      <w:pPr>
        <w:pStyle w:val="FootnoteText"/>
      </w:pPr>
      <w:r>
        <w:rPr>
          <w:rStyle w:val="FootnoteReference"/>
        </w:rPr>
        <w:footnoteRef/>
      </w:r>
      <w:r>
        <w:t xml:space="preserve"> </w:t>
      </w:r>
      <w:r>
        <w:tab/>
      </w:r>
      <w:r w:rsidRPr="006B02EC">
        <w:rPr>
          <w:i/>
          <w:iCs/>
        </w:rPr>
        <w:t>Webster v Mitchell</w:t>
      </w:r>
      <w:r w:rsidRPr="006B02EC">
        <w:t xml:space="preserve"> 1948 (1) SA 1186 (W) at 1189</w:t>
      </w:r>
      <w:r>
        <w:t xml:space="preserve"> as qualified in </w:t>
      </w:r>
      <w:r w:rsidRPr="006B02EC">
        <w:rPr>
          <w:i/>
          <w:iCs/>
        </w:rPr>
        <w:t>Gool v Minister of Justice and Another</w:t>
      </w:r>
      <w:r w:rsidRPr="006B02EC">
        <w:t xml:space="preserve"> 1955 (2) SA 682 (C) at 688E</w:t>
      </w:r>
      <w:r>
        <w:t>.</w:t>
      </w:r>
    </w:p>
  </w:footnote>
  <w:footnote w:id="14">
    <w:p w14:paraId="67C474D1" w14:textId="5D8AF332" w:rsidR="009266CE" w:rsidRDefault="009266CE">
      <w:pPr>
        <w:pStyle w:val="FootnoteText"/>
      </w:pPr>
      <w:r>
        <w:rPr>
          <w:rStyle w:val="FootnoteReference"/>
        </w:rPr>
        <w:footnoteRef/>
      </w:r>
      <w:r>
        <w:t xml:space="preserve"> </w:t>
      </w:r>
      <w:r>
        <w:tab/>
      </w:r>
      <w:r w:rsidRPr="00022096">
        <w:rPr>
          <w:i/>
          <w:iCs/>
        </w:rPr>
        <w:t>Highveld Steel</w:t>
      </w:r>
      <w:r>
        <w:rPr>
          <w:i/>
          <w:iCs/>
        </w:rPr>
        <w:t xml:space="preserve"> </w:t>
      </w:r>
      <w:r>
        <w:t>(above) para 19.</w:t>
      </w:r>
    </w:p>
  </w:footnote>
  <w:footnote w:id="15">
    <w:p w14:paraId="7622B6B1" w14:textId="751B8FE0" w:rsidR="00DF7EA0" w:rsidRDefault="00DF7EA0">
      <w:pPr>
        <w:pStyle w:val="FootnoteText"/>
      </w:pPr>
      <w:r>
        <w:rPr>
          <w:rStyle w:val="FootnoteReference"/>
        </w:rPr>
        <w:footnoteRef/>
      </w:r>
      <w:r>
        <w:t xml:space="preserve"> </w:t>
      </w:r>
      <w:r>
        <w:tab/>
      </w:r>
      <w:r w:rsidRPr="00DF7EA0">
        <w:rPr>
          <w:i/>
          <w:iCs/>
        </w:rPr>
        <w:t>SABC</w:t>
      </w:r>
      <w:r>
        <w:t xml:space="preserve"> (above) para 86.</w:t>
      </w:r>
    </w:p>
  </w:footnote>
  <w:footnote w:id="16">
    <w:p w14:paraId="72963640" w14:textId="2570133B" w:rsidR="00DF7EA0" w:rsidRDefault="00DF7EA0">
      <w:pPr>
        <w:pStyle w:val="FootnoteText"/>
      </w:pPr>
      <w:r>
        <w:rPr>
          <w:rStyle w:val="FootnoteReference"/>
        </w:rPr>
        <w:footnoteRef/>
      </w:r>
      <w:r>
        <w:t xml:space="preserve"> </w:t>
      </w:r>
      <w:r>
        <w:tab/>
      </w:r>
      <w:r w:rsidRPr="00DF7EA0">
        <w:rPr>
          <w:i/>
          <w:iCs/>
        </w:rPr>
        <w:t>SABC</w:t>
      </w:r>
      <w:r>
        <w:t xml:space="preserve"> (above) paras 20 and 57. </w:t>
      </w:r>
    </w:p>
  </w:footnote>
  <w:footnote w:id="17">
    <w:p w14:paraId="01E9AEA3" w14:textId="372B97B5" w:rsidR="00872B49" w:rsidRDefault="00872B49">
      <w:pPr>
        <w:pStyle w:val="FootnoteText"/>
      </w:pPr>
      <w:r>
        <w:rPr>
          <w:rStyle w:val="FootnoteReference"/>
        </w:rPr>
        <w:footnoteRef/>
      </w:r>
      <w:r>
        <w:t xml:space="preserve"> </w:t>
      </w:r>
      <w:r>
        <w:tab/>
      </w:r>
      <w:r w:rsidRPr="00A92B9C">
        <w:rPr>
          <w:i/>
          <w:iCs/>
        </w:rPr>
        <w:t>SABC</w:t>
      </w:r>
      <w:r>
        <w:t xml:space="preserve"> (above) paras 117 – 120. </w:t>
      </w:r>
    </w:p>
  </w:footnote>
  <w:footnote w:id="18">
    <w:p w14:paraId="0362CB15" w14:textId="1A5675E1" w:rsidR="00A30334" w:rsidRDefault="00A30334">
      <w:pPr>
        <w:pStyle w:val="FootnoteText"/>
      </w:pPr>
      <w:r>
        <w:rPr>
          <w:rStyle w:val="FootnoteReference"/>
        </w:rPr>
        <w:footnoteRef/>
      </w:r>
      <w:r>
        <w:t xml:space="preserve"> </w:t>
      </w:r>
      <w:r>
        <w:tab/>
      </w:r>
      <w:r w:rsidRPr="00A30334">
        <w:rPr>
          <w:i/>
          <w:iCs/>
        </w:rPr>
        <w:t>Chemical Industries National Provident Fund v Sasol Ltd</w:t>
      </w:r>
      <w:r w:rsidRPr="00A30334">
        <w:t xml:space="preserve"> 2014 (4) SA 205 (GJ)</w:t>
      </w:r>
      <w:r>
        <w:t xml:space="preserve"> para 43: “</w:t>
      </w:r>
      <w:r w:rsidRPr="00A30334">
        <w:rPr>
          <w:i/>
          <w:iCs/>
        </w:rPr>
        <w:t>it is trite in matters of this nature that the rules of a pension fund are binding on the fund itself, its board, its members and any employer who participates in the fund.  As such, any act which is implemented outside the ambit of</w:t>
      </w:r>
      <w:r>
        <w:rPr>
          <w:i/>
          <w:iCs/>
        </w:rPr>
        <w:t xml:space="preserve"> </w:t>
      </w:r>
      <w:r w:rsidRPr="00A30334">
        <w:rPr>
          <w:i/>
          <w:iCs/>
        </w:rPr>
        <w:t>the rules is ultra vires and null and void</w:t>
      </w:r>
      <w:r>
        <w:t xml:space="preserve">”, approved by the full bench in </w:t>
      </w:r>
      <w:r w:rsidRPr="00A30334">
        <w:rPr>
          <w:i/>
          <w:iCs/>
        </w:rPr>
        <w:t>Joint Municipal Pension Fund v Ehlanzeni District Municipality</w:t>
      </w:r>
      <w:r w:rsidRPr="00A30334">
        <w:t xml:space="preserve"> 2018 (6) SA 197 (GP)</w:t>
      </w:r>
      <w:r>
        <w:t xml:space="preserve"> para 36.</w:t>
      </w:r>
    </w:p>
  </w:footnote>
  <w:footnote w:id="19">
    <w:p w14:paraId="0C3EE569" w14:textId="7D0BE825" w:rsidR="00845BCB" w:rsidRDefault="00845BCB" w:rsidP="00845BCB">
      <w:pPr>
        <w:pStyle w:val="FootnoteText"/>
      </w:pPr>
      <w:r>
        <w:rPr>
          <w:rStyle w:val="FootnoteReference"/>
        </w:rPr>
        <w:footnoteRef/>
      </w:r>
      <w:r>
        <w:t xml:space="preserve"> </w:t>
      </w:r>
      <w:r w:rsidR="009F455F">
        <w:tab/>
      </w:r>
      <w:r w:rsidRPr="00A24BD0">
        <w:rPr>
          <w:i/>
          <w:iCs/>
        </w:rPr>
        <w:t>NBS Boland Bank Ltd v One Berg River Drive CC and Others; Deeb and Another v Absa Bank Ltd; Friedman v Standard Bank of SA Ltd</w:t>
      </w:r>
      <w:r w:rsidRPr="00A24BD0">
        <w:t xml:space="preserve"> 1999 (4) SA 928 (SCA) para 25</w:t>
      </w:r>
      <w:r w:rsidR="00A92B9C">
        <w:t>.</w:t>
      </w:r>
    </w:p>
  </w:footnote>
  <w:footnote w:id="20">
    <w:p w14:paraId="63F3B560" w14:textId="11A2D18E" w:rsidR="00845BCB" w:rsidRPr="00B6424D" w:rsidRDefault="00845BCB" w:rsidP="00845BCB">
      <w:pPr>
        <w:pStyle w:val="FootnoteText"/>
      </w:pPr>
      <w:r>
        <w:rPr>
          <w:rStyle w:val="FootnoteReference"/>
        </w:rPr>
        <w:footnoteRef/>
      </w:r>
      <w:r>
        <w:t xml:space="preserve"> </w:t>
      </w:r>
      <w:r w:rsidR="009F455F">
        <w:tab/>
      </w:r>
      <w:r w:rsidRPr="001E1F6F">
        <w:rPr>
          <w:i/>
          <w:iCs/>
        </w:rPr>
        <w:t xml:space="preserve">Nedcor </w:t>
      </w:r>
      <w:r w:rsidRPr="00B6424D">
        <w:rPr>
          <w:i/>
          <w:iCs/>
        </w:rPr>
        <w:t>Bank Ltd v SDR Inv Holdings Co (Pty) Ltd</w:t>
      </w:r>
      <w:r w:rsidRPr="00B6424D">
        <w:t xml:space="preserve"> 2008 (3) SA 544 (SCA) para 8, </w:t>
      </w:r>
      <w:r>
        <w:t xml:space="preserve">fn </w:t>
      </w:r>
      <w:r w:rsidRPr="00B6424D">
        <w:t>1.</w:t>
      </w:r>
    </w:p>
  </w:footnote>
  <w:footnote w:id="21">
    <w:p w14:paraId="1782019D" w14:textId="065C8929" w:rsidR="00845BCB" w:rsidRDefault="00845BCB" w:rsidP="00845BCB">
      <w:pPr>
        <w:pStyle w:val="FootnoteText"/>
      </w:pPr>
      <w:r>
        <w:rPr>
          <w:rStyle w:val="FootnoteReference"/>
        </w:rPr>
        <w:footnoteRef/>
      </w:r>
      <w:r>
        <w:t xml:space="preserve"> </w:t>
      </w:r>
      <w:r w:rsidR="009F455F">
        <w:tab/>
      </w:r>
      <w:r w:rsidRPr="005B2B18">
        <w:rPr>
          <w:i/>
          <w:iCs/>
        </w:rPr>
        <w:t>Benlou Prop (Pty) Ltd v Vector Graphics (Pty) Ltd</w:t>
      </w:r>
      <w:r w:rsidRPr="005B2B18">
        <w:t xml:space="preserve"> 1993 (1) SA 179 (A)</w:t>
      </w:r>
      <w:r>
        <w:t xml:space="preserve"> at 187 – 188.</w:t>
      </w:r>
    </w:p>
  </w:footnote>
  <w:footnote w:id="22">
    <w:p w14:paraId="7184A06D" w14:textId="46E9C7CD" w:rsidR="00845BCB" w:rsidRDefault="00845BCB" w:rsidP="00845BCB">
      <w:pPr>
        <w:pStyle w:val="FootnoteText"/>
      </w:pPr>
      <w:r>
        <w:rPr>
          <w:rStyle w:val="FootnoteReference"/>
        </w:rPr>
        <w:footnoteRef/>
      </w:r>
      <w:r>
        <w:t xml:space="preserve"> </w:t>
      </w:r>
      <w:r w:rsidR="009F455F">
        <w:tab/>
      </w:r>
      <w:r w:rsidRPr="001E1F6F">
        <w:rPr>
          <w:i/>
          <w:iCs/>
        </w:rPr>
        <w:t>Juglal NO v Shoprite Checkers (Pty) Ltd ta OK Franchise Division</w:t>
      </w:r>
      <w:r w:rsidRPr="001E1F6F">
        <w:t xml:space="preserve"> 2004 (5) SA 248 (SCA)</w:t>
      </w:r>
      <w:r>
        <w:t xml:space="preserve"> para 26.</w:t>
      </w:r>
    </w:p>
  </w:footnote>
  <w:footnote w:id="23">
    <w:p w14:paraId="080B5EE0" w14:textId="453D26C2" w:rsidR="00845BCB" w:rsidRDefault="00845BCB" w:rsidP="00845BCB">
      <w:pPr>
        <w:pStyle w:val="FootnoteText"/>
      </w:pPr>
      <w:r>
        <w:rPr>
          <w:rStyle w:val="FootnoteReference"/>
        </w:rPr>
        <w:footnoteRef/>
      </w:r>
      <w:r>
        <w:t xml:space="preserve"> </w:t>
      </w:r>
      <w:r w:rsidR="009F455F">
        <w:tab/>
      </w:r>
      <w:r w:rsidRPr="002479A2">
        <w:rPr>
          <w:i/>
          <w:iCs/>
        </w:rPr>
        <w:t>Machanik v Simon</w:t>
      </w:r>
      <w:r>
        <w:t xml:space="preserve"> 1920 CPD 333 at 335.</w:t>
      </w:r>
    </w:p>
  </w:footnote>
  <w:footnote w:id="24">
    <w:p w14:paraId="374372CB" w14:textId="5604C794" w:rsidR="00845BCB" w:rsidRDefault="00845BCB" w:rsidP="00845BCB">
      <w:pPr>
        <w:pStyle w:val="FootnoteText"/>
      </w:pPr>
      <w:r>
        <w:rPr>
          <w:rStyle w:val="FootnoteReference"/>
        </w:rPr>
        <w:footnoteRef/>
      </w:r>
      <w:r>
        <w:t xml:space="preserve"> </w:t>
      </w:r>
      <w:r w:rsidR="009F455F">
        <w:tab/>
      </w:r>
      <w:r w:rsidRPr="002479A2">
        <w:rPr>
          <w:i/>
          <w:iCs/>
        </w:rPr>
        <w:t xml:space="preserve">Machanik </w:t>
      </w:r>
      <w:r>
        <w:rPr>
          <w:i/>
          <w:iCs/>
        </w:rPr>
        <w:t xml:space="preserve">at </w:t>
      </w:r>
      <w:r>
        <w:t>337.</w:t>
      </w:r>
    </w:p>
  </w:footnote>
  <w:footnote w:id="25">
    <w:p w14:paraId="3197B129" w14:textId="10695036" w:rsidR="00845BCB" w:rsidRDefault="00845BCB" w:rsidP="00845BCB">
      <w:pPr>
        <w:pStyle w:val="FootnoteText"/>
      </w:pPr>
      <w:r>
        <w:rPr>
          <w:rStyle w:val="FootnoteReference"/>
        </w:rPr>
        <w:footnoteRef/>
      </w:r>
      <w:r>
        <w:t xml:space="preserve"> </w:t>
      </w:r>
      <w:r w:rsidR="009F455F">
        <w:tab/>
      </w:r>
      <w:r w:rsidRPr="002479A2">
        <w:rPr>
          <w:i/>
          <w:iCs/>
        </w:rPr>
        <w:t xml:space="preserve">Machanik at </w:t>
      </w:r>
      <w:r>
        <w:t>341.</w:t>
      </w:r>
    </w:p>
  </w:footnote>
  <w:footnote w:id="26">
    <w:p w14:paraId="23743C73" w14:textId="5A5A9B12" w:rsidR="00845BCB" w:rsidRDefault="00845BCB" w:rsidP="00845BCB">
      <w:pPr>
        <w:pStyle w:val="FootnoteText"/>
      </w:pPr>
      <w:r>
        <w:rPr>
          <w:rStyle w:val="FootnoteReference"/>
        </w:rPr>
        <w:footnoteRef/>
      </w:r>
      <w:r>
        <w:t xml:space="preserve"> </w:t>
      </w:r>
      <w:r w:rsidR="009F455F">
        <w:tab/>
      </w:r>
      <w:r w:rsidRPr="00C50616">
        <w:rPr>
          <w:i/>
          <w:iCs/>
        </w:rPr>
        <w:t>Joosub Investments (Pty) Ltd v Maritime &amp; General Insurance Co Ltd</w:t>
      </w:r>
      <w:r w:rsidRPr="00C50616">
        <w:t xml:space="preserve"> 1990 (3) SA 373 (C) at 383E-F</w:t>
      </w:r>
      <w:r w:rsidR="009F455F">
        <w:t>.</w:t>
      </w:r>
    </w:p>
  </w:footnote>
  <w:footnote w:id="27">
    <w:p w14:paraId="3D3FD75A" w14:textId="60FBEA23" w:rsidR="00845BCB" w:rsidRDefault="00845BCB" w:rsidP="00845BCB">
      <w:pPr>
        <w:pStyle w:val="FootnoteText"/>
      </w:pPr>
      <w:r>
        <w:rPr>
          <w:rStyle w:val="FootnoteReference"/>
        </w:rPr>
        <w:footnoteRef/>
      </w:r>
      <w:r>
        <w:t xml:space="preserve"> </w:t>
      </w:r>
      <w:r w:rsidR="009F455F">
        <w:tab/>
      </w:r>
      <w:r w:rsidRPr="00C50616">
        <w:rPr>
          <w:i/>
          <w:iCs/>
        </w:rPr>
        <w:t>Remini v Basson</w:t>
      </w:r>
      <w:r>
        <w:t xml:space="preserve"> 1993 (3) SA 204 (N) at 210H-211B.</w:t>
      </w:r>
    </w:p>
  </w:footnote>
  <w:footnote w:id="28">
    <w:p w14:paraId="55356DC9" w14:textId="4CD5DAC3" w:rsidR="00845BCB" w:rsidRDefault="00845BCB" w:rsidP="00845BCB">
      <w:pPr>
        <w:pStyle w:val="FootnoteText"/>
      </w:pPr>
      <w:r>
        <w:rPr>
          <w:rStyle w:val="FootnoteReference"/>
        </w:rPr>
        <w:footnoteRef/>
      </w:r>
      <w:r>
        <w:t xml:space="preserve"> </w:t>
      </w:r>
      <w:r w:rsidR="009F455F">
        <w:tab/>
      </w:r>
      <w:r w:rsidRPr="00A24BD0">
        <w:rPr>
          <w:i/>
          <w:iCs/>
        </w:rPr>
        <w:t>Unilever South Africa Ice Cream (Pty) Ltd (known as Ola South Africa (Pty) Ltd) v Jepson</w:t>
      </w:r>
      <w:r w:rsidRPr="00A24BD0">
        <w:t xml:space="preserve"> 2008 (2) SA 456 (C)</w:t>
      </w:r>
      <w:r>
        <w:t xml:space="preserve"> para 25.</w:t>
      </w:r>
    </w:p>
  </w:footnote>
  <w:footnote w:id="29">
    <w:p w14:paraId="7DC1ACE7" w14:textId="4336467A" w:rsidR="00845BCB" w:rsidRDefault="00845BCB" w:rsidP="00845BCB">
      <w:pPr>
        <w:pStyle w:val="FootnoteText"/>
      </w:pPr>
      <w:r>
        <w:rPr>
          <w:rStyle w:val="FootnoteReference"/>
        </w:rPr>
        <w:footnoteRef/>
      </w:r>
      <w:r>
        <w:t xml:space="preserve"> </w:t>
      </w:r>
      <w:r w:rsidR="00A92B9C">
        <w:t xml:space="preserve"> </w:t>
      </w:r>
      <w:r w:rsidRPr="00EB763C">
        <w:rPr>
          <w:i/>
          <w:iCs/>
        </w:rPr>
        <w:t>De Lange v Absa Makelaars (Edms) Beperk</w:t>
      </w:r>
      <w:r w:rsidRPr="00EB763C">
        <w:t xml:space="preserve"> 2010 JDR 0274 (SCA) para </w:t>
      </w:r>
      <w:r>
        <w:t>1.</w:t>
      </w:r>
    </w:p>
  </w:footnote>
  <w:footnote w:id="30">
    <w:p w14:paraId="0A1327E9" w14:textId="1E7607DE" w:rsidR="00845BCB" w:rsidRDefault="00845BCB" w:rsidP="00845BCB">
      <w:pPr>
        <w:pStyle w:val="FootnoteText"/>
      </w:pPr>
      <w:r>
        <w:rPr>
          <w:rStyle w:val="FootnoteReference"/>
        </w:rPr>
        <w:footnoteRef/>
      </w:r>
      <w:r>
        <w:t xml:space="preserve"> </w:t>
      </w:r>
      <w:r w:rsidR="00A92B9C">
        <w:t xml:space="preserve"> </w:t>
      </w:r>
      <w:r w:rsidRPr="00305C36">
        <w:rPr>
          <w:i/>
          <w:iCs/>
        </w:rPr>
        <w:t xml:space="preserve">ABSA Makelaars (Edms) Bpk v De Lange </w:t>
      </w:r>
      <w:r w:rsidRPr="00305C36">
        <w:t>[2009] ZAWCHC 54 (10 March 2009)</w:t>
      </w:r>
      <w:r>
        <w:t xml:space="preserve"> para 24. </w:t>
      </w:r>
    </w:p>
  </w:footnote>
  <w:footnote w:id="31">
    <w:p w14:paraId="1BEED137" w14:textId="143A95C8" w:rsidR="00845BCB" w:rsidRDefault="00845BCB" w:rsidP="00845BCB">
      <w:pPr>
        <w:pStyle w:val="FootnoteText"/>
      </w:pPr>
      <w:r>
        <w:rPr>
          <w:rStyle w:val="FootnoteReference"/>
        </w:rPr>
        <w:footnoteRef/>
      </w:r>
      <w:r>
        <w:t xml:space="preserve"> </w:t>
      </w:r>
      <w:r w:rsidR="00A92B9C">
        <w:t xml:space="preserve"> </w:t>
      </w:r>
      <w:r w:rsidRPr="00EB763C">
        <w:rPr>
          <w:i/>
          <w:iCs/>
        </w:rPr>
        <w:t xml:space="preserve">De Lange </w:t>
      </w:r>
      <w:r w:rsidRPr="0058515B">
        <w:t>(SCA)</w:t>
      </w:r>
      <w:r>
        <w:t xml:space="preserve"> (above) para 18 – 19.</w:t>
      </w:r>
    </w:p>
  </w:footnote>
  <w:footnote w:id="32">
    <w:p w14:paraId="33DCEDF8" w14:textId="2690DCDE" w:rsidR="00845BCB" w:rsidRDefault="00845BCB" w:rsidP="00845BCB">
      <w:pPr>
        <w:pStyle w:val="FootnoteText"/>
      </w:pPr>
      <w:r>
        <w:rPr>
          <w:rStyle w:val="FootnoteReference"/>
        </w:rPr>
        <w:footnoteRef/>
      </w:r>
      <w:r>
        <w:t xml:space="preserve"> </w:t>
      </w:r>
      <w:r w:rsidR="00A92B9C">
        <w:t xml:space="preserve"> </w:t>
      </w:r>
      <w:r w:rsidRPr="00EB763C">
        <w:rPr>
          <w:i/>
          <w:iCs/>
        </w:rPr>
        <w:t xml:space="preserve">De </w:t>
      </w:r>
      <w:r>
        <w:rPr>
          <w:i/>
          <w:iCs/>
        </w:rPr>
        <w:t>L</w:t>
      </w:r>
      <w:r w:rsidRPr="00EB763C">
        <w:rPr>
          <w:i/>
          <w:iCs/>
        </w:rPr>
        <w:t xml:space="preserve">ange </w:t>
      </w:r>
      <w:r w:rsidRPr="00EB763C">
        <w:t xml:space="preserve">(SCA) (above) para </w:t>
      </w:r>
      <w:r>
        <w:t>22</w:t>
      </w:r>
      <w:r w:rsidRPr="00EB763C">
        <w:t>.</w:t>
      </w:r>
    </w:p>
  </w:footnote>
  <w:footnote w:id="33">
    <w:p w14:paraId="129CEBAC" w14:textId="2834AC15" w:rsidR="009374E7" w:rsidRDefault="009374E7" w:rsidP="009374E7">
      <w:pPr>
        <w:pStyle w:val="FootnoteText"/>
      </w:pPr>
      <w:r>
        <w:rPr>
          <w:rStyle w:val="FootnoteReference"/>
        </w:rPr>
        <w:footnoteRef/>
      </w:r>
      <w:r>
        <w:t xml:space="preserve"> </w:t>
      </w:r>
      <w:r w:rsidR="00A92B9C">
        <w:tab/>
      </w:r>
      <w:r>
        <w:t>Paragraph 27 of the applicant’s particulars of claim.</w:t>
      </w:r>
    </w:p>
  </w:footnote>
  <w:footnote w:id="34">
    <w:p w14:paraId="4612047E" w14:textId="050877BF" w:rsidR="00C14E1C" w:rsidRDefault="00C14E1C" w:rsidP="00C14E1C">
      <w:pPr>
        <w:pStyle w:val="FootnoteText"/>
      </w:pPr>
      <w:r>
        <w:rPr>
          <w:rStyle w:val="FootnoteReference"/>
        </w:rPr>
        <w:footnoteRef/>
      </w:r>
      <w:r>
        <w:t xml:space="preserve"> </w:t>
      </w:r>
      <w:r>
        <w:tab/>
      </w:r>
      <w:r w:rsidRPr="00BF726B">
        <w:rPr>
          <w:i/>
          <w:iCs/>
        </w:rPr>
        <w:t>Moodley v Scottburgh / Umzinto North Local Transitional Council</w:t>
      </w:r>
      <w:r>
        <w:t xml:space="preserve"> 2000 (4) SA 524 (D) at 532D. While the correctness of this decision was accepted in </w:t>
      </w:r>
      <w:r w:rsidRPr="009427B0">
        <w:rPr>
          <w:i/>
          <w:iCs/>
        </w:rPr>
        <w:t>SABC</w:t>
      </w:r>
      <w:r>
        <w:t xml:space="preserve"> (above) para 81</w:t>
      </w:r>
      <w:r w:rsidR="00E21FDF">
        <w:t xml:space="preserve"> and</w:t>
      </w:r>
      <w:r>
        <w:t xml:space="preserve"> in </w:t>
      </w:r>
      <w:r w:rsidRPr="00B25915">
        <w:rPr>
          <w:i/>
          <w:iCs/>
        </w:rPr>
        <w:t>Gradwell v Bidpaper Plus (Pty) Ltd &amp; others</w:t>
      </w:r>
      <w:r w:rsidRPr="00B25915">
        <w:t xml:space="preserve"> (2012) 33 ILJ 2794 (ECG)</w:t>
      </w:r>
      <w:r>
        <w:t xml:space="preserve"> para 8, it was questioned in </w:t>
      </w:r>
      <w:r w:rsidRPr="009427B0">
        <w:rPr>
          <w:i/>
          <w:iCs/>
        </w:rPr>
        <w:t>Msunduzi</w:t>
      </w:r>
      <w:r>
        <w:t xml:space="preserve"> (above) para 17. As in </w:t>
      </w:r>
      <w:r w:rsidRPr="009427B0">
        <w:rPr>
          <w:i/>
          <w:iCs/>
        </w:rPr>
        <w:t>Msunduzi</w:t>
      </w:r>
      <w:r>
        <w:t>, however, it is unnecessary for me to decide the controversy for the purposes of the current matter, in view of the fact that I am satisfied that the misconduct at issue in this instance does indeed involve an element of dishonesty.</w:t>
      </w:r>
    </w:p>
  </w:footnote>
  <w:footnote w:id="35">
    <w:p w14:paraId="3C433E13" w14:textId="3D884808" w:rsidR="00C14E1C" w:rsidRDefault="00C14E1C" w:rsidP="00C14E1C">
      <w:pPr>
        <w:pStyle w:val="FootnoteText"/>
      </w:pPr>
      <w:r>
        <w:rPr>
          <w:rStyle w:val="FootnoteReference"/>
        </w:rPr>
        <w:footnoteRef/>
      </w:r>
      <w:r>
        <w:t xml:space="preserve"> </w:t>
      </w:r>
      <w:r w:rsidR="00A92B9C">
        <w:tab/>
      </w:r>
      <w:r w:rsidRPr="00A92B9C">
        <w:rPr>
          <w:i/>
          <w:iCs/>
        </w:rPr>
        <w:t>Gradwell</w:t>
      </w:r>
      <w:r>
        <w:t xml:space="preserve"> (above) para 14.</w:t>
      </w:r>
    </w:p>
  </w:footnote>
  <w:footnote w:id="36">
    <w:p w14:paraId="7D553C33" w14:textId="51CC4E8F" w:rsidR="00DB3F42" w:rsidRDefault="00DB3F42">
      <w:pPr>
        <w:pStyle w:val="FootnoteText"/>
      </w:pPr>
      <w:r>
        <w:rPr>
          <w:rStyle w:val="FootnoteReference"/>
        </w:rPr>
        <w:footnoteRef/>
      </w:r>
      <w:r>
        <w:t xml:space="preserve"> </w:t>
      </w:r>
      <w:r w:rsidR="00E21FDF">
        <w:t xml:space="preserve"> </w:t>
      </w:r>
      <w:r w:rsidRPr="00DB3F42">
        <w:rPr>
          <w:i/>
          <w:iCs/>
        </w:rPr>
        <w:t>Rabinowitz v Van Graan</w:t>
      </w:r>
      <w:r w:rsidRPr="00DB3F42">
        <w:t xml:space="preserve"> 2013 (5) SA 315 (GSJ)</w:t>
      </w:r>
      <w:r>
        <w:t xml:space="preserve"> at para 41.</w:t>
      </w:r>
    </w:p>
  </w:footnote>
  <w:footnote w:id="37">
    <w:p w14:paraId="33D5FDE6" w14:textId="1B994CB5" w:rsidR="00C90623" w:rsidRDefault="00C90623">
      <w:pPr>
        <w:pStyle w:val="FootnoteText"/>
      </w:pPr>
      <w:r>
        <w:rPr>
          <w:rStyle w:val="FootnoteReference"/>
        </w:rPr>
        <w:footnoteRef/>
      </w:r>
      <w:r>
        <w:t xml:space="preserve"> The particulars of claim contain no suggestion that the third respondent was involved in assisting with the diversion of the remaining opportunities listed in paragraphs 24.1 to 24.4 thereof.</w:t>
      </w:r>
    </w:p>
  </w:footnote>
  <w:footnote w:id="38">
    <w:p w14:paraId="33D11114" w14:textId="0B529E33" w:rsidR="00C702B9" w:rsidRDefault="00C702B9" w:rsidP="00C702B9">
      <w:pPr>
        <w:pStyle w:val="FootnoteText"/>
      </w:pPr>
      <w:r>
        <w:rPr>
          <w:rStyle w:val="FootnoteReference"/>
        </w:rPr>
        <w:footnoteRef/>
      </w:r>
      <w:r>
        <w:t xml:space="preserve"> </w:t>
      </w:r>
      <w:r>
        <w:tab/>
      </w:r>
      <w:r w:rsidRPr="0052306E">
        <w:rPr>
          <w:i/>
          <w:iCs/>
        </w:rPr>
        <w:t>Charlton and Others v Tongaat-Hulett Pension Fund</w:t>
      </w:r>
      <w:r w:rsidRPr="00606C93">
        <w:t xml:space="preserve"> [2006] ZAKZHC 14</w:t>
      </w:r>
      <w:r>
        <w:t xml:space="preserve"> at p. 8; </w:t>
      </w:r>
      <w:r w:rsidRPr="006D31D1">
        <w:rPr>
          <w:i/>
          <w:iCs/>
        </w:rPr>
        <w:t>Jacobs v Telkom and Others</w:t>
      </w:r>
      <w:r w:rsidRPr="006D31D1">
        <w:t xml:space="preserve"> 2022 JDR 1114 (GP)</w:t>
      </w:r>
      <w:r>
        <w:t xml:space="preserve"> paras 9 - 11, referring with apparent approval to MQ Seakamela "</w:t>
      </w:r>
      <w:r w:rsidRPr="006D31D1">
        <w:rPr>
          <w:i/>
          <w:iCs/>
        </w:rPr>
        <w:t>Withholding of Pension Fund Benefits under South African Law</w:t>
      </w:r>
      <w:r>
        <w:t xml:space="preserve">" (unpublished LLM thesis, University of Limpopo, 2013), in which it is suggested that continued withholding of pension funds following unreasonable delay on the part of the employer in instituting and prosecuting its claim could result in unjustified prejudice to the member.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6B26" w14:textId="11298880"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7D2029">
      <w:rPr>
        <w:rFonts w:ascii="Arial" w:hAnsi="Arial" w:cs="Arial"/>
        <w:noProof/>
        <w:sz w:val="24"/>
        <w:szCs w:val="24"/>
      </w:rPr>
      <w:t>2</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19B09B3"/>
    <w:multiLevelType w:val="hybridMultilevel"/>
    <w:tmpl w:val="D6C4B54A"/>
    <w:lvl w:ilvl="0" w:tplc="7C58C6CA">
      <w:start w:val="1"/>
      <w:numFmt w:val="decimal"/>
      <w:pStyle w:val="LC1"/>
      <w:lvlText w:val="[%1]"/>
      <w:lvlJc w:val="left"/>
      <w:pPr>
        <w:ind w:left="720" w:hanging="360"/>
      </w:pPr>
      <w:rPr>
        <w:rFonts w:ascii="Arial" w:hAnsi="Arial" w:cs="Arial" w:hint="default"/>
        <w:b w:val="0"/>
        <w:sz w:val="24"/>
        <w:szCs w:val="24"/>
      </w:rPr>
    </w:lvl>
    <w:lvl w:ilvl="1" w:tplc="CD20C6C6">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64EABF7E">
      <w:start w:val="1"/>
      <w:numFmt w:val="decimal"/>
      <w:pStyle w:val="LCOrder"/>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5">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7">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A370502"/>
    <w:multiLevelType w:val="hybridMultilevel"/>
    <w:tmpl w:val="B290EF8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6"/>
  </w:num>
  <w:num w:numId="11">
    <w:abstractNumId w:val="7"/>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5"/>
  </w:num>
  <w:num w:numId="40">
    <w:abstractNumId w:val="10"/>
  </w:num>
  <w:num w:numId="41">
    <w:abstractNumId w:val="9"/>
  </w:num>
  <w:num w:numId="42">
    <w:abstractNumId w:val="3"/>
    <w:lvlOverride w:ilvl="0">
      <w:startOverride w:val="1"/>
    </w:lvlOverride>
  </w:num>
  <w:num w:numId="43">
    <w:abstractNumId w:val="8"/>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C"/>
    <w:rsid w:val="000012A6"/>
    <w:rsid w:val="00001F4A"/>
    <w:rsid w:val="00003782"/>
    <w:rsid w:val="00003803"/>
    <w:rsid w:val="00004549"/>
    <w:rsid w:val="00004D23"/>
    <w:rsid w:val="0000706E"/>
    <w:rsid w:val="000073C9"/>
    <w:rsid w:val="0001167B"/>
    <w:rsid w:val="0001502E"/>
    <w:rsid w:val="000170DC"/>
    <w:rsid w:val="00017537"/>
    <w:rsid w:val="00022096"/>
    <w:rsid w:val="0002226B"/>
    <w:rsid w:val="00022F6D"/>
    <w:rsid w:val="0002662D"/>
    <w:rsid w:val="00031365"/>
    <w:rsid w:val="00031BDD"/>
    <w:rsid w:val="0003348B"/>
    <w:rsid w:val="00034E66"/>
    <w:rsid w:val="000351B2"/>
    <w:rsid w:val="00044A38"/>
    <w:rsid w:val="00045FEF"/>
    <w:rsid w:val="000510E6"/>
    <w:rsid w:val="000520DA"/>
    <w:rsid w:val="00060F02"/>
    <w:rsid w:val="00060FBE"/>
    <w:rsid w:val="0006394C"/>
    <w:rsid w:val="00064401"/>
    <w:rsid w:val="00065E5C"/>
    <w:rsid w:val="00070100"/>
    <w:rsid w:val="00070375"/>
    <w:rsid w:val="000716A9"/>
    <w:rsid w:val="00072AB8"/>
    <w:rsid w:val="00077868"/>
    <w:rsid w:val="000824F1"/>
    <w:rsid w:val="00082F4A"/>
    <w:rsid w:val="000831B3"/>
    <w:rsid w:val="000833AD"/>
    <w:rsid w:val="00085E78"/>
    <w:rsid w:val="00094012"/>
    <w:rsid w:val="00094DFD"/>
    <w:rsid w:val="00097EEF"/>
    <w:rsid w:val="000A2519"/>
    <w:rsid w:val="000A6817"/>
    <w:rsid w:val="000A6D19"/>
    <w:rsid w:val="000B1421"/>
    <w:rsid w:val="000B2F64"/>
    <w:rsid w:val="000B3E04"/>
    <w:rsid w:val="000B670C"/>
    <w:rsid w:val="000B71C6"/>
    <w:rsid w:val="000C0393"/>
    <w:rsid w:val="000C6122"/>
    <w:rsid w:val="000C785F"/>
    <w:rsid w:val="000C7D79"/>
    <w:rsid w:val="000D0102"/>
    <w:rsid w:val="000D011D"/>
    <w:rsid w:val="000D3349"/>
    <w:rsid w:val="000D67C6"/>
    <w:rsid w:val="000D6B38"/>
    <w:rsid w:val="000D7C80"/>
    <w:rsid w:val="000E2737"/>
    <w:rsid w:val="000E3458"/>
    <w:rsid w:val="000E37F3"/>
    <w:rsid w:val="000E6595"/>
    <w:rsid w:val="000E6B70"/>
    <w:rsid w:val="000E6CBA"/>
    <w:rsid w:val="000E77CD"/>
    <w:rsid w:val="000F20C7"/>
    <w:rsid w:val="000F2126"/>
    <w:rsid w:val="000F6212"/>
    <w:rsid w:val="00100D7D"/>
    <w:rsid w:val="00110166"/>
    <w:rsid w:val="001129AE"/>
    <w:rsid w:val="00117061"/>
    <w:rsid w:val="00122E7C"/>
    <w:rsid w:val="001317DB"/>
    <w:rsid w:val="00132B92"/>
    <w:rsid w:val="00133185"/>
    <w:rsid w:val="0013376C"/>
    <w:rsid w:val="0013396B"/>
    <w:rsid w:val="00134416"/>
    <w:rsid w:val="0013446D"/>
    <w:rsid w:val="00142D78"/>
    <w:rsid w:val="00144D8F"/>
    <w:rsid w:val="001525A0"/>
    <w:rsid w:val="00153263"/>
    <w:rsid w:val="00153692"/>
    <w:rsid w:val="00155545"/>
    <w:rsid w:val="0016137A"/>
    <w:rsid w:val="00161742"/>
    <w:rsid w:val="00161768"/>
    <w:rsid w:val="001621D8"/>
    <w:rsid w:val="001716BD"/>
    <w:rsid w:val="001772D1"/>
    <w:rsid w:val="00177A2D"/>
    <w:rsid w:val="00185305"/>
    <w:rsid w:val="00185D04"/>
    <w:rsid w:val="001869B1"/>
    <w:rsid w:val="0018761E"/>
    <w:rsid w:val="00190F5B"/>
    <w:rsid w:val="001913F8"/>
    <w:rsid w:val="0019200F"/>
    <w:rsid w:val="0019412F"/>
    <w:rsid w:val="001941AE"/>
    <w:rsid w:val="00194624"/>
    <w:rsid w:val="00195737"/>
    <w:rsid w:val="00195948"/>
    <w:rsid w:val="001A03F9"/>
    <w:rsid w:val="001A066C"/>
    <w:rsid w:val="001A1328"/>
    <w:rsid w:val="001A2909"/>
    <w:rsid w:val="001A42D3"/>
    <w:rsid w:val="001A55DB"/>
    <w:rsid w:val="001A66FF"/>
    <w:rsid w:val="001B05F3"/>
    <w:rsid w:val="001B5CB4"/>
    <w:rsid w:val="001B66D5"/>
    <w:rsid w:val="001B7FDB"/>
    <w:rsid w:val="001C0EBD"/>
    <w:rsid w:val="001C338F"/>
    <w:rsid w:val="001D2044"/>
    <w:rsid w:val="001D2FCD"/>
    <w:rsid w:val="001D3CAA"/>
    <w:rsid w:val="001D3DE1"/>
    <w:rsid w:val="001D73D1"/>
    <w:rsid w:val="001E1934"/>
    <w:rsid w:val="001E2746"/>
    <w:rsid w:val="001E3C4A"/>
    <w:rsid w:val="001E6505"/>
    <w:rsid w:val="001F3346"/>
    <w:rsid w:val="001F40A2"/>
    <w:rsid w:val="001F41FC"/>
    <w:rsid w:val="0020038A"/>
    <w:rsid w:val="002011CA"/>
    <w:rsid w:val="00201D94"/>
    <w:rsid w:val="0020470F"/>
    <w:rsid w:val="00205871"/>
    <w:rsid w:val="002079F3"/>
    <w:rsid w:val="002131B0"/>
    <w:rsid w:val="00214702"/>
    <w:rsid w:val="002153EB"/>
    <w:rsid w:val="0021615D"/>
    <w:rsid w:val="002204D4"/>
    <w:rsid w:val="0022201A"/>
    <w:rsid w:val="00223659"/>
    <w:rsid w:val="00225C87"/>
    <w:rsid w:val="0022691E"/>
    <w:rsid w:val="002307DC"/>
    <w:rsid w:val="00231758"/>
    <w:rsid w:val="0023238A"/>
    <w:rsid w:val="00232AAA"/>
    <w:rsid w:val="00233FCC"/>
    <w:rsid w:val="002354C7"/>
    <w:rsid w:val="0023710F"/>
    <w:rsid w:val="00243FFB"/>
    <w:rsid w:val="002457BF"/>
    <w:rsid w:val="002458DA"/>
    <w:rsid w:val="00246C54"/>
    <w:rsid w:val="00247065"/>
    <w:rsid w:val="002507E7"/>
    <w:rsid w:val="00250CA2"/>
    <w:rsid w:val="00252EA0"/>
    <w:rsid w:val="00254A2A"/>
    <w:rsid w:val="002568A5"/>
    <w:rsid w:val="00261518"/>
    <w:rsid w:val="0026179C"/>
    <w:rsid w:val="00262145"/>
    <w:rsid w:val="00264164"/>
    <w:rsid w:val="00264DBD"/>
    <w:rsid w:val="0027142F"/>
    <w:rsid w:val="002725E5"/>
    <w:rsid w:val="00272CC9"/>
    <w:rsid w:val="002738F6"/>
    <w:rsid w:val="0027476A"/>
    <w:rsid w:val="00275348"/>
    <w:rsid w:val="00281AA5"/>
    <w:rsid w:val="00283AE9"/>
    <w:rsid w:val="00284935"/>
    <w:rsid w:val="0028506A"/>
    <w:rsid w:val="00287983"/>
    <w:rsid w:val="002904E8"/>
    <w:rsid w:val="002915EF"/>
    <w:rsid w:val="002943CC"/>
    <w:rsid w:val="00294703"/>
    <w:rsid w:val="002951E4"/>
    <w:rsid w:val="002A263A"/>
    <w:rsid w:val="002A2834"/>
    <w:rsid w:val="002A5354"/>
    <w:rsid w:val="002A6A82"/>
    <w:rsid w:val="002B074C"/>
    <w:rsid w:val="002B1C10"/>
    <w:rsid w:val="002B29E2"/>
    <w:rsid w:val="002B2CFF"/>
    <w:rsid w:val="002B4682"/>
    <w:rsid w:val="002C06F6"/>
    <w:rsid w:val="002C4033"/>
    <w:rsid w:val="002C4D66"/>
    <w:rsid w:val="002D425A"/>
    <w:rsid w:val="002E3F6F"/>
    <w:rsid w:val="002E4D1D"/>
    <w:rsid w:val="002E7178"/>
    <w:rsid w:val="002F1953"/>
    <w:rsid w:val="002F7EA9"/>
    <w:rsid w:val="00300C56"/>
    <w:rsid w:val="00302B56"/>
    <w:rsid w:val="003031DE"/>
    <w:rsid w:val="00303C39"/>
    <w:rsid w:val="0030632A"/>
    <w:rsid w:val="00306A29"/>
    <w:rsid w:val="0030779C"/>
    <w:rsid w:val="00311B83"/>
    <w:rsid w:val="00316A03"/>
    <w:rsid w:val="00316BB4"/>
    <w:rsid w:val="00316EB2"/>
    <w:rsid w:val="00323262"/>
    <w:rsid w:val="00323CEC"/>
    <w:rsid w:val="00333F6D"/>
    <w:rsid w:val="00334249"/>
    <w:rsid w:val="003370D2"/>
    <w:rsid w:val="0034240A"/>
    <w:rsid w:val="00342CE8"/>
    <w:rsid w:val="00343523"/>
    <w:rsid w:val="003438A1"/>
    <w:rsid w:val="00344610"/>
    <w:rsid w:val="00345664"/>
    <w:rsid w:val="0034585C"/>
    <w:rsid w:val="00347A4A"/>
    <w:rsid w:val="00356CD7"/>
    <w:rsid w:val="0035787D"/>
    <w:rsid w:val="0036450F"/>
    <w:rsid w:val="00366EC7"/>
    <w:rsid w:val="00367FE4"/>
    <w:rsid w:val="0037048E"/>
    <w:rsid w:val="00371EAC"/>
    <w:rsid w:val="00374424"/>
    <w:rsid w:val="003745D0"/>
    <w:rsid w:val="00375189"/>
    <w:rsid w:val="00383115"/>
    <w:rsid w:val="00383DE0"/>
    <w:rsid w:val="003843A1"/>
    <w:rsid w:val="003844CD"/>
    <w:rsid w:val="00387D95"/>
    <w:rsid w:val="00387E2B"/>
    <w:rsid w:val="00390FC9"/>
    <w:rsid w:val="00393CFC"/>
    <w:rsid w:val="00394257"/>
    <w:rsid w:val="00394A38"/>
    <w:rsid w:val="00394B3D"/>
    <w:rsid w:val="0039695C"/>
    <w:rsid w:val="003A1345"/>
    <w:rsid w:val="003A18A9"/>
    <w:rsid w:val="003A1E5C"/>
    <w:rsid w:val="003A25F7"/>
    <w:rsid w:val="003A2784"/>
    <w:rsid w:val="003B0DFF"/>
    <w:rsid w:val="003B1C0D"/>
    <w:rsid w:val="003B20AC"/>
    <w:rsid w:val="003B39F8"/>
    <w:rsid w:val="003B5ACF"/>
    <w:rsid w:val="003B7448"/>
    <w:rsid w:val="003C05A8"/>
    <w:rsid w:val="003C0ADF"/>
    <w:rsid w:val="003C0FEE"/>
    <w:rsid w:val="003C133F"/>
    <w:rsid w:val="003C39BB"/>
    <w:rsid w:val="003C4F1C"/>
    <w:rsid w:val="003D05D6"/>
    <w:rsid w:val="003D2AD1"/>
    <w:rsid w:val="003D6B4C"/>
    <w:rsid w:val="003D736C"/>
    <w:rsid w:val="003E4340"/>
    <w:rsid w:val="003E5CCD"/>
    <w:rsid w:val="003E6F2D"/>
    <w:rsid w:val="003E7887"/>
    <w:rsid w:val="003F0485"/>
    <w:rsid w:val="003F0A4D"/>
    <w:rsid w:val="003F1021"/>
    <w:rsid w:val="003F4DC0"/>
    <w:rsid w:val="003F7818"/>
    <w:rsid w:val="003F7CBD"/>
    <w:rsid w:val="004005B6"/>
    <w:rsid w:val="00400C5A"/>
    <w:rsid w:val="00401C97"/>
    <w:rsid w:val="00402B75"/>
    <w:rsid w:val="004047D5"/>
    <w:rsid w:val="00406476"/>
    <w:rsid w:val="004071E9"/>
    <w:rsid w:val="00407D6B"/>
    <w:rsid w:val="004156FA"/>
    <w:rsid w:val="004209D8"/>
    <w:rsid w:val="004229C3"/>
    <w:rsid w:val="004237A9"/>
    <w:rsid w:val="00425E5B"/>
    <w:rsid w:val="004268B9"/>
    <w:rsid w:val="00427C68"/>
    <w:rsid w:val="00430C8A"/>
    <w:rsid w:val="004341D0"/>
    <w:rsid w:val="0043517E"/>
    <w:rsid w:val="0044726A"/>
    <w:rsid w:val="00450395"/>
    <w:rsid w:val="0045455E"/>
    <w:rsid w:val="00456684"/>
    <w:rsid w:val="004574CF"/>
    <w:rsid w:val="00457C05"/>
    <w:rsid w:val="00461C58"/>
    <w:rsid w:val="004631CF"/>
    <w:rsid w:val="00467FAE"/>
    <w:rsid w:val="00470CB2"/>
    <w:rsid w:val="004836EE"/>
    <w:rsid w:val="00485082"/>
    <w:rsid w:val="004856E6"/>
    <w:rsid w:val="00485A06"/>
    <w:rsid w:val="00485BE2"/>
    <w:rsid w:val="00485D51"/>
    <w:rsid w:val="004871E9"/>
    <w:rsid w:val="0049213A"/>
    <w:rsid w:val="00493927"/>
    <w:rsid w:val="0049403D"/>
    <w:rsid w:val="00495746"/>
    <w:rsid w:val="004A26B4"/>
    <w:rsid w:val="004A482E"/>
    <w:rsid w:val="004A5C56"/>
    <w:rsid w:val="004A61E8"/>
    <w:rsid w:val="004A72C3"/>
    <w:rsid w:val="004A7CB7"/>
    <w:rsid w:val="004B1046"/>
    <w:rsid w:val="004B1477"/>
    <w:rsid w:val="004B3172"/>
    <w:rsid w:val="004B360C"/>
    <w:rsid w:val="004B70F3"/>
    <w:rsid w:val="004C1163"/>
    <w:rsid w:val="004C209D"/>
    <w:rsid w:val="004C2F68"/>
    <w:rsid w:val="004D059C"/>
    <w:rsid w:val="004D1B93"/>
    <w:rsid w:val="004D2CC7"/>
    <w:rsid w:val="004D2E17"/>
    <w:rsid w:val="004D4506"/>
    <w:rsid w:val="004D4A30"/>
    <w:rsid w:val="004D7420"/>
    <w:rsid w:val="004E2571"/>
    <w:rsid w:val="004E2B12"/>
    <w:rsid w:val="004E3832"/>
    <w:rsid w:val="004E3B4E"/>
    <w:rsid w:val="004E4A55"/>
    <w:rsid w:val="004E6DBC"/>
    <w:rsid w:val="004F239B"/>
    <w:rsid w:val="004F4CC1"/>
    <w:rsid w:val="004F4D7E"/>
    <w:rsid w:val="00502C6E"/>
    <w:rsid w:val="00503D57"/>
    <w:rsid w:val="00504B76"/>
    <w:rsid w:val="00505F2B"/>
    <w:rsid w:val="00506722"/>
    <w:rsid w:val="0050762B"/>
    <w:rsid w:val="005109F9"/>
    <w:rsid w:val="0051292F"/>
    <w:rsid w:val="0051606C"/>
    <w:rsid w:val="00516A81"/>
    <w:rsid w:val="0052306E"/>
    <w:rsid w:val="00531A72"/>
    <w:rsid w:val="00535053"/>
    <w:rsid w:val="005357A4"/>
    <w:rsid w:val="00535FFA"/>
    <w:rsid w:val="00536906"/>
    <w:rsid w:val="00541272"/>
    <w:rsid w:val="0055113E"/>
    <w:rsid w:val="00552A12"/>
    <w:rsid w:val="00554368"/>
    <w:rsid w:val="00555228"/>
    <w:rsid w:val="0055724B"/>
    <w:rsid w:val="00560305"/>
    <w:rsid w:val="00560AE9"/>
    <w:rsid w:val="00560CB2"/>
    <w:rsid w:val="00564164"/>
    <w:rsid w:val="00564B8A"/>
    <w:rsid w:val="005653F5"/>
    <w:rsid w:val="0056687A"/>
    <w:rsid w:val="00566A8C"/>
    <w:rsid w:val="00567801"/>
    <w:rsid w:val="005708F6"/>
    <w:rsid w:val="005710ED"/>
    <w:rsid w:val="00573912"/>
    <w:rsid w:val="0057539D"/>
    <w:rsid w:val="0057634C"/>
    <w:rsid w:val="00576DC0"/>
    <w:rsid w:val="0058318E"/>
    <w:rsid w:val="00583873"/>
    <w:rsid w:val="00584B23"/>
    <w:rsid w:val="00586825"/>
    <w:rsid w:val="00590502"/>
    <w:rsid w:val="00590620"/>
    <w:rsid w:val="005938AC"/>
    <w:rsid w:val="0059397B"/>
    <w:rsid w:val="005953FD"/>
    <w:rsid w:val="00596448"/>
    <w:rsid w:val="0059799B"/>
    <w:rsid w:val="005A3E6A"/>
    <w:rsid w:val="005A502D"/>
    <w:rsid w:val="005A7370"/>
    <w:rsid w:val="005B1663"/>
    <w:rsid w:val="005B32F4"/>
    <w:rsid w:val="005B3A24"/>
    <w:rsid w:val="005B3C6E"/>
    <w:rsid w:val="005C740A"/>
    <w:rsid w:val="005D1628"/>
    <w:rsid w:val="005D6850"/>
    <w:rsid w:val="005E4834"/>
    <w:rsid w:val="005E4F44"/>
    <w:rsid w:val="005E52B8"/>
    <w:rsid w:val="005F1181"/>
    <w:rsid w:val="005F514C"/>
    <w:rsid w:val="005F6CBA"/>
    <w:rsid w:val="005F7C9A"/>
    <w:rsid w:val="00602402"/>
    <w:rsid w:val="00606C93"/>
    <w:rsid w:val="00610740"/>
    <w:rsid w:val="00612618"/>
    <w:rsid w:val="00615C8B"/>
    <w:rsid w:val="00617943"/>
    <w:rsid w:val="00620527"/>
    <w:rsid w:val="0062053B"/>
    <w:rsid w:val="00620927"/>
    <w:rsid w:val="00620A35"/>
    <w:rsid w:val="00620C55"/>
    <w:rsid w:val="00620C69"/>
    <w:rsid w:val="0062116D"/>
    <w:rsid w:val="00622654"/>
    <w:rsid w:val="00623306"/>
    <w:rsid w:val="00626354"/>
    <w:rsid w:val="00627891"/>
    <w:rsid w:val="00631A43"/>
    <w:rsid w:val="00637ABD"/>
    <w:rsid w:val="0064508E"/>
    <w:rsid w:val="0064691B"/>
    <w:rsid w:val="00650039"/>
    <w:rsid w:val="00656995"/>
    <w:rsid w:val="00660038"/>
    <w:rsid w:val="00660D19"/>
    <w:rsid w:val="00662205"/>
    <w:rsid w:val="00662878"/>
    <w:rsid w:val="00663206"/>
    <w:rsid w:val="00664551"/>
    <w:rsid w:val="00665914"/>
    <w:rsid w:val="00665B87"/>
    <w:rsid w:val="00671349"/>
    <w:rsid w:val="00671E88"/>
    <w:rsid w:val="00672A29"/>
    <w:rsid w:val="00672B53"/>
    <w:rsid w:val="00672E25"/>
    <w:rsid w:val="00675086"/>
    <w:rsid w:val="00675D4C"/>
    <w:rsid w:val="00675FDD"/>
    <w:rsid w:val="0068156F"/>
    <w:rsid w:val="00681DB6"/>
    <w:rsid w:val="00685BFC"/>
    <w:rsid w:val="00685F17"/>
    <w:rsid w:val="00687468"/>
    <w:rsid w:val="006910D5"/>
    <w:rsid w:val="00691BB1"/>
    <w:rsid w:val="00693017"/>
    <w:rsid w:val="00694EDB"/>
    <w:rsid w:val="006A19A2"/>
    <w:rsid w:val="006A4604"/>
    <w:rsid w:val="006A5165"/>
    <w:rsid w:val="006A62B2"/>
    <w:rsid w:val="006B005F"/>
    <w:rsid w:val="006B00FC"/>
    <w:rsid w:val="006B02EC"/>
    <w:rsid w:val="006B1C26"/>
    <w:rsid w:val="006B5C7D"/>
    <w:rsid w:val="006B612E"/>
    <w:rsid w:val="006C49A0"/>
    <w:rsid w:val="006C50B9"/>
    <w:rsid w:val="006C7710"/>
    <w:rsid w:val="006C790B"/>
    <w:rsid w:val="006C7A09"/>
    <w:rsid w:val="006D0194"/>
    <w:rsid w:val="006D05EB"/>
    <w:rsid w:val="006D1DEE"/>
    <w:rsid w:val="006D31D1"/>
    <w:rsid w:val="006D5593"/>
    <w:rsid w:val="006D562E"/>
    <w:rsid w:val="006E19FB"/>
    <w:rsid w:val="006E50DF"/>
    <w:rsid w:val="006E637D"/>
    <w:rsid w:val="006F3C07"/>
    <w:rsid w:val="006F471F"/>
    <w:rsid w:val="006F7771"/>
    <w:rsid w:val="007046ED"/>
    <w:rsid w:val="00706851"/>
    <w:rsid w:val="00706DEF"/>
    <w:rsid w:val="00717608"/>
    <w:rsid w:val="0072490A"/>
    <w:rsid w:val="00730BAC"/>
    <w:rsid w:val="00731CD4"/>
    <w:rsid w:val="00732048"/>
    <w:rsid w:val="00732995"/>
    <w:rsid w:val="00736B07"/>
    <w:rsid w:val="0073729E"/>
    <w:rsid w:val="00745C12"/>
    <w:rsid w:val="0074639A"/>
    <w:rsid w:val="00747394"/>
    <w:rsid w:val="007532D7"/>
    <w:rsid w:val="007539E6"/>
    <w:rsid w:val="00753D4C"/>
    <w:rsid w:val="00757690"/>
    <w:rsid w:val="00760412"/>
    <w:rsid w:val="00760602"/>
    <w:rsid w:val="007613D7"/>
    <w:rsid w:val="0076208F"/>
    <w:rsid w:val="00763359"/>
    <w:rsid w:val="00776390"/>
    <w:rsid w:val="007779D1"/>
    <w:rsid w:val="00781AF9"/>
    <w:rsid w:val="00785DCD"/>
    <w:rsid w:val="0079152D"/>
    <w:rsid w:val="007917EC"/>
    <w:rsid w:val="00792BFA"/>
    <w:rsid w:val="00796A89"/>
    <w:rsid w:val="007A5A73"/>
    <w:rsid w:val="007A5DD7"/>
    <w:rsid w:val="007A5E17"/>
    <w:rsid w:val="007A6630"/>
    <w:rsid w:val="007B07F7"/>
    <w:rsid w:val="007B42C5"/>
    <w:rsid w:val="007B6259"/>
    <w:rsid w:val="007B70A2"/>
    <w:rsid w:val="007B798F"/>
    <w:rsid w:val="007C03FB"/>
    <w:rsid w:val="007C207B"/>
    <w:rsid w:val="007C280E"/>
    <w:rsid w:val="007C2DD4"/>
    <w:rsid w:val="007C3650"/>
    <w:rsid w:val="007C4134"/>
    <w:rsid w:val="007C4413"/>
    <w:rsid w:val="007C54A7"/>
    <w:rsid w:val="007C7CFF"/>
    <w:rsid w:val="007D0658"/>
    <w:rsid w:val="007D0DB9"/>
    <w:rsid w:val="007D2029"/>
    <w:rsid w:val="007D3888"/>
    <w:rsid w:val="007D42D7"/>
    <w:rsid w:val="007D51E5"/>
    <w:rsid w:val="007D71FD"/>
    <w:rsid w:val="007D736B"/>
    <w:rsid w:val="007E0C74"/>
    <w:rsid w:val="007E2A9E"/>
    <w:rsid w:val="007E3918"/>
    <w:rsid w:val="007E686C"/>
    <w:rsid w:val="007E6AAD"/>
    <w:rsid w:val="0080031B"/>
    <w:rsid w:val="00801B76"/>
    <w:rsid w:val="00802253"/>
    <w:rsid w:val="0080454C"/>
    <w:rsid w:val="00807B64"/>
    <w:rsid w:val="0081091C"/>
    <w:rsid w:val="008140DD"/>
    <w:rsid w:val="00817F18"/>
    <w:rsid w:val="00820751"/>
    <w:rsid w:val="008219AD"/>
    <w:rsid w:val="00823414"/>
    <w:rsid w:val="00824790"/>
    <w:rsid w:val="008254FE"/>
    <w:rsid w:val="0082557F"/>
    <w:rsid w:val="00826605"/>
    <w:rsid w:val="00831041"/>
    <w:rsid w:val="00833CEF"/>
    <w:rsid w:val="00833FC0"/>
    <w:rsid w:val="0083405D"/>
    <w:rsid w:val="0083515A"/>
    <w:rsid w:val="00835906"/>
    <w:rsid w:val="00840FA3"/>
    <w:rsid w:val="008435C3"/>
    <w:rsid w:val="008436FD"/>
    <w:rsid w:val="0084389A"/>
    <w:rsid w:val="0084518E"/>
    <w:rsid w:val="00845BCB"/>
    <w:rsid w:val="00851F01"/>
    <w:rsid w:val="008574C9"/>
    <w:rsid w:val="00857B95"/>
    <w:rsid w:val="00857BA7"/>
    <w:rsid w:val="00860E3A"/>
    <w:rsid w:val="00870882"/>
    <w:rsid w:val="00872B49"/>
    <w:rsid w:val="00872FB8"/>
    <w:rsid w:val="00874D3C"/>
    <w:rsid w:val="0087624D"/>
    <w:rsid w:val="008774EE"/>
    <w:rsid w:val="008775CD"/>
    <w:rsid w:val="00880050"/>
    <w:rsid w:val="008837AE"/>
    <w:rsid w:val="00885647"/>
    <w:rsid w:val="008877D7"/>
    <w:rsid w:val="00887A89"/>
    <w:rsid w:val="008921E9"/>
    <w:rsid w:val="00892C1F"/>
    <w:rsid w:val="008945BF"/>
    <w:rsid w:val="00897805"/>
    <w:rsid w:val="00897BC9"/>
    <w:rsid w:val="008A0969"/>
    <w:rsid w:val="008A0D0F"/>
    <w:rsid w:val="008A4C2C"/>
    <w:rsid w:val="008A686A"/>
    <w:rsid w:val="008A6D65"/>
    <w:rsid w:val="008B0530"/>
    <w:rsid w:val="008B1429"/>
    <w:rsid w:val="008B20F6"/>
    <w:rsid w:val="008B4FC4"/>
    <w:rsid w:val="008C4D76"/>
    <w:rsid w:val="008C5790"/>
    <w:rsid w:val="008C6FA5"/>
    <w:rsid w:val="008C7EC0"/>
    <w:rsid w:val="008D231D"/>
    <w:rsid w:val="008D4038"/>
    <w:rsid w:val="008D6F12"/>
    <w:rsid w:val="008E1C4F"/>
    <w:rsid w:val="008E3B6A"/>
    <w:rsid w:val="008E5F6E"/>
    <w:rsid w:val="008E7216"/>
    <w:rsid w:val="008F0CFF"/>
    <w:rsid w:val="008F119D"/>
    <w:rsid w:val="00900684"/>
    <w:rsid w:val="009017E1"/>
    <w:rsid w:val="00901D29"/>
    <w:rsid w:val="00902742"/>
    <w:rsid w:val="00906D03"/>
    <w:rsid w:val="00910B04"/>
    <w:rsid w:val="0091431D"/>
    <w:rsid w:val="00914D9D"/>
    <w:rsid w:val="00923D42"/>
    <w:rsid w:val="009243BB"/>
    <w:rsid w:val="00924EAF"/>
    <w:rsid w:val="009262C8"/>
    <w:rsid w:val="009266CE"/>
    <w:rsid w:val="009307E3"/>
    <w:rsid w:val="009308BE"/>
    <w:rsid w:val="00931C18"/>
    <w:rsid w:val="00931C25"/>
    <w:rsid w:val="009374E7"/>
    <w:rsid w:val="009427B0"/>
    <w:rsid w:val="009441CD"/>
    <w:rsid w:val="009460C8"/>
    <w:rsid w:val="009523E2"/>
    <w:rsid w:val="0095634A"/>
    <w:rsid w:val="00956E98"/>
    <w:rsid w:val="00957249"/>
    <w:rsid w:val="00960664"/>
    <w:rsid w:val="00963D63"/>
    <w:rsid w:val="00964EF7"/>
    <w:rsid w:val="00964FA1"/>
    <w:rsid w:val="00966980"/>
    <w:rsid w:val="009727AC"/>
    <w:rsid w:val="00974F9F"/>
    <w:rsid w:val="009757B1"/>
    <w:rsid w:val="009801D2"/>
    <w:rsid w:val="00985105"/>
    <w:rsid w:val="00985E6C"/>
    <w:rsid w:val="00987BBD"/>
    <w:rsid w:val="009907D3"/>
    <w:rsid w:val="00991799"/>
    <w:rsid w:val="00991FF4"/>
    <w:rsid w:val="00997901"/>
    <w:rsid w:val="009A09F7"/>
    <w:rsid w:val="009A1C92"/>
    <w:rsid w:val="009A52F7"/>
    <w:rsid w:val="009B2079"/>
    <w:rsid w:val="009B5C15"/>
    <w:rsid w:val="009B6CDF"/>
    <w:rsid w:val="009C0946"/>
    <w:rsid w:val="009C124F"/>
    <w:rsid w:val="009C2EC7"/>
    <w:rsid w:val="009C3DE6"/>
    <w:rsid w:val="009C45C5"/>
    <w:rsid w:val="009C7076"/>
    <w:rsid w:val="009C7F7B"/>
    <w:rsid w:val="009D70E7"/>
    <w:rsid w:val="009D788E"/>
    <w:rsid w:val="009D7BD8"/>
    <w:rsid w:val="009D7CF6"/>
    <w:rsid w:val="009F10AD"/>
    <w:rsid w:val="009F1D04"/>
    <w:rsid w:val="009F455F"/>
    <w:rsid w:val="009F620C"/>
    <w:rsid w:val="009F7AA8"/>
    <w:rsid w:val="00A00C6B"/>
    <w:rsid w:val="00A0725F"/>
    <w:rsid w:val="00A078DF"/>
    <w:rsid w:val="00A10787"/>
    <w:rsid w:val="00A11B68"/>
    <w:rsid w:val="00A11D0C"/>
    <w:rsid w:val="00A11E84"/>
    <w:rsid w:val="00A139A3"/>
    <w:rsid w:val="00A15981"/>
    <w:rsid w:val="00A20C8C"/>
    <w:rsid w:val="00A21420"/>
    <w:rsid w:val="00A30334"/>
    <w:rsid w:val="00A310FB"/>
    <w:rsid w:val="00A3124C"/>
    <w:rsid w:val="00A35B20"/>
    <w:rsid w:val="00A366BE"/>
    <w:rsid w:val="00A36F91"/>
    <w:rsid w:val="00A4041D"/>
    <w:rsid w:val="00A42CF6"/>
    <w:rsid w:val="00A45E00"/>
    <w:rsid w:val="00A47848"/>
    <w:rsid w:val="00A47A4D"/>
    <w:rsid w:val="00A52642"/>
    <w:rsid w:val="00A52923"/>
    <w:rsid w:val="00A53A13"/>
    <w:rsid w:val="00A55D38"/>
    <w:rsid w:val="00A55E36"/>
    <w:rsid w:val="00A57723"/>
    <w:rsid w:val="00A71443"/>
    <w:rsid w:val="00A71FE3"/>
    <w:rsid w:val="00A746F8"/>
    <w:rsid w:val="00A7609F"/>
    <w:rsid w:val="00A76964"/>
    <w:rsid w:val="00A80BD7"/>
    <w:rsid w:val="00A82384"/>
    <w:rsid w:val="00A8464D"/>
    <w:rsid w:val="00A92B9C"/>
    <w:rsid w:val="00A935E0"/>
    <w:rsid w:val="00A938D8"/>
    <w:rsid w:val="00A96288"/>
    <w:rsid w:val="00AA2504"/>
    <w:rsid w:val="00AA2AC3"/>
    <w:rsid w:val="00AA49EA"/>
    <w:rsid w:val="00AB3AF8"/>
    <w:rsid w:val="00AB4A29"/>
    <w:rsid w:val="00AB5583"/>
    <w:rsid w:val="00AB71D3"/>
    <w:rsid w:val="00AB785C"/>
    <w:rsid w:val="00AC2651"/>
    <w:rsid w:val="00AC67C4"/>
    <w:rsid w:val="00AD0267"/>
    <w:rsid w:val="00AD248D"/>
    <w:rsid w:val="00AD3077"/>
    <w:rsid w:val="00AD3C04"/>
    <w:rsid w:val="00AD41E5"/>
    <w:rsid w:val="00AD4978"/>
    <w:rsid w:val="00AD4D36"/>
    <w:rsid w:val="00AD6E4F"/>
    <w:rsid w:val="00AE3126"/>
    <w:rsid w:val="00AE37A7"/>
    <w:rsid w:val="00AE7C92"/>
    <w:rsid w:val="00AF4CAC"/>
    <w:rsid w:val="00AF74AA"/>
    <w:rsid w:val="00AF77F5"/>
    <w:rsid w:val="00AF7AF9"/>
    <w:rsid w:val="00B01B99"/>
    <w:rsid w:val="00B03251"/>
    <w:rsid w:val="00B10449"/>
    <w:rsid w:val="00B10BEF"/>
    <w:rsid w:val="00B14F5E"/>
    <w:rsid w:val="00B156C3"/>
    <w:rsid w:val="00B168BB"/>
    <w:rsid w:val="00B1773E"/>
    <w:rsid w:val="00B20D91"/>
    <w:rsid w:val="00B217BF"/>
    <w:rsid w:val="00B24F9B"/>
    <w:rsid w:val="00B25915"/>
    <w:rsid w:val="00B278AE"/>
    <w:rsid w:val="00B27B3A"/>
    <w:rsid w:val="00B3256D"/>
    <w:rsid w:val="00B326BB"/>
    <w:rsid w:val="00B37BFF"/>
    <w:rsid w:val="00B415BA"/>
    <w:rsid w:val="00B469F8"/>
    <w:rsid w:val="00B51EEC"/>
    <w:rsid w:val="00B52A6C"/>
    <w:rsid w:val="00B537DF"/>
    <w:rsid w:val="00B56288"/>
    <w:rsid w:val="00B5665E"/>
    <w:rsid w:val="00B56C02"/>
    <w:rsid w:val="00B57413"/>
    <w:rsid w:val="00B57EFA"/>
    <w:rsid w:val="00B6252E"/>
    <w:rsid w:val="00B642F4"/>
    <w:rsid w:val="00B7178D"/>
    <w:rsid w:val="00B74B5C"/>
    <w:rsid w:val="00B778A0"/>
    <w:rsid w:val="00B83190"/>
    <w:rsid w:val="00B8589B"/>
    <w:rsid w:val="00B928FE"/>
    <w:rsid w:val="00B92FEE"/>
    <w:rsid w:val="00B964B2"/>
    <w:rsid w:val="00BA3743"/>
    <w:rsid w:val="00BA5033"/>
    <w:rsid w:val="00BA607E"/>
    <w:rsid w:val="00BA74AA"/>
    <w:rsid w:val="00BB094D"/>
    <w:rsid w:val="00BB0C4C"/>
    <w:rsid w:val="00BB2296"/>
    <w:rsid w:val="00BB4E90"/>
    <w:rsid w:val="00BB5382"/>
    <w:rsid w:val="00BB6EC9"/>
    <w:rsid w:val="00BC06C9"/>
    <w:rsid w:val="00BC1D27"/>
    <w:rsid w:val="00BC1DA7"/>
    <w:rsid w:val="00BC412A"/>
    <w:rsid w:val="00BC7272"/>
    <w:rsid w:val="00BD2C41"/>
    <w:rsid w:val="00BD31D0"/>
    <w:rsid w:val="00BD4082"/>
    <w:rsid w:val="00BD7CF0"/>
    <w:rsid w:val="00BE0F7F"/>
    <w:rsid w:val="00BE25CA"/>
    <w:rsid w:val="00BE7533"/>
    <w:rsid w:val="00BF1076"/>
    <w:rsid w:val="00BF2F61"/>
    <w:rsid w:val="00BF726B"/>
    <w:rsid w:val="00C004BA"/>
    <w:rsid w:val="00C00FED"/>
    <w:rsid w:val="00C01589"/>
    <w:rsid w:val="00C041C8"/>
    <w:rsid w:val="00C049CB"/>
    <w:rsid w:val="00C06607"/>
    <w:rsid w:val="00C06B16"/>
    <w:rsid w:val="00C07234"/>
    <w:rsid w:val="00C1151B"/>
    <w:rsid w:val="00C14E1C"/>
    <w:rsid w:val="00C16299"/>
    <w:rsid w:val="00C206D6"/>
    <w:rsid w:val="00C2159C"/>
    <w:rsid w:val="00C2381F"/>
    <w:rsid w:val="00C24A25"/>
    <w:rsid w:val="00C258FF"/>
    <w:rsid w:val="00C271ED"/>
    <w:rsid w:val="00C31833"/>
    <w:rsid w:val="00C32ED5"/>
    <w:rsid w:val="00C36071"/>
    <w:rsid w:val="00C368AB"/>
    <w:rsid w:val="00C371A1"/>
    <w:rsid w:val="00C404DA"/>
    <w:rsid w:val="00C43547"/>
    <w:rsid w:val="00C64174"/>
    <w:rsid w:val="00C64C13"/>
    <w:rsid w:val="00C65E33"/>
    <w:rsid w:val="00C702B9"/>
    <w:rsid w:val="00C70806"/>
    <w:rsid w:val="00C70E56"/>
    <w:rsid w:val="00C8127A"/>
    <w:rsid w:val="00C860E6"/>
    <w:rsid w:val="00C862AE"/>
    <w:rsid w:val="00C90623"/>
    <w:rsid w:val="00C941B5"/>
    <w:rsid w:val="00C966DF"/>
    <w:rsid w:val="00CA0462"/>
    <w:rsid w:val="00CA095C"/>
    <w:rsid w:val="00CA0F01"/>
    <w:rsid w:val="00CA39A3"/>
    <w:rsid w:val="00CA430B"/>
    <w:rsid w:val="00CA6300"/>
    <w:rsid w:val="00CB0291"/>
    <w:rsid w:val="00CB17E6"/>
    <w:rsid w:val="00CB69C5"/>
    <w:rsid w:val="00CC24A7"/>
    <w:rsid w:val="00CC2AFD"/>
    <w:rsid w:val="00CC45B5"/>
    <w:rsid w:val="00CC7C3D"/>
    <w:rsid w:val="00CD1EF6"/>
    <w:rsid w:val="00CD291C"/>
    <w:rsid w:val="00CD5EF8"/>
    <w:rsid w:val="00CE0DD0"/>
    <w:rsid w:val="00CE0E94"/>
    <w:rsid w:val="00CE1223"/>
    <w:rsid w:val="00CF02BF"/>
    <w:rsid w:val="00CF0561"/>
    <w:rsid w:val="00CF0F7A"/>
    <w:rsid w:val="00CF3ECB"/>
    <w:rsid w:val="00CF4DB6"/>
    <w:rsid w:val="00CF6791"/>
    <w:rsid w:val="00D01E65"/>
    <w:rsid w:val="00D057EE"/>
    <w:rsid w:val="00D068B3"/>
    <w:rsid w:val="00D06B97"/>
    <w:rsid w:val="00D126A6"/>
    <w:rsid w:val="00D1418F"/>
    <w:rsid w:val="00D170A9"/>
    <w:rsid w:val="00D202C2"/>
    <w:rsid w:val="00D2110F"/>
    <w:rsid w:val="00D273F4"/>
    <w:rsid w:val="00D27A8F"/>
    <w:rsid w:val="00D30A46"/>
    <w:rsid w:val="00D30E33"/>
    <w:rsid w:val="00D33D7C"/>
    <w:rsid w:val="00D35415"/>
    <w:rsid w:val="00D41294"/>
    <w:rsid w:val="00D4408A"/>
    <w:rsid w:val="00D445CC"/>
    <w:rsid w:val="00D475B0"/>
    <w:rsid w:val="00D55AD5"/>
    <w:rsid w:val="00D563AD"/>
    <w:rsid w:val="00D60529"/>
    <w:rsid w:val="00D6411C"/>
    <w:rsid w:val="00D65684"/>
    <w:rsid w:val="00D65E92"/>
    <w:rsid w:val="00D705C4"/>
    <w:rsid w:val="00D710B6"/>
    <w:rsid w:val="00D74F4C"/>
    <w:rsid w:val="00D7645C"/>
    <w:rsid w:val="00D809B6"/>
    <w:rsid w:val="00D84FB3"/>
    <w:rsid w:val="00D852CC"/>
    <w:rsid w:val="00D91DC4"/>
    <w:rsid w:val="00D93CC5"/>
    <w:rsid w:val="00D958BA"/>
    <w:rsid w:val="00D95C12"/>
    <w:rsid w:val="00DA72C1"/>
    <w:rsid w:val="00DA7691"/>
    <w:rsid w:val="00DB09C1"/>
    <w:rsid w:val="00DB14B7"/>
    <w:rsid w:val="00DB2218"/>
    <w:rsid w:val="00DB2D11"/>
    <w:rsid w:val="00DB3C17"/>
    <w:rsid w:val="00DB3F42"/>
    <w:rsid w:val="00DB6535"/>
    <w:rsid w:val="00DB6BEF"/>
    <w:rsid w:val="00DC14F1"/>
    <w:rsid w:val="00DC3E51"/>
    <w:rsid w:val="00DC5EBA"/>
    <w:rsid w:val="00DD4565"/>
    <w:rsid w:val="00DD6D2F"/>
    <w:rsid w:val="00DD7668"/>
    <w:rsid w:val="00DE1A6C"/>
    <w:rsid w:val="00DE3314"/>
    <w:rsid w:val="00DE416A"/>
    <w:rsid w:val="00DE7197"/>
    <w:rsid w:val="00DF4404"/>
    <w:rsid w:val="00DF4968"/>
    <w:rsid w:val="00DF569F"/>
    <w:rsid w:val="00DF7EA0"/>
    <w:rsid w:val="00E0119F"/>
    <w:rsid w:val="00E0544A"/>
    <w:rsid w:val="00E05CA4"/>
    <w:rsid w:val="00E0601A"/>
    <w:rsid w:val="00E07A85"/>
    <w:rsid w:val="00E11EBB"/>
    <w:rsid w:val="00E12C78"/>
    <w:rsid w:val="00E154A6"/>
    <w:rsid w:val="00E15990"/>
    <w:rsid w:val="00E15D50"/>
    <w:rsid w:val="00E1726B"/>
    <w:rsid w:val="00E211DA"/>
    <w:rsid w:val="00E21FDF"/>
    <w:rsid w:val="00E255EC"/>
    <w:rsid w:val="00E26783"/>
    <w:rsid w:val="00E279CB"/>
    <w:rsid w:val="00E3256D"/>
    <w:rsid w:val="00E35443"/>
    <w:rsid w:val="00E357AE"/>
    <w:rsid w:val="00E36561"/>
    <w:rsid w:val="00E37AFC"/>
    <w:rsid w:val="00E37B8A"/>
    <w:rsid w:val="00E42A07"/>
    <w:rsid w:val="00E42C13"/>
    <w:rsid w:val="00E42E15"/>
    <w:rsid w:val="00E4580E"/>
    <w:rsid w:val="00E478CE"/>
    <w:rsid w:val="00E479CF"/>
    <w:rsid w:val="00E47D84"/>
    <w:rsid w:val="00E52A36"/>
    <w:rsid w:val="00E52B41"/>
    <w:rsid w:val="00E559E1"/>
    <w:rsid w:val="00E568E8"/>
    <w:rsid w:val="00E6258E"/>
    <w:rsid w:val="00E62A73"/>
    <w:rsid w:val="00E62CA0"/>
    <w:rsid w:val="00E6308B"/>
    <w:rsid w:val="00E64210"/>
    <w:rsid w:val="00E704B2"/>
    <w:rsid w:val="00E70BC0"/>
    <w:rsid w:val="00E7225B"/>
    <w:rsid w:val="00E75462"/>
    <w:rsid w:val="00E766DA"/>
    <w:rsid w:val="00E802AD"/>
    <w:rsid w:val="00E81838"/>
    <w:rsid w:val="00E8356A"/>
    <w:rsid w:val="00E95C7B"/>
    <w:rsid w:val="00E966FC"/>
    <w:rsid w:val="00E970E4"/>
    <w:rsid w:val="00EA03A9"/>
    <w:rsid w:val="00EA13B0"/>
    <w:rsid w:val="00EA311A"/>
    <w:rsid w:val="00EA3F95"/>
    <w:rsid w:val="00EA52C5"/>
    <w:rsid w:val="00EA68B5"/>
    <w:rsid w:val="00EB63A0"/>
    <w:rsid w:val="00EC0D3D"/>
    <w:rsid w:val="00EC5978"/>
    <w:rsid w:val="00EC64BC"/>
    <w:rsid w:val="00EC7D31"/>
    <w:rsid w:val="00ED44C6"/>
    <w:rsid w:val="00ED7D08"/>
    <w:rsid w:val="00EE0A65"/>
    <w:rsid w:val="00EE3990"/>
    <w:rsid w:val="00EE5601"/>
    <w:rsid w:val="00EF1D60"/>
    <w:rsid w:val="00EF3C04"/>
    <w:rsid w:val="00EF3E15"/>
    <w:rsid w:val="00EF5E15"/>
    <w:rsid w:val="00EF6106"/>
    <w:rsid w:val="00F02879"/>
    <w:rsid w:val="00F03456"/>
    <w:rsid w:val="00F03ACA"/>
    <w:rsid w:val="00F04643"/>
    <w:rsid w:val="00F0535E"/>
    <w:rsid w:val="00F053C9"/>
    <w:rsid w:val="00F06C40"/>
    <w:rsid w:val="00F06E42"/>
    <w:rsid w:val="00F07020"/>
    <w:rsid w:val="00F16CB6"/>
    <w:rsid w:val="00F206D6"/>
    <w:rsid w:val="00F222AD"/>
    <w:rsid w:val="00F23E10"/>
    <w:rsid w:val="00F25788"/>
    <w:rsid w:val="00F27254"/>
    <w:rsid w:val="00F31B2C"/>
    <w:rsid w:val="00F31B91"/>
    <w:rsid w:val="00F3780F"/>
    <w:rsid w:val="00F43177"/>
    <w:rsid w:val="00F45305"/>
    <w:rsid w:val="00F4730B"/>
    <w:rsid w:val="00F50F05"/>
    <w:rsid w:val="00F548D3"/>
    <w:rsid w:val="00F54CDB"/>
    <w:rsid w:val="00F62BEE"/>
    <w:rsid w:val="00F67D00"/>
    <w:rsid w:val="00F70037"/>
    <w:rsid w:val="00F80F95"/>
    <w:rsid w:val="00F90FDB"/>
    <w:rsid w:val="00F91645"/>
    <w:rsid w:val="00F91787"/>
    <w:rsid w:val="00F918C6"/>
    <w:rsid w:val="00FA191C"/>
    <w:rsid w:val="00FA2C32"/>
    <w:rsid w:val="00FA31D3"/>
    <w:rsid w:val="00FA40AC"/>
    <w:rsid w:val="00FA4FAB"/>
    <w:rsid w:val="00FA6D38"/>
    <w:rsid w:val="00FB5DE7"/>
    <w:rsid w:val="00FB7410"/>
    <w:rsid w:val="00FB7F6D"/>
    <w:rsid w:val="00FC008E"/>
    <w:rsid w:val="00FC0780"/>
    <w:rsid w:val="00FC211D"/>
    <w:rsid w:val="00FC519F"/>
    <w:rsid w:val="00FC5EBE"/>
    <w:rsid w:val="00FD0316"/>
    <w:rsid w:val="00FD0792"/>
    <w:rsid w:val="00FE0474"/>
    <w:rsid w:val="00FE3282"/>
    <w:rsid w:val="00FE5033"/>
    <w:rsid w:val="00FE578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14"/>
    <w:pPr>
      <w:spacing w:after="0" w:line="480" w:lineRule="auto"/>
      <w:jc w:val="both"/>
    </w:pPr>
    <w:rPr>
      <w:rFonts w:eastAsia="Times New Roman" w:cs="Times New Roman"/>
    </w:rPr>
  </w:style>
  <w:style w:type="paragraph" w:styleId="Heading1">
    <w:name w:val="heading 1"/>
    <w:aliases w:val="Style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yle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yle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aliases w:val="Style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59799B"/>
    <w:pPr>
      <w:widowControl w:val="0"/>
      <w:spacing w:before="120" w:line="240" w:lineRule="auto"/>
      <w:ind w:left="284" w:hanging="284"/>
    </w:pPr>
    <w:rPr>
      <w:rFonts w:ascii="Arial" w:eastAsia="Cambria" w:hAnsi="Arial"/>
      <w:sz w:val="20"/>
      <w:szCs w:val="24"/>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59799B"/>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aliases w:val="Style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aliases w:val="Style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5109F9"/>
    <w:pPr>
      <w:numPr>
        <w:ilvl w:val="1"/>
      </w:numPr>
      <w:ind w:left="1701" w:hanging="993"/>
    </w:pPr>
  </w:style>
  <w:style w:type="paragraph" w:customStyle="1" w:styleId="LCORder0">
    <w:name w:val="LC ORder"/>
    <w:basedOn w:val="LC1"/>
    <w:link w:val="LCORderChar"/>
    <w:rsid w:val="00400C5A"/>
    <w:pPr>
      <w:numPr>
        <w:numId w:val="0"/>
      </w:numPr>
      <w:spacing w:after="120"/>
    </w:pPr>
    <w:rPr>
      <w:rFonts w:cs="Arial"/>
      <w:szCs w:val="24"/>
    </w:rPr>
  </w:style>
  <w:style w:type="character" w:customStyle="1" w:styleId="LC2Char">
    <w:name w:val="LC2 Char"/>
    <w:basedOn w:val="LC1Char"/>
    <w:link w:val="LC2"/>
    <w:rsid w:val="005109F9"/>
    <w:rPr>
      <w:rFonts w:ascii="Arial" w:eastAsia="Times New Roman" w:hAnsi="Arial" w:cs="Times New Roman"/>
      <w:sz w:val="24"/>
      <w:szCs w:val="20"/>
    </w:rPr>
  </w:style>
  <w:style w:type="character" w:customStyle="1" w:styleId="LCORderChar">
    <w:name w:val="LC ORder Char"/>
    <w:basedOn w:val="LC1Char"/>
    <w:link w:val="LCORder0"/>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character" w:customStyle="1" w:styleId="UnresolvedMention1">
    <w:name w:val="Unresolved Mention1"/>
    <w:basedOn w:val="DefaultParagraphFont"/>
    <w:uiPriority w:val="99"/>
    <w:semiHidden/>
    <w:unhideWhenUsed/>
    <w:rsid w:val="00B03251"/>
    <w:rPr>
      <w:color w:val="605E5C"/>
      <w:shd w:val="clear" w:color="auto" w:fill="E1DFDD"/>
    </w:rPr>
  </w:style>
  <w:style w:type="paragraph" w:customStyle="1" w:styleId="Style40">
    <w:name w:val="Style 4"/>
    <w:basedOn w:val="Heading3"/>
    <w:next w:val="Normal"/>
    <w:link w:val="Style4Char"/>
    <w:qFormat/>
    <w:rsid w:val="00D33D7C"/>
    <w:pPr>
      <w:widowControl/>
      <w:numPr>
        <w:ilvl w:val="0"/>
        <w:numId w:val="0"/>
      </w:numPr>
      <w:tabs>
        <w:tab w:val="num" w:pos="2880"/>
      </w:tabs>
      <w:spacing w:after="240"/>
      <w:ind w:left="2880" w:hanging="2880"/>
      <w:outlineLvl w:val="9"/>
    </w:pPr>
    <w:rPr>
      <w:rFonts w:eastAsia="Times New Roman" w:cstheme="minorBidi"/>
      <w:bCs w:val="0"/>
      <w:szCs w:val="22"/>
    </w:rPr>
  </w:style>
  <w:style w:type="character" w:customStyle="1" w:styleId="Style4Char">
    <w:name w:val="Style 4 Char"/>
    <w:basedOn w:val="DefaultParagraphFont"/>
    <w:link w:val="Style40"/>
    <w:rsid w:val="00D33D7C"/>
    <w:rPr>
      <w:rFonts w:ascii="Arial" w:eastAsia="Times New Roman" w:hAnsi="Arial"/>
      <w:sz w:val="24"/>
    </w:rPr>
  </w:style>
  <w:style w:type="paragraph" w:customStyle="1" w:styleId="LCOrder">
    <w:name w:val="LC Order"/>
    <w:basedOn w:val="LC1"/>
    <w:link w:val="LCOrderChar0"/>
    <w:qFormat/>
    <w:rsid w:val="00C206D6"/>
    <w:pPr>
      <w:numPr>
        <w:ilvl w:val="3"/>
      </w:numPr>
      <w:ind w:left="1418" w:hanging="709"/>
    </w:pPr>
  </w:style>
  <w:style w:type="character" w:customStyle="1" w:styleId="LCOrderChar0">
    <w:name w:val="LC Order Char"/>
    <w:basedOn w:val="LC1Char"/>
    <w:link w:val="LCOrder"/>
    <w:rsid w:val="00C206D6"/>
    <w:rPr>
      <w:rFonts w:ascii="Arial" w:eastAsia="Times New Roman" w:hAnsi="Arial" w:cs="Times New Roman"/>
      <w:sz w:val="24"/>
      <w:szCs w:val="20"/>
    </w:rPr>
  </w:style>
  <w:style w:type="paragraph" w:customStyle="1" w:styleId="Quotation">
    <w:name w:val="Quotation"/>
    <w:basedOn w:val="Heading2"/>
    <w:link w:val="QuotationChar"/>
    <w:qFormat/>
    <w:rsid w:val="00845BCB"/>
    <w:pPr>
      <w:keepNext w:val="0"/>
      <w:keepLines w:val="0"/>
      <w:widowControl w:val="0"/>
      <w:spacing w:before="0" w:after="240"/>
      <w:ind w:left="1440"/>
    </w:pPr>
    <w:rPr>
      <w:rFonts w:ascii="Arial" w:eastAsiaTheme="minorHAnsi" w:hAnsi="Arial" w:cs="Times New Roman"/>
      <w:i/>
      <w:iCs/>
      <w:color w:val="auto"/>
      <w:sz w:val="24"/>
      <w:szCs w:val="20"/>
      <w:lang w:eastAsia="en-GB"/>
    </w:rPr>
  </w:style>
  <w:style w:type="character" w:customStyle="1" w:styleId="QuotationChar">
    <w:name w:val="Quotation Char"/>
    <w:basedOn w:val="DefaultParagraphFont"/>
    <w:link w:val="Quotation"/>
    <w:rsid w:val="00845BCB"/>
    <w:rPr>
      <w:rFonts w:ascii="Arial" w:eastAsiaTheme="minorHAnsi" w:hAnsi="Arial" w:cs="Times New Roman"/>
      <w:i/>
      <w:iCs/>
      <w:sz w:val="24"/>
      <w:szCs w:val="20"/>
      <w:lang w:eastAsia="en-GB"/>
    </w:rPr>
  </w:style>
  <w:style w:type="paragraph" w:styleId="Revision">
    <w:name w:val="Revision"/>
    <w:hidden/>
    <w:uiPriority w:val="99"/>
    <w:semiHidden/>
    <w:rsid w:val="00B642F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7751">
      <w:bodyDiv w:val="1"/>
      <w:marLeft w:val="0"/>
      <w:marRight w:val="0"/>
      <w:marTop w:val="0"/>
      <w:marBottom w:val="0"/>
      <w:divBdr>
        <w:top w:val="none" w:sz="0" w:space="0" w:color="auto"/>
        <w:left w:val="none" w:sz="0" w:space="0" w:color="auto"/>
        <w:bottom w:val="none" w:sz="0" w:space="0" w:color="auto"/>
        <w:right w:val="none" w:sz="0" w:space="0" w:color="auto"/>
      </w:divBdr>
      <w:divsChild>
        <w:div w:id="1467551731">
          <w:marLeft w:val="0"/>
          <w:marRight w:val="0"/>
          <w:marTop w:val="0"/>
          <w:marBottom w:val="0"/>
          <w:divBdr>
            <w:top w:val="none" w:sz="0" w:space="0" w:color="auto"/>
            <w:left w:val="none" w:sz="0" w:space="0" w:color="auto"/>
            <w:bottom w:val="none" w:sz="0" w:space="0" w:color="auto"/>
            <w:right w:val="none" w:sz="0" w:space="0" w:color="auto"/>
          </w:divBdr>
        </w:div>
        <w:div w:id="1643462552">
          <w:marLeft w:val="0"/>
          <w:marRight w:val="0"/>
          <w:marTop w:val="0"/>
          <w:marBottom w:val="0"/>
          <w:divBdr>
            <w:top w:val="none" w:sz="0" w:space="0" w:color="auto"/>
            <w:left w:val="none" w:sz="0" w:space="0" w:color="auto"/>
            <w:bottom w:val="none" w:sz="0" w:space="0" w:color="auto"/>
            <w:right w:val="none" w:sz="0" w:space="0" w:color="auto"/>
          </w:divBdr>
        </w:div>
        <w:div w:id="1132672054">
          <w:marLeft w:val="0"/>
          <w:marRight w:val="0"/>
          <w:marTop w:val="0"/>
          <w:marBottom w:val="0"/>
          <w:divBdr>
            <w:top w:val="none" w:sz="0" w:space="0" w:color="auto"/>
            <w:left w:val="none" w:sz="0" w:space="0" w:color="auto"/>
            <w:bottom w:val="none" w:sz="0" w:space="0" w:color="auto"/>
            <w:right w:val="none" w:sz="0" w:space="0" w:color="auto"/>
          </w:divBdr>
        </w:div>
        <w:div w:id="602538362">
          <w:marLeft w:val="0"/>
          <w:marRight w:val="0"/>
          <w:marTop w:val="0"/>
          <w:marBottom w:val="0"/>
          <w:divBdr>
            <w:top w:val="none" w:sz="0" w:space="0" w:color="auto"/>
            <w:left w:val="none" w:sz="0" w:space="0" w:color="auto"/>
            <w:bottom w:val="none" w:sz="0" w:space="0" w:color="auto"/>
            <w:right w:val="none" w:sz="0" w:space="0" w:color="auto"/>
          </w:divBdr>
        </w:div>
        <w:div w:id="850992138">
          <w:marLeft w:val="0"/>
          <w:marRight w:val="0"/>
          <w:marTop w:val="0"/>
          <w:marBottom w:val="0"/>
          <w:divBdr>
            <w:top w:val="none" w:sz="0" w:space="0" w:color="auto"/>
            <w:left w:val="none" w:sz="0" w:space="0" w:color="auto"/>
            <w:bottom w:val="none" w:sz="0" w:space="0" w:color="auto"/>
            <w:right w:val="none" w:sz="0" w:space="0" w:color="auto"/>
          </w:divBdr>
        </w:div>
        <w:div w:id="1121849841">
          <w:marLeft w:val="0"/>
          <w:marRight w:val="0"/>
          <w:marTop w:val="0"/>
          <w:marBottom w:val="0"/>
          <w:divBdr>
            <w:top w:val="none" w:sz="0" w:space="0" w:color="auto"/>
            <w:left w:val="none" w:sz="0" w:space="0" w:color="auto"/>
            <w:bottom w:val="none" w:sz="0" w:space="0" w:color="auto"/>
            <w:right w:val="none" w:sz="0" w:space="0" w:color="auto"/>
          </w:divBdr>
        </w:div>
        <w:div w:id="1345744407">
          <w:marLeft w:val="0"/>
          <w:marRight w:val="0"/>
          <w:marTop w:val="0"/>
          <w:marBottom w:val="0"/>
          <w:divBdr>
            <w:top w:val="none" w:sz="0" w:space="0" w:color="auto"/>
            <w:left w:val="none" w:sz="0" w:space="0" w:color="auto"/>
            <w:bottom w:val="none" w:sz="0" w:space="0" w:color="auto"/>
            <w:right w:val="none" w:sz="0" w:space="0" w:color="auto"/>
          </w:divBdr>
        </w:div>
        <w:div w:id="111631190">
          <w:marLeft w:val="0"/>
          <w:marRight w:val="0"/>
          <w:marTop w:val="0"/>
          <w:marBottom w:val="0"/>
          <w:divBdr>
            <w:top w:val="none" w:sz="0" w:space="0" w:color="auto"/>
            <w:left w:val="none" w:sz="0" w:space="0" w:color="auto"/>
            <w:bottom w:val="none" w:sz="0" w:space="0" w:color="auto"/>
            <w:right w:val="none" w:sz="0" w:space="0" w:color="auto"/>
          </w:divBdr>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832">
      <w:bodyDiv w:val="1"/>
      <w:marLeft w:val="0"/>
      <w:marRight w:val="0"/>
      <w:marTop w:val="0"/>
      <w:marBottom w:val="0"/>
      <w:divBdr>
        <w:top w:val="none" w:sz="0" w:space="0" w:color="auto"/>
        <w:left w:val="none" w:sz="0" w:space="0" w:color="auto"/>
        <w:bottom w:val="none" w:sz="0" w:space="0" w:color="auto"/>
        <w:right w:val="none" w:sz="0" w:space="0" w:color="auto"/>
      </w:divBdr>
      <w:divsChild>
        <w:div w:id="59907171">
          <w:marLeft w:val="0"/>
          <w:marRight w:val="0"/>
          <w:marTop w:val="0"/>
          <w:marBottom w:val="0"/>
          <w:divBdr>
            <w:top w:val="none" w:sz="0" w:space="0" w:color="auto"/>
            <w:left w:val="none" w:sz="0" w:space="0" w:color="auto"/>
            <w:bottom w:val="none" w:sz="0" w:space="0" w:color="auto"/>
            <w:right w:val="none" w:sz="0" w:space="0" w:color="auto"/>
          </w:divBdr>
        </w:div>
        <w:div w:id="39937451">
          <w:marLeft w:val="0"/>
          <w:marRight w:val="0"/>
          <w:marTop w:val="0"/>
          <w:marBottom w:val="0"/>
          <w:divBdr>
            <w:top w:val="none" w:sz="0" w:space="0" w:color="auto"/>
            <w:left w:val="none" w:sz="0" w:space="0" w:color="auto"/>
            <w:bottom w:val="none" w:sz="0" w:space="0" w:color="auto"/>
            <w:right w:val="none" w:sz="0" w:space="0" w:color="auto"/>
          </w:divBdr>
        </w:div>
        <w:div w:id="129329912">
          <w:marLeft w:val="0"/>
          <w:marRight w:val="0"/>
          <w:marTop w:val="0"/>
          <w:marBottom w:val="0"/>
          <w:divBdr>
            <w:top w:val="none" w:sz="0" w:space="0" w:color="auto"/>
            <w:left w:val="none" w:sz="0" w:space="0" w:color="auto"/>
            <w:bottom w:val="none" w:sz="0" w:space="0" w:color="auto"/>
            <w:right w:val="none" w:sz="0" w:space="0" w:color="auto"/>
          </w:divBdr>
        </w:div>
        <w:div w:id="1267419204">
          <w:marLeft w:val="0"/>
          <w:marRight w:val="0"/>
          <w:marTop w:val="0"/>
          <w:marBottom w:val="0"/>
          <w:divBdr>
            <w:top w:val="none" w:sz="0" w:space="0" w:color="auto"/>
            <w:left w:val="none" w:sz="0" w:space="0" w:color="auto"/>
            <w:bottom w:val="none" w:sz="0" w:space="0" w:color="auto"/>
            <w:right w:val="none" w:sz="0" w:space="0" w:color="auto"/>
          </w:divBdr>
        </w:div>
        <w:div w:id="106856125">
          <w:marLeft w:val="0"/>
          <w:marRight w:val="0"/>
          <w:marTop w:val="0"/>
          <w:marBottom w:val="0"/>
          <w:divBdr>
            <w:top w:val="none" w:sz="0" w:space="0" w:color="auto"/>
            <w:left w:val="none" w:sz="0" w:space="0" w:color="auto"/>
            <w:bottom w:val="none" w:sz="0" w:space="0" w:color="auto"/>
            <w:right w:val="none" w:sz="0" w:space="0" w:color="auto"/>
          </w:divBdr>
        </w:div>
        <w:div w:id="1157916660">
          <w:marLeft w:val="0"/>
          <w:marRight w:val="0"/>
          <w:marTop w:val="0"/>
          <w:marBottom w:val="0"/>
          <w:divBdr>
            <w:top w:val="none" w:sz="0" w:space="0" w:color="auto"/>
            <w:left w:val="none" w:sz="0" w:space="0" w:color="auto"/>
            <w:bottom w:val="none" w:sz="0" w:space="0" w:color="auto"/>
            <w:right w:val="none" w:sz="0" w:space="0" w:color="auto"/>
          </w:divBdr>
        </w:div>
        <w:div w:id="560024240">
          <w:marLeft w:val="0"/>
          <w:marRight w:val="0"/>
          <w:marTop w:val="0"/>
          <w:marBottom w:val="0"/>
          <w:divBdr>
            <w:top w:val="none" w:sz="0" w:space="0" w:color="auto"/>
            <w:left w:val="none" w:sz="0" w:space="0" w:color="auto"/>
            <w:bottom w:val="none" w:sz="0" w:space="0" w:color="auto"/>
            <w:right w:val="none" w:sz="0" w:space="0" w:color="auto"/>
          </w:divBdr>
        </w:div>
        <w:div w:id="1915318130">
          <w:marLeft w:val="0"/>
          <w:marRight w:val="0"/>
          <w:marTop w:val="0"/>
          <w:marBottom w:val="0"/>
          <w:divBdr>
            <w:top w:val="none" w:sz="0" w:space="0" w:color="auto"/>
            <w:left w:val="none" w:sz="0" w:space="0" w:color="auto"/>
            <w:bottom w:val="none" w:sz="0" w:space="0" w:color="auto"/>
            <w:right w:val="none" w:sz="0" w:space="0" w:color="auto"/>
          </w:divBdr>
        </w:div>
        <w:div w:id="358243138">
          <w:marLeft w:val="0"/>
          <w:marRight w:val="0"/>
          <w:marTop w:val="0"/>
          <w:marBottom w:val="0"/>
          <w:divBdr>
            <w:top w:val="none" w:sz="0" w:space="0" w:color="auto"/>
            <w:left w:val="none" w:sz="0" w:space="0" w:color="auto"/>
            <w:bottom w:val="none" w:sz="0" w:space="0" w:color="auto"/>
            <w:right w:val="none" w:sz="0" w:space="0" w:color="auto"/>
          </w:divBdr>
        </w:div>
        <w:div w:id="381952147">
          <w:marLeft w:val="0"/>
          <w:marRight w:val="0"/>
          <w:marTop w:val="0"/>
          <w:marBottom w:val="0"/>
          <w:divBdr>
            <w:top w:val="none" w:sz="0" w:space="0" w:color="auto"/>
            <w:left w:val="none" w:sz="0" w:space="0" w:color="auto"/>
            <w:bottom w:val="none" w:sz="0" w:space="0" w:color="auto"/>
            <w:right w:val="none" w:sz="0" w:space="0" w:color="auto"/>
          </w:divBdr>
        </w:div>
        <w:div w:id="710957988">
          <w:marLeft w:val="0"/>
          <w:marRight w:val="0"/>
          <w:marTop w:val="0"/>
          <w:marBottom w:val="0"/>
          <w:divBdr>
            <w:top w:val="none" w:sz="0" w:space="0" w:color="auto"/>
            <w:left w:val="none" w:sz="0" w:space="0" w:color="auto"/>
            <w:bottom w:val="none" w:sz="0" w:space="0" w:color="auto"/>
            <w:right w:val="none" w:sz="0" w:space="0" w:color="auto"/>
          </w:divBdr>
        </w:div>
        <w:div w:id="889876803">
          <w:marLeft w:val="0"/>
          <w:marRight w:val="0"/>
          <w:marTop w:val="0"/>
          <w:marBottom w:val="0"/>
          <w:divBdr>
            <w:top w:val="none" w:sz="0" w:space="0" w:color="auto"/>
            <w:left w:val="none" w:sz="0" w:space="0" w:color="auto"/>
            <w:bottom w:val="none" w:sz="0" w:space="0" w:color="auto"/>
            <w:right w:val="none" w:sz="0" w:space="0" w:color="auto"/>
          </w:divBdr>
        </w:div>
        <w:div w:id="993875744">
          <w:marLeft w:val="0"/>
          <w:marRight w:val="0"/>
          <w:marTop w:val="0"/>
          <w:marBottom w:val="0"/>
          <w:divBdr>
            <w:top w:val="none" w:sz="0" w:space="0" w:color="auto"/>
            <w:left w:val="none" w:sz="0" w:space="0" w:color="auto"/>
            <w:bottom w:val="none" w:sz="0" w:space="0" w:color="auto"/>
            <w:right w:val="none" w:sz="0" w:space="0" w:color="auto"/>
          </w:divBdr>
        </w:div>
        <w:div w:id="200368352">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1415">
      <w:bodyDiv w:val="1"/>
      <w:marLeft w:val="0"/>
      <w:marRight w:val="0"/>
      <w:marTop w:val="0"/>
      <w:marBottom w:val="0"/>
      <w:divBdr>
        <w:top w:val="none" w:sz="0" w:space="0" w:color="auto"/>
        <w:left w:val="none" w:sz="0" w:space="0" w:color="auto"/>
        <w:bottom w:val="none" w:sz="0" w:space="0" w:color="auto"/>
        <w:right w:val="none" w:sz="0" w:space="0" w:color="auto"/>
      </w:divBdr>
      <w:divsChild>
        <w:div w:id="714622709">
          <w:marLeft w:val="0"/>
          <w:marRight w:val="0"/>
          <w:marTop w:val="0"/>
          <w:marBottom w:val="0"/>
          <w:divBdr>
            <w:top w:val="none" w:sz="0" w:space="0" w:color="auto"/>
            <w:left w:val="none" w:sz="0" w:space="0" w:color="auto"/>
            <w:bottom w:val="none" w:sz="0" w:space="0" w:color="auto"/>
            <w:right w:val="none" w:sz="0" w:space="0" w:color="auto"/>
          </w:divBdr>
        </w:div>
        <w:div w:id="1413236653">
          <w:marLeft w:val="0"/>
          <w:marRight w:val="0"/>
          <w:marTop w:val="0"/>
          <w:marBottom w:val="0"/>
          <w:divBdr>
            <w:top w:val="none" w:sz="0" w:space="0" w:color="auto"/>
            <w:left w:val="none" w:sz="0" w:space="0" w:color="auto"/>
            <w:bottom w:val="none" w:sz="0" w:space="0" w:color="auto"/>
            <w:right w:val="none" w:sz="0" w:space="0" w:color="auto"/>
          </w:divBdr>
        </w:div>
        <w:div w:id="1435318116">
          <w:marLeft w:val="0"/>
          <w:marRight w:val="0"/>
          <w:marTop w:val="0"/>
          <w:marBottom w:val="0"/>
          <w:divBdr>
            <w:top w:val="none" w:sz="0" w:space="0" w:color="auto"/>
            <w:left w:val="none" w:sz="0" w:space="0" w:color="auto"/>
            <w:bottom w:val="none" w:sz="0" w:space="0" w:color="auto"/>
            <w:right w:val="none" w:sz="0" w:space="0" w:color="auto"/>
          </w:divBdr>
        </w:div>
        <w:div w:id="380374074">
          <w:marLeft w:val="0"/>
          <w:marRight w:val="0"/>
          <w:marTop w:val="0"/>
          <w:marBottom w:val="0"/>
          <w:divBdr>
            <w:top w:val="none" w:sz="0" w:space="0" w:color="auto"/>
            <w:left w:val="none" w:sz="0" w:space="0" w:color="auto"/>
            <w:bottom w:val="none" w:sz="0" w:space="0" w:color="auto"/>
            <w:right w:val="none" w:sz="0" w:space="0" w:color="auto"/>
          </w:divBdr>
        </w:div>
        <w:div w:id="99301404">
          <w:marLeft w:val="0"/>
          <w:marRight w:val="0"/>
          <w:marTop w:val="0"/>
          <w:marBottom w:val="0"/>
          <w:divBdr>
            <w:top w:val="none" w:sz="0" w:space="0" w:color="auto"/>
            <w:left w:val="none" w:sz="0" w:space="0" w:color="auto"/>
            <w:bottom w:val="none" w:sz="0" w:space="0" w:color="auto"/>
            <w:right w:val="none" w:sz="0" w:space="0" w:color="auto"/>
          </w:divBdr>
        </w:div>
        <w:div w:id="381292882">
          <w:marLeft w:val="0"/>
          <w:marRight w:val="0"/>
          <w:marTop w:val="0"/>
          <w:marBottom w:val="0"/>
          <w:divBdr>
            <w:top w:val="none" w:sz="0" w:space="0" w:color="auto"/>
            <w:left w:val="none" w:sz="0" w:space="0" w:color="auto"/>
            <w:bottom w:val="none" w:sz="0" w:space="0" w:color="auto"/>
            <w:right w:val="none" w:sz="0" w:space="0" w:color="auto"/>
          </w:divBdr>
        </w:div>
        <w:div w:id="6644068">
          <w:marLeft w:val="0"/>
          <w:marRight w:val="0"/>
          <w:marTop w:val="0"/>
          <w:marBottom w:val="0"/>
          <w:divBdr>
            <w:top w:val="none" w:sz="0" w:space="0" w:color="auto"/>
            <w:left w:val="none" w:sz="0" w:space="0" w:color="auto"/>
            <w:bottom w:val="none" w:sz="0" w:space="0" w:color="auto"/>
            <w:right w:val="none" w:sz="0" w:space="0" w:color="auto"/>
          </w:divBdr>
        </w:div>
        <w:div w:id="1369988464">
          <w:marLeft w:val="0"/>
          <w:marRight w:val="0"/>
          <w:marTop w:val="0"/>
          <w:marBottom w:val="0"/>
          <w:divBdr>
            <w:top w:val="none" w:sz="0" w:space="0" w:color="auto"/>
            <w:left w:val="none" w:sz="0" w:space="0" w:color="auto"/>
            <w:bottom w:val="none" w:sz="0" w:space="0" w:color="auto"/>
            <w:right w:val="none" w:sz="0" w:space="0" w:color="auto"/>
          </w:divBdr>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4112">
      <w:bodyDiv w:val="1"/>
      <w:marLeft w:val="0"/>
      <w:marRight w:val="0"/>
      <w:marTop w:val="0"/>
      <w:marBottom w:val="0"/>
      <w:divBdr>
        <w:top w:val="none" w:sz="0" w:space="0" w:color="auto"/>
        <w:left w:val="none" w:sz="0" w:space="0" w:color="auto"/>
        <w:bottom w:val="none" w:sz="0" w:space="0" w:color="auto"/>
        <w:right w:val="none" w:sz="0" w:space="0" w:color="auto"/>
      </w:divBdr>
      <w:divsChild>
        <w:div w:id="732432775">
          <w:marLeft w:val="0"/>
          <w:marRight w:val="0"/>
          <w:marTop w:val="0"/>
          <w:marBottom w:val="0"/>
          <w:divBdr>
            <w:top w:val="none" w:sz="0" w:space="0" w:color="auto"/>
            <w:left w:val="none" w:sz="0" w:space="0" w:color="auto"/>
            <w:bottom w:val="none" w:sz="0" w:space="0" w:color="auto"/>
            <w:right w:val="none" w:sz="0" w:space="0" w:color="auto"/>
          </w:divBdr>
        </w:div>
        <w:div w:id="480468516">
          <w:marLeft w:val="0"/>
          <w:marRight w:val="0"/>
          <w:marTop w:val="0"/>
          <w:marBottom w:val="0"/>
          <w:divBdr>
            <w:top w:val="none" w:sz="0" w:space="0" w:color="auto"/>
            <w:left w:val="none" w:sz="0" w:space="0" w:color="auto"/>
            <w:bottom w:val="none" w:sz="0" w:space="0" w:color="auto"/>
            <w:right w:val="none" w:sz="0" w:space="0" w:color="auto"/>
          </w:divBdr>
        </w:div>
        <w:div w:id="936139007">
          <w:marLeft w:val="0"/>
          <w:marRight w:val="0"/>
          <w:marTop w:val="0"/>
          <w:marBottom w:val="0"/>
          <w:divBdr>
            <w:top w:val="none" w:sz="0" w:space="0" w:color="auto"/>
            <w:left w:val="none" w:sz="0" w:space="0" w:color="auto"/>
            <w:bottom w:val="none" w:sz="0" w:space="0" w:color="auto"/>
            <w:right w:val="none" w:sz="0" w:space="0" w:color="auto"/>
          </w:divBdr>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38463993">
      <w:bodyDiv w:val="1"/>
      <w:marLeft w:val="0"/>
      <w:marRight w:val="0"/>
      <w:marTop w:val="0"/>
      <w:marBottom w:val="0"/>
      <w:divBdr>
        <w:top w:val="none" w:sz="0" w:space="0" w:color="auto"/>
        <w:left w:val="none" w:sz="0" w:space="0" w:color="auto"/>
        <w:bottom w:val="none" w:sz="0" w:space="0" w:color="auto"/>
        <w:right w:val="none" w:sz="0" w:space="0" w:color="auto"/>
      </w:divBdr>
      <w:divsChild>
        <w:div w:id="1183129110">
          <w:marLeft w:val="0"/>
          <w:marRight w:val="0"/>
          <w:marTop w:val="0"/>
          <w:marBottom w:val="0"/>
          <w:divBdr>
            <w:top w:val="none" w:sz="0" w:space="0" w:color="auto"/>
            <w:left w:val="none" w:sz="0" w:space="0" w:color="auto"/>
            <w:bottom w:val="none" w:sz="0" w:space="0" w:color="auto"/>
            <w:right w:val="none" w:sz="0" w:space="0" w:color="auto"/>
          </w:divBdr>
        </w:div>
      </w:divsChild>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24717251">
      <w:bodyDiv w:val="1"/>
      <w:marLeft w:val="0"/>
      <w:marRight w:val="0"/>
      <w:marTop w:val="0"/>
      <w:marBottom w:val="0"/>
      <w:divBdr>
        <w:top w:val="none" w:sz="0" w:space="0" w:color="auto"/>
        <w:left w:val="none" w:sz="0" w:space="0" w:color="auto"/>
        <w:bottom w:val="none" w:sz="0" w:space="0" w:color="auto"/>
        <w:right w:val="none" w:sz="0" w:space="0" w:color="auto"/>
      </w:divBdr>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22402913">
      <w:bodyDiv w:val="1"/>
      <w:marLeft w:val="0"/>
      <w:marRight w:val="0"/>
      <w:marTop w:val="0"/>
      <w:marBottom w:val="0"/>
      <w:divBdr>
        <w:top w:val="none" w:sz="0" w:space="0" w:color="auto"/>
        <w:left w:val="none" w:sz="0" w:space="0" w:color="auto"/>
        <w:bottom w:val="none" w:sz="0" w:space="0" w:color="auto"/>
        <w:right w:val="none" w:sz="0" w:space="0" w:color="auto"/>
      </w:divBdr>
      <w:divsChild>
        <w:div w:id="375156399">
          <w:marLeft w:val="0"/>
          <w:marRight w:val="0"/>
          <w:marTop w:val="0"/>
          <w:marBottom w:val="0"/>
          <w:divBdr>
            <w:top w:val="none" w:sz="0" w:space="0" w:color="auto"/>
            <w:left w:val="none" w:sz="0" w:space="0" w:color="auto"/>
            <w:bottom w:val="none" w:sz="0" w:space="0" w:color="auto"/>
            <w:right w:val="none" w:sz="0" w:space="0" w:color="auto"/>
          </w:divBdr>
        </w:div>
      </w:divsChild>
    </w:div>
    <w:div w:id="1561286898">
      <w:bodyDiv w:val="1"/>
      <w:marLeft w:val="0"/>
      <w:marRight w:val="0"/>
      <w:marTop w:val="0"/>
      <w:marBottom w:val="0"/>
      <w:divBdr>
        <w:top w:val="none" w:sz="0" w:space="0" w:color="auto"/>
        <w:left w:val="none" w:sz="0" w:space="0" w:color="auto"/>
        <w:bottom w:val="none" w:sz="0" w:space="0" w:color="auto"/>
        <w:right w:val="none" w:sz="0" w:space="0" w:color="auto"/>
      </w:divBdr>
      <w:divsChild>
        <w:div w:id="666831531">
          <w:marLeft w:val="0"/>
          <w:marRight w:val="0"/>
          <w:marTop w:val="0"/>
          <w:marBottom w:val="0"/>
          <w:divBdr>
            <w:top w:val="none" w:sz="0" w:space="0" w:color="auto"/>
            <w:left w:val="none" w:sz="0" w:space="0" w:color="auto"/>
            <w:bottom w:val="none" w:sz="0" w:space="0" w:color="auto"/>
            <w:right w:val="none" w:sz="0" w:space="0" w:color="auto"/>
          </w:divBdr>
        </w:div>
        <w:div w:id="1394624099">
          <w:marLeft w:val="0"/>
          <w:marRight w:val="0"/>
          <w:marTop w:val="0"/>
          <w:marBottom w:val="0"/>
          <w:divBdr>
            <w:top w:val="none" w:sz="0" w:space="0" w:color="auto"/>
            <w:left w:val="none" w:sz="0" w:space="0" w:color="auto"/>
            <w:bottom w:val="none" w:sz="0" w:space="0" w:color="auto"/>
            <w:right w:val="none" w:sz="0" w:space="0" w:color="auto"/>
          </w:divBdr>
        </w:div>
        <w:div w:id="1800805855">
          <w:marLeft w:val="0"/>
          <w:marRight w:val="0"/>
          <w:marTop w:val="0"/>
          <w:marBottom w:val="0"/>
          <w:divBdr>
            <w:top w:val="none" w:sz="0" w:space="0" w:color="auto"/>
            <w:left w:val="none" w:sz="0" w:space="0" w:color="auto"/>
            <w:bottom w:val="none" w:sz="0" w:space="0" w:color="auto"/>
            <w:right w:val="none" w:sz="0" w:space="0" w:color="auto"/>
          </w:divBdr>
        </w:div>
        <w:div w:id="39208925">
          <w:marLeft w:val="0"/>
          <w:marRight w:val="0"/>
          <w:marTop w:val="0"/>
          <w:marBottom w:val="0"/>
          <w:divBdr>
            <w:top w:val="none" w:sz="0" w:space="0" w:color="auto"/>
            <w:left w:val="none" w:sz="0" w:space="0" w:color="auto"/>
            <w:bottom w:val="none" w:sz="0" w:space="0" w:color="auto"/>
            <w:right w:val="none" w:sz="0" w:space="0" w:color="auto"/>
          </w:divBdr>
        </w:div>
        <w:div w:id="2030372533">
          <w:marLeft w:val="0"/>
          <w:marRight w:val="0"/>
          <w:marTop w:val="0"/>
          <w:marBottom w:val="0"/>
          <w:divBdr>
            <w:top w:val="none" w:sz="0" w:space="0" w:color="auto"/>
            <w:left w:val="none" w:sz="0" w:space="0" w:color="auto"/>
            <w:bottom w:val="none" w:sz="0" w:space="0" w:color="auto"/>
            <w:right w:val="none" w:sz="0" w:space="0" w:color="auto"/>
          </w:divBdr>
        </w:div>
      </w:divsChild>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759">
      <w:bodyDiv w:val="1"/>
      <w:marLeft w:val="0"/>
      <w:marRight w:val="0"/>
      <w:marTop w:val="0"/>
      <w:marBottom w:val="0"/>
      <w:divBdr>
        <w:top w:val="none" w:sz="0" w:space="0" w:color="auto"/>
        <w:left w:val="none" w:sz="0" w:space="0" w:color="auto"/>
        <w:bottom w:val="none" w:sz="0" w:space="0" w:color="auto"/>
        <w:right w:val="none" w:sz="0" w:space="0" w:color="auto"/>
      </w:divBdr>
    </w:div>
    <w:div w:id="1620910142">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8">
          <w:marLeft w:val="0"/>
          <w:marRight w:val="0"/>
          <w:marTop w:val="0"/>
          <w:marBottom w:val="0"/>
          <w:divBdr>
            <w:top w:val="none" w:sz="0" w:space="0" w:color="auto"/>
            <w:left w:val="none" w:sz="0" w:space="0" w:color="auto"/>
            <w:bottom w:val="none" w:sz="0" w:space="0" w:color="auto"/>
            <w:right w:val="none" w:sz="0" w:space="0" w:color="auto"/>
          </w:divBdr>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995">
      <w:bodyDiv w:val="1"/>
      <w:marLeft w:val="0"/>
      <w:marRight w:val="0"/>
      <w:marTop w:val="0"/>
      <w:marBottom w:val="0"/>
      <w:divBdr>
        <w:top w:val="none" w:sz="0" w:space="0" w:color="auto"/>
        <w:left w:val="none" w:sz="0" w:space="0" w:color="auto"/>
        <w:bottom w:val="none" w:sz="0" w:space="0" w:color="auto"/>
        <w:right w:val="none" w:sz="0" w:space="0" w:color="auto"/>
      </w:divBdr>
      <w:divsChild>
        <w:div w:id="1946114616">
          <w:marLeft w:val="0"/>
          <w:marRight w:val="0"/>
          <w:marTop w:val="0"/>
          <w:marBottom w:val="0"/>
          <w:divBdr>
            <w:top w:val="none" w:sz="0" w:space="0" w:color="auto"/>
            <w:left w:val="none" w:sz="0" w:space="0" w:color="auto"/>
            <w:bottom w:val="none" w:sz="0" w:space="0" w:color="auto"/>
            <w:right w:val="none" w:sz="0" w:space="0" w:color="auto"/>
          </w:divBdr>
        </w:div>
        <w:div w:id="1168906751">
          <w:marLeft w:val="0"/>
          <w:marRight w:val="0"/>
          <w:marTop w:val="0"/>
          <w:marBottom w:val="0"/>
          <w:divBdr>
            <w:top w:val="none" w:sz="0" w:space="0" w:color="auto"/>
            <w:left w:val="none" w:sz="0" w:space="0" w:color="auto"/>
            <w:bottom w:val="none" w:sz="0" w:space="0" w:color="auto"/>
            <w:right w:val="none" w:sz="0" w:space="0" w:color="auto"/>
          </w:divBdr>
        </w:div>
        <w:div w:id="1527018437">
          <w:marLeft w:val="0"/>
          <w:marRight w:val="0"/>
          <w:marTop w:val="0"/>
          <w:marBottom w:val="0"/>
          <w:divBdr>
            <w:top w:val="none" w:sz="0" w:space="0" w:color="auto"/>
            <w:left w:val="none" w:sz="0" w:space="0" w:color="auto"/>
            <w:bottom w:val="none" w:sz="0" w:space="0" w:color="auto"/>
            <w:right w:val="none" w:sz="0" w:space="0" w:color="auto"/>
          </w:divBdr>
        </w:div>
      </w:divsChild>
    </w:div>
    <w:div w:id="1749035609">
      <w:bodyDiv w:val="1"/>
      <w:marLeft w:val="0"/>
      <w:marRight w:val="0"/>
      <w:marTop w:val="0"/>
      <w:marBottom w:val="0"/>
      <w:divBdr>
        <w:top w:val="none" w:sz="0" w:space="0" w:color="auto"/>
        <w:left w:val="none" w:sz="0" w:space="0" w:color="auto"/>
        <w:bottom w:val="none" w:sz="0" w:space="0" w:color="auto"/>
        <w:right w:val="none" w:sz="0" w:space="0" w:color="auto"/>
      </w:divBdr>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8692218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446">
          <w:marLeft w:val="0"/>
          <w:marRight w:val="0"/>
          <w:marTop w:val="0"/>
          <w:marBottom w:val="0"/>
          <w:divBdr>
            <w:top w:val="none" w:sz="0" w:space="0" w:color="auto"/>
            <w:left w:val="none" w:sz="0" w:space="0" w:color="auto"/>
            <w:bottom w:val="none" w:sz="0" w:space="0" w:color="auto"/>
            <w:right w:val="none" w:sz="0" w:space="0" w:color="auto"/>
          </w:divBdr>
        </w:div>
        <w:div w:id="1565096357">
          <w:marLeft w:val="0"/>
          <w:marRight w:val="0"/>
          <w:marTop w:val="0"/>
          <w:marBottom w:val="0"/>
          <w:divBdr>
            <w:top w:val="none" w:sz="0" w:space="0" w:color="auto"/>
            <w:left w:val="none" w:sz="0" w:space="0" w:color="auto"/>
            <w:bottom w:val="none" w:sz="0" w:space="0" w:color="auto"/>
            <w:right w:val="none" w:sz="0" w:space="0" w:color="auto"/>
          </w:divBdr>
        </w:div>
        <w:div w:id="1827352523">
          <w:marLeft w:val="0"/>
          <w:marRight w:val="0"/>
          <w:marTop w:val="0"/>
          <w:marBottom w:val="0"/>
          <w:divBdr>
            <w:top w:val="none" w:sz="0" w:space="0" w:color="auto"/>
            <w:left w:val="none" w:sz="0" w:space="0" w:color="auto"/>
            <w:bottom w:val="none" w:sz="0" w:space="0" w:color="auto"/>
            <w:right w:val="none" w:sz="0" w:space="0" w:color="auto"/>
          </w:divBdr>
        </w:div>
        <w:div w:id="344211663">
          <w:marLeft w:val="0"/>
          <w:marRight w:val="0"/>
          <w:marTop w:val="0"/>
          <w:marBottom w:val="0"/>
          <w:divBdr>
            <w:top w:val="none" w:sz="0" w:space="0" w:color="auto"/>
            <w:left w:val="none" w:sz="0" w:space="0" w:color="auto"/>
            <w:bottom w:val="none" w:sz="0" w:space="0" w:color="auto"/>
            <w:right w:val="none" w:sz="0" w:space="0" w:color="auto"/>
          </w:divBdr>
        </w:div>
        <w:div w:id="193496768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14772498">
      <w:bodyDiv w:val="1"/>
      <w:marLeft w:val="0"/>
      <w:marRight w:val="0"/>
      <w:marTop w:val="0"/>
      <w:marBottom w:val="0"/>
      <w:divBdr>
        <w:top w:val="none" w:sz="0" w:space="0" w:color="auto"/>
        <w:left w:val="none" w:sz="0" w:space="0" w:color="auto"/>
        <w:bottom w:val="none" w:sz="0" w:space="0" w:color="auto"/>
        <w:right w:val="none" w:sz="0" w:space="0" w:color="auto"/>
      </w:divBdr>
      <w:divsChild>
        <w:div w:id="1063873504">
          <w:marLeft w:val="0"/>
          <w:marRight w:val="0"/>
          <w:marTop w:val="0"/>
          <w:marBottom w:val="0"/>
          <w:divBdr>
            <w:top w:val="none" w:sz="0" w:space="0" w:color="auto"/>
            <w:left w:val="none" w:sz="0" w:space="0" w:color="auto"/>
            <w:bottom w:val="none" w:sz="0" w:space="0" w:color="auto"/>
            <w:right w:val="none" w:sz="0" w:space="0" w:color="auto"/>
          </w:divBdr>
        </w:div>
        <w:div w:id="254096836">
          <w:marLeft w:val="0"/>
          <w:marRight w:val="0"/>
          <w:marTop w:val="0"/>
          <w:marBottom w:val="0"/>
          <w:divBdr>
            <w:top w:val="none" w:sz="0" w:space="0" w:color="auto"/>
            <w:left w:val="none" w:sz="0" w:space="0" w:color="auto"/>
            <w:bottom w:val="none" w:sz="0" w:space="0" w:color="auto"/>
            <w:right w:val="none" w:sz="0" w:space="0" w:color="auto"/>
          </w:divBdr>
        </w:div>
        <w:div w:id="1199245039">
          <w:marLeft w:val="0"/>
          <w:marRight w:val="0"/>
          <w:marTop w:val="0"/>
          <w:marBottom w:val="0"/>
          <w:divBdr>
            <w:top w:val="none" w:sz="0" w:space="0" w:color="auto"/>
            <w:left w:val="none" w:sz="0" w:space="0" w:color="auto"/>
            <w:bottom w:val="none" w:sz="0" w:space="0" w:color="auto"/>
            <w:right w:val="none" w:sz="0" w:space="0" w:color="auto"/>
          </w:divBdr>
        </w:div>
        <w:div w:id="185751215">
          <w:marLeft w:val="0"/>
          <w:marRight w:val="0"/>
          <w:marTop w:val="0"/>
          <w:marBottom w:val="0"/>
          <w:divBdr>
            <w:top w:val="none" w:sz="0" w:space="0" w:color="auto"/>
            <w:left w:val="none" w:sz="0" w:space="0" w:color="auto"/>
            <w:bottom w:val="none" w:sz="0" w:space="0" w:color="auto"/>
            <w:right w:val="none" w:sz="0" w:space="0" w:color="auto"/>
          </w:divBdr>
        </w:div>
        <w:div w:id="348458159">
          <w:marLeft w:val="0"/>
          <w:marRight w:val="0"/>
          <w:marTop w:val="0"/>
          <w:marBottom w:val="0"/>
          <w:divBdr>
            <w:top w:val="none" w:sz="0" w:space="0" w:color="auto"/>
            <w:left w:val="none" w:sz="0" w:space="0" w:color="auto"/>
            <w:bottom w:val="none" w:sz="0" w:space="0" w:color="auto"/>
            <w:right w:val="none" w:sz="0" w:space="0" w:color="auto"/>
          </w:divBdr>
        </w:div>
        <w:div w:id="406416929">
          <w:marLeft w:val="0"/>
          <w:marRight w:val="0"/>
          <w:marTop w:val="0"/>
          <w:marBottom w:val="0"/>
          <w:divBdr>
            <w:top w:val="none" w:sz="0" w:space="0" w:color="auto"/>
            <w:left w:val="none" w:sz="0" w:space="0" w:color="auto"/>
            <w:bottom w:val="none" w:sz="0" w:space="0" w:color="auto"/>
            <w:right w:val="none" w:sz="0" w:space="0" w:color="auto"/>
          </w:divBdr>
        </w:div>
        <w:div w:id="79302856">
          <w:marLeft w:val="0"/>
          <w:marRight w:val="0"/>
          <w:marTop w:val="0"/>
          <w:marBottom w:val="0"/>
          <w:divBdr>
            <w:top w:val="none" w:sz="0" w:space="0" w:color="auto"/>
            <w:left w:val="none" w:sz="0" w:space="0" w:color="auto"/>
            <w:bottom w:val="none" w:sz="0" w:space="0" w:color="auto"/>
            <w:right w:val="none" w:sz="0" w:space="0" w:color="auto"/>
          </w:divBdr>
        </w:div>
        <w:div w:id="1718817111">
          <w:marLeft w:val="0"/>
          <w:marRight w:val="0"/>
          <w:marTop w:val="0"/>
          <w:marBottom w:val="0"/>
          <w:divBdr>
            <w:top w:val="none" w:sz="0" w:space="0" w:color="auto"/>
            <w:left w:val="none" w:sz="0" w:space="0" w:color="auto"/>
            <w:bottom w:val="none" w:sz="0" w:space="0" w:color="auto"/>
            <w:right w:val="none" w:sz="0" w:space="0" w:color="auto"/>
          </w:divBdr>
        </w:div>
        <w:div w:id="1425610177">
          <w:marLeft w:val="0"/>
          <w:marRight w:val="0"/>
          <w:marTop w:val="0"/>
          <w:marBottom w:val="0"/>
          <w:divBdr>
            <w:top w:val="none" w:sz="0" w:space="0" w:color="auto"/>
            <w:left w:val="none" w:sz="0" w:space="0" w:color="auto"/>
            <w:bottom w:val="none" w:sz="0" w:space="0" w:color="auto"/>
            <w:right w:val="none" w:sz="0" w:space="0" w:color="auto"/>
          </w:divBdr>
        </w:div>
        <w:div w:id="285890636">
          <w:marLeft w:val="0"/>
          <w:marRight w:val="0"/>
          <w:marTop w:val="0"/>
          <w:marBottom w:val="0"/>
          <w:divBdr>
            <w:top w:val="none" w:sz="0" w:space="0" w:color="auto"/>
            <w:left w:val="none" w:sz="0" w:space="0" w:color="auto"/>
            <w:bottom w:val="none" w:sz="0" w:space="0" w:color="auto"/>
            <w:right w:val="none" w:sz="0" w:space="0" w:color="auto"/>
          </w:divBdr>
        </w:div>
        <w:div w:id="89618267">
          <w:marLeft w:val="0"/>
          <w:marRight w:val="0"/>
          <w:marTop w:val="0"/>
          <w:marBottom w:val="0"/>
          <w:divBdr>
            <w:top w:val="none" w:sz="0" w:space="0" w:color="auto"/>
            <w:left w:val="none" w:sz="0" w:space="0" w:color="auto"/>
            <w:bottom w:val="none" w:sz="0" w:space="0" w:color="auto"/>
            <w:right w:val="none" w:sz="0" w:space="0" w:color="auto"/>
          </w:divBdr>
        </w:div>
        <w:div w:id="284040821">
          <w:marLeft w:val="0"/>
          <w:marRight w:val="0"/>
          <w:marTop w:val="0"/>
          <w:marBottom w:val="0"/>
          <w:divBdr>
            <w:top w:val="none" w:sz="0" w:space="0" w:color="auto"/>
            <w:left w:val="none" w:sz="0" w:space="0" w:color="auto"/>
            <w:bottom w:val="none" w:sz="0" w:space="0" w:color="auto"/>
            <w:right w:val="none" w:sz="0" w:space="0" w:color="auto"/>
          </w:divBdr>
        </w:div>
        <w:div w:id="299653940">
          <w:marLeft w:val="0"/>
          <w:marRight w:val="0"/>
          <w:marTop w:val="0"/>
          <w:marBottom w:val="0"/>
          <w:divBdr>
            <w:top w:val="none" w:sz="0" w:space="0" w:color="auto"/>
            <w:left w:val="none" w:sz="0" w:space="0" w:color="auto"/>
            <w:bottom w:val="none" w:sz="0" w:space="0" w:color="auto"/>
            <w:right w:val="none" w:sz="0" w:space="0" w:color="auto"/>
          </w:divBdr>
        </w:div>
        <w:div w:id="166288924">
          <w:marLeft w:val="0"/>
          <w:marRight w:val="0"/>
          <w:marTop w:val="0"/>
          <w:marBottom w:val="0"/>
          <w:divBdr>
            <w:top w:val="none" w:sz="0" w:space="0" w:color="auto"/>
            <w:left w:val="none" w:sz="0" w:space="0" w:color="auto"/>
            <w:bottom w:val="none" w:sz="0" w:space="0" w:color="auto"/>
            <w:right w:val="none" w:sz="0" w:space="0" w:color="auto"/>
          </w:divBdr>
        </w:div>
      </w:divsChild>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832">
      <w:bodyDiv w:val="1"/>
      <w:marLeft w:val="0"/>
      <w:marRight w:val="0"/>
      <w:marTop w:val="0"/>
      <w:marBottom w:val="0"/>
      <w:divBdr>
        <w:top w:val="none" w:sz="0" w:space="0" w:color="auto"/>
        <w:left w:val="none" w:sz="0" w:space="0" w:color="auto"/>
        <w:bottom w:val="none" w:sz="0" w:space="0" w:color="auto"/>
        <w:right w:val="none" w:sz="0" w:space="0" w:color="auto"/>
      </w:divBdr>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2023-02-10T09:27:00Z</dcterms:created>
  <dcterms:modified xsi:type="dcterms:W3CDTF">2023-02-10T09:28:00Z</dcterms:modified>
</cp:coreProperties>
</file>