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9A9DF"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0846ADFA"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US"/>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422DCC" w:rsidRDefault="00422DCC" w:rsidP="00422DCC">
      <w:pPr>
        <w:spacing w:after="0" w:line="240" w:lineRule="auto"/>
        <w:ind w:left="0"/>
        <w:jc w:val="center"/>
        <w:outlineLvl w:val="0"/>
        <w:rPr>
          <w:rFonts w:eastAsia="Times New Roman" w:cs="Arial"/>
          <w:b/>
          <w:szCs w:val="24"/>
          <w:lang w:val="en-ZA"/>
        </w:rPr>
      </w:pPr>
    </w:p>
    <w:p w14:paraId="20541803"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529F4F8" w14:textId="6EE1BC66"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w:t>
      </w:r>
      <w:r w:rsidR="00092BAA">
        <w:rPr>
          <w:rFonts w:eastAsia="Times New Roman" w:cs="Arial"/>
          <w:b/>
          <w:szCs w:val="24"/>
          <w:lang w:val="en-ZA"/>
        </w:rPr>
        <w:t xml:space="preserve"> LOCAL</w:t>
      </w:r>
      <w:r w:rsidRPr="00422DCC">
        <w:rPr>
          <w:rFonts w:eastAsia="Times New Roman" w:cs="Arial"/>
          <w:b/>
          <w:szCs w:val="24"/>
          <w:lang w:val="en-ZA"/>
        </w:rPr>
        <w:t xml:space="preserve"> DIVISION, JOHANNESBURG</w:t>
      </w:r>
    </w:p>
    <w:p w14:paraId="45A7ABAE" w14:textId="77777777" w:rsidR="00422DCC" w:rsidRPr="00422DCC" w:rsidRDefault="00422DCC" w:rsidP="00422DCC">
      <w:pPr>
        <w:spacing w:after="0" w:line="240" w:lineRule="auto"/>
        <w:ind w:left="0"/>
        <w:rPr>
          <w:rFonts w:eastAsia="Times New Roman" w:cs="Arial"/>
          <w:szCs w:val="24"/>
          <w:lang w:val="en-ZA"/>
        </w:rPr>
      </w:pPr>
    </w:p>
    <w:p w14:paraId="4C720708" w14:textId="77777777" w:rsidR="00422DCC" w:rsidRPr="00422DCC" w:rsidRDefault="00422DCC" w:rsidP="00422DCC">
      <w:pPr>
        <w:spacing w:after="0" w:line="240" w:lineRule="auto"/>
        <w:ind w:left="0"/>
        <w:rPr>
          <w:rFonts w:eastAsia="Times New Roman" w:cs="Arial"/>
          <w:szCs w:val="24"/>
          <w:lang w:val="en-ZA"/>
        </w:rPr>
      </w:pPr>
    </w:p>
    <w:p w14:paraId="4D84890F" w14:textId="19044942" w:rsidR="00422DCC" w:rsidRPr="00422DCC" w:rsidRDefault="00422DCC" w:rsidP="00422DCC">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Pr="00422DCC">
        <w:rPr>
          <w:rFonts w:eastAsia="Times New Roman" w:cs="Arial"/>
          <w:bCs/>
          <w:szCs w:val="24"/>
          <w:lang w:val="en-ZA"/>
        </w:rPr>
        <w:t xml:space="preserve">Case Number: </w:t>
      </w:r>
      <w:r w:rsidR="005B343C">
        <w:rPr>
          <w:rFonts w:eastAsia="Times New Roman" w:cs="Arial"/>
          <w:bCs/>
          <w:szCs w:val="24"/>
          <w:lang w:val="en-ZA"/>
        </w:rPr>
        <w:t>55273</w:t>
      </w:r>
      <w:r w:rsidR="002A276A">
        <w:rPr>
          <w:rFonts w:eastAsia="Times New Roman" w:cs="Arial"/>
          <w:bCs/>
          <w:szCs w:val="24"/>
          <w:lang w:val="en-ZA"/>
        </w:rPr>
        <w:t>/</w:t>
      </w:r>
      <w:r w:rsidR="001D06C2">
        <w:rPr>
          <w:rFonts w:eastAsia="Times New Roman" w:cs="Arial"/>
          <w:bCs/>
          <w:szCs w:val="24"/>
          <w:lang w:val="en-ZA"/>
        </w:rPr>
        <w:t>202</w:t>
      </w:r>
      <w:r w:rsidR="005B343C">
        <w:rPr>
          <w:rFonts w:eastAsia="Times New Roman" w:cs="Arial"/>
          <w:bCs/>
          <w:szCs w:val="24"/>
          <w:lang w:val="en-ZA"/>
        </w:rPr>
        <w:t>1</w:t>
      </w:r>
    </w:p>
    <w:p w14:paraId="708AE567" w14:textId="77777777" w:rsidR="00422DCC" w:rsidRPr="00422DCC" w:rsidRDefault="00422DCC" w:rsidP="00422DCC">
      <w:pPr>
        <w:tabs>
          <w:tab w:val="right" w:pos="9029"/>
        </w:tabs>
        <w:spacing w:after="0" w:line="240" w:lineRule="auto"/>
        <w:ind w:left="0"/>
        <w:rPr>
          <w:rFonts w:eastAsia="Times New Roman" w:cs="Arial"/>
          <w:szCs w:val="24"/>
          <w:lang w:val="en-ZA"/>
        </w:rPr>
      </w:pPr>
      <w:r w:rsidRPr="00422DCC">
        <w:rPr>
          <w:rFonts w:cs="Arial"/>
          <w:noProof/>
          <w:szCs w:val="24"/>
          <w:lang w:val="en-US"/>
        </w:rPr>
        <mc:AlternateContent>
          <mc:Choice Requires="wps">
            <w:drawing>
              <wp:anchor distT="0" distB="0" distL="114300" distR="114300" simplePos="0" relativeHeight="251659264" behindDoc="0" locked="0" layoutInCell="1" allowOverlap="1" wp14:anchorId="4C88D076" wp14:editId="37B21436">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A662AFF" w14:textId="5ECF6F2D" w:rsidR="00B95DE9" w:rsidRPr="00C344A5" w:rsidRDefault="005F5E19" w:rsidP="005F5E19">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REPORTABLE: NO</w:t>
                            </w:r>
                          </w:p>
                          <w:p w14:paraId="4C8C5104" w14:textId="62793412" w:rsidR="00B95DE9" w:rsidRPr="00C344A5" w:rsidRDefault="005F5E19" w:rsidP="005F5E19">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OF INTEREST TO OTHER JUDGES: NO</w:t>
                            </w:r>
                          </w:p>
                          <w:p w14:paraId="3E0CED7B" w14:textId="7684DF58" w:rsidR="00B95DE9" w:rsidRDefault="005F5E19" w:rsidP="005F5E19">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 xml:space="preserve">REVISED: </w:t>
                            </w:r>
                            <w:r w:rsidR="00E24D68">
                              <w:rPr>
                                <w:rFonts w:cs="Arial"/>
                                <w:sz w:val="18"/>
                                <w:szCs w:val="20"/>
                              </w:rPr>
                              <w:t>Yes</w:t>
                            </w:r>
                          </w:p>
                          <w:p w14:paraId="48F85747" w14:textId="77777777" w:rsidR="00B95DE9" w:rsidRPr="00422DCC" w:rsidRDefault="00B95DE9" w:rsidP="00422DCC">
                            <w:pPr>
                              <w:pStyle w:val="JudgmentNumbered"/>
                              <w:numPr>
                                <w:ilvl w:val="0"/>
                                <w:numId w:val="0"/>
                              </w:numPr>
                              <w:spacing w:after="0"/>
                              <w:ind w:left="567"/>
                            </w:pPr>
                          </w:p>
                          <w:p w14:paraId="2EE5D385" w14:textId="578D888A" w:rsidR="00B95DE9" w:rsidRPr="00C344A5" w:rsidRDefault="00E24D68" w:rsidP="00422DCC">
                            <w:pPr>
                              <w:rPr>
                                <w:rFonts w:cs="Arial"/>
                                <w:b/>
                                <w:sz w:val="18"/>
                                <w:szCs w:val="20"/>
                              </w:rPr>
                            </w:pPr>
                            <w:r>
                              <w:rPr>
                                <w:rFonts w:cs="Arial"/>
                                <w:b/>
                                <w:sz w:val="18"/>
                                <w:szCs w:val="20"/>
                              </w:rPr>
                              <w:t>24 August 2023</w:t>
                            </w:r>
                            <w:r w:rsidR="00B95DE9" w:rsidRPr="00C344A5">
                              <w:rPr>
                                <w:rFonts w:cs="Arial"/>
                                <w:b/>
                                <w:sz w:val="18"/>
                                <w:szCs w:val="20"/>
                              </w:rPr>
                              <w:tab/>
                            </w:r>
                            <w:r w:rsidR="00B95DE9">
                              <w:rPr>
                                <w:rFonts w:cs="Arial"/>
                                <w:b/>
                                <w:sz w:val="18"/>
                                <w:szCs w:val="20"/>
                              </w:rPr>
                              <w:tab/>
                            </w:r>
                            <w:r w:rsidR="001D06C2">
                              <w:rPr>
                                <w:rFonts w:cs="Arial"/>
                                <w:b/>
                                <w:sz w:val="18"/>
                                <w:szCs w:val="20"/>
                              </w:rPr>
                              <w:t xml:space="preserve">     </w:t>
                            </w:r>
                            <w:r w:rsidR="00B95DE9" w:rsidRPr="00C344A5">
                              <w:rPr>
                                <w:rFonts w:cs="Arial"/>
                                <w:b/>
                                <w:sz w:val="18"/>
                                <w:szCs w:val="20"/>
                              </w:rPr>
                              <w:t>_________________</w:t>
                            </w:r>
                          </w:p>
                          <w:p w14:paraId="41F058C1"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4A662AFF" w14:textId="5ECF6F2D" w:rsidR="00B95DE9" w:rsidRPr="00C344A5" w:rsidRDefault="005F5E19" w:rsidP="005F5E19">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REPORTABLE: NO</w:t>
                      </w:r>
                    </w:p>
                    <w:p w14:paraId="4C8C5104" w14:textId="62793412" w:rsidR="00B95DE9" w:rsidRPr="00C344A5" w:rsidRDefault="005F5E19" w:rsidP="005F5E19">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OF INTEREST TO OTHER JUDGES: NO</w:t>
                      </w:r>
                    </w:p>
                    <w:p w14:paraId="3E0CED7B" w14:textId="7684DF58" w:rsidR="00B95DE9" w:rsidRDefault="005F5E19" w:rsidP="005F5E19">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 xml:space="preserve">REVISED: </w:t>
                      </w:r>
                      <w:r w:rsidR="00E24D68">
                        <w:rPr>
                          <w:rFonts w:cs="Arial"/>
                          <w:sz w:val="18"/>
                          <w:szCs w:val="20"/>
                        </w:rPr>
                        <w:t>Yes</w:t>
                      </w:r>
                    </w:p>
                    <w:p w14:paraId="48F85747" w14:textId="77777777" w:rsidR="00B95DE9" w:rsidRPr="00422DCC" w:rsidRDefault="00B95DE9" w:rsidP="00422DCC">
                      <w:pPr>
                        <w:pStyle w:val="JudgmentNumbered"/>
                        <w:numPr>
                          <w:ilvl w:val="0"/>
                          <w:numId w:val="0"/>
                        </w:numPr>
                        <w:spacing w:after="0"/>
                        <w:ind w:left="567"/>
                      </w:pPr>
                    </w:p>
                    <w:p w14:paraId="2EE5D385" w14:textId="578D888A" w:rsidR="00B95DE9" w:rsidRPr="00C344A5" w:rsidRDefault="00E24D68" w:rsidP="00422DCC">
                      <w:pPr>
                        <w:rPr>
                          <w:rFonts w:cs="Arial"/>
                          <w:b/>
                          <w:sz w:val="18"/>
                          <w:szCs w:val="20"/>
                        </w:rPr>
                      </w:pPr>
                      <w:r>
                        <w:rPr>
                          <w:rFonts w:cs="Arial"/>
                          <w:b/>
                          <w:sz w:val="18"/>
                          <w:szCs w:val="20"/>
                        </w:rPr>
                        <w:t>24 August 2023</w:t>
                      </w:r>
                      <w:r w:rsidR="00B95DE9" w:rsidRPr="00C344A5">
                        <w:rPr>
                          <w:rFonts w:cs="Arial"/>
                          <w:b/>
                          <w:sz w:val="18"/>
                          <w:szCs w:val="20"/>
                        </w:rPr>
                        <w:tab/>
                      </w:r>
                      <w:r w:rsidR="00B95DE9">
                        <w:rPr>
                          <w:rFonts w:cs="Arial"/>
                          <w:b/>
                          <w:sz w:val="18"/>
                          <w:szCs w:val="20"/>
                        </w:rPr>
                        <w:tab/>
                      </w:r>
                      <w:r w:rsidR="001D06C2">
                        <w:rPr>
                          <w:rFonts w:cs="Arial"/>
                          <w:b/>
                          <w:sz w:val="18"/>
                          <w:szCs w:val="20"/>
                        </w:rPr>
                        <w:t xml:space="preserve">     </w:t>
                      </w:r>
                      <w:r w:rsidR="00B95DE9" w:rsidRPr="00C344A5">
                        <w:rPr>
                          <w:rFonts w:cs="Arial"/>
                          <w:b/>
                          <w:sz w:val="18"/>
                          <w:szCs w:val="20"/>
                        </w:rPr>
                        <w:t>_________________</w:t>
                      </w:r>
                    </w:p>
                    <w:p w14:paraId="41F058C1"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1B8FA245"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705102A9"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6EE0062D" w14:textId="77777777" w:rsidR="00422DCC" w:rsidRPr="00422DCC" w:rsidRDefault="00422DCC" w:rsidP="00422DCC">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2359E50F"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4AB53BE7"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25C7E363"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06B17F9"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2783581E"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74D83443"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2559F0FB"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67E8802"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8E14D45" w14:textId="62BB037C" w:rsidR="005B343C" w:rsidRPr="00553493" w:rsidRDefault="001D06C2" w:rsidP="00553493">
      <w:pPr>
        <w:tabs>
          <w:tab w:val="right" w:pos="9029"/>
        </w:tabs>
        <w:spacing w:after="0" w:line="240" w:lineRule="auto"/>
        <w:ind w:left="0"/>
        <w:contextualSpacing/>
        <w:rPr>
          <w:rFonts w:eastAsia="Times New Roman" w:cs="Arial"/>
          <w:szCs w:val="24"/>
          <w:lang w:val="en-ZA"/>
        </w:rPr>
      </w:pPr>
      <w:r>
        <w:rPr>
          <w:rFonts w:eastAsia="Arial Unicode MS" w:cs="Times New Roman"/>
          <w:b/>
          <w:bCs/>
          <w:szCs w:val="24"/>
          <w:u w:color="000000"/>
          <w:bdr w:val="nil"/>
          <w:lang w:val="en-US"/>
        </w:rPr>
        <w:t>G</w:t>
      </w:r>
      <w:r w:rsidR="005B343C">
        <w:rPr>
          <w:rFonts w:eastAsia="Arial Unicode MS" w:cs="Times New Roman"/>
          <w:b/>
          <w:bCs/>
          <w:szCs w:val="24"/>
          <w:u w:color="000000"/>
          <w:bdr w:val="nil"/>
          <w:lang w:val="en-US"/>
        </w:rPr>
        <w:t>FE-MIR ALLOYS AND MINERALS SA (</w:t>
      </w:r>
      <w:r w:rsidR="0039598A" w:rsidRPr="0039598A">
        <w:rPr>
          <w:rFonts w:eastAsia="Arial Unicode MS" w:cs="Times New Roman"/>
          <w:b/>
          <w:bCs/>
          <w:szCs w:val="24"/>
          <w:u w:color="000000"/>
          <w:bdr w:val="nil"/>
          <w:lang w:val="en-US"/>
        </w:rPr>
        <w:t>PTY) LTD</w:t>
      </w:r>
      <w:r w:rsidR="00422DCC" w:rsidRPr="00422DCC">
        <w:rPr>
          <w:rFonts w:eastAsia="Times New Roman" w:cs="Arial"/>
          <w:b/>
          <w:szCs w:val="24"/>
          <w:lang w:val="en-ZA"/>
        </w:rPr>
        <w:tab/>
      </w:r>
      <w:r w:rsidR="00422DCC" w:rsidRPr="00422DCC">
        <w:rPr>
          <w:rFonts w:eastAsia="Times New Roman" w:cs="Arial"/>
          <w:szCs w:val="24"/>
          <w:lang w:val="en-ZA"/>
        </w:rPr>
        <w:t>A</w:t>
      </w:r>
      <w:r w:rsidR="0039598A" w:rsidRPr="00422DCC">
        <w:rPr>
          <w:rFonts w:eastAsia="Times New Roman" w:cs="Arial"/>
          <w:szCs w:val="24"/>
          <w:lang w:val="en-ZA"/>
        </w:rPr>
        <w:t>pplicant</w:t>
      </w:r>
    </w:p>
    <w:p w14:paraId="562FDFD9"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0B809FF1" w14:textId="6BD8144A" w:rsidR="005B343C" w:rsidRPr="00EE7850" w:rsidRDefault="005B343C" w:rsidP="00EE7850">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A</w:t>
      </w:r>
      <w:r w:rsidR="0039598A" w:rsidRPr="00422DCC">
        <w:rPr>
          <w:rFonts w:eastAsia="Times New Roman" w:cs="Arial"/>
          <w:szCs w:val="24"/>
          <w:lang w:val="en-ZA"/>
        </w:rPr>
        <w:t>nd</w:t>
      </w:r>
    </w:p>
    <w:p w14:paraId="1E91C9D6"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387577E3" w14:textId="6A54EEE1" w:rsidR="00422DCC" w:rsidRDefault="005B343C" w:rsidP="007507F2">
      <w:pPr>
        <w:tabs>
          <w:tab w:val="right" w:pos="9029"/>
        </w:tabs>
        <w:spacing w:after="0" w:line="240" w:lineRule="auto"/>
        <w:ind w:left="0"/>
        <w:contextualSpacing/>
        <w:rPr>
          <w:rFonts w:eastAsia="Times New Roman" w:cs="Arial"/>
          <w:szCs w:val="24"/>
          <w:lang w:val="en-ZA"/>
        </w:rPr>
      </w:pPr>
      <w:r>
        <w:rPr>
          <w:rFonts w:eastAsia="Arial Unicode MS" w:cs="Times New Roman"/>
          <w:b/>
          <w:bCs/>
          <w:szCs w:val="24"/>
          <w:u w:color="000000"/>
          <w:bdr w:val="nil"/>
          <w:lang w:val="en-US"/>
        </w:rPr>
        <w:t>MOMOCO INTERNATIONAL LIMITED</w:t>
      </w:r>
      <w:r>
        <w:rPr>
          <w:rFonts w:cs="Arial"/>
          <w:b/>
          <w:szCs w:val="24"/>
          <w:lang w:val="en-ZA"/>
        </w:rPr>
        <w:tab/>
        <w:t xml:space="preserve">   </w:t>
      </w:r>
      <w:r w:rsidR="00422DCC" w:rsidRPr="00422DCC">
        <w:rPr>
          <w:rFonts w:eastAsia="Times New Roman" w:cs="Arial"/>
          <w:szCs w:val="24"/>
          <w:lang w:val="en-ZA"/>
        </w:rPr>
        <w:t>R</w:t>
      </w:r>
      <w:r w:rsidR="0039598A" w:rsidRPr="00422DCC">
        <w:rPr>
          <w:rFonts w:eastAsia="Times New Roman" w:cs="Arial"/>
          <w:szCs w:val="24"/>
          <w:lang w:val="en-ZA"/>
        </w:rPr>
        <w:t>espondent</w:t>
      </w:r>
    </w:p>
    <w:p w14:paraId="4CA30863" w14:textId="77777777" w:rsidR="002B0D0B" w:rsidRDefault="002B0D0B" w:rsidP="002B0D0B">
      <w:pPr>
        <w:pStyle w:val="JudgmentNumbered"/>
        <w:numPr>
          <w:ilvl w:val="0"/>
          <w:numId w:val="0"/>
        </w:numPr>
        <w:ind w:left="567" w:hanging="567"/>
        <w:rPr>
          <w:lang w:val="en-ZA"/>
        </w:rPr>
      </w:pPr>
    </w:p>
    <w:p w14:paraId="5E3995C9" w14:textId="43E5B4F4" w:rsidR="009A5FAC" w:rsidRPr="009A5FAC" w:rsidRDefault="009A5FAC" w:rsidP="00F3286A">
      <w:pPr>
        <w:spacing w:after="160"/>
        <w:ind w:left="0"/>
        <w:rPr>
          <w:rFonts w:eastAsia="Calibri" w:cs="Arial"/>
          <w:kern w:val="2"/>
          <w:szCs w:val="24"/>
          <w:lang w:val="en-ZA"/>
          <w14:ligatures w14:val="standardContextual"/>
        </w:rPr>
      </w:pPr>
      <w:r w:rsidRPr="009A5FAC">
        <w:rPr>
          <w:rFonts w:eastAsia="Calibri" w:cs="Arial"/>
          <w:b/>
          <w:bCs/>
          <w:kern w:val="2"/>
          <w:szCs w:val="24"/>
          <w:lang w:val="en-ZA"/>
          <w14:ligatures w14:val="standardContextual"/>
        </w:rPr>
        <w:t>Delivered</w:t>
      </w:r>
      <w:r w:rsidRPr="009A5FAC">
        <w:rPr>
          <w:rFonts w:eastAsia="Calibri" w:cs="Arial"/>
          <w:kern w:val="2"/>
          <w:szCs w:val="24"/>
          <w:lang w:val="en-ZA"/>
          <w14:ligatures w14:val="standardContextual"/>
        </w:rPr>
        <w:t>: This judgment was handed down electronically by circulation to the parties</w:t>
      </w:r>
      <w:r w:rsidR="00FF6C93">
        <w:rPr>
          <w:rFonts w:eastAsia="Calibri" w:cs="Arial"/>
          <w:kern w:val="2"/>
          <w:szCs w:val="24"/>
          <w:lang w:val="en-ZA"/>
          <w14:ligatures w14:val="standardContextual"/>
        </w:rPr>
        <w:t>’</w:t>
      </w:r>
      <w:r w:rsidRPr="009A5FAC">
        <w:rPr>
          <w:rFonts w:eastAsia="Calibri" w:cs="Arial"/>
          <w:kern w:val="2"/>
          <w:szCs w:val="24"/>
          <w:lang w:val="en-ZA"/>
          <w14:ligatures w14:val="standardContextual"/>
        </w:rPr>
        <w:t xml:space="preserve"> representatives by e-mail, uploading to </w:t>
      </w:r>
      <w:r w:rsidR="00DF4B5C" w:rsidRPr="009A5FAC">
        <w:rPr>
          <w:rFonts w:eastAsia="Calibri" w:cs="Arial"/>
          <w:kern w:val="2"/>
          <w:szCs w:val="24"/>
          <w:lang w:val="en-ZA"/>
          <w14:ligatures w14:val="standardContextual"/>
        </w:rPr>
        <w:t>C</w:t>
      </w:r>
      <w:r w:rsidRPr="009A5FAC">
        <w:rPr>
          <w:rFonts w:eastAsia="Calibri" w:cs="Arial"/>
          <w:kern w:val="2"/>
          <w:szCs w:val="24"/>
          <w:lang w:val="en-ZA"/>
          <w14:ligatures w14:val="standardContextual"/>
        </w:rPr>
        <w:t>ase lines and release to SAFLII. The date and time for hand down is deemed to be 14h00 on 24 August 2023.</w:t>
      </w:r>
    </w:p>
    <w:p w14:paraId="623418E2" w14:textId="77777777" w:rsidR="009A5FAC" w:rsidRPr="009A5FAC" w:rsidRDefault="009A5FAC" w:rsidP="00F3286A">
      <w:pPr>
        <w:spacing w:after="160"/>
        <w:ind w:left="0"/>
        <w:rPr>
          <w:rFonts w:eastAsia="Calibri" w:cs="Arial"/>
          <w:kern w:val="2"/>
          <w:szCs w:val="24"/>
          <w:lang w:val="en-ZA"/>
          <w14:ligatures w14:val="standardContextual"/>
        </w:rPr>
      </w:pPr>
      <w:r w:rsidRPr="009A5FAC">
        <w:rPr>
          <w:rFonts w:eastAsia="Calibri" w:cs="Arial"/>
          <w:b/>
          <w:bCs/>
          <w:kern w:val="2"/>
          <w:szCs w:val="24"/>
          <w:lang w:val="en-ZA"/>
          <w14:ligatures w14:val="standardContextual"/>
        </w:rPr>
        <w:t>Flynote</w:t>
      </w:r>
      <w:r w:rsidRPr="009A5FAC">
        <w:rPr>
          <w:rFonts w:eastAsia="Calibri" w:cs="Arial"/>
          <w:kern w:val="2"/>
          <w:szCs w:val="24"/>
          <w:lang w:val="en-ZA"/>
          <w14:ligatures w14:val="standardContextual"/>
        </w:rPr>
        <w:t>: Leave to appeal – section 17 of Superior Courts Act 10 of 2013 – the threshold for leave to appeal – refusal of.</w:t>
      </w:r>
    </w:p>
    <w:p w14:paraId="03AB8047" w14:textId="77777777" w:rsidR="009A5FAC" w:rsidRPr="009A5FAC" w:rsidRDefault="009A5FAC" w:rsidP="00F3286A">
      <w:pPr>
        <w:spacing w:after="160"/>
        <w:ind w:left="0"/>
        <w:rPr>
          <w:rFonts w:eastAsia="Calibri" w:cs="Arial"/>
          <w:kern w:val="2"/>
          <w:szCs w:val="24"/>
          <w:lang w:val="en-ZA"/>
          <w14:ligatures w14:val="standardContextual"/>
        </w:rPr>
      </w:pPr>
      <w:r w:rsidRPr="009A5FAC">
        <w:rPr>
          <w:rFonts w:eastAsia="Calibri" w:cs="Arial"/>
          <w:kern w:val="2"/>
          <w:szCs w:val="24"/>
          <w:lang w:val="en-ZA"/>
          <w14:ligatures w14:val="standardContextual"/>
        </w:rPr>
        <w:t>Civil Procedure – Appeal – implementation of appealed order – section 18(3) of Superior Courts Act 10 of 2013.</w:t>
      </w:r>
    </w:p>
    <w:p w14:paraId="6564E607" w14:textId="77777777" w:rsidR="009A5FAC" w:rsidRPr="009A5FAC" w:rsidRDefault="009A5FAC" w:rsidP="00F3286A">
      <w:pPr>
        <w:spacing w:after="160"/>
        <w:ind w:left="0"/>
        <w:rPr>
          <w:rFonts w:eastAsia="Calibri" w:cs="Arial"/>
          <w:kern w:val="2"/>
          <w:szCs w:val="24"/>
          <w:lang w:val="en-ZA"/>
          <w14:ligatures w14:val="standardContextual"/>
        </w:rPr>
      </w:pPr>
      <w:r w:rsidRPr="009A5FAC">
        <w:rPr>
          <w:rFonts w:eastAsia="Calibri" w:cs="Arial"/>
          <w:b/>
          <w:bCs/>
          <w:kern w:val="2"/>
          <w:szCs w:val="24"/>
          <w:lang w:val="en-ZA"/>
          <w14:ligatures w14:val="standardContextual"/>
        </w:rPr>
        <w:t>Summary</w:t>
      </w:r>
      <w:r w:rsidRPr="009A5FAC">
        <w:rPr>
          <w:rFonts w:eastAsia="Calibri" w:cs="Arial"/>
          <w:kern w:val="2"/>
          <w:szCs w:val="24"/>
          <w:lang w:val="en-ZA"/>
          <w14:ligatures w14:val="standardContextual"/>
        </w:rPr>
        <w:t xml:space="preserve">: The applicant sought an order declaring that the operation and execution of the order ("the execution order") is not suspended and will continue to be operational </w:t>
      </w:r>
      <w:r w:rsidRPr="009A5FAC">
        <w:rPr>
          <w:rFonts w:eastAsia="Calibri" w:cs="Arial"/>
          <w:kern w:val="2"/>
          <w:szCs w:val="24"/>
          <w:lang w:val="en-ZA"/>
          <w14:ligatures w14:val="standardContextual"/>
        </w:rPr>
        <w:lastRenderedPageBreak/>
        <w:t>and executed in full whether there are any applications for leave to appeal and appeals or whether there is any petition for leave to appeal against said order.</w:t>
      </w:r>
    </w:p>
    <w:p w14:paraId="6AD98A42" w14:textId="77777777" w:rsidR="009A5FAC" w:rsidRPr="009A5FAC" w:rsidRDefault="009A5FAC" w:rsidP="00F3286A">
      <w:pPr>
        <w:spacing w:after="160"/>
        <w:ind w:left="0"/>
        <w:rPr>
          <w:rFonts w:eastAsia="Calibri" w:cs="Arial"/>
          <w:kern w:val="2"/>
          <w:szCs w:val="24"/>
          <w:lang w:val="en-ZA"/>
          <w14:ligatures w14:val="standardContextual"/>
        </w:rPr>
      </w:pPr>
      <w:r w:rsidRPr="009A5FAC">
        <w:rPr>
          <w:rFonts w:eastAsia="Calibri" w:cs="Arial"/>
          <w:i/>
          <w:iCs/>
          <w:kern w:val="2"/>
          <w:szCs w:val="24"/>
          <w:lang w:val="en-ZA"/>
          <w14:ligatures w14:val="standardContextual"/>
        </w:rPr>
        <w:t>Held</w:t>
      </w:r>
      <w:r w:rsidRPr="009A5FAC">
        <w:rPr>
          <w:rFonts w:eastAsia="Calibri" w:cs="Arial"/>
          <w:kern w:val="2"/>
          <w:szCs w:val="24"/>
          <w:lang w:val="en-ZA"/>
          <w14:ligatures w14:val="standardContextual"/>
        </w:rPr>
        <w:t xml:space="preserve">: that section 18(3) requires a party making the application in terms of that provision must prove the presence of irreparable harm to the applicant, who wants to put into operation and execute the order and the absence of irreparable harm to the respondent, who seeks leave to appeal. The requirements of the section restated. </w:t>
      </w:r>
    </w:p>
    <w:p w14:paraId="38A6EFD0" w14:textId="5AFBD8A3" w:rsidR="00C13F9D" w:rsidRPr="00C13F9D" w:rsidRDefault="00C13F9D" w:rsidP="00C13F9D">
      <w:pPr>
        <w:pBdr>
          <w:bottom w:val="single" w:sz="12" w:space="1" w:color="auto"/>
        </w:pBdr>
        <w:spacing w:after="0" w:line="240" w:lineRule="auto"/>
        <w:ind w:left="0"/>
        <w:jc w:val="left"/>
        <w:rPr>
          <w:rFonts w:cs="Arial"/>
          <w:bCs/>
          <w:szCs w:val="24"/>
          <w:lang w:val="en-ZA"/>
        </w:rPr>
      </w:pPr>
    </w:p>
    <w:p w14:paraId="797CF5B1" w14:textId="77777777" w:rsidR="007B7F59" w:rsidRPr="007B7F59" w:rsidRDefault="007B7F59" w:rsidP="007B7F59">
      <w:pPr>
        <w:spacing w:after="0" w:line="240" w:lineRule="auto"/>
        <w:ind w:left="1440" w:hanging="1440"/>
        <w:jc w:val="left"/>
        <w:rPr>
          <w:rFonts w:cs="Arial"/>
          <w:b/>
          <w:szCs w:val="24"/>
        </w:rPr>
      </w:pPr>
    </w:p>
    <w:p w14:paraId="49EA7DB0"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5663E65F" w14:textId="4A784B15" w:rsidR="007E3224" w:rsidRPr="00A34F0A" w:rsidRDefault="000732B9" w:rsidP="007E3224">
      <w:pPr>
        <w:spacing w:after="0" w:line="240" w:lineRule="auto"/>
        <w:ind w:left="0"/>
        <w:jc w:val="left"/>
        <w:rPr>
          <w:rFonts w:cs="Arial"/>
          <w:b/>
          <w:bCs/>
          <w:szCs w:val="24"/>
        </w:rPr>
      </w:pPr>
      <w:r>
        <w:rPr>
          <w:rFonts w:cs="Arial"/>
          <w:b/>
          <w:bCs/>
          <w:szCs w:val="24"/>
        </w:rPr>
        <w:t>M</w:t>
      </w:r>
      <w:r w:rsidR="005B343C">
        <w:rPr>
          <w:rFonts w:cs="Arial"/>
          <w:b/>
          <w:bCs/>
          <w:szCs w:val="24"/>
        </w:rPr>
        <w:t>UDAU</w:t>
      </w:r>
      <w:r w:rsidR="00642E81">
        <w:rPr>
          <w:rFonts w:cs="Arial"/>
          <w:b/>
          <w:bCs/>
          <w:szCs w:val="24"/>
        </w:rPr>
        <w:t>,</w:t>
      </w:r>
      <w:r w:rsidR="00C01821">
        <w:rPr>
          <w:rFonts w:cs="Arial"/>
          <w:b/>
          <w:bCs/>
          <w:szCs w:val="24"/>
        </w:rPr>
        <w:t xml:space="preserve"> J</w:t>
      </w:r>
      <w:r w:rsidR="003660B3">
        <w:rPr>
          <w:rFonts w:cs="Arial"/>
          <w:b/>
          <w:bCs/>
          <w:szCs w:val="24"/>
        </w:rPr>
        <w:t>:</w:t>
      </w:r>
    </w:p>
    <w:p w14:paraId="3E0E660F" w14:textId="1C6CF917" w:rsidR="00B17275" w:rsidRPr="00B17275" w:rsidRDefault="00B17275" w:rsidP="002A276A">
      <w:pPr>
        <w:pStyle w:val="JudgmentNumbered"/>
        <w:numPr>
          <w:ilvl w:val="0"/>
          <w:numId w:val="0"/>
        </w:numPr>
        <w:spacing w:line="240" w:lineRule="auto"/>
        <w:rPr>
          <w:i/>
        </w:rPr>
      </w:pPr>
    </w:p>
    <w:p w14:paraId="67072146" w14:textId="42B3605E" w:rsidR="00642E81" w:rsidRDefault="005F5E19" w:rsidP="005F5E19">
      <w:pPr>
        <w:pStyle w:val="JudgmentNumbered"/>
        <w:numPr>
          <w:ilvl w:val="0"/>
          <w:numId w:val="0"/>
        </w:numPr>
        <w:ind w:left="567" w:hanging="567"/>
      </w:pPr>
      <w:r>
        <w:t>[1]</w:t>
      </w:r>
      <w:r>
        <w:tab/>
      </w:r>
      <w:r w:rsidR="005B343C" w:rsidRPr="005B343C">
        <w:t xml:space="preserve">There are two applications before this </w:t>
      </w:r>
      <w:r w:rsidR="006A08E4" w:rsidRPr="005B343C">
        <w:t>C</w:t>
      </w:r>
      <w:r w:rsidR="005B343C" w:rsidRPr="005B343C">
        <w:t xml:space="preserve">ourt. First, an application for leave to appeal at the instance of GFE-MIR Alloys and Minerals SA (Pty) Limited (GFE) the order granted by this Court recognising </w:t>
      </w:r>
      <w:r w:rsidR="006A08E4">
        <w:t xml:space="preserve">and </w:t>
      </w:r>
      <w:r w:rsidR="005B343C" w:rsidRPr="005B343C">
        <w:t xml:space="preserve">enforcing </w:t>
      </w:r>
      <w:r w:rsidR="006A08E4">
        <w:t>a</w:t>
      </w:r>
      <w:r w:rsidR="005B343C" w:rsidRPr="005B343C">
        <w:t xml:space="preserve"> foreign arbitral award stipulated in the United Nations Commission on International Trade Law Model Law on International Commercial Arbitration (Model Law) and the International Arbitration Act</w:t>
      </w:r>
      <w:r w:rsidR="0084143D">
        <w:t>.</w:t>
      </w:r>
      <w:r w:rsidR="00E9393E">
        <w:rPr>
          <w:rStyle w:val="FootnoteReference"/>
        </w:rPr>
        <w:footnoteReference w:id="1"/>
      </w:r>
    </w:p>
    <w:p w14:paraId="477229B4" w14:textId="5799CF52" w:rsidR="00FF3C30" w:rsidRPr="00642E81" w:rsidRDefault="005F5E19" w:rsidP="005F5E19">
      <w:pPr>
        <w:pStyle w:val="JudgmentNumbered"/>
        <w:numPr>
          <w:ilvl w:val="0"/>
          <w:numId w:val="0"/>
        </w:numPr>
        <w:ind w:left="567" w:hanging="567"/>
      </w:pPr>
      <w:r w:rsidRPr="00642E81">
        <w:t>[2]</w:t>
      </w:r>
      <w:r w:rsidRPr="00642E81">
        <w:tab/>
      </w:r>
      <w:r w:rsidR="005B343C" w:rsidRPr="005B343C">
        <w:t xml:space="preserve">Secondly, an application in terms of section 18(3) of </w:t>
      </w:r>
      <w:r w:rsidR="0084143D">
        <w:t xml:space="preserve">the </w:t>
      </w:r>
      <w:r w:rsidR="0084143D" w:rsidRPr="0084143D">
        <w:t xml:space="preserve">Superior Courts </w:t>
      </w:r>
      <w:r w:rsidR="005B343C" w:rsidRPr="005B343C">
        <w:t>Act</w:t>
      </w:r>
      <w:r w:rsidR="000B48FA">
        <w:rPr>
          <w:rStyle w:val="FootnoteReference"/>
        </w:rPr>
        <w:footnoteReference w:id="2"/>
      </w:r>
      <w:r w:rsidR="00B80D6C">
        <w:t>(the Act)</w:t>
      </w:r>
      <w:r w:rsidR="005B343C" w:rsidRPr="005B343C">
        <w:t xml:space="preserve"> at the instance of Momoco International Limited (Momoco) for an order declaring that the operation and execution of the order (“the execution order”) is not suspended and will continue to be operational and execut</w:t>
      </w:r>
      <w:r w:rsidR="0025096F">
        <w:t>able</w:t>
      </w:r>
      <w:r w:rsidR="005B343C" w:rsidRPr="005B343C">
        <w:t xml:space="preserve"> in full whether or not there are any applications for leave to appeal and appeals</w:t>
      </w:r>
      <w:r w:rsidR="000C366F">
        <w:t>,</w:t>
      </w:r>
      <w:r w:rsidR="005B343C" w:rsidRPr="005B343C">
        <w:t xml:space="preserve"> or whether or not there is any petition for leave to appeal against said order</w:t>
      </w:r>
      <w:r w:rsidR="00FF3C30">
        <w:t>.</w:t>
      </w:r>
    </w:p>
    <w:p w14:paraId="7A2807D7" w14:textId="19150CD4" w:rsidR="005B343C" w:rsidRPr="00287E31" w:rsidRDefault="005F5E19" w:rsidP="005F5E19">
      <w:pPr>
        <w:pStyle w:val="JudgmentNumbered"/>
        <w:numPr>
          <w:ilvl w:val="0"/>
          <w:numId w:val="0"/>
        </w:numPr>
        <w:ind w:left="567" w:hanging="567"/>
        <w:rPr>
          <w:lang w:val="en-US"/>
        </w:rPr>
      </w:pPr>
      <w:r w:rsidRPr="00287E31">
        <w:rPr>
          <w:lang w:val="en-US"/>
        </w:rPr>
        <w:t>[3]</w:t>
      </w:r>
      <w:r w:rsidRPr="00287E31">
        <w:rPr>
          <w:lang w:val="en-US"/>
        </w:rPr>
        <w:tab/>
      </w:r>
      <w:r w:rsidR="005B343C" w:rsidRPr="00287E31">
        <w:t xml:space="preserve">Section 17(1)(a) of the Act </w:t>
      </w:r>
      <w:r w:rsidR="005B343C" w:rsidRPr="00287E31">
        <w:rPr>
          <w:lang w:eastAsia="en-ZA"/>
        </w:rPr>
        <w:t>provides that leave to appeal may only be granted where the court is of the opinion that t</w:t>
      </w:r>
      <w:r w:rsidR="005B343C" w:rsidRPr="00287E31">
        <w:t>he appeal would have a reasonable prospect of success; or there is some other compelling reason the appeal should be heard, including conflicting judgments on the matter under consideration.</w:t>
      </w:r>
      <w:r w:rsidR="005B343C" w:rsidRPr="00287E31">
        <w:rPr>
          <w:lang w:val="en-US"/>
        </w:rPr>
        <w:t xml:space="preserve"> </w:t>
      </w:r>
      <w:r w:rsidR="005B343C">
        <w:t>It is trite that an appeal lies only against a court’s order and not its reasons</w:t>
      </w:r>
      <w:r w:rsidR="00B80D6C">
        <w:t>.</w:t>
      </w:r>
      <w:r w:rsidR="005B343C">
        <w:rPr>
          <w:rStyle w:val="FootnoteReference"/>
        </w:rPr>
        <w:footnoteReference w:id="3"/>
      </w:r>
    </w:p>
    <w:p w14:paraId="2996035D" w14:textId="33E5FC83" w:rsidR="00EA068B" w:rsidRDefault="005F5E19" w:rsidP="005F5E19">
      <w:pPr>
        <w:pStyle w:val="JudgmentNumbered"/>
        <w:numPr>
          <w:ilvl w:val="0"/>
          <w:numId w:val="0"/>
        </w:numPr>
        <w:ind w:left="567" w:hanging="567"/>
      </w:pPr>
      <w:r>
        <w:lastRenderedPageBreak/>
        <w:t>[4]</w:t>
      </w:r>
      <w:r>
        <w:tab/>
      </w:r>
      <w:r w:rsidR="005B343C" w:rsidRPr="005B343C">
        <w:rPr>
          <w:lang w:val="en-US"/>
        </w:rPr>
        <w:t xml:space="preserve">I do not intend to deal with the grounds for leave to appeal </w:t>
      </w:r>
      <w:r w:rsidR="005B343C" w:rsidRPr="005B343C">
        <w:rPr>
          <w:i/>
          <w:iCs/>
          <w:lang w:val="en-US"/>
        </w:rPr>
        <w:t>seriatim</w:t>
      </w:r>
      <w:r w:rsidR="005B343C" w:rsidRPr="005B343C">
        <w:rPr>
          <w:lang w:val="en-US"/>
        </w:rPr>
        <w:t>. Properly distilled, however,</w:t>
      </w:r>
      <w:r w:rsidR="005B343C" w:rsidRPr="005B343C">
        <w:t xml:space="preserve"> GFE contends</w:t>
      </w:r>
      <w:r w:rsidR="009D4B97">
        <w:t xml:space="preserve"> that</w:t>
      </w:r>
      <w:r w:rsidR="005B343C" w:rsidRPr="005B343C">
        <w:t xml:space="preserve"> this Court was wrong by not finding that Momoco had the onus to establish that the recognition and enforcement of the order would not be against public policy. In this regard, the court had to undertake a primary inquiry, which places no onus on a respondent, to determine whether recognising or enforcing the award would be contrary to public policy of the Republic. GFE contends that this </w:t>
      </w:r>
      <w:r w:rsidR="00A20461" w:rsidRPr="005B343C">
        <w:t>C</w:t>
      </w:r>
      <w:r w:rsidR="005B343C" w:rsidRPr="005B343C">
        <w:t xml:space="preserve">ourt was wrong by not finding that section 18(1)(a)(ii) </w:t>
      </w:r>
      <w:r w:rsidR="006B35C4">
        <w:t xml:space="preserve">of the </w:t>
      </w:r>
      <w:r w:rsidR="00714D05">
        <w:t xml:space="preserve">International </w:t>
      </w:r>
      <w:r w:rsidR="006B35C4">
        <w:t xml:space="preserve">Arbitration Act </w:t>
      </w:r>
      <w:r w:rsidR="005B343C" w:rsidRPr="005B343C">
        <w:t>enjoined the court to protect the public policy of South Africa as opposed to section 18(1)(b) which places an onus on the respondent</w:t>
      </w:r>
      <w:r w:rsidR="00E33420">
        <w:t>. GFE places reliance</w:t>
      </w:r>
      <w:r w:rsidR="005B343C" w:rsidRPr="005B343C">
        <w:t xml:space="preserve"> on the authority of this </w:t>
      </w:r>
      <w:r w:rsidR="00E33420" w:rsidRPr="005B343C">
        <w:t>C</w:t>
      </w:r>
      <w:r w:rsidR="005B343C" w:rsidRPr="005B343C">
        <w:t xml:space="preserve">ourt’s judgment (per Senyatsi J) in </w:t>
      </w:r>
      <w:r w:rsidR="005B343C" w:rsidRPr="005B343C">
        <w:rPr>
          <w:i/>
          <w:iCs/>
        </w:rPr>
        <w:t>Industrius DDO v IDS Industry Service and Plant Construction South Africa (Pty) Ltd</w:t>
      </w:r>
      <w:r w:rsidR="00E33420">
        <w:rPr>
          <w:i/>
          <w:iCs/>
        </w:rPr>
        <w:t>.</w:t>
      </w:r>
      <w:r w:rsidR="005B343C" w:rsidRPr="005B343C">
        <w:rPr>
          <w:vertAlign w:val="superscript"/>
        </w:rPr>
        <w:footnoteReference w:id="4"/>
      </w:r>
      <w:r w:rsidR="005B343C" w:rsidRPr="005B343C">
        <w:t xml:space="preserve"> There, Senyatsi J</w:t>
      </w:r>
      <w:r w:rsidR="005B343C" w:rsidRPr="005B343C">
        <w:rPr>
          <w:b/>
          <w:bCs/>
        </w:rPr>
        <w:t xml:space="preserve"> </w:t>
      </w:r>
      <w:r w:rsidR="005B343C" w:rsidRPr="005B343C">
        <w:t>held, correctly that “</w:t>
      </w:r>
      <w:r w:rsidR="005B343C" w:rsidRPr="005B343C">
        <w:rPr>
          <w:i/>
        </w:rPr>
        <w:t>t</w:t>
      </w:r>
      <w:r w:rsidR="005B343C" w:rsidRPr="005B343C">
        <w:rPr>
          <w:i/>
          <w:iCs/>
        </w:rPr>
        <w:t>he onus is on the party seeking the resistance of the enforcement of the arbitral award to allege and prove any of the grounds set out in s18 of the Act and the Model Law</w:t>
      </w:r>
      <w:r w:rsidR="005B343C">
        <w:rPr>
          <w:i/>
          <w:iCs/>
        </w:rPr>
        <w:t>”</w:t>
      </w:r>
      <w:r w:rsidR="00E33420">
        <w:rPr>
          <w:i/>
          <w:iCs/>
        </w:rPr>
        <w:t>.</w:t>
      </w:r>
    </w:p>
    <w:p w14:paraId="4C926968" w14:textId="54900393" w:rsidR="005B343C" w:rsidRPr="005B343C" w:rsidRDefault="005F5E19" w:rsidP="005F5E19">
      <w:pPr>
        <w:pStyle w:val="JudgmentNumbered"/>
        <w:numPr>
          <w:ilvl w:val="0"/>
          <w:numId w:val="0"/>
        </w:numPr>
        <w:ind w:left="567" w:hanging="567"/>
      </w:pPr>
      <w:r w:rsidRPr="005B343C">
        <w:t>[5]</w:t>
      </w:r>
      <w:r w:rsidRPr="005B343C">
        <w:tab/>
      </w:r>
      <w:r w:rsidR="005B343C" w:rsidRPr="005B343C">
        <w:t xml:space="preserve">Section 17 of the International Arbitration Act is </w:t>
      </w:r>
      <w:r w:rsidR="005B343C" w:rsidRPr="005B343C">
        <w:rPr>
          <w:lang w:val="en-US"/>
        </w:rPr>
        <w:t>relevant. It provides thus</w:t>
      </w:r>
      <w:r w:rsidR="005B343C">
        <w:rPr>
          <w:lang w:val="en-US"/>
        </w:rPr>
        <w:t>:</w:t>
      </w:r>
    </w:p>
    <w:p w14:paraId="7CBC835D" w14:textId="7BA8374E" w:rsidR="005B343C" w:rsidRPr="003F3A9A" w:rsidRDefault="005B343C" w:rsidP="00247014">
      <w:pPr>
        <w:pStyle w:val="ListParagraph"/>
        <w:spacing w:before="120" w:after="0"/>
        <w:rPr>
          <w:rFonts w:eastAsia="Times New Roman" w:cs="Arial"/>
          <w:color w:val="000000"/>
          <w:sz w:val="22"/>
          <w:lang w:eastAsia="en-ZA"/>
        </w:rPr>
      </w:pPr>
      <w:r>
        <w:rPr>
          <w:rFonts w:eastAsia="Times New Roman" w:cs="Arial"/>
          <w:color w:val="000000"/>
          <w:szCs w:val="24"/>
          <w:lang w:eastAsia="en-ZA"/>
        </w:rPr>
        <w:t>“</w:t>
      </w:r>
      <w:r w:rsidRPr="003F3A9A">
        <w:rPr>
          <w:rFonts w:eastAsia="Times New Roman" w:cs="Arial"/>
          <w:color w:val="000000"/>
          <w:sz w:val="22"/>
          <w:lang w:eastAsia="en-ZA"/>
        </w:rPr>
        <w:t>A party seeking the recognition or enforcement of a foreign arbitral award must produce</w:t>
      </w:r>
      <w:r w:rsidR="00361096">
        <w:rPr>
          <w:rFonts w:eastAsia="Times New Roman" w:cs="Arial"/>
          <w:color w:val="000000"/>
          <w:sz w:val="22"/>
          <w:lang w:eastAsia="en-ZA"/>
        </w:rPr>
        <w:t>:</w:t>
      </w:r>
      <w:r w:rsidRPr="003F3A9A">
        <w:rPr>
          <w:rFonts w:eastAsia="Times New Roman" w:cs="Arial"/>
          <w:color w:val="000000"/>
          <w:sz w:val="22"/>
          <w:lang w:eastAsia="en-ZA"/>
        </w:rPr>
        <w:t>-</w:t>
      </w:r>
    </w:p>
    <w:p w14:paraId="685C9D29" w14:textId="77777777" w:rsidR="003F3A9A" w:rsidRPr="003F3A9A" w:rsidRDefault="005B343C" w:rsidP="005B343C">
      <w:pPr>
        <w:pStyle w:val="ListParagraph"/>
        <w:spacing w:before="60" w:after="0"/>
        <w:ind w:left="567"/>
        <w:rPr>
          <w:rFonts w:eastAsia="Times New Roman" w:cs="Arial"/>
          <w:i/>
          <w:iCs/>
          <w:color w:val="000000"/>
          <w:sz w:val="22"/>
          <w:lang w:eastAsia="en-ZA"/>
        </w:rPr>
      </w:pPr>
      <w:bookmarkStart w:id="1" w:name="0-0-0-176949"/>
      <w:bookmarkEnd w:id="1"/>
      <w:r w:rsidRPr="003F3A9A">
        <w:rPr>
          <w:rFonts w:eastAsia="Times New Roman" w:cs="Arial"/>
          <w:color w:val="000000"/>
          <w:sz w:val="22"/>
          <w:lang w:eastAsia="en-ZA"/>
        </w:rPr>
        <w:t> </w:t>
      </w:r>
      <w:r w:rsidR="003F3A9A" w:rsidRPr="003F3A9A">
        <w:rPr>
          <w:rFonts w:eastAsia="Times New Roman" w:cs="Arial"/>
          <w:color w:val="000000"/>
          <w:sz w:val="22"/>
          <w:lang w:eastAsia="en-ZA"/>
        </w:rPr>
        <w:tab/>
      </w:r>
      <w:r w:rsidR="003F3A9A" w:rsidRPr="003F3A9A">
        <w:rPr>
          <w:rFonts w:eastAsia="Times New Roman" w:cs="Arial"/>
          <w:color w:val="000000"/>
          <w:sz w:val="22"/>
          <w:lang w:eastAsia="en-ZA"/>
        </w:rPr>
        <w:tab/>
      </w:r>
      <w:r w:rsidRPr="003F3A9A">
        <w:rPr>
          <w:rFonts w:eastAsia="Times New Roman" w:cs="Arial"/>
          <w:i/>
          <w:iCs/>
          <w:color w:val="000000"/>
          <w:sz w:val="22"/>
          <w:lang w:eastAsia="en-ZA"/>
        </w:rPr>
        <w:t>(a)</w:t>
      </w:r>
    </w:p>
    <w:p w14:paraId="67088AA8" w14:textId="7BB0141A" w:rsidR="005B343C" w:rsidRPr="003F3A9A" w:rsidRDefault="005B343C" w:rsidP="003F3A9A">
      <w:pPr>
        <w:pStyle w:val="ListParagraph"/>
        <w:spacing w:before="60" w:after="0"/>
        <w:ind w:left="2160"/>
        <w:rPr>
          <w:rFonts w:eastAsia="Times New Roman" w:cs="Arial"/>
          <w:color w:val="000000"/>
          <w:sz w:val="22"/>
          <w:lang w:eastAsia="en-ZA"/>
        </w:rPr>
      </w:pPr>
      <w:r w:rsidRPr="003F3A9A">
        <w:rPr>
          <w:rFonts w:eastAsia="Times New Roman" w:cs="Arial"/>
          <w:color w:val="000000"/>
          <w:sz w:val="22"/>
          <w:lang w:eastAsia="en-ZA"/>
        </w:rPr>
        <w:t>(i)   the original award and the original arbitration agreement in terms of which an award was made, authenticated in a manner in which foreign documents must be authenticated to enable them to be produced in any court; or</w:t>
      </w:r>
    </w:p>
    <w:p w14:paraId="4DBC433F" w14:textId="7EB367DA" w:rsidR="005B343C" w:rsidRPr="003F3A9A" w:rsidRDefault="005B343C" w:rsidP="005B343C">
      <w:pPr>
        <w:pStyle w:val="ListParagraph"/>
        <w:spacing w:before="60" w:after="0"/>
        <w:ind w:left="567"/>
        <w:rPr>
          <w:rFonts w:eastAsia="Times New Roman" w:cs="Arial"/>
          <w:color w:val="000000"/>
          <w:sz w:val="22"/>
          <w:lang w:eastAsia="en-ZA"/>
        </w:rPr>
      </w:pPr>
      <w:r w:rsidRPr="003F3A9A">
        <w:rPr>
          <w:rFonts w:eastAsia="Times New Roman" w:cs="Arial"/>
          <w:color w:val="000000"/>
          <w:sz w:val="22"/>
          <w:lang w:eastAsia="en-ZA"/>
        </w:rPr>
        <w:t>  </w:t>
      </w:r>
      <w:r w:rsidR="003F3A9A" w:rsidRPr="003F3A9A">
        <w:rPr>
          <w:rFonts w:eastAsia="Times New Roman" w:cs="Arial"/>
          <w:color w:val="000000"/>
          <w:sz w:val="22"/>
          <w:lang w:eastAsia="en-ZA"/>
        </w:rPr>
        <w:tab/>
      </w:r>
      <w:r w:rsidRPr="003F3A9A">
        <w:rPr>
          <w:rFonts w:eastAsia="Times New Roman" w:cs="Arial"/>
          <w:color w:val="000000"/>
          <w:sz w:val="22"/>
          <w:lang w:eastAsia="en-ZA"/>
        </w:rPr>
        <w:t> </w:t>
      </w:r>
      <w:bookmarkStart w:id="2" w:name="0-0-0-176953"/>
      <w:bookmarkEnd w:id="2"/>
      <w:r w:rsidR="003F3A9A" w:rsidRPr="003F3A9A">
        <w:rPr>
          <w:rFonts w:eastAsia="Times New Roman" w:cs="Arial"/>
          <w:color w:val="000000"/>
          <w:sz w:val="22"/>
          <w:lang w:eastAsia="en-ZA"/>
        </w:rPr>
        <w:tab/>
      </w:r>
      <w:r w:rsidR="003F3A9A">
        <w:rPr>
          <w:rFonts w:eastAsia="Times New Roman" w:cs="Arial"/>
          <w:color w:val="000000"/>
          <w:sz w:val="22"/>
          <w:lang w:eastAsia="en-ZA"/>
        </w:rPr>
        <w:tab/>
      </w:r>
      <w:r w:rsidRPr="003F3A9A">
        <w:rPr>
          <w:rFonts w:eastAsia="Times New Roman" w:cs="Arial"/>
          <w:color w:val="000000"/>
          <w:sz w:val="22"/>
          <w:lang w:eastAsia="en-ZA"/>
        </w:rPr>
        <w:t>(ii)   a certified copy of that award and of that agreement; and</w:t>
      </w:r>
    </w:p>
    <w:p w14:paraId="6882688A" w14:textId="7FA59C58" w:rsidR="005B343C" w:rsidRPr="003F3A9A" w:rsidRDefault="005B343C" w:rsidP="003F3A9A">
      <w:pPr>
        <w:pStyle w:val="JudgmentNumbered"/>
        <w:numPr>
          <w:ilvl w:val="0"/>
          <w:numId w:val="0"/>
        </w:numPr>
        <w:ind w:left="1437"/>
        <w:rPr>
          <w:rFonts w:eastAsia="Times New Roman"/>
          <w:color w:val="000000"/>
          <w:sz w:val="22"/>
          <w:lang w:eastAsia="en-ZA"/>
        </w:rPr>
      </w:pPr>
      <w:r w:rsidRPr="003F3A9A">
        <w:rPr>
          <w:rFonts w:eastAsia="Times New Roman"/>
          <w:i/>
          <w:iCs/>
          <w:color w:val="000000"/>
          <w:sz w:val="22"/>
          <w:lang w:eastAsia="en-ZA"/>
        </w:rPr>
        <w:t>(b)</w:t>
      </w:r>
      <w:r w:rsidRPr="003F3A9A">
        <w:rPr>
          <w:rFonts w:eastAsia="Times New Roman"/>
          <w:color w:val="000000"/>
          <w:sz w:val="22"/>
          <w:lang w:eastAsia="en-ZA"/>
        </w:rPr>
        <w:t>   a sworn translation of the arbitration agreement or arbitral award authenticated in a manner in which foreign documents must be authenticated for production in court, if the agreement or award is in a language other than one of the official languages of the Republic: Provided that the court may accept other documentary evidence regarding the existence of the foreign arbitral award and arbitration agreement as sufficient proof where the court considers it appropriate to do so”.</w:t>
      </w:r>
    </w:p>
    <w:p w14:paraId="574B77E1" w14:textId="02030134" w:rsidR="005F55BB" w:rsidRDefault="005B343C" w:rsidP="005B343C">
      <w:pPr>
        <w:pStyle w:val="JudgmentNumbered"/>
        <w:numPr>
          <w:ilvl w:val="0"/>
          <w:numId w:val="0"/>
        </w:numPr>
        <w:ind w:left="567"/>
      </w:pPr>
      <w:r w:rsidRPr="005B343C">
        <w:rPr>
          <w:lang w:val="en-US"/>
        </w:rPr>
        <w:lastRenderedPageBreak/>
        <w:t>There is no disputing that Momoco complied with its obligation in terms of section 17 of the Act</w:t>
      </w:r>
      <w:r>
        <w:rPr>
          <w:lang w:val="en-US"/>
        </w:rPr>
        <w:t>.</w:t>
      </w:r>
      <w:r w:rsidR="00367BE2">
        <w:t xml:space="preserve"> </w:t>
      </w:r>
    </w:p>
    <w:p w14:paraId="5604036A" w14:textId="34FC77E3" w:rsidR="00872DE1" w:rsidRDefault="005F5E19" w:rsidP="005F5E19">
      <w:pPr>
        <w:pStyle w:val="JudgmentNumbered"/>
        <w:numPr>
          <w:ilvl w:val="0"/>
          <w:numId w:val="0"/>
        </w:numPr>
        <w:ind w:left="567" w:hanging="567"/>
      </w:pPr>
      <w:r>
        <w:t>[6]</w:t>
      </w:r>
      <w:r>
        <w:tab/>
      </w:r>
      <w:r w:rsidR="005B343C" w:rsidRPr="005B343C">
        <w:t xml:space="preserve">GFE contends </w:t>
      </w:r>
      <w:r w:rsidR="00F77334">
        <w:t xml:space="preserve">that </w:t>
      </w:r>
      <w:r w:rsidR="005B343C" w:rsidRPr="005B343C">
        <w:t xml:space="preserve">the effect of payment in South Africa of a foreign arbitral amount accommodating a tax evasion scheme will be contrary to the public policy of the Republic as it is public policy in the Republic that courts will not enforce arbitral awards that will have the effect of supporting a scheme of tax evasion. </w:t>
      </w:r>
    </w:p>
    <w:p w14:paraId="59C6CB0E" w14:textId="1DA74486" w:rsidR="00FF4BA3" w:rsidRDefault="005F5E19" w:rsidP="005F5E19">
      <w:pPr>
        <w:pStyle w:val="JudgmentNumbered"/>
        <w:numPr>
          <w:ilvl w:val="0"/>
          <w:numId w:val="0"/>
        </w:numPr>
        <w:ind w:left="567" w:hanging="567"/>
      </w:pPr>
      <w:r>
        <w:t>[7]</w:t>
      </w:r>
      <w:r>
        <w:tab/>
      </w:r>
      <w:r w:rsidR="005B343C" w:rsidRPr="005B343C">
        <w:t xml:space="preserve">GFE maintains that it </w:t>
      </w:r>
      <w:r w:rsidR="0033307D">
        <w:t xml:space="preserve">is </w:t>
      </w:r>
      <w:r w:rsidR="005B343C" w:rsidRPr="005B343C">
        <w:t>perfectly entitled to rely on this dilatory defence until Momoco demonstrates that the payment to it will not offend the public policy of the Republic. GFE relies on the authority of</w:t>
      </w:r>
      <w:r w:rsidR="00BA5C72">
        <w:t>,</w:t>
      </w:r>
      <w:r w:rsidR="005B343C" w:rsidRPr="005B343C">
        <w:t xml:space="preserve"> inter alia</w:t>
      </w:r>
      <w:r w:rsidR="00BA5C72">
        <w:t>,</w:t>
      </w:r>
      <w:r w:rsidR="005B343C" w:rsidRPr="005B343C">
        <w:t xml:space="preserve"> </w:t>
      </w:r>
      <w:r w:rsidR="005B343C" w:rsidRPr="005B343C">
        <w:rPr>
          <w:i/>
          <w:iCs/>
        </w:rPr>
        <w:t>Cool Ideas 1186 CC v Hubbard and Another</w:t>
      </w:r>
      <w:r w:rsidR="005B343C" w:rsidRPr="005B343C">
        <w:rPr>
          <w:vertAlign w:val="superscript"/>
        </w:rPr>
        <w:footnoteReference w:id="5"/>
      </w:r>
      <w:r w:rsidR="005B343C" w:rsidRPr="005B343C">
        <w:t xml:space="preserve"> and </w:t>
      </w:r>
      <w:r w:rsidR="005B343C" w:rsidRPr="005B343C">
        <w:rPr>
          <w:i/>
          <w:iCs/>
        </w:rPr>
        <w:t>Blacher v Josephson</w:t>
      </w:r>
      <w:r w:rsidR="00BA5C72">
        <w:rPr>
          <w:i/>
          <w:iCs/>
        </w:rPr>
        <w:t>.</w:t>
      </w:r>
      <w:r w:rsidR="005B343C" w:rsidRPr="005B343C">
        <w:rPr>
          <w:vertAlign w:val="superscript"/>
        </w:rPr>
        <w:footnoteReference w:id="6"/>
      </w:r>
    </w:p>
    <w:p w14:paraId="64512059" w14:textId="1D533F12" w:rsidR="006A7D0D" w:rsidRDefault="005F5E19" w:rsidP="005F5E19">
      <w:pPr>
        <w:pStyle w:val="JudgmentNumbered"/>
        <w:numPr>
          <w:ilvl w:val="0"/>
          <w:numId w:val="0"/>
        </w:numPr>
        <w:ind w:left="567" w:hanging="567"/>
      </w:pPr>
      <w:r>
        <w:t>[8]</w:t>
      </w:r>
      <w:r>
        <w:tab/>
      </w:r>
      <w:r w:rsidR="005B343C" w:rsidRPr="005B343C">
        <w:t xml:space="preserve">In </w:t>
      </w:r>
      <w:r w:rsidR="005B343C" w:rsidRPr="00247014">
        <w:rPr>
          <w:i/>
          <w:iCs/>
        </w:rPr>
        <w:t>Cool Ideas</w:t>
      </w:r>
      <w:r w:rsidR="005B343C" w:rsidRPr="005B343C">
        <w:t xml:space="preserve"> it was found by the majority of the </w:t>
      </w:r>
      <w:r w:rsidR="0088588D" w:rsidRPr="005B343C">
        <w:t>j</w:t>
      </w:r>
      <w:r w:rsidR="005B343C" w:rsidRPr="005B343C">
        <w:t xml:space="preserve">ustices that as the award violated a statutory prohibition backed by a criminal sanction, it was contrary to public policy and unenforceable. Similarly, in </w:t>
      </w:r>
      <w:r w:rsidR="005B343C" w:rsidRPr="00247014">
        <w:rPr>
          <w:i/>
          <w:iCs/>
        </w:rPr>
        <w:t>Blacher</w:t>
      </w:r>
      <w:r w:rsidR="005B343C" w:rsidRPr="005B343C">
        <w:t xml:space="preserve"> the full court concluded that enforcing </w:t>
      </w:r>
      <w:r w:rsidR="00841A3E">
        <w:t xml:space="preserve">an </w:t>
      </w:r>
      <w:r w:rsidR="005B343C" w:rsidRPr="005B343C">
        <w:t xml:space="preserve">arbitral award endorsing unlawful credit agreements would subvert National Credit Act </w:t>
      </w:r>
      <w:r w:rsidR="00841A3E">
        <w:t>[</w:t>
      </w:r>
      <w:r w:rsidR="005B343C" w:rsidRPr="005B343C">
        <w:t>34 of 2005</w:t>
      </w:r>
      <w:r w:rsidR="00841A3E">
        <w:t>]</w:t>
      </w:r>
      <w:r w:rsidR="005B343C" w:rsidRPr="005B343C">
        <w:t xml:space="preserve"> and for that reason</w:t>
      </w:r>
      <w:r w:rsidR="00841A3E">
        <w:t>, such award would be</w:t>
      </w:r>
      <w:r w:rsidR="005B343C" w:rsidRPr="005B343C">
        <w:t xml:space="preserve"> against public policy</w:t>
      </w:r>
      <w:r w:rsidR="00FF4BA3">
        <w:t>.</w:t>
      </w:r>
      <w:r w:rsidR="00912ECF">
        <w:t xml:space="preserve"> </w:t>
      </w:r>
    </w:p>
    <w:p w14:paraId="017C708A" w14:textId="73C3103F" w:rsidR="004154E3" w:rsidRPr="00100B6D" w:rsidRDefault="005F5E19" w:rsidP="005F5E19">
      <w:pPr>
        <w:pStyle w:val="JudgmentNumbered"/>
        <w:numPr>
          <w:ilvl w:val="0"/>
          <w:numId w:val="0"/>
        </w:numPr>
        <w:ind w:left="567" w:hanging="567"/>
      </w:pPr>
      <w:r w:rsidRPr="00100B6D">
        <w:t>[9]</w:t>
      </w:r>
      <w:r w:rsidRPr="00100B6D">
        <w:tab/>
      </w:r>
      <w:r w:rsidR="005B343C" w:rsidRPr="005B343C">
        <w:t xml:space="preserve">Both </w:t>
      </w:r>
      <w:r w:rsidR="00C4612B">
        <w:t xml:space="preserve">these </w:t>
      </w:r>
      <w:r w:rsidR="005B343C" w:rsidRPr="005B343C">
        <w:t>cases are distinguishable and do not come to</w:t>
      </w:r>
      <w:r w:rsidR="00C4612B">
        <w:t xml:space="preserve"> GFE’s</w:t>
      </w:r>
      <w:r w:rsidR="005B343C" w:rsidRPr="005B343C">
        <w:t xml:space="preserve"> a</w:t>
      </w:r>
      <w:r w:rsidR="00C4612B">
        <w:t>id</w:t>
      </w:r>
      <w:r w:rsidR="005B343C" w:rsidRPr="005B343C">
        <w:t>.  It is well established that where a party seeks to avoid contractual consequences on the basis that they are contrary to public policy, that party and not the party enforcing the agreement bears the onus</w:t>
      </w:r>
      <w:r w:rsidR="00AA38EB">
        <w:t>.</w:t>
      </w:r>
      <w:r w:rsidR="005B343C" w:rsidRPr="00247014">
        <w:rPr>
          <w:vertAlign w:val="superscript"/>
          <w:lang w:val="en-US"/>
        </w:rPr>
        <w:footnoteReference w:id="7"/>
      </w:r>
    </w:p>
    <w:p w14:paraId="41DB6747" w14:textId="5412E409" w:rsidR="00BC3F42" w:rsidRDefault="005F5E19" w:rsidP="005F5E19">
      <w:pPr>
        <w:pStyle w:val="JudgmentNumbered"/>
        <w:numPr>
          <w:ilvl w:val="0"/>
          <w:numId w:val="0"/>
        </w:numPr>
        <w:ind w:left="567" w:hanging="567"/>
      </w:pPr>
      <w:r>
        <w:t>[10]</w:t>
      </w:r>
      <w:r>
        <w:tab/>
      </w:r>
      <w:r w:rsidR="005B343C" w:rsidRPr="005B343C">
        <w:t>As Momoco points out, the defence in relation to tax evasion in the U</w:t>
      </w:r>
      <w:r w:rsidR="00862362">
        <w:t xml:space="preserve">nited </w:t>
      </w:r>
      <w:r w:rsidR="005B343C" w:rsidRPr="005B343C">
        <w:t>K</w:t>
      </w:r>
      <w:r w:rsidR="00862362">
        <w:t>ingdom</w:t>
      </w:r>
      <w:r w:rsidR="005B343C" w:rsidRPr="005B343C">
        <w:t xml:space="preserve"> was considered by the tribunal and by this </w:t>
      </w:r>
      <w:r w:rsidR="003679DE" w:rsidRPr="005B343C">
        <w:t>C</w:t>
      </w:r>
      <w:r w:rsidR="005B343C" w:rsidRPr="005B343C">
        <w:t xml:space="preserve">ourt and </w:t>
      </w:r>
      <w:r w:rsidR="003679DE">
        <w:t xml:space="preserve">was </w:t>
      </w:r>
      <w:r w:rsidR="005B343C" w:rsidRPr="005B343C">
        <w:t>re</w:t>
      </w:r>
      <w:r w:rsidR="003679DE">
        <w:t>jected</w:t>
      </w:r>
      <w:r w:rsidR="005B343C" w:rsidRPr="005B343C">
        <w:t xml:space="preserve"> as being irrelevant. It remains irrelevant in the present proceedings and any other proceedings which would implicate </w:t>
      </w:r>
      <w:r w:rsidR="002D5ED8">
        <w:t xml:space="preserve">the </w:t>
      </w:r>
      <w:r w:rsidR="005B343C" w:rsidRPr="005B343C">
        <w:t xml:space="preserve">enforcement of the underlying contracts, the arbitral </w:t>
      </w:r>
      <w:r w:rsidR="00553493" w:rsidRPr="005B343C">
        <w:t>award,</w:t>
      </w:r>
      <w:r w:rsidR="005B343C" w:rsidRPr="005B343C">
        <w:t xml:space="preserve"> and the execution order</w:t>
      </w:r>
      <w:r w:rsidR="00BC3F42" w:rsidRPr="006A7D0D">
        <w:t>.</w:t>
      </w:r>
    </w:p>
    <w:p w14:paraId="6C82FC44" w14:textId="305F537E" w:rsidR="002F3451" w:rsidRDefault="005F5E19" w:rsidP="005F5E19">
      <w:pPr>
        <w:pStyle w:val="JudgmentNumbered"/>
        <w:numPr>
          <w:ilvl w:val="0"/>
          <w:numId w:val="0"/>
        </w:numPr>
        <w:ind w:left="567" w:hanging="567"/>
      </w:pPr>
      <w:r>
        <w:lastRenderedPageBreak/>
        <w:t>[11]</w:t>
      </w:r>
      <w:r>
        <w:tab/>
      </w:r>
      <w:r w:rsidR="00A218B9" w:rsidRPr="00A218B9">
        <w:t xml:space="preserve">As this </w:t>
      </w:r>
      <w:r w:rsidR="00484A5F" w:rsidRPr="00A218B9">
        <w:t>C</w:t>
      </w:r>
      <w:r w:rsidR="00A218B9" w:rsidRPr="00A218B9">
        <w:t>ourt pointed out in para 27 of the main judgment, which is the subject of the leave to appeal</w:t>
      </w:r>
      <w:r w:rsidR="002F3451">
        <w:t>:</w:t>
      </w:r>
      <w:r w:rsidR="00A218B9" w:rsidRPr="00A218B9">
        <w:t xml:space="preserve"> </w:t>
      </w:r>
    </w:p>
    <w:p w14:paraId="3B495BE7" w14:textId="1EBA4F5A" w:rsidR="006A7D0D" w:rsidRDefault="00A218B9" w:rsidP="00247014">
      <w:pPr>
        <w:pStyle w:val="JudgmentNumbered"/>
        <w:numPr>
          <w:ilvl w:val="0"/>
          <w:numId w:val="0"/>
        </w:numPr>
        <w:ind w:left="720"/>
      </w:pPr>
      <w:r w:rsidRPr="00A218B9">
        <w:t>“</w:t>
      </w:r>
      <w:r w:rsidRPr="00247014">
        <w:rPr>
          <w:sz w:val="22"/>
        </w:rPr>
        <w:t>there is no illegality in relation to the underlying agreement or the award. None was suggested. Nor is there any suggestion that the main transaction agreement with the arbitration clause was concluded with the intention of committing an illegal act requiring public policy considerations</w:t>
      </w:r>
      <w:r w:rsidRPr="00A218B9">
        <w:t>”</w:t>
      </w:r>
      <w:r w:rsidR="00C82B0C">
        <w:t>.</w:t>
      </w:r>
      <w:r w:rsidR="00111181">
        <w:t xml:space="preserve"> </w:t>
      </w:r>
    </w:p>
    <w:p w14:paraId="55762598" w14:textId="40B30F50" w:rsidR="00875EDD" w:rsidRDefault="005F5E19" w:rsidP="005F5E19">
      <w:pPr>
        <w:pStyle w:val="JudgmentNumbered"/>
        <w:numPr>
          <w:ilvl w:val="0"/>
          <w:numId w:val="0"/>
        </w:numPr>
        <w:ind w:left="567" w:hanging="567"/>
      </w:pPr>
      <w:r>
        <w:t>[12]</w:t>
      </w:r>
      <w:r>
        <w:tab/>
      </w:r>
      <w:r w:rsidR="00A218B9" w:rsidRPr="00A218B9">
        <w:t xml:space="preserve">This </w:t>
      </w:r>
      <w:r w:rsidR="00CF7E8A" w:rsidRPr="00A218B9">
        <w:t>C</w:t>
      </w:r>
      <w:r w:rsidR="00A218B9" w:rsidRPr="00A218B9">
        <w:t xml:space="preserve">ourt followed precedent of this </w:t>
      </w:r>
      <w:r w:rsidR="007B14AE">
        <w:t>Division</w:t>
      </w:r>
      <w:r w:rsidR="00A218B9" w:rsidRPr="00A218B9">
        <w:t xml:space="preserve"> in </w:t>
      </w:r>
      <w:r w:rsidR="00A218B9" w:rsidRPr="00A218B9">
        <w:rPr>
          <w:i/>
        </w:rPr>
        <w:t>Commissioner of Taxes</w:t>
      </w:r>
      <w:r w:rsidR="00ED683D">
        <w:rPr>
          <w:i/>
        </w:rPr>
        <w:t>,</w:t>
      </w:r>
      <w:r w:rsidR="00A218B9" w:rsidRPr="00A218B9">
        <w:rPr>
          <w:i/>
        </w:rPr>
        <w:t xml:space="preserve"> Federation Rhodesia v McFarland</w:t>
      </w:r>
      <w:r w:rsidR="00A218B9" w:rsidRPr="00247014">
        <w:rPr>
          <w:iCs/>
          <w:vertAlign w:val="superscript"/>
        </w:rPr>
        <w:footnoteReference w:id="8"/>
      </w:r>
      <w:r w:rsidR="00A218B9" w:rsidRPr="007B14AE">
        <w:rPr>
          <w:iCs/>
        </w:rPr>
        <w:t xml:space="preserve"> </w:t>
      </w:r>
      <w:r w:rsidR="00A218B9" w:rsidRPr="00A218B9">
        <w:t>and held that</w:t>
      </w:r>
      <w:r w:rsidR="00875EDD">
        <w:t>:</w:t>
      </w:r>
    </w:p>
    <w:p w14:paraId="70DFF04E" w14:textId="0F8D64AD" w:rsidR="00DD511B" w:rsidRDefault="00A218B9" w:rsidP="00875EDD">
      <w:pPr>
        <w:pStyle w:val="JudgmentNumbered"/>
        <w:numPr>
          <w:ilvl w:val="0"/>
          <w:numId w:val="0"/>
        </w:numPr>
        <w:ind w:left="720"/>
        <w:rPr>
          <w:iCs/>
          <w:sz w:val="22"/>
        </w:rPr>
      </w:pPr>
      <w:r w:rsidRPr="00A218B9">
        <w:t>“</w:t>
      </w:r>
      <w:r w:rsidR="00DD511B">
        <w:t>[</w:t>
      </w:r>
      <w:r w:rsidRPr="00247014">
        <w:rPr>
          <w:iCs/>
          <w:sz w:val="22"/>
        </w:rPr>
        <w:t>courts of the Republic</w:t>
      </w:r>
      <w:r w:rsidR="00DD511B">
        <w:rPr>
          <w:iCs/>
          <w:sz w:val="22"/>
        </w:rPr>
        <w:t>]</w:t>
      </w:r>
      <w:r w:rsidRPr="00247014">
        <w:rPr>
          <w:iCs/>
          <w:sz w:val="22"/>
        </w:rPr>
        <w:t xml:space="preserve"> have no jurisdiction to entertain legal proceedings involving the enforcement of the revenue laws of another </w:t>
      </w:r>
      <w:r w:rsidR="00DD511B" w:rsidRPr="00DD511B">
        <w:rPr>
          <w:iCs/>
          <w:sz w:val="22"/>
        </w:rPr>
        <w:t>S</w:t>
      </w:r>
      <w:r w:rsidRPr="00247014">
        <w:rPr>
          <w:iCs/>
          <w:sz w:val="22"/>
        </w:rPr>
        <w:t>tate</w:t>
      </w:r>
      <w:r w:rsidR="00DD511B">
        <w:rPr>
          <w:iCs/>
          <w:sz w:val="22"/>
        </w:rPr>
        <w:t>”.</w:t>
      </w:r>
      <w:r w:rsidR="00DD511B">
        <w:rPr>
          <w:rStyle w:val="FootnoteReference"/>
          <w:iCs/>
          <w:sz w:val="22"/>
        </w:rPr>
        <w:footnoteReference w:id="9"/>
      </w:r>
      <w:r w:rsidRPr="00247014">
        <w:rPr>
          <w:iCs/>
          <w:sz w:val="22"/>
        </w:rPr>
        <w:t xml:space="preserve"> </w:t>
      </w:r>
    </w:p>
    <w:p w14:paraId="2BF59555" w14:textId="77777777" w:rsidR="00DD511B" w:rsidRDefault="00A218B9" w:rsidP="00875EDD">
      <w:pPr>
        <w:pStyle w:val="JudgmentNumbered"/>
        <w:numPr>
          <w:ilvl w:val="0"/>
          <w:numId w:val="0"/>
        </w:numPr>
        <w:ind w:left="720"/>
        <w:rPr>
          <w:iCs/>
          <w:sz w:val="22"/>
        </w:rPr>
      </w:pPr>
      <w:r w:rsidRPr="00247014">
        <w:rPr>
          <w:iCs/>
          <w:szCs w:val="24"/>
        </w:rPr>
        <w:t>and that</w:t>
      </w:r>
      <w:r w:rsidR="00DD511B">
        <w:rPr>
          <w:iCs/>
          <w:sz w:val="22"/>
        </w:rPr>
        <w:t>:</w:t>
      </w:r>
    </w:p>
    <w:p w14:paraId="742BDD29" w14:textId="3E5C00FD" w:rsidR="00A05CF7" w:rsidRDefault="00A218B9" w:rsidP="00247014">
      <w:pPr>
        <w:pStyle w:val="JudgmentNumbered"/>
        <w:numPr>
          <w:ilvl w:val="0"/>
          <w:numId w:val="0"/>
        </w:numPr>
        <w:ind w:left="720"/>
      </w:pPr>
      <w:r w:rsidRPr="00247014">
        <w:rPr>
          <w:iCs/>
          <w:sz w:val="22"/>
        </w:rPr>
        <w:t xml:space="preserve"> </w:t>
      </w:r>
      <w:r w:rsidR="00DD511B">
        <w:rPr>
          <w:iCs/>
          <w:sz w:val="22"/>
        </w:rPr>
        <w:t>“</w:t>
      </w:r>
      <w:r w:rsidRPr="00247014">
        <w:rPr>
          <w:iCs/>
          <w:sz w:val="22"/>
        </w:rPr>
        <w:t>[t]he imposition of a tax creates a duty that is not to be likened to any other debt. The fiscal power is an attribute of sovereignty</w:t>
      </w:r>
      <w:r w:rsidRPr="00247014">
        <w:rPr>
          <w:iCs/>
        </w:rPr>
        <w:t>”</w:t>
      </w:r>
      <w:r w:rsidR="00F276AF">
        <w:t>.</w:t>
      </w:r>
      <w:r w:rsidR="00DD511B">
        <w:rPr>
          <w:rStyle w:val="FootnoteReference"/>
        </w:rPr>
        <w:footnoteReference w:id="10"/>
      </w:r>
    </w:p>
    <w:p w14:paraId="54F88E7C" w14:textId="4C67AF0B" w:rsidR="00B40E94" w:rsidRDefault="005F5E19" w:rsidP="005F5E19">
      <w:pPr>
        <w:pStyle w:val="JudgmentNumbered"/>
        <w:numPr>
          <w:ilvl w:val="0"/>
          <w:numId w:val="0"/>
        </w:numPr>
        <w:ind w:left="567" w:hanging="567"/>
      </w:pPr>
      <w:r>
        <w:t>[13]</w:t>
      </w:r>
      <w:r>
        <w:tab/>
      </w:r>
      <w:r w:rsidR="00A218B9" w:rsidRPr="00A218B9">
        <w:t>In light of the above, it follows that GFE’s application for leave to appeal must fail. There is no reasonable prospect of success on appeal nor is there any compelling reason to subject this matter to an appeal</w:t>
      </w:r>
      <w:r w:rsidR="00C31116">
        <w:t>.</w:t>
      </w:r>
    </w:p>
    <w:p w14:paraId="2CB2AAE6" w14:textId="4486D6F3" w:rsidR="00A218B9" w:rsidRPr="00247014" w:rsidRDefault="00A218B9" w:rsidP="00247014">
      <w:pPr>
        <w:pStyle w:val="2"/>
        <w:numPr>
          <w:ilvl w:val="0"/>
          <w:numId w:val="0"/>
        </w:numPr>
        <w:rPr>
          <w:rFonts w:cs="Arial"/>
          <w:i/>
          <w:iCs w:val="0"/>
          <w:szCs w:val="24"/>
        </w:rPr>
      </w:pPr>
      <w:r w:rsidRPr="00247014">
        <w:rPr>
          <w:rFonts w:cs="Arial"/>
          <w:i/>
          <w:iCs w:val="0"/>
          <w:szCs w:val="24"/>
        </w:rPr>
        <w:t>S</w:t>
      </w:r>
      <w:r w:rsidR="00D52BBD" w:rsidRPr="00247014">
        <w:rPr>
          <w:rFonts w:cs="Arial"/>
          <w:i/>
          <w:iCs w:val="0"/>
          <w:szCs w:val="24"/>
        </w:rPr>
        <w:t>ection 18(3) application</w:t>
      </w:r>
    </w:p>
    <w:p w14:paraId="68117BFC" w14:textId="68D848A4" w:rsidR="00645597" w:rsidRPr="00A218B9" w:rsidRDefault="005F5E19" w:rsidP="005F5E19">
      <w:pPr>
        <w:pStyle w:val="JudgmentNumbered"/>
        <w:numPr>
          <w:ilvl w:val="0"/>
          <w:numId w:val="0"/>
        </w:numPr>
        <w:ind w:left="567" w:hanging="567"/>
      </w:pPr>
      <w:r w:rsidRPr="00A218B9">
        <w:t>[14]</w:t>
      </w:r>
      <w:r w:rsidRPr="00A218B9">
        <w:tab/>
      </w:r>
      <w:r w:rsidR="00A218B9" w:rsidRPr="00A218B9">
        <w:t xml:space="preserve">In terms of section 18(1) of the Superior Courts Act, the ordinary effect of the pending application for leave to appeal is that </w:t>
      </w:r>
      <w:r w:rsidR="00034251">
        <w:t>a</w:t>
      </w:r>
      <w:r w:rsidR="00A218B9" w:rsidRPr="00A218B9">
        <w:t xml:space="preserve"> </w:t>
      </w:r>
      <w:r w:rsidR="00034251">
        <w:t>c</w:t>
      </w:r>
      <w:r w:rsidR="00A218B9" w:rsidRPr="00A218B9">
        <w:t xml:space="preserve">ourt’s order is suspended. But section 18(3) empowers </w:t>
      </w:r>
      <w:r w:rsidR="006D1549">
        <w:t>a</w:t>
      </w:r>
      <w:r w:rsidR="00A218B9" w:rsidRPr="00A218B9">
        <w:t xml:space="preserve"> </w:t>
      </w:r>
      <w:r w:rsidR="006D1549">
        <w:t>c</w:t>
      </w:r>
      <w:r w:rsidR="00A218B9" w:rsidRPr="00A218B9">
        <w:t xml:space="preserve">ourt to order otherwise. The principles applicable to an application in terms of section 18(3) </w:t>
      </w:r>
      <w:r w:rsidR="00206B1B">
        <w:t xml:space="preserve">were </w:t>
      </w:r>
      <w:r w:rsidR="00206B1B" w:rsidRPr="00A218B9">
        <w:t xml:space="preserve">pointed out </w:t>
      </w:r>
      <w:r w:rsidR="00206B1B">
        <w:t xml:space="preserve">by this Division </w:t>
      </w:r>
      <w:r w:rsidR="00206B1B" w:rsidRPr="00A218B9">
        <w:t xml:space="preserve">in </w:t>
      </w:r>
      <w:r w:rsidR="00206B1B" w:rsidRPr="00A218B9">
        <w:rPr>
          <w:i/>
          <w:lang w:val="en-US"/>
        </w:rPr>
        <w:t>Incubeta Holdings (Pty) Ltd v Ellis and Another</w:t>
      </w:r>
      <w:r w:rsidR="00206B1B">
        <w:rPr>
          <w:iCs/>
          <w:lang w:val="en-US"/>
        </w:rPr>
        <w:t>,</w:t>
      </w:r>
      <w:r w:rsidR="00206B1B" w:rsidRPr="00247014">
        <w:rPr>
          <w:iCs/>
          <w:vertAlign w:val="superscript"/>
          <w:lang w:val="en-US"/>
        </w:rPr>
        <w:footnoteReference w:id="11"/>
      </w:r>
      <w:r w:rsidR="00206B1B" w:rsidRPr="00A218B9">
        <w:rPr>
          <w:lang w:val="en-US"/>
        </w:rPr>
        <w:t xml:space="preserve"> </w:t>
      </w:r>
      <w:r w:rsidR="008D0A47">
        <w:t xml:space="preserve"> a judgment by</w:t>
      </w:r>
      <w:r w:rsidR="00A218B9" w:rsidRPr="00A218B9">
        <w:t xml:space="preserve"> Sutherland J </w:t>
      </w:r>
      <w:r w:rsidR="008D0A47">
        <w:t>(</w:t>
      </w:r>
      <w:r w:rsidR="00A218B9" w:rsidRPr="00A218B9">
        <w:t>as he then was)</w:t>
      </w:r>
      <w:r w:rsidR="008D0A47">
        <w:t>.</w:t>
      </w:r>
      <w:r w:rsidR="00A218B9" w:rsidRPr="00A218B9">
        <w:t xml:space="preserve"> </w:t>
      </w:r>
      <w:r w:rsidR="008D0A47" w:rsidRPr="00A218B9">
        <w:rPr>
          <w:lang w:val="en-US"/>
        </w:rPr>
        <w:t>A</w:t>
      </w:r>
      <w:r w:rsidR="00A218B9" w:rsidRPr="00A218B9">
        <w:rPr>
          <w:lang w:val="en-US"/>
        </w:rPr>
        <w:t>t para 16</w:t>
      </w:r>
      <w:r w:rsidR="008D0A47">
        <w:rPr>
          <w:lang w:val="en-US"/>
        </w:rPr>
        <w:t>, it was held</w:t>
      </w:r>
      <w:r w:rsidR="00A218B9">
        <w:rPr>
          <w:lang w:val="en-US"/>
        </w:rPr>
        <w:t>:</w:t>
      </w:r>
    </w:p>
    <w:p w14:paraId="31BD246A" w14:textId="77777777" w:rsidR="00A218B9" w:rsidRPr="00247014" w:rsidRDefault="00A218B9" w:rsidP="00247014">
      <w:pPr>
        <w:spacing w:after="0"/>
        <w:ind w:left="720"/>
        <w:rPr>
          <w:rFonts w:eastAsia="Times New Roman" w:cs="Arial"/>
          <w:color w:val="000000"/>
          <w:sz w:val="22"/>
          <w:lang w:val="en-ZA" w:eastAsia="en-ZA"/>
        </w:rPr>
      </w:pPr>
      <w:r w:rsidRPr="00247014">
        <w:rPr>
          <w:rFonts w:cs="Arial"/>
          <w:sz w:val="22"/>
        </w:rPr>
        <w:lastRenderedPageBreak/>
        <w:t>“</w:t>
      </w:r>
      <w:r w:rsidRPr="00247014">
        <w:rPr>
          <w:rFonts w:eastAsia="Times New Roman" w:cs="Arial"/>
          <w:color w:val="000000"/>
          <w:sz w:val="22"/>
          <w:lang w:val="en-ZA" w:eastAsia="en-ZA"/>
        </w:rPr>
        <w:t>It seems to me that there is indeed a new dimension introduced to the test by the provisions of s 18. The test is twofold. The requirements are:</w:t>
      </w:r>
    </w:p>
    <w:p w14:paraId="402ACCAD" w14:textId="32D7AA3D" w:rsidR="00A218B9" w:rsidRPr="00247014" w:rsidRDefault="00A218B9" w:rsidP="00247014">
      <w:pPr>
        <w:spacing w:after="0"/>
        <w:ind w:left="1021" w:hanging="1021"/>
        <w:rPr>
          <w:rFonts w:eastAsia="Times New Roman" w:cs="Arial"/>
          <w:color w:val="000000"/>
          <w:sz w:val="22"/>
          <w:lang w:val="en-ZA" w:eastAsia="en-ZA"/>
        </w:rPr>
      </w:pPr>
      <w:r w:rsidRPr="00247014">
        <w:rPr>
          <w:rFonts w:eastAsia="Times New Roman" w:cs="Arial"/>
          <w:color w:val="000000"/>
          <w:sz w:val="22"/>
          <w:lang w:val="en-ZA" w:eastAsia="en-ZA"/>
        </w:rPr>
        <w:t> </w:t>
      </w:r>
      <w:r w:rsidRPr="00247014">
        <w:rPr>
          <w:rFonts w:eastAsia="Times New Roman" w:cs="Arial"/>
          <w:color w:val="000000"/>
          <w:sz w:val="22"/>
          <w:lang w:val="en-ZA" w:eastAsia="en-ZA"/>
        </w:rPr>
        <w:tab/>
        <w:t> </w:t>
      </w:r>
      <w:r w:rsidR="008D0A47">
        <w:rPr>
          <w:rFonts w:eastAsia="Times New Roman" w:cs="Arial"/>
          <w:color w:val="000000"/>
          <w:sz w:val="22"/>
          <w:lang w:val="en-ZA" w:eastAsia="en-ZA"/>
        </w:rPr>
        <w:tab/>
      </w:r>
      <w:r w:rsidRPr="00247014">
        <w:rPr>
          <w:rFonts w:eastAsia="Times New Roman" w:cs="Arial"/>
          <w:color w:val="000000"/>
          <w:sz w:val="22"/>
          <w:lang w:val="en-ZA" w:eastAsia="en-ZA"/>
        </w:rPr>
        <w:t xml:space="preserve">•   First, whether or not </w:t>
      </w:r>
      <w:r w:rsidR="008D0A47">
        <w:rPr>
          <w:rFonts w:eastAsia="Times New Roman" w:cs="Arial"/>
          <w:color w:val="000000"/>
          <w:sz w:val="22"/>
          <w:lang w:val="en-ZA" w:eastAsia="en-ZA"/>
        </w:rPr>
        <w:t>‘</w:t>
      </w:r>
      <w:r w:rsidRPr="00247014">
        <w:rPr>
          <w:rFonts w:eastAsia="Times New Roman" w:cs="Arial"/>
          <w:color w:val="000000"/>
          <w:sz w:val="22"/>
          <w:lang w:val="en-ZA" w:eastAsia="en-ZA"/>
        </w:rPr>
        <w:t>exceptional circumstances</w:t>
      </w:r>
      <w:r w:rsidR="008D0A47">
        <w:rPr>
          <w:rFonts w:eastAsia="Times New Roman" w:cs="Arial"/>
          <w:color w:val="000000"/>
          <w:sz w:val="22"/>
          <w:lang w:val="en-ZA" w:eastAsia="en-ZA"/>
        </w:rPr>
        <w:t>’</w:t>
      </w:r>
      <w:r w:rsidRPr="00247014">
        <w:rPr>
          <w:rFonts w:eastAsia="Times New Roman" w:cs="Arial"/>
          <w:color w:val="000000"/>
          <w:sz w:val="22"/>
          <w:lang w:val="en-ZA" w:eastAsia="en-ZA"/>
        </w:rPr>
        <w:t xml:space="preserve"> exist; and</w:t>
      </w:r>
    </w:p>
    <w:p w14:paraId="44FADE57" w14:textId="1D6A1F29" w:rsidR="00A218B9" w:rsidRPr="00247014" w:rsidRDefault="00A218B9" w:rsidP="00247014">
      <w:pPr>
        <w:spacing w:after="0"/>
        <w:ind w:left="1021" w:hanging="1021"/>
        <w:rPr>
          <w:rFonts w:eastAsia="Times New Roman" w:cs="Arial"/>
          <w:color w:val="000000"/>
          <w:sz w:val="22"/>
          <w:lang w:val="en-ZA" w:eastAsia="en-ZA"/>
        </w:rPr>
      </w:pPr>
      <w:r w:rsidRPr="00247014">
        <w:rPr>
          <w:rFonts w:eastAsia="Times New Roman" w:cs="Arial"/>
          <w:color w:val="000000"/>
          <w:sz w:val="22"/>
          <w:lang w:val="en-ZA" w:eastAsia="en-ZA"/>
        </w:rPr>
        <w:t>   </w:t>
      </w:r>
      <w:r w:rsidRPr="00247014">
        <w:rPr>
          <w:rFonts w:eastAsia="Times New Roman" w:cs="Arial"/>
          <w:color w:val="000000"/>
          <w:sz w:val="22"/>
          <w:lang w:val="en-ZA" w:eastAsia="en-ZA"/>
        </w:rPr>
        <w:tab/>
      </w:r>
      <w:r w:rsidR="008D0A47">
        <w:rPr>
          <w:rFonts w:eastAsia="Times New Roman" w:cs="Arial"/>
          <w:color w:val="000000"/>
          <w:sz w:val="22"/>
          <w:lang w:val="en-ZA" w:eastAsia="en-ZA"/>
        </w:rPr>
        <w:tab/>
      </w:r>
      <w:r w:rsidRPr="00247014">
        <w:rPr>
          <w:rFonts w:eastAsia="Times New Roman" w:cs="Arial"/>
          <w:color w:val="000000"/>
          <w:sz w:val="22"/>
          <w:lang w:val="en-ZA" w:eastAsia="en-ZA"/>
        </w:rPr>
        <w:t>•   Second, proof on a balance of probabilities by the applicant of —</w:t>
      </w:r>
    </w:p>
    <w:p w14:paraId="6730931C" w14:textId="77777777" w:rsidR="00A218B9" w:rsidRPr="00247014" w:rsidRDefault="00A218B9" w:rsidP="00247014">
      <w:pPr>
        <w:spacing w:after="0"/>
        <w:ind w:left="2291" w:hanging="131"/>
        <w:rPr>
          <w:rFonts w:eastAsia="Times New Roman" w:cs="Arial"/>
          <w:color w:val="000000"/>
          <w:sz w:val="22"/>
          <w:lang w:val="en-ZA" w:eastAsia="en-ZA"/>
        </w:rPr>
      </w:pPr>
      <w:r w:rsidRPr="00247014">
        <w:rPr>
          <w:rFonts w:eastAsia="Times New Roman" w:cs="Arial"/>
          <w:color w:val="000000"/>
          <w:sz w:val="22"/>
          <w:lang w:val="en-ZA" w:eastAsia="en-ZA"/>
        </w:rPr>
        <w:t>o   the presence of irreparable harm to the applicant/victor, who wants to put into operation and execute the order; and</w:t>
      </w:r>
    </w:p>
    <w:p w14:paraId="1590703D" w14:textId="16AABFC7" w:rsidR="00A218B9" w:rsidRDefault="00A218B9" w:rsidP="00247014">
      <w:pPr>
        <w:spacing w:after="0"/>
        <w:ind w:left="2160"/>
      </w:pPr>
      <w:r w:rsidRPr="00247014">
        <w:rPr>
          <w:rFonts w:eastAsia="Times New Roman" w:cs="Arial"/>
          <w:color w:val="000000"/>
          <w:sz w:val="22"/>
          <w:lang w:val="en-ZA" w:eastAsia="en-ZA"/>
        </w:rPr>
        <w:t>o   the absence of irreparable harm to the respondent/loser, who seeks leave to appeal.</w:t>
      </w:r>
      <w:r w:rsidR="008D0A47">
        <w:rPr>
          <w:rFonts w:eastAsia="Times New Roman" w:cs="Arial"/>
          <w:color w:val="000000"/>
          <w:sz w:val="22"/>
          <w:lang w:val="en-ZA" w:eastAsia="en-ZA"/>
        </w:rPr>
        <w:t>”</w:t>
      </w:r>
    </w:p>
    <w:p w14:paraId="44F71952" w14:textId="5E687834" w:rsidR="00C82B0C" w:rsidRPr="00100B6D" w:rsidRDefault="005F5E19" w:rsidP="005F5E19">
      <w:pPr>
        <w:pStyle w:val="JudgmentNumbered"/>
        <w:numPr>
          <w:ilvl w:val="0"/>
          <w:numId w:val="0"/>
        </w:numPr>
        <w:ind w:left="567" w:hanging="567"/>
      </w:pPr>
      <w:r w:rsidRPr="00100B6D">
        <w:t>[15]</w:t>
      </w:r>
      <w:r w:rsidRPr="00100B6D">
        <w:tab/>
      </w:r>
      <w:r w:rsidR="00A218B9" w:rsidRPr="00A218B9">
        <w:t xml:space="preserve">In this matter it is not in dispute that GFE received the goods consisting of the core wire, utilised those goods in its business, retained those goods, made a profit thereon and has not returned the goods or tendered return of </w:t>
      </w:r>
      <w:r w:rsidR="00881BFD">
        <w:t>said</w:t>
      </w:r>
      <w:r w:rsidR="00A218B9" w:rsidRPr="00A218B9">
        <w:t xml:space="preserve"> goods to Momoco</w:t>
      </w:r>
      <w:r w:rsidR="00977766">
        <w:t>.</w:t>
      </w:r>
      <w:r w:rsidR="00A218B9" w:rsidRPr="00A218B9">
        <w:t xml:space="preserve"> </w:t>
      </w:r>
      <w:r w:rsidR="00977766">
        <w:t>I</w:t>
      </w:r>
      <w:r w:rsidR="00A218B9" w:rsidRPr="00A218B9">
        <w:t xml:space="preserve">t </w:t>
      </w:r>
      <w:r w:rsidR="00B60DAD">
        <w:t xml:space="preserve">has </w:t>
      </w:r>
      <w:r w:rsidR="00A218B9" w:rsidRPr="00A218B9">
        <w:t>refuse</w:t>
      </w:r>
      <w:r w:rsidR="00B60DAD">
        <w:t>d</w:t>
      </w:r>
      <w:r w:rsidR="00A218B9" w:rsidRPr="00A218B9">
        <w:t xml:space="preserve"> to pay the debt for a period of at least 12 years. In opposing this application, GFE contends that the arbitration award</w:t>
      </w:r>
      <w:r w:rsidR="00881BFD">
        <w:t>,</w:t>
      </w:r>
      <w:r w:rsidR="00A218B9" w:rsidRPr="00A218B9">
        <w:t xml:space="preserve"> which has been made an order of </w:t>
      </w:r>
      <w:r w:rsidR="00B60DAD">
        <w:t>c</w:t>
      </w:r>
      <w:r w:rsidR="00A218B9" w:rsidRPr="00A218B9">
        <w:t>ourt is a judgment sounding in money. The fact that the money claim originates from an international arbitration does not alter nor should influence the inquiry whether Momoco has satisfied the section 18(3) requirements. GFE contends that there's nothing exceptional in the money judgement Momoco seeks to enforce pending the appeal</w:t>
      </w:r>
      <w:r w:rsidR="00BD6E9A">
        <w:rPr>
          <w:lang w:val="en-CA"/>
        </w:rPr>
        <w:t>.</w:t>
      </w:r>
    </w:p>
    <w:p w14:paraId="67FF780F" w14:textId="77777777" w:rsidR="00100B6D" w:rsidRDefault="00100B6D" w:rsidP="00100B6D">
      <w:pPr>
        <w:pStyle w:val="Default"/>
        <w:spacing w:before="0" w:line="240" w:lineRule="auto"/>
        <w:ind w:left="1440"/>
        <w:rPr>
          <w:rFonts w:ascii="Arial" w:eastAsia="Arial" w:hAnsi="Arial" w:cs="Arial"/>
          <w:sz w:val="22"/>
          <w:szCs w:val="22"/>
        </w:rPr>
      </w:pPr>
    </w:p>
    <w:p w14:paraId="3277A6B9" w14:textId="350A122F" w:rsidR="00100B6D" w:rsidRPr="00BD6E9A" w:rsidRDefault="005F5E19" w:rsidP="005F5E19">
      <w:pPr>
        <w:pStyle w:val="JudgmentNumbered"/>
        <w:numPr>
          <w:ilvl w:val="0"/>
          <w:numId w:val="0"/>
        </w:numPr>
        <w:ind w:left="567" w:hanging="567"/>
      </w:pPr>
      <w:r w:rsidRPr="00BD6E9A">
        <w:t>[16]</w:t>
      </w:r>
      <w:r w:rsidRPr="00BD6E9A">
        <w:tab/>
      </w:r>
      <w:r w:rsidR="00A218B9" w:rsidRPr="00A218B9">
        <w:t xml:space="preserve">In </w:t>
      </w:r>
      <w:r w:rsidR="00A218B9" w:rsidRPr="00A218B9">
        <w:rPr>
          <w:i/>
          <w:lang w:val="en-US"/>
        </w:rPr>
        <w:t>Incubeta</w:t>
      </w:r>
      <w:r w:rsidR="00A218B9" w:rsidRPr="00247014">
        <w:rPr>
          <w:iCs/>
          <w:vertAlign w:val="superscript"/>
          <w:lang w:val="en-US"/>
        </w:rPr>
        <w:footnoteReference w:id="12"/>
      </w:r>
      <w:r w:rsidR="00A218B9" w:rsidRPr="00A218B9">
        <w:rPr>
          <w:i/>
          <w:lang w:val="en-US"/>
        </w:rPr>
        <w:t xml:space="preserve"> </w:t>
      </w:r>
      <w:r w:rsidR="00A218B9" w:rsidRPr="00A218B9">
        <w:t>Sutherland J held</w:t>
      </w:r>
      <w:r w:rsidR="00B709EA">
        <w:t>,</w:t>
      </w:r>
      <w:r w:rsidR="00A218B9" w:rsidRPr="00A218B9">
        <w:t xml:space="preserve"> with which I agree that</w:t>
      </w:r>
      <w:r w:rsidR="00812B4D">
        <w:t>:</w:t>
      </w:r>
    </w:p>
    <w:p w14:paraId="759E33C4" w14:textId="14E002CD" w:rsidR="007E3FD7" w:rsidRPr="007E3FD7" w:rsidRDefault="00BD6E9A" w:rsidP="007E3FD7">
      <w:pPr>
        <w:pStyle w:val="JudgmentNumbered"/>
        <w:numPr>
          <w:ilvl w:val="0"/>
          <w:numId w:val="0"/>
        </w:numPr>
        <w:spacing w:after="120"/>
        <w:ind w:left="720"/>
        <w:rPr>
          <w:i/>
          <w:iCs/>
          <w:sz w:val="22"/>
          <w:lang w:val="en-ZA"/>
        </w:rPr>
      </w:pPr>
      <w:r w:rsidRPr="000F0D75">
        <w:rPr>
          <w:sz w:val="22"/>
        </w:rPr>
        <w:t>“</w:t>
      </w:r>
      <w:r w:rsidR="00812B4D">
        <w:rPr>
          <w:sz w:val="22"/>
        </w:rPr>
        <w:t xml:space="preserve">[27] </w:t>
      </w:r>
      <w:r w:rsidR="007E3FD7" w:rsidRPr="00247014">
        <w:rPr>
          <w:sz w:val="22"/>
          <w:lang w:val="en-ZA"/>
        </w:rPr>
        <w:t>In my view the predicament of being left with no relief, regardless of the outcome of an appeal, constitutes exceptional circumstances which warrant a consideration of putting the order into operation.  The forfeiture of substantive relief because of procedural delays, even if not protracted in bad faith by a litigant, ought to be sufficient to cross the threshold of ‘exceptional circumstances</w:t>
      </w:r>
      <w:r w:rsidR="00812B4D" w:rsidRPr="00247014">
        <w:rPr>
          <w:sz w:val="22"/>
          <w:lang w:val="en-ZA"/>
        </w:rPr>
        <w:t>’</w:t>
      </w:r>
      <w:r w:rsidR="003027F0">
        <w:rPr>
          <w:sz w:val="22"/>
          <w:lang w:val="en-ZA"/>
        </w:rPr>
        <w:t>.</w:t>
      </w:r>
      <w:r w:rsidR="007E3FD7" w:rsidRPr="00247014">
        <w:rPr>
          <w:sz w:val="22"/>
          <w:lang w:val="en-ZA"/>
        </w:rPr>
        <w:t>”</w:t>
      </w:r>
    </w:p>
    <w:p w14:paraId="5134D3D3" w14:textId="70D840EC" w:rsidR="007E3FD7" w:rsidRPr="00247014" w:rsidRDefault="007E3FD7" w:rsidP="007E3FD7">
      <w:pPr>
        <w:pStyle w:val="JudgmentNumbered"/>
        <w:numPr>
          <w:ilvl w:val="0"/>
          <w:numId w:val="0"/>
        </w:numPr>
        <w:spacing w:after="120"/>
        <w:ind w:left="567"/>
        <w:rPr>
          <w:szCs w:val="24"/>
          <w:lang w:val="en-ZA"/>
        </w:rPr>
      </w:pPr>
      <w:r w:rsidRPr="00247014">
        <w:rPr>
          <w:szCs w:val="24"/>
          <w:lang w:val="en-ZA"/>
        </w:rPr>
        <w:t>Further at para 28 Sutherland J said:</w:t>
      </w:r>
    </w:p>
    <w:p w14:paraId="21D81F32" w14:textId="36AB5A16" w:rsidR="00BD6E9A" w:rsidRPr="000F0D75" w:rsidRDefault="004C7AD9" w:rsidP="007E3FD7">
      <w:pPr>
        <w:pStyle w:val="JudgmentNumbered"/>
        <w:numPr>
          <w:ilvl w:val="0"/>
          <w:numId w:val="0"/>
        </w:numPr>
        <w:spacing w:after="120"/>
        <w:ind w:left="720"/>
        <w:rPr>
          <w:sz w:val="22"/>
        </w:rPr>
      </w:pPr>
      <w:r>
        <w:rPr>
          <w:sz w:val="22"/>
        </w:rPr>
        <w:t>“</w:t>
      </w:r>
      <w:r w:rsidR="007E3FD7" w:rsidRPr="007E3FD7">
        <w:rPr>
          <w:sz w:val="22"/>
        </w:rPr>
        <w:t xml:space="preserve">The plight of the victor alone is probably all that is required to pass muster.  Nonetheless, I am not unconscious of the undesirable outcome that relief granted by the court becomes a vacuous gesture. </w:t>
      </w:r>
      <w:r w:rsidR="007E3FD7" w:rsidRPr="007E3FD7">
        <w:rPr>
          <w:sz w:val="22"/>
          <w:u w:val="single"/>
        </w:rPr>
        <w:t>A court order ought not to be lightly allowed to evaporate, a fate which</w:t>
      </w:r>
      <w:r>
        <w:rPr>
          <w:sz w:val="22"/>
          <w:u w:val="single"/>
        </w:rPr>
        <w:t>,</w:t>
      </w:r>
      <w:r w:rsidR="007E3FD7" w:rsidRPr="007E3FD7">
        <w:rPr>
          <w:sz w:val="22"/>
          <w:u w:val="single"/>
        </w:rPr>
        <w:t xml:space="preserve"> seems to me, would tend to undermine the role of courts in the ordering of social relations</w:t>
      </w:r>
      <w:r w:rsidR="007E3FD7">
        <w:rPr>
          <w:sz w:val="22"/>
          <w:u w:val="single"/>
        </w:rPr>
        <w:t>.”</w:t>
      </w:r>
      <w:r w:rsidRPr="003C33E2">
        <w:rPr>
          <w:sz w:val="22"/>
        </w:rPr>
        <w:t xml:space="preserve"> [emphasis added]</w:t>
      </w:r>
    </w:p>
    <w:p w14:paraId="5732FA82" w14:textId="077F2DBB" w:rsidR="00E24D68" w:rsidRDefault="005F5E19" w:rsidP="005F5E19">
      <w:pPr>
        <w:pStyle w:val="JudgmentNumbered"/>
        <w:numPr>
          <w:ilvl w:val="0"/>
          <w:numId w:val="0"/>
        </w:numPr>
        <w:ind w:left="567" w:hanging="567"/>
      </w:pPr>
      <w:r>
        <w:lastRenderedPageBreak/>
        <w:t>[17]</w:t>
      </w:r>
      <w:r>
        <w:tab/>
      </w:r>
      <w:r w:rsidR="007E3FD7" w:rsidRPr="007E3FD7">
        <w:t xml:space="preserve">As counsel for Momoco submitted, the </w:t>
      </w:r>
      <w:bookmarkStart w:id="3" w:name="_Hlk143604514"/>
      <w:r w:rsidR="003D1B7C">
        <w:t xml:space="preserve">International Arbitration </w:t>
      </w:r>
      <w:bookmarkEnd w:id="3"/>
      <w:r w:rsidR="007E3FD7" w:rsidRPr="007E3FD7">
        <w:t>Act, which provides for the enforcement and recognition of foreign arbitral awards ensures that foreign arbitral awards will be recognised and enforced by countries who are parties to the Convention, thus recognising an effective dispute resolution process of international commercial disputes</w:t>
      </w:r>
      <w:r w:rsidR="007E3FD7">
        <w:t>.</w:t>
      </w:r>
    </w:p>
    <w:p w14:paraId="2E8BC618" w14:textId="5EB60232" w:rsidR="00501C89" w:rsidRDefault="005F5E19" w:rsidP="005F5E19">
      <w:pPr>
        <w:pStyle w:val="JudgmentNumbered"/>
        <w:numPr>
          <w:ilvl w:val="0"/>
          <w:numId w:val="0"/>
        </w:numPr>
        <w:ind w:left="567" w:hanging="567"/>
      </w:pPr>
      <w:r>
        <w:t>[18]</w:t>
      </w:r>
      <w:r>
        <w:tab/>
      </w:r>
      <w:r w:rsidR="007E3FD7" w:rsidRPr="007E3FD7">
        <w:t xml:space="preserve">There is an added consideration, and that is, the all-important public policy consideration and constitutional imperative of </w:t>
      </w:r>
      <w:r w:rsidR="007E3FD7" w:rsidRPr="00E24D68">
        <w:rPr>
          <w:i/>
        </w:rPr>
        <w:t>pacta sunt servanda.</w:t>
      </w:r>
      <w:r w:rsidR="007E3FD7" w:rsidRPr="007E3FD7">
        <w:t xml:space="preserve"> Apart from the considerations referred to above, there is also an overriding public policy consideration that the courts of South Africa enforce and recognise foreign arbitral awards, save in the circumstances provided for in the Act. As informed by the Constitution and its values, public policy also demands that arbitration awards, which give effect to arbitration agreements should generally be enforced by our courts.</w:t>
      </w:r>
    </w:p>
    <w:p w14:paraId="08E7793B" w14:textId="0D2EFD3F" w:rsidR="00501C89" w:rsidRDefault="005F5E19" w:rsidP="005F5E19">
      <w:pPr>
        <w:pStyle w:val="JudgmentNumbered"/>
        <w:numPr>
          <w:ilvl w:val="0"/>
          <w:numId w:val="0"/>
        </w:numPr>
        <w:ind w:left="567" w:hanging="567"/>
        <w:rPr>
          <w:lang w:val="en-ZA"/>
        </w:rPr>
      </w:pPr>
      <w:r>
        <w:rPr>
          <w:lang w:val="en-ZA"/>
        </w:rPr>
        <w:t>[19]</w:t>
      </w:r>
      <w:r>
        <w:rPr>
          <w:lang w:val="en-ZA"/>
        </w:rPr>
        <w:tab/>
      </w:r>
      <w:r w:rsidR="00501C89">
        <w:t>In </w:t>
      </w:r>
      <w:r w:rsidR="00501C89" w:rsidRPr="003C33E2">
        <w:rPr>
          <w:i/>
          <w:iCs/>
        </w:rPr>
        <w:t xml:space="preserve">AB </w:t>
      </w:r>
      <w:r w:rsidR="009A5FAC">
        <w:rPr>
          <w:i/>
          <w:iCs/>
        </w:rPr>
        <w:t xml:space="preserve">and Another </w:t>
      </w:r>
      <w:r w:rsidR="00501C89" w:rsidRPr="003C33E2">
        <w:rPr>
          <w:i/>
          <w:iCs/>
        </w:rPr>
        <w:t>v Pridwin Preparatory School</w:t>
      </w:r>
      <w:r w:rsidR="009A5FAC">
        <w:rPr>
          <w:i/>
          <w:iCs/>
        </w:rPr>
        <w:t xml:space="preserve"> and Others</w:t>
      </w:r>
      <w:r w:rsidR="00501C89">
        <w:rPr>
          <w:rStyle w:val="FootnoteReference"/>
        </w:rPr>
        <w:footnoteReference w:id="13"/>
      </w:r>
      <w:r w:rsidR="00501C89">
        <w:rPr>
          <w:i/>
          <w:iCs/>
        </w:rPr>
        <w:t> </w:t>
      </w:r>
      <w:r w:rsidR="00501C89">
        <w:t> the SCA set out the principles governing private contracts and public policy as follows:</w:t>
      </w:r>
    </w:p>
    <w:p w14:paraId="33227891" w14:textId="1A897E5D" w:rsidR="00501C89" w:rsidRPr="003C33E2" w:rsidRDefault="009A5FAC" w:rsidP="003C33E2">
      <w:pPr>
        <w:pStyle w:val="JudgmentNumbered"/>
        <w:numPr>
          <w:ilvl w:val="0"/>
          <w:numId w:val="0"/>
        </w:numPr>
        <w:spacing w:after="120"/>
        <w:ind w:left="720"/>
        <w:rPr>
          <w:sz w:val="22"/>
        </w:rPr>
      </w:pPr>
      <w:r w:rsidRPr="003C33E2">
        <w:rPr>
          <w:sz w:val="22"/>
        </w:rPr>
        <w:t xml:space="preserve">“[27] </w:t>
      </w:r>
      <w:r w:rsidR="00501C89" w:rsidRPr="003C33E2">
        <w:rPr>
          <w:sz w:val="22"/>
        </w:rPr>
        <w:t xml:space="preserve">The relationship between private contracts and their control by the </w:t>
      </w:r>
      <w:r w:rsidRPr="003C33E2">
        <w:rPr>
          <w:sz w:val="22"/>
        </w:rPr>
        <w:t>c</w:t>
      </w:r>
      <w:r w:rsidR="00501C89" w:rsidRPr="003C33E2">
        <w:rPr>
          <w:sz w:val="22"/>
        </w:rPr>
        <w:t xml:space="preserve">ourts through the instrument of public policy, underpinned by the Constitution, is now clearly established. It is unnecessary to rehash all the learning from our </w:t>
      </w:r>
      <w:r w:rsidRPr="003C33E2">
        <w:rPr>
          <w:sz w:val="22"/>
        </w:rPr>
        <w:t>c</w:t>
      </w:r>
      <w:r w:rsidR="00501C89" w:rsidRPr="003C33E2">
        <w:rPr>
          <w:sz w:val="22"/>
        </w:rPr>
        <w:t>ourts on this topic. It suffices to set out the most important principles to be gleaned from them:</w:t>
      </w:r>
    </w:p>
    <w:p w14:paraId="393C7688" w14:textId="2A55D013" w:rsidR="00501C89" w:rsidRPr="003C33E2" w:rsidRDefault="00501C89" w:rsidP="003C33E2">
      <w:pPr>
        <w:pStyle w:val="JudgmentNumbered"/>
        <w:numPr>
          <w:ilvl w:val="0"/>
          <w:numId w:val="0"/>
        </w:numPr>
        <w:spacing w:after="120"/>
        <w:ind w:left="1440"/>
        <w:rPr>
          <w:sz w:val="22"/>
        </w:rPr>
      </w:pPr>
      <w:r w:rsidRPr="003C33E2">
        <w:rPr>
          <w:sz w:val="22"/>
        </w:rPr>
        <w:t>(i)</w:t>
      </w:r>
      <w:r w:rsidR="009A5FAC" w:rsidRPr="003C33E2">
        <w:rPr>
          <w:sz w:val="22"/>
        </w:rPr>
        <w:t xml:space="preserve"> </w:t>
      </w:r>
      <w:r w:rsidRPr="003C33E2">
        <w:rPr>
          <w:sz w:val="22"/>
        </w:rPr>
        <w:t>Public policy demands that contracts freely and consciously entered into must be honoured;</w:t>
      </w:r>
    </w:p>
    <w:p w14:paraId="010308C3" w14:textId="27C16717" w:rsidR="00501C89" w:rsidRPr="003C33E2" w:rsidRDefault="00501C89" w:rsidP="003C33E2">
      <w:pPr>
        <w:pStyle w:val="JudgmentNumbered"/>
        <w:numPr>
          <w:ilvl w:val="0"/>
          <w:numId w:val="0"/>
        </w:numPr>
        <w:spacing w:after="120"/>
        <w:ind w:left="1440"/>
        <w:rPr>
          <w:sz w:val="22"/>
        </w:rPr>
      </w:pPr>
      <w:r w:rsidRPr="003C33E2">
        <w:rPr>
          <w:sz w:val="22"/>
        </w:rPr>
        <w:t>(ii)</w:t>
      </w:r>
      <w:r w:rsidR="009A5FAC" w:rsidRPr="003C33E2">
        <w:rPr>
          <w:sz w:val="22"/>
        </w:rPr>
        <w:t xml:space="preserve"> a</w:t>
      </w:r>
      <w:r w:rsidRPr="003C33E2">
        <w:rPr>
          <w:sz w:val="22"/>
        </w:rPr>
        <w:t xml:space="preserve"> </w:t>
      </w:r>
      <w:r w:rsidR="009A5FAC" w:rsidRPr="003C33E2">
        <w:rPr>
          <w:sz w:val="22"/>
        </w:rPr>
        <w:t>c</w:t>
      </w:r>
      <w:r w:rsidRPr="003C33E2">
        <w:rPr>
          <w:sz w:val="22"/>
        </w:rPr>
        <w:t>ourt will declare invalid a contract that is prima facie inimical to a constitutional value or principle, or otherwise contrary to public policy;</w:t>
      </w:r>
    </w:p>
    <w:p w14:paraId="343A46DD" w14:textId="419CA4C3" w:rsidR="00501C89" w:rsidRPr="003C33E2" w:rsidRDefault="00501C89" w:rsidP="003C33E2">
      <w:pPr>
        <w:pStyle w:val="JudgmentNumbered"/>
        <w:numPr>
          <w:ilvl w:val="0"/>
          <w:numId w:val="0"/>
        </w:numPr>
        <w:spacing w:after="120"/>
        <w:ind w:left="1440"/>
        <w:rPr>
          <w:sz w:val="22"/>
        </w:rPr>
      </w:pPr>
      <w:r w:rsidRPr="003C33E2">
        <w:rPr>
          <w:sz w:val="22"/>
        </w:rPr>
        <w:t>(iii)</w:t>
      </w:r>
      <w:r w:rsidR="009A5FAC" w:rsidRPr="003C33E2">
        <w:rPr>
          <w:sz w:val="22"/>
        </w:rPr>
        <w:t xml:space="preserve"> w</w:t>
      </w:r>
      <w:r w:rsidRPr="003C33E2">
        <w:rPr>
          <w:sz w:val="22"/>
        </w:rPr>
        <w:t xml:space="preserve">here a contract is not prima facie contrary to public policy, but its enforcement in particular circumstances is, a </w:t>
      </w:r>
      <w:r w:rsidR="009A5FAC" w:rsidRPr="003C33E2">
        <w:rPr>
          <w:sz w:val="22"/>
        </w:rPr>
        <w:t>c</w:t>
      </w:r>
      <w:r w:rsidRPr="003C33E2">
        <w:rPr>
          <w:sz w:val="22"/>
        </w:rPr>
        <w:t>ourt will not enforce it;</w:t>
      </w:r>
    </w:p>
    <w:p w14:paraId="0FD861BB" w14:textId="3169AAA7" w:rsidR="00501C89" w:rsidRPr="003C33E2" w:rsidRDefault="00501C89" w:rsidP="003C33E2">
      <w:pPr>
        <w:pStyle w:val="JudgmentNumbered"/>
        <w:numPr>
          <w:ilvl w:val="0"/>
          <w:numId w:val="0"/>
        </w:numPr>
        <w:spacing w:after="120"/>
        <w:ind w:left="1440"/>
        <w:rPr>
          <w:sz w:val="22"/>
        </w:rPr>
      </w:pPr>
      <w:r w:rsidRPr="003C33E2">
        <w:rPr>
          <w:sz w:val="22"/>
        </w:rPr>
        <w:t>(iv)</w:t>
      </w:r>
      <w:r w:rsidR="009A5FAC" w:rsidRPr="003C33E2">
        <w:rPr>
          <w:sz w:val="22"/>
        </w:rPr>
        <w:t xml:space="preserve"> t</w:t>
      </w:r>
      <w:r w:rsidRPr="003C33E2">
        <w:rPr>
          <w:sz w:val="22"/>
        </w:rPr>
        <w:t>he party who attacks the contract or its enforcement bears the onus to establish the facts;</w:t>
      </w:r>
    </w:p>
    <w:p w14:paraId="21E3BD93" w14:textId="3DC48C07" w:rsidR="00DE63EB" w:rsidRPr="003C33E2" w:rsidRDefault="00501C89" w:rsidP="003C33E2">
      <w:pPr>
        <w:pStyle w:val="JudgmentNumbered"/>
        <w:numPr>
          <w:ilvl w:val="0"/>
          <w:numId w:val="0"/>
        </w:numPr>
        <w:spacing w:after="120"/>
        <w:ind w:left="1440"/>
        <w:rPr>
          <w:sz w:val="22"/>
        </w:rPr>
      </w:pPr>
      <w:r w:rsidRPr="003C33E2">
        <w:rPr>
          <w:sz w:val="22"/>
        </w:rPr>
        <w:t xml:space="preserve">(v) </w:t>
      </w:r>
      <w:r w:rsidR="009A5FAC" w:rsidRPr="003C33E2">
        <w:rPr>
          <w:sz w:val="22"/>
        </w:rPr>
        <w:t>a</w:t>
      </w:r>
      <w:r w:rsidRPr="003C33E2">
        <w:rPr>
          <w:sz w:val="22"/>
        </w:rPr>
        <w:t xml:space="preserve"> </w:t>
      </w:r>
      <w:r w:rsidR="009A5FAC" w:rsidRPr="003C33E2">
        <w:rPr>
          <w:sz w:val="22"/>
        </w:rPr>
        <w:t>c</w:t>
      </w:r>
      <w:r w:rsidRPr="003C33E2">
        <w:rPr>
          <w:sz w:val="22"/>
        </w:rPr>
        <w:t xml:space="preserve">ourt will use the power to invalidate a contract or not to enforce it, sparingly, and only in the clearest of cases in which harm to the public is </w:t>
      </w:r>
      <w:r w:rsidRPr="003C33E2">
        <w:rPr>
          <w:sz w:val="22"/>
        </w:rPr>
        <w:lastRenderedPageBreak/>
        <w:t xml:space="preserve">substantially incontestable and does not depend on the idiosyncratic inferences of a few judicial minds; </w:t>
      </w:r>
    </w:p>
    <w:p w14:paraId="55EEB6E6" w14:textId="0FAC07C0" w:rsidR="00501C89" w:rsidRPr="003C33E2" w:rsidRDefault="00501C89" w:rsidP="003C33E2">
      <w:pPr>
        <w:pStyle w:val="JudgmentNumbered"/>
        <w:numPr>
          <w:ilvl w:val="0"/>
          <w:numId w:val="0"/>
        </w:numPr>
        <w:spacing w:after="120"/>
        <w:ind w:left="1440"/>
        <w:rPr>
          <w:sz w:val="22"/>
        </w:rPr>
      </w:pPr>
      <w:r w:rsidRPr="003C33E2">
        <w:rPr>
          <w:sz w:val="22"/>
        </w:rPr>
        <w:t xml:space="preserve">(vi) </w:t>
      </w:r>
      <w:r w:rsidR="00DE63EB" w:rsidRPr="003C33E2">
        <w:rPr>
          <w:sz w:val="22"/>
        </w:rPr>
        <w:t>a</w:t>
      </w:r>
      <w:r w:rsidRPr="003C33E2">
        <w:rPr>
          <w:sz w:val="22"/>
        </w:rPr>
        <w:t xml:space="preserve"> </w:t>
      </w:r>
      <w:r w:rsidR="00DE63EB" w:rsidRPr="003C33E2">
        <w:rPr>
          <w:sz w:val="22"/>
        </w:rPr>
        <w:t>c</w:t>
      </w:r>
      <w:r w:rsidRPr="003C33E2">
        <w:rPr>
          <w:sz w:val="22"/>
        </w:rPr>
        <w:t>ourt will decline to use this power where a party relies directly on abstract values of fairness and reasonableness to escape the consequences of a contract because they are not substantive rules that may be used for this purpose</w:t>
      </w:r>
      <w:r w:rsidR="009A5FAC" w:rsidRPr="003C33E2">
        <w:rPr>
          <w:sz w:val="22"/>
        </w:rPr>
        <w:t>.</w:t>
      </w:r>
      <w:r w:rsidRPr="003C33E2">
        <w:rPr>
          <w:sz w:val="22"/>
        </w:rPr>
        <w:t>”</w:t>
      </w:r>
    </w:p>
    <w:p w14:paraId="787B2BE0" w14:textId="056239C7" w:rsidR="00E24D68" w:rsidRDefault="005F5E19" w:rsidP="005F5E19">
      <w:pPr>
        <w:pStyle w:val="JudgmentNumbered"/>
        <w:numPr>
          <w:ilvl w:val="0"/>
          <w:numId w:val="0"/>
        </w:numPr>
        <w:ind w:left="567" w:hanging="567"/>
      </w:pPr>
      <w:r>
        <w:t>[20]</w:t>
      </w:r>
      <w:r>
        <w:tab/>
      </w:r>
      <w:r w:rsidR="007E3FD7" w:rsidRPr="007E3FD7">
        <w:t xml:space="preserve"> In permitting GFE to delay its obligation to pay the judgment debt on its terms is an abuse the process of court</w:t>
      </w:r>
      <w:r w:rsidR="0014270D">
        <w:t xml:space="preserve"> and</w:t>
      </w:r>
      <w:r w:rsidR="007E3FD7" w:rsidRPr="007E3FD7">
        <w:t xml:space="preserve"> would be contrary to public policy </w:t>
      </w:r>
      <w:r w:rsidR="0014270D">
        <w:t xml:space="preserve">and </w:t>
      </w:r>
      <w:r w:rsidR="007E3FD7" w:rsidRPr="007E3FD7">
        <w:t xml:space="preserve">the scope and purpose of the </w:t>
      </w:r>
      <w:r w:rsidR="0014270D" w:rsidRPr="0014270D">
        <w:t xml:space="preserve">International Arbitration </w:t>
      </w:r>
      <w:r w:rsidR="007E3FD7" w:rsidRPr="007E3FD7">
        <w:t>Act</w:t>
      </w:r>
      <w:r w:rsidR="00C82B0C" w:rsidRPr="00EE7850">
        <w:t>.</w:t>
      </w:r>
      <w:r w:rsidR="00EE7850" w:rsidRPr="00EE7850">
        <w:t>In this case, I am thus satisfied that the requirements of section 18(3)</w:t>
      </w:r>
      <w:r w:rsidR="00EE7850">
        <w:t xml:space="preserve"> of the Superior Courts Act</w:t>
      </w:r>
      <w:r w:rsidR="00EE7850" w:rsidRPr="00EE7850">
        <w:t xml:space="preserve"> have been met. </w:t>
      </w:r>
      <w:r w:rsidR="003C332D">
        <w:t>Also, the order below, considers any probable prejudice the respondent may suffer.</w:t>
      </w:r>
    </w:p>
    <w:p w14:paraId="02BB428C" w14:textId="267C30A0" w:rsidR="007E3FD7" w:rsidRPr="005B0266" w:rsidRDefault="005F5E19" w:rsidP="005F5E19">
      <w:pPr>
        <w:pStyle w:val="JudgmentNumbered"/>
        <w:numPr>
          <w:ilvl w:val="0"/>
          <w:numId w:val="0"/>
        </w:numPr>
        <w:ind w:left="567" w:hanging="567"/>
      </w:pPr>
      <w:r w:rsidRPr="005B0266">
        <w:t>[21]</w:t>
      </w:r>
      <w:r w:rsidRPr="005B0266">
        <w:tab/>
      </w:r>
      <w:r w:rsidR="005B0266">
        <w:t xml:space="preserve">In the circumstances, the following order is made - </w:t>
      </w:r>
    </w:p>
    <w:p w14:paraId="1B0650B4" w14:textId="7D404AA2" w:rsidR="00A5348C" w:rsidRDefault="005F5E19" w:rsidP="005F5E19">
      <w:pPr>
        <w:pStyle w:val="JudgmentNumbered"/>
        <w:numPr>
          <w:ilvl w:val="0"/>
          <w:numId w:val="0"/>
        </w:numPr>
        <w:spacing w:after="0"/>
        <w:ind w:left="927" w:hanging="360"/>
      </w:pPr>
      <w:r>
        <w:t>1.</w:t>
      </w:r>
      <w:r>
        <w:tab/>
      </w:r>
      <w:r w:rsidR="007E3FD7" w:rsidRPr="007E3FD7">
        <w:t xml:space="preserve">The application for leave to appeal is dismissed with costs including the </w:t>
      </w:r>
      <w:r w:rsidR="005B0266">
        <w:t xml:space="preserve">costs consequent upon the </w:t>
      </w:r>
      <w:r w:rsidR="007E3FD7" w:rsidRPr="007E3FD7">
        <w:t>employment of two counsel</w:t>
      </w:r>
      <w:r w:rsidR="00A5348C">
        <w:t>.</w:t>
      </w:r>
    </w:p>
    <w:p w14:paraId="054A7B66" w14:textId="034EB347" w:rsidR="007E3FD7" w:rsidRDefault="005F5E19" w:rsidP="005F5E19">
      <w:pPr>
        <w:pStyle w:val="JudgmentNumbered"/>
        <w:numPr>
          <w:ilvl w:val="0"/>
          <w:numId w:val="0"/>
        </w:numPr>
        <w:spacing w:after="0"/>
        <w:ind w:left="927" w:hanging="360"/>
      </w:pPr>
      <w:r>
        <w:t>2.</w:t>
      </w:r>
      <w:r>
        <w:tab/>
      </w:r>
      <w:r w:rsidR="007E3FD7" w:rsidRPr="007E3FD7">
        <w:t xml:space="preserve">The order granted by this </w:t>
      </w:r>
      <w:r w:rsidR="005B0266" w:rsidRPr="007E3FD7">
        <w:t>C</w:t>
      </w:r>
      <w:r w:rsidR="007E3FD7" w:rsidRPr="007E3FD7">
        <w:t xml:space="preserve">ourt on 2 June 2023 </w:t>
      </w:r>
      <w:r w:rsidR="007E3FD7" w:rsidRPr="00E24D68">
        <w:t>(“the Court Order”)</w:t>
      </w:r>
      <w:r w:rsidR="007E3FD7" w:rsidRPr="007E3FD7">
        <w:t xml:space="preserve"> shall operate </w:t>
      </w:r>
      <w:bookmarkStart w:id="4" w:name="_Hlk143020537"/>
      <w:r w:rsidR="007E3FD7" w:rsidRPr="007E3FD7">
        <w:t xml:space="preserve">pending the </w:t>
      </w:r>
      <w:bookmarkStart w:id="5" w:name="_Hlk143020844"/>
      <w:r w:rsidR="007E3FD7" w:rsidRPr="007E3FD7">
        <w:t>final determination of any appeal or application for leave to appeal of the Court Order</w:t>
      </w:r>
      <w:bookmarkEnd w:id="4"/>
      <w:bookmarkEnd w:id="5"/>
      <w:r w:rsidR="00A5348C">
        <w:t>.</w:t>
      </w:r>
    </w:p>
    <w:p w14:paraId="5B164B5D" w14:textId="3337EB68" w:rsidR="007E3FD7" w:rsidRDefault="005F5E19" w:rsidP="005F5E19">
      <w:pPr>
        <w:pStyle w:val="JudgmentNumbered"/>
        <w:numPr>
          <w:ilvl w:val="0"/>
          <w:numId w:val="0"/>
        </w:numPr>
        <w:spacing w:after="0"/>
        <w:ind w:left="927" w:hanging="360"/>
      </w:pPr>
      <w:r>
        <w:t>3.</w:t>
      </w:r>
      <w:r>
        <w:tab/>
      </w:r>
      <w:r w:rsidR="00A5348C">
        <w:t xml:space="preserve"> </w:t>
      </w:r>
      <w:r w:rsidR="007E3FD7" w:rsidRPr="007E3FD7">
        <w:t>GFE</w:t>
      </w:r>
      <w:bookmarkStart w:id="6" w:name="_Hlk143021046"/>
      <w:r w:rsidR="007E3FD7" w:rsidRPr="007E3FD7">
        <w:t>-MIR Alloys and Minerals SA (Pty) Limited</w:t>
      </w:r>
      <w:bookmarkEnd w:id="6"/>
      <w:r w:rsidR="007E3FD7" w:rsidRPr="007E3FD7">
        <w:t xml:space="preserve"> is directed to make payment within five days from the date of this order of the amounts awarded in terms of the arbitral award in favour of </w:t>
      </w:r>
      <w:bookmarkStart w:id="7" w:name="_Hlk143020980"/>
      <w:r w:rsidR="007E3FD7" w:rsidRPr="007E3FD7">
        <w:t xml:space="preserve">Momoco International Limited </w:t>
      </w:r>
      <w:bookmarkStart w:id="8" w:name="_Hlk143022587"/>
      <w:bookmarkEnd w:id="7"/>
      <w:r w:rsidR="007E3FD7" w:rsidRPr="007E3FD7">
        <w:t xml:space="preserve">into the trust account of Edward Nathan Sonnenbergs Inc., the details of which </w:t>
      </w:r>
      <w:r w:rsidR="00553493">
        <w:t xml:space="preserve">shall </w:t>
      </w:r>
      <w:r w:rsidR="007E3FD7" w:rsidRPr="007E3FD7">
        <w:t>be disclosed to GFE-MIR Alloys and Minerals SA (Pty) Limited’s instructing attorneys by Edward Nathan Sonnenbergs Inc, to be held in escrow pending the final determination of any appeal or application for leave to appeal of the Court Order</w:t>
      </w:r>
      <w:bookmarkEnd w:id="8"/>
      <w:r w:rsidR="007E3FD7" w:rsidRPr="007E3FD7">
        <w:t>, as follows</w:t>
      </w:r>
      <w:r w:rsidR="007E3FD7">
        <w:t xml:space="preserve"> –</w:t>
      </w:r>
    </w:p>
    <w:p w14:paraId="5C52D345" w14:textId="18E20DCB" w:rsidR="00A5348C" w:rsidRDefault="005F5E19" w:rsidP="005F5E19">
      <w:pPr>
        <w:pStyle w:val="JudgmentNumbered"/>
        <w:numPr>
          <w:ilvl w:val="0"/>
          <w:numId w:val="0"/>
        </w:numPr>
        <w:spacing w:after="0"/>
        <w:ind w:left="1647" w:hanging="360"/>
      </w:pPr>
      <w:r>
        <w:t>a.</w:t>
      </w:r>
      <w:r>
        <w:tab/>
      </w:r>
      <w:r w:rsidR="007E3FD7" w:rsidRPr="007E3FD7">
        <w:t>the sum of US$1 088 488.63 together with interest from 27 January 2014 until 26 November 2018 at a rate of 3.00%</w:t>
      </w:r>
      <w:r w:rsidR="007E3FD7">
        <w:t>;</w:t>
      </w:r>
    </w:p>
    <w:p w14:paraId="75239B8B" w14:textId="6C19125B" w:rsidR="007E3FD7" w:rsidRDefault="005F5E19" w:rsidP="005F5E19">
      <w:pPr>
        <w:pStyle w:val="JudgmentNumbered"/>
        <w:numPr>
          <w:ilvl w:val="0"/>
          <w:numId w:val="0"/>
        </w:numPr>
        <w:spacing w:after="0"/>
        <w:ind w:left="1647" w:hanging="360"/>
      </w:pPr>
      <w:r>
        <w:t>b.</w:t>
      </w:r>
      <w:r>
        <w:tab/>
      </w:r>
      <w:r w:rsidR="007E3FD7" w:rsidRPr="007E3FD7">
        <w:t>the sum of $65 000.00</w:t>
      </w:r>
      <w:r w:rsidR="007830EB">
        <w:t>;</w:t>
      </w:r>
    </w:p>
    <w:p w14:paraId="73565221" w14:textId="6B1A5418" w:rsidR="007E3FD7" w:rsidRDefault="005F5E19" w:rsidP="005F5E19">
      <w:pPr>
        <w:pStyle w:val="JudgmentNumbered"/>
        <w:numPr>
          <w:ilvl w:val="0"/>
          <w:numId w:val="0"/>
        </w:numPr>
        <w:spacing w:after="0"/>
        <w:ind w:left="1647" w:hanging="360"/>
      </w:pPr>
      <w:r>
        <w:t>c.</w:t>
      </w:r>
      <w:r>
        <w:tab/>
      </w:r>
      <w:r w:rsidR="007E3FD7" w:rsidRPr="007E3FD7">
        <w:t>the sum of RMB236 521.00</w:t>
      </w:r>
      <w:r w:rsidR="007E3FD7">
        <w:t>; and</w:t>
      </w:r>
    </w:p>
    <w:p w14:paraId="66904BC8" w14:textId="3434DD4B" w:rsidR="007E3FD7" w:rsidRDefault="005F5E19" w:rsidP="005F5E19">
      <w:pPr>
        <w:pStyle w:val="JudgmentNumbered"/>
        <w:numPr>
          <w:ilvl w:val="0"/>
          <w:numId w:val="0"/>
        </w:numPr>
        <w:spacing w:after="0"/>
        <w:ind w:left="1647" w:hanging="360"/>
      </w:pPr>
      <w:r>
        <w:t>d.</w:t>
      </w:r>
      <w:r>
        <w:tab/>
      </w:r>
      <w:r w:rsidR="007E3FD7" w:rsidRPr="007E3FD7">
        <w:t>the sum of US$21 776.30</w:t>
      </w:r>
      <w:r w:rsidR="007E3FD7">
        <w:t>.</w:t>
      </w:r>
    </w:p>
    <w:p w14:paraId="11B3D1E4" w14:textId="41DF7268" w:rsidR="007E3FD7" w:rsidRDefault="005F5E19" w:rsidP="005F5E19">
      <w:pPr>
        <w:pStyle w:val="JudgmentNumbered"/>
        <w:numPr>
          <w:ilvl w:val="0"/>
          <w:numId w:val="0"/>
        </w:numPr>
        <w:spacing w:after="0"/>
        <w:ind w:left="927" w:hanging="360"/>
      </w:pPr>
      <w:r>
        <w:lastRenderedPageBreak/>
        <w:t>4.</w:t>
      </w:r>
      <w:r>
        <w:tab/>
      </w:r>
      <w:r w:rsidR="007E3FD7" w:rsidRPr="007E3FD7">
        <w:t xml:space="preserve">GFE-MIR Alloys and Minerals SA (Pty) Limited is directed to make payment of interest on the sums in paragraph </w:t>
      </w:r>
      <w:r w:rsidR="00501C89">
        <w:t>20</w:t>
      </w:r>
      <w:r w:rsidR="00E24D68">
        <w:t xml:space="preserve"> (</w:t>
      </w:r>
      <w:r w:rsidR="007E3FD7" w:rsidRPr="007E3FD7">
        <w:t>3</w:t>
      </w:r>
      <w:r w:rsidR="00E24D68">
        <w:t xml:space="preserve">) </w:t>
      </w:r>
      <w:r w:rsidR="00553493">
        <w:t>(a)</w:t>
      </w:r>
      <w:r w:rsidR="007E3FD7" w:rsidRPr="007E3FD7">
        <w:t xml:space="preserve"> to </w:t>
      </w:r>
      <w:r w:rsidR="00501C89">
        <w:t xml:space="preserve">20 </w:t>
      </w:r>
      <w:r w:rsidR="00E24D68">
        <w:t>(</w:t>
      </w:r>
      <w:r w:rsidR="007E3FD7" w:rsidRPr="007E3FD7">
        <w:t>3</w:t>
      </w:r>
      <w:r w:rsidR="00E24D68">
        <w:t xml:space="preserve">) </w:t>
      </w:r>
      <w:r w:rsidR="00553493">
        <w:t>(d)</w:t>
      </w:r>
      <w:r w:rsidR="007E3FD7" w:rsidRPr="007E3FD7">
        <w:t xml:space="preserve"> </w:t>
      </w:r>
      <w:r w:rsidR="00E24D68" w:rsidRPr="007E3FD7">
        <w:t>from 2 June 2023</w:t>
      </w:r>
      <w:r w:rsidR="007E3FD7" w:rsidRPr="007E3FD7">
        <w:t xml:space="preserve"> to date of full payment at the prescribed rate of interest (11.25%), into the trust account of Edward Nathan Sonnenbergs Inc. pending the final determination of any appeal</w:t>
      </w:r>
      <w:r w:rsidR="007E3FD7">
        <w:t>.</w:t>
      </w:r>
    </w:p>
    <w:p w14:paraId="680D07E6" w14:textId="4394E344" w:rsidR="007E3FD7" w:rsidRDefault="005F5E19" w:rsidP="005F5E19">
      <w:pPr>
        <w:pStyle w:val="JudgmentNumbered"/>
        <w:numPr>
          <w:ilvl w:val="0"/>
          <w:numId w:val="0"/>
        </w:numPr>
        <w:spacing w:after="0"/>
        <w:ind w:left="927" w:hanging="360"/>
      </w:pPr>
      <w:r>
        <w:t>5.</w:t>
      </w:r>
      <w:r>
        <w:tab/>
      </w:r>
      <w:r w:rsidR="007E3FD7" w:rsidRPr="007E3FD7">
        <w:t>Within five days of the final determination or lapsing of any appeal or application for leave to appeal of the Court Order, Edward Nathan Sonnenbergs Inc. shall pay the funds held in escrow, together with all interest credited to and accumulated in the escrow account, either to</w:t>
      </w:r>
      <w:r w:rsidR="007E3FD7">
        <w:t>:</w:t>
      </w:r>
    </w:p>
    <w:p w14:paraId="4A72906F" w14:textId="70BAA690" w:rsidR="007E3FD7" w:rsidRDefault="005F5E19" w:rsidP="005F5E19">
      <w:pPr>
        <w:pStyle w:val="JudgmentNumbered"/>
        <w:numPr>
          <w:ilvl w:val="0"/>
          <w:numId w:val="0"/>
        </w:numPr>
        <w:spacing w:after="0"/>
        <w:ind w:left="1647" w:hanging="360"/>
      </w:pPr>
      <w:r>
        <w:t>a.</w:t>
      </w:r>
      <w:r>
        <w:tab/>
      </w:r>
      <w:r w:rsidR="007E3FD7" w:rsidRPr="007E3FD7">
        <w:t>Momoco International Limited, in the event that any appeal is dismissed or has lapsed or application for leave to appeal of the Court Order is dismissed or has lapsed</w:t>
      </w:r>
      <w:r w:rsidR="007E3FD7">
        <w:t>; or</w:t>
      </w:r>
    </w:p>
    <w:p w14:paraId="390252FC" w14:textId="7BE08E29" w:rsidR="007E3FD7" w:rsidRDefault="005F5E19" w:rsidP="005F5E19">
      <w:pPr>
        <w:pStyle w:val="JudgmentNumbered"/>
        <w:numPr>
          <w:ilvl w:val="0"/>
          <w:numId w:val="0"/>
        </w:numPr>
        <w:spacing w:after="0"/>
        <w:ind w:left="1647" w:hanging="360"/>
      </w:pPr>
      <w:r>
        <w:t>b.</w:t>
      </w:r>
      <w:r>
        <w:tab/>
      </w:r>
      <w:r w:rsidR="007E3FD7" w:rsidRPr="007E3FD7">
        <w:t>GFE-MIR Alloys and Minerals SA (Pty) Limited, in the event that any appeal is granted</w:t>
      </w:r>
      <w:r w:rsidR="007E3FD7">
        <w:t>.</w:t>
      </w:r>
    </w:p>
    <w:p w14:paraId="6DA4FD77" w14:textId="2931F068" w:rsidR="007E3FD7" w:rsidRDefault="005F5E19" w:rsidP="005F5E19">
      <w:pPr>
        <w:pStyle w:val="JudgmentNumbered"/>
        <w:numPr>
          <w:ilvl w:val="0"/>
          <w:numId w:val="0"/>
        </w:numPr>
        <w:spacing w:after="0"/>
        <w:ind w:left="927" w:hanging="360"/>
      </w:pPr>
      <w:r>
        <w:t>6.</w:t>
      </w:r>
      <w:r>
        <w:tab/>
      </w:r>
      <w:r w:rsidR="007E3FD7" w:rsidRPr="007E3FD7">
        <w:t>GFE-MIR Alloys and Minerals SA (Pty) Limited is ordered to pay the costs of this applicatio</w:t>
      </w:r>
      <w:bookmarkStart w:id="9" w:name="_GoBack"/>
      <w:bookmarkEnd w:id="9"/>
      <w:r w:rsidR="007E3FD7" w:rsidRPr="007E3FD7">
        <w:t>n on the scale as between attorney and client, including the costs of two counsel</w:t>
      </w:r>
      <w:r w:rsidR="007E3FD7">
        <w:t>.</w:t>
      </w:r>
    </w:p>
    <w:p w14:paraId="0E3DD3F0" w14:textId="77777777" w:rsidR="00A5348C" w:rsidRDefault="00A5348C" w:rsidP="00A5348C">
      <w:pPr>
        <w:pStyle w:val="JudgmentNumbered"/>
        <w:numPr>
          <w:ilvl w:val="0"/>
          <w:numId w:val="0"/>
        </w:numPr>
        <w:ind w:left="567"/>
        <w:rPr>
          <w:u w:color="000000"/>
        </w:rPr>
      </w:pPr>
    </w:p>
    <w:p w14:paraId="37B592E9" w14:textId="77777777" w:rsidR="000145DF" w:rsidRDefault="000145DF" w:rsidP="00E06CA4">
      <w:pPr>
        <w:pStyle w:val="JudgmentNumbered"/>
        <w:numPr>
          <w:ilvl w:val="0"/>
          <w:numId w:val="0"/>
        </w:numPr>
        <w:ind w:left="1134" w:hanging="567"/>
      </w:pPr>
    </w:p>
    <w:p w14:paraId="4C8E45D9" w14:textId="77777777" w:rsidR="002B448C" w:rsidRDefault="002B448C" w:rsidP="00596BC8">
      <w:pPr>
        <w:pStyle w:val="JudgmentNumbered"/>
        <w:keepNext/>
        <w:numPr>
          <w:ilvl w:val="0"/>
          <w:numId w:val="0"/>
        </w:numPr>
        <w:spacing w:after="0"/>
        <w:ind w:left="567" w:hanging="567"/>
        <w:jc w:val="right"/>
      </w:pPr>
      <w:r>
        <w:t>___________</w:t>
      </w:r>
      <w:r w:rsidR="00EB01DA">
        <w:t>__</w:t>
      </w:r>
      <w:r>
        <w:t>______________</w:t>
      </w:r>
    </w:p>
    <w:p w14:paraId="091A7106" w14:textId="2B0AE852" w:rsidR="002B448C" w:rsidRDefault="007E3FD7" w:rsidP="00EB01DA">
      <w:pPr>
        <w:pStyle w:val="JudgmentNumbered"/>
        <w:numPr>
          <w:ilvl w:val="0"/>
          <w:numId w:val="0"/>
        </w:numPr>
        <w:spacing w:after="0"/>
        <w:ind w:left="567" w:hanging="567"/>
        <w:jc w:val="right"/>
        <w:rPr>
          <w:b/>
        </w:rPr>
      </w:pPr>
      <w:r>
        <w:rPr>
          <w:b/>
        </w:rPr>
        <w:t>TP</w:t>
      </w:r>
      <w:r w:rsidR="00A5348C">
        <w:rPr>
          <w:b/>
        </w:rPr>
        <w:t xml:space="preserve"> M</w:t>
      </w:r>
      <w:r>
        <w:rPr>
          <w:b/>
        </w:rPr>
        <w:t>UD</w:t>
      </w:r>
      <w:r w:rsidR="00A5348C">
        <w:rPr>
          <w:b/>
        </w:rPr>
        <w:t>A</w:t>
      </w:r>
      <w:r>
        <w:rPr>
          <w:b/>
        </w:rPr>
        <w:t>U</w:t>
      </w:r>
    </w:p>
    <w:p w14:paraId="566EA8D4"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6E4FA8F3" w14:textId="182F817D" w:rsidR="00EB01DA" w:rsidRDefault="002B448C" w:rsidP="00EB01DA">
      <w:pPr>
        <w:pStyle w:val="JudgmentNumbered"/>
        <w:numPr>
          <w:ilvl w:val="0"/>
          <w:numId w:val="0"/>
        </w:numPr>
        <w:spacing w:after="0"/>
        <w:ind w:left="567" w:hanging="567"/>
        <w:jc w:val="right"/>
        <w:rPr>
          <w:b/>
        </w:rPr>
      </w:pPr>
      <w:r>
        <w:rPr>
          <w:b/>
        </w:rPr>
        <w:t>JOHANNESBURG</w:t>
      </w:r>
    </w:p>
    <w:p w14:paraId="71875819" w14:textId="0ED079C6" w:rsidR="002D798E" w:rsidRDefault="002D798E" w:rsidP="00EB01DA">
      <w:pPr>
        <w:pStyle w:val="JudgmentNumbered"/>
        <w:numPr>
          <w:ilvl w:val="0"/>
          <w:numId w:val="0"/>
        </w:numPr>
        <w:spacing w:after="0"/>
        <w:ind w:left="567" w:hanging="567"/>
        <w:jc w:val="right"/>
        <w:rPr>
          <w:b/>
        </w:rPr>
      </w:pPr>
    </w:p>
    <w:p w14:paraId="2A35B84F" w14:textId="77777777" w:rsidR="006A08E4" w:rsidRDefault="006A08E4" w:rsidP="00EB01DA">
      <w:pPr>
        <w:pStyle w:val="JudgmentNumbered"/>
        <w:numPr>
          <w:ilvl w:val="0"/>
          <w:numId w:val="0"/>
        </w:numPr>
        <w:spacing w:after="0"/>
        <w:ind w:left="567" w:hanging="567"/>
        <w:jc w:val="right"/>
        <w:rPr>
          <w:b/>
        </w:rPr>
      </w:pPr>
    </w:p>
    <w:p w14:paraId="6F718542" w14:textId="2C80B191" w:rsidR="002D798E" w:rsidRDefault="002D798E" w:rsidP="006A08E4">
      <w:pPr>
        <w:pStyle w:val="JudgmentNumbered"/>
        <w:numPr>
          <w:ilvl w:val="0"/>
          <w:numId w:val="0"/>
        </w:numPr>
        <w:spacing w:after="0"/>
        <w:ind w:left="567" w:hanging="567"/>
        <w:rPr>
          <w:b/>
        </w:rPr>
      </w:pPr>
    </w:p>
    <w:p w14:paraId="0B18A47F" w14:textId="77777777" w:rsidR="00E06CA4" w:rsidRPr="00E06CA4" w:rsidRDefault="00E06CA4" w:rsidP="00532B7E">
      <w:pPr>
        <w:pStyle w:val="JudgmentNumbered"/>
        <w:numPr>
          <w:ilvl w:val="0"/>
          <w:numId w:val="0"/>
        </w:numPr>
        <w:rPr>
          <w:lang w:eastAsia="en-GB"/>
        </w:rPr>
      </w:pPr>
    </w:p>
    <w:p w14:paraId="0C6AB52A" w14:textId="77777777" w:rsidR="001947E9" w:rsidRPr="00532B7E" w:rsidRDefault="001947E9" w:rsidP="001947E9">
      <w:pPr>
        <w:spacing w:after="0" w:line="240" w:lineRule="auto"/>
        <w:ind w:left="0"/>
        <w:rPr>
          <w:rFonts w:eastAsia="Times New Roman" w:cs="Arial"/>
          <w:b/>
          <w:bCs/>
          <w:szCs w:val="24"/>
          <w:lang w:eastAsia="en-GB"/>
        </w:rPr>
      </w:pPr>
      <w:r w:rsidRPr="00532B7E">
        <w:rPr>
          <w:rFonts w:eastAsia="Times New Roman" w:cs="Arial"/>
          <w:b/>
          <w:bCs/>
          <w:szCs w:val="24"/>
          <w:lang w:eastAsia="en-GB"/>
        </w:rPr>
        <w:t>APPEARANCES</w:t>
      </w:r>
    </w:p>
    <w:p w14:paraId="74B4D28A" w14:textId="77777777" w:rsidR="001947E9" w:rsidRPr="001947E9" w:rsidRDefault="001947E9" w:rsidP="001947E9">
      <w:pPr>
        <w:spacing w:after="0" w:line="240" w:lineRule="auto"/>
        <w:ind w:left="0"/>
        <w:rPr>
          <w:rFonts w:eastAsia="Times New Roman" w:cs="Arial"/>
          <w:szCs w:val="24"/>
          <w:lang w:eastAsia="en-GB"/>
        </w:rPr>
      </w:pPr>
    </w:p>
    <w:p w14:paraId="57FDE082" w14:textId="0EF95F93" w:rsidR="001947E9" w:rsidRPr="001947E9" w:rsidRDefault="001947E9" w:rsidP="001947E9">
      <w:pPr>
        <w:spacing w:after="0" w:line="240" w:lineRule="auto"/>
        <w:ind w:left="0"/>
        <w:rPr>
          <w:rFonts w:cs="Arial"/>
          <w:szCs w:val="24"/>
          <w:lang w:val="en-US"/>
        </w:rPr>
      </w:pPr>
      <w:r w:rsidRPr="001947E9">
        <w:rPr>
          <w:rFonts w:eastAsia="Times New Roman" w:cs="Arial"/>
          <w:szCs w:val="24"/>
          <w:lang w:eastAsia="en-GB"/>
        </w:rPr>
        <w:t>For the Applicant:</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532B7E">
        <w:rPr>
          <w:rFonts w:eastAsia="Times New Roman" w:cs="Arial"/>
          <w:szCs w:val="24"/>
          <w:lang w:eastAsia="en-GB"/>
        </w:rPr>
        <w:tab/>
      </w:r>
      <w:r w:rsidRPr="001947E9">
        <w:rPr>
          <w:rFonts w:cs="Arial"/>
          <w:szCs w:val="24"/>
          <w:lang w:val="en-US"/>
        </w:rPr>
        <w:t xml:space="preserve">Adv. </w:t>
      </w:r>
      <w:r w:rsidR="007E3FD7">
        <w:rPr>
          <w:rFonts w:cs="Arial"/>
          <w:szCs w:val="24"/>
          <w:lang w:val="en-US"/>
        </w:rPr>
        <w:t>F Fine</w:t>
      </w:r>
      <w:r w:rsidRPr="001947E9">
        <w:rPr>
          <w:rFonts w:cs="Arial"/>
          <w:szCs w:val="24"/>
          <w:lang w:val="en-US"/>
        </w:rPr>
        <w:t xml:space="preserve"> SC and Adv. </w:t>
      </w:r>
      <w:r w:rsidR="007E3FD7">
        <w:rPr>
          <w:rFonts w:cs="Arial"/>
          <w:szCs w:val="24"/>
          <w:lang w:val="en-US"/>
        </w:rPr>
        <w:t>M</w:t>
      </w:r>
      <w:r w:rsidR="00532B7E" w:rsidRPr="00532B7E">
        <w:rPr>
          <w:rFonts w:cs="Arial"/>
          <w:szCs w:val="24"/>
          <w:lang w:val="en-ZA"/>
        </w:rPr>
        <w:t xml:space="preserve"> </w:t>
      </w:r>
      <w:r w:rsidR="007E3FD7">
        <w:rPr>
          <w:rFonts w:cs="Arial"/>
          <w:szCs w:val="24"/>
          <w:lang w:val="en-ZA"/>
        </w:rPr>
        <w:t>Salukazana</w:t>
      </w:r>
    </w:p>
    <w:p w14:paraId="419AB61D" w14:textId="77777777" w:rsidR="001947E9" w:rsidRPr="001947E9" w:rsidRDefault="001947E9" w:rsidP="001947E9">
      <w:pPr>
        <w:spacing w:after="0" w:line="240" w:lineRule="auto"/>
        <w:ind w:left="0"/>
        <w:rPr>
          <w:rFonts w:eastAsia="Times New Roman" w:cs="Arial"/>
          <w:szCs w:val="24"/>
          <w:lang w:eastAsia="en-GB"/>
        </w:rPr>
      </w:pPr>
    </w:p>
    <w:p w14:paraId="67495D09" w14:textId="279EC7D5" w:rsidR="001947E9" w:rsidRDefault="001947E9" w:rsidP="00532B7E">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532B7E">
        <w:rPr>
          <w:rFonts w:eastAsia="Times New Roman" w:cs="Arial"/>
          <w:szCs w:val="24"/>
          <w:lang w:eastAsia="en-GB"/>
        </w:rPr>
        <w:tab/>
      </w:r>
      <w:r w:rsidR="006A08E4">
        <w:rPr>
          <w:rFonts w:eastAsia="Times New Roman" w:cs="Arial"/>
          <w:szCs w:val="24"/>
          <w:lang w:eastAsia="en-GB"/>
        </w:rPr>
        <w:t>Edward Nathan Sonnnenberg</w:t>
      </w:r>
      <w:r w:rsidR="007105D0">
        <w:rPr>
          <w:rFonts w:eastAsia="Times New Roman" w:cs="Arial"/>
          <w:szCs w:val="24"/>
          <w:lang w:eastAsia="en-GB"/>
        </w:rPr>
        <w:t>s</w:t>
      </w:r>
      <w:r w:rsidR="006A08E4">
        <w:rPr>
          <w:rFonts w:eastAsia="Times New Roman" w:cs="Arial"/>
          <w:szCs w:val="24"/>
          <w:lang w:eastAsia="en-GB"/>
        </w:rPr>
        <w:t xml:space="preserve"> Inc.</w:t>
      </w:r>
    </w:p>
    <w:p w14:paraId="0F7CED91" w14:textId="77777777" w:rsidR="00E06CA4" w:rsidRPr="00E06CA4" w:rsidRDefault="00E06CA4" w:rsidP="00532B7E">
      <w:pPr>
        <w:pStyle w:val="JudgmentNumbered"/>
        <w:numPr>
          <w:ilvl w:val="0"/>
          <w:numId w:val="0"/>
        </w:numPr>
        <w:spacing w:after="0"/>
        <w:ind w:left="567"/>
        <w:rPr>
          <w:lang w:eastAsia="en-GB"/>
        </w:rPr>
      </w:pPr>
    </w:p>
    <w:p w14:paraId="04830EB2" w14:textId="1C79B067" w:rsidR="001947E9" w:rsidRPr="001947E9" w:rsidRDefault="001947E9" w:rsidP="00532B7E">
      <w:pPr>
        <w:spacing w:after="0" w:line="240" w:lineRule="auto"/>
        <w:ind w:left="0"/>
        <w:rPr>
          <w:rFonts w:eastAsia="Times New Roman" w:cs="Arial"/>
          <w:szCs w:val="24"/>
          <w:lang w:eastAsia="en-GB"/>
        </w:rPr>
      </w:pPr>
      <w:r w:rsidRPr="001947E9">
        <w:rPr>
          <w:rFonts w:eastAsia="Times New Roman" w:cs="Arial"/>
          <w:szCs w:val="24"/>
          <w:lang w:eastAsia="en-GB"/>
        </w:rPr>
        <w:lastRenderedPageBreak/>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32D76FC6" w14:textId="0DB2A8B5" w:rsidR="001947E9" w:rsidRPr="001947E9" w:rsidRDefault="001947E9" w:rsidP="00532B7E">
      <w:pPr>
        <w:spacing w:after="0" w:line="240" w:lineRule="auto"/>
        <w:ind w:left="0"/>
        <w:rPr>
          <w:rFonts w:eastAsia="Times New Roman" w:cs="Arial"/>
          <w:szCs w:val="24"/>
          <w:lang w:eastAsia="en-GB"/>
        </w:rPr>
      </w:pPr>
      <w:r w:rsidRPr="001947E9">
        <w:rPr>
          <w:rFonts w:eastAsia="Times New Roman" w:cs="Arial"/>
          <w:szCs w:val="24"/>
          <w:lang w:eastAsia="en-GB"/>
        </w:rPr>
        <w:t xml:space="preserve">For the </w:t>
      </w:r>
      <w:r w:rsidR="00E06CA4">
        <w:rPr>
          <w:rFonts w:eastAsia="Times New Roman" w:cs="Arial"/>
          <w:szCs w:val="24"/>
          <w:lang w:eastAsia="en-GB"/>
        </w:rPr>
        <w:t>Respondent</w:t>
      </w:r>
      <w:r w:rsidRPr="001947E9">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r>
      <w:r w:rsidR="006A08E4">
        <w:rPr>
          <w:rFonts w:eastAsia="Times New Roman" w:cs="Arial"/>
          <w:szCs w:val="24"/>
          <w:lang w:eastAsia="en-GB"/>
        </w:rPr>
        <w:tab/>
      </w:r>
      <w:r w:rsidRPr="001947E9">
        <w:rPr>
          <w:rFonts w:eastAsia="Times New Roman" w:cs="Arial"/>
          <w:szCs w:val="24"/>
          <w:lang w:eastAsia="en-GB"/>
        </w:rPr>
        <w:t xml:space="preserve">Adv. </w:t>
      </w:r>
      <w:r w:rsidR="006A08E4">
        <w:rPr>
          <w:rFonts w:eastAsia="Times New Roman" w:cs="Arial"/>
          <w:szCs w:val="24"/>
          <w:lang w:eastAsia="en-GB"/>
        </w:rPr>
        <w:t>H van Eeden</w:t>
      </w:r>
      <w:r w:rsidR="00532B7E" w:rsidRPr="00532B7E">
        <w:rPr>
          <w:rFonts w:eastAsia="Times New Roman" w:cs="Arial"/>
          <w:szCs w:val="24"/>
          <w:lang w:eastAsia="en-GB"/>
        </w:rPr>
        <w:t xml:space="preserve"> </w:t>
      </w:r>
      <w:r w:rsidRPr="001947E9">
        <w:rPr>
          <w:rFonts w:eastAsia="Times New Roman" w:cs="Arial"/>
          <w:szCs w:val="24"/>
          <w:lang w:eastAsia="en-GB"/>
        </w:rPr>
        <w:t xml:space="preserve">SC and Adv. </w:t>
      </w:r>
      <w:r w:rsidR="006A08E4">
        <w:rPr>
          <w:rFonts w:eastAsia="Times New Roman" w:cs="Arial"/>
          <w:szCs w:val="24"/>
          <w:lang w:eastAsia="en-GB"/>
        </w:rPr>
        <w:t>H Fischer</w:t>
      </w:r>
    </w:p>
    <w:p w14:paraId="0DE7BFBF"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0EB3BA70" w14:textId="701EDA47" w:rsid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532B7E">
        <w:rPr>
          <w:rFonts w:eastAsia="Times New Roman" w:cs="Arial"/>
          <w:szCs w:val="24"/>
          <w:lang w:eastAsia="en-GB"/>
        </w:rPr>
        <w:tab/>
      </w:r>
      <w:r w:rsidR="006A08E4">
        <w:rPr>
          <w:rFonts w:eastAsia="Times New Roman" w:cs="Arial"/>
          <w:szCs w:val="24"/>
          <w:lang w:eastAsia="en-GB"/>
        </w:rPr>
        <w:t>Spellas Lengert Kubler Braun Inc.</w:t>
      </w:r>
    </w:p>
    <w:p w14:paraId="6F253070" w14:textId="7D2BA738" w:rsidR="00B524A5" w:rsidRDefault="00B524A5" w:rsidP="00532B7E">
      <w:pPr>
        <w:pStyle w:val="JudgmentNumbered"/>
        <w:numPr>
          <w:ilvl w:val="0"/>
          <w:numId w:val="0"/>
        </w:numPr>
      </w:pPr>
    </w:p>
    <w:p w14:paraId="7F7C42C1" w14:textId="0A3CD29B" w:rsidR="00532B7E" w:rsidRPr="001947E9" w:rsidRDefault="00532B7E" w:rsidP="00532B7E">
      <w:pPr>
        <w:spacing w:after="0" w:line="240" w:lineRule="auto"/>
        <w:ind w:left="0"/>
        <w:rPr>
          <w:rFonts w:eastAsia="Times New Roman" w:cs="Arial"/>
          <w:szCs w:val="24"/>
          <w:lang w:eastAsia="en-GB"/>
        </w:rPr>
      </w:pPr>
      <w:r w:rsidRPr="001947E9">
        <w:rPr>
          <w:rFonts w:eastAsia="Times New Roman" w:cs="Arial"/>
          <w:szCs w:val="24"/>
          <w:lang w:eastAsia="en-GB"/>
        </w:rPr>
        <w:t xml:space="preserve">Date of Hearing: </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6A08E4">
        <w:rPr>
          <w:rFonts w:eastAsia="Times New Roman" w:cs="Arial"/>
          <w:szCs w:val="24"/>
          <w:lang w:eastAsia="en-GB"/>
        </w:rPr>
        <w:t>16 August 2023</w:t>
      </w:r>
    </w:p>
    <w:p w14:paraId="5D19F1C7" w14:textId="77777777" w:rsidR="00532B7E" w:rsidRPr="001947E9" w:rsidRDefault="00532B7E" w:rsidP="00532B7E">
      <w:pPr>
        <w:spacing w:after="0" w:line="240" w:lineRule="auto"/>
        <w:ind w:left="0"/>
        <w:rPr>
          <w:rFonts w:eastAsia="Times New Roman" w:cs="Arial"/>
          <w:szCs w:val="24"/>
          <w:lang w:eastAsia="en-GB"/>
        </w:rPr>
      </w:pPr>
    </w:p>
    <w:p w14:paraId="657B49FD" w14:textId="50945519" w:rsidR="002B448C" w:rsidRPr="002E07C6" w:rsidRDefault="00532B7E" w:rsidP="00EB01DA">
      <w:pPr>
        <w:spacing w:after="0" w:line="240" w:lineRule="auto"/>
        <w:ind w:left="0"/>
        <w:rPr>
          <w:rFonts w:eastAsia="Times New Roman" w:cs="Arial"/>
          <w:szCs w:val="24"/>
          <w:lang w:eastAsia="en-GB"/>
        </w:rPr>
      </w:pPr>
      <w:r w:rsidRPr="001947E9">
        <w:rPr>
          <w:rFonts w:eastAsia="Times New Roman" w:cs="Arial"/>
          <w:szCs w:val="24"/>
          <w:lang w:eastAsia="en-GB"/>
        </w:rPr>
        <w:t>Date of Judgment:</w:t>
      </w:r>
      <w:r w:rsidRPr="001947E9">
        <w:rPr>
          <w:rFonts w:eastAsia="Times New Roman" w:cs="Arial"/>
          <w:szCs w:val="24"/>
          <w:lang w:eastAsia="en-GB"/>
        </w:rPr>
        <w:tab/>
      </w:r>
      <w:r w:rsidRPr="001947E9">
        <w:rPr>
          <w:rFonts w:eastAsia="Times New Roman" w:cs="Arial"/>
          <w:szCs w:val="24"/>
          <w:lang w:eastAsia="en-GB"/>
        </w:rPr>
        <w:tab/>
        <w:t xml:space="preserve">           </w:t>
      </w:r>
      <w:r w:rsidRPr="001947E9">
        <w:rPr>
          <w:rFonts w:eastAsia="Times New Roman" w:cs="Arial"/>
          <w:szCs w:val="24"/>
          <w:lang w:eastAsia="en-GB"/>
        </w:rPr>
        <w:tab/>
      </w:r>
      <w:r w:rsidR="00553493">
        <w:rPr>
          <w:rFonts w:eastAsia="Times New Roman" w:cs="Arial"/>
          <w:szCs w:val="24"/>
          <w:lang w:eastAsia="en-GB"/>
        </w:rPr>
        <w:t>24 August 2023</w:t>
      </w:r>
    </w:p>
    <w:sectPr w:rsidR="002B448C" w:rsidRPr="002E07C6" w:rsidSect="00FE13EA">
      <w:footerReference w:type="default" r:id="rId13"/>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16BF7" w14:textId="77777777" w:rsidR="00A37374" w:rsidRDefault="00A37374" w:rsidP="00E469E1">
      <w:pPr>
        <w:spacing w:after="0" w:line="240" w:lineRule="auto"/>
      </w:pPr>
      <w:r>
        <w:separator/>
      </w:r>
    </w:p>
  </w:endnote>
  <w:endnote w:type="continuationSeparator" w:id="0">
    <w:p w14:paraId="37B2F558" w14:textId="77777777" w:rsidR="00A37374" w:rsidRDefault="00A37374"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29B6EC59" w14:textId="0EE51BE1" w:rsidR="00B95DE9" w:rsidRDefault="00B95DE9" w:rsidP="00E469E1">
        <w:pPr>
          <w:pStyle w:val="Footer"/>
          <w:jc w:val="right"/>
        </w:pPr>
        <w:r>
          <w:fldChar w:fldCharType="begin"/>
        </w:r>
        <w:r>
          <w:instrText xml:space="preserve"> PAGE   \* MERGEFORMAT </w:instrText>
        </w:r>
        <w:r>
          <w:fldChar w:fldCharType="separate"/>
        </w:r>
        <w:r w:rsidR="005F5E19">
          <w:rPr>
            <w:noProof/>
          </w:rPr>
          <w:t>9</w:t>
        </w:r>
        <w:r>
          <w:rPr>
            <w:noProof/>
          </w:rPr>
          <w:fldChar w:fldCharType="end"/>
        </w:r>
      </w:p>
    </w:sdtContent>
  </w:sdt>
  <w:p w14:paraId="6995C8F4" w14:textId="77777777" w:rsidR="00B95DE9" w:rsidRDefault="00B95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C3DAA" w14:textId="77777777" w:rsidR="00A37374" w:rsidRDefault="00A37374" w:rsidP="00E469E1">
      <w:pPr>
        <w:spacing w:after="0" w:line="240" w:lineRule="auto"/>
      </w:pPr>
      <w:r>
        <w:separator/>
      </w:r>
    </w:p>
  </w:footnote>
  <w:footnote w:type="continuationSeparator" w:id="0">
    <w:p w14:paraId="3AED98A2" w14:textId="77777777" w:rsidR="00A37374" w:rsidRDefault="00A37374" w:rsidP="00E469E1">
      <w:pPr>
        <w:spacing w:after="0" w:line="240" w:lineRule="auto"/>
      </w:pPr>
      <w:r>
        <w:continuationSeparator/>
      </w:r>
    </w:p>
  </w:footnote>
  <w:footnote w:id="1">
    <w:p w14:paraId="3E3D9AD3" w14:textId="276ADFC1" w:rsidR="00E9393E" w:rsidRPr="00247014" w:rsidRDefault="00E9393E">
      <w:pPr>
        <w:pStyle w:val="FootnoteText"/>
        <w:rPr>
          <w:sz w:val="18"/>
          <w:szCs w:val="18"/>
        </w:rPr>
      </w:pPr>
      <w:r w:rsidRPr="00247014">
        <w:rPr>
          <w:rStyle w:val="FootnoteReference"/>
          <w:sz w:val="18"/>
          <w:szCs w:val="18"/>
        </w:rPr>
        <w:footnoteRef/>
      </w:r>
      <w:r w:rsidRPr="00247014">
        <w:rPr>
          <w:sz w:val="18"/>
          <w:szCs w:val="18"/>
        </w:rPr>
        <w:t xml:space="preserve"> 15 of 2017.</w:t>
      </w:r>
    </w:p>
  </w:footnote>
  <w:footnote w:id="2">
    <w:p w14:paraId="2658B5C5" w14:textId="41613EA1" w:rsidR="000B48FA" w:rsidRPr="00247014" w:rsidRDefault="000B48FA">
      <w:pPr>
        <w:pStyle w:val="FootnoteText"/>
        <w:rPr>
          <w:sz w:val="18"/>
          <w:szCs w:val="18"/>
        </w:rPr>
      </w:pPr>
      <w:r w:rsidRPr="00247014">
        <w:rPr>
          <w:rStyle w:val="FootnoteReference"/>
          <w:sz w:val="18"/>
          <w:szCs w:val="18"/>
        </w:rPr>
        <w:footnoteRef/>
      </w:r>
      <w:r w:rsidRPr="00247014">
        <w:rPr>
          <w:sz w:val="18"/>
          <w:szCs w:val="18"/>
        </w:rPr>
        <w:t xml:space="preserve"> 10 of 2013.</w:t>
      </w:r>
    </w:p>
  </w:footnote>
  <w:footnote w:id="3">
    <w:p w14:paraId="6CC1BD16" w14:textId="59D3EA37" w:rsidR="005B343C" w:rsidRPr="00247014" w:rsidRDefault="005B343C" w:rsidP="005B343C">
      <w:pPr>
        <w:pStyle w:val="FootnoteText"/>
        <w:rPr>
          <w:sz w:val="18"/>
          <w:szCs w:val="18"/>
        </w:rPr>
      </w:pPr>
      <w:r w:rsidRPr="00247014">
        <w:rPr>
          <w:rStyle w:val="FootnoteReference"/>
          <w:sz w:val="18"/>
          <w:szCs w:val="18"/>
        </w:rPr>
        <w:footnoteRef/>
      </w:r>
      <w:r w:rsidRPr="00247014">
        <w:rPr>
          <w:sz w:val="18"/>
          <w:szCs w:val="18"/>
        </w:rPr>
        <w:t xml:space="preserve"> </w:t>
      </w:r>
      <w:r w:rsidRPr="00247014">
        <w:rPr>
          <w:rFonts w:cs="Arial"/>
          <w:i/>
          <w:iCs/>
          <w:sz w:val="18"/>
          <w:szCs w:val="18"/>
        </w:rPr>
        <w:t>SA Reserve Bank v Khumalo</w:t>
      </w:r>
      <w:r w:rsidRPr="00247014">
        <w:rPr>
          <w:rFonts w:cs="Arial"/>
          <w:sz w:val="18"/>
          <w:szCs w:val="18"/>
        </w:rPr>
        <w:t> </w:t>
      </w:r>
      <w:r w:rsidR="00B80D6C" w:rsidRPr="00B80D6C">
        <w:rPr>
          <w:rFonts w:cs="Arial"/>
          <w:sz w:val="18"/>
          <w:szCs w:val="18"/>
        </w:rPr>
        <w:t xml:space="preserve">(235/09) [2010] ZASCA 53; </w:t>
      </w:r>
      <w:r w:rsidRPr="00247014">
        <w:rPr>
          <w:rFonts w:cs="Arial"/>
          <w:sz w:val="18"/>
          <w:szCs w:val="18"/>
        </w:rPr>
        <w:t xml:space="preserve">2010 (5) SA 449 (SCA) </w:t>
      </w:r>
      <w:r w:rsidR="00B80D6C">
        <w:rPr>
          <w:rFonts w:cs="Arial"/>
          <w:sz w:val="18"/>
          <w:szCs w:val="18"/>
        </w:rPr>
        <w:t xml:space="preserve">at </w:t>
      </w:r>
      <w:r w:rsidRPr="00247014">
        <w:rPr>
          <w:rFonts w:cs="Arial"/>
          <w:sz w:val="18"/>
          <w:szCs w:val="18"/>
        </w:rPr>
        <w:t>para 4.</w:t>
      </w:r>
    </w:p>
  </w:footnote>
  <w:footnote w:id="4">
    <w:p w14:paraId="50E7FFC2" w14:textId="0601C7B5" w:rsidR="005B343C" w:rsidRPr="001A7118" w:rsidRDefault="005B343C" w:rsidP="005B343C">
      <w:pPr>
        <w:pStyle w:val="FootnoteText"/>
      </w:pPr>
      <w:r w:rsidRPr="00247014">
        <w:rPr>
          <w:rStyle w:val="FootnoteReference"/>
          <w:sz w:val="18"/>
          <w:szCs w:val="18"/>
        </w:rPr>
        <w:footnoteRef/>
      </w:r>
      <w:r w:rsidRPr="00247014">
        <w:rPr>
          <w:sz w:val="18"/>
          <w:szCs w:val="18"/>
        </w:rPr>
        <w:t xml:space="preserve"> </w:t>
      </w:r>
      <w:bookmarkStart w:id="0" w:name="_Hlk143598151"/>
      <w:r w:rsidRPr="00247014">
        <w:rPr>
          <w:rFonts w:cs="Arial"/>
          <w:i/>
          <w:iCs/>
          <w:sz w:val="18"/>
          <w:szCs w:val="18"/>
        </w:rPr>
        <w:t>Industrius D</w:t>
      </w:r>
      <w:r w:rsidR="008F54FA">
        <w:rPr>
          <w:rFonts w:cs="Arial"/>
          <w:i/>
          <w:iCs/>
          <w:sz w:val="18"/>
          <w:szCs w:val="18"/>
        </w:rPr>
        <w:t>.O.</w:t>
      </w:r>
      <w:r w:rsidRPr="00247014">
        <w:rPr>
          <w:rFonts w:cs="Arial"/>
          <w:i/>
          <w:iCs/>
          <w:sz w:val="18"/>
          <w:szCs w:val="18"/>
        </w:rPr>
        <w:t>O v IDS Industry Service and Plant Construction South Africa (Pty) Ltd</w:t>
      </w:r>
      <w:r w:rsidRPr="00247014">
        <w:rPr>
          <w:rFonts w:cs="Arial"/>
          <w:sz w:val="18"/>
          <w:szCs w:val="18"/>
        </w:rPr>
        <w:t xml:space="preserve"> </w:t>
      </w:r>
      <w:r w:rsidR="008F54FA">
        <w:rPr>
          <w:rFonts w:cs="Arial"/>
          <w:sz w:val="18"/>
          <w:szCs w:val="18"/>
        </w:rPr>
        <w:t>(</w:t>
      </w:r>
      <w:r w:rsidRPr="00247014">
        <w:rPr>
          <w:rFonts w:cs="Arial"/>
          <w:sz w:val="18"/>
          <w:szCs w:val="18"/>
        </w:rPr>
        <w:t>2020/15862</w:t>
      </w:r>
      <w:r w:rsidR="008F54FA">
        <w:rPr>
          <w:rFonts w:cs="Arial"/>
          <w:sz w:val="18"/>
          <w:szCs w:val="18"/>
        </w:rPr>
        <w:t>)</w:t>
      </w:r>
      <w:r w:rsidRPr="00247014">
        <w:rPr>
          <w:rFonts w:cs="Arial"/>
          <w:sz w:val="18"/>
          <w:szCs w:val="18"/>
        </w:rPr>
        <w:t xml:space="preserve"> [2021] ZAGPJHC 350 (20 August 2021</w:t>
      </w:r>
      <w:bookmarkEnd w:id="0"/>
      <w:r w:rsidRPr="00247014">
        <w:rPr>
          <w:rFonts w:cs="Arial"/>
          <w:sz w:val="18"/>
          <w:szCs w:val="18"/>
        </w:rPr>
        <w:t>).</w:t>
      </w:r>
    </w:p>
  </w:footnote>
  <w:footnote w:id="5">
    <w:p w14:paraId="4A471742" w14:textId="6D15DCC3" w:rsidR="005B343C" w:rsidRPr="00247014" w:rsidRDefault="005B343C" w:rsidP="005B343C">
      <w:pPr>
        <w:pStyle w:val="FootnoteText"/>
        <w:rPr>
          <w:sz w:val="18"/>
          <w:szCs w:val="18"/>
        </w:rPr>
      </w:pPr>
      <w:r w:rsidRPr="00247014">
        <w:rPr>
          <w:rStyle w:val="FootnoteReference"/>
          <w:sz w:val="18"/>
          <w:szCs w:val="18"/>
        </w:rPr>
        <w:footnoteRef/>
      </w:r>
      <w:r w:rsidRPr="00247014">
        <w:rPr>
          <w:sz w:val="18"/>
          <w:szCs w:val="18"/>
        </w:rPr>
        <w:t xml:space="preserve"> </w:t>
      </w:r>
      <w:r w:rsidR="00BA5C72" w:rsidRPr="00BA5C72">
        <w:rPr>
          <w:rFonts w:cs="Arial"/>
          <w:sz w:val="18"/>
          <w:szCs w:val="18"/>
        </w:rPr>
        <w:t xml:space="preserve">(CCT 99/13) [2014] ZACC 16; </w:t>
      </w:r>
      <w:r w:rsidRPr="00247014">
        <w:rPr>
          <w:rFonts w:cs="Arial"/>
          <w:sz w:val="18"/>
          <w:szCs w:val="18"/>
        </w:rPr>
        <w:t>2014 (4) S</w:t>
      </w:r>
      <w:r w:rsidR="00BA5C72">
        <w:rPr>
          <w:rFonts w:cs="Arial"/>
          <w:sz w:val="18"/>
          <w:szCs w:val="18"/>
        </w:rPr>
        <w:t>A</w:t>
      </w:r>
      <w:r w:rsidRPr="00247014">
        <w:rPr>
          <w:rFonts w:cs="Arial"/>
          <w:sz w:val="18"/>
          <w:szCs w:val="18"/>
        </w:rPr>
        <w:t xml:space="preserve"> 474 (CC)</w:t>
      </w:r>
      <w:r w:rsidR="00BA5C72">
        <w:rPr>
          <w:rFonts w:cs="Arial"/>
          <w:sz w:val="18"/>
          <w:szCs w:val="18"/>
        </w:rPr>
        <w:t xml:space="preserve">; </w:t>
      </w:r>
      <w:r w:rsidR="00BA5C72" w:rsidRPr="00BA5C72">
        <w:rPr>
          <w:rFonts w:cs="Arial"/>
          <w:sz w:val="18"/>
          <w:szCs w:val="18"/>
        </w:rPr>
        <w:t>2014 (8) BCLR 869 (CC)</w:t>
      </w:r>
      <w:r w:rsidR="00BA5C72">
        <w:rPr>
          <w:rFonts w:cs="Arial"/>
          <w:sz w:val="18"/>
          <w:szCs w:val="18"/>
        </w:rPr>
        <w:t>.</w:t>
      </w:r>
    </w:p>
  </w:footnote>
  <w:footnote w:id="6">
    <w:p w14:paraId="49C755E8" w14:textId="2C293987" w:rsidR="005B343C" w:rsidRPr="00247014" w:rsidRDefault="005B343C" w:rsidP="00A218B9">
      <w:pPr>
        <w:spacing w:after="0" w:line="240" w:lineRule="auto"/>
        <w:ind w:left="0" w:firstLine="567"/>
        <w:rPr>
          <w:rFonts w:cs="Arial"/>
          <w:color w:val="000000"/>
          <w:sz w:val="18"/>
          <w:szCs w:val="18"/>
          <w:lang w:eastAsia="en-ZA"/>
        </w:rPr>
      </w:pPr>
      <w:r w:rsidRPr="00247014">
        <w:rPr>
          <w:rStyle w:val="FootnoteReference"/>
          <w:sz w:val="18"/>
          <w:szCs w:val="18"/>
        </w:rPr>
        <w:footnoteRef/>
      </w:r>
      <w:r w:rsidRPr="00247014">
        <w:rPr>
          <w:rFonts w:cs="Arial"/>
          <w:color w:val="000000"/>
          <w:sz w:val="18"/>
          <w:szCs w:val="18"/>
          <w:lang w:eastAsia="en-ZA"/>
        </w:rPr>
        <w:t xml:space="preserve"> 2023 (3) SA 555 (WCC).</w:t>
      </w:r>
    </w:p>
  </w:footnote>
  <w:footnote w:id="7">
    <w:p w14:paraId="268C1187" w14:textId="4490B653" w:rsidR="005B343C" w:rsidRPr="00247014" w:rsidRDefault="005B343C" w:rsidP="00A218B9">
      <w:pPr>
        <w:pStyle w:val="FootnoteText"/>
        <w:rPr>
          <w:sz w:val="18"/>
          <w:szCs w:val="18"/>
        </w:rPr>
      </w:pPr>
      <w:r w:rsidRPr="00247014">
        <w:rPr>
          <w:rStyle w:val="FootnoteReference"/>
          <w:sz w:val="18"/>
          <w:szCs w:val="18"/>
        </w:rPr>
        <w:footnoteRef/>
      </w:r>
      <w:r w:rsidRPr="00247014">
        <w:rPr>
          <w:sz w:val="18"/>
          <w:szCs w:val="18"/>
        </w:rPr>
        <w:t xml:space="preserve"> </w:t>
      </w:r>
      <w:r w:rsidRPr="00247014">
        <w:rPr>
          <w:rFonts w:cs="Arial"/>
          <w:i/>
          <w:iCs/>
          <w:sz w:val="18"/>
          <w:szCs w:val="18"/>
        </w:rPr>
        <w:t>B</w:t>
      </w:r>
      <w:r w:rsidR="00A72142">
        <w:rPr>
          <w:rFonts w:cs="Arial"/>
          <w:i/>
          <w:iCs/>
          <w:sz w:val="18"/>
          <w:szCs w:val="18"/>
        </w:rPr>
        <w:t>e</w:t>
      </w:r>
      <w:r w:rsidRPr="00247014">
        <w:rPr>
          <w:rFonts w:cs="Arial"/>
          <w:i/>
          <w:iCs/>
          <w:sz w:val="18"/>
          <w:szCs w:val="18"/>
        </w:rPr>
        <w:t>adica 231 CC v Trustees</w:t>
      </w:r>
      <w:r w:rsidR="00A72142">
        <w:rPr>
          <w:rFonts w:cs="Arial"/>
          <w:i/>
          <w:iCs/>
          <w:sz w:val="18"/>
          <w:szCs w:val="18"/>
        </w:rPr>
        <w:t>,</w:t>
      </w:r>
      <w:r w:rsidRPr="00247014">
        <w:rPr>
          <w:rFonts w:cs="Arial"/>
          <w:i/>
          <w:iCs/>
          <w:sz w:val="18"/>
          <w:szCs w:val="18"/>
        </w:rPr>
        <w:t xml:space="preserve"> Oregon Trust</w:t>
      </w:r>
      <w:r w:rsidR="00A72142">
        <w:rPr>
          <w:rFonts w:cs="Arial"/>
          <w:i/>
          <w:iCs/>
          <w:sz w:val="18"/>
          <w:szCs w:val="18"/>
        </w:rPr>
        <w:t xml:space="preserve"> and Others</w:t>
      </w:r>
      <w:r w:rsidRPr="00247014">
        <w:rPr>
          <w:rFonts w:cs="Arial"/>
          <w:sz w:val="18"/>
          <w:szCs w:val="18"/>
        </w:rPr>
        <w:t xml:space="preserve"> </w:t>
      </w:r>
      <w:r w:rsidR="00A72142">
        <w:rPr>
          <w:rFonts w:cs="Arial"/>
          <w:sz w:val="18"/>
          <w:szCs w:val="18"/>
        </w:rPr>
        <w:t xml:space="preserve">(CCT 109/19) [2020] ZACC 13; </w:t>
      </w:r>
      <w:r w:rsidRPr="00247014">
        <w:rPr>
          <w:rFonts w:cs="Arial"/>
          <w:sz w:val="18"/>
          <w:szCs w:val="18"/>
        </w:rPr>
        <w:t xml:space="preserve">2020 (5) SA 247 </w:t>
      </w:r>
      <w:r w:rsidR="00A72142">
        <w:rPr>
          <w:rFonts w:cs="Arial"/>
          <w:sz w:val="18"/>
          <w:szCs w:val="18"/>
        </w:rPr>
        <w:t>(</w:t>
      </w:r>
      <w:r w:rsidRPr="00247014">
        <w:rPr>
          <w:rFonts w:cs="Arial"/>
          <w:sz w:val="18"/>
          <w:szCs w:val="18"/>
        </w:rPr>
        <w:t>CC</w:t>
      </w:r>
      <w:r w:rsidR="00A72142">
        <w:rPr>
          <w:rFonts w:cs="Arial"/>
          <w:sz w:val="18"/>
          <w:szCs w:val="18"/>
        </w:rPr>
        <w:t xml:space="preserve">); </w:t>
      </w:r>
      <w:r w:rsidR="00A72142" w:rsidRPr="00A72142">
        <w:rPr>
          <w:rFonts w:cs="Arial"/>
          <w:sz w:val="18"/>
          <w:szCs w:val="18"/>
        </w:rPr>
        <w:t>2020 (9) BCLR 1098 (CC)</w:t>
      </w:r>
      <w:r w:rsidR="00A72142">
        <w:rPr>
          <w:rFonts w:cs="Arial"/>
          <w:sz w:val="18"/>
          <w:szCs w:val="18"/>
        </w:rPr>
        <w:t xml:space="preserve"> at</w:t>
      </w:r>
      <w:r w:rsidRPr="00247014">
        <w:rPr>
          <w:rFonts w:cs="Arial"/>
          <w:sz w:val="18"/>
          <w:szCs w:val="18"/>
        </w:rPr>
        <w:t xml:space="preserve"> para 37</w:t>
      </w:r>
      <w:r w:rsidR="00A72142">
        <w:rPr>
          <w:rFonts w:cs="Arial"/>
          <w:sz w:val="18"/>
          <w:szCs w:val="18"/>
        </w:rPr>
        <w:t>.</w:t>
      </w:r>
    </w:p>
  </w:footnote>
  <w:footnote w:id="8">
    <w:p w14:paraId="4597CCEF" w14:textId="77077AE5" w:rsidR="00A218B9" w:rsidRPr="001A7118" w:rsidRDefault="00A218B9" w:rsidP="00A218B9">
      <w:pPr>
        <w:pStyle w:val="FootnoteText"/>
      </w:pPr>
      <w:r w:rsidRPr="00247014">
        <w:rPr>
          <w:rStyle w:val="FootnoteReference"/>
          <w:sz w:val="18"/>
          <w:szCs w:val="18"/>
        </w:rPr>
        <w:footnoteRef/>
      </w:r>
      <w:r w:rsidRPr="00247014">
        <w:rPr>
          <w:sz w:val="18"/>
          <w:szCs w:val="18"/>
        </w:rPr>
        <w:t xml:space="preserve"> </w:t>
      </w:r>
      <w:r w:rsidRPr="00247014">
        <w:rPr>
          <w:rFonts w:cs="Arial"/>
          <w:sz w:val="18"/>
          <w:szCs w:val="18"/>
          <w:lang w:eastAsia="en-ZA"/>
        </w:rPr>
        <w:t>1965 (1) SA 470 (W)</w:t>
      </w:r>
      <w:r w:rsidR="00ED683D">
        <w:rPr>
          <w:rFonts w:cs="Arial"/>
          <w:sz w:val="18"/>
          <w:szCs w:val="18"/>
          <w:lang w:eastAsia="en-ZA"/>
        </w:rPr>
        <w:t>.</w:t>
      </w:r>
    </w:p>
  </w:footnote>
  <w:footnote w:id="9">
    <w:p w14:paraId="6E1ABF21" w14:textId="175A9CC0" w:rsidR="00DD511B" w:rsidRPr="00247014" w:rsidRDefault="00DD511B">
      <w:pPr>
        <w:pStyle w:val="FootnoteText"/>
        <w:rPr>
          <w:sz w:val="18"/>
          <w:szCs w:val="18"/>
        </w:rPr>
      </w:pPr>
      <w:r w:rsidRPr="00247014">
        <w:rPr>
          <w:rStyle w:val="FootnoteReference"/>
          <w:sz w:val="18"/>
          <w:szCs w:val="18"/>
        </w:rPr>
        <w:footnoteRef/>
      </w:r>
      <w:r w:rsidRPr="00247014">
        <w:rPr>
          <w:sz w:val="18"/>
          <w:szCs w:val="18"/>
        </w:rPr>
        <w:t xml:space="preserve"> Id at 471D.</w:t>
      </w:r>
    </w:p>
  </w:footnote>
  <w:footnote w:id="10">
    <w:p w14:paraId="461DCC83" w14:textId="09D6AF25" w:rsidR="00DD511B" w:rsidRDefault="00DD511B">
      <w:pPr>
        <w:pStyle w:val="FootnoteText"/>
      </w:pPr>
      <w:r w:rsidRPr="00247014">
        <w:rPr>
          <w:rStyle w:val="FootnoteReference"/>
          <w:sz w:val="18"/>
          <w:szCs w:val="18"/>
        </w:rPr>
        <w:footnoteRef/>
      </w:r>
      <w:r w:rsidRPr="00247014">
        <w:rPr>
          <w:sz w:val="18"/>
          <w:szCs w:val="18"/>
        </w:rPr>
        <w:t xml:space="preserve"> Id at 473H.</w:t>
      </w:r>
    </w:p>
  </w:footnote>
  <w:footnote w:id="11">
    <w:p w14:paraId="6B9944D3" w14:textId="229AEE2D" w:rsidR="00206B1B" w:rsidRPr="002C4380" w:rsidRDefault="00206B1B" w:rsidP="00141584">
      <w:pPr>
        <w:pStyle w:val="FootnoteText"/>
        <w:rPr>
          <w:rFonts w:cs="Arial"/>
          <w:sz w:val="18"/>
          <w:szCs w:val="18"/>
        </w:rPr>
      </w:pPr>
      <w:r w:rsidRPr="002C4380">
        <w:rPr>
          <w:rStyle w:val="FootnoteReference"/>
          <w:sz w:val="18"/>
          <w:szCs w:val="18"/>
        </w:rPr>
        <w:footnoteRef/>
      </w:r>
      <w:r w:rsidRPr="002C4380">
        <w:rPr>
          <w:sz w:val="18"/>
          <w:szCs w:val="18"/>
        </w:rPr>
        <w:t xml:space="preserve"> </w:t>
      </w:r>
      <w:r w:rsidRPr="002C4380">
        <w:rPr>
          <w:rFonts w:cs="Arial"/>
          <w:i/>
          <w:iCs/>
          <w:sz w:val="18"/>
          <w:szCs w:val="18"/>
        </w:rPr>
        <w:t xml:space="preserve">Incubeta Holdings (Pty) Ltd </w:t>
      </w:r>
      <w:r w:rsidR="008D0A47">
        <w:rPr>
          <w:rFonts w:cs="Arial"/>
          <w:i/>
          <w:iCs/>
          <w:sz w:val="18"/>
          <w:szCs w:val="18"/>
        </w:rPr>
        <w:t xml:space="preserve">and Another </w:t>
      </w:r>
      <w:r w:rsidRPr="002C4380">
        <w:rPr>
          <w:rFonts w:cs="Arial"/>
          <w:i/>
          <w:iCs/>
          <w:sz w:val="18"/>
          <w:szCs w:val="18"/>
        </w:rPr>
        <w:t>v Ellis and Another</w:t>
      </w:r>
      <w:r w:rsidRPr="002C4380">
        <w:rPr>
          <w:rFonts w:cs="Arial"/>
          <w:sz w:val="18"/>
          <w:szCs w:val="18"/>
        </w:rPr>
        <w:t xml:space="preserve"> 2014 (3) SA 189 (GJ) endorsed by the SCA in </w:t>
      </w:r>
      <w:r w:rsidRPr="002C4380">
        <w:rPr>
          <w:rFonts w:cs="Arial"/>
          <w:i/>
          <w:iCs/>
          <w:sz w:val="18"/>
          <w:szCs w:val="18"/>
        </w:rPr>
        <w:t>Ntlemeza v Helen Suzman Foundation and Another</w:t>
      </w:r>
      <w:r w:rsidRPr="002C4380">
        <w:rPr>
          <w:rFonts w:cs="Arial"/>
          <w:sz w:val="18"/>
          <w:szCs w:val="18"/>
        </w:rPr>
        <w:t xml:space="preserve"> </w:t>
      </w:r>
      <w:r w:rsidR="00141584">
        <w:rPr>
          <w:rFonts w:cs="Arial"/>
          <w:sz w:val="18"/>
          <w:szCs w:val="18"/>
        </w:rPr>
        <w:t xml:space="preserve">(402/2017) [2017] ZASCA 93; </w:t>
      </w:r>
      <w:r w:rsidRPr="002C4380">
        <w:rPr>
          <w:rFonts w:cs="Arial"/>
          <w:sz w:val="18"/>
          <w:szCs w:val="18"/>
        </w:rPr>
        <w:t xml:space="preserve">2017 (5) SA 402 (SCA) at paras 35-36 and in </w:t>
      </w:r>
      <w:r w:rsidRPr="002C4380">
        <w:rPr>
          <w:rFonts w:cs="Arial"/>
          <w:i/>
          <w:iCs/>
          <w:sz w:val="18"/>
          <w:szCs w:val="18"/>
        </w:rPr>
        <w:t xml:space="preserve">University of the Free State v Afriforum and Another </w:t>
      </w:r>
      <w:r w:rsidR="00141584">
        <w:rPr>
          <w:rFonts w:cs="Arial"/>
          <w:i/>
          <w:iCs/>
          <w:sz w:val="18"/>
          <w:szCs w:val="18"/>
        </w:rPr>
        <w:t>(</w:t>
      </w:r>
      <w:r w:rsidR="00141584">
        <w:rPr>
          <w:rFonts w:cs="Arial"/>
          <w:sz w:val="18"/>
          <w:szCs w:val="18"/>
        </w:rPr>
        <w:t xml:space="preserve">929/2016) [2016] </w:t>
      </w:r>
      <w:r w:rsidR="00505BF0">
        <w:rPr>
          <w:rFonts w:cs="Arial"/>
          <w:sz w:val="18"/>
          <w:szCs w:val="18"/>
        </w:rPr>
        <w:t xml:space="preserve">ZASCA 165; </w:t>
      </w:r>
      <w:r w:rsidRPr="002C4380">
        <w:rPr>
          <w:rFonts w:cs="Arial"/>
          <w:sz w:val="18"/>
          <w:szCs w:val="18"/>
        </w:rPr>
        <w:t>2018 (3) SA 428 (SCA) at paras 9-10.</w:t>
      </w:r>
    </w:p>
    <w:p w14:paraId="71F23D33" w14:textId="77777777" w:rsidR="00206B1B" w:rsidRPr="009173FA" w:rsidRDefault="00206B1B" w:rsidP="00206B1B">
      <w:pPr>
        <w:pStyle w:val="FootnoteText"/>
        <w:ind w:left="720"/>
        <w:rPr>
          <w:rFonts w:cs="Arial"/>
        </w:rPr>
      </w:pPr>
    </w:p>
    <w:p w14:paraId="7522B2C1" w14:textId="77777777" w:rsidR="00206B1B" w:rsidRDefault="00206B1B" w:rsidP="00206B1B">
      <w:pPr>
        <w:pStyle w:val="FootnoteText"/>
        <w:rPr>
          <w:rFonts w:cs="Arial"/>
        </w:rPr>
      </w:pPr>
    </w:p>
    <w:p w14:paraId="4F307F3D" w14:textId="77777777" w:rsidR="00206B1B" w:rsidRPr="001A7118" w:rsidRDefault="00206B1B" w:rsidP="00206B1B">
      <w:pPr>
        <w:pStyle w:val="FootnoteText"/>
      </w:pPr>
    </w:p>
  </w:footnote>
  <w:footnote w:id="12">
    <w:p w14:paraId="71AEA28C" w14:textId="75029CCC" w:rsidR="00A218B9" w:rsidRPr="00247014" w:rsidRDefault="00A218B9" w:rsidP="00A218B9">
      <w:pPr>
        <w:pStyle w:val="FootnoteText"/>
        <w:rPr>
          <w:rFonts w:cs="Arial"/>
          <w:sz w:val="18"/>
          <w:szCs w:val="18"/>
        </w:rPr>
      </w:pPr>
      <w:r w:rsidRPr="00247014">
        <w:rPr>
          <w:rStyle w:val="FootnoteReference"/>
          <w:sz w:val="18"/>
          <w:szCs w:val="18"/>
        </w:rPr>
        <w:footnoteRef/>
      </w:r>
      <w:r w:rsidRPr="00247014">
        <w:rPr>
          <w:rFonts w:cs="Arial"/>
          <w:i/>
          <w:iCs/>
          <w:sz w:val="18"/>
          <w:szCs w:val="18"/>
        </w:rPr>
        <w:t xml:space="preserve"> </w:t>
      </w:r>
      <w:r w:rsidR="006851BB" w:rsidRPr="00247014">
        <w:rPr>
          <w:rFonts w:cs="Arial"/>
          <w:sz w:val="18"/>
          <w:szCs w:val="18"/>
        </w:rPr>
        <w:t>Id</w:t>
      </w:r>
      <w:r w:rsidRPr="00247014">
        <w:rPr>
          <w:rFonts w:cs="Arial"/>
          <w:sz w:val="18"/>
          <w:szCs w:val="18"/>
        </w:rPr>
        <w:t>.</w:t>
      </w:r>
    </w:p>
    <w:p w14:paraId="539EB6F1" w14:textId="77777777" w:rsidR="00A218B9" w:rsidRPr="001A7118" w:rsidRDefault="00A218B9" w:rsidP="00A218B9">
      <w:pPr>
        <w:pStyle w:val="FootnoteText"/>
        <w:rPr>
          <w:rFonts w:cs="Arial"/>
        </w:rPr>
      </w:pPr>
    </w:p>
  </w:footnote>
  <w:footnote w:id="13">
    <w:p w14:paraId="47088B8F" w14:textId="170B7256" w:rsidR="00501C89" w:rsidRPr="003C33E2" w:rsidRDefault="00501C89">
      <w:pPr>
        <w:pStyle w:val="FootnoteText"/>
        <w:rPr>
          <w:sz w:val="18"/>
          <w:szCs w:val="18"/>
        </w:rPr>
      </w:pPr>
      <w:r w:rsidRPr="003C33E2">
        <w:rPr>
          <w:rStyle w:val="FootnoteReference"/>
          <w:sz w:val="18"/>
          <w:szCs w:val="18"/>
        </w:rPr>
        <w:footnoteRef/>
      </w:r>
      <w:r w:rsidRPr="003C33E2">
        <w:rPr>
          <w:sz w:val="18"/>
          <w:szCs w:val="18"/>
        </w:rPr>
        <w:t xml:space="preserve"> </w:t>
      </w:r>
      <w:r w:rsidR="009A5FAC">
        <w:rPr>
          <w:sz w:val="18"/>
          <w:szCs w:val="18"/>
        </w:rPr>
        <w:t xml:space="preserve">(1134/2017) [2018] ZASCA 150 (SCA); </w:t>
      </w:r>
      <w:r w:rsidRPr="003C33E2">
        <w:rPr>
          <w:sz w:val="18"/>
          <w:szCs w:val="18"/>
        </w:rPr>
        <w:t>2019 (1) SA 327 (SCA</w:t>
      </w:r>
      <w:r w:rsidR="009A5FAC">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58F8"/>
    <w:multiLevelType w:val="hybridMultilevel"/>
    <w:tmpl w:val="EA64938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5">
    <w:nsid w:val="118F5C86"/>
    <w:multiLevelType w:val="hybridMultilevel"/>
    <w:tmpl w:val="B1D81D86"/>
    <w:numStyleLink w:val="ImportedStyle2"/>
  </w:abstractNum>
  <w:abstractNum w:abstractNumId="6">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nsid w:val="19DC47DE"/>
    <w:multiLevelType w:val="hybridMultilevel"/>
    <w:tmpl w:val="B1D81D86"/>
    <w:styleLink w:val="ImportedStyle2"/>
    <w:lvl w:ilvl="0" w:tplc="E216229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42CCE14">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B4C2A0">
      <w:start w:val="1"/>
      <w:numFmt w:val="lowerRoman"/>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AB6054C">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B0A1C0">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1A675C">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A26C3F6">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2CABA">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E7A96">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nsid w:val="2EC32EAB"/>
    <w:multiLevelType w:val="multilevel"/>
    <w:tmpl w:val="F17E040E"/>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2">
    <w:nsid w:val="6DC1445B"/>
    <w:multiLevelType w:val="hybridMultilevel"/>
    <w:tmpl w:val="AD64877E"/>
    <w:lvl w:ilvl="0" w:tplc="5C022D5A">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24">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4"/>
  </w:num>
  <w:num w:numId="3">
    <w:abstractNumId w:val="3"/>
  </w:num>
  <w:num w:numId="4">
    <w:abstractNumId w:val="9"/>
  </w:num>
  <w:num w:numId="5">
    <w:abstractNumId w:val="6"/>
  </w:num>
  <w:num w:numId="6">
    <w:abstractNumId w:val="19"/>
  </w:num>
  <w:num w:numId="7">
    <w:abstractNumId w:val="17"/>
  </w:num>
  <w:num w:numId="8">
    <w:abstractNumId w:val="18"/>
  </w:num>
  <w:num w:numId="9">
    <w:abstractNumId w:val="2"/>
  </w:num>
  <w:num w:numId="10">
    <w:abstractNumId w:val="15"/>
  </w:num>
  <w:num w:numId="11">
    <w:abstractNumId w:val="4"/>
  </w:num>
  <w:num w:numId="12">
    <w:abstractNumId w:val="8"/>
  </w:num>
  <w:num w:numId="13">
    <w:abstractNumId w:val="1"/>
  </w:num>
  <w:num w:numId="14">
    <w:abstractNumId w:val="11"/>
  </w:num>
  <w:num w:numId="15">
    <w:abstractNumId w:val="13"/>
  </w:num>
  <w:num w:numId="16">
    <w:abstractNumId w:val="16"/>
  </w:num>
  <w:num w:numId="17">
    <w:abstractNumId w:val="20"/>
  </w:num>
  <w:num w:numId="18">
    <w:abstractNumId w:val="10"/>
  </w:num>
  <w:num w:numId="19">
    <w:abstractNumId w:val="21"/>
  </w:num>
  <w:num w:numId="20">
    <w:abstractNumId w:val="23"/>
  </w:num>
  <w:num w:numId="21">
    <w:abstractNumId w:val="24"/>
  </w:num>
  <w:num w:numId="22">
    <w:abstractNumId w:val="0"/>
  </w:num>
  <w:num w:numId="23">
    <w:abstractNumId w:val="7"/>
  </w:num>
  <w:num w:numId="24">
    <w:abstractNumId w:val="5"/>
  </w:num>
  <w:num w:numId="25">
    <w:abstractNumId w:val="22"/>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BB"/>
    <w:rsid w:val="00000A69"/>
    <w:rsid w:val="00000B6A"/>
    <w:rsid w:val="000014C7"/>
    <w:rsid w:val="00003539"/>
    <w:rsid w:val="00003960"/>
    <w:rsid w:val="0001002E"/>
    <w:rsid w:val="000119FD"/>
    <w:rsid w:val="00011BB0"/>
    <w:rsid w:val="000130C5"/>
    <w:rsid w:val="0001424A"/>
    <w:rsid w:val="000145DF"/>
    <w:rsid w:val="00014920"/>
    <w:rsid w:val="00014C25"/>
    <w:rsid w:val="00014C7C"/>
    <w:rsid w:val="00016C86"/>
    <w:rsid w:val="000170D0"/>
    <w:rsid w:val="00021CA6"/>
    <w:rsid w:val="00022F64"/>
    <w:rsid w:val="00024D2D"/>
    <w:rsid w:val="00025337"/>
    <w:rsid w:val="00025F91"/>
    <w:rsid w:val="000262D6"/>
    <w:rsid w:val="0002650C"/>
    <w:rsid w:val="0002679A"/>
    <w:rsid w:val="00026DD3"/>
    <w:rsid w:val="00026F36"/>
    <w:rsid w:val="00027370"/>
    <w:rsid w:val="00030122"/>
    <w:rsid w:val="0003082A"/>
    <w:rsid w:val="00031AE7"/>
    <w:rsid w:val="00031D50"/>
    <w:rsid w:val="00032888"/>
    <w:rsid w:val="00032F92"/>
    <w:rsid w:val="00033C77"/>
    <w:rsid w:val="00033C9C"/>
    <w:rsid w:val="00034251"/>
    <w:rsid w:val="00037B9F"/>
    <w:rsid w:val="0004013B"/>
    <w:rsid w:val="00040D10"/>
    <w:rsid w:val="0004147C"/>
    <w:rsid w:val="000419E9"/>
    <w:rsid w:val="00041FC7"/>
    <w:rsid w:val="00042584"/>
    <w:rsid w:val="000436B7"/>
    <w:rsid w:val="00043CD0"/>
    <w:rsid w:val="00044122"/>
    <w:rsid w:val="000446F8"/>
    <w:rsid w:val="00045102"/>
    <w:rsid w:val="0004696B"/>
    <w:rsid w:val="00052078"/>
    <w:rsid w:val="00053EC4"/>
    <w:rsid w:val="0005435E"/>
    <w:rsid w:val="000547BB"/>
    <w:rsid w:val="000551EA"/>
    <w:rsid w:val="000558D3"/>
    <w:rsid w:val="00057CCA"/>
    <w:rsid w:val="000618E1"/>
    <w:rsid w:val="00061B2A"/>
    <w:rsid w:val="00061BB7"/>
    <w:rsid w:val="00061DFF"/>
    <w:rsid w:val="0006213D"/>
    <w:rsid w:val="00062482"/>
    <w:rsid w:val="00062EC4"/>
    <w:rsid w:val="00063233"/>
    <w:rsid w:val="000649DF"/>
    <w:rsid w:val="00066348"/>
    <w:rsid w:val="00066B33"/>
    <w:rsid w:val="000723DD"/>
    <w:rsid w:val="00072A53"/>
    <w:rsid w:val="000732B9"/>
    <w:rsid w:val="00073D81"/>
    <w:rsid w:val="0007543A"/>
    <w:rsid w:val="00076166"/>
    <w:rsid w:val="00076208"/>
    <w:rsid w:val="00080B4F"/>
    <w:rsid w:val="000824EE"/>
    <w:rsid w:val="00083340"/>
    <w:rsid w:val="00083F18"/>
    <w:rsid w:val="00084000"/>
    <w:rsid w:val="00084355"/>
    <w:rsid w:val="00085EF4"/>
    <w:rsid w:val="000877CC"/>
    <w:rsid w:val="000879CF"/>
    <w:rsid w:val="000901CE"/>
    <w:rsid w:val="00092057"/>
    <w:rsid w:val="00092271"/>
    <w:rsid w:val="00092BAA"/>
    <w:rsid w:val="00094D17"/>
    <w:rsid w:val="00095057"/>
    <w:rsid w:val="000959F5"/>
    <w:rsid w:val="0009614F"/>
    <w:rsid w:val="000962DF"/>
    <w:rsid w:val="00096FB7"/>
    <w:rsid w:val="00096FD9"/>
    <w:rsid w:val="000A1489"/>
    <w:rsid w:val="000A17DA"/>
    <w:rsid w:val="000A22BE"/>
    <w:rsid w:val="000A41CE"/>
    <w:rsid w:val="000A4EBA"/>
    <w:rsid w:val="000A7C5D"/>
    <w:rsid w:val="000B12C1"/>
    <w:rsid w:val="000B140F"/>
    <w:rsid w:val="000B295F"/>
    <w:rsid w:val="000B3169"/>
    <w:rsid w:val="000B3896"/>
    <w:rsid w:val="000B48FA"/>
    <w:rsid w:val="000B4A7D"/>
    <w:rsid w:val="000B5668"/>
    <w:rsid w:val="000B585F"/>
    <w:rsid w:val="000B5ADD"/>
    <w:rsid w:val="000B75F9"/>
    <w:rsid w:val="000C29DE"/>
    <w:rsid w:val="000C366F"/>
    <w:rsid w:val="000C5DF4"/>
    <w:rsid w:val="000C5F3E"/>
    <w:rsid w:val="000C6DDB"/>
    <w:rsid w:val="000C6EAA"/>
    <w:rsid w:val="000D0AD1"/>
    <w:rsid w:val="000D14F3"/>
    <w:rsid w:val="000D1550"/>
    <w:rsid w:val="000D1928"/>
    <w:rsid w:val="000D2525"/>
    <w:rsid w:val="000D3403"/>
    <w:rsid w:val="000D40A6"/>
    <w:rsid w:val="000D49C4"/>
    <w:rsid w:val="000D5866"/>
    <w:rsid w:val="000D5B56"/>
    <w:rsid w:val="000D5B61"/>
    <w:rsid w:val="000D5D89"/>
    <w:rsid w:val="000D5FE2"/>
    <w:rsid w:val="000D63A4"/>
    <w:rsid w:val="000D6FF7"/>
    <w:rsid w:val="000D7901"/>
    <w:rsid w:val="000E12A8"/>
    <w:rsid w:val="000E14BB"/>
    <w:rsid w:val="000E28CD"/>
    <w:rsid w:val="000E3A53"/>
    <w:rsid w:val="000E4E29"/>
    <w:rsid w:val="000E5A5D"/>
    <w:rsid w:val="000E6167"/>
    <w:rsid w:val="000E6321"/>
    <w:rsid w:val="000E6ED6"/>
    <w:rsid w:val="000F0D75"/>
    <w:rsid w:val="000F2A38"/>
    <w:rsid w:val="000F2AD2"/>
    <w:rsid w:val="000F4B76"/>
    <w:rsid w:val="0010016D"/>
    <w:rsid w:val="0010037A"/>
    <w:rsid w:val="00100B6D"/>
    <w:rsid w:val="001013DF"/>
    <w:rsid w:val="001018C5"/>
    <w:rsid w:val="00102A7B"/>
    <w:rsid w:val="00103361"/>
    <w:rsid w:val="001039F2"/>
    <w:rsid w:val="001044E2"/>
    <w:rsid w:val="001060DD"/>
    <w:rsid w:val="001107DE"/>
    <w:rsid w:val="00111181"/>
    <w:rsid w:val="0011398A"/>
    <w:rsid w:val="00113DCE"/>
    <w:rsid w:val="001146F8"/>
    <w:rsid w:val="00115502"/>
    <w:rsid w:val="00117C4A"/>
    <w:rsid w:val="00120FB8"/>
    <w:rsid w:val="00121973"/>
    <w:rsid w:val="001219FE"/>
    <w:rsid w:val="00121BC9"/>
    <w:rsid w:val="001243A6"/>
    <w:rsid w:val="001254A7"/>
    <w:rsid w:val="0012592E"/>
    <w:rsid w:val="00125DEE"/>
    <w:rsid w:val="0012628F"/>
    <w:rsid w:val="00126EAC"/>
    <w:rsid w:val="00127E2B"/>
    <w:rsid w:val="001302B6"/>
    <w:rsid w:val="00130DC9"/>
    <w:rsid w:val="00130F27"/>
    <w:rsid w:val="001319A7"/>
    <w:rsid w:val="0013203A"/>
    <w:rsid w:val="00134324"/>
    <w:rsid w:val="0013552C"/>
    <w:rsid w:val="0013554F"/>
    <w:rsid w:val="001372B9"/>
    <w:rsid w:val="00140843"/>
    <w:rsid w:val="00140AB0"/>
    <w:rsid w:val="00140C83"/>
    <w:rsid w:val="00141584"/>
    <w:rsid w:val="00142114"/>
    <w:rsid w:val="0014270D"/>
    <w:rsid w:val="00142E56"/>
    <w:rsid w:val="001438B7"/>
    <w:rsid w:val="00144AA0"/>
    <w:rsid w:val="00144BB3"/>
    <w:rsid w:val="001476E6"/>
    <w:rsid w:val="00150593"/>
    <w:rsid w:val="001527A9"/>
    <w:rsid w:val="001529C4"/>
    <w:rsid w:val="001529D3"/>
    <w:rsid w:val="00152A6E"/>
    <w:rsid w:val="00152DFE"/>
    <w:rsid w:val="0015388D"/>
    <w:rsid w:val="001539CC"/>
    <w:rsid w:val="00153E14"/>
    <w:rsid w:val="001550DF"/>
    <w:rsid w:val="001550E7"/>
    <w:rsid w:val="00155A1D"/>
    <w:rsid w:val="001579E6"/>
    <w:rsid w:val="0016083E"/>
    <w:rsid w:val="00160CAB"/>
    <w:rsid w:val="00162E3D"/>
    <w:rsid w:val="00163FF6"/>
    <w:rsid w:val="00164E02"/>
    <w:rsid w:val="00165AF6"/>
    <w:rsid w:val="001663E5"/>
    <w:rsid w:val="001664A7"/>
    <w:rsid w:val="0016682C"/>
    <w:rsid w:val="00166830"/>
    <w:rsid w:val="001706F7"/>
    <w:rsid w:val="00171FD2"/>
    <w:rsid w:val="00172332"/>
    <w:rsid w:val="001732F3"/>
    <w:rsid w:val="0017525B"/>
    <w:rsid w:val="00175B3D"/>
    <w:rsid w:val="00176E81"/>
    <w:rsid w:val="00181267"/>
    <w:rsid w:val="00183FEB"/>
    <w:rsid w:val="00184C34"/>
    <w:rsid w:val="00184F7A"/>
    <w:rsid w:val="001861CA"/>
    <w:rsid w:val="00186FB4"/>
    <w:rsid w:val="00187014"/>
    <w:rsid w:val="001915FB"/>
    <w:rsid w:val="00191B3E"/>
    <w:rsid w:val="00192559"/>
    <w:rsid w:val="00192D65"/>
    <w:rsid w:val="0019333F"/>
    <w:rsid w:val="00193F3B"/>
    <w:rsid w:val="001947E9"/>
    <w:rsid w:val="001968B7"/>
    <w:rsid w:val="00196923"/>
    <w:rsid w:val="001972F3"/>
    <w:rsid w:val="001A08DE"/>
    <w:rsid w:val="001A0BE6"/>
    <w:rsid w:val="001A2EDE"/>
    <w:rsid w:val="001A361E"/>
    <w:rsid w:val="001A4F3D"/>
    <w:rsid w:val="001A5497"/>
    <w:rsid w:val="001A5D55"/>
    <w:rsid w:val="001A5DB1"/>
    <w:rsid w:val="001B05CF"/>
    <w:rsid w:val="001B2358"/>
    <w:rsid w:val="001B2515"/>
    <w:rsid w:val="001B3E9C"/>
    <w:rsid w:val="001B4809"/>
    <w:rsid w:val="001B4891"/>
    <w:rsid w:val="001B587A"/>
    <w:rsid w:val="001B5D30"/>
    <w:rsid w:val="001B78CF"/>
    <w:rsid w:val="001C0616"/>
    <w:rsid w:val="001C2F90"/>
    <w:rsid w:val="001C3576"/>
    <w:rsid w:val="001C3BDD"/>
    <w:rsid w:val="001C4B82"/>
    <w:rsid w:val="001C5042"/>
    <w:rsid w:val="001C5F9D"/>
    <w:rsid w:val="001C6D55"/>
    <w:rsid w:val="001C7361"/>
    <w:rsid w:val="001C7CC3"/>
    <w:rsid w:val="001D03CA"/>
    <w:rsid w:val="001D06C2"/>
    <w:rsid w:val="001D0C4A"/>
    <w:rsid w:val="001D12EF"/>
    <w:rsid w:val="001D14E9"/>
    <w:rsid w:val="001D1AC5"/>
    <w:rsid w:val="001D237B"/>
    <w:rsid w:val="001D3257"/>
    <w:rsid w:val="001D3540"/>
    <w:rsid w:val="001D3D3A"/>
    <w:rsid w:val="001D415E"/>
    <w:rsid w:val="001D4287"/>
    <w:rsid w:val="001D44E4"/>
    <w:rsid w:val="001D4965"/>
    <w:rsid w:val="001D67C2"/>
    <w:rsid w:val="001D68DA"/>
    <w:rsid w:val="001D7B61"/>
    <w:rsid w:val="001D7DBA"/>
    <w:rsid w:val="001E081C"/>
    <w:rsid w:val="001E0F5B"/>
    <w:rsid w:val="001E4D97"/>
    <w:rsid w:val="001E6321"/>
    <w:rsid w:val="001E6F64"/>
    <w:rsid w:val="001F1306"/>
    <w:rsid w:val="001F14FE"/>
    <w:rsid w:val="001F1E42"/>
    <w:rsid w:val="001F27D5"/>
    <w:rsid w:val="001F78EB"/>
    <w:rsid w:val="002007DA"/>
    <w:rsid w:val="0020166F"/>
    <w:rsid w:val="00202DB4"/>
    <w:rsid w:val="00203181"/>
    <w:rsid w:val="00203202"/>
    <w:rsid w:val="00203DF4"/>
    <w:rsid w:val="00204244"/>
    <w:rsid w:val="002046AE"/>
    <w:rsid w:val="002048D3"/>
    <w:rsid w:val="00206B1B"/>
    <w:rsid w:val="00207632"/>
    <w:rsid w:val="002106FB"/>
    <w:rsid w:val="0021172E"/>
    <w:rsid w:val="002139FF"/>
    <w:rsid w:val="00214055"/>
    <w:rsid w:val="002148FD"/>
    <w:rsid w:val="002149C5"/>
    <w:rsid w:val="00216260"/>
    <w:rsid w:val="002165F6"/>
    <w:rsid w:val="002169EA"/>
    <w:rsid w:val="00217923"/>
    <w:rsid w:val="00217A4D"/>
    <w:rsid w:val="002230AA"/>
    <w:rsid w:val="00223885"/>
    <w:rsid w:val="00226C31"/>
    <w:rsid w:val="00230465"/>
    <w:rsid w:val="00230974"/>
    <w:rsid w:val="00230BD7"/>
    <w:rsid w:val="00230EA8"/>
    <w:rsid w:val="002318B6"/>
    <w:rsid w:val="00231DCE"/>
    <w:rsid w:val="0023295C"/>
    <w:rsid w:val="002372CB"/>
    <w:rsid w:val="0024026D"/>
    <w:rsid w:val="00240985"/>
    <w:rsid w:val="00240AA0"/>
    <w:rsid w:val="00242B52"/>
    <w:rsid w:val="00243D40"/>
    <w:rsid w:val="00243F0C"/>
    <w:rsid w:val="00243F93"/>
    <w:rsid w:val="00244246"/>
    <w:rsid w:val="00245885"/>
    <w:rsid w:val="0024601F"/>
    <w:rsid w:val="00246AB5"/>
    <w:rsid w:val="00247014"/>
    <w:rsid w:val="00247599"/>
    <w:rsid w:val="00247A37"/>
    <w:rsid w:val="00247D67"/>
    <w:rsid w:val="00250410"/>
    <w:rsid w:val="002504F2"/>
    <w:rsid w:val="002505F8"/>
    <w:rsid w:val="0025096F"/>
    <w:rsid w:val="00250D83"/>
    <w:rsid w:val="0025292C"/>
    <w:rsid w:val="002534D0"/>
    <w:rsid w:val="002539B7"/>
    <w:rsid w:val="00253E22"/>
    <w:rsid w:val="0025586B"/>
    <w:rsid w:val="00260CF8"/>
    <w:rsid w:val="00261F9A"/>
    <w:rsid w:val="002622B4"/>
    <w:rsid w:val="00263A7D"/>
    <w:rsid w:val="0026415A"/>
    <w:rsid w:val="002654CC"/>
    <w:rsid w:val="002655D8"/>
    <w:rsid w:val="002677DC"/>
    <w:rsid w:val="00267A87"/>
    <w:rsid w:val="00267DB5"/>
    <w:rsid w:val="00270117"/>
    <w:rsid w:val="00273D5A"/>
    <w:rsid w:val="00273F3E"/>
    <w:rsid w:val="002743A5"/>
    <w:rsid w:val="00275C91"/>
    <w:rsid w:val="0027625A"/>
    <w:rsid w:val="0027659D"/>
    <w:rsid w:val="00276848"/>
    <w:rsid w:val="0027692B"/>
    <w:rsid w:val="002775BF"/>
    <w:rsid w:val="00277A06"/>
    <w:rsid w:val="00280214"/>
    <w:rsid w:val="0028042D"/>
    <w:rsid w:val="00280905"/>
    <w:rsid w:val="00280D11"/>
    <w:rsid w:val="00281A30"/>
    <w:rsid w:val="002824F5"/>
    <w:rsid w:val="002833C6"/>
    <w:rsid w:val="00283A8C"/>
    <w:rsid w:val="00283DDB"/>
    <w:rsid w:val="0028622F"/>
    <w:rsid w:val="0028725B"/>
    <w:rsid w:val="002873D3"/>
    <w:rsid w:val="002876C7"/>
    <w:rsid w:val="0028793B"/>
    <w:rsid w:val="00287A0B"/>
    <w:rsid w:val="00287DD1"/>
    <w:rsid w:val="002903B8"/>
    <w:rsid w:val="00291484"/>
    <w:rsid w:val="00295316"/>
    <w:rsid w:val="00295690"/>
    <w:rsid w:val="00295B87"/>
    <w:rsid w:val="00296C20"/>
    <w:rsid w:val="00296F55"/>
    <w:rsid w:val="00296F81"/>
    <w:rsid w:val="002A0BB1"/>
    <w:rsid w:val="002A1BFD"/>
    <w:rsid w:val="002A1FCC"/>
    <w:rsid w:val="002A210B"/>
    <w:rsid w:val="002A276A"/>
    <w:rsid w:val="002A2E5D"/>
    <w:rsid w:val="002A3A5F"/>
    <w:rsid w:val="002A6DFD"/>
    <w:rsid w:val="002B0D0B"/>
    <w:rsid w:val="002B0DE2"/>
    <w:rsid w:val="002B17F6"/>
    <w:rsid w:val="002B1CEC"/>
    <w:rsid w:val="002B2A9F"/>
    <w:rsid w:val="002B2B7E"/>
    <w:rsid w:val="002B2EE3"/>
    <w:rsid w:val="002B34F6"/>
    <w:rsid w:val="002B3C46"/>
    <w:rsid w:val="002B41C4"/>
    <w:rsid w:val="002B448C"/>
    <w:rsid w:val="002B5183"/>
    <w:rsid w:val="002B5F5C"/>
    <w:rsid w:val="002B6CD7"/>
    <w:rsid w:val="002B6D1B"/>
    <w:rsid w:val="002B7302"/>
    <w:rsid w:val="002C2644"/>
    <w:rsid w:val="002C27C2"/>
    <w:rsid w:val="002C34C4"/>
    <w:rsid w:val="002C388C"/>
    <w:rsid w:val="002C7C17"/>
    <w:rsid w:val="002C7E02"/>
    <w:rsid w:val="002D0325"/>
    <w:rsid w:val="002D0ACB"/>
    <w:rsid w:val="002D1765"/>
    <w:rsid w:val="002D179D"/>
    <w:rsid w:val="002D1BC8"/>
    <w:rsid w:val="002D2B76"/>
    <w:rsid w:val="002D2CB6"/>
    <w:rsid w:val="002D4191"/>
    <w:rsid w:val="002D4A15"/>
    <w:rsid w:val="002D5B39"/>
    <w:rsid w:val="002D5ED8"/>
    <w:rsid w:val="002D798E"/>
    <w:rsid w:val="002E07C6"/>
    <w:rsid w:val="002E5240"/>
    <w:rsid w:val="002E58E2"/>
    <w:rsid w:val="002E5C3A"/>
    <w:rsid w:val="002E5EDB"/>
    <w:rsid w:val="002E7BBB"/>
    <w:rsid w:val="002E7F87"/>
    <w:rsid w:val="002F0159"/>
    <w:rsid w:val="002F0583"/>
    <w:rsid w:val="002F10BE"/>
    <w:rsid w:val="002F33C4"/>
    <w:rsid w:val="002F3451"/>
    <w:rsid w:val="002F4622"/>
    <w:rsid w:val="002F47B6"/>
    <w:rsid w:val="002F4935"/>
    <w:rsid w:val="002F558E"/>
    <w:rsid w:val="002F5C7B"/>
    <w:rsid w:val="002F741E"/>
    <w:rsid w:val="002F789E"/>
    <w:rsid w:val="003001A2"/>
    <w:rsid w:val="00302086"/>
    <w:rsid w:val="003027F0"/>
    <w:rsid w:val="0030282F"/>
    <w:rsid w:val="00303EF1"/>
    <w:rsid w:val="00304C8E"/>
    <w:rsid w:val="00305C31"/>
    <w:rsid w:val="003063A0"/>
    <w:rsid w:val="003075C2"/>
    <w:rsid w:val="00310E18"/>
    <w:rsid w:val="0031153E"/>
    <w:rsid w:val="00311B58"/>
    <w:rsid w:val="00312079"/>
    <w:rsid w:val="00312ED9"/>
    <w:rsid w:val="00313CE9"/>
    <w:rsid w:val="003141CB"/>
    <w:rsid w:val="00314C15"/>
    <w:rsid w:val="00317D1C"/>
    <w:rsid w:val="003201B7"/>
    <w:rsid w:val="003224A3"/>
    <w:rsid w:val="003224E0"/>
    <w:rsid w:val="00323DAA"/>
    <w:rsid w:val="0032473E"/>
    <w:rsid w:val="003255C7"/>
    <w:rsid w:val="00330856"/>
    <w:rsid w:val="00330CC1"/>
    <w:rsid w:val="00331755"/>
    <w:rsid w:val="0033307D"/>
    <w:rsid w:val="00333189"/>
    <w:rsid w:val="00334062"/>
    <w:rsid w:val="003364F3"/>
    <w:rsid w:val="003367F1"/>
    <w:rsid w:val="00336F4F"/>
    <w:rsid w:val="003374AE"/>
    <w:rsid w:val="003379C4"/>
    <w:rsid w:val="0034010B"/>
    <w:rsid w:val="0034118C"/>
    <w:rsid w:val="00341797"/>
    <w:rsid w:val="00342379"/>
    <w:rsid w:val="0034585F"/>
    <w:rsid w:val="003463F0"/>
    <w:rsid w:val="00346E33"/>
    <w:rsid w:val="00353AF7"/>
    <w:rsid w:val="003552C8"/>
    <w:rsid w:val="00355E18"/>
    <w:rsid w:val="003573C7"/>
    <w:rsid w:val="00357B7C"/>
    <w:rsid w:val="00361096"/>
    <w:rsid w:val="00361A68"/>
    <w:rsid w:val="00362845"/>
    <w:rsid w:val="0036307D"/>
    <w:rsid w:val="00363295"/>
    <w:rsid w:val="003634FF"/>
    <w:rsid w:val="00364294"/>
    <w:rsid w:val="003642F9"/>
    <w:rsid w:val="0036453A"/>
    <w:rsid w:val="0036535F"/>
    <w:rsid w:val="00365F8D"/>
    <w:rsid w:val="003660B3"/>
    <w:rsid w:val="003673B7"/>
    <w:rsid w:val="003679DE"/>
    <w:rsid w:val="00367BE2"/>
    <w:rsid w:val="00367DCB"/>
    <w:rsid w:val="00370805"/>
    <w:rsid w:val="00371200"/>
    <w:rsid w:val="00371E9E"/>
    <w:rsid w:val="00372543"/>
    <w:rsid w:val="00374983"/>
    <w:rsid w:val="0037675A"/>
    <w:rsid w:val="00376D99"/>
    <w:rsid w:val="003807B7"/>
    <w:rsid w:val="00382FE6"/>
    <w:rsid w:val="003843DF"/>
    <w:rsid w:val="003845BA"/>
    <w:rsid w:val="0038487F"/>
    <w:rsid w:val="003850D7"/>
    <w:rsid w:val="00385523"/>
    <w:rsid w:val="00385AAF"/>
    <w:rsid w:val="00387413"/>
    <w:rsid w:val="003907E6"/>
    <w:rsid w:val="00395956"/>
    <w:rsid w:val="0039598A"/>
    <w:rsid w:val="003967A2"/>
    <w:rsid w:val="00397ED4"/>
    <w:rsid w:val="003A0975"/>
    <w:rsid w:val="003A1320"/>
    <w:rsid w:val="003A1490"/>
    <w:rsid w:val="003A1A3A"/>
    <w:rsid w:val="003A20AC"/>
    <w:rsid w:val="003A37BF"/>
    <w:rsid w:val="003A459C"/>
    <w:rsid w:val="003A4FBE"/>
    <w:rsid w:val="003A5A1B"/>
    <w:rsid w:val="003A6A62"/>
    <w:rsid w:val="003A6CE1"/>
    <w:rsid w:val="003A7092"/>
    <w:rsid w:val="003A7706"/>
    <w:rsid w:val="003B0BEA"/>
    <w:rsid w:val="003B0DFF"/>
    <w:rsid w:val="003B2B78"/>
    <w:rsid w:val="003B38A4"/>
    <w:rsid w:val="003B47AA"/>
    <w:rsid w:val="003B5071"/>
    <w:rsid w:val="003B71B4"/>
    <w:rsid w:val="003B71CE"/>
    <w:rsid w:val="003B76C4"/>
    <w:rsid w:val="003B7A0C"/>
    <w:rsid w:val="003C0490"/>
    <w:rsid w:val="003C0D91"/>
    <w:rsid w:val="003C1229"/>
    <w:rsid w:val="003C1678"/>
    <w:rsid w:val="003C2FC7"/>
    <w:rsid w:val="003C31F0"/>
    <w:rsid w:val="003C332D"/>
    <w:rsid w:val="003C33E2"/>
    <w:rsid w:val="003C3821"/>
    <w:rsid w:val="003C3A33"/>
    <w:rsid w:val="003C3C9A"/>
    <w:rsid w:val="003C3FC9"/>
    <w:rsid w:val="003C564C"/>
    <w:rsid w:val="003C6204"/>
    <w:rsid w:val="003C65FF"/>
    <w:rsid w:val="003C7E63"/>
    <w:rsid w:val="003D0322"/>
    <w:rsid w:val="003D0688"/>
    <w:rsid w:val="003D0698"/>
    <w:rsid w:val="003D09C0"/>
    <w:rsid w:val="003D0B9D"/>
    <w:rsid w:val="003D19D8"/>
    <w:rsid w:val="003D1B7C"/>
    <w:rsid w:val="003D2268"/>
    <w:rsid w:val="003D3D88"/>
    <w:rsid w:val="003D47E2"/>
    <w:rsid w:val="003D5E74"/>
    <w:rsid w:val="003D64C6"/>
    <w:rsid w:val="003E0A7B"/>
    <w:rsid w:val="003E17CE"/>
    <w:rsid w:val="003E2257"/>
    <w:rsid w:val="003E248C"/>
    <w:rsid w:val="003E367B"/>
    <w:rsid w:val="003E3DD9"/>
    <w:rsid w:val="003E3DF4"/>
    <w:rsid w:val="003E43B5"/>
    <w:rsid w:val="003E46BF"/>
    <w:rsid w:val="003E5F32"/>
    <w:rsid w:val="003F10FB"/>
    <w:rsid w:val="003F11DE"/>
    <w:rsid w:val="003F1958"/>
    <w:rsid w:val="003F24F9"/>
    <w:rsid w:val="003F3A9A"/>
    <w:rsid w:val="003F5100"/>
    <w:rsid w:val="003F6289"/>
    <w:rsid w:val="003F66CD"/>
    <w:rsid w:val="00401549"/>
    <w:rsid w:val="004015E3"/>
    <w:rsid w:val="00401858"/>
    <w:rsid w:val="00403701"/>
    <w:rsid w:val="0040407B"/>
    <w:rsid w:val="0040515E"/>
    <w:rsid w:val="00405436"/>
    <w:rsid w:val="0040547B"/>
    <w:rsid w:val="00405FA3"/>
    <w:rsid w:val="0040666E"/>
    <w:rsid w:val="004070BA"/>
    <w:rsid w:val="00407C11"/>
    <w:rsid w:val="004107C2"/>
    <w:rsid w:val="0041184C"/>
    <w:rsid w:val="00411C81"/>
    <w:rsid w:val="00413EBA"/>
    <w:rsid w:val="00414816"/>
    <w:rsid w:val="0041483D"/>
    <w:rsid w:val="004154E3"/>
    <w:rsid w:val="0041556E"/>
    <w:rsid w:val="0041610B"/>
    <w:rsid w:val="00417AC5"/>
    <w:rsid w:val="00420A45"/>
    <w:rsid w:val="00422DCC"/>
    <w:rsid w:val="00423925"/>
    <w:rsid w:val="0042667D"/>
    <w:rsid w:val="00427001"/>
    <w:rsid w:val="00427216"/>
    <w:rsid w:val="0042735D"/>
    <w:rsid w:val="004320C7"/>
    <w:rsid w:val="00434A79"/>
    <w:rsid w:val="0043554D"/>
    <w:rsid w:val="0043570B"/>
    <w:rsid w:val="00435DBB"/>
    <w:rsid w:val="004404FF"/>
    <w:rsid w:val="00440888"/>
    <w:rsid w:val="00441A49"/>
    <w:rsid w:val="00442071"/>
    <w:rsid w:val="00442CCC"/>
    <w:rsid w:val="00442ECA"/>
    <w:rsid w:val="00444F17"/>
    <w:rsid w:val="004456A2"/>
    <w:rsid w:val="004460AC"/>
    <w:rsid w:val="00447A01"/>
    <w:rsid w:val="00447FC2"/>
    <w:rsid w:val="00450AB9"/>
    <w:rsid w:val="00450CE8"/>
    <w:rsid w:val="00452109"/>
    <w:rsid w:val="0045261A"/>
    <w:rsid w:val="00452C12"/>
    <w:rsid w:val="0045378E"/>
    <w:rsid w:val="00454BB4"/>
    <w:rsid w:val="00455426"/>
    <w:rsid w:val="00455709"/>
    <w:rsid w:val="00455E18"/>
    <w:rsid w:val="00456956"/>
    <w:rsid w:val="00460E2F"/>
    <w:rsid w:val="00461171"/>
    <w:rsid w:val="0046398D"/>
    <w:rsid w:val="004640D4"/>
    <w:rsid w:val="0046421F"/>
    <w:rsid w:val="00465363"/>
    <w:rsid w:val="00467C6F"/>
    <w:rsid w:val="004710E5"/>
    <w:rsid w:val="004719CA"/>
    <w:rsid w:val="004749B0"/>
    <w:rsid w:val="00474A02"/>
    <w:rsid w:val="004750E4"/>
    <w:rsid w:val="00475F22"/>
    <w:rsid w:val="004764A6"/>
    <w:rsid w:val="0047655D"/>
    <w:rsid w:val="004769EE"/>
    <w:rsid w:val="00476C98"/>
    <w:rsid w:val="004778FF"/>
    <w:rsid w:val="00477928"/>
    <w:rsid w:val="00480A59"/>
    <w:rsid w:val="00481A51"/>
    <w:rsid w:val="00482CE1"/>
    <w:rsid w:val="00484A5F"/>
    <w:rsid w:val="00484EF5"/>
    <w:rsid w:val="0048739E"/>
    <w:rsid w:val="00490984"/>
    <w:rsid w:val="00490DC7"/>
    <w:rsid w:val="00492466"/>
    <w:rsid w:val="00494F77"/>
    <w:rsid w:val="004951D1"/>
    <w:rsid w:val="004961F7"/>
    <w:rsid w:val="00497377"/>
    <w:rsid w:val="004A0170"/>
    <w:rsid w:val="004A2330"/>
    <w:rsid w:val="004A2AE4"/>
    <w:rsid w:val="004A312A"/>
    <w:rsid w:val="004A3D1B"/>
    <w:rsid w:val="004A5367"/>
    <w:rsid w:val="004A5EED"/>
    <w:rsid w:val="004A60D1"/>
    <w:rsid w:val="004A6FF5"/>
    <w:rsid w:val="004B12FA"/>
    <w:rsid w:val="004B230C"/>
    <w:rsid w:val="004B2B97"/>
    <w:rsid w:val="004B3703"/>
    <w:rsid w:val="004B3DF4"/>
    <w:rsid w:val="004B467F"/>
    <w:rsid w:val="004B51E2"/>
    <w:rsid w:val="004B755E"/>
    <w:rsid w:val="004B7FC8"/>
    <w:rsid w:val="004C03C6"/>
    <w:rsid w:val="004C09C9"/>
    <w:rsid w:val="004C171A"/>
    <w:rsid w:val="004C1AE4"/>
    <w:rsid w:val="004C3457"/>
    <w:rsid w:val="004C34BF"/>
    <w:rsid w:val="004C50C0"/>
    <w:rsid w:val="004C5344"/>
    <w:rsid w:val="004C6094"/>
    <w:rsid w:val="004C61EC"/>
    <w:rsid w:val="004C6350"/>
    <w:rsid w:val="004C673C"/>
    <w:rsid w:val="004C7AD9"/>
    <w:rsid w:val="004D11A3"/>
    <w:rsid w:val="004D1239"/>
    <w:rsid w:val="004D126B"/>
    <w:rsid w:val="004D2EFE"/>
    <w:rsid w:val="004D374C"/>
    <w:rsid w:val="004D406A"/>
    <w:rsid w:val="004D46BE"/>
    <w:rsid w:val="004D52C7"/>
    <w:rsid w:val="004D5463"/>
    <w:rsid w:val="004E06FE"/>
    <w:rsid w:val="004E11B0"/>
    <w:rsid w:val="004E1CAA"/>
    <w:rsid w:val="004E2031"/>
    <w:rsid w:val="004E211E"/>
    <w:rsid w:val="004E276E"/>
    <w:rsid w:val="004E4500"/>
    <w:rsid w:val="004E5E24"/>
    <w:rsid w:val="004F01E4"/>
    <w:rsid w:val="004F03BB"/>
    <w:rsid w:val="004F12A5"/>
    <w:rsid w:val="004F12CD"/>
    <w:rsid w:val="004F136B"/>
    <w:rsid w:val="004F378D"/>
    <w:rsid w:val="004F4196"/>
    <w:rsid w:val="004F4C71"/>
    <w:rsid w:val="004F6B07"/>
    <w:rsid w:val="00500164"/>
    <w:rsid w:val="00500D27"/>
    <w:rsid w:val="00501C29"/>
    <w:rsid w:val="00501C89"/>
    <w:rsid w:val="005024D8"/>
    <w:rsid w:val="005039A2"/>
    <w:rsid w:val="0050409B"/>
    <w:rsid w:val="00505340"/>
    <w:rsid w:val="005059DA"/>
    <w:rsid w:val="00505BF0"/>
    <w:rsid w:val="00506674"/>
    <w:rsid w:val="00506C8E"/>
    <w:rsid w:val="00506ECD"/>
    <w:rsid w:val="00510490"/>
    <w:rsid w:val="005108D9"/>
    <w:rsid w:val="0051138E"/>
    <w:rsid w:val="00512114"/>
    <w:rsid w:val="00512360"/>
    <w:rsid w:val="005130C0"/>
    <w:rsid w:val="005154A3"/>
    <w:rsid w:val="00515A91"/>
    <w:rsid w:val="005167EE"/>
    <w:rsid w:val="00520E10"/>
    <w:rsid w:val="00521CA6"/>
    <w:rsid w:val="00522918"/>
    <w:rsid w:val="00522FAE"/>
    <w:rsid w:val="00523403"/>
    <w:rsid w:val="00523405"/>
    <w:rsid w:val="00523FFC"/>
    <w:rsid w:val="0052480F"/>
    <w:rsid w:val="00524B8C"/>
    <w:rsid w:val="00524BCB"/>
    <w:rsid w:val="00524D3A"/>
    <w:rsid w:val="00525A52"/>
    <w:rsid w:val="00525A95"/>
    <w:rsid w:val="00525FB8"/>
    <w:rsid w:val="005262E3"/>
    <w:rsid w:val="0052649F"/>
    <w:rsid w:val="005264EC"/>
    <w:rsid w:val="00527215"/>
    <w:rsid w:val="0053048F"/>
    <w:rsid w:val="00532649"/>
    <w:rsid w:val="00532B7E"/>
    <w:rsid w:val="00533876"/>
    <w:rsid w:val="00533D5A"/>
    <w:rsid w:val="00533FA8"/>
    <w:rsid w:val="00533FC2"/>
    <w:rsid w:val="00534492"/>
    <w:rsid w:val="005357A7"/>
    <w:rsid w:val="005369B2"/>
    <w:rsid w:val="00537AD3"/>
    <w:rsid w:val="0054052D"/>
    <w:rsid w:val="00542C33"/>
    <w:rsid w:val="0054427C"/>
    <w:rsid w:val="00544384"/>
    <w:rsid w:val="00544EC8"/>
    <w:rsid w:val="00545572"/>
    <w:rsid w:val="00545884"/>
    <w:rsid w:val="005470AF"/>
    <w:rsid w:val="0054729B"/>
    <w:rsid w:val="005503B7"/>
    <w:rsid w:val="00550FD7"/>
    <w:rsid w:val="005514BC"/>
    <w:rsid w:val="005527DE"/>
    <w:rsid w:val="00552D0E"/>
    <w:rsid w:val="00552FA2"/>
    <w:rsid w:val="00553493"/>
    <w:rsid w:val="0055349A"/>
    <w:rsid w:val="005547E0"/>
    <w:rsid w:val="00554A56"/>
    <w:rsid w:val="005558FE"/>
    <w:rsid w:val="00555B51"/>
    <w:rsid w:val="00557735"/>
    <w:rsid w:val="00560A86"/>
    <w:rsid w:val="00560FD8"/>
    <w:rsid w:val="00562B86"/>
    <w:rsid w:val="00563A59"/>
    <w:rsid w:val="00565015"/>
    <w:rsid w:val="0056620B"/>
    <w:rsid w:val="00567120"/>
    <w:rsid w:val="005671D2"/>
    <w:rsid w:val="005678AC"/>
    <w:rsid w:val="00570F7E"/>
    <w:rsid w:val="00572933"/>
    <w:rsid w:val="00574316"/>
    <w:rsid w:val="00575037"/>
    <w:rsid w:val="00575174"/>
    <w:rsid w:val="00577B47"/>
    <w:rsid w:val="00577F8D"/>
    <w:rsid w:val="00581A61"/>
    <w:rsid w:val="00583B04"/>
    <w:rsid w:val="00583BB6"/>
    <w:rsid w:val="00586861"/>
    <w:rsid w:val="00586BE6"/>
    <w:rsid w:val="00587342"/>
    <w:rsid w:val="00587B4E"/>
    <w:rsid w:val="00587F8C"/>
    <w:rsid w:val="00591F86"/>
    <w:rsid w:val="005926CD"/>
    <w:rsid w:val="00592839"/>
    <w:rsid w:val="00592ED5"/>
    <w:rsid w:val="005933D5"/>
    <w:rsid w:val="00593651"/>
    <w:rsid w:val="00595175"/>
    <w:rsid w:val="005959FC"/>
    <w:rsid w:val="005963DE"/>
    <w:rsid w:val="00596BC8"/>
    <w:rsid w:val="00597996"/>
    <w:rsid w:val="005A15F7"/>
    <w:rsid w:val="005A22D7"/>
    <w:rsid w:val="005A2AEC"/>
    <w:rsid w:val="005A2CC6"/>
    <w:rsid w:val="005A3483"/>
    <w:rsid w:val="005A419A"/>
    <w:rsid w:val="005A46D6"/>
    <w:rsid w:val="005A6DFD"/>
    <w:rsid w:val="005B0266"/>
    <w:rsid w:val="005B13BC"/>
    <w:rsid w:val="005B27D5"/>
    <w:rsid w:val="005B30A9"/>
    <w:rsid w:val="005B343C"/>
    <w:rsid w:val="005B457E"/>
    <w:rsid w:val="005B473D"/>
    <w:rsid w:val="005B4880"/>
    <w:rsid w:val="005B52CB"/>
    <w:rsid w:val="005B6397"/>
    <w:rsid w:val="005B7566"/>
    <w:rsid w:val="005B7AD2"/>
    <w:rsid w:val="005C1503"/>
    <w:rsid w:val="005C177B"/>
    <w:rsid w:val="005C2026"/>
    <w:rsid w:val="005C25CD"/>
    <w:rsid w:val="005C434D"/>
    <w:rsid w:val="005C451C"/>
    <w:rsid w:val="005C5119"/>
    <w:rsid w:val="005C520B"/>
    <w:rsid w:val="005C5A19"/>
    <w:rsid w:val="005C6209"/>
    <w:rsid w:val="005C764B"/>
    <w:rsid w:val="005C77B4"/>
    <w:rsid w:val="005D019B"/>
    <w:rsid w:val="005D1EDA"/>
    <w:rsid w:val="005D21EC"/>
    <w:rsid w:val="005D35C5"/>
    <w:rsid w:val="005D3A74"/>
    <w:rsid w:val="005D3ED8"/>
    <w:rsid w:val="005D486D"/>
    <w:rsid w:val="005D4ADA"/>
    <w:rsid w:val="005D5250"/>
    <w:rsid w:val="005D5B59"/>
    <w:rsid w:val="005D5C04"/>
    <w:rsid w:val="005D67A0"/>
    <w:rsid w:val="005D7FD3"/>
    <w:rsid w:val="005E0F3F"/>
    <w:rsid w:val="005E106C"/>
    <w:rsid w:val="005E1D8B"/>
    <w:rsid w:val="005E224C"/>
    <w:rsid w:val="005E3406"/>
    <w:rsid w:val="005E370B"/>
    <w:rsid w:val="005E3FC0"/>
    <w:rsid w:val="005E495D"/>
    <w:rsid w:val="005E583C"/>
    <w:rsid w:val="005F0916"/>
    <w:rsid w:val="005F15DA"/>
    <w:rsid w:val="005F1B23"/>
    <w:rsid w:val="005F2A9B"/>
    <w:rsid w:val="005F2C77"/>
    <w:rsid w:val="005F2F47"/>
    <w:rsid w:val="005F38A7"/>
    <w:rsid w:val="005F3C55"/>
    <w:rsid w:val="005F5135"/>
    <w:rsid w:val="005F547D"/>
    <w:rsid w:val="005F55BB"/>
    <w:rsid w:val="005F5E19"/>
    <w:rsid w:val="005F6A4B"/>
    <w:rsid w:val="00601729"/>
    <w:rsid w:val="0060381C"/>
    <w:rsid w:val="00604B7D"/>
    <w:rsid w:val="0060771F"/>
    <w:rsid w:val="006078C1"/>
    <w:rsid w:val="00611A16"/>
    <w:rsid w:val="00613D61"/>
    <w:rsid w:val="006158D0"/>
    <w:rsid w:val="0062162D"/>
    <w:rsid w:val="006226F2"/>
    <w:rsid w:val="00622FAE"/>
    <w:rsid w:val="0062313F"/>
    <w:rsid w:val="0062317D"/>
    <w:rsid w:val="00623BB8"/>
    <w:rsid w:val="00624D47"/>
    <w:rsid w:val="00625069"/>
    <w:rsid w:val="0062545F"/>
    <w:rsid w:val="00626777"/>
    <w:rsid w:val="00626B00"/>
    <w:rsid w:val="006277B0"/>
    <w:rsid w:val="00627F62"/>
    <w:rsid w:val="00630501"/>
    <w:rsid w:val="006332D4"/>
    <w:rsid w:val="0063392A"/>
    <w:rsid w:val="006343F5"/>
    <w:rsid w:val="0063725D"/>
    <w:rsid w:val="0064219A"/>
    <w:rsid w:val="00642E81"/>
    <w:rsid w:val="00643C51"/>
    <w:rsid w:val="00645117"/>
    <w:rsid w:val="00645597"/>
    <w:rsid w:val="00645B6E"/>
    <w:rsid w:val="0064664B"/>
    <w:rsid w:val="00646DC1"/>
    <w:rsid w:val="00647B1D"/>
    <w:rsid w:val="00647E33"/>
    <w:rsid w:val="00647FA4"/>
    <w:rsid w:val="00650605"/>
    <w:rsid w:val="00650B4E"/>
    <w:rsid w:val="0065184D"/>
    <w:rsid w:val="0065186D"/>
    <w:rsid w:val="00653476"/>
    <w:rsid w:val="00655261"/>
    <w:rsid w:val="00655B25"/>
    <w:rsid w:val="006565E1"/>
    <w:rsid w:val="00656D22"/>
    <w:rsid w:val="0066058D"/>
    <w:rsid w:val="00662397"/>
    <w:rsid w:val="00663004"/>
    <w:rsid w:val="00663021"/>
    <w:rsid w:val="006642BA"/>
    <w:rsid w:val="006642F0"/>
    <w:rsid w:val="0066532A"/>
    <w:rsid w:val="00666BA6"/>
    <w:rsid w:val="006671D8"/>
    <w:rsid w:val="006704B5"/>
    <w:rsid w:val="0067141B"/>
    <w:rsid w:val="00671FAD"/>
    <w:rsid w:val="00672696"/>
    <w:rsid w:val="00673757"/>
    <w:rsid w:val="0067398D"/>
    <w:rsid w:val="006751AE"/>
    <w:rsid w:val="006767F1"/>
    <w:rsid w:val="00676850"/>
    <w:rsid w:val="0067713A"/>
    <w:rsid w:val="00680B74"/>
    <w:rsid w:val="006828C2"/>
    <w:rsid w:val="006830AF"/>
    <w:rsid w:val="00684708"/>
    <w:rsid w:val="00684F8E"/>
    <w:rsid w:val="006851BB"/>
    <w:rsid w:val="00685818"/>
    <w:rsid w:val="00685911"/>
    <w:rsid w:val="00687263"/>
    <w:rsid w:val="006879E1"/>
    <w:rsid w:val="00690330"/>
    <w:rsid w:val="006907B0"/>
    <w:rsid w:val="00690CA6"/>
    <w:rsid w:val="00690FE2"/>
    <w:rsid w:val="00693D07"/>
    <w:rsid w:val="006940D3"/>
    <w:rsid w:val="00694A7A"/>
    <w:rsid w:val="00694C98"/>
    <w:rsid w:val="00696BA9"/>
    <w:rsid w:val="00696E7E"/>
    <w:rsid w:val="006A03BA"/>
    <w:rsid w:val="006A08E4"/>
    <w:rsid w:val="006A16E9"/>
    <w:rsid w:val="006A21EA"/>
    <w:rsid w:val="006A2FBB"/>
    <w:rsid w:val="006A3585"/>
    <w:rsid w:val="006A360F"/>
    <w:rsid w:val="006A372F"/>
    <w:rsid w:val="006A3C45"/>
    <w:rsid w:val="006A405A"/>
    <w:rsid w:val="006A4822"/>
    <w:rsid w:val="006A7B63"/>
    <w:rsid w:val="006A7D0D"/>
    <w:rsid w:val="006B0D2E"/>
    <w:rsid w:val="006B35C4"/>
    <w:rsid w:val="006B5706"/>
    <w:rsid w:val="006C0BBF"/>
    <w:rsid w:val="006C1435"/>
    <w:rsid w:val="006C1A34"/>
    <w:rsid w:val="006C285E"/>
    <w:rsid w:val="006C2FF6"/>
    <w:rsid w:val="006C33E5"/>
    <w:rsid w:val="006C3512"/>
    <w:rsid w:val="006C46B7"/>
    <w:rsid w:val="006C49EB"/>
    <w:rsid w:val="006C4A5F"/>
    <w:rsid w:val="006C5A6F"/>
    <w:rsid w:val="006C6503"/>
    <w:rsid w:val="006C7017"/>
    <w:rsid w:val="006D0526"/>
    <w:rsid w:val="006D0993"/>
    <w:rsid w:val="006D1549"/>
    <w:rsid w:val="006D1ACF"/>
    <w:rsid w:val="006D253B"/>
    <w:rsid w:val="006D53BB"/>
    <w:rsid w:val="006D55BA"/>
    <w:rsid w:val="006D5C5C"/>
    <w:rsid w:val="006D7410"/>
    <w:rsid w:val="006D7464"/>
    <w:rsid w:val="006D75AD"/>
    <w:rsid w:val="006E00FE"/>
    <w:rsid w:val="006E10F9"/>
    <w:rsid w:val="006E1C68"/>
    <w:rsid w:val="006E2013"/>
    <w:rsid w:val="006E2349"/>
    <w:rsid w:val="006E3BE1"/>
    <w:rsid w:val="006E67BD"/>
    <w:rsid w:val="006E73B5"/>
    <w:rsid w:val="006E7C08"/>
    <w:rsid w:val="006E7C11"/>
    <w:rsid w:val="006F22EA"/>
    <w:rsid w:val="006F2A33"/>
    <w:rsid w:val="006F2CA1"/>
    <w:rsid w:val="006F4208"/>
    <w:rsid w:val="006F63BB"/>
    <w:rsid w:val="006F6BC8"/>
    <w:rsid w:val="006F7D55"/>
    <w:rsid w:val="00700F6F"/>
    <w:rsid w:val="00701381"/>
    <w:rsid w:val="00703FAD"/>
    <w:rsid w:val="00704671"/>
    <w:rsid w:val="00705397"/>
    <w:rsid w:val="00705ABA"/>
    <w:rsid w:val="00705BD2"/>
    <w:rsid w:val="00706544"/>
    <w:rsid w:val="007104E9"/>
    <w:rsid w:val="007105D0"/>
    <w:rsid w:val="007111F9"/>
    <w:rsid w:val="00711A18"/>
    <w:rsid w:val="007123F3"/>
    <w:rsid w:val="00713978"/>
    <w:rsid w:val="00713B65"/>
    <w:rsid w:val="00714499"/>
    <w:rsid w:val="007147A8"/>
    <w:rsid w:val="00714B71"/>
    <w:rsid w:val="00714D05"/>
    <w:rsid w:val="00715C80"/>
    <w:rsid w:val="00716671"/>
    <w:rsid w:val="00716B0F"/>
    <w:rsid w:val="00716C6A"/>
    <w:rsid w:val="0071788B"/>
    <w:rsid w:val="00720B6E"/>
    <w:rsid w:val="0072165F"/>
    <w:rsid w:val="00721C2D"/>
    <w:rsid w:val="00721C93"/>
    <w:rsid w:val="00723333"/>
    <w:rsid w:val="00723F13"/>
    <w:rsid w:val="00724418"/>
    <w:rsid w:val="00726485"/>
    <w:rsid w:val="007267E2"/>
    <w:rsid w:val="00726FDA"/>
    <w:rsid w:val="00727ABE"/>
    <w:rsid w:val="00727D48"/>
    <w:rsid w:val="00730606"/>
    <w:rsid w:val="00731E92"/>
    <w:rsid w:val="00732473"/>
    <w:rsid w:val="007331C5"/>
    <w:rsid w:val="007338BE"/>
    <w:rsid w:val="00733D2B"/>
    <w:rsid w:val="00733FCC"/>
    <w:rsid w:val="00734152"/>
    <w:rsid w:val="00735377"/>
    <w:rsid w:val="007355F6"/>
    <w:rsid w:val="00735931"/>
    <w:rsid w:val="007366DA"/>
    <w:rsid w:val="00737052"/>
    <w:rsid w:val="00741411"/>
    <w:rsid w:val="007414E1"/>
    <w:rsid w:val="00741DD8"/>
    <w:rsid w:val="0074219B"/>
    <w:rsid w:val="00743DEB"/>
    <w:rsid w:val="00743F5F"/>
    <w:rsid w:val="00745E47"/>
    <w:rsid w:val="00746935"/>
    <w:rsid w:val="00746F96"/>
    <w:rsid w:val="00747DB1"/>
    <w:rsid w:val="00747FDF"/>
    <w:rsid w:val="00750590"/>
    <w:rsid w:val="007507F2"/>
    <w:rsid w:val="007510C8"/>
    <w:rsid w:val="00751A29"/>
    <w:rsid w:val="0075256E"/>
    <w:rsid w:val="00752E71"/>
    <w:rsid w:val="00753177"/>
    <w:rsid w:val="00753EDB"/>
    <w:rsid w:val="00754D63"/>
    <w:rsid w:val="007550E4"/>
    <w:rsid w:val="00755605"/>
    <w:rsid w:val="0075591D"/>
    <w:rsid w:val="007565D4"/>
    <w:rsid w:val="00757CF5"/>
    <w:rsid w:val="007618CE"/>
    <w:rsid w:val="007627A1"/>
    <w:rsid w:val="00762B89"/>
    <w:rsid w:val="007646FB"/>
    <w:rsid w:val="00764983"/>
    <w:rsid w:val="00764D52"/>
    <w:rsid w:val="00765A4C"/>
    <w:rsid w:val="007705D8"/>
    <w:rsid w:val="0077152A"/>
    <w:rsid w:val="00771AF9"/>
    <w:rsid w:val="00772538"/>
    <w:rsid w:val="0077570D"/>
    <w:rsid w:val="0077768A"/>
    <w:rsid w:val="00780384"/>
    <w:rsid w:val="00780D8D"/>
    <w:rsid w:val="007815C3"/>
    <w:rsid w:val="007830EB"/>
    <w:rsid w:val="00783D72"/>
    <w:rsid w:val="00785336"/>
    <w:rsid w:val="00790984"/>
    <w:rsid w:val="00790D50"/>
    <w:rsid w:val="007911A1"/>
    <w:rsid w:val="00792952"/>
    <w:rsid w:val="00794A62"/>
    <w:rsid w:val="00794DCB"/>
    <w:rsid w:val="00796972"/>
    <w:rsid w:val="007969FF"/>
    <w:rsid w:val="007A03B6"/>
    <w:rsid w:val="007A0C9D"/>
    <w:rsid w:val="007A5BB5"/>
    <w:rsid w:val="007A6355"/>
    <w:rsid w:val="007A681C"/>
    <w:rsid w:val="007A7D7A"/>
    <w:rsid w:val="007A7FE9"/>
    <w:rsid w:val="007B14AE"/>
    <w:rsid w:val="007B17BB"/>
    <w:rsid w:val="007B1BB2"/>
    <w:rsid w:val="007B1F1D"/>
    <w:rsid w:val="007B2611"/>
    <w:rsid w:val="007B2710"/>
    <w:rsid w:val="007B2D41"/>
    <w:rsid w:val="007B4C24"/>
    <w:rsid w:val="007B4D55"/>
    <w:rsid w:val="007B4ED7"/>
    <w:rsid w:val="007B5175"/>
    <w:rsid w:val="007B5E16"/>
    <w:rsid w:val="007B7330"/>
    <w:rsid w:val="007B7F59"/>
    <w:rsid w:val="007C0F90"/>
    <w:rsid w:val="007C1AB7"/>
    <w:rsid w:val="007C2C91"/>
    <w:rsid w:val="007C3EAD"/>
    <w:rsid w:val="007C4156"/>
    <w:rsid w:val="007C5097"/>
    <w:rsid w:val="007C5161"/>
    <w:rsid w:val="007C7C01"/>
    <w:rsid w:val="007D0068"/>
    <w:rsid w:val="007D14BE"/>
    <w:rsid w:val="007D194B"/>
    <w:rsid w:val="007D1C0C"/>
    <w:rsid w:val="007D2067"/>
    <w:rsid w:val="007D232C"/>
    <w:rsid w:val="007D2E79"/>
    <w:rsid w:val="007D36EF"/>
    <w:rsid w:val="007D3F30"/>
    <w:rsid w:val="007D4701"/>
    <w:rsid w:val="007D512D"/>
    <w:rsid w:val="007D647B"/>
    <w:rsid w:val="007D7358"/>
    <w:rsid w:val="007E0E75"/>
    <w:rsid w:val="007E1AF2"/>
    <w:rsid w:val="007E3224"/>
    <w:rsid w:val="007E36D9"/>
    <w:rsid w:val="007E3E92"/>
    <w:rsid w:val="007E3FD7"/>
    <w:rsid w:val="007E49D1"/>
    <w:rsid w:val="007E4CD9"/>
    <w:rsid w:val="007E5CFB"/>
    <w:rsid w:val="007E7349"/>
    <w:rsid w:val="007E75EC"/>
    <w:rsid w:val="007E7BE5"/>
    <w:rsid w:val="007F0E83"/>
    <w:rsid w:val="007F14D6"/>
    <w:rsid w:val="007F24AB"/>
    <w:rsid w:val="007F5F26"/>
    <w:rsid w:val="007F78C9"/>
    <w:rsid w:val="007F7BA1"/>
    <w:rsid w:val="00800523"/>
    <w:rsid w:val="00802BDD"/>
    <w:rsid w:val="0080346C"/>
    <w:rsid w:val="00803612"/>
    <w:rsid w:val="008037DA"/>
    <w:rsid w:val="008039CF"/>
    <w:rsid w:val="00804C83"/>
    <w:rsid w:val="008052C6"/>
    <w:rsid w:val="0080573A"/>
    <w:rsid w:val="00805BDC"/>
    <w:rsid w:val="00806314"/>
    <w:rsid w:val="00806751"/>
    <w:rsid w:val="00807F0C"/>
    <w:rsid w:val="008101EE"/>
    <w:rsid w:val="00810910"/>
    <w:rsid w:val="00812B4D"/>
    <w:rsid w:val="0081374B"/>
    <w:rsid w:val="008145FD"/>
    <w:rsid w:val="008163F1"/>
    <w:rsid w:val="008168A2"/>
    <w:rsid w:val="00816AB3"/>
    <w:rsid w:val="008176B3"/>
    <w:rsid w:val="00817EA4"/>
    <w:rsid w:val="00817EDB"/>
    <w:rsid w:val="00817F5D"/>
    <w:rsid w:val="0082024F"/>
    <w:rsid w:val="00820393"/>
    <w:rsid w:val="00821226"/>
    <w:rsid w:val="00821AA8"/>
    <w:rsid w:val="00822B73"/>
    <w:rsid w:val="00824B3E"/>
    <w:rsid w:val="00824C2F"/>
    <w:rsid w:val="008257D9"/>
    <w:rsid w:val="00825B41"/>
    <w:rsid w:val="00825EAA"/>
    <w:rsid w:val="00835BF8"/>
    <w:rsid w:val="00837581"/>
    <w:rsid w:val="00840749"/>
    <w:rsid w:val="00841007"/>
    <w:rsid w:val="0084143D"/>
    <w:rsid w:val="00841A3E"/>
    <w:rsid w:val="00841BA2"/>
    <w:rsid w:val="008431E2"/>
    <w:rsid w:val="00843BA0"/>
    <w:rsid w:val="00844674"/>
    <w:rsid w:val="00844727"/>
    <w:rsid w:val="0084566B"/>
    <w:rsid w:val="00847F32"/>
    <w:rsid w:val="008515D5"/>
    <w:rsid w:val="00851AFA"/>
    <w:rsid w:val="00852A0C"/>
    <w:rsid w:val="00852B49"/>
    <w:rsid w:val="00853019"/>
    <w:rsid w:val="0085316D"/>
    <w:rsid w:val="00853334"/>
    <w:rsid w:val="00853C53"/>
    <w:rsid w:val="00855A47"/>
    <w:rsid w:val="00857739"/>
    <w:rsid w:val="00861805"/>
    <w:rsid w:val="00862362"/>
    <w:rsid w:val="00862D99"/>
    <w:rsid w:val="00863F61"/>
    <w:rsid w:val="0086449E"/>
    <w:rsid w:val="00864952"/>
    <w:rsid w:val="00864A00"/>
    <w:rsid w:val="00864A58"/>
    <w:rsid w:val="00864A90"/>
    <w:rsid w:val="00865981"/>
    <w:rsid w:val="008660A4"/>
    <w:rsid w:val="008710A3"/>
    <w:rsid w:val="00872142"/>
    <w:rsid w:val="00872956"/>
    <w:rsid w:val="00872DE1"/>
    <w:rsid w:val="00872F11"/>
    <w:rsid w:val="00873002"/>
    <w:rsid w:val="008735BD"/>
    <w:rsid w:val="0087383B"/>
    <w:rsid w:val="00874000"/>
    <w:rsid w:val="0087403B"/>
    <w:rsid w:val="008746BF"/>
    <w:rsid w:val="00875ADD"/>
    <w:rsid w:val="00875EDD"/>
    <w:rsid w:val="008766FA"/>
    <w:rsid w:val="00876C6F"/>
    <w:rsid w:val="00876D63"/>
    <w:rsid w:val="008775B9"/>
    <w:rsid w:val="008807A0"/>
    <w:rsid w:val="0088184F"/>
    <w:rsid w:val="00881BFD"/>
    <w:rsid w:val="00881EAB"/>
    <w:rsid w:val="00883078"/>
    <w:rsid w:val="00883486"/>
    <w:rsid w:val="00884088"/>
    <w:rsid w:val="00885303"/>
    <w:rsid w:val="0088588D"/>
    <w:rsid w:val="00886039"/>
    <w:rsid w:val="00887148"/>
    <w:rsid w:val="00887C8F"/>
    <w:rsid w:val="00890136"/>
    <w:rsid w:val="00891BE8"/>
    <w:rsid w:val="00891CF8"/>
    <w:rsid w:val="00892A61"/>
    <w:rsid w:val="008930D1"/>
    <w:rsid w:val="00896D21"/>
    <w:rsid w:val="008973B9"/>
    <w:rsid w:val="00897797"/>
    <w:rsid w:val="00897A1F"/>
    <w:rsid w:val="008A28FA"/>
    <w:rsid w:val="008A2F29"/>
    <w:rsid w:val="008A3970"/>
    <w:rsid w:val="008A504A"/>
    <w:rsid w:val="008A52C5"/>
    <w:rsid w:val="008A5956"/>
    <w:rsid w:val="008A5C44"/>
    <w:rsid w:val="008A727B"/>
    <w:rsid w:val="008A7CFA"/>
    <w:rsid w:val="008A7FD6"/>
    <w:rsid w:val="008B3FC5"/>
    <w:rsid w:val="008B590F"/>
    <w:rsid w:val="008B6A51"/>
    <w:rsid w:val="008B747F"/>
    <w:rsid w:val="008B7D38"/>
    <w:rsid w:val="008C06C2"/>
    <w:rsid w:val="008C2B02"/>
    <w:rsid w:val="008C5CF0"/>
    <w:rsid w:val="008C7361"/>
    <w:rsid w:val="008D0A47"/>
    <w:rsid w:val="008D1DFB"/>
    <w:rsid w:val="008D20F2"/>
    <w:rsid w:val="008D25AD"/>
    <w:rsid w:val="008D2AB8"/>
    <w:rsid w:val="008D326D"/>
    <w:rsid w:val="008D339C"/>
    <w:rsid w:val="008D4DF8"/>
    <w:rsid w:val="008D541C"/>
    <w:rsid w:val="008D6006"/>
    <w:rsid w:val="008E0440"/>
    <w:rsid w:val="008E1526"/>
    <w:rsid w:val="008E16E0"/>
    <w:rsid w:val="008E2E04"/>
    <w:rsid w:val="008E385C"/>
    <w:rsid w:val="008E3EBC"/>
    <w:rsid w:val="008E4B4E"/>
    <w:rsid w:val="008E5C17"/>
    <w:rsid w:val="008E5FB2"/>
    <w:rsid w:val="008E7246"/>
    <w:rsid w:val="008E7D50"/>
    <w:rsid w:val="008F0AFE"/>
    <w:rsid w:val="008F1F75"/>
    <w:rsid w:val="008F3075"/>
    <w:rsid w:val="008F3EC0"/>
    <w:rsid w:val="008F54FA"/>
    <w:rsid w:val="008F5C22"/>
    <w:rsid w:val="008F5C28"/>
    <w:rsid w:val="008F6D33"/>
    <w:rsid w:val="008F7422"/>
    <w:rsid w:val="008F79D1"/>
    <w:rsid w:val="00900F6A"/>
    <w:rsid w:val="009019E0"/>
    <w:rsid w:val="00901D4F"/>
    <w:rsid w:val="00902884"/>
    <w:rsid w:val="00903316"/>
    <w:rsid w:val="00903742"/>
    <w:rsid w:val="00903A3E"/>
    <w:rsid w:val="0090442F"/>
    <w:rsid w:val="009052D1"/>
    <w:rsid w:val="00905F74"/>
    <w:rsid w:val="00906254"/>
    <w:rsid w:val="00906B67"/>
    <w:rsid w:val="00907298"/>
    <w:rsid w:val="00907381"/>
    <w:rsid w:val="00907F48"/>
    <w:rsid w:val="00910755"/>
    <w:rsid w:val="009111D7"/>
    <w:rsid w:val="00911B0B"/>
    <w:rsid w:val="00912318"/>
    <w:rsid w:val="00912BE8"/>
    <w:rsid w:val="00912ECF"/>
    <w:rsid w:val="00913B58"/>
    <w:rsid w:val="0091412E"/>
    <w:rsid w:val="00914E34"/>
    <w:rsid w:val="009157D2"/>
    <w:rsid w:val="00915E61"/>
    <w:rsid w:val="00916D3F"/>
    <w:rsid w:val="00917AC3"/>
    <w:rsid w:val="009238C1"/>
    <w:rsid w:val="00923B50"/>
    <w:rsid w:val="00923E03"/>
    <w:rsid w:val="00925303"/>
    <w:rsid w:val="00926312"/>
    <w:rsid w:val="009263FA"/>
    <w:rsid w:val="0092648D"/>
    <w:rsid w:val="0093015E"/>
    <w:rsid w:val="009301CA"/>
    <w:rsid w:val="00931984"/>
    <w:rsid w:val="00933095"/>
    <w:rsid w:val="009351B1"/>
    <w:rsid w:val="00940123"/>
    <w:rsid w:val="00940FD4"/>
    <w:rsid w:val="00942D2B"/>
    <w:rsid w:val="00944543"/>
    <w:rsid w:val="00944935"/>
    <w:rsid w:val="00944C25"/>
    <w:rsid w:val="00944F3B"/>
    <w:rsid w:val="00945514"/>
    <w:rsid w:val="00945792"/>
    <w:rsid w:val="009459BD"/>
    <w:rsid w:val="009459EA"/>
    <w:rsid w:val="00947B14"/>
    <w:rsid w:val="00950092"/>
    <w:rsid w:val="00950D6A"/>
    <w:rsid w:val="00951C28"/>
    <w:rsid w:val="00953D9C"/>
    <w:rsid w:val="00953E50"/>
    <w:rsid w:val="009546FE"/>
    <w:rsid w:val="00955106"/>
    <w:rsid w:val="00955AD8"/>
    <w:rsid w:val="009560AE"/>
    <w:rsid w:val="009603BC"/>
    <w:rsid w:val="00960B51"/>
    <w:rsid w:val="00960C24"/>
    <w:rsid w:val="0096143B"/>
    <w:rsid w:val="00962E94"/>
    <w:rsid w:val="00962FC4"/>
    <w:rsid w:val="009655D0"/>
    <w:rsid w:val="00965612"/>
    <w:rsid w:val="00965637"/>
    <w:rsid w:val="00965A5B"/>
    <w:rsid w:val="0097150B"/>
    <w:rsid w:val="009721E5"/>
    <w:rsid w:val="00972B15"/>
    <w:rsid w:val="0097309E"/>
    <w:rsid w:val="00974EE8"/>
    <w:rsid w:val="00974FCE"/>
    <w:rsid w:val="00975867"/>
    <w:rsid w:val="0097684D"/>
    <w:rsid w:val="00977165"/>
    <w:rsid w:val="0097745C"/>
    <w:rsid w:val="00977766"/>
    <w:rsid w:val="00980A19"/>
    <w:rsid w:val="00982DEF"/>
    <w:rsid w:val="009834FA"/>
    <w:rsid w:val="00983538"/>
    <w:rsid w:val="009865D5"/>
    <w:rsid w:val="00986FC8"/>
    <w:rsid w:val="009907F2"/>
    <w:rsid w:val="00990941"/>
    <w:rsid w:val="00991577"/>
    <w:rsid w:val="00991B6F"/>
    <w:rsid w:val="009920C3"/>
    <w:rsid w:val="00992B70"/>
    <w:rsid w:val="00994B4F"/>
    <w:rsid w:val="0099555D"/>
    <w:rsid w:val="00995F7F"/>
    <w:rsid w:val="009963E2"/>
    <w:rsid w:val="009A1D1D"/>
    <w:rsid w:val="009A2249"/>
    <w:rsid w:val="009A4AC4"/>
    <w:rsid w:val="009A5FAC"/>
    <w:rsid w:val="009A6EA0"/>
    <w:rsid w:val="009B1136"/>
    <w:rsid w:val="009B2799"/>
    <w:rsid w:val="009B424A"/>
    <w:rsid w:val="009B4E6E"/>
    <w:rsid w:val="009B5A2B"/>
    <w:rsid w:val="009B60AD"/>
    <w:rsid w:val="009B7757"/>
    <w:rsid w:val="009C08C0"/>
    <w:rsid w:val="009C129E"/>
    <w:rsid w:val="009C1CF7"/>
    <w:rsid w:val="009C1F88"/>
    <w:rsid w:val="009C341A"/>
    <w:rsid w:val="009C493D"/>
    <w:rsid w:val="009C601C"/>
    <w:rsid w:val="009C6404"/>
    <w:rsid w:val="009D153F"/>
    <w:rsid w:val="009D16D5"/>
    <w:rsid w:val="009D1F83"/>
    <w:rsid w:val="009D24A0"/>
    <w:rsid w:val="009D2CD0"/>
    <w:rsid w:val="009D39DF"/>
    <w:rsid w:val="009D3A2A"/>
    <w:rsid w:val="009D4628"/>
    <w:rsid w:val="009D4B97"/>
    <w:rsid w:val="009D598F"/>
    <w:rsid w:val="009D7076"/>
    <w:rsid w:val="009D7D04"/>
    <w:rsid w:val="009E006D"/>
    <w:rsid w:val="009E00FA"/>
    <w:rsid w:val="009E287A"/>
    <w:rsid w:val="009E3968"/>
    <w:rsid w:val="009E3B90"/>
    <w:rsid w:val="009E4268"/>
    <w:rsid w:val="009E4793"/>
    <w:rsid w:val="009E4AC4"/>
    <w:rsid w:val="009E5AAE"/>
    <w:rsid w:val="009E610D"/>
    <w:rsid w:val="009E7E30"/>
    <w:rsid w:val="009E7F7A"/>
    <w:rsid w:val="009F0899"/>
    <w:rsid w:val="009F121A"/>
    <w:rsid w:val="009F32A0"/>
    <w:rsid w:val="009F510D"/>
    <w:rsid w:val="009F6B95"/>
    <w:rsid w:val="00A002E2"/>
    <w:rsid w:val="00A02BDB"/>
    <w:rsid w:val="00A03274"/>
    <w:rsid w:val="00A05501"/>
    <w:rsid w:val="00A05CF7"/>
    <w:rsid w:val="00A0600A"/>
    <w:rsid w:val="00A069E9"/>
    <w:rsid w:val="00A10461"/>
    <w:rsid w:val="00A11ABC"/>
    <w:rsid w:val="00A12B2A"/>
    <w:rsid w:val="00A12BB7"/>
    <w:rsid w:val="00A149AD"/>
    <w:rsid w:val="00A16016"/>
    <w:rsid w:val="00A164E0"/>
    <w:rsid w:val="00A16C07"/>
    <w:rsid w:val="00A16F6A"/>
    <w:rsid w:val="00A20461"/>
    <w:rsid w:val="00A2052A"/>
    <w:rsid w:val="00A20A3F"/>
    <w:rsid w:val="00A2185D"/>
    <w:rsid w:val="00A218B9"/>
    <w:rsid w:val="00A22ED6"/>
    <w:rsid w:val="00A24B3F"/>
    <w:rsid w:val="00A25862"/>
    <w:rsid w:val="00A261E6"/>
    <w:rsid w:val="00A305AB"/>
    <w:rsid w:val="00A30A34"/>
    <w:rsid w:val="00A30D96"/>
    <w:rsid w:val="00A31304"/>
    <w:rsid w:val="00A3192A"/>
    <w:rsid w:val="00A32DB9"/>
    <w:rsid w:val="00A3321D"/>
    <w:rsid w:val="00A3467B"/>
    <w:rsid w:val="00A34F0A"/>
    <w:rsid w:val="00A350F8"/>
    <w:rsid w:val="00A36E15"/>
    <w:rsid w:val="00A37374"/>
    <w:rsid w:val="00A37654"/>
    <w:rsid w:val="00A376A2"/>
    <w:rsid w:val="00A37ABE"/>
    <w:rsid w:val="00A402ED"/>
    <w:rsid w:val="00A41372"/>
    <w:rsid w:val="00A419AD"/>
    <w:rsid w:val="00A41BD5"/>
    <w:rsid w:val="00A422D4"/>
    <w:rsid w:val="00A42C91"/>
    <w:rsid w:val="00A43665"/>
    <w:rsid w:val="00A44501"/>
    <w:rsid w:val="00A44638"/>
    <w:rsid w:val="00A456A1"/>
    <w:rsid w:val="00A50B84"/>
    <w:rsid w:val="00A511F2"/>
    <w:rsid w:val="00A513FF"/>
    <w:rsid w:val="00A51708"/>
    <w:rsid w:val="00A51FAF"/>
    <w:rsid w:val="00A5207B"/>
    <w:rsid w:val="00A52086"/>
    <w:rsid w:val="00A52866"/>
    <w:rsid w:val="00A5348C"/>
    <w:rsid w:val="00A546C5"/>
    <w:rsid w:val="00A55A4B"/>
    <w:rsid w:val="00A575FB"/>
    <w:rsid w:val="00A61335"/>
    <w:rsid w:val="00A63286"/>
    <w:rsid w:val="00A63A59"/>
    <w:rsid w:val="00A63A8A"/>
    <w:rsid w:val="00A63E09"/>
    <w:rsid w:val="00A64749"/>
    <w:rsid w:val="00A664B9"/>
    <w:rsid w:val="00A66E96"/>
    <w:rsid w:val="00A671BB"/>
    <w:rsid w:val="00A67932"/>
    <w:rsid w:val="00A67ED4"/>
    <w:rsid w:val="00A701B1"/>
    <w:rsid w:val="00A70745"/>
    <w:rsid w:val="00A70B35"/>
    <w:rsid w:val="00A70EC4"/>
    <w:rsid w:val="00A71F18"/>
    <w:rsid w:val="00A72142"/>
    <w:rsid w:val="00A731B8"/>
    <w:rsid w:val="00A73309"/>
    <w:rsid w:val="00A7333B"/>
    <w:rsid w:val="00A75462"/>
    <w:rsid w:val="00A755A5"/>
    <w:rsid w:val="00A77A80"/>
    <w:rsid w:val="00A77CD6"/>
    <w:rsid w:val="00A80D9B"/>
    <w:rsid w:val="00A81984"/>
    <w:rsid w:val="00A837CF"/>
    <w:rsid w:val="00A83A79"/>
    <w:rsid w:val="00A8500A"/>
    <w:rsid w:val="00A85777"/>
    <w:rsid w:val="00A85BA8"/>
    <w:rsid w:val="00A9100A"/>
    <w:rsid w:val="00A9176F"/>
    <w:rsid w:val="00A91B8A"/>
    <w:rsid w:val="00A9209D"/>
    <w:rsid w:val="00A9314D"/>
    <w:rsid w:val="00AA0335"/>
    <w:rsid w:val="00AA2712"/>
    <w:rsid w:val="00AA33AA"/>
    <w:rsid w:val="00AA3436"/>
    <w:rsid w:val="00AA38EB"/>
    <w:rsid w:val="00AA5595"/>
    <w:rsid w:val="00AA6433"/>
    <w:rsid w:val="00AA7700"/>
    <w:rsid w:val="00AA775A"/>
    <w:rsid w:val="00AA7963"/>
    <w:rsid w:val="00AB0F64"/>
    <w:rsid w:val="00AB33D6"/>
    <w:rsid w:val="00AB50E7"/>
    <w:rsid w:val="00AB794F"/>
    <w:rsid w:val="00AB7CC6"/>
    <w:rsid w:val="00AB7F2E"/>
    <w:rsid w:val="00AC3BD0"/>
    <w:rsid w:val="00AC41AD"/>
    <w:rsid w:val="00AC4207"/>
    <w:rsid w:val="00AC480E"/>
    <w:rsid w:val="00AC5441"/>
    <w:rsid w:val="00AC564A"/>
    <w:rsid w:val="00AD103B"/>
    <w:rsid w:val="00AD2891"/>
    <w:rsid w:val="00AD433E"/>
    <w:rsid w:val="00AD7068"/>
    <w:rsid w:val="00AD7E0D"/>
    <w:rsid w:val="00AE5357"/>
    <w:rsid w:val="00AE573A"/>
    <w:rsid w:val="00AE62BE"/>
    <w:rsid w:val="00AE7890"/>
    <w:rsid w:val="00AF0060"/>
    <w:rsid w:val="00AF027E"/>
    <w:rsid w:val="00AF109C"/>
    <w:rsid w:val="00AF170D"/>
    <w:rsid w:val="00AF2660"/>
    <w:rsid w:val="00AF3257"/>
    <w:rsid w:val="00AF3872"/>
    <w:rsid w:val="00AF489C"/>
    <w:rsid w:val="00AF4EF2"/>
    <w:rsid w:val="00AF522F"/>
    <w:rsid w:val="00AF53B6"/>
    <w:rsid w:val="00AF79A3"/>
    <w:rsid w:val="00AF7AC6"/>
    <w:rsid w:val="00B004D6"/>
    <w:rsid w:val="00B00749"/>
    <w:rsid w:val="00B01557"/>
    <w:rsid w:val="00B0275E"/>
    <w:rsid w:val="00B032B4"/>
    <w:rsid w:val="00B03ADA"/>
    <w:rsid w:val="00B0643C"/>
    <w:rsid w:val="00B07052"/>
    <w:rsid w:val="00B1081A"/>
    <w:rsid w:val="00B11DAE"/>
    <w:rsid w:val="00B12620"/>
    <w:rsid w:val="00B12FE4"/>
    <w:rsid w:val="00B13A57"/>
    <w:rsid w:val="00B13F9E"/>
    <w:rsid w:val="00B14DF4"/>
    <w:rsid w:val="00B150DD"/>
    <w:rsid w:val="00B16805"/>
    <w:rsid w:val="00B17275"/>
    <w:rsid w:val="00B1755C"/>
    <w:rsid w:val="00B17AB6"/>
    <w:rsid w:val="00B17BF4"/>
    <w:rsid w:val="00B21D26"/>
    <w:rsid w:val="00B23944"/>
    <w:rsid w:val="00B24008"/>
    <w:rsid w:val="00B24284"/>
    <w:rsid w:val="00B26A10"/>
    <w:rsid w:val="00B26EA3"/>
    <w:rsid w:val="00B27DF3"/>
    <w:rsid w:val="00B30602"/>
    <w:rsid w:val="00B32963"/>
    <w:rsid w:val="00B34815"/>
    <w:rsid w:val="00B351A8"/>
    <w:rsid w:val="00B35249"/>
    <w:rsid w:val="00B35EE9"/>
    <w:rsid w:val="00B361B3"/>
    <w:rsid w:val="00B36366"/>
    <w:rsid w:val="00B3666F"/>
    <w:rsid w:val="00B370A0"/>
    <w:rsid w:val="00B3711F"/>
    <w:rsid w:val="00B376AA"/>
    <w:rsid w:val="00B402D8"/>
    <w:rsid w:val="00B40E94"/>
    <w:rsid w:val="00B42761"/>
    <w:rsid w:val="00B42774"/>
    <w:rsid w:val="00B427FF"/>
    <w:rsid w:val="00B50F69"/>
    <w:rsid w:val="00B5123C"/>
    <w:rsid w:val="00B524A5"/>
    <w:rsid w:val="00B530A6"/>
    <w:rsid w:val="00B53577"/>
    <w:rsid w:val="00B538E5"/>
    <w:rsid w:val="00B53932"/>
    <w:rsid w:val="00B540A7"/>
    <w:rsid w:val="00B54564"/>
    <w:rsid w:val="00B5480A"/>
    <w:rsid w:val="00B560BD"/>
    <w:rsid w:val="00B571D0"/>
    <w:rsid w:val="00B60DAD"/>
    <w:rsid w:val="00B62DC2"/>
    <w:rsid w:val="00B6374C"/>
    <w:rsid w:val="00B63FB0"/>
    <w:rsid w:val="00B6503E"/>
    <w:rsid w:val="00B651A4"/>
    <w:rsid w:val="00B663BF"/>
    <w:rsid w:val="00B67E91"/>
    <w:rsid w:val="00B70335"/>
    <w:rsid w:val="00B709EA"/>
    <w:rsid w:val="00B71D88"/>
    <w:rsid w:val="00B71EEE"/>
    <w:rsid w:val="00B72572"/>
    <w:rsid w:val="00B728E8"/>
    <w:rsid w:val="00B746AC"/>
    <w:rsid w:val="00B7565D"/>
    <w:rsid w:val="00B7595F"/>
    <w:rsid w:val="00B75FAB"/>
    <w:rsid w:val="00B765A4"/>
    <w:rsid w:val="00B80D6C"/>
    <w:rsid w:val="00B81559"/>
    <w:rsid w:val="00B81FE0"/>
    <w:rsid w:val="00B82AD3"/>
    <w:rsid w:val="00B841BF"/>
    <w:rsid w:val="00B8759F"/>
    <w:rsid w:val="00B87BD4"/>
    <w:rsid w:val="00B87F39"/>
    <w:rsid w:val="00B87F47"/>
    <w:rsid w:val="00B902B8"/>
    <w:rsid w:val="00B91D00"/>
    <w:rsid w:val="00B92514"/>
    <w:rsid w:val="00B95DE9"/>
    <w:rsid w:val="00B97748"/>
    <w:rsid w:val="00BA04C3"/>
    <w:rsid w:val="00BA11BF"/>
    <w:rsid w:val="00BA3AA9"/>
    <w:rsid w:val="00BA3C92"/>
    <w:rsid w:val="00BA4EF6"/>
    <w:rsid w:val="00BA5C72"/>
    <w:rsid w:val="00BA5F29"/>
    <w:rsid w:val="00BA631B"/>
    <w:rsid w:val="00BA66B0"/>
    <w:rsid w:val="00BA6BD0"/>
    <w:rsid w:val="00BA7CC3"/>
    <w:rsid w:val="00BB0C9B"/>
    <w:rsid w:val="00BB5055"/>
    <w:rsid w:val="00BB6551"/>
    <w:rsid w:val="00BB7682"/>
    <w:rsid w:val="00BC10D1"/>
    <w:rsid w:val="00BC1232"/>
    <w:rsid w:val="00BC32F5"/>
    <w:rsid w:val="00BC3881"/>
    <w:rsid w:val="00BC3F42"/>
    <w:rsid w:val="00BC4D00"/>
    <w:rsid w:val="00BC5E75"/>
    <w:rsid w:val="00BC6439"/>
    <w:rsid w:val="00BD0585"/>
    <w:rsid w:val="00BD0828"/>
    <w:rsid w:val="00BD08C0"/>
    <w:rsid w:val="00BD239D"/>
    <w:rsid w:val="00BD23BF"/>
    <w:rsid w:val="00BD2FB9"/>
    <w:rsid w:val="00BD3563"/>
    <w:rsid w:val="00BD4240"/>
    <w:rsid w:val="00BD485F"/>
    <w:rsid w:val="00BD4B5A"/>
    <w:rsid w:val="00BD66C5"/>
    <w:rsid w:val="00BD6E9A"/>
    <w:rsid w:val="00BD7394"/>
    <w:rsid w:val="00BD7AEB"/>
    <w:rsid w:val="00BD7C0E"/>
    <w:rsid w:val="00BD7EC1"/>
    <w:rsid w:val="00BE09DC"/>
    <w:rsid w:val="00BE127D"/>
    <w:rsid w:val="00BE18B0"/>
    <w:rsid w:val="00BE2F56"/>
    <w:rsid w:val="00BE3DA8"/>
    <w:rsid w:val="00BE40D6"/>
    <w:rsid w:val="00BE40EB"/>
    <w:rsid w:val="00BE41FA"/>
    <w:rsid w:val="00BE5C35"/>
    <w:rsid w:val="00BE7B32"/>
    <w:rsid w:val="00BE7BDC"/>
    <w:rsid w:val="00BF1BD2"/>
    <w:rsid w:val="00BF2EF4"/>
    <w:rsid w:val="00BF3706"/>
    <w:rsid w:val="00BF438B"/>
    <w:rsid w:val="00BF4BD1"/>
    <w:rsid w:val="00BF53C5"/>
    <w:rsid w:val="00BF577B"/>
    <w:rsid w:val="00BF6C99"/>
    <w:rsid w:val="00C01821"/>
    <w:rsid w:val="00C0189B"/>
    <w:rsid w:val="00C01C06"/>
    <w:rsid w:val="00C02473"/>
    <w:rsid w:val="00C04181"/>
    <w:rsid w:val="00C04372"/>
    <w:rsid w:val="00C04A5D"/>
    <w:rsid w:val="00C04BB3"/>
    <w:rsid w:val="00C0612C"/>
    <w:rsid w:val="00C06705"/>
    <w:rsid w:val="00C07798"/>
    <w:rsid w:val="00C078B0"/>
    <w:rsid w:val="00C07A9F"/>
    <w:rsid w:val="00C1078F"/>
    <w:rsid w:val="00C11000"/>
    <w:rsid w:val="00C11D5F"/>
    <w:rsid w:val="00C13F9D"/>
    <w:rsid w:val="00C14706"/>
    <w:rsid w:val="00C16938"/>
    <w:rsid w:val="00C203A8"/>
    <w:rsid w:val="00C21E09"/>
    <w:rsid w:val="00C22D0F"/>
    <w:rsid w:val="00C25602"/>
    <w:rsid w:val="00C2595D"/>
    <w:rsid w:val="00C25C34"/>
    <w:rsid w:val="00C25F8F"/>
    <w:rsid w:val="00C263A9"/>
    <w:rsid w:val="00C277D1"/>
    <w:rsid w:val="00C304DE"/>
    <w:rsid w:val="00C31116"/>
    <w:rsid w:val="00C316DF"/>
    <w:rsid w:val="00C33459"/>
    <w:rsid w:val="00C353E2"/>
    <w:rsid w:val="00C360B2"/>
    <w:rsid w:val="00C36B9D"/>
    <w:rsid w:val="00C377E2"/>
    <w:rsid w:val="00C42ACF"/>
    <w:rsid w:val="00C4546C"/>
    <w:rsid w:val="00C4612B"/>
    <w:rsid w:val="00C4686C"/>
    <w:rsid w:val="00C503A1"/>
    <w:rsid w:val="00C507B7"/>
    <w:rsid w:val="00C50D17"/>
    <w:rsid w:val="00C51230"/>
    <w:rsid w:val="00C523F5"/>
    <w:rsid w:val="00C53017"/>
    <w:rsid w:val="00C53C0D"/>
    <w:rsid w:val="00C54320"/>
    <w:rsid w:val="00C54436"/>
    <w:rsid w:val="00C548FF"/>
    <w:rsid w:val="00C55A28"/>
    <w:rsid w:val="00C55BAB"/>
    <w:rsid w:val="00C560EA"/>
    <w:rsid w:val="00C56E66"/>
    <w:rsid w:val="00C6042E"/>
    <w:rsid w:val="00C60FE5"/>
    <w:rsid w:val="00C62CDA"/>
    <w:rsid w:val="00C63F1B"/>
    <w:rsid w:val="00C6540D"/>
    <w:rsid w:val="00C65A12"/>
    <w:rsid w:val="00C65FBF"/>
    <w:rsid w:val="00C663A0"/>
    <w:rsid w:val="00C66F30"/>
    <w:rsid w:val="00C6753E"/>
    <w:rsid w:val="00C75513"/>
    <w:rsid w:val="00C76400"/>
    <w:rsid w:val="00C7650C"/>
    <w:rsid w:val="00C7694C"/>
    <w:rsid w:val="00C77572"/>
    <w:rsid w:val="00C77F7E"/>
    <w:rsid w:val="00C80514"/>
    <w:rsid w:val="00C80885"/>
    <w:rsid w:val="00C80925"/>
    <w:rsid w:val="00C80F2B"/>
    <w:rsid w:val="00C81DB9"/>
    <w:rsid w:val="00C823A1"/>
    <w:rsid w:val="00C82B0C"/>
    <w:rsid w:val="00C867DB"/>
    <w:rsid w:val="00C86C11"/>
    <w:rsid w:val="00C86E49"/>
    <w:rsid w:val="00C90296"/>
    <w:rsid w:val="00C90FA9"/>
    <w:rsid w:val="00C9145A"/>
    <w:rsid w:val="00C93789"/>
    <w:rsid w:val="00C93931"/>
    <w:rsid w:val="00C93FA2"/>
    <w:rsid w:val="00C951C5"/>
    <w:rsid w:val="00C96AA9"/>
    <w:rsid w:val="00CA085E"/>
    <w:rsid w:val="00CA1198"/>
    <w:rsid w:val="00CA1B8A"/>
    <w:rsid w:val="00CA238C"/>
    <w:rsid w:val="00CA52DF"/>
    <w:rsid w:val="00CA53ED"/>
    <w:rsid w:val="00CA7694"/>
    <w:rsid w:val="00CA78D5"/>
    <w:rsid w:val="00CB0C3E"/>
    <w:rsid w:val="00CB1B60"/>
    <w:rsid w:val="00CB21E3"/>
    <w:rsid w:val="00CB27C3"/>
    <w:rsid w:val="00CB2B41"/>
    <w:rsid w:val="00CB2C52"/>
    <w:rsid w:val="00CB4359"/>
    <w:rsid w:val="00CB5150"/>
    <w:rsid w:val="00CB6F46"/>
    <w:rsid w:val="00CB7D7A"/>
    <w:rsid w:val="00CB7DD9"/>
    <w:rsid w:val="00CC5233"/>
    <w:rsid w:val="00CC54C8"/>
    <w:rsid w:val="00CC58F2"/>
    <w:rsid w:val="00CC744D"/>
    <w:rsid w:val="00CC7583"/>
    <w:rsid w:val="00CD0B93"/>
    <w:rsid w:val="00CD1958"/>
    <w:rsid w:val="00CD265E"/>
    <w:rsid w:val="00CD2AC8"/>
    <w:rsid w:val="00CD7049"/>
    <w:rsid w:val="00CD709D"/>
    <w:rsid w:val="00CE1D9D"/>
    <w:rsid w:val="00CE283C"/>
    <w:rsid w:val="00CE42FC"/>
    <w:rsid w:val="00CE54F9"/>
    <w:rsid w:val="00CE632B"/>
    <w:rsid w:val="00CE670C"/>
    <w:rsid w:val="00CE7EB2"/>
    <w:rsid w:val="00CF10C7"/>
    <w:rsid w:val="00CF576D"/>
    <w:rsid w:val="00CF5B37"/>
    <w:rsid w:val="00CF5EFF"/>
    <w:rsid w:val="00CF7E8A"/>
    <w:rsid w:val="00D00302"/>
    <w:rsid w:val="00D0054B"/>
    <w:rsid w:val="00D0060E"/>
    <w:rsid w:val="00D00CE5"/>
    <w:rsid w:val="00D00E2F"/>
    <w:rsid w:val="00D03458"/>
    <w:rsid w:val="00D04BBD"/>
    <w:rsid w:val="00D050F8"/>
    <w:rsid w:val="00D0527C"/>
    <w:rsid w:val="00D05593"/>
    <w:rsid w:val="00D0611E"/>
    <w:rsid w:val="00D063A8"/>
    <w:rsid w:val="00D06D37"/>
    <w:rsid w:val="00D078E4"/>
    <w:rsid w:val="00D11175"/>
    <w:rsid w:val="00D12D49"/>
    <w:rsid w:val="00D12F0F"/>
    <w:rsid w:val="00D12F8D"/>
    <w:rsid w:val="00D13D12"/>
    <w:rsid w:val="00D14F22"/>
    <w:rsid w:val="00D154F4"/>
    <w:rsid w:val="00D172E3"/>
    <w:rsid w:val="00D17AEB"/>
    <w:rsid w:val="00D17B0A"/>
    <w:rsid w:val="00D205E9"/>
    <w:rsid w:val="00D20EA5"/>
    <w:rsid w:val="00D22AC4"/>
    <w:rsid w:val="00D23F8A"/>
    <w:rsid w:val="00D244ED"/>
    <w:rsid w:val="00D24FA7"/>
    <w:rsid w:val="00D2710D"/>
    <w:rsid w:val="00D27289"/>
    <w:rsid w:val="00D2730C"/>
    <w:rsid w:val="00D302E2"/>
    <w:rsid w:val="00D32173"/>
    <w:rsid w:val="00D33524"/>
    <w:rsid w:val="00D341F9"/>
    <w:rsid w:val="00D34CCE"/>
    <w:rsid w:val="00D364C7"/>
    <w:rsid w:val="00D37155"/>
    <w:rsid w:val="00D377A0"/>
    <w:rsid w:val="00D40633"/>
    <w:rsid w:val="00D408C7"/>
    <w:rsid w:val="00D40CF3"/>
    <w:rsid w:val="00D40D32"/>
    <w:rsid w:val="00D418E1"/>
    <w:rsid w:val="00D41EC6"/>
    <w:rsid w:val="00D438E7"/>
    <w:rsid w:val="00D43D67"/>
    <w:rsid w:val="00D45759"/>
    <w:rsid w:val="00D51B23"/>
    <w:rsid w:val="00D51DF8"/>
    <w:rsid w:val="00D52685"/>
    <w:rsid w:val="00D52BBD"/>
    <w:rsid w:val="00D537B4"/>
    <w:rsid w:val="00D54F92"/>
    <w:rsid w:val="00D55341"/>
    <w:rsid w:val="00D556EF"/>
    <w:rsid w:val="00D55E9B"/>
    <w:rsid w:val="00D56A27"/>
    <w:rsid w:val="00D61AE6"/>
    <w:rsid w:val="00D63094"/>
    <w:rsid w:val="00D64750"/>
    <w:rsid w:val="00D64F03"/>
    <w:rsid w:val="00D656CD"/>
    <w:rsid w:val="00D6594B"/>
    <w:rsid w:val="00D669E1"/>
    <w:rsid w:val="00D6737E"/>
    <w:rsid w:val="00D70DA7"/>
    <w:rsid w:val="00D7141E"/>
    <w:rsid w:val="00D71ABC"/>
    <w:rsid w:val="00D7269E"/>
    <w:rsid w:val="00D73C59"/>
    <w:rsid w:val="00D74244"/>
    <w:rsid w:val="00D75306"/>
    <w:rsid w:val="00D75393"/>
    <w:rsid w:val="00D75880"/>
    <w:rsid w:val="00D76A89"/>
    <w:rsid w:val="00D8078F"/>
    <w:rsid w:val="00D81F7E"/>
    <w:rsid w:val="00D82467"/>
    <w:rsid w:val="00D83652"/>
    <w:rsid w:val="00D844F9"/>
    <w:rsid w:val="00D84E5D"/>
    <w:rsid w:val="00D850A2"/>
    <w:rsid w:val="00D85ECB"/>
    <w:rsid w:val="00D86948"/>
    <w:rsid w:val="00D87328"/>
    <w:rsid w:val="00D8746E"/>
    <w:rsid w:val="00D90525"/>
    <w:rsid w:val="00D911FE"/>
    <w:rsid w:val="00D91A03"/>
    <w:rsid w:val="00D91E1C"/>
    <w:rsid w:val="00D92E19"/>
    <w:rsid w:val="00D9343A"/>
    <w:rsid w:val="00D93B4D"/>
    <w:rsid w:val="00D94658"/>
    <w:rsid w:val="00D9548D"/>
    <w:rsid w:val="00D95C15"/>
    <w:rsid w:val="00DA01B0"/>
    <w:rsid w:val="00DA22B2"/>
    <w:rsid w:val="00DA248D"/>
    <w:rsid w:val="00DA282F"/>
    <w:rsid w:val="00DA35E3"/>
    <w:rsid w:val="00DA395E"/>
    <w:rsid w:val="00DA640C"/>
    <w:rsid w:val="00DA6694"/>
    <w:rsid w:val="00DA69A2"/>
    <w:rsid w:val="00DB00D0"/>
    <w:rsid w:val="00DB0572"/>
    <w:rsid w:val="00DB0CC7"/>
    <w:rsid w:val="00DB1119"/>
    <w:rsid w:val="00DB2AA4"/>
    <w:rsid w:val="00DB3C1E"/>
    <w:rsid w:val="00DB5A00"/>
    <w:rsid w:val="00DB5ED3"/>
    <w:rsid w:val="00DB6056"/>
    <w:rsid w:val="00DB68CB"/>
    <w:rsid w:val="00DB690B"/>
    <w:rsid w:val="00DB7632"/>
    <w:rsid w:val="00DB7E7E"/>
    <w:rsid w:val="00DC0852"/>
    <w:rsid w:val="00DC1513"/>
    <w:rsid w:val="00DC25AB"/>
    <w:rsid w:val="00DC26C9"/>
    <w:rsid w:val="00DC2D20"/>
    <w:rsid w:val="00DC3366"/>
    <w:rsid w:val="00DC40A8"/>
    <w:rsid w:val="00DC4BCB"/>
    <w:rsid w:val="00DD0BB0"/>
    <w:rsid w:val="00DD1027"/>
    <w:rsid w:val="00DD207D"/>
    <w:rsid w:val="00DD385F"/>
    <w:rsid w:val="00DD3B43"/>
    <w:rsid w:val="00DD4550"/>
    <w:rsid w:val="00DD4D73"/>
    <w:rsid w:val="00DD511B"/>
    <w:rsid w:val="00DD6277"/>
    <w:rsid w:val="00DD62C0"/>
    <w:rsid w:val="00DE151F"/>
    <w:rsid w:val="00DE1D40"/>
    <w:rsid w:val="00DE211C"/>
    <w:rsid w:val="00DE3D2F"/>
    <w:rsid w:val="00DE63EB"/>
    <w:rsid w:val="00DE686A"/>
    <w:rsid w:val="00DE6913"/>
    <w:rsid w:val="00DE77F7"/>
    <w:rsid w:val="00DF01F8"/>
    <w:rsid w:val="00DF05FD"/>
    <w:rsid w:val="00DF1CAE"/>
    <w:rsid w:val="00DF3880"/>
    <w:rsid w:val="00DF4B5C"/>
    <w:rsid w:val="00DF522F"/>
    <w:rsid w:val="00DF5389"/>
    <w:rsid w:val="00DF5657"/>
    <w:rsid w:val="00DF65C9"/>
    <w:rsid w:val="00DF68C4"/>
    <w:rsid w:val="00DF6DEB"/>
    <w:rsid w:val="00DF70EA"/>
    <w:rsid w:val="00E00D2C"/>
    <w:rsid w:val="00E01B1E"/>
    <w:rsid w:val="00E020F2"/>
    <w:rsid w:val="00E0351A"/>
    <w:rsid w:val="00E037C2"/>
    <w:rsid w:val="00E05F66"/>
    <w:rsid w:val="00E061AA"/>
    <w:rsid w:val="00E06A71"/>
    <w:rsid w:val="00E06C10"/>
    <w:rsid w:val="00E06CA4"/>
    <w:rsid w:val="00E072CB"/>
    <w:rsid w:val="00E07DDC"/>
    <w:rsid w:val="00E07EC8"/>
    <w:rsid w:val="00E10241"/>
    <w:rsid w:val="00E10FD0"/>
    <w:rsid w:val="00E13FCD"/>
    <w:rsid w:val="00E145AC"/>
    <w:rsid w:val="00E14A70"/>
    <w:rsid w:val="00E14DAD"/>
    <w:rsid w:val="00E14E6B"/>
    <w:rsid w:val="00E15996"/>
    <w:rsid w:val="00E16150"/>
    <w:rsid w:val="00E16299"/>
    <w:rsid w:val="00E202BE"/>
    <w:rsid w:val="00E21178"/>
    <w:rsid w:val="00E216A0"/>
    <w:rsid w:val="00E2178F"/>
    <w:rsid w:val="00E21876"/>
    <w:rsid w:val="00E21BE4"/>
    <w:rsid w:val="00E21CFE"/>
    <w:rsid w:val="00E224F1"/>
    <w:rsid w:val="00E2282E"/>
    <w:rsid w:val="00E22981"/>
    <w:rsid w:val="00E23596"/>
    <w:rsid w:val="00E24117"/>
    <w:rsid w:val="00E24D68"/>
    <w:rsid w:val="00E25DE9"/>
    <w:rsid w:val="00E260E8"/>
    <w:rsid w:val="00E26F7F"/>
    <w:rsid w:val="00E2702E"/>
    <w:rsid w:val="00E274CD"/>
    <w:rsid w:val="00E2766E"/>
    <w:rsid w:val="00E27E26"/>
    <w:rsid w:val="00E30E49"/>
    <w:rsid w:val="00E31DA2"/>
    <w:rsid w:val="00E31DF3"/>
    <w:rsid w:val="00E3286E"/>
    <w:rsid w:val="00E32AF0"/>
    <w:rsid w:val="00E33420"/>
    <w:rsid w:val="00E34D3B"/>
    <w:rsid w:val="00E358E6"/>
    <w:rsid w:val="00E36323"/>
    <w:rsid w:val="00E363CC"/>
    <w:rsid w:val="00E40B32"/>
    <w:rsid w:val="00E40B3B"/>
    <w:rsid w:val="00E41543"/>
    <w:rsid w:val="00E43D0D"/>
    <w:rsid w:val="00E43DFD"/>
    <w:rsid w:val="00E44E36"/>
    <w:rsid w:val="00E453A9"/>
    <w:rsid w:val="00E46014"/>
    <w:rsid w:val="00E469E1"/>
    <w:rsid w:val="00E47823"/>
    <w:rsid w:val="00E564A6"/>
    <w:rsid w:val="00E56800"/>
    <w:rsid w:val="00E57E07"/>
    <w:rsid w:val="00E60352"/>
    <w:rsid w:val="00E605CA"/>
    <w:rsid w:val="00E61710"/>
    <w:rsid w:val="00E61A65"/>
    <w:rsid w:val="00E636AD"/>
    <w:rsid w:val="00E65418"/>
    <w:rsid w:val="00E654BF"/>
    <w:rsid w:val="00E65FBE"/>
    <w:rsid w:val="00E673DB"/>
    <w:rsid w:val="00E67495"/>
    <w:rsid w:val="00E67B5E"/>
    <w:rsid w:val="00E70248"/>
    <w:rsid w:val="00E70979"/>
    <w:rsid w:val="00E70CAF"/>
    <w:rsid w:val="00E72294"/>
    <w:rsid w:val="00E7566A"/>
    <w:rsid w:val="00E75683"/>
    <w:rsid w:val="00E7619C"/>
    <w:rsid w:val="00E77100"/>
    <w:rsid w:val="00E7770F"/>
    <w:rsid w:val="00E80D04"/>
    <w:rsid w:val="00E80FAA"/>
    <w:rsid w:val="00E8227F"/>
    <w:rsid w:val="00E83CBB"/>
    <w:rsid w:val="00E847B4"/>
    <w:rsid w:val="00E86310"/>
    <w:rsid w:val="00E86621"/>
    <w:rsid w:val="00E871C8"/>
    <w:rsid w:val="00E87CDA"/>
    <w:rsid w:val="00E90193"/>
    <w:rsid w:val="00E926A6"/>
    <w:rsid w:val="00E9387C"/>
    <w:rsid w:val="00E9393E"/>
    <w:rsid w:val="00E95E6C"/>
    <w:rsid w:val="00E96A48"/>
    <w:rsid w:val="00EA068B"/>
    <w:rsid w:val="00EA2C49"/>
    <w:rsid w:val="00EA3303"/>
    <w:rsid w:val="00EA4EC6"/>
    <w:rsid w:val="00EA6475"/>
    <w:rsid w:val="00EA7CEF"/>
    <w:rsid w:val="00EB01DA"/>
    <w:rsid w:val="00EB3704"/>
    <w:rsid w:val="00EB4CA8"/>
    <w:rsid w:val="00EB6D52"/>
    <w:rsid w:val="00EB7DEC"/>
    <w:rsid w:val="00EC24CC"/>
    <w:rsid w:val="00EC2819"/>
    <w:rsid w:val="00EC2C97"/>
    <w:rsid w:val="00EC34EF"/>
    <w:rsid w:val="00EC4E59"/>
    <w:rsid w:val="00EC6707"/>
    <w:rsid w:val="00EC7255"/>
    <w:rsid w:val="00EC73D1"/>
    <w:rsid w:val="00EC76D2"/>
    <w:rsid w:val="00ED0399"/>
    <w:rsid w:val="00ED1F45"/>
    <w:rsid w:val="00ED521E"/>
    <w:rsid w:val="00ED683D"/>
    <w:rsid w:val="00ED78E8"/>
    <w:rsid w:val="00ED7BC0"/>
    <w:rsid w:val="00EE25D2"/>
    <w:rsid w:val="00EE25E4"/>
    <w:rsid w:val="00EE2FDA"/>
    <w:rsid w:val="00EE327C"/>
    <w:rsid w:val="00EE3DC8"/>
    <w:rsid w:val="00EE4559"/>
    <w:rsid w:val="00EE5430"/>
    <w:rsid w:val="00EE6254"/>
    <w:rsid w:val="00EE6261"/>
    <w:rsid w:val="00EE6A79"/>
    <w:rsid w:val="00EE7850"/>
    <w:rsid w:val="00EF0920"/>
    <w:rsid w:val="00EF18D4"/>
    <w:rsid w:val="00EF2312"/>
    <w:rsid w:val="00EF2540"/>
    <w:rsid w:val="00EF2675"/>
    <w:rsid w:val="00EF4DDA"/>
    <w:rsid w:val="00EF7952"/>
    <w:rsid w:val="00EF7A5F"/>
    <w:rsid w:val="00EF7C16"/>
    <w:rsid w:val="00F022DF"/>
    <w:rsid w:val="00F0272F"/>
    <w:rsid w:val="00F056DE"/>
    <w:rsid w:val="00F05B64"/>
    <w:rsid w:val="00F07178"/>
    <w:rsid w:val="00F07D4A"/>
    <w:rsid w:val="00F10144"/>
    <w:rsid w:val="00F10B6F"/>
    <w:rsid w:val="00F112E0"/>
    <w:rsid w:val="00F12240"/>
    <w:rsid w:val="00F155D3"/>
    <w:rsid w:val="00F15A8B"/>
    <w:rsid w:val="00F16387"/>
    <w:rsid w:val="00F1729D"/>
    <w:rsid w:val="00F20182"/>
    <w:rsid w:val="00F213CB"/>
    <w:rsid w:val="00F21EF0"/>
    <w:rsid w:val="00F2298B"/>
    <w:rsid w:val="00F22FCF"/>
    <w:rsid w:val="00F239A9"/>
    <w:rsid w:val="00F24877"/>
    <w:rsid w:val="00F26014"/>
    <w:rsid w:val="00F26464"/>
    <w:rsid w:val="00F26A03"/>
    <w:rsid w:val="00F26C6D"/>
    <w:rsid w:val="00F276AF"/>
    <w:rsid w:val="00F30630"/>
    <w:rsid w:val="00F30B88"/>
    <w:rsid w:val="00F3197C"/>
    <w:rsid w:val="00F321A0"/>
    <w:rsid w:val="00F3286A"/>
    <w:rsid w:val="00F333E8"/>
    <w:rsid w:val="00F33792"/>
    <w:rsid w:val="00F35392"/>
    <w:rsid w:val="00F35D5C"/>
    <w:rsid w:val="00F36754"/>
    <w:rsid w:val="00F374B0"/>
    <w:rsid w:val="00F40258"/>
    <w:rsid w:val="00F409B9"/>
    <w:rsid w:val="00F41159"/>
    <w:rsid w:val="00F41432"/>
    <w:rsid w:val="00F41E35"/>
    <w:rsid w:val="00F42910"/>
    <w:rsid w:val="00F4365B"/>
    <w:rsid w:val="00F43B28"/>
    <w:rsid w:val="00F4762F"/>
    <w:rsid w:val="00F515D4"/>
    <w:rsid w:val="00F51958"/>
    <w:rsid w:val="00F51D02"/>
    <w:rsid w:val="00F52A13"/>
    <w:rsid w:val="00F52E2C"/>
    <w:rsid w:val="00F54AC5"/>
    <w:rsid w:val="00F5512E"/>
    <w:rsid w:val="00F562C6"/>
    <w:rsid w:val="00F570CB"/>
    <w:rsid w:val="00F61077"/>
    <w:rsid w:val="00F610C5"/>
    <w:rsid w:val="00F61638"/>
    <w:rsid w:val="00F61659"/>
    <w:rsid w:val="00F63A37"/>
    <w:rsid w:val="00F63D67"/>
    <w:rsid w:val="00F644DA"/>
    <w:rsid w:val="00F7107B"/>
    <w:rsid w:val="00F74DB1"/>
    <w:rsid w:val="00F75D34"/>
    <w:rsid w:val="00F77334"/>
    <w:rsid w:val="00F82253"/>
    <w:rsid w:val="00F843D0"/>
    <w:rsid w:val="00F8483E"/>
    <w:rsid w:val="00F86F3A"/>
    <w:rsid w:val="00F901FA"/>
    <w:rsid w:val="00F907DB"/>
    <w:rsid w:val="00F91884"/>
    <w:rsid w:val="00F91C2E"/>
    <w:rsid w:val="00F920AC"/>
    <w:rsid w:val="00F92B1D"/>
    <w:rsid w:val="00F92C7F"/>
    <w:rsid w:val="00F92E39"/>
    <w:rsid w:val="00F93450"/>
    <w:rsid w:val="00F936A0"/>
    <w:rsid w:val="00F93726"/>
    <w:rsid w:val="00F93CCE"/>
    <w:rsid w:val="00F9475D"/>
    <w:rsid w:val="00F957D3"/>
    <w:rsid w:val="00F960FD"/>
    <w:rsid w:val="00F96437"/>
    <w:rsid w:val="00F9646F"/>
    <w:rsid w:val="00F9679A"/>
    <w:rsid w:val="00F97BB1"/>
    <w:rsid w:val="00F97C5E"/>
    <w:rsid w:val="00FA3C23"/>
    <w:rsid w:val="00FA489E"/>
    <w:rsid w:val="00FA4D78"/>
    <w:rsid w:val="00FA6BE4"/>
    <w:rsid w:val="00FA6FDA"/>
    <w:rsid w:val="00FB0E15"/>
    <w:rsid w:val="00FB12F1"/>
    <w:rsid w:val="00FB2D2D"/>
    <w:rsid w:val="00FB45E5"/>
    <w:rsid w:val="00FB5EBE"/>
    <w:rsid w:val="00FB6765"/>
    <w:rsid w:val="00FB67A6"/>
    <w:rsid w:val="00FB699F"/>
    <w:rsid w:val="00FB6A2A"/>
    <w:rsid w:val="00FB7514"/>
    <w:rsid w:val="00FC00C5"/>
    <w:rsid w:val="00FC0749"/>
    <w:rsid w:val="00FC1D43"/>
    <w:rsid w:val="00FC1E0A"/>
    <w:rsid w:val="00FC2277"/>
    <w:rsid w:val="00FC24D9"/>
    <w:rsid w:val="00FC3105"/>
    <w:rsid w:val="00FD03E5"/>
    <w:rsid w:val="00FD0A3F"/>
    <w:rsid w:val="00FD3A99"/>
    <w:rsid w:val="00FD5A15"/>
    <w:rsid w:val="00FD5D63"/>
    <w:rsid w:val="00FD6316"/>
    <w:rsid w:val="00FD672B"/>
    <w:rsid w:val="00FD69F7"/>
    <w:rsid w:val="00FD7F44"/>
    <w:rsid w:val="00FE0577"/>
    <w:rsid w:val="00FE07EB"/>
    <w:rsid w:val="00FE1235"/>
    <w:rsid w:val="00FE13EA"/>
    <w:rsid w:val="00FE28D5"/>
    <w:rsid w:val="00FE2DD9"/>
    <w:rsid w:val="00FE4272"/>
    <w:rsid w:val="00FE44C3"/>
    <w:rsid w:val="00FE4F56"/>
    <w:rsid w:val="00FE5240"/>
    <w:rsid w:val="00FE53B8"/>
    <w:rsid w:val="00FE603C"/>
    <w:rsid w:val="00FE649E"/>
    <w:rsid w:val="00FE68C9"/>
    <w:rsid w:val="00FE79C1"/>
    <w:rsid w:val="00FE7ABA"/>
    <w:rsid w:val="00FE7C32"/>
    <w:rsid w:val="00FF0533"/>
    <w:rsid w:val="00FF293F"/>
    <w:rsid w:val="00FF3134"/>
    <w:rsid w:val="00FF3A1F"/>
    <w:rsid w:val="00FF3C30"/>
    <w:rsid w:val="00FF4223"/>
    <w:rsid w:val="00FF425C"/>
    <w:rsid w:val="00FF4BA3"/>
    <w:rsid w:val="00FF5ECE"/>
    <w:rsid w:val="00FF66C1"/>
    <w:rsid w:val="00FF6C93"/>
    <w:rsid w:val="00FF7657"/>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Footnote Text Char Char,fn"/>
    <w:basedOn w:val="Normal"/>
    <w:link w:val="FootnoteTextChar"/>
    <w:uiPriority w:val="99"/>
    <w:unhideWhenUsed/>
    <w:qFormat/>
    <w:rsid w:val="002B5183"/>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2B5183"/>
    <w:rPr>
      <w:rFonts w:ascii="Arial" w:hAnsi="Arial"/>
      <w:sz w:val="20"/>
      <w:szCs w:val="20"/>
      <w:lang w:val="en-GB"/>
    </w:rPr>
  </w:style>
  <w:style w:type="character" w:styleId="FootnoteReference">
    <w:name w:val="footnote reference"/>
    <w:aliases w:val="Ref,de nota al pie,註腳內容,Footnote symbol,Style 12,(NECG) Footnote Reference,Footnotes refss,Appel note de bas de page,fr,Footnote Reference in text,Footnote Reference Superscript"/>
    <w:basedOn w:val="DefaultParagraphFont"/>
    <w:uiPriority w:val="99"/>
    <w:unhideWhenUsed/>
    <w:qFormat/>
    <w:rsid w:val="002B5183"/>
    <w:rPr>
      <w:vertAlign w:val="superscript"/>
    </w:rPr>
  </w:style>
  <w:style w:type="paragraph" w:styleId="ListParagraph">
    <w:name w:val="List Paragraph"/>
    <w:basedOn w:val="Normal"/>
    <w:uiPriority w:val="34"/>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numbering" w:customStyle="1" w:styleId="ImportedStyle2">
    <w:name w:val="Imported Style 2"/>
    <w:rsid w:val="006F6BC8"/>
    <w:pPr>
      <w:numPr>
        <w:numId w:val="23"/>
      </w:numPr>
    </w:pPr>
  </w:style>
  <w:style w:type="paragraph" w:customStyle="1" w:styleId="Footnote">
    <w:name w:val="Footnote"/>
    <w:rsid w:val="006F6BC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ZA"/>
      <w14:textOutline w14:w="0" w14:cap="flat" w14:cmpd="sng" w14:algn="ctr">
        <w14:noFill/>
        <w14:prstDash w14:val="solid"/>
        <w14:bevel/>
      </w14:textOutline>
    </w:rPr>
  </w:style>
  <w:style w:type="paragraph" w:styleId="Revision">
    <w:name w:val="Revision"/>
    <w:hidden/>
    <w:uiPriority w:val="99"/>
    <w:semiHidden/>
    <w:rsid w:val="00092BAA"/>
    <w:pPr>
      <w:spacing w:after="0" w:line="240" w:lineRule="auto"/>
    </w:pPr>
    <w:rPr>
      <w:rFonts w:ascii="Arial" w:hAnsi="Arial"/>
      <w:sz w:val="24"/>
      <w:lang w:val="en-GB"/>
    </w:rPr>
  </w:style>
  <w:style w:type="paragraph" w:customStyle="1" w:styleId="1">
    <w:name w:val="1"/>
    <w:basedOn w:val="Normal"/>
    <w:qFormat/>
    <w:rsid w:val="005B343C"/>
    <w:pPr>
      <w:numPr>
        <w:numId w:val="26"/>
      </w:numPr>
      <w:spacing w:before="480" w:after="0" w:line="480" w:lineRule="auto"/>
    </w:pPr>
    <w:rPr>
      <w:rFonts w:eastAsia="Times New Roman" w:cs="Times New Roman"/>
      <w:iCs/>
      <w:color w:val="000000"/>
      <w:lang w:val="en-ZA"/>
      <w14:ligatures w14:val="standardContextual"/>
    </w:rPr>
  </w:style>
  <w:style w:type="paragraph" w:customStyle="1" w:styleId="2">
    <w:name w:val="2"/>
    <w:basedOn w:val="1"/>
    <w:link w:val="2Char"/>
    <w:qFormat/>
    <w:rsid w:val="005B343C"/>
    <w:pPr>
      <w:numPr>
        <w:ilvl w:val="1"/>
      </w:numPr>
      <w:spacing w:before="240"/>
    </w:pPr>
  </w:style>
  <w:style w:type="paragraph" w:customStyle="1" w:styleId="3">
    <w:name w:val="3"/>
    <w:basedOn w:val="2"/>
    <w:qFormat/>
    <w:rsid w:val="005B343C"/>
    <w:pPr>
      <w:numPr>
        <w:ilvl w:val="2"/>
      </w:numPr>
      <w:tabs>
        <w:tab w:val="clear" w:pos="2155"/>
        <w:tab w:val="num" w:pos="1701"/>
      </w:tabs>
      <w:ind w:left="1701" w:hanging="567"/>
    </w:pPr>
  </w:style>
  <w:style w:type="paragraph" w:customStyle="1" w:styleId="4">
    <w:name w:val="4"/>
    <w:basedOn w:val="2"/>
    <w:qFormat/>
    <w:rsid w:val="005B343C"/>
    <w:pPr>
      <w:numPr>
        <w:ilvl w:val="3"/>
      </w:numPr>
      <w:tabs>
        <w:tab w:val="clear" w:pos="2552"/>
      </w:tabs>
      <w:ind w:left="3447" w:hanging="360"/>
    </w:pPr>
    <w:rPr>
      <w:iCs w:val="0"/>
    </w:rPr>
  </w:style>
  <w:style w:type="paragraph" w:customStyle="1" w:styleId="5">
    <w:name w:val="5"/>
    <w:basedOn w:val="4"/>
    <w:qFormat/>
    <w:rsid w:val="005B343C"/>
    <w:pPr>
      <w:numPr>
        <w:ilvl w:val="4"/>
      </w:numPr>
      <w:tabs>
        <w:tab w:val="clear" w:pos="3119"/>
      </w:tabs>
      <w:ind w:left="4167" w:hanging="360"/>
    </w:pPr>
    <w:rPr>
      <w:iCs/>
      <w:szCs w:val="16"/>
      <w:lang w:eastAsia="en-ZA"/>
    </w:rPr>
  </w:style>
  <w:style w:type="character" w:customStyle="1" w:styleId="2Char">
    <w:name w:val="2 Char"/>
    <w:basedOn w:val="DefaultParagraphFont"/>
    <w:link w:val="2"/>
    <w:rsid w:val="005B343C"/>
    <w:rPr>
      <w:rFonts w:ascii="Arial" w:eastAsia="Times New Roman" w:hAnsi="Arial" w:cs="Times New Roman"/>
      <w:iCs/>
      <w:color w:val="000000"/>
      <w:sz w:val="24"/>
      <w14:ligatures w14:val="standardContextual"/>
    </w:rPr>
  </w:style>
  <w:style w:type="paragraph" w:styleId="Quote">
    <w:name w:val="Quote"/>
    <w:aliases w:val="quote"/>
    <w:basedOn w:val="Normal"/>
    <w:link w:val="QuoteChar"/>
    <w:uiPriority w:val="29"/>
    <w:qFormat/>
    <w:rsid w:val="00A218B9"/>
    <w:pPr>
      <w:spacing w:before="120" w:after="0" w:line="240" w:lineRule="auto"/>
      <w:ind w:left="1701"/>
    </w:pPr>
    <w:rPr>
      <w:i/>
      <w:iCs/>
      <w:color w:val="000000"/>
      <w:lang w:val="en-ZA"/>
      <w14:ligatures w14:val="standardContextual"/>
    </w:rPr>
  </w:style>
  <w:style w:type="character" w:customStyle="1" w:styleId="QuoteChar">
    <w:name w:val="Quote Char"/>
    <w:aliases w:val="quote Char"/>
    <w:basedOn w:val="DefaultParagraphFont"/>
    <w:link w:val="Quote"/>
    <w:uiPriority w:val="29"/>
    <w:rsid w:val="00A218B9"/>
    <w:rPr>
      <w:rFonts w:ascii="Arial" w:hAnsi="Arial"/>
      <w:i/>
      <w:iCs/>
      <w:color w:val="000000"/>
      <w:sz w:val="24"/>
      <w14:ligatures w14:val="standardContextual"/>
    </w:rPr>
  </w:style>
  <w:style w:type="paragraph" w:customStyle="1" w:styleId="normaltext">
    <w:name w:val="normaltext"/>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blockquote-x">
    <w:name w:val="blockquote-x"/>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blockquotetab">
    <w:name w:val="blockquotetab"/>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5436925">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 w:id="21463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0" ma:contentTypeDescription="Create a new document." ma:contentTypeScope="" ma:versionID="a7ca3b22f3567789e5b2315df2e40223">
  <xsd:schema xmlns:xsd="http://www.w3.org/2001/XMLSchema" xmlns:xs="http://www.w3.org/2001/XMLSchema" xmlns:p="http://schemas.microsoft.com/office/2006/metadata/properties" targetNamespace="http://schemas.microsoft.com/office/2006/metadata/properties" ma:root="true" ma:fieldsID="04202d2adf09cfb04d254a20bf5d12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76D8-FDDC-40B4-8B4C-19AD0771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3.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ADA17-056A-4059-85C8-92956C12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Mokone</cp:lastModifiedBy>
  <cp:revision>3</cp:revision>
  <cp:lastPrinted>2023-08-24T11:48:00Z</cp:lastPrinted>
  <dcterms:created xsi:type="dcterms:W3CDTF">2023-08-28T12:08:00Z</dcterms:created>
  <dcterms:modified xsi:type="dcterms:W3CDTF">2023-08-28T12:15:00Z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