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6349" w14:textId="77777777" w:rsidR="00B1205C" w:rsidRPr="007B7F59" w:rsidRDefault="00B1205C" w:rsidP="00B1205C">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2558E686" w14:textId="77777777" w:rsidR="00B1205C" w:rsidRPr="007B7F59" w:rsidRDefault="00B1205C" w:rsidP="00B1205C">
      <w:pPr>
        <w:tabs>
          <w:tab w:val="left" w:pos="2342"/>
          <w:tab w:val="center" w:pos="4513"/>
        </w:tabs>
        <w:spacing w:after="0" w:line="240" w:lineRule="auto"/>
        <w:ind w:left="0"/>
        <w:jc w:val="center"/>
        <w:outlineLvl w:val="0"/>
        <w:rPr>
          <w:rFonts w:eastAsia="Times New Roman" w:cs="Arial"/>
          <w:b/>
          <w:noProof/>
          <w:szCs w:val="24"/>
          <w:lang w:val="en-ZA" w:eastAsia="en-ZA"/>
        </w:rPr>
      </w:pPr>
    </w:p>
    <w:p w14:paraId="5E907805" w14:textId="77777777" w:rsidR="00B1205C" w:rsidRPr="007B7F59" w:rsidRDefault="00B1205C" w:rsidP="00B1205C">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35A2E17B" wp14:editId="44B0E90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75953BF" w14:textId="77777777" w:rsidR="00B1205C" w:rsidRPr="007B7F59" w:rsidRDefault="00B1205C" w:rsidP="00B1205C">
      <w:pPr>
        <w:spacing w:after="0" w:line="240" w:lineRule="auto"/>
        <w:ind w:left="0"/>
        <w:jc w:val="center"/>
        <w:outlineLvl w:val="0"/>
        <w:rPr>
          <w:rFonts w:eastAsia="Times New Roman" w:cs="Arial"/>
          <w:b/>
          <w:szCs w:val="24"/>
          <w:lang w:val="en-ZA"/>
        </w:rPr>
      </w:pPr>
    </w:p>
    <w:p w14:paraId="68EEB0DC" w14:textId="77777777" w:rsidR="00B1205C" w:rsidRPr="007B7F59" w:rsidRDefault="00B1205C" w:rsidP="00B1205C">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2803C609" w14:textId="77777777" w:rsidR="00B1205C" w:rsidRPr="007B7F59" w:rsidRDefault="00B1205C" w:rsidP="00B1205C">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73FF39BF" w14:textId="77777777" w:rsidR="00B1205C" w:rsidRPr="007B7F59" w:rsidRDefault="00B1205C" w:rsidP="00B1205C">
      <w:pPr>
        <w:tabs>
          <w:tab w:val="right" w:pos="9029"/>
        </w:tabs>
        <w:spacing w:after="0" w:line="240" w:lineRule="auto"/>
        <w:ind w:left="0"/>
        <w:rPr>
          <w:rFonts w:eastAsia="Times New Roman" w:cs="Arial"/>
          <w:bCs/>
          <w:szCs w:val="24"/>
          <w:lang w:val="en-ZA"/>
        </w:rPr>
      </w:pPr>
    </w:p>
    <w:p w14:paraId="215737F8" w14:textId="77777777" w:rsidR="00B1205C" w:rsidRPr="007B7F59" w:rsidRDefault="00B1205C" w:rsidP="00B1205C">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51E9687F" wp14:editId="025AA2A3">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E2A433A" w14:textId="377B7741" w:rsidR="00B1205C" w:rsidRPr="009433D9" w:rsidRDefault="00D17423" w:rsidP="00D17423">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B1205C" w:rsidRPr="003B746C">
                              <w:rPr>
                                <w:rFonts w:cs="Arial"/>
                                <w:sz w:val="18"/>
                                <w:szCs w:val="20"/>
                              </w:rPr>
                              <w:t>REPORTABLE</w:t>
                            </w:r>
                            <w:r w:rsidR="00B1205C" w:rsidRPr="009433D9">
                              <w:rPr>
                                <w:rFonts w:cs="Arial"/>
                                <w:sz w:val="18"/>
                                <w:szCs w:val="20"/>
                              </w:rPr>
                              <w:t>: NO</w:t>
                            </w:r>
                          </w:p>
                          <w:p w14:paraId="0661C2BE" w14:textId="78C1A247" w:rsidR="00B1205C" w:rsidRPr="009433D9" w:rsidRDefault="00D17423" w:rsidP="00D17423">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B1205C" w:rsidRPr="009433D9">
                              <w:rPr>
                                <w:rFonts w:cs="Arial"/>
                                <w:sz w:val="18"/>
                                <w:szCs w:val="20"/>
                              </w:rPr>
                              <w:t>OF INTEREST TO OTHER JUDGES: NO</w:t>
                            </w:r>
                          </w:p>
                          <w:p w14:paraId="6F78AF1D" w14:textId="297B42E2" w:rsidR="00B1205C" w:rsidRPr="009433D9" w:rsidRDefault="00D17423" w:rsidP="00D17423">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B1205C" w:rsidRPr="009433D9">
                              <w:rPr>
                                <w:rFonts w:cs="Arial"/>
                                <w:sz w:val="18"/>
                                <w:szCs w:val="20"/>
                              </w:rPr>
                              <w:t xml:space="preserve">REVISED: </w:t>
                            </w:r>
                            <w:r w:rsidR="00B1205C">
                              <w:rPr>
                                <w:rFonts w:cs="Arial"/>
                                <w:sz w:val="18"/>
                                <w:szCs w:val="20"/>
                              </w:rPr>
                              <w:t>YES/</w:t>
                            </w:r>
                            <w:r w:rsidR="00B1205C" w:rsidRPr="009433D9">
                              <w:rPr>
                                <w:rFonts w:cs="Arial"/>
                                <w:sz w:val="18"/>
                                <w:szCs w:val="20"/>
                              </w:rPr>
                              <w:t>NO</w:t>
                            </w:r>
                          </w:p>
                          <w:p w14:paraId="03E2DF4E" w14:textId="022B2088" w:rsidR="00B1205C" w:rsidRPr="003B746C" w:rsidRDefault="003673D2" w:rsidP="00B1205C">
                            <w:pPr>
                              <w:spacing w:before="240" w:after="0"/>
                              <w:rPr>
                                <w:rFonts w:cs="Arial"/>
                                <w:b/>
                                <w:sz w:val="18"/>
                                <w:szCs w:val="20"/>
                              </w:rPr>
                            </w:pPr>
                            <w:r>
                              <w:rPr>
                                <w:rFonts w:cs="Arial"/>
                                <w:b/>
                                <w:sz w:val="18"/>
                                <w:szCs w:val="20"/>
                              </w:rPr>
                              <w:t>05</w:t>
                            </w:r>
                            <w:r w:rsidR="00366DD8">
                              <w:rPr>
                                <w:rFonts w:cs="Arial"/>
                                <w:b/>
                                <w:sz w:val="18"/>
                                <w:szCs w:val="20"/>
                              </w:rPr>
                              <w:t xml:space="preserve"> </w:t>
                            </w:r>
                            <w:r w:rsidR="006E187E">
                              <w:rPr>
                                <w:rFonts w:cs="Arial"/>
                                <w:b/>
                                <w:sz w:val="18"/>
                                <w:szCs w:val="20"/>
                              </w:rPr>
                              <w:t>September</w:t>
                            </w:r>
                            <w:r w:rsidR="00B1205C">
                              <w:rPr>
                                <w:rFonts w:cs="Arial"/>
                                <w:b/>
                                <w:sz w:val="18"/>
                                <w:szCs w:val="20"/>
                              </w:rPr>
                              <w:t xml:space="preserve"> 2023</w:t>
                            </w:r>
                            <w:r w:rsidR="00B1205C" w:rsidRPr="009433D9">
                              <w:rPr>
                                <w:rFonts w:cs="Arial"/>
                                <w:b/>
                                <w:sz w:val="18"/>
                                <w:szCs w:val="20"/>
                              </w:rPr>
                              <w:tab/>
                            </w:r>
                            <w:r w:rsidR="00366DD8">
                              <w:rPr>
                                <w:rFonts w:cs="Arial"/>
                                <w:b/>
                                <w:sz w:val="18"/>
                                <w:szCs w:val="20"/>
                              </w:rPr>
                              <w:t xml:space="preserve">      </w:t>
                            </w:r>
                            <w:r w:rsidR="00B1205C" w:rsidRPr="009433D9">
                              <w:rPr>
                                <w:rFonts w:cs="Arial"/>
                                <w:b/>
                                <w:sz w:val="18"/>
                                <w:szCs w:val="20"/>
                              </w:rPr>
                              <w:t>_________________________</w:t>
                            </w:r>
                          </w:p>
                          <w:p w14:paraId="319D58E0" w14:textId="77777777" w:rsidR="00B1205C" w:rsidRPr="003B746C" w:rsidRDefault="00B1205C" w:rsidP="00B1205C">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9687F"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0E2A433A" w14:textId="377B7741" w:rsidR="00B1205C" w:rsidRPr="009433D9" w:rsidRDefault="00D17423" w:rsidP="00D17423">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B1205C" w:rsidRPr="003B746C">
                        <w:rPr>
                          <w:rFonts w:cs="Arial"/>
                          <w:sz w:val="18"/>
                          <w:szCs w:val="20"/>
                        </w:rPr>
                        <w:t>REPORTABLE</w:t>
                      </w:r>
                      <w:r w:rsidR="00B1205C" w:rsidRPr="009433D9">
                        <w:rPr>
                          <w:rFonts w:cs="Arial"/>
                          <w:sz w:val="18"/>
                          <w:szCs w:val="20"/>
                        </w:rPr>
                        <w:t>: NO</w:t>
                      </w:r>
                    </w:p>
                    <w:p w14:paraId="0661C2BE" w14:textId="78C1A247" w:rsidR="00B1205C" w:rsidRPr="009433D9" w:rsidRDefault="00D17423" w:rsidP="00D17423">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B1205C" w:rsidRPr="009433D9">
                        <w:rPr>
                          <w:rFonts w:cs="Arial"/>
                          <w:sz w:val="18"/>
                          <w:szCs w:val="20"/>
                        </w:rPr>
                        <w:t>OF INTEREST TO OTHER JUDGES: NO</w:t>
                      </w:r>
                    </w:p>
                    <w:p w14:paraId="6F78AF1D" w14:textId="297B42E2" w:rsidR="00B1205C" w:rsidRPr="009433D9" w:rsidRDefault="00D17423" w:rsidP="00D17423">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B1205C" w:rsidRPr="009433D9">
                        <w:rPr>
                          <w:rFonts w:cs="Arial"/>
                          <w:sz w:val="18"/>
                          <w:szCs w:val="20"/>
                        </w:rPr>
                        <w:t xml:space="preserve">REVISED: </w:t>
                      </w:r>
                      <w:r w:rsidR="00B1205C">
                        <w:rPr>
                          <w:rFonts w:cs="Arial"/>
                          <w:sz w:val="18"/>
                          <w:szCs w:val="20"/>
                        </w:rPr>
                        <w:t>YES/</w:t>
                      </w:r>
                      <w:r w:rsidR="00B1205C" w:rsidRPr="009433D9">
                        <w:rPr>
                          <w:rFonts w:cs="Arial"/>
                          <w:sz w:val="18"/>
                          <w:szCs w:val="20"/>
                        </w:rPr>
                        <w:t>NO</w:t>
                      </w:r>
                    </w:p>
                    <w:p w14:paraId="03E2DF4E" w14:textId="022B2088" w:rsidR="00B1205C" w:rsidRPr="003B746C" w:rsidRDefault="003673D2" w:rsidP="00B1205C">
                      <w:pPr>
                        <w:spacing w:before="240" w:after="0"/>
                        <w:rPr>
                          <w:rFonts w:cs="Arial"/>
                          <w:b/>
                          <w:sz w:val="18"/>
                          <w:szCs w:val="20"/>
                        </w:rPr>
                      </w:pPr>
                      <w:r>
                        <w:rPr>
                          <w:rFonts w:cs="Arial"/>
                          <w:b/>
                          <w:sz w:val="18"/>
                          <w:szCs w:val="20"/>
                        </w:rPr>
                        <w:t>05</w:t>
                      </w:r>
                      <w:r w:rsidR="00366DD8">
                        <w:rPr>
                          <w:rFonts w:cs="Arial"/>
                          <w:b/>
                          <w:sz w:val="18"/>
                          <w:szCs w:val="20"/>
                        </w:rPr>
                        <w:t xml:space="preserve"> </w:t>
                      </w:r>
                      <w:r w:rsidR="006E187E">
                        <w:rPr>
                          <w:rFonts w:cs="Arial"/>
                          <w:b/>
                          <w:sz w:val="18"/>
                          <w:szCs w:val="20"/>
                        </w:rPr>
                        <w:t>September</w:t>
                      </w:r>
                      <w:r w:rsidR="00B1205C">
                        <w:rPr>
                          <w:rFonts w:cs="Arial"/>
                          <w:b/>
                          <w:sz w:val="18"/>
                          <w:szCs w:val="20"/>
                        </w:rPr>
                        <w:t xml:space="preserve"> 2023</w:t>
                      </w:r>
                      <w:r w:rsidR="00B1205C" w:rsidRPr="009433D9">
                        <w:rPr>
                          <w:rFonts w:cs="Arial"/>
                          <w:b/>
                          <w:sz w:val="18"/>
                          <w:szCs w:val="20"/>
                        </w:rPr>
                        <w:tab/>
                      </w:r>
                      <w:r w:rsidR="00366DD8">
                        <w:rPr>
                          <w:rFonts w:cs="Arial"/>
                          <w:b/>
                          <w:sz w:val="18"/>
                          <w:szCs w:val="20"/>
                        </w:rPr>
                        <w:t xml:space="preserve">      </w:t>
                      </w:r>
                      <w:r w:rsidR="00B1205C" w:rsidRPr="009433D9">
                        <w:rPr>
                          <w:rFonts w:cs="Arial"/>
                          <w:b/>
                          <w:sz w:val="18"/>
                          <w:szCs w:val="20"/>
                        </w:rPr>
                        <w:t>_________________________</w:t>
                      </w:r>
                    </w:p>
                    <w:p w14:paraId="319D58E0" w14:textId="77777777" w:rsidR="00B1205C" w:rsidRPr="003B746C" w:rsidRDefault="00B1205C" w:rsidP="00B1205C">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A0AE802" w14:textId="77777777" w:rsidR="00B1205C" w:rsidRPr="007B7F59" w:rsidRDefault="00B1205C" w:rsidP="00B1205C">
      <w:pPr>
        <w:tabs>
          <w:tab w:val="left" w:pos="8998"/>
        </w:tabs>
        <w:spacing w:after="0" w:line="240" w:lineRule="auto"/>
        <w:ind w:left="0"/>
        <w:rPr>
          <w:rFonts w:eastAsia="Times New Roman" w:cs="Arial"/>
          <w:szCs w:val="24"/>
          <w:lang w:val="en-ZA"/>
        </w:rPr>
      </w:pPr>
    </w:p>
    <w:p w14:paraId="7F735011" w14:textId="6C95BF31" w:rsidR="00B1205C" w:rsidRPr="007B7F59" w:rsidRDefault="00B1205C" w:rsidP="00B1205C">
      <w:pPr>
        <w:tabs>
          <w:tab w:val="left" w:pos="8998"/>
        </w:tabs>
        <w:spacing w:after="0" w:line="240" w:lineRule="auto"/>
        <w:ind w:left="0"/>
        <w:rPr>
          <w:rFonts w:eastAsia="Times New Roman" w:cs="Arial"/>
          <w:szCs w:val="24"/>
          <w:lang w:val="en-ZA"/>
        </w:rPr>
      </w:pPr>
    </w:p>
    <w:p w14:paraId="05D396FD" w14:textId="1DBCE3BE" w:rsidR="00B1205C" w:rsidRPr="007B7F59" w:rsidRDefault="00B1205C" w:rsidP="00B1205C">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2154104C" w14:textId="37344DB4" w:rsidR="00B1205C" w:rsidRPr="007B7F59" w:rsidRDefault="00B1205C" w:rsidP="00B1205C">
      <w:pPr>
        <w:tabs>
          <w:tab w:val="right" w:pos="9029"/>
        </w:tabs>
        <w:spacing w:after="0" w:line="240" w:lineRule="auto"/>
        <w:ind w:left="0"/>
        <w:rPr>
          <w:rFonts w:eastAsia="Times New Roman" w:cs="Arial"/>
          <w:szCs w:val="24"/>
          <w:lang w:val="en-ZA"/>
        </w:rPr>
      </w:pPr>
    </w:p>
    <w:p w14:paraId="310209C7" w14:textId="6865ADC8" w:rsidR="00B1205C" w:rsidRPr="007B7F59" w:rsidRDefault="007F614A" w:rsidP="00B1205C">
      <w:pPr>
        <w:tabs>
          <w:tab w:val="right" w:pos="9029"/>
        </w:tabs>
        <w:spacing w:after="0" w:line="240" w:lineRule="auto"/>
        <w:ind w:left="0"/>
        <w:rPr>
          <w:rFonts w:eastAsia="Times New Roman" w:cs="Arial"/>
          <w:szCs w:val="24"/>
          <w:lang w:val="en-ZA"/>
        </w:rPr>
      </w:pPr>
      <w:r>
        <w:rPr>
          <w:rFonts w:eastAsia="Times New Roman" w:cs="Arial"/>
          <w:noProof/>
          <w:szCs w:val="24"/>
          <w:lang w:val="en-ZA"/>
          <w14:ligatures w14:val="standardContextual"/>
        </w:rPr>
        <w:t xml:space="preserve"> </w:t>
      </w:r>
    </w:p>
    <w:p w14:paraId="363DECC9" w14:textId="77777777" w:rsidR="00B1205C" w:rsidRDefault="00B1205C" w:rsidP="00B1205C">
      <w:pPr>
        <w:tabs>
          <w:tab w:val="right" w:pos="9029"/>
        </w:tabs>
        <w:spacing w:after="0" w:line="240" w:lineRule="auto"/>
        <w:ind w:left="0"/>
        <w:contextualSpacing/>
        <w:rPr>
          <w:rFonts w:eastAsia="Times New Roman" w:cs="Arial"/>
          <w:szCs w:val="24"/>
          <w:lang w:val="en-ZA"/>
        </w:rPr>
      </w:pPr>
    </w:p>
    <w:p w14:paraId="00B1BE87" w14:textId="77777777" w:rsidR="00B1205C" w:rsidRPr="00B95736" w:rsidRDefault="00B1205C" w:rsidP="00B1205C">
      <w:pPr>
        <w:pStyle w:val="JudgmentNumbered"/>
        <w:numPr>
          <w:ilvl w:val="0"/>
          <w:numId w:val="0"/>
        </w:numPr>
        <w:ind w:left="567" w:hanging="567"/>
        <w:jc w:val="right"/>
        <w:rPr>
          <w:lang w:val="en-ZA"/>
        </w:rPr>
      </w:pPr>
      <w:r w:rsidRPr="009746A1">
        <w:rPr>
          <w:lang w:val="en-ZA"/>
        </w:rPr>
        <w:t xml:space="preserve">Case Number: </w:t>
      </w:r>
      <w:r w:rsidRPr="00B95736">
        <w:rPr>
          <w:b/>
          <w:bCs/>
          <w:lang w:val="en-ZA"/>
        </w:rPr>
        <w:t>57741/2021</w:t>
      </w:r>
    </w:p>
    <w:p w14:paraId="3DE6FCE9" w14:textId="77777777" w:rsidR="00B1205C" w:rsidRDefault="00B1205C" w:rsidP="00B1205C">
      <w:pPr>
        <w:tabs>
          <w:tab w:val="right" w:pos="9029"/>
        </w:tabs>
        <w:spacing w:after="0" w:line="240" w:lineRule="auto"/>
        <w:ind w:left="0"/>
        <w:contextualSpacing/>
        <w:rPr>
          <w:rFonts w:eastAsia="Times New Roman" w:cs="Arial"/>
          <w:szCs w:val="24"/>
          <w:lang w:val="en-ZA"/>
        </w:rPr>
      </w:pPr>
    </w:p>
    <w:p w14:paraId="61815581" w14:textId="77777777" w:rsidR="00B1205C" w:rsidRPr="007B7F59" w:rsidRDefault="00B1205C" w:rsidP="00B1205C">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39BA1985" w14:textId="77777777" w:rsidR="00B1205C" w:rsidRPr="007B7F59" w:rsidRDefault="00B1205C" w:rsidP="00B1205C">
      <w:pPr>
        <w:tabs>
          <w:tab w:val="right" w:pos="9029"/>
        </w:tabs>
        <w:spacing w:after="0" w:line="240" w:lineRule="auto"/>
        <w:ind w:left="0"/>
        <w:contextualSpacing/>
        <w:rPr>
          <w:rFonts w:eastAsia="Times New Roman" w:cs="Arial"/>
          <w:b/>
          <w:szCs w:val="24"/>
          <w:lang w:val="en-ZA"/>
        </w:rPr>
      </w:pPr>
    </w:p>
    <w:p w14:paraId="3371CD1F" w14:textId="77777777" w:rsidR="00B1205C" w:rsidRPr="007B7F59" w:rsidRDefault="00B1205C" w:rsidP="00B1205C">
      <w:pPr>
        <w:tabs>
          <w:tab w:val="right" w:pos="9029"/>
        </w:tabs>
        <w:spacing w:after="0" w:line="240" w:lineRule="auto"/>
        <w:ind w:left="0"/>
        <w:contextualSpacing/>
        <w:rPr>
          <w:rFonts w:eastAsia="Times New Roman" w:cs="Arial"/>
          <w:b/>
          <w:szCs w:val="24"/>
          <w:lang w:val="en-ZA"/>
        </w:rPr>
      </w:pPr>
    </w:p>
    <w:p w14:paraId="2FD6F4E1" w14:textId="77777777" w:rsidR="00B1205C" w:rsidRPr="007B7F59" w:rsidRDefault="00B1205C" w:rsidP="00B1205C">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MILES VAN DER MOLEN</w:t>
      </w:r>
      <w:r w:rsidRPr="007B7F59">
        <w:rPr>
          <w:rFonts w:eastAsia="Times New Roman" w:cs="Arial"/>
          <w:b/>
          <w:szCs w:val="24"/>
          <w:lang w:val="en-ZA"/>
        </w:rPr>
        <w:tab/>
      </w:r>
      <w:r>
        <w:rPr>
          <w:rFonts w:eastAsia="Times New Roman" w:cs="Arial"/>
          <w:szCs w:val="24"/>
          <w:lang w:val="en-ZA"/>
        </w:rPr>
        <w:t>Plaintiff</w:t>
      </w:r>
    </w:p>
    <w:p w14:paraId="647D34AD" w14:textId="77777777" w:rsidR="00B1205C" w:rsidRPr="007B7F59" w:rsidRDefault="00B1205C" w:rsidP="00B1205C">
      <w:pPr>
        <w:tabs>
          <w:tab w:val="right" w:pos="9029"/>
        </w:tabs>
        <w:spacing w:after="0" w:line="240" w:lineRule="auto"/>
        <w:ind w:left="0"/>
        <w:contextualSpacing/>
        <w:rPr>
          <w:rFonts w:cs="Arial"/>
          <w:b/>
          <w:szCs w:val="24"/>
        </w:rPr>
      </w:pPr>
    </w:p>
    <w:p w14:paraId="325AC1FE" w14:textId="77777777" w:rsidR="00B1205C" w:rsidRPr="007B7F59" w:rsidRDefault="00B1205C" w:rsidP="00B1205C">
      <w:pPr>
        <w:tabs>
          <w:tab w:val="right" w:pos="9029"/>
        </w:tabs>
        <w:spacing w:after="0" w:line="240" w:lineRule="auto"/>
        <w:ind w:left="0"/>
        <w:contextualSpacing/>
        <w:rPr>
          <w:rFonts w:eastAsia="Times New Roman" w:cs="Arial"/>
          <w:b/>
          <w:szCs w:val="24"/>
          <w:lang w:val="en-ZA"/>
        </w:rPr>
      </w:pPr>
      <w:bookmarkStart w:id="1" w:name="_Hlk140479949"/>
      <w:r>
        <w:rPr>
          <w:rFonts w:eastAsia="Times New Roman" w:cs="Arial"/>
          <w:bCs/>
          <w:szCs w:val="24"/>
          <w:lang w:val="en-ZA"/>
        </w:rPr>
        <w:t>and</w:t>
      </w:r>
      <w:r w:rsidRPr="007B7F59">
        <w:rPr>
          <w:rFonts w:eastAsia="Times New Roman" w:cs="Arial"/>
          <w:b/>
          <w:szCs w:val="24"/>
          <w:lang w:val="en-ZA"/>
        </w:rPr>
        <w:tab/>
      </w:r>
    </w:p>
    <w:p w14:paraId="5ED0EB63" w14:textId="77777777" w:rsidR="00B1205C" w:rsidRDefault="00B1205C" w:rsidP="00B1205C">
      <w:pPr>
        <w:tabs>
          <w:tab w:val="right" w:pos="9029"/>
        </w:tabs>
        <w:spacing w:after="0" w:line="240" w:lineRule="auto"/>
        <w:ind w:left="0"/>
        <w:contextualSpacing/>
        <w:rPr>
          <w:rFonts w:cs="Arial"/>
          <w:b/>
          <w:szCs w:val="24"/>
        </w:rPr>
      </w:pPr>
      <w:bookmarkStart w:id="2" w:name="_Hlk140479922"/>
    </w:p>
    <w:bookmarkEnd w:id="1"/>
    <w:bookmarkEnd w:id="2"/>
    <w:p w14:paraId="0FE32510" w14:textId="77777777" w:rsidR="00B1205C" w:rsidRPr="00722C87" w:rsidRDefault="00B1205C" w:rsidP="00B1205C">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SOUTH AFRICAN CIVIL AVAITION AUTHORITY</w:t>
      </w:r>
      <w:r w:rsidRPr="007B7F59">
        <w:rPr>
          <w:rFonts w:eastAsia="Times New Roman" w:cs="Arial"/>
          <w:b/>
          <w:szCs w:val="24"/>
          <w:lang w:val="en-ZA"/>
        </w:rPr>
        <w:tab/>
      </w:r>
      <w:r>
        <w:rPr>
          <w:rFonts w:eastAsia="Times New Roman" w:cs="Arial"/>
          <w:bCs/>
          <w:szCs w:val="24"/>
          <w:lang w:val="en-ZA"/>
        </w:rPr>
        <w:t>Defendant</w:t>
      </w:r>
    </w:p>
    <w:p w14:paraId="1811801A" w14:textId="77777777" w:rsidR="00B1205C" w:rsidRPr="002068A8" w:rsidRDefault="00B1205C" w:rsidP="00B1205C">
      <w:pPr>
        <w:tabs>
          <w:tab w:val="right" w:pos="9029"/>
        </w:tabs>
        <w:spacing w:after="0" w:line="240" w:lineRule="auto"/>
        <w:ind w:left="0"/>
        <w:contextualSpacing/>
        <w:rPr>
          <w:rFonts w:eastAsia="Times New Roman" w:cs="Arial"/>
          <w:szCs w:val="24"/>
          <w:lang w:val="en-ZA"/>
        </w:rPr>
      </w:pPr>
    </w:p>
    <w:p w14:paraId="726C1C24" w14:textId="77777777" w:rsidR="00B1205C" w:rsidRPr="007B7F59" w:rsidRDefault="00B1205C" w:rsidP="00B1205C">
      <w:pPr>
        <w:tabs>
          <w:tab w:val="right" w:pos="9029"/>
        </w:tabs>
        <w:spacing w:after="0" w:line="240" w:lineRule="auto"/>
        <w:ind w:left="0"/>
        <w:contextualSpacing/>
        <w:rPr>
          <w:rFonts w:eastAsia="Times New Roman" w:cs="Arial"/>
          <w:b/>
          <w:szCs w:val="24"/>
          <w:lang w:val="en-ZA"/>
        </w:rPr>
      </w:pPr>
      <w:r>
        <w:rPr>
          <w:rFonts w:eastAsia="Times New Roman" w:cs="Arial"/>
          <w:bCs/>
          <w:szCs w:val="24"/>
          <w:lang w:val="en-ZA"/>
        </w:rPr>
        <w:t>AND</w:t>
      </w:r>
      <w:r w:rsidRPr="007B7F59">
        <w:rPr>
          <w:rFonts w:eastAsia="Times New Roman" w:cs="Arial"/>
          <w:b/>
          <w:szCs w:val="24"/>
          <w:lang w:val="en-ZA"/>
        </w:rPr>
        <w:tab/>
      </w:r>
    </w:p>
    <w:p w14:paraId="388081D9" w14:textId="77777777" w:rsidR="00B1205C" w:rsidRDefault="00B1205C" w:rsidP="00B1205C">
      <w:pPr>
        <w:tabs>
          <w:tab w:val="right" w:pos="9029"/>
        </w:tabs>
        <w:spacing w:after="0" w:line="240" w:lineRule="auto"/>
        <w:ind w:left="0"/>
        <w:contextualSpacing/>
        <w:rPr>
          <w:rFonts w:cs="Arial"/>
          <w:b/>
          <w:szCs w:val="24"/>
        </w:rPr>
      </w:pPr>
    </w:p>
    <w:p w14:paraId="3502238C" w14:textId="77777777" w:rsidR="00B1205C" w:rsidRPr="00B95736" w:rsidRDefault="00B1205C" w:rsidP="00B1205C">
      <w:pPr>
        <w:tabs>
          <w:tab w:val="right" w:pos="9029"/>
        </w:tabs>
        <w:spacing w:after="0" w:line="240" w:lineRule="auto"/>
        <w:ind w:left="0"/>
        <w:contextualSpacing/>
        <w:rPr>
          <w:rFonts w:eastAsia="Times New Roman" w:cs="Arial"/>
          <w:bCs/>
          <w:szCs w:val="24"/>
          <w:lang w:val="en-ZA"/>
        </w:rPr>
      </w:pPr>
      <w:r w:rsidRPr="007B7F59">
        <w:rPr>
          <w:rFonts w:eastAsia="Times New Roman" w:cs="Arial"/>
          <w:b/>
          <w:szCs w:val="24"/>
          <w:lang w:val="en-ZA"/>
        </w:rPr>
        <w:tab/>
      </w:r>
      <w:r>
        <w:rPr>
          <w:rFonts w:eastAsia="Times New Roman" w:cs="Arial"/>
          <w:bCs/>
          <w:szCs w:val="24"/>
          <w:lang w:val="en-ZA"/>
        </w:rPr>
        <w:t xml:space="preserve">Case Number: </w:t>
      </w:r>
      <w:r w:rsidRPr="00B95736">
        <w:rPr>
          <w:rFonts w:eastAsia="Times New Roman" w:cs="Arial"/>
          <w:b/>
          <w:szCs w:val="24"/>
          <w:lang w:val="en-ZA"/>
        </w:rPr>
        <w:t>57742/2021</w:t>
      </w:r>
    </w:p>
    <w:p w14:paraId="2E1A70CD" w14:textId="77777777" w:rsidR="00B1205C" w:rsidRPr="004E17F7" w:rsidRDefault="00B1205C" w:rsidP="00B1205C">
      <w:pPr>
        <w:tabs>
          <w:tab w:val="right" w:pos="9029"/>
        </w:tabs>
        <w:spacing w:after="0" w:line="240" w:lineRule="auto"/>
        <w:ind w:left="0"/>
        <w:contextualSpacing/>
        <w:rPr>
          <w:rFonts w:eastAsia="Times New Roman" w:cs="Arial"/>
          <w:b/>
          <w:bCs/>
          <w:szCs w:val="24"/>
          <w:lang w:val="en-ZA"/>
        </w:rPr>
      </w:pPr>
      <w:r w:rsidRPr="007B7F59">
        <w:rPr>
          <w:rFonts w:eastAsia="Times New Roman" w:cs="Arial"/>
          <w:b/>
          <w:szCs w:val="24"/>
          <w:lang w:val="en-ZA"/>
        </w:rPr>
        <w:tab/>
      </w:r>
    </w:p>
    <w:p w14:paraId="47663221" w14:textId="77777777" w:rsidR="00B1205C" w:rsidRDefault="00B1205C" w:rsidP="00B1205C">
      <w:pPr>
        <w:tabs>
          <w:tab w:val="right" w:pos="9029"/>
        </w:tabs>
        <w:spacing w:after="0" w:line="240" w:lineRule="auto"/>
        <w:ind w:left="0"/>
        <w:contextualSpacing/>
        <w:rPr>
          <w:rFonts w:eastAsia="Times New Roman" w:cs="Arial"/>
          <w:szCs w:val="24"/>
          <w:lang w:val="en-ZA"/>
        </w:rPr>
      </w:pPr>
    </w:p>
    <w:p w14:paraId="369DE4AB" w14:textId="77777777" w:rsidR="00B1205C" w:rsidRPr="007B7F59" w:rsidRDefault="00B1205C" w:rsidP="00B1205C">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25A554D" w14:textId="77777777" w:rsidR="00B1205C" w:rsidRPr="007B7F59" w:rsidRDefault="00B1205C" w:rsidP="00B1205C">
      <w:pPr>
        <w:tabs>
          <w:tab w:val="right" w:pos="9029"/>
        </w:tabs>
        <w:spacing w:after="0" w:line="240" w:lineRule="auto"/>
        <w:ind w:left="0"/>
        <w:contextualSpacing/>
        <w:rPr>
          <w:rFonts w:eastAsia="Times New Roman" w:cs="Arial"/>
          <w:b/>
          <w:szCs w:val="24"/>
          <w:lang w:val="en-ZA"/>
        </w:rPr>
      </w:pPr>
    </w:p>
    <w:p w14:paraId="3E875B5E" w14:textId="77777777" w:rsidR="00B1205C" w:rsidRPr="007B7F59" w:rsidRDefault="00B1205C" w:rsidP="00B1205C">
      <w:pPr>
        <w:tabs>
          <w:tab w:val="right" w:pos="9029"/>
        </w:tabs>
        <w:spacing w:after="0" w:line="240" w:lineRule="auto"/>
        <w:ind w:left="0"/>
        <w:contextualSpacing/>
        <w:rPr>
          <w:rFonts w:eastAsia="Times New Roman" w:cs="Arial"/>
          <w:b/>
          <w:szCs w:val="24"/>
          <w:lang w:val="en-ZA"/>
        </w:rPr>
      </w:pPr>
    </w:p>
    <w:p w14:paraId="69C8EA4E" w14:textId="77777777" w:rsidR="00B1205C" w:rsidRPr="007B7F59" w:rsidRDefault="00B1205C" w:rsidP="00B1205C">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CEMAIR (PTY) LTD</w:t>
      </w:r>
      <w:r w:rsidRPr="007B7F59">
        <w:rPr>
          <w:rFonts w:eastAsia="Times New Roman" w:cs="Arial"/>
          <w:b/>
          <w:szCs w:val="24"/>
          <w:lang w:val="en-ZA"/>
        </w:rPr>
        <w:tab/>
      </w:r>
      <w:r>
        <w:rPr>
          <w:rFonts w:eastAsia="Times New Roman" w:cs="Arial"/>
          <w:szCs w:val="24"/>
          <w:lang w:val="en-ZA"/>
        </w:rPr>
        <w:t>Plaintiff</w:t>
      </w:r>
    </w:p>
    <w:p w14:paraId="5BD1A546" w14:textId="77777777" w:rsidR="00B1205C" w:rsidRPr="007B7F59" w:rsidRDefault="00B1205C" w:rsidP="00B1205C">
      <w:pPr>
        <w:tabs>
          <w:tab w:val="right" w:pos="9029"/>
        </w:tabs>
        <w:spacing w:after="0" w:line="240" w:lineRule="auto"/>
        <w:ind w:left="0"/>
        <w:contextualSpacing/>
        <w:rPr>
          <w:rFonts w:cs="Arial"/>
          <w:b/>
          <w:szCs w:val="24"/>
        </w:rPr>
      </w:pPr>
    </w:p>
    <w:p w14:paraId="14BE60B3" w14:textId="77777777" w:rsidR="00B1205C" w:rsidRPr="007B7F59" w:rsidRDefault="00B1205C" w:rsidP="00B1205C">
      <w:pPr>
        <w:tabs>
          <w:tab w:val="right" w:pos="9029"/>
        </w:tabs>
        <w:spacing w:after="0" w:line="240" w:lineRule="auto"/>
        <w:ind w:left="0"/>
        <w:contextualSpacing/>
        <w:rPr>
          <w:rFonts w:eastAsia="Times New Roman" w:cs="Arial"/>
          <w:b/>
          <w:szCs w:val="24"/>
          <w:lang w:val="en-ZA"/>
        </w:rPr>
      </w:pPr>
      <w:r>
        <w:rPr>
          <w:rFonts w:eastAsia="Times New Roman" w:cs="Arial"/>
          <w:bCs/>
          <w:szCs w:val="24"/>
          <w:lang w:val="en-ZA"/>
        </w:rPr>
        <w:t>and</w:t>
      </w:r>
      <w:r w:rsidRPr="007B7F59">
        <w:rPr>
          <w:rFonts w:eastAsia="Times New Roman" w:cs="Arial"/>
          <w:b/>
          <w:szCs w:val="24"/>
          <w:lang w:val="en-ZA"/>
        </w:rPr>
        <w:tab/>
      </w:r>
    </w:p>
    <w:p w14:paraId="66906693" w14:textId="77777777" w:rsidR="00B1205C" w:rsidRDefault="00B1205C" w:rsidP="00B1205C">
      <w:pPr>
        <w:tabs>
          <w:tab w:val="right" w:pos="9029"/>
        </w:tabs>
        <w:spacing w:after="0" w:line="240" w:lineRule="auto"/>
        <w:ind w:left="0"/>
        <w:contextualSpacing/>
        <w:rPr>
          <w:rFonts w:cs="Arial"/>
          <w:b/>
          <w:szCs w:val="24"/>
        </w:rPr>
      </w:pPr>
    </w:p>
    <w:p w14:paraId="4CBC1468" w14:textId="77777777" w:rsidR="00B1205C" w:rsidRPr="00722C87" w:rsidRDefault="00B1205C" w:rsidP="00B1205C">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SOUTH AFRICAN CIVIL AVIATION AUTHORITY</w:t>
      </w:r>
      <w:r w:rsidRPr="007B7F59">
        <w:rPr>
          <w:rFonts w:eastAsia="Times New Roman" w:cs="Arial"/>
          <w:b/>
          <w:szCs w:val="24"/>
          <w:lang w:val="en-ZA"/>
        </w:rPr>
        <w:tab/>
      </w:r>
      <w:r>
        <w:rPr>
          <w:rFonts w:eastAsia="Times New Roman" w:cs="Arial"/>
          <w:bCs/>
          <w:szCs w:val="24"/>
          <w:lang w:val="en-ZA"/>
        </w:rPr>
        <w:t>First Defendant</w:t>
      </w:r>
    </w:p>
    <w:p w14:paraId="6667AF0C" w14:textId="77777777" w:rsidR="00B1205C" w:rsidRPr="002068A8" w:rsidRDefault="00B1205C" w:rsidP="00B1205C">
      <w:pPr>
        <w:tabs>
          <w:tab w:val="right" w:pos="9029"/>
        </w:tabs>
        <w:spacing w:after="0" w:line="240" w:lineRule="auto"/>
        <w:ind w:left="0"/>
        <w:contextualSpacing/>
        <w:rPr>
          <w:rFonts w:eastAsia="Times New Roman" w:cs="Arial"/>
          <w:szCs w:val="24"/>
          <w:lang w:val="en-ZA"/>
        </w:rPr>
      </w:pPr>
    </w:p>
    <w:p w14:paraId="32B35453" w14:textId="77777777" w:rsidR="00B1205C" w:rsidRDefault="00B1205C" w:rsidP="00B1205C">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SIMPHIWE SALELA</w:t>
      </w:r>
      <w:r w:rsidRPr="007B7F59">
        <w:rPr>
          <w:rFonts w:eastAsia="Times New Roman" w:cs="Arial"/>
          <w:b/>
          <w:szCs w:val="24"/>
          <w:lang w:val="en-ZA"/>
        </w:rPr>
        <w:tab/>
      </w:r>
      <w:r w:rsidRPr="00B95736">
        <w:rPr>
          <w:rFonts w:eastAsia="Times New Roman" w:cs="Arial"/>
          <w:bCs/>
          <w:szCs w:val="24"/>
          <w:lang w:val="en-ZA"/>
        </w:rPr>
        <w:t>Second Defendant</w:t>
      </w:r>
    </w:p>
    <w:p w14:paraId="0EAF583E" w14:textId="77777777" w:rsidR="003673D2" w:rsidRPr="003673D2" w:rsidRDefault="003673D2" w:rsidP="003673D2">
      <w:pPr>
        <w:pStyle w:val="JudgmentNumbered"/>
        <w:numPr>
          <w:ilvl w:val="0"/>
          <w:numId w:val="0"/>
        </w:numPr>
        <w:ind w:left="567" w:hanging="567"/>
        <w:rPr>
          <w:lang w:val="en-ZA"/>
        </w:rPr>
      </w:pPr>
    </w:p>
    <w:p w14:paraId="24B6BC63" w14:textId="77777777" w:rsidR="00B1205C" w:rsidRPr="007B7F59" w:rsidRDefault="00B1205C" w:rsidP="00B1205C">
      <w:pPr>
        <w:spacing w:after="0" w:line="240" w:lineRule="auto"/>
        <w:ind w:left="0"/>
        <w:jc w:val="left"/>
        <w:rPr>
          <w:rFonts w:cs="Arial"/>
          <w:b/>
          <w:szCs w:val="24"/>
        </w:rPr>
      </w:pPr>
    </w:p>
    <w:p w14:paraId="1165D957" w14:textId="77777777" w:rsidR="00B1205C" w:rsidRPr="007B7F59" w:rsidRDefault="00B1205C" w:rsidP="00B1205C">
      <w:pPr>
        <w:pBdr>
          <w:bottom w:val="single" w:sz="12" w:space="1" w:color="auto"/>
        </w:pBdr>
        <w:spacing w:after="0" w:line="240" w:lineRule="auto"/>
        <w:ind w:left="0"/>
        <w:jc w:val="left"/>
        <w:rPr>
          <w:rFonts w:cs="Arial"/>
          <w:b/>
          <w:szCs w:val="24"/>
          <w:lang w:val="en-ZA"/>
        </w:rPr>
      </w:pPr>
    </w:p>
    <w:p w14:paraId="0B4F9B00" w14:textId="77777777" w:rsidR="00B1205C" w:rsidRPr="007B7F59" w:rsidRDefault="00B1205C" w:rsidP="00B1205C">
      <w:pPr>
        <w:spacing w:after="0" w:line="240" w:lineRule="auto"/>
        <w:ind w:left="1440" w:hanging="1440"/>
        <w:jc w:val="left"/>
        <w:rPr>
          <w:rFonts w:cs="Arial"/>
          <w:b/>
          <w:szCs w:val="24"/>
        </w:rPr>
      </w:pPr>
    </w:p>
    <w:p w14:paraId="07FA11EA" w14:textId="77777777" w:rsidR="00B1205C" w:rsidRPr="007B7F59" w:rsidRDefault="00B1205C" w:rsidP="00B1205C">
      <w:pPr>
        <w:pBdr>
          <w:bottom w:val="single" w:sz="12" w:space="1" w:color="auto"/>
        </w:pBdr>
        <w:spacing w:line="480" w:lineRule="auto"/>
        <w:ind w:left="0"/>
        <w:jc w:val="center"/>
        <w:rPr>
          <w:rFonts w:cs="Arial"/>
          <w:b/>
          <w:szCs w:val="24"/>
          <w:lang w:val="en-ZA"/>
        </w:rPr>
      </w:pPr>
      <w:r>
        <w:rPr>
          <w:rFonts w:cs="Arial"/>
          <w:b/>
          <w:szCs w:val="24"/>
          <w:lang w:val="en-ZA"/>
        </w:rPr>
        <w:t>ORDER</w:t>
      </w:r>
    </w:p>
    <w:p w14:paraId="1F8DF95A" w14:textId="47A1E92D" w:rsidR="00B1205C" w:rsidRDefault="00D17423" w:rsidP="00D17423">
      <w:pPr>
        <w:pStyle w:val="JudgmentNumbered"/>
        <w:numPr>
          <w:ilvl w:val="0"/>
          <w:numId w:val="0"/>
        </w:numPr>
        <w:ind w:left="720" w:hanging="720"/>
      </w:pPr>
      <w:r>
        <w:t>[1]</w:t>
      </w:r>
      <w:r>
        <w:tab/>
      </w:r>
      <w:r w:rsidR="00B1205C">
        <w:t>The exceptions are dismissed with costs.</w:t>
      </w:r>
    </w:p>
    <w:p w14:paraId="24A3C624" w14:textId="77777777" w:rsidR="00B1205C" w:rsidRPr="007B7F59" w:rsidRDefault="00B1205C" w:rsidP="00B1205C">
      <w:pPr>
        <w:pBdr>
          <w:bottom w:val="single" w:sz="12" w:space="1" w:color="auto"/>
        </w:pBdr>
        <w:spacing w:after="0" w:line="240" w:lineRule="auto"/>
        <w:ind w:left="0"/>
        <w:jc w:val="left"/>
        <w:rPr>
          <w:rFonts w:cs="Arial"/>
          <w:b/>
          <w:szCs w:val="24"/>
          <w:lang w:val="en-ZA"/>
        </w:rPr>
      </w:pPr>
    </w:p>
    <w:p w14:paraId="39F521C1" w14:textId="77777777" w:rsidR="00B1205C" w:rsidRPr="007B7F59" w:rsidRDefault="00B1205C" w:rsidP="00B1205C">
      <w:pPr>
        <w:spacing w:after="0" w:line="240" w:lineRule="auto"/>
        <w:ind w:left="1440" w:hanging="1440"/>
        <w:jc w:val="left"/>
        <w:rPr>
          <w:rFonts w:cs="Arial"/>
          <w:b/>
          <w:szCs w:val="24"/>
        </w:rPr>
      </w:pPr>
    </w:p>
    <w:p w14:paraId="0C1CB851" w14:textId="77777777" w:rsidR="00B1205C" w:rsidRPr="00B021F2" w:rsidRDefault="00B1205C" w:rsidP="00B1205C">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4D7AEAD" w14:textId="77777777" w:rsidR="00B1205C" w:rsidRDefault="00B1205C" w:rsidP="00B1205C">
      <w:pPr>
        <w:spacing w:after="0" w:line="240" w:lineRule="auto"/>
        <w:ind w:left="0"/>
        <w:jc w:val="left"/>
        <w:rPr>
          <w:rFonts w:cs="Arial"/>
          <w:szCs w:val="24"/>
        </w:rPr>
      </w:pPr>
      <w:r>
        <w:rPr>
          <w:rFonts w:cs="Arial"/>
          <w:szCs w:val="24"/>
        </w:rPr>
        <w:t>Fisher J</w:t>
      </w:r>
    </w:p>
    <w:p w14:paraId="215505FB" w14:textId="77777777" w:rsidR="00B1205C" w:rsidRPr="007B7F59" w:rsidRDefault="00B1205C" w:rsidP="00B1205C">
      <w:pPr>
        <w:spacing w:after="0" w:line="240" w:lineRule="auto"/>
        <w:ind w:left="0"/>
        <w:jc w:val="left"/>
        <w:rPr>
          <w:rFonts w:cs="Arial"/>
          <w:szCs w:val="24"/>
        </w:rPr>
      </w:pPr>
    </w:p>
    <w:p w14:paraId="55D32D92" w14:textId="77777777" w:rsidR="00B1205C" w:rsidRPr="007B7F59" w:rsidRDefault="00B1205C" w:rsidP="00B1205C">
      <w:pPr>
        <w:spacing w:after="0" w:line="240" w:lineRule="auto"/>
        <w:ind w:left="0"/>
        <w:jc w:val="left"/>
        <w:rPr>
          <w:rFonts w:cs="Arial"/>
          <w:szCs w:val="24"/>
        </w:rPr>
      </w:pPr>
    </w:p>
    <w:p w14:paraId="21882D81" w14:textId="77777777" w:rsidR="00B1205C" w:rsidRPr="00854AE6" w:rsidRDefault="00B1205C" w:rsidP="00B1205C">
      <w:pPr>
        <w:pStyle w:val="JudgmentHeading"/>
      </w:pPr>
      <w:r w:rsidRPr="00854AE6">
        <w:t>Introduction</w:t>
      </w:r>
    </w:p>
    <w:p w14:paraId="0046842F" w14:textId="7BA01711" w:rsidR="00B1205C" w:rsidRDefault="00D17423" w:rsidP="00D17423">
      <w:pPr>
        <w:pStyle w:val="JudgmentNumbered"/>
        <w:numPr>
          <w:ilvl w:val="0"/>
          <w:numId w:val="0"/>
        </w:numPr>
        <w:ind w:left="720" w:hanging="720"/>
      </w:pPr>
      <w:r>
        <w:t>[2]</w:t>
      </w:r>
      <w:r>
        <w:tab/>
      </w:r>
      <w:r w:rsidR="00B1205C" w:rsidRPr="009935AB">
        <w:t>This judgment is in respect of two related cases in which exceptions have been brought in actions for damages in delict against the Civil Aviation Authority (</w:t>
      </w:r>
      <w:r w:rsidR="00B1205C">
        <w:t>“</w:t>
      </w:r>
      <w:r w:rsidR="00B1205C" w:rsidRPr="009935AB">
        <w:t>CAA</w:t>
      </w:r>
      <w:r w:rsidR="00B1205C">
        <w:t xml:space="preserve">”). </w:t>
      </w:r>
      <w:r w:rsidR="00B1205C" w:rsidRPr="009935AB">
        <w:t>The CAA contends that there is no cause of action pleaded in both matters</w:t>
      </w:r>
      <w:r w:rsidR="00B1205C">
        <w:t>.</w:t>
      </w:r>
    </w:p>
    <w:p w14:paraId="2C49BC24" w14:textId="7916D2C0" w:rsidR="00B1205C" w:rsidRDefault="00D17423" w:rsidP="00D17423">
      <w:pPr>
        <w:pStyle w:val="JudgmentNumbered"/>
        <w:numPr>
          <w:ilvl w:val="0"/>
          <w:numId w:val="0"/>
        </w:numPr>
        <w:ind w:left="720" w:hanging="720"/>
      </w:pPr>
      <w:r>
        <w:t>[3]</w:t>
      </w:r>
      <w:r>
        <w:tab/>
      </w:r>
      <w:r w:rsidR="00B1205C" w:rsidRPr="009935AB">
        <w:t>The cases comprise an action based on a defamation brought under case number</w:t>
      </w:r>
      <w:r w:rsidR="00B1205C">
        <w:t xml:space="preserve"> 57741</w:t>
      </w:r>
      <w:r w:rsidR="00B1205C" w:rsidRPr="009935AB">
        <w:t>/2021 by a director of</w:t>
      </w:r>
      <w:r w:rsidR="00B1205C">
        <w:t xml:space="preserve"> </w:t>
      </w:r>
      <w:r w:rsidR="00B1205C" w:rsidRPr="009935AB">
        <w:t>Cemair, Mr Miles van der Molen which I shall refer to as the “van der Molen action”</w:t>
      </w:r>
      <w:r w:rsidR="00B1205C">
        <w:t>,</w:t>
      </w:r>
      <w:r w:rsidR="00B1205C" w:rsidRPr="009935AB">
        <w:t xml:space="preserve"> and an action under case number </w:t>
      </w:r>
      <w:r w:rsidR="00B1205C">
        <w:t xml:space="preserve">57742/2021 </w:t>
      </w:r>
      <w:r w:rsidR="00B1205C" w:rsidRPr="009935AB">
        <w:t>based on the alleged breach by the CAA of its duty of care towards Cemair</w:t>
      </w:r>
      <w:r w:rsidR="00B1205C">
        <w:t>,</w:t>
      </w:r>
      <w:r w:rsidR="00B1205C" w:rsidRPr="009935AB">
        <w:t xml:space="preserve"> which I shall refer to as the </w:t>
      </w:r>
      <w:r w:rsidR="00B1205C">
        <w:t>“</w:t>
      </w:r>
      <w:r w:rsidR="00B1205C" w:rsidRPr="009935AB">
        <w:t>Cemair action</w:t>
      </w:r>
      <w:r w:rsidR="00B1205C">
        <w:t>”</w:t>
      </w:r>
      <w:r w:rsidR="00B1205C" w:rsidRPr="009935AB">
        <w:t>. The Cemair action includes a claim against Mr Simphiwe Salela, an Airworthiness Inspector who acted in his official capacity as an employee of the CAA.</w:t>
      </w:r>
    </w:p>
    <w:p w14:paraId="23C38C58" w14:textId="77777777" w:rsidR="00B1205C" w:rsidRPr="00C628B2" w:rsidRDefault="00B1205C" w:rsidP="00B1205C">
      <w:pPr>
        <w:pStyle w:val="JudgmentNumbered"/>
        <w:numPr>
          <w:ilvl w:val="0"/>
          <w:numId w:val="0"/>
        </w:numPr>
        <w:rPr>
          <w:i/>
          <w:iCs/>
          <w:lang w:val="en-ZA"/>
        </w:rPr>
      </w:pPr>
      <w:r w:rsidRPr="00D74B7E">
        <w:rPr>
          <w:i/>
          <w:iCs/>
          <w:lang w:val="en-ZA"/>
        </w:rPr>
        <w:t>The nature of the exceptions</w:t>
      </w:r>
    </w:p>
    <w:p w14:paraId="24F7B618" w14:textId="44833862" w:rsidR="00E327BF" w:rsidRDefault="00D17423" w:rsidP="00D17423">
      <w:pPr>
        <w:pStyle w:val="JudgmentNumbered"/>
        <w:numPr>
          <w:ilvl w:val="0"/>
          <w:numId w:val="0"/>
        </w:numPr>
        <w:ind w:left="720" w:hanging="720"/>
      </w:pPr>
      <w:r>
        <w:t>[4]</w:t>
      </w:r>
      <w:r>
        <w:tab/>
      </w:r>
      <w:r w:rsidR="00B1205C" w:rsidRPr="00B1205C">
        <w:t>Exceptions taken in both cases relate to the application of the Institution of Legal Proceedings Against Certain Organs of State Act (“the Act”).</w:t>
      </w:r>
      <w:r w:rsidR="00B1205C">
        <w:rPr>
          <w:rStyle w:val="FootnoteReference"/>
        </w:rPr>
        <w:footnoteReference w:id="1"/>
      </w:r>
      <w:r w:rsidR="00E327BF">
        <w:t xml:space="preserve"> </w:t>
      </w:r>
      <w:r w:rsidR="00E327BF" w:rsidRPr="00E327BF">
        <w:t xml:space="preserve">Essentially the argument is that the Act applies to actions against the CAA; that the formalities prescribed by the Act in relation to the institution of legal proceedings </w:t>
      </w:r>
      <w:r w:rsidR="00E327BF" w:rsidRPr="00E327BF">
        <w:lastRenderedPageBreak/>
        <w:t>against the CAA have not been complied with; and that this non-compliance is fatal to the claims in both actions</w:t>
      </w:r>
      <w:r w:rsidR="00E327BF">
        <w:t>.</w:t>
      </w:r>
    </w:p>
    <w:p w14:paraId="63343E49" w14:textId="70A6A7E0" w:rsidR="00E327BF" w:rsidRPr="00E327BF" w:rsidRDefault="00D17423" w:rsidP="00D17423">
      <w:pPr>
        <w:pStyle w:val="JudgmentNumbered"/>
        <w:numPr>
          <w:ilvl w:val="0"/>
          <w:numId w:val="0"/>
        </w:numPr>
        <w:ind w:left="720" w:hanging="720"/>
      </w:pPr>
      <w:r w:rsidRPr="00E327BF">
        <w:t>[5]</w:t>
      </w:r>
      <w:r w:rsidRPr="00E327BF">
        <w:tab/>
      </w:r>
      <w:r w:rsidR="00E327BF" w:rsidRPr="00E327BF">
        <w:t>In addition, the CAA raises in the Cemair action that there is no duty of care as pleaded and that in relation to the second defendant that there is a statutory exclusion of liability which applies in respect of the claim.</w:t>
      </w:r>
    </w:p>
    <w:p w14:paraId="4B8B7EA6" w14:textId="4F89B30C" w:rsidR="00E327BF" w:rsidRDefault="00D17423" w:rsidP="00D17423">
      <w:pPr>
        <w:pStyle w:val="JudgmentNumbered"/>
        <w:numPr>
          <w:ilvl w:val="0"/>
          <w:numId w:val="0"/>
        </w:numPr>
        <w:ind w:left="720" w:hanging="720"/>
      </w:pPr>
      <w:r>
        <w:t>[6]</w:t>
      </w:r>
      <w:r>
        <w:tab/>
      </w:r>
      <w:r w:rsidR="00E327BF" w:rsidRPr="00E327BF">
        <w:t>It is accepted that a pleading will be excipiable when</w:t>
      </w:r>
      <w:r w:rsidR="00AB5E63">
        <w:t>,</w:t>
      </w:r>
      <w:r w:rsidR="00E327BF" w:rsidRPr="00E327BF">
        <w:t xml:space="preserve"> even accepting the allegations of the plaintiff</w:t>
      </w:r>
      <w:r w:rsidR="00AB5E63">
        <w:t>,</w:t>
      </w:r>
      <w:r w:rsidR="00E327BF" w:rsidRPr="00E327BF">
        <w:t xml:space="preserve"> it does not disclose a cause of action on any interpretation</w:t>
      </w:r>
      <w:r w:rsidR="00E327BF">
        <w:t>.</w:t>
      </w:r>
      <w:r w:rsidR="008A33AD">
        <w:rPr>
          <w:rStyle w:val="FootnoteReference"/>
        </w:rPr>
        <w:footnoteReference w:id="2"/>
      </w:r>
    </w:p>
    <w:p w14:paraId="2830284A" w14:textId="3993A5E4" w:rsidR="00164A39" w:rsidRPr="00164A39" w:rsidRDefault="00164A39" w:rsidP="00164A39">
      <w:pPr>
        <w:pStyle w:val="JudgmentNumbered"/>
        <w:numPr>
          <w:ilvl w:val="0"/>
          <w:numId w:val="0"/>
        </w:numPr>
        <w:rPr>
          <w:i/>
          <w:iCs/>
        </w:rPr>
      </w:pPr>
      <w:r>
        <w:rPr>
          <w:i/>
          <w:iCs/>
        </w:rPr>
        <w:t>The plaintiffs’ arguments</w:t>
      </w:r>
    </w:p>
    <w:p w14:paraId="1F1B546A" w14:textId="51CD6432" w:rsidR="00164A39" w:rsidRDefault="00D17423" w:rsidP="00D17423">
      <w:pPr>
        <w:pStyle w:val="JudgmentNumbered"/>
        <w:numPr>
          <w:ilvl w:val="0"/>
          <w:numId w:val="0"/>
        </w:numPr>
        <w:ind w:left="720" w:hanging="720"/>
      </w:pPr>
      <w:r>
        <w:t>[7]</w:t>
      </w:r>
      <w:r>
        <w:tab/>
      </w:r>
      <w:r w:rsidR="00164A39" w:rsidRPr="00164A39">
        <w:t xml:space="preserve">The </w:t>
      </w:r>
      <w:r w:rsidR="0078697A" w:rsidRPr="00164A39">
        <w:t>plaintiffs argue</w:t>
      </w:r>
      <w:r w:rsidR="00164A39" w:rsidRPr="00164A39">
        <w:t xml:space="preserve"> in relation to the exception pertaining to compliance with the Act that</w:t>
      </w:r>
      <w:r w:rsidR="00AB5E63">
        <w:t>,</w:t>
      </w:r>
      <w:r w:rsidR="00164A39" w:rsidRPr="00164A39">
        <w:t xml:space="preserve"> regardless of the applica</w:t>
      </w:r>
      <w:r w:rsidR="00AB5E63">
        <w:t>bility</w:t>
      </w:r>
      <w:r w:rsidR="00164A39" w:rsidRPr="00164A39">
        <w:t xml:space="preserve"> or otherwise of the Act to actions against the CAA</w:t>
      </w:r>
      <w:r w:rsidR="00782D28">
        <w:t>,</w:t>
      </w:r>
      <w:r w:rsidR="00164A39" w:rsidRPr="00164A39">
        <w:t xml:space="preserve"> th</w:t>
      </w:r>
      <w:r w:rsidR="0078697A">
        <w:t>e</w:t>
      </w:r>
      <w:r w:rsidR="00164A39" w:rsidRPr="00164A39">
        <w:t xml:space="preserve"> use of the exception process is not competent to determine the point and that the CAA</w:t>
      </w:r>
      <w:r w:rsidR="00AB5E63">
        <w:t>,</w:t>
      </w:r>
      <w:r w:rsidR="00164A39" w:rsidRPr="00164A39">
        <w:t xml:space="preserve"> if it w</w:t>
      </w:r>
      <w:r w:rsidR="00AB5E63">
        <w:t>ishes</w:t>
      </w:r>
      <w:r w:rsidR="00164A39" w:rsidRPr="00164A39">
        <w:t xml:space="preserve"> to raise the point</w:t>
      </w:r>
      <w:r w:rsidR="00AB5E63">
        <w:t>,</w:t>
      </w:r>
      <w:r w:rsidR="00164A39" w:rsidRPr="00164A39">
        <w:t xml:space="preserve"> is obliged to do so by pleading thereto in a special plea.</w:t>
      </w:r>
    </w:p>
    <w:p w14:paraId="47D6E9B2" w14:textId="1AF20598" w:rsidR="005675BB" w:rsidRDefault="00D17423" w:rsidP="00D17423">
      <w:pPr>
        <w:pStyle w:val="JudgmentNumbered"/>
        <w:numPr>
          <w:ilvl w:val="0"/>
          <w:numId w:val="0"/>
        </w:numPr>
        <w:ind w:left="720" w:hanging="720"/>
      </w:pPr>
      <w:r>
        <w:t>[8]</w:t>
      </w:r>
      <w:r>
        <w:tab/>
      </w:r>
      <w:r w:rsidR="005675BB">
        <w:t>In relation to the exclusionary provision in section 99 of the Civil Aviation Act</w:t>
      </w:r>
      <w:r w:rsidR="00891BF1">
        <w:t xml:space="preserve"> (“CA Act”)</w:t>
      </w:r>
      <w:r w:rsidR="005675BB">
        <w:t>,</w:t>
      </w:r>
      <w:r w:rsidR="005675BB">
        <w:rPr>
          <w:rStyle w:val="FootnoteReference"/>
        </w:rPr>
        <w:footnoteReference w:id="3"/>
      </w:r>
      <w:r w:rsidR="005675BB">
        <w:t xml:space="preserve"> the plaintiffs in the Cemair action argue that the protections under such section do not extend to </w:t>
      </w:r>
      <w:r w:rsidR="005675BB" w:rsidRPr="005675BB">
        <w:rPr>
          <w:i/>
          <w:iCs/>
        </w:rPr>
        <w:t>mala fides</w:t>
      </w:r>
      <w:r w:rsidR="005675BB">
        <w:t>, which is pleaded.</w:t>
      </w:r>
    </w:p>
    <w:p w14:paraId="3D0A6FA5" w14:textId="5445F5C2" w:rsidR="005675BB" w:rsidRDefault="00D17423" w:rsidP="00D17423">
      <w:pPr>
        <w:pStyle w:val="JudgmentNumbered"/>
        <w:numPr>
          <w:ilvl w:val="0"/>
          <w:numId w:val="0"/>
        </w:numPr>
        <w:ind w:left="720" w:hanging="720"/>
      </w:pPr>
      <w:r>
        <w:t>[9]</w:t>
      </w:r>
      <w:r>
        <w:tab/>
      </w:r>
      <w:r w:rsidR="005675BB">
        <w:t>In relation to the duty of care, Cemair argues that a cause of action has been pleaded and that, to the extent necessary, the Aquilian action may be extended to allow for a claim in the circumstances pleaded.</w:t>
      </w:r>
    </w:p>
    <w:p w14:paraId="285FD788" w14:textId="6858AD79" w:rsidR="005675BB" w:rsidRPr="005675BB" w:rsidRDefault="005675BB" w:rsidP="005675BB">
      <w:pPr>
        <w:pStyle w:val="JudgmentNumbered"/>
        <w:numPr>
          <w:ilvl w:val="0"/>
          <w:numId w:val="0"/>
        </w:numPr>
        <w:rPr>
          <w:i/>
          <w:iCs/>
        </w:rPr>
      </w:pPr>
      <w:r>
        <w:rPr>
          <w:i/>
          <w:iCs/>
        </w:rPr>
        <w:t>The issues</w:t>
      </w:r>
    </w:p>
    <w:p w14:paraId="14F352AE" w14:textId="7EE9393E" w:rsidR="005675BB" w:rsidRDefault="00D17423" w:rsidP="00D17423">
      <w:pPr>
        <w:pStyle w:val="JudgmentNumbered"/>
        <w:numPr>
          <w:ilvl w:val="0"/>
          <w:numId w:val="0"/>
        </w:numPr>
        <w:ind w:left="720" w:hanging="720"/>
      </w:pPr>
      <w:r>
        <w:t>[10]</w:t>
      </w:r>
      <w:r>
        <w:tab/>
      </w:r>
      <w:r w:rsidR="005675BB" w:rsidRPr="005675BB">
        <w:t>The following questions are raised for consideration</w:t>
      </w:r>
      <w:r w:rsidR="005675BB">
        <w:t>:</w:t>
      </w:r>
    </w:p>
    <w:p w14:paraId="1332F16C" w14:textId="16BD8021" w:rsidR="005675BB" w:rsidRDefault="00D17423" w:rsidP="00D17423">
      <w:pPr>
        <w:pStyle w:val="JudgmentNumbered"/>
        <w:numPr>
          <w:ilvl w:val="0"/>
          <w:numId w:val="0"/>
        </w:numPr>
        <w:ind w:left="2149" w:hanging="1440"/>
      </w:pPr>
      <w:r>
        <w:t>[10.1]</w:t>
      </w:r>
      <w:r>
        <w:tab/>
      </w:r>
      <w:r w:rsidR="00891BF1" w:rsidRPr="00891BF1">
        <w:t>Is the exception process competent to raise lack of compliance with the Act?</w:t>
      </w:r>
      <w:r w:rsidR="00891BF1">
        <w:t xml:space="preserve"> </w:t>
      </w:r>
    </w:p>
    <w:p w14:paraId="70C8B096" w14:textId="6CE1350F" w:rsidR="00891BF1" w:rsidRDefault="00D17423" w:rsidP="00D17423">
      <w:pPr>
        <w:pStyle w:val="JudgmentNumbered"/>
        <w:numPr>
          <w:ilvl w:val="0"/>
          <w:numId w:val="0"/>
        </w:numPr>
        <w:ind w:left="2149" w:hanging="1440"/>
      </w:pPr>
      <w:r>
        <w:lastRenderedPageBreak/>
        <w:t>[10.2]</w:t>
      </w:r>
      <w:r>
        <w:tab/>
      </w:r>
      <w:r w:rsidR="00891BF1">
        <w:t xml:space="preserve">Is </w:t>
      </w:r>
      <w:r w:rsidR="00891BF1" w:rsidRPr="00891BF1">
        <w:t>the liability of the second defendant excluded under section 99 of the CA Act?</w:t>
      </w:r>
    </w:p>
    <w:p w14:paraId="64115BF9" w14:textId="4DCA81C5" w:rsidR="005675BB" w:rsidRDefault="00D17423" w:rsidP="00D17423">
      <w:pPr>
        <w:pStyle w:val="JudgmentNumbered"/>
        <w:numPr>
          <w:ilvl w:val="0"/>
          <w:numId w:val="0"/>
        </w:numPr>
        <w:ind w:left="2149" w:hanging="1440"/>
      </w:pPr>
      <w:r>
        <w:t>[10.3]</w:t>
      </w:r>
      <w:r>
        <w:tab/>
      </w:r>
      <w:r w:rsidR="00891BF1" w:rsidRPr="00891BF1">
        <w:t>Does the duty of care relied on by the plaintiffs in the Cemair action establish a cause of action</w:t>
      </w:r>
      <w:r w:rsidR="00891BF1">
        <w:t>?</w:t>
      </w:r>
    </w:p>
    <w:p w14:paraId="11B950CA" w14:textId="77777777" w:rsidR="00891BF1" w:rsidRDefault="00891BF1" w:rsidP="00891BF1">
      <w:pPr>
        <w:pStyle w:val="JudgmentNumbered"/>
        <w:numPr>
          <w:ilvl w:val="0"/>
          <w:numId w:val="0"/>
        </w:numPr>
        <w:ind w:left="567"/>
      </w:pPr>
      <w:r w:rsidRPr="00891BF1">
        <w:t>I will deal serially with each of these questions after a brief consideration of the facts relied on in each case.</w:t>
      </w:r>
    </w:p>
    <w:p w14:paraId="3AD04FB8" w14:textId="46E3503C" w:rsidR="00891BF1" w:rsidRPr="00891BF1" w:rsidRDefault="00891BF1" w:rsidP="00891BF1">
      <w:pPr>
        <w:pStyle w:val="JudgmentNumbered"/>
        <w:numPr>
          <w:ilvl w:val="0"/>
          <w:numId w:val="0"/>
        </w:numPr>
        <w:ind w:left="567" w:hanging="567"/>
        <w:rPr>
          <w:i/>
          <w:iCs/>
        </w:rPr>
      </w:pPr>
      <w:r>
        <w:rPr>
          <w:i/>
          <w:iCs/>
        </w:rPr>
        <w:t>Pleaded facts</w:t>
      </w:r>
    </w:p>
    <w:p w14:paraId="38386742" w14:textId="63299874" w:rsidR="000D21D0" w:rsidRDefault="00D17423" w:rsidP="00D17423">
      <w:pPr>
        <w:pStyle w:val="JudgmentNumbered"/>
        <w:numPr>
          <w:ilvl w:val="0"/>
          <w:numId w:val="0"/>
        </w:numPr>
        <w:ind w:left="720" w:hanging="720"/>
      </w:pPr>
      <w:r>
        <w:t>[11]</w:t>
      </w:r>
      <w:r>
        <w:tab/>
      </w:r>
      <w:r w:rsidR="000D21D0">
        <w:t xml:space="preserve">Cemair conducts the business of a commercial airline. Under the CA Act the CAA has an oversight and regulatory function in relation to the conduct of such a business. </w:t>
      </w:r>
    </w:p>
    <w:p w14:paraId="18C54390" w14:textId="020DB6C7" w:rsidR="00AB5E63" w:rsidRDefault="00D17423" w:rsidP="00D17423">
      <w:pPr>
        <w:pStyle w:val="JudgmentNumbered"/>
        <w:numPr>
          <w:ilvl w:val="0"/>
          <w:numId w:val="0"/>
        </w:numPr>
        <w:ind w:left="720" w:hanging="720"/>
      </w:pPr>
      <w:r>
        <w:t>[12]</w:t>
      </w:r>
      <w:r>
        <w:tab/>
      </w:r>
      <w:r w:rsidR="000D21D0">
        <w:t xml:space="preserve">The Cemair action relates to administrative decisions made by the second defendant in his official capacity during December 2018 and January 2019 which had the effect of grounding Cemair’s entire fleet of airplanes. </w:t>
      </w:r>
    </w:p>
    <w:p w14:paraId="746624DF" w14:textId="38BB3C86" w:rsidR="000D21D0" w:rsidRDefault="00D17423" w:rsidP="00D17423">
      <w:pPr>
        <w:pStyle w:val="JudgmentNumbered"/>
        <w:numPr>
          <w:ilvl w:val="0"/>
          <w:numId w:val="0"/>
        </w:numPr>
        <w:ind w:left="720" w:hanging="720"/>
      </w:pPr>
      <w:r>
        <w:t>[13]</w:t>
      </w:r>
      <w:r>
        <w:tab/>
      </w:r>
      <w:r w:rsidR="000D21D0">
        <w:t>The van der Molen action relates to statements made by the CAA on its website relating to the grounding.</w:t>
      </w:r>
    </w:p>
    <w:p w14:paraId="4713E236" w14:textId="068F0B90" w:rsidR="000D21D0" w:rsidRDefault="00D17423" w:rsidP="00D17423">
      <w:pPr>
        <w:pStyle w:val="JudgmentNumbered"/>
        <w:numPr>
          <w:ilvl w:val="0"/>
          <w:numId w:val="0"/>
        </w:numPr>
        <w:ind w:left="720" w:hanging="720"/>
      </w:pPr>
      <w:r>
        <w:t>[14]</w:t>
      </w:r>
      <w:r>
        <w:tab/>
      </w:r>
      <w:r w:rsidR="000D21D0">
        <w:t>Appeals against the decisions</w:t>
      </w:r>
      <w:r w:rsidR="00AB5E63">
        <w:t xml:space="preserve"> of the second defendant</w:t>
      </w:r>
      <w:r w:rsidR="000D21D0">
        <w:t xml:space="preserve"> were lodged by Cemair with the Director of Civil Aviation (DCA) in terms of the CA Act</w:t>
      </w:r>
      <w:r w:rsidR="005F0FA4">
        <w:t>. These</w:t>
      </w:r>
      <w:r w:rsidR="000D21D0">
        <w:t xml:space="preserve"> appeals were dismissed in January 2019. Further appeals to the Civil Aviation Appeal Committee (the CAAC) were heard in March and April 2019 and </w:t>
      </w:r>
      <w:r w:rsidR="005F0FA4">
        <w:t>these</w:t>
      </w:r>
      <w:r w:rsidR="000D21D0">
        <w:t xml:space="preserve"> were successful.</w:t>
      </w:r>
    </w:p>
    <w:p w14:paraId="61D27C06" w14:textId="4AA712F5" w:rsidR="000D21D0" w:rsidRDefault="00D17423" w:rsidP="00D17423">
      <w:pPr>
        <w:pStyle w:val="JudgmentNumbered"/>
        <w:numPr>
          <w:ilvl w:val="0"/>
          <w:numId w:val="0"/>
        </w:numPr>
        <w:ind w:left="720" w:hanging="720"/>
      </w:pPr>
      <w:r>
        <w:t>[15]</w:t>
      </w:r>
      <w:r>
        <w:tab/>
      </w:r>
      <w:r w:rsidR="000D21D0">
        <w:t xml:space="preserve">Cemair alleges that the CAA breached its statutory duties to it </w:t>
      </w:r>
      <w:r w:rsidR="005F0FA4">
        <w:t>by</w:t>
      </w:r>
      <w:r w:rsidR="000D21D0">
        <w:t xml:space="preserve"> halting </w:t>
      </w:r>
      <w:r w:rsidR="005F0FA4">
        <w:t>its</w:t>
      </w:r>
      <w:r w:rsidR="000D21D0">
        <w:t xml:space="preserve"> business without reasonable grounds for doing so</w:t>
      </w:r>
      <w:r w:rsidR="00EE223C">
        <w:t>;</w:t>
      </w:r>
      <w:r w:rsidR="000D21D0">
        <w:t xml:space="preserve"> grounding the plaintiff’s entire fleet under circumstances where the CAA’s investigation only pertained to one </w:t>
      </w:r>
      <w:r w:rsidR="00366DD8">
        <w:t>aircraft; failing</w:t>
      </w:r>
      <w:r w:rsidR="000D21D0">
        <w:t xml:space="preserve"> to comply with the procedures in the </w:t>
      </w:r>
      <w:r w:rsidR="005F0FA4">
        <w:t xml:space="preserve">CA Act </w:t>
      </w:r>
      <w:r w:rsidR="000D21D0">
        <w:t>in relation to the periods provided for the determination of appeal processes and failing to allow the plaintiff to make representations.</w:t>
      </w:r>
    </w:p>
    <w:p w14:paraId="35DC59A1" w14:textId="12B52708" w:rsidR="000D21D0" w:rsidRDefault="00D17423" w:rsidP="00D17423">
      <w:pPr>
        <w:pStyle w:val="JudgmentNumbered"/>
        <w:numPr>
          <w:ilvl w:val="0"/>
          <w:numId w:val="0"/>
        </w:numPr>
        <w:ind w:left="720" w:hanging="720"/>
      </w:pPr>
      <w:r>
        <w:t>[16]</w:t>
      </w:r>
      <w:r>
        <w:tab/>
      </w:r>
      <w:r w:rsidR="005F0FA4">
        <w:t>Cemair</w:t>
      </w:r>
      <w:r w:rsidR="000D21D0">
        <w:t xml:space="preserve"> alleges further that the CAA breached the plaintiff’s rights at common law by halting the plaintiff’s business operations without any proper basis and </w:t>
      </w:r>
      <w:r w:rsidR="000D21D0">
        <w:lastRenderedPageBreak/>
        <w:t>without following a proper process</w:t>
      </w:r>
      <w:r w:rsidR="00EE223C">
        <w:t>;</w:t>
      </w:r>
      <w:r w:rsidR="000D21D0">
        <w:t xml:space="preserve"> by subjecting the plaintiff to arbitrary and biased decision making</w:t>
      </w:r>
      <w:r w:rsidR="00EE223C">
        <w:t>;</w:t>
      </w:r>
      <w:r w:rsidR="000D21D0">
        <w:t xml:space="preserve"> by conducting its processes in bad faith and outside of the legitimate scope of the </w:t>
      </w:r>
      <w:r w:rsidR="00366DD8">
        <w:t xml:space="preserve">relevant </w:t>
      </w:r>
      <w:r w:rsidR="000D21D0">
        <w:t xml:space="preserve">empowering provisions and by failure to apply the </w:t>
      </w:r>
      <w:r w:rsidR="000D21D0" w:rsidRPr="00EE223C">
        <w:rPr>
          <w:i/>
          <w:iCs/>
        </w:rPr>
        <w:t>audi alteram partem</w:t>
      </w:r>
      <w:r w:rsidR="000D21D0">
        <w:t xml:space="preserve"> principle.</w:t>
      </w:r>
    </w:p>
    <w:p w14:paraId="52D9C102" w14:textId="1130A84C" w:rsidR="000D21D0" w:rsidRDefault="00D17423" w:rsidP="00D17423">
      <w:pPr>
        <w:pStyle w:val="JudgmentNumbered"/>
        <w:numPr>
          <w:ilvl w:val="0"/>
          <w:numId w:val="0"/>
        </w:numPr>
        <w:ind w:left="720" w:hanging="720"/>
      </w:pPr>
      <w:r>
        <w:t>[17]</w:t>
      </w:r>
      <w:r>
        <w:tab/>
      </w:r>
      <w:r w:rsidR="000D21D0">
        <w:t xml:space="preserve">Cemair alleges </w:t>
      </w:r>
      <w:r w:rsidR="00366DD8">
        <w:t xml:space="preserve">further </w:t>
      </w:r>
      <w:r w:rsidR="000D21D0">
        <w:t>that the defendants took the decisions intentionally</w:t>
      </w:r>
      <w:r w:rsidR="00EE223C">
        <w:t>,</w:t>
      </w:r>
      <w:r w:rsidR="000D21D0">
        <w:t xml:space="preserve"> in bad faith and in a manner that was unfair. It alleges that, as a direct result of this conduct, it suffered damages in an amount of R</w:t>
      </w:r>
      <w:r w:rsidR="00EE223C">
        <w:t xml:space="preserve"> </w:t>
      </w:r>
      <w:r w:rsidR="000D21D0">
        <w:t>130 million.</w:t>
      </w:r>
    </w:p>
    <w:p w14:paraId="06CE3CC0" w14:textId="11AC11B9" w:rsidR="000D21D0" w:rsidRDefault="00D17423" w:rsidP="00D17423">
      <w:pPr>
        <w:pStyle w:val="JudgmentNumbered"/>
        <w:numPr>
          <w:ilvl w:val="0"/>
          <w:numId w:val="0"/>
        </w:numPr>
        <w:ind w:left="720" w:hanging="720"/>
      </w:pPr>
      <w:r>
        <w:t>[18]</w:t>
      </w:r>
      <w:r>
        <w:tab/>
      </w:r>
      <w:r w:rsidR="000D21D0">
        <w:t>It furthermore alleges that it was defamed by the publication by the CAA of articles on its website and seeks damages of R</w:t>
      </w:r>
      <w:r w:rsidR="00EE223C">
        <w:t xml:space="preserve"> </w:t>
      </w:r>
      <w:r w:rsidR="000D21D0">
        <w:t>40 million and interdictory relief.</w:t>
      </w:r>
    </w:p>
    <w:p w14:paraId="6D6052FA" w14:textId="4B2CD31E" w:rsidR="000D21D0" w:rsidRDefault="00D17423" w:rsidP="00D17423">
      <w:pPr>
        <w:pStyle w:val="JudgmentNumbered"/>
        <w:numPr>
          <w:ilvl w:val="0"/>
          <w:numId w:val="0"/>
        </w:numPr>
        <w:ind w:left="720" w:hanging="720"/>
      </w:pPr>
      <w:r>
        <w:t>[19]</w:t>
      </w:r>
      <w:r>
        <w:tab/>
      </w:r>
      <w:r w:rsidR="000D21D0">
        <w:t xml:space="preserve">The van der Molen action is brought </w:t>
      </w:r>
      <w:r w:rsidR="004043C4">
        <w:t xml:space="preserve">on </w:t>
      </w:r>
      <w:r w:rsidR="000D21D0">
        <w:t xml:space="preserve">the basis of statements made by the CAA in a press release in relation to </w:t>
      </w:r>
      <w:r w:rsidR="00366DD8">
        <w:t>Mr van der Molen</w:t>
      </w:r>
      <w:r w:rsidR="000D21D0">
        <w:t xml:space="preserve"> personally to the effect that there has been a dereliction of duty on his part in relation to the incident involved.</w:t>
      </w:r>
    </w:p>
    <w:p w14:paraId="2523414C" w14:textId="5144D8D1" w:rsidR="000D21D0" w:rsidRPr="004043C4" w:rsidRDefault="000D21D0" w:rsidP="004043C4">
      <w:pPr>
        <w:pStyle w:val="JudgmentNumbered"/>
        <w:numPr>
          <w:ilvl w:val="0"/>
          <w:numId w:val="0"/>
        </w:numPr>
        <w:rPr>
          <w:i/>
          <w:iCs/>
        </w:rPr>
      </w:pPr>
      <w:r w:rsidRPr="004043C4">
        <w:rPr>
          <w:i/>
          <w:iCs/>
        </w:rPr>
        <w:t>Is the point as to non</w:t>
      </w:r>
      <w:r w:rsidR="004043C4" w:rsidRPr="004043C4">
        <w:rPr>
          <w:i/>
          <w:iCs/>
        </w:rPr>
        <w:t>-</w:t>
      </w:r>
      <w:r w:rsidRPr="004043C4">
        <w:rPr>
          <w:i/>
          <w:iCs/>
        </w:rPr>
        <w:t>compliance with the Act properly raised by way of exception?</w:t>
      </w:r>
    </w:p>
    <w:p w14:paraId="68F20C4E" w14:textId="356051BF" w:rsidR="000D21D0" w:rsidRDefault="00D17423" w:rsidP="00D17423">
      <w:pPr>
        <w:pStyle w:val="JudgmentNumbered"/>
        <w:numPr>
          <w:ilvl w:val="0"/>
          <w:numId w:val="0"/>
        </w:numPr>
        <w:ind w:left="720" w:hanging="720"/>
      </w:pPr>
      <w:r>
        <w:t>[20]</w:t>
      </w:r>
      <w:r>
        <w:tab/>
      </w:r>
      <w:r w:rsidR="000D21D0">
        <w:t xml:space="preserve">The Act repealed several statutes that had previously regulated proceedings against various </w:t>
      </w:r>
      <w:r w:rsidR="004043C4">
        <w:t>s</w:t>
      </w:r>
      <w:r w:rsidR="000D21D0">
        <w:t>tate bodies such as the police and the defence force.</w:t>
      </w:r>
    </w:p>
    <w:p w14:paraId="02126FA2" w14:textId="4D61A0BD" w:rsidR="004043C4" w:rsidRPr="001758CA" w:rsidRDefault="00D17423" w:rsidP="00D17423">
      <w:pPr>
        <w:pStyle w:val="JudgmentNumbered"/>
        <w:numPr>
          <w:ilvl w:val="0"/>
          <w:numId w:val="0"/>
        </w:numPr>
        <w:ind w:left="720" w:hanging="720"/>
        <w:rPr>
          <w:i/>
          <w:iCs/>
        </w:rPr>
      </w:pPr>
      <w:r w:rsidRPr="001758CA">
        <w:t>[21]</w:t>
      </w:r>
      <w:r w:rsidRPr="001758CA">
        <w:tab/>
      </w:r>
      <w:r w:rsidR="004043C4" w:rsidRPr="004043C4">
        <w:t xml:space="preserve">The Act was enacted </w:t>
      </w:r>
      <w:r w:rsidR="00366DD8" w:rsidRPr="004043C4">
        <w:t xml:space="preserve">after </w:t>
      </w:r>
      <w:r w:rsidR="00366DD8">
        <w:t>Mohlomi</w:t>
      </w:r>
      <w:r w:rsidR="004043C4" w:rsidRPr="004043C4">
        <w:rPr>
          <w:i/>
          <w:iCs/>
        </w:rPr>
        <w:t xml:space="preserve"> v Minister of Defence</w:t>
      </w:r>
      <w:r w:rsidR="004043C4">
        <w:t>,</w:t>
      </w:r>
      <w:r w:rsidR="004043C4">
        <w:rPr>
          <w:rStyle w:val="FootnoteReference"/>
        </w:rPr>
        <w:footnoteReference w:id="4"/>
      </w:r>
      <w:r w:rsidR="001758CA" w:rsidRPr="001758CA">
        <w:t xml:space="preserve"> in which</w:t>
      </w:r>
      <w:r w:rsidR="005F0FA4">
        <w:t xml:space="preserve"> the </w:t>
      </w:r>
      <w:r w:rsidR="008C6D6A">
        <w:t>C</w:t>
      </w:r>
      <w:r w:rsidR="005F0FA4">
        <w:t xml:space="preserve">onstitutional </w:t>
      </w:r>
      <w:r w:rsidR="00366DD8">
        <w:t xml:space="preserve">Court </w:t>
      </w:r>
      <w:r w:rsidR="00366DD8" w:rsidRPr="001758CA">
        <w:t>held</w:t>
      </w:r>
      <w:r w:rsidR="001758CA" w:rsidRPr="001758CA">
        <w:t xml:space="preserve"> that s</w:t>
      </w:r>
      <w:r w:rsidR="001758CA">
        <w:t>ection</w:t>
      </w:r>
      <w:r w:rsidR="001758CA" w:rsidRPr="001758CA">
        <w:t xml:space="preserve"> 113(1) of the Defence Act</w:t>
      </w:r>
      <w:r w:rsidR="001758CA">
        <w:rPr>
          <w:rStyle w:val="FootnoteReference"/>
        </w:rPr>
        <w:footnoteReference w:id="5"/>
      </w:r>
      <w:r w:rsidR="001758CA">
        <w:t xml:space="preserve"> </w:t>
      </w:r>
      <w:r w:rsidR="001758CA" w:rsidRPr="001758CA">
        <w:t>was unconstitutional for its encroachment on s</w:t>
      </w:r>
      <w:r w:rsidR="001758CA">
        <w:t>ection</w:t>
      </w:r>
      <w:r w:rsidR="001758CA" w:rsidRPr="001758CA">
        <w:t xml:space="preserve"> 22 </w:t>
      </w:r>
      <w:r w:rsidR="001758CA">
        <w:t>c</w:t>
      </w:r>
      <w:r w:rsidR="001758CA" w:rsidRPr="001758CA">
        <w:t>onstitutional</w:t>
      </w:r>
      <w:r w:rsidR="001758CA">
        <w:t xml:space="preserve"> </w:t>
      </w:r>
      <w:r w:rsidR="001758CA" w:rsidRPr="001758CA">
        <w:t xml:space="preserve">rights (being the right to have justiciable disputes determined by a court). Part of the reasoning of the Court in </w:t>
      </w:r>
      <w:r w:rsidR="008C6D6A" w:rsidRPr="008C6D6A">
        <w:rPr>
          <w:i/>
          <w:iCs/>
        </w:rPr>
        <w:t>Mohlomi</w:t>
      </w:r>
      <w:r w:rsidR="001758CA" w:rsidRPr="008C6D6A">
        <w:rPr>
          <w:i/>
          <w:iCs/>
        </w:rPr>
        <w:t xml:space="preserve"> </w:t>
      </w:r>
      <w:r w:rsidR="001758CA" w:rsidRPr="001758CA">
        <w:t xml:space="preserve">was that because it made no allowance for condonation, it fell foul of </w:t>
      </w:r>
      <w:r w:rsidR="00366DD8">
        <w:t>section 22</w:t>
      </w:r>
      <w:r w:rsidR="001758CA" w:rsidRPr="001758CA">
        <w:t>.</w:t>
      </w:r>
    </w:p>
    <w:p w14:paraId="75D9691C" w14:textId="53505F37" w:rsidR="001758CA" w:rsidRPr="001758CA" w:rsidRDefault="00D17423" w:rsidP="00D17423">
      <w:pPr>
        <w:pStyle w:val="JudgmentNumbered"/>
        <w:numPr>
          <w:ilvl w:val="0"/>
          <w:numId w:val="0"/>
        </w:numPr>
        <w:ind w:left="720" w:hanging="720"/>
      </w:pPr>
      <w:r w:rsidRPr="001758CA">
        <w:t>[22]</w:t>
      </w:r>
      <w:r w:rsidRPr="001758CA">
        <w:tab/>
      </w:r>
      <w:r w:rsidR="001758CA" w:rsidRPr="001758CA">
        <w:t xml:space="preserve">The SCA in </w:t>
      </w:r>
      <w:r w:rsidR="008C6D6A" w:rsidRPr="008C6D6A">
        <w:rPr>
          <w:i/>
          <w:iCs/>
        </w:rPr>
        <w:t>Minister of Safety and Security v De Witt</w:t>
      </w:r>
      <w:r w:rsidR="001758CA" w:rsidRPr="001758CA">
        <w:t>.</w:t>
      </w:r>
      <w:r w:rsidR="00FA09E3">
        <w:rPr>
          <w:rStyle w:val="FootnoteReference"/>
        </w:rPr>
        <w:footnoteReference w:id="6"/>
      </w:r>
      <w:r w:rsidR="008C6D6A" w:rsidRPr="008C6D6A">
        <w:t xml:space="preserve"> </w:t>
      </w:r>
      <w:r w:rsidR="008C6D6A" w:rsidRPr="001758CA">
        <w:t xml:space="preserve">held that the Act was intended not only to bring consistency to procedural requirements for litigating against organs of </w:t>
      </w:r>
      <w:r w:rsidR="008C6D6A">
        <w:t>s</w:t>
      </w:r>
      <w:r w:rsidR="008C6D6A" w:rsidRPr="001758CA">
        <w:t>tate but also to render them compliant with the Constitution</w:t>
      </w:r>
      <w:r w:rsidR="008C6D6A">
        <w:t>.</w:t>
      </w:r>
    </w:p>
    <w:p w14:paraId="30A245FE" w14:textId="4EEF7460" w:rsidR="001758CA" w:rsidRPr="001758CA" w:rsidRDefault="00D17423" w:rsidP="00D17423">
      <w:pPr>
        <w:pStyle w:val="JudgmentNumbered"/>
        <w:numPr>
          <w:ilvl w:val="0"/>
          <w:numId w:val="0"/>
        </w:numPr>
        <w:ind w:left="720" w:hanging="720"/>
      </w:pPr>
      <w:r w:rsidRPr="001758CA">
        <w:lastRenderedPageBreak/>
        <w:t>[23]</w:t>
      </w:r>
      <w:r w:rsidRPr="001758CA">
        <w:tab/>
      </w:r>
      <w:r w:rsidR="001758CA" w:rsidRPr="001758CA">
        <w:t xml:space="preserve">One way in which </w:t>
      </w:r>
      <w:r w:rsidR="008C6D6A">
        <w:t>the Act</w:t>
      </w:r>
      <w:r w:rsidR="001758CA" w:rsidRPr="001758CA">
        <w:t xml:space="preserve"> seeks to achieve a procedure that is not arbitrary and that operates efficiently and fairly both for a plaintiff and an organ of </w:t>
      </w:r>
      <w:r w:rsidR="00FA09E3">
        <w:t>s</w:t>
      </w:r>
      <w:r w:rsidR="001758CA" w:rsidRPr="001758CA">
        <w:t xml:space="preserve">tate is to give a court the power to condone a plaintiff's non-compliance with procedural requirements. </w:t>
      </w:r>
    </w:p>
    <w:p w14:paraId="744E2E93" w14:textId="77F00B53" w:rsidR="00E13D4B" w:rsidRPr="00E13D4B" w:rsidRDefault="00D17423" w:rsidP="00D17423">
      <w:pPr>
        <w:pStyle w:val="JudgmentNumbered"/>
        <w:numPr>
          <w:ilvl w:val="0"/>
          <w:numId w:val="0"/>
        </w:numPr>
        <w:ind w:left="720" w:hanging="720"/>
      </w:pPr>
      <w:r w:rsidRPr="00E13D4B">
        <w:t>[24]</w:t>
      </w:r>
      <w:r w:rsidRPr="00E13D4B">
        <w:tab/>
      </w:r>
      <w:r w:rsidR="001758CA" w:rsidRPr="001758CA">
        <w:t>Section 3(4)</w:t>
      </w:r>
      <w:r w:rsidR="00366DD8">
        <w:t xml:space="preserve"> of the Act</w:t>
      </w:r>
      <w:r w:rsidR="001758CA" w:rsidRPr="001758CA">
        <w:t xml:space="preserve"> gives the court a discretion to condone non-compliance, subject to three requirements being met. Section 3(4) reads as follows:</w:t>
      </w:r>
    </w:p>
    <w:p w14:paraId="51DFAF97" w14:textId="6AFBEE6D" w:rsidR="00FA09E3" w:rsidRPr="00E13D4B" w:rsidRDefault="00E13D4B" w:rsidP="00E13D4B">
      <w:pPr>
        <w:pStyle w:val="JudgmentNumbered"/>
        <w:numPr>
          <w:ilvl w:val="0"/>
          <w:numId w:val="0"/>
        </w:numPr>
        <w:ind w:left="2160" w:hanging="884"/>
        <w:rPr>
          <w:i/>
          <w:iCs/>
          <w:sz w:val="22"/>
        </w:rPr>
      </w:pPr>
      <w:r w:rsidRPr="00E13D4B">
        <w:rPr>
          <w:i/>
          <w:iCs/>
          <w:sz w:val="22"/>
        </w:rPr>
        <w:t>“</w:t>
      </w:r>
      <w:r w:rsidRPr="00E13D4B">
        <w:rPr>
          <w:sz w:val="22"/>
        </w:rPr>
        <w:t>(4)</w:t>
      </w:r>
      <w:r w:rsidR="00FA09E3" w:rsidRPr="00E13D4B">
        <w:rPr>
          <w:sz w:val="22"/>
        </w:rPr>
        <w:t>(a)</w:t>
      </w:r>
      <w:r w:rsidRPr="00E13D4B">
        <w:rPr>
          <w:i/>
          <w:iCs/>
          <w:sz w:val="22"/>
        </w:rPr>
        <w:tab/>
      </w:r>
      <w:r w:rsidR="00FA09E3" w:rsidRPr="00E13D4B">
        <w:rPr>
          <w:i/>
          <w:iCs/>
          <w:sz w:val="22"/>
        </w:rPr>
        <w:t>If an organ of state relies on a creditor’s failure to serve a notice in terms of subsection (2)(a), the creditor may apply to a court having jurisdiction for condonation of such failure.</w:t>
      </w:r>
    </w:p>
    <w:p w14:paraId="0D6011E5" w14:textId="0BBAD703" w:rsidR="00FA09E3" w:rsidRPr="00E13D4B" w:rsidRDefault="00FA09E3" w:rsidP="00E13D4B">
      <w:pPr>
        <w:pStyle w:val="JudgmentNumbered"/>
        <w:numPr>
          <w:ilvl w:val="0"/>
          <w:numId w:val="0"/>
        </w:numPr>
        <w:ind w:left="2127" w:hanging="426"/>
        <w:rPr>
          <w:i/>
          <w:iCs/>
          <w:sz w:val="22"/>
        </w:rPr>
      </w:pPr>
      <w:r w:rsidRPr="00E13D4B">
        <w:rPr>
          <w:sz w:val="22"/>
        </w:rPr>
        <w:t>(b)</w:t>
      </w:r>
      <w:r w:rsidR="00E13D4B" w:rsidRPr="00E13D4B">
        <w:rPr>
          <w:i/>
          <w:iCs/>
          <w:sz w:val="22"/>
        </w:rPr>
        <w:tab/>
      </w:r>
      <w:r w:rsidRPr="00E13D4B">
        <w:rPr>
          <w:i/>
          <w:iCs/>
          <w:sz w:val="22"/>
        </w:rPr>
        <w:t>The court may grant an application referred to in paragraph (a) if it is satisfied that-</w:t>
      </w:r>
    </w:p>
    <w:p w14:paraId="399B3018" w14:textId="77777777" w:rsidR="00FA09E3" w:rsidRPr="00E13D4B" w:rsidRDefault="00FA09E3" w:rsidP="00E13D4B">
      <w:pPr>
        <w:pStyle w:val="JudgmentNumbered"/>
        <w:numPr>
          <w:ilvl w:val="0"/>
          <w:numId w:val="0"/>
        </w:numPr>
        <w:ind w:left="1418" w:firstLine="720"/>
        <w:rPr>
          <w:i/>
          <w:iCs/>
          <w:sz w:val="22"/>
        </w:rPr>
      </w:pPr>
      <w:r w:rsidRPr="00E13D4B">
        <w:rPr>
          <w:sz w:val="22"/>
        </w:rPr>
        <w:t>(i)</w:t>
      </w:r>
      <w:r w:rsidRPr="00E13D4B">
        <w:rPr>
          <w:i/>
          <w:iCs/>
          <w:sz w:val="22"/>
        </w:rPr>
        <w:t xml:space="preserve"> the debt has not been extinguished by prescription;</w:t>
      </w:r>
    </w:p>
    <w:p w14:paraId="0760BED6" w14:textId="1190E183" w:rsidR="00FA09E3" w:rsidRPr="00E13D4B" w:rsidRDefault="00FA09E3" w:rsidP="00E13D4B">
      <w:pPr>
        <w:pStyle w:val="JudgmentNumbered"/>
        <w:numPr>
          <w:ilvl w:val="0"/>
          <w:numId w:val="0"/>
        </w:numPr>
        <w:ind w:left="1418" w:firstLine="720"/>
        <w:rPr>
          <w:i/>
          <w:iCs/>
          <w:sz w:val="22"/>
        </w:rPr>
      </w:pPr>
      <w:r w:rsidRPr="00E13D4B">
        <w:rPr>
          <w:sz w:val="22"/>
        </w:rPr>
        <w:t>(ii)</w:t>
      </w:r>
      <w:r w:rsidRPr="00E13D4B">
        <w:rPr>
          <w:i/>
          <w:iCs/>
          <w:sz w:val="22"/>
        </w:rPr>
        <w:t xml:space="preserve"> good cause exists for the failure by the creditor; and</w:t>
      </w:r>
    </w:p>
    <w:p w14:paraId="4BBF7897" w14:textId="1BBF02B1" w:rsidR="00FA09E3" w:rsidRDefault="00FA09E3" w:rsidP="00E13D4B">
      <w:pPr>
        <w:pStyle w:val="JudgmentNumbered"/>
        <w:numPr>
          <w:ilvl w:val="0"/>
          <w:numId w:val="0"/>
        </w:numPr>
        <w:ind w:left="1418" w:firstLine="720"/>
        <w:rPr>
          <w:sz w:val="22"/>
        </w:rPr>
      </w:pPr>
      <w:r w:rsidRPr="00E13D4B">
        <w:rPr>
          <w:sz w:val="22"/>
        </w:rPr>
        <w:t>(iii)</w:t>
      </w:r>
      <w:r w:rsidRPr="00E13D4B">
        <w:rPr>
          <w:i/>
          <w:iCs/>
          <w:sz w:val="22"/>
        </w:rPr>
        <w:t xml:space="preserve"> the organ of state was not unreasonably prejudiced by the failure</w:t>
      </w:r>
      <w:r w:rsidRPr="00E13D4B">
        <w:rPr>
          <w:sz w:val="22"/>
        </w:rPr>
        <w:t>.</w:t>
      </w:r>
    </w:p>
    <w:p w14:paraId="2138B202" w14:textId="32419784" w:rsidR="00CB1BB3" w:rsidRPr="00B50F09" w:rsidRDefault="00E13D4B" w:rsidP="00B50F09">
      <w:pPr>
        <w:pStyle w:val="JudgmentNumbered"/>
        <w:numPr>
          <w:ilvl w:val="0"/>
          <w:numId w:val="0"/>
        </w:numPr>
        <w:ind w:left="2127" w:hanging="426"/>
        <w:rPr>
          <w:sz w:val="22"/>
        </w:rPr>
      </w:pPr>
      <w:r w:rsidRPr="00B50F09">
        <w:rPr>
          <w:sz w:val="22"/>
        </w:rPr>
        <w:t>(c)</w:t>
      </w:r>
      <w:r w:rsidR="00B50F09">
        <w:rPr>
          <w:i/>
          <w:iCs/>
          <w:sz w:val="22"/>
        </w:rPr>
        <w:tab/>
      </w:r>
      <w:r w:rsidRPr="00E13D4B">
        <w:rPr>
          <w:i/>
          <w:iCs/>
          <w:sz w:val="22"/>
        </w:rPr>
        <w:t>If an application is granted in terms of paragraph (b), the court may grant leave to institute the legal proceedings in question, on such conditions regarding notice to the organ of state as the court may deem appropriate</w:t>
      </w:r>
      <w:r w:rsidR="00B50F09">
        <w:rPr>
          <w:sz w:val="22"/>
        </w:rPr>
        <w:t>”</w:t>
      </w:r>
      <w:r w:rsidRPr="00E13D4B">
        <w:rPr>
          <w:i/>
          <w:iCs/>
          <w:sz w:val="22"/>
        </w:rPr>
        <w:t>.</w:t>
      </w:r>
    </w:p>
    <w:p w14:paraId="77DB7890" w14:textId="39D9E9ED" w:rsidR="00B50F09" w:rsidRDefault="00D17423" w:rsidP="00D17423">
      <w:pPr>
        <w:pStyle w:val="JudgmentNumbered"/>
        <w:numPr>
          <w:ilvl w:val="0"/>
          <w:numId w:val="0"/>
        </w:numPr>
        <w:ind w:left="720" w:hanging="720"/>
      </w:pPr>
      <w:r>
        <w:t>[25]</w:t>
      </w:r>
      <w:r>
        <w:tab/>
      </w:r>
      <w:r w:rsidR="00B50F09">
        <w:t>The CAA argues that because there has not been the requisite notice I am entitled to find</w:t>
      </w:r>
      <w:r w:rsidR="008C6D6A">
        <w:t>,</w:t>
      </w:r>
      <w:r w:rsidR="00B50F09">
        <w:t xml:space="preserve"> on exception</w:t>
      </w:r>
      <w:r w:rsidR="008C6D6A">
        <w:t>,</w:t>
      </w:r>
      <w:r w:rsidR="00B50F09">
        <w:t xml:space="preserve"> that the actions are fatally defective. The plaintiffs argue that the section, properly construed</w:t>
      </w:r>
      <w:r w:rsidR="008C6D6A">
        <w:t>,</w:t>
      </w:r>
      <w:r w:rsidR="00B50F09">
        <w:t xml:space="preserve"> precludes the raising of the point on </w:t>
      </w:r>
      <w:r w:rsidR="008C6D6A">
        <w:t>exception</w:t>
      </w:r>
      <w:r w:rsidR="00B50F09">
        <w:t>.</w:t>
      </w:r>
    </w:p>
    <w:p w14:paraId="57FA9406" w14:textId="7E84706C" w:rsidR="00B50F09" w:rsidRDefault="00D17423" w:rsidP="00D17423">
      <w:pPr>
        <w:pStyle w:val="JudgmentNumbered"/>
        <w:numPr>
          <w:ilvl w:val="0"/>
          <w:numId w:val="0"/>
        </w:numPr>
        <w:ind w:left="720" w:hanging="720"/>
      </w:pPr>
      <w:r>
        <w:t>[26]</w:t>
      </w:r>
      <w:r>
        <w:tab/>
      </w:r>
      <w:r w:rsidR="00B50F09">
        <w:t xml:space="preserve">In </w:t>
      </w:r>
      <w:bookmarkStart w:id="4" w:name="_Hlk144729839"/>
      <w:r w:rsidR="00B50F09" w:rsidRPr="00B50F09">
        <w:rPr>
          <w:i/>
          <w:iCs/>
        </w:rPr>
        <w:t>Cochrane v City of Johannesburg</w:t>
      </w:r>
      <w:bookmarkEnd w:id="4"/>
      <w:r w:rsidR="00B50F09" w:rsidRPr="00B50F09">
        <w:t>,</w:t>
      </w:r>
      <w:r w:rsidR="00B50F09" w:rsidRPr="00B50F09">
        <w:rPr>
          <w:rStyle w:val="FootnoteReference"/>
        </w:rPr>
        <w:footnoteReference w:id="7"/>
      </w:r>
      <w:r w:rsidR="00B50F09" w:rsidRPr="00B50F09">
        <w:t xml:space="preserve"> </w:t>
      </w:r>
      <w:r w:rsidR="000D7E1A">
        <w:t>in which the Full Court of this division</w:t>
      </w:r>
      <w:r w:rsidR="00B50F09" w:rsidRPr="00B50F09">
        <w:t xml:space="preserve"> dealt with an </w:t>
      </w:r>
      <w:r w:rsidR="000D7E1A">
        <w:t>application under rule 30</w:t>
      </w:r>
      <w:r w:rsidR="00B50F09" w:rsidRPr="00B50F09">
        <w:t xml:space="preserve"> to set aside a summons on the basis of a failure to give notice under the Act, it was held </w:t>
      </w:r>
      <w:r w:rsidR="00D2064B" w:rsidRPr="00B50F09">
        <w:t>that when</w:t>
      </w:r>
      <w:r w:rsidR="00B50F09" w:rsidRPr="00B50F09">
        <w:t xml:space="preserve"> a summons had been served </w:t>
      </w:r>
      <w:r w:rsidR="000D7E1A">
        <w:t xml:space="preserve">the correct procedure </w:t>
      </w:r>
      <w:r w:rsidR="00B50F09" w:rsidRPr="00B50F09">
        <w:t>was to raise the p</w:t>
      </w:r>
      <w:r w:rsidR="000D7E1A">
        <w:t>oint</w:t>
      </w:r>
      <w:r w:rsidR="00B50F09" w:rsidRPr="00B50F09">
        <w:t xml:space="preserve"> by way of special plea.</w:t>
      </w:r>
      <w:r w:rsidR="008C6D6A">
        <w:t xml:space="preserve"> </w:t>
      </w:r>
      <w:r w:rsidR="008C6D6A">
        <w:lastRenderedPageBreak/>
        <w:t xml:space="preserve">The </w:t>
      </w:r>
      <w:r w:rsidR="000D7E1A">
        <w:t>rule 30 process</w:t>
      </w:r>
      <w:r w:rsidR="00D2064B">
        <w:t xml:space="preserve"> in that case</w:t>
      </w:r>
      <w:r w:rsidR="000D7E1A">
        <w:t>, invoking as it did the rule 18 provisions, was akin to an exception.</w:t>
      </w:r>
    </w:p>
    <w:p w14:paraId="36B2B54E" w14:textId="7AEA0310" w:rsidR="00B50F09" w:rsidRDefault="00D17423" w:rsidP="00D17423">
      <w:pPr>
        <w:pStyle w:val="JudgmentNumbered"/>
        <w:numPr>
          <w:ilvl w:val="0"/>
          <w:numId w:val="0"/>
        </w:numPr>
        <w:ind w:left="720" w:hanging="720"/>
      </w:pPr>
      <w:r>
        <w:t>[27]</w:t>
      </w:r>
      <w:r>
        <w:tab/>
      </w:r>
      <w:r w:rsidR="000D7E1A">
        <w:t>Furthermore, the</w:t>
      </w:r>
      <w:r w:rsidR="00B50F09">
        <w:t xml:space="preserve"> raising of such a point</w:t>
      </w:r>
      <w:r w:rsidR="008C6D6A">
        <w:t xml:space="preserve"> </w:t>
      </w:r>
      <w:r w:rsidR="000D7E1A">
        <w:t>is in</w:t>
      </w:r>
      <w:r w:rsidR="00B50F09">
        <w:t xml:space="preserve"> the nature of a prescription claim. It is </w:t>
      </w:r>
      <w:r w:rsidR="00D2064B">
        <w:t xml:space="preserve">generally </w:t>
      </w:r>
      <w:r w:rsidR="00B50F09">
        <w:t xml:space="preserve">accepted that the proper way of raising </w:t>
      </w:r>
      <w:r w:rsidR="000D7E1A">
        <w:t>a defence of this nature</w:t>
      </w:r>
      <w:r w:rsidR="008F05ED">
        <w:t xml:space="preserve"> is</w:t>
      </w:r>
      <w:r w:rsidR="00B50F09">
        <w:t xml:space="preserve"> by way of a special </w:t>
      </w:r>
      <w:r w:rsidR="008F05ED">
        <w:t>plea. The</w:t>
      </w:r>
      <w:r w:rsidR="00B50F09">
        <w:t xml:space="preserve"> reason for this is that </w:t>
      </w:r>
      <w:r w:rsidR="000D7E1A">
        <w:t>stated</w:t>
      </w:r>
      <w:r w:rsidR="00B50F09">
        <w:t xml:space="preserve"> in </w:t>
      </w:r>
      <w:r w:rsidR="00B50F09" w:rsidRPr="008F05ED">
        <w:rPr>
          <w:i/>
          <w:iCs/>
        </w:rPr>
        <w:t>de Witt</w:t>
      </w:r>
      <w:r w:rsidR="00B50F09">
        <w:t>, being that there is potentially an answer to such a defence in the form of condonation or waiver.</w:t>
      </w:r>
    </w:p>
    <w:p w14:paraId="1F23C626" w14:textId="1A8EFF6F" w:rsidR="00844B07" w:rsidRDefault="00D17423" w:rsidP="00D17423">
      <w:pPr>
        <w:pStyle w:val="JudgmentNumbered"/>
        <w:numPr>
          <w:ilvl w:val="0"/>
          <w:numId w:val="0"/>
        </w:numPr>
        <w:ind w:left="567" w:hanging="567"/>
      </w:pPr>
      <w:r>
        <w:t>[28]</w:t>
      </w:r>
      <w:r>
        <w:tab/>
      </w:r>
      <w:r w:rsidR="00B50F09">
        <w:t xml:space="preserve"> The failure to state that there has been notice in terms of the Act or that it is intended that condonation for the lack of filing of the notice will be sought does not </w:t>
      </w:r>
      <w:r w:rsidR="000D7E1A">
        <w:t>affect the integrity of the cause of action pleaded</w:t>
      </w:r>
      <w:r w:rsidR="00B50F09">
        <w:t>.</w:t>
      </w:r>
      <w:r w:rsidR="000D7E1A">
        <w:t xml:space="preserve"> The lack of </w:t>
      </w:r>
      <w:r w:rsidR="00844B07">
        <w:t>notice is a point external to the pleading.</w:t>
      </w:r>
      <w:r w:rsidR="00844B07" w:rsidRPr="00844B07">
        <w:t xml:space="preserve"> </w:t>
      </w:r>
      <w:r w:rsidR="00D2064B">
        <w:t>Such points must be raised by way of special plea.</w:t>
      </w:r>
    </w:p>
    <w:p w14:paraId="5D389460" w14:textId="2B05DA28" w:rsidR="00501083" w:rsidRDefault="00D17423" w:rsidP="00D17423">
      <w:pPr>
        <w:pStyle w:val="JudgmentNumbered"/>
        <w:numPr>
          <w:ilvl w:val="0"/>
          <w:numId w:val="0"/>
        </w:numPr>
        <w:ind w:left="567" w:hanging="567"/>
      </w:pPr>
      <w:r>
        <w:t>[29]</w:t>
      </w:r>
      <w:r>
        <w:tab/>
      </w:r>
      <w:r w:rsidR="00D2064B">
        <w:t xml:space="preserve"> </w:t>
      </w:r>
      <w:r w:rsidR="00844B07" w:rsidRPr="00240255">
        <w:t xml:space="preserve">The scheme in the Act allows for an organ of state which is entitled to the notice provided for in the Act to waive receipt of such notice. If it chooses not to do so, the scheme in the </w:t>
      </w:r>
      <w:r w:rsidR="00844B07">
        <w:t>A</w:t>
      </w:r>
      <w:r w:rsidR="00844B07" w:rsidRPr="00240255">
        <w:t xml:space="preserve">ct provides for </w:t>
      </w:r>
      <w:r w:rsidR="00844B07">
        <w:t>the point</w:t>
      </w:r>
      <w:r w:rsidR="00844B07" w:rsidRPr="00240255">
        <w:t xml:space="preserve"> to be raised</w:t>
      </w:r>
      <w:r w:rsidR="00D2064B">
        <w:t xml:space="preserve"> by way of pleading </w:t>
      </w:r>
      <w:r w:rsidR="00501083">
        <w:t>and in</w:t>
      </w:r>
      <w:r w:rsidR="00D2064B">
        <w:t xml:space="preserve"> turn expressly creates a platform for condonation to be sought</w:t>
      </w:r>
      <w:r w:rsidR="00501083">
        <w:t xml:space="preserve"> by the plaintiff</w:t>
      </w:r>
      <w:r w:rsidR="00240255">
        <w:t>.</w:t>
      </w:r>
      <w:r w:rsidR="00240255">
        <w:rPr>
          <w:rStyle w:val="FootnoteReference"/>
        </w:rPr>
        <w:footnoteReference w:id="8"/>
      </w:r>
      <w:r w:rsidR="00D2064B">
        <w:t xml:space="preserve"> </w:t>
      </w:r>
    </w:p>
    <w:p w14:paraId="7D4EB7A8" w14:textId="33B467FB" w:rsidR="00B50F09" w:rsidRDefault="00D17423" w:rsidP="00D17423">
      <w:pPr>
        <w:pStyle w:val="JudgmentNumbered"/>
        <w:numPr>
          <w:ilvl w:val="0"/>
          <w:numId w:val="0"/>
        </w:numPr>
        <w:ind w:left="567" w:hanging="567"/>
      </w:pPr>
      <w:r>
        <w:t>[30]</w:t>
      </w:r>
      <w:r>
        <w:tab/>
      </w:r>
      <w:r w:rsidR="00501083">
        <w:t xml:space="preserve">Furthermore, a determination on exception of the question whether the Act applies at all to proceedings against the CAA </w:t>
      </w:r>
      <w:r w:rsidR="00D2064B">
        <w:t>would defeat the object the scheme</w:t>
      </w:r>
      <w:r w:rsidR="005D0059">
        <w:t>.</w:t>
      </w:r>
      <w:r w:rsidR="00D2064B">
        <w:t xml:space="preserve"> </w:t>
      </w:r>
    </w:p>
    <w:p w14:paraId="2D6047BF" w14:textId="645BE02F" w:rsidR="00240255" w:rsidRPr="00240255" w:rsidRDefault="00D17423" w:rsidP="00D17423">
      <w:pPr>
        <w:pStyle w:val="JudgmentNumbered"/>
        <w:numPr>
          <w:ilvl w:val="0"/>
          <w:numId w:val="0"/>
        </w:numPr>
        <w:ind w:left="720" w:hanging="720"/>
      </w:pPr>
      <w:r w:rsidRPr="00240255">
        <w:t>[31]</w:t>
      </w:r>
      <w:r w:rsidRPr="00240255">
        <w:tab/>
      </w:r>
      <w:r w:rsidR="00844B07">
        <w:t>Accordingly</w:t>
      </w:r>
      <w:r w:rsidR="00D2064B">
        <w:t>,</w:t>
      </w:r>
      <w:r w:rsidR="00844B07">
        <w:t xml:space="preserve"> I find that</w:t>
      </w:r>
      <w:r w:rsidR="00240255" w:rsidRPr="00240255">
        <w:t xml:space="preserve"> the exceptions in terms of the Act are not competently raised.</w:t>
      </w:r>
    </w:p>
    <w:p w14:paraId="62CFE590" w14:textId="7B4C82FD" w:rsidR="00240255" w:rsidRPr="000C628B" w:rsidRDefault="00240255" w:rsidP="000C628B">
      <w:pPr>
        <w:pStyle w:val="JudgmentNumbered"/>
        <w:numPr>
          <w:ilvl w:val="0"/>
          <w:numId w:val="0"/>
        </w:numPr>
        <w:rPr>
          <w:i/>
          <w:iCs/>
        </w:rPr>
      </w:pPr>
      <w:r w:rsidRPr="000C628B">
        <w:rPr>
          <w:i/>
          <w:iCs/>
        </w:rPr>
        <w:t>Is the claim against the second defendant in the Cemair claim excluded by section 99 of the CA Act?</w:t>
      </w:r>
    </w:p>
    <w:p w14:paraId="79A5CA51" w14:textId="77A732FC" w:rsidR="000C628B" w:rsidRDefault="00D17423" w:rsidP="00D17423">
      <w:pPr>
        <w:pStyle w:val="JudgmentNumbered"/>
        <w:numPr>
          <w:ilvl w:val="0"/>
          <w:numId w:val="0"/>
        </w:numPr>
        <w:ind w:left="720" w:hanging="720"/>
      </w:pPr>
      <w:r>
        <w:t>[32]</w:t>
      </w:r>
      <w:r>
        <w:tab/>
      </w:r>
      <w:r w:rsidR="000C628B" w:rsidRPr="000C628B">
        <w:t>Section 99 reads as follows</w:t>
      </w:r>
      <w:r w:rsidR="000C628B">
        <w:t>:</w:t>
      </w:r>
    </w:p>
    <w:p w14:paraId="4CD4CE19" w14:textId="4685BD0D" w:rsidR="000C628B" w:rsidRPr="000C628B" w:rsidRDefault="000C628B" w:rsidP="000C628B">
      <w:pPr>
        <w:pStyle w:val="JudgmentNumbered"/>
        <w:numPr>
          <w:ilvl w:val="0"/>
          <w:numId w:val="0"/>
        </w:numPr>
        <w:ind w:left="1440"/>
        <w:rPr>
          <w:sz w:val="22"/>
        </w:rPr>
      </w:pPr>
      <w:r w:rsidRPr="000C628B">
        <w:rPr>
          <w:sz w:val="22"/>
        </w:rPr>
        <w:t xml:space="preserve">“No employee of the Civil Aviation Authority is liable in respect of anything done or omitted </w:t>
      </w:r>
      <w:r w:rsidRPr="000C628B">
        <w:rPr>
          <w:i/>
          <w:iCs/>
          <w:sz w:val="22"/>
        </w:rPr>
        <w:t>in good faith</w:t>
      </w:r>
      <w:r w:rsidRPr="000C628B">
        <w:rPr>
          <w:sz w:val="22"/>
        </w:rPr>
        <w:t xml:space="preserve"> in the exercise of a power or the performance of a duty in terms of or by virtue of this Act, or in respect of anything that may result therefrom.” (</w:t>
      </w:r>
      <w:r>
        <w:rPr>
          <w:sz w:val="22"/>
        </w:rPr>
        <w:t>Emphasis added</w:t>
      </w:r>
      <w:r w:rsidRPr="000C628B">
        <w:rPr>
          <w:sz w:val="22"/>
        </w:rPr>
        <w:t>).</w:t>
      </w:r>
    </w:p>
    <w:p w14:paraId="69165EA4" w14:textId="27475C28" w:rsidR="00027C0E" w:rsidRDefault="00D17423" w:rsidP="00D17423">
      <w:pPr>
        <w:pStyle w:val="JudgmentNumbered"/>
        <w:numPr>
          <w:ilvl w:val="0"/>
          <w:numId w:val="0"/>
        </w:numPr>
        <w:ind w:left="567" w:hanging="567"/>
      </w:pPr>
      <w:r>
        <w:lastRenderedPageBreak/>
        <w:t>[33]</w:t>
      </w:r>
      <w:r>
        <w:tab/>
      </w:r>
      <w:r w:rsidR="00027C0E">
        <w:t xml:space="preserve">Cemair alleges that the defendants took the decisions intentionally and in bad faith and in a manner that was unfair. This puts the pleaded claim outside of the limitation in section 99. </w:t>
      </w:r>
    </w:p>
    <w:p w14:paraId="0DD138F5" w14:textId="1D88E1B3" w:rsidR="00027C0E" w:rsidRDefault="00D17423" w:rsidP="00D17423">
      <w:pPr>
        <w:pStyle w:val="JudgmentNumbered"/>
        <w:numPr>
          <w:ilvl w:val="0"/>
          <w:numId w:val="0"/>
        </w:numPr>
        <w:ind w:left="567" w:hanging="567"/>
      </w:pPr>
      <w:r>
        <w:t>[34]</w:t>
      </w:r>
      <w:r>
        <w:tab/>
      </w:r>
      <w:r w:rsidR="00027C0E">
        <w:t xml:space="preserve">Thus, this exception must </w:t>
      </w:r>
      <w:r w:rsidR="00844B07">
        <w:t xml:space="preserve">also </w:t>
      </w:r>
      <w:r w:rsidR="00027C0E">
        <w:t>fail.</w:t>
      </w:r>
    </w:p>
    <w:p w14:paraId="300C2A12" w14:textId="0CE8F4CC" w:rsidR="00027C0E" w:rsidRPr="00027C0E" w:rsidRDefault="00027C0E" w:rsidP="00027C0E">
      <w:pPr>
        <w:pStyle w:val="JudgmentNumbered"/>
        <w:numPr>
          <w:ilvl w:val="0"/>
          <w:numId w:val="0"/>
        </w:numPr>
        <w:rPr>
          <w:i/>
          <w:iCs/>
        </w:rPr>
      </w:pPr>
      <w:r w:rsidRPr="00027C0E">
        <w:rPr>
          <w:i/>
          <w:iCs/>
        </w:rPr>
        <w:t>Does the duty of care relied on by the plaintiffs in the Cemair action establish a cause of action?</w:t>
      </w:r>
    </w:p>
    <w:p w14:paraId="13F645DC" w14:textId="05B8CC79" w:rsidR="00844B07" w:rsidRDefault="00D17423" w:rsidP="00D17423">
      <w:pPr>
        <w:pStyle w:val="JudgmentNumbered"/>
        <w:numPr>
          <w:ilvl w:val="0"/>
          <w:numId w:val="0"/>
        </w:numPr>
        <w:ind w:left="720" w:hanging="720"/>
      </w:pPr>
      <w:r>
        <w:t>[35]</w:t>
      </w:r>
      <w:r>
        <w:tab/>
      </w:r>
      <w:r w:rsidR="005D0059">
        <w:t>The legal</w:t>
      </w:r>
      <w:r w:rsidR="00027C0E">
        <w:t xml:space="preserve"> duty on the part of the defendants for which Cemair contends in its </w:t>
      </w:r>
      <w:r w:rsidR="005D0059">
        <w:t>pleadings</w:t>
      </w:r>
      <w:r w:rsidR="00027C0E">
        <w:t xml:space="preserve"> rests on the alleged breach of the CAA’s statutory duty and duty of care</w:t>
      </w:r>
      <w:r w:rsidR="005D0059">
        <w:t xml:space="preserve"> at common law</w:t>
      </w:r>
      <w:r w:rsidR="00027C0E">
        <w:t xml:space="preserve">. </w:t>
      </w:r>
    </w:p>
    <w:p w14:paraId="60403466" w14:textId="76CF31DC" w:rsidR="00027C0E" w:rsidRDefault="00D17423" w:rsidP="00D17423">
      <w:pPr>
        <w:pStyle w:val="JudgmentNumbered"/>
        <w:numPr>
          <w:ilvl w:val="0"/>
          <w:numId w:val="0"/>
        </w:numPr>
        <w:ind w:left="720" w:hanging="720"/>
      </w:pPr>
      <w:r>
        <w:t>[36]</w:t>
      </w:r>
      <w:r>
        <w:tab/>
      </w:r>
      <w:r w:rsidR="00027C0E">
        <w:t>It is argued on behalf of the CAA that there exists no such duty under our law and that the</w:t>
      </w:r>
      <w:r w:rsidR="005D0059">
        <w:t xml:space="preserve"> argument that there be an </w:t>
      </w:r>
      <w:r w:rsidR="00027C0E">
        <w:t xml:space="preserve">extension </w:t>
      </w:r>
      <w:r w:rsidR="005D0059">
        <w:t xml:space="preserve">of the </w:t>
      </w:r>
      <w:r w:rsidR="00027C0E">
        <w:t>Aquilian Action to accommodate such a duty is unsustainable. In this regard it is submitted that</w:t>
      </w:r>
      <w:r w:rsidR="00844B07">
        <w:t>,</w:t>
      </w:r>
      <w:r w:rsidR="00027C0E">
        <w:t xml:space="preserve"> as a matter of public and legal policy</w:t>
      </w:r>
      <w:r w:rsidR="00844B07">
        <w:t>,</w:t>
      </w:r>
      <w:r w:rsidR="00027C0E">
        <w:t xml:space="preserve"> the imposition of such </w:t>
      </w:r>
      <w:r w:rsidR="005D0059">
        <w:t>a duty</w:t>
      </w:r>
      <w:r w:rsidR="00027C0E">
        <w:t xml:space="preserve"> would have a chilling effect on the regulatory function of the </w:t>
      </w:r>
      <w:r w:rsidR="005D0059">
        <w:t>CAA - which</w:t>
      </w:r>
      <w:r w:rsidR="00844B07">
        <w:t xml:space="preserve"> is </w:t>
      </w:r>
      <w:r w:rsidR="00027C0E">
        <w:t>to promote aviation safety.</w:t>
      </w:r>
    </w:p>
    <w:p w14:paraId="46B92FA1" w14:textId="552B3CFA" w:rsidR="00022196" w:rsidRDefault="00D17423" w:rsidP="00D17423">
      <w:pPr>
        <w:pStyle w:val="JudgmentNumbered"/>
        <w:numPr>
          <w:ilvl w:val="0"/>
          <w:numId w:val="0"/>
        </w:numPr>
        <w:ind w:left="567" w:hanging="567"/>
      </w:pPr>
      <w:r>
        <w:t>[37]</w:t>
      </w:r>
      <w:r>
        <w:tab/>
      </w:r>
      <w:r w:rsidR="00027C0E">
        <w:t xml:space="preserve">In </w:t>
      </w:r>
      <w:r w:rsidR="00027C0E" w:rsidRPr="00027C0E">
        <w:rPr>
          <w:i/>
          <w:iCs/>
        </w:rPr>
        <w:t>H v Fetal Assessment</w:t>
      </w:r>
      <w:r w:rsidR="00027C0E">
        <w:t xml:space="preserve"> </w:t>
      </w:r>
      <w:r w:rsidR="00027C0E">
        <w:rPr>
          <w:i/>
          <w:iCs/>
        </w:rPr>
        <w:t>Centre</w:t>
      </w:r>
      <w:r w:rsidR="005D0059">
        <w:t xml:space="preserve"> </w:t>
      </w:r>
      <w:r w:rsidR="00027C0E">
        <w:rPr>
          <w:rStyle w:val="FootnoteReference"/>
        </w:rPr>
        <w:footnoteReference w:id="9"/>
      </w:r>
      <w:r w:rsidR="00027C0E">
        <w:t xml:space="preserve"> </w:t>
      </w:r>
      <w:r w:rsidR="00027C0E" w:rsidRPr="00027C0E">
        <w:t xml:space="preserve">the Constitutional Court recognised that </w:t>
      </w:r>
      <w:r w:rsidR="005D0059">
        <w:t xml:space="preserve"> </w:t>
      </w:r>
      <w:r w:rsidR="005D0059" w:rsidRPr="00027C0E">
        <w:t xml:space="preserve"> where the </w:t>
      </w:r>
      <w:r w:rsidR="005D0059">
        <w:t>f</w:t>
      </w:r>
      <w:r w:rsidR="005D0059" w:rsidRPr="00027C0E">
        <w:t xml:space="preserve">actual situation is complex and the legal position uncertain, it will normally be better not to </w:t>
      </w:r>
      <w:r w:rsidR="005D0059">
        <w:t>decide the case on exception.</w:t>
      </w:r>
      <w:r w:rsidR="005D0059">
        <w:rPr>
          <w:rStyle w:val="FootnoteReference"/>
        </w:rPr>
        <w:footnoteReference w:id="10"/>
      </w:r>
      <w:r w:rsidR="005D0059">
        <w:t xml:space="preserve">  This is because the</w:t>
      </w:r>
      <w:r w:rsidR="00027C0E" w:rsidRPr="00027C0E">
        <w:t xml:space="preserve"> question of the development of the common law would be better served after hearing all the evidence.</w:t>
      </w:r>
      <w:r w:rsidR="00A0296E">
        <w:rPr>
          <w:rStyle w:val="FootnoteReference"/>
        </w:rPr>
        <w:footnoteReference w:id="11"/>
      </w:r>
      <w:r w:rsidR="00027C0E" w:rsidRPr="00027C0E">
        <w:t xml:space="preserve"> </w:t>
      </w:r>
    </w:p>
    <w:p w14:paraId="0B11292D" w14:textId="2DA6056F" w:rsidR="002E1884" w:rsidRDefault="00D17423" w:rsidP="00D17423">
      <w:pPr>
        <w:pStyle w:val="JudgmentNumbered"/>
        <w:numPr>
          <w:ilvl w:val="0"/>
          <w:numId w:val="0"/>
        </w:numPr>
        <w:ind w:left="720" w:hanging="720"/>
      </w:pPr>
      <w:r>
        <w:t>[38]</w:t>
      </w:r>
      <w:r>
        <w:tab/>
      </w:r>
      <w:r w:rsidR="002E1884">
        <w:t xml:space="preserve">It is thus only if the court can conclude that it is impossible to recognise the claim, irrespective of the facts as they might emerge at the trial, that </w:t>
      </w:r>
      <w:r w:rsidR="005D0059">
        <w:t>an</w:t>
      </w:r>
      <w:r w:rsidR="002E1884">
        <w:t xml:space="preserve"> exception can and should be upheld.</w:t>
      </w:r>
      <w:r w:rsidR="00022196">
        <w:t xml:space="preserve"> This is not such a case.</w:t>
      </w:r>
    </w:p>
    <w:p w14:paraId="56E5E05D" w14:textId="6D493C95" w:rsidR="00A21209" w:rsidRDefault="00D17423" w:rsidP="00D17423">
      <w:pPr>
        <w:pStyle w:val="JudgmentNumbered"/>
        <w:numPr>
          <w:ilvl w:val="0"/>
          <w:numId w:val="0"/>
        </w:numPr>
        <w:ind w:left="720" w:hanging="720"/>
      </w:pPr>
      <w:r>
        <w:lastRenderedPageBreak/>
        <w:t>[39]</w:t>
      </w:r>
      <w:r>
        <w:tab/>
      </w:r>
      <w:r w:rsidR="002E1884">
        <w:t xml:space="preserve">In </w:t>
      </w:r>
      <w:r w:rsidR="002E1884" w:rsidRPr="00A21209">
        <w:rPr>
          <w:i/>
          <w:iCs/>
        </w:rPr>
        <w:t>Pretorius v Transport Pension Fund</w:t>
      </w:r>
      <w:r w:rsidR="00A21209">
        <w:t>,</w:t>
      </w:r>
      <w:r w:rsidR="00A21209">
        <w:rPr>
          <w:rStyle w:val="FootnoteReference"/>
        </w:rPr>
        <w:footnoteReference w:id="12"/>
      </w:r>
      <w:r w:rsidR="002E1884">
        <w:t xml:space="preserve"> </w:t>
      </w:r>
      <w:r w:rsidR="00A21209">
        <w:t>the Constitutional Court reiterated that exception proceedings are inappropriate to decide the complex factual and legal issues</w:t>
      </w:r>
      <w:r w:rsidR="005D0059">
        <w:t xml:space="preserve"> involved when there is an extension of the common law sought.</w:t>
      </w:r>
    </w:p>
    <w:p w14:paraId="4DC499E8" w14:textId="34F31A6B" w:rsidR="002E1884" w:rsidRDefault="00D17423" w:rsidP="00D17423">
      <w:pPr>
        <w:pStyle w:val="JudgmentNumbered"/>
        <w:numPr>
          <w:ilvl w:val="0"/>
          <w:numId w:val="0"/>
        </w:numPr>
        <w:ind w:left="720" w:hanging="720"/>
      </w:pPr>
      <w:r>
        <w:t>[40]</w:t>
      </w:r>
      <w:r>
        <w:tab/>
      </w:r>
      <w:r w:rsidR="00A21209" w:rsidRPr="00A21209">
        <w:rPr>
          <w:i/>
          <w:iCs/>
        </w:rPr>
        <w:t xml:space="preserve"> Fetal Assessment Centre </w:t>
      </w:r>
      <w:r w:rsidR="00A21209">
        <w:t xml:space="preserve">also confirmed the judgment of the SCA in </w:t>
      </w:r>
      <w:r w:rsidR="00A21209" w:rsidRPr="00A21209">
        <w:rPr>
          <w:i/>
          <w:iCs/>
        </w:rPr>
        <w:t>Children's Resource Centre</w:t>
      </w:r>
      <w:r w:rsidR="00A21209">
        <w:t xml:space="preserve"> </w:t>
      </w:r>
      <w:r w:rsidR="00A21209" w:rsidRPr="00A21209">
        <w:rPr>
          <w:i/>
          <w:iCs/>
        </w:rPr>
        <w:t>Trust</w:t>
      </w:r>
      <w:r w:rsidR="00A21209">
        <w:rPr>
          <w:i/>
          <w:iCs/>
        </w:rPr>
        <w:t>,</w:t>
      </w:r>
      <w:r w:rsidR="00A21209" w:rsidRPr="007619C6">
        <w:rPr>
          <w:rStyle w:val="FootnoteReference"/>
        </w:rPr>
        <w:footnoteReference w:id="13"/>
      </w:r>
      <w:r w:rsidR="00A21209">
        <w:rPr>
          <w:i/>
          <w:iCs/>
        </w:rPr>
        <w:t xml:space="preserve"> </w:t>
      </w:r>
      <w:r w:rsidR="00022196">
        <w:t>to the effect that</w:t>
      </w:r>
      <w:r w:rsidR="00A21209">
        <w:t xml:space="preserve"> if a novel or unprecedented claim is “legally plausible” then it must be determined in the course of the action.</w:t>
      </w:r>
      <w:r w:rsidR="00A21209">
        <w:rPr>
          <w:rStyle w:val="FootnoteReference"/>
        </w:rPr>
        <w:footnoteReference w:id="14"/>
      </w:r>
    </w:p>
    <w:p w14:paraId="0452B4A5" w14:textId="0B4A1ACE" w:rsidR="007619C6" w:rsidRDefault="00D17423" w:rsidP="00D17423">
      <w:pPr>
        <w:pStyle w:val="JudgmentNumbered"/>
        <w:numPr>
          <w:ilvl w:val="0"/>
          <w:numId w:val="0"/>
        </w:numPr>
        <w:ind w:left="567" w:hanging="567"/>
      </w:pPr>
      <w:r>
        <w:t>[41]</w:t>
      </w:r>
      <w:r>
        <w:tab/>
      </w:r>
      <w:r w:rsidR="007619C6">
        <w:t>Accordingly, a court must be satisfied that a novel claim is inconceivable under our law as potentially developed under section 39(2) of the Constitution</w:t>
      </w:r>
      <w:r w:rsidR="007F614A" w:rsidRPr="007F614A">
        <w:t xml:space="preserve"> </w:t>
      </w:r>
      <w:r w:rsidR="007F614A">
        <w:t>before it can uphold an exception premised on the alleged non</w:t>
      </w:r>
      <w:r w:rsidR="007F614A">
        <w:noBreakHyphen/>
        <w:t>disclosure of a cause of action.</w:t>
      </w:r>
      <w:r w:rsidR="007619C6">
        <w:rPr>
          <w:rStyle w:val="FootnoteReference"/>
        </w:rPr>
        <w:footnoteReference w:id="15"/>
      </w:r>
      <w:r w:rsidR="007619C6">
        <w:t xml:space="preserve"> </w:t>
      </w:r>
    </w:p>
    <w:p w14:paraId="73E8D3E3" w14:textId="0302483B" w:rsidR="007619C6" w:rsidRDefault="00D17423" w:rsidP="00D17423">
      <w:pPr>
        <w:pStyle w:val="JudgmentNumbered"/>
        <w:numPr>
          <w:ilvl w:val="0"/>
          <w:numId w:val="0"/>
        </w:numPr>
        <w:ind w:left="720" w:hanging="720"/>
      </w:pPr>
      <w:r>
        <w:t>[42]</w:t>
      </w:r>
      <w:r>
        <w:tab/>
      </w:r>
      <w:r w:rsidR="007619C6">
        <w:t>In the circumstances this exception must also fail.</w:t>
      </w:r>
    </w:p>
    <w:p w14:paraId="42EE5602" w14:textId="661CBC94" w:rsidR="00022196" w:rsidRPr="00022196" w:rsidRDefault="00022196" w:rsidP="00022196">
      <w:pPr>
        <w:pStyle w:val="JudgmentNumbered"/>
        <w:numPr>
          <w:ilvl w:val="0"/>
          <w:numId w:val="0"/>
        </w:numPr>
        <w:rPr>
          <w:i/>
          <w:iCs/>
        </w:rPr>
      </w:pPr>
      <w:r w:rsidRPr="00022196">
        <w:rPr>
          <w:i/>
          <w:iCs/>
        </w:rPr>
        <w:t>Costs</w:t>
      </w:r>
    </w:p>
    <w:p w14:paraId="76FE99D0" w14:textId="59072AD0" w:rsidR="00022196" w:rsidRDefault="00D17423" w:rsidP="00D17423">
      <w:pPr>
        <w:pStyle w:val="JudgmentNumbered"/>
        <w:numPr>
          <w:ilvl w:val="0"/>
          <w:numId w:val="0"/>
        </w:numPr>
        <w:ind w:left="720" w:hanging="720"/>
      </w:pPr>
      <w:r>
        <w:t>[43]</w:t>
      </w:r>
      <w:r>
        <w:tab/>
      </w:r>
      <w:r w:rsidR="007619C6">
        <w:t xml:space="preserve">Given the </w:t>
      </w:r>
      <w:r w:rsidR="00022196">
        <w:t xml:space="preserve">clear and well settled </w:t>
      </w:r>
      <w:r w:rsidR="007619C6">
        <w:t xml:space="preserve">legal prescripts which operate this result should have been seen as inevitable. </w:t>
      </w:r>
    </w:p>
    <w:p w14:paraId="47259F5A" w14:textId="49F86352" w:rsidR="007619C6" w:rsidRDefault="00D17423" w:rsidP="00D17423">
      <w:pPr>
        <w:pStyle w:val="JudgmentNumbered"/>
        <w:numPr>
          <w:ilvl w:val="0"/>
          <w:numId w:val="0"/>
        </w:numPr>
        <w:ind w:left="720" w:hanging="720"/>
      </w:pPr>
      <w:r>
        <w:t>[44]</w:t>
      </w:r>
      <w:r>
        <w:tab/>
      </w:r>
      <w:r w:rsidR="007619C6">
        <w:t>There is no reason in the circumstances which dictate that the defendant should not pay the costs.</w:t>
      </w:r>
    </w:p>
    <w:p w14:paraId="062CBB6E" w14:textId="2E12E3DE" w:rsidR="000204C0" w:rsidRPr="000204C0" w:rsidRDefault="000204C0" w:rsidP="000204C0">
      <w:pPr>
        <w:pStyle w:val="JudgmentNumbered"/>
        <w:numPr>
          <w:ilvl w:val="0"/>
          <w:numId w:val="0"/>
        </w:numPr>
        <w:rPr>
          <w:i/>
          <w:iCs/>
        </w:rPr>
      </w:pPr>
      <w:r>
        <w:rPr>
          <w:i/>
          <w:iCs/>
        </w:rPr>
        <w:t>Order</w:t>
      </w:r>
    </w:p>
    <w:p w14:paraId="48C441B3" w14:textId="7449B02B" w:rsidR="00661188" w:rsidRDefault="00D17423" w:rsidP="00D17423">
      <w:pPr>
        <w:pStyle w:val="JudgmentNumbered"/>
        <w:numPr>
          <w:ilvl w:val="0"/>
          <w:numId w:val="0"/>
        </w:numPr>
        <w:ind w:left="720" w:hanging="720"/>
      </w:pPr>
      <w:r>
        <w:t>[45]</w:t>
      </w:r>
      <w:r>
        <w:tab/>
      </w:r>
      <w:r w:rsidR="007619C6" w:rsidRPr="007619C6">
        <w:t>In the circumstances I make the following order:</w:t>
      </w:r>
    </w:p>
    <w:p w14:paraId="53C4715E" w14:textId="4AA7B7FB" w:rsidR="00661188" w:rsidRDefault="00D17423" w:rsidP="00D17423">
      <w:pPr>
        <w:pStyle w:val="JudgmentNumbered"/>
        <w:numPr>
          <w:ilvl w:val="0"/>
          <w:numId w:val="0"/>
        </w:numPr>
        <w:ind w:left="1287" w:hanging="578"/>
      </w:pPr>
      <w:bookmarkStart w:id="5" w:name="_Hlk140479139"/>
      <w:r>
        <w:t>[1]</w:t>
      </w:r>
      <w:r>
        <w:tab/>
      </w:r>
      <w:r w:rsidR="000204C0">
        <w:t xml:space="preserve">The </w:t>
      </w:r>
      <w:r w:rsidR="007619C6">
        <w:t>exceptions are dismissed with costs.</w:t>
      </w:r>
    </w:p>
    <w:bookmarkEnd w:id="5"/>
    <w:p w14:paraId="0944661B" w14:textId="248A33AD" w:rsidR="005818DD" w:rsidRDefault="005818DD" w:rsidP="0078697A">
      <w:pPr>
        <w:pStyle w:val="JudgmentNumbered"/>
        <w:numPr>
          <w:ilvl w:val="0"/>
          <w:numId w:val="0"/>
        </w:numPr>
      </w:pPr>
    </w:p>
    <w:p w14:paraId="377C8457" w14:textId="639F6D04" w:rsidR="005818DD" w:rsidRDefault="005818DD" w:rsidP="005818DD">
      <w:pPr>
        <w:pStyle w:val="JudgmentNumbered"/>
        <w:numPr>
          <w:ilvl w:val="0"/>
          <w:numId w:val="0"/>
        </w:numPr>
        <w:spacing w:after="0"/>
        <w:ind w:left="567" w:hanging="567"/>
        <w:jc w:val="right"/>
      </w:pPr>
      <w:r>
        <w:t>_________________________</w:t>
      </w:r>
    </w:p>
    <w:p w14:paraId="3EEDC72F" w14:textId="77777777" w:rsidR="005818DD" w:rsidRDefault="005818DD" w:rsidP="005818DD">
      <w:pPr>
        <w:pStyle w:val="JudgmentNumbered"/>
        <w:numPr>
          <w:ilvl w:val="0"/>
          <w:numId w:val="0"/>
        </w:numPr>
        <w:spacing w:after="0"/>
        <w:ind w:left="567" w:hanging="567"/>
        <w:jc w:val="right"/>
        <w:rPr>
          <w:b/>
        </w:rPr>
      </w:pPr>
      <w:r>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77777777" w:rsidR="005818DD" w:rsidRDefault="005818DD" w:rsidP="005818DD">
      <w:pPr>
        <w:pStyle w:val="JudgmentNumbered"/>
        <w:numPr>
          <w:ilvl w:val="0"/>
          <w:numId w:val="0"/>
        </w:numPr>
        <w:spacing w:after="0"/>
        <w:ind w:left="567" w:hanging="567"/>
        <w:jc w:val="right"/>
        <w:rPr>
          <w:b/>
        </w:rPr>
      </w:pPr>
      <w:r>
        <w:rPr>
          <w:b/>
        </w:rPr>
        <w:t>JOHANNESBURG</w:t>
      </w:r>
    </w:p>
    <w:p w14:paraId="006984D5" w14:textId="77777777" w:rsidR="005818DD" w:rsidRDefault="005818DD" w:rsidP="005818DD">
      <w:pPr>
        <w:ind w:left="0"/>
        <w:rPr>
          <w:rFonts w:eastAsia="Calibri" w:cs="Arial"/>
          <w:b/>
        </w:rPr>
      </w:pPr>
    </w:p>
    <w:p w14:paraId="6C6F46A2" w14:textId="52F3D653" w:rsidR="00022196" w:rsidRPr="00842549" w:rsidRDefault="0078697A" w:rsidP="0078697A">
      <w:pPr>
        <w:pStyle w:val="JudgmentNumbered"/>
        <w:numPr>
          <w:ilvl w:val="0"/>
          <w:numId w:val="0"/>
        </w:numPr>
        <w:rPr>
          <w:b/>
          <w:bCs/>
        </w:rPr>
      </w:pPr>
      <w:r>
        <w:rPr>
          <w:b/>
          <w:bCs/>
        </w:rPr>
        <w:t xml:space="preserve">Delivered: </w:t>
      </w:r>
      <w:r w:rsidRPr="00D70FFD">
        <w:rPr>
          <w:b/>
          <w:bCs/>
        </w:rPr>
        <w:t>This Judgment was handed down electronically by circulation to the parties/their legal representatives by email and by uploading to the electronic file on Case Lines. The date for hand-down is deemed to be</w:t>
      </w:r>
      <w:r>
        <w:rPr>
          <w:b/>
          <w:bCs/>
        </w:rPr>
        <w:t xml:space="preserve"> </w:t>
      </w:r>
      <w:r w:rsidR="003673D2">
        <w:rPr>
          <w:b/>
          <w:bCs/>
        </w:rPr>
        <w:t xml:space="preserve">05 </w:t>
      </w:r>
      <w:r>
        <w:rPr>
          <w:b/>
          <w:bCs/>
        </w:rPr>
        <w:t xml:space="preserve">September </w:t>
      </w:r>
      <w:r w:rsidRPr="00D70FFD">
        <w:rPr>
          <w:b/>
          <w:bCs/>
        </w:rPr>
        <w:t xml:space="preserve">2023 </w:t>
      </w:r>
    </w:p>
    <w:p w14:paraId="383ECBE4" w14:textId="0ABD7656" w:rsidR="00022196" w:rsidRPr="003673D2" w:rsidRDefault="0078697A" w:rsidP="003673D2">
      <w:pPr>
        <w:tabs>
          <w:tab w:val="left" w:pos="3969"/>
          <w:tab w:val="left" w:pos="4536"/>
        </w:tabs>
        <w:ind w:left="0"/>
        <w:rPr>
          <w:rFonts w:eastAsia="Calibri" w:cs="Arial"/>
          <w:bCs/>
        </w:rPr>
      </w:pPr>
      <w:r>
        <w:rPr>
          <w:rFonts w:eastAsia="Calibri" w:cs="Arial"/>
          <w:b/>
        </w:rPr>
        <w:t>Heard:</w:t>
      </w:r>
      <w:r>
        <w:rPr>
          <w:rFonts w:eastAsia="Calibri" w:cs="Arial"/>
          <w:b/>
        </w:rPr>
        <w:tab/>
      </w:r>
      <w:r>
        <w:rPr>
          <w:rFonts w:eastAsia="Calibri" w:cs="Arial"/>
          <w:b/>
        </w:rPr>
        <w:tab/>
      </w:r>
      <w:r>
        <w:rPr>
          <w:rFonts w:eastAsia="Calibri" w:cs="Arial"/>
          <w:bCs/>
        </w:rPr>
        <w:t>27 July 2023</w:t>
      </w:r>
    </w:p>
    <w:p w14:paraId="4F7D0627" w14:textId="03F1753A" w:rsidR="0078697A" w:rsidRPr="00C628B2" w:rsidRDefault="0078697A" w:rsidP="003673D2">
      <w:pPr>
        <w:tabs>
          <w:tab w:val="left" w:pos="4111"/>
          <w:tab w:val="left" w:pos="4395"/>
          <w:tab w:val="left" w:pos="4536"/>
        </w:tabs>
        <w:ind w:hanging="567"/>
        <w:rPr>
          <w:rFonts w:eastAsia="Calibri" w:cs="Arial"/>
          <w:bCs/>
        </w:rPr>
      </w:pPr>
      <w:r>
        <w:rPr>
          <w:rFonts w:eastAsia="Calibri" w:cs="Arial"/>
          <w:b/>
        </w:rPr>
        <w:t>Delivered:</w:t>
      </w:r>
      <w:r w:rsidR="00022196">
        <w:rPr>
          <w:rFonts w:eastAsia="Calibri" w:cs="Arial"/>
          <w:b/>
        </w:rPr>
        <w:t xml:space="preserve">                                                   </w:t>
      </w:r>
      <w:r w:rsidR="003673D2">
        <w:rPr>
          <w:rFonts w:eastAsia="Calibri" w:cs="Arial"/>
          <w:bCs/>
        </w:rPr>
        <w:t>05</w:t>
      </w:r>
      <w:r w:rsidR="00022196">
        <w:rPr>
          <w:rFonts w:eastAsia="Calibri" w:cs="Arial"/>
          <w:bCs/>
        </w:rPr>
        <w:t xml:space="preserve"> September 2023</w:t>
      </w:r>
      <w:r>
        <w:rPr>
          <w:rFonts w:eastAsia="Calibri" w:cs="Arial"/>
          <w:b/>
        </w:rPr>
        <w:tab/>
      </w:r>
      <w:r>
        <w:rPr>
          <w:rFonts w:eastAsia="Calibri" w:cs="Arial"/>
          <w:b/>
        </w:rPr>
        <w:tab/>
      </w:r>
      <w:r w:rsidR="00022196">
        <w:rPr>
          <w:rFonts w:eastAsia="Calibri" w:cs="Arial"/>
          <w:b/>
        </w:rPr>
        <w:t xml:space="preserve"> </w:t>
      </w:r>
    </w:p>
    <w:p w14:paraId="0A61E52E" w14:textId="77777777" w:rsidR="0078697A" w:rsidRDefault="0078697A" w:rsidP="0078697A">
      <w:pPr>
        <w:ind w:hanging="567"/>
        <w:rPr>
          <w:rFonts w:eastAsia="Calibri" w:cs="Arial"/>
          <w:b/>
        </w:rPr>
      </w:pPr>
      <w:r>
        <w:rPr>
          <w:rFonts w:eastAsia="Calibri" w:cs="Arial"/>
          <w:b/>
        </w:rPr>
        <w:t>APPEARANCES:</w:t>
      </w:r>
    </w:p>
    <w:p w14:paraId="4F1BDB6D" w14:textId="7700DBFA" w:rsidR="0078697A" w:rsidRDefault="0078697A" w:rsidP="0078697A">
      <w:pPr>
        <w:tabs>
          <w:tab w:val="left" w:pos="3969"/>
          <w:tab w:val="left" w:pos="4536"/>
        </w:tabs>
        <w:ind w:left="0"/>
        <w:rPr>
          <w:rFonts w:eastAsia="Calibri" w:cs="Arial"/>
          <w:bCs/>
        </w:rPr>
      </w:pPr>
      <w:r w:rsidRPr="0078697A">
        <w:rPr>
          <w:rFonts w:eastAsia="Calibri" w:cs="Arial"/>
          <w:b/>
        </w:rPr>
        <w:t xml:space="preserve">For the </w:t>
      </w:r>
      <w:r>
        <w:rPr>
          <w:rFonts w:eastAsia="Calibri" w:cs="Arial"/>
          <w:b/>
        </w:rPr>
        <w:t>Plaintiffs</w:t>
      </w:r>
      <w:r w:rsidRPr="0078697A">
        <w:rPr>
          <w:rFonts w:eastAsia="Calibri" w:cs="Arial"/>
          <w:b/>
        </w:rPr>
        <w:t>:</w:t>
      </w:r>
      <w:r>
        <w:rPr>
          <w:rFonts w:eastAsia="Calibri" w:cs="Arial"/>
          <w:bCs/>
        </w:rPr>
        <w:tab/>
      </w:r>
      <w:r>
        <w:rPr>
          <w:rFonts w:eastAsia="Calibri" w:cs="Arial"/>
          <w:bCs/>
        </w:rPr>
        <w:tab/>
        <w:t>Adv. Goolam Ameer</w:t>
      </w:r>
    </w:p>
    <w:p w14:paraId="41E6D23A" w14:textId="29526B99" w:rsidR="0078697A" w:rsidRPr="0078697A" w:rsidRDefault="0078697A" w:rsidP="0078697A">
      <w:pPr>
        <w:tabs>
          <w:tab w:val="left" w:pos="3969"/>
          <w:tab w:val="left" w:pos="4536"/>
        </w:tabs>
        <w:ind w:hanging="567"/>
        <w:rPr>
          <w:rFonts w:eastAsia="Calibri" w:cs="Arial"/>
          <w:bCs/>
        </w:rPr>
      </w:pPr>
      <w:r>
        <w:rPr>
          <w:rFonts w:eastAsia="Calibri" w:cs="Arial"/>
          <w:bCs/>
        </w:rPr>
        <w:t>Instructed by</w:t>
      </w:r>
      <w:r>
        <w:rPr>
          <w:rFonts w:eastAsia="Calibri" w:cs="Arial"/>
          <w:b/>
        </w:rPr>
        <w:tab/>
      </w:r>
      <w:r>
        <w:rPr>
          <w:rFonts w:eastAsia="Calibri" w:cs="Arial"/>
          <w:b/>
        </w:rPr>
        <w:tab/>
      </w:r>
      <w:r>
        <w:rPr>
          <w:rFonts w:eastAsia="Calibri" w:cs="Arial"/>
          <w:bCs/>
        </w:rPr>
        <w:t>Raees Chothia Attorneys</w:t>
      </w:r>
    </w:p>
    <w:p w14:paraId="68A1D579" w14:textId="2E27A4B7" w:rsidR="0078697A" w:rsidRDefault="0078697A" w:rsidP="0078697A">
      <w:pPr>
        <w:tabs>
          <w:tab w:val="left" w:pos="3969"/>
          <w:tab w:val="left" w:pos="4536"/>
        </w:tabs>
        <w:ind w:hanging="567"/>
        <w:rPr>
          <w:rFonts w:eastAsia="Calibri" w:cs="Arial"/>
          <w:bCs/>
        </w:rPr>
      </w:pPr>
      <w:r>
        <w:rPr>
          <w:rFonts w:eastAsia="Calibri" w:cs="Arial"/>
          <w:b/>
        </w:rPr>
        <w:t>For the Defendants:</w:t>
      </w:r>
      <w:r>
        <w:rPr>
          <w:rFonts w:eastAsia="Calibri" w:cs="Arial"/>
          <w:b/>
        </w:rPr>
        <w:tab/>
      </w:r>
      <w:r w:rsidRPr="000204C0">
        <w:rPr>
          <w:rFonts w:eastAsia="Calibri" w:cs="Arial"/>
          <w:bCs/>
        </w:rPr>
        <w:tab/>
      </w:r>
      <w:r>
        <w:rPr>
          <w:rFonts w:eastAsia="Calibri" w:cs="Arial"/>
          <w:bCs/>
        </w:rPr>
        <w:t>Adv.</w:t>
      </w:r>
      <w:r w:rsidRPr="00854AE6">
        <w:rPr>
          <w:rFonts w:eastAsia="Calibri" w:cs="Arial"/>
          <w:bCs/>
        </w:rPr>
        <w:t xml:space="preserve"> </w:t>
      </w:r>
      <w:r w:rsidRPr="0078697A">
        <w:rPr>
          <w:rFonts w:eastAsia="Calibri" w:cs="Arial"/>
          <w:bCs/>
        </w:rPr>
        <w:t>Phillip Mokoena SC</w:t>
      </w:r>
    </w:p>
    <w:p w14:paraId="238772E7" w14:textId="45900FD8" w:rsidR="0078697A" w:rsidRDefault="0078697A" w:rsidP="0078697A">
      <w:pPr>
        <w:tabs>
          <w:tab w:val="left" w:pos="3969"/>
          <w:tab w:val="left" w:pos="4536"/>
        </w:tabs>
        <w:ind w:left="0"/>
        <w:rPr>
          <w:rFonts w:eastAsia="Calibri" w:cs="Arial"/>
          <w:bCs/>
        </w:rPr>
      </w:pPr>
      <w:r>
        <w:rPr>
          <w:rFonts w:eastAsia="Calibri" w:cs="Arial"/>
          <w:bCs/>
        </w:rPr>
        <w:tab/>
      </w:r>
      <w:r>
        <w:rPr>
          <w:rFonts w:eastAsia="Calibri" w:cs="Arial"/>
          <w:bCs/>
        </w:rPr>
        <w:tab/>
        <w:t>Adv. Cingashe Tabata</w:t>
      </w:r>
    </w:p>
    <w:p w14:paraId="1E4FC9A2" w14:textId="0EAAE04A" w:rsidR="0078697A" w:rsidRDefault="0078697A" w:rsidP="0078697A">
      <w:pPr>
        <w:tabs>
          <w:tab w:val="left" w:pos="3969"/>
          <w:tab w:val="left" w:pos="4536"/>
        </w:tabs>
        <w:ind w:hanging="567"/>
        <w:rPr>
          <w:rFonts w:eastAsia="Calibri" w:cs="Arial"/>
          <w:bCs/>
        </w:rPr>
      </w:pPr>
      <w:r>
        <w:rPr>
          <w:rFonts w:eastAsia="Calibri" w:cs="Arial"/>
          <w:bCs/>
        </w:rPr>
        <w:t>Instructed by:</w:t>
      </w:r>
      <w:r>
        <w:rPr>
          <w:rFonts w:eastAsia="Calibri" w:cs="Arial"/>
          <w:b/>
        </w:rPr>
        <w:t xml:space="preserve"> </w:t>
      </w:r>
      <w:r>
        <w:rPr>
          <w:rFonts w:eastAsia="Calibri" w:cs="Arial"/>
          <w:b/>
        </w:rPr>
        <w:tab/>
      </w:r>
      <w:r>
        <w:rPr>
          <w:rFonts w:eastAsia="Calibri" w:cs="Arial"/>
          <w:b/>
        </w:rPr>
        <w:tab/>
      </w:r>
      <w:r>
        <w:rPr>
          <w:rFonts w:eastAsia="Calibri" w:cs="Arial"/>
          <w:bCs/>
        </w:rPr>
        <w:t>Werksmans Attorneys</w:t>
      </w:r>
    </w:p>
    <w:p w14:paraId="60386AD3" w14:textId="41D52A32" w:rsidR="008564B8" w:rsidRPr="0065585A" w:rsidRDefault="008564B8" w:rsidP="0078697A">
      <w:pPr>
        <w:tabs>
          <w:tab w:val="left" w:pos="3969"/>
          <w:tab w:val="left" w:pos="4536"/>
        </w:tabs>
        <w:ind w:left="0"/>
        <w:rPr>
          <w:rFonts w:eastAsia="Calibri" w:cs="Arial"/>
          <w:b/>
        </w:rPr>
      </w:pPr>
    </w:p>
    <w:sectPr w:rsidR="008564B8" w:rsidRPr="0065585A" w:rsidSect="008F6C9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5039" w14:textId="77777777" w:rsidR="00F7207A" w:rsidRDefault="00F7207A" w:rsidP="00C0309A">
      <w:pPr>
        <w:spacing w:after="0" w:line="240" w:lineRule="auto"/>
      </w:pPr>
      <w:r>
        <w:separator/>
      </w:r>
    </w:p>
  </w:endnote>
  <w:endnote w:type="continuationSeparator" w:id="0">
    <w:p w14:paraId="161CE50B" w14:textId="77777777" w:rsidR="00F7207A" w:rsidRDefault="00F7207A"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09F5BFA1" w:rsidR="008F6C98" w:rsidRDefault="008F6C98">
        <w:pPr>
          <w:pStyle w:val="Footer"/>
          <w:jc w:val="right"/>
        </w:pPr>
        <w:r>
          <w:fldChar w:fldCharType="begin"/>
        </w:r>
        <w:r>
          <w:instrText xml:space="preserve"> PAGE   \* MERGEFORMAT </w:instrText>
        </w:r>
        <w:r>
          <w:fldChar w:fldCharType="separate"/>
        </w:r>
        <w:r w:rsidR="00D17423">
          <w:rPr>
            <w:noProof/>
          </w:rPr>
          <w:t>10</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434A5" w14:textId="77777777" w:rsidR="00F7207A" w:rsidRDefault="00F7207A" w:rsidP="006779AB">
      <w:pPr>
        <w:spacing w:after="0" w:line="240" w:lineRule="auto"/>
        <w:ind w:left="0"/>
      </w:pPr>
      <w:r>
        <w:separator/>
      </w:r>
    </w:p>
  </w:footnote>
  <w:footnote w:type="continuationSeparator" w:id="0">
    <w:p w14:paraId="0F71AE24" w14:textId="77777777" w:rsidR="00F7207A" w:rsidRDefault="00F7207A" w:rsidP="00C0309A">
      <w:pPr>
        <w:spacing w:after="0" w:line="240" w:lineRule="auto"/>
      </w:pPr>
      <w:r>
        <w:continuationSeparator/>
      </w:r>
    </w:p>
  </w:footnote>
  <w:footnote w:id="1">
    <w:p w14:paraId="19C812B9" w14:textId="25A51B93" w:rsidR="00B1205C" w:rsidRPr="007619C6" w:rsidRDefault="00B1205C" w:rsidP="00B1205C">
      <w:pPr>
        <w:pStyle w:val="FootnoteText"/>
        <w:ind w:left="0"/>
        <w:rPr>
          <w:sz w:val="18"/>
          <w:szCs w:val="18"/>
          <w:lang w:val="en-ZA"/>
        </w:rPr>
      </w:pPr>
      <w:r w:rsidRPr="007619C6">
        <w:rPr>
          <w:rStyle w:val="FootnoteReference"/>
          <w:sz w:val="18"/>
          <w:szCs w:val="18"/>
        </w:rPr>
        <w:footnoteRef/>
      </w:r>
      <w:r w:rsidRPr="007619C6">
        <w:rPr>
          <w:sz w:val="18"/>
          <w:szCs w:val="18"/>
        </w:rPr>
        <w:t xml:space="preserve"> 40 of 2002.</w:t>
      </w:r>
    </w:p>
  </w:footnote>
  <w:footnote w:id="2">
    <w:p w14:paraId="2E0741CA" w14:textId="7045B954" w:rsidR="008A33AD" w:rsidRPr="00366DD8" w:rsidRDefault="008A33AD" w:rsidP="008A33AD">
      <w:pPr>
        <w:pStyle w:val="FootnoteText"/>
        <w:ind w:left="0"/>
        <w:rPr>
          <w:i/>
          <w:iCs/>
          <w:sz w:val="18"/>
          <w:szCs w:val="18"/>
          <w:lang w:val="en-ZA"/>
        </w:rPr>
      </w:pPr>
      <w:r w:rsidRPr="007619C6">
        <w:rPr>
          <w:rStyle w:val="FootnoteReference"/>
          <w:sz w:val="18"/>
          <w:szCs w:val="18"/>
        </w:rPr>
        <w:footnoteRef/>
      </w:r>
      <w:r w:rsidRPr="007619C6">
        <w:rPr>
          <w:sz w:val="18"/>
          <w:szCs w:val="18"/>
        </w:rPr>
        <w:t xml:space="preserve"> </w:t>
      </w:r>
      <w:r w:rsidRPr="00366DD8">
        <w:rPr>
          <w:i/>
          <w:iCs/>
          <w:sz w:val="18"/>
          <w:szCs w:val="18"/>
        </w:rPr>
        <w:t>Minister of Law and Order v Kadir [1994] ZASCA 138; 1995(1) SA 303 A at 318 and First National Bank of Southern Africa Ltd v Perry N.O. [2001] ZASCA 37; 2001 (3) SA 960 (SCA) at para 6.</w:t>
      </w:r>
    </w:p>
  </w:footnote>
  <w:footnote w:id="3">
    <w:p w14:paraId="265A175B" w14:textId="17BABBE7" w:rsidR="005675BB" w:rsidRPr="00366DD8" w:rsidRDefault="005675BB" w:rsidP="005675BB">
      <w:pPr>
        <w:pStyle w:val="FootnoteText"/>
        <w:ind w:left="0"/>
        <w:rPr>
          <w:i/>
          <w:iCs/>
          <w:sz w:val="18"/>
          <w:szCs w:val="18"/>
          <w:lang w:val="en-ZA"/>
        </w:rPr>
      </w:pPr>
      <w:r w:rsidRPr="00366DD8">
        <w:rPr>
          <w:rStyle w:val="FootnoteReference"/>
          <w:i/>
          <w:iCs/>
          <w:sz w:val="18"/>
          <w:szCs w:val="18"/>
        </w:rPr>
        <w:footnoteRef/>
      </w:r>
      <w:r w:rsidRPr="00366DD8">
        <w:rPr>
          <w:i/>
          <w:iCs/>
          <w:sz w:val="18"/>
          <w:szCs w:val="18"/>
        </w:rPr>
        <w:t xml:space="preserve"> </w:t>
      </w:r>
      <w:r w:rsidRPr="00366DD8">
        <w:rPr>
          <w:i/>
          <w:iCs/>
          <w:sz w:val="18"/>
          <w:szCs w:val="18"/>
          <w:lang w:val="en-ZA"/>
        </w:rPr>
        <w:t>13 of 2009.</w:t>
      </w:r>
    </w:p>
  </w:footnote>
  <w:footnote w:id="4">
    <w:p w14:paraId="3922354D" w14:textId="1B41A106" w:rsidR="004043C4" w:rsidRPr="007619C6" w:rsidRDefault="004043C4" w:rsidP="001758CA">
      <w:pPr>
        <w:pStyle w:val="FootnoteText"/>
        <w:ind w:left="0"/>
        <w:rPr>
          <w:sz w:val="18"/>
          <w:szCs w:val="18"/>
          <w:lang w:val="en-ZA"/>
        </w:rPr>
      </w:pPr>
      <w:r w:rsidRPr="007619C6">
        <w:rPr>
          <w:rStyle w:val="FootnoteReference"/>
          <w:sz w:val="18"/>
          <w:szCs w:val="18"/>
        </w:rPr>
        <w:footnoteRef/>
      </w:r>
      <w:r w:rsidRPr="007619C6">
        <w:rPr>
          <w:sz w:val="18"/>
          <w:szCs w:val="18"/>
        </w:rPr>
        <w:t xml:space="preserve"> </w:t>
      </w:r>
      <w:r w:rsidRPr="007619C6">
        <w:rPr>
          <w:i/>
          <w:iCs/>
          <w:sz w:val="18"/>
          <w:szCs w:val="18"/>
          <w:lang w:val="en-ZA"/>
        </w:rPr>
        <w:t xml:space="preserve">Mohlomi v Minister of Defence </w:t>
      </w:r>
      <w:r w:rsidR="001758CA" w:rsidRPr="007619C6">
        <w:rPr>
          <w:sz w:val="18"/>
          <w:szCs w:val="18"/>
          <w:lang w:val="en-ZA"/>
        </w:rPr>
        <w:t>[1996] ZACC</w:t>
      </w:r>
      <w:r w:rsidR="001758CA" w:rsidRPr="007619C6">
        <w:rPr>
          <w:i/>
          <w:iCs/>
          <w:sz w:val="18"/>
          <w:szCs w:val="18"/>
          <w:lang w:val="en-ZA"/>
        </w:rPr>
        <w:t xml:space="preserve"> </w:t>
      </w:r>
      <w:r w:rsidR="001758CA" w:rsidRPr="007619C6">
        <w:rPr>
          <w:sz w:val="18"/>
          <w:szCs w:val="18"/>
          <w:lang w:val="en-ZA"/>
        </w:rPr>
        <w:t xml:space="preserve">20; </w:t>
      </w:r>
      <w:r w:rsidRPr="007619C6">
        <w:rPr>
          <w:sz w:val="18"/>
          <w:szCs w:val="18"/>
          <w:lang w:val="en-ZA"/>
        </w:rPr>
        <w:t>1997 (1) SA 124 (CC)</w:t>
      </w:r>
      <w:r w:rsidR="001758CA" w:rsidRPr="007619C6">
        <w:rPr>
          <w:sz w:val="18"/>
          <w:szCs w:val="18"/>
          <w:lang w:val="en-ZA"/>
        </w:rPr>
        <w:t>; 1996 (12) BCLR 1559.</w:t>
      </w:r>
    </w:p>
  </w:footnote>
  <w:footnote w:id="5">
    <w:p w14:paraId="63A26C6A" w14:textId="09881CF2" w:rsidR="001758CA" w:rsidRPr="007619C6" w:rsidRDefault="001758CA" w:rsidP="001758CA">
      <w:pPr>
        <w:pStyle w:val="FootnoteText"/>
        <w:ind w:left="0"/>
        <w:rPr>
          <w:sz w:val="18"/>
          <w:szCs w:val="18"/>
          <w:lang w:val="en-ZA"/>
        </w:rPr>
      </w:pPr>
      <w:r w:rsidRPr="007619C6">
        <w:rPr>
          <w:rStyle w:val="FootnoteReference"/>
          <w:sz w:val="18"/>
          <w:szCs w:val="18"/>
        </w:rPr>
        <w:footnoteRef/>
      </w:r>
      <w:r w:rsidRPr="007619C6">
        <w:rPr>
          <w:sz w:val="18"/>
          <w:szCs w:val="18"/>
        </w:rPr>
        <w:t xml:space="preserve"> 44 of 1957.</w:t>
      </w:r>
    </w:p>
  </w:footnote>
  <w:footnote w:id="6">
    <w:p w14:paraId="7D38459C" w14:textId="7BA8E1B0" w:rsidR="00FA09E3" w:rsidRPr="007619C6" w:rsidRDefault="00FA09E3" w:rsidP="00FA09E3">
      <w:pPr>
        <w:pStyle w:val="FootnoteText"/>
        <w:ind w:left="0"/>
        <w:rPr>
          <w:sz w:val="18"/>
          <w:szCs w:val="18"/>
          <w:lang w:val="en-ZA"/>
        </w:rPr>
      </w:pPr>
      <w:r w:rsidRPr="007619C6">
        <w:rPr>
          <w:rStyle w:val="FootnoteReference"/>
          <w:sz w:val="18"/>
          <w:szCs w:val="18"/>
        </w:rPr>
        <w:footnoteRef/>
      </w:r>
      <w:r w:rsidRPr="007619C6">
        <w:rPr>
          <w:sz w:val="18"/>
          <w:szCs w:val="18"/>
        </w:rPr>
        <w:t xml:space="preserve"> </w:t>
      </w:r>
      <w:bookmarkStart w:id="3" w:name="_Hlk144799692"/>
      <w:r w:rsidRPr="007619C6">
        <w:rPr>
          <w:i/>
          <w:iCs/>
          <w:sz w:val="18"/>
          <w:szCs w:val="18"/>
        </w:rPr>
        <w:t>Minister of Safety and Security v De Witt</w:t>
      </w:r>
      <w:r w:rsidRPr="007619C6">
        <w:rPr>
          <w:sz w:val="18"/>
          <w:szCs w:val="18"/>
        </w:rPr>
        <w:t xml:space="preserve"> </w:t>
      </w:r>
      <w:bookmarkEnd w:id="3"/>
      <w:r w:rsidRPr="007619C6">
        <w:rPr>
          <w:sz w:val="18"/>
          <w:szCs w:val="18"/>
        </w:rPr>
        <w:t>[2008] ZASCA 103; 2009 (1) SA 457 (SCA) at para 2 (</w:t>
      </w:r>
      <w:r w:rsidRPr="007619C6">
        <w:rPr>
          <w:i/>
          <w:iCs/>
          <w:sz w:val="18"/>
          <w:szCs w:val="18"/>
        </w:rPr>
        <w:t>de Witt</w:t>
      </w:r>
      <w:r w:rsidRPr="007619C6">
        <w:rPr>
          <w:sz w:val="18"/>
          <w:szCs w:val="18"/>
        </w:rPr>
        <w:t>).</w:t>
      </w:r>
    </w:p>
  </w:footnote>
  <w:footnote w:id="7">
    <w:p w14:paraId="40787948" w14:textId="0EC44CA0" w:rsidR="00B50F09" w:rsidRPr="007619C6" w:rsidRDefault="00B50F09" w:rsidP="00B50F09">
      <w:pPr>
        <w:pStyle w:val="FootnoteText"/>
        <w:ind w:left="0"/>
        <w:rPr>
          <w:sz w:val="18"/>
          <w:szCs w:val="18"/>
          <w:lang w:val="en-ZA"/>
        </w:rPr>
      </w:pPr>
      <w:r w:rsidRPr="007619C6">
        <w:rPr>
          <w:rStyle w:val="FootnoteReference"/>
          <w:sz w:val="18"/>
          <w:szCs w:val="18"/>
        </w:rPr>
        <w:footnoteRef/>
      </w:r>
      <w:r w:rsidRPr="007619C6">
        <w:rPr>
          <w:sz w:val="18"/>
          <w:szCs w:val="18"/>
        </w:rPr>
        <w:t xml:space="preserve"> </w:t>
      </w:r>
      <w:r w:rsidRPr="007619C6">
        <w:rPr>
          <w:i/>
          <w:iCs/>
          <w:sz w:val="18"/>
          <w:szCs w:val="18"/>
        </w:rPr>
        <w:t>Cochrane v City of Johannesburg</w:t>
      </w:r>
      <w:r w:rsidRPr="007619C6">
        <w:rPr>
          <w:sz w:val="18"/>
          <w:szCs w:val="18"/>
        </w:rPr>
        <w:t xml:space="preserve"> [2010] ZAGPJHC 61; 2011 (1) SA 553 (GSJ)</w:t>
      </w:r>
    </w:p>
  </w:footnote>
  <w:footnote w:id="8">
    <w:p w14:paraId="5F058859" w14:textId="366A46CB" w:rsidR="00240255" w:rsidRPr="007619C6" w:rsidRDefault="00240255" w:rsidP="00240255">
      <w:pPr>
        <w:pStyle w:val="FootnoteText"/>
        <w:ind w:left="0"/>
        <w:rPr>
          <w:sz w:val="18"/>
          <w:szCs w:val="18"/>
          <w:lang w:val="en-ZA"/>
        </w:rPr>
      </w:pPr>
      <w:r w:rsidRPr="007619C6">
        <w:rPr>
          <w:rStyle w:val="FootnoteReference"/>
          <w:sz w:val="18"/>
          <w:szCs w:val="18"/>
        </w:rPr>
        <w:footnoteRef/>
      </w:r>
      <w:r w:rsidRPr="007619C6">
        <w:rPr>
          <w:sz w:val="18"/>
          <w:szCs w:val="18"/>
        </w:rPr>
        <w:t xml:space="preserve"> See </w:t>
      </w:r>
      <w:r w:rsidRPr="007619C6">
        <w:rPr>
          <w:i/>
          <w:iCs/>
          <w:sz w:val="18"/>
          <w:szCs w:val="18"/>
        </w:rPr>
        <w:t xml:space="preserve">de Witt </w:t>
      </w:r>
      <w:r w:rsidRPr="007619C6">
        <w:rPr>
          <w:sz w:val="18"/>
          <w:szCs w:val="18"/>
        </w:rPr>
        <w:t>(fn 6) at para 2.</w:t>
      </w:r>
    </w:p>
  </w:footnote>
  <w:footnote w:id="9">
    <w:p w14:paraId="43BD4FDB" w14:textId="0772AC35" w:rsidR="00027C0E" w:rsidRPr="007619C6" w:rsidRDefault="00027C0E" w:rsidP="00027C0E">
      <w:pPr>
        <w:pStyle w:val="FootnoteText"/>
        <w:ind w:left="0"/>
        <w:rPr>
          <w:sz w:val="18"/>
          <w:szCs w:val="18"/>
          <w:lang w:val="en-ZA"/>
        </w:rPr>
      </w:pPr>
      <w:r w:rsidRPr="007619C6">
        <w:rPr>
          <w:rStyle w:val="FootnoteReference"/>
          <w:sz w:val="18"/>
          <w:szCs w:val="18"/>
        </w:rPr>
        <w:footnoteRef/>
      </w:r>
      <w:r w:rsidRPr="007619C6">
        <w:rPr>
          <w:sz w:val="18"/>
          <w:szCs w:val="18"/>
        </w:rPr>
        <w:t xml:space="preserve"> </w:t>
      </w:r>
      <w:r w:rsidRPr="007619C6">
        <w:rPr>
          <w:i/>
          <w:iCs/>
          <w:sz w:val="18"/>
          <w:szCs w:val="18"/>
        </w:rPr>
        <w:t>H v Fetal Assessment Centre</w:t>
      </w:r>
      <w:r w:rsidRPr="007619C6">
        <w:rPr>
          <w:sz w:val="18"/>
          <w:szCs w:val="18"/>
        </w:rPr>
        <w:t xml:space="preserve"> ZACC 34; 2015 (2) SA 193 (CC); 2015 (2) BCLR 127 (CC).</w:t>
      </w:r>
    </w:p>
  </w:footnote>
  <w:footnote w:id="10">
    <w:p w14:paraId="34B1FC3E" w14:textId="14D11A37" w:rsidR="005D0059" w:rsidRPr="007619C6" w:rsidRDefault="005D0059" w:rsidP="005D0059">
      <w:pPr>
        <w:pStyle w:val="FootnoteText"/>
        <w:ind w:left="0"/>
        <w:rPr>
          <w:sz w:val="18"/>
          <w:szCs w:val="18"/>
          <w:lang w:val="en-ZA"/>
        </w:rPr>
      </w:pPr>
      <w:r w:rsidRPr="007619C6">
        <w:rPr>
          <w:rStyle w:val="FootnoteReference"/>
          <w:sz w:val="18"/>
          <w:szCs w:val="18"/>
        </w:rPr>
        <w:footnoteRef/>
      </w:r>
      <w:r w:rsidRPr="007619C6">
        <w:rPr>
          <w:sz w:val="18"/>
          <w:szCs w:val="18"/>
        </w:rPr>
        <w:t xml:space="preserve"> Id at para 12 </w:t>
      </w:r>
      <w:r>
        <w:rPr>
          <w:sz w:val="18"/>
          <w:szCs w:val="18"/>
        </w:rPr>
        <w:t xml:space="preserve"> see also</w:t>
      </w:r>
      <w:r w:rsidRPr="007619C6">
        <w:rPr>
          <w:sz w:val="18"/>
          <w:szCs w:val="18"/>
        </w:rPr>
        <w:t xml:space="preserve"> </w:t>
      </w:r>
      <w:r w:rsidRPr="007619C6">
        <w:rPr>
          <w:i/>
          <w:iCs/>
          <w:sz w:val="18"/>
          <w:szCs w:val="18"/>
        </w:rPr>
        <w:t xml:space="preserve">Tembani v President of the Republic of South Africa </w:t>
      </w:r>
      <w:r w:rsidRPr="007619C6">
        <w:rPr>
          <w:sz w:val="18"/>
          <w:szCs w:val="18"/>
        </w:rPr>
        <w:t>2023 (1) SA 432 (SCA) (</w:t>
      </w:r>
      <w:r w:rsidRPr="007619C6">
        <w:rPr>
          <w:i/>
          <w:iCs/>
          <w:sz w:val="18"/>
          <w:szCs w:val="18"/>
        </w:rPr>
        <w:t>Tembani</w:t>
      </w:r>
      <w:r w:rsidRPr="007619C6">
        <w:rPr>
          <w:sz w:val="18"/>
          <w:szCs w:val="18"/>
        </w:rPr>
        <w:t>) at para 15.</w:t>
      </w:r>
    </w:p>
  </w:footnote>
  <w:footnote w:id="11">
    <w:p w14:paraId="6C54F5E0" w14:textId="34F0E687" w:rsidR="00A0296E" w:rsidRPr="007619C6" w:rsidRDefault="00A0296E" w:rsidP="00A0296E">
      <w:pPr>
        <w:pStyle w:val="FootnoteText"/>
        <w:ind w:left="0"/>
        <w:rPr>
          <w:sz w:val="18"/>
          <w:szCs w:val="18"/>
          <w:lang w:val="en-ZA"/>
        </w:rPr>
      </w:pPr>
      <w:r w:rsidRPr="007619C6">
        <w:rPr>
          <w:rStyle w:val="FootnoteReference"/>
          <w:sz w:val="18"/>
          <w:szCs w:val="18"/>
        </w:rPr>
        <w:footnoteRef/>
      </w:r>
      <w:r w:rsidRPr="007619C6">
        <w:rPr>
          <w:sz w:val="18"/>
          <w:szCs w:val="18"/>
        </w:rPr>
        <w:t xml:space="preserve"> Id at para 11.</w:t>
      </w:r>
    </w:p>
  </w:footnote>
  <w:footnote w:id="12">
    <w:p w14:paraId="236436C7" w14:textId="1833262B" w:rsidR="00A21209" w:rsidRPr="007619C6" w:rsidRDefault="00A21209" w:rsidP="00A21209">
      <w:pPr>
        <w:pStyle w:val="FootnoteText"/>
        <w:ind w:left="0"/>
        <w:rPr>
          <w:sz w:val="18"/>
          <w:szCs w:val="18"/>
          <w:lang w:val="en-ZA"/>
        </w:rPr>
      </w:pPr>
      <w:r w:rsidRPr="007619C6">
        <w:rPr>
          <w:rStyle w:val="FootnoteReference"/>
          <w:sz w:val="18"/>
          <w:szCs w:val="18"/>
        </w:rPr>
        <w:footnoteRef/>
      </w:r>
      <w:r w:rsidRPr="007619C6">
        <w:rPr>
          <w:sz w:val="18"/>
          <w:szCs w:val="18"/>
        </w:rPr>
        <w:t xml:space="preserve"> </w:t>
      </w:r>
      <w:r w:rsidRPr="007619C6">
        <w:rPr>
          <w:i/>
          <w:iCs/>
          <w:sz w:val="18"/>
          <w:szCs w:val="18"/>
        </w:rPr>
        <w:t>Pretorius v Transport Pension Fund</w:t>
      </w:r>
      <w:r w:rsidRPr="007619C6">
        <w:rPr>
          <w:sz w:val="18"/>
          <w:szCs w:val="18"/>
        </w:rPr>
        <w:t xml:space="preserve"> [2018] ZACC 10; 2019 (2) SA 37 (CC); [2018] 7 BLLR 633 (CC).</w:t>
      </w:r>
    </w:p>
  </w:footnote>
  <w:footnote w:id="13">
    <w:p w14:paraId="0E3FAC00" w14:textId="4D1FB6DA" w:rsidR="00A21209" w:rsidRPr="007619C6" w:rsidRDefault="00A21209" w:rsidP="00A21209">
      <w:pPr>
        <w:pStyle w:val="FootnoteText"/>
        <w:ind w:left="0"/>
        <w:rPr>
          <w:sz w:val="18"/>
          <w:szCs w:val="18"/>
          <w:lang w:val="en-ZA"/>
        </w:rPr>
      </w:pPr>
      <w:r w:rsidRPr="007619C6">
        <w:rPr>
          <w:rStyle w:val="FootnoteReference"/>
          <w:sz w:val="18"/>
          <w:szCs w:val="18"/>
        </w:rPr>
        <w:footnoteRef/>
      </w:r>
      <w:r w:rsidRPr="007619C6">
        <w:rPr>
          <w:sz w:val="18"/>
          <w:szCs w:val="18"/>
        </w:rPr>
        <w:t xml:space="preserve"> </w:t>
      </w:r>
      <w:r w:rsidRPr="007619C6">
        <w:rPr>
          <w:i/>
          <w:iCs/>
          <w:sz w:val="18"/>
          <w:szCs w:val="18"/>
        </w:rPr>
        <w:t>Trustees for the time being of Children's Resource Centre Trust v Pioneer Food (Pty) Ltd</w:t>
      </w:r>
      <w:r w:rsidRPr="007619C6">
        <w:rPr>
          <w:sz w:val="18"/>
          <w:szCs w:val="18"/>
        </w:rPr>
        <w:t xml:space="preserve"> [2012] ZASCA 182; 2013 (2) SA 213 (SCA).</w:t>
      </w:r>
    </w:p>
  </w:footnote>
  <w:footnote w:id="14">
    <w:p w14:paraId="64E28E8D" w14:textId="058B8C3F" w:rsidR="00A21209" w:rsidRPr="007619C6" w:rsidRDefault="00A21209" w:rsidP="00A21209">
      <w:pPr>
        <w:pStyle w:val="FootnoteText"/>
        <w:ind w:left="0"/>
        <w:rPr>
          <w:sz w:val="18"/>
          <w:szCs w:val="18"/>
          <w:lang w:val="en-ZA"/>
        </w:rPr>
      </w:pPr>
      <w:r w:rsidRPr="007619C6">
        <w:rPr>
          <w:rStyle w:val="FootnoteReference"/>
          <w:sz w:val="18"/>
          <w:szCs w:val="18"/>
        </w:rPr>
        <w:footnoteRef/>
      </w:r>
      <w:r w:rsidRPr="007619C6">
        <w:rPr>
          <w:sz w:val="18"/>
          <w:szCs w:val="18"/>
        </w:rPr>
        <w:t xml:space="preserve"> </w:t>
      </w:r>
      <w:r w:rsidRPr="007619C6">
        <w:rPr>
          <w:sz w:val="18"/>
          <w:szCs w:val="18"/>
          <w:lang w:val="en-ZA"/>
        </w:rPr>
        <w:t>Id at para 37.</w:t>
      </w:r>
    </w:p>
  </w:footnote>
  <w:footnote w:id="15">
    <w:p w14:paraId="65EFF4E0" w14:textId="1D14895A" w:rsidR="007619C6" w:rsidRPr="007619C6" w:rsidRDefault="007619C6" w:rsidP="007619C6">
      <w:pPr>
        <w:pStyle w:val="FootnoteText"/>
        <w:ind w:left="0"/>
        <w:rPr>
          <w:sz w:val="18"/>
          <w:szCs w:val="18"/>
          <w:lang w:val="en-ZA"/>
        </w:rPr>
      </w:pPr>
      <w:r w:rsidRPr="007619C6">
        <w:rPr>
          <w:rStyle w:val="FootnoteReference"/>
          <w:sz w:val="18"/>
          <w:szCs w:val="18"/>
        </w:rPr>
        <w:footnoteRef/>
      </w:r>
      <w:r w:rsidRPr="007619C6">
        <w:rPr>
          <w:sz w:val="18"/>
          <w:szCs w:val="18"/>
        </w:rPr>
        <w:t xml:space="preserve"> Constitution of the Republic of South Africa, 1996.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F45473B"/>
    <w:multiLevelType w:val="multilevel"/>
    <w:tmpl w:val="F096743C"/>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4"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6" w15:restartNumberingAfterBreak="0">
    <w:nsid w:val="6B160922"/>
    <w:multiLevelType w:val="hybridMultilevel"/>
    <w:tmpl w:val="2C66926A"/>
    <w:lvl w:ilvl="0" w:tplc="F0EAC72E">
      <w:start w:val="1"/>
      <w:numFmt w:val="decimal"/>
      <w:lvlText w:val="[10.%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
  </w:num>
  <w:num w:numId="2">
    <w:abstractNumId w:val="0"/>
  </w:num>
  <w:num w:numId="3">
    <w:abstractNumId w:val="2"/>
  </w:num>
  <w:num w:numId="4">
    <w:abstractNumId w:val="1"/>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204C0"/>
    <w:rsid w:val="00022196"/>
    <w:rsid w:val="00027C0E"/>
    <w:rsid w:val="000446F7"/>
    <w:rsid w:val="00057E4A"/>
    <w:rsid w:val="000C1011"/>
    <w:rsid w:val="000C628B"/>
    <w:rsid w:val="000D21D0"/>
    <w:rsid w:val="000D7E1A"/>
    <w:rsid w:val="001248BE"/>
    <w:rsid w:val="001348B2"/>
    <w:rsid w:val="00164A39"/>
    <w:rsid w:val="001758CA"/>
    <w:rsid w:val="001D78F2"/>
    <w:rsid w:val="001F7CE3"/>
    <w:rsid w:val="00240255"/>
    <w:rsid w:val="00283FA6"/>
    <w:rsid w:val="002E1884"/>
    <w:rsid w:val="00366DD8"/>
    <w:rsid w:val="003673D2"/>
    <w:rsid w:val="003B417F"/>
    <w:rsid w:val="004003FB"/>
    <w:rsid w:val="004043C4"/>
    <w:rsid w:val="00496314"/>
    <w:rsid w:val="004A0FC4"/>
    <w:rsid w:val="004A1729"/>
    <w:rsid w:val="00501083"/>
    <w:rsid w:val="005675BB"/>
    <w:rsid w:val="00574025"/>
    <w:rsid w:val="005818DD"/>
    <w:rsid w:val="005A5732"/>
    <w:rsid w:val="005C6769"/>
    <w:rsid w:val="005D0059"/>
    <w:rsid w:val="005F0FA4"/>
    <w:rsid w:val="00616F14"/>
    <w:rsid w:val="0065585A"/>
    <w:rsid w:val="00661188"/>
    <w:rsid w:val="006704F5"/>
    <w:rsid w:val="006779AB"/>
    <w:rsid w:val="006C4DD3"/>
    <w:rsid w:val="006E187E"/>
    <w:rsid w:val="006F1A4B"/>
    <w:rsid w:val="0075338F"/>
    <w:rsid w:val="007619C6"/>
    <w:rsid w:val="00782D28"/>
    <w:rsid w:val="007858AB"/>
    <w:rsid w:val="0078697A"/>
    <w:rsid w:val="007E49D8"/>
    <w:rsid w:val="007F614A"/>
    <w:rsid w:val="00844B07"/>
    <w:rsid w:val="008564B8"/>
    <w:rsid w:val="00891BF1"/>
    <w:rsid w:val="008A33AD"/>
    <w:rsid w:val="008C6D6A"/>
    <w:rsid w:val="008F05ED"/>
    <w:rsid w:val="008F6C98"/>
    <w:rsid w:val="00A0296E"/>
    <w:rsid w:val="00A1695F"/>
    <w:rsid w:val="00A21209"/>
    <w:rsid w:val="00A73118"/>
    <w:rsid w:val="00AB5E63"/>
    <w:rsid w:val="00AE1F2D"/>
    <w:rsid w:val="00AF22B7"/>
    <w:rsid w:val="00B1205C"/>
    <w:rsid w:val="00B43D2F"/>
    <w:rsid w:val="00B50F09"/>
    <w:rsid w:val="00BF5455"/>
    <w:rsid w:val="00C0309A"/>
    <w:rsid w:val="00C51101"/>
    <w:rsid w:val="00C93728"/>
    <w:rsid w:val="00CB1BB3"/>
    <w:rsid w:val="00CC4D63"/>
    <w:rsid w:val="00D00836"/>
    <w:rsid w:val="00D0157D"/>
    <w:rsid w:val="00D17423"/>
    <w:rsid w:val="00D2064B"/>
    <w:rsid w:val="00D223BF"/>
    <w:rsid w:val="00D87AA7"/>
    <w:rsid w:val="00D92EED"/>
    <w:rsid w:val="00DC19FC"/>
    <w:rsid w:val="00DC2151"/>
    <w:rsid w:val="00E13D4B"/>
    <w:rsid w:val="00E327BF"/>
    <w:rsid w:val="00E45C31"/>
    <w:rsid w:val="00E4767C"/>
    <w:rsid w:val="00EB1E1F"/>
    <w:rsid w:val="00EB5DDA"/>
    <w:rsid w:val="00EE223C"/>
    <w:rsid w:val="00EE3A1F"/>
    <w:rsid w:val="00F7207A"/>
    <w:rsid w:val="00FA09E3"/>
    <w:rsid w:val="00FD65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3"/>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BalloonText">
    <w:name w:val="Balloon Text"/>
    <w:basedOn w:val="Normal"/>
    <w:link w:val="BalloonTextChar"/>
    <w:uiPriority w:val="99"/>
    <w:semiHidden/>
    <w:unhideWhenUsed/>
    <w:rsid w:val="006C4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D3"/>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3034">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59EB-19B4-4697-A5E9-35E98C1C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3</cp:revision>
  <dcterms:created xsi:type="dcterms:W3CDTF">2023-09-05T10:35:00Z</dcterms:created>
  <dcterms:modified xsi:type="dcterms:W3CDTF">2023-09-05T11:32:00Z</dcterms:modified>
</cp:coreProperties>
</file>