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77777777" w:rsidR="001E77C7" w:rsidRPr="009C2FF3" w:rsidRDefault="001E77C7" w:rsidP="002C2F78">
      <w:pPr>
        <w:pStyle w:val="2"/>
        <w:numPr>
          <w:ilvl w:val="0"/>
          <w:numId w:val="0"/>
        </w:numPr>
      </w:pPr>
      <w:bookmarkStart w:id="0" w:name="_Hlk97197783"/>
      <w:bookmarkStart w:id="1" w:name="_GoBack"/>
      <w:bookmarkEnd w:id="0"/>
    </w:p>
    <w:p w14:paraId="4A5AB6F1" w14:textId="243BB6E8" w:rsidR="001E77C7" w:rsidRPr="00583E8E" w:rsidRDefault="0020229A" w:rsidP="00AD7F4C">
      <w:pPr>
        <w:jc w:val="center"/>
      </w:pPr>
      <w:bookmarkStart w:id="2" w:name="_Hlk141336046"/>
      <w:r w:rsidRPr="00583E8E">
        <w:rPr>
          <w:noProof/>
          <w:lang w:val="en-US" w:eastAsia="en-US"/>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1F8BBBB5" w:rsidR="002B39BC" w:rsidRPr="00583E8E" w:rsidRDefault="00FD64FD" w:rsidP="002B39BC">
      <w:pPr>
        <w:jc w:val="center"/>
        <w:rPr>
          <w:b/>
        </w:rPr>
      </w:pPr>
      <w:r w:rsidRPr="00583E8E">
        <w:rPr>
          <w:b/>
        </w:rPr>
        <w:t xml:space="preserve">GAUTENG DIVISION, </w:t>
      </w:r>
      <w:r w:rsidR="00247C43">
        <w:rPr>
          <w:b/>
        </w:rPr>
        <w:t>JOHANNESBURG</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706290CB" w14:textId="2EE3B7D6" w:rsidR="00222D24" w:rsidRPr="00583E8E" w:rsidRDefault="003876E6" w:rsidP="003876E6">
      <w:pPr>
        <w:tabs>
          <w:tab w:val="left" w:pos="480"/>
          <w:tab w:val="right" w:pos="9026"/>
        </w:tabs>
        <w:jc w:val="left"/>
        <w:rPr>
          <w:b/>
        </w:rPr>
      </w:pPr>
      <w:r w:rsidRPr="00583E8E">
        <w:rPr>
          <w:b/>
        </w:rPr>
        <w:tab/>
      </w:r>
      <w:r w:rsidRPr="00583E8E">
        <w:rPr>
          <w:b/>
        </w:rPr>
        <w:tab/>
      </w:r>
      <w:r w:rsidR="005E3865">
        <w:rPr>
          <w:noProof/>
          <w:lang w:val="en-US" w:eastAsia="en-US"/>
        </w:rPr>
        <mc:AlternateContent>
          <mc:Choice Requires="wps">
            <w:drawing>
              <wp:anchor distT="0" distB="0" distL="114300" distR="114300" simplePos="0" relativeHeight="251657216" behindDoc="0" locked="0" layoutInCell="1" allowOverlap="1" wp14:anchorId="4518CC97" wp14:editId="0880FCD1">
                <wp:simplePos x="0" y="0"/>
                <wp:positionH relativeFrom="column">
                  <wp:posOffset>-127000</wp:posOffset>
                </wp:positionH>
                <wp:positionV relativeFrom="paragraph">
                  <wp:posOffset>210820</wp:posOffset>
                </wp:positionV>
                <wp:extent cx="3220720" cy="1269365"/>
                <wp:effectExtent l="0" t="0" r="0" b="6985"/>
                <wp:wrapNone/>
                <wp:docPr id="8702933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1F2CA7DB" w:rsidR="0056721D" w:rsidRPr="00024C6F" w:rsidRDefault="00AC5E05" w:rsidP="00AC5E05">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17322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107808B7" w14:textId="3003DC71" w:rsidR="0056721D" w:rsidRDefault="00AC5E05" w:rsidP="00AC5E05">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OF INTEREST TO OTHER JUDGES</w:t>
                            </w:r>
                            <w:r w:rsidR="0056721D" w:rsidRPr="00FC29F0">
                              <w:rPr>
                                <w:rFonts w:asciiTheme="minorHAnsi" w:hAnsiTheme="minorHAnsi" w:cstheme="minorHAnsi"/>
                                <w:sz w:val="20"/>
                                <w:szCs w:val="20"/>
                              </w:rPr>
                              <w:t xml:space="preserve">: </w:t>
                            </w:r>
                            <w:r w:rsidR="0017322D">
                              <w:rPr>
                                <w:rFonts w:asciiTheme="minorHAnsi" w:hAnsiTheme="minorHAnsi" w:cstheme="minorHAnsi"/>
                                <w:sz w:val="20"/>
                                <w:szCs w:val="20"/>
                              </w:rPr>
                              <w:t>YES/</w:t>
                            </w:r>
                            <w:r w:rsidR="0056721D">
                              <w:rPr>
                                <w:rFonts w:asciiTheme="minorHAnsi" w:hAnsiTheme="minorHAnsi" w:cstheme="minorHAnsi"/>
                                <w:sz w:val="20"/>
                                <w:szCs w:val="20"/>
                              </w:rPr>
                              <w:t>NO</w:t>
                            </w:r>
                          </w:p>
                          <w:p w14:paraId="10102ECE" w14:textId="175842B5" w:rsidR="00444B5E" w:rsidRDefault="00AC5E05" w:rsidP="00AC5E05">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0056721D">
                              <w:rPr>
                                <w:rFonts w:asciiTheme="minorHAnsi" w:hAnsiTheme="minorHAnsi" w:cstheme="minorHAnsi"/>
                                <w:sz w:val="20"/>
                                <w:szCs w:val="20"/>
                              </w:rPr>
                              <w:t>REVISED</w:t>
                            </w:r>
                          </w:p>
                          <w:p w14:paraId="25F94E72" w14:textId="68432E06" w:rsidR="00FC29F0" w:rsidRDefault="00FC29F0" w:rsidP="00FC29F0">
                            <w:pPr>
                              <w:ind w:left="900"/>
                              <w:rPr>
                                <w:rFonts w:eastAsia="Arial" w:cs="Arial"/>
                                <w:noProof/>
                                <w:sz w:val="22"/>
                                <w:szCs w:val="22"/>
                                <w:lang w:val="en-US" w:eastAsia="en-US"/>
                              </w:rPr>
                            </w:pPr>
                          </w:p>
                          <w:p w14:paraId="55BBA880" w14:textId="36423BB5" w:rsidR="0056721D" w:rsidRPr="00024C6F" w:rsidRDefault="00D25645" w:rsidP="00D25645">
                            <w:pPr>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8CC97"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1F2CA7DB" w:rsidR="0056721D" w:rsidRPr="00024C6F" w:rsidRDefault="00AC5E05" w:rsidP="00AC5E05">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17322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107808B7" w14:textId="3003DC71" w:rsidR="0056721D" w:rsidRDefault="00AC5E05" w:rsidP="00AC5E05">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OF INTEREST TO OTHER JUDGES</w:t>
                      </w:r>
                      <w:r w:rsidR="0056721D" w:rsidRPr="00FC29F0">
                        <w:rPr>
                          <w:rFonts w:asciiTheme="minorHAnsi" w:hAnsiTheme="minorHAnsi" w:cstheme="minorHAnsi"/>
                          <w:sz w:val="20"/>
                          <w:szCs w:val="20"/>
                        </w:rPr>
                        <w:t xml:space="preserve">: </w:t>
                      </w:r>
                      <w:r w:rsidR="0017322D">
                        <w:rPr>
                          <w:rFonts w:asciiTheme="minorHAnsi" w:hAnsiTheme="minorHAnsi" w:cstheme="minorHAnsi"/>
                          <w:sz w:val="20"/>
                          <w:szCs w:val="20"/>
                        </w:rPr>
                        <w:t>YES/</w:t>
                      </w:r>
                      <w:r w:rsidR="0056721D">
                        <w:rPr>
                          <w:rFonts w:asciiTheme="minorHAnsi" w:hAnsiTheme="minorHAnsi" w:cstheme="minorHAnsi"/>
                          <w:sz w:val="20"/>
                          <w:szCs w:val="20"/>
                        </w:rPr>
                        <w:t>NO</w:t>
                      </w:r>
                    </w:p>
                    <w:p w14:paraId="10102ECE" w14:textId="175842B5" w:rsidR="00444B5E" w:rsidRDefault="00AC5E05" w:rsidP="00AC5E05">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0056721D">
                        <w:rPr>
                          <w:rFonts w:asciiTheme="minorHAnsi" w:hAnsiTheme="minorHAnsi" w:cstheme="minorHAnsi"/>
                          <w:sz w:val="20"/>
                          <w:szCs w:val="20"/>
                        </w:rPr>
                        <w:t>REVISED</w:t>
                      </w:r>
                    </w:p>
                    <w:p w14:paraId="25F94E72" w14:textId="68432E06" w:rsidR="00FC29F0" w:rsidRDefault="00FC29F0" w:rsidP="00FC29F0">
                      <w:pPr>
                        <w:ind w:left="900"/>
                        <w:rPr>
                          <w:rFonts w:eastAsia="Arial" w:cs="Arial"/>
                          <w:noProof/>
                          <w:sz w:val="22"/>
                          <w:szCs w:val="22"/>
                          <w:lang w:val="en-US" w:eastAsia="en-US"/>
                        </w:rPr>
                      </w:pPr>
                    </w:p>
                    <w:p w14:paraId="55BBA880" w14:textId="36423BB5" w:rsidR="0056721D" w:rsidRPr="00024C6F" w:rsidRDefault="00D25645" w:rsidP="00D25645">
                      <w:pPr>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17322D" w:rsidRPr="0017322D">
        <w:rPr>
          <w:bCs/>
        </w:rPr>
        <w:t>2023-000980</w:t>
      </w: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32B628B2" w:rsidR="004467E0" w:rsidRPr="002815DC" w:rsidRDefault="002815DC" w:rsidP="004467E0">
      <w:pPr>
        <w:pStyle w:val="Parties"/>
        <w:spacing w:before="120"/>
        <w:jc w:val="left"/>
        <w:rPr>
          <w:lang w:val="en-GB"/>
        </w:rPr>
      </w:pPr>
      <w:r w:rsidRPr="002815DC">
        <w:rPr>
          <w:lang w:val="en-GB"/>
        </w:rPr>
        <w:t>In the</w:t>
      </w:r>
      <w:r w:rsidR="003D7916">
        <w:rPr>
          <w:lang w:val="en-GB"/>
        </w:rPr>
        <w:t xml:space="preserve"> </w:t>
      </w:r>
      <w:r w:rsidR="00FC29F0">
        <w:rPr>
          <w:lang w:val="en-GB"/>
        </w:rPr>
        <w:t>matter between</w:t>
      </w:r>
      <w:r w:rsidRPr="002815DC">
        <w:rPr>
          <w:lang w:val="en-GB"/>
        </w:rPr>
        <w:t>:</w:t>
      </w:r>
    </w:p>
    <w:p w14:paraId="162F6902" w14:textId="6A0D0FC2" w:rsidR="00DE413F" w:rsidRPr="00FC29F0" w:rsidRDefault="00CF53B6" w:rsidP="004467E0">
      <w:pPr>
        <w:pStyle w:val="Parties"/>
        <w:spacing w:before="120"/>
        <w:jc w:val="left"/>
        <w:rPr>
          <w:bCs/>
          <w:lang w:val="en-GB"/>
        </w:rPr>
      </w:pPr>
      <w:r w:rsidRPr="00583E8E">
        <w:rPr>
          <w:b/>
          <w:bCs/>
          <w:lang w:val="en-GB"/>
        </w:rPr>
        <w:t xml:space="preserve"> </w:t>
      </w:r>
      <w:r w:rsidR="004467E0" w:rsidRPr="00583E8E">
        <w:rPr>
          <w:b/>
          <w:bCs/>
          <w:lang w:val="en-GB"/>
        </w:rPr>
        <w:t xml:space="preserve"> </w:t>
      </w:r>
      <w:r w:rsidR="00513887">
        <w:rPr>
          <w:b/>
          <w:bCs/>
          <w:lang w:val="en-GB"/>
        </w:rPr>
        <w:tab/>
      </w:r>
    </w:p>
    <w:p w14:paraId="6BC5F65C" w14:textId="5B4D0D58" w:rsidR="00513887" w:rsidRDefault="001F6A08" w:rsidP="009C7480">
      <w:pPr>
        <w:pStyle w:val="Parties"/>
        <w:rPr>
          <w:lang w:val="en-GB"/>
        </w:rPr>
      </w:pPr>
      <w:r>
        <w:rPr>
          <w:b/>
          <w:bCs/>
          <w:lang w:val="en-GB"/>
        </w:rPr>
        <w:t xml:space="preserve">TRANSNET SOC LIMITED </w:t>
      </w:r>
      <w:r w:rsidRPr="001F6A08">
        <w:rPr>
          <w:lang w:val="en-GB"/>
        </w:rPr>
        <w:t>operating as</w:t>
      </w:r>
      <w:r w:rsidR="00DE413F">
        <w:rPr>
          <w:b/>
          <w:bCs/>
          <w:lang w:val="en-GB"/>
        </w:rPr>
        <w:tab/>
      </w:r>
      <w:r w:rsidR="0017322D">
        <w:rPr>
          <w:lang w:val="en-GB"/>
        </w:rPr>
        <w:t>Applicant</w:t>
      </w:r>
    </w:p>
    <w:p w14:paraId="69E1245B" w14:textId="46C800FC" w:rsidR="008C0740" w:rsidRPr="001F6A08" w:rsidRDefault="001F6A08" w:rsidP="009C7480">
      <w:pPr>
        <w:pStyle w:val="Parties"/>
        <w:rPr>
          <w:b/>
          <w:bCs/>
          <w:lang w:val="en-GB"/>
        </w:rPr>
      </w:pPr>
      <w:r w:rsidRPr="001F6A08">
        <w:rPr>
          <w:b/>
          <w:bCs/>
          <w:lang w:val="en-GB"/>
        </w:rPr>
        <w:t>TRANSNET PIPELINES</w:t>
      </w:r>
    </w:p>
    <w:p w14:paraId="3ADA7061" w14:textId="77777777" w:rsidR="001F6A08" w:rsidRDefault="001F6A08" w:rsidP="009C7480">
      <w:pPr>
        <w:pStyle w:val="Parties"/>
        <w:rPr>
          <w:lang w:val="en-GB"/>
        </w:rPr>
      </w:pPr>
    </w:p>
    <w:p w14:paraId="39A0CC25" w14:textId="01DA9D8A" w:rsidR="00222D24" w:rsidRPr="00583E8E" w:rsidRDefault="007237D8" w:rsidP="009C7480">
      <w:pPr>
        <w:pStyle w:val="Parties"/>
        <w:rPr>
          <w:lang w:val="en-GB"/>
        </w:rPr>
      </w:pPr>
      <w:r w:rsidRPr="00583E8E">
        <w:rPr>
          <w:lang w:val="en-GB"/>
        </w:rPr>
        <w:t xml:space="preserve">and </w:t>
      </w:r>
    </w:p>
    <w:p w14:paraId="02595CA8" w14:textId="77777777" w:rsidR="007237D8" w:rsidRPr="00583E8E" w:rsidRDefault="007237D8" w:rsidP="009C7480">
      <w:pPr>
        <w:pStyle w:val="Parties"/>
        <w:rPr>
          <w:lang w:val="en-GB"/>
        </w:rPr>
      </w:pPr>
    </w:p>
    <w:p w14:paraId="68C48074" w14:textId="24A807DF" w:rsidR="00222D24" w:rsidRDefault="001F6A08" w:rsidP="00222D24">
      <w:pPr>
        <w:pStyle w:val="Parties"/>
        <w:rPr>
          <w:lang w:val="en-GB"/>
        </w:rPr>
      </w:pPr>
      <w:r>
        <w:rPr>
          <w:b/>
          <w:bCs/>
          <w:lang w:val="en-GB"/>
        </w:rPr>
        <w:t>SPILL TECH (GAUTENG) (PTY) LTD</w:t>
      </w:r>
      <w:r w:rsidR="008C0740">
        <w:rPr>
          <w:b/>
          <w:bCs/>
          <w:lang w:val="en-GB"/>
        </w:rPr>
        <w:t xml:space="preserve"> </w:t>
      </w:r>
      <w:r w:rsidR="00222D24" w:rsidRPr="00583E8E">
        <w:rPr>
          <w:b/>
          <w:bCs/>
          <w:lang w:val="en-GB"/>
        </w:rPr>
        <w:tab/>
      </w:r>
      <w:r w:rsidR="00247C43">
        <w:rPr>
          <w:lang w:val="en-GB"/>
        </w:rPr>
        <w:t xml:space="preserve"> </w:t>
      </w:r>
      <w:r w:rsidR="008C0740">
        <w:rPr>
          <w:lang w:val="en-GB"/>
        </w:rPr>
        <w:t>First</w:t>
      </w:r>
      <w:r w:rsidR="0017322D">
        <w:rPr>
          <w:lang w:val="en-GB"/>
        </w:rPr>
        <w:t xml:space="preserve"> Respondent</w:t>
      </w:r>
    </w:p>
    <w:p w14:paraId="0ED7BD26" w14:textId="49C7E890" w:rsidR="000454EE" w:rsidRDefault="000454EE" w:rsidP="009C7480">
      <w:pPr>
        <w:pStyle w:val="Parties"/>
        <w:rPr>
          <w:lang w:val="en-GB"/>
        </w:rPr>
      </w:pPr>
    </w:p>
    <w:p w14:paraId="0D1E768E" w14:textId="3541863B" w:rsidR="008C0740" w:rsidRPr="008C0740" w:rsidRDefault="001F6A08" w:rsidP="009C7480">
      <w:pPr>
        <w:pStyle w:val="Parties"/>
        <w:rPr>
          <w:b/>
          <w:bCs/>
          <w:lang w:val="en-GB"/>
        </w:rPr>
      </w:pPr>
      <w:r>
        <w:rPr>
          <w:b/>
          <w:bCs/>
          <w:lang w:val="en-GB"/>
        </w:rPr>
        <w:t>SPILL TECH (PTY) LTD</w:t>
      </w:r>
      <w:r w:rsidR="008C0740" w:rsidRPr="008C0740">
        <w:rPr>
          <w:b/>
          <w:bCs/>
          <w:lang w:val="en-GB"/>
        </w:rPr>
        <w:t xml:space="preserve"> </w:t>
      </w:r>
      <w:r w:rsidR="008C0740">
        <w:rPr>
          <w:b/>
          <w:bCs/>
          <w:lang w:val="en-GB"/>
        </w:rPr>
        <w:tab/>
      </w:r>
      <w:r w:rsidR="008C0740" w:rsidRPr="008C0740">
        <w:rPr>
          <w:lang w:val="en-GB"/>
        </w:rPr>
        <w:t xml:space="preserve">Second </w:t>
      </w:r>
      <w:r>
        <w:rPr>
          <w:lang w:val="en-GB"/>
        </w:rPr>
        <w:t>Respondent</w:t>
      </w:r>
    </w:p>
    <w:p w14:paraId="5B1626B6" w14:textId="77777777" w:rsidR="008C0740" w:rsidRDefault="008C0740" w:rsidP="009C7480">
      <w:pPr>
        <w:pStyle w:val="Parties"/>
        <w:rPr>
          <w:b/>
          <w:bCs/>
          <w:lang w:val="en-GB"/>
        </w:rPr>
      </w:pPr>
    </w:p>
    <w:p w14:paraId="290F5C4D" w14:textId="339E6B9E" w:rsidR="008C0740" w:rsidRDefault="001F6A08" w:rsidP="001F6A08">
      <w:pPr>
        <w:pStyle w:val="Parties"/>
        <w:jc w:val="center"/>
        <w:rPr>
          <w:lang w:val="en-GB"/>
        </w:rPr>
      </w:pPr>
      <w:r>
        <w:rPr>
          <w:b/>
          <w:bCs/>
          <w:lang w:val="en-GB"/>
        </w:rPr>
        <w:t>ANDR</w:t>
      </w:r>
      <w:r w:rsidRPr="001F6A08">
        <w:rPr>
          <w:b/>
          <w:bCs/>
          <w:lang w:val="en-GB"/>
        </w:rPr>
        <w:t>É</w:t>
      </w:r>
      <w:r>
        <w:rPr>
          <w:b/>
          <w:bCs/>
          <w:lang w:val="en-GB"/>
        </w:rPr>
        <w:t xml:space="preserve"> R GAUTSCHI SC</w:t>
      </w:r>
      <w:r w:rsidR="008C0740">
        <w:rPr>
          <w:b/>
          <w:bCs/>
          <w:lang w:val="en-GB"/>
        </w:rPr>
        <w:t xml:space="preserve"> </w:t>
      </w:r>
      <w:r w:rsidR="008C0740">
        <w:rPr>
          <w:b/>
          <w:bCs/>
          <w:lang w:val="en-GB"/>
        </w:rPr>
        <w:tab/>
      </w:r>
      <w:r w:rsidR="008C0740">
        <w:rPr>
          <w:lang w:val="en-GB"/>
        </w:rPr>
        <w:t xml:space="preserve">Third </w:t>
      </w:r>
      <w:r>
        <w:rPr>
          <w:lang w:val="en-GB"/>
        </w:rPr>
        <w:t>Respondent</w:t>
      </w:r>
    </w:p>
    <w:p w14:paraId="33088199" w14:textId="77777777" w:rsidR="00FC29F0" w:rsidRDefault="00FC29F0" w:rsidP="009C7480">
      <w:pPr>
        <w:pStyle w:val="Parties"/>
        <w:rPr>
          <w:lang w:val="en-GB"/>
        </w:rPr>
      </w:pPr>
    </w:p>
    <w:p w14:paraId="2D890F30" w14:textId="77777777" w:rsidR="008C0740" w:rsidRPr="00583E8E" w:rsidRDefault="008C0740" w:rsidP="009C7480">
      <w:pPr>
        <w:pStyle w:val="Parties"/>
        <w:rPr>
          <w:lang w:val="en-GB"/>
        </w:rPr>
      </w:pPr>
    </w:p>
    <w:p w14:paraId="63F6E058" w14:textId="6D1A2155" w:rsidR="00910908" w:rsidRDefault="00247C43" w:rsidP="000454EE">
      <w:pPr>
        <w:spacing w:after="200" w:line="360" w:lineRule="auto"/>
        <w:contextualSpacing/>
        <w:rPr>
          <w:rFonts w:eastAsia="Arial Unicode MS" w:cs="Arial"/>
          <w:bCs/>
          <w:szCs w:val="24"/>
          <w:lang w:eastAsia="zh-CN"/>
        </w:rPr>
      </w:pPr>
      <w:r w:rsidRPr="00583E8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w:t>
      </w:r>
      <w:r w:rsidR="00A91BC3" w:rsidRPr="00583E8E">
        <w:rPr>
          <w:rFonts w:eastAsia="Arial Unicode MS" w:cs="Arial"/>
          <w:bCs/>
          <w:szCs w:val="24"/>
          <w:lang w:eastAsia="zh-CN"/>
        </w:rPr>
        <w:t>be</w:t>
      </w:r>
      <w:r w:rsidR="00A91BC3">
        <w:rPr>
          <w:rFonts w:eastAsia="Arial Unicode MS" w:cs="Arial"/>
          <w:bCs/>
          <w:szCs w:val="24"/>
          <w:lang w:eastAsia="zh-CN"/>
        </w:rPr>
        <w:t xml:space="preserve"> </w:t>
      </w:r>
      <w:r w:rsidR="00013A66">
        <w:rPr>
          <w:rFonts w:eastAsia="Arial Unicode MS" w:cs="Arial"/>
          <w:bCs/>
          <w:szCs w:val="24"/>
          <w:lang w:eastAsia="zh-CN"/>
        </w:rPr>
        <w:t>2</w:t>
      </w:r>
      <w:r w:rsidR="001F5D81">
        <w:rPr>
          <w:rFonts w:eastAsia="Arial Unicode MS" w:cs="Arial"/>
          <w:bCs/>
          <w:szCs w:val="24"/>
          <w:lang w:eastAsia="zh-CN"/>
        </w:rPr>
        <w:t xml:space="preserve"> February </w:t>
      </w:r>
      <w:r w:rsidRPr="00583E8E">
        <w:rPr>
          <w:rFonts w:eastAsia="Arial Unicode MS" w:cs="Arial"/>
          <w:bCs/>
          <w:szCs w:val="24"/>
          <w:lang w:eastAsia="zh-CN"/>
        </w:rPr>
        <w:t>202</w:t>
      </w:r>
      <w:r w:rsidR="001E5D73">
        <w:rPr>
          <w:rFonts w:eastAsia="Arial Unicode MS" w:cs="Arial"/>
          <w:bCs/>
          <w:szCs w:val="24"/>
          <w:lang w:eastAsia="zh-CN"/>
        </w:rPr>
        <w:t>4</w:t>
      </w:r>
      <w:r w:rsidRPr="00583E8E">
        <w:rPr>
          <w:rFonts w:eastAsia="Arial Unicode MS" w:cs="Arial"/>
          <w:bCs/>
          <w:szCs w:val="24"/>
          <w:lang w:eastAsia="zh-CN"/>
        </w:rPr>
        <w:t>.</w:t>
      </w:r>
    </w:p>
    <w:p w14:paraId="0E3BB708" w14:textId="77777777" w:rsidR="00FC29F0" w:rsidRPr="000454EE" w:rsidRDefault="00FC29F0" w:rsidP="000454EE">
      <w:pPr>
        <w:spacing w:after="200" w:line="360" w:lineRule="auto"/>
        <w:contextualSpacing/>
        <w:rPr>
          <w:rFonts w:eastAsia="Arial Unicode MS" w:cs="Arial"/>
          <w:bCs/>
          <w:szCs w:val="24"/>
          <w:lang w:eastAsia="zh-CN"/>
        </w:rPr>
      </w:pPr>
    </w:p>
    <w:p w14:paraId="4A060AAA" w14:textId="77777777" w:rsidR="009C7480" w:rsidRPr="00583E8E" w:rsidRDefault="009C7480" w:rsidP="00CB5C55"/>
    <w:p w14:paraId="1FCB4FB0" w14:textId="2E223B4C" w:rsidR="009603CC" w:rsidRPr="009603CC" w:rsidRDefault="003A3344" w:rsidP="009603CC">
      <w:pPr>
        <w:pStyle w:val="TramLines"/>
        <w:jc w:val="center"/>
      </w:pPr>
      <w:r w:rsidRPr="00583E8E">
        <w:lastRenderedPageBreak/>
        <w:t>JUDGMENT</w:t>
      </w:r>
      <w:r w:rsidR="009603CC">
        <w:t xml:space="preserve"> </w:t>
      </w:r>
    </w:p>
    <w:bookmarkEnd w:id="2"/>
    <w:p w14:paraId="1F36D8B1" w14:textId="77777777" w:rsidR="008A5CAB" w:rsidRPr="00583E8E" w:rsidRDefault="008A5CAB" w:rsidP="00130D1F">
      <w:pPr>
        <w:rPr>
          <w:b/>
        </w:rPr>
      </w:pPr>
    </w:p>
    <w:p w14:paraId="5B7A0E1F" w14:textId="4CFB4F87" w:rsidR="00E81F46" w:rsidRPr="000454EE" w:rsidRDefault="00424215" w:rsidP="00130D1F">
      <w:pPr>
        <w:rPr>
          <w:b/>
          <w:u w:val="single"/>
        </w:rPr>
      </w:pPr>
      <w:r>
        <w:rPr>
          <w:b/>
          <w:u w:val="single"/>
        </w:rPr>
        <w:t>CARRIM AJ</w:t>
      </w:r>
    </w:p>
    <w:p w14:paraId="1D269A3D" w14:textId="1FB938A1" w:rsidR="002F3FFF" w:rsidRPr="00E0640A" w:rsidRDefault="002F3FFF" w:rsidP="002F3FFF">
      <w:pPr>
        <w:rPr>
          <w:b/>
          <w:bCs/>
        </w:rPr>
      </w:pPr>
    </w:p>
    <w:p w14:paraId="373CF9EC" w14:textId="5BB8BE4B" w:rsidR="00424215" w:rsidRPr="00424215" w:rsidRDefault="00424215" w:rsidP="00424215">
      <w:pPr>
        <w:pStyle w:val="1"/>
        <w:numPr>
          <w:ilvl w:val="0"/>
          <w:numId w:val="0"/>
        </w:numPr>
        <w:ind w:left="567" w:hanging="567"/>
        <w:rPr>
          <w:b/>
          <w:bCs/>
        </w:rPr>
      </w:pPr>
      <w:r w:rsidRPr="00424215">
        <w:rPr>
          <w:b/>
          <w:bCs/>
        </w:rPr>
        <w:t>Introduction</w:t>
      </w:r>
    </w:p>
    <w:p w14:paraId="60DAA3E3" w14:textId="0EC0D92D" w:rsidR="009F6797" w:rsidRPr="006E4A5E" w:rsidRDefault="00AC5E05" w:rsidP="00AC5E05">
      <w:pPr>
        <w:pStyle w:val="1"/>
        <w:numPr>
          <w:ilvl w:val="0"/>
          <w:numId w:val="0"/>
        </w:numPr>
        <w:tabs>
          <w:tab w:val="left" w:pos="567"/>
        </w:tabs>
        <w:ind w:left="567" w:hanging="567"/>
        <w:rPr>
          <w:b/>
        </w:rPr>
      </w:pPr>
      <w:r w:rsidRPr="006E4A5E">
        <w:rPr>
          <w:rFonts w:cs="Arial"/>
          <w:sz w:val="22"/>
        </w:rPr>
        <w:t>[1]</w:t>
      </w:r>
      <w:r w:rsidRPr="006E4A5E">
        <w:rPr>
          <w:rFonts w:cs="Arial"/>
          <w:sz w:val="22"/>
        </w:rPr>
        <w:tab/>
      </w:r>
      <w:r w:rsidR="00AF466E">
        <w:rPr>
          <w:bCs/>
        </w:rPr>
        <w:t xml:space="preserve">This is </w:t>
      </w:r>
      <w:r w:rsidR="000D0C25">
        <w:rPr>
          <w:bCs/>
        </w:rPr>
        <w:t xml:space="preserve">a review application in terms of section 33(1)(b) of the Arbitration Act 42 </w:t>
      </w:r>
      <w:r w:rsidR="00D85947">
        <w:rPr>
          <w:bCs/>
        </w:rPr>
        <w:t>of 1965 (“the Arbitration Act”)</w:t>
      </w:r>
      <w:r w:rsidR="00EA2406">
        <w:rPr>
          <w:bCs/>
        </w:rPr>
        <w:t>,</w:t>
      </w:r>
      <w:r w:rsidR="00D85947">
        <w:rPr>
          <w:bCs/>
        </w:rPr>
        <w:t xml:space="preserve"> </w:t>
      </w:r>
      <w:r w:rsidR="007D60F5">
        <w:rPr>
          <w:bCs/>
        </w:rPr>
        <w:t>against the award of the third respondent (“the Arbitrator”)</w:t>
      </w:r>
      <w:r w:rsidR="009F6797">
        <w:rPr>
          <w:bCs/>
        </w:rPr>
        <w:t xml:space="preserve"> in which the applicant’s five (5) special defences were dismissed.</w:t>
      </w:r>
    </w:p>
    <w:p w14:paraId="44A8D95F" w14:textId="11AC44CD" w:rsidR="006E4A5E" w:rsidRPr="00341CC3" w:rsidRDefault="006E4A5E" w:rsidP="006E4A5E">
      <w:pPr>
        <w:pStyle w:val="1"/>
        <w:numPr>
          <w:ilvl w:val="0"/>
          <w:numId w:val="0"/>
        </w:numPr>
        <w:rPr>
          <w:b/>
        </w:rPr>
      </w:pPr>
      <w:r w:rsidRPr="00341CC3">
        <w:rPr>
          <w:b/>
        </w:rPr>
        <w:t>Background</w:t>
      </w:r>
    </w:p>
    <w:p w14:paraId="59A5F408" w14:textId="023D8FC3" w:rsidR="00650264" w:rsidRPr="00F928E4" w:rsidRDefault="00AC5E05" w:rsidP="00AC5E05">
      <w:pPr>
        <w:pStyle w:val="1"/>
        <w:numPr>
          <w:ilvl w:val="0"/>
          <w:numId w:val="0"/>
        </w:numPr>
        <w:tabs>
          <w:tab w:val="left" w:pos="567"/>
        </w:tabs>
        <w:ind w:left="567" w:hanging="567"/>
        <w:rPr>
          <w:b/>
        </w:rPr>
      </w:pPr>
      <w:r w:rsidRPr="00F928E4">
        <w:rPr>
          <w:rFonts w:cs="Arial"/>
          <w:sz w:val="22"/>
        </w:rPr>
        <w:t>[2]</w:t>
      </w:r>
      <w:r w:rsidRPr="00F928E4">
        <w:rPr>
          <w:rFonts w:cs="Arial"/>
          <w:sz w:val="22"/>
        </w:rPr>
        <w:tab/>
      </w:r>
      <w:r w:rsidR="00AF466E">
        <w:rPr>
          <w:bCs/>
        </w:rPr>
        <w:t xml:space="preserve"> </w:t>
      </w:r>
      <w:r w:rsidR="005D4E8A">
        <w:rPr>
          <w:bCs/>
        </w:rPr>
        <w:t>The applicant</w:t>
      </w:r>
      <w:r w:rsidR="00EA2406">
        <w:rPr>
          <w:bCs/>
        </w:rPr>
        <w:t>,</w:t>
      </w:r>
      <w:r w:rsidR="005D4E8A">
        <w:rPr>
          <w:bCs/>
        </w:rPr>
        <w:t xml:space="preserve"> Transnet SOC Ltd</w:t>
      </w:r>
      <w:r w:rsidR="002D07E3">
        <w:rPr>
          <w:bCs/>
        </w:rPr>
        <w:t xml:space="preserve"> (“Transnet”)</w:t>
      </w:r>
      <w:r w:rsidR="005D4E8A">
        <w:rPr>
          <w:bCs/>
        </w:rPr>
        <w:t xml:space="preserve">, acting through its subsidiary </w:t>
      </w:r>
      <w:r w:rsidR="00AA1B1F">
        <w:rPr>
          <w:bCs/>
        </w:rPr>
        <w:t>Transnet Pipelines</w:t>
      </w:r>
      <w:r w:rsidR="00AA1B1F">
        <w:rPr>
          <w:rStyle w:val="FootnoteReference"/>
          <w:bCs/>
        </w:rPr>
        <w:footnoteReference w:id="1"/>
      </w:r>
      <w:r w:rsidR="00AA1B1F">
        <w:rPr>
          <w:bCs/>
        </w:rPr>
        <w:t>(“TPL”)</w:t>
      </w:r>
      <w:r w:rsidR="00EA2406">
        <w:rPr>
          <w:bCs/>
        </w:rPr>
        <w:t>,</w:t>
      </w:r>
      <w:r w:rsidR="005A66CA">
        <w:rPr>
          <w:bCs/>
        </w:rPr>
        <w:t xml:space="preserve"> is the custodian of the country’s strategic pipeline assets and currently services </w:t>
      </w:r>
      <w:r w:rsidR="00EB18A9">
        <w:rPr>
          <w:bCs/>
        </w:rPr>
        <w:t>two key industries namely gas and</w:t>
      </w:r>
      <w:r w:rsidR="004221F0">
        <w:rPr>
          <w:bCs/>
        </w:rPr>
        <w:t xml:space="preserve"> liquid fuel. The liquid fuel </w:t>
      </w:r>
      <w:r w:rsidR="00D25073">
        <w:rPr>
          <w:bCs/>
        </w:rPr>
        <w:t>products include crude oil</w:t>
      </w:r>
      <w:r w:rsidR="007B5669">
        <w:rPr>
          <w:bCs/>
        </w:rPr>
        <w:t xml:space="preserve">, </w:t>
      </w:r>
      <w:r w:rsidR="00D25073">
        <w:rPr>
          <w:bCs/>
        </w:rPr>
        <w:t xml:space="preserve">diesel, leaded and unleaded </w:t>
      </w:r>
      <w:r w:rsidR="00A72548">
        <w:rPr>
          <w:bCs/>
        </w:rPr>
        <w:t>petrol</w:t>
      </w:r>
      <w:r w:rsidR="00EA2406">
        <w:rPr>
          <w:bCs/>
        </w:rPr>
        <w:t>,</w:t>
      </w:r>
      <w:r w:rsidR="00A72548">
        <w:rPr>
          <w:bCs/>
        </w:rPr>
        <w:t xml:space="preserve"> and aviation turbine fuels.</w:t>
      </w:r>
      <w:r w:rsidR="00650264">
        <w:rPr>
          <w:bCs/>
        </w:rPr>
        <w:t xml:space="preserve">  </w:t>
      </w:r>
    </w:p>
    <w:p w14:paraId="5FF51E5D" w14:textId="7577712C" w:rsidR="00F928E4" w:rsidRPr="00BA77B9" w:rsidRDefault="00AC5E05" w:rsidP="00AC5E05">
      <w:pPr>
        <w:pStyle w:val="1"/>
        <w:numPr>
          <w:ilvl w:val="0"/>
          <w:numId w:val="0"/>
        </w:numPr>
        <w:tabs>
          <w:tab w:val="left" w:pos="567"/>
        </w:tabs>
        <w:ind w:left="567" w:hanging="567"/>
        <w:rPr>
          <w:b/>
        </w:rPr>
      </w:pPr>
      <w:r w:rsidRPr="00BA77B9">
        <w:rPr>
          <w:rFonts w:cs="Arial"/>
          <w:sz w:val="22"/>
        </w:rPr>
        <w:t>[3]</w:t>
      </w:r>
      <w:r w:rsidRPr="00BA77B9">
        <w:rPr>
          <w:rFonts w:cs="Arial"/>
          <w:sz w:val="22"/>
        </w:rPr>
        <w:tab/>
      </w:r>
      <w:r w:rsidR="00F928E4">
        <w:t>The first respondent</w:t>
      </w:r>
      <w:r w:rsidR="00EA2406">
        <w:t>,</w:t>
      </w:r>
      <w:r w:rsidR="00F928E4">
        <w:t xml:space="preserve"> </w:t>
      </w:r>
      <w:r w:rsidR="00D45B89">
        <w:t>S</w:t>
      </w:r>
      <w:r w:rsidR="00D45B89" w:rsidRPr="00D45B89">
        <w:t xml:space="preserve">pill </w:t>
      </w:r>
      <w:r w:rsidR="00D45B89">
        <w:t>T</w:t>
      </w:r>
      <w:r w:rsidR="00D45B89" w:rsidRPr="00D45B89">
        <w:t>ech (</w:t>
      </w:r>
      <w:r w:rsidR="00D45B89">
        <w:t>G</w:t>
      </w:r>
      <w:r w:rsidR="00D45B89" w:rsidRPr="00D45B89">
        <w:t>auteng) (</w:t>
      </w:r>
      <w:r w:rsidR="00D45B89">
        <w:t>P</w:t>
      </w:r>
      <w:r w:rsidR="00D45B89" w:rsidRPr="00D45B89">
        <w:t xml:space="preserve">ty) </w:t>
      </w:r>
      <w:r w:rsidR="00D45B89">
        <w:t>Ltd</w:t>
      </w:r>
      <w:r w:rsidR="00D45B89" w:rsidRPr="00D45B89">
        <w:rPr>
          <w:b/>
          <w:bCs/>
        </w:rPr>
        <w:t xml:space="preserve"> </w:t>
      </w:r>
      <w:r w:rsidR="00F928E4">
        <w:t>(“Spill Tech Gauteng</w:t>
      </w:r>
      <w:r w:rsidR="00D45B89">
        <w:t xml:space="preserve">” or </w:t>
      </w:r>
      <w:r w:rsidR="00EA2406">
        <w:t>“</w:t>
      </w:r>
      <w:r w:rsidR="00D45B89">
        <w:t>STG”)</w:t>
      </w:r>
      <w:r w:rsidR="00EA2406">
        <w:t>,</w:t>
      </w:r>
      <w:r w:rsidR="00D45B89">
        <w:t xml:space="preserve"> </w:t>
      </w:r>
      <w:r w:rsidR="00F928E4">
        <w:t xml:space="preserve"> and the second respondent</w:t>
      </w:r>
      <w:r w:rsidR="00EA2406">
        <w:t>,</w:t>
      </w:r>
      <w:r w:rsidR="00D45B89">
        <w:t xml:space="preserve"> Spill Tech (Pty) Ltd </w:t>
      </w:r>
      <w:r w:rsidR="00F928E4">
        <w:t>(</w:t>
      </w:r>
      <w:r w:rsidR="00316B25">
        <w:t>“ST</w:t>
      </w:r>
      <w:r w:rsidR="00F928E4">
        <w:t>”)</w:t>
      </w:r>
      <w:r w:rsidR="00EA2406">
        <w:t>,</w:t>
      </w:r>
      <w:r w:rsidR="00F928E4">
        <w:t xml:space="preserve"> are related companies.  For ease of convenience, they are collectively referred to as Spill Tech unless the context requires specific details relevant to each entity.</w:t>
      </w:r>
    </w:p>
    <w:p w14:paraId="06CA4DC8" w14:textId="213E7E13" w:rsidR="0017322D" w:rsidRPr="00EA0D80" w:rsidRDefault="00AC5E05" w:rsidP="00AC5E05">
      <w:pPr>
        <w:pStyle w:val="1"/>
        <w:numPr>
          <w:ilvl w:val="0"/>
          <w:numId w:val="0"/>
        </w:numPr>
        <w:tabs>
          <w:tab w:val="left" w:pos="567"/>
        </w:tabs>
        <w:ind w:left="567" w:hanging="567"/>
        <w:rPr>
          <w:b/>
        </w:rPr>
      </w:pPr>
      <w:r w:rsidRPr="00EA0D80">
        <w:rPr>
          <w:rFonts w:cs="Arial"/>
          <w:sz w:val="22"/>
        </w:rPr>
        <w:t>[4]</w:t>
      </w:r>
      <w:r w:rsidRPr="00EA0D80">
        <w:rPr>
          <w:rFonts w:cs="Arial"/>
          <w:sz w:val="22"/>
        </w:rPr>
        <w:tab/>
      </w:r>
      <w:r w:rsidR="00650264">
        <w:rPr>
          <w:bCs/>
        </w:rPr>
        <w:t>The liquid fuels</w:t>
      </w:r>
      <w:r w:rsidR="00FF32DD">
        <w:rPr>
          <w:bCs/>
        </w:rPr>
        <w:t xml:space="preserve"> network traverses the provinces of Kwa-Zulu Natal, Free State, </w:t>
      </w:r>
      <w:r w:rsidR="00FF32DD">
        <w:rPr>
          <w:bCs/>
        </w:rPr>
        <w:lastRenderedPageBreak/>
        <w:t>Gauteng, North</w:t>
      </w:r>
      <w:r w:rsidR="003907D2">
        <w:rPr>
          <w:bCs/>
        </w:rPr>
        <w:t>-</w:t>
      </w:r>
      <w:r w:rsidR="00FF32DD">
        <w:rPr>
          <w:bCs/>
        </w:rPr>
        <w:t>West and Mpum</w:t>
      </w:r>
      <w:r w:rsidR="003907D2">
        <w:rPr>
          <w:bCs/>
        </w:rPr>
        <w:t xml:space="preserve">alanga.  The intake stations are the </w:t>
      </w:r>
      <w:r w:rsidR="00A9788D">
        <w:rPr>
          <w:bCs/>
        </w:rPr>
        <w:t xml:space="preserve">coastal </w:t>
      </w:r>
      <w:r w:rsidR="003907D2">
        <w:rPr>
          <w:bCs/>
        </w:rPr>
        <w:t xml:space="preserve">Durban refineries </w:t>
      </w:r>
      <w:r w:rsidR="00AB161E">
        <w:rPr>
          <w:bCs/>
        </w:rPr>
        <w:t xml:space="preserve">at Coalbrook (Natref) and </w:t>
      </w:r>
      <w:r w:rsidR="00A9788D">
        <w:rPr>
          <w:bCs/>
        </w:rPr>
        <w:t xml:space="preserve">the inland Sasol 2 and Sasol 3 synfuel plants at Secunda. The network includes a </w:t>
      </w:r>
      <w:r w:rsidR="00BA4628">
        <w:rPr>
          <w:bCs/>
        </w:rPr>
        <w:t>tank farm at Tarlton which is used mainly for st</w:t>
      </w:r>
      <w:r w:rsidR="00AB0A19">
        <w:rPr>
          <w:bCs/>
        </w:rPr>
        <w:t xml:space="preserve">orage and distribution </w:t>
      </w:r>
      <w:r w:rsidR="00ED3068">
        <w:rPr>
          <w:bCs/>
        </w:rPr>
        <w:t>of liquid fuels into Botswana. TPL</w:t>
      </w:r>
      <w:r w:rsidR="00FC5E1A">
        <w:rPr>
          <w:bCs/>
        </w:rPr>
        <w:t xml:space="preserve"> handles an average of 16</w:t>
      </w:r>
      <w:r w:rsidR="00EA2406">
        <w:rPr>
          <w:bCs/>
        </w:rPr>
        <w:t xml:space="preserve"> </w:t>
      </w:r>
      <w:r w:rsidR="00FC5E1A">
        <w:rPr>
          <w:bCs/>
        </w:rPr>
        <w:t>billion litres of liquid fuel per annum.</w:t>
      </w:r>
    </w:p>
    <w:p w14:paraId="1F46C77F" w14:textId="2E5580E4" w:rsidR="00EA0D80" w:rsidRPr="00F928E4" w:rsidRDefault="00AC5E05" w:rsidP="00AC5E05">
      <w:pPr>
        <w:pStyle w:val="1"/>
        <w:numPr>
          <w:ilvl w:val="0"/>
          <w:numId w:val="0"/>
        </w:numPr>
        <w:tabs>
          <w:tab w:val="left" w:pos="567"/>
        </w:tabs>
        <w:ind w:left="567" w:hanging="567"/>
        <w:rPr>
          <w:b/>
        </w:rPr>
      </w:pPr>
      <w:r w:rsidRPr="00F928E4">
        <w:rPr>
          <w:rFonts w:cs="Arial"/>
          <w:sz w:val="22"/>
        </w:rPr>
        <w:t>[5]</w:t>
      </w:r>
      <w:r w:rsidRPr="00F928E4">
        <w:rPr>
          <w:rFonts w:cs="Arial"/>
          <w:sz w:val="22"/>
        </w:rPr>
        <w:tab/>
      </w:r>
      <w:r w:rsidR="001340F4">
        <w:rPr>
          <w:bCs/>
        </w:rPr>
        <w:t>From time to time</w:t>
      </w:r>
      <w:r w:rsidR="00EA2406">
        <w:rPr>
          <w:bCs/>
        </w:rPr>
        <w:t>,</w:t>
      </w:r>
      <w:r w:rsidR="001340F4">
        <w:rPr>
          <w:bCs/>
        </w:rPr>
        <w:t xml:space="preserve"> f</w:t>
      </w:r>
      <w:r w:rsidR="00EA0D80">
        <w:rPr>
          <w:bCs/>
        </w:rPr>
        <w:t xml:space="preserve">uel spills </w:t>
      </w:r>
      <w:r w:rsidR="001340F4">
        <w:rPr>
          <w:bCs/>
        </w:rPr>
        <w:t>occur</w:t>
      </w:r>
      <w:r w:rsidR="00EA0D80">
        <w:rPr>
          <w:bCs/>
        </w:rPr>
        <w:t xml:space="preserve"> due to damage caused </w:t>
      </w:r>
      <w:r w:rsidR="00784359">
        <w:rPr>
          <w:bCs/>
        </w:rPr>
        <w:t xml:space="preserve">to the pipeline network </w:t>
      </w:r>
      <w:r w:rsidR="00EA0D80">
        <w:rPr>
          <w:bCs/>
        </w:rPr>
        <w:t xml:space="preserve">by </w:t>
      </w:r>
      <w:r w:rsidR="00784359">
        <w:rPr>
          <w:bCs/>
        </w:rPr>
        <w:t xml:space="preserve">thieves or </w:t>
      </w:r>
      <w:r w:rsidR="00F928E4">
        <w:rPr>
          <w:bCs/>
        </w:rPr>
        <w:t>wear and tear</w:t>
      </w:r>
      <w:r w:rsidR="00A10EB7">
        <w:rPr>
          <w:bCs/>
        </w:rPr>
        <w:t xml:space="preserve"> and Transnet requires the services of </w:t>
      </w:r>
      <w:r w:rsidR="00036BAA">
        <w:rPr>
          <w:bCs/>
        </w:rPr>
        <w:t>suitable contractors who can attend to the containment of spillages quickly and do the remedial work of polluted sites.</w:t>
      </w:r>
    </w:p>
    <w:p w14:paraId="4C950334" w14:textId="7571EB1C" w:rsidR="00E764A2" w:rsidRPr="00E764A2" w:rsidRDefault="00AC5E05" w:rsidP="00AC5E05">
      <w:pPr>
        <w:pStyle w:val="1"/>
        <w:numPr>
          <w:ilvl w:val="0"/>
          <w:numId w:val="0"/>
        </w:numPr>
        <w:tabs>
          <w:tab w:val="left" w:pos="567"/>
        </w:tabs>
        <w:ind w:left="567" w:hanging="567"/>
        <w:rPr>
          <w:b/>
        </w:rPr>
      </w:pPr>
      <w:r w:rsidRPr="00E764A2">
        <w:rPr>
          <w:rFonts w:cs="Arial"/>
          <w:sz w:val="22"/>
        </w:rPr>
        <w:t>[6]</w:t>
      </w:r>
      <w:r w:rsidRPr="00E764A2">
        <w:rPr>
          <w:rFonts w:cs="Arial"/>
          <w:sz w:val="22"/>
        </w:rPr>
        <w:tab/>
      </w:r>
      <w:r w:rsidR="00036BAA">
        <w:rPr>
          <w:bCs/>
        </w:rPr>
        <w:t>Prior to 2016,</w:t>
      </w:r>
      <w:r w:rsidR="007B08C4">
        <w:rPr>
          <w:bCs/>
        </w:rPr>
        <w:t xml:space="preserve"> Spill Tech was the only service pr</w:t>
      </w:r>
      <w:r w:rsidR="00B66384">
        <w:rPr>
          <w:bCs/>
        </w:rPr>
        <w:t xml:space="preserve">ovider </w:t>
      </w:r>
      <w:r w:rsidR="00D34DF8">
        <w:rPr>
          <w:bCs/>
        </w:rPr>
        <w:t xml:space="preserve">that </w:t>
      </w:r>
      <w:r w:rsidR="00B66384">
        <w:rPr>
          <w:bCs/>
        </w:rPr>
        <w:t xml:space="preserve">provided services </w:t>
      </w:r>
      <w:r w:rsidR="00D34DF8">
        <w:rPr>
          <w:bCs/>
        </w:rPr>
        <w:t xml:space="preserve">to Transnet </w:t>
      </w:r>
      <w:r w:rsidR="00B66384">
        <w:rPr>
          <w:bCs/>
        </w:rPr>
        <w:t>through</w:t>
      </w:r>
      <w:r w:rsidR="00C220D9">
        <w:rPr>
          <w:bCs/>
        </w:rPr>
        <w:t>o</w:t>
      </w:r>
      <w:r w:rsidR="00B66384">
        <w:rPr>
          <w:bCs/>
        </w:rPr>
        <w:t>ut the country</w:t>
      </w:r>
      <w:r w:rsidR="00C220D9">
        <w:rPr>
          <w:bCs/>
        </w:rPr>
        <w:t xml:space="preserve"> </w:t>
      </w:r>
      <w:r w:rsidR="00444513">
        <w:rPr>
          <w:bCs/>
        </w:rPr>
        <w:t>based on</w:t>
      </w:r>
      <w:r w:rsidR="00C220D9">
        <w:rPr>
          <w:bCs/>
        </w:rPr>
        <w:t xml:space="preserve"> a month-month contract</w:t>
      </w:r>
      <w:r w:rsidR="00B66384">
        <w:rPr>
          <w:bCs/>
        </w:rPr>
        <w:t xml:space="preserve">. </w:t>
      </w:r>
    </w:p>
    <w:p w14:paraId="0F16F41A" w14:textId="63F97E5F" w:rsidR="0017322D" w:rsidRPr="007A35BF" w:rsidRDefault="00AC5E05" w:rsidP="00AC5E05">
      <w:pPr>
        <w:pStyle w:val="1"/>
        <w:numPr>
          <w:ilvl w:val="0"/>
          <w:numId w:val="0"/>
        </w:numPr>
        <w:tabs>
          <w:tab w:val="left" w:pos="567"/>
        </w:tabs>
        <w:ind w:left="567" w:hanging="567"/>
        <w:rPr>
          <w:b/>
        </w:rPr>
      </w:pPr>
      <w:r w:rsidRPr="007A35BF">
        <w:rPr>
          <w:rFonts w:cs="Arial"/>
          <w:sz w:val="22"/>
        </w:rPr>
        <w:t>[7]</w:t>
      </w:r>
      <w:r w:rsidRPr="007A35BF">
        <w:rPr>
          <w:rFonts w:cs="Arial"/>
          <w:sz w:val="22"/>
        </w:rPr>
        <w:tab/>
      </w:r>
      <w:r w:rsidR="00B66384">
        <w:rPr>
          <w:bCs/>
        </w:rPr>
        <w:t>During 201</w:t>
      </w:r>
      <w:r w:rsidR="00F10DD4">
        <w:rPr>
          <w:bCs/>
        </w:rPr>
        <w:t xml:space="preserve">6 Transnet went out on a public tender </w:t>
      </w:r>
      <w:r w:rsidR="00C220D9">
        <w:rPr>
          <w:bCs/>
        </w:rPr>
        <w:t>for a new contract</w:t>
      </w:r>
      <w:r w:rsidR="00E764A2">
        <w:rPr>
          <w:bCs/>
        </w:rPr>
        <w:t xml:space="preserve"> in which the spills were split between </w:t>
      </w:r>
      <w:r w:rsidR="00472976">
        <w:rPr>
          <w:bCs/>
        </w:rPr>
        <w:t>spills above 50 000 litres</w:t>
      </w:r>
      <w:r w:rsidR="00444513">
        <w:rPr>
          <w:bCs/>
        </w:rPr>
        <w:t xml:space="preserve"> (“major spills”) </w:t>
      </w:r>
      <w:r w:rsidR="00472976">
        <w:rPr>
          <w:bCs/>
        </w:rPr>
        <w:t>and spills below 50 000 litres</w:t>
      </w:r>
      <w:r w:rsidR="00444513">
        <w:rPr>
          <w:bCs/>
        </w:rPr>
        <w:t xml:space="preserve"> (“minor spills”)</w:t>
      </w:r>
      <w:r w:rsidR="00472976">
        <w:rPr>
          <w:bCs/>
        </w:rPr>
        <w:t>.</w:t>
      </w:r>
      <w:r w:rsidR="00C220D9">
        <w:rPr>
          <w:bCs/>
        </w:rPr>
        <w:t xml:space="preserve">  </w:t>
      </w:r>
    </w:p>
    <w:p w14:paraId="5267C65E" w14:textId="502CDBCF" w:rsidR="007A35BF" w:rsidRPr="00472976" w:rsidRDefault="00AC5E05" w:rsidP="00AC5E05">
      <w:pPr>
        <w:pStyle w:val="1"/>
        <w:numPr>
          <w:ilvl w:val="0"/>
          <w:numId w:val="0"/>
        </w:numPr>
        <w:tabs>
          <w:tab w:val="left" w:pos="567"/>
        </w:tabs>
        <w:ind w:left="567" w:hanging="567"/>
        <w:rPr>
          <w:b/>
        </w:rPr>
      </w:pPr>
      <w:r w:rsidRPr="00472976">
        <w:rPr>
          <w:rFonts w:cs="Arial"/>
          <w:sz w:val="22"/>
        </w:rPr>
        <w:t>[8]</w:t>
      </w:r>
      <w:r w:rsidRPr="00472976">
        <w:rPr>
          <w:rFonts w:cs="Arial"/>
          <w:sz w:val="22"/>
        </w:rPr>
        <w:tab/>
      </w:r>
      <w:r w:rsidR="007A35BF">
        <w:rPr>
          <w:bCs/>
        </w:rPr>
        <w:t>The equipment, personnel</w:t>
      </w:r>
      <w:r w:rsidR="00EA2406">
        <w:rPr>
          <w:bCs/>
        </w:rPr>
        <w:t>,</w:t>
      </w:r>
      <w:r w:rsidR="007A35BF">
        <w:rPr>
          <w:bCs/>
        </w:rPr>
        <w:t xml:space="preserve"> and e</w:t>
      </w:r>
      <w:r w:rsidR="00BA661E">
        <w:rPr>
          <w:bCs/>
        </w:rPr>
        <w:t xml:space="preserve">xperience </w:t>
      </w:r>
      <w:r w:rsidR="007A35BF">
        <w:rPr>
          <w:bCs/>
        </w:rPr>
        <w:t xml:space="preserve">required to deal with </w:t>
      </w:r>
      <w:r w:rsidR="00BA661E">
        <w:rPr>
          <w:bCs/>
        </w:rPr>
        <w:t>major and minor spills differ and the details of these were set out in the tender documents</w:t>
      </w:r>
      <w:r w:rsidR="003C72D0">
        <w:rPr>
          <w:bCs/>
        </w:rPr>
        <w:t>.  It is axiomatic that major spills were likely to have a greater impact on the environment and on Transnet’s business and would require a more experienced and larger service provider to deal with the</w:t>
      </w:r>
      <w:r w:rsidR="00E51419">
        <w:rPr>
          <w:bCs/>
        </w:rPr>
        <w:t>se spills promptly.</w:t>
      </w:r>
    </w:p>
    <w:p w14:paraId="79BC6F0B" w14:textId="06DFBB9B" w:rsidR="009F3C1B" w:rsidRPr="001562CB" w:rsidRDefault="00AC5E05" w:rsidP="00AC5E05">
      <w:pPr>
        <w:pStyle w:val="1"/>
        <w:numPr>
          <w:ilvl w:val="0"/>
          <w:numId w:val="0"/>
        </w:numPr>
        <w:tabs>
          <w:tab w:val="left" w:pos="567"/>
        </w:tabs>
        <w:ind w:left="567" w:hanging="567"/>
        <w:rPr>
          <w:b/>
        </w:rPr>
      </w:pPr>
      <w:r w:rsidRPr="001562CB">
        <w:rPr>
          <w:rFonts w:cs="Arial"/>
          <w:sz w:val="22"/>
        </w:rPr>
        <w:t>[9]</w:t>
      </w:r>
      <w:r w:rsidRPr="001562CB">
        <w:rPr>
          <w:rFonts w:cs="Arial"/>
          <w:sz w:val="22"/>
        </w:rPr>
        <w:tab/>
      </w:r>
      <w:r w:rsidR="009F3C1B">
        <w:t xml:space="preserve">The tender was ultimately awarded in 2018 with Spill Tech being awarded the </w:t>
      </w:r>
      <w:r w:rsidR="009F3C1B">
        <w:lastRenderedPageBreak/>
        <w:t xml:space="preserve">tender for spills above 50 000 litres and Drizit </w:t>
      </w:r>
      <w:r w:rsidR="002A65BE">
        <w:t xml:space="preserve">Spill Technologies </w:t>
      </w:r>
      <w:r w:rsidR="004A6444">
        <w:t xml:space="preserve">(Pty) Ltd (“Drizit”) </w:t>
      </w:r>
      <w:r w:rsidR="009F3C1B">
        <w:t>for spills below 50 000 litres (“minor spills”).</w:t>
      </w:r>
    </w:p>
    <w:p w14:paraId="5106446E" w14:textId="12D4C03E" w:rsidR="001562CB" w:rsidRPr="00444513" w:rsidRDefault="00AC5E05" w:rsidP="00AC5E05">
      <w:pPr>
        <w:pStyle w:val="1"/>
        <w:numPr>
          <w:ilvl w:val="0"/>
          <w:numId w:val="0"/>
        </w:numPr>
        <w:tabs>
          <w:tab w:val="left" w:pos="567"/>
        </w:tabs>
        <w:ind w:left="567" w:hanging="567"/>
        <w:rPr>
          <w:b/>
        </w:rPr>
      </w:pPr>
      <w:r w:rsidRPr="00444513">
        <w:rPr>
          <w:rFonts w:cs="Arial"/>
          <w:sz w:val="22"/>
        </w:rPr>
        <w:t>[10]</w:t>
      </w:r>
      <w:r w:rsidRPr="00444513">
        <w:rPr>
          <w:rFonts w:cs="Arial"/>
          <w:sz w:val="22"/>
        </w:rPr>
        <w:tab/>
      </w:r>
      <w:r w:rsidR="001562CB">
        <w:t xml:space="preserve">Transnet did not appoint a panel of </w:t>
      </w:r>
      <w:r w:rsidR="003403C8">
        <w:t xml:space="preserve">service providers from whom </w:t>
      </w:r>
      <w:r w:rsidR="001328ED">
        <w:t>it could choose as and when spills occurred.  It appointed only one contractor for major spills being Spill Tech and one contractor for minor spills being Drizit.</w:t>
      </w:r>
    </w:p>
    <w:p w14:paraId="5BE879CB" w14:textId="5979057F" w:rsidR="00444513" w:rsidRDefault="00AC5E05" w:rsidP="00AC5E05">
      <w:pPr>
        <w:pStyle w:val="1"/>
        <w:numPr>
          <w:ilvl w:val="0"/>
          <w:numId w:val="0"/>
        </w:numPr>
        <w:tabs>
          <w:tab w:val="left" w:pos="567"/>
        </w:tabs>
        <w:ind w:left="567" w:hanging="567"/>
        <w:rPr>
          <w:b/>
        </w:rPr>
      </w:pPr>
      <w:r>
        <w:rPr>
          <w:rFonts w:cs="Arial"/>
          <w:sz w:val="22"/>
        </w:rPr>
        <w:t>[11]</w:t>
      </w:r>
      <w:r>
        <w:rPr>
          <w:rFonts w:cs="Arial"/>
          <w:sz w:val="22"/>
        </w:rPr>
        <w:tab/>
      </w:r>
      <w:r w:rsidR="00621D1D">
        <w:t>STG</w:t>
      </w:r>
      <w:r w:rsidR="00444513">
        <w:t xml:space="preserve"> was contracted to deal with spills in Gauteng, Mpumalanga</w:t>
      </w:r>
      <w:r w:rsidR="003E5D95">
        <w:t>,</w:t>
      </w:r>
      <w:r w:rsidR="00444513">
        <w:t xml:space="preserve"> and North-West while </w:t>
      </w:r>
      <w:r w:rsidR="00621D1D">
        <w:t>ST</w:t>
      </w:r>
      <w:r w:rsidR="00444513">
        <w:t xml:space="preserve"> was contracted to deal with spills in Kwa-Zulu Natal and Free State.</w:t>
      </w:r>
    </w:p>
    <w:p w14:paraId="60CC6A60" w14:textId="3EB8FAC4" w:rsidR="00464A83" w:rsidRPr="006019B0" w:rsidRDefault="00AC5E05" w:rsidP="00AC5E05">
      <w:pPr>
        <w:pStyle w:val="1"/>
        <w:numPr>
          <w:ilvl w:val="0"/>
          <w:numId w:val="0"/>
        </w:numPr>
        <w:tabs>
          <w:tab w:val="left" w:pos="567"/>
        </w:tabs>
        <w:ind w:left="567" w:hanging="567"/>
        <w:rPr>
          <w:b/>
        </w:rPr>
      </w:pPr>
      <w:r w:rsidRPr="006019B0">
        <w:rPr>
          <w:rFonts w:cs="Arial"/>
          <w:sz w:val="22"/>
        </w:rPr>
        <w:t>[12]</w:t>
      </w:r>
      <w:r w:rsidRPr="006019B0">
        <w:rPr>
          <w:rFonts w:cs="Arial"/>
          <w:sz w:val="22"/>
        </w:rPr>
        <w:tab/>
      </w:r>
      <w:r w:rsidR="00D8086C">
        <w:rPr>
          <w:bCs/>
        </w:rPr>
        <w:t xml:space="preserve">Transnet concluded </w:t>
      </w:r>
      <w:r w:rsidR="00CA3098">
        <w:rPr>
          <w:bCs/>
        </w:rPr>
        <w:t>written</w:t>
      </w:r>
      <w:r w:rsidR="002D01BA">
        <w:rPr>
          <w:bCs/>
        </w:rPr>
        <w:t xml:space="preserve"> </w:t>
      </w:r>
      <w:r w:rsidR="0016539E">
        <w:rPr>
          <w:bCs/>
        </w:rPr>
        <w:t xml:space="preserve">“contract </w:t>
      </w:r>
      <w:r w:rsidR="002D01BA">
        <w:rPr>
          <w:bCs/>
        </w:rPr>
        <w:t>agreements</w:t>
      </w:r>
      <w:r w:rsidR="0016539E">
        <w:rPr>
          <w:bCs/>
        </w:rPr>
        <w:t xml:space="preserve">” </w:t>
      </w:r>
      <w:r w:rsidR="00E7650F">
        <w:t>(collectively referred to as the “C</w:t>
      </w:r>
      <w:r w:rsidR="00E7650F" w:rsidRPr="00AD7FF5">
        <w:t>ontract</w:t>
      </w:r>
      <w:r w:rsidR="00E7650F">
        <w:t>s”)</w:t>
      </w:r>
      <w:r w:rsidR="00E7650F" w:rsidRPr="00AD7FF5">
        <w:t xml:space="preserve"> </w:t>
      </w:r>
      <w:r w:rsidR="00D8086C">
        <w:rPr>
          <w:bCs/>
        </w:rPr>
        <w:t>with Spill Tech in terms of which Spill Tech was contracted to provide services for spills above 50 000 litres “as and when required”.</w:t>
      </w:r>
      <w:r w:rsidR="00AB03B9">
        <w:rPr>
          <w:bCs/>
        </w:rPr>
        <w:t xml:space="preserve">  </w:t>
      </w:r>
      <w:r w:rsidR="00A560FF">
        <w:rPr>
          <w:bCs/>
        </w:rPr>
        <w:t>The</w:t>
      </w:r>
      <w:r w:rsidR="0016539E">
        <w:rPr>
          <w:bCs/>
        </w:rPr>
        <w:t xml:space="preserve"> agreements</w:t>
      </w:r>
      <w:r w:rsidR="00A560FF">
        <w:rPr>
          <w:bCs/>
        </w:rPr>
        <w:t xml:space="preserve"> w</w:t>
      </w:r>
      <w:r w:rsidR="003F0118">
        <w:rPr>
          <w:bCs/>
        </w:rPr>
        <w:t>ere</w:t>
      </w:r>
      <w:r w:rsidR="00A560FF">
        <w:rPr>
          <w:bCs/>
        </w:rPr>
        <w:t xml:space="preserve"> effective from 1 May 2018 and </w:t>
      </w:r>
      <w:r w:rsidR="003E5D95">
        <w:rPr>
          <w:bCs/>
        </w:rPr>
        <w:t xml:space="preserve">were </w:t>
      </w:r>
      <w:r w:rsidR="00A560FF">
        <w:rPr>
          <w:bCs/>
        </w:rPr>
        <w:t xml:space="preserve">due to terminate on 30 April </w:t>
      </w:r>
      <w:r w:rsidR="00AB65F0">
        <w:rPr>
          <w:bCs/>
        </w:rPr>
        <w:t xml:space="preserve">2021 but </w:t>
      </w:r>
      <w:r w:rsidR="00AC6D57">
        <w:rPr>
          <w:bCs/>
        </w:rPr>
        <w:t>were</w:t>
      </w:r>
      <w:r w:rsidR="00AB65F0">
        <w:rPr>
          <w:bCs/>
        </w:rPr>
        <w:t xml:space="preserve"> extended to 31 December 2021.</w:t>
      </w:r>
      <w:r w:rsidR="00AC6D57">
        <w:rPr>
          <w:bCs/>
        </w:rPr>
        <w:t xml:space="preserve"> Other than the differences in the geographic allocations</w:t>
      </w:r>
      <w:r w:rsidR="003E5D95">
        <w:rPr>
          <w:bCs/>
        </w:rPr>
        <w:t>,</w:t>
      </w:r>
      <w:r w:rsidR="00AC6D57">
        <w:rPr>
          <w:bCs/>
        </w:rPr>
        <w:t xml:space="preserve"> the </w:t>
      </w:r>
      <w:r w:rsidR="003E5D95">
        <w:rPr>
          <w:bCs/>
        </w:rPr>
        <w:t>Contracts</w:t>
      </w:r>
      <w:r w:rsidR="00AC6D57">
        <w:rPr>
          <w:bCs/>
        </w:rPr>
        <w:t xml:space="preserve"> for </w:t>
      </w:r>
      <w:r w:rsidR="001E5D73">
        <w:rPr>
          <w:bCs/>
        </w:rPr>
        <w:t>STG</w:t>
      </w:r>
      <w:r w:rsidR="00AC6D57">
        <w:rPr>
          <w:bCs/>
        </w:rPr>
        <w:t xml:space="preserve"> and </w:t>
      </w:r>
      <w:r w:rsidR="001E5D73">
        <w:rPr>
          <w:bCs/>
        </w:rPr>
        <w:t>ST</w:t>
      </w:r>
      <w:r w:rsidR="00AC6D57">
        <w:rPr>
          <w:bCs/>
        </w:rPr>
        <w:t xml:space="preserve"> were identical</w:t>
      </w:r>
      <w:r w:rsidR="003E5D95">
        <w:rPr>
          <w:bCs/>
        </w:rPr>
        <w:t>,</w:t>
      </w:r>
      <w:r w:rsidR="00AC6D57">
        <w:rPr>
          <w:bCs/>
        </w:rPr>
        <w:t xml:space="preserve"> and th</w:t>
      </w:r>
      <w:r w:rsidR="00464A83">
        <w:rPr>
          <w:bCs/>
        </w:rPr>
        <w:t>e material terms referred to in these proceedings apply equally to both respondents.</w:t>
      </w:r>
      <w:r w:rsidR="00ED2541">
        <w:rPr>
          <w:rStyle w:val="FootnoteReference"/>
          <w:bCs/>
        </w:rPr>
        <w:footnoteReference w:id="2"/>
      </w:r>
      <w:r w:rsidR="00AD0EB8">
        <w:rPr>
          <w:bCs/>
        </w:rPr>
        <w:t xml:space="preserve">  </w:t>
      </w:r>
    </w:p>
    <w:p w14:paraId="6B4E1562" w14:textId="52310C7D" w:rsidR="006019B0" w:rsidRPr="00F55E3E" w:rsidRDefault="00AC5E05" w:rsidP="00AC5E05">
      <w:pPr>
        <w:pStyle w:val="1"/>
        <w:numPr>
          <w:ilvl w:val="0"/>
          <w:numId w:val="0"/>
        </w:numPr>
        <w:tabs>
          <w:tab w:val="left" w:pos="567"/>
        </w:tabs>
        <w:ind w:left="567" w:hanging="567"/>
        <w:rPr>
          <w:b/>
        </w:rPr>
      </w:pPr>
      <w:r w:rsidRPr="00F55E3E">
        <w:rPr>
          <w:rFonts w:cs="Arial"/>
          <w:sz w:val="22"/>
        </w:rPr>
        <w:t>[13]</w:t>
      </w:r>
      <w:r w:rsidRPr="00F55E3E">
        <w:rPr>
          <w:rFonts w:cs="Arial"/>
          <w:sz w:val="22"/>
        </w:rPr>
        <w:tab/>
      </w:r>
      <w:r w:rsidR="006019B0" w:rsidRPr="00AD7FF5">
        <w:t xml:space="preserve">The </w:t>
      </w:r>
      <w:r w:rsidR="003E5D95">
        <w:t>Contracts</w:t>
      </w:r>
      <w:r w:rsidR="006019B0">
        <w:t xml:space="preserve"> </w:t>
      </w:r>
      <w:r w:rsidR="006019B0" w:rsidRPr="00AD7FF5">
        <w:t>incorporated the NEC</w:t>
      </w:r>
      <w:r w:rsidR="006019B0">
        <w:t xml:space="preserve">3 </w:t>
      </w:r>
      <w:r w:rsidR="006019B0" w:rsidRPr="00AD7FF5">
        <w:t>Engineering and Construction Contract with</w:t>
      </w:r>
      <w:r w:rsidR="006019B0">
        <w:t xml:space="preserve"> </w:t>
      </w:r>
      <w:r w:rsidR="006019B0" w:rsidRPr="00AD7FF5">
        <w:t>the main option A and dispute resolution option W1.</w:t>
      </w:r>
      <w:r w:rsidR="006019B0">
        <w:t xml:space="preserve"> The Contract</w:t>
      </w:r>
      <w:r w:rsidR="001E5D73">
        <w:t>s</w:t>
      </w:r>
      <w:r w:rsidR="006019B0">
        <w:t xml:space="preserve"> were arranged in</w:t>
      </w:r>
      <w:r w:rsidR="00497188">
        <w:t xml:space="preserve"> </w:t>
      </w:r>
      <w:r w:rsidR="00C17B63">
        <w:t>different parts and included Part C1 Form of Offer and Acceptance, Part C2 Pricing Data, Part C3 Scope of Services</w:t>
      </w:r>
      <w:r w:rsidR="003E5D95">
        <w:t>,</w:t>
      </w:r>
      <w:r w:rsidR="00C17B63">
        <w:t xml:space="preserve"> and Annexures.</w:t>
      </w:r>
      <w:r w:rsidR="001B64D9">
        <w:rPr>
          <w:rStyle w:val="FootnoteReference"/>
        </w:rPr>
        <w:footnoteReference w:id="3"/>
      </w:r>
    </w:p>
    <w:p w14:paraId="79E553F5" w14:textId="45EDE32D" w:rsidR="00466378" w:rsidRDefault="00AC5E05" w:rsidP="00AC5E05">
      <w:pPr>
        <w:pStyle w:val="1"/>
        <w:numPr>
          <w:ilvl w:val="0"/>
          <w:numId w:val="0"/>
        </w:numPr>
        <w:tabs>
          <w:tab w:val="left" w:pos="567"/>
        </w:tabs>
        <w:ind w:left="567" w:hanging="567"/>
        <w:rPr>
          <w:bCs/>
        </w:rPr>
      </w:pPr>
      <w:r>
        <w:rPr>
          <w:rFonts w:cs="Arial"/>
          <w:sz w:val="22"/>
        </w:rPr>
        <w:lastRenderedPageBreak/>
        <w:t>[14]</w:t>
      </w:r>
      <w:r>
        <w:rPr>
          <w:rFonts w:cs="Arial"/>
          <w:sz w:val="22"/>
        </w:rPr>
        <w:tab/>
      </w:r>
      <w:r w:rsidR="00B23E2C" w:rsidRPr="006019B0">
        <w:rPr>
          <w:bCs/>
        </w:rPr>
        <w:t>The material express provisions</w:t>
      </w:r>
      <w:r w:rsidR="006019B0">
        <w:rPr>
          <w:bCs/>
        </w:rPr>
        <w:t xml:space="preserve"> of the Contacts</w:t>
      </w:r>
      <w:r w:rsidR="00B23E2C" w:rsidRPr="006019B0">
        <w:rPr>
          <w:bCs/>
        </w:rPr>
        <w:t xml:space="preserve"> relevant to this application are the following:</w:t>
      </w:r>
    </w:p>
    <w:p w14:paraId="09361740" w14:textId="6BF8E173" w:rsidR="00B23E2C" w:rsidRPr="006019B0" w:rsidRDefault="00AC5E05" w:rsidP="00AC5E05">
      <w:pPr>
        <w:pStyle w:val="2"/>
        <w:numPr>
          <w:ilvl w:val="0"/>
          <w:numId w:val="0"/>
        </w:numPr>
        <w:tabs>
          <w:tab w:val="left" w:pos="851"/>
        </w:tabs>
        <w:ind w:left="851" w:hanging="851"/>
      </w:pPr>
      <w:r w:rsidRPr="006019B0">
        <w:rPr>
          <w:sz w:val="22"/>
        </w:rPr>
        <w:t>[14.1]</w:t>
      </w:r>
      <w:r w:rsidRPr="006019B0">
        <w:rPr>
          <w:sz w:val="22"/>
        </w:rPr>
        <w:tab/>
      </w:r>
      <w:r w:rsidR="00B23E2C" w:rsidRPr="006019B0">
        <w:t>The Contract</w:t>
      </w:r>
      <w:r w:rsidR="00C6528A">
        <w:t xml:space="preserve">s are </w:t>
      </w:r>
      <w:r w:rsidR="00B23E2C" w:rsidRPr="006019B0">
        <w:t>"rate based" and "as and when" contract</w:t>
      </w:r>
      <w:r w:rsidR="00F55E3E">
        <w:t>s</w:t>
      </w:r>
      <w:r w:rsidR="00B23E2C" w:rsidRPr="006019B0">
        <w:t xml:space="preserve">. </w:t>
      </w:r>
      <w:r w:rsidR="00AE3479">
        <w:t>Hours</w:t>
      </w:r>
      <w:r w:rsidR="00B23E2C" w:rsidRPr="006019B0">
        <w:t xml:space="preserve"> of work by the Contractor</w:t>
      </w:r>
      <w:r w:rsidR="00F55E3E">
        <w:t>’</w:t>
      </w:r>
      <w:r w:rsidR="00B23E2C" w:rsidRPr="006019B0">
        <w:t xml:space="preserve">s employees shall be paid on a per hour basis for work done, such hours will include time calculated from when </w:t>
      </w:r>
      <w:r w:rsidR="001B64D9">
        <w:t>employe</w:t>
      </w:r>
      <w:r w:rsidR="00466378">
        <w:t>es leav</w:t>
      </w:r>
      <w:r w:rsidR="00B23E2C" w:rsidRPr="006019B0">
        <w:t>e their usual place of business to go to the job site and return to their usual place of business excluding lunch hours.</w:t>
      </w:r>
    </w:p>
    <w:p w14:paraId="271B60AA" w14:textId="4CA1885B" w:rsidR="003148AE" w:rsidRDefault="00AC5E05" w:rsidP="00AC5E05">
      <w:pPr>
        <w:pStyle w:val="2"/>
        <w:numPr>
          <w:ilvl w:val="0"/>
          <w:numId w:val="0"/>
        </w:numPr>
        <w:tabs>
          <w:tab w:val="left" w:pos="851"/>
        </w:tabs>
        <w:ind w:left="851" w:hanging="851"/>
      </w:pPr>
      <w:r>
        <w:rPr>
          <w:sz w:val="22"/>
        </w:rPr>
        <w:t>[14.2]</w:t>
      </w:r>
      <w:r>
        <w:rPr>
          <w:sz w:val="22"/>
        </w:rPr>
        <w:tab/>
      </w:r>
      <w:r w:rsidR="00A43D76" w:rsidRPr="006019B0">
        <w:t xml:space="preserve">The </w:t>
      </w:r>
      <w:r w:rsidR="00CE2264">
        <w:t>Contractor</w:t>
      </w:r>
      <w:r w:rsidR="00A43D76" w:rsidRPr="006019B0">
        <w:t xml:space="preserve"> is obliged and entitled to attend to the remediation of all incidents involving major pipeline spills which comprise fuel spills or cont</w:t>
      </w:r>
      <w:r w:rsidR="00CE2264">
        <w:t xml:space="preserve">ain </w:t>
      </w:r>
      <w:r w:rsidR="00A43D76" w:rsidRPr="006019B0">
        <w:t xml:space="preserve">exceeding 50 000 litres. </w:t>
      </w:r>
    </w:p>
    <w:p w14:paraId="05159335" w14:textId="23494324" w:rsidR="003148AE" w:rsidRDefault="00AC5E05" w:rsidP="00AC5E05">
      <w:pPr>
        <w:pStyle w:val="2"/>
        <w:numPr>
          <w:ilvl w:val="0"/>
          <w:numId w:val="0"/>
        </w:numPr>
        <w:tabs>
          <w:tab w:val="left" w:pos="851"/>
        </w:tabs>
        <w:ind w:left="851" w:hanging="851"/>
      </w:pPr>
      <w:r>
        <w:rPr>
          <w:sz w:val="22"/>
        </w:rPr>
        <w:t>[14.3]</w:t>
      </w:r>
      <w:r>
        <w:rPr>
          <w:sz w:val="22"/>
        </w:rPr>
        <w:tab/>
      </w:r>
      <w:r w:rsidR="00A43D76" w:rsidRPr="006019B0">
        <w:t>The Contract</w:t>
      </w:r>
      <w:r w:rsidR="00C6528A">
        <w:t>s</w:t>
      </w:r>
      <w:r w:rsidR="00A43D76" w:rsidRPr="006019B0">
        <w:t xml:space="preserve"> incorporated the terms of the NEC3 Term Service Contract (June 2005), amended June 2006, the following option clauses: </w:t>
      </w:r>
    </w:p>
    <w:p w14:paraId="02B796EF" w14:textId="28997C7B" w:rsidR="003148AE" w:rsidRDefault="00AC5E05" w:rsidP="00AC5E05">
      <w:pPr>
        <w:pStyle w:val="3"/>
        <w:numPr>
          <w:ilvl w:val="0"/>
          <w:numId w:val="0"/>
        </w:numPr>
        <w:tabs>
          <w:tab w:val="left" w:pos="2552"/>
        </w:tabs>
        <w:ind w:left="2552" w:hanging="1134"/>
      </w:pPr>
      <w:r>
        <w:t>[14.3.1]</w:t>
      </w:r>
      <w:r>
        <w:tab/>
      </w:r>
      <w:r w:rsidR="00A43D76" w:rsidRPr="006019B0">
        <w:t>A P</w:t>
      </w:r>
      <w:r w:rsidR="003148AE">
        <w:t xml:space="preserve">riced </w:t>
      </w:r>
      <w:r w:rsidR="00A43D76" w:rsidRPr="006019B0">
        <w:t>contract with price list</w:t>
      </w:r>
      <w:r w:rsidR="00F55E3E">
        <w:t>;</w:t>
      </w:r>
      <w:r w:rsidR="00A43D76" w:rsidRPr="006019B0">
        <w:t xml:space="preserve"> </w:t>
      </w:r>
    </w:p>
    <w:p w14:paraId="6AC64477" w14:textId="18FC7822" w:rsidR="003148AE" w:rsidRDefault="00AC5E05" w:rsidP="00AC5E05">
      <w:pPr>
        <w:pStyle w:val="3"/>
        <w:numPr>
          <w:ilvl w:val="0"/>
          <w:numId w:val="0"/>
        </w:numPr>
        <w:tabs>
          <w:tab w:val="left" w:pos="2552"/>
        </w:tabs>
        <w:ind w:left="2552" w:hanging="1134"/>
      </w:pPr>
      <w:r>
        <w:t>[14.3.2]</w:t>
      </w:r>
      <w:r>
        <w:tab/>
      </w:r>
      <w:r w:rsidR="003148AE">
        <w:t xml:space="preserve">W1 </w:t>
      </w:r>
      <w:r w:rsidR="00A43D76" w:rsidRPr="006019B0">
        <w:t>Dispute resolution procedure</w:t>
      </w:r>
      <w:r w:rsidR="00F55E3E">
        <w:t>;</w:t>
      </w:r>
      <w:r w:rsidR="00A43D76" w:rsidRPr="006019B0">
        <w:t xml:space="preserve"> </w:t>
      </w:r>
    </w:p>
    <w:p w14:paraId="1E946C26" w14:textId="28C497B3" w:rsidR="00321007" w:rsidRDefault="00AC5E05" w:rsidP="00AC5E05">
      <w:pPr>
        <w:pStyle w:val="3"/>
        <w:numPr>
          <w:ilvl w:val="0"/>
          <w:numId w:val="0"/>
        </w:numPr>
        <w:tabs>
          <w:tab w:val="left" w:pos="2552"/>
        </w:tabs>
        <w:ind w:left="2552" w:hanging="1134"/>
      </w:pPr>
      <w:r>
        <w:t>[14.3.3]</w:t>
      </w:r>
      <w:r>
        <w:tab/>
      </w:r>
      <w:r w:rsidR="003148AE">
        <w:t xml:space="preserve">X2 </w:t>
      </w:r>
      <w:r w:rsidR="00A43D76" w:rsidRPr="006019B0">
        <w:t>Changes in the law</w:t>
      </w:r>
      <w:r w:rsidR="00F55E3E">
        <w:t>;</w:t>
      </w:r>
      <w:r w:rsidR="00A43D76" w:rsidRPr="006019B0">
        <w:t xml:space="preserve"> </w:t>
      </w:r>
    </w:p>
    <w:p w14:paraId="045CA23D" w14:textId="6F65A054" w:rsidR="003148AE" w:rsidRDefault="00AC5E05" w:rsidP="00AC5E05">
      <w:pPr>
        <w:pStyle w:val="3"/>
        <w:numPr>
          <w:ilvl w:val="0"/>
          <w:numId w:val="0"/>
        </w:numPr>
        <w:tabs>
          <w:tab w:val="left" w:pos="2552"/>
        </w:tabs>
        <w:ind w:left="2552" w:hanging="1134"/>
      </w:pPr>
      <w:r>
        <w:t>[14.3.4]</w:t>
      </w:r>
      <w:r>
        <w:tab/>
      </w:r>
      <w:r w:rsidR="00321007">
        <w:t xml:space="preserve">X17 </w:t>
      </w:r>
      <w:r w:rsidR="00A43D76" w:rsidRPr="006019B0">
        <w:t>Low service damages</w:t>
      </w:r>
      <w:r w:rsidR="00F55E3E">
        <w:t>;</w:t>
      </w:r>
      <w:r w:rsidR="00A43D76" w:rsidRPr="006019B0">
        <w:t xml:space="preserve"> </w:t>
      </w:r>
    </w:p>
    <w:p w14:paraId="4F292BCC" w14:textId="4616AFDE" w:rsidR="00321007" w:rsidRDefault="00AC5E05" w:rsidP="00AC5E05">
      <w:pPr>
        <w:pStyle w:val="3"/>
        <w:numPr>
          <w:ilvl w:val="0"/>
          <w:numId w:val="0"/>
        </w:numPr>
        <w:tabs>
          <w:tab w:val="left" w:pos="2552"/>
        </w:tabs>
        <w:ind w:left="2552" w:hanging="1134"/>
      </w:pPr>
      <w:r>
        <w:t>[14.3.5]</w:t>
      </w:r>
      <w:r>
        <w:tab/>
      </w:r>
      <w:r w:rsidR="003148AE">
        <w:t>X1</w:t>
      </w:r>
      <w:r w:rsidR="00321007">
        <w:t xml:space="preserve">8 </w:t>
      </w:r>
      <w:r w:rsidR="00A43D76" w:rsidRPr="006019B0">
        <w:t>Limitation of liability</w:t>
      </w:r>
      <w:r w:rsidR="00F55E3E">
        <w:t>;</w:t>
      </w:r>
      <w:r w:rsidR="00A43D76" w:rsidRPr="006019B0">
        <w:t xml:space="preserve"> </w:t>
      </w:r>
    </w:p>
    <w:p w14:paraId="60B6C3F8" w14:textId="13ABEFAE" w:rsidR="00321007" w:rsidRDefault="00AC5E05" w:rsidP="00AC5E05">
      <w:pPr>
        <w:pStyle w:val="3"/>
        <w:numPr>
          <w:ilvl w:val="0"/>
          <w:numId w:val="0"/>
        </w:numPr>
        <w:tabs>
          <w:tab w:val="left" w:pos="2552"/>
        </w:tabs>
        <w:ind w:left="2552" w:hanging="1134"/>
      </w:pPr>
      <w:r>
        <w:t>[14.3.6]</w:t>
      </w:r>
      <w:r>
        <w:tab/>
      </w:r>
      <w:r w:rsidR="00321007">
        <w:t xml:space="preserve">X19 </w:t>
      </w:r>
      <w:r w:rsidR="00A43D76" w:rsidRPr="006019B0">
        <w:t>Task Order Z</w:t>
      </w:r>
      <w:r w:rsidR="00F55E3E">
        <w:t>.</w:t>
      </w:r>
      <w:r w:rsidR="00A43D76" w:rsidRPr="006019B0">
        <w:t xml:space="preserve"> </w:t>
      </w:r>
    </w:p>
    <w:p w14:paraId="75DE0C2B" w14:textId="7A89CDDF" w:rsidR="00321007" w:rsidRDefault="00AC5E05" w:rsidP="00AC5E05">
      <w:pPr>
        <w:pStyle w:val="2"/>
        <w:numPr>
          <w:ilvl w:val="0"/>
          <w:numId w:val="0"/>
        </w:numPr>
        <w:tabs>
          <w:tab w:val="left" w:pos="851"/>
        </w:tabs>
        <w:ind w:left="851" w:hanging="851"/>
      </w:pPr>
      <w:r>
        <w:rPr>
          <w:sz w:val="22"/>
        </w:rPr>
        <w:lastRenderedPageBreak/>
        <w:t>[14.4]</w:t>
      </w:r>
      <w:r>
        <w:rPr>
          <w:sz w:val="22"/>
        </w:rPr>
        <w:tab/>
      </w:r>
      <w:r w:rsidR="000C0067" w:rsidRPr="006019B0">
        <w:t xml:space="preserve">The </w:t>
      </w:r>
      <w:r w:rsidR="00C6528A">
        <w:t>Contractor</w:t>
      </w:r>
      <w:r w:rsidR="000C0067" w:rsidRPr="006019B0">
        <w:t xml:space="preserve"> is entitled to be paid for services rendered in accordance with its agreed rates in the Contract on a rates and measure basis.</w:t>
      </w:r>
    </w:p>
    <w:p w14:paraId="6ACE40C8" w14:textId="2516E632" w:rsidR="00082613" w:rsidRDefault="00AC5E05" w:rsidP="00AC5E05">
      <w:pPr>
        <w:pStyle w:val="2"/>
        <w:numPr>
          <w:ilvl w:val="0"/>
          <w:numId w:val="0"/>
        </w:numPr>
        <w:tabs>
          <w:tab w:val="left" w:pos="851"/>
        </w:tabs>
        <w:ind w:left="851" w:hanging="851"/>
      </w:pPr>
      <w:r>
        <w:rPr>
          <w:sz w:val="22"/>
        </w:rPr>
        <w:t>[14.5]</w:t>
      </w:r>
      <w:r>
        <w:rPr>
          <w:sz w:val="22"/>
        </w:rPr>
        <w:tab/>
      </w:r>
      <w:r w:rsidR="000C0067" w:rsidRPr="006019B0">
        <w:t>The service is described as: "</w:t>
      </w:r>
      <w:r w:rsidR="000C0067" w:rsidRPr="002C2F78">
        <w:rPr>
          <w:i/>
          <w:iCs w:val="0"/>
        </w:rPr>
        <w:t>Responding to emergency and remediation of environmental incidental — major spills (&gt;50 000 I) at Transnet Pipeline facilities and the pipeline network 'as and when</w:t>
      </w:r>
      <w:r w:rsidR="00321007" w:rsidRPr="002C2F78">
        <w:rPr>
          <w:i/>
          <w:iCs w:val="0"/>
        </w:rPr>
        <w:t xml:space="preserve"> r</w:t>
      </w:r>
      <w:r w:rsidR="000C0067" w:rsidRPr="002C2F78">
        <w:rPr>
          <w:i/>
          <w:iCs w:val="0"/>
        </w:rPr>
        <w:t>equired for a period of thre</w:t>
      </w:r>
      <w:r w:rsidR="00082613" w:rsidRPr="002C2F78">
        <w:rPr>
          <w:i/>
          <w:iCs w:val="0"/>
        </w:rPr>
        <w:t>e years</w:t>
      </w:r>
      <w:r w:rsidR="00082613">
        <w:t>”</w:t>
      </w:r>
      <w:r w:rsidR="00F55E3E">
        <w:t>.</w:t>
      </w:r>
      <w:r w:rsidR="00082613">
        <w:t xml:space="preserve"> </w:t>
      </w:r>
    </w:p>
    <w:p w14:paraId="287CC4D8" w14:textId="635DEB40" w:rsidR="00082613" w:rsidRDefault="00AC5E05" w:rsidP="00AC5E05">
      <w:pPr>
        <w:pStyle w:val="2"/>
        <w:numPr>
          <w:ilvl w:val="0"/>
          <w:numId w:val="0"/>
        </w:numPr>
        <w:tabs>
          <w:tab w:val="left" w:pos="851"/>
        </w:tabs>
        <w:ind w:left="851" w:hanging="851"/>
      </w:pPr>
      <w:r>
        <w:rPr>
          <w:sz w:val="22"/>
        </w:rPr>
        <w:t>[14.6]</w:t>
      </w:r>
      <w:r>
        <w:rPr>
          <w:sz w:val="22"/>
        </w:rPr>
        <w:tab/>
      </w:r>
      <w:r w:rsidR="000C0067" w:rsidRPr="006019B0">
        <w:t xml:space="preserve">The </w:t>
      </w:r>
      <w:r w:rsidR="00C6528A">
        <w:t>Contractor</w:t>
      </w:r>
      <w:r w:rsidR="000C0067" w:rsidRPr="006019B0">
        <w:t>'s liability to the Defendant for indirect or consequenti</w:t>
      </w:r>
      <w:r w:rsidR="00082613">
        <w:t>al loss is</w:t>
      </w:r>
      <w:r w:rsidR="000C0067" w:rsidRPr="006019B0">
        <w:t xml:space="preserve"> limited to 0% of the Prices (clause X18.1).</w:t>
      </w:r>
    </w:p>
    <w:p w14:paraId="30C08AFE" w14:textId="081687A1" w:rsidR="00082613" w:rsidRDefault="00AC5E05" w:rsidP="00AC5E05">
      <w:pPr>
        <w:pStyle w:val="2"/>
        <w:numPr>
          <w:ilvl w:val="0"/>
          <w:numId w:val="0"/>
        </w:numPr>
        <w:tabs>
          <w:tab w:val="left" w:pos="851"/>
        </w:tabs>
        <w:ind w:left="851" w:hanging="851"/>
      </w:pPr>
      <w:r>
        <w:rPr>
          <w:sz w:val="22"/>
        </w:rPr>
        <w:t>[14.7]</w:t>
      </w:r>
      <w:r>
        <w:rPr>
          <w:sz w:val="22"/>
        </w:rPr>
        <w:tab/>
      </w:r>
      <w:r w:rsidR="000C0067" w:rsidRPr="006019B0">
        <w:t xml:space="preserve">The direct fee percentage is 10% and the subcontracted fee percentage is 15%. </w:t>
      </w:r>
    </w:p>
    <w:p w14:paraId="2304D549" w14:textId="1DACC537" w:rsidR="00082613" w:rsidRDefault="00AC5E05" w:rsidP="00AC5E05">
      <w:pPr>
        <w:pStyle w:val="2"/>
        <w:numPr>
          <w:ilvl w:val="0"/>
          <w:numId w:val="0"/>
        </w:numPr>
        <w:tabs>
          <w:tab w:val="left" w:pos="851"/>
        </w:tabs>
        <w:ind w:left="851" w:hanging="851"/>
      </w:pPr>
      <w:r>
        <w:rPr>
          <w:sz w:val="22"/>
        </w:rPr>
        <w:t>[14.8]</w:t>
      </w:r>
      <w:r>
        <w:rPr>
          <w:sz w:val="22"/>
        </w:rPr>
        <w:tab/>
      </w:r>
      <w:r w:rsidR="000C0067" w:rsidRPr="006019B0">
        <w:t>A breach of contract by the Employer is a compensation event (clause 60.1(14)).</w:t>
      </w:r>
    </w:p>
    <w:p w14:paraId="4740217A" w14:textId="2FE5CB16" w:rsidR="00082613" w:rsidRDefault="00AC5E05" w:rsidP="00AC5E05">
      <w:pPr>
        <w:pStyle w:val="2"/>
        <w:numPr>
          <w:ilvl w:val="0"/>
          <w:numId w:val="0"/>
        </w:numPr>
        <w:tabs>
          <w:tab w:val="left" w:pos="851"/>
        </w:tabs>
        <w:ind w:left="851" w:hanging="851"/>
      </w:pPr>
      <w:r>
        <w:rPr>
          <w:sz w:val="22"/>
        </w:rPr>
        <w:t>[14.9]</w:t>
      </w:r>
      <w:r>
        <w:rPr>
          <w:sz w:val="22"/>
        </w:rPr>
        <w:tab/>
      </w:r>
      <w:r w:rsidR="000C0067" w:rsidRPr="006019B0">
        <w:t xml:space="preserve">If an event occurs </w:t>
      </w:r>
      <w:r w:rsidR="00F55E3E">
        <w:t xml:space="preserve">that </w:t>
      </w:r>
      <w:r w:rsidR="000C0067" w:rsidRPr="006019B0">
        <w:t xml:space="preserve"> the Contractor considers to be a compensation event, the Contractor notifies the Service Manager accordingly within eight weeks of becoming aware of the event. If the Service Manager ought to  have notified the event but did not, the eight</w:t>
      </w:r>
      <w:r w:rsidR="00F55E3E">
        <w:t>-</w:t>
      </w:r>
      <w:r w:rsidR="000C0067" w:rsidRPr="006019B0">
        <w:t>week time period does not apply (clause 61.3).</w:t>
      </w:r>
    </w:p>
    <w:p w14:paraId="32CEB232" w14:textId="32F9B01B" w:rsidR="00D279C5" w:rsidRDefault="00AC5E05" w:rsidP="00AC5E05">
      <w:pPr>
        <w:pStyle w:val="2"/>
        <w:numPr>
          <w:ilvl w:val="0"/>
          <w:numId w:val="0"/>
        </w:numPr>
        <w:tabs>
          <w:tab w:val="left" w:pos="851"/>
        </w:tabs>
        <w:ind w:left="851" w:hanging="851"/>
      </w:pPr>
      <w:r>
        <w:rPr>
          <w:sz w:val="22"/>
        </w:rPr>
        <w:t>[14.10]</w:t>
      </w:r>
      <w:r>
        <w:rPr>
          <w:sz w:val="22"/>
        </w:rPr>
        <w:tab/>
      </w:r>
      <w:r w:rsidR="000C0067" w:rsidRPr="006019B0">
        <w:t xml:space="preserve">If the Service Manager does not respond to the Contractor's notification within one week, the Contractor may notify the Service Manager to that effect and, if the Service Manager fails to reply within two weeks thereof, that is treated as </w:t>
      </w:r>
      <w:r w:rsidR="000C0067" w:rsidRPr="006019B0">
        <w:lastRenderedPageBreak/>
        <w:t>acceptance by the Service Manager</w:t>
      </w:r>
      <w:r w:rsidR="00082613">
        <w:t xml:space="preserve"> </w:t>
      </w:r>
      <w:r w:rsidR="000C0067" w:rsidRPr="006019B0">
        <w:t>that the event is a compensation event and an instruction to submit a quotation (clause 61.4)</w:t>
      </w:r>
      <w:r w:rsidR="00F55E3E">
        <w:t>.</w:t>
      </w:r>
    </w:p>
    <w:p w14:paraId="317759DB" w14:textId="5327A534" w:rsidR="009D36F9" w:rsidRDefault="00AC5E05" w:rsidP="00AC5E05">
      <w:pPr>
        <w:pStyle w:val="2"/>
        <w:numPr>
          <w:ilvl w:val="0"/>
          <w:numId w:val="0"/>
        </w:numPr>
        <w:tabs>
          <w:tab w:val="left" w:pos="851"/>
        </w:tabs>
        <w:ind w:left="851" w:hanging="851"/>
      </w:pPr>
      <w:r>
        <w:rPr>
          <w:sz w:val="22"/>
        </w:rPr>
        <w:t>[14.11]</w:t>
      </w:r>
      <w:r>
        <w:rPr>
          <w:sz w:val="22"/>
        </w:rPr>
        <w:tab/>
      </w:r>
      <w:r w:rsidR="00167D7A" w:rsidRPr="006019B0">
        <w:t>A compensation event is implemented, in other words</w:t>
      </w:r>
      <w:r w:rsidR="00F55E3E">
        <w:t>,</w:t>
      </w:r>
      <w:r w:rsidR="00167D7A" w:rsidRPr="006019B0">
        <w:t xml:space="preserve"> becomes effective and binding, with the amount of the quotation becoming payable when the Contractor's quotation is treated as having been accepted (clause 65.1)</w:t>
      </w:r>
      <w:r w:rsidR="006B5F54">
        <w:t>.</w:t>
      </w:r>
    </w:p>
    <w:p w14:paraId="7B700875" w14:textId="0977C75B" w:rsidR="00D47D00" w:rsidRDefault="00AC5E05" w:rsidP="00AC5E05">
      <w:pPr>
        <w:pStyle w:val="2"/>
        <w:numPr>
          <w:ilvl w:val="0"/>
          <w:numId w:val="0"/>
        </w:numPr>
        <w:tabs>
          <w:tab w:val="left" w:pos="851"/>
        </w:tabs>
        <w:ind w:left="851" w:hanging="851"/>
      </w:pPr>
      <w:r>
        <w:rPr>
          <w:sz w:val="22"/>
        </w:rPr>
        <w:t>[14.12]</w:t>
      </w:r>
      <w:r>
        <w:rPr>
          <w:sz w:val="22"/>
        </w:rPr>
        <w:tab/>
      </w:r>
      <w:r w:rsidR="00167D7A" w:rsidRPr="006019B0">
        <w:t xml:space="preserve">Disputes under the Contract are notified and referred to an </w:t>
      </w:r>
      <w:r w:rsidR="000C47A3" w:rsidRPr="006019B0">
        <w:t>Adjudicator</w:t>
      </w:r>
      <w:r w:rsidR="00170368">
        <w:t xml:space="preserve"> in accordance with the Adjudication </w:t>
      </w:r>
      <w:r w:rsidR="00D47D00">
        <w:t>Table (clause W1.3(1)).</w:t>
      </w:r>
    </w:p>
    <w:p w14:paraId="5443A8AC" w14:textId="686518DD" w:rsidR="00D47D00" w:rsidRDefault="00AC5E05" w:rsidP="00AC5E05">
      <w:pPr>
        <w:pStyle w:val="2"/>
        <w:numPr>
          <w:ilvl w:val="0"/>
          <w:numId w:val="0"/>
        </w:numPr>
        <w:tabs>
          <w:tab w:val="left" w:pos="851"/>
        </w:tabs>
        <w:ind w:left="851" w:hanging="851"/>
      </w:pPr>
      <w:r>
        <w:rPr>
          <w:sz w:val="22"/>
        </w:rPr>
        <w:t>[14.13]</w:t>
      </w:r>
      <w:r>
        <w:rPr>
          <w:sz w:val="22"/>
        </w:rPr>
        <w:tab/>
      </w:r>
      <w:r w:rsidR="00D47D00">
        <w:t>The Adjudicator</w:t>
      </w:r>
      <w:r w:rsidR="000C47A3" w:rsidRPr="006019B0">
        <w:t xml:space="preserve"> is the person appointed by the nominating body specified in the Contract Data, in this case being the Association of Arbitrators (Southern Africa). </w:t>
      </w:r>
    </w:p>
    <w:p w14:paraId="73242120" w14:textId="749DE4F2" w:rsidR="009749EA" w:rsidRDefault="00AC5E05" w:rsidP="00AC5E05">
      <w:pPr>
        <w:pStyle w:val="2"/>
        <w:numPr>
          <w:ilvl w:val="0"/>
          <w:numId w:val="0"/>
        </w:numPr>
        <w:tabs>
          <w:tab w:val="left" w:pos="851"/>
        </w:tabs>
        <w:ind w:left="851" w:hanging="851"/>
      </w:pPr>
      <w:r>
        <w:rPr>
          <w:sz w:val="22"/>
        </w:rPr>
        <w:t>[14.14]</w:t>
      </w:r>
      <w:r>
        <w:rPr>
          <w:sz w:val="22"/>
        </w:rPr>
        <w:tab/>
      </w:r>
      <w:r w:rsidR="000C47A3" w:rsidRPr="006019B0">
        <w:t xml:space="preserve">The Adjudication Table stipulates that: (a) the Contractor is entitled to refer a dispute about the action or inaction of the Service Manager to adjudication between two and four weeks after notification of the dispute to the Employer and the Service Manager, the notification itself being made not more than four weeks after the Contractor becomes aware of the action or inaction; </w:t>
      </w:r>
      <w:r w:rsidR="00D35CA7">
        <w:t xml:space="preserve">(b) </w:t>
      </w:r>
      <w:r w:rsidR="000C47A3" w:rsidRPr="006019B0">
        <w:t>the Employer is entitled to refer a dispute to adjudication rela</w:t>
      </w:r>
      <w:r w:rsidR="00E92047">
        <w:t xml:space="preserve">ting to a </w:t>
      </w:r>
      <w:r w:rsidR="000C47A3" w:rsidRPr="006019B0">
        <w:t xml:space="preserve">quotation for a compensation event which is treated as having been accepted by the Service Manager between two and four weeks after the Service Manager's notification of the dispute to the Employer and the Contractor, the notification itself being made not more than four weeks after the quotation was treated as accepted; (c) either party may refer a dispute to adjudication relating to any </w:t>
      </w:r>
      <w:r w:rsidR="000C47A3" w:rsidRPr="006019B0">
        <w:lastRenderedPageBreak/>
        <w:t>other matter between two and four weeks after notification of the dispute to the other party and the Service Manager, (d) if a disputed matter is not notified and referred within the times set out in the Contract, neither party may subsequently refer it to the Adjudicator or the tribunal (clause W1.8(2)</w:t>
      </w:r>
      <w:r w:rsidR="009749EA">
        <w:t xml:space="preserve">. </w:t>
      </w:r>
    </w:p>
    <w:p w14:paraId="69CA6EEE" w14:textId="1E81CCE3" w:rsidR="009749EA" w:rsidRDefault="00AC5E05" w:rsidP="00AC5E05">
      <w:pPr>
        <w:pStyle w:val="2"/>
        <w:numPr>
          <w:ilvl w:val="0"/>
          <w:numId w:val="0"/>
        </w:numPr>
        <w:tabs>
          <w:tab w:val="left" w:pos="851"/>
        </w:tabs>
        <w:ind w:left="851" w:hanging="851"/>
      </w:pPr>
      <w:r>
        <w:rPr>
          <w:sz w:val="22"/>
        </w:rPr>
        <w:t>[14.15]</w:t>
      </w:r>
      <w:r>
        <w:rPr>
          <w:sz w:val="22"/>
        </w:rPr>
        <w:tab/>
      </w:r>
      <w:r w:rsidR="000C47A3" w:rsidRPr="006019B0">
        <w:t>Payments to the Contractor payable in terms of the Contract are to be effected on or before the last day of the month following the month during which a valid tax invoice and month end statement are submitted to the Defendant (Contract Data clause 51.2)</w:t>
      </w:r>
      <w:r w:rsidR="009749EA">
        <w:t xml:space="preserve"> </w:t>
      </w:r>
    </w:p>
    <w:p w14:paraId="42D5B830" w14:textId="19745230" w:rsidR="006D2728" w:rsidRPr="006019B0" w:rsidRDefault="00AC5E05" w:rsidP="00AC5E05">
      <w:pPr>
        <w:pStyle w:val="2"/>
        <w:numPr>
          <w:ilvl w:val="0"/>
          <w:numId w:val="0"/>
        </w:numPr>
        <w:tabs>
          <w:tab w:val="left" w:pos="851"/>
        </w:tabs>
        <w:ind w:left="851" w:hanging="851"/>
      </w:pPr>
      <w:r w:rsidRPr="006019B0">
        <w:rPr>
          <w:sz w:val="22"/>
        </w:rPr>
        <w:t>[14.16]</w:t>
      </w:r>
      <w:r w:rsidRPr="006019B0">
        <w:rPr>
          <w:sz w:val="22"/>
        </w:rPr>
        <w:tab/>
      </w:r>
      <w:r w:rsidR="009749EA">
        <w:t>If</w:t>
      </w:r>
      <w:r w:rsidR="003A3A2B" w:rsidRPr="006019B0">
        <w:t>, after the Adjudicator notifies his decision, a party is dissatisfied, he may notify the other party that he intends to refer the matter to arbitration for final determination, provided such notification is given within four weeks, in which event the matter is determined by arbitration.</w:t>
      </w:r>
      <w:r w:rsidR="003A3A2B" w:rsidRPr="006019B0">
        <w:rPr>
          <w:rStyle w:val="FootnoteReference"/>
          <w:bCs/>
        </w:rPr>
        <w:footnoteReference w:id="4"/>
      </w:r>
    </w:p>
    <w:p w14:paraId="4EA8D1DF" w14:textId="03A62F61" w:rsidR="00AD7FF5" w:rsidRPr="00AD7FF5" w:rsidRDefault="00AC5E05" w:rsidP="00AC5E05">
      <w:pPr>
        <w:pStyle w:val="1"/>
        <w:numPr>
          <w:ilvl w:val="0"/>
          <w:numId w:val="0"/>
        </w:numPr>
        <w:tabs>
          <w:tab w:val="left" w:pos="567"/>
        </w:tabs>
        <w:ind w:left="567" w:hanging="567"/>
        <w:rPr>
          <w:b/>
        </w:rPr>
      </w:pPr>
      <w:r w:rsidRPr="00AD7FF5">
        <w:rPr>
          <w:rFonts w:cs="Arial"/>
          <w:sz w:val="22"/>
        </w:rPr>
        <w:t>[15]</w:t>
      </w:r>
      <w:r w:rsidRPr="00AD7FF5">
        <w:rPr>
          <w:rFonts w:cs="Arial"/>
          <w:sz w:val="22"/>
        </w:rPr>
        <w:tab/>
      </w:r>
      <w:r w:rsidR="008F0D07" w:rsidRPr="0033187A">
        <w:rPr>
          <w:bCs/>
        </w:rPr>
        <w:t>T</w:t>
      </w:r>
      <w:r w:rsidR="009F00FB" w:rsidRPr="0033187A">
        <w:rPr>
          <w:bCs/>
        </w:rPr>
        <w:t xml:space="preserve">he initial Transnet Service Manager appointed </w:t>
      </w:r>
      <w:r w:rsidR="00D76D8F" w:rsidRPr="0033187A">
        <w:rPr>
          <w:bCs/>
        </w:rPr>
        <w:t xml:space="preserve">in terms of the contract was </w:t>
      </w:r>
      <w:r w:rsidR="0033187A" w:rsidRPr="0033187A">
        <w:t>Jeffrey Madingani</w:t>
      </w:r>
      <w:r w:rsidR="0033187A" w:rsidRPr="0033187A">
        <w:rPr>
          <w:b/>
          <w:bCs/>
        </w:rPr>
        <w:t>,</w:t>
      </w:r>
      <w:r w:rsidR="00D76D8F">
        <w:rPr>
          <w:bCs/>
        </w:rPr>
        <w:t xml:space="preserve"> who was replaced by Vicky Dlamini </w:t>
      </w:r>
      <w:r w:rsidR="006C4904">
        <w:rPr>
          <w:bCs/>
        </w:rPr>
        <w:t>in</w:t>
      </w:r>
      <w:r w:rsidR="00001541">
        <w:rPr>
          <w:bCs/>
        </w:rPr>
        <w:t xml:space="preserve"> 2019.</w:t>
      </w:r>
    </w:p>
    <w:p w14:paraId="689916BD" w14:textId="1342C5AD" w:rsidR="00113812" w:rsidRPr="007E2FEA" w:rsidRDefault="00AC5E05" w:rsidP="00AC5E05">
      <w:pPr>
        <w:pStyle w:val="1"/>
        <w:numPr>
          <w:ilvl w:val="0"/>
          <w:numId w:val="0"/>
        </w:numPr>
        <w:tabs>
          <w:tab w:val="left" w:pos="567"/>
        </w:tabs>
        <w:ind w:left="567" w:hanging="567"/>
        <w:rPr>
          <w:b/>
        </w:rPr>
      </w:pPr>
      <w:r w:rsidRPr="007E2FEA">
        <w:rPr>
          <w:rFonts w:cs="Arial"/>
          <w:sz w:val="22"/>
        </w:rPr>
        <w:t>[16]</w:t>
      </w:r>
      <w:r w:rsidRPr="007E2FEA">
        <w:rPr>
          <w:rFonts w:cs="Arial"/>
          <w:sz w:val="22"/>
        </w:rPr>
        <w:tab/>
      </w:r>
      <w:r w:rsidR="00530827">
        <w:rPr>
          <w:bCs/>
        </w:rPr>
        <w:t>At a practical level</w:t>
      </w:r>
      <w:r w:rsidR="006C4904">
        <w:rPr>
          <w:bCs/>
        </w:rPr>
        <w:t>,</w:t>
      </w:r>
      <w:r w:rsidR="00530827">
        <w:rPr>
          <w:bCs/>
        </w:rPr>
        <w:t xml:space="preserve"> the way the contract worked was that the Spill Tech would receive a call from the Transnet </w:t>
      </w:r>
      <w:r w:rsidR="00C01FFC">
        <w:rPr>
          <w:bCs/>
        </w:rPr>
        <w:t>master control centre</w:t>
      </w:r>
      <w:r w:rsidR="002B7929" w:rsidRPr="002B7929">
        <w:rPr>
          <w:bCs/>
        </w:rPr>
        <w:t xml:space="preserve"> to inform </w:t>
      </w:r>
      <w:r w:rsidR="002B7929">
        <w:rPr>
          <w:bCs/>
        </w:rPr>
        <w:t>them</w:t>
      </w:r>
      <w:r w:rsidR="002B7929" w:rsidRPr="002B7929">
        <w:rPr>
          <w:bCs/>
        </w:rPr>
        <w:t xml:space="preserve"> that there had been a spill that </w:t>
      </w:r>
      <w:r w:rsidR="002B7929">
        <w:rPr>
          <w:bCs/>
        </w:rPr>
        <w:t>needed attention. Transnet</w:t>
      </w:r>
      <w:r w:rsidR="002B7929" w:rsidRPr="002B7929">
        <w:rPr>
          <w:bCs/>
        </w:rPr>
        <w:t xml:space="preserve"> would provide </w:t>
      </w:r>
      <w:r w:rsidR="002B7929">
        <w:rPr>
          <w:bCs/>
        </w:rPr>
        <w:t xml:space="preserve">Spill Tech </w:t>
      </w:r>
      <w:r w:rsidR="002B7929" w:rsidRPr="002B7929">
        <w:rPr>
          <w:bCs/>
        </w:rPr>
        <w:t>with as much information as they had regarding the location of the spill</w:t>
      </w:r>
      <w:r w:rsidR="002B7929">
        <w:rPr>
          <w:bCs/>
        </w:rPr>
        <w:t xml:space="preserve"> such as </w:t>
      </w:r>
      <w:r w:rsidR="002B7929" w:rsidRPr="002B7929">
        <w:rPr>
          <w:bCs/>
        </w:rPr>
        <w:t>GPS coordinates</w:t>
      </w:r>
      <w:r w:rsidR="002B7929">
        <w:rPr>
          <w:bCs/>
        </w:rPr>
        <w:t xml:space="preserve"> or</w:t>
      </w:r>
      <w:r w:rsidR="002B7929" w:rsidRPr="002B7929">
        <w:rPr>
          <w:bCs/>
        </w:rPr>
        <w:t xml:space="preserve"> a physical address or farm name or the like. </w:t>
      </w:r>
      <w:r w:rsidR="002B7929">
        <w:rPr>
          <w:bCs/>
        </w:rPr>
        <w:t>Transnet would also</w:t>
      </w:r>
      <w:r w:rsidR="002B7929" w:rsidRPr="002B7929">
        <w:rPr>
          <w:bCs/>
        </w:rPr>
        <w:t xml:space="preserve"> </w:t>
      </w:r>
      <w:r w:rsidR="002B7929">
        <w:rPr>
          <w:bCs/>
        </w:rPr>
        <w:lastRenderedPageBreak/>
        <w:t xml:space="preserve">provide information on </w:t>
      </w:r>
      <w:r w:rsidR="002B7929" w:rsidRPr="002B7929">
        <w:rPr>
          <w:bCs/>
        </w:rPr>
        <w:t>what type of product was involved</w:t>
      </w:r>
      <w:r w:rsidR="002B7929">
        <w:rPr>
          <w:bCs/>
        </w:rPr>
        <w:t xml:space="preserve"> </w:t>
      </w:r>
      <w:r w:rsidR="007E2FEA">
        <w:rPr>
          <w:bCs/>
        </w:rPr>
        <w:t>such as</w:t>
      </w:r>
      <w:r w:rsidR="002B7929" w:rsidRPr="002B7929">
        <w:rPr>
          <w:bCs/>
        </w:rPr>
        <w:t xml:space="preserve"> diesel, intermix (a mixture of diesel and petrol)</w:t>
      </w:r>
      <w:r w:rsidR="006C4904">
        <w:rPr>
          <w:bCs/>
        </w:rPr>
        <w:t>,</w:t>
      </w:r>
      <w:r w:rsidR="002B7929" w:rsidRPr="002B7929">
        <w:rPr>
          <w:bCs/>
        </w:rPr>
        <w:t xml:space="preserve"> or </w:t>
      </w:r>
      <w:r w:rsidR="00543954" w:rsidRPr="002B7929">
        <w:rPr>
          <w:bCs/>
        </w:rPr>
        <w:t>Avt</w:t>
      </w:r>
      <w:r w:rsidR="00543954">
        <w:rPr>
          <w:bCs/>
        </w:rPr>
        <w:t>u</w:t>
      </w:r>
      <w:r w:rsidR="00543954" w:rsidRPr="002B7929">
        <w:rPr>
          <w:bCs/>
        </w:rPr>
        <w:t>r</w:t>
      </w:r>
      <w:r w:rsidR="002B7929" w:rsidRPr="002B7929">
        <w:rPr>
          <w:bCs/>
        </w:rPr>
        <w:t xml:space="preserve"> (jet fuel). The Spill Tech operational team would then deploy to</w:t>
      </w:r>
      <w:r w:rsidR="006C4904">
        <w:rPr>
          <w:bCs/>
        </w:rPr>
        <w:t xml:space="preserve"> the</w:t>
      </w:r>
      <w:r w:rsidR="002B7929" w:rsidRPr="002B7929">
        <w:rPr>
          <w:bCs/>
        </w:rPr>
        <w:t xml:space="preserve"> site. The initial focus was on containment to contain the spill. Thereafter the Transnet Service Manager would attend on site with a geohydrologist and make an assessment as to what remediation measures were required for that site and </w:t>
      </w:r>
      <w:r w:rsidR="007E2FEA">
        <w:rPr>
          <w:bCs/>
        </w:rPr>
        <w:t xml:space="preserve">Spill Tech </w:t>
      </w:r>
      <w:r w:rsidR="002B7929" w:rsidRPr="002B7929">
        <w:rPr>
          <w:bCs/>
        </w:rPr>
        <w:t>would be instructed to proceed with remediation accordingly.</w:t>
      </w:r>
      <w:r w:rsidR="00C01FFC">
        <w:rPr>
          <w:bCs/>
        </w:rPr>
        <w:t xml:space="preserve"> </w:t>
      </w:r>
      <w:r w:rsidR="008231AC">
        <w:rPr>
          <w:bCs/>
        </w:rPr>
        <w:t xml:space="preserve">The remediation process </w:t>
      </w:r>
      <w:r w:rsidR="00552D99">
        <w:rPr>
          <w:bCs/>
        </w:rPr>
        <w:t xml:space="preserve">in major spills </w:t>
      </w:r>
      <w:r w:rsidR="008231AC">
        <w:rPr>
          <w:bCs/>
        </w:rPr>
        <w:t>is a long one</w:t>
      </w:r>
      <w:r w:rsidR="00FA03C5">
        <w:rPr>
          <w:bCs/>
        </w:rPr>
        <w:t>,</w:t>
      </w:r>
      <w:r w:rsidR="008231AC">
        <w:rPr>
          <w:bCs/>
        </w:rPr>
        <w:t xml:space="preserve"> could </w:t>
      </w:r>
      <w:r w:rsidR="00552D99">
        <w:rPr>
          <w:bCs/>
        </w:rPr>
        <w:t xml:space="preserve">extend over </w:t>
      </w:r>
      <w:r w:rsidR="005C1EE3">
        <w:rPr>
          <w:bCs/>
        </w:rPr>
        <w:t>several</w:t>
      </w:r>
      <w:r w:rsidR="00552D99">
        <w:rPr>
          <w:bCs/>
        </w:rPr>
        <w:t xml:space="preserve"> years</w:t>
      </w:r>
      <w:r w:rsidR="006C4904">
        <w:rPr>
          <w:bCs/>
        </w:rPr>
        <w:t>,</w:t>
      </w:r>
      <w:r w:rsidR="00552D99">
        <w:rPr>
          <w:bCs/>
        </w:rPr>
        <w:t xml:space="preserve"> </w:t>
      </w:r>
      <w:r w:rsidR="007E5168">
        <w:rPr>
          <w:bCs/>
        </w:rPr>
        <w:t xml:space="preserve">and </w:t>
      </w:r>
      <w:r w:rsidR="00942069">
        <w:rPr>
          <w:bCs/>
        </w:rPr>
        <w:t xml:space="preserve">could include </w:t>
      </w:r>
      <w:r w:rsidR="007E5168">
        <w:rPr>
          <w:bCs/>
        </w:rPr>
        <w:t>bioremediation.</w:t>
      </w:r>
      <w:r w:rsidR="0081665F" w:rsidRPr="0081665F">
        <w:rPr>
          <w:rStyle w:val="FootnoteReference"/>
          <w:bCs/>
        </w:rPr>
        <w:t xml:space="preserve"> </w:t>
      </w:r>
      <w:r w:rsidR="0081665F">
        <w:rPr>
          <w:rStyle w:val="FootnoteReference"/>
          <w:bCs/>
        </w:rPr>
        <w:footnoteReference w:id="5"/>
      </w:r>
    </w:p>
    <w:p w14:paraId="478C812F" w14:textId="53FFB154" w:rsidR="007E2FEA" w:rsidRPr="00E023E2" w:rsidRDefault="00AC5E05" w:rsidP="00AC5E05">
      <w:pPr>
        <w:pStyle w:val="1"/>
        <w:numPr>
          <w:ilvl w:val="0"/>
          <w:numId w:val="0"/>
        </w:numPr>
        <w:tabs>
          <w:tab w:val="left" w:pos="567"/>
        </w:tabs>
        <w:ind w:left="567" w:hanging="567"/>
        <w:rPr>
          <w:b/>
        </w:rPr>
      </w:pPr>
      <w:r w:rsidRPr="00E023E2">
        <w:rPr>
          <w:rFonts w:cs="Arial"/>
          <w:sz w:val="22"/>
        </w:rPr>
        <w:t>[17]</w:t>
      </w:r>
      <w:r w:rsidRPr="00E023E2">
        <w:rPr>
          <w:rFonts w:cs="Arial"/>
          <w:sz w:val="22"/>
        </w:rPr>
        <w:tab/>
      </w:r>
      <w:r w:rsidR="00606248">
        <w:rPr>
          <w:bCs/>
        </w:rPr>
        <w:t xml:space="preserve">The </w:t>
      </w:r>
      <w:r w:rsidR="00BC32D3">
        <w:rPr>
          <w:bCs/>
        </w:rPr>
        <w:t>i</w:t>
      </w:r>
      <w:r w:rsidR="00913B29">
        <w:rPr>
          <w:bCs/>
        </w:rPr>
        <w:t xml:space="preserve">ssue </w:t>
      </w:r>
      <w:r w:rsidR="00606248">
        <w:rPr>
          <w:bCs/>
        </w:rPr>
        <w:t>of</w:t>
      </w:r>
      <w:r w:rsidR="00913B29">
        <w:rPr>
          <w:bCs/>
        </w:rPr>
        <w:t xml:space="preserve"> whether a spill was</w:t>
      </w:r>
      <w:r w:rsidR="00BC32D3">
        <w:rPr>
          <w:bCs/>
        </w:rPr>
        <w:t xml:space="preserve"> a</w:t>
      </w:r>
      <w:r w:rsidR="00606248">
        <w:rPr>
          <w:bCs/>
        </w:rPr>
        <w:t xml:space="preserve"> major or minor </w:t>
      </w:r>
      <w:r w:rsidR="00BC32D3">
        <w:rPr>
          <w:bCs/>
        </w:rPr>
        <w:t xml:space="preserve">was managed in the following manner: </w:t>
      </w:r>
      <w:r w:rsidR="00606248">
        <w:rPr>
          <w:bCs/>
        </w:rPr>
        <w:t>when Spill Tech attended to a sit</w:t>
      </w:r>
      <w:r w:rsidR="00C627F2">
        <w:rPr>
          <w:bCs/>
        </w:rPr>
        <w:t>e,</w:t>
      </w:r>
      <w:r w:rsidR="00606248">
        <w:rPr>
          <w:bCs/>
        </w:rPr>
        <w:t xml:space="preserve"> and it emerged that the spill was a minor one it was asked</w:t>
      </w:r>
      <w:r w:rsidR="006C4904">
        <w:rPr>
          <w:bCs/>
        </w:rPr>
        <w:t xml:space="preserve"> to</w:t>
      </w:r>
      <w:r w:rsidR="00606248">
        <w:rPr>
          <w:bCs/>
        </w:rPr>
        <w:t xml:space="preserve"> </w:t>
      </w:r>
      <w:r w:rsidR="00751D08">
        <w:rPr>
          <w:bCs/>
        </w:rPr>
        <w:t>hand over the site to Drizit</w:t>
      </w:r>
      <w:r w:rsidR="00C627F2">
        <w:rPr>
          <w:bCs/>
        </w:rPr>
        <w:t xml:space="preserve">.  The process also worked in reverse, where if Drizit was </w:t>
      </w:r>
      <w:r w:rsidR="00AA5277">
        <w:rPr>
          <w:bCs/>
        </w:rPr>
        <w:t xml:space="preserve">on site and it emerged that the spill was a major one, they would be asked to hand over to Spill Tech. </w:t>
      </w:r>
      <w:r w:rsidR="00751D08">
        <w:rPr>
          <w:bCs/>
        </w:rPr>
        <w:t xml:space="preserve"> Over approximately 20 months of the 36</w:t>
      </w:r>
      <w:r w:rsidR="006C4904">
        <w:rPr>
          <w:bCs/>
        </w:rPr>
        <w:t>-</w:t>
      </w:r>
      <w:r w:rsidR="00751D08">
        <w:rPr>
          <w:bCs/>
        </w:rPr>
        <w:t>month contract</w:t>
      </w:r>
      <w:r w:rsidR="00591772">
        <w:rPr>
          <w:bCs/>
        </w:rPr>
        <w:t>, Spill Tech experienced no issues in relation to major spills b</w:t>
      </w:r>
      <w:r w:rsidR="00443F79">
        <w:rPr>
          <w:bCs/>
        </w:rPr>
        <w:t>eing incorrectly awarded to Drizit.</w:t>
      </w:r>
      <w:r w:rsidR="0081665F">
        <w:rPr>
          <w:rStyle w:val="FootnoteReference"/>
          <w:bCs/>
        </w:rPr>
        <w:footnoteReference w:id="6"/>
      </w:r>
    </w:p>
    <w:p w14:paraId="03F442D3" w14:textId="48573100" w:rsidR="00A67816" w:rsidRPr="00A67816" w:rsidRDefault="00AC5E05" w:rsidP="00AC5E05">
      <w:pPr>
        <w:pStyle w:val="1"/>
        <w:numPr>
          <w:ilvl w:val="0"/>
          <w:numId w:val="0"/>
        </w:numPr>
        <w:tabs>
          <w:tab w:val="left" w:pos="567"/>
        </w:tabs>
        <w:ind w:left="567" w:hanging="567"/>
        <w:rPr>
          <w:b/>
        </w:rPr>
      </w:pPr>
      <w:r w:rsidRPr="00A67816">
        <w:rPr>
          <w:rFonts w:cs="Arial"/>
          <w:sz w:val="22"/>
        </w:rPr>
        <w:t>[18]</w:t>
      </w:r>
      <w:r w:rsidRPr="00A67816">
        <w:rPr>
          <w:rFonts w:cs="Arial"/>
          <w:sz w:val="22"/>
        </w:rPr>
        <w:tab/>
      </w:r>
      <w:r w:rsidR="006C4904">
        <w:rPr>
          <w:bCs/>
        </w:rPr>
        <w:t>In</w:t>
      </w:r>
      <w:r w:rsidR="00E023E2">
        <w:rPr>
          <w:bCs/>
        </w:rPr>
        <w:t xml:space="preserve"> </w:t>
      </w:r>
      <w:r w:rsidR="000F3A88">
        <w:rPr>
          <w:bCs/>
        </w:rPr>
        <w:t>September 2019</w:t>
      </w:r>
      <w:r w:rsidR="006C4904">
        <w:rPr>
          <w:bCs/>
        </w:rPr>
        <w:t>,</w:t>
      </w:r>
      <w:r w:rsidR="000F3A88">
        <w:rPr>
          <w:bCs/>
        </w:rPr>
        <w:t xml:space="preserve"> Tim Liversage </w:t>
      </w:r>
      <w:r w:rsidR="00323D0E">
        <w:rPr>
          <w:bCs/>
        </w:rPr>
        <w:t xml:space="preserve">alerted Spill Tech to the fact that Transnet’s budget </w:t>
      </w:r>
      <w:r w:rsidR="00705BDE">
        <w:rPr>
          <w:bCs/>
        </w:rPr>
        <w:t>for the Spill Tech Gauteng contract was running low.</w:t>
      </w:r>
      <w:r w:rsidR="000B771D">
        <w:rPr>
          <w:rStyle w:val="FootnoteReference"/>
          <w:bCs/>
        </w:rPr>
        <w:footnoteReference w:id="7"/>
      </w:r>
      <w:r w:rsidR="00705BDE">
        <w:rPr>
          <w:bCs/>
        </w:rPr>
        <w:t xml:space="preserve">  A meeting was convened </w:t>
      </w:r>
      <w:r w:rsidR="00C75E6C">
        <w:rPr>
          <w:bCs/>
        </w:rPr>
        <w:t>at</w:t>
      </w:r>
      <w:r w:rsidR="00162D60">
        <w:rPr>
          <w:bCs/>
        </w:rPr>
        <w:t xml:space="preserve"> which it appears </w:t>
      </w:r>
      <w:r w:rsidR="006B35A5">
        <w:rPr>
          <w:bCs/>
        </w:rPr>
        <w:t>Transnet</w:t>
      </w:r>
      <w:r w:rsidR="00A67816">
        <w:rPr>
          <w:bCs/>
        </w:rPr>
        <w:t xml:space="preserve"> requested Spill Tech to do the work in</w:t>
      </w:r>
      <w:r w:rsidR="006C4904">
        <w:rPr>
          <w:bCs/>
        </w:rPr>
        <w:t xml:space="preserve"> a</w:t>
      </w:r>
      <w:r w:rsidR="00A67816">
        <w:rPr>
          <w:bCs/>
        </w:rPr>
        <w:t xml:space="preserve"> less costly manner.</w:t>
      </w:r>
      <w:r w:rsidR="006B35A5">
        <w:rPr>
          <w:bCs/>
        </w:rPr>
        <w:t xml:space="preserve"> </w:t>
      </w:r>
      <w:r w:rsidR="00C75E6C">
        <w:rPr>
          <w:bCs/>
        </w:rPr>
        <w:t xml:space="preserve">  No resolution was reached </w:t>
      </w:r>
      <w:r w:rsidR="00A67816">
        <w:rPr>
          <w:bCs/>
        </w:rPr>
        <w:t>at this meeting.</w:t>
      </w:r>
    </w:p>
    <w:p w14:paraId="0A77E1D8" w14:textId="1F3827AF" w:rsidR="00E023E2" w:rsidRPr="00F11456" w:rsidRDefault="00AC5E05" w:rsidP="00AC5E05">
      <w:pPr>
        <w:pStyle w:val="1"/>
        <w:numPr>
          <w:ilvl w:val="0"/>
          <w:numId w:val="0"/>
        </w:numPr>
        <w:tabs>
          <w:tab w:val="left" w:pos="567"/>
        </w:tabs>
        <w:ind w:left="567" w:hanging="567"/>
        <w:rPr>
          <w:b/>
        </w:rPr>
      </w:pPr>
      <w:r w:rsidRPr="00F11456">
        <w:rPr>
          <w:rFonts w:cs="Arial"/>
          <w:sz w:val="22"/>
        </w:rPr>
        <w:lastRenderedPageBreak/>
        <w:t>[19]</w:t>
      </w:r>
      <w:r w:rsidRPr="00F11456">
        <w:rPr>
          <w:rFonts w:cs="Arial"/>
          <w:sz w:val="22"/>
        </w:rPr>
        <w:tab/>
      </w:r>
      <w:r w:rsidR="006C4904">
        <w:rPr>
          <w:bCs/>
        </w:rPr>
        <w:t>In</w:t>
      </w:r>
      <w:r w:rsidR="00A67816">
        <w:rPr>
          <w:bCs/>
        </w:rPr>
        <w:t xml:space="preserve"> January 2020, S</w:t>
      </w:r>
      <w:r w:rsidR="00E023E2">
        <w:rPr>
          <w:bCs/>
        </w:rPr>
        <w:t xml:space="preserve">pill Tech became aware of the fact that Drizit was </w:t>
      </w:r>
      <w:r w:rsidR="00823D64">
        <w:rPr>
          <w:bCs/>
        </w:rPr>
        <w:t xml:space="preserve">doing </w:t>
      </w:r>
      <w:r w:rsidR="00172644">
        <w:rPr>
          <w:bCs/>
        </w:rPr>
        <w:t>work on</w:t>
      </w:r>
      <w:r w:rsidR="00823D64">
        <w:rPr>
          <w:bCs/>
        </w:rPr>
        <w:t xml:space="preserve"> major spill</w:t>
      </w:r>
      <w:r w:rsidR="00172644">
        <w:rPr>
          <w:bCs/>
        </w:rPr>
        <w:t xml:space="preserve">s.  Spill Tech attempted to </w:t>
      </w:r>
      <w:r w:rsidR="00973F57">
        <w:rPr>
          <w:bCs/>
        </w:rPr>
        <w:t>resolve</w:t>
      </w:r>
      <w:r w:rsidR="00172644">
        <w:rPr>
          <w:bCs/>
        </w:rPr>
        <w:t xml:space="preserve"> these with </w:t>
      </w:r>
      <w:r w:rsidR="00677511">
        <w:rPr>
          <w:bCs/>
        </w:rPr>
        <w:t>Transnet</w:t>
      </w:r>
      <w:r w:rsidR="00172644">
        <w:rPr>
          <w:bCs/>
        </w:rPr>
        <w:t xml:space="preserve"> to no avail.</w:t>
      </w:r>
      <w:r w:rsidR="00D84F24">
        <w:rPr>
          <w:rStyle w:val="FootnoteReference"/>
          <w:bCs/>
        </w:rPr>
        <w:footnoteReference w:id="8"/>
      </w:r>
      <w:r w:rsidR="00172644">
        <w:rPr>
          <w:bCs/>
        </w:rPr>
        <w:t xml:space="preserve">  </w:t>
      </w:r>
    </w:p>
    <w:p w14:paraId="77A107C8" w14:textId="35051660" w:rsidR="006209F7" w:rsidRDefault="00AC5E05" w:rsidP="00AC5E05">
      <w:pPr>
        <w:pStyle w:val="1"/>
        <w:numPr>
          <w:ilvl w:val="0"/>
          <w:numId w:val="0"/>
        </w:numPr>
        <w:tabs>
          <w:tab w:val="left" w:pos="567"/>
        </w:tabs>
        <w:ind w:left="567" w:hanging="567"/>
      </w:pPr>
      <w:r>
        <w:rPr>
          <w:rFonts w:cs="Arial"/>
          <w:sz w:val="22"/>
        </w:rPr>
        <w:t>[20]</w:t>
      </w:r>
      <w:r>
        <w:rPr>
          <w:rFonts w:cs="Arial"/>
          <w:sz w:val="22"/>
        </w:rPr>
        <w:tab/>
      </w:r>
      <w:r w:rsidR="006209F7">
        <w:t>Transnet’s</w:t>
      </w:r>
      <w:r w:rsidR="006209F7">
        <w:rPr>
          <w:spacing w:val="1"/>
        </w:rPr>
        <w:t xml:space="preserve"> </w:t>
      </w:r>
      <w:r w:rsidR="006209F7">
        <w:t>allocation</w:t>
      </w:r>
      <w:r w:rsidR="006209F7">
        <w:rPr>
          <w:spacing w:val="1"/>
        </w:rPr>
        <w:t xml:space="preserve"> </w:t>
      </w:r>
      <w:r w:rsidR="006209F7">
        <w:t>of</w:t>
      </w:r>
      <w:r w:rsidR="006209F7">
        <w:rPr>
          <w:spacing w:val="1"/>
        </w:rPr>
        <w:t xml:space="preserve"> </w:t>
      </w:r>
      <w:r w:rsidR="006209F7">
        <w:t>13</w:t>
      </w:r>
      <w:r w:rsidR="006209F7">
        <w:rPr>
          <w:spacing w:val="1"/>
        </w:rPr>
        <w:t xml:space="preserve"> </w:t>
      </w:r>
      <w:r w:rsidR="006209F7">
        <w:t>spills to</w:t>
      </w:r>
      <w:r w:rsidR="006209F7">
        <w:rPr>
          <w:spacing w:val="1"/>
        </w:rPr>
        <w:t xml:space="preserve"> </w:t>
      </w:r>
      <w:r w:rsidR="006209F7">
        <w:t>Drizit</w:t>
      </w:r>
      <w:r w:rsidR="00C05AB7">
        <w:t xml:space="preserve"> </w:t>
      </w:r>
      <w:r w:rsidR="006209F7">
        <w:t>gave</w:t>
      </w:r>
      <w:r w:rsidR="006209F7">
        <w:rPr>
          <w:spacing w:val="-3"/>
        </w:rPr>
        <w:t xml:space="preserve"> </w:t>
      </w:r>
      <w:r w:rsidR="006209F7">
        <w:t>rise</w:t>
      </w:r>
      <w:r w:rsidR="006209F7">
        <w:rPr>
          <w:spacing w:val="-3"/>
        </w:rPr>
        <w:t xml:space="preserve"> </w:t>
      </w:r>
      <w:r w:rsidR="006209F7">
        <w:t>to</w:t>
      </w:r>
      <w:r w:rsidR="00DB15F5">
        <w:t xml:space="preserve"> the</w:t>
      </w:r>
      <w:r w:rsidR="002D4EC4">
        <w:t xml:space="preserve"> dispute between the parties</w:t>
      </w:r>
      <w:r w:rsidR="006209F7">
        <w:t>.</w:t>
      </w:r>
      <w:r w:rsidR="008E0632">
        <w:t xml:space="preserve"> </w:t>
      </w:r>
    </w:p>
    <w:p w14:paraId="36F2CDE4" w14:textId="5B7BBCC1" w:rsidR="00502A5C" w:rsidRDefault="00AC5E05" w:rsidP="00AC5E05">
      <w:pPr>
        <w:pStyle w:val="1"/>
        <w:numPr>
          <w:ilvl w:val="0"/>
          <w:numId w:val="0"/>
        </w:numPr>
        <w:tabs>
          <w:tab w:val="left" w:pos="567"/>
        </w:tabs>
        <w:ind w:left="567" w:hanging="567"/>
      </w:pPr>
      <w:r>
        <w:rPr>
          <w:rFonts w:cs="Arial"/>
          <w:sz w:val="22"/>
        </w:rPr>
        <w:t>[21]</w:t>
      </w:r>
      <w:r>
        <w:rPr>
          <w:rFonts w:cs="Arial"/>
          <w:sz w:val="22"/>
        </w:rPr>
        <w:tab/>
      </w:r>
      <w:r w:rsidR="002D4EC4">
        <w:t xml:space="preserve">Spill Tech referred the dispute to adjudication in terms of the </w:t>
      </w:r>
      <w:r w:rsidR="00D92B6E">
        <w:t>Contracts</w:t>
      </w:r>
      <w:r w:rsidR="002D4EC4">
        <w:t xml:space="preserve">.  </w:t>
      </w:r>
      <w:r w:rsidR="008E0632">
        <w:t xml:space="preserve">On its interpretation of the </w:t>
      </w:r>
      <w:r w:rsidR="003C3C19">
        <w:t xml:space="preserve">“as and when” provisions of the </w:t>
      </w:r>
      <w:r w:rsidR="008E0632">
        <w:t xml:space="preserve">contract Transnet was obliged to award it all major spills </w:t>
      </w:r>
      <w:r w:rsidR="00FB4B20">
        <w:t>as and when they occurred and not to any</w:t>
      </w:r>
      <w:r w:rsidR="002F24D3">
        <w:t xml:space="preserve"> other service providers</w:t>
      </w:r>
      <w:r w:rsidR="00FB4B20">
        <w:t xml:space="preserve">.  </w:t>
      </w:r>
      <w:r w:rsidR="008C4EF2">
        <w:t xml:space="preserve">In the event that it had allocated major spills to other service providers Transnet was obliged to terminate them and allocate the work to Spill Tech. </w:t>
      </w:r>
      <w:r w:rsidR="002F24D3">
        <w:t>Spill Tech claimed that Transnet had breached the contract and claimed for loss of profits as a result</w:t>
      </w:r>
      <w:r w:rsidR="009C481E">
        <w:t xml:space="preserve"> </w:t>
      </w:r>
      <w:r w:rsidR="002F24D3">
        <w:t xml:space="preserve">of Transnet allocating major spills to Drizit. Transnet </w:t>
      </w:r>
      <w:r w:rsidR="003C3C19">
        <w:t xml:space="preserve">contested this interpretation and argued that it </w:t>
      </w:r>
      <w:r w:rsidR="009C481E">
        <w:t xml:space="preserve">the </w:t>
      </w:r>
      <w:r w:rsidR="003A291A">
        <w:t>“</w:t>
      </w:r>
      <w:r w:rsidR="009C481E">
        <w:t>as and when</w:t>
      </w:r>
      <w:r w:rsidR="003A291A">
        <w:t xml:space="preserve">” </w:t>
      </w:r>
      <w:r w:rsidR="009C481E">
        <w:t xml:space="preserve">provision meant that it </w:t>
      </w:r>
      <w:r w:rsidR="003C3C19">
        <w:t>was not obliged to allocate any work to Spill Tech</w:t>
      </w:r>
      <w:r w:rsidR="002F24D3">
        <w:t xml:space="preserve"> </w:t>
      </w:r>
      <w:r w:rsidR="009C481E">
        <w:t>at all</w:t>
      </w:r>
      <w:r w:rsidR="002F24D3">
        <w:t xml:space="preserve">. </w:t>
      </w:r>
    </w:p>
    <w:p w14:paraId="2825C554" w14:textId="0D4B0FDA" w:rsidR="009C481E" w:rsidRPr="00993EA8" w:rsidRDefault="009C481E" w:rsidP="009C481E">
      <w:pPr>
        <w:pStyle w:val="1"/>
        <w:numPr>
          <w:ilvl w:val="0"/>
          <w:numId w:val="0"/>
        </w:numPr>
        <w:ind w:left="567"/>
        <w:rPr>
          <w:b/>
          <w:bCs/>
        </w:rPr>
      </w:pPr>
      <w:r w:rsidRPr="00993EA8">
        <w:rPr>
          <w:b/>
          <w:bCs/>
        </w:rPr>
        <w:t>Proceedings before the Adjudicator</w:t>
      </w:r>
    </w:p>
    <w:p w14:paraId="5A74B2F6" w14:textId="453348C6" w:rsidR="009A4461" w:rsidRDefault="00AC5E05" w:rsidP="00AC5E05">
      <w:pPr>
        <w:pStyle w:val="1"/>
        <w:numPr>
          <w:ilvl w:val="0"/>
          <w:numId w:val="0"/>
        </w:numPr>
        <w:tabs>
          <w:tab w:val="left" w:pos="567"/>
        </w:tabs>
        <w:ind w:left="567" w:hanging="567"/>
      </w:pPr>
      <w:r>
        <w:rPr>
          <w:rFonts w:cs="Arial"/>
          <w:sz w:val="22"/>
        </w:rPr>
        <w:t>[22]</w:t>
      </w:r>
      <w:r>
        <w:rPr>
          <w:rFonts w:cs="Arial"/>
          <w:sz w:val="22"/>
        </w:rPr>
        <w:tab/>
      </w:r>
      <w:r w:rsidR="00E22A90">
        <w:t>The Adjudicator handed down his decision on 11 August 2021 dismissing Spill</w:t>
      </w:r>
      <w:r w:rsidR="00E22A90">
        <w:rPr>
          <w:spacing w:val="1"/>
        </w:rPr>
        <w:t xml:space="preserve"> </w:t>
      </w:r>
      <w:r w:rsidR="00E22A90">
        <w:t>Tech’s</w:t>
      </w:r>
      <w:r w:rsidR="00E22A90">
        <w:rPr>
          <w:spacing w:val="-1"/>
        </w:rPr>
        <w:t xml:space="preserve"> </w:t>
      </w:r>
      <w:r w:rsidR="00E22A90">
        <w:t>claims</w:t>
      </w:r>
      <w:r w:rsidR="00746EE0">
        <w:t>.</w:t>
      </w:r>
      <w:r w:rsidR="00746EE0">
        <w:rPr>
          <w:rStyle w:val="FootnoteReference"/>
        </w:rPr>
        <w:footnoteReference w:id="9"/>
      </w:r>
      <w:r w:rsidR="00746EE0">
        <w:t xml:space="preserve"> </w:t>
      </w:r>
      <w:r w:rsidR="009A4461">
        <w:t xml:space="preserve">In his decision he favours Transnet’s interpretation of the Contracts. </w:t>
      </w:r>
    </w:p>
    <w:p w14:paraId="20FA4242" w14:textId="733B4E2F" w:rsidR="007C395E" w:rsidRDefault="00AC5E05" w:rsidP="00AC5E05">
      <w:pPr>
        <w:pStyle w:val="1"/>
        <w:numPr>
          <w:ilvl w:val="0"/>
          <w:numId w:val="0"/>
        </w:numPr>
        <w:tabs>
          <w:tab w:val="left" w:pos="567"/>
        </w:tabs>
        <w:ind w:left="567" w:hanging="567"/>
      </w:pPr>
      <w:r>
        <w:rPr>
          <w:rFonts w:cs="Arial"/>
          <w:sz w:val="22"/>
        </w:rPr>
        <w:t>[23]</w:t>
      </w:r>
      <w:r>
        <w:rPr>
          <w:rFonts w:cs="Arial"/>
          <w:sz w:val="22"/>
        </w:rPr>
        <w:tab/>
      </w:r>
      <w:r w:rsidR="009A4461">
        <w:t xml:space="preserve">It is notable that </w:t>
      </w:r>
      <w:r w:rsidR="00E45428">
        <w:t>he</w:t>
      </w:r>
      <w:r w:rsidR="004301B9">
        <w:t xml:space="preserve"> makes only one finding namely that </w:t>
      </w:r>
      <w:r w:rsidR="00362D2C">
        <w:t xml:space="preserve">there was no contractual </w:t>
      </w:r>
      <w:r w:rsidR="00362D2C">
        <w:lastRenderedPageBreak/>
        <w:t xml:space="preserve">obligation on Transnet </w:t>
      </w:r>
      <w:r w:rsidR="00A92920">
        <w:t>to allocate any particular spill to Spill Tech.</w:t>
      </w:r>
      <w:r w:rsidR="006769BA">
        <w:rPr>
          <w:rStyle w:val="FootnoteReference"/>
        </w:rPr>
        <w:footnoteReference w:id="10"/>
      </w:r>
      <w:r w:rsidR="00A92920">
        <w:t xml:space="preserve"> </w:t>
      </w:r>
      <w:r w:rsidR="007E6298">
        <w:t xml:space="preserve">There was also not obligation upon Transnet to reallocate a site to Spill Tech in cases where it was later established </w:t>
      </w:r>
      <w:r w:rsidR="007C395E">
        <w:t xml:space="preserve">that a spill did indeed exceed 50 000litres.  In his view Spill Tech had failed on the first hurdle and </w:t>
      </w:r>
      <w:r w:rsidR="00C41D75">
        <w:t>the other disputes over the claims were therefore academic</w:t>
      </w:r>
      <w:r w:rsidR="00F85A99">
        <w:t xml:space="preserve"> and there was no need for him to address them</w:t>
      </w:r>
      <w:r w:rsidR="00C41D75">
        <w:t>.</w:t>
      </w:r>
      <w:r w:rsidR="00F85A99">
        <w:rPr>
          <w:rStyle w:val="FootnoteReference"/>
        </w:rPr>
        <w:footnoteReference w:id="11"/>
      </w:r>
    </w:p>
    <w:p w14:paraId="3A9D3810" w14:textId="2A6802AC" w:rsidR="00B64F4D" w:rsidRDefault="00AC5E05" w:rsidP="00AC5E05">
      <w:pPr>
        <w:pStyle w:val="1"/>
        <w:numPr>
          <w:ilvl w:val="0"/>
          <w:numId w:val="0"/>
        </w:numPr>
        <w:tabs>
          <w:tab w:val="left" w:pos="567"/>
        </w:tabs>
        <w:ind w:left="567" w:hanging="567"/>
      </w:pPr>
      <w:r>
        <w:rPr>
          <w:rFonts w:cs="Arial"/>
          <w:sz w:val="22"/>
        </w:rPr>
        <w:t>[24]</w:t>
      </w:r>
      <w:r>
        <w:rPr>
          <w:rFonts w:cs="Arial"/>
          <w:sz w:val="22"/>
        </w:rPr>
        <w:tab/>
      </w:r>
      <w:r w:rsidR="00297582">
        <w:t xml:space="preserve"> In his decision the adjudicator </w:t>
      </w:r>
      <w:r w:rsidR="0008561B">
        <w:t xml:space="preserve">notes that </w:t>
      </w:r>
      <w:r w:rsidR="000071A6">
        <w:t xml:space="preserve">he had limited information placed before him as to the background context of the Contracts. He also noted that </w:t>
      </w:r>
      <w:r w:rsidR="0008561B">
        <w:t>Spill Tech had pleaded an alternative c</w:t>
      </w:r>
      <w:r w:rsidR="00FC7D01">
        <w:t xml:space="preserve">ase namely that </w:t>
      </w:r>
      <w:r w:rsidR="003E1124">
        <w:t>the terms of the contract meant that if a spill is allocated to Drizit</w:t>
      </w:r>
      <w:r w:rsidR="00076B2C">
        <w:t xml:space="preserve"> (or anyone else for that matter) and it subsequently </w:t>
      </w:r>
      <w:r w:rsidR="00D33731">
        <w:t>turns out that the spill was more than 50 000 litres, Transnet was obliged to ha</w:t>
      </w:r>
      <w:r w:rsidR="00266FC2">
        <w:t>nd over the site to Spill Tech.</w:t>
      </w:r>
      <w:r w:rsidR="00046E74">
        <w:rPr>
          <w:rStyle w:val="FootnoteReference"/>
        </w:rPr>
        <w:footnoteReference w:id="12"/>
      </w:r>
      <w:r w:rsidR="00266FC2">
        <w:t xml:space="preserve"> </w:t>
      </w:r>
    </w:p>
    <w:p w14:paraId="4F68DD36" w14:textId="0F041360" w:rsidR="008E25F1" w:rsidRDefault="00AC5E05" w:rsidP="00AC5E05">
      <w:pPr>
        <w:pStyle w:val="1"/>
        <w:numPr>
          <w:ilvl w:val="0"/>
          <w:numId w:val="0"/>
        </w:numPr>
        <w:tabs>
          <w:tab w:val="left" w:pos="567"/>
        </w:tabs>
        <w:ind w:left="567" w:hanging="567"/>
      </w:pPr>
      <w:r>
        <w:rPr>
          <w:rFonts w:cs="Arial"/>
          <w:sz w:val="22"/>
        </w:rPr>
        <w:t>[25]</w:t>
      </w:r>
      <w:r>
        <w:rPr>
          <w:rFonts w:cs="Arial"/>
          <w:sz w:val="22"/>
        </w:rPr>
        <w:tab/>
      </w:r>
      <w:r w:rsidR="003660A2">
        <w:t xml:space="preserve">The Adjudicator </w:t>
      </w:r>
      <w:r w:rsidR="00B64F4D">
        <w:t xml:space="preserve">further </w:t>
      </w:r>
      <w:r w:rsidR="003660A2">
        <w:t xml:space="preserve">notes in his decision </w:t>
      </w:r>
      <w:r w:rsidR="00B64F4D">
        <w:t xml:space="preserve">the attitude that had been adopted by </w:t>
      </w:r>
      <w:r w:rsidR="003660A2">
        <w:t>Transnet</w:t>
      </w:r>
      <w:r w:rsidR="00B64F4D">
        <w:t xml:space="preserve"> to the adjudication. </w:t>
      </w:r>
      <w:r w:rsidR="000071A6">
        <w:t>Transnet had adopted the view that the entire adjudication process including his position as adjudicator was invalid</w:t>
      </w:r>
      <w:r w:rsidR="0095580C">
        <w:t xml:space="preserve">.  </w:t>
      </w:r>
      <w:r w:rsidR="00AD1C91">
        <w:t xml:space="preserve">Its </w:t>
      </w:r>
      <w:r w:rsidR="0095580C">
        <w:t xml:space="preserve">contention was that disputes as might exist were not </w:t>
      </w:r>
      <w:r w:rsidR="00AD1C91">
        <w:t>subject to adjudication under the Contracts and that the claim for loss of profits was incompetent under the Contracts.</w:t>
      </w:r>
      <w:r w:rsidR="00B64F4D">
        <w:t xml:space="preserve"> </w:t>
      </w:r>
      <w:r w:rsidR="003660A2">
        <w:t xml:space="preserve"> </w:t>
      </w:r>
      <w:r w:rsidR="00AD1C91">
        <w:t>I</w:t>
      </w:r>
      <w:r w:rsidR="00816770">
        <w:t xml:space="preserve">ncluded in Transnet’s contentions was a direct challenge to the jurisdiction </w:t>
      </w:r>
      <w:r w:rsidR="00D81F58">
        <w:t xml:space="preserve">of the adjudicator, </w:t>
      </w:r>
      <w:r w:rsidR="00816770">
        <w:t xml:space="preserve">accompanied by a threat </w:t>
      </w:r>
      <w:r w:rsidR="00D81F58">
        <w:t xml:space="preserve">to interdict the process. The adjudicator did not accede to Transnet’s </w:t>
      </w:r>
      <w:r w:rsidR="00C7167B">
        <w:t xml:space="preserve">demand that the process be stopped.  This led to Transnet launching motion proceedings </w:t>
      </w:r>
      <w:r w:rsidR="008E25F1">
        <w:t xml:space="preserve">in this division of </w:t>
      </w:r>
      <w:r w:rsidR="008E25F1">
        <w:lastRenderedPageBreak/>
        <w:t xml:space="preserve">the High Court for purposes of interdicting the process. The </w:t>
      </w:r>
      <w:r w:rsidR="00402466">
        <w:t>matter was to</w:t>
      </w:r>
      <w:r w:rsidR="00E317F0">
        <w:t xml:space="preserve"> be</w:t>
      </w:r>
      <w:r w:rsidR="00402466">
        <w:t xml:space="preserve"> heard on </w:t>
      </w:r>
      <w:r w:rsidR="00E317F0">
        <w:t>1</w:t>
      </w:r>
      <w:r w:rsidR="00281052">
        <w:t>2</w:t>
      </w:r>
      <w:r w:rsidR="00E317F0">
        <w:t xml:space="preserve"> August 2021.</w:t>
      </w:r>
      <w:r w:rsidR="00746EE0">
        <w:rPr>
          <w:rStyle w:val="FootnoteReference"/>
        </w:rPr>
        <w:footnoteReference w:id="13"/>
      </w:r>
      <w:r w:rsidR="00E317F0">
        <w:t xml:space="preserve"> </w:t>
      </w:r>
      <w:r w:rsidR="009A4461">
        <w:t xml:space="preserve"> He proceeded to fulfil his function as adjudicator until a court decided otherwise and handed his decision down on 11 August 2021.</w:t>
      </w:r>
    </w:p>
    <w:p w14:paraId="09BABE6B" w14:textId="4A49DF30" w:rsidR="00E22A90" w:rsidRDefault="00AC5E05" w:rsidP="00AC5E05">
      <w:pPr>
        <w:pStyle w:val="1"/>
        <w:numPr>
          <w:ilvl w:val="0"/>
          <w:numId w:val="0"/>
        </w:numPr>
        <w:tabs>
          <w:tab w:val="left" w:pos="567"/>
        </w:tabs>
        <w:ind w:left="567" w:hanging="567"/>
      </w:pPr>
      <w:r>
        <w:rPr>
          <w:rFonts w:cs="Arial"/>
          <w:sz w:val="22"/>
        </w:rPr>
        <w:t>[26]</w:t>
      </w:r>
      <w:r>
        <w:rPr>
          <w:rFonts w:cs="Arial"/>
          <w:sz w:val="22"/>
        </w:rPr>
        <w:tab/>
      </w:r>
      <w:r w:rsidR="00E22A90">
        <w:t>On 17 August 2021, Spill Tech notified Transnet of its dissatisfaction with the</w:t>
      </w:r>
      <w:r w:rsidR="00E22A90">
        <w:rPr>
          <w:spacing w:val="1"/>
        </w:rPr>
        <w:t xml:space="preserve"> </w:t>
      </w:r>
      <w:r w:rsidR="00E22A90">
        <w:t>Adjudicator’s decision and subsequently filed new statements of claim</w:t>
      </w:r>
      <w:r w:rsidR="00CF3C1E">
        <w:t xml:space="preserve"> (“SOC”) </w:t>
      </w:r>
      <w:r w:rsidR="00E22A90">
        <w:t>referring</w:t>
      </w:r>
      <w:r w:rsidR="00E22A90">
        <w:rPr>
          <w:spacing w:val="1"/>
        </w:rPr>
        <w:t xml:space="preserve"> </w:t>
      </w:r>
      <w:r w:rsidR="00E22A90">
        <w:t>the dispute to arbitration.</w:t>
      </w:r>
    </w:p>
    <w:p w14:paraId="2E653CFF" w14:textId="30FD8EDB" w:rsidR="00F436D9" w:rsidRPr="002C2F78" w:rsidRDefault="00F436D9">
      <w:pPr>
        <w:pStyle w:val="1"/>
        <w:numPr>
          <w:ilvl w:val="0"/>
          <w:numId w:val="0"/>
        </w:numPr>
        <w:rPr>
          <w:b/>
        </w:rPr>
      </w:pPr>
      <w:r w:rsidRPr="002C2F78">
        <w:rPr>
          <w:b/>
        </w:rPr>
        <w:t>Proceedings before the Arbitrator</w:t>
      </w:r>
    </w:p>
    <w:p w14:paraId="18ECB1C0" w14:textId="7AE8A689" w:rsidR="00386001" w:rsidRDefault="00AC5E05" w:rsidP="00AC5E05">
      <w:pPr>
        <w:pStyle w:val="1"/>
        <w:numPr>
          <w:ilvl w:val="0"/>
          <w:numId w:val="0"/>
        </w:numPr>
        <w:tabs>
          <w:tab w:val="left" w:pos="567"/>
        </w:tabs>
        <w:ind w:left="567" w:hanging="567"/>
      </w:pPr>
      <w:r>
        <w:rPr>
          <w:rFonts w:cs="Arial"/>
          <w:sz w:val="22"/>
        </w:rPr>
        <w:t>[27]</w:t>
      </w:r>
      <w:r>
        <w:rPr>
          <w:rFonts w:cs="Arial"/>
          <w:sz w:val="22"/>
        </w:rPr>
        <w:tab/>
      </w:r>
      <w:r w:rsidR="00386001">
        <w:t xml:space="preserve">On </w:t>
      </w:r>
      <w:r w:rsidR="00A9442A">
        <w:t>06 December 2021</w:t>
      </w:r>
      <w:r w:rsidR="00386001">
        <w:t xml:space="preserve"> Spill Tech filed its statements of claims (“SOC”) alleging breach of contract and claiming a total payment of R117 669 610.00 (</w:t>
      </w:r>
      <w:r w:rsidR="00386001" w:rsidRPr="00CA089C">
        <w:t>one hundred and seventeen million, six hundred and sixty</w:t>
      </w:r>
      <w:r w:rsidR="00386001">
        <w:t>-</w:t>
      </w:r>
      <w:r w:rsidR="00386001" w:rsidRPr="00CA089C">
        <w:t xml:space="preserve">nine thousand, and six hundred and ten Rands) for loss of profits, and which claim relates to </w:t>
      </w:r>
      <w:r w:rsidR="00386001">
        <w:t xml:space="preserve">the </w:t>
      </w:r>
      <w:r w:rsidR="00386001" w:rsidRPr="00CA089C">
        <w:t>13 sites</w:t>
      </w:r>
      <w:r w:rsidR="00386001">
        <w:t>.</w:t>
      </w:r>
      <w:r w:rsidR="00386001">
        <w:rPr>
          <w:rStyle w:val="FootnoteReference"/>
        </w:rPr>
        <w:footnoteReference w:id="14"/>
      </w:r>
      <w:r w:rsidR="00386001">
        <w:t xml:space="preserve">  In the STG statement of claim, it claims </w:t>
      </w:r>
      <w:r w:rsidR="00386001" w:rsidRPr="00CA089C">
        <w:t>R115,277,010.00</w:t>
      </w:r>
      <w:r w:rsidR="00386001">
        <w:t xml:space="preserve"> </w:t>
      </w:r>
      <w:r w:rsidR="00386001" w:rsidRPr="00CA089C">
        <w:t>(one hundred and fifteen million and two hundred seventy</w:t>
      </w:r>
      <w:r w:rsidR="00386001">
        <w:t>-</w:t>
      </w:r>
      <w:r w:rsidR="00386001" w:rsidRPr="00CA089C">
        <w:t>seven thousand, six hundred and ten R</w:t>
      </w:r>
      <w:r w:rsidR="00386001">
        <w:t>a</w:t>
      </w:r>
      <w:r w:rsidR="00386001" w:rsidRPr="00CA089C">
        <w:t xml:space="preserve">nds) while in the </w:t>
      </w:r>
      <w:r w:rsidR="00386001">
        <w:t>ST</w:t>
      </w:r>
      <w:r w:rsidR="00386001" w:rsidRPr="00CA089C">
        <w:t xml:space="preserve"> statement of claim it claims payment of R 2 302 000.00 (two million, t</w:t>
      </w:r>
      <w:r w:rsidR="00386001">
        <w:t>h</w:t>
      </w:r>
      <w:r w:rsidR="00386001" w:rsidRPr="00CA089C">
        <w:t>ree hundred and ninety</w:t>
      </w:r>
      <w:r w:rsidR="00386001">
        <w:t>-</w:t>
      </w:r>
      <w:r w:rsidR="00386001" w:rsidRPr="00CA089C">
        <w:t>two hundred thousand R</w:t>
      </w:r>
      <w:r w:rsidR="00386001">
        <w:t>a</w:t>
      </w:r>
      <w:r w:rsidR="00386001" w:rsidRPr="00CA089C">
        <w:t xml:space="preserve">nds) from Transnet in respect of only the </w:t>
      </w:r>
      <w:r w:rsidR="00386001">
        <w:t xml:space="preserve">Bethlehem </w:t>
      </w:r>
      <w:r w:rsidR="00386001" w:rsidRPr="00CA089C">
        <w:t>site</w:t>
      </w:r>
      <w:r w:rsidR="00386001">
        <w:t>.</w:t>
      </w:r>
      <w:r w:rsidR="00386001">
        <w:rPr>
          <w:rStyle w:val="FootnoteReference"/>
        </w:rPr>
        <w:footnoteReference w:id="15"/>
      </w:r>
    </w:p>
    <w:p w14:paraId="3A0AF4EA" w14:textId="4D66C6E2" w:rsidR="00C33AA3" w:rsidRPr="0091485E" w:rsidRDefault="00AC5E05" w:rsidP="00AC5E05">
      <w:pPr>
        <w:pStyle w:val="1"/>
        <w:numPr>
          <w:ilvl w:val="0"/>
          <w:numId w:val="0"/>
        </w:numPr>
        <w:tabs>
          <w:tab w:val="left" w:pos="567"/>
        </w:tabs>
        <w:ind w:left="567" w:hanging="567"/>
        <w:rPr>
          <w:b/>
        </w:rPr>
      </w:pPr>
      <w:r w:rsidRPr="0091485E">
        <w:rPr>
          <w:rFonts w:cs="Arial"/>
          <w:sz w:val="22"/>
        </w:rPr>
        <w:t>[28]</w:t>
      </w:r>
      <w:r w:rsidRPr="0091485E">
        <w:rPr>
          <w:rFonts w:cs="Arial"/>
          <w:sz w:val="22"/>
        </w:rPr>
        <w:tab/>
      </w:r>
      <w:r w:rsidR="00D955CB">
        <w:t xml:space="preserve">Transnet filed its statements of defence on 21 February 2022 in which it raised </w:t>
      </w:r>
      <w:r w:rsidR="00D955CB">
        <w:lastRenderedPageBreak/>
        <w:t>five (5) special de</w:t>
      </w:r>
      <w:r w:rsidR="00C33AA3">
        <w:t>fences</w:t>
      </w:r>
      <w:r w:rsidR="00D955CB">
        <w:t>.</w:t>
      </w:r>
      <w:r w:rsidR="002671CE">
        <w:rPr>
          <w:rStyle w:val="FootnoteReference"/>
        </w:rPr>
        <w:footnoteReference w:id="16"/>
      </w:r>
      <w:r w:rsidR="00D955CB">
        <w:t xml:space="preserve"> </w:t>
      </w:r>
      <w:r w:rsidR="00D955CB" w:rsidRPr="00D955CB">
        <w:rPr>
          <w:bCs/>
        </w:rPr>
        <w:t xml:space="preserve">Transnet </w:t>
      </w:r>
      <w:r w:rsidR="00D955CB">
        <w:rPr>
          <w:bCs/>
        </w:rPr>
        <w:t xml:space="preserve">thereafter </w:t>
      </w:r>
      <w:r w:rsidR="00D955CB" w:rsidRPr="00D955CB">
        <w:rPr>
          <w:bCs/>
        </w:rPr>
        <w:t>sought</w:t>
      </w:r>
      <w:r w:rsidR="00F0341F">
        <w:rPr>
          <w:bCs/>
        </w:rPr>
        <w:t xml:space="preserve"> the</w:t>
      </w:r>
      <w:r w:rsidR="00D955CB" w:rsidRPr="00D955CB">
        <w:rPr>
          <w:bCs/>
        </w:rPr>
        <w:t xml:space="preserve"> separation of its special defences for determination. </w:t>
      </w:r>
      <w:r w:rsidR="0007641F">
        <w:rPr>
          <w:bCs/>
        </w:rPr>
        <w:t xml:space="preserve">Spill Tech was opposed to the separation. </w:t>
      </w:r>
      <w:r w:rsidR="00D955CB" w:rsidRPr="00D955CB">
        <w:rPr>
          <w:bCs/>
        </w:rPr>
        <w:t>After some initial resistance and Spill Tech requiring Transnet to bring a formal application, the Arbitrator separated the special defences.</w:t>
      </w:r>
    </w:p>
    <w:p w14:paraId="10E2E408" w14:textId="4B8877BF" w:rsidR="0091485E" w:rsidRPr="009F0AD9" w:rsidRDefault="00AC5E05" w:rsidP="00AC5E05">
      <w:pPr>
        <w:pStyle w:val="1"/>
        <w:numPr>
          <w:ilvl w:val="0"/>
          <w:numId w:val="0"/>
        </w:numPr>
        <w:tabs>
          <w:tab w:val="left" w:pos="567"/>
        </w:tabs>
        <w:ind w:left="567" w:hanging="567"/>
        <w:rPr>
          <w:lang w:val="en-ZA"/>
        </w:rPr>
      </w:pPr>
      <w:r w:rsidRPr="009F0AD9">
        <w:rPr>
          <w:rFonts w:cs="Arial"/>
          <w:sz w:val="22"/>
          <w:lang w:val="en-ZA"/>
        </w:rPr>
        <w:t>[29]</w:t>
      </w:r>
      <w:r w:rsidRPr="009F0AD9">
        <w:rPr>
          <w:rFonts w:cs="Arial"/>
          <w:sz w:val="22"/>
          <w:lang w:val="en-ZA"/>
        </w:rPr>
        <w:tab/>
      </w:r>
      <w:r w:rsidR="0091485E">
        <w:t xml:space="preserve">Transnet’s special defences may be </w:t>
      </w:r>
      <w:r w:rsidR="0091485E" w:rsidRPr="00D07758">
        <w:t>summarised</w:t>
      </w:r>
      <w:r w:rsidR="0091485E">
        <w:t xml:space="preserve"> </w:t>
      </w:r>
      <w:r w:rsidR="0091485E" w:rsidRPr="00D07758">
        <w:t>as follows:</w:t>
      </w:r>
    </w:p>
    <w:p w14:paraId="6B52B06A" w14:textId="4B2E553A" w:rsidR="0091485E" w:rsidRPr="00123680" w:rsidRDefault="00AC5E05" w:rsidP="00AC5E05">
      <w:pPr>
        <w:pStyle w:val="2"/>
        <w:numPr>
          <w:ilvl w:val="0"/>
          <w:numId w:val="0"/>
        </w:numPr>
        <w:tabs>
          <w:tab w:val="left" w:pos="851"/>
        </w:tabs>
        <w:ind w:left="851" w:hanging="851"/>
        <w:rPr>
          <w:lang w:val="en-ZA"/>
        </w:rPr>
      </w:pPr>
      <w:r w:rsidRPr="00123680">
        <w:rPr>
          <w:sz w:val="22"/>
          <w:lang w:val="en-ZA"/>
        </w:rPr>
        <w:t>[29.1]</w:t>
      </w:r>
      <w:r w:rsidRPr="00123680">
        <w:rPr>
          <w:sz w:val="22"/>
          <w:lang w:val="en-ZA"/>
        </w:rPr>
        <w:tab/>
      </w:r>
      <w:r w:rsidR="0091485E" w:rsidRPr="00D07758">
        <w:t>The claimants</w:t>
      </w:r>
      <w:r w:rsidR="0091485E">
        <w:t xml:space="preserve"> (Spill Tech) </w:t>
      </w:r>
      <w:r w:rsidR="0091485E" w:rsidRPr="00D07758">
        <w:t>have not referred to and/or do not challenge the adjudicator</w:t>
      </w:r>
      <w:r w:rsidR="001472F6">
        <w:t>’</w:t>
      </w:r>
      <w:r w:rsidR="0091485E" w:rsidRPr="00D07758">
        <w:t xml:space="preserve">s determination of 11 August 2021 of the same dispute that they have referred to arbitration, and therefore </w:t>
      </w:r>
      <w:r w:rsidR="00833C92">
        <w:t>the matter</w:t>
      </w:r>
      <w:r w:rsidR="0091485E" w:rsidRPr="00D07758">
        <w:t xml:space="preserve"> is </w:t>
      </w:r>
      <w:r w:rsidR="0091485E" w:rsidRPr="0070151B">
        <w:rPr>
          <w:i/>
          <w:iCs w:val="0"/>
        </w:rPr>
        <w:t>res judicata</w:t>
      </w:r>
      <w:r w:rsidR="0091485E">
        <w:t>. (the “</w:t>
      </w:r>
      <w:r w:rsidR="0091485E" w:rsidRPr="0070151B">
        <w:rPr>
          <w:i/>
          <w:iCs w:val="0"/>
        </w:rPr>
        <w:t>res judicata</w:t>
      </w:r>
      <w:r w:rsidR="0091485E">
        <w:t xml:space="preserve"> defence”);</w:t>
      </w:r>
    </w:p>
    <w:p w14:paraId="5E46C479" w14:textId="2F50D5FF" w:rsidR="0091485E" w:rsidRPr="00465BC7" w:rsidRDefault="00AC5E05" w:rsidP="00AC5E05">
      <w:pPr>
        <w:pStyle w:val="2"/>
        <w:numPr>
          <w:ilvl w:val="0"/>
          <w:numId w:val="0"/>
        </w:numPr>
        <w:tabs>
          <w:tab w:val="left" w:pos="851"/>
        </w:tabs>
        <w:ind w:left="851" w:hanging="851"/>
        <w:rPr>
          <w:lang w:val="en-ZA"/>
        </w:rPr>
      </w:pPr>
      <w:r w:rsidRPr="00465BC7">
        <w:rPr>
          <w:sz w:val="22"/>
          <w:lang w:val="en-ZA"/>
        </w:rPr>
        <w:t>[29.2]</w:t>
      </w:r>
      <w:r w:rsidRPr="00465BC7">
        <w:rPr>
          <w:sz w:val="22"/>
          <w:lang w:val="en-ZA"/>
        </w:rPr>
        <w:tab/>
      </w:r>
      <w:r w:rsidR="0091485E" w:rsidRPr="00123680">
        <w:t xml:space="preserve">The </w:t>
      </w:r>
      <w:r w:rsidR="003E5D95">
        <w:t>Contracts</w:t>
      </w:r>
      <w:r w:rsidR="0091485E" w:rsidRPr="00123680">
        <w:t xml:space="preserve"> concluded between </w:t>
      </w:r>
      <w:r w:rsidR="0091485E">
        <w:t>Spill Tech</w:t>
      </w:r>
      <w:r w:rsidR="0091485E" w:rsidRPr="00123680">
        <w:t xml:space="preserve"> and Transnet are on an </w:t>
      </w:r>
      <w:r w:rsidR="001472F6">
        <w:t>“</w:t>
      </w:r>
      <w:r w:rsidR="0091485E" w:rsidRPr="00123680">
        <w:t>as and when required</w:t>
      </w:r>
      <w:r w:rsidR="001472F6">
        <w:t>”</w:t>
      </w:r>
      <w:r w:rsidR="0091485E" w:rsidRPr="00123680">
        <w:t xml:space="preserve"> basis</w:t>
      </w:r>
      <w:r w:rsidR="0091485E">
        <w:t>.  T</w:t>
      </w:r>
      <w:r w:rsidR="0091485E" w:rsidRPr="00123680">
        <w:t>herefore</w:t>
      </w:r>
      <w:r w:rsidR="0091485E">
        <w:t>,</w:t>
      </w:r>
      <w:r w:rsidR="0091485E" w:rsidRPr="00123680">
        <w:t xml:space="preserve"> Transnet was under no legal obligation to allocate any assignments for the containment and/or remediation of spills of more than 50 000 litres to </w:t>
      </w:r>
      <w:r w:rsidR="0091485E">
        <w:t>Spill Tech</w:t>
      </w:r>
      <w:r w:rsidR="0091485E" w:rsidRPr="00123680">
        <w:t xml:space="preserve">, and to the extent that it allocated the assignment to clean up such spills to other contractors it did not breach the </w:t>
      </w:r>
      <w:r w:rsidR="00D33D36">
        <w:t>Contracts</w:t>
      </w:r>
      <w:r w:rsidR="0091485E" w:rsidRPr="00123680">
        <w:t xml:space="preserve"> with </w:t>
      </w:r>
      <w:r w:rsidR="0091485E">
        <w:t>Spill Tech</w:t>
      </w:r>
      <w:r w:rsidR="0091485E" w:rsidRPr="00123680">
        <w:t xml:space="preserve"> (the </w:t>
      </w:r>
      <w:r w:rsidR="001472F6">
        <w:t>“</w:t>
      </w:r>
      <w:r w:rsidR="0091485E" w:rsidRPr="00123680">
        <w:t>as and when required</w:t>
      </w:r>
      <w:r w:rsidR="001472F6">
        <w:t>”</w:t>
      </w:r>
      <w:r w:rsidR="0091485E" w:rsidRPr="00123680">
        <w:t xml:space="preserve"> defence)</w:t>
      </w:r>
      <w:r w:rsidR="0091485E">
        <w:t>;</w:t>
      </w:r>
    </w:p>
    <w:p w14:paraId="5BEC3A6F" w14:textId="5CFEA019" w:rsidR="0091485E" w:rsidRPr="00465BC7" w:rsidRDefault="00AC5E05" w:rsidP="00AC5E05">
      <w:pPr>
        <w:pStyle w:val="2"/>
        <w:numPr>
          <w:ilvl w:val="0"/>
          <w:numId w:val="0"/>
        </w:numPr>
        <w:tabs>
          <w:tab w:val="left" w:pos="851"/>
        </w:tabs>
        <w:ind w:left="851" w:hanging="851"/>
        <w:rPr>
          <w:lang w:val="en-ZA"/>
        </w:rPr>
      </w:pPr>
      <w:r w:rsidRPr="00465BC7">
        <w:rPr>
          <w:sz w:val="22"/>
          <w:lang w:val="en-ZA"/>
        </w:rPr>
        <w:t>[29.3]</w:t>
      </w:r>
      <w:r w:rsidRPr="00465BC7">
        <w:rPr>
          <w:sz w:val="22"/>
          <w:lang w:val="en-ZA"/>
        </w:rPr>
        <w:tab/>
      </w:r>
      <w:r w:rsidR="0091485E" w:rsidRPr="00465BC7">
        <w:t xml:space="preserve">The damages claimed by </w:t>
      </w:r>
      <w:r w:rsidR="0091485E">
        <w:t>Spill Tech</w:t>
      </w:r>
      <w:r w:rsidR="0091485E" w:rsidRPr="00465BC7">
        <w:t xml:space="preserve"> are consequential</w:t>
      </w:r>
      <w:r w:rsidR="0091485E">
        <w:t xml:space="preserve"> and</w:t>
      </w:r>
      <w:r w:rsidR="0091485E" w:rsidRPr="00465BC7">
        <w:t xml:space="preserve"> are excluded under the </w:t>
      </w:r>
      <w:r w:rsidR="00D33D36">
        <w:t>Contracts</w:t>
      </w:r>
      <w:r w:rsidR="0091485E" w:rsidRPr="00465BC7">
        <w:t xml:space="preserve"> (the </w:t>
      </w:r>
      <w:r w:rsidR="0091485E">
        <w:t>“</w:t>
      </w:r>
      <w:r w:rsidR="0091485E" w:rsidRPr="00465BC7">
        <w:t>consequential damages</w:t>
      </w:r>
      <w:r w:rsidR="0091485E">
        <w:t>”</w:t>
      </w:r>
      <w:r w:rsidR="0091485E" w:rsidRPr="00465BC7">
        <w:t> </w:t>
      </w:r>
      <w:r w:rsidR="0091485E">
        <w:t>defence);</w:t>
      </w:r>
    </w:p>
    <w:p w14:paraId="108AA46C" w14:textId="3EF8771E" w:rsidR="0091485E" w:rsidRPr="00397332" w:rsidRDefault="00AC5E05" w:rsidP="00AC5E05">
      <w:pPr>
        <w:pStyle w:val="2"/>
        <w:numPr>
          <w:ilvl w:val="0"/>
          <w:numId w:val="0"/>
        </w:numPr>
        <w:tabs>
          <w:tab w:val="left" w:pos="851"/>
        </w:tabs>
        <w:ind w:left="851" w:hanging="851"/>
        <w:rPr>
          <w:lang w:val="en-ZA"/>
        </w:rPr>
      </w:pPr>
      <w:r w:rsidRPr="00397332">
        <w:rPr>
          <w:sz w:val="22"/>
          <w:lang w:val="en-ZA"/>
        </w:rPr>
        <w:t>[29.4]</w:t>
      </w:r>
      <w:r w:rsidRPr="00397332">
        <w:rPr>
          <w:sz w:val="22"/>
          <w:lang w:val="en-ZA"/>
        </w:rPr>
        <w:tab/>
      </w:r>
      <w:r w:rsidR="0091485E">
        <w:t>T</w:t>
      </w:r>
      <w:r w:rsidR="0091485E" w:rsidRPr="001A7239">
        <w:t xml:space="preserve">he </w:t>
      </w:r>
      <w:r w:rsidR="00D33D36">
        <w:t>Contracts</w:t>
      </w:r>
      <w:r w:rsidR="0091485E" w:rsidRPr="001A7239">
        <w:t xml:space="preserve"> limit the remedy that can be sought in relation to a </w:t>
      </w:r>
      <w:r w:rsidR="0091485E" w:rsidRPr="001A7239">
        <w:lastRenderedPageBreak/>
        <w:t xml:space="preserve">compensation event to adjustment of the Prices under the </w:t>
      </w:r>
      <w:r w:rsidR="00D33D36">
        <w:t>Contracts</w:t>
      </w:r>
      <w:r w:rsidR="0091485E" w:rsidRPr="001A7239">
        <w:t xml:space="preserve"> (clause 63.5). In any event, Transnet disputes that the events on which </w:t>
      </w:r>
      <w:r w:rsidR="0091485E">
        <w:t>Spill Tech’s claims</w:t>
      </w:r>
      <w:r w:rsidR="0091485E" w:rsidRPr="001A7239">
        <w:t xml:space="preserve"> are compensation events (the </w:t>
      </w:r>
      <w:r w:rsidR="0091485E">
        <w:t>“</w:t>
      </w:r>
      <w:r w:rsidR="0091485E" w:rsidRPr="001A7239">
        <w:t>incompetent remedy</w:t>
      </w:r>
      <w:r w:rsidR="0091485E">
        <w:t>”</w:t>
      </w:r>
      <w:r w:rsidR="0091485E" w:rsidRPr="001A7239">
        <w:t xml:space="preserve"> defence).</w:t>
      </w:r>
      <w:r w:rsidR="0091485E">
        <w:t xml:space="preserve">  The two defences, defence three and four are related.</w:t>
      </w:r>
    </w:p>
    <w:p w14:paraId="31D26C85" w14:textId="2A8EAFBC" w:rsidR="0091485E" w:rsidRPr="00397332" w:rsidRDefault="00AC5E05" w:rsidP="00AC5E05">
      <w:pPr>
        <w:pStyle w:val="2"/>
        <w:numPr>
          <w:ilvl w:val="0"/>
          <w:numId w:val="0"/>
        </w:numPr>
        <w:tabs>
          <w:tab w:val="left" w:pos="851"/>
        </w:tabs>
        <w:ind w:left="851" w:hanging="851"/>
        <w:rPr>
          <w:lang w:val="en-ZA"/>
        </w:rPr>
      </w:pPr>
      <w:r w:rsidRPr="00397332">
        <w:rPr>
          <w:sz w:val="22"/>
          <w:lang w:val="en-ZA"/>
        </w:rPr>
        <w:t>[29.5]</w:t>
      </w:r>
      <w:r w:rsidRPr="00397332">
        <w:rPr>
          <w:sz w:val="22"/>
          <w:lang w:val="en-ZA"/>
        </w:rPr>
        <w:tab/>
      </w:r>
      <w:r w:rsidR="0091485E" w:rsidRPr="00397332">
        <w:t xml:space="preserve"> The claims are time barred (the </w:t>
      </w:r>
      <w:r w:rsidR="0091485E">
        <w:t>“</w:t>
      </w:r>
      <w:r w:rsidR="0091485E" w:rsidRPr="00397332">
        <w:t>time bar</w:t>
      </w:r>
      <w:r w:rsidR="0091485E">
        <w:t>”</w:t>
      </w:r>
      <w:r w:rsidR="0091485E" w:rsidRPr="00397332">
        <w:t xml:space="preserve"> defence). </w:t>
      </w:r>
    </w:p>
    <w:p w14:paraId="5B83504B" w14:textId="46A7B319" w:rsidR="00341CC3" w:rsidRPr="000A2AD5" w:rsidRDefault="00AC5E05" w:rsidP="00AC5E05">
      <w:pPr>
        <w:pStyle w:val="1"/>
        <w:numPr>
          <w:ilvl w:val="0"/>
          <w:numId w:val="0"/>
        </w:numPr>
        <w:tabs>
          <w:tab w:val="left" w:pos="567"/>
        </w:tabs>
        <w:ind w:left="567" w:hanging="567"/>
        <w:rPr>
          <w:b/>
        </w:rPr>
      </w:pPr>
      <w:r w:rsidRPr="000A2AD5">
        <w:rPr>
          <w:rFonts w:cs="Arial"/>
          <w:sz w:val="22"/>
        </w:rPr>
        <w:t>[30]</w:t>
      </w:r>
      <w:r w:rsidRPr="000A2AD5">
        <w:rPr>
          <w:rFonts w:cs="Arial"/>
          <w:sz w:val="22"/>
        </w:rPr>
        <w:tab/>
      </w:r>
      <w:r w:rsidR="00D955CB" w:rsidRPr="00D955CB">
        <w:rPr>
          <w:bCs/>
        </w:rPr>
        <w:t>There were further debates about whether any evidence would be necessary in respect of the separated issues</w:t>
      </w:r>
      <w:r w:rsidR="00AE4971">
        <w:rPr>
          <w:bCs/>
        </w:rPr>
        <w:t xml:space="preserve">. </w:t>
      </w:r>
      <w:r w:rsidR="00EB7DFA">
        <w:rPr>
          <w:bCs/>
        </w:rPr>
        <w:t>Transnet’</w:t>
      </w:r>
      <w:r w:rsidR="00F34365">
        <w:rPr>
          <w:bCs/>
        </w:rPr>
        <w:t>s</w:t>
      </w:r>
      <w:r w:rsidR="00EB7DFA">
        <w:rPr>
          <w:bCs/>
        </w:rPr>
        <w:t xml:space="preserve"> view was that the special defences could be decided purely </w:t>
      </w:r>
      <w:r w:rsidR="003C6D54">
        <w:rPr>
          <w:bCs/>
        </w:rPr>
        <w:t>on</w:t>
      </w:r>
      <w:r w:rsidR="001472F6">
        <w:rPr>
          <w:bCs/>
        </w:rPr>
        <w:t xml:space="preserve"> </w:t>
      </w:r>
      <w:r w:rsidR="00BB06FF">
        <w:rPr>
          <w:bCs/>
        </w:rPr>
        <w:t>legal argument</w:t>
      </w:r>
      <w:r w:rsidR="00916C2E">
        <w:rPr>
          <w:bCs/>
        </w:rPr>
        <w:t>s</w:t>
      </w:r>
      <w:r w:rsidR="00BB06FF">
        <w:rPr>
          <w:bCs/>
        </w:rPr>
        <w:t xml:space="preserve"> based on </w:t>
      </w:r>
      <w:r w:rsidR="00EB7DFA">
        <w:rPr>
          <w:bCs/>
        </w:rPr>
        <w:t xml:space="preserve">the interpretation of the provisions of the contract without reference to any factual </w:t>
      </w:r>
      <w:r w:rsidR="00F34365">
        <w:rPr>
          <w:bCs/>
        </w:rPr>
        <w:t xml:space="preserve">or extrinsic </w:t>
      </w:r>
      <w:r w:rsidR="00EB7DFA">
        <w:rPr>
          <w:bCs/>
        </w:rPr>
        <w:t xml:space="preserve">evidence. </w:t>
      </w:r>
      <w:r w:rsidR="00AE4971">
        <w:rPr>
          <w:bCs/>
        </w:rPr>
        <w:t>U</w:t>
      </w:r>
      <w:r w:rsidR="00D955CB" w:rsidRPr="00D955CB">
        <w:rPr>
          <w:bCs/>
        </w:rPr>
        <w:t xml:space="preserve">ltimately the Arbitrator ruled that he would allow witness statements to be filed. </w:t>
      </w:r>
      <w:r w:rsidR="00AE4971">
        <w:rPr>
          <w:bCs/>
        </w:rPr>
        <w:t>Spill Tech filed two witness statements</w:t>
      </w:r>
      <w:r w:rsidR="00594CEF">
        <w:rPr>
          <w:bCs/>
        </w:rPr>
        <w:t>.  Transnet declined to file any</w:t>
      </w:r>
      <w:r w:rsidR="00494922">
        <w:rPr>
          <w:bCs/>
        </w:rPr>
        <w:t xml:space="preserve"> but</w:t>
      </w:r>
      <w:r w:rsidR="00D955CB" w:rsidRPr="00D955CB">
        <w:rPr>
          <w:bCs/>
        </w:rPr>
        <w:t xml:space="preserve"> objected to the admissibility of the evidence tendered by Spill Tech and, after hearing submissions, the Arbitrator ruled that the witness statements would be admitted provisionally. </w:t>
      </w:r>
    </w:p>
    <w:p w14:paraId="29FCA13C" w14:textId="362F10E3" w:rsidR="00E30057" w:rsidRDefault="00AC5E05" w:rsidP="00AC5E05">
      <w:pPr>
        <w:pStyle w:val="1"/>
        <w:numPr>
          <w:ilvl w:val="0"/>
          <w:numId w:val="0"/>
        </w:numPr>
        <w:tabs>
          <w:tab w:val="left" w:pos="567"/>
        </w:tabs>
        <w:ind w:left="567" w:hanging="567"/>
        <w:rPr>
          <w:lang w:val="en-US"/>
        </w:rPr>
      </w:pPr>
      <w:r>
        <w:rPr>
          <w:rFonts w:cs="Arial"/>
          <w:sz w:val="22"/>
          <w:lang w:val="en-US"/>
        </w:rPr>
        <w:t>[31]</w:t>
      </w:r>
      <w:r>
        <w:rPr>
          <w:rFonts w:cs="Arial"/>
          <w:sz w:val="22"/>
          <w:lang w:val="en-US"/>
        </w:rPr>
        <w:tab/>
      </w:r>
      <w:r w:rsidR="00405293">
        <w:t>The Arbitrator heard oral submissions on the separated issues on 17 November</w:t>
      </w:r>
      <w:r w:rsidR="00405293">
        <w:rPr>
          <w:spacing w:val="1"/>
        </w:rPr>
        <w:t xml:space="preserve"> </w:t>
      </w:r>
      <w:r w:rsidR="00405293">
        <w:t>2022</w:t>
      </w:r>
      <w:r w:rsidR="00C317A3">
        <w:t>.  At the end of the hearing</w:t>
      </w:r>
      <w:r w:rsidR="00E30057">
        <w:t>,</w:t>
      </w:r>
      <w:r w:rsidR="00C317A3">
        <w:t xml:space="preserve"> he asked</w:t>
      </w:r>
      <w:r w:rsidR="00076DDE">
        <w:t xml:space="preserve"> the parties </w:t>
      </w:r>
      <w:r w:rsidR="00405293">
        <w:t>to</w:t>
      </w:r>
      <w:r w:rsidR="00405293">
        <w:rPr>
          <w:spacing w:val="1"/>
        </w:rPr>
        <w:t xml:space="preserve"> </w:t>
      </w:r>
      <w:r w:rsidR="00C317A3">
        <w:t>make</w:t>
      </w:r>
      <w:r w:rsidR="00076DDE">
        <w:t xml:space="preserve"> further</w:t>
      </w:r>
      <w:r w:rsidR="00C317A3">
        <w:t xml:space="preserve"> submissions on</w:t>
      </w:r>
      <w:r w:rsidR="00405293">
        <w:rPr>
          <w:spacing w:val="1"/>
        </w:rPr>
        <w:t xml:space="preserve"> </w:t>
      </w:r>
      <w:r w:rsidR="00405293">
        <w:t>the</w:t>
      </w:r>
      <w:r w:rsidR="00405293">
        <w:rPr>
          <w:spacing w:val="1"/>
        </w:rPr>
        <w:t xml:space="preserve"> </w:t>
      </w:r>
      <w:r w:rsidR="00405293">
        <w:t>precise</w:t>
      </w:r>
      <w:r w:rsidR="00405293">
        <w:rPr>
          <w:spacing w:val="1"/>
        </w:rPr>
        <w:t xml:space="preserve"> </w:t>
      </w:r>
      <w:r w:rsidR="00405293">
        <w:t>wording</w:t>
      </w:r>
      <w:r w:rsidR="00405293">
        <w:rPr>
          <w:spacing w:val="1"/>
        </w:rPr>
        <w:t xml:space="preserve"> </w:t>
      </w:r>
      <w:r w:rsidR="00405293">
        <w:t>of</w:t>
      </w:r>
      <w:r w:rsidR="00405293">
        <w:rPr>
          <w:spacing w:val="1"/>
        </w:rPr>
        <w:t xml:space="preserve"> </w:t>
      </w:r>
      <w:r w:rsidR="00405293">
        <w:t>the</w:t>
      </w:r>
      <w:r w:rsidR="00405293">
        <w:rPr>
          <w:spacing w:val="1"/>
        </w:rPr>
        <w:t xml:space="preserve"> </w:t>
      </w:r>
      <w:r w:rsidR="00405293">
        <w:t>interpretation</w:t>
      </w:r>
      <w:r w:rsidR="00405293">
        <w:rPr>
          <w:spacing w:val="-5"/>
        </w:rPr>
        <w:t xml:space="preserve"> </w:t>
      </w:r>
      <w:r w:rsidR="00405293">
        <w:t>of</w:t>
      </w:r>
      <w:r w:rsidR="00405293">
        <w:rPr>
          <w:spacing w:val="-5"/>
        </w:rPr>
        <w:t xml:space="preserve"> </w:t>
      </w:r>
      <w:r w:rsidR="00405293">
        <w:t>the</w:t>
      </w:r>
      <w:r w:rsidR="00405293">
        <w:rPr>
          <w:spacing w:val="-4"/>
        </w:rPr>
        <w:t xml:space="preserve"> </w:t>
      </w:r>
      <w:r w:rsidR="00405293">
        <w:t>Contract</w:t>
      </w:r>
      <w:r w:rsidR="00E30057">
        <w:rPr>
          <w:lang w:val="en-US"/>
        </w:rPr>
        <w:t xml:space="preserve">. </w:t>
      </w:r>
    </w:p>
    <w:p w14:paraId="0DA73D4B" w14:textId="0A27DBFC" w:rsidR="00AA04E4" w:rsidRPr="00AA04E4" w:rsidRDefault="00AC5E05" w:rsidP="00AC5E05">
      <w:pPr>
        <w:pStyle w:val="1"/>
        <w:numPr>
          <w:ilvl w:val="0"/>
          <w:numId w:val="0"/>
        </w:numPr>
        <w:tabs>
          <w:tab w:val="left" w:pos="567"/>
        </w:tabs>
        <w:ind w:left="567" w:hanging="567"/>
        <w:rPr>
          <w:lang w:val="en-US"/>
        </w:rPr>
      </w:pPr>
      <w:r w:rsidRPr="00AA04E4">
        <w:rPr>
          <w:rFonts w:cs="Arial"/>
          <w:sz w:val="22"/>
          <w:lang w:val="en-US"/>
        </w:rPr>
        <w:t>[32]</w:t>
      </w:r>
      <w:r w:rsidRPr="00AA04E4">
        <w:rPr>
          <w:rFonts w:cs="Arial"/>
          <w:sz w:val="22"/>
          <w:lang w:val="en-US"/>
        </w:rPr>
        <w:tab/>
      </w:r>
      <w:r w:rsidR="00E30057">
        <w:rPr>
          <w:lang w:val="en-US"/>
        </w:rPr>
        <w:t xml:space="preserve">The </w:t>
      </w:r>
      <w:r w:rsidR="007A4806">
        <w:rPr>
          <w:lang w:val="en-US"/>
        </w:rPr>
        <w:t>A</w:t>
      </w:r>
      <w:r w:rsidR="00E30057">
        <w:rPr>
          <w:lang w:val="en-US"/>
        </w:rPr>
        <w:t>rbitrator</w:t>
      </w:r>
      <w:r w:rsidR="00AA04E4" w:rsidRPr="00AA04E4">
        <w:rPr>
          <w:lang w:val="en-US"/>
        </w:rPr>
        <w:t xml:space="preserve"> handed down his award on 30 November 2022 (</w:t>
      </w:r>
      <w:r w:rsidR="00AA04E4" w:rsidRPr="00AA04E4">
        <w:rPr>
          <w:b/>
          <w:lang w:val="en-US"/>
        </w:rPr>
        <w:t>“</w:t>
      </w:r>
      <w:r w:rsidR="00AA04E4" w:rsidRPr="002C2F78">
        <w:rPr>
          <w:bCs/>
          <w:lang w:val="en-US"/>
        </w:rPr>
        <w:t>the</w:t>
      </w:r>
      <w:r w:rsidR="00AA04E4" w:rsidRPr="00AA04E4">
        <w:rPr>
          <w:b/>
          <w:lang w:val="en-US"/>
        </w:rPr>
        <w:t xml:space="preserve"> </w:t>
      </w:r>
      <w:r w:rsidR="00AB20BD" w:rsidRPr="002C2F78">
        <w:rPr>
          <w:bCs/>
          <w:lang w:val="en-US"/>
        </w:rPr>
        <w:t>a</w:t>
      </w:r>
      <w:r w:rsidR="00AA04E4" w:rsidRPr="002C2F78">
        <w:rPr>
          <w:bCs/>
          <w:lang w:val="en-US"/>
        </w:rPr>
        <w:t>ward</w:t>
      </w:r>
      <w:r w:rsidR="00AA04E4" w:rsidRPr="00AA04E4">
        <w:rPr>
          <w:b/>
          <w:lang w:val="en-US"/>
        </w:rPr>
        <w:t>”</w:t>
      </w:r>
      <w:r w:rsidR="00AA04E4" w:rsidRPr="00AA04E4">
        <w:rPr>
          <w:lang w:val="en-US"/>
        </w:rPr>
        <w:t>)</w:t>
      </w:r>
      <w:r w:rsidR="00AA04E4">
        <w:rPr>
          <w:lang w:val="en-US"/>
        </w:rPr>
        <w:t xml:space="preserve"> in which he dismissed all of Transnet’s special defences.  </w:t>
      </w:r>
    </w:p>
    <w:p w14:paraId="1F6486D1" w14:textId="16F32D91" w:rsidR="00245381" w:rsidRDefault="00AC5E05" w:rsidP="00AC5E05">
      <w:pPr>
        <w:pStyle w:val="1"/>
        <w:numPr>
          <w:ilvl w:val="0"/>
          <w:numId w:val="0"/>
        </w:numPr>
        <w:tabs>
          <w:tab w:val="left" w:pos="567"/>
        </w:tabs>
        <w:ind w:left="567" w:hanging="567"/>
      </w:pPr>
      <w:r>
        <w:rPr>
          <w:rFonts w:cs="Arial"/>
          <w:sz w:val="22"/>
        </w:rPr>
        <w:t>[33]</w:t>
      </w:r>
      <w:r>
        <w:rPr>
          <w:rFonts w:cs="Arial"/>
          <w:sz w:val="22"/>
        </w:rPr>
        <w:tab/>
      </w:r>
      <w:r w:rsidR="00C15CA4">
        <w:t>It</w:t>
      </w:r>
      <w:r w:rsidR="00C15CA4">
        <w:rPr>
          <w:spacing w:val="-1"/>
        </w:rPr>
        <w:t xml:space="preserve"> </w:t>
      </w:r>
      <w:r w:rsidR="00C15CA4">
        <w:t>is</w:t>
      </w:r>
      <w:r w:rsidR="00C15CA4">
        <w:rPr>
          <w:spacing w:val="-2"/>
        </w:rPr>
        <w:t xml:space="preserve"> </w:t>
      </w:r>
      <w:r w:rsidR="00C15CA4">
        <w:t>th</w:t>
      </w:r>
      <w:r w:rsidR="00073F14">
        <w:t>is</w:t>
      </w:r>
      <w:r w:rsidR="00C15CA4">
        <w:rPr>
          <w:spacing w:val="-1"/>
        </w:rPr>
        <w:t xml:space="preserve"> </w:t>
      </w:r>
      <w:r w:rsidR="00AB20BD">
        <w:t>a</w:t>
      </w:r>
      <w:r w:rsidR="00C15CA4">
        <w:t>ward</w:t>
      </w:r>
      <w:r w:rsidR="00C15CA4">
        <w:rPr>
          <w:spacing w:val="-3"/>
        </w:rPr>
        <w:t xml:space="preserve"> </w:t>
      </w:r>
      <w:r w:rsidR="00C15CA4">
        <w:t>that</w:t>
      </w:r>
      <w:r w:rsidR="00C15CA4">
        <w:rPr>
          <w:spacing w:val="-2"/>
        </w:rPr>
        <w:t xml:space="preserve"> </w:t>
      </w:r>
      <w:r w:rsidR="00C15CA4">
        <w:t>Transnet</w:t>
      </w:r>
      <w:r w:rsidR="00C15CA4">
        <w:rPr>
          <w:spacing w:val="-4"/>
        </w:rPr>
        <w:t xml:space="preserve"> </w:t>
      </w:r>
      <w:r w:rsidR="00C15CA4">
        <w:t>seeks</w:t>
      </w:r>
      <w:r w:rsidR="00C15CA4">
        <w:rPr>
          <w:spacing w:val="-4"/>
        </w:rPr>
        <w:t xml:space="preserve"> </w:t>
      </w:r>
      <w:r w:rsidR="00C15CA4">
        <w:t>to</w:t>
      </w:r>
      <w:r w:rsidR="00C15CA4">
        <w:rPr>
          <w:spacing w:val="-1"/>
        </w:rPr>
        <w:t xml:space="preserve"> </w:t>
      </w:r>
      <w:r w:rsidR="00C15CA4">
        <w:t>review</w:t>
      </w:r>
      <w:r w:rsidR="00C15CA4">
        <w:rPr>
          <w:spacing w:val="-4"/>
        </w:rPr>
        <w:t xml:space="preserve"> </w:t>
      </w:r>
      <w:r w:rsidR="00C15CA4">
        <w:t>and</w:t>
      </w:r>
      <w:r w:rsidR="00C15CA4">
        <w:rPr>
          <w:spacing w:val="-1"/>
        </w:rPr>
        <w:t xml:space="preserve"> </w:t>
      </w:r>
      <w:r w:rsidR="00C15CA4">
        <w:t>set</w:t>
      </w:r>
      <w:r w:rsidR="00C15CA4">
        <w:rPr>
          <w:spacing w:val="-4"/>
        </w:rPr>
        <w:t xml:space="preserve"> </w:t>
      </w:r>
      <w:r w:rsidR="00C15CA4">
        <w:t>aside</w:t>
      </w:r>
      <w:r w:rsidR="00023BCE">
        <w:t xml:space="preserve"> in its totality.</w:t>
      </w:r>
    </w:p>
    <w:p w14:paraId="20C60B74" w14:textId="5B6C33B7" w:rsidR="00117343" w:rsidRDefault="00AC5E05" w:rsidP="00AC5E05">
      <w:pPr>
        <w:pStyle w:val="1"/>
        <w:numPr>
          <w:ilvl w:val="0"/>
          <w:numId w:val="0"/>
        </w:numPr>
        <w:tabs>
          <w:tab w:val="left" w:pos="567"/>
        </w:tabs>
        <w:ind w:left="567" w:hanging="567"/>
      </w:pPr>
      <w:bookmarkStart w:id="3" w:name="_Hlk157431491"/>
      <w:r>
        <w:rPr>
          <w:rFonts w:cs="Arial"/>
          <w:sz w:val="22"/>
        </w:rPr>
        <w:lastRenderedPageBreak/>
        <w:t>[34]</w:t>
      </w:r>
      <w:r>
        <w:rPr>
          <w:rFonts w:cs="Arial"/>
          <w:sz w:val="22"/>
        </w:rPr>
        <w:tab/>
      </w:r>
      <w:r w:rsidR="007861CC">
        <w:t xml:space="preserve">Transnet has sought to review the award on the basis of </w:t>
      </w:r>
      <w:bookmarkStart w:id="4" w:name="_Hlk157431356"/>
      <w:r w:rsidR="007861CC">
        <w:t xml:space="preserve">section 33(1)(b). </w:t>
      </w:r>
      <w:bookmarkEnd w:id="4"/>
      <w:r w:rsidR="000B2671">
        <w:t xml:space="preserve">It </w:t>
      </w:r>
      <w:r w:rsidR="007861CC">
        <w:t>submits</w:t>
      </w:r>
      <w:r w:rsidR="000B2671">
        <w:t>, depending on the specific defence,</w:t>
      </w:r>
      <w:r w:rsidR="007861CC">
        <w:t xml:space="preserve"> that the </w:t>
      </w:r>
      <w:r w:rsidR="006354BC">
        <w:t>A</w:t>
      </w:r>
      <w:r w:rsidR="007861CC">
        <w:t>rbitrator</w:t>
      </w:r>
      <w:r w:rsidR="00117343">
        <w:t xml:space="preserve"> – </w:t>
      </w:r>
    </w:p>
    <w:p w14:paraId="39C20B37" w14:textId="1FDC2460" w:rsidR="007861CC" w:rsidRDefault="00AC5E05" w:rsidP="00AC5E05">
      <w:pPr>
        <w:pStyle w:val="2"/>
        <w:numPr>
          <w:ilvl w:val="0"/>
          <w:numId w:val="0"/>
        </w:numPr>
        <w:tabs>
          <w:tab w:val="left" w:pos="851"/>
        </w:tabs>
        <w:ind w:left="851" w:hanging="851"/>
      </w:pPr>
      <w:r>
        <w:rPr>
          <w:sz w:val="22"/>
        </w:rPr>
        <w:t>[34.1]</w:t>
      </w:r>
      <w:r>
        <w:rPr>
          <w:sz w:val="22"/>
        </w:rPr>
        <w:tab/>
      </w:r>
      <w:r w:rsidR="000E3F04">
        <w:t xml:space="preserve">exceeded his powers by deciding </w:t>
      </w:r>
      <w:r w:rsidR="00117343">
        <w:t>an issue that was not defined by the parties in the pleadings</w:t>
      </w:r>
      <w:r w:rsidR="005059E3">
        <w:t>;</w:t>
      </w:r>
    </w:p>
    <w:p w14:paraId="1D9DB109" w14:textId="4B97F699" w:rsidR="005059E3" w:rsidRDefault="00AC5E05" w:rsidP="00AC5E05">
      <w:pPr>
        <w:pStyle w:val="2"/>
        <w:numPr>
          <w:ilvl w:val="0"/>
          <w:numId w:val="0"/>
        </w:numPr>
        <w:tabs>
          <w:tab w:val="left" w:pos="851"/>
        </w:tabs>
        <w:ind w:left="851" w:hanging="851"/>
      </w:pPr>
      <w:r>
        <w:rPr>
          <w:sz w:val="22"/>
        </w:rPr>
        <w:t>[34.2]</w:t>
      </w:r>
      <w:r>
        <w:rPr>
          <w:sz w:val="22"/>
        </w:rPr>
        <w:tab/>
      </w:r>
      <w:r w:rsidR="005059E3">
        <w:t>exceeded his powers by deciding a</w:t>
      </w:r>
      <w:r w:rsidR="003E7BB2">
        <w:t xml:space="preserve"> matter that the arbitration agreement does not empower him to determine;</w:t>
      </w:r>
      <w:r w:rsidR="00BB34FB">
        <w:t xml:space="preserve"> </w:t>
      </w:r>
    </w:p>
    <w:p w14:paraId="76C30655" w14:textId="46086859" w:rsidR="000B2671" w:rsidRDefault="00AC5E05" w:rsidP="00AC5E05">
      <w:pPr>
        <w:pStyle w:val="2"/>
        <w:numPr>
          <w:ilvl w:val="0"/>
          <w:numId w:val="0"/>
        </w:numPr>
        <w:tabs>
          <w:tab w:val="left" w:pos="851"/>
        </w:tabs>
        <w:ind w:left="851" w:hanging="851"/>
      </w:pPr>
      <w:r>
        <w:rPr>
          <w:sz w:val="22"/>
        </w:rPr>
        <w:t>[34.3]</w:t>
      </w:r>
      <w:r>
        <w:rPr>
          <w:sz w:val="22"/>
        </w:rPr>
        <w:tab/>
      </w:r>
      <w:r w:rsidR="00875A53">
        <w:t>committed a gross irregularity</w:t>
      </w:r>
      <w:r w:rsidR="002C5B0A">
        <w:t xml:space="preserve"> because misconceived the nature of the enquiry </w:t>
      </w:r>
      <w:r w:rsidR="00FF7D39">
        <w:t>and his duties in connection therewith</w:t>
      </w:r>
      <w:r w:rsidR="000B2671">
        <w:t>; and</w:t>
      </w:r>
    </w:p>
    <w:p w14:paraId="60655DEA" w14:textId="49726E90" w:rsidR="003E7BB2" w:rsidRDefault="00AC5E05" w:rsidP="00AC5E05">
      <w:pPr>
        <w:pStyle w:val="2"/>
        <w:numPr>
          <w:ilvl w:val="0"/>
          <w:numId w:val="0"/>
        </w:numPr>
        <w:tabs>
          <w:tab w:val="left" w:pos="851"/>
        </w:tabs>
        <w:ind w:left="851" w:hanging="851"/>
      </w:pPr>
      <w:r>
        <w:rPr>
          <w:sz w:val="22"/>
        </w:rPr>
        <w:t>[34.4]</w:t>
      </w:r>
      <w:r>
        <w:rPr>
          <w:sz w:val="22"/>
        </w:rPr>
        <w:tab/>
      </w:r>
      <w:r w:rsidR="00647482">
        <w:t>did not provide Transnet</w:t>
      </w:r>
      <w:r w:rsidR="000B2671">
        <w:t xml:space="preserve"> with an adequate and fair opportunity</w:t>
      </w:r>
      <w:r w:rsidR="00BB34FB">
        <w:t>.</w:t>
      </w:r>
      <w:r w:rsidR="00FF7D39">
        <w:t xml:space="preserve"> </w:t>
      </w:r>
    </w:p>
    <w:bookmarkEnd w:id="3"/>
    <w:p w14:paraId="71CCE894" w14:textId="743C5414" w:rsidR="00187669" w:rsidRDefault="00AC5E05" w:rsidP="00AC5E05">
      <w:pPr>
        <w:pStyle w:val="1"/>
        <w:numPr>
          <w:ilvl w:val="0"/>
          <w:numId w:val="0"/>
        </w:numPr>
        <w:tabs>
          <w:tab w:val="left" w:pos="567"/>
        </w:tabs>
        <w:ind w:left="567" w:hanging="567"/>
      </w:pPr>
      <w:r>
        <w:rPr>
          <w:rFonts w:cs="Arial"/>
          <w:sz w:val="22"/>
        </w:rPr>
        <w:t>[35]</w:t>
      </w:r>
      <w:r>
        <w:rPr>
          <w:rFonts w:cs="Arial"/>
          <w:sz w:val="22"/>
        </w:rPr>
        <w:tab/>
      </w:r>
      <w:r w:rsidR="00F436D9">
        <w:t xml:space="preserve">Spill Tech opposes the application on the basis that </w:t>
      </w:r>
      <w:r w:rsidR="00E45A40">
        <w:t xml:space="preserve">the </w:t>
      </w:r>
      <w:r w:rsidR="006354BC">
        <w:t>A</w:t>
      </w:r>
      <w:r w:rsidR="00E45A40">
        <w:t xml:space="preserve">rbitrator did nothing more than interpret the </w:t>
      </w:r>
      <w:r w:rsidR="003D3645">
        <w:t>C</w:t>
      </w:r>
      <w:r w:rsidR="00E45A40">
        <w:t>ontract</w:t>
      </w:r>
      <w:r w:rsidR="003D3645">
        <w:t>s</w:t>
      </w:r>
      <w:r w:rsidR="00E45A40">
        <w:t xml:space="preserve"> as he was entitled </w:t>
      </w:r>
      <w:r w:rsidR="0037462F">
        <w:t xml:space="preserve">and asked </w:t>
      </w:r>
      <w:r w:rsidR="00E45A40">
        <w:t xml:space="preserve">to do. </w:t>
      </w:r>
      <w:r w:rsidR="005466C5">
        <w:t>The</w:t>
      </w:r>
      <w:r w:rsidR="00187669">
        <w:t xml:space="preserve"> issues decided by the </w:t>
      </w:r>
      <w:r w:rsidR="006354BC">
        <w:t>A</w:t>
      </w:r>
      <w:r w:rsidR="00187669">
        <w:t xml:space="preserve">rbitrator </w:t>
      </w:r>
      <w:r w:rsidR="00AB26BB">
        <w:t>were</w:t>
      </w:r>
      <w:r w:rsidR="00647482">
        <w:t xml:space="preserve"> indeed those that had been</w:t>
      </w:r>
      <w:r w:rsidR="00AB26BB">
        <w:t xml:space="preserve"> </w:t>
      </w:r>
      <w:r w:rsidR="006863B7">
        <w:t xml:space="preserve">separated.  </w:t>
      </w:r>
      <w:r w:rsidR="00187669">
        <w:t xml:space="preserve">The </w:t>
      </w:r>
      <w:r w:rsidR="006354BC">
        <w:t>A</w:t>
      </w:r>
      <w:r w:rsidR="00187669">
        <w:t xml:space="preserve">rbitrator granted Transnet a fair </w:t>
      </w:r>
      <w:r w:rsidR="00AB26BB">
        <w:t xml:space="preserve">hearing.  Transnet is attempting to appeal the findings of the </w:t>
      </w:r>
      <w:r w:rsidR="009F0FA7">
        <w:t>Arbitrator</w:t>
      </w:r>
      <w:r w:rsidR="00AB26BB">
        <w:t xml:space="preserve"> through this review application.</w:t>
      </w:r>
    </w:p>
    <w:p w14:paraId="2117FCE3" w14:textId="079B84A5" w:rsidR="00635147" w:rsidRDefault="00AC5E05" w:rsidP="00AC5E05">
      <w:pPr>
        <w:pStyle w:val="1"/>
        <w:numPr>
          <w:ilvl w:val="0"/>
          <w:numId w:val="0"/>
        </w:numPr>
        <w:tabs>
          <w:tab w:val="left" w:pos="567"/>
        </w:tabs>
        <w:ind w:left="567" w:hanging="567"/>
      </w:pPr>
      <w:r>
        <w:rPr>
          <w:rFonts w:cs="Arial"/>
          <w:sz w:val="22"/>
        </w:rPr>
        <w:t>[36]</w:t>
      </w:r>
      <w:r>
        <w:rPr>
          <w:rFonts w:cs="Arial"/>
          <w:sz w:val="22"/>
        </w:rPr>
        <w:tab/>
      </w:r>
      <w:r w:rsidR="00F14D69">
        <w:t xml:space="preserve">Against this background, </w:t>
      </w:r>
      <w:r w:rsidR="002D1D9F">
        <w:t xml:space="preserve">I have approached the matter in the following way – </w:t>
      </w:r>
    </w:p>
    <w:p w14:paraId="7AF2D789" w14:textId="28DB7EC8" w:rsidR="002D1D9F" w:rsidRDefault="00AC5E05" w:rsidP="00AC5E05">
      <w:pPr>
        <w:pStyle w:val="2"/>
        <w:numPr>
          <w:ilvl w:val="0"/>
          <w:numId w:val="0"/>
        </w:numPr>
        <w:tabs>
          <w:tab w:val="left" w:pos="851"/>
        </w:tabs>
        <w:ind w:left="851" w:hanging="851"/>
      </w:pPr>
      <w:r>
        <w:rPr>
          <w:sz w:val="22"/>
        </w:rPr>
        <w:t>[36.1]</w:t>
      </w:r>
      <w:r>
        <w:rPr>
          <w:sz w:val="22"/>
        </w:rPr>
        <w:tab/>
      </w:r>
      <w:r w:rsidR="002D1D9F">
        <w:t>I deal broadly with the law applicable to reviews of arbitral awards.</w:t>
      </w:r>
    </w:p>
    <w:p w14:paraId="6FB8D476" w14:textId="486A1604" w:rsidR="002D1D9F" w:rsidRDefault="00AC5E05" w:rsidP="00AC5E05">
      <w:pPr>
        <w:pStyle w:val="2"/>
        <w:numPr>
          <w:ilvl w:val="0"/>
          <w:numId w:val="0"/>
        </w:numPr>
        <w:tabs>
          <w:tab w:val="left" w:pos="851"/>
        </w:tabs>
        <w:ind w:left="851" w:hanging="851"/>
      </w:pPr>
      <w:r>
        <w:rPr>
          <w:sz w:val="22"/>
        </w:rPr>
        <w:t>[36.2]</w:t>
      </w:r>
      <w:r>
        <w:rPr>
          <w:sz w:val="22"/>
        </w:rPr>
        <w:tab/>
      </w:r>
      <w:r w:rsidR="002D1D9F">
        <w:t>I then deal with the merits of each of the five special defences, summarising the relevant provisions of the contract, the statement</w:t>
      </w:r>
      <w:r w:rsidR="00740915">
        <w:t>s</w:t>
      </w:r>
      <w:r w:rsidR="002D1D9F">
        <w:t xml:space="preserve"> of claim</w:t>
      </w:r>
      <w:r w:rsidR="007569DB">
        <w:t>,</w:t>
      </w:r>
      <w:r w:rsidR="002D1D9F">
        <w:t xml:space="preserve"> </w:t>
      </w:r>
      <w:r w:rsidR="00740915">
        <w:t xml:space="preserve">other </w:t>
      </w:r>
      <w:r w:rsidR="00740915">
        <w:lastRenderedPageBreak/>
        <w:t>submissions by the parties</w:t>
      </w:r>
      <w:r w:rsidR="001472F6">
        <w:t>,</w:t>
      </w:r>
      <w:r w:rsidR="007569DB">
        <w:t xml:space="preserve"> and the </w:t>
      </w:r>
      <w:r w:rsidR="009F0FA7">
        <w:t>Arbitrator</w:t>
      </w:r>
      <w:r w:rsidR="007569DB">
        <w:t>’s award</w:t>
      </w:r>
      <w:r w:rsidR="00740915">
        <w:t xml:space="preserve"> as and when applicable.  I conclude on each of the five special defences.</w:t>
      </w:r>
    </w:p>
    <w:p w14:paraId="16D31F4B" w14:textId="14136DDB" w:rsidR="00740915" w:rsidRDefault="00AC5E05" w:rsidP="00AC5E05">
      <w:pPr>
        <w:pStyle w:val="2"/>
        <w:numPr>
          <w:ilvl w:val="0"/>
          <w:numId w:val="0"/>
        </w:numPr>
        <w:tabs>
          <w:tab w:val="left" w:pos="851"/>
        </w:tabs>
        <w:ind w:left="851" w:hanging="851"/>
      </w:pPr>
      <w:r>
        <w:rPr>
          <w:sz w:val="22"/>
        </w:rPr>
        <w:t>[36.3]</w:t>
      </w:r>
      <w:r>
        <w:rPr>
          <w:sz w:val="22"/>
        </w:rPr>
        <w:tab/>
      </w:r>
      <w:r w:rsidR="00740915">
        <w:t>I then make overall concluding remarks and grant the order.</w:t>
      </w:r>
    </w:p>
    <w:p w14:paraId="7541DE73" w14:textId="57091FBD" w:rsidR="00740915" w:rsidRDefault="00AC5E05" w:rsidP="00AC5E05">
      <w:pPr>
        <w:pStyle w:val="1"/>
        <w:numPr>
          <w:ilvl w:val="0"/>
          <w:numId w:val="0"/>
        </w:numPr>
        <w:tabs>
          <w:tab w:val="left" w:pos="567"/>
        </w:tabs>
        <w:ind w:left="567" w:hanging="567"/>
        <w:rPr>
          <w:lang w:val="en-ZA"/>
        </w:rPr>
      </w:pPr>
      <w:r>
        <w:rPr>
          <w:rFonts w:cs="Arial"/>
          <w:sz w:val="22"/>
          <w:lang w:val="en-ZA"/>
        </w:rPr>
        <w:t>[37]</w:t>
      </w:r>
      <w:r>
        <w:rPr>
          <w:rFonts w:cs="Arial"/>
          <w:sz w:val="22"/>
          <w:lang w:val="en-ZA"/>
        </w:rPr>
        <w:tab/>
      </w:r>
      <w:r w:rsidR="00740915">
        <w:rPr>
          <w:lang w:val="en-ZA"/>
        </w:rPr>
        <w:t>Before turning to the merits of the matter, I make the following preliminary remarks</w:t>
      </w:r>
      <w:r w:rsidR="0011344A">
        <w:rPr>
          <w:lang w:val="en-ZA"/>
        </w:rPr>
        <w:t xml:space="preserve"> regarding</w:t>
      </w:r>
      <w:r w:rsidR="00355433">
        <w:rPr>
          <w:lang w:val="en-ZA"/>
        </w:rPr>
        <w:t xml:space="preserve"> Transnet’s approach </w:t>
      </w:r>
      <w:r w:rsidR="0011344A">
        <w:rPr>
          <w:lang w:val="en-ZA"/>
        </w:rPr>
        <w:t>in this matter</w:t>
      </w:r>
      <w:r w:rsidR="00740915">
        <w:rPr>
          <w:lang w:val="en-ZA"/>
        </w:rPr>
        <w:t>:</w:t>
      </w:r>
    </w:p>
    <w:p w14:paraId="0667BC7A" w14:textId="252D5456" w:rsidR="009C2EC2" w:rsidRDefault="00AC5E05" w:rsidP="00AC5E05">
      <w:pPr>
        <w:pStyle w:val="2"/>
        <w:numPr>
          <w:ilvl w:val="0"/>
          <w:numId w:val="0"/>
        </w:numPr>
        <w:tabs>
          <w:tab w:val="left" w:pos="851"/>
        </w:tabs>
        <w:ind w:left="851" w:hanging="851"/>
        <w:rPr>
          <w:lang w:val="en-ZA"/>
        </w:rPr>
      </w:pPr>
      <w:r>
        <w:rPr>
          <w:sz w:val="22"/>
          <w:lang w:val="en-ZA"/>
        </w:rPr>
        <w:t>[37.1]</w:t>
      </w:r>
      <w:r>
        <w:rPr>
          <w:sz w:val="22"/>
          <w:lang w:val="en-ZA"/>
        </w:rPr>
        <w:tab/>
      </w:r>
      <w:r w:rsidR="00740915">
        <w:rPr>
          <w:lang w:val="en-ZA"/>
        </w:rPr>
        <w:t>In the arbitration proceedings, Spill Tech put up two witness statements namely those of Mr Van der Kwast</w:t>
      </w:r>
      <w:r w:rsidR="008D6B23">
        <w:rPr>
          <w:rStyle w:val="FootnoteReference"/>
        </w:rPr>
        <w:footnoteReference w:id="17"/>
      </w:r>
      <w:r w:rsidR="00740915">
        <w:rPr>
          <w:lang w:val="en-ZA"/>
        </w:rPr>
        <w:t xml:space="preserve"> and Ms</w:t>
      </w:r>
      <w:r w:rsidR="009A01E2">
        <w:rPr>
          <w:lang w:val="en-ZA"/>
        </w:rPr>
        <w:t xml:space="preserve"> N C</w:t>
      </w:r>
      <w:r w:rsidR="00740915">
        <w:rPr>
          <w:lang w:val="en-ZA"/>
        </w:rPr>
        <w:t xml:space="preserve"> Radebe</w:t>
      </w:r>
      <w:r w:rsidR="009A01E2">
        <w:rPr>
          <w:rStyle w:val="FootnoteReference"/>
        </w:rPr>
        <w:footnoteReference w:id="18"/>
      </w:r>
      <w:r w:rsidR="00740915">
        <w:rPr>
          <w:lang w:val="en-ZA"/>
        </w:rPr>
        <w:t xml:space="preserve"> which dealt with the history of the contractual relationship between Transnet and Spill Tech, the tender put out by Transnet, the details of the requirements of the two tenders, the details of the </w:t>
      </w:r>
      <w:r w:rsidR="003E5D95">
        <w:rPr>
          <w:lang w:val="en-ZA"/>
        </w:rPr>
        <w:t>Contracts</w:t>
      </w:r>
      <w:r w:rsidR="00740915">
        <w:rPr>
          <w:lang w:val="en-ZA"/>
        </w:rPr>
        <w:t xml:space="preserve">, the manner in which the size of spills was assessed, how the contract was executed, the switching of contractors, the details of the disputed spills, the engagement by Spill Tech with Transnet officials in order to resolve the disputes and finally the referral to adjudication. </w:t>
      </w:r>
    </w:p>
    <w:p w14:paraId="7AFFD158" w14:textId="6A67A4E2" w:rsidR="00740915" w:rsidRDefault="00AC5E05" w:rsidP="00AC5E05">
      <w:pPr>
        <w:pStyle w:val="2"/>
        <w:numPr>
          <w:ilvl w:val="0"/>
          <w:numId w:val="0"/>
        </w:numPr>
        <w:tabs>
          <w:tab w:val="left" w:pos="851"/>
        </w:tabs>
        <w:ind w:left="851" w:hanging="851"/>
        <w:rPr>
          <w:lang w:val="en-ZA"/>
        </w:rPr>
      </w:pPr>
      <w:r>
        <w:rPr>
          <w:sz w:val="22"/>
          <w:lang w:val="en-ZA"/>
        </w:rPr>
        <w:t>[37.2]</w:t>
      </w:r>
      <w:r>
        <w:rPr>
          <w:sz w:val="22"/>
          <w:lang w:val="en-ZA"/>
        </w:rPr>
        <w:tab/>
      </w:r>
      <w:r w:rsidR="00740915">
        <w:rPr>
          <w:lang w:val="en-ZA"/>
        </w:rPr>
        <w:t>Transnet did not file any witness statements.  It was of the view that the special defences could be decided without evidence</w:t>
      </w:r>
      <w:r w:rsidR="009C2EC2">
        <w:rPr>
          <w:lang w:val="en-ZA"/>
        </w:rPr>
        <w:t xml:space="preserve"> and </w:t>
      </w:r>
      <w:r w:rsidR="004D37BD">
        <w:rPr>
          <w:lang w:val="en-ZA"/>
        </w:rPr>
        <w:t xml:space="preserve">by legal argument </w:t>
      </w:r>
      <w:r w:rsidR="009C2EC2">
        <w:rPr>
          <w:lang w:val="en-ZA"/>
        </w:rPr>
        <w:t>on the interpretation of the Contracts</w:t>
      </w:r>
      <w:r w:rsidR="00740915">
        <w:rPr>
          <w:lang w:val="en-ZA"/>
        </w:rPr>
        <w:t xml:space="preserve">.  It however agreed that the facts in Spill Tech’s witness statements could be accepted as correct but reserved its right to argue the relevance or admissibility thereof. The </w:t>
      </w:r>
      <w:r w:rsidR="009F0FA7">
        <w:rPr>
          <w:lang w:val="en-ZA"/>
        </w:rPr>
        <w:t>Arbitrator</w:t>
      </w:r>
      <w:r w:rsidR="00740915">
        <w:rPr>
          <w:lang w:val="en-ZA"/>
        </w:rPr>
        <w:t xml:space="preserve"> made an interim award </w:t>
      </w:r>
      <w:r w:rsidR="00740915">
        <w:rPr>
          <w:lang w:val="en-ZA"/>
        </w:rPr>
        <w:lastRenderedPageBreak/>
        <w:t>to this effect</w:t>
      </w:r>
      <w:r w:rsidR="00740915">
        <w:rPr>
          <w:rStyle w:val="FootnoteReference"/>
        </w:rPr>
        <w:footnoteReference w:id="19"/>
      </w:r>
      <w:r w:rsidR="00740915">
        <w:rPr>
          <w:lang w:val="en-ZA"/>
        </w:rPr>
        <w:t xml:space="preserve">  admitting Spill Tech’s witness statements.  </w:t>
      </w:r>
    </w:p>
    <w:p w14:paraId="430F08A4" w14:textId="6DB8ECF7" w:rsidR="00740915" w:rsidRDefault="00AC5E05" w:rsidP="00AC5E05">
      <w:pPr>
        <w:pStyle w:val="2"/>
        <w:numPr>
          <w:ilvl w:val="0"/>
          <w:numId w:val="0"/>
        </w:numPr>
        <w:tabs>
          <w:tab w:val="left" w:pos="851"/>
        </w:tabs>
        <w:ind w:left="851" w:hanging="851"/>
        <w:rPr>
          <w:lang w:val="en-ZA"/>
        </w:rPr>
      </w:pPr>
      <w:r>
        <w:rPr>
          <w:sz w:val="22"/>
          <w:lang w:val="en-ZA"/>
        </w:rPr>
        <w:t>[37.3]</w:t>
      </w:r>
      <w:r>
        <w:rPr>
          <w:sz w:val="22"/>
          <w:lang w:val="en-ZA"/>
        </w:rPr>
        <w:tab/>
      </w:r>
      <w:r w:rsidR="00740915">
        <w:rPr>
          <w:lang w:val="en-ZA"/>
        </w:rPr>
        <w:t>In these proceedings</w:t>
      </w:r>
      <w:r w:rsidR="00250B38">
        <w:rPr>
          <w:lang w:val="en-ZA"/>
        </w:rPr>
        <w:t>,</w:t>
      </w:r>
      <w:r w:rsidR="00740915">
        <w:rPr>
          <w:lang w:val="en-ZA"/>
        </w:rPr>
        <w:t xml:space="preserve"> Transnet put up factual allegations in its founding affidavit disputing</w:t>
      </w:r>
      <w:r w:rsidR="00C10D8B">
        <w:rPr>
          <w:lang w:val="en-ZA"/>
        </w:rPr>
        <w:t xml:space="preserve"> some</w:t>
      </w:r>
      <w:r w:rsidR="00740915">
        <w:rPr>
          <w:lang w:val="en-ZA"/>
        </w:rPr>
        <w:t xml:space="preserve"> the evidence Spill Tech</w:t>
      </w:r>
      <w:r w:rsidR="00E10C2A">
        <w:rPr>
          <w:lang w:val="en-ZA"/>
        </w:rPr>
        <w:t xml:space="preserve"> </w:t>
      </w:r>
      <w:r w:rsidR="004B73DD">
        <w:rPr>
          <w:lang w:val="en-ZA"/>
        </w:rPr>
        <w:t xml:space="preserve">had </w:t>
      </w:r>
      <w:r w:rsidR="00E10C2A">
        <w:rPr>
          <w:lang w:val="en-ZA"/>
        </w:rPr>
        <w:t>put up in</w:t>
      </w:r>
      <w:r w:rsidR="00740915">
        <w:rPr>
          <w:lang w:val="en-ZA"/>
        </w:rPr>
        <w:t xml:space="preserve"> the arbitration on how the spills were managed between the two contractors</w:t>
      </w:r>
      <w:r w:rsidR="006814D3">
        <w:rPr>
          <w:lang w:val="en-ZA"/>
        </w:rPr>
        <w:t xml:space="preserve"> or what transpired between Transnet and Spill Tech prior to the referral </w:t>
      </w:r>
      <w:r w:rsidR="00E10C2A">
        <w:rPr>
          <w:lang w:val="en-ZA"/>
        </w:rPr>
        <w:t xml:space="preserve">of the disputes </w:t>
      </w:r>
      <w:r w:rsidR="006814D3">
        <w:rPr>
          <w:lang w:val="en-ZA"/>
        </w:rPr>
        <w:t>to adjudication</w:t>
      </w:r>
      <w:r w:rsidR="00740915">
        <w:rPr>
          <w:lang w:val="en-ZA"/>
        </w:rPr>
        <w:t>.  Spill Tech objected to this as being impermissible.</w:t>
      </w:r>
      <w:r w:rsidR="00E10C2A">
        <w:rPr>
          <w:lang w:val="en-ZA"/>
        </w:rPr>
        <w:t xml:space="preserve"> In Spill Tech’s view</w:t>
      </w:r>
      <w:r w:rsidR="001D7AC3">
        <w:rPr>
          <w:lang w:val="en-ZA"/>
        </w:rPr>
        <w:t>,</w:t>
      </w:r>
      <w:r w:rsidR="00E10C2A">
        <w:rPr>
          <w:lang w:val="en-ZA"/>
        </w:rPr>
        <w:t xml:space="preserve"> Transnet was attempting to appeal the award under the guise of the review application.  </w:t>
      </w:r>
      <w:r w:rsidR="00740915">
        <w:rPr>
          <w:lang w:val="en-ZA"/>
        </w:rPr>
        <w:t xml:space="preserve"> </w:t>
      </w:r>
      <w:r w:rsidR="00622271">
        <w:rPr>
          <w:lang w:val="en-ZA"/>
        </w:rPr>
        <w:t xml:space="preserve">I agree.  </w:t>
      </w:r>
      <w:r w:rsidR="006814D3">
        <w:rPr>
          <w:lang w:val="en-ZA"/>
        </w:rPr>
        <w:t xml:space="preserve">It is not </w:t>
      </w:r>
      <w:r w:rsidR="00C64413">
        <w:rPr>
          <w:lang w:val="en-ZA"/>
        </w:rPr>
        <w:t>open</w:t>
      </w:r>
      <w:r w:rsidR="00AD44D3">
        <w:rPr>
          <w:lang w:val="en-ZA"/>
        </w:rPr>
        <w:t xml:space="preserve"> in</w:t>
      </w:r>
      <w:r w:rsidR="006814D3">
        <w:rPr>
          <w:lang w:val="en-ZA"/>
        </w:rPr>
        <w:t xml:space="preserve"> these review proceedings for Transnet to </w:t>
      </w:r>
      <w:r w:rsidR="00622271">
        <w:rPr>
          <w:lang w:val="en-ZA"/>
        </w:rPr>
        <w:t>dispute fact</w:t>
      </w:r>
      <w:r w:rsidR="00437BF0">
        <w:rPr>
          <w:lang w:val="en-ZA"/>
        </w:rPr>
        <w:t xml:space="preserve">s </w:t>
      </w:r>
      <w:r w:rsidR="001D7AC3">
        <w:rPr>
          <w:lang w:val="en-ZA"/>
        </w:rPr>
        <w:t>that</w:t>
      </w:r>
      <w:r w:rsidR="00437BF0">
        <w:rPr>
          <w:lang w:val="en-ZA"/>
        </w:rPr>
        <w:t xml:space="preserve"> </w:t>
      </w:r>
      <w:r w:rsidR="00622271">
        <w:rPr>
          <w:lang w:val="en-ZA"/>
        </w:rPr>
        <w:t xml:space="preserve">had been placed before the </w:t>
      </w:r>
      <w:r w:rsidR="009F0FA7">
        <w:rPr>
          <w:lang w:val="en-ZA"/>
        </w:rPr>
        <w:t>Arbitrator</w:t>
      </w:r>
      <w:r w:rsidR="00622271">
        <w:rPr>
          <w:lang w:val="en-ZA"/>
        </w:rPr>
        <w:t xml:space="preserve"> </w:t>
      </w:r>
      <w:r w:rsidR="00437BF0">
        <w:rPr>
          <w:lang w:val="en-ZA"/>
        </w:rPr>
        <w:t>in the arbitration hearin</w:t>
      </w:r>
      <w:r w:rsidR="006814D3">
        <w:rPr>
          <w:lang w:val="en-ZA"/>
        </w:rPr>
        <w:t>g</w:t>
      </w:r>
      <w:r w:rsidR="00E10C2A">
        <w:rPr>
          <w:lang w:val="en-ZA"/>
        </w:rPr>
        <w:t xml:space="preserve"> and</w:t>
      </w:r>
      <w:r w:rsidR="00392434">
        <w:rPr>
          <w:lang w:val="en-ZA"/>
        </w:rPr>
        <w:t xml:space="preserve"> in respect of which it had been granted an opportunity to </w:t>
      </w:r>
      <w:r w:rsidR="00767A7D">
        <w:rPr>
          <w:lang w:val="en-ZA"/>
        </w:rPr>
        <w:t>address or rebut</w:t>
      </w:r>
      <w:r w:rsidR="00437BF0">
        <w:rPr>
          <w:lang w:val="en-ZA"/>
        </w:rPr>
        <w:t>.</w:t>
      </w:r>
      <w:r w:rsidR="00767A7D">
        <w:rPr>
          <w:lang w:val="en-ZA"/>
        </w:rPr>
        <w:t xml:space="preserve"> </w:t>
      </w:r>
    </w:p>
    <w:p w14:paraId="66AFCE37" w14:textId="10E9A057" w:rsidR="00AF3914" w:rsidRDefault="00AC5E05" w:rsidP="00AC5E05">
      <w:pPr>
        <w:pStyle w:val="2"/>
        <w:numPr>
          <w:ilvl w:val="0"/>
          <w:numId w:val="0"/>
        </w:numPr>
        <w:tabs>
          <w:tab w:val="left" w:pos="851"/>
        </w:tabs>
        <w:ind w:left="851" w:hanging="851"/>
        <w:rPr>
          <w:lang w:val="en-ZA"/>
        </w:rPr>
      </w:pPr>
      <w:r>
        <w:rPr>
          <w:sz w:val="22"/>
          <w:lang w:val="en-ZA"/>
        </w:rPr>
        <w:t>[37.4]</w:t>
      </w:r>
      <w:r>
        <w:rPr>
          <w:sz w:val="22"/>
          <w:lang w:val="en-ZA"/>
        </w:rPr>
        <w:tab/>
      </w:r>
      <w:r w:rsidR="00682D08">
        <w:rPr>
          <w:lang w:val="en-ZA"/>
        </w:rPr>
        <w:t xml:space="preserve">A significant </w:t>
      </w:r>
      <w:r w:rsidR="00682D08" w:rsidRPr="00682D08">
        <w:rPr>
          <w:lang w:val="en-ZA"/>
        </w:rPr>
        <w:t>anomaly in these proceedings wa</w:t>
      </w:r>
      <w:r w:rsidR="002B19D0">
        <w:rPr>
          <w:lang w:val="en-ZA"/>
        </w:rPr>
        <w:t>s</w:t>
      </w:r>
      <w:r w:rsidR="00A04D51">
        <w:rPr>
          <w:lang w:val="en-ZA"/>
        </w:rPr>
        <w:t xml:space="preserve"> that the</w:t>
      </w:r>
      <w:r w:rsidR="00682D08" w:rsidRPr="00682D08">
        <w:rPr>
          <w:lang w:val="en-ZA"/>
        </w:rPr>
        <w:t xml:space="preserve"> transcript of the arbitration proceedings (“transcript”) was not included in the </w:t>
      </w:r>
      <w:r w:rsidR="009568A7">
        <w:rPr>
          <w:lang w:val="en-ZA"/>
        </w:rPr>
        <w:t xml:space="preserve">papers </w:t>
      </w:r>
      <w:r w:rsidR="00682D08" w:rsidRPr="00682D08">
        <w:rPr>
          <w:lang w:val="en-ZA"/>
        </w:rPr>
        <w:t xml:space="preserve">nor </w:t>
      </w:r>
      <w:r w:rsidR="006B2A11">
        <w:rPr>
          <w:lang w:val="en-ZA"/>
        </w:rPr>
        <w:t xml:space="preserve">were relevant portions thereof </w:t>
      </w:r>
      <w:r w:rsidR="00682D08" w:rsidRPr="00682D08">
        <w:rPr>
          <w:lang w:val="en-ZA"/>
        </w:rPr>
        <w:t xml:space="preserve">made available by Transnet despite </w:t>
      </w:r>
      <w:r w:rsidR="009568A7">
        <w:rPr>
          <w:lang w:val="en-ZA"/>
        </w:rPr>
        <w:t xml:space="preserve">it </w:t>
      </w:r>
      <w:r w:rsidR="00682D08" w:rsidRPr="00682D08">
        <w:rPr>
          <w:lang w:val="en-ZA"/>
        </w:rPr>
        <w:t xml:space="preserve">providing undertakings at different times to do so.  </w:t>
      </w:r>
      <w:r w:rsidR="006B2A11">
        <w:rPr>
          <w:lang w:val="en-ZA"/>
        </w:rPr>
        <w:t xml:space="preserve">Transnet had carefully selected certain portions of the documents that </w:t>
      </w:r>
      <w:r w:rsidR="00723DAF">
        <w:rPr>
          <w:lang w:val="en-ZA"/>
        </w:rPr>
        <w:t>served before the Arbitrator</w:t>
      </w:r>
      <w:r w:rsidR="000C5B22">
        <w:rPr>
          <w:lang w:val="en-ZA"/>
        </w:rPr>
        <w:t xml:space="preserve"> such as the SOC and the adju</w:t>
      </w:r>
      <w:r w:rsidR="009C0CF9">
        <w:rPr>
          <w:lang w:val="en-ZA"/>
        </w:rPr>
        <w:t xml:space="preserve">dicator’s award. </w:t>
      </w:r>
      <w:r w:rsidR="00AF3914">
        <w:rPr>
          <w:lang w:val="en-ZA"/>
        </w:rPr>
        <w:t>However, it did no</w:t>
      </w:r>
      <w:r w:rsidR="00682D08" w:rsidRPr="00682D08">
        <w:rPr>
          <w:lang w:val="en-ZA"/>
        </w:rPr>
        <w:t xml:space="preserve">t </w:t>
      </w:r>
      <w:r w:rsidR="009568A7">
        <w:rPr>
          <w:lang w:val="en-ZA"/>
        </w:rPr>
        <w:t>include</w:t>
      </w:r>
      <w:r w:rsidR="009568A7" w:rsidRPr="00682D08">
        <w:rPr>
          <w:lang w:val="en-ZA"/>
        </w:rPr>
        <w:t xml:space="preserve"> </w:t>
      </w:r>
      <w:r w:rsidR="00682D08" w:rsidRPr="00682D08">
        <w:rPr>
          <w:lang w:val="en-ZA"/>
        </w:rPr>
        <w:t xml:space="preserve">any of its submissions made to the </w:t>
      </w:r>
      <w:r w:rsidR="009F0FA7">
        <w:rPr>
          <w:lang w:val="en-ZA"/>
        </w:rPr>
        <w:t>Arbitrator</w:t>
      </w:r>
      <w:r w:rsidR="00682D08" w:rsidRPr="00682D08">
        <w:rPr>
          <w:lang w:val="en-ZA"/>
        </w:rPr>
        <w:t xml:space="preserve">. </w:t>
      </w:r>
      <w:r w:rsidR="001F3767">
        <w:rPr>
          <w:lang w:val="en-ZA"/>
        </w:rPr>
        <w:t>Furthermore, it</w:t>
      </w:r>
      <w:r w:rsidR="00AF3914">
        <w:rPr>
          <w:lang w:val="en-ZA"/>
        </w:rPr>
        <w:t xml:space="preserve"> </w:t>
      </w:r>
      <w:r w:rsidR="001E6314">
        <w:rPr>
          <w:lang w:val="en-ZA"/>
        </w:rPr>
        <w:t>included documents (copies of correspondence and minutes of meetings</w:t>
      </w:r>
      <w:r w:rsidR="002D5126">
        <w:rPr>
          <w:lang w:val="en-ZA"/>
        </w:rPr>
        <w:t xml:space="preserve"> dealing with factual issues</w:t>
      </w:r>
      <w:r w:rsidR="001E6314">
        <w:rPr>
          <w:lang w:val="en-ZA"/>
        </w:rPr>
        <w:t xml:space="preserve">) </w:t>
      </w:r>
      <w:r w:rsidR="00A66DBA">
        <w:rPr>
          <w:lang w:val="en-ZA"/>
        </w:rPr>
        <w:t xml:space="preserve">without indicating which or any of these </w:t>
      </w:r>
      <w:r w:rsidR="001F3767">
        <w:rPr>
          <w:lang w:val="en-ZA"/>
        </w:rPr>
        <w:t>served before the Arbitrator</w:t>
      </w:r>
      <w:r w:rsidR="001E6314">
        <w:rPr>
          <w:lang w:val="en-ZA"/>
        </w:rPr>
        <w:t xml:space="preserve"> </w:t>
      </w:r>
      <w:r w:rsidR="001E6314">
        <w:rPr>
          <w:lang w:val="en-ZA"/>
        </w:rPr>
        <w:lastRenderedPageBreak/>
        <w:t>during the arbitration</w:t>
      </w:r>
      <w:r w:rsidR="001F3767">
        <w:rPr>
          <w:lang w:val="en-ZA"/>
        </w:rPr>
        <w:t>.</w:t>
      </w:r>
    </w:p>
    <w:p w14:paraId="15354B56" w14:textId="7AB1C543" w:rsidR="0032425E" w:rsidRDefault="00AC5E05" w:rsidP="00AC5E05">
      <w:pPr>
        <w:pStyle w:val="2"/>
        <w:numPr>
          <w:ilvl w:val="0"/>
          <w:numId w:val="0"/>
        </w:numPr>
        <w:tabs>
          <w:tab w:val="left" w:pos="851"/>
        </w:tabs>
        <w:ind w:left="851" w:hanging="851"/>
        <w:rPr>
          <w:lang w:val="en-ZA"/>
        </w:rPr>
      </w:pPr>
      <w:r>
        <w:rPr>
          <w:sz w:val="22"/>
          <w:lang w:val="en-ZA"/>
        </w:rPr>
        <w:t>[37.5]</w:t>
      </w:r>
      <w:r>
        <w:rPr>
          <w:sz w:val="22"/>
          <w:lang w:val="en-ZA"/>
        </w:rPr>
        <w:tab/>
      </w:r>
      <w:r w:rsidR="00682D08" w:rsidRPr="00682D08">
        <w:rPr>
          <w:lang w:val="en-ZA"/>
        </w:rPr>
        <w:t>In its answering affidavit</w:t>
      </w:r>
      <w:r w:rsidR="001D7AC3">
        <w:rPr>
          <w:lang w:val="en-ZA"/>
        </w:rPr>
        <w:t>,</w:t>
      </w:r>
      <w:r w:rsidR="00682D08" w:rsidRPr="00682D08">
        <w:rPr>
          <w:lang w:val="en-ZA"/>
        </w:rPr>
        <w:t xml:space="preserve"> Spill Tech included selected portions of the transcript.  Unusually, Spill Tech put up a copy of Transnet’s submissions (heads of argument) on the separated issues during the arbitration proceedings as annexure ST1 to it</w:t>
      </w:r>
      <w:r w:rsidR="001D7AC3">
        <w:rPr>
          <w:lang w:val="en-ZA"/>
        </w:rPr>
        <w:t>s</w:t>
      </w:r>
      <w:r w:rsidR="00682D08" w:rsidRPr="00682D08">
        <w:rPr>
          <w:lang w:val="en-ZA"/>
        </w:rPr>
        <w:t xml:space="preserve"> answering affidavit (“</w:t>
      </w:r>
      <w:r w:rsidR="00682D08" w:rsidRPr="00682D08">
        <w:rPr>
          <w:b/>
          <w:bCs/>
          <w:lang w:val="en-ZA"/>
        </w:rPr>
        <w:t>ST1</w:t>
      </w:r>
      <w:r w:rsidR="00682D08" w:rsidRPr="00682D08">
        <w:rPr>
          <w:lang w:val="en-ZA"/>
        </w:rPr>
        <w:t>”).  In its replying affidavit</w:t>
      </w:r>
      <w:r w:rsidR="001D7AC3">
        <w:rPr>
          <w:lang w:val="en-ZA"/>
        </w:rPr>
        <w:t>,</w:t>
      </w:r>
      <w:r w:rsidR="00682D08" w:rsidRPr="00682D08">
        <w:rPr>
          <w:lang w:val="en-ZA"/>
        </w:rPr>
        <w:t xml:space="preserve"> Transnet remarked on this and threatened to put up full extracts of the transcript, which it did not do. </w:t>
      </w:r>
      <w:r w:rsidR="0032425E" w:rsidRPr="00BD5344">
        <w:rPr>
          <w:lang w:val="en-ZA"/>
        </w:rPr>
        <w:t>Transnet thereafter included selected extracts of the transcript in its heads of argument (which it had failed to include in its pleadings) in response to Spill Tech’s answering affidavit</w:t>
      </w:r>
      <w:r w:rsidR="0032425E">
        <w:rPr>
          <w:lang w:val="en-ZA"/>
        </w:rPr>
        <w:t xml:space="preserve"> but then failed to provide these</w:t>
      </w:r>
      <w:r w:rsidR="0032425E" w:rsidRPr="00BD5344">
        <w:rPr>
          <w:lang w:val="en-ZA"/>
        </w:rPr>
        <w:t xml:space="preserve">.  </w:t>
      </w:r>
    </w:p>
    <w:p w14:paraId="2FFD98EB" w14:textId="6D3739D0" w:rsidR="001E103B" w:rsidRPr="001E103B" w:rsidRDefault="00AC5E05" w:rsidP="00AC5E05">
      <w:pPr>
        <w:pStyle w:val="1"/>
        <w:numPr>
          <w:ilvl w:val="0"/>
          <w:numId w:val="0"/>
        </w:numPr>
        <w:tabs>
          <w:tab w:val="left" w:pos="567"/>
        </w:tabs>
        <w:ind w:left="567" w:hanging="567"/>
        <w:rPr>
          <w:sz w:val="22"/>
          <w:lang w:val="en-ZA"/>
        </w:rPr>
      </w:pPr>
      <w:r w:rsidRPr="001E103B">
        <w:rPr>
          <w:rFonts w:cs="Arial"/>
          <w:sz w:val="22"/>
          <w:lang w:val="en-ZA"/>
        </w:rPr>
        <w:t>[38]</w:t>
      </w:r>
      <w:r w:rsidRPr="001E103B">
        <w:rPr>
          <w:rFonts w:cs="Arial"/>
          <w:sz w:val="22"/>
          <w:lang w:val="en-ZA"/>
        </w:rPr>
        <w:tab/>
      </w:r>
      <w:r w:rsidR="00740915">
        <w:rPr>
          <w:lang w:val="en-ZA"/>
        </w:rPr>
        <w:t>I set t</w:t>
      </w:r>
      <w:r w:rsidR="00B17E2C">
        <w:rPr>
          <w:lang w:val="en-ZA"/>
        </w:rPr>
        <w:t>his</w:t>
      </w:r>
      <w:r w:rsidR="00740915">
        <w:rPr>
          <w:lang w:val="en-ZA"/>
        </w:rPr>
        <w:t xml:space="preserve"> out here </w:t>
      </w:r>
      <w:r w:rsidR="00250B38">
        <w:rPr>
          <w:lang w:val="en-ZA"/>
        </w:rPr>
        <w:t xml:space="preserve">upfront </w:t>
      </w:r>
      <w:r w:rsidR="000D11A4">
        <w:rPr>
          <w:lang w:val="en-ZA"/>
        </w:rPr>
        <w:t xml:space="preserve">to emphasise that </w:t>
      </w:r>
      <w:r w:rsidR="005C54C8">
        <w:rPr>
          <w:lang w:val="en-ZA"/>
        </w:rPr>
        <w:t xml:space="preserve">these </w:t>
      </w:r>
      <w:r w:rsidR="00D616DA">
        <w:t>are review</w:t>
      </w:r>
      <w:r w:rsidR="001D7AC3">
        <w:t>,</w:t>
      </w:r>
      <w:r w:rsidR="00D616DA">
        <w:t xml:space="preserve"> </w:t>
      </w:r>
      <w:r w:rsidR="00942294">
        <w:t>not appeal proceedings</w:t>
      </w:r>
      <w:r w:rsidR="007B5426">
        <w:t>.  The enquiry that this court is engaged with is whether</w:t>
      </w:r>
      <w:r w:rsidR="001D7AC3">
        <w:t>,</w:t>
      </w:r>
      <w:r w:rsidR="007B5426">
        <w:t xml:space="preserve"> in the </w:t>
      </w:r>
      <w:r w:rsidR="007B5426" w:rsidRPr="00452353">
        <w:t>arbitration proceedings</w:t>
      </w:r>
      <w:r w:rsidR="001D7AC3">
        <w:rPr>
          <w:i/>
          <w:iCs w:val="0"/>
        </w:rPr>
        <w:t>,</w:t>
      </w:r>
      <w:r w:rsidR="007B5426">
        <w:t xml:space="preserve"> the </w:t>
      </w:r>
      <w:r w:rsidR="00802FA5">
        <w:t>A</w:t>
      </w:r>
      <w:r w:rsidR="007B5426" w:rsidRPr="00FC3012">
        <w:t>rbitrator</w:t>
      </w:r>
      <w:r w:rsidR="007B5426">
        <w:t xml:space="preserve"> conducted himself in a manner that amounted to a gross irregularity or exceeded his powers to such an extent  </w:t>
      </w:r>
      <w:r w:rsidR="00082900">
        <w:t>as</w:t>
      </w:r>
      <w:r w:rsidR="007B5426">
        <w:t xml:space="preserve"> to warrant interference by this Court. </w:t>
      </w:r>
      <w:r w:rsidR="002246DB">
        <w:t xml:space="preserve">That assessment can only be done by reference to what </w:t>
      </w:r>
      <w:r w:rsidR="00F139BF">
        <w:t xml:space="preserve">was placed before the </w:t>
      </w:r>
      <w:r w:rsidR="00082900">
        <w:t>A</w:t>
      </w:r>
      <w:r w:rsidR="00F139BF">
        <w:t>rbitrator</w:t>
      </w:r>
      <w:r w:rsidR="00FC3012">
        <w:t xml:space="preserve"> at that time</w:t>
      </w:r>
      <w:r w:rsidR="00F139BF">
        <w:t xml:space="preserve"> and what occurred during the arbitration hearings.  </w:t>
      </w:r>
      <w:r w:rsidR="00A64E44">
        <w:t xml:space="preserve"> </w:t>
      </w:r>
    </w:p>
    <w:p w14:paraId="73149581" w14:textId="2FDDDB6A" w:rsidR="008533F4" w:rsidRPr="00EC038F" w:rsidRDefault="00AC5E05" w:rsidP="00AC5E05">
      <w:pPr>
        <w:pStyle w:val="1"/>
        <w:numPr>
          <w:ilvl w:val="0"/>
          <w:numId w:val="0"/>
        </w:numPr>
        <w:tabs>
          <w:tab w:val="left" w:pos="567"/>
        </w:tabs>
        <w:ind w:left="567" w:hanging="567"/>
        <w:rPr>
          <w:sz w:val="22"/>
          <w:lang w:val="en-ZA"/>
        </w:rPr>
      </w:pPr>
      <w:r w:rsidRPr="00EC038F">
        <w:rPr>
          <w:rFonts w:cs="Arial"/>
          <w:sz w:val="22"/>
          <w:lang w:val="en-ZA"/>
        </w:rPr>
        <w:t>[39]</w:t>
      </w:r>
      <w:r w:rsidRPr="00EC038F">
        <w:rPr>
          <w:rFonts w:cs="Arial"/>
          <w:sz w:val="22"/>
          <w:lang w:val="en-ZA"/>
        </w:rPr>
        <w:tab/>
      </w:r>
      <w:r w:rsidR="00847AE8">
        <w:t xml:space="preserve">It might be that some courts do not require the full transcript of proceedings to be placed before </w:t>
      </w:r>
      <w:r w:rsidR="00A13B89">
        <w:t>them in review applications</w:t>
      </w:r>
      <w:r w:rsidR="00847AE8">
        <w:t xml:space="preserve"> </w:t>
      </w:r>
      <w:r w:rsidR="00A13B89">
        <w:t xml:space="preserve">of this type, </w:t>
      </w:r>
      <w:r w:rsidR="00847AE8">
        <w:t xml:space="preserve">but when a party alleges that arbitration </w:t>
      </w:r>
      <w:r w:rsidR="005A2E6F">
        <w:t xml:space="preserve">proceedings were grossly irregular or the arbitrator exceeded his powers, that party is required to </w:t>
      </w:r>
      <w:r w:rsidR="008C7947">
        <w:t xml:space="preserve">put up relevant supporting </w:t>
      </w:r>
      <w:r w:rsidR="008C7947">
        <w:lastRenderedPageBreak/>
        <w:t xml:space="preserve">evidence to that effect. </w:t>
      </w:r>
      <w:r w:rsidR="006D49D8">
        <w:t xml:space="preserve"> </w:t>
      </w:r>
      <w:r w:rsidR="008C7947">
        <w:t>Transnet, the applicant bears the onus in respect thereof.</w:t>
      </w:r>
      <w:r w:rsidR="00F0037E">
        <w:t xml:space="preserve">  </w:t>
      </w:r>
    </w:p>
    <w:p w14:paraId="12186062" w14:textId="3A1AC3FF" w:rsidR="00097461" w:rsidRPr="00097461" w:rsidRDefault="00AC5E05" w:rsidP="00AC5E05">
      <w:pPr>
        <w:pStyle w:val="1"/>
        <w:numPr>
          <w:ilvl w:val="0"/>
          <w:numId w:val="0"/>
        </w:numPr>
        <w:tabs>
          <w:tab w:val="left" w:pos="567"/>
        </w:tabs>
        <w:ind w:left="567" w:hanging="567"/>
        <w:rPr>
          <w:sz w:val="22"/>
          <w:lang w:val="en-ZA"/>
        </w:rPr>
      </w:pPr>
      <w:r w:rsidRPr="00097461">
        <w:rPr>
          <w:rFonts w:cs="Arial"/>
          <w:sz w:val="22"/>
          <w:lang w:val="en-ZA"/>
        </w:rPr>
        <w:t>[40]</w:t>
      </w:r>
      <w:r w:rsidRPr="00097461">
        <w:rPr>
          <w:rFonts w:cs="Arial"/>
          <w:sz w:val="22"/>
          <w:lang w:val="en-ZA"/>
        </w:rPr>
        <w:tab/>
      </w:r>
      <w:r w:rsidR="004F6F94">
        <w:t xml:space="preserve">I discuss below </w:t>
      </w:r>
      <w:r w:rsidR="00BE41BA">
        <w:t xml:space="preserve">that </w:t>
      </w:r>
      <w:r w:rsidR="004F6F94">
        <w:t>it is well-settled that the remit of the Court in this enquiry is a narrow one, the bar is high</w:t>
      </w:r>
      <w:r w:rsidR="008533F4">
        <w:t xml:space="preserve">, </w:t>
      </w:r>
      <w:r w:rsidR="004F6F94">
        <w:t>and a court will not easily interfere in setting aside arbitral awards</w:t>
      </w:r>
      <w:r w:rsidR="00A64E44">
        <w:t xml:space="preserve">. </w:t>
      </w:r>
      <w:r w:rsidR="00D5551B">
        <w:t xml:space="preserve"> </w:t>
      </w:r>
    </w:p>
    <w:p w14:paraId="3D933813" w14:textId="2E820177" w:rsidR="00245381" w:rsidRPr="00023BCE" w:rsidRDefault="00023BCE" w:rsidP="00023BCE">
      <w:pPr>
        <w:pStyle w:val="1"/>
        <w:numPr>
          <w:ilvl w:val="0"/>
          <w:numId w:val="0"/>
        </w:numPr>
        <w:rPr>
          <w:b/>
          <w:bCs/>
        </w:rPr>
      </w:pPr>
      <w:r w:rsidRPr="00023BCE">
        <w:rPr>
          <w:b/>
          <w:bCs/>
        </w:rPr>
        <w:t>The law</w:t>
      </w:r>
    </w:p>
    <w:p w14:paraId="5356ED6C" w14:textId="5C18AFBD" w:rsidR="001B3751" w:rsidRDefault="00AC5E05" w:rsidP="00AC5E05">
      <w:pPr>
        <w:pStyle w:val="1"/>
        <w:numPr>
          <w:ilvl w:val="0"/>
          <w:numId w:val="0"/>
        </w:numPr>
        <w:tabs>
          <w:tab w:val="left" w:pos="567"/>
        </w:tabs>
        <w:ind w:left="567" w:hanging="567"/>
        <w:rPr>
          <w:rFonts w:ascii="Verdana" w:hAnsi="Verdana"/>
          <w:sz w:val="27"/>
          <w:szCs w:val="27"/>
        </w:rPr>
      </w:pPr>
      <w:r>
        <w:rPr>
          <w:rFonts w:cs="Arial"/>
          <w:sz w:val="22"/>
        </w:rPr>
        <w:t>[41]</w:t>
      </w:r>
      <w:r>
        <w:rPr>
          <w:rFonts w:cs="Arial"/>
          <w:sz w:val="22"/>
        </w:rPr>
        <w:tab/>
      </w:r>
      <w:hyperlink r:id="rId13" w:anchor="s33" w:history="1">
        <w:r w:rsidR="001B3751" w:rsidRPr="001B3751">
          <w:rPr>
            <w:rStyle w:val="Hyperlink"/>
            <w:rFonts w:cs="Arial"/>
            <w:color w:val="000000" w:themeColor="text1"/>
            <w:u w:val="none"/>
          </w:rPr>
          <w:t>Section 33(1)</w:t>
        </w:r>
      </w:hyperlink>
      <w:r w:rsidR="001B3751" w:rsidRPr="001B3751">
        <w:rPr>
          <w:color w:val="000000" w:themeColor="text1"/>
        </w:rPr>
        <w:t> of the </w:t>
      </w:r>
      <w:hyperlink r:id="rId14" w:history="1">
        <w:r w:rsidR="001B3751" w:rsidRPr="001B3751">
          <w:rPr>
            <w:rStyle w:val="Hyperlink"/>
            <w:rFonts w:cs="Arial"/>
            <w:color w:val="000000" w:themeColor="text1"/>
            <w:u w:val="none"/>
          </w:rPr>
          <w:t>Arbitration Act 42 of 1965</w:t>
        </w:r>
      </w:hyperlink>
      <w:r w:rsidR="001B3751">
        <w:t> regulates review of arbitral awards as follows:</w:t>
      </w:r>
    </w:p>
    <w:p w14:paraId="5D9FD574" w14:textId="797D6F03" w:rsidR="001B3751" w:rsidRPr="00BB0242" w:rsidRDefault="00AC5E05" w:rsidP="00AC5E05">
      <w:pPr>
        <w:pStyle w:val="2"/>
        <w:numPr>
          <w:ilvl w:val="0"/>
          <w:numId w:val="0"/>
        </w:numPr>
        <w:tabs>
          <w:tab w:val="left" w:pos="851"/>
        </w:tabs>
        <w:ind w:left="851" w:hanging="851"/>
        <w:rPr>
          <w:rFonts w:ascii="Verdana" w:hAnsi="Verdana"/>
          <w:szCs w:val="25"/>
        </w:rPr>
      </w:pPr>
      <w:r w:rsidRPr="00BB0242">
        <w:rPr>
          <w:sz w:val="22"/>
        </w:rPr>
        <w:t>[41.1]</w:t>
      </w:r>
      <w:r w:rsidRPr="00BB0242">
        <w:rPr>
          <w:sz w:val="22"/>
        </w:rPr>
        <w:tab/>
      </w:r>
      <w:r w:rsidR="001B3751" w:rsidRPr="00BB0242">
        <w:rPr>
          <w:rFonts w:ascii="Verdana" w:hAnsi="Verdana"/>
          <w:szCs w:val="25"/>
        </w:rPr>
        <w:t>‘</w:t>
      </w:r>
      <w:r w:rsidR="001B3751" w:rsidRPr="00BB0242">
        <w:rPr>
          <w:sz w:val="22"/>
          <w:szCs w:val="20"/>
        </w:rPr>
        <w:t>(1)    Where-</w:t>
      </w:r>
    </w:p>
    <w:p w14:paraId="34223974" w14:textId="4FE6A048" w:rsidR="001B3751" w:rsidRPr="00BB0242" w:rsidRDefault="001B3751" w:rsidP="001B3751">
      <w:pPr>
        <w:pStyle w:val="1"/>
        <w:numPr>
          <w:ilvl w:val="0"/>
          <w:numId w:val="0"/>
        </w:numPr>
        <w:ind w:left="720" w:firstLine="153"/>
        <w:rPr>
          <w:rFonts w:ascii="Verdana" w:hAnsi="Verdana"/>
          <w:szCs w:val="25"/>
        </w:rPr>
      </w:pPr>
      <w:r w:rsidRPr="00BB0242">
        <w:rPr>
          <w:i/>
          <w:sz w:val="22"/>
          <w:szCs w:val="20"/>
        </w:rPr>
        <w:t>(a)   </w:t>
      </w:r>
      <w:r w:rsidRPr="00BB0242">
        <w:rPr>
          <w:sz w:val="22"/>
          <w:szCs w:val="20"/>
        </w:rPr>
        <w:t>any member of the arbitration tribunal has misconducted himself in relation to his duties as arbitrator or umpire; or</w:t>
      </w:r>
    </w:p>
    <w:p w14:paraId="2002E764" w14:textId="77777777" w:rsidR="001B3751" w:rsidRPr="00BB0242" w:rsidRDefault="001B3751" w:rsidP="001B3751">
      <w:pPr>
        <w:pStyle w:val="1"/>
        <w:numPr>
          <w:ilvl w:val="0"/>
          <w:numId w:val="0"/>
        </w:numPr>
        <w:ind w:left="567" w:firstLine="153"/>
        <w:rPr>
          <w:rFonts w:ascii="Verdana" w:hAnsi="Verdana"/>
          <w:szCs w:val="25"/>
        </w:rPr>
      </w:pPr>
      <w:r w:rsidRPr="00BB0242">
        <w:rPr>
          <w:i/>
          <w:sz w:val="22"/>
          <w:szCs w:val="20"/>
        </w:rPr>
        <w:t>(b)   </w:t>
      </w:r>
      <w:bookmarkStart w:id="5" w:name="_Hlk155699748"/>
      <w:r w:rsidRPr="00BB0242">
        <w:rPr>
          <w:sz w:val="22"/>
          <w:szCs w:val="20"/>
        </w:rPr>
        <w:t>an arbitration tribunal has committed any gross irregularity in the conduct of the arbitration proceedings or exceeded its powers</w:t>
      </w:r>
      <w:bookmarkEnd w:id="5"/>
      <w:r w:rsidRPr="00BB0242">
        <w:rPr>
          <w:sz w:val="22"/>
          <w:szCs w:val="20"/>
        </w:rPr>
        <w:t>; or</w:t>
      </w:r>
    </w:p>
    <w:p w14:paraId="2A73AF69" w14:textId="77777777" w:rsidR="001B3751" w:rsidRPr="00BB0242" w:rsidRDefault="001B3751" w:rsidP="001B3751">
      <w:pPr>
        <w:pStyle w:val="1"/>
        <w:numPr>
          <w:ilvl w:val="0"/>
          <w:numId w:val="0"/>
        </w:numPr>
        <w:ind w:left="567" w:firstLine="153"/>
        <w:rPr>
          <w:rFonts w:ascii="Verdana" w:hAnsi="Verdana"/>
          <w:szCs w:val="25"/>
        </w:rPr>
      </w:pPr>
      <w:r w:rsidRPr="00BB0242">
        <w:rPr>
          <w:i/>
          <w:sz w:val="22"/>
          <w:szCs w:val="20"/>
        </w:rPr>
        <w:t>(c)   </w:t>
      </w:r>
      <w:r w:rsidRPr="00BB0242">
        <w:rPr>
          <w:sz w:val="22"/>
          <w:szCs w:val="20"/>
        </w:rPr>
        <w:t>an award has been improperly obtained,</w:t>
      </w:r>
    </w:p>
    <w:p w14:paraId="331D1EF2" w14:textId="77777777" w:rsidR="001B3751" w:rsidRPr="00BB0242" w:rsidRDefault="001B3751" w:rsidP="00BB0242">
      <w:pPr>
        <w:pStyle w:val="1"/>
        <w:numPr>
          <w:ilvl w:val="0"/>
          <w:numId w:val="0"/>
        </w:numPr>
        <w:ind w:left="567" w:firstLine="153"/>
        <w:rPr>
          <w:rFonts w:ascii="Verdana" w:hAnsi="Verdana"/>
          <w:szCs w:val="25"/>
        </w:rPr>
      </w:pPr>
      <w:r w:rsidRPr="00BB0242">
        <w:rPr>
          <w:sz w:val="22"/>
          <w:szCs w:val="20"/>
        </w:rPr>
        <w:t>the court may, on the application of any party to the reference after due notice to the other party or parties, make an order setting the award aside.’</w:t>
      </w:r>
    </w:p>
    <w:p w14:paraId="4C3B8FB0" w14:textId="669EE9D5" w:rsidR="00AB20BD" w:rsidRPr="00CA0DB1" w:rsidRDefault="00AC5E05" w:rsidP="00AC5E05">
      <w:pPr>
        <w:pStyle w:val="1"/>
        <w:numPr>
          <w:ilvl w:val="0"/>
          <w:numId w:val="0"/>
        </w:numPr>
        <w:tabs>
          <w:tab w:val="left" w:pos="567"/>
        </w:tabs>
        <w:ind w:left="567" w:hanging="567"/>
      </w:pPr>
      <w:r w:rsidRPr="00CA0DB1">
        <w:rPr>
          <w:rFonts w:cs="Arial"/>
          <w:sz w:val="22"/>
        </w:rPr>
        <w:t>[42]</w:t>
      </w:r>
      <w:r w:rsidRPr="00CA0DB1">
        <w:rPr>
          <w:rFonts w:cs="Arial"/>
          <w:sz w:val="22"/>
        </w:rPr>
        <w:tab/>
      </w:r>
      <w:r w:rsidR="00CA0DB1">
        <w:rPr>
          <w:lang w:val="en-ZA"/>
        </w:rPr>
        <w:t xml:space="preserve">The reasons why parties opt to select their own dispute </w:t>
      </w:r>
      <w:r w:rsidR="00882A35">
        <w:rPr>
          <w:lang w:val="en-ZA"/>
        </w:rPr>
        <w:t xml:space="preserve">resolution method include </w:t>
      </w:r>
      <w:r w:rsidR="00882A35">
        <w:rPr>
          <w:lang w:val="en-ZA"/>
        </w:rPr>
        <w:lastRenderedPageBreak/>
        <w:t>s</w:t>
      </w:r>
      <w:r w:rsidR="00B623A5" w:rsidRPr="00B623A5">
        <w:rPr>
          <w:lang w:val="en-ZA"/>
        </w:rPr>
        <w:t>peed, efficiency, flexibility</w:t>
      </w:r>
      <w:r w:rsidR="00C9009E">
        <w:rPr>
          <w:lang w:val="en-ZA"/>
        </w:rPr>
        <w:t>,</w:t>
      </w:r>
      <w:r w:rsidR="00B623A5" w:rsidRPr="00B623A5">
        <w:rPr>
          <w:lang w:val="en-ZA"/>
        </w:rPr>
        <w:t xml:space="preserve"> and finality of the arbitration process</w:t>
      </w:r>
      <w:r w:rsidR="00882A35">
        <w:rPr>
          <w:lang w:val="en-ZA"/>
        </w:rPr>
        <w:t>.</w:t>
      </w:r>
      <w:r w:rsidR="00B623A5" w:rsidRPr="00B623A5">
        <w:rPr>
          <w:vertAlign w:val="superscript"/>
          <w:lang w:val="en-ZA"/>
        </w:rPr>
        <w:footnoteReference w:id="20"/>
      </w:r>
      <w:r w:rsidR="00882A35">
        <w:rPr>
          <w:lang w:val="en-ZA"/>
        </w:rPr>
        <w:t xml:space="preserve">  </w:t>
      </w:r>
    </w:p>
    <w:p w14:paraId="4C116C6A" w14:textId="730374A6" w:rsidR="00CA0DB1" w:rsidRDefault="00AC5E05" w:rsidP="00AC5E05">
      <w:pPr>
        <w:pStyle w:val="1"/>
        <w:numPr>
          <w:ilvl w:val="0"/>
          <w:numId w:val="0"/>
        </w:numPr>
        <w:tabs>
          <w:tab w:val="left" w:pos="567"/>
        </w:tabs>
        <w:ind w:left="567" w:hanging="567"/>
      </w:pPr>
      <w:r>
        <w:rPr>
          <w:rFonts w:cs="Arial"/>
          <w:sz w:val="22"/>
        </w:rPr>
        <w:t>[43]</w:t>
      </w:r>
      <w:r>
        <w:rPr>
          <w:rFonts w:cs="Arial"/>
          <w:sz w:val="22"/>
        </w:rPr>
        <w:tab/>
      </w:r>
      <w:r w:rsidR="00311D81">
        <w:t xml:space="preserve">In </w:t>
      </w:r>
      <w:r w:rsidR="00311D81" w:rsidRPr="00405015">
        <w:rPr>
          <w:b/>
          <w:bCs/>
          <w:i/>
          <w:iCs w:val="0"/>
        </w:rPr>
        <w:t>Telcordia Technologies Inc v Telkom</w:t>
      </w:r>
      <w:r w:rsidR="00311D81" w:rsidRPr="009518E4">
        <w:t xml:space="preserve"> </w:t>
      </w:r>
      <w:r w:rsidR="00311D81" w:rsidRPr="00405015">
        <w:rPr>
          <w:b/>
          <w:bCs/>
          <w:i/>
          <w:iCs w:val="0"/>
        </w:rPr>
        <w:t>SA</w:t>
      </w:r>
      <w:r w:rsidR="001D7AC3">
        <w:rPr>
          <w:b/>
          <w:bCs/>
          <w:i/>
          <w:iCs w:val="0"/>
        </w:rPr>
        <w:t>,</w:t>
      </w:r>
      <w:r w:rsidR="00892C79">
        <w:rPr>
          <w:rStyle w:val="FootnoteReference"/>
          <w:b/>
          <w:bCs/>
          <w:i/>
          <w:iCs w:val="0"/>
        </w:rPr>
        <w:footnoteReference w:id="21"/>
      </w:r>
      <w:r w:rsidR="00311D81" w:rsidRPr="00405015">
        <w:rPr>
          <w:b/>
          <w:bCs/>
          <w:i/>
          <w:iCs w:val="0"/>
        </w:rPr>
        <w:t xml:space="preserve"> </w:t>
      </w:r>
      <w:r w:rsidR="00311D81">
        <w:t xml:space="preserve">the SCA </w:t>
      </w:r>
      <w:r w:rsidR="00B83531">
        <w:t xml:space="preserve">confirmed that our </w:t>
      </w:r>
      <w:r w:rsidR="00C9009E">
        <w:t xml:space="preserve">courts have </w:t>
      </w:r>
      <w:r w:rsidR="003C6629">
        <w:t xml:space="preserve">consistently given due deference to </w:t>
      </w:r>
      <w:r w:rsidR="00C82D75">
        <w:t>party autonomy and the arbitral award</w:t>
      </w:r>
      <w:r w:rsidR="009D2D48">
        <w:t xml:space="preserve"> since the early part of the 19</w:t>
      </w:r>
      <w:r w:rsidR="009D2D48" w:rsidRPr="00B83531">
        <w:rPr>
          <w:vertAlign w:val="superscript"/>
        </w:rPr>
        <w:t>th</w:t>
      </w:r>
      <w:r w:rsidR="009D2D48">
        <w:t xml:space="preserve"> Century.</w:t>
      </w:r>
      <w:r w:rsidR="009D2D48">
        <w:rPr>
          <w:rStyle w:val="FootnoteReference"/>
        </w:rPr>
        <w:footnoteReference w:id="22"/>
      </w:r>
      <w:r w:rsidR="00D44041">
        <w:t xml:space="preserve"> This approach is not unique to South Africa.  </w:t>
      </w:r>
    </w:p>
    <w:p w14:paraId="442DB1FF" w14:textId="2600427D" w:rsidR="0044180B" w:rsidRDefault="00AC5E05" w:rsidP="00AC5E05">
      <w:pPr>
        <w:pStyle w:val="1"/>
        <w:numPr>
          <w:ilvl w:val="0"/>
          <w:numId w:val="0"/>
        </w:numPr>
        <w:tabs>
          <w:tab w:val="left" w:pos="567"/>
        </w:tabs>
        <w:ind w:left="567" w:hanging="567"/>
        <w:rPr>
          <w:lang w:val="en-ZA"/>
        </w:rPr>
      </w:pPr>
      <w:r>
        <w:rPr>
          <w:rFonts w:cs="Arial"/>
          <w:sz w:val="22"/>
          <w:lang w:val="en-ZA"/>
        </w:rPr>
        <w:t>[44]</w:t>
      </w:r>
      <w:r>
        <w:rPr>
          <w:rFonts w:cs="Arial"/>
          <w:sz w:val="22"/>
          <w:lang w:val="en-ZA"/>
        </w:rPr>
        <w:tab/>
      </w:r>
      <w:r w:rsidR="00972339">
        <w:rPr>
          <w:lang w:val="en-ZA"/>
        </w:rPr>
        <w:t xml:space="preserve">In </w:t>
      </w:r>
      <w:r w:rsidR="00972339" w:rsidRPr="00405015">
        <w:rPr>
          <w:b/>
          <w:bCs/>
          <w:i/>
          <w:iCs w:val="0"/>
          <w:lang w:val="en-ZA"/>
        </w:rPr>
        <w:t>Telcordia</w:t>
      </w:r>
      <w:r w:rsidR="001D7AC3">
        <w:rPr>
          <w:b/>
          <w:bCs/>
          <w:i/>
          <w:iCs w:val="0"/>
          <w:lang w:val="en-ZA"/>
        </w:rPr>
        <w:t>,</w:t>
      </w:r>
      <w:r w:rsidR="00972339">
        <w:rPr>
          <w:lang w:val="en-ZA"/>
        </w:rPr>
        <w:t xml:space="preserve"> the SCA stated</w:t>
      </w:r>
      <w:r w:rsidR="00892C79">
        <w:rPr>
          <w:lang w:val="en-ZA"/>
        </w:rPr>
        <w:t xml:space="preserve"> </w:t>
      </w:r>
      <w:r w:rsidR="00972339">
        <w:rPr>
          <w:lang w:val="en-ZA"/>
        </w:rPr>
        <w:t>that “</w:t>
      </w:r>
      <w:r w:rsidR="0044180B" w:rsidRPr="00972339">
        <w:rPr>
          <w:i/>
          <w:iCs w:val="0"/>
          <w:lang w:val="en-ZA"/>
        </w:rPr>
        <w:t>By agreeing to arbitration parties to a dispute necessarily agree that the fairness of the hearing will be determined by the provisions of the Act and nothing else. Typically, they agree to waive the right of appeal,</w:t>
      </w:r>
      <w:r w:rsidR="0044180B" w:rsidRPr="00972339">
        <w:rPr>
          <w:i/>
          <w:iCs w:val="0"/>
          <w:vertAlign w:val="superscript"/>
          <w:lang w:val="en-ZA"/>
        </w:rPr>
        <w:footnoteReference w:id="23"/>
      </w:r>
      <w:r w:rsidR="0044180B" w:rsidRPr="00972339">
        <w:rPr>
          <w:i/>
          <w:iCs w:val="0"/>
          <w:lang w:val="en-ZA"/>
        </w:rPr>
        <w:t xml:space="preserve"> which in context means that they waive the right to have the merits of their dispute re-litigated or reconsidered</w:t>
      </w:r>
      <w:r w:rsidR="0044180B" w:rsidRPr="0044180B">
        <w:rPr>
          <w:lang w:val="en-ZA"/>
        </w:rPr>
        <w:t>.</w:t>
      </w:r>
      <w:r w:rsidR="00972339">
        <w:rPr>
          <w:lang w:val="en-ZA"/>
        </w:rPr>
        <w:t>”</w:t>
      </w:r>
      <w:r w:rsidR="00405015">
        <w:rPr>
          <w:lang w:val="en-ZA"/>
        </w:rPr>
        <w:t xml:space="preserve"> </w:t>
      </w:r>
      <w:r w:rsidR="00892C79">
        <w:rPr>
          <w:rStyle w:val="FootnoteReference"/>
        </w:rPr>
        <w:footnoteReference w:id="24"/>
      </w:r>
      <w:r w:rsidR="00892C79">
        <w:rPr>
          <w:lang w:val="en-ZA"/>
        </w:rPr>
        <w:t xml:space="preserve"> </w:t>
      </w:r>
    </w:p>
    <w:p w14:paraId="0C94A604" w14:textId="1DE2EF3A" w:rsidR="004C79E2" w:rsidRPr="005A6C94" w:rsidRDefault="00AC5E05" w:rsidP="00AC5E05">
      <w:pPr>
        <w:pStyle w:val="1"/>
        <w:numPr>
          <w:ilvl w:val="0"/>
          <w:numId w:val="0"/>
        </w:numPr>
        <w:tabs>
          <w:tab w:val="left" w:pos="567"/>
        </w:tabs>
        <w:ind w:left="567" w:hanging="567"/>
        <w:rPr>
          <w:lang w:val="en-ZA"/>
        </w:rPr>
      </w:pPr>
      <w:r w:rsidRPr="005A6C94">
        <w:rPr>
          <w:rFonts w:cs="Arial"/>
          <w:sz w:val="22"/>
          <w:lang w:val="en-ZA"/>
        </w:rPr>
        <w:t>[45]</w:t>
      </w:r>
      <w:r w:rsidRPr="005A6C94">
        <w:rPr>
          <w:rFonts w:cs="Arial"/>
          <w:sz w:val="22"/>
          <w:lang w:val="en-ZA"/>
        </w:rPr>
        <w:tab/>
      </w:r>
      <w:r w:rsidR="00B21BC3">
        <w:rPr>
          <w:lang w:val="en-ZA"/>
        </w:rPr>
        <w:t>By agreeing to arbitration</w:t>
      </w:r>
      <w:r w:rsidR="00716522">
        <w:rPr>
          <w:lang w:val="en-ZA"/>
        </w:rPr>
        <w:t>,</w:t>
      </w:r>
      <w:r w:rsidR="009A0CAC">
        <w:rPr>
          <w:lang w:val="en-ZA"/>
        </w:rPr>
        <w:t xml:space="preserve"> the parties limit interference by courts to the grounds of procedural </w:t>
      </w:r>
      <w:r w:rsidR="0098576C">
        <w:rPr>
          <w:lang w:val="en-ZA"/>
        </w:rPr>
        <w:t>irregularities set out in s33(1) of the Arbitration Act.</w:t>
      </w:r>
      <w:r w:rsidR="004C79E2" w:rsidRPr="004C79E2">
        <w:t xml:space="preserve"> </w:t>
      </w:r>
    </w:p>
    <w:p w14:paraId="22662532" w14:textId="1F410ED6" w:rsidR="00AE7E79" w:rsidRPr="00B51EDD" w:rsidRDefault="00AC5E05" w:rsidP="00AC5E05">
      <w:pPr>
        <w:pStyle w:val="1"/>
        <w:numPr>
          <w:ilvl w:val="0"/>
          <w:numId w:val="0"/>
        </w:numPr>
        <w:tabs>
          <w:tab w:val="left" w:pos="567"/>
        </w:tabs>
        <w:ind w:left="567" w:hanging="567"/>
        <w:rPr>
          <w:sz w:val="16"/>
        </w:rPr>
      </w:pPr>
      <w:r w:rsidRPr="00B51EDD">
        <w:rPr>
          <w:rFonts w:cs="Arial"/>
          <w:sz w:val="22"/>
        </w:rPr>
        <w:t>[46]</w:t>
      </w:r>
      <w:r w:rsidRPr="00B51EDD">
        <w:rPr>
          <w:rFonts w:cs="Arial"/>
          <w:sz w:val="22"/>
        </w:rPr>
        <w:tab/>
      </w:r>
      <w:r w:rsidR="00AE7E79">
        <w:t>That agreement carries with it the risk that the Arbitrator may get it wrong</w:t>
      </w:r>
      <w:r w:rsidR="00AE7E79">
        <w:rPr>
          <w:spacing w:val="1"/>
        </w:rPr>
        <w:t xml:space="preserve"> </w:t>
      </w:r>
      <w:r w:rsidR="00AE7E79">
        <w:t xml:space="preserve">on the facts and the law and </w:t>
      </w:r>
      <w:r w:rsidR="0010797E">
        <w:t xml:space="preserve">the parties </w:t>
      </w:r>
      <w:r w:rsidR="00AE7E79">
        <w:t>will have to live with the result because</w:t>
      </w:r>
      <w:r w:rsidR="00AE7E79">
        <w:rPr>
          <w:spacing w:val="1"/>
        </w:rPr>
        <w:t xml:space="preserve"> </w:t>
      </w:r>
      <w:r w:rsidR="00AE7E79">
        <w:t>where parties choose to resolve their disputes by arbitration, they limit the</w:t>
      </w:r>
      <w:r w:rsidR="00AE7E79">
        <w:rPr>
          <w:spacing w:val="1"/>
        </w:rPr>
        <w:t xml:space="preserve"> </w:t>
      </w:r>
      <w:r w:rsidR="00AE7E79">
        <w:t>possibility of interference by courts to specified grounds of procedural</w:t>
      </w:r>
      <w:r w:rsidR="00AE7E79">
        <w:rPr>
          <w:spacing w:val="1"/>
        </w:rPr>
        <w:t xml:space="preserve"> </w:t>
      </w:r>
      <w:r w:rsidR="00AE7E79">
        <w:t>irregularities</w:t>
      </w:r>
      <w:r w:rsidR="00AE7E79">
        <w:rPr>
          <w:spacing w:val="66"/>
        </w:rPr>
        <w:t xml:space="preserve"> </w:t>
      </w:r>
      <w:r w:rsidR="00AE7E79">
        <w:t>set</w:t>
      </w:r>
      <w:r w:rsidR="00AE7E79">
        <w:rPr>
          <w:spacing w:val="-2"/>
        </w:rPr>
        <w:t xml:space="preserve"> </w:t>
      </w:r>
      <w:r w:rsidR="00AE7E79">
        <w:t>out in</w:t>
      </w:r>
      <w:r w:rsidR="00AE7E79">
        <w:rPr>
          <w:spacing w:val="-2"/>
        </w:rPr>
        <w:t xml:space="preserve"> </w:t>
      </w:r>
      <w:r w:rsidR="00AE7E79">
        <w:lastRenderedPageBreak/>
        <w:t>the</w:t>
      </w:r>
      <w:r w:rsidR="00AE7E79">
        <w:rPr>
          <w:spacing w:val="-3"/>
        </w:rPr>
        <w:t xml:space="preserve"> </w:t>
      </w:r>
      <w:r w:rsidR="00AE7E79">
        <w:t>Arbitration Act.</w:t>
      </w:r>
      <w:r w:rsidR="00734879" w:rsidRPr="00734879">
        <w:rPr>
          <w:rStyle w:val="FootnoteReference"/>
          <w:szCs w:val="24"/>
        </w:rPr>
        <w:footnoteReference w:id="25"/>
      </w:r>
    </w:p>
    <w:p w14:paraId="3BF7C9B6" w14:textId="2A8DDC16" w:rsidR="00B51EDD" w:rsidRPr="000D3A7D" w:rsidRDefault="00AC5E05" w:rsidP="00AC5E05">
      <w:pPr>
        <w:pStyle w:val="1"/>
        <w:numPr>
          <w:ilvl w:val="0"/>
          <w:numId w:val="0"/>
        </w:numPr>
        <w:tabs>
          <w:tab w:val="left" w:pos="567"/>
        </w:tabs>
        <w:ind w:left="567" w:hanging="567"/>
        <w:rPr>
          <w:sz w:val="16"/>
        </w:rPr>
      </w:pPr>
      <w:r w:rsidRPr="000D3A7D">
        <w:rPr>
          <w:rFonts w:cs="Arial"/>
          <w:sz w:val="22"/>
        </w:rPr>
        <w:t>[47]</w:t>
      </w:r>
      <w:r w:rsidRPr="000D3A7D">
        <w:rPr>
          <w:rFonts w:cs="Arial"/>
          <w:sz w:val="22"/>
        </w:rPr>
        <w:tab/>
      </w:r>
      <w:r w:rsidR="00B51EDD">
        <w:t xml:space="preserve">An arbitrator </w:t>
      </w:r>
      <w:r w:rsidR="00B51EDD">
        <w:rPr>
          <w:i/>
        </w:rPr>
        <w:t>“has the right to be wrong”</w:t>
      </w:r>
      <w:r w:rsidR="00B51EDD">
        <w:rPr>
          <w:rStyle w:val="FootnoteReference"/>
          <w:i/>
        </w:rPr>
        <w:footnoteReference w:id="26"/>
      </w:r>
      <w:r w:rsidR="00B51EDD">
        <w:rPr>
          <w:i/>
        </w:rPr>
        <w:t xml:space="preserve"> </w:t>
      </w:r>
      <w:r w:rsidR="00B51EDD">
        <w:t>and mistakes</w:t>
      </w:r>
      <w:r w:rsidR="00B51EDD">
        <w:rPr>
          <w:spacing w:val="1"/>
        </w:rPr>
        <w:t xml:space="preserve"> </w:t>
      </w:r>
      <w:r w:rsidR="00B51EDD">
        <w:t>made</w:t>
      </w:r>
      <w:r w:rsidR="00B51EDD">
        <w:rPr>
          <w:spacing w:val="-4"/>
        </w:rPr>
        <w:t xml:space="preserve"> </w:t>
      </w:r>
      <w:r w:rsidR="00B51EDD">
        <w:t>by</w:t>
      </w:r>
      <w:r w:rsidR="00B51EDD">
        <w:rPr>
          <w:spacing w:val="-6"/>
        </w:rPr>
        <w:t xml:space="preserve"> </w:t>
      </w:r>
      <w:r w:rsidR="00B51EDD">
        <w:t>arbitrators,</w:t>
      </w:r>
      <w:r w:rsidR="00B51EDD">
        <w:rPr>
          <w:spacing w:val="-2"/>
        </w:rPr>
        <w:t xml:space="preserve"> </w:t>
      </w:r>
      <w:r w:rsidR="00B51EDD">
        <w:t>whether</w:t>
      </w:r>
      <w:r w:rsidR="00B51EDD">
        <w:rPr>
          <w:spacing w:val="-5"/>
        </w:rPr>
        <w:t xml:space="preserve"> </w:t>
      </w:r>
      <w:r w:rsidR="00B51EDD">
        <w:t>in</w:t>
      </w:r>
      <w:r w:rsidR="00B51EDD">
        <w:rPr>
          <w:spacing w:val="-3"/>
        </w:rPr>
        <w:t xml:space="preserve"> </w:t>
      </w:r>
      <w:r w:rsidR="00B51EDD">
        <w:t>relation</w:t>
      </w:r>
      <w:r w:rsidR="00B51EDD">
        <w:rPr>
          <w:spacing w:val="-5"/>
        </w:rPr>
        <w:t xml:space="preserve"> </w:t>
      </w:r>
      <w:r w:rsidR="00B51EDD">
        <w:t>to</w:t>
      </w:r>
      <w:r w:rsidR="00B51EDD">
        <w:rPr>
          <w:spacing w:val="-2"/>
        </w:rPr>
        <w:t xml:space="preserve"> </w:t>
      </w:r>
      <w:r w:rsidR="00B51EDD">
        <w:t>the</w:t>
      </w:r>
      <w:r w:rsidR="00B51EDD">
        <w:rPr>
          <w:spacing w:val="-6"/>
        </w:rPr>
        <w:t xml:space="preserve"> </w:t>
      </w:r>
      <w:r w:rsidR="00B51EDD">
        <w:t>facts</w:t>
      </w:r>
      <w:r w:rsidR="00B51EDD">
        <w:rPr>
          <w:spacing w:val="-5"/>
        </w:rPr>
        <w:t xml:space="preserve"> </w:t>
      </w:r>
      <w:r w:rsidR="00B51EDD">
        <w:t>or</w:t>
      </w:r>
      <w:r w:rsidR="00B51EDD">
        <w:rPr>
          <w:spacing w:val="-4"/>
        </w:rPr>
        <w:t xml:space="preserve"> </w:t>
      </w:r>
      <w:r w:rsidR="00B51EDD">
        <w:t>law,</w:t>
      </w:r>
      <w:r w:rsidR="00B51EDD">
        <w:rPr>
          <w:spacing w:val="-3"/>
        </w:rPr>
        <w:t xml:space="preserve"> </w:t>
      </w:r>
      <w:r w:rsidR="00B51EDD">
        <w:t>are</w:t>
      </w:r>
      <w:r w:rsidR="00B51EDD">
        <w:rPr>
          <w:spacing w:val="-7"/>
        </w:rPr>
        <w:t xml:space="preserve"> </w:t>
      </w:r>
      <w:r w:rsidR="00B51EDD">
        <w:t>not</w:t>
      </w:r>
      <w:r w:rsidR="00B51EDD">
        <w:rPr>
          <w:spacing w:val="-3"/>
        </w:rPr>
        <w:t xml:space="preserve"> </w:t>
      </w:r>
      <w:r w:rsidR="00B51EDD">
        <w:t xml:space="preserve">grounds </w:t>
      </w:r>
      <w:r w:rsidR="00B51EDD">
        <w:rPr>
          <w:spacing w:val="-64"/>
        </w:rPr>
        <w:t xml:space="preserve"> </w:t>
      </w:r>
      <w:r w:rsidR="00B51EDD">
        <w:t>for</w:t>
      </w:r>
      <w:r w:rsidR="00B51EDD">
        <w:rPr>
          <w:spacing w:val="-1"/>
        </w:rPr>
        <w:t xml:space="preserve"> </w:t>
      </w:r>
      <w:r w:rsidR="00B51EDD">
        <w:t>reviewing</w:t>
      </w:r>
      <w:r w:rsidR="00B51EDD">
        <w:rPr>
          <w:spacing w:val="-1"/>
        </w:rPr>
        <w:t xml:space="preserve"> </w:t>
      </w:r>
      <w:r w:rsidR="00B51EDD">
        <w:t>and</w:t>
      </w:r>
      <w:r w:rsidR="00B51EDD">
        <w:rPr>
          <w:spacing w:val="-2"/>
        </w:rPr>
        <w:t xml:space="preserve"> </w:t>
      </w:r>
      <w:r w:rsidR="00B51EDD">
        <w:t>setting aside an award.</w:t>
      </w:r>
      <w:r w:rsidR="00B51EDD">
        <w:rPr>
          <w:rStyle w:val="FootnoteReference"/>
        </w:rPr>
        <w:footnoteReference w:id="27"/>
      </w:r>
    </w:p>
    <w:p w14:paraId="64E1C6D7" w14:textId="72EA88C5" w:rsidR="000D3A7D" w:rsidRPr="00212E44" w:rsidRDefault="00AC5E05" w:rsidP="00AC5E05">
      <w:pPr>
        <w:pStyle w:val="1"/>
        <w:numPr>
          <w:ilvl w:val="0"/>
          <w:numId w:val="0"/>
        </w:numPr>
        <w:tabs>
          <w:tab w:val="left" w:pos="567"/>
        </w:tabs>
        <w:ind w:left="567" w:hanging="567"/>
        <w:rPr>
          <w:lang w:val="en-ZA"/>
        </w:rPr>
      </w:pPr>
      <w:r w:rsidRPr="00212E44">
        <w:rPr>
          <w:rFonts w:cs="Arial"/>
          <w:sz w:val="22"/>
          <w:lang w:val="en-ZA"/>
        </w:rPr>
        <w:t>[48]</w:t>
      </w:r>
      <w:r w:rsidRPr="00212E44">
        <w:rPr>
          <w:rFonts w:cs="Arial"/>
          <w:sz w:val="22"/>
          <w:lang w:val="en-ZA"/>
        </w:rPr>
        <w:tab/>
      </w:r>
      <w:r w:rsidR="0010697E">
        <w:t xml:space="preserve">In </w:t>
      </w:r>
      <w:r w:rsidR="003D0662" w:rsidRPr="003D0662">
        <w:rPr>
          <w:b/>
          <w:bCs/>
          <w:i/>
          <w:iCs w:val="0"/>
          <w:lang w:val="en-ZA"/>
        </w:rPr>
        <w:t>Palabora Copper (Pty) Ltd v Motlokwa Transport and Construction (Pty) Ltd</w:t>
      </w:r>
      <w:r w:rsidR="003D0662" w:rsidRPr="003D0662">
        <w:rPr>
          <w:lang w:val="en-ZA"/>
        </w:rPr>
        <w:t xml:space="preserve"> </w:t>
      </w:r>
      <w:r w:rsidR="003D0662">
        <w:rPr>
          <w:rStyle w:val="FootnoteReference"/>
        </w:rPr>
        <w:footnoteReference w:id="28"/>
      </w:r>
      <w:r w:rsidR="00E80432">
        <w:t xml:space="preserve"> the SCA held;</w:t>
      </w:r>
    </w:p>
    <w:p w14:paraId="6ADD5FBC" w14:textId="7C19554E" w:rsidR="00E80432" w:rsidRPr="00E80432" w:rsidRDefault="00AC5E05" w:rsidP="00AC5E05">
      <w:pPr>
        <w:pStyle w:val="2"/>
        <w:numPr>
          <w:ilvl w:val="0"/>
          <w:numId w:val="0"/>
        </w:numPr>
        <w:tabs>
          <w:tab w:val="left" w:pos="851"/>
        </w:tabs>
        <w:ind w:left="851" w:hanging="851"/>
        <w:rPr>
          <w:i/>
          <w:iCs w:val="0"/>
        </w:rPr>
      </w:pPr>
      <w:r w:rsidRPr="00E80432">
        <w:rPr>
          <w:i/>
          <w:iCs w:val="0"/>
          <w:sz w:val="22"/>
        </w:rPr>
        <w:t>[48.1]</w:t>
      </w:r>
      <w:r w:rsidRPr="00E80432">
        <w:rPr>
          <w:i/>
          <w:iCs w:val="0"/>
          <w:sz w:val="22"/>
        </w:rPr>
        <w:tab/>
      </w:r>
      <w:r w:rsidR="00212E44">
        <w:rPr>
          <w:i/>
          <w:iCs w:val="0"/>
        </w:rPr>
        <w:t>“</w:t>
      </w:r>
      <w:r w:rsidR="00E80432" w:rsidRPr="00E80432">
        <w:rPr>
          <w:i/>
          <w:iCs w:val="0"/>
        </w:rPr>
        <w:t>It suffices to say that where an arbitrator for some reason misconceives the nature of the enquiry in the arbitration proceedings with the result that a party is denied a fair hearing or a fair trial of the issues that constitutes a gross irregularity. The party alleging the gross irregularity must establish it. Where an arbitrator engages in the correct enquiry, but errs either on the facts or the law, that is not an irregularity and is not a basis for setting aside an award. If parties choose arbitration, courts endeavour to uphold their choice and do not lightly disturb it</w:t>
      </w:r>
      <w:r w:rsidR="00B20D92">
        <w:rPr>
          <w:i/>
          <w:iCs w:val="0"/>
        </w:rPr>
        <w:t>”.</w:t>
      </w:r>
    </w:p>
    <w:p w14:paraId="7BD16ADF" w14:textId="4F654BCA" w:rsidR="00AE7E79" w:rsidRDefault="00AC5E05" w:rsidP="00AC5E05">
      <w:pPr>
        <w:pStyle w:val="1"/>
        <w:numPr>
          <w:ilvl w:val="0"/>
          <w:numId w:val="0"/>
        </w:numPr>
        <w:tabs>
          <w:tab w:val="left" w:pos="567"/>
        </w:tabs>
        <w:ind w:left="567" w:hanging="567"/>
        <w:rPr>
          <w:sz w:val="16"/>
        </w:rPr>
      </w:pPr>
      <w:r>
        <w:rPr>
          <w:rFonts w:cs="Arial"/>
          <w:sz w:val="22"/>
        </w:rPr>
        <w:t>[49]</w:t>
      </w:r>
      <w:r>
        <w:rPr>
          <w:rFonts w:cs="Arial"/>
          <w:sz w:val="22"/>
        </w:rPr>
        <w:tab/>
      </w:r>
      <w:r w:rsidR="00AE7E79">
        <w:t>A litigant who seeks to impugn an arbitration award in a court thus has a restricted and mainly procedural scope of</w:t>
      </w:r>
      <w:r w:rsidR="00AE7E79">
        <w:rPr>
          <w:spacing w:val="1"/>
        </w:rPr>
        <w:t xml:space="preserve"> </w:t>
      </w:r>
      <w:r w:rsidR="00AE7E79">
        <w:t>challenge</w:t>
      </w:r>
      <w:r w:rsidR="005E44B9">
        <w:t>,</w:t>
      </w:r>
      <w:r w:rsidR="00AE7E79">
        <w:rPr>
          <w:spacing w:val="1"/>
        </w:rPr>
        <w:t xml:space="preserve"> </w:t>
      </w:r>
      <w:r w:rsidR="00AE7E79">
        <w:t>the</w:t>
      </w:r>
      <w:r w:rsidR="00AE7E79">
        <w:rPr>
          <w:spacing w:val="-2"/>
        </w:rPr>
        <w:t xml:space="preserve"> </w:t>
      </w:r>
      <w:r w:rsidR="00AE7E79">
        <w:t>merits</w:t>
      </w:r>
      <w:r w:rsidR="00734879">
        <w:t xml:space="preserve"> </w:t>
      </w:r>
      <w:r w:rsidR="00AE7E79">
        <w:t>are</w:t>
      </w:r>
      <w:r w:rsidR="00AE7E79">
        <w:rPr>
          <w:spacing w:val="-3"/>
        </w:rPr>
        <w:t xml:space="preserve"> </w:t>
      </w:r>
      <w:r w:rsidR="00AE7E79">
        <w:t>not open</w:t>
      </w:r>
      <w:r w:rsidR="00AE7E79">
        <w:rPr>
          <w:spacing w:val="-4"/>
        </w:rPr>
        <w:t xml:space="preserve"> </w:t>
      </w:r>
      <w:r w:rsidR="00AE7E79">
        <w:t>to attack.</w:t>
      </w:r>
      <w:r w:rsidR="005E44B9">
        <w:rPr>
          <w:rStyle w:val="FootnoteReference"/>
        </w:rPr>
        <w:footnoteReference w:id="29"/>
      </w:r>
    </w:p>
    <w:p w14:paraId="3A5AAEA8" w14:textId="02F36B3A" w:rsidR="005A6C94" w:rsidRPr="00FC3012" w:rsidRDefault="00AC5E05" w:rsidP="00AC5E05">
      <w:pPr>
        <w:pStyle w:val="1"/>
        <w:numPr>
          <w:ilvl w:val="0"/>
          <w:numId w:val="0"/>
        </w:numPr>
        <w:tabs>
          <w:tab w:val="left" w:pos="567"/>
        </w:tabs>
        <w:ind w:left="567" w:hanging="567"/>
        <w:rPr>
          <w:lang w:val="en-ZA"/>
        </w:rPr>
      </w:pPr>
      <w:r w:rsidRPr="00FC3012">
        <w:rPr>
          <w:rFonts w:cs="Arial"/>
          <w:sz w:val="22"/>
          <w:lang w:val="en-ZA"/>
        </w:rPr>
        <w:lastRenderedPageBreak/>
        <w:t>[50]</w:t>
      </w:r>
      <w:r w:rsidRPr="00FC3012">
        <w:rPr>
          <w:rFonts w:cs="Arial"/>
          <w:sz w:val="22"/>
          <w:lang w:val="en-ZA"/>
        </w:rPr>
        <w:tab/>
      </w:r>
      <w:r w:rsidR="000D31B5">
        <w:t>I</w:t>
      </w:r>
      <w:r w:rsidR="00903422">
        <w:t xml:space="preserve">n </w:t>
      </w:r>
      <w:r w:rsidR="00775D46" w:rsidRPr="00774B5C">
        <w:rPr>
          <w:b/>
          <w:bCs/>
          <w:i/>
        </w:rPr>
        <w:t>Eskom Holdings Limited v The Joint Venture of Edison Jehano (Pty) Ltd and KEC International Limited and Others</w:t>
      </w:r>
      <w:r w:rsidR="00865837">
        <w:rPr>
          <w:rStyle w:val="FootnoteReference"/>
          <w:b/>
          <w:bCs/>
          <w:i/>
        </w:rPr>
        <w:footnoteReference w:id="30"/>
      </w:r>
      <w:r w:rsidR="00865837">
        <w:rPr>
          <w:b/>
          <w:bCs/>
          <w:i/>
        </w:rPr>
        <w:t xml:space="preserve"> </w:t>
      </w:r>
      <w:r w:rsidR="00775D46">
        <w:t xml:space="preserve"> the SCA confirmed the approach of the court </w:t>
      </w:r>
      <w:r w:rsidR="008E3862">
        <w:t>that</w:t>
      </w:r>
      <w:r w:rsidR="00824F47">
        <w:t xml:space="preserve"> </w:t>
      </w:r>
      <w:r w:rsidR="000D31B5">
        <w:t>‘</w:t>
      </w:r>
      <w:r w:rsidR="000C3464" w:rsidRPr="004557F3">
        <w:t xml:space="preserve">gross </w:t>
      </w:r>
      <w:r w:rsidR="00824F47">
        <w:t>irregularity</w:t>
      </w:r>
      <w:r w:rsidR="000D31B5">
        <w:t>’</w:t>
      </w:r>
      <w:r w:rsidR="00551678">
        <w:t xml:space="preserve"> </w:t>
      </w:r>
      <w:r w:rsidR="000D31B5">
        <w:t xml:space="preserve">in s33(1)(b) </w:t>
      </w:r>
      <w:r w:rsidR="00551678">
        <w:t>is essentially</w:t>
      </w:r>
      <w:r w:rsidR="000C3464" w:rsidRPr="004557F3">
        <w:t xml:space="preserve"> a ‘process standard’</w:t>
      </w:r>
      <w:r w:rsidR="00824F47">
        <w:t xml:space="preserve"> </w:t>
      </w:r>
      <w:r w:rsidR="000C3464" w:rsidRPr="004557F3">
        <w:t xml:space="preserve">which is ‘to all intents and purposes identical to a ground of review available in relation to proceedings in inferior courts’. </w:t>
      </w:r>
      <w:r w:rsidR="000C3464" w:rsidRPr="003C33BD">
        <w:t>The ultimate test of whether an arbitrator’s conduct constituted gross irregularity is whether the conduct of the arbitrator or arbitral tribunal prevented a fair trial of the issues.</w:t>
      </w:r>
      <w:r w:rsidR="00DB266B">
        <w:t xml:space="preserve"> </w:t>
      </w:r>
      <w:r w:rsidR="000C3464" w:rsidRPr="004557F3">
        <w:t>The common law grounds of review are excluded.</w:t>
      </w:r>
      <w:r w:rsidR="00D669AA">
        <w:rPr>
          <w:rStyle w:val="FootnoteReference"/>
        </w:rPr>
        <w:footnoteReference w:id="31"/>
      </w:r>
      <w:r w:rsidR="00A35DF5" w:rsidRPr="00EA18CE">
        <w:rPr>
          <w:lang w:val="en-ZA"/>
        </w:rPr>
        <w:t xml:space="preserve"> </w:t>
      </w:r>
      <w:r w:rsidR="005A6C94" w:rsidRPr="00A502E1">
        <w:t>In modern arbitral practice</w:t>
      </w:r>
      <w:r w:rsidR="00683CC8">
        <w:t>,</w:t>
      </w:r>
      <w:r w:rsidR="005A6C94" w:rsidRPr="00A502E1">
        <w:t xml:space="preserve"> fairness goes beyond </w:t>
      </w:r>
      <w:r w:rsidR="00683CC8">
        <w:t xml:space="preserve">the </w:t>
      </w:r>
      <w:r w:rsidR="005A6C94" w:rsidRPr="00A502E1">
        <w:t>strict observation of the rules of evidence, provided that the procedure adopted is fair to both parties and conforms to the rules of natural justice.</w:t>
      </w:r>
      <w:r w:rsidR="005A6C94">
        <w:rPr>
          <w:rStyle w:val="FootnoteReference"/>
        </w:rPr>
        <w:footnoteReference w:id="32"/>
      </w:r>
    </w:p>
    <w:p w14:paraId="30DE6C74" w14:textId="1D2DD93B" w:rsidR="00945FE7" w:rsidRDefault="00AC5E05" w:rsidP="00AC5E05">
      <w:pPr>
        <w:pStyle w:val="1"/>
        <w:numPr>
          <w:ilvl w:val="0"/>
          <w:numId w:val="0"/>
        </w:numPr>
        <w:tabs>
          <w:tab w:val="left" w:pos="567"/>
        </w:tabs>
        <w:ind w:left="567" w:hanging="567"/>
        <w:rPr>
          <w:lang w:val="en-ZA"/>
        </w:rPr>
      </w:pPr>
      <w:r>
        <w:rPr>
          <w:rFonts w:cs="Arial"/>
          <w:sz w:val="22"/>
          <w:lang w:val="en-ZA"/>
        </w:rPr>
        <w:t>[51]</w:t>
      </w:r>
      <w:r>
        <w:rPr>
          <w:rFonts w:cs="Arial"/>
          <w:sz w:val="22"/>
          <w:lang w:val="en-ZA"/>
        </w:rPr>
        <w:tab/>
      </w:r>
      <w:r w:rsidR="00975498">
        <w:rPr>
          <w:lang w:val="en-ZA"/>
        </w:rPr>
        <w:t xml:space="preserve">In summary, </w:t>
      </w:r>
      <w:r w:rsidR="00212E44">
        <w:rPr>
          <w:lang w:val="en-ZA"/>
        </w:rPr>
        <w:t xml:space="preserve">the </w:t>
      </w:r>
      <w:r w:rsidR="00975498">
        <w:rPr>
          <w:lang w:val="en-ZA"/>
        </w:rPr>
        <w:t>g</w:t>
      </w:r>
      <w:r w:rsidR="00945FE7">
        <w:rPr>
          <w:lang w:val="en-ZA"/>
        </w:rPr>
        <w:t xml:space="preserve">ross irregularity </w:t>
      </w:r>
      <w:r w:rsidR="00212E44">
        <w:rPr>
          <w:lang w:val="en-ZA"/>
        </w:rPr>
        <w:t xml:space="preserve">ground in s33(1)(b) </w:t>
      </w:r>
      <w:r w:rsidR="00945FE7">
        <w:rPr>
          <w:lang w:val="en-ZA"/>
        </w:rPr>
        <w:t>is thus restricted to serious procedural missteps on the part of the arbitrator</w:t>
      </w:r>
      <w:r w:rsidR="0017652F">
        <w:rPr>
          <w:lang w:val="en-ZA"/>
        </w:rPr>
        <w:t xml:space="preserve">.  </w:t>
      </w:r>
      <w:r w:rsidR="006E62CF">
        <w:rPr>
          <w:lang w:val="en-ZA"/>
        </w:rPr>
        <w:t xml:space="preserve">This would include failing to afford </w:t>
      </w:r>
      <w:r w:rsidR="00FA6891">
        <w:rPr>
          <w:lang w:val="en-ZA"/>
        </w:rPr>
        <w:t xml:space="preserve">the parties a fair hearing. </w:t>
      </w:r>
      <w:r w:rsidR="0017652F">
        <w:rPr>
          <w:lang w:val="en-ZA"/>
        </w:rPr>
        <w:t xml:space="preserve">When </w:t>
      </w:r>
      <w:r w:rsidR="00212E44">
        <w:rPr>
          <w:lang w:val="en-ZA"/>
        </w:rPr>
        <w:t>the arbitrator</w:t>
      </w:r>
      <w:r w:rsidR="009F1F72">
        <w:rPr>
          <w:lang w:val="en-ZA"/>
        </w:rPr>
        <w:t xml:space="preserve"> arrives at an incorrect interpretation</w:t>
      </w:r>
      <w:r w:rsidR="00236AE3">
        <w:rPr>
          <w:lang w:val="en-ZA"/>
        </w:rPr>
        <w:t xml:space="preserve"> or an incorrect conclusion on the facts or the law</w:t>
      </w:r>
      <w:r w:rsidR="0017652F">
        <w:rPr>
          <w:lang w:val="en-ZA"/>
        </w:rPr>
        <w:t xml:space="preserve">, this does not amount to a gross irregularity. </w:t>
      </w:r>
      <w:r w:rsidR="0084501F">
        <w:rPr>
          <w:lang w:val="en-ZA"/>
        </w:rPr>
        <w:t xml:space="preserve">When an arbitrator </w:t>
      </w:r>
      <w:r w:rsidR="009A4B12">
        <w:rPr>
          <w:lang w:val="en-ZA"/>
        </w:rPr>
        <w:t>arrives at an incorrect interpretation</w:t>
      </w:r>
      <w:r w:rsidR="006E62CF">
        <w:rPr>
          <w:lang w:val="en-ZA"/>
        </w:rPr>
        <w:t>,</w:t>
      </w:r>
      <w:r w:rsidR="009A4B12">
        <w:rPr>
          <w:lang w:val="en-ZA"/>
        </w:rPr>
        <w:t xml:space="preserve"> he has not misconceived the enquiry but has made a mistake</w:t>
      </w:r>
      <w:r w:rsidR="00AB4A04">
        <w:rPr>
          <w:lang w:val="en-ZA"/>
        </w:rPr>
        <w:t xml:space="preserve"> by which the parties are bound</w:t>
      </w:r>
      <w:r w:rsidR="00C31333">
        <w:rPr>
          <w:lang w:val="en-ZA"/>
        </w:rPr>
        <w:t>.</w:t>
      </w:r>
      <w:r w:rsidR="00C31333">
        <w:rPr>
          <w:rStyle w:val="FootnoteReference"/>
        </w:rPr>
        <w:footnoteReference w:id="33"/>
      </w:r>
      <w:r w:rsidR="00AB4A04">
        <w:rPr>
          <w:lang w:val="en-ZA"/>
        </w:rPr>
        <w:t xml:space="preserve"> </w:t>
      </w:r>
      <w:r w:rsidR="00BA1009">
        <w:rPr>
          <w:lang w:val="en-ZA"/>
        </w:rPr>
        <w:t xml:space="preserve"> </w:t>
      </w:r>
      <w:r w:rsidR="00F62A7A" w:rsidRPr="00F62A7A">
        <w:rPr>
          <w:lang w:val="en-ZA"/>
        </w:rPr>
        <w:t xml:space="preserve">In order to justify a review on this basis the irregularity must have been of such a </w:t>
      </w:r>
      <w:r w:rsidR="00F62A7A" w:rsidRPr="002C2F78">
        <w:rPr>
          <w:i/>
          <w:iCs w:val="0"/>
          <w:lang w:val="en-ZA"/>
        </w:rPr>
        <w:t xml:space="preserve">serious </w:t>
      </w:r>
      <w:r w:rsidR="00F62A7A" w:rsidRPr="00F62A7A">
        <w:rPr>
          <w:lang w:val="en-ZA"/>
        </w:rPr>
        <w:t xml:space="preserve">nature that it resulted in the </w:t>
      </w:r>
      <w:r w:rsidR="00F62A7A" w:rsidRPr="00F62A7A">
        <w:rPr>
          <w:lang w:val="en-ZA"/>
        </w:rPr>
        <w:lastRenderedPageBreak/>
        <w:t>aggrieved party not having his case fully and fairly determined.</w:t>
      </w:r>
      <w:r w:rsidR="00AF5AB7" w:rsidRPr="00AF5AB7">
        <w:rPr>
          <w:rStyle w:val="FootnoteReference"/>
        </w:rPr>
        <w:t xml:space="preserve"> </w:t>
      </w:r>
      <w:r w:rsidR="00AF5AB7">
        <w:rPr>
          <w:rStyle w:val="FootnoteReference"/>
        </w:rPr>
        <w:footnoteReference w:id="34"/>
      </w:r>
    </w:p>
    <w:p w14:paraId="0DB08B99" w14:textId="4BA89375" w:rsidR="002E64EF" w:rsidRDefault="00AC5E05" w:rsidP="00AC5E05">
      <w:pPr>
        <w:pStyle w:val="1"/>
        <w:numPr>
          <w:ilvl w:val="0"/>
          <w:numId w:val="0"/>
        </w:numPr>
        <w:tabs>
          <w:tab w:val="left" w:pos="567"/>
        </w:tabs>
        <w:ind w:left="567" w:hanging="567"/>
      </w:pPr>
      <w:r>
        <w:rPr>
          <w:rFonts w:cs="Arial"/>
          <w:sz w:val="22"/>
        </w:rPr>
        <w:t>[52]</w:t>
      </w:r>
      <w:r>
        <w:rPr>
          <w:rFonts w:cs="Arial"/>
          <w:sz w:val="22"/>
        </w:rPr>
        <w:tab/>
      </w:r>
      <w:r w:rsidR="00361A0A">
        <w:t>The exceeding powers ground relates to the arbitrator deciding a matter</w:t>
      </w:r>
      <w:r w:rsidR="00361A0A">
        <w:rPr>
          <w:spacing w:val="1"/>
        </w:rPr>
        <w:t xml:space="preserve"> </w:t>
      </w:r>
      <w:r w:rsidR="00361A0A">
        <w:t>falling outside of the disputes submitted to him for determination.</w:t>
      </w:r>
      <w:r w:rsidR="007D2E52">
        <w:t xml:space="preserve">  In </w:t>
      </w:r>
      <w:r w:rsidR="00CA5412" w:rsidRPr="002E64EF">
        <w:rPr>
          <w:b/>
          <w:bCs/>
          <w:i/>
          <w:iCs w:val="0"/>
          <w:lang w:val="en-ZA"/>
        </w:rPr>
        <w:t>Hos+Med Medical Aid Scheme v Thebe ya Pelo Healthcare and Others</w:t>
      </w:r>
      <w:r w:rsidR="00CA5412">
        <w:rPr>
          <w:rStyle w:val="FootnoteReference"/>
          <w:b/>
          <w:bCs/>
        </w:rPr>
        <w:footnoteReference w:id="35"/>
      </w:r>
      <w:r w:rsidR="002E64EF">
        <w:t xml:space="preserve">  the SCA held:  </w:t>
      </w:r>
    </w:p>
    <w:p w14:paraId="27233491" w14:textId="69BB25DE" w:rsidR="007D2E52" w:rsidRPr="007D2E52" w:rsidRDefault="00AC5E05" w:rsidP="00AC5E05">
      <w:pPr>
        <w:pStyle w:val="2"/>
        <w:numPr>
          <w:ilvl w:val="0"/>
          <w:numId w:val="0"/>
        </w:numPr>
        <w:tabs>
          <w:tab w:val="left" w:pos="851"/>
        </w:tabs>
        <w:ind w:left="851" w:hanging="851"/>
      </w:pPr>
      <w:r w:rsidRPr="007D2E52">
        <w:rPr>
          <w:sz w:val="22"/>
        </w:rPr>
        <w:t>[52.1]</w:t>
      </w:r>
      <w:r w:rsidRPr="007D2E52">
        <w:rPr>
          <w:sz w:val="22"/>
        </w:rPr>
        <w:tab/>
      </w:r>
      <w:r w:rsidR="007D2E52" w:rsidRPr="007D2E52">
        <w:t>“</w:t>
      </w:r>
      <w:r w:rsidR="007D2E52" w:rsidRPr="002E64EF">
        <w:rPr>
          <w:i/>
          <w:iCs w:val="0"/>
        </w:rPr>
        <w:t>In my view it is clear that the only source of an arbitrator’s power is the arbitration agreement between the parties and an arbitrator cannot stray beyond their submission where the parties have expressly defined and limited the issues, as the parties have done in this case to the matters pleaded.</w:t>
      </w:r>
      <w:r w:rsidR="002E64EF" w:rsidRPr="002E64EF">
        <w:rPr>
          <w:i/>
          <w:iCs w:val="0"/>
        </w:rPr>
        <w:t xml:space="preserve"> </w:t>
      </w:r>
      <w:r w:rsidR="007D2E52" w:rsidRPr="002E64EF">
        <w:rPr>
          <w:i/>
          <w:iCs w:val="0"/>
        </w:rPr>
        <w:t>Thus the arbitrator, and therefore also the appeal tribunal, had no jurisdiction to decide a matter not pleaded</w:t>
      </w:r>
      <w:r w:rsidR="007D2E52" w:rsidRPr="007D2E52">
        <w:t>.”</w:t>
      </w:r>
      <w:r w:rsidR="007D2E52" w:rsidRPr="007D2E52">
        <w:rPr>
          <w:rStyle w:val="FootnoteReference"/>
        </w:rPr>
        <w:t xml:space="preserve"> </w:t>
      </w:r>
      <w:r w:rsidR="007D2E52">
        <w:rPr>
          <w:rStyle w:val="FootnoteReference"/>
        </w:rPr>
        <w:footnoteReference w:id="36"/>
      </w:r>
    </w:p>
    <w:p w14:paraId="23320ABE" w14:textId="1C2244EE" w:rsidR="00E607D1" w:rsidRPr="00E607D1" w:rsidRDefault="00AC5E05" w:rsidP="00AC5E05">
      <w:pPr>
        <w:pStyle w:val="1"/>
        <w:numPr>
          <w:ilvl w:val="0"/>
          <w:numId w:val="0"/>
        </w:numPr>
        <w:tabs>
          <w:tab w:val="left" w:pos="567"/>
        </w:tabs>
        <w:ind w:left="567" w:hanging="567"/>
        <w:rPr>
          <w:lang w:val="en-ZA"/>
        </w:rPr>
      </w:pPr>
      <w:r w:rsidRPr="00E607D1">
        <w:rPr>
          <w:rFonts w:cs="Arial"/>
          <w:sz w:val="22"/>
          <w:lang w:val="en-ZA"/>
        </w:rPr>
        <w:t>[53]</w:t>
      </w:r>
      <w:r w:rsidRPr="00E607D1">
        <w:rPr>
          <w:rFonts w:cs="Arial"/>
          <w:sz w:val="22"/>
          <w:lang w:val="en-ZA"/>
        </w:rPr>
        <w:tab/>
      </w:r>
      <w:r w:rsidR="00361A0A">
        <w:t>In the</w:t>
      </w:r>
      <w:r w:rsidR="00361A0A">
        <w:rPr>
          <w:spacing w:val="1"/>
        </w:rPr>
        <w:t xml:space="preserve"> </w:t>
      </w:r>
      <w:r w:rsidR="00361A0A">
        <w:t>present</w:t>
      </w:r>
      <w:r w:rsidR="00361A0A">
        <w:rPr>
          <w:spacing w:val="-13"/>
        </w:rPr>
        <w:t xml:space="preserve"> </w:t>
      </w:r>
      <w:r w:rsidR="00361A0A">
        <w:t>context</w:t>
      </w:r>
      <w:r w:rsidR="00683CC8">
        <w:t>,</w:t>
      </w:r>
      <w:r w:rsidR="00361A0A">
        <w:rPr>
          <w:spacing w:val="-10"/>
        </w:rPr>
        <w:t xml:space="preserve"> </w:t>
      </w:r>
      <w:r w:rsidR="00361A0A">
        <w:t>this</w:t>
      </w:r>
      <w:r w:rsidR="00361A0A">
        <w:rPr>
          <w:spacing w:val="-13"/>
        </w:rPr>
        <w:t xml:space="preserve"> </w:t>
      </w:r>
      <w:r w:rsidR="002E64EF">
        <w:t>c</w:t>
      </w:r>
      <w:r w:rsidR="00361A0A">
        <w:t>ould</w:t>
      </w:r>
      <w:r w:rsidR="00361A0A">
        <w:rPr>
          <w:spacing w:val="-12"/>
        </w:rPr>
        <w:t xml:space="preserve"> </w:t>
      </w:r>
      <w:r w:rsidR="00361A0A">
        <w:t>include</w:t>
      </w:r>
      <w:r w:rsidR="00361A0A">
        <w:rPr>
          <w:spacing w:val="-11"/>
        </w:rPr>
        <w:t xml:space="preserve"> </w:t>
      </w:r>
      <w:r w:rsidR="00361A0A">
        <w:t>matters</w:t>
      </w:r>
      <w:r w:rsidR="00361A0A">
        <w:rPr>
          <w:spacing w:val="-16"/>
        </w:rPr>
        <w:t xml:space="preserve"> </w:t>
      </w:r>
      <w:r w:rsidR="00361A0A">
        <w:t>not</w:t>
      </w:r>
      <w:r w:rsidR="00361A0A">
        <w:rPr>
          <w:spacing w:val="-13"/>
        </w:rPr>
        <w:t xml:space="preserve"> </w:t>
      </w:r>
      <w:r w:rsidR="00361A0A">
        <w:t>forming</w:t>
      </w:r>
      <w:r w:rsidR="00361A0A">
        <w:rPr>
          <w:spacing w:val="-13"/>
        </w:rPr>
        <w:t xml:space="preserve"> </w:t>
      </w:r>
      <w:r w:rsidR="00361A0A">
        <w:t>part</w:t>
      </w:r>
      <w:r w:rsidR="00361A0A">
        <w:rPr>
          <w:spacing w:val="-16"/>
        </w:rPr>
        <w:t xml:space="preserve"> </w:t>
      </w:r>
      <w:r w:rsidR="00361A0A">
        <w:t>of</w:t>
      </w:r>
      <w:r w:rsidR="00361A0A">
        <w:rPr>
          <w:spacing w:val="-12"/>
        </w:rPr>
        <w:t xml:space="preserve"> </w:t>
      </w:r>
      <w:r w:rsidR="00361A0A">
        <w:t>the</w:t>
      </w:r>
      <w:r w:rsidR="00361A0A">
        <w:rPr>
          <w:spacing w:val="-12"/>
        </w:rPr>
        <w:t xml:space="preserve"> </w:t>
      </w:r>
      <w:r w:rsidR="00361A0A">
        <w:t>separated issues or envisaged</w:t>
      </w:r>
      <w:r w:rsidR="00361A0A">
        <w:rPr>
          <w:spacing w:val="-2"/>
        </w:rPr>
        <w:t xml:space="preserve"> </w:t>
      </w:r>
      <w:r w:rsidR="00361A0A">
        <w:t>by</w:t>
      </w:r>
      <w:r w:rsidR="00361A0A">
        <w:rPr>
          <w:spacing w:val="-3"/>
        </w:rPr>
        <w:t xml:space="preserve"> </w:t>
      </w:r>
      <w:r w:rsidR="00361A0A">
        <w:t>the</w:t>
      </w:r>
      <w:r w:rsidR="00361A0A">
        <w:rPr>
          <w:spacing w:val="-2"/>
        </w:rPr>
        <w:t xml:space="preserve"> </w:t>
      </w:r>
      <w:r w:rsidR="00361A0A">
        <w:t>pleadings.</w:t>
      </w:r>
      <w:r w:rsidR="003D6920">
        <w:t xml:space="preserve">  </w:t>
      </w:r>
    </w:p>
    <w:p w14:paraId="7DBFB493" w14:textId="49B7681F" w:rsidR="00E607D1" w:rsidRDefault="00AC5E05" w:rsidP="00AC5E05">
      <w:pPr>
        <w:pStyle w:val="1"/>
        <w:numPr>
          <w:ilvl w:val="0"/>
          <w:numId w:val="0"/>
        </w:numPr>
        <w:tabs>
          <w:tab w:val="left" w:pos="567"/>
        </w:tabs>
        <w:ind w:left="567" w:hanging="567"/>
        <w:rPr>
          <w:lang w:val="en-ZA"/>
        </w:rPr>
      </w:pPr>
      <w:r>
        <w:rPr>
          <w:rFonts w:cs="Arial"/>
          <w:sz w:val="22"/>
          <w:lang w:val="en-ZA"/>
        </w:rPr>
        <w:t>[54]</w:t>
      </w:r>
      <w:r>
        <w:rPr>
          <w:rFonts w:cs="Arial"/>
          <w:sz w:val="22"/>
          <w:lang w:val="en-ZA"/>
        </w:rPr>
        <w:tab/>
      </w:r>
      <w:r w:rsidR="000A504D">
        <w:t>I</w:t>
      </w:r>
      <w:r w:rsidR="003D6920" w:rsidRPr="003D6920">
        <w:t xml:space="preserve">n </w:t>
      </w:r>
      <w:r w:rsidR="003D6920" w:rsidRPr="003D6920">
        <w:rPr>
          <w:b/>
          <w:bCs/>
          <w:i/>
          <w:lang w:val="en-ZA"/>
        </w:rPr>
        <w:t>Canton Trading 17 (Pty) Ltd t/a Cube Architects v Fanti Bekker Hattingh N O</w:t>
      </w:r>
      <w:r w:rsidR="003D6920" w:rsidRPr="003D6920">
        <w:rPr>
          <w:lang w:val="en-ZA"/>
        </w:rPr>
        <w:t xml:space="preserve"> </w:t>
      </w:r>
      <w:r w:rsidR="003D6920" w:rsidRPr="003D6920">
        <w:rPr>
          <w:vertAlign w:val="superscript"/>
        </w:rPr>
        <w:footnoteReference w:id="37"/>
      </w:r>
      <w:r w:rsidR="003D6920" w:rsidRPr="003D6920">
        <w:rPr>
          <w:lang w:val="en-ZA"/>
        </w:rPr>
        <w:t xml:space="preserve"> </w:t>
      </w:r>
      <w:r w:rsidR="000A504D">
        <w:rPr>
          <w:lang w:val="en-ZA"/>
        </w:rPr>
        <w:t xml:space="preserve">the SCA found that </w:t>
      </w:r>
      <w:r w:rsidR="003D6920" w:rsidRPr="003D6920">
        <w:rPr>
          <w:lang w:val="en-ZA"/>
        </w:rPr>
        <w:t>ultimately only a court of law that finally determines the jurisdiction of an arbitrator and therefore his determination regarding jurisdiction is always provisional.</w:t>
      </w:r>
      <w:r w:rsidR="003D6920" w:rsidRPr="003D6920">
        <w:rPr>
          <w:vertAlign w:val="superscript"/>
        </w:rPr>
        <w:footnoteReference w:id="38"/>
      </w:r>
      <w:r w:rsidR="003D6920" w:rsidRPr="003D6920">
        <w:rPr>
          <w:lang w:val="en-ZA"/>
        </w:rPr>
        <w:t xml:space="preserve">  The question that the high court and the SCA were seized with</w:t>
      </w:r>
      <w:r w:rsidR="00DD7A4F">
        <w:rPr>
          <w:lang w:val="en-ZA"/>
        </w:rPr>
        <w:t xml:space="preserve"> was “</w:t>
      </w:r>
      <w:r w:rsidR="00DD7A4F" w:rsidRPr="00DD7A4F">
        <w:rPr>
          <w:i/>
          <w:lang w:val="en-ZA"/>
        </w:rPr>
        <w:t xml:space="preserve">In the face of a dispute of fact that an agreement existed </w:t>
      </w:r>
      <w:r w:rsidR="00DD7A4F" w:rsidRPr="00DD7A4F">
        <w:rPr>
          <w:i/>
          <w:lang w:val="en-ZA"/>
        </w:rPr>
        <w:lastRenderedPageBreak/>
        <w:t xml:space="preserve">to refer disputes between the parties to arbitration, was there any basis to find that the parties had agreed to refer to arbitration the </w:t>
      </w:r>
      <w:r w:rsidR="00DD7A4F" w:rsidRPr="006743D2">
        <w:rPr>
          <w:i/>
          <w:u w:val="single"/>
          <w:lang w:val="en-ZA"/>
        </w:rPr>
        <w:t>very dispute as to the existence of an agreement to arbitrate</w:t>
      </w:r>
      <w:r w:rsidR="00DD7A4F" w:rsidRPr="00DD7A4F">
        <w:rPr>
          <w:i/>
          <w:lang w:val="en-ZA"/>
        </w:rPr>
        <w:t>? If that is not what the parties agreed to, then, was it competent for the high court to decide the dispute as to whether there was an agreement to refer the disputes to arbitration</w:t>
      </w:r>
      <w:r w:rsidR="00DD7A4F" w:rsidRPr="00DD7A4F">
        <w:rPr>
          <w:lang w:val="en-ZA"/>
        </w:rPr>
        <w:t>?</w:t>
      </w:r>
      <w:r w:rsidR="00DD7A4F">
        <w:rPr>
          <w:lang w:val="en-ZA"/>
        </w:rPr>
        <w:t>”</w:t>
      </w:r>
      <w:r w:rsidR="00DD7A4F">
        <w:rPr>
          <w:rStyle w:val="FootnoteReference"/>
        </w:rPr>
        <w:footnoteReference w:id="39"/>
      </w:r>
      <w:r w:rsidR="00CE2B16">
        <w:rPr>
          <w:lang w:val="en-ZA"/>
        </w:rPr>
        <w:t xml:space="preserve"> </w:t>
      </w:r>
      <w:r w:rsidR="00E607D1">
        <w:rPr>
          <w:lang w:val="en-ZA"/>
        </w:rPr>
        <w:t xml:space="preserve">This is sometimes referred to as the “existence dispute” i.e. whether there existed an agreement between the parties that the issue would be referred to arbitration.  </w:t>
      </w:r>
    </w:p>
    <w:p w14:paraId="5630042D" w14:textId="48719D96" w:rsidR="009148AB" w:rsidRDefault="00AC5E05" w:rsidP="00AC5E05">
      <w:pPr>
        <w:pStyle w:val="1"/>
        <w:numPr>
          <w:ilvl w:val="0"/>
          <w:numId w:val="0"/>
        </w:numPr>
        <w:tabs>
          <w:tab w:val="left" w:pos="567"/>
        </w:tabs>
        <w:ind w:left="567" w:hanging="567"/>
        <w:rPr>
          <w:lang w:val="en-ZA"/>
        </w:rPr>
      </w:pPr>
      <w:r>
        <w:rPr>
          <w:rFonts w:cs="Arial"/>
          <w:sz w:val="22"/>
          <w:lang w:val="en-ZA"/>
        </w:rPr>
        <w:t>[55]</w:t>
      </w:r>
      <w:r>
        <w:rPr>
          <w:rFonts w:cs="Arial"/>
          <w:sz w:val="22"/>
          <w:lang w:val="en-ZA"/>
        </w:rPr>
        <w:tab/>
      </w:r>
      <w:r w:rsidR="009148AB">
        <w:rPr>
          <w:lang w:val="en-ZA"/>
        </w:rPr>
        <w:t>The onus rests on the applicant to prove that the arbitrator</w:t>
      </w:r>
      <w:r w:rsidR="00813016">
        <w:rPr>
          <w:lang w:val="en-ZA"/>
        </w:rPr>
        <w:t xml:space="preserve"> misdirected himself in relation to his duties </w:t>
      </w:r>
      <w:r w:rsidR="00BC6BEF">
        <w:rPr>
          <w:lang w:val="en-ZA"/>
        </w:rPr>
        <w:t>or committed a gross irregularity in the conduct of the proceedings</w:t>
      </w:r>
      <w:r w:rsidR="003D6920">
        <w:rPr>
          <w:lang w:val="en-ZA"/>
        </w:rPr>
        <w:t xml:space="preserve"> or exceeded his powers</w:t>
      </w:r>
      <w:r w:rsidR="00BC6BEF">
        <w:rPr>
          <w:lang w:val="en-ZA"/>
        </w:rPr>
        <w:t>.</w:t>
      </w:r>
      <w:r w:rsidR="00BC6BEF">
        <w:rPr>
          <w:rStyle w:val="FootnoteReference"/>
        </w:rPr>
        <w:footnoteReference w:id="40"/>
      </w:r>
      <w:r w:rsidR="00681563">
        <w:rPr>
          <w:lang w:val="en-ZA"/>
        </w:rPr>
        <w:t xml:space="preserve"> </w:t>
      </w:r>
    </w:p>
    <w:p w14:paraId="68B4CC69" w14:textId="549DD5A0" w:rsidR="00092F71" w:rsidRPr="00CE0CF1" w:rsidRDefault="00092F71">
      <w:pPr>
        <w:pStyle w:val="1"/>
        <w:numPr>
          <w:ilvl w:val="0"/>
          <w:numId w:val="0"/>
        </w:numPr>
        <w:rPr>
          <w:b/>
          <w:bCs/>
          <w:iCs w:val="0"/>
          <w:lang w:val="en-ZA"/>
        </w:rPr>
      </w:pPr>
      <w:r w:rsidRPr="00CE0CF1">
        <w:rPr>
          <w:b/>
          <w:bCs/>
          <w:iCs w:val="0"/>
        </w:rPr>
        <w:t>Evaluation</w:t>
      </w:r>
    </w:p>
    <w:p w14:paraId="4E12775C" w14:textId="26BD54F9" w:rsidR="00E2549C" w:rsidRDefault="00AC5E05" w:rsidP="00AC5E05">
      <w:pPr>
        <w:pStyle w:val="1"/>
        <w:numPr>
          <w:ilvl w:val="0"/>
          <w:numId w:val="0"/>
        </w:numPr>
        <w:tabs>
          <w:tab w:val="left" w:pos="567"/>
        </w:tabs>
        <w:ind w:left="567" w:hanging="567"/>
        <w:rPr>
          <w:iCs w:val="0"/>
          <w:lang w:val="en-ZA"/>
        </w:rPr>
      </w:pPr>
      <w:r>
        <w:rPr>
          <w:rFonts w:cs="Arial"/>
          <w:sz w:val="22"/>
          <w:lang w:val="en-ZA"/>
        </w:rPr>
        <w:t>[56]</w:t>
      </w:r>
      <w:r>
        <w:rPr>
          <w:rFonts w:cs="Arial"/>
          <w:sz w:val="22"/>
          <w:lang w:val="en-ZA"/>
        </w:rPr>
        <w:tab/>
      </w:r>
      <w:r w:rsidR="00D171C9">
        <w:rPr>
          <w:iCs w:val="0"/>
          <w:lang w:val="en-ZA"/>
        </w:rPr>
        <w:t xml:space="preserve">The approach I have taken is to </w:t>
      </w:r>
      <w:r w:rsidR="006201B6">
        <w:rPr>
          <w:iCs w:val="0"/>
          <w:lang w:val="en-ZA"/>
        </w:rPr>
        <w:t xml:space="preserve">deal with each of Transnet’s defences, the grounds of review </w:t>
      </w:r>
      <w:r w:rsidR="00092D5E">
        <w:rPr>
          <w:iCs w:val="0"/>
          <w:lang w:val="en-ZA"/>
        </w:rPr>
        <w:t>in respect thereof</w:t>
      </w:r>
      <w:r w:rsidR="00683CC8">
        <w:rPr>
          <w:iCs w:val="0"/>
          <w:lang w:val="en-ZA"/>
        </w:rPr>
        <w:t>,</w:t>
      </w:r>
      <w:r w:rsidR="00092D5E">
        <w:rPr>
          <w:iCs w:val="0"/>
          <w:lang w:val="en-ZA"/>
        </w:rPr>
        <w:t xml:space="preserve"> and conclude on each one.  </w:t>
      </w:r>
      <w:r w:rsidR="00E2549C">
        <w:rPr>
          <w:iCs w:val="0"/>
          <w:lang w:val="en-ZA"/>
        </w:rPr>
        <w:t xml:space="preserve">I have elected not to summarise Spill Tech’s statements of claim </w:t>
      </w:r>
      <w:r w:rsidR="00553963">
        <w:rPr>
          <w:iCs w:val="0"/>
          <w:lang w:val="en-ZA"/>
        </w:rPr>
        <w:t xml:space="preserve">(“SOC”) </w:t>
      </w:r>
      <w:r w:rsidR="00E2549C">
        <w:rPr>
          <w:iCs w:val="0"/>
          <w:lang w:val="en-ZA"/>
        </w:rPr>
        <w:t>but</w:t>
      </w:r>
      <w:r w:rsidR="00683CC8">
        <w:rPr>
          <w:iCs w:val="0"/>
          <w:lang w:val="en-ZA"/>
        </w:rPr>
        <w:t xml:space="preserve"> to</w:t>
      </w:r>
      <w:r w:rsidR="00E2549C">
        <w:rPr>
          <w:iCs w:val="0"/>
          <w:lang w:val="en-ZA"/>
        </w:rPr>
        <w:t xml:space="preserve"> refer to aspects of these as and where necessary. Likewise, I deal with relevant provisions of the </w:t>
      </w:r>
      <w:r w:rsidR="001962FD">
        <w:rPr>
          <w:iCs w:val="0"/>
          <w:lang w:val="en-ZA"/>
        </w:rPr>
        <w:t xml:space="preserve">Contracts </w:t>
      </w:r>
      <w:r w:rsidR="00E2549C">
        <w:rPr>
          <w:iCs w:val="0"/>
          <w:lang w:val="en-ZA"/>
        </w:rPr>
        <w:t>as and where appropriate.</w:t>
      </w:r>
    </w:p>
    <w:p w14:paraId="548FFF7E" w14:textId="2066E71F" w:rsidR="0040036A" w:rsidRDefault="00AC5E05" w:rsidP="00AC5E05">
      <w:pPr>
        <w:pStyle w:val="1"/>
        <w:numPr>
          <w:ilvl w:val="0"/>
          <w:numId w:val="0"/>
        </w:numPr>
        <w:tabs>
          <w:tab w:val="left" w:pos="567"/>
        </w:tabs>
        <w:ind w:left="567" w:hanging="567"/>
        <w:rPr>
          <w:lang w:val="en-ZA"/>
        </w:rPr>
      </w:pPr>
      <w:r>
        <w:rPr>
          <w:rFonts w:cs="Arial"/>
          <w:sz w:val="22"/>
          <w:lang w:val="en-ZA"/>
        </w:rPr>
        <w:t>[57]</w:t>
      </w:r>
      <w:r>
        <w:rPr>
          <w:rFonts w:cs="Arial"/>
          <w:sz w:val="22"/>
          <w:lang w:val="en-ZA"/>
        </w:rPr>
        <w:tab/>
      </w:r>
      <w:r w:rsidR="002A3D68">
        <w:rPr>
          <w:lang w:val="en-ZA"/>
        </w:rPr>
        <w:t>Transnet</w:t>
      </w:r>
      <w:r w:rsidR="00EC038F">
        <w:rPr>
          <w:lang w:val="en-ZA"/>
        </w:rPr>
        <w:t xml:space="preserve"> put forward many grounds of review and several legal arguments.  I do not deal with all the</w:t>
      </w:r>
      <w:r w:rsidR="001962FD">
        <w:rPr>
          <w:lang w:val="en-ZA"/>
        </w:rPr>
        <w:t xml:space="preserve"> facts and legal</w:t>
      </w:r>
      <w:r w:rsidR="00EC038F">
        <w:rPr>
          <w:lang w:val="en-ZA"/>
        </w:rPr>
        <w:t xml:space="preserve"> arguments put up by Transnet</w:t>
      </w:r>
      <w:r w:rsidR="0082578A">
        <w:rPr>
          <w:lang w:val="en-ZA"/>
        </w:rPr>
        <w:t xml:space="preserve"> in detail </w:t>
      </w:r>
      <w:r w:rsidR="0082578A">
        <w:rPr>
          <w:lang w:val="en-ZA"/>
        </w:rPr>
        <w:lastRenderedPageBreak/>
        <w:t xml:space="preserve">because it </w:t>
      </w:r>
      <w:r w:rsidR="008D1905">
        <w:rPr>
          <w:lang w:val="en-ZA"/>
        </w:rPr>
        <w:t xml:space="preserve">is not the function of these proceedings for me to re-interpret the </w:t>
      </w:r>
      <w:r w:rsidR="00101803">
        <w:rPr>
          <w:lang w:val="en-ZA"/>
        </w:rPr>
        <w:t>c</w:t>
      </w:r>
      <w:r w:rsidR="008D1905">
        <w:rPr>
          <w:lang w:val="en-ZA"/>
        </w:rPr>
        <w:t>ontractual provisions as if it were an appeal.</w:t>
      </w:r>
      <w:r w:rsidR="00710EFD">
        <w:rPr>
          <w:lang w:val="en-ZA"/>
        </w:rPr>
        <w:t xml:space="preserve"> </w:t>
      </w:r>
      <w:r w:rsidR="00297CAA">
        <w:rPr>
          <w:lang w:val="en-ZA"/>
        </w:rPr>
        <w:t xml:space="preserve">I intend to </w:t>
      </w:r>
      <w:r w:rsidR="00BF7B1B">
        <w:rPr>
          <w:lang w:val="en-ZA"/>
        </w:rPr>
        <w:t xml:space="preserve">limit the discussion to whether the reviewable acts said to have been committed by the </w:t>
      </w:r>
      <w:r w:rsidR="0082578A">
        <w:rPr>
          <w:lang w:val="en-ZA"/>
        </w:rPr>
        <w:t>A</w:t>
      </w:r>
      <w:r w:rsidR="00BF7B1B">
        <w:rPr>
          <w:lang w:val="en-ZA"/>
        </w:rPr>
        <w:t>r</w:t>
      </w:r>
      <w:r w:rsidR="0040036A">
        <w:rPr>
          <w:lang w:val="en-ZA"/>
        </w:rPr>
        <w:t xml:space="preserve">bitrator were so committed.  </w:t>
      </w:r>
    </w:p>
    <w:p w14:paraId="7A4D2478" w14:textId="7A6C1B79" w:rsidR="00EC038F" w:rsidRDefault="00AC5E05" w:rsidP="00AC5E05">
      <w:pPr>
        <w:pStyle w:val="2"/>
        <w:numPr>
          <w:ilvl w:val="0"/>
          <w:numId w:val="0"/>
        </w:numPr>
        <w:tabs>
          <w:tab w:val="left" w:pos="851"/>
        </w:tabs>
        <w:ind w:left="851" w:hanging="851"/>
        <w:rPr>
          <w:lang w:val="en-ZA"/>
        </w:rPr>
      </w:pPr>
      <w:r>
        <w:rPr>
          <w:sz w:val="22"/>
          <w:lang w:val="en-ZA"/>
        </w:rPr>
        <w:t>[57.1]</w:t>
      </w:r>
      <w:r>
        <w:rPr>
          <w:sz w:val="22"/>
          <w:lang w:val="en-ZA"/>
        </w:rPr>
        <w:tab/>
      </w:r>
      <w:r w:rsidR="0040036A">
        <w:rPr>
          <w:lang w:val="en-ZA"/>
        </w:rPr>
        <w:t>A</w:t>
      </w:r>
      <w:r w:rsidR="00710EFD">
        <w:rPr>
          <w:lang w:val="en-ZA"/>
        </w:rPr>
        <w:t xml:space="preserve">s stated by the SCA in </w:t>
      </w:r>
      <w:r w:rsidR="00710EFD" w:rsidRPr="00B01AB6">
        <w:rPr>
          <w:b/>
          <w:bCs/>
          <w:i/>
          <w:iCs w:val="0"/>
          <w:lang w:val="en-ZA"/>
        </w:rPr>
        <w:t>Telcordia</w:t>
      </w:r>
      <w:r w:rsidR="00710EFD">
        <w:rPr>
          <w:lang w:val="en-ZA"/>
        </w:rPr>
        <w:t>:</w:t>
      </w:r>
    </w:p>
    <w:p w14:paraId="7B7DC90E" w14:textId="78D40FB9" w:rsidR="00710EFD" w:rsidRDefault="00AC5E05" w:rsidP="00AC5E05">
      <w:pPr>
        <w:pStyle w:val="3"/>
        <w:numPr>
          <w:ilvl w:val="0"/>
          <w:numId w:val="0"/>
        </w:numPr>
        <w:tabs>
          <w:tab w:val="left" w:pos="2552"/>
        </w:tabs>
        <w:ind w:left="2552" w:hanging="1134"/>
        <w:rPr>
          <w:lang w:val="en-ZA"/>
        </w:rPr>
      </w:pPr>
      <w:r>
        <w:rPr>
          <w:lang w:val="en-ZA"/>
        </w:rPr>
        <w:t>[57.1.1]</w:t>
      </w:r>
      <w:r>
        <w:rPr>
          <w:lang w:val="en-ZA"/>
        </w:rPr>
        <w:tab/>
      </w:r>
      <w:r w:rsidR="00B01AB6">
        <w:rPr>
          <w:lang w:val="en-ZA"/>
        </w:rPr>
        <w:t>“</w:t>
      </w:r>
      <w:r w:rsidR="00D418CB" w:rsidRPr="00B01AB6">
        <w:rPr>
          <w:i/>
          <w:iCs/>
          <w:lang w:val="en-ZA"/>
        </w:rPr>
        <w:t xml:space="preserve">But it was not for the high court to reinterpret the contract; its function was to </w:t>
      </w:r>
      <w:r w:rsidR="00B01AB6" w:rsidRPr="00B01AB6">
        <w:rPr>
          <w:i/>
          <w:iCs/>
          <w:lang w:val="en-ZA"/>
        </w:rPr>
        <w:t>determine whether the gross irregularities alleged had been committed</w:t>
      </w:r>
      <w:r w:rsidR="00B01AB6">
        <w:rPr>
          <w:lang w:val="en-ZA"/>
        </w:rPr>
        <w:t>”</w:t>
      </w:r>
      <w:r w:rsidR="00B01AB6">
        <w:rPr>
          <w:rStyle w:val="FootnoteReference"/>
        </w:rPr>
        <w:footnoteReference w:id="41"/>
      </w:r>
    </w:p>
    <w:p w14:paraId="350B906E" w14:textId="1C836C07" w:rsidR="00080E59" w:rsidRDefault="00AC5E05" w:rsidP="00AC5E05">
      <w:pPr>
        <w:pStyle w:val="1"/>
        <w:numPr>
          <w:ilvl w:val="0"/>
          <w:numId w:val="0"/>
        </w:numPr>
        <w:tabs>
          <w:tab w:val="left" w:pos="567"/>
        </w:tabs>
        <w:ind w:left="567" w:hanging="567"/>
        <w:rPr>
          <w:lang w:val="en-ZA"/>
        </w:rPr>
      </w:pPr>
      <w:r>
        <w:rPr>
          <w:rFonts w:cs="Arial"/>
          <w:sz w:val="22"/>
          <w:lang w:val="en-ZA"/>
        </w:rPr>
        <w:t>[58]</w:t>
      </w:r>
      <w:r>
        <w:rPr>
          <w:rFonts w:cs="Arial"/>
          <w:sz w:val="22"/>
          <w:lang w:val="en-ZA"/>
        </w:rPr>
        <w:tab/>
      </w:r>
      <w:r w:rsidR="002214E2">
        <w:rPr>
          <w:lang w:val="en-ZA"/>
        </w:rPr>
        <w:t xml:space="preserve">It must be noted that unlike in </w:t>
      </w:r>
      <w:r w:rsidR="002214E2" w:rsidRPr="002214E2">
        <w:rPr>
          <w:b/>
          <w:bCs/>
          <w:i/>
          <w:iCs w:val="0"/>
          <w:lang w:val="en-ZA"/>
        </w:rPr>
        <w:t>Eskom Holdings</w:t>
      </w:r>
      <w:r w:rsidR="002214E2">
        <w:rPr>
          <w:lang w:val="en-ZA"/>
        </w:rPr>
        <w:t>,</w:t>
      </w:r>
      <w:r w:rsidR="00BF7908">
        <w:rPr>
          <w:rStyle w:val="FootnoteReference"/>
        </w:rPr>
        <w:footnoteReference w:id="42"/>
      </w:r>
      <w:r w:rsidR="002214E2">
        <w:rPr>
          <w:lang w:val="en-ZA"/>
        </w:rPr>
        <w:t xml:space="preserve"> the parties in this case had </w:t>
      </w:r>
      <w:r w:rsidR="002214E2" w:rsidRPr="002D17FE">
        <w:rPr>
          <w:u w:val="single"/>
          <w:lang w:val="en-ZA"/>
        </w:rPr>
        <w:t>not</w:t>
      </w:r>
      <w:r w:rsidR="002214E2" w:rsidRPr="002D17FE">
        <w:rPr>
          <w:lang w:val="en-ZA"/>
        </w:rPr>
        <w:t xml:space="preserve"> agreed to</w:t>
      </w:r>
      <w:r w:rsidR="002214E2">
        <w:rPr>
          <w:lang w:val="en-ZA"/>
        </w:rPr>
        <w:t xml:space="preserve"> the issues that were to be separated and determined by the arbitrator</w:t>
      </w:r>
    </w:p>
    <w:p w14:paraId="0B5CEC03" w14:textId="13ED9540" w:rsidR="002214E2" w:rsidRDefault="00AC5E05" w:rsidP="00AC5E05">
      <w:pPr>
        <w:pStyle w:val="1"/>
        <w:numPr>
          <w:ilvl w:val="0"/>
          <w:numId w:val="0"/>
        </w:numPr>
        <w:tabs>
          <w:tab w:val="left" w:pos="567"/>
        </w:tabs>
        <w:ind w:left="567" w:hanging="567"/>
        <w:rPr>
          <w:lang w:val="en-ZA"/>
        </w:rPr>
      </w:pPr>
      <w:r>
        <w:rPr>
          <w:rFonts w:cs="Arial"/>
          <w:sz w:val="22"/>
          <w:lang w:val="en-ZA"/>
        </w:rPr>
        <w:t>[59]</w:t>
      </w:r>
      <w:r>
        <w:rPr>
          <w:rFonts w:cs="Arial"/>
          <w:sz w:val="22"/>
          <w:lang w:val="en-ZA"/>
        </w:rPr>
        <w:tab/>
      </w:r>
      <w:r w:rsidR="002214E2">
        <w:rPr>
          <w:lang w:val="en-ZA"/>
        </w:rPr>
        <w:t>In this case</w:t>
      </w:r>
      <w:r w:rsidR="00101803">
        <w:rPr>
          <w:lang w:val="en-ZA"/>
        </w:rPr>
        <w:t xml:space="preserve"> it was</w:t>
      </w:r>
      <w:r w:rsidR="002214E2">
        <w:rPr>
          <w:lang w:val="en-ZA"/>
        </w:rPr>
        <w:t xml:space="preserve"> Transnet </w:t>
      </w:r>
      <w:r w:rsidR="00101803">
        <w:rPr>
          <w:lang w:val="en-ZA"/>
        </w:rPr>
        <w:t>that</w:t>
      </w:r>
      <w:r w:rsidR="002214E2">
        <w:rPr>
          <w:lang w:val="en-ZA"/>
        </w:rPr>
        <w:t xml:space="preserve"> sought an application </w:t>
      </w:r>
      <w:r w:rsidR="003F228F">
        <w:rPr>
          <w:lang w:val="en-ZA"/>
        </w:rPr>
        <w:t>for the separation of its special defences, an application which had initially been opposed by Spill Tech.  The special defences</w:t>
      </w:r>
      <w:r w:rsidR="008B4E9D">
        <w:rPr>
          <w:lang w:val="en-ZA"/>
        </w:rPr>
        <w:t xml:space="preserve"> and its approach thereto</w:t>
      </w:r>
      <w:r w:rsidR="006C6931">
        <w:rPr>
          <w:lang w:val="en-ZA"/>
        </w:rPr>
        <w:t xml:space="preserve">, which Transnet directed against Spill Tech’s claims, </w:t>
      </w:r>
      <w:r w:rsidR="003F228F">
        <w:rPr>
          <w:lang w:val="en-ZA"/>
        </w:rPr>
        <w:t xml:space="preserve">were </w:t>
      </w:r>
      <w:r w:rsidR="008B4E9D">
        <w:rPr>
          <w:lang w:val="en-ZA"/>
        </w:rPr>
        <w:t xml:space="preserve">of </w:t>
      </w:r>
      <w:r w:rsidR="003F228F">
        <w:rPr>
          <w:lang w:val="en-ZA"/>
        </w:rPr>
        <w:t xml:space="preserve">Transnet’s </w:t>
      </w:r>
      <w:r w:rsidR="006C6931">
        <w:rPr>
          <w:lang w:val="en-ZA"/>
        </w:rPr>
        <w:t xml:space="preserve">own </w:t>
      </w:r>
      <w:r w:rsidR="003F228F">
        <w:rPr>
          <w:lang w:val="en-ZA"/>
        </w:rPr>
        <w:t>formulat</w:t>
      </w:r>
      <w:r w:rsidR="006C6931">
        <w:rPr>
          <w:lang w:val="en-ZA"/>
        </w:rPr>
        <w:t>ion.</w:t>
      </w:r>
      <w:r w:rsidR="00C57A8C">
        <w:rPr>
          <w:lang w:val="en-ZA"/>
        </w:rPr>
        <w:t xml:space="preserve"> </w:t>
      </w:r>
    </w:p>
    <w:p w14:paraId="4D081DEA" w14:textId="24C77C05" w:rsidR="0053288D" w:rsidRDefault="00AC5E05" w:rsidP="00AC5E05">
      <w:pPr>
        <w:pStyle w:val="1"/>
        <w:numPr>
          <w:ilvl w:val="0"/>
          <w:numId w:val="0"/>
        </w:numPr>
        <w:tabs>
          <w:tab w:val="left" w:pos="567"/>
        </w:tabs>
        <w:ind w:left="567" w:hanging="567"/>
        <w:rPr>
          <w:lang w:val="en-ZA"/>
        </w:rPr>
      </w:pPr>
      <w:r>
        <w:rPr>
          <w:rFonts w:cs="Arial"/>
          <w:sz w:val="22"/>
          <w:lang w:val="en-ZA"/>
        </w:rPr>
        <w:t>[60]</w:t>
      </w:r>
      <w:r>
        <w:rPr>
          <w:rFonts w:cs="Arial"/>
          <w:sz w:val="22"/>
          <w:lang w:val="en-ZA"/>
        </w:rPr>
        <w:tab/>
      </w:r>
      <w:r w:rsidR="0053288D">
        <w:rPr>
          <w:lang w:val="en-ZA"/>
        </w:rPr>
        <w:t xml:space="preserve">Moreover, all the special defences raised by Transnet required an interpretation of the Contracts. </w:t>
      </w:r>
      <w:r w:rsidR="008D5447">
        <w:rPr>
          <w:lang w:val="en-ZA"/>
        </w:rPr>
        <w:t xml:space="preserve"> </w:t>
      </w:r>
    </w:p>
    <w:p w14:paraId="7AF00245" w14:textId="46076556" w:rsidR="0053288D" w:rsidRDefault="00AC5E05" w:rsidP="00AC5E05">
      <w:pPr>
        <w:pStyle w:val="1"/>
        <w:numPr>
          <w:ilvl w:val="0"/>
          <w:numId w:val="0"/>
        </w:numPr>
        <w:tabs>
          <w:tab w:val="left" w:pos="567"/>
        </w:tabs>
        <w:ind w:left="567" w:hanging="567"/>
      </w:pPr>
      <w:r>
        <w:rPr>
          <w:rFonts w:cs="Arial"/>
          <w:sz w:val="22"/>
        </w:rPr>
        <w:t>[61]</w:t>
      </w:r>
      <w:r>
        <w:rPr>
          <w:rFonts w:cs="Arial"/>
          <w:sz w:val="22"/>
        </w:rPr>
        <w:tab/>
      </w:r>
      <w:r w:rsidR="0053288D">
        <w:t>In</w:t>
      </w:r>
      <w:r w:rsidR="0053288D">
        <w:rPr>
          <w:spacing w:val="1"/>
        </w:rPr>
        <w:t xml:space="preserve"> </w:t>
      </w:r>
      <w:r w:rsidR="0053288D">
        <w:rPr>
          <w:b/>
          <w:i/>
        </w:rPr>
        <w:t>University</w:t>
      </w:r>
      <w:r w:rsidR="0053288D">
        <w:rPr>
          <w:b/>
          <w:i/>
          <w:spacing w:val="1"/>
        </w:rPr>
        <w:t xml:space="preserve"> </w:t>
      </w:r>
      <w:r w:rsidR="0053288D">
        <w:rPr>
          <w:b/>
          <w:i/>
        </w:rPr>
        <w:t>of</w:t>
      </w:r>
      <w:r w:rsidR="0053288D">
        <w:rPr>
          <w:b/>
          <w:i/>
          <w:spacing w:val="1"/>
        </w:rPr>
        <w:t xml:space="preserve"> </w:t>
      </w:r>
      <w:r w:rsidR="0053288D">
        <w:rPr>
          <w:b/>
          <w:i/>
        </w:rPr>
        <w:t>Johannesburg</w:t>
      </w:r>
      <w:r w:rsidR="0053288D">
        <w:rPr>
          <w:b/>
          <w:i/>
          <w:spacing w:val="1"/>
        </w:rPr>
        <w:t xml:space="preserve"> </w:t>
      </w:r>
      <w:r w:rsidR="0053288D">
        <w:rPr>
          <w:b/>
          <w:i/>
        </w:rPr>
        <w:t>v</w:t>
      </w:r>
      <w:r w:rsidR="0053288D">
        <w:rPr>
          <w:b/>
          <w:i/>
          <w:spacing w:val="1"/>
        </w:rPr>
        <w:t xml:space="preserve"> </w:t>
      </w:r>
      <w:r w:rsidR="0053288D">
        <w:rPr>
          <w:b/>
          <w:i/>
        </w:rPr>
        <w:t>Auckland</w:t>
      </w:r>
      <w:r w:rsidR="0053288D">
        <w:rPr>
          <w:b/>
          <w:i/>
          <w:spacing w:val="1"/>
        </w:rPr>
        <w:t xml:space="preserve"> </w:t>
      </w:r>
      <w:r w:rsidR="0053288D">
        <w:rPr>
          <w:b/>
          <w:i/>
        </w:rPr>
        <w:t>Park</w:t>
      </w:r>
      <w:r w:rsidR="0053288D">
        <w:rPr>
          <w:b/>
          <w:i/>
          <w:spacing w:val="1"/>
        </w:rPr>
        <w:t xml:space="preserve"> </w:t>
      </w:r>
      <w:r w:rsidR="0053288D">
        <w:rPr>
          <w:b/>
          <w:i/>
        </w:rPr>
        <w:t>Theological</w:t>
      </w:r>
      <w:r w:rsidR="0053288D">
        <w:rPr>
          <w:b/>
          <w:i/>
          <w:spacing w:val="1"/>
        </w:rPr>
        <w:t xml:space="preserve"> </w:t>
      </w:r>
      <w:r w:rsidR="0053288D">
        <w:rPr>
          <w:b/>
          <w:i/>
        </w:rPr>
        <w:t>Seminary</w:t>
      </w:r>
      <w:hyperlink w:anchor="_bookmark55" w:history="1">
        <w:r w:rsidR="0053288D">
          <w:rPr>
            <w:i/>
            <w:position w:val="7"/>
            <w:sz w:val="16"/>
          </w:rPr>
          <w:t>39</w:t>
        </w:r>
      </w:hyperlink>
      <w:r w:rsidR="0053288D">
        <w:rPr>
          <w:i/>
          <w:spacing w:val="1"/>
          <w:position w:val="7"/>
          <w:sz w:val="16"/>
        </w:rPr>
        <w:t xml:space="preserve"> </w:t>
      </w:r>
      <w:r w:rsidR="0053288D">
        <w:t>the</w:t>
      </w:r>
      <w:r w:rsidR="0053288D">
        <w:rPr>
          <w:spacing w:val="1"/>
        </w:rPr>
        <w:t xml:space="preserve"> </w:t>
      </w:r>
      <w:r w:rsidR="0053288D">
        <w:lastRenderedPageBreak/>
        <w:t>Constitutional</w:t>
      </w:r>
      <w:r w:rsidR="0053288D">
        <w:rPr>
          <w:spacing w:val="1"/>
        </w:rPr>
        <w:t xml:space="preserve"> </w:t>
      </w:r>
      <w:r w:rsidR="0053288D">
        <w:t>Court</w:t>
      </w:r>
      <w:r w:rsidR="0053288D">
        <w:rPr>
          <w:spacing w:val="1"/>
        </w:rPr>
        <w:t xml:space="preserve"> </w:t>
      </w:r>
      <w:r w:rsidR="0053288D">
        <w:t>restated</w:t>
      </w:r>
      <w:r w:rsidR="0053288D">
        <w:rPr>
          <w:spacing w:val="1"/>
        </w:rPr>
        <w:t xml:space="preserve"> </w:t>
      </w:r>
      <w:r w:rsidR="0053288D">
        <w:t>that</w:t>
      </w:r>
      <w:r w:rsidR="0053288D">
        <w:rPr>
          <w:spacing w:val="1"/>
        </w:rPr>
        <w:t xml:space="preserve"> </w:t>
      </w:r>
      <w:r w:rsidR="0053288D">
        <w:t>the</w:t>
      </w:r>
      <w:r w:rsidR="0053288D">
        <w:rPr>
          <w:spacing w:val="1"/>
        </w:rPr>
        <w:t xml:space="preserve"> </w:t>
      </w:r>
      <w:r w:rsidR="0053288D">
        <w:t>context in which the contract is concluded, and the language thereof must be</w:t>
      </w:r>
      <w:r w:rsidR="0053288D">
        <w:rPr>
          <w:spacing w:val="1"/>
        </w:rPr>
        <w:t xml:space="preserve"> </w:t>
      </w:r>
      <w:r w:rsidR="0053288D">
        <w:t>considered together:</w:t>
      </w:r>
    </w:p>
    <w:p w14:paraId="64940AE6" w14:textId="77777777" w:rsidR="0053288D" w:rsidRDefault="0053288D" w:rsidP="0053288D">
      <w:pPr>
        <w:pStyle w:val="BodyText"/>
        <w:spacing w:before="10"/>
      </w:pPr>
    </w:p>
    <w:p w14:paraId="1E7300E2" w14:textId="3927C6EE" w:rsidR="0053288D" w:rsidRDefault="00AC5E05" w:rsidP="00AC5E05">
      <w:pPr>
        <w:pStyle w:val="3"/>
        <w:numPr>
          <w:ilvl w:val="0"/>
          <w:numId w:val="0"/>
        </w:numPr>
        <w:tabs>
          <w:tab w:val="left" w:pos="2552"/>
        </w:tabs>
        <w:ind w:left="2552" w:hanging="1134"/>
        <w:rPr>
          <w:lang w:val="en-ZA"/>
        </w:rPr>
      </w:pPr>
      <w:r>
        <w:rPr>
          <w:lang w:val="en-ZA"/>
        </w:rPr>
        <w:t>[61.1.1]</w:t>
      </w:r>
      <w:r>
        <w:rPr>
          <w:lang w:val="en-ZA"/>
        </w:rPr>
        <w:tab/>
      </w:r>
      <w:r w:rsidR="0053288D">
        <w:t>“</w:t>
      </w:r>
      <w:r w:rsidR="0053288D" w:rsidRPr="002A73BC">
        <w:rPr>
          <w:i/>
          <w:iCs/>
        </w:rPr>
        <w:t>This approach to interpretation requires that "from the outset one</w:t>
      </w:r>
      <w:r w:rsidR="0053288D" w:rsidRPr="002A73BC">
        <w:rPr>
          <w:i/>
          <w:iCs/>
          <w:spacing w:val="1"/>
        </w:rPr>
        <w:t xml:space="preserve"> </w:t>
      </w:r>
      <w:r w:rsidR="0053288D" w:rsidRPr="002A73BC">
        <w:rPr>
          <w:i/>
          <w:iCs/>
        </w:rPr>
        <w:t>considers</w:t>
      </w:r>
      <w:r w:rsidR="0053288D" w:rsidRPr="002A73BC">
        <w:rPr>
          <w:i/>
          <w:iCs/>
          <w:spacing w:val="1"/>
        </w:rPr>
        <w:t xml:space="preserve"> </w:t>
      </w:r>
      <w:r w:rsidR="0053288D" w:rsidRPr="002A73BC">
        <w:rPr>
          <w:i/>
          <w:iCs/>
        </w:rPr>
        <w:t>the</w:t>
      </w:r>
      <w:r w:rsidR="0053288D" w:rsidRPr="002A73BC">
        <w:rPr>
          <w:i/>
          <w:iCs/>
          <w:spacing w:val="1"/>
        </w:rPr>
        <w:t xml:space="preserve"> </w:t>
      </w:r>
      <w:r w:rsidR="0053288D" w:rsidRPr="002A73BC">
        <w:rPr>
          <w:i/>
          <w:iCs/>
        </w:rPr>
        <w:t>context</w:t>
      </w:r>
      <w:r w:rsidR="0053288D" w:rsidRPr="002A73BC">
        <w:rPr>
          <w:i/>
          <w:iCs/>
          <w:spacing w:val="1"/>
        </w:rPr>
        <w:t xml:space="preserve"> </w:t>
      </w:r>
      <w:r w:rsidR="0053288D" w:rsidRPr="002A73BC">
        <w:rPr>
          <w:i/>
          <w:iCs/>
        </w:rPr>
        <w:t>and</w:t>
      </w:r>
      <w:r w:rsidR="0053288D" w:rsidRPr="002A73BC">
        <w:rPr>
          <w:i/>
          <w:iCs/>
          <w:spacing w:val="1"/>
        </w:rPr>
        <w:t xml:space="preserve"> </w:t>
      </w:r>
      <w:r w:rsidR="0053288D" w:rsidRPr="002A73BC">
        <w:rPr>
          <w:i/>
          <w:iCs/>
        </w:rPr>
        <w:t>the</w:t>
      </w:r>
      <w:r w:rsidR="0053288D" w:rsidRPr="002A73BC">
        <w:rPr>
          <w:i/>
          <w:iCs/>
          <w:spacing w:val="1"/>
        </w:rPr>
        <w:t xml:space="preserve"> </w:t>
      </w:r>
      <w:r w:rsidR="0053288D" w:rsidRPr="002A73BC">
        <w:rPr>
          <w:i/>
          <w:iCs/>
        </w:rPr>
        <w:t>language</w:t>
      </w:r>
      <w:r w:rsidR="0053288D" w:rsidRPr="002A73BC">
        <w:rPr>
          <w:i/>
          <w:iCs/>
          <w:spacing w:val="1"/>
        </w:rPr>
        <w:t xml:space="preserve"> </w:t>
      </w:r>
      <w:r w:rsidR="0053288D" w:rsidRPr="002A73BC">
        <w:rPr>
          <w:i/>
          <w:iCs/>
        </w:rPr>
        <w:t>together,</w:t>
      </w:r>
      <w:r w:rsidR="0053288D" w:rsidRPr="002A73BC">
        <w:rPr>
          <w:i/>
          <w:iCs/>
          <w:spacing w:val="1"/>
        </w:rPr>
        <w:t xml:space="preserve"> </w:t>
      </w:r>
      <w:r w:rsidR="0053288D" w:rsidRPr="002A73BC">
        <w:rPr>
          <w:i/>
          <w:iCs/>
        </w:rPr>
        <w:t>with</w:t>
      </w:r>
      <w:r w:rsidR="0053288D" w:rsidRPr="002A73BC">
        <w:rPr>
          <w:i/>
          <w:iCs/>
          <w:spacing w:val="1"/>
        </w:rPr>
        <w:t xml:space="preserve"> </w:t>
      </w:r>
      <w:r w:rsidR="0053288D" w:rsidRPr="002A73BC">
        <w:rPr>
          <w:i/>
          <w:iCs/>
        </w:rPr>
        <w:t>neither</w:t>
      </w:r>
      <w:r w:rsidR="0053288D" w:rsidRPr="002A73BC">
        <w:rPr>
          <w:i/>
          <w:iCs/>
          <w:spacing w:val="1"/>
        </w:rPr>
        <w:t xml:space="preserve"> </w:t>
      </w:r>
      <w:r w:rsidR="0053288D" w:rsidRPr="002A73BC">
        <w:rPr>
          <w:i/>
          <w:iCs/>
        </w:rPr>
        <w:t>predominating over the other". In Chisuse, although speaking in the</w:t>
      </w:r>
      <w:r w:rsidR="0053288D" w:rsidRPr="002A73BC">
        <w:rPr>
          <w:i/>
          <w:iCs/>
          <w:spacing w:val="1"/>
        </w:rPr>
        <w:t xml:space="preserve"> </w:t>
      </w:r>
      <w:r w:rsidR="0053288D" w:rsidRPr="002A73BC">
        <w:rPr>
          <w:i/>
          <w:iCs/>
        </w:rPr>
        <w:t>context of statutory interpretation, this Court held that this "now</w:t>
      </w:r>
      <w:r w:rsidR="0053288D" w:rsidRPr="002A73BC">
        <w:rPr>
          <w:i/>
          <w:iCs/>
          <w:spacing w:val="1"/>
        </w:rPr>
        <w:t xml:space="preserve"> </w:t>
      </w:r>
      <w:r w:rsidR="0053288D" w:rsidRPr="002A73BC">
        <w:rPr>
          <w:i/>
          <w:iCs/>
        </w:rPr>
        <w:t>settled"</w:t>
      </w:r>
      <w:r w:rsidR="0053288D" w:rsidRPr="002A73BC">
        <w:rPr>
          <w:i/>
          <w:iCs/>
          <w:spacing w:val="1"/>
        </w:rPr>
        <w:t xml:space="preserve"> </w:t>
      </w:r>
      <w:r w:rsidR="0053288D" w:rsidRPr="002A73BC">
        <w:rPr>
          <w:i/>
          <w:iCs/>
        </w:rPr>
        <w:t>approach</w:t>
      </w:r>
      <w:r w:rsidR="0053288D" w:rsidRPr="002A73BC">
        <w:rPr>
          <w:i/>
          <w:iCs/>
          <w:spacing w:val="1"/>
        </w:rPr>
        <w:t xml:space="preserve"> </w:t>
      </w:r>
      <w:r w:rsidR="0053288D" w:rsidRPr="002A73BC">
        <w:rPr>
          <w:i/>
          <w:iCs/>
        </w:rPr>
        <w:t>to</w:t>
      </w:r>
      <w:r w:rsidR="0053288D" w:rsidRPr="002A73BC">
        <w:rPr>
          <w:i/>
          <w:iCs/>
          <w:spacing w:val="1"/>
        </w:rPr>
        <w:t xml:space="preserve"> </w:t>
      </w:r>
      <w:r w:rsidR="0053288D" w:rsidRPr="002A73BC">
        <w:rPr>
          <w:i/>
          <w:iCs/>
        </w:rPr>
        <w:t>interpretation,</w:t>
      </w:r>
      <w:r w:rsidR="0053288D" w:rsidRPr="002A73BC">
        <w:rPr>
          <w:i/>
          <w:iCs/>
          <w:spacing w:val="1"/>
        </w:rPr>
        <w:t xml:space="preserve"> </w:t>
      </w:r>
      <w:r w:rsidR="0053288D" w:rsidRPr="002A73BC">
        <w:rPr>
          <w:i/>
          <w:iCs/>
        </w:rPr>
        <w:t>is</w:t>
      </w:r>
      <w:r w:rsidR="0053288D" w:rsidRPr="002A73BC">
        <w:rPr>
          <w:i/>
          <w:iCs/>
          <w:spacing w:val="1"/>
        </w:rPr>
        <w:t xml:space="preserve"> </w:t>
      </w:r>
      <w:r w:rsidR="0053288D" w:rsidRPr="002A73BC">
        <w:rPr>
          <w:i/>
          <w:iCs/>
        </w:rPr>
        <w:t>a</w:t>
      </w:r>
      <w:r w:rsidR="0053288D" w:rsidRPr="002A73BC">
        <w:rPr>
          <w:i/>
          <w:iCs/>
          <w:spacing w:val="1"/>
        </w:rPr>
        <w:t xml:space="preserve"> </w:t>
      </w:r>
      <w:r w:rsidR="0053288D" w:rsidRPr="002A73BC">
        <w:rPr>
          <w:i/>
          <w:iCs/>
        </w:rPr>
        <w:t>"unitary"</w:t>
      </w:r>
      <w:r w:rsidR="0053288D" w:rsidRPr="002A73BC">
        <w:rPr>
          <w:i/>
          <w:iCs/>
          <w:spacing w:val="1"/>
        </w:rPr>
        <w:t xml:space="preserve"> </w:t>
      </w:r>
      <w:r w:rsidR="0053288D" w:rsidRPr="002A73BC">
        <w:rPr>
          <w:i/>
          <w:iCs/>
        </w:rPr>
        <w:t>exercise.</w:t>
      </w:r>
      <w:r w:rsidR="0053288D" w:rsidRPr="002A73BC">
        <w:rPr>
          <w:i/>
          <w:iCs/>
          <w:spacing w:val="1"/>
        </w:rPr>
        <w:t xml:space="preserve"> </w:t>
      </w:r>
      <w:r w:rsidR="0053288D" w:rsidRPr="002A73BC">
        <w:rPr>
          <w:i/>
          <w:iCs/>
        </w:rPr>
        <w:t>This</w:t>
      </w:r>
      <w:r w:rsidR="0053288D" w:rsidRPr="002A73BC">
        <w:rPr>
          <w:i/>
          <w:iCs/>
          <w:spacing w:val="1"/>
        </w:rPr>
        <w:t xml:space="preserve"> </w:t>
      </w:r>
      <w:r w:rsidR="0053288D" w:rsidRPr="002A73BC">
        <w:rPr>
          <w:i/>
          <w:iCs/>
        </w:rPr>
        <w:t>means</w:t>
      </w:r>
      <w:r w:rsidR="0053288D" w:rsidRPr="002A73BC">
        <w:rPr>
          <w:i/>
          <w:iCs/>
          <w:spacing w:val="1"/>
        </w:rPr>
        <w:t xml:space="preserve"> </w:t>
      </w:r>
      <w:r w:rsidR="0053288D" w:rsidRPr="002A73BC">
        <w:rPr>
          <w:i/>
          <w:iCs/>
        </w:rPr>
        <w:t>that</w:t>
      </w:r>
      <w:r w:rsidR="0053288D" w:rsidRPr="002A73BC">
        <w:rPr>
          <w:i/>
          <w:iCs/>
          <w:spacing w:val="1"/>
        </w:rPr>
        <w:t xml:space="preserve"> </w:t>
      </w:r>
      <w:r w:rsidR="0053288D" w:rsidRPr="002A73BC">
        <w:rPr>
          <w:i/>
          <w:iCs/>
        </w:rPr>
        <w:t>interpretation</w:t>
      </w:r>
      <w:r w:rsidR="0053288D" w:rsidRPr="002A73BC">
        <w:rPr>
          <w:i/>
          <w:iCs/>
          <w:spacing w:val="1"/>
        </w:rPr>
        <w:t xml:space="preserve"> </w:t>
      </w:r>
      <w:r w:rsidR="0053288D" w:rsidRPr="002A73BC">
        <w:rPr>
          <w:i/>
          <w:iCs/>
        </w:rPr>
        <w:t>is</w:t>
      </w:r>
      <w:r w:rsidR="0053288D" w:rsidRPr="002A73BC">
        <w:rPr>
          <w:i/>
          <w:iCs/>
          <w:spacing w:val="1"/>
        </w:rPr>
        <w:t xml:space="preserve"> </w:t>
      </w:r>
      <w:r w:rsidR="0053288D" w:rsidRPr="002A73BC">
        <w:rPr>
          <w:i/>
          <w:iCs/>
        </w:rPr>
        <w:t>to</w:t>
      </w:r>
      <w:r w:rsidR="0053288D" w:rsidRPr="002A73BC">
        <w:rPr>
          <w:i/>
          <w:iCs/>
          <w:spacing w:val="1"/>
        </w:rPr>
        <w:t xml:space="preserve"> </w:t>
      </w:r>
      <w:r w:rsidR="0053288D" w:rsidRPr="002A73BC">
        <w:rPr>
          <w:i/>
          <w:iCs/>
        </w:rPr>
        <w:t>be</w:t>
      </w:r>
      <w:r w:rsidR="0053288D" w:rsidRPr="002A73BC">
        <w:rPr>
          <w:i/>
          <w:iCs/>
          <w:spacing w:val="1"/>
        </w:rPr>
        <w:t xml:space="preserve"> </w:t>
      </w:r>
      <w:r w:rsidR="0053288D" w:rsidRPr="002A73BC">
        <w:rPr>
          <w:i/>
          <w:iCs/>
        </w:rPr>
        <w:t>approached</w:t>
      </w:r>
      <w:r w:rsidR="0053288D" w:rsidRPr="002A73BC">
        <w:rPr>
          <w:i/>
          <w:iCs/>
          <w:spacing w:val="1"/>
        </w:rPr>
        <w:t xml:space="preserve"> </w:t>
      </w:r>
      <w:r w:rsidR="0053288D" w:rsidRPr="002A73BC">
        <w:rPr>
          <w:i/>
          <w:iCs/>
        </w:rPr>
        <w:t>holistically:</w:t>
      </w:r>
      <w:r w:rsidR="0053288D" w:rsidRPr="002A73BC">
        <w:rPr>
          <w:i/>
          <w:iCs/>
          <w:spacing w:val="1"/>
        </w:rPr>
        <w:t xml:space="preserve"> </w:t>
      </w:r>
      <w:r w:rsidR="0053288D" w:rsidRPr="002A73BC">
        <w:rPr>
          <w:i/>
          <w:iCs/>
        </w:rPr>
        <w:t>simultaneously</w:t>
      </w:r>
      <w:r w:rsidR="0053288D" w:rsidRPr="002A73BC">
        <w:rPr>
          <w:i/>
          <w:iCs/>
          <w:spacing w:val="-2"/>
        </w:rPr>
        <w:t xml:space="preserve"> </w:t>
      </w:r>
      <w:r w:rsidR="0053288D" w:rsidRPr="002A73BC">
        <w:rPr>
          <w:i/>
          <w:iCs/>
        </w:rPr>
        <w:t>considering the text,</w:t>
      </w:r>
      <w:r w:rsidR="0053288D" w:rsidRPr="002A73BC">
        <w:rPr>
          <w:i/>
          <w:iCs/>
          <w:spacing w:val="-1"/>
        </w:rPr>
        <w:t xml:space="preserve"> </w:t>
      </w:r>
      <w:r w:rsidR="0053288D" w:rsidRPr="002A73BC">
        <w:rPr>
          <w:i/>
          <w:iCs/>
        </w:rPr>
        <w:t>context</w:t>
      </w:r>
      <w:r w:rsidR="0053288D" w:rsidRPr="002A73BC">
        <w:rPr>
          <w:i/>
          <w:iCs/>
          <w:spacing w:val="-3"/>
        </w:rPr>
        <w:t xml:space="preserve"> </w:t>
      </w:r>
      <w:r w:rsidR="0053288D" w:rsidRPr="002A73BC">
        <w:rPr>
          <w:i/>
          <w:iCs/>
        </w:rPr>
        <w:t>and</w:t>
      </w:r>
      <w:r w:rsidR="0053288D" w:rsidRPr="002A73BC">
        <w:rPr>
          <w:i/>
          <w:iCs/>
          <w:spacing w:val="-2"/>
        </w:rPr>
        <w:t xml:space="preserve"> </w:t>
      </w:r>
      <w:r w:rsidR="0053288D" w:rsidRPr="002A73BC">
        <w:rPr>
          <w:i/>
          <w:iCs/>
        </w:rPr>
        <w:t>purpose</w:t>
      </w:r>
      <w:r w:rsidR="0053288D" w:rsidRPr="002A73BC">
        <w:rPr>
          <w:i/>
          <w:iCs/>
          <w:lang w:val="en-ZA"/>
        </w:rPr>
        <w:t xml:space="preserve"> the basis upon which it argues the arbitrator ought to approach the interpretative exercise</w:t>
      </w:r>
      <w:r w:rsidR="0053288D">
        <w:rPr>
          <w:lang w:val="en-ZA"/>
        </w:rPr>
        <w:t>.”</w:t>
      </w:r>
    </w:p>
    <w:p w14:paraId="3CF5A416" w14:textId="1A2C8645" w:rsidR="0053288D" w:rsidRPr="00A353E0" w:rsidRDefault="00AC5E05" w:rsidP="00AC5E05">
      <w:pPr>
        <w:pStyle w:val="1"/>
        <w:numPr>
          <w:ilvl w:val="0"/>
          <w:numId w:val="0"/>
        </w:numPr>
        <w:tabs>
          <w:tab w:val="left" w:pos="567"/>
        </w:tabs>
        <w:ind w:left="567" w:hanging="567"/>
        <w:rPr>
          <w:lang w:val="en-US"/>
        </w:rPr>
      </w:pPr>
      <w:r w:rsidRPr="00A353E0">
        <w:rPr>
          <w:rFonts w:cs="Arial"/>
          <w:sz w:val="22"/>
          <w:lang w:val="en-US"/>
        </w:rPr>
        <w:t>[62]</w:t>
      </w:r>
      <w:r w:rsidRPr="00A353E0">
        <w:rPr>
          <w:rFonts w:cs="Arial"/>
          <w:sz w:val="22"/>
          <w:lang w:val="en-US"/>
        </w:rPr>
        <w:tab/>
      </w:r>
      <w:r w:rsidR="0053288D" w:rsidRPr="00A353E0">
        <w:rPr>
          <w:lang w:val="en-US"/>
        </w:rPr>
        <w:t xml:space="preserve">In </w:t>
      </w:r>
      <w:r w:rsidR="0053288D" w:rsidRPr="00A353E0">
        <w:rPr>
          <w:b/>
          <w:i/>
          <w:lang w:val="en-US"/>
        </w:rPr>
        <w:t>Natal Joint Municipal Pension Fund v Endumeni Municipality,</w:t>
      </w:r>
      <w:r w:rsidR="0053288D">
        <w:rPr>
          <w:b/>
          <w:i/>
          <w:lang w:val="en-US"/>
        </w:rPr>
        <w:t xml:space="preserve"> (“Endumeni”)</w:t>
      </w:r>
      <w:r w:rsidR="0053288D" w:rsidRPr="00A353E0">
        <w:rPr>
          <w:b/>
          <w:i/>
          <w:lang w:val="en-US"/>
        </w:rPr>
        <w:t xml:space="preserve"> </w:t>
      </w:r>
      <w:r w:rsidR="0053288D" w:rsidRPr="00A353E0">
        <w:rPr>
          <w:lang w:val="en-US"/>
        </w:rPr>
        <w:t xml:space="preserve">the SCA set out the general approach to the construction of </w:t>
      </w:r>
      <w:r w:rsidR="0053288D">
        <w:rPr>
          <w:lang w:val="en-US"/>
        </w:rPr>
        <w:t>Contracts</w:t>
      </w:r>
      <w:r w:rsidR="0053288D" w:rsidRPr="00A353E0">
        <w:rPr>
          <w:lang w:val="en-US"/>
        </w:rPr>
        <w:t>:</w:t>
      </w:r>
    </w:p>
    <w:p w14:paraId="36A4AC7F" w14:textId="3C47664E" w:rsidR="0053288D" w:rsidRDefault="00AC5E05" w:rsidP="00AC5E05">
      <w:pPr>
        <w:pStyle w:val="2"/>
        <w:numPr>
          <w:ilvl w:val="0"/>
          <w:numId w:val="0"/>
        </w:numPr>
        <w:tabs>
          <w:tab w:val="left" w:pos="851"/>
        </w:tabs>
        <w:ind w:left="851" w:hanging="851"/>
        <w:rPr>
          <w:lang w:val="en-ZA"/>
        </w:rPr>
      </w:pPr>
      <w:r>
        <w:rPr>
          <w:sz w:val="22"/>
          <w:lang w:val="en-ZA"/>
        </w:rPr>
        <w:t>[62.1]</w:t>
      </w:r>
      <w:r>
        <w:rPr>
          <w:sz w:val="22"/>
          <w:lang w:val="en-ZA"/>
        </w:rPr>
        <w:tab/>
      </w:r>
      <w:r w:rsidR="0053288D" w:rsidRPr="00A353E0">
        <w:rPr>
          <w:lang w:val="en-US"/>
        </w:rPr>
        <w:t>“</w:t>
      </w:r>
      <w:r w:rsidR="0053288D" w:rsidRPr="00676CB4">
        <w:rPr>
          <w:i/>
          <w:iCs w:val="0"/>
          <w:lang w:val="en-US"/>
        </w:rPr>
        <w:t xml:space="preserve">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w:t>
      </w:r>
      <w:r w:rsidR="0053288D" w:rsidRPr="00676CB4">
        <w:rPr>
          <w:i/>
          <w:iCs w:val="0"/>
          <w:lang w:val="en-US"/>
        </w:rPr>
        <w:lastRenderedPageBreak/>
        <w:t>syntax; the context in which the provision appears; the apparent purpose to which it is directed, and the material known to those responsible for its production</w:t>
      </w:r>
      <w:r w:rsidR="0053288D">
        <w:rPr>
          <w:i/>
          <w:iCs w:val="0"/>
          <w:lang w:val="en-US"/>
        </w:rPr>
        <w:t xml:space="preserve"> …   </w:t>
      </w:r>
      <w:r w:rsidR="0053288D" w:rsidRPr="002A5368">
        <w:rPr>
          <w:i/>
          <w:iCs w:val="0"/>
        </w:rPr>
        <w:t>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w:t>
      </w:r>
      <w:r w:rsidR="0053288D" w:rsidRPr="00EB4A68">
        <w:t>.</w:t>
      </w:r>
      <w:r w:rsidR="0053288D" w:rsidRPr="00A353E0">
        <w:rPr>
          <w:lang w:val="en-US"/>
        </w:rPr>
        <w:t>”</w:t>
      </w:r>
      <w:r w:rsidR="0053288D">
        <w:rPr>
          <w:rStyle w:val="FootnoteReference"/>
        </w:rPr>
        <w:footnoteReference w:id="43"/>
      </w:r>
    </w:p>
    <w:p w14:paraId="667A4912" w14:textId="0695CF89" w:rsidR="0053288D" w:rsidRPr="00E32481" w:rsidRDefault="00AC5E05" w:rsidP="00AC5E05">
      <w:pPr>
        <w:pStyle w:val="1"/>
        <w:numPr>
          <w:ilvl w:val="0"/>
          <w:numId w:val="0"/>
        </w:numPr>
        <w:tabs>
          <w:tab w:val="left" w:pos="567"/>
        </w:tabs>
        <w:ind w:left="567" w:hanging="567"/>
        <w:rPr>
          <w:lang w:val="en-ZA"/>
        </w:rPr>
      </w:pPr>
      <w:r w:rsidRPr="00E32481">
        <w:rPr>
          <w:rFonts w:cs="Arial"/>
          <w:sz w:val="22"/>
          <w:lang w:val="en-ZA"/>
        </w:rPr>
        <w:t>[63]</w:t>
      </w:r>
      <w:r w:rsidRPr="00E32481">
        <w:rPr>
          <w:rFonts w:cs="Arial"/>
          <w:sz w:val="22"/>
          <w:lang w:val="en-ZA"/>
        </w:rPr>
        <w:tab/>
      </w:r>
      <w:r w:rsidR="0053288D">
        <w:rPr>
          <w:lang w:val="en-ZA"/>
        </w:rPr>
        <w:t xml:space="preserve">In </w:t>
      </w:r>
      <w:r w:rsidR="0053288D" w:rsidRPr="001943EF">
        <w:rPr>
          <w:b/>
          <w:bCs/>
          <w:i/>
          <w:iCs w:val="0"/>
          <w:lang w:val="en-ZA"/>
        </w:rPr>
        <w:t>Endumeni</w:t>
      </w:r>
      <w:r w:rsidR="0053288D">
        <w:rPr>
          <w:b/>
          <w:bCs/>
          <w:i/>
          <w:iCs w:val="0"/>
          <w:lang w:val="en-ZA"/>
        </w:rPr>
        <w:t>,</w:t>
      </w:r>
      <w:r w:rsidR="0053288D" w:rsidRPr="001943EF">
        <w:rPr>
          <w:b/>
          <w:bCs/>
          <w:i/>
          <w:iCs w:val="0"/>
          <w:lang w:val="en-ZA"/>
        </w:rPr>
        <w:t xml:space="preserve"> </w:t>
      </w:r>
      <w:r w:rsidR="0053288D">
        <w:rPr>
          <w:lang w:val="en-ZA"/>
        </w:rPr>
        <w:t xml:space="preserve">the court cautions that in a contractual context, if a sensible or bussinesslike  meaning is not preferred it would be “ to </w:t>
      </w:r>
      <w:r w:rsidR="0053288D" w:rsidRPr="00810EB2">
        <w:rPr>
          <w:i/>
          <w:iCs w:val="0"/>
          <w:lang w:val="en-ZA"/>
        </w:rPr>
        <w:t xml:space="preserve">make a contract for the parties other than the one they </w:t>
      </w:r>
      <w:r w:rsidR="0053288D" w:rsidRPr="008B0F5F">
        <w:rPr>
          <w:i/>
          <w:iCs w:val="0"/>
          <w:u w:val="single"/>
          <w:lang w:val="en-ZA"/>
        </w:rPr>
        <w:t>in fact</w:t>
      </w:r>
      <w:r w:rsidR="0053288D" w:rsidRPr="00810EB2">
        <w:rPr>
          <w:i/>
          <w:iCs w:val="0"/>
          <w:lang w:val="en-ZA"/>
        </w:rPr>
        <w:t xml:space="preserve"> made</w:t>
      </w:r>
      <w:r w:rsidR="0053288D">
        <w:rPr>
          <w:lang w:val="en-ZA"/>
        </w:rPr>
        <w:t>.”</w:t>
      </w:r>
      <w:r w:rsidR="0053288D">
        <w:rPr>
          <w:rStyle w:val="FootnoteReference"/>
        </w:rPr>
        <w:footnoteReference w:id="44"/>
      </w:r>
    </w:p>
    <w:p w14:paraId="55B5334A" w14:textId="2331992B" w:rsidR="00A31ABD" w:rsidRPr="002C2F78" w:rsidRDefault="00A31ABD">
      <w:pPr>
        <w:pStyle w:val="1"/>
        <w:numPr>
          <w:ilvl w:val="0"/>
          <w:numId w:val="0"/>
        </w:numPr>
        <w:rPr>
          <w:b/>
          <w:bCs/>
        </w:rPr>
      </w:pPr>
      <w:r w:rsidRPr="002C2F78">
        <w:rPr>
          <w:b/>
          <w:bCs/>
        </w:rPr>
        <w:t xml:space="preserve">The </w:t>
      </w:r>
      <w:r w:rsidRPr="002C2F78">
        <w:rPr>
          <w:b/>
          <w:bCs/>
          <w:i/>
          <w:iCs w:val="0"/>
        </w:rPr>
        <w:t>Res Judicata</w:t>
      </w:r>
      <w:r w:rsidR="00525B10" w:rsidRPr="002C2F78">
        <w:rPr>
          <w:b/>
          <w:bCs/>
        </w:rPr>
        <w:t xml:space="preserve"> defence</w:t>
      </w:r>
    </w:p>
    <w:p w14:paraId="1FF50FD1" w14:textId="633BC231" w:rsidR="008D0FCD" w:rsidRPr="008D0FCD" w:rsidRDefault="00AC5E05" w:rsidP="00AC5E05">
      <w:pPr>
        <w:pStyle w:val="1"/>
        <w:numPr>
          <w:ilvl w:val="0"/>
          <w:numId w:val="0"/>
        </w:numPr>
        <w:tabs>
          <w:tab w:val="left" w:pos="567"/>
        </w:tabs>
        <w:ind w:left="567" w:hanging="567"/>
        <w:rPr>
          <w:lang w:val="en-ZA"/>
        </w:rPr>
      </w:pPr>
      <w:r w:rsidRPr="008D0FCD">
        <w:rPr>
          <w:rFonts w:cs="Arial"/>
          <w:sz w:val="22"/>
          <w:lang w:val="en-ZA"/>
        </w:rPr>
        <w:t>[64]</w:t>
      </w:r>
      <w:r w:rsidRPr="008D0FCD">
        <w:rPr>
          <w:rFonts w:cs="Arial"/>
          <w:sz w:val="22"/>
          <w:lang w:val="en-ZA"/>
        </w:rPr>
        <w:tab/>
      </w:r>
      <w:r w:rsidR="001F4669">
        <w:rPr>
          <w:lang w:val="en-ZA"/>
        </w:rPr>
        <w:t xml:space="preserve">It was common cause that Spill Tech </w:t>
      </w:r>
      <w:r w:rsidR="00D3136B">
        <w:rPr>
          <w:lang w:val="en-ZA"/>
        </w:rPr>
        <w:t xml:space="preserve">had notified its dissatisfaction with the adjudicator’s decision to Transnet as required under the </w:t>
      </w:r>
      <w:r w:rsidR="0036369F">
        <w:rPr>
          <w:lang w:val="en-ZA"/>
        </w:rPr>
        <w:t>C</w:t>
      </w:r>
      <w:r w:rsidR="00D3136B">
        <w:rPr>
          <w:lang w:val="en-ZA"/>
        </w:rPr>
        <w:t>ontract</w:t>
      </w:r>
      <w:r w:rsidR="0036369F">
        <w:rPr>
          <w:lang w:val="en-ZA"/>
        </w:rPr>
        <w:t>s</w:t>
      </w:r>
      <w:r w:rsidR="00D3136B">
        <w:rPr>
          <w:lang w:val="en-ZA"/>
        </w:rPr>
        <w:t xml:space="preserve">.  It was also common cause that it </w:t>
      </w:r>
      <w:r w:rsidR="001F4669">
        <w:rPr>
          <w:lang w:val="en-ZA"/>
        </w:rPr>
        <w:t xml:space="preserve">had not placed the adjudicator’s decision </w:t>
      </w:r>
      <w:r w:rsidR="00D3136B">
        <w:rPr>
          <w:lang w:val="en-ZA"/>
        </w:rPr>
        <w:t xml:space="preserve">before the </w:t>
      </w:r>
      <w:r w:rsidR="00612CE6">
        <w:rPr>
          <w:lang w:val="en-ZA"/>
        </w:rPr>
        <w:t>A</w:t>
      </w:r>
      <w:r w:rsidR="00D3136B">
        <w:rPr>
          <w:lang w:val="en-ZA"/>
        </w:rPr>
        <w:t>rbitrator but instead</w:t>
      </w:r>
      <w:r w:rsidR="009D067D">
        <w:rPr>
          <w:lang w:val="en-ZA"/>
        </w:rPr>
        <w:t xml:space="preserve"> referred the dispute</w:t>
      </w:r>
      <w:r w:rsidR="00D3136B">
        <w:rPr>
          <w:lang w:val="en-ZA"/>
        </w:rPr>
        <w:t xml:space="preserve"> </w:t>
      </w:r>
      <w:r w:rsidR="001F4669">
        <w:rPr>
          <w:lang w:val="en-ZA"/>
        </w:rPr>
        <w:t>to arbitration</w:t>
      </w:r>
      <w:r w:rsidR="009D067D">
        <w:rPr>
          <w:lang w:val="en-ZA"/>
        </w:rPr>
        <w:t xml:space="preserve">. </w:t>
      </w:r>
      <w:r w:rsidR="008D0FCD">
        <w:rPr>
          <w:lang w:val="en-ZA"/>
        </w:rPr>
        <w:t xml:space="preserve">It is also </w:t>
      </w:r>
      <w:r w:rsidR="008D0FCD">
        <w:t>common cause that the adjudicator’s decision was</w:t>
      </w:r>
      <w:r w:rsidR="004214B3">
        <w:t xml:space="preserve"> eventually</w:t>
      </w:r>
      <w:r w:rsidR="008D0FCD">
        <w:t xml:space="preserve"> placed before the </w:t>
      </w:r>
      <w:r w:rsidR="009F0FA7">
        <w:t>Arbitrator</w:t>
      </w:r>
      <w:r w:rsidR="008D0FCD">
        <w:t xml:space="preserve"> but by Transnet and not by Spill Tech the claimant.</w:t>
      </w:r>
    </w:p>
    <w:p w14:paraId="7DAF54A0" w14:textId="3CE9750A" w:rsidR="00A31ABD" w:rsidRDefault="00AC5E05" w:rsidP="00AC5E05">
      <w:pPr>
        <w:pStyle w:val="1"/>
        <w:numPr>
          <w:ilvl w:val="0"/>
          <w:numId w:val="0"/>
        </w:numPr>
        <w:tabs>
          <w:tab w:val="left" w:pos="567"/>
        </w:tabs>
        <w:ind w:left="567" w:hanging="567"/>
        <w:rPr>
          <w:iCs w:val="0"/>
          <w:lang w:val="en-ZA"/>
        </w:rPr>
      </w:pPr>
      <w:r>
        <w:rPr>
          <w:rFonts w:cs="Arial"/>
          <w:sz w:val="22"/>
          <w:lang w:val="en-ZA"/>
        </w:rPr>
        <w:t>[65]</w:t>
      </w:r>
      <w:r>
        <w:rPr>
          <w:rFonts w:cs="Arial"/>
          <w:sz w:val="22"/>
          <w:lang w:val="en-ZA"/>
        </w:rPr>
        <w:tab/>
      </w:r>
      <w:r w:rsidR="00175FF8">
        <w:rPr>
          <w:iCs w:val="0"/>
          <w:lang w:val="en-ZA"/>
        </w:rPr>
        <w:t xml:space="preserve">Transnet’s </w:t>
      </w:r>
      <w:r w:rsidR="001F4669">
        <w:rPr>
          <w:iCs w:val="0"/>
          <w:lang w:val="en-ZA"/>
        </w:rPr>
        <w:t>defence</w:t>
      </w:r>
      <w:r w:rsidR="00EF11A5">
        <w:rPr>
          <w:iCs w:val="0"/>
          <w:lang w:val="en-ZA"/>
        </w:rPr>
        <w:t xml:space="preserve"> here</w:t>
      </w:r>
      <w:r w:rsidR="001F4669">
        <w:rPr>
          <w:iCs w:val="0"/>
          <w:lang w:val="en-ZA"/>
        </w:rPr>
        <w:t xml:space="preserve"> </w:t>
      </w:r>
      <w:r w:rsidR="009D067D">
        <w:rPr>
          <w:iCs w:val="0"/>
          <w:lang w:val="en-ZA"/>
        </w:rPr>
        <w:t xml:space="preserve">is </w:t>
      </w:r>
      <w:r w:rsidR="001F4669">
        <w:rPr>
          <w:iCs w:val="0"/>
          <w:lang w:val="en-ZA"/>
        </w:rPr>
        <w:t xml:space="preserve">that </w:t>
      </w:r>
      <w:r w:rsidR="009D067D">
        <w:rPr>
          <w:iCs w:val="0"/>
          <w:lang w:val="en-ZA"/>
        </w:rPr>
        <w:t xml:space="preserve">because </w:t>
      </w:r>
      <w:r w:rsidR="001F4669">
        <w:rPr>
          <w:iCs w:val="0"/>
          <w:lang w:val="en-ZA"/>
        </w:rPr>
        <w:t xml:space="preserve">Spill Tech had not referred the </w:t>
      </w:r>
      <w:r w:rsidR="001F4669" w:rsidRPr="00EF11A5">
        <w:rPr>
          <w:iCs w:val="0"/>
          <w:lang w:val="en-ZA"/>
        </w:rPr>
        <w:lastRenderedPageBreak/>
        <w:t>adjudicator’s</w:t>
      </w:r>
      <w:r w:rsidR="001F4669" w:rsidRPr="009D067D">
        <w:rPr>
          <w:i/>
          <w:lang w:val="en-ZA"/>
        </w:rPr>
        <w:t xml:space="preserve"> decision</w:t>
      </w:r>
      <w:r w:rsidR="001F4669">
        <w:rPr>
          <w:iCs w:val="0"/>
          <w:lang w:val="en-ZA"/>
        </w:rPr>
        <w:t xml:space="preserve"> to arbitration as it was required to in the </w:t>
      </w:r>
      <w:r w:rsidR="00D15088">
        <w:rPr>
          <w:iCs w:val="0"/>
          <w:lang w:val="en-ZA"/>
        </w:rPr>
        <w:t xml:space="preserve">Contracts </w:t>
      </w:r>
      <w:r w:rsidR="009D067D">
        <w:rPr>
          <w:iCs w:val="0"/>
          <w:lang w:val="en-ZA"/>
        </w:rPr>
        <w:t xml:space="preserve">but referred the dispute </w:t>
      </w:r>
      <w:r w:rsidR="009D067D" w:rsidRPr="00D15088">
        <w:rPr>
          <w:i/>
          <w:lang w:val="en-ZA"/>
        </w:rPr>
        <w:t>de novo</w:t>
      </w:r>
      <w:r w:rsidR="009D067D">
        <w:rPr>
          <w:iCs w:val="0"/>
          <w:lang w:val="en-ZA"/>
        </w:rPr>
        <w:t>, that decision still stood unchallenged</w:t>
      </w:r>
      <w:r w:rsidR="001F4669">
        <w:rPr>
          <w:iCs w:val="0"/>
          <w:lang w:val="en-ZA"/>
        </w:rPr>
        <w:t xml:space="preserve">.  </w:t>
      </w:r>
      <w:r w:rsidR="009D067D">
        <w:rPr>
          <w:iCs w:val="0"/>
          <w:lang w:val="en-ZA"/>
        </w:rPr>
        <w:t xml:space="preserve">The matter was therefore </w:t>
      </w:r>
      <w:r w:rsidR="009D067D" w:rsidRPr="009D067D">
        <w:rPr>
          <w:i/>
          <w:lang w:val="en-ZA"/>
        </w:rPr>
        <w:t>res judicata</w:t>
      </w:r>
      <w:r w:rsidR="009D067D">
        <w:rPr>
          <w:iCs w:val="0"/>
          <w:lang w:val="en-ZA"/>
        </w:rPr>
        <w:t>.  Transnet relied on</w:t>
      </w:r>
      <w:r w:rsidR="00CD319F">
        <w:rPr>
          <w:iCs w:val="0"/>
          <w:lang w:val="en-ZA"/>
        </w:rPr>
        <w:t xml:space="preserve"> its interpretation of</w:t>
      </w:r>
      <w:r w:rsidR="009D067D">
        <w:rPr>
          <w:iCs w:val="0"/>
          <w:lang w:val="en-ZA"/>
        </w:rPr>
        <w:t xml:space="preserve"> </w:t>
      </w:r>
      <w:r w:rsidR="002F6D46">
        <w:rPr>
          <w:iCs w:val="0"/>
          <w:lang w:val="en-ZA"/>
        </w:rPr>
        <w:t xml:space="preserve">Option W1 in the NEC3 Conditions of Contract in support of its </w:t>
      </w:r>
      <w:r w:rsidR="00CD319F">
        <w:rPr>
          <w:iCs w:val="0"/>
          <w:lang w:val="en-ZA"/>
        </w:rPr>
        <w:t>argument</w:t>
      </w:r>
      <w:r w:rsidR="002F6D46">
        <w:rPr>
          <w:iCs w:val="0"/>
          <w:lang w:val="en-ZA"/>
        </w:rPr>
        <w:t xml:space="preserve">.  </w:t>
      </w:r>
    </w:p>
    <w:p w14:paraId="0CB0103F" w14:textId="42B5361B" w:rsidR="00ED09D9" w:rsidRPr="00ED09D9" w:rsidRDefault="00AC5E05" w:rsidP="00AC5E05">
      <w:pPr>
        <w:pStyle w:val="1"/>
        <w:numPr>
          <w:ilvl w:val="0"/>
          <w:numId w:val="0"/>
        </w:numPr>
        <w:tabs>
          <w:tab w:val="left" w:pos="567"/>
        </w:tabs>
        <w:ind w:left="567" w:hanging="567"/>
        <w:rPr>
          <w:iCs w:val="0"/>
          <w:lang w:val="en-ZA"/>
        </w:rPr>
      </w:pPr>
      <w:r w:rsidRPr="00ED09D9">
        <w:rPr>
          <w:rFonts w:cs="Arial"/>
          <w:sz w:val="22"/>
          <w:lang w:val="en-ZA"/>
        </w:rPr>
        <w:t>[66]</w:t>
      </w:r>
      <w:r w:rsidRPr="00ED09D9">
        <w:rPr>
          <w:rFonts w:cs="Arial"/>
          <w:sz w:val="22"/>
          <w:lang w:val="en-ZA"/>
        </w:rPr>
        <w:tab/>
      </w:r>
      <w:r w:rsidR="001C428B" w:rsidRPr="001C428B">
        <w:rPr>
          <w:iCs w:val="0"/>
        </w:rPr>
        <w:t>Option W1 in the NEC3 Conditions of Contract provides that</w:t>
      </w:r>
      <w:r w:rsidR="00EB191D">
        <w:rPr>
          <w:iCs w:val="0"/>
        </w:rPr>
        <w:t>:</w:t>
      </w:r>
      <w:r w:rsidR="001C428B" w:rsidRPr="001C428B">
        <w:rPr>
          <w:iCs w:val="0"/>
        </w:rPr>
        <w:t xml:space="preserve"> </w:t>
      </w:r>
    </w:p>
    <w:p w14:paraId="59101BBE" w14:textId="1F7410CC" w:rsidR="006A28BB" w:rsidRPr="00636B8B" w:rsidRDefault="00AC5E05" w:rsidP="00AC5E05">
      <w:pPr>
        <w:pStyle w:val="2"/>
        <w:numPr>
          <w:ilvl w:val="0"/>
          <w:numId w:val="0"/>
        </w:numPr>
        <w:tabs>
          <w:tab w:val="left" w:pos="851"/>
        </w:tabs>
        <w:ind w:left="851" w:hanging="851"/>
        <w:rPr>
          <w:lang w:val="en-ZA"/>
        </w:rPr>
      </w:pPr>
      <w:r w:rsidRPr="00636B8B">
        <w:rPr>
          <w:sz w:val="22"/>
          <w:lang w:val="en-ZA"/>
        </w:rPr>
        <w:t>[66.1]</w:t>
      </w:r>
      <w:r w:rsidRPr="00636B8B">
        <w:rPr>
          <w:sz w:val="22"/>
          <w:lang w:val="en-ZA"/>
        </w:rPr>
        <w:tab/>
      </w:r>
      <w:r w:rsidR="002A1727">
        <w:t xml:space="preserve">W1. </w:t>
      </w:r>
      <w:r w:rsidR="00D02535">
        <w:t xml:space="preserve">(1) </w:t>
      </w:r>
      <w:r w:rsidR="001C428B" w:rsidRPr="001C428B">
        <w:t xml:space="preserve">Any </w:t>
      </w:r>
      <w:r w:rsidR="001C428B" w:rsidRPr="002C1424">
        <w:t>dispute arising</w:t>
      </w:r>
      <w:r w:rsidR="001C428B" w:rsidRPr="001C428B">
        <w:t xml:space="preserve"> under or in connection with this contract is referred to and decided by the </w:t>
      </w:r>
      <w:r w:rsidR="001C428B" w:rsidRPr="00437FF6">
        <w:rPr>
          <w:i/>
          <w:iCs w:val="0"/>
        </w:rPr>
        <w:t>Adjudicator</w:t>
      </w:r>
      <w:r w:rsidR="00FA6828">
        <w:t>.</w:t>
      </w:r>
      <w:r w:rsidR="001C428B" w:rsidRPr="001C428B">
        <w:t xml:space="preserve">" </w:t>
      </w:r>
    </w:p>
    <w:p w14:paraId="6CF08D93" w14:textId="4FA24669" w:rsidR="00636B8B" w:rsidRPr="00B12815" w:rsidRDefault="00AC5E05" w:rsidP="00AC5E05">
      <w:pPr>
        <w:pStyle w:val="2"/>
        <w:numPr>
          <w:ilvl w:val="0"/>
          <w:numId w:val="0"/>
        </w:numPr>
        <w:tabs>
          <w:tab w:val="left" w:pos="851"/>
        </w:tabs>
        <w:ind w:left="851" w:hanging="851"/>
        <w:rPr>
          <w:lang w:val="en-ZA"/>
        </w:rPr>
      </w:pPr>
      <w:r w:rsidRPr="00B12815">
        <w:rPr>
          <w:sz w:val="22"/>
          <w:lang w:val="en-ZA"/>
        </w:rPr>
        <w:t>[66.2]</w:t>
      </w:r>
      <w:r w:rsidRPr="00B12815">
        <w:rPr>
          <w:sz w:val="22"/>
          <w:lang w:val="en-ZA"/>
        </w:rPr>
        <w:tab/>
      </w:r>
      <w:r w:rsidR="002A1727">
        <w:t xml:space="preserve">W1. </w:t>
      </w:r>
      <w:r w:rsidR="00636B8B">
        <w:t>(10)</w:t>
      </w:r>
      <w:r w:rsidR="00B2498D">
        <w:t xml:space="preserve"> The </w:t>
      </w:r>
      <w:r w:rsidR="00B2498D" w:rsidRPr="00437FF6">
        <w:rPr>
          <w:i/>
          <w:iCs w:val="0"/>
        </w:rPr>
        <w:t xml:space="preserve">Adjudicator’s </w:t>
      </w:r>
      <w:r w:rsidR="00B2498D">
        <w:t>decision is binding on the parties unless and</w:t>
      </w:r>
      <w:r w:rsidR="00E53A01">
        <w:t xml:space="preserve"> until revised by the </w:t>
      </w:r>
      <w:r w:rsidR="00A14EFA">
        <w:t xml:space="preserve">tribunal and is enforceable as a matter of contractual obligation between the parties and not as an arbitral award.  The Adjudicator’s decision is final and binding if neither Party has notified the other </w:t>
      </w:r>
      <w:r w:rsidR="00F810A0">
        <w:t xml:space="preserve">within the times required by this contract that he is dissatisfied with </w:t>
      </w:r>
      <w:r w:rsidR="00F810A0" w:rsidRPr="009D04F0">
        <w:t>a decision</w:t>
      </w:r>
      <w:r w:rsidR="00F810A0">
        <w:t xml:space="preserve"> of the </w:t>
      </w:r>
      <w:r w:rsidR="00F810A0" w:rsidRPr="00437FF6">
        <w:rPr>
          <w:i/>
          <w:iCs w:val="0"/>
        </w:rPr>
        <w:t>Adjudicator</w:t>
      </w:r>
      <w:r w:rsidR="00437FF6">
        <w:t xml:space="preserve"> and intends to refer </w:t>
      </w:r>
      <w:r w:rsidR="00437FF6" w:rsidRPr="00473320">
        <w:t>the matter</w:t>
      </w:r>
      <w:r w:rsidR="00437FF6">
        <w:t xml:space="preserve"> to the </w:t>
      </w:r>
      <w:r w:rsidR="00437FF6" w:rsidRPr="00437FF6">
        <w:rPr>
          <w:i/>
          <w:iCs w:val="0"/>
        </w:rPr>
        <w:t>tribunal</w:t>
      </w:r>
      <w:r w:rsidR="00437FF6">
        <w:t>.</w:t>
      </w:r>
      <w:r w:rsidR="00B12815">
        <w:t xml:space="preserve"> (In terms </w:t>
      </w:r>
      <w:r w:rsidR="007051FC">
        <w:t>of Part One – Data</w:t>
      </w:r>
      <w:r w:rsidR="00E750C2">
        <w:t xml:space="preserve"> of the contract</w:t>
      </w:r>
      <w:r w:rsidR="007051FC">
        <w:t xml:space="preserve"> provided by the Employer the </w:t>
      </w:r>
      <w:r w:rsidR="007051FC" w:rsidRPr="00302CA1">
        <w:rPr>
          <w:i/>
          <w:iCs w:val="0"/>
        </w:rPr>
        <w:t xml:space="preserve">tribunal </w:t>
      </w:r>
      <w:r w:rsidR="007051FC">
        <w:t>is the arbitrator)</w:t>
      </w:r>
    </w:p>
    <w:p w14:paraId="508348BC" w14:textId="09EC771D" w:rsidR="00B12815" w:rsidRDefault="00AC5E05" w:rsidP="00AC5E05">
      <w:pPr>
        <w:pStyle w:val="2"/>
        <w:numPr>
          <w:ilvl w:val="0"/>
          <w:numId w:val="0"/>
        </w:numPr>
        <w:tabs>
          <w:tab w:val="left" w:pos="851"/>
        </w:tabs>
        <w:ind w:left="851" w:hanging="851"/>
        <w:rPr>
          <w:lang w:val="en-ZA"/>
        </w:rPr>
      </w:pPr>
      <w:r>
        <w:rPr>
          <w:sz w:val="22"/>
          <w:lang w:val="en-ZA"/>
        </w:rPr>
        <w:t>[66.3]</w:t>
      </w:r>
      <w:r>
        <w:rPr>
          <w:sz w:val="22"/>
          <w:lang w:val="en-ZA"/>
        </w:rPr>
        <w:tab/>
      </w:r>
      <w:r w:rsidR="00614CC7">
        <w:rPr>
          <w:lang w:val="en-ZA"/>
        </w:rPr>
        <w:t xml:space="preserve">Under </w:t>
      </w:r>
      <w:r w:rsidR="002A1727">
        <w:rPr>
          <w:lang w:val="en-ZA"/>
        </w:rPr>
        <w:t>W1.4 enti</w:t>
      </w:r>
      <w:r w:rsidR="00614CC7">
        <w:rPr>
          <w:lang w:val="en-ZA"/>
        </w:rPr>
        <w:t xml:space="preserve">tled </w:t>
      </w:r>
      <w:r w:rsidR="002A1727">
        <w:rPr>
          <w:lang w:val="en-ZA"/>
        </w:rPr>
        <w:t xml:space="preserve">Review by the </w:t>
      </w:r>
      <w:r w:rsidR="002D2084">
        <w:rPr>
          <w:lang w:val="en-ZA"/>
        </w:rPr>
        <w:t>A</w:t>
      </w:r>
      <w:r w:rsidR="00614CC7">
        <w:rPr>
          <w:lang w:val="en-ZA"/>
        </w:rPr>
        <w:t>rbitrator</w:t>
      </w:r>
      <w:r w:rsidR="00EB191D">
        <w:rPr>
          <w:lang w:val="en-ZA"/>
        </w:rPr>
        <w:t>,</w:t>
      </w:r>
      <w:r w:rsidR="00614CC7">
        <w:rPr>
          <w:lang w:val="en-ZA"/>
        </w:rPr>
        <w:t xml:space="preserve"> the dispute must first be referred to the adjudicator:</w:t>
      </w:r>
    </w:p>
    <w:p w14:paraId="1198C8B0" w14:textId="1EF72252" w:rsidR="00450CA0" w:rsidRPr="00450CA0" w:rsidRDefault="00AC5E05" w:rsidP="00AC5E05">
      <w:pPr>
        <w:pStyle w:val="3"/>
        <w:numPr>
          <w:ilvl w:val="0"/>
          <w:numId w:val="0"/>
        </w:numPr>
        <w:tabs>
          <w:tab w:val="left" w:pos="2552"/>
        </w:tabs>
        <w:ind w:left="2552" w:hanging="1134"/>
        <w:rPr>
          <w:lang w:val="en-ZA"/>
        </w:rPr>
      </w:pPr>
      <w:r w:rsidRPr="00450CA0">
        <w:rPr>
          <w:lang w:val="en-ZA"/>
        </w:rPr>
        <w:t>[66.3.1]</w:t>
      </w:r>
      <w:r w:rsidRPr="00450CA0">
        <w:rPr>
          <w:lang w:val="en-ZA"/>
        </w:rPr>
        <w:tab/>
      </w:r>
      <w:r w:rsidR="00614CC7" w:rsidRPr="002A1727">
        <w:t xml:space="preserve">(1) A Party does not refer </w:t>
      </w:r>
      <w:r w:rsidR="00614CC7" w:rsidRPr="002C1424">
        <w:t>any dispute</w:t>
      </w:r>
      <w:r w:rsidR="00614CC7" w:rsidRPr="002A1727">
        <w:t xml:space="preserve"> under or in connection with this accordance with this contract</w:t>
      </w:r>
      <w:r w:rsidR="00292506">
        <w:t xml:space="preserve"> to the tribunal</w:t>
      </w:r>
      <w:r w:rsidR="00E71316">
        <w:t xml:space="preserve"> unless it </w:t>
      </w:r>
      <w:r w:rsidR="00E71316">
        <w:lastRenderedPageBreak/>
        <w:t>has first been</w:t>
      </w:r>
      <w:r w:rsidR="00450CA0">
        <w:t xml:space="preserve"> referred to the </w:t>
      </w:r>
      <w:r w:rsidR="00450CA0" w:rsidRPr="00302CA1">
        <w:rPr>
          <w:i/>
          <w:iCs/>
        </w:rPr>
        <w:t xml:space="preserve">Adjudicator </w:t>
      </w:r>
      <w:r w:rsidR="00450CA0">
        <w:t>in accordance with this contract</w:t>
      </w:r>
      <w:r w:rsidR="00614CC7" w:rsidRPr="002A1727">
        <w:t xml:space="preserve">. </w:t>
      </w:r>
    </w:p>
    <w:p w14:paraId="767CDAEC" w14:textId="1A7F4141" w:rsidR="000732F3" w:rsidRPr="000732F3" w:rsidRDefault="00AC5E05" w:rsidP="00AC5E05">
      <w:pPr>
        <w:pStyle w:val="3"/>
        <w:numPr>
          <w:ilvl w:val="0"/>
          <w:numId w:val="0"/>
        </w:numPr>
        <w:tabs>
          <w:tab w:val="left" w:pos="2552"/>
        </w:tabs>
        <w:ind w:left="2552" w:hanging="1134"/>
        <w:rPr>
          <w:lang w:val="en-ZA"/>
        </w:rPr>
      </w:pPr>
      <w:r w:rsidRPr="000732F3">
        <w:rPr>
          <w:lang w:val="en-ZA"/>
        </w:rPr>
        <w:t>[66.3.2]</w:t>
      </w:r>
      <w:r w:rsidRPr="000732F3">
        <w:rPr>
          <w:lang w:val="en-ZA"/>
        </w:rPr>
        <w:tab/>
      </w:r>
      <w:r w:rsidR="00450CA0">
        <w:t xml:space="preserve">(2) </w:t>
      </w:r>
      <w:r w:rsidR="00614CC7" w:rsidRPr="002A1727">
        <w:t xml:space="preserve">If, after the </w:t>
      </w:r>
      <w:r w:rsidR="00614CC7" w:rsidRPr="00302CA1">
        <w:rPr>
          <w:i/>
          <w:iCs/>
        </w:rPr>
        <w:t xml:space="preserve">Adjudicator </w:t>
      </w:r>
      <w:r w:rsidR="00614CC7" w:rsidRPr="002A1727">
        <w:t>notifies his decision</w:t>
      </w:r>
      <w:r w:rsidR="008E0187">
        <w:t>,</w:t>
      </w:r>
      <w:r w:rsidR="00614CC7" w:rsidRPr="002A1727">
        <w:t xml:space="preserve"> a Party is dis</w:t>
      </w:r>
      <w:r w:rsidR="00450CA0">
        <w:t xml:space="preserve">satisfied </w:t>
      </w:r>
      <w:r w:rsidR="000732F3">
        <w:t>he</w:t>
      </w:r>
      <w:r w:rsidR="00614CC7" w:rsidRPr="002A1727">
        <w:t xml:space="preserve"> may notify the other Party that he intends to refer </w:t>
      </w:r>
      <w:r w:rsidR="00614CC7" w:rsidRPr="002C1424">
        <w:t xml:space="preserve">it </w:t>
      </w:r>
      <w:r w:rsidR="00614CC7" w:rsidRPr="002A1727">
        <w:t xml:space="preserve">to the </w:t>
      </w:r>
      <w:r w:rsidR="000732F3">
        <w:t>tribunal. A</w:t>
      </w:r>
      <w:r w:rsidR="00614CC7" w:rsidRPr="002A1727">
        <w:t xml:space="preserve"> Party may not refer </w:t>
      </w:r>
      <w:r w:rsidR="00614CC7" w:rsidRPr="002C1424">
        <w:t>a dispute</w:t>
      </w:r>
      <w:r w:rsidR="00614CC7" w:rsidRPr="002A1727">
        <w:t xml:space="preserve"> to the tribunal unless this notification is given within four weeks of notification of the </w:t>
      </w:r>
      <w:r w:rsidR="00614CC7" w:rsidRPr="00302CA1">
        <w:rPr>
          <w:i/>
          <w:iCs/>
        </w:rPr>
        <w:t>Adjudicator's</w:t>
      </w:r>
      <w:r w:rsidR="00614CC7" w:rsidRPr="002A1727">
        <w:t xml:space="preserve"> decision.</w:t>
      </w:r>
    </w:p>
    <w:p w14:paraId="6CB047F6" w14:textId="39234E4A" w:rsidR="00CE63FF" w:rsidRPr="00CE63FF" w:rsidRDefault="00AC5E05" w:rsidP="00AC5E05">
      <w:pPr>
        <w:pStyle w:val="3"/>
        <w:numPr>
          <w:ilvl w:val="0"/>
          <w:numId w:val="0"/>
        </w:numPr>
        <w:tabs>
          <w:tab w:val="left" w:pos="2552"/>
        </w:tabs>
        <w:ind w:left="2552" w:hanging="1134"/>
        <w:rPr>
          <w:lang w:val="en-ZA"/>
        </w:rPr>
      </w:pPr>
      <w:r w:rsidRPr="00CE63FF">
        <w:rPr>
          <w:lang w:val="en-ZA"/>
        </w:rPr>
        <w:t>[66.3.3]</w:t>
      </w:r>
      <w:r w:rsidRPr="00CE63FF">
        <w:rPr>
          <w:lang w:val="en-ZA"/>
        </w:rPr>
        <w:tab/>
      </w:r>
      <w:r w:rsidR="00614CC7" w:rsidRPr="002A1727">
        <w:t xml:space="preserve">(3) If the </w:t>
      </w:r>
      <w:r w:rsidR="00614CC7" w:rsidRPr="00302CA1">
        <w:rPr>
          <w:i/>
          <w:iCs/>
        </w:rPr>
        <w:t xml:space="preserve">Adjudicator </w:t>
      </w:r>
      <w:r w:rsidR="00614CC7" w:rsidRPr="002A1727">
        <w:t xml:space="preserve">does not notify his decision within the time provided by this contract, a Party may notify the other Party that he intends to refer </w:t>
      </w:r>
      <w:r w:rsidR="00614CC7" w:rsidRPr="002C1424">
        <w:t>the dispute</w:t>
      </w:r>
      <w:r w:rsidR="00614CC7" w:rsidRPr="002A1727">
        <w:t xml:space="preserve"> to the tribunal. A Party may not </w:t>
      </w:r>
      <w:r w:rsidR="00614CC7" w:rsidRPr="002C1424">
        <w:t>refer a dispute</w:t>
      </w:r>
      <w:r w:rsidR="00614CC7" w:rsidRPr="002A1727">
        <w:t xml:space="preserve"> to the </w:t>
      </w:r>
      <w:r w:rsidR="00614CC7" w:rsidRPr="009D04F0">
        <w:rPr>
          <w:i/>
          <w:iCs/>
        </w:rPr>
        <w:t>tribunal</w:t>
      </w:r>
      <w:r w:rsidR="00614CC7" w:rsidRPr="002A1727">
        <w:t xml:space="preserve"> unless this notification is given within four weeks of the date by which the </w:t>
      </w:r>
      <w:r w:rsidR="00614CC7" w:rsidRPr="00302CA1">
        <w:rPr>
          <w:i/>
          <w:iCs/>
        </w:rPr>
        <w:t>Adjudicator</w:t>
      </w:r>
      <w:r w:rsidR="00614CC7" w:rsidRPr="002A1727">
        <w:t xml:space="preserve"> should have notified his decision." </w:t>
      </w:r>
    </w:p>
    <w:p w14:paraId="5CF78734" w14:textId="41FD9AAA" w:rsidR="00614CC7" w:rsidRPr="00302CA1" w:rsidRDefault="00AC5E05" w:rsidP="00AC5E05">
      <w:pPr>
        <w:pStyle w:val="3"/>
        <w:numPr>
          <w:ilvl w:val="0"/>
          <w:numId w:val="0"/>
        </w:numPr>
        <w:tabs>
          <w:tab w:val="left" w:pos="2552"/>
        </w:tabs>
        <w:ind w:left="2552" w:hanging="1134"/>
        <w:rPr>
          <w:lang w:val="en-ZA"/>
        </w:rPr>
      </w:pPr>
      <w:r w:rsidRPr="00302CA1">
        <w:rPr>
          <w:lang w:val="en-ZA"/>
        </w:rPr>
        <w:t>[66.3.4]</w:t>
      </w:r>
      <w:r w:rsidRPr="00302CA1">
        <w:rPr>
          <w:lang w:val="en-ZA"/>
        </w:rPr>
        <w:tab/>
      </w:r>
      <w:r w:rsidR="00CE63FF">
        <w:t xml:space="preserve">The tribunal settles </w:t>
      </w:r>
      <w:r w:rsidR="00CE63FF" w:rsidRPr="002C1424">
        <w:t>the dispute</w:t>
      </w:r>
      <w:r w:rsidR="00CE63FF">
        <w:t xml:space="preserve"> referred to it.  </w:t>
      </w:r>
      <w:r w:rsidR="00D06A68">
        <w:t xml:space="preserve">…A party is not </w:t>
      </w:r>
      <w:r w:rsidR="001652F6">
        <w:t xml:space="preserve">limited in the </w:t>
      </w:r>
      <w:r w:rsidR="001652F6" w:rsidRPr="009D04F0">
        <w:rPr>
          <w:i/>
          <w:iCs/>
        </w:rPr>
        <w:t xml:space="preserve">tribunal </w:t>
      </w:r>
      <w:r w:rsidR="001652F6">
        <w:t xml:space="preserve">proceedings to the information, evidence or </w:t>
      </w:r>
      <w:r w:rsidR="008E0187">
        <w:t>arguments</w:t>
      </w:r>
      <w:r w:rsidR="001652F6">
        <w:t xml:space="preserve"> put to the Adjudicator.</w:t>
      </w:r>
      <w:r w:rsidR="008E0187">
        <w:t>”</w:t>
      </w:r>
    </w:p>
    <w:p w14:paraId="42C22837" w14:textId="652E72F9" w:rsidR="0036776F" w:rsidRPr="002C2F78" w:rsidRDefault="00AC5E05" w:rsidP="00AC5E05">
      <w:pPr>
        <w:pStyle w:val="1"/>
        <w:numPr>
          <w:ilvl w:val="0"/>
          <w:numId w:val="0"/>
        </w:numPr>
        <w:tabs>
          <w:tab w:val="left" w:pos="567"/>
        </w:tabs>
        <w:ind w:left="567" w:hanging="567"/>
        <w:rPr>
          <w:lang w:val="en-ZA"/>
        </w:rPr>
      </w:pPr>
      <w:r w:rsidRPr="002C2F78">
        <w:rPr>
          <w:rFonts w:cs="Arial"/>
          <w:sz w:val="22"/>
          <w:lang w:val="en-ZA"/>
        </w:rPr>
        <w:t>[67]</w:t>
      </w:r>
      <w:r w:rsidRPr="002C2F78">
        <w:rPr>
          <w:rFonts w:cs="Arial"/>
          <w:sz w:val="22"/>
          <w:lang w:val="en-ZA"/>
        </w:rPr>
        <w:tab/>
      </w:r>
      <w:r w:rsidR="008478F3">
        <w:t>Transnet’s</w:t>
      </w:r>
      <w:r w:rsidR="00F42C61">
        <w:t xml:space="preserve"> submissions on the scheme of the dispute resolution can be summarised as follows: T</w:t>
      </w:r>
      <w:r w:rsidR="00C84D0C" w:rsidRPr="00C84D0C">
        <w:t xml:space="preserve">he </w:t>
      </w:r>
      <w:r w:rsidR="00F42C61">
        <w:t xml:space="preserve">fact that </w:t>
      </w:r>
      <w:r w:rsidR="00EB191D">
        <w:t xml:space="preserve">the </w:t>
      </w:r>
      <w:r w:rsidR="00C84D0C" w:rsidRPr="00C84D0C">
        <w:t>adjudicator's decision is to be "revised" (clause W1.3(10)) and "reconsidered" (clause W1.4(4)) the scheme of the dispute resolution mechanism in the NEC3 Conditions of Contract is that if there is a decision by the adjudicator, the</w:t>
      </w:r>
      <w:r w:rsidR="00C84D0C">
        <w:t xml:space="preserve"> </w:t>
      </w:r>
      <w:r w:rsidR="000D6532" w:rsidRPr="00917088">
        <w:rPr>
          <w:b/>
          <w:bCs/>
        </w:rPr>
        <w:t>decision</w:t>
      </w:r>
      <w:r w:rsidR="000D6532">
        <w:t xml:space="preserve"> must be referred to arbitration</w:t>
      </w:r>
      <w:r w:rsidR="006C6666">
        <w:t xml:space="preserve">.  The </w:t>
      </w:r>
      <w:r w:rsidR="006C6666">
        <w:lastRenderedPageBreak/>
        <w:t>fact that Spill Tech</w:t>
      </w:r>
      <w:r w:rsidR="00BF3804">
        <w:t xml:space="preserve"> had not referred the adjudicator’s </w:t>
      </w:r>
      <w:r w:rsidR="00BF3804" w:rsidRPr="00917088">
        <w:rPr>
          <w:b/>
          <w:bCs/>
        </w:rPr>
        <w:t>decision</w:t>
      </w:r>
      <w:r w:rsidR="00BF3804">
        <w:t xml:space="preserve"> to arbitration means that the adjudicator’s </w:t>
      </w:r>
      <w:r w:rsidR="00BF3804" w:rsidRPr="00917088">
        <w:rPr>
          <w:b/>
          <w:bCs/>
        </w:rPr>
        <w:t xml:space="preserve">decision </w:t>
      </w:r>
      <w:r w:rsidR="00BF3804">
        <w:t xml:space="preserve">still stands unchallenged. </w:t>
      </w:r>
      <w:r w:rsidR="008478F3">
        <w:t>Spill Tech was now out of time for referring the decision to arbi</w:t>
      </w:r>
      <w:r w:rsidR="00917088">
        <w:t xml:space="preserve">tration and the matter was accordingly </w:t>
      </w:r>
      <w:r w:rsidR="00917088" w:rsidRPr="002C156D">
        <w:rPr>
          <w:i/>
        </w:rPr>
        <w:t>res judicata</w:t>
      </w:r>
      <w:r w:rsidR="00917088">
        <w:t xml:space="preserve">.  </w:t>
      </w:r>
      <w:r w:rsidR="002C156D">
        <w:t xml:space="preserve">The </w:t>
      </w:r>
      <w:r w:rsidR="009F0FA7">
        <w:t>Arbitrator</w:t>
      </w:r>
      <w:r w:rsidR="002C156D">
        <w:t xml:space="preserve"> was accordingly not entitled to deal with the issue and exceeded his powers.  There was a suggestion by Transnet that the </w:t>
      </w:r>
      <w:r w:rsidR="009F0FA7">
        <w:t>Arbitrator</w:t>
      </w:r>
      <w:r w:rsidR="002C156D">
        <w:t xml:space="preserve"> lacked jurisdiction as a result</w:t>
      </w:r>
      <w:r w:rsidR="00A5569B">
        <w:t xml:space="preserve">. </w:t>
      </w:r>
    </w:p>
    <w:p w14:paraId="7F677B5A" w14:textId="36047CA4" w:rsidR="00B22B85" w:rsidRPr="00B22B85" w:rsidRDefault="00AC5E05" w:rsidP="00AC5E05">
      <w:pPr>
        <w:pStyle w:val="1"/>
        <w:numPr>
          <w:ilvl w:val="0"/>
          <w:numId w:val="0"/>
        </w:numPr>
        <w:tabs>
          <w:tab w:val="left" w:pos="567"/>
        </w:tabs>
        <w:ind w:left="567" w:hanging="567"/>
        <w:rPr>
          <w:lang w:val="en-ZA"/>
        </w:rPr>
      </w:pPr>
      <w:r w:rsidRPr="00B22B85">
        <w:rPr>
          <w:rFonts w:cs="Arial"/>
          <w:sz w:val="22"/>
          <w:lang w:val="en-ZA"/>
        </w:rPr>
        <w:t>[68]</w:t>
      </w:r>
      <w:r w:rsidRPr="00B22B85">
        <w:rPr>
          <w:rFonts w:cs="Arial"/>
          <w:sz w:val="22"/>
          <w:lang w:val="en-ZA"/>
        </w:rPr>
        <w:tab/>
      </w:r>
      <w:r w:rsidR="00335147">
        <w:t>All</w:t>
      </w:r>
      <w:r w:rsidR="00B22B85">
        <w:t xml:space="preserve"> of</w:t>
      </w:r>
      <w:r w:rsidR="00C10069">
        <w:t xml:space="preserve"> </w:t>
      </w:r>
      <w:r w:rsidR="00B22B85">
        <w:t xml:space="preserve">Transnet’s arguments </w:t>
      </w:r>
      <w:r w:rsidR="00335147">
        <w:t xml:space="preserve">here are </w:t>
      </w:r>
      <w:r w:rsidR="00C10069">
        <w:t>similar to those raised in the arbitration</w:t>
      </w:r>
      <w:r w:rsidR="00B22B85">
        <w:t xml:space="preserve">.   </w:t>
      </w:r>
    </w:p>
    <w:p w14:paraId="50DBA522" w14:textId="4C7B6CA9" w:rsidR="00174B7E" w:rsidRPr="00553963" w:rsidRDefault="00AC5E05" w:rsidP="00AC5E05">
      <w:pPr>
        <w:pStyle w:val="1"/>
        <w:numPr>
          <w:ilvl w:val="0"/>
          <w:numId w:val="0"/>
        </w:numPr>
        <w:tabs>
          <w:tab w:val="left" w:pos="567"/>
        </w:tabs>
        <w:ind w:left="567" w:hanging="567"/>
        <w:rPr>
          <w:lang w:val="en-ZA"/>
        </w:rPr>
      </w:pPr>
      <w:r w:rsidRPr="00553963">
        <w:rPr>
          <w:rFonts w:cs="Arial"/>
          <w:sz w:val="22"/>
          <w:lang w:val="en-ZA"/>
        </w:rPr>
        <w:t>[69]</w:t>
      </w:r>
      <w:r w:rsidRPr="00553963">
        <w:rPr>
          <w:rFonts w:cs="Arial"/>
          <w:sz w:val="22"/>
          <w:lang w:val="en-ZA"/>
        </w:rPr>
        <w:tab/>
      </w:r>
      <w:r w:rsidR="00564341">
        <w:t xml:space="preserve">In </w:t>
      </w:r>
      <w:r w:rsidR="00A5569B">
        <w:t>the arbitration</w:t>
      </w:r>
      <w:r w:rsidR="00564341">
        <w:t>, t</w:t>
      </w:r>
      <w:r w:rsidR="00BF3804">
        <w:t xml:space="preserve">he </w:t>
      </w:r>
      <w:r w:rsidR="009F0FA7">
        <w:t xml:space="preserve"> </w:t>
      </w:r>
      <w:r w:rsidR="00BD303A">
        <w:t>Arbitrator</w:t>
      </w:r>
      <w:r w:rsidR="00BF3804">
        <w:t xml:space="preserve"> found that </w:t>
      </w:r>
      <w:r w:rsidR="00415D9E">
        <w:t xml:space="preserve">Transnet’s interpretation </w:t>
      </w:r>
      <w:r w:rsidR="00BF3804">
        <w:t xml:space="preserve">was not </w:t>
      </w:r>
      <w:r w:rsidR="00D10F5C">
        <w:t>supported by</w:t>
      </w:r>
      <w:r w:rsidR="00BF3804">
        <w:t xml:space="preserve"> the relevant provisions</w:t>
      </w:r>
      <w:r w:rsidR="00D10F5C">
        <w:t xml:space="preserve"> of W1</w:t>
      </w:r>
      <w:r w:rsidR="00F2460B">
        <w:t>.</w:t>
      </w:r>
      <w:r w:rsidR="00BF3804">
        <w:t xml:space="preserve">  In his view</w:t>
      </w:r>
      <w:r w:rsidR="00171177">
        <w:t xml:space="preserve"> </w:t>
      </w:r>
      <w:r w:rsidR="00D10F5C">
        <w:t xml:space="preserve">W1 envisages that the ‘dispute’ not the decision must be </w:t>
      </w:r>
      <w:r w:rsidR="00171177">
        <w:t xml:space="preserve"> referred to adjudication. It is also </w:t>
      </w:r>
      <w:r w:rsidR="00F07E3E">
        <w:t>this ‘</w:t>
      </w:r>
      <w:r w:rsidR="00171177" w:rsidRPr="00553963">
        <w:t>dispute</w:t>
      </w:r>
      <w:r w:rsidR="00F07E3E">
        <w:t>’</w:t>
      </w:r>
      <w:r w:rsidR="00171177">
        <w:t xml:space="preserve"> </w:t>
      </w:r>
      <w:r w:rsidR="007F3BBC">
        <w:t>that</w:t>
      </w:r>
      <w:r w:rsidR="008478F3">
        <w:t xml:space="preserve"> is referred to arbitration</w:t>
      </w:r>
      <w:r w:rsidR="00E8075A">
        <w:t>,</w:t>
      </w:r>
      <w:r w:rsidR="008478F3">
        <w:t xml:space="preserve"> </w:t>
      </w:r>
      <w:r w:rsidR="00917088">
        <w:t xml:space="preserve">but it may not be </w:t>
      </w:r>
      <w:r w:rsidR="00FE423A">
        <w:t xml:space="preserve">referred to arbitration unless it </w:t>
      </w:r>
      <w:r w:rsidR="001C6AF9">
        <w:t xml:space="preserve">has been referred to the adjudicator. The </w:t>
      </w:r>
      <w:r w:rsidR="009F0FA7">
        <w:t xml:space="preserve"> </w:t>
      </w:r>
      <w:r w:rsidR="00BD303A">
        <w:t>Arbitrator</w:t>
      </w:r>
      <w:r w:rsidR="001C6AF9">
        <w:t xml:space="preserve"> settles</w:t>
      </w:r>
      <w:r w:rsidR="00E8075A">
        <w:t xml:space="preserve"> the </w:t>
      </w:r>
      <w:r w:rsidR="00553963">
        <w:t>‘</w:t>
      </w:r>
      <w:r w:rsidR="00E8075A" w:rsidRPr="00553963">
        <w:t>dispute</w:t>
      </w:r>
      <w:r w:rsidR="00553963">
        <w:t xml:space="preserve">’ </w:t>
      </w:r>
      <w:r w:rsidR="00E8075A">
        <w:t xml:space="preserve">referred to it. </w:t>
      </w:r>
    </w:p>
    <w:p w14:paraId="0E852562" w14:textId="5ED92C0A" w:rsidR="00F2460B" w:rsidRPr="00F6347E" w:rsidRDefault="00AC5E05" w:rsidP="00AC5E05">
      <w:pPr>
        <w:pStyle w:val="1"/>
        <w:numPr>
          <w:ilvl w:val="0"/>
          <w:numId w:val="0"/>
        </w:numPr>
        <w:tabs>
          <w:tab w:val="left" w:pos="567"/>
        </w:tabs>
        <w:ind w:left="567" w:hanging="567"/>
        <w:rPr>
          <w:lang w:val="en-ZA"/>
        </w:rPr>
      </w:pPr>
      <w:r w:rsidRPr="00F6347E">
        <w:rPr>
          <w:rFonts w:cs="Arial"/>
          <w:sz w:val="22"/>
          <w:lang w:val="en-ZA"/>
        </w:rPr>
        <w:t>[70]</w:t>
      </w:r>
      <w:r w:rsidRPr="00F6347E">
        <w:rPr>
          <w:rFonts w:cs="Arial"/>
          <w:sz w:val="22"/>
          <w:lang w:val="en-ZA"/>
        </w:rPr>
        <w:tab/>
      </w:r>
      <w:r w:rsidR="00335147">
        <w:t>The</w:t>
      </w:r>
      <w:r w:rsidR="00012D91">
        <w:t xml:space="preserve"> </w:t>
      </w:r>
      <w:r w:rsidR="00BD303A">
        <w:t>Arbitrator</w:t>
      </w:r>
      <w:r w:rsidR="00174B7E">
        <w:t xml:space="preserve"> found that: </w:t>
      </w:r>
      <w:r w:rsidR="00553963">
        <w:t>‘</w:t>
      </w:r>
      <w:r w:rsidR="00B41093" w:rsidRPr="00553963">
        <w:rPr>
          <w:i/>
          <w:iCs w:val="0"/>
        </w:rPr>
        <w:t>Whilst the first sentence of clause W1.4(2) refers to a notification that "he intends to refer it" to arbitration, and in context "it" seems to refer to the adjudicator's decision, the clause continues to state that a party may not refer a "dispute" to arbitration unless notification is given with a certain period of time (clause W1.4(2)). It is therefore imprecise use of language which may create the impression, if one does not read the clauses as a whole and purposively, that it is the decision to be referred to arbitration, and that the decision needs to be revised and reconsidered.</w:t>
      </w:r>
      <w:r w:rsidR="00F2460B" w:rsidRPr="00553963">
        <w:rPr>
          <w:rFonts w:eastAsia="Times New Roman" w:cs="Times New Roman"/>
          <w:i/>
          <w:iCs w:val="0"/>
          <w:szCs w:val="16"/>
          <w:lang w:eastAsia="en-ZA"/>
        </w:rPr>
        <w:t xml:space="preserve"> </w:t>
      </w:r>
      <w:r w:rsidR="00F2460B" w:rsidRPr="00553963">
        <w:rPr>
          <w:i/>
          <w:iCs w:val="0"/>
        </w:rPr>
        <w:t xml:space="preserve">However, as pointed out above, </w:t>
      </w:r>
      <w:r w:rsidR="00F2460B" w:rsidRPr="00553963">
        <w:rPr>
          <w:i/>
          <w:iCs w:val="0"/>
        </w:rPr>
        <w:lastRenderedPageBreak/>
        <w:t>it is ultimately the dispute which is referred to adjudication and thereafter to arbitration. Nothing more is required of the aggrieved party than to notify the other within the times required by this contract that he is dissatisfied with a decision of the Adjudicator and intends to refer the matter to the tribunal.</w:t>
      </w:r>
      <w:r w:rsidR="00174B7E" w:rsidRPr="00553963">
        <w:rPr>
          <w:rFonts w:ascii="Segoe UI" w:eastAsia="Times New Roman" w:hAnsi="Segoe UI" w:cs="Segoe UI"/>
          <w:i/>
          <w:iCs w:val="0"/>
          <w:color w:val="000000"/>
          <w:sz w:val="27"/>
          <w:szCs w:val="27"/>
          <w:lang w:eastAsia="en-ZA" w:bidi="ar-SA"/>
        </w:rPr>
        <w:t xml:space="preserve"> </w:t>
      </w:r>
      <w:r w:rsidR="00174B7E" w:rsidRPr="00553963">
        <w:rPr>
          <w:i/>
          <w:iCs w:val="0"/>
        </w:rPr>
        <w:t>If it were necessary for the disputing party to specify which p</w:t>
      </w:r>
      <w:r w:rsidR="00A90667" w:rsidRPr="00553963">
        <w:rPr>
          <w:i/>
          <w:iCs w:val="0"/>
        </w:rPr>
        <w:t xml:space="preserve">arts of the </w:t>
      </w:r>
      <w:r w:rsidR="00174B7E" w:rsidRPr="00553963">
        <w:rPr>
          <w:i/>
          <w:iCs w:val="0"/>
        </w:rPr>
        <w:t xml:space="preserve">adjudicator's decision had to be reviewed and revised, it would not have been sufficient, as the clause makes clear, that it merely had to notify its dissatisfaction with the adjudicator's decision. One would have expected more to be demanded to be specified in the notice of dissatisfaction. It is clear from the aforegoing that the arbitration is a hearing de novo and that the </w:t>
      </w:r>
      <w:r w:rsidR="00BD303A">
        <w:rPr>
          <w:i/>
          <w:iCs w:val="0"/>
        </w:rPr>
        <w:t>Arbitrator</w:t>
      </w:r>
      <w:r w:rsidR="00174B7E" w:rsidRPr="00553963">
        <w:rPr>
          <w:i/>
          <w:iCs w:val="0"/>
        </w:rPr>
        <w:t xml:space="preserve"> is not bound by anything considered or decided by the adjudicator</w:t>
      </w:r>
      <w:r w:rsidR="00553963">
        <w:rPr>
          <w:i/>
          <w:iCs w:val="0"/>
        </w:rPr>
        <w:t>.</w:t>
      </w:r>
      <w:r w:rsidR="00553963">
        <w:t>’</w:t>
      </w:r>
      <w:r w:rsidR="00DC6C78">
        <w:rPr>
          <w:rStyle w:val="FootnoteReference"/>
        </w:rPr>
        <w:footnoteReference w:id="45"/>
      </w:r>
    </w:p>
    <w:p w14:paraId="319AA770" w14:textId="34AFFF12" w:rsidR="00F6347E" w:rsidRDefault="00AC5E05" w:rsidP="00AC5E05">
      <w:pPr>
        <w:pStyle w:val="1"/>
        <w:numPr>
          <w:ilvl w:val="0"/>
          <w:numId w:val="0"/>
        </w:numPr>
        <w:tabs>
          <w:tab w:val="left" w:pos="567"/>
        </w:tabs>
        <w:ind w:left="567" w:hanging="567"/>
      </w:pPr>
      <w:r>
        <w:rPr>
          <w:rFonts w:cs="Arial"/>
          <w:sz w:val="22"/>
        </w:rPr>
        <w:t>[71]</w:t>
      </w:r>
      <w:r>
        <w:rPr>
          <w:rFonts w:cs="Arial"/>
          <w:sz w:val="22"/>
        </w:rPr>
        <w:tab/>
      </w:r>
      <w:r w:rsidR="000608DB">
        <w:t>In his analysis</w:t>
      </w:r>
      <w:r w:rsidR="007F3BBC">
        <w:t>,</w:t>
      </w:r>
      <w:r w:rsidR="000608DB">
        <w:t xml:space="preserve"> t</w:t>
      </w:r>
      <w:r w:rsidR="00415D9E">
        <w:t>he</w:t>
      </w:r>
      <w:r w:rsidR="00F6347E">
        <w:t xml:space="preserve"> </w:t>
      </w:r>
      <w:r w:rsidR="00D60766">
        <w:t>A</w:t>
      </w:r>
      <w:r w:rsidR="00F6347E">
        <w:t xml:space="preserve">rbitrator also had regard to the differences between adjudication and arbitration.   </w:t>
      </w:r>
      <w:r w:rsidR="00553963">
        <w:t xml:space="preserve">He </w:t>
      </w:r>
      <w:r w:rsidR="00030503">
        <w:t>stated that i</w:t>
      </w:r>
      <w:r w:rsidR="00F6347E" w:rsidRPr="00F6347E">
        <w:t xml:space="preserve">n essence, the adjudication process was </w:t>
      </w:r>
      <w:r w:rsidR="00F6347E" w:rsidRPr="00F6347E">
        <w:rPr>
          <w:i/>
        </w:rPr>
        <w:t>sui generis</w:t>
      </w:r>
      <w:r w:rsidR="00F6347E" w:rsidRPr="00F6347E">
        <w:t xml:space="preserve"> designed to provide parties with a speedy mechanism for settling disputes on a provisional interim basis.  In the context of large projects, this kind of provision is referred to as a “quick and dirty” mechanism or cash flow measurement to provide a speedy interim decision.  The adjudicator must typically </w:t>
      </w:r>
      <w:r w:rsidR="00030503" w:rsidRPr="00F6347E">
        <w:t>decide</w:t>
      </w:r>
      <w:r w:rsidR="00F6347E" w:rsidRPr="00F6347E">
        <w:t xml:space="preserve"> on the dispute within stringent time limits and his overriding obligation is to complete his decision within the time limit. The need to have a correct answer is subordinated to the need to have an answer quickly.  Adjudication is not arbitration nor is it administrative action. The rules of natural </w:t>
      </w:r>
      <w:r w:rsidR="00F6347E" w:rsidRPr="00F6347E">
        <w:lastRenderedPageBreak/>
        <w:t xml:space="preserve">justice do not find application and the adjudicator may make his own rules.  Generally, the adjudicator may adopt the most cost- and time-effective procedure consistent with fairness to determine the dispute is subject to less strict standards of due process than an </w:t>
      </w:r>
      <w:r w:rsidR="00BD303A">
        <w:t>Arbitrator</w:t>
      </w:r>
      <w:r w:rsidR="00F6347E" w:rsidRPr="00F6347E">
        <w:t xml:space="preserve"> and is entitled to adopt an inquisitorial process to resolve the dispute summarily and expeditiously.   Because of the nature of the process, it is recognised that mistakes will be made by adjudicators. Such mistakes can be rectified in subsequent arbitration or litigation. Having regard to the above principles, </w:t>
      </w:r>
      <w:r w:rsidR="00F6347E">
        <w:t xml:space="preserve">he found that </w:t>
      </w:r>
      <w:r w:rsidR="00F6347E" w:rsidRPr="00F6347E">
        <w:t xml:space="preserve">the following passage from the </w:t>
      </w:r>
      <w:r w:rsidR="00F6347E" w:rsidRPr="00F6347E">
        <w:rPr>
          <w:b/>
          <w:bCs/>
          <w:i/>
        </w:rPr>
        <w:t>Amec</w:t>
      </w:r>
      <w:r w:rsidR="00012D91">
        <w:rPr>
          <w:rStyle w:val="FootnoteReference"/>
          <w:b/>
          <w:bCs/>
          <w:i/>
        </w:rPr>
        <w:footnoteReference w:id="46"/>
      </w:r>
      <w:r w:rsidR="00F6347E" w:rsidRPr="00F6347E">
        <w:t xml:space="preserve"> decision admirably sums up the status of the adjudicator's decision, namely that: "</w:t>
      </w:r>
      <w:r w:rsidR="00030503">
        <w:t>…</w:t>
      </w:r>
      <w:r w:rsidR="00F6347E" w:rsidRPr="000608DB">
        <w:rPr>
          <w:i/>
          <w:iCs w:val="0"/>
        </w:rPr>
        <w:t>such a decision is temporarily binding. As a result, on an application to enforce, the court is not permitted to investigate whether the decision was right or wrong: indeed, such considerations are irrelevant. All that matters is whether the adjudicator had the jurisdiction to reach the decision that he did, and that he reached it by a fair process, making every allowance for the strict time constraints imposed in adjudication</w:t>
      </w:r>
      <w:r w:rsidR="00F6347E" w:rsidRPr="00F6347E">
        <w:t>”.</w:t>
      </w:r>
      <w:r w:rsidR="007408CA">
        <w:rPr>
          <w:rStyle w:val="FootnoteReference"/>
        </w:rPr>
        <w:footnoteReference w:id="47"/>
      </w:r>
    </w:p>
    <w:p w14:paraId="0AD9453B" w14:textId="008CCD63" w:rsidR="00F6347E" w:rsidRDefault="00AC5E05" w:rsidP="00AC5E05">
      <w:pPr>
        <w:pStyle w:val="1"/>
        <w:numPr>
          <w:ilvl w:val="0"/>
          <w:numId w:val="0"/>
        </w:numPr>
        <w:tabs>
          <w:tab w:val="left" w:pos="567"/>
        </w:tabs>
        <w:ind w:left="567" w:hanging="567"/>
      </w:pPr>
      <w:r>
        <w:rPr>
          <w:rFonts w:cs="Arial"/>
          <w:sz w:val="22"/>
        </w:rPr>
        <w:t>[72]</w:t>
      </w:r>
      <w:r>
        <w:rPr>
          <w:rFonts w:cs="Arial"/>
          <w:sz w:val="22"/>
        </w:rPr>
        <w:tab/>
      </w:r>
      <w:r w:rsidR="00F6347E">
        <w:t>By contrast, he found that arbitration is very different</w:t>
      </w:r>
      <w:r w:rsidR="00552159">
        <w:t>,</w:t>
      </w:r>
      <w:r w:rsidR="00030503">
        <w:t xml:space="preserve"> and that</w:t>
      </w:r>
      <w:r w:rsidR="001E2210" w:rsidRPr="001E2210">
        <w:t xml:space="preserve"> arbitration is a matter of contract. The powers of the </w:t>
      </w:r>
      <w:r w:rsidR="00BD303A">
        <w:t>Arbitrator</w:t>
      </w:r>
      <w:r w:rsidR="001E2210" w:rsidRPr="001E2210">
        <w:t xml:space="preserve"> are governed by the provisions of the Arbitration Act, 42 of 1965, subject to the arbitration agreement. The function of an </w:t>
      </w:r>
      <w:r w:rsidR="00BD303A">
        <w:t>Arbitrator</w:t>
      </w:r>
      <w:r w:rsidR="001E2210" w:rsidRPr="001E2210">
        <w:t xml:space="preserve"> is judicial in natur</w:t>
      </w:r>
      <w:r w:rsidR="007408CA">
        <w:t>e</w:t>
      </w:r>
      <w:r w:rsidR="001E2210" w:rsidRPr="001E2210">
        <w:t xml:space="preserve"> and the enquiry held by an </w:t>
      </w:r>
      <w:r w:rsidR="00BD303A">
        <w:t>Arbitrator</w:t>
      </w:r>
      <w:r w:rsidR="001E2210" w:rsidRPr="001E2210">
        <w:t xml:space="preserve"> is in the nature of a judicial enquiry</w:t>
      </w:r>
      <w:r w:rsidR="001D46D9">
        <w:t xml:space="preserve">. </w:t>
      </w:r>
      <w:r w:rsidR="001E2210" w:rsidRPr="001E2210">
        <w:t xml:space="preserve">Accordingly, an </w:t>
      </w:r>
      <w:r w:rsidR="00BD303A">
        <w:t>Arbitrator</w:t>
      </w:r>
      <w:r w:rsidR="001E2210" w:rsidRPr="001E2210">
        <w:t xml:space="preserve"> must observe the ordinary rules laid down for the administration of justice. That would dictate that </w:t>
      </w:r>
      <w:r w:rsidR="001E2210" w:rsidRPr="001E2210">
        <w:lastRenderedPageBreak/>
        <w:t xml:space="preserve">the process should be adversarial in nature. The </w:t>
      </w:r>
      <w:r w:rsidR="00BD303A">
        <w:t>Arbitrator</w:t>
      </w:r>
      <w:r w:rsidR="001E2210" w:rsidRPr="001E2210">
        <w:t xml:space="preserve"> must observe the rules of natural justice in his conduct of the proceedings.</w:t>
      </w:r>
    </w:p>
    <w:p w14:paraId="57D014EE" w14:textId="015A4EC7" w:rsidR="001D7B35" w:rsidRPr="0082308E" w:rsidRDefault="00AC5E05" w:rsidP="00AC5E05">
      <w:pPr>
        <w:pStyle w:val="1"/>
        <w:numPr>
          <w:ilvl w:val="0"/>
          <w:numId w:val="0"/>
        </w:numPr>
        <w:tabs>
          <w:tab w:val="left" w:pos="567"/>
        </w:tabs>
        <w:ind w:left="567" w:hanging="567"/>
        <w:rPr>
          <w:lang w:val="en-ZA"/>
        </w:rPr>
      </w:pPr>
      <w:r w:rsidRPr="0082308E">
        <w:rPr>
          <w:rFonts w:cs="Arial"/>
          <w:sz w:val="22"/>
          <w:lang w:val="en-ZA"/>
        </w:rPr>
        <w:t>[73]</w:t>
      </w:r>
      <w:r w:rsidRPr="0082308E">
        <w:rPr>
          <w:rFonts w:cs="Arial"/>
          <w:sz w:val="22"/>
          <w:lang w:val="en-ZA"/>
        </w:rPr>
        <w:tab/>
      </w:r>
      <w:r w:rsidR="001D7B35">
        <w:t xml:space="preserve">In arriving at his analysis of the differences between adjudication and arbitration the </w:t>
      </w:r>
      <w:r w:rsidR="00D60766">
        <w:t>A</w:t>
      </w:r>
      <w:r w:rsidR="001D7B35">
        <w:t xml:space="preserve">rbitrator relied on </w:t>
      </w:r>
      <w:r w:rsidR="00180773">
        <w:t>several</w:t>
      </w:r>
      <w:r w:rsidR="001D7B35">
        <w:t xml:space="preserve"> significant judgments and authorities.</w:t>
      </w:r>
    </w:p>
    <w:p w14:paraId="1744A7FF" w14:textId="7F5F2D50" w:rsidR="00F6347E" w:rsidRPr="002C2F78" w:rsidRDefault="00AC5E05" w:rsidP="00AC5E05">
      <w:pPr>
        <w:pStyle w:val="1"/>
        <w:numPr>
          <w:ilvl w:val="0"/>
          <w:numId w:val="0"/>
        </w:numPr>
        <w:tabs>
          <w:tab w:val="left" w:pos="567"/>
        </w:tabs>
        <w:ind w:left="567" w:hanging="567"/>
        <w:rPr>
          <w:lang w:val="en-ZA"/>
        </w:rPr>
      </w:pPr>
      <w:r w:rsidRPr="002C2F78">
        <w:rPr>
          <w:rFonts w:cs="Arial"/>
          <w:sz w:val="22"/>
          <w:lang w:val="en-ZA"/>
        </w:rPr>
        <w:t>[74]</w:t>
      </w:r>
      <w:r w:rsidRPr="002C2F78">
        <w:rPr>
          <w:rFonts w:cs="Arial"/>
          <w:sz w:val="22"/>
          <w:lang w:val="en-ZA"/>
        </w:rPr>
        <w:tab/>
      </w:r>
      <w:r w:rsidR="005E02DF">
        <w:t xml:space="preserve">He went on to find that </w:t>
      </w:r>
      <w:r w:rsidR="0082308E">
        <w:t>“</w:t>
      </w:r>
      <w:r w:rsidR="0082308E" w:rsidRPr="00030503">
        <w:rPr>
          <w:i/>
          <w:iCs w:val="0"/>
        </w:rPr>
        <w:t>G</w:t>
      </w:r>
      <w:r w:rsidR="009623F3" w:rsidRPr="00030503">
        <w:rPr>
          <w:i/>
          <w:iCs w:val="0"/>
        </w:rPr>
        <w:t>iven the differences between adjudication and arbitration, and particularly the fact that the adjudicator may decide the dispute on limited facts, under time constraints, and sometimes without any evidence or even oral argument, it is illogical that the arbitration should revolve around the adjudicator's findings and reasoning, rather than to simply decide the dispute afresh, with the benefit of a</w:t>
      </w:r>
      <w:r w:rsidR="0082308E" w:rsidRPr="00030503">
        <w:rPr>
          <w:rFonts w:ascii="Segoe UI" w:eastAsia="Times New Roman" w:hAnsi="Segoe UI" w:cs="Segoe UI"/>
          <w:i/>
          <w:iCs w:val="0"/>
          <w:color w:val="000000"/>
          <w:sz w:val="27"/>
          <w:szCs w:val="27"/>
          <w:lang w:eastAsia="en-ZA" w:bidi="ar-SA"/>
        </w:rPr>
        <w:t xml:space="preserve"> </w:t>
      </w:r>
      <w:r w:rsidR="0082308E" w:rsidRPr="00030503">
        <w:rPr>
          <w:i/>
          <w:iCs w:val="0"/>
        </w:rPr>
        <w:t>full ventilation of the issues by way of both evidence and argument, in an adversarial process. It was accordingly unnecessary for the claimants, if they were aggrieved by the adjudicator's decision, to do anything more than give notice of their dissatisfaction with the decision and to refer the same dispute to arbitration. The hearing before me is one de novo and I need not have regard to the adjudicator's findings or reasoning. The first special plea therefore fails and must be dismissed</w:t>
      </w:r>
      <w:r w:rsidR="0082308E" w:rsidRPr="0082308E">
        <w:t>.</w:t>
      </w:r>
      <w:r w:rsidR="0082308E">
        <w:t>”</w:t>
      </w:r>
    </w:p>
    <w:p w14:paraId="791BEF87" w14:textId="3D8DAE29" w:rsidR="004968C9" w:rsidRDefault="00AC5E05" w:rsidP="00AC5E05">
      <w:pPr>
        <w:pStyle w:val="1"/>
        <w:numPr>
          <w:ilvl w:val="0"/>
          <w:numId w:val="0"/>
        </w:numPr>
        <w:tabs>
          <w:tab w:val="left" w:pos="567"/>
        </w:tabs>
        <w:ind w:left="567" w:hanging="567"/>
        <w:rPr>
          <w:lang w:val="en-ZA"/>
        </w:rPr>
      </w:pPr>
      <w:r>
        <w:rPr>
          <w:rFonts w:cs="Arial"/>
          <w:sz w:val="22"/>
          <w:lang w:val="en-ZA"/>
        </w:rPr>
        <w:t>[75]</w:t>
      </w:r>
      <w:r>
        <w:rPr>
          <w:rFonts w:cs="Arial"/>
          <w:sz w:val="22"/>
          <w:lang w:val="en-ZA"/>
        </w:rPr>
        <w:tab/>
      </w:r>
      <w:r w:rsidR="00A66CA8">
        <w:t xml:space="preserve">The law on reviews of arbitral awards is well-settled.  An </w:t>
      </w:r>
      <w:r w:rsidR="00BD303A">
        <w:t>Arbitrator</w:t>
      </w:r>
      <w:r w:rsidR="00A66CA8">
        <w:t xml:space="preserve"> is entitled to arrive at an incorrect interpretation of the contract provided he does not misconceive the nature of the enquiry.</w:t>
      </w:r>
      <w:r w:rsidR="00A66CA8">
        <w:rPr>
          <w:rStyle w:val="FootnoteReference"/>
        </w:rPr>
        <w:footnoteReference w:id="48"/>
      </w:r>
      <w:r w:rsidR="00A66CA8" w:rsidRPr="002462F5">
        <w:rPr>
          <w:lang w:val="en-ZA"/>
        </w:rPr>
        <w:t xml:space="preserve"> </w:t>
      </w:r>
      <w:r w:rsidR="00A66CA8">
        <w:rPr>
          <w:lang w:val="en-ZA"/>
        </w:rPr>
        <w:t xml:space="preserve">   Even if he was wrong in his </w:t>
      </w:r>
      <w:r w:rsidR="00A66CA8">
        <w:rPr>
          <w:lang w:val="en-ZA"/>
        </w:rPr>
        <w:lastRenderedPageBreak/>
        <w:t xml:space="preserve">interpretation, or may have misinterpreted the agreement, this does not mean that he has </w:t>
      </w:r>
      <w:r w:rsidR="00A66CA8" w:rsidRPr="000C65D6">
        <w:rPr>
          <w:i/>
          <w:lang w:val="en-ZA"/>
        </w:rPr>
        <w:t>misconceived</w:t>
      </w:r>
      <w:r w:rsidR="00A66CA8">
        <w:rPr>
          <w:lang w:val="en-ZA"/>
        </w:rPr>
        <w:t xml:space="preserve"> the enquiry.  </w:t>
      </w:r>
    </w:p>
    <w:p w14:paraId="5A061C4F" w14:textId="4E4B65D0" w:rsidR="004968C9" w:rsidRPr="002C2F78" w:rsidRDefault="00AC5E05" w:rsidP="00AC5E05">
      <w:pPr>
        <w:pStyle w:val="1"/>
        <w:numPr>
          <w:ilvl w:val="0"/>
          <w:numId w:val="0"/>
        </w:numPr>
        <w:tabs>
          <w:tab w:val="left" w:pos="567"/>
        </w:tabs>
        <w:ind w:left="567" w:hanging="567"/>
        <w:rPr>
          <w:lang w:val="en-ZA"/>
        </w:rPr>
      </w:pPr>
      <w:r w:rsidRPr="002C2F78">
        <w:rPr>
          <w:rFonts w:cs="Arial"/>
          <w:sz w:val="22"/>
          <w:lang w:val="en-ZA"/>
        </w:rPr>
        <w:t>[76]</w:t>
      </w:r>
      <w:r w:rsidRPr="002C2F78">
        <w:rPr>
          <w:rFonts w:cs="Arial"/>
          <w:sz w:val="22"/>
          <w:lang w:val="en-ZA"/>
        </w:rPr>
        <w:tab/>
      </w:r>
      <w:r w:rsidR="00A66CA8">
        <w:t xml:space="preserve">I find little in the </w:t>
      </w:r>
      <w:r w:rsidR="00BD303A">
        <w:t>Arbitrator</w:t>
      </w:r>
      <w:r w:rsidR="00A66CA8">
        <w:t xml:space="preserve">’s reasoning that suggests that he misconceived the nature of the enquiry or that his interpretation was not supported by the provisions of W1.  </w:t>
      </w:r>
      <w:r w:rsidR="00111FF3">
        <w:t xml:space="preserve">He embarked on the very exercise that Transnet had required of him, namely, to interpret the provisions of W1. </w:t>
      </w:r>
    </w:p>
    <w:p w14:paraId="0E93EA98" w14:textId="2760F95E" w:rsidR="00A66CA8" w:rsidRPr="00204AC4" w:rsidRDefault="00AC5E05" w:rsidP="00AC5E05">
      <w:pPr>
        <w:pStyle w:val="1"/>
        <w:numPr>
          <w:ilvl w:val="0"/>
          <w:numId w:val="0"/>
        </w:numPr>
        <w:tabs>
          <w:tab w:val="left" w:pos="567"/>
        </w:tabs>
        <w:ind w:left="567" w:hanging="567"/>
        <w:rPr>
          <w:lang w:val="en-ZA"/>
        </w:rPr>
      </w:pPr>
      <w:r w:rsidRPr="00204AC4">
        <w:rPr>
          <w:rFonts w:cs="Arial"/>
          <w:sz w:val="22"/>
          <w:lang w:val="en-ZA"/>
        </w:rPr>
        <w:t>[77]</w:t>
      </w:r>
      <w:r w:rsidRPr="00204AC4">
        <w:rPr>
          <w:rFonts w:cs="Arial"/>
          <w:sz w:val="22"/>
          <w:lang w:val="en-ZA"/>
        </w:rPr>
        <w:tab/>
      </w:r>
      <w:r w:rsidR="00111FF3">
        <w:t xml:space="preserve">There was no suggestion that the Arbitrator relied on selective jurisprudence in a biased or blinkered manner. </w:t>
      </w:r>
      <w:r w:rsidR="004968C9">
        <w:t>Furthermore, n</w:t>
      </w:r>
      <w:r w:rsidR="00E14A6C">
        <w:t>o</w:t>
      </w:r>
      <w:r w:rsidR="004968C9">
        <w:t xml:space="preserve"> evidence </w:t>
      </w:r>
      <w:r w:rsidR="00E14A6C">
        <w:t xml:space="preserve">is </w:t>
      </w:r>
      <w:r w:rsidR="004968C9">
        <w:t>put up by Transnet that it was not provided with a full and fair opportunity to deal with this issue in the arbitration.</w:t>
      </w:r>
    </w:p>
    <w:p w14:paraId="64F1AD4F" w14:textId="6209A738" w:rsidR="00640B26" w:rsidRPr="00CB74FC" w:rsidRDefault="00AC5E05" w:rsidP="00AC5E05">
      <w:pPr>
        <w:pStyle w:val="1"/>
        <w:numPr>
          <w:ilvl w:val="0"/>
          <w:numId w:val="0"/>
        </w:numPr>
        <w:tabs>
          <w:tab w:val="left" w:pos="567"/>
        </w:tabs>
        <w:ind w:left="567" w:hanging="567"/>
        <w:rPr>
          <w:lang w:val="en-ZA"/>
        </w:rPr>
      </w:pPr>
      <w:r w:rsidRPr="00CB74FC">
        <w:rPr>
          <w:rFonts w:cs="Arial"/>
          <w:sz w:val="22"/>
          <w:lang w:val="en-ZA"/>
        </w:rPr>
        <w:t>[78]</w:t>
      </w:r>
      <w:r w:rsidRPr="00CB74FC">
        <w:rPr>
          <w:rFonts w:cs="Arial"/>
          <w:sz w:val="22"/>
          <w:lang w:val="en-ZA"/>
        </w:rPr>
        <w:tab/>
      </w:r>
      <w:r w:rsidR="006954F1">
        <w:t>Accordingly</w:t>
      </w:r>
      <w:r w:rsidR="00203099">
        <w:t xml:space="preserve">, </w:t>
      </w:r>
      <w:r w:rsidR="00640B26">
        <w:t xml:space="preserve">Transnet’s review application in respect of the </w:t>
      </w:r>
      <w:r w:rsidR="00640B26" w:rsidRPr="005639BF">
        <w:rPr>
          <w:i/>
          <w:iCs w:val="0"/>
        </w:rPr>
        <w:t>res judicata</w:t>
      </w:r>
      <w:r w:rsidR="005639BF">
        <w:t xml:space="preserve"> defence</w:t>
      </w:r>
      <w:r w:rsidR="00640B26">
        <w:t xml:space="preserve"> is </w:t>
      </w:r>
      <w:r w:rsidR="00D95B6C">
        <w:t xml:space="preserve"> </w:t>
      </w:r>
      <w:r w:rsidR="00640B26">
        <w:t>dismissed.</w:t>
      </w:r>
    </w:p>
    <w:p w14:paraId="23A1ED39" w14:textId="2E59FD0E" w:rsidR="00CB74FC" w:rsidRPr="002C2F78" w:rsidRDefault="001B2213" w:rsidP="001B2213">
      <w:pPr>
        <w:pStyle w:val="1"/>
        <w:numPr>
          <w:ilvl w:val="0"/>
          <w:numId w:val="0"/>
        </w:numPr>
        <w:rPr>
          <w:b/>
          <w:bCs/>
          <w:lang w:val="en-ZA"/>
        </w:rPr>
      </w:pPr>
      <w:r w:rsidRPr="002C2F78">
        <w:rPr>
          <w:b/>
          <w:bCs/>
        </w:rPr>
        <w:t>The “As and when required” defence</w:t>
      </w:r>
    </w:p>
    <w:p w14:paraId="0820219A" w14:textId="46BD2A39" w:rsidR="001B2213" w:rsidRDefault="00AC5E05" w:rsidP="00AC5E05">
      <w:pPr>
        <w:pStyle w:val="1"/>
        <w:numPr>
          <w:ilvl w:val="0"/>
          <w:numId w:val="0"/>
        </w:numPr>
        <w:tabs>
          <w:tab w:val="left" w:pos="567"/>
        </w:tabs>
        <w:ind w:left="567" w:hanging="567"/>
        <w:rPr>
          <w:lang w:val="en-ZA"/>
        </w:rPr>
      </w:pPr>
      <w:r>
        <w:rPr>
          <w:rFonts w:cs="Arial"/>
          <w:sz w:val="22"/>
          <w:lang w:val="en-ZA"/>
        </w:rPr>
        <w:t>[79]</w:t>
      </w:r>
      <w:r>
        <w:rPr>
          <w:rFonts w:cs="Arial"/>
          <w:sz w:val="22"/>
          <w:lang w:val="en-ZA"/>
        </w:rPr>
        <w:tab/>
      </w:r>
      <w:r w:rsidR="00EF2A5B">
        <w:rPr>
          <w:lang w:val="en-ZA"/>
        </w:rPr>
        <w:t xml:space="preserve">The </w:t>
      </w:r>
      <w:r w:rsidR="003E5D95">
        <w:rPr>
          <w:lang w:val="en-ZA"/>
        </w:rPr>
        <w:t>Contracts</w:t>
      </w:r>
      <w:r w:rsidR="00EF2A5B">
        <w:rPr>
          <w:lang w:val="en-ZA"/>
        </w:rPr>
        <w:t xml:space="preserve"> for both </w:t>
      </w:r>
      <w:r w:rsidR="007E334B">
        <w:rPr>
          <w:lang w:val="en-ZA"/>
        </w:rPr>
        <w:t>STG</w:t>
      </w:r>
      <w:r w:rsidR="00CA41AE">
        <w:rPr>
          <w:lang w:val="en-ZA"/>
        </w:rPr>
        <w:t xml:space="preserve"> and </w:t>
      </w:r>
      <w:r w:rsidR="007E334B">
        <w:rPr>
          <w:lang w:val="en-ZA"/>
        </w:rPr>
        <w:t>ST</w:t>
      </w:r>
      <w:r w:rsidR="00CA41AE">
        <w:rPr>
          <w:lang w:val="en-ZA"/>
        </w:rPr>
        <w:t xml:space="preserve"> were </w:t>
      </w:r>
      <w:r w:rsidR="00372664">
        <w:rPr>
          <w:lang w:val="en-ZA"/>
        </w:rPr>
        <w:t xml:space="preserve">to the same effect </w:t>
      </w:r>
      <w:r w:rsidR="00CA41AE">
        <w:rPr>
          <w:lang w:val="en-ZA"/>
        </w:rPr>
        <w:t xml:space="preserve">save for the differences </w:t>
      </w:r>
      <w:r w:rsidR="00372CA8">
        <w:rPr>
          <w:lang w:val="en-ZA"/>
        </w:rPr>
        <w:t>in territo</w:t>
      </w:r>
      <w:r w:rsidR="0009279F">
        <w:rPr>
          <w:lang w:val="en-ZA"/>
        </w:rPr>
        <w:t xml:space="preserve">ries. The </w:t>
      </w:r>
      <w:r w:rsidR="000371DE">
        <w:rPr>
          <w:lang w:val="en-ZA"/>
        </w:rPr>
        <w:t>A</w:t>
      </w:r>
      <w:r w:rsidR="0009279F">
        <w:rPr>
          <w:lang w:val="en-ZA"/>
        </w:rPr>
        <w:t>rbitrator and the parties dealt only with the provisions of the STG contract for purposes of this defence, an approach I have also adopted.</w:t>
      </w:r>
    </w:p>
    <w:p w14:paraId="635288F8" w14:textId="269895F2" w:rsidR="00ED38D1" w:rsidRDefault="00AC5E05" w:rsidP="00AC5E05">
      <w:pPr>
        <w:pStyle w:val="1"/>
        <w:numPr>
          <w:ilvl w:val="0"/>
          <w:numId w:val="0"/>
        </w:numPr>
        <w:tabs>
          <w:tab w:val="left" w:pos="567"/>
        </w:tabs>
        <w:ind w:left="567" w:hanging="567"/>
        <w:rPr>
          <w:lang w:val="en-ZA"/>
        </w:rPr>
      </w:pPr>
      <w:r>
        <w:rPr>
          <w:rFonts w:cs="Arial"/>
          <w:sz w:val="22"/>
          <w:lang w:val="en-ZA"/>
        </w:rPr>
        <w:t>[80]</w:t>
      </w:r>
      <w:r>
        <w:rPr>
          <w:rFonts w:cs="Arial"/>
          <w:sz w:val="22"/>
          <w:lang w:val="en-ZA"/>
        </w:rPr>
        <w:tab/>
      </w:r>
      <w:r w:rsidR="0009279F">
        <w:rPr>
          <w:lang w:val="en-ZA"/>
        </w:rPr>
        <w:t>In its statement of claim</w:t>
      </w:r>
      <w:r w:rsidR="002A1F7B">
        <w:rPr>
          <w:lang w:val="en-ZA"/>
        </w:rPr>
        <w:t>,</w:t>
      </w:r>
      <w:r w:rsidR="0009279F">
        <w:rPr>
          <w:lang w:val="en-ZA"/>
        </w:rPr>
        <w:t xml:space="preserve"> Spill Tech </w:t>
      </w:r>
      <w:r w:rsidR="003F4B13">
        <w:rPr>
          <w:lang w:val="en-ZA"/>
        </w:rPr>
        <w:t>claims that</w:t>
      </w:r>
      <w:r w:rsidR="004C3A8E">
        <w:rPr>
          <w:lang w:val="en-ZA"/>
        </w:rPr>
        <w:t xml:space="preserve"> in</w:t>
      </w:r>
      <w:r w:rsidR="003F4B13">
        <w:rPr>
          <w:lang w:val="en-ZA"/>
        </w:rPr>
        <w:t xml:space="preserve"> the breach of contract</w:t>
      </w:r>
      <w:r w:rsidR="002A1F7B">
        <w:rPr>
          <w:lang w:val="en-ZA"/>
        </w:rPr>
        <w:t>,</w:t>
      </w:r>
      <w:r w:rsidR="003F4B13">
        <w:rPr>
          <w:lang w:val="en-ZA"/>
        </w:rPr>
        <w:t xml:space="preserve"> </w:t>
      </w:r>
      <w:r w:rsidR="004C3A8E">
        <w:rPr>
          <w:lang w:val="en-ZA"/>
        </w:rPr>
        <w:t>Transnet appointed Drizit to</w:t>
      </w:r>
      <w:r w:rsidR="0098379F">
        <w:rPr>
          <w:lang w:val="en-ZA"/>
        </w:rPr>
        <w:t xml:space="preserve"> attend to spills which ought to have been awarded to it.  In </w:t>
      </w:r>
      <w:r w:rsidR="0098379F">
        <w:rPr>
          <w:lang w:val="en-ZA"/>
        </w:rPr>
        <w:lastRenderedPageBreak/>
        <w:t xml:space="preserve">other words, </w:t>
      </w:r>
      <w:r w:rsidR="00EC2DB6">
        <w:rPr>
          <w:lang w:val="en-ZA"/>
        </w:rPr>
        <w:t xml:space="preserve">Transnet was under a legal obligation to </w:t>
      </w:r>
      <w:r w:rsidR="00D329AC">
        <w:rPr>
          <w:lang w:val="en-ZA"/>
        </w:rPr>
        <w:t xml:space="preserve">allocate </w:t>
      </w:r>
      <w:r w:rsidR="00D329AC" w:rsidRPr="0000748D">
        <w:rPr>
          <w:u w:val="single"/>
          <w:lang w:val="en-ZA"/>
        </w:rPr>
        <w:t xml:space="preserve">all </w:t>
      </w:r>
      <w:r w:rsidR="00D329AC">
        <w:rPr>
          <w:lang w:val="en-ZA"/>
        </w:rPr>
        <w:t xml:space="preserve">major spills, </w:t>
      </w:r>
      <w:r w:rsidR="007511AF">
        <w:rPr>
          <w:lang w:val="en-ZA"/>
        </w:rPr>
        <w:t>(</w:t>
      </w:r>
      <w:r w:rsidR="00D329AC">
        <w:rPr>
          <w:lang w:val="en-ZA"/>
        </w:rPr>
        <w:t>being spills in excess of 50 000 litres</w:t>
      </w:r>
      <w:r w:rsidR="007511AF">
        <w:rPr>
          <w:lang w:val="en-ZA"/>
        </w:rPr>
        <w:t>)</w:t>
      </w:r>
      <w:r w:rsidR="00D329AC">
        <w:rPr>
          <w:lang w:val="en-ZA"/>
        </w:rPr>
        <w:t xml:space="preserve"> to Spill Tech, as and when they occurred.</w:t>
      </w:r>
      <w:r w:rsidR="00ED38D1">
        <w:rPr>
          <w:lang w:val="en-ZA"/>
        </w:rPr>
        <w:t xml:space="preserve"> Spill Tech’s understanding of “as and when required” was that they would only be called upon as and when a spill occurred</w:t>
      </w:r>
      <w:r w:rsidR="007511AF">
        <w:rPr>
          <w:lang w:val="en-ZA"/>
        </w:rPr>
        <w:t xml:space="preserve"> but</w:t>
      </w:r>
      <w:r w:rsidR="00ED38D1">
        <w:rPr>
          <w:lang w:val="en-ZA"/>
        </w:rPr>
        <w:t xml:space="preserve"> when the spills were major spills, Transnet was obliged to a</w:t>
      </w:r>
      <w:r w:rsidR="00EE7CA5">
        <w:rPr>
          <w:lang w:val="en-ZA"/>
        </w:rPr>
        <w:t>llocate these to Spill Tech and not another service provider such as Drizit</w:t>
      </w:r>
      <w:r w:rsidR="00796AD2">
        <w:rPr>
          <w:lang w:val="en-ZA"/>
        </w:rPr>
        <w:t>.</w:t>
      </w:r>
    </w:p>
    <w:p w14:paraId="2B3257DB" w14:textId="75A719E0" w:rsidR="0033748E" w:rsidRDefault="00AC5E05" w:rsidP="00AC5E05">
      <w:pPr>
        <w:pStyle w:val="1"/>
        <w:numPr>
          <w:ilvl w:val="0"/>
          <w:numId w:val="0"/>
        </w:numPr>
        <w:tabs>
          <w:tab w:val="left" w:pos="567"/>
        </w:tabs>
        <w:ind w:left="567" w:hanging="567"/>
        <w:rPr>
          <w:lang w:val="en-ZA"/>
        </w:rPr>
      </w:pPr>
      <w:r>
        <w:rPr>
          <w:rFonts w:cs="Arial"/>
          <w:sz w:val="22"/>
          <w:lang w:val="en-ZA"/>
        </w:rPr>
        <w:t>[81]</w:t>
      </w:r>
      <w:r>
        <w:rPr>
          <w:rFonts w:cs="Arial"/>
          <w:sz w:val="22"/>
          <w:lang w:val="en-ZA"/>
        </w:rPr>
        <w:tab/>
      </w:r>
      <w:r w:rsidR="0033748E">
        <w:rPr>
          <w:lang w:val="en-ZA"/>
        </w:rPr>
        <w:t xml:space="preserve">Transnet’s submission was that the words “as and when required” meant that Transnet was under no legal obligation to </w:t>
      </w:r>
      <w:r w:rsidR="0000748D">
        <w:rPr>
          <w:lang w:val="en-ZA"/>
        </w:rPr>
        <w:t xml:space="preserve">allocate </w:t>
      </w:r>
      <w:r w:rsidR="0000748D" w:rsidRPr="00EE7CA5">
        <w:rPr>
          <w:u w:val="single"/>
          <w:lang w:val="en-ZA"/>
        </w:rPr>
        <w:t>any</w:t>
      </w:r>
      <w:r w:rsidR="0000748D">
        <w:rPr>
          <w:lang w:val="en-ZA"/>
        </w:rPr>
        <w:t xml:space="preserve"> work to Spill Tech at all</w:t>
      </w:r>
      <w:r w:rsidR="004523D5">
        <w:rPr>
          <w:lang w:val="en-ZA"/>
        </w:rPr>
        <w:t xml:space="preserve">.  </w:t>
      </w:r>
      <w:r w:rsidR="00EE7CA5">
        <w:rPr>
          <w:lang w:val="en-ZA"/>
        </w:rPr>
        <w:t xml:space="preserve">Nor was it </w:t>
      </w:r>
      <w:r w:rsidR="004523D5">
        <w:rPr>
          <w:lang w:val="en-ZA"/>
        </w:rPr>
        <w:t xml:space="preserve">required to award major spills to Spill Tech </w:t>
      </w:r>
      <w:r w:rsidR="00ED38D1">
        <w:rPr>
          <w:lang w:val="en-ZA"/>
        </w:rPr>
        <w:t>as and when they occurre</w:t>
      </w:r>
      <w:r w:rsidR="00EE7CA5">
        <w:rPr>
          <w:lang w:val="en-ZA"/>
        </w:rPr>
        <w:t>d.  It was at liberty to attend to the major spills itself or to award it to another service provider</w:t>
      </w:r>
      <w:r w:rsidR="00796AD2">
        <w:rPr>
          <w:lang w:val="en-ZA"/>
        </w:rPr>
        <w:t>.</w:t>
      </w:r>
    </w:p>
    <w:p w14:paraId="36140E1A" w14:textId="602E9215" w:rsidR="00945F82" w:rsidRDefault="00AC5E05" w:rsidP="00AC5E05">
      <w:pPr>
        <w:pStyle w:val="1"/>
        <w:numPr>
          <w:ilvl w:val="0"/>
          <w:numId w:val="0"/>
        </w:numPr>
        <w:tabs>
          <w:tab w:val="left" w:pos="567"/>
        </w:tabs>
        <w:ind w:left="567" w:hanging="567"/>
        <w:rPr>
          <w:lang w:val="en-ZA"/>
        </w:rPr>
      </w:pPr>
      <w:r>
        <w:rPr>
          <w:rFonts w:cs="Arial"/>
          <w:sz w:val="22"/>
          <w:lang w:val="en-ZA"/>
        </w:rPr>
        <w:t>[82]</w:t>
      </w:r>
      <w:r>
        <w:rPr>
          <w:rFonts w:cs="Arial"/>
          <w:sz w:val="22"/>
          <w:lang w:val="en-ZA"/>
        </w:rPr>
        <w:tab/>
      </w:r>
      <w:r w:rsidR="00320568">
        <w:rPr>
          <w:lang w:val="en-ZA"/>
        </w:rPr>
        <w:t xml:space="preserve">In </w:t>
      </w:r>
      <w:r w:rsidR="001D4BB8">
        <w:rPr>
          <w:lang w:val="en-ZA"/>
        </w:rPr>
        <w:t>its</w:t>
      </w:r>
      <w:r w:rsidR="00AD408E">
        <w:rPr>
          <w:lang w:val="en-ZA"/>
        </w:rPr>
        <w:t xml:space="preserve"> </w:t>
      </w:r>
      <w:r w:rsidR="008B0F5F">
        <w:rPr>
          <w:lang w:val="en-ZA"/>
        </w:rPr>
        <w:t>Heads of Argument</w:t>
      </w:r>
      <w:r w:rsidR="00AD408E">
        <w:rPr>
          <w:lang w:val="en-ZA"/>
        </w:rPr>
        <w:t>, Transnet</w:t>
      </w:r>
      <w:r w:rsidR="00736820">
        <w:rPr>
          <w:rStyle w:val="FootnoteReference"/>
          <w:rFonts w:ascii="Arial MT" w:eastAsia="Arial MT" w:hAnsi="Arial MT" w:cs="Arial MT"/>
          <w:iCs w:val="0"/>
          <w:lang w:eastAsia="en-US" w:bidi="ar-SA"/>
        </w:rPr>
        <w:footnoteReference w:id="49"/>
      </w:r>
      <w:r w:rsidR="00AD408E">
        <w:rPr>
          <w:lang w:val="en-ZA"/>
        </w:rPr>
        <w:t xml:space="preserve"> helpfully sets out the following trite princip</w:t>
      </w:r>
      <w:r w:rsidR="00945F82">
        <w:rPr>
          <w:lang w:val="en-ZA"/>
        </w:rPr>
        <w:t>les</w:t>
      </w:r>
      <w:r w:rsidR="00736820">
        <w:rPr>
          <w:lang w:val="en-ZA"/>
        </w:rPr>
        <w:t xml:space="preserve"> of interpretation of </w:t>
      </w:r>
      <w:r w:rsidR="003E5D95">
        <w:rPr>
          <w:lang w:val="en-ZA"/>
        </w:rPr>
        <w:t>Contracts</w:t>
      </w:r>
      <w:r w:rsidR="00945F82">
        <w:rPr>
          <w:lang w:val="en-ZA"/>
        </w:rPr>
        <w:t>:</w:t>
      </w:r>
    </w:p>
    <w:p w14:paraId="04DB78A8" w14:textId="5B8D8B87" w:rsidR="001F5035" w:rsidRPr="001F5035" w:rsidRDefault="00AC5E05" w:rsidP="00AC5E05">
      <w:pPr>
        <w:pStyle w:val="2"/>
        <w:numPr>
          <w:ilvl w:val="0"/>
          <w:numId w:val="0"/>
        </w:numPr>
        <w:tabs>
          <w:tab w:val="left" w:pos="851"/>
        </w:tabs>
        <w:ind w:left="851" w:hanging="851"/>
        <w:rPr>
          <w:i/>
          <w:lang w:val="en-US"/>
        </w:rPr>
      </w:pPr>
      <w:r w:rsidRPr="001F5035">
        <w:rPr>
          <w:i/>
          <w:sz w:val="22"/>
          <w:lang w:val="en-US"/>
        </w:rPr>
        <w:t>[82.1]</w:t>
      </w:r>
      <w:r w:rsidRPr="001F5035">
        <w:rPr>
          <w:i/>
          <w:sz w:val="22"/>
          <w:lang w:val="en-US"/>
        </w:rPr>
        <w:tab/>
      </w:r>
      <w:r w:rsidR="00AD408E">
        <w:rPr>
          <w:lang w:val="en-ZA"/>
        </w:rPr>
        <w:t xml:space="preserve"> </w:t>
      </w:r>
      <w:r w:rsidR="001F5035" w:rsidRPr="001F5035">
        <w:rPr>
          <w:lang w:val="en-US"/>
        </w:rPr>
        <w:t xml:space="preserve">First amongst these is the uncontroversial proposition that people conclude agreements with a view to thereby achieving commercially sensible outcomes. In the words of the SCA, a </w:t>
      </w:r>
      <w:r w:rsidR="001F5035" w:rsidRPr="001F5035">
        <w:rPr>
          <w:i/>
          <w:lang w:val="en-US"/>
        </w:rPr>
        <w:t>“sensible meaning is to be preferred to one that leads to insensible or unbusinesslike results or undermines the apparent purpose of the document.”</w:t>
      </w:r>
      <w:r w:rsidR="002C5DC0">
        <w:rPr>
          <w:rStyle w:val="FootnoteReference"/>
          <w:i/>
        </w:rPr>
        <w:footnoteReference w:id="50"/>
      </w:r>
      <w:r w:rsidR="002C5DC0" w:rsidRPr="001F5035">
        <w:rPr>
          <w:i/>
          <w:lang w:val="en-US"/>
        </w:rPr>
        <w:t xml:space="preserve"> </w:t>
      </w:r>
    </w:p>
    <w:p w14:paraId="3D5D8120" w14:textId="76D81AEA" w:rsidR="00A353E0" w:rsidRPr="000A3B3C" w:rsidRDefault="00AC5E05" w:rsidP="00AC5E05">
      <w:pPr>
        <w:pStyle w:val="2"/>
        <w:numPr>
          <w:ilvl w:val="0"/>
          <w:numId w:val="0"/>
        </w:numPr>
        <w:tabs>
          <w:tab w:val="left" w:pos="851"/>
        </w:tabs>
        <w:ind w:left="851" w:hanging="851"/>
        <w:rPr>
          <w:iCs w:val="0"/>
          <w:lang w:val="en-US"/>
        </w:rPr>
      </w:pPr>
      <w:r w:rsidRPr="000A3B3C">
        <w:rPr>
          <w:iCs w:val="0"/>
          <w:sz w:val="22"/>
          <w:lang w:val="en-US"/>
        </w:rPr>
        <w:lastRenderedPageBreak/>
        <w:t>[82.2]</w:t>
      </w:r>
      <w:r w:rsidRPr="000A3B3C">
        <w:rPr>
          <w:iCs w:val="0"/>
          <w:sz w:val="22"/>
          <w:lang w:val="en-US"/>
        </w:rPr>
        <w:tab/>
      </w:r>
      <w:r w:rsidR="00846754" w:rsidRPr="000A3B3C">
        <w:rPr>
          <w:iCs w:val="0"/>
          <w:lang w:val="en-ZA"/>
        </w:rPr>
        <w:t xml:space="preserve"> </w:t>
      </w:r>
      <w:r w:rsidR="00D31A6F" w:rsidRPr="000A3B3C">
        <w:rPr>
          <w:rFonts w:ascii="Arial MT" w:eastAsia="Arial MT" w:hAnsi="Arial MT" w:cs="Arial MT"/>
          <w:iCs w:val="0"/>
          <w:lang w:val="en-US" w:eastAsia="en-US" w:bidi="ar-SA"/>
        </w:rPr>
        <w:t>In construing the Contract, as a written agreement, it must be read as a</w:t>
      </w:r>
      <w:r w:rsidR="00D31A6F" w:rsidRPr="000A3B3C">
        <w:rPr>
          <w:rFonts w:ascii="Arial MT" w:eastAsia="Arial MT" w:hAnsi="Arial MT" w:cs="Arial MT"/>
          <w:iCs w:val="0"/>
          <w:spacing w:val="1"/>
          <w:lang w:val="en-US" w:eastAsia="en-US" w:bidi="ar-SA"/>
        </w:rPr>
        <w:t xml:space="preserve"> </w:t>
      </w:r>
      <w:r w:rsidR="00D31A6F" w:rsidRPr="000A3B3C">
        <w:rPr>
          <w:rFonts w:ascii="Arial MT" w:eastAsia="Arial MT" w:hAnsi="Arial MT" w:cs="Arial MT"/>
          <w:iCs w:val="0"/>
          <w:lang w:val="en-US" w:eastAsia="en-US" w:bidi="ar-SA"/>
        </w:rPr>
        <w:t>whole</w:t>
      </w:r>
      <w:r w:rsidR="00D31A6F" w:rsidRPr="000A3B3C">
        <w:rPr>
          <w:rFonts w:ascii="Arial MT" w:eastAsia="Arial MT" w:hAnsi="Arial MT" w:cs="Arial MT"/>
          <w:iCs w:val="0"/>
          <w:spacing w:val="-8"/>
          <w:lang w:val="en-US" w:eastAsia="en-US" w:bidi="ar-SA"/>
        </w:rPr>
        <w:t xml:space="preserve"> </w:t>
      </w:r>
      <w:r w:rsidR="00D31A6F" w:rsidRPr="000A3B3C">
        <w:rPr>
          <w:rFonts w:ascii="Arial MT" w:eastAsia="Arial MT" w:hAnsi="Arial MT" w:cs="Arial MT"/>
          <w:iCs w:val="0"/>
          <w:lang w:val="en-US" w:eastAsia="en-US" w:bidi="ar-SA"/>
        </w:rPr>
        <w:t>to</w:t>
      </w:r>
      <w:r w:rsidR="00D31A6F" w:rsidRPr="000A3B3C">
        <w:rPr>
          <w:rFonts w:ascii="Arial MT" w:eastAsia="Arial MT" w:hAnsi="Arial MT" w:cs="Arial MT"/>
          <w:iCs w:val="0"/>
          <w:spacing w:val="-9"/>
          <w:lang w:val="en-US" w:eastAsia="en-US" w:bidi="ar-SA"/>
        </w:rPr>
        <w:t xml:space="preserve"> </w:t>
      </w:r>
      <w:r w:rsidR="00D31A6F" w:rsidRPr="000A3B3C">
        <w:rPr>
          <w:rFonts w:ascii="Arial MT" w:eastAsia="Arial MT" w:hAnsi="Arial MT" w:cs="Arial MT"/>
          <w:iCs w:val="0"/>
          <w:lang w:val="en-US" w:eastAsia="en-US" w:bidi="ar-SA"/>
        </w:rPr>
        <w:t>determine</w:t>
      </w:r>
      <w:r w:rsidR="00D31A6F" w:rsidRPr="000A3B3C">
        <w:rPr>
          <w:rFonts w:ascii="Arial MT" w:eastAsia="Arial MT" w:hAnsi="Arial MT" w:cs="Arial MT"/>
          <w:iCs w:val="0"/>
          <w:spacing w:val="-7"/>
          <w:lang w:val="en-US" w:eastAsia="en-US" w:bidi="ar-SA"/>
        </w:rPr>
        <w:t xml:space="preserve"> </w:t>
      </w:r>
      <w:r w:rsidR="00D31A6F" w:rsidRPr="000A3B3C">
        <w:rPr>
          <w:rFonts w:ascii="Arial MT" w:eastAsia="Arial MT" w:hAnsi="Arial MT" w:cs="Arial MT"/>
          <w:iCs w:val="0"/>
          <w:lang w:val="en-US" w:eastAsia="en-US" w:bidi="ar-SA"/>
        </w:rPr>
        <w:t>the</w:t>
      </w:r>
      <w:r w:rsidR="00D31A6F" w:rsidRPr="000A3B3C">
        <w:rPr>
          <w:rFonts w:ascii="Arial MT" w:eastAsia="Arial MT" w:hAnsi="Arial MT" w:cs="Arial MT"/>
          <w:iCs w:val="0"/>
          <w:spacing w:val="-9"/>
          <w:lang w:val="en-US" w:eastAsia="en-US" w:bidi="ar-SA"/>
        </w:rPr>
        <w:t xml:space="preserve"> </w:t>
      </w:r>
      <w:r w:rsidR="00D31A6F" w:rsidRPr="000A3B3C">
        <w:rPr>
          <w:rFonts w:ascii="Arial MT" w:eastAsia="Arial MT" w:hAnsi="Arial MT" w:cs="Arial MT"/>
          <w:iCs w:val="0"/>
          <w:lang w:val="en-US" w:eastAsia="en-US" w:bidi="ar-SA"/>
        </w:rPr>
        <w:t>true</w:t>
      </w:r>
      <w:r w:rsidR="00D31A6F" w:rsidRPr="000A3B3C">
        <w:rPr>
          <w:rFonts w:ascii="Arial MT" w:eastAsia="Arial MT" w:hAnsi="Arial MT" w:cs="Arial MT"/>
          <w:iCs w:val="0"/>
          <w:spacing w:val="-7"/>
          <w:lang w:val="en-US" w:eastAsia="en-US" w:bidi="ar-SA"/>
        </w:rPr>
        <w:t xml:space="preserve"> </w:t>
      </w:r>
      <w:r w:rsidR="00D31A6F" w:rsidRPr="000A3B3C">
        <w:rPr>
          <w:rFonts w:ascii="Arial MT" w:eastAsia="Arial MT" w:hAnsi="Arial MT" w:cs="Arial MT"/>
          <w:iCs w:val="0"/>
          <w:lang w:val="en-US" w:eastAsia="en-US" w:bidi="ar-SA"/>
        </w:rPr>
        <w:t>intention</w:t>
      </w:r>
      <w:r w:rsidR="00D31A6F" w:rsidRPr="000A3B3C">
        <w:rPr>
          <w:rFonts w:ascii="Arial MT" w:eastAsia="Arial MT" w:hAnsi="Arial MT" w:cs="Arial MT"/>
          <w:iCs w:val="0"/>
          <w:spacing w:val="-7"/>
          <w:lang w:val="en-US" w:eastAsia="en-US" w:bidi="ar-SA"/>
        </w:rPr>
        <w:t xml:space="preserve"> </w:t>
      </w:r>
      <w:r w:rsidR="00D31A6F" w:rsidRPr="000A3B3C">
        <w:rPr>
          <w:rFonts w:ascii="Arial MT" w:eastAsia="Arial MT" w:hAnsi="Arial MT" w:cs="Arial MT"/>
          <w:iCs w:val="0"/>
          <w:lang w:val="en-US" w:eastAsia="en-US" w:bidi="ar-SA"/>
        </w:rPr>
        <w:t>of</w:t>
      </w:r>
      <w:r w:rsidR="00D31A6F" w:rsidRPr="000A3B3C">
        <w:rPr>
          <w:rFonts w:ascii="Arial MT" w:eastAsia="Arial MT" w:hAnsi="Arial MT" w:cs="Arial MT"/>
          <w:iCs w:val="0"/>
          <w:spacing w:val="-8"/>
          <w:lang w:val="en-US" w:eastAsia="en-US" w:bidi="ar-SA"/>
        </w:rPr>
        <w:t xml:space="preserve"> </w:t>
      </w:r>
      <w:r w:rsidR="00D31A6F" w:rsidRPr="000A3B3C">
        <w:rPr>
          <w:rFonts w:ascii="Arial MT" w:eastAsia="Arial MT" w:hAnsi="Arial MT" w:cs="Arial MT"/>
          <w:iCs w:val="0"/>
          <w:lang w:val="en-US" w:eastAsia="en-US" w:bidi="ar-SA"/>
        </w:rPr>
        <w:t>the</w:t>
      </w:r>
      <w:r w:rsidR="00D31A6F" w:rsidRPr="000A3B3C">
        <w:rPr>
          <w:rFonts w:ascii="Arial MT" w:eastAsia="Arial MT" w:hAnsi="Arial MT" w:cs="Arial MT"/>
          <w:iCs w:val="0"/>
          <w:spacing w:val="-7"/>
          <w:lang w:val="en-US" w:eastAsia="en-US" w:bidi="ar-SA"/>
        </w:rPr>
        <w:t xml:space="preserve"> </w:t>
      </w:r>
      <w:r w:rsidR="00D31A6F" w:rsidRPr="000A3B3C">
        <w:rPr>
          <w:rFonts w:ascii="Arial MT" w:eastAsia="Arial MT" w:hAnsi="Arial MT" w:cs="Arial MT"/>
          <w:iCs w:val="0"/>
          <w:lang w:val="en-US" w:eastAsia="en-US" w:bidi="ar-SA"/>
        </w:rPr>
        <w:t>parties</w:t>
      </w:r>
      <w:r w:rsidR="00D31A6F" w:rsidRPr="000A3B3C">
        <w:rPr>
          <w:rFonts w:ascii="Arial MT" w:eastAsia="Arial MT" w:hAnsi="Arial MT" w:cs="Arial MT"/>
          <w:iCs w:val="0"/>
          <w:spacing w:val="-8"/>
          <w:lang w:val="en-US" w:eastAsia="en-US" w:bidi="ar-SA"/>
        </w:rPr>
        <w:t xml:space="preserve"> </w:t>
      </w:r>
      <w:r w:rsidR="00D31A6F" w:rsidRPr="000A3B3C">
        <w:rPr>
          <w:rFonts w:ascii="Arial MT" w:eastAsia="Arial MT" w:hAnsi="Arial MT" w:cs="Arial MT"/>
          <w:iCs w:val="0"/>
          <w:lang w:val="en-US" w:eastAsia="en-US" w:bidi="ar-SA"/>
        </w:rPr>
        <w:t>and,</w:t>
      </w:r>
      <w:r w:rsidR="00D31A6F" w:rsidRPr="000A3B3C">
        <w:rPr>
          <w:rFonts w:ascii="Arial MT" w:eastAsia="Arial MT" w:hAnsi="Arial MT" w:cs="Arial MT"/>
          <w:iCs w:val="0"/>
          <w:spacing w:val="-7"/>
          <w:lang w:val="en-US" w:eastAsia="en-US" w:bidi="ar-SA"/>
        </w:rPr>
        <w:t xml:space="preserve"> </w:t>
      </w:r>
      <w:r w:rsidR="00D31A6F" w:rsidRPr="000A3B3C">
        <w:rPr>
          <w:rFonts w:ascii="Arial MT" w:eastAsia="Arial MT" w:hAnsi="Arial MT" w:cs="Arial MT"/>
          <w:iCs w:val="0"/>
          <w:lang w:val="en-US" w:eastAsia="en-US" w:bidi="ar-SA"/>
        </w:rPr>
        <w:t>if</w:t>
      </w:r>
      <w:r w:rsidR="00D31A6F" w:rsidRPr="000A3B3C">
        <w:rPr>
          <w:rFonts w:ascii="Arial MT" w:eastAsia="Arial MT" w:hAnsi="Arial MT" w:cs="Arial MT"/>
          <w:iCs w:val="0"/>
          <w:spacing w:val="-7"/>
          <w:lang w:val="en-US" w:eastAsia="en-US" w:bidi="ar-SA"/>
        </w:rPr>
        <w:t xml:space="preserve"> </w:t>
      </w:r>
      <w:r w:rsidR="00D31A6F" w:rsidRPr="000A3B3C">
        <w:rPr>
          <w:rFonts w:ascii="Arial MT" w:eastAsia="Arial MT" w:hAnsi="Arial MT" w:cs="Arial MT"/>
          <w:iCs w:val="0"/>
          <w:lang w:val="en-US" w:eastAsia="en-US" w:bidi="ar-SA"/>
        </w:rPr>
        <w:t>unambiguously</w:t>
      </w:r>
      <w:r w:rsidR="00624C56" w:rsidRPr="000A3B3C">
        <w:rPr>
          <w:rFonts w:ascii="Arial MT" w:eastAsia="Arial MT" w:hAnsi="Arial MT" w:cs="Arial MT"/>
          <w:iCs w:val="0"/>
          <w:lang w:val="en-US" w:eastAsia="en-US" w:bidi="ar-SA"/>
        </w:rPr>
        <w:t xml:space="preserve"> </w:t>
      </w:r>
      <w:r w:rsidR="00D31A6F" w:rsidRPr="000A3B3C">
        <w:rPr>
          <w:rFonts w:ascii="Arial MT" w:eastAsia="Arial MT" w:hAnsi="Arial MT" w:cs="Arial MT"/>
          <w:iCs w:val="0"/>
          <w:spacing w:val="-65"/>
          <w:lang w:val="en-US" w:eastAsia="en-US" w:bidi="ar-SA"/>
        </w:rPr>
        <w:t xml:space="preserve"> </w:t>
      </w:r>
      <w:r w:rsidR="002A1F7B" w:rsidRPr="000A3B3C">
        <w:rPr>
          <w:rFonts w:ascii="Arial MT" w:eastAsia="Arial MT" w:hAnsi="Arial MT" w:cs="Arial MT"/>
          <w:iCs w:val="0"/>
          <w:spacing w:val="-65"/>
          <w:lang w:val="en-US" w:eastAsia="en-US" w:bidi="ar-SA"/>
        </w:rPr>
        <w:t xml:space="preserve">  </w:t>
      </w:r>
      <w:r w:rsidR="00D31A6F" w:rsidRPr="000A3B3C">
        <w:rPr>
          <w:rFonts w:ascii="Arial MT" w:eastAsia="Arial MT" w:hAnsi="Arial MT" w:cs="Arial MT"/>
          <w:iCs w:val="0"/>
          <w:lang w:val="en-US" w:eastAsia="en-US" w:bidi="ar-SA"/>
        </w:rPr>
        <w:t>expressed within the relevant context, no extrinsic facts or evidence are</w:t>
      </w:r>
      <w:r w:rsidR="00D31A6F" w:rsidRPr="000A3B3C">
        <w:rPr>
          <w:rFonts w:ascii="Arial MT" w:eastAsia="Arial MT" w:hAnsi="Arial MT" w:cs="Arial MT"/>
          <w:iCs w:val="0"/>
          <w:spacing w:val="1"/>
          <w:lang w:val="en-US" w:eastAsia="en-US" w:bidi="ar-SA"/>
        </w:rPr>
        <w:t xml:space="preserve"> </w:t>
      </w:r>
      <w:r w:rsidR="00D31A6F" w:rsidRPr="000A3B3C">
        <w:rPr>
          <w:rFonts w:ascii="Arial MT" w:eastAsia="Arial MT" w:hAnsi="Arial MT" w:cs="Arial MT"/>
          <w:iCs w:val="0"/>
          <w:lang w:val="en-US" w:eastAsia="en-US" w:bidi="ar-SA"/>
        </w:rPr>
        <w:t>permissible</w:t>
      </w:r>
      <w:r w:rsidR="00D31A6F" w:rsidRPr="000A3B3C">
        <w:rPr>
          <w:rFonts w:ascii="Arial MT" w:eastAsia="Arial MT" w:hAnsi="Arial MT" w:cs="Arial MT"/>
          <w:iCs w:val="0"/>
          <w:spacing w:val="-9"/>
          <w:lang w:val="en-US" w:eastAsia="en-US" w:bidi="ar-SA"/>
        </w:rPr>
        <w:t xml:space="preserve"> </w:t>
      </w:r>
      <w:r w:rsidR="00D31A6F" w:rsidRPr="000A3B3C">
        <w:rPr>
          <w:rFonts w:ascii="Arial MT" w:eastAsia="Arial MT" w:hAnsi="Arial MT" w:cs="Arial MT"/>
          <w:iCs w:val="0"/>
          <w:lang w:val="en-US" w:eastAsia="en-US" w:bidi="ar-SA"/>
        </w:rPr>
        <w:t>to</w:t>
      </w:r>
      <w:r w:rsidR="00D31A6F" w:rsidRPr="000A3B3C">
        <w:rPr>
          <w:rFonts w:ascii="Arial MT" w:eastAsia="Arial MT" w:hAnsi="Arial MT" w:cs="Arial MT"/>
          <w:iCs w:val="0"/>
          <w:spacing w:val="-9"/>
          <w:lang w:val="en-US" w:eastAsia="en-US" w:bidi="ar-SA"/>
        </w:rPr>
        <w:t xml:space="preserve"> </w:t>
      </w:r>
      <w:r w:rsidR="00D31A6F" w:rsidRPr="000A3B3C">
        <w:rPr>
          <w:rFonts w:ascii="Arial MT" w:eastAsia="Arial MT" w:hAnsi="Arial MT" w:cs="Arial MT"/>
          <w:iCs w:val="0"/>
          <w:lang w:val="en-US" w:eastAsia="en-US" w:bidi="ar-SA"/>
        </w:rPr>
        <w:t>contradict,</w:t>
      </w:r>
      <w:r w:rsidR="00D31A6F" w:rsidRPr="000A3B3C">
        <w:rPr>
          <w:rFonts w:ascii="Arial MT" w:eastAsia="Arial MT" w:hAnsi="Arial MT" w:cs="Arial MT"/>
          <w:iCs w:val="0"/>
          <w:spacing w:val="-7"/>
          <w:lang w:val="en-US" w:eastAsia="en-US" w:bidi="ar-SA"/>
        </w:rPr>
        <w:t xml:space="preserve"> </w:t>
      </w:r>
      <w:r w:rsidR="00D31A6F" w:rsidRPr="000A3B3C">
        <w:rPr>
          <w:rFonts w:ascii="Arial MT" w:eastAsia="Arial MT" w:hAnsi="Arial MT" w:cs="Arial MT"/>
          <w:iCs w:val="0"/>
          <w:lang w:val="en-US" w:eastAsia="en-US" w:bidi="ar-SA"/>
        </w:rPr>
        <w:t>amend</w:t>
      </w:r>
      <w:r w:rsidR="00624C56" w:rsidRPr="000A3B3C">
        <w:rPr>
          <w:rFonts w:ascii="Arial MT" w:eastAsia="Arial MT" w:hAnsi="Arial MT" w:cs="Arial MT"/>
          <w:iCs w:val="0"/>
          <w:lang w:val="en-US" w:eastAsia="en-US" w:bidi="ar-SA"/>
        </w:rPr>
        <w:t>,</w:t>
      </w:r>
      <w:r w:rsidR="00D31A6F" w:rsidRPr="000A3B3C">
        <w:rPr>
          <w:rFonts w:ascii="Arial MT" w:eastAsia="Arial MT" w:hAnsi="Arial MT" w:cs="Arial MT"/>
          <w:iCs w:val="0"/>
          <w:spacing w:val="-8"/>
          <w:lang w:val="en-US" w:eastAsia="en-US" w:bidi="ar-SA"/>
        </w:rPr>
        <w:t xml:space="preserve"> </w:t>
      </w:r>
      <w:r w:rsidR="00D31A6F" w:rsidRPr="000A3B3C">
        <w:rPr>
          <w:rFonts w:ascii="Arial MT" w:eastAsia="Arial MT" w:hAnsi="Arial MT" w:cs="Arial MT"/>
          <w:iCs w:val="0"/>
          <w:lang w:val="en-US" w:eastAsia="en-US" w:bidi="ar-SA"/>
        </w:rPr>
        <w:t>or</w:t>
      </w:r>
      <w:r w:rsidR="00D31A6F" w:rsidRPr="000A3B3C">
        <w:rPr>
          <w:rFonts w:ascii="Arial MT" w:eastAsia="Arial MT" w:hAnsi="Arial MT" w:cs="Arial MT"/>
          <w:iCs w:val="0"/>
          <w:spacing w:val="-11"/>
          <w:lang w:val="en-US" w:eastAsia="en-US" w:bidi="ar-SA"/>
        </w:rPr>
        <w:t xml:space="preserve"> </w:t>
      </w:r>
      <w:r w:rsidR="00D31A6F" w:rsidRPr="000A3B3C">
        <w:rPr>
          <w:rFonts w:ascii="Arial MT" w:eastAsia="Arial MT" w:hAnsi="Arial MT" w:cs="Arial MT"/>
          <w:iCs w:val="0"/>
          <w:lang w:val="en-US" w:eastAsia="en-US" w:bidi="ar-SA"/>
        </w:rPr>
        <w:t>qualify</w:t>
      </w:r>
      <w:r w:rsidR="00D31A6F" w:rsidRPr="000A3B3C">
        <w:rPr>
          <w:rFonts w:ascii="Arial MT" w:eastAsia="Arial MT" w:hAnsi="Arial MT" w:cs="Arial MT"/>
          <w:iCs w:val="0"/>
          <w:spacing w:val="-8"/>
          <w:lang w:val="en-US" w:eastAsia="en-US" w:bidi="ar-SA"/>
        </w:rPr>
        <w:t xml:space="preserve"> </w:t>
      </w:r>
      <w:r w:rsidR="00D31A6F" w:rsidRPr="000A3B3C">
        <w:rPr>
          <w:rFonts w:ascii="Arial MT" w:eastAsia="Arial MT" w:hAnsi="Arial MT" w:cs="Arial MT"/>
          <w:iCs w:val="0"/>
          <w:lang w:val="en-US" w:eastAsia="en-US" w:bidi="ar-SA"/>
        </w:rPr>
        <w:t>the</w:t>
      </w:r>
      <w:r w:rsidR="00D31A6F" w:rsidRPr="000A3B3C">
        <w:rPr>
          <w:rFonts w:ascii="Arial MT" w:eastAsia="Arial MT" w:hAnsi="Arial MT" w:cs="Arial MT"/>
          <w:iCs w:val="0"/>
          <w:spacing w:val="-7"/>
          <w:lang w:val="en-US" w:eastAsia="en-US" w:bidi="ar-SA"/>
        </w:rPr>
        <w:t xml:space="preserve"> </w:t>
      </w:r>
      <w:r w:rsidR="00D31A6F" w:rsidRPr="000A3B3C">
        <w:rPr>
          <w:rFonts w:ascii="Arial MT" w:eastAsia="Arial MT" w:hAnsi="Arial MT" w:cs="Arial MT"/>
          <w:iCs w:val="0"/>
          <w:lang w:val="en-US" w:eastAsia="en-US" w:bidi="ar-SA"/>
        </w:rPr>
        <w:t>terms</w:t>
      </w:r>
      <w:r w:rsidR="00D31A6F" w:rsidRPr="000A3B3C">
        <w:rPr>
          <w:rFonts w:ascii="Arial MT" w:eastAsia="Arial MT" w:hAnsi="Arial MT" w:cs="Arial MT"/>
          <w:iCs w:val="0"/>
          <w:spacing w:val="-9"/>
          <w:lang w:val="en-US" w:eastAsia="en-US" w:bidi="ar-SA"/>
        </w:rPr>
        <w:t xml:space="preserve"> </w:t>
      </w:r>
      <w:r w:rsidR="00D31A6F" w:rsidRPr="000A3B3C">
        <w:rPr>
          <w:rFonts w:ascii="Arial MT" w:eastAsia="Arial MT" w:hAnsi="Arial MT" w:cs="Arial MT"/>
          <w:iCs w:val="0"/>
          <w:lang w:val="en-US" w:eastAsia="en-US" w:bidi="ar-SA"/>
        </w:rPr>
        <w:t>thereof.</w:t>
      </w:r>
    </w:p>
    <w:p w14:paraId="7DA961AD" w14:textId="37529983" w:rsidR="005A7C10" w:rsidRDefault="00AC5E05" w:rsidP="00AC5E05">
      <w:pPr>
        <w:pStyle w:val="2"/>
        <w:numPr>
          <w:ilvl w:val="0"/>
          <w:numId w:val="0"/>
        </w:numPr>
        <w:tabs>
          <w:tab w:val="left" w:pos="851"/>
        </w:tabs>
        <w:ind w:left="851" w:hanging="851"/>
      </w:pPr>
      <w:r>
        <w:rPr>
          <w:sz w:val="22"/>
        </w:rPr>
        <w:t>[82.3]</w:t>
      </w:r>
      <w:r>
        <w:rPr>
          <w:sz w:val="22"/>
        </w:rPr>
        <w:tab/>
      </w:r>
      <w:r w:rsidR="005A7C10">
        <w:t>In</w:t>
      </w:r>
      <w:r w:rsidR="005A7C10">
        <w:rPr>
          <w:spacing w:val="-12"/>
        </w:rPr>
        <w:t xml:space="preserve"> </w:t>
      </w:r>
      <w:r w:rsidR="005A7C10">
        <w:t>reading</w:t>
      </w:r>
      <w:r w:rsidR="005A7C10">
        <w:rPr>
          <w:spacing w:val="-13"/>
        </w:rPr>
        <w:t xml:space="preserve"> </w:t>
      </w:r>
      <w:r w:rsidR="005A7C10">
        <w:t>the</w:t>
      </w:r>
      <w:r w:rsidR="005A7C10">
        <w:rPr>
          <w:spacing w:val="-13"/>
        </w:rPr>
        <w:t xml:space="preserve"> </w:t>
      </w:r>
      <w:r w:rsidR="005A7C10">
        <w:t>Contract</w:t>
      </w:r>
      <w:r w:rsidR="005A7C10">
        <w:rPr>
          <w:spacing w:val="-13"/>
        </w:rPr>
        <w:t xml:space="preserve"> </w:t>
      </w:r>
      <w:r w:rsidR="005A7C10">
        <w:t>as</w:t>
      </w:r>
      <w:r w:rsidR="005A7C10">
        <w:rPr>
          <w:spacing w:val="-12"/>
        </w:rPr>
        <w:t xml:space="preserve"> </w:t>
      </w:r>
      <w:r w:rsidR="005A7C10">
        <w:t>a</w:t>
      </w:r>
      <w:r w:rsidR="005A7C10">
        <w:rPr>
          <w:spacing w:val="-13"/>
        </w:rPr>
        <w:t xml:space="preserve"> </w:t>
      </w:r>
      <w:r w:rsidR="005A7C10">
        <w:t>whole,</w:t>
      </w:r>
      <w:r w:rsidR="005A7C10">
        <w:rPr>
          <w:spacing w:val="-13"/>
        </w:rPr>
        <w:t xml:space="preserve"> </w:t>
      </w:r>
      <w:r w:rsidR="005A7C10">
        <w:t>individual</w:t>
      </w:r>
      <w:r w:rsidR="005A7C10">
        <w:rPr>
          <w:spacing w:val="-14"/>
        </w:rPr>
        <w:t xml:space="preserve"> </w:t>
      </w:r>
      <w:r w:rsidR="005A7C10">
        <w:t>clauses</w:t>
      </w:r>
      <w:r w:rsidR="005A7C10">
        <w:rPr>
          <w:spacing w:val="-14"/>
        </w:rPr>
        <w:t xml:space="preserve"> </w:t>
      </w:r>
      <w:r w:rsidR="005A7C10">
        <w:t>must</w:t>
      </w:r>
      <w:r w:rsidR="005A7C10">
        <w:rPr>
          <w:spacing w:val="-13"/>
        </w:rPr>
        <w:t xml:space="preserve"> </w:t>
      </w:r>
      <w:r w:rsidR="005A7C10">
        <w:t>not</w:t>
      </w:r>
      <w:r w:rsidR="005A7C10">
        <w:rPr>
          <w:spacing w:val="-12"/>
        </w:rPr>
        <w:t xml:space="preserve"> </w:t>
      </w:r>
      <w:r w:rsidR="005A7C10">
        <w:t>be</w:t>
      </w:r>
      <w:r w:rsidR="005A7C10">
        <w:rPr>
          <w:spacing w:val="-11"/>
        </w:rPr>
        <w:t xml:space="preserve"> </w:t>
      </w:r>
      <w:r w:rsidR="005A7C10">
        <w:t>viewed</w:t>
      </w:r>
      <w:r w:rsidR="006E0451">
        <w:t xml:space="preserve"> </w:t>
      </w:r>
      <w:r w:rsidR="005A7C10">
        <w:t>in isolation but must be considered in relation to the other provisions of</w:t>
      </w:r>
      <w:r w:rsidR="005A7C10">
        <w:rPr>
          <w:spacing w:val="1"/>
        </w:rPr>
        <w:t xml:space="preserve"> </w:t>
      </w:r>
      <w:r w:rsidR="005A7C10">
        <w:t>the</w:t>
      </w:r>
      <w:r w:rsidR="005A7C10">
        <w:rPr>
          <w:spacing w:val="-3"/>
        </w:rPr>
        <w:t xml:space="preserve"> </w:t>
      </w:r>
      <w:r w:rsidR="005A7C10">
        <w:t>agreement</w:t>
      </w:r>
      <w:r w:rsidR="005A7C10">
        <w:rPr>
          <w:spacing w:val="-4"/>
        </w:rPr>
        <w:t xml:space="preserve"> </w:t>
      </w:r>
      <w:r w:rsidR="005A7C10">
        <w:t>and</w:t>
      </w:r>
      <w:r w:rsidR="005A7C10">
        <w:rPr>
          <w:spacing w:val="-3"/>
        </w:rPr>
        <w:t xml:space="preserve"> </w:t>
      </w:r>
      <w:r w:rsidR="005A7C10">
        <w:t>how</w:t>
      </w:r>
      <w:r w:rsidR="005A7C10">
        <w:rPr>
          <w:spacing w:val="-1"/>
        </w:rPr>
        <w:t xml:space="preserve"> </w:t>
      </w:r>
      <w:r w:rsidR="005A7C10">
        <w:t>they</w:t>
      </w:r>
      <w:r w:rsidR="005A7C10">
        <w:rPr>
          <w:spacing w:val="-2"/>
        </w:rPr>
        <w:t xml:space="preserve"> </w:t>
      </w:r>
      <w:r w:rsidR="005A7C10">
        <w:t>fit</w:t>
      </w:r>
      <w:r w:rsidR="005A7C10">
        <w:rPr>
          <w:spacing w:val="-4"/>
        </w:rPr>
        <w:t xml:space="preserve"> </w:t>
      </w:r>
      <w:r w:rsidR="005A7C10">
        <w:t>into</w:t>
      </w:r>
      <w:r w:rsidR="005A7C10">
        <w:rPr>
          <w:spacing w:val="-2"/>
        </w:rPr>
        <w:t xml:space="preserve"> </w:t>
      </w:r>
      <w:r w:rsidR="005A7C10">
        <w:t>the</w:t>
      </w:r>
      <w:r w:rsidR="005A7C10">
        <w:rPr>
          <w:spacing w:val="-1"/>
        </w:rPr>
        <w:t xml:space="preserve"> </w:t>
      </w:r>
      <w:r w:rsidR="005A7C10">
        <w:t>overall</w:t>
      </w:r>
      <w:r w:rsidR="005A7C10">
        <w:rPr>
          <w:spacing w:val="-2"/>
        </w:rPr>
        <w:t xml:space="preserve"> </w:t>
      </w:r>
      <w:r w:rsidR="005A7C10">
        <w:t>contractual</w:t>
      </w:r>
      <w:r w:rsidR="005A7C10">
        <w:rPr>
          <w:spacing w:val="-2"/>
        </w:rPr>
        <w:t xml:space="preserve"> </w:t>
      </w:r>
      <w:r w:rsidR="005A7C10">
        <w:t>framework.</w:t>
      </w:r>
    </w:p>
    <w:p w14:paraId="66151D16" w14:textId="77777777" w:rsidR="005A7C10" w:rsidRDefault="005A7C10" w:rsidP="005A7C10">
      <w:pPr>
        <w:pStyle w:val="BodyText"/>
        <w:spacing w:before="10"/>
      </w:pPr>
    </w:p>
    <w:p w14:paraId="72B60BA8" w14:textId="332F440E" w:rsidR="005C531C" w:rsidRPr="00E90A61" w:rsidRDefault="00AC5E05" w:rsidP="00AC5E05">
      <w:pPr>
        <w:pStyle w:val="2"/>
        <w:numPr>
          <w:ilvl w:val="0"/>
          <w:numId w:val="0"/>
        </w:numPr>
        <w:tabs>
          <w:tab w:val="left" w:pos="851"/>
        </w:tabs>
        <w:ind w:left="851" w:hanging="851"/>
        <w:rPr>
          <w:lang w:val="en-ZA"/>
        </w:rPr>
      </w:pPr>
      <w:r w:rsidRPr="00E90A61">
        <w:rPr>
          <w:sz w:val="22"/>
          <w:lang w:val="en-ZA"/>
        </w:rPr>
        <w:t>[82.4]</w:t>
      </w:r>
      <w:r w:rsidRPr="00E90A61">
        <w:rPr>
          <w:sz w:val="22"/>
          <w:lang w:val="en-ZA"/>
        </w:rPr>
        <w:tab/>
      </w:r>
      <w:r w:rsidR="005C531C" w:rsidRPr="005C531C">
        <w:rPr>
          <w:lang w:val="en-US"/>
        </w:rPr>
        <w:t>What is clear from the above authorities is that there is no p</w:t>
      </w:r>
      <w:r w:rsidR="005C531C">
        <w:rPr>
          <w:lang w:val="en-US"/>
        </w:rPr>
        <w:t>e</w:t>
      </w:r>
      <w:r w:rsidR="005C531C" w:rsidRPr="005C531C">
        <w:rPr>
          <w:lang w:val="en-US"/>
        </w:rPr>
        <w:t>cking order – the</w:t>
      </w:r>
      <w:r w:rsidR="005C531C" w:rsidRPr="005C531C">
        <w:rPr>
          <w:spacing w:val="1"/>
          <w:lang w:val="en-US"/>
        </w:rPr>
        <w:t xml:space="preserve"> </w:t>
      </w:r>
      <w:r w:rsidR="005C531C" w:rsidRPr="005C531C">
        <w:rPr>
          <w:lang w:val="en-US"/>
        </w:rPr>
        <w:t>triad of language, context</w:t>
      </w:r>
      <w:r w:rsidR="00624C56">
        <w:rPr>
          <w:lang w:val="en-US"/>
        </w:rPr>
        <w:t>,</w:t>
      </w:r>
      <w:r w:rsidR="005C531C" w:rsidRPr="005C531C">
        <w:rPr>
          <w:lang w:val="en-US"/>
        </w:rPr>
        <w:t xml:space="preserve"> and purpose must be considered together.</w:t>
      </w:r>
      <w:r w:rsidR="005C531C" w:rsidRPr="005C531C">
        <w:rPr>
          <w:spacing w:val="1"/>
          <w:lang w:val="en-US"/>
        </w:rPr>
        <w:t xml:space="preserve"> </w:t>
      </w:r>
      <w:r w:rsidR="005C531C" w:rsidRPr="005C531C">
        <w:rPr>
          <w:lang w:val="en-US"/>
        </w:rPr>
        <w:t>As we see</w:t>
      </w:r>
      <w:r w:rsidR="005C531C" w:rsidRPr="005C531C">
        <w:rPr>
          <w:spacing w:val="-64"/>
          <w:lang w:val="en-US"/>
        </w:rPr>
        <w:t xml:space="preserve"> </w:t>
      </w:r>
      <w:r w:rsidR="005C531C" w:rsidRPr="005C531C">
        <w:rPr>
          <w:lang w:val="en-US"/>
        </w:rPr>
        <w:t>it,</w:t>
      </w:r>
      <w:r w:rsidR="005C531C" w:rsidRPr="005C531C">
        <w:rPr>
          <w:spacing w:val="-12"/>
          <w:lang w:val="en-US"/>
        </w:rPr>
        <w:t xml:space="preserve"> </w:t>
      </w:r>
      <w:r w:rsidR="005C531C" w:rsidRPr="005C531C">
        <w:rPr>
          <w:lang w:val="en-US"/>
        </w:rPr>
        <w:t>the</w:t>
      </w:r>
      <w:r w:rsidR="005C531C" w:rsidRPr="005C531C">
        <w:rPr>
          <w:spacing w:val="-14"/>
          <w:lang w:val="en-US"/>
        </w:rPr>
        <w:t xml:space="preserve"> </w:t>
      </w:r>
      <w:r w:rsidR="005C531C" w:rsidRPr="005C531C">
        <w:rPr>
          <w:lang w:val="en-US"/>
        </w:rPr>
        <w:t>purpose</w:t>
      </w:r>
      <w:r w:rsidR="005C531C" w:rsidRPr="005C531C">
        <w:rPr>
          <w:spacing w:val="-12"/>
          <w:lang w:val="en-US"/>
        </w:rPr>
        <w:t xml:space="preserve"> </w:t>
      </w:r>
      <w:r w:rsidR="005C531C" w:rsidRPr="005C531C">
        <w:rPr>
          <w:lang w:val="en-US"/>
        </w:rPr>
        <w:t>of</w:t>
      </w:r>
      <w:r w:rsidR="005C531C" w:rsidRPr="005C531C">
        <w:rPr>
          <w:spacing w:val="-12"/>
          <w:lang w:val="en-US"/>
        </w:rPr>
        <w:t xml:space="preserve"> </w:t>
      </w:r>
      <w:r w:rsidR="005C531C" w:rsidRPr="005C531C">
        <w:rPr>
          <w:lang w:val="en-US"/>
        </w:rPr>
        <w:t>the</w:t>
      </w:r>
      <w:r w:rsidR="005C531C" w:rsidRPr="005C531C">
        <w:rPr>
          <w:spacing w:val="-12"/>
          <w:lang w:val="en-US"/>
        </w:rPr>
        <w:t xml:space="preserve"> </w:t>
      </w:r>
      <w:r w:rsidR="005C531C" w:rsidRPr="005C531C">
        <w:rPr>
          <w:lang w:val="en-US"/>
        </w:rPr>
        <w:t>contract</w:t>
      </w:r>
      <w:r w:rsidR="005C531C" w:rsidRPr="005C531C">
        <w:rPr>
          <w:spacing w:val="-12"/>
          <w:lang w:val="en-US"/>
        </w:rPr>
        <w:t xml:space="preserve"> </w:t>
      </w:r>
      <w:r w:rsidR="005C531C" w:rsidRPr="005C531C">
        <w:rPr>
          <w:lang w:val="en-US"/>
        </w:rPr>
        <w:t>is</w:t>
      </w:r>
      <w:r w:rsidR="005C531C" w:rsidRPr="005C531C">
        <w:rPr>
          <w:spacing w:val="-15"/>
          <w:lang w:val="en-US"/>
        </w:rPr>
        <w:t xml:space="preserve"> </w:t>
      </w:r>
      <w:r w:rsidR="005C531C" w:rsidRPr="005C531C">
        <w:rPr>
          <w:lang w:val="en-US"/>
        </w:rPr>
        <w:t>effectively</w:t>
      </w:r>
      <w:r w:rsidR="005C531C" w:rsidRPr="005C531C">
        <w:rPr>
          <w:spacing w:val="-13"/>
          <w:lang w:val="en-US"/>
        </w:rPr>
        <w:t xml:space="preserve"> </w:t>
      </w:r>
      <w:r w:rsidR="005C531C" w:rsidRPr="005C531C">
        <w:rPr>
          <w:lang w:val="en-US"/>
        </w:rPr>
        <w:t>part</w:t>
      </w:r>
      <w:r w:rsidR="005C531C" w:rsidRPr="005C531C">
        <w:rPr>
          <w:spacing w:val="-12"/>
          <w:lang w:val="en-US"/>
        </w:rPr>
        <w:t xml:space="preserve"> </w:t>
      </w:r>
      <w:r w:rsidR="005C531C" w:rsidRPr="005C531C">
        <w:rPr>
          <w:lang w:val="en-US"/>
        </w:rPr>
        <w:t>of</w:t>
      </w:r>
      <w:r w:rsidR="005C531C" w:rsidRPr="005C531C">
        <w:rPr>
          <w:spacing w:val="-12"/>
          <w:lang w:val="en-US"/>
        </w:rPr>
        <w:t xml:space="preserve"> </w:t>
      </w:r>
      <w:r w:rsidR="005C531C" w:rsidRPr="005C531C">
        <w:rPr>
          <w:lang w:val="en-US"/>
        </w:rPr>
        <w:t>the</w:t>
      </w:r>
      <w:r w:rsidR="005C531C" w:rsidRPr="005C531C">
        <w:rPr>
          <w:spacing w:val="-12"/>
          <w:lang w:val="en-US"/>
        </w:rPr>
        <w:t xml:space="preserve"> </w:t>
      </w:r>
      <w:r w:rsidR="005C531C" w:rsidRPr="005C531C">
        <w:rPr>
          <w:lang w:val="en-US"/>
        </w:rPr>
        <w:t>contextual</w:t>
      </w:r>
      <w:r w:rsidR="005C531C" w:rsidRPr="005C531C">
        <w:rPr>
          <w:spacing w:val="-13"/>
          <w:lang w:val="en-US"/>
        </w:rPr>
        <w:t xml:space="preserve"> </w:t>
      </w:r>
      <w:r w:rsidR="005C531C" w:rsidRPr="005C531C">
        <w:rPr>
          <w:lang w:val="en-US"/>
        </w:rPr>
        <w:t>background.</w:t>
      </w:r>
      <w:r w:rsidR="005C531C" w:rsidRPr="005C531C">
        <w:rPr>
          <w:spacing w:val="-12"/>
          <w:lang w:val="en-US"/>
        </w:rPr>
        <w:t xml:space="preserve"> </w:t>
      </w:r>
      <w:r w:rsidR="00C03FC4">
        <w:rPr>
          <w:lang w:val="en-US"/>
        </w:rPr>
        <w:t>The language</w:t>
      </w:r>
      <w:r w:rsidR="005C531C" w:rsidRPr="005C531C">
        <w:rPr>
          <w:lang w:val="en-US"/>
        </w:rPr>
        <w:t xml:space="preserve"> and the context must be considered together, as the context may</w:t>
      </w:r>
      <w:r w:rsidR="005C531C" w:rsidRPr="005C531C">
        <w:rPr>
          <w:spacing w:val="1"/>
          <w:lang w:val="en-US"/>
        </w:rPr>
        <w:t xml:space="preserve"> </w:t>
      </w:r>
      <w:r w:rsidR="005C531C" w:rsidRPr="005C531C">
        <w:rPr>
          <w:spacing w:val="-1"/>
          <w:lang w:val="en-US"/>
        </w:rPr>
        <w:t>ascribe</w:t>
      </w:r>
      <w:r w:rsidR="005C531C" w:rsidRPr="005C531C">
        <w:rPr>
          <w:spacing w:val="-16"/>
          <w:lang w:val="en-US"/>
        </w:rPr>
        <w:t xml:space="preserve"> </w:t>
      </w:r>
      <w:r w:rsidR="005C531C" w:rsidRPr="005C531C">
        <w:rPr>
          <w:spacing w:val="-1"/>
          <w:lang w:val="en-US"/>
        </w:rPr>
        <w:t>a</w:t>
      </w:r>
      <w:r w:rsidR="005C531C" w:rsidRPr="005C531C">
        <w:rPr>
          <w:spacing w:val="-15"/>
          <w:lang w:val="en-US"/>
        </w:rPr>
        <w:t xml:space="preserve"> </w:t>
      </w:r>
      <w:r w:rsidR="005C531C" w:rsidRPr="005C531C">
        <w:rPr>
          <w:spacing w:val="-1"/>
          <w:lang w:val="en-US"/>
        </w:rPr>
        <w:t>special</w:t>
      </w:r>
      <w:r w:rsidR="005C531C" w:rsidRPr="005C531C">
        <w:rPr>
          <w:spacing w:val="-16"/>
          <w:lang w:val="en-US"/>
        </w:rPr>
        <w:t xml:space="preserve"> </w:t>
      </w:r>
      <w:r w:rsidR="005C531C" w:rsidRPr="005C531C">
        <w:rPr>
          <w:spacing w:val="-1"/>
          <w:lang w:val="en-US"/>
        </w:rPr>
        <w:t>and</w:t>
      </w:r>
      <w:r w:rsidR="005C531C" w:rsidRPr="005C531C">
        <w:rPr>
          <w:spacing w:val="-16"/>
          <w:lang w:val="en-US"/>
        </w:rPr>
        <w:t xml:space="preserve"> </w:t>
      </w:r>
      <w:r w:rsidR="005C531C" w:rsidRPr="005C531C">
        <w:rPr>
          <w:spacing w:val="-1"/>
          <w:lang w:val="en-US"/>
        </w:rPr>
        <w:t>not</w:t>
      </w:r>
      <w:r w:rsidR="005C531C" w:rsidRPr="005C531C">
        <w:rPr>
          <w:spacing w:val="-15"/>
          <w:lang w:val="en-US"/>
        </w:rPr>
        <w:t xml:space="preserve"> </w:t>
      </w:r>
      <w:r w:rsidR="005C531C" w:rsidRPr="005C531C">
        <w:rPr>
          <w:spacing w:val="-1"/>
          <w:lang w:val="en-US"/>
        </w:rPr>
        <w:t>the</w:t>
      </w:r>
      <w:r w:rsidR="005C531C" w:rsidRPr="005C531C">
        <w:rPr>
          <w:spacing w:val="-15"/>
          <w:lang w:val="en-US"/>
        </w:rPr>
        <w:t xml:space="preserve"> </w:t>
      </w:r>
      <w:r w:rsidR="005C531C" w:rsidRPr="005C531C">
        <w:rPr>
          <w:spacing w:val="-1"/>
          <w:lang w:val="en-US"/>
        </w:rPr>
        <w:t>ordinary</w:t>
      </w:r>
      <w:r w:rsidR="005C531C" w:rsidRPr="005C531C">
        <w:rPr>
          <w:spacing w:val="-17"/>
          <w:lang w:val="en-US"/>
        </w:rPr>
        <w:t xml:space="preserve"> </w:t>
      </w:r>
      <w:r w:rsidR="005C531C" w:rsidRPr="005C531C">
        <w:rPr>
          <w:spacing w:val="-1"/>
          <w:lang w:val="en-US"/>
        </w:rPr>
        <w:t>grammatical</w:t>
      </w:r>
      <w:r w:rsidR="005C531C" w:rsidRPr="005C531C">
        <w:rPr>
          <w:spacing w:val="-16"/>
          <w:lang w:val="en-US"/>
        </w:rPr>
        <w:t xml:space="preserve"> </w:t>
      </w:r>
      <w:r w:rsidR="005C531C" w:rsidRPr="005C531C">
        <w:rPr>
          <w:lang w:val="en-US"/>
        </w:rPr>
        <w:t>meaning</w:t>
      </w:r>
      <w:r w:rsidR="005C531C" w:rsidRPr="005C531C">
        <w:rPr>
          <w:spacing w:val="-15"/>
          <w:lang w:val="en-US"/>
        </w:rPr>
        <w:t xml:space="preserve"> </w:t>
      </w:r>
      <w:r w:rsidR="005C531C" w:rsidRPr="005C531C">
        <w:rPr>
          <w:lang w:val="en-US"/>
        </w:rPr>
        <w:t>to</w:t>
      </w:r>
      <w:r w:rsidR="005C531C" w:rsidRPr="005C531C">
        <w:rPr>
          <w:spacing w:val="-16"/>
          <w:lang w:val="en-US"/>
        </w:rPr>
        <w:t xml:space="preserve"> </w:t>
      </w:r>
      <w:r w:rsidR="005C531C" w:rsidRPr="005C531C">
        <w:rPr>
          <w:lang w:val="en-US"/>
        </w:rPr>
        <w:t>the</w:t>
      </w:r>
      <w:r w:rsidR="005C531C" w:rsidRPr="005C531C">
        <w:rPr>
          <w:spacing w:val="-15"/>
          <w:lang w:val="en-US"/>
        </w:rPr>
        <w:t xml:space="preserve"> </w:t>
      </w:r>
      <w:r w:rsidR="005C531C" w:rsidRPr="005C531C">
        <w:rPr>
          <w:lang w:val="en-US"/>
        </w:rPr>
        <w:t>language</w:t>
      </w:r>
      <w:r w:rsidR="005C531C" w:rsidRPr="005C531C">
        <w:rPr>
          <w:spacing w:val="-15"/>
          <w:lang w:val="en-US"/>
        </w:rPr>
        <w:t xml:space="preserve"> </w:t>
      </w:r>
      <w:r w:rsidR="005C531C" w:rsidRPr="005C531C">
        <w:rPr>
          <w:lang w:val="en-US"/>
        </w:rPr>
        <w:t>used</w:t>
      </w:r>
      <w:r w:rsidR="005C531C">
        <w:rPr>
          <w:lang w:val="en-US"/>
        </w:rPr>
        <w:t>.</w:t>
      </w:r>
    </w:p>
    <w:p w14:paraId="23CF0FDA" w14:textId="6080404A" w:rsidR="00B93C70" w:rsidRDefault="00AC5E05" w:rsidP="00AC5E05">
      <w:pPr>
        <w:pStyle w:val="1"/>
        <w:numPr>
          <w:ilvl w:val="0"/>
          <w:numId w:val="0"/>
        </w:numPr>
        <w:tabs>
          <w:tab w:val="left" w:pos="567"/>
        </w:tabs>
        <w:ind w:left="567" w:hanging="567"/>
        <w:rPr>
          <w:lang w:val="en-ZA"/>
        </w:rPr>
      </w:pPr>
      <w:r>
        <w:rPr>
          <w:rFonts w:cs="Arial"/>
          <w:sz w:val="22"/>
          <w:lang w:val="en-ZA"/>
        </w:rPr>
        <w:t>[83]</w:t>
      </w:r>
      <w:r>
        <w:rPr>
          <w:rFonts w:cs="Arial"/>
          <w:sz w:val="22"/>
          <w:lang w:val="en-ZA"/>
        </w:rPr>
        <w:tab/>
      </w:r>
      <w:r w:rsidR="00AE2ACF">
        <w:rPr>
          <w:lang w:val="en-ZA"/>
        </w:rPr>
        <w:t xml:space="preserve">Let us </w:t>
      </w:r>
      <w:r w:rsidR="000E42D9">
        <w:rPr>
          <w:lang w:val="en-ZA"/>
        </w:rPr>
        <w:t xml:space="preserve">turn to look at the approach taken by the </w:t>
      </w:r>
      <w:r w:rsidR="00736820">
        <w:rPr>
          <w:lang w:val="en-ZA"/>
        </w:rPr>
        <w:t>A</w:t>
      </w:r>
      <w:r w:rsidR="000E42D9">
        <w:rPr>
          <w:lang w:val="en-ZA"/>
        </w:rPr>
        <w:t>rbitrator.</w:t>
      </w:r>
    </w:p>
    <w:p w14:paraId="1C398839" w14:textId="5415B9A8" w:rsidR="000E42D9" w:rsidRDefault="00AC5E05" w:rsidP="00AC5E05">
      <w:pPr>
        <w:pStyle w:val="1"/>
        <w:numPr>
          <w:ilvl w:val="0"/>
          <w:numId w:val="0"/>
        </w:numPr>
        <w:tabs>
          <w:tab w:val="left" w:pos="567"/>
        </w:tabs>
        <w:ind w:left="567" w:hanging="567"/>
        <w:rPr>
          <w:lang w:val="en-ZA"/>
        </w:rPr>
      </w:pPr>
      <w:r>
        <w:rPr>
          <w:rFonts w:cs="Arial"/>
          <w:sz w:val="22"/>
          <w:lang w:val="en-ZA"/>
        </w:rPr>
        <w:t>[84]</w:t>
      </w:r>
      <w:r>
        <w:rPr>
          <w:rFonts w:cs="Arial"/>
          <w:sz w:val="22"/>
          <w:lang w:val="en-ZA"/>
        </w:rPr>
        <w:tab/>
      </w:r>
      <w:r w:rsidR="00DE1DAB">
        <w:rPr>
          <w:lang w:val="en-ZA"/>
        </w:rPr>
        <w:t>In his award</w:t>
      </w:r>
      <w:r w:rsidR="00231602">
        <w:rPr>
          <w:lang w:val="en-ZA"/>
        </w:rPr>
        <w:t>,</w:t>
      </w:r>
      <w:r w:rsidR="00DE1DAB">
        <w:rPr>
          <w:lang w:val="en-ZA"/>
        </w:rPr>
        <w:t xml:space="preserve"> the </w:t>
      </w:r>
      <w:r w:rsidR="00736820">
        <w:rPr>
          <w:lang w:val="en-ZA"/>
        </w:rPr>
        <w:t>A</w:t>
      </w:r>
      <w:r w:rsidR="00DE1DAB">
        <w:rPr>
          <w:lang w:val="en-ZA"/>
        </w:rPr>
        <w:t xml:space="preserve">rbitrator first identifies the relevant provisions of the </w:t>
      </w:r>
      <w:r w:rsidR="00736820">
        <w:rPr>
          <w:lang w:val="en-ZA"/>
        </w:rPr>
        <w:t>Contracts</w:t>
      </w:r>
      <w:r w:rsidR="00DE1DAB">
        <w:rPr>
          <w:lang w:val="en-ZA"/>
        </w:rPr>
        <w:t xml:space="preserve"> as follows:</w:t>
      </w:r>
    </w:p>
    <w:p w14:paraId="3AACC3B9" w14:textId="4BECBCD9" w:rsidR="00F82ECC" w:rsidRPr="00F82ECC" w:rsidRDefault="00AC5E05" w:rsidP="00AC5E05">
      <w:pPr>
        <w:pStyle w:val="2"/>
        <w:numPr>
          <w:ilvl w:val="0"/>
          <w:numId w:val="0"/>
        </w:numPr>
        <w:tabs>
          <w:tab w:val="left" w:pos="851"/>
        </w:tabs>
        <w:ind w:left="851" w:hanging="851"/>
        <w:rPr>
          <w:lang w:val="en-ZA"/>
        </w:rPr>
      </w:pPr>
      <w:r w:rsidRPr="00F82ECC">
        <w:rPr>
          <w:sz w:val="22"/>
          <w:lang w:val="en-ZA"/>
        </w:rPr>
        <w:t>[84.1]</w:t>
      </w:r>
      <w:r w:rsidRPr="00F82ECC">
        <w:rPr>
          <w:sz w:val="22"/>
          <w:lang w:val="en-ZA"/>
        </w:rPr>
        <w:tab/>
      </w:r>
      <w:r w:rsidR="00BC11F7" w:rsidRPr="00BC11F7">
        <w:t>The Form of Offer 8 Acceptance commences as follows: "Responding to Emergency and Remediation of Environmental Incidents- Maors ills &gt; 50000L at Transnet Pipelines Facilities and the Pipeline Network situated in Gauten</w:t>
      </w:r>
      <w:r w:rsidR="00F82ECC">
        <w:t>g,</w:t>
      </w:r>
      <w:r w:rsidR="00BC11F7" w:rsidRPr="00BC11F7">
        <w:t xml:space="preserve"> </w:t>
      </w:r>
      <w:r w:rsidR="00BC11F7" w:rsidRPr="00BC11F7">
        <w:lastRenderedPageBreak/>
        <w:t>M</w:t>
      </w:r>
      <w:r w:rsidR="00F82ECC">
        <w:t>p</w:t>
      </w:r>
      <w:r w:rsidR="00BC11F7" w:rsidRPr="00BC11F7">
        <w:t>umalan</w:t>
      </w:r>
      <w:r w:rsidR="00F82ECC">
        <w:t>g</w:t>
      </w:r>
      <w:r w:rsidR="00BC11F7" w:rsidRPr="00BC11F7">
        <w:t xml:space="preserve">a and North West Provinces "As and When" Required for a period of Three Years." </w:t>
      </w:r>
    </w:p>
    <w:p w14:paraId="19B57132" w14:textId="299ECB5F" w:rsidR="0030068D" w:rsidRPr="006E308E" w:rsidRDefault="00AC5E05" w:rsidP="00AC5E05">
      <w:pPr>
        <w:pStyle w:val="2"/>
        <w:numPr>
          <w:ilvl w:val="0"/>
          <w:numId w:val="0"/>
        </w:numPr>
        <w:tabs>
          <w:tab w:val="left" w:pos="851"/>
        </w:tabs>
        <w:ind w:left="851" w:hanging="851"/>
        <w:rPr>
          <w:lang w:val="en-ZA"/>
        </w:rPr>
      </w:pPr>
      <w:r w:rsidRPr="006E308E">
        <w:rPr>
          <w:sz w:val="22"/>
          <w:lang w:val="en-ZA"/>
        </w:rPr>
        <w:t>[84.2]</w:t>
      </w:r>
      <w:r w:rsidRPr="006E308E">
        <w:rPr>
          <w:sz w:val="22"/>
          <w:lang w:val="en-ZA"/>
        </w:rPr>
        <w:tab/>
      </w:r>
      <w:r w:rsidR="00BC11F7" w:rsidRPr="00BC11F7">
        <w:t>The Acceptance Form contains, on the second page thereof, a Schedule of Deviations of which item 2, Hours of work provides: </w:t>
      </w:r>
      <w:r w:rsidR="006E308E">
        <w:t>“</w:t>
      </w:r>
      <w:r w:rsidR="006E308E" w:rsidRPr="006E308E">
        <w:t>This agreement is an NEC3 Term Service Contract (June 2005) (amended June 2006) rate based and an "as and when" contract. As such, hours of work by the Contractor's employees shall be paid on a per hour basis for work done, such hours will include time calculated from when employees leave their usual place of business to go to the job site (Affected Property) and return to their usual place of business excluding lunch hours." </w:t>
      </w:r>
    </w:p>
    <w:p w14:paraId="4A7ABEB0" w14:textId="5DFF63A6" w:rsidR="006E308E" w:rsidRPr="00DE1DAB" w:rsidRDefault="00AC5E05" w:rsidP="00AC5E05">
      <w:pPr>
        <w:pStyle w:val="2"/>
        <w:numPr>
          <w:ilvl w:val="0"/>
          <w:numId w:val="0"/>
        </w:numPr>
        <w:tabs>
          <w:tab w:val="left" w:pos="851"/>
        </w:tabs>
        <w:ind w:left="851" w:hanging="851"/>
        <w:rPr>
          <w:lang w:val="en-ZA"/>
        </w:rPr>
      </w:pPr>
      <w:r w:rsidRPr="00DE1DAB">
        <w:rPr>
          <w:sz w:val="22"/>
          <w:lang w:val="en-ZA"/>
        </w:rPr>
        <w:t>[84.3]</w:t>
      </w:r>
      <w:r w:rsidRPr="00DE1DAB">
        <w:rPr>
          <w:sz w:val="22"/>
          <w:lang w:val="en-ZA"/>
        </w:rPr>
        <w:tab/>
      </w:r>
      <w:r w:rsidR="00401EB8">
        <w:t>I</w:t>
      </w:r>
      <w:r w:rsidR="00401EB8" w:rsidRPr="00401EB8">
        <w:t>n the Contract Data, clause 11.2(13), the service is described as "Responding to Emergency and Remediation of Environmental Incidents — Major Spills (&gt; 50,000L) at Transnet Pipelines Facilities and the Pipeline Network, "as and when" required for a period of three</w:t>
      </w:r>
      <w:r w:rsidR="00401EB8">
        <w:t xml:space="preserve"> years</w:t>
      </w:r>
      <w:r w:rsidR="00740FB9">
        <w:t>.</w:t>
      </w:r>
      <w:r w:rsidR="00F4273D">
        <w:t>”</w:t>
      </w:r>
    </w:p>
    <w:p w14:paraId="1B42D152" w14:textId="3B379296" w:rsidR="00064DFB" w:rsidRPr="00064DFB" w:rsidRDefault="00AC5E05" w:rsidP="00AC5E05">
      <w:pPr>
        <w:pStyle w:val="2"/>
        <w:numPr>
          <w:ilvl w:val="0"/>
          <w:numId w:val="0"/>
        </w:numPr>
        <w:tabs>
          <w:tab w:val="left" w:pos="851"/>
        </w:tabs>
        <w:ind w:left="851" w:hanging="851"/>
        <w:rPr>
          <w:lang w:val="en-ZA"/>
        </w:rPr>
      </w:pPr>
      <w:r w:rsidRPr="00064DFB">
        <w:rPr>
          <w:sz w:val="22"/>
          <w:lang w:val="en-ZA"/>
        </w:rPr>
        <w:t>[84.4]</w:t>
      </w:r>
      <w:r w:rsidRPr="00064DFB">
        <w:rPr>
          <w:sz w:val="22"/>
          <w:lang w:val="en-ZA"/>
        </w:rPr>
        <w:tab/>
      </w:r>
      <w:r w:rsidR="00064DFB" w:rsidRPr="00064DFB">
        <w:t xml:space="preserve">In Part C3 of the contract, Scope of Services, the heading follows: "SCOPE OF WORK — RESPONDING TO EMERGENCY AND REMEDIATION OF ENVIRONMENTAL INCIDENTS AT TRANSNET PIPELINES FACILITIES AND THE PIPELINE NETWORK SITUATED IN GAUTENG, MPUMALANGA AND NORTH WEST PROVINCES, "AS AND WHEN" REQUIRED FOR A PERIOD OF THREE YEARS." </w:t>
      </w:r>
    </w:p>
    <w:p w14:paraId="24BC7C5C" w14:textId="30BC19D3" w:rsidR="00064DFB" w:rsidRPr="00064DFB" w:rsidRDefault="00AC5E05" w:rsidP="00AC5E05">
      <w:pPr>
        <w:pStyle w:val="2"/>
        <w:numPr>
          <w:ilvl w:val="0"/>
          <w:numId w:val="0"/>
        </w:numPr>
        <w:tabs>
          <w:tab w:val="left" w:pos="851"/>
        </w:tabs>
        <w:ind w:left="851" w:hanging="851"/>
        <w:rPr>
          <w:lang w:val="en-ZA"/>
        </w:rPr>
      </w:pPr>
      <w:r w:rsidRPr="00064DFB">
        <w:rPr>
          <w:sz w:val="22"/>
          <w:lang w:val="en-ZA"/>
        </w:rPr>
        <w:t>[84.5]</w:t>
      </w:r>
      <w:r w:rsidRPr="00064DFB">
        <w:rPr>
          <w:sz w:val="22"/>
          <w:lang w:val="en-ZA"/>
        </w:rPr>
        <w:tab/>
      </w:r>
      <w:r w:rsidR="00064DFB" w:rsidRPr="00064DFB">
        <w:t>Other relevant parts of the Scope of Services</w:t>
      </w:r>
      <w:r w:rsidR="006F2209">
        <w:t xml:space="preserve"> identified by him</w:t>
      </w:r>
      <w:r w:rsidR="00064DFB" w:rsidRPr="00064DFB">
        <w:t xml:space="preserve"> are: </w:t>
      </w:r>
    </w:p>
    <w:p w14:paraId="5AE41D3F" w14:textId="4B705D67" w:rsidR="00064DFB" w:rsidRPr="00064DFB" w:rsidRDefault="00AC5E05" w:rsidP="00AC5E05">
      <w:pPr>
        <w:pStyle w:val="3"/>
        <w:numPr>
          <w:ilvl w:val="0"/>
          <w:numId w:val="0"/>
        </w:numPr>
        <w:tabs>
          <w:tab w:val="left" w:pos="2552"/>
        </w:tabs>
        <w:ind w:left="2552" w:hanging="1134"/>
        <w:rPr>
          <w:lang w:val="en-ZA"/>
        </w:rPr>
      </w:pPr>
      <w:r w:rsidRPr="00064DFB">
        <w:rPr>
          <w:lang w:val="en-ZA"/>
        </w:rPr>
        <w:lastRenderedPageBreak/>
        <w:t>[84.5.1]</w:t>
      </w:r>
      <w:r w:rsidRPr="00064DFB">
        <w:rPr>
          <w:lang w:val="en-ZA"/>
        </w:rPr>
        <w:tab/>
      </w:r>
      <w:r w:rsidR="00464569">
        <w:t>1.</w:t>
      </w:r>
      <w:r w:rsidR="00740FB9">
        <w:t xml:space="preserve"> </w:t>
      </w:r>
      <w:r w:rsidR="00064DFB" w:rsidRPr="00064DFB">
        <w:t xml:space="preserve">Project The appointment of a service provider to respond to emergency and remediation of environmental incidents at </w:t>
      </w:r>
      <w:r w:rsidR="00740FB9">
        <w:t xml:space="preserve">the </w:t>
      </w:r>
      <w:r w:rsidR="00064DFB" w:rsidRPr="00064DFB">
        <w:t>Transnet pipelines (TPI) facility and the pipeline network situated in Gauteng, Mpumalanga</w:t>
      </w:r>
      <w:r w:rsidR="00740FB9">
        <w:t>,</w:t>
      </w:r>
      <w:r w:rsidR="00064DFB" w:rsidRPr="00064DFB">
        <w:t xml:space="preserve"> and North West provinces, as and when required for a period of three years."</w:t>
      </w:r>
    </w:p>
    <w:p w14:paraId="754C3BE2" w14:textId="61C7DCD9" w:rsidR="00E05D81" w:rsidRPr="00E05D81" w:rsidRDefault="00AC5E05" w:rsidP="00AC5E05">
      <w:pPr>
        <w:pStyle w:val="3"/>
        <w:numPr>
          <w:ilvl w:val="0"/>
          <w:numId w:val="0"/>
        </w:numPr>
        <w:tabs>
          <w:tab w:val="left" w:pos="2552"/>
        </w:tabs>
        <w:ind w:left="2552" w:hanging="1134"/>
        <w:rPr>
          <w:lang w:val="en-ZA"/>
        </w:rPr>
      </w:pPr>
      <w:r w:rsidRPr="00E05D81">
        <w:rPr>
          <w:lang w:val="en-ZA"/>
        </w:rPr>
        <w:t>[84.5.2]</w:t>
      </w:r>
      <w:r w:rsidRPr="00E05D81">
        <w:rPr>
          <w:lang w:val="en-ZA"/>
        </w:rPr>
        <w:tab/>
      </w:r>
      <w:r w:rsidR="00064DFB" w:rsidRPr="00064DFB">
        <w:t>2. Executive overview TPI manages and operates a pipeline network and the associated infrastructure that transports crude oil, aviation turbine fuel (Avtur), petrol</w:t>
      </w:r>
      <w:r w:rsidR="00740FB9">
        <w:t>,</w:t>
      </w:r>
      <w:r w:rsidR="00064DFB" w:rsidRPr="00064DFB">
        <w:t xml:space="preserve"> and diesel between Durban and Johannesburg. TPI has a number of operational facilities (depots, pump stations</w:t>
      </w:r>
      <w:r w:rsidR="00740FB9">
        <w:t>,</w:t>
      </w:r>
      <w:r w:rsidR="00064DFB" w:rsidRPr="00064DFB">
        <w:t xml:space="preserve"> and workshops) and a pipeline network (Avtur, multi products, gas) in the following provinces: Kwazulu Natal, Gauteng, Free State, Mpumalanga</w:t>
      </w:r>
      <w:r w:rsidR="00740FB9">
        <w:t>,</w:t>
      </w:r>
      <w:r w:rsidR="00064DFB" w:rsidRPr="00064DFB">
        <w:t xml:space="preserve"> and North West. The service provider will respond to emergency environmental incidents at all </w:t>
      </w:r>
      <w:r w:rsidR="00E05D81" w:rsidRPr="00E05D81">
        <w:t>PI sites situated in Kwazulu Natal and Free State provinces. The facilities that are in Gauteng, Mpumalanga</w:t>
      </w:r>
      <w:r w:rsidR="00740FB9">
        <w:t>,</w:t>
      </w:r>
      <w:r w:rsidR="00E05D81" w:rsidRPr="00E05D81">
        <w:t xml:space="preserve"> and North West provinces include the following: ...</w:t>
      </w:r>
    </w:p>
    <w:p w14:paraId="771D84DA" w14:textId="3D257A0B" w:rsidR="00DE1DAB" w:rsidRDefault="00AC5E05" w:rsidP="00AC5E05">
      <w:pPr>
        <w:pStyle w:val="3"/>
        <w:numPr>
          <w:ilvl w:val="0"/>
          <w:numId w:val="0"/>
        </w:numPr>
        <w:tabs>
          <w:tab w:val="left" w:pos="2552"/>
        </w:tabs>
        <w:ind w:left="2552" w:hanging="1134"/>
        <w:rPr>
          <w:lang w:val="en-ZA"/>
        </w:rPr>
      </w:pPr>
      <w:r>
        <w:rPr>
          <w:lang w:val="en-ZA"/>
        </w:rPr>
        <w:t>[84.5.3]</w:t>
      </w:r>
      <w:r>
        <w:rPr>
          <w:lang w:val="en-ZA"/>
        </w:rPr>
        <w:tab/>
      </w:r>
      <w:r w:rsidR="00E05D81" w:rsidRPr="00E05D81">
        <w:t xml:space="preserve"> 3. Employer's objectives The Provision of an Emergency Environmental response service forms part of improving environmental management. It is therefore crucial that TPI has a contract in place with sufficient funds to ensure that spillages that may occur are addressed timeously. The </w:t>
      </w:r>
      <w:r w:rsidR="00E05D81" w:rsidRPr="00E05D81">
        <w:lastRenderedPageBreak/>
        <w:t>objectives of this contract are to reduce impacts to the public and the environment and increase</w:t>
      </w:r>
      <w:r w:rsidR="00740FB9">
        <w:t xml:space="preserve"> the</w:t>
      </w:r>
      <w:r w:rsidR="00E05D81" w:rsidRPr="00E05D81">
        <w:t xml:space="preserve"> recovery rate of spilled products.</w:t>
      </w:r>
    </w:p>
    <w:p w14:paraId="18BCC4E7" w14:textId="378324BF" w:rsidR="00865B8A" w:rsidRDefault="00AC5E05" w:rsidP="00AC5E05">
      <w:pPr>
        <w:pStyle w:val="1"/>
        <w:numPr>
          <w:ilvl w:val="0"/>
          <w:numId w:val="0"/>
        </w:numPr>
        <w:tabs>
          <w:tab w:val="left" w:pos="567"/>
        </w:tabs>
        <w:ind w:left="567" w:hanging="567"/>
        <w:rPr>
          <w:lang w:val="en-ZA"/>
        </w:rPr>
      </w:pPr>
      <w:r>
        <w:rPr>
          <w:rFonts w:cs="Arial"/>
          <w:sz w:val="22"/>
          <w:lang w:val="en-ZA"/>
        </w:rPr>
        <w:t>[85]</w:t>
      </w:r>
      <w:r>
        <w:rPr>
          <w:rFonts w:cs="Arial"/>
          <w:sz w:val="22"/>
          <w:lang w:val="en-ZA"/>
        </w:rPr>
        <w:tab/>
      </w:r>
      <w:r w:rsidR="00E05D81">
        <w:rPr>
          <w:lang w:val="en-ZA"/>
        </w:rPr>
        <w:t xml:space="preserve">He then summarises what the dispute is namely that the parties </w:t>
      </w:r>
      <w:r w:rsidR="00470481">
        <w:rPr>
          <w:lang w:val="en-ZA"/>
        </w:rPr>
        <w:t>disagree about the meaning of “as and when required”</w:t>
      </w:r>
      <w:r w:rsidR="00865B8A">
        <w:rPr>
          <w:lang w:val="en-ZA"/>
        </w:rPr>
        <w:t>:</w:t>
      </w:r>
    </w:p>
    <w:p w14:paraId="25ED1E1C" w14:textId="725EBCF0" w:rsidR="00463544" w:rsidRDefault="00AC5E05" w:rsidP="00AC5E05">
      <w:pPr>
        <w:pStyle w:val="2"/>
        <w:numPr>
          <w:ilvl w:val="0"/>
          <w:numId w:val="0"/>
        </w:numPr>
        <w:tabs>
          <w:tab w:val="left" w:pos="851"/>
        </w:tabs>
        <w:ind w:left="851" w:hanging="851"/>
        <w:rPr>
          <w:lang w:val="en-ZA"/>
        </w:rPr>
      </w:pPr>
      <w:r>
        <w:rPr>
          <w:sz w:val="22"/>
          <w:lang w:val="en-ZA"/>
        </w:rPr>
        <w:t>[85.1]</w:t>
      </w:r>
      <w:r>
        <w:rPr>
          <w:sz w:val="22"/>
          <w:lang w:val="en-ZA"/>
        </w:rPr>
        <w:tab/>
      </w:r>
      <w:r w:rsidR="00865B8A">
        <w:t>“</w:t>
      </w:r>
      <w:r w:rsidR="00865B8A" w:rsidRPr="00826CB8">
        <w:rPr>
          <w:i/>
          <w:iCs w:val="0"/>
        </w:rPr>
        <w:t>The parties disagree about the meaning of ‘as and when required’.  The claimants contend that Transnet is obliged to appoint it to attend to spills of more than 50 000 litres, in other words the</w:t>
      </w:r>
      <w:r w:rsidR="00740FB9">
        <w:rPr>
          <w:i/>
          <w:iCs w:val="0"/>
        </w:rPr>
        <w:t>,</w:t>
      </w:r>
      <w:r w:rsidR="00865B8A" w:rsidRPr="00826CB8">
        <w:rPr>
          <w:i/>
          <w:iCs w:val="0"/>
        </w:rPr>
        <w:t xml:space="preserve"> "as and when required" si</w:t>
      </w:r>
      <w:r w:rsidR="00ED7DF5" w:rsidRPr="00826CB8">
        <w:rPr>
          <w:i/>
          <w:iCs w:val="0"/>
        </w:rPr>
        <w:t xml:space="preserve">mply refers to the fact of whether or not </w:t>
      </w:r>
      <w:r w:rsidR="00BA2D3F" w:rsidRPr="00826CB8">
        <w:rPr>
          <w:i/>
          <w:iCs w:val="0"/>
        </w:rPr>
        <w:t>a large spillage has occurred that requires to be</w:t>
      </w:r>
      <w:r w:rsidR="00E221F5" w:rsidRPr="00826CB8">
        <w:rPr>
          <w:i/>
          <w:iCs w:val="0"/>
        </w:rPr>
        <w:t xml:space="preserve"> contained and/or</w:t>
      </w:r>
      <w:r w:rsidR="00BA2D3F" w:rsidRPr="00826CB8">
        <w:rPr>
          <w:i/>
          <w:iCs w:val="0"/>
        </w:rPr>
        <w:t xml:space="preserve"> remed</w:t>
      </w:r>
      <w:r w:rsidR="00E221F5" w:rsidRPr="00826CB8">
        <w:rPr>
          <w:i/>
          <w:iCs w:val="0"/>
        </w:rPr>
        <w:t>iated</w:t>
      </w:r>
      <w:r w:rsidR="00865B8A" w:rsidRPr="00826CB8">
        <w:rPr>
          <w:i/>
          <w:iCs w:val="0"/>
        </w:rPr>
        <w:t xml:space="preserve">. In the absence of any spillage, there is no obligation on Transnet to appoint the claimants. Transnet on the other hand contends that </w:t>
      </w:r>
      <w:r w:rsidR="00463544" w:rsidRPr="00826CB8">
        <w:rPr>
          <w:i/>
          <w:iCs w:val="0"/>
        </w:rPr>
        <w:t>‘</w:t>
      </w:r>
      <w:r w:rsidR="00865B8A" w:rsidRPr="00826CB8">
        <w:rPr>
          <w:i/>
          <w:iCs w:val="0"/>
        </w:rPr>
        <w:t>as and when required</w:t>
      </w:r>
      <w:r w:rsidR="00463544" w:rsidRPr="00826CB8">
        <w:rPr>
          <w:i/>
          <w:iCs w:val="0"/>
        </w:rPr>
        <w:t>’</w:t>
      </w:r>
      <w:r w:rsidR="00865B8A" w:rsidRPr="00826CB8">
        <w:rPr>
          <w:i/>
          <w:iCs w:val="0"/>
        </w:rPr>
        <w:t xml:space="preserve"> allows it to decide whether to use the claimants at all, even for spillages of more than 50 000 litres, and that it is free to appoint another contractor with impunity</w:t>
      </w:r>
      <w:r w:rsidR="00865B8A" w:rsidRPr="00865B8A">
        <w:t>.</w:t>
      </w:r>
      <w:r w:rsidR="004E69C0">
        <w:rPr>
          <w:lang w:val="en-ZA"/>
        </w:rPr>
        <w:t>”</w:t>
      </w:r>
    </w:p>
    <w:p w14:paraId="7D6E7B34" w14:textId="151F71D5" w:rsidR="004E69C0" w:rsidRDefault="00AC5E05" w:rsidP="00AC5E05">
      <w:pPr>
        <w:pStyle w:val="1"/>
        <w:numPr>
          <w:ilvl w:val="0"/>
          <w:numId w:val="0"/>
        </w:numPr>
        <w:tabs>
          <w:tab w:val="left" w:pos="567"/>
        </w:tabs>
        <w:ind w:left="567" w:hanging="567"/>
        <w:rPr>
          <w:lang w:val="en-ZA"/>
        </w:rPr>
      </w:pPr>
      <w:r>
        <w:rPr>
          <w:rFonts w:cs="Arial"/>
          <w:sz w:val="22"/>
          <w:lang w:val="en-ZA"/>
        </w:rPr>
        <w:t>[86]</w:t>
      </w:r>
      <w:r>
        <w:rPr>
          <w:rFonts w:cs="Arial"/>
          <w:sz w:val="22"/>
          <w:lang w:val="en-ZA"/>
        </w:rPr>
        <w:tab/>
      </w:r>
      <w:r w:rsidR="004E69C0">
        <w:rPr>
          <w:lang w:val="en-ZA"/>
        </w:rPr>
        <w:t xml:space="preserve">The </w:t>
      </w:r>
      <w:r w:rsidR="00575BB6">
        <w:rPr>
          <w:lang w:val="en-ZA"/>
        </w:rPr>
        <w:t>A</w:t>
      </w:r>
      <w:r w:rsidR="004E69C0">
        <w:rPr>
          <w:lang w:val="en-ZA"/>
        </w:rPr>
        <w:t xml:space="preserve">rbitrator then deals with </w:t>
      </w:r>
      <w:r w:rsidR="00DB23F6">
        <w:rPr>
          <w:lang w:val="en-ZA"/>
        </w:rPr>
        <w:t>the issue of Spill Tech’s witness statements. He records that Transnet had accepted the facts in those witness statements to</w:t>
      </w:r>
      <w:r w:rsidR="00782B4A">
        <w:rPr>
          <w:lang w:val="en-ZA"/>
        </w:rPr>
        <w:t xml:space="preserve"> be correct but argued that they were all irrelevant and inadmissible.  </w:t>
      </w:r>
      <w:r w:rsidR="00164952">
        <w:rPr>
          <w:lang w:val="en-ZA"/>
        </w:rPr>
        <w:t xml:space="preserve">He disagrees with Transnet’s arguments and </w:t>
      </w:r>
      <w:r w:rsidR="003D532A">
        <w:rPr>
          <w:lang w:val="en-ZA"/>
        </w:rPr>
        <w:t>sets out his approach as follows:</w:t>
      </w:r>
    </w:p>
    <w:p w14:paraId="2D1161A5" w14:textId="479408B9" w:rsidR="003D532A" w:rsidRPr="007015A2" w:rsidRDefault="00AC5E05" w:rsidP="00AC5E05">
      <w:pPr>
        <w:pStyle w:val="2"/>
        <w:numPr>
          <w:ilvl w:val="0"/>
          <w:numId w:val="0"/>
        </w:numPr>
        <w:tabs>
          <w:tab w:val="left" w:pos="851"/>
        </w:tabs>
        <w:ind w:left="851" w:hanging="851"/>
        <w:rPr>
          <w:i/>
          <w:iCs w:val="0"/>
          <w:lang w:val="en-ZA"/>
        </w:rPr>
      </w:pPr>
      <w:r w:rsidRPr="007015A2">
        <w:rPr>
          <w:i/>
          <w:iCs w:val="0"/>
          <w:sz w:val="22"/>
          <w:lang w:val="en-ZA"/>
        </w:rPr>
        <w:t>[86.1]</w:t>
      </w:r>
      <w:r w:rsidRPr="007015A2">
        <w:rPr>
          <w:i/>
          <w:iCs w:val="0"/>
          <w:sz w:val="22"/>
          <w:lang w:val="en-ZA"/>
        </w:rPr>
        <w:tab/>
      </w:r>
      <w:r w:rsidR="00933F98">
        <w:t>“</w:t>
      </w:r>
      <w:r w:rsidR="009179AC" w:rsidRPr="007015A2">
        <w:rPr>
          <w:i/>
          <w:iCs w:val="0"/>
        </w:rPr>
        <w:t xml:space="preserve">It is well established by now that evidence is permissible, regardless of ambiguity in a contract, to establish context and purpose, as well as the way in which the parties by their subsequent conduct interpreted the contract, </w:t>
      </w:r>
      <w:r w:rsidR="009179AC" w:rsidRPr="007015A2">
        <w:rPr>
          <w:i/>
          <w:iCs w:val="0"/>
        </w:rPr>
        <w:lastRenderedPageBreak/>
        <w:t xml:space="preserve">which in this case the </w:t>
      </w:r>
      <w:r w:rsidR="00E53B0E" w:rsidRPr="007015A2">
        <w:rPr>
          <w:i/>
          <w:iCs w:val="0"/>
        </w:rPr>
        <w:t>evidence in his opinion does.</w:t>
      </w:r>
    </w:p>
    <w:p w14:paraId="5F2CAD32" w14:textId="5F2FCB38" w:rsidR="00933F98" w:rsidRPr="007015A2" w:rsidRDefault="00AC5E05" w:rsidP="00AC5E05">
      <w:pPr>
        <w:pStyle w:val="2"/>
        <w:numPr>
          <w:ilvl w:val="0"/>
          <w:numId w:val="0"/>
        </w:numPr>
        <w:tabs>
          <w:tab w:val="left" w:pos="851"/>
        </w:tabs>
        <w:ind w:left="851" w:hanging="851"/>
        <w:rPr>
          <w:i/>
          <w:iCs w:val="0"/>
          <w:lang w:val="en-ZA"/>
        </w:rPr>
      </w:pPr>
      <w:r w:rsidRPr="007015A2">
        <w:rPr>
          <w:i/>
          <w:iCs w:val="0"/>
          <w:sz w:val="22"/>
          <w:lang w:val="en-ZA"/>
        </w:rPr>
        <w:t>[86.2]</w:t>
      </w:r>
      <w:r w:rsidRPr="007015A2">
        <w:rPr>
          <w:i/>
          <w:iCs w:val="0"/>
          <w:sz w:val="22"/>
          <w:lang w:val="en-ZA"/>
        </w:rPr>
        <w:tab/>
      </w:r>
      <w:r w:rsidR="000D1198" w:rsidRPr="007015A2">
        <w:rPr>
          <w:i/>
          <w:iCs w:val="0"/>
        </w:rPr>
        <w:t xml:space="preserve">The facts relevant to context and purpose, and which would assist </w:t>
      </w:r>
      <w:r w:rsidR="00933F98" w:rsidRPr="007015A2">
        <w:rPr>
          <w:i/>
          <w:iCs w:val="0"/>
        </w:rPr>
        <w:t>me</w:t>
      </w:r>
      <w:r w:rsidR="000D1198" w:rsidRPr="007015A2">
        <w:rPr>
          <w:i/>
          <w:iCs w:val="0"/>
        </w:rPr>
        <w:t xml:space="preserve">  </w:t>
      </w:r>
      <w:r w:rsidR="00740FB9">
        <w:rPr>
          <w:i/>
          <w:iCs w:val="0"/>
        </w:rPr>
        <w:t xml:space="preserve">in </w:t>
      </w:r>
      <w:r w:rsidR="000D1198" w:rsidRPr="007015A2">
        <w:rPr>
          <w:i/>
          <w:iCs w:val="0"/>
        </w:rPr>
        <w:t>interpret</w:t>
      </w:r>
      <w:r w:rsidR="00740FB9">
        <w:rPr>
          <w:i/>
          <w:iCs w:val="0"/>
        </w:rPr>
        <w:t>ing</w:t>
      </w:r>
      <w:r w:rsidR="000D1198" w:rsidRPr="007015A2">
        <w:rPr>
          <w:i/>
          <w:iCs w:val="0"/>
        </w:rPr>
        <w:t xml:space="preserve"> the phrase in question, may be summarised as follows: </w:t>
      </w:r>
    </w:p>
    <w:p w14:paraId="4DC2276E" w14:textId="75FF5369" w:rsidR="001941ED" w:rsidRPr="007015A2" w:rsidRDefault="00AC5E05" w:rsidP="00AC5E05">
      <w:pPr>
        <w:pStyle w:val="3"/>
        <w:numPr>
          <w:ilvl w:val="0"/>
          <w:numId w:val="0"/>
        </w:numPr>
        <w:tabs>
          <w:tab w:val="left" w:pos="2552"/>
        </w:tabs>
        <w:ind w:left="2552" w:hanging="1134"/>
        <w:rPr>
          <w:i/>
          <w:lang w:val="en-ZA"/>
        </w:rPr>
      </w:pPr>
      <w:r w:rsidRPr="007015A2">
        <w:rPr>
          <w:i/>
          <w:lang w:val="en-ZA"/>
        </w:rPr>
        <w:t>[86.2.1]</w:t>
      </w:r>
      <w:r w:rsidRPr="007015A2">
        <w:rPr>
          <w:i/>
          <w:lang w:val="en-ZA"/>
        </w:rPr>
        <w:tab/>
      </w:r>
      <w:r w:rsidR="000D1198" w:rsidRPr="007015A2">
        <w:rPr>
          <w:i/>
        </w:rPr>
        <w:t>ST (then Spill Tech CC) had a previous contract with Transnet which ran from 2013 to 2016 and beyond, and which covered all spills in all regions without limitation as to</w:t>
      </w:r>
      <w:r w:rsidR="00740FB9">
        <w:rPr>
          <w:i/>
        </w:rPr>
        <w:t xml:space="preserve"> the</w:t>
      </w:r>
      <w:r w:rsidR="000D1198" w:rsidRPr="007015A2">
        <w:rPr>
          <w:i/>
        </w:rPr>
        <w:t xml:space="preserve"> size of </w:t>
      </w:r>
      <w:r w:rsidR="00740FB9">
        <w:rPr>
          <w:i/>
        </w:rPr>
        <w:t xml:space="preserve">the </w:t>
      </w:r>
      <w:r w:rsidR="000D1198" w:rsidRPr="007015A2">
        <w:rPr>
          <w:i/>
        </w:rPr>
        <w:t xml:space="preserve">spill. </w:t>
      </w:r>
    </w:p>
    <w:p w14:paraId="1A01B1BF" w14:textId="7B25D8E9" w:rsidR="001941ED" w:rsidRPr="007015A2" w:rsidRDefault="00AC5E05" w:rsidP="00AC5E05">
      <w:pPr>
        <w:pStyle w:val="3"/>
        <w:numPr>
          <w:ilvl w:val="0"/>
          <w:numId w:val="0"/>
        </w:numPr>
        <w:tabs>
          <w:tab w:val="left" w:pos="2552"/>
        </w:tabs>
        <w:ind w:left="2552" w:hanging="1134"/>
        <w:rPr>
          <w:i/>
          <w:lang w:val="en-ZA"/>
        </w:rPr>
      </w:pPr>
      <w:r w:rsidRPr="007015A2">
        <w:rPr>
          <w:i/>
          <w:lang w:val="en-ZA"/>
        </w:rPr>
        <w:t>[86.2.2]</w:t>
      </w:r>
      <w:r w:rsidRPr="007015A2">
        <w:rPr>
          <w:i/>
          <w:lang w:val="en-ZA"/>
        </w:rPr>
        <w:tab/>
      </w:r>
      <w:r w:rsidR="000D1198" w:rsidRPr="007015A2">
        <w:rPr>
          <w:i/>
        </w:rPr>
        <w:t>In 2016 Transnet issued tender documents, which, once awar</w:t>
      </w:r>
      <w:r w:rsidR="00933F98" w:rsidRPr="007015A2">
        <w:rPr>
          <w:i/>
        </w:rPr>
        <w:t>d</w:t>
      </w:r>
      <w:r w:rsidR="00740FB9">
        <w:rPr>
          <w:i/>
        </w:rPr>
        <w:t>ed</w:t>
      </w:r>
      <w:r w:rsidR="000D1198" w:rsidRPr="007015A2">
        <w:rPr>
          <w:i/>
        </w:rPr>
        <w:t xml:space="preserve"> split the previous single contract into four </w:t>
      </w:r>
      <w:r w:rsidR="003E5D95">
        <w:rPr>
          <w:i/>
        </w:rPr>
        <w:t>Contracts</w:t>
      </w:r>
      <w:r w:rsidR="000D1198" w:rsidRPr="007015A2">
        <w:rPr>
          <w:i/>
        </w:rPr>
        <w:t xml:space="preserve">, namely </w:t>
      </w:r>
      <w:r w:rsidR="001941ED" w:rsidRPr="007015A2">
        <w:rPr>
          <w:i/>
        </w:rPr>
        <w:t xml:space="preserve">a contract </w:t>
      </w:r>
      <w:r w:rsidR="000D1198" w:rsidRPr="007015A2">
        <w:rPr>
          <w:i/>
        </w:rPr>
        <w:t>for spillages of more than 50000 litres for the north (Gauteng, Mpumalanga</w:t>
      </w:r>
      <w:r w:rsidR="00740FB9">
        <w:rPr>
          <w:i/>
        </w:rPr>
        <w:t>,</w:t>
      </w:r>
      <w:r w:rsidR="000D1198" w:rsidRPr="007015A2">
        <w:rPr>
          <w:i/>
        </w:rPr>
        <w:t xml:space="preserve"> and North West Province), a contract for spillages less than 50 000 litres for the north, a contract for spillages of more than 50 000 litres for the south (KwaZulu Natal and the Free State), and a contract for spillages less than 50000 litres for the south. The two larger </w:t>
      </w:r>
      <w:r w:rsidR="003E5D95">
        <w:rPr>
          <w:i/>
        </w:rPr>
        <w:t>Contracts</w:t>
      </w:r>
      <w:r w:rsidR="000D1198" w:rsidRPr="007015A2">
        <w:rPr>
          <w:i/>
        </w:rPr>
        <w:t xml:space="preserve"> were awarded to STG and ST respectively, and the two smaller </w:t>
      </w:r>
      <w:r w:rsidR="003E5D95">
        <w:rPr>
          <w:i/>
        </w:rPr>
        <w:t>Contracts</w:t>
      </w:r>
      <w:r w:rsidR="000D1198" w:rsidRPr="007015A2">
        <w:rPr>
          <w:i/>
        </w:rPr>
        <w:t xml:space="preserve"> to Drizit</w:t>
      </w:r>
      <w:r w:rsidR="001941ED" w:rsidRPr="007015A2">
        <w:rPr>
          <w:i/>
        </w:rPr>
        <w:t>.</w:t>
      </w:r>
    </w:p>
    <w:p w14:paraId="6466EF6C" w14:textId="6EC448B2" w:rsidR="001941ED" w:rsidRPr="007015A2" w:rsidRDefault="00AC5E05" w:rsidP="00AC5E05">
      <w:pPr>
        <w:pStyle w:val="3"/>
        <w:numPr>
          <w:ilvl w:val="0"/>
          <w:numId w:val="0"/>
        </w:numPr>
        <w:tabs>
          <w:tab w:val="left" w:pos="2552"/>
        </w:tabs>
        <w:ind w:left="2552" w:hanging="1134"/>
        <w:rPr>
          <w:i/>
          <w:lang w:val="en-ZA"/>
        </w:rPr>
      </w:pPr>
      <w:r w:rsidRPr="007015A2">
        <w:rPr>
          <w:i/>
          <w:lang w:val="en-ZA"/>
        </w:rPr>
        <w:t>[86.2.3]</w:t>
      </w:r>
      <w:r w:rsidRPr="007015A2">
        <w:rPr>
          <w:i/>
          <w:lang w:val="en-ZA"/>
        </w:rPr>
        <w:tab/>
      </w:r>
      <w:r w:rsidR="000D1198" w:rsidRPr="007015A2">
        <w:rPr>
          <w:i/>
        </w:rPr>
        <w:t>Only one contractor was appointed for</w:t>
      </w:r>
      <w:r w:rsidR="001941ED" w:rsidRPr="007015A2">
        <w:rPr>
          <w:i/>
        </w:rPr>
        <w:t xml:space="preserve"> </w:t>
      </w:r>
      <w:r w:rsidR="000D1198" w:rsidRPr="007015A2">
        <w:rPr>
          <w:i/>
        </w:rPr>
        <w:t xml:space="preserve">each category. Notably, no panel of contractors was appointed for each category. </w:t>
      </w:r>
    </w:p>
    <w:p w14:paraId="0DFE37CE" w14:textId="7D277BC6" w:rsidR="001941ED" w:rsidRPr="007015A2" w:rsidRDefault="00AC5E05" w:rsidP="00AC5E05">
      <w:pPr>
        <w:pStyle w:val="3"/>
        <w:numPr>
          <w:ilvl w:val="0"/>
          <w:numId w:val="0"/>
        </w:numPr>
        <w:tabs>
          <w:tab w:val="left" w:pos="2552"/>
        </w:tabs>
        <w:ind w:left="2552" w:hanging="1134"/>
        <w:rPr>
          <w:i/>
          <w:lang w:val="en-ZA"/>
        </w:rPr>
      </w:pPr>
      <w:r w:rsidRPr="007015A2">
        <w:rPr>
          <w:i/>
          <w:lang w:val="en-ZA"/>
        </w:rPr>
        <w:lastRenderedPageBreak/>
        <w:t>[86.2.4]</w:t>
      </w:r>
      <w:r w:rsidRPr="007015A2">
        <w:rPr>
          <w:i/>
          <w:lang w:val="en-ZA"/>
        </w:rPr>
        <w:tab/>
      </w:r>
      <w:r w:rsidR="000D1198" w:rsidRPr="007015A2">
        <w:rPr>
          <w:i/>
        </w:rPr>
        <w:t xml:space="preserve">Spills occur from the pipeline mostly as a result of a break into the pipeline because of theft, but not necessarily so. </w:t>
      </w:r>
    </w:p>
    <w:p w14:paraId="5146D00F" w14:textId="33C73ACC" w:rsidR="00547A9A" w:rsidRPr="007015A2" w:rsidRDefault="00AC5E05" w:rsidP="00AC5E05">
      <w:pPr>
        <w:pStyle w:val="3"/>
        <w:numPr>
          <w:ilvl w:val="0"/>
          <w:numId w:val="0"/>
        </w:numPr>
        <w:tabs>
          <w:tab w:val="left" w:pos="2552"/>
        </w:tabs>
        <w:ind w:left="2552" w:hanging="1134"/>
        <w:rPr>
          <w:i/>
          <w:lang w:val="en-ZA"/>
        </w:rPr>
      </w:pPr>
      <w:r w:rsidRPr="007015A2">
        <w:rPr>
          <w:i/>
          <w:lang w:val="en-ZA"/>
        </w:rPr>
        <w:t>[86.2.5]</w:t>
      </w:r>
      <w:r w:rsidRPr="007015A2">
        <w:rPr>
          <w:i/>
          <w:lang w:val="en-ZA"/>
        </w:rPr>
        <w:tab/>
      </w:r>
      <w:r w:rsidR="000D1198" w:rsidRPr="007015A2">
        <w:rPr>
          <w:i/>
        </w:rPr>
        <w:t>A spill involves two key actions</w:t>
      </w:r>
      <w:r w:rsidR="00547A9A" w:rsidRPr="007015A2">
        <w:rPr>
          <w:i/>
        </w:rPr>
        <w:t xml:space="preserve">. </w:t>
      </w:r>
      <w:r w:rsidR="000D1198" w:rsidRPr="007015A2">
        <w:rPr>
          <w:i/>
        </w:rPr>
        <w:t xml:space="preserve">Containment of the spill, i.e. </w:t>
      </w:r>
      <w:r w:rsidR="00DF013A">
        <w:rPr>
          <w:i/>
        </w:rPr>
        <w:t xml:space="preserve"> stopping</w:t>
      </w:r>
      <w:r w:rsidR="000D1198" w:rsidRPr="007015A2">
        <w:rPr>
          <w:i/>
        </w:rPr>
        <w:t xml:space="preserve"> the flow of product,</w:t>
      </w:r>
      <w:r w:rsidR="00547A9A" w:rsidRPr="007015A2">
        <w:rPr>
          <w:rFonts w:ascii="Segoe UI" w:hAnsi="Segoe UI" w:cs="Segoe UI"/>
          <w:i/>
          <w:color w:val="000000"/>
          <w:sz w:val="27"/>
          <w:szCs w:val="27"/>
        </w:rPr>
        <w:t xml:space="preserve"> v</w:t>
      </w:r>
      <w:r w:rsidR="00547A9A" w:rsidRPr="007015A2">
        <w:rPr>
          <w:i/>
        </w:rPr>
        <w:t>acuuming the ponded product as well as product remaining in the pipeline (which would have been blocked off at points in the pipeline before and after the breach). This exercise takes two days at most; and Remediation, which is a more lengthy exercise, involving largely earthworks</w:t>
      </w:r>
      <w:r w:rsidR="00DF013A">
        <w:rPr>
          <w:i/>
        </w:rPr>
        <w:t>-</w:t>
      </w:r>
      <w:r w:rsidR="00547A9A" w:rsidRPr="007015A2">
        <w:rPr>
          <w:i/>
        </w:rPr>
        <w:t xml:space="preserve">type work, is a lot less people intensive and requires plant and equipment. It essentially involves an exercise to reverse the environmental damage </w:t>
      </w:r>
      <w:r w:rsidR="00DF013A">
        <w:rPr>
          <w:i/>
        </w:rPr>
        <w:t>t</w:t>
      </w:r>
      <w:r w:rsidR="00547A9A" w:rsidRPr="007015A2">
        <w:rPr>
          <w:i/>
        </w:rPr>
        <w:t>o spill</w:t>
      </w:r>
      <w:r w:rsidR="00DF013A">
        <w:rPr>
          <w:i/>
        </w:rPr>
        <w:t>s</w:t>
      </w:r>
      <w:r w:rsidR="00547A9A" w:rsidRPr="007015A2">
        <w:rPr>
          <w:i/>
        </w:rPr>
        <w:t xml:space="preserve"> and the seepage of product into the ground. </w:t>
      </w:r>
    </w:p>
    <w:p w14:paraId="7C9B92EA" w14:textId="33829628" w:rsidR="00F60ED0" w:rsidRPr="007015A2" w:rsidRDefault="00AC5E05" w:rsidP="00AC5E05">
      <w:pPr>
        <w:pStyle w:val="3"/>
        <w:numPr>
          <w:ilvl w:val="0"/>
          <w:numId w:val="0"/>
        </w:numPr>
        <w:tabs>
          <w:tab w:val="left" w:pos="2552"/>
        </w:tabs>
        <w:ind w:left="2552" w:hanging="1134"/>
        <w:rPr>
          <w:i/>
          <w:lang w:val="en-ZA"/>
        </w:rPr>
      </w:pPr>
      <w:r w:rsidRPr="007015A2">
        <w:rPr>
          <w:i/>
          <w:lang w:val="en-ZA"/>
        </w:rPr>
        <w:t>[86.2.6]</w:t>
      </w:r>
      <w:r w:rsidRPr="007015A2">
        <w:rPr>
          <w:i/>
          <w:lang w:val="en-ZA"/>
        </w:rPr>
        <w:tab/>
      </w:r>
      <w:r w:rsidR="00547A9A" w:rsidRPr="007015A2">
        <w:rPr>
          <w:i/>
        </w:rPr>
        <w:t>Spills connected with a pipeline breach would result in almost all cases in a spill of product in excess of 50 000 litres, and in most cases</w:t>
      </w:r>
      <w:r w:rsidR="00F60ED0" w:rsidRPr="007015A2">
        <w:rPr>
          <w:i/>
        </w:rPr>
        <w:t>,</w:t>
      </w:r>
      <w:r w:rsidR="00547A9A" w:rsidRPr="007015A2">
        <w:rPr>
          <w:i/>
        </w:rPr>
        <w:t xml:space="preserve"> it would be fairly obvious on a visual inspection whether a spill exceeded or was less than 50 000 litres. </w:t>
      </w:r>
    </w:p>
    <w:p w14:paraId="7E1AEE80" w14:textId="3F0164BE" w:rsidR="00F60ED0" w:rsidRPr="007015A2" w:rsidRDefault="00AC5E05" w:rsidP="00AC5E05">
      <w:pPr>
        <w:pStyle w:val="3"/>
        <w:numPr>
          <w:ilvl w:val="0"/>
          <w:numId w:val="0"/>
        </w:numPr>
        <w:tabs>
          <w:tab w:val="left" w:pos="2552"/>
        </w:tabs>
        <w:ind w:left="2552" w:hanging="1134"/>
        <w:rPr>
          <w:i/>
          <w:lang w:val="en-ZA"/>
        </w:rPr>
      </w:pPr>
      <w:r w:rsidRPr="007015A2">
        <w:rPr>
          <w:i/>
          <w:lang w:val="en-ZA"/>
        </w:rPr>
        <w:t>[86.2.7]</w:t>
      </w:r>
      <w:r w:rsidRPr="007015A2">
        <w:rPr>
          <w:i/>
          <w:lang w:val="en-ZA"/>
        </w:rPr>
        <w:tab/>
      </w:r>
      <w:r w:rsidR="00547A9A" w:rsidRPr="007015A2">
        <w:rPr>
          <w:i/>
        </w:rPr>
        <w:t>If a spill is allocated incorrectly, it is not a difficult exercise for the original contractor to demobilise and withdraw from the site and for the correct contractor to take over.</w:t>
      </w:r>
    </w:p>
    <w:p w14:paraId="5D22ECE7" w14:textId="564C0FA7" w:rsidR="00F60ED0" w:rsidRPr="007015A2" w:rsidRDefault="00AC5E05" w:rsidP="00AC5E05">
      <w:pPr>
        <w:pStyle w:val="2"/>
        <w:numPr>
          <w:ilvl w:val="0"/>
          <w:numId w:val="0"/>
        </w:numPr>
        <w:tabs>
          <w:tab w:val="left" w:pos="851"/>
        </w:tabs>
        <w:ind w:left="851" w:hanging="851"/>
        <w:rPr>
          <w:i/>
          <w:iCs w:val="0"/>
          <w:lang w:val="en-ZA"/>
        </w:rPr>
      </w:pPr>
      <w:r w:rsidRPr="007015A2">
        <w:rPr>
          <w:i/>
          <w:iCs w:val="0"/>
          <w:sz w:val="22"/>
          <w:lang w:val="en-ZA"/>
        </w:rPr>
        <w:t>[86.3]</w:t>
      </w:r>
      <w:r w:rsidRPr="007015A2">
        <w:rPr>
          <w:i/>
          <w:iCs w:val="0"/>
          <w:sz w:val="22"/>
          <w:lang w:val="en-ZA"/>
        </w:rPr>
        <w:tab/>
      </w:r>
      <w:r w:rsidR="00547A9A" w:rsidRPr="007015A2">
        <w:rPr>
          <w:i/>
          <w:iCs w:val="0"/>
        </w:rPr>
        <w:t xml:space="preserve">Evidence of the conduct of the parties to assist with the interpretation of the contract is admissible, and the evidence proffered by the claimants in this </w:t>
      </w:r>
      <w:r w:rsidR="00547A9A" w:rsidRPr="007015A2">
        <w:rPr>
          <w:i/>
          <w:iCs w:val="0"/>
        </w:rPr>
        <w:lastRenderedPageBreak/>
        <w:t>regard is in my view relevant and admissible. It is namely the following:</w:t>
      </w:r>
    </w:p>
    <w:p w14:paraId="4A6345CC" w14:textId="114D1C87" w:rsidR="00467E90" w:rsidRPr="007015A2" w:rsidRDefault="00AC5E05" w:rsidP="00AC5E05">
      <w:pPr>
        <w:pStyle w:val="3"/>
        <w:numPr>
          <w:ilvl w:val="0"/>
          <w:numId w:val="0"/>
        </w:numPr>
        <w:tabs>
          <w:tab w:val="left" w:pos="2552"/>
        </w:tabs>
        <w:ind w:left="2552" w:hanging="1134"/>
        <w:rPr>
          <w:i/>
          <w:lang w:val="en-ZA"/>
        </w:rPr>
      </w:pPr>
      <w:r w:rsidRPr="007015A2">
        <w:rPr>
          <w:i/>
          <w:lang w:val="en-ZA"/>
        </w:rPr>
        <w:t>[86.3.1]</w:t>
      </w:r>
      <w:r w:rsidRPr="007015A2">
        <w:rPr>
          <w:i/>
          <w:lang w:val="en-ZA"/>
        </w:rPr>
        <w:tab/>
      </w:r>
      <w:r w:rsidR="00547A9A" w:rsidRPr="007015A2">
        <w:rPr>
          <w:i/>
        </w:rPr>
        <w:t xml:space="preserve">There was no difficulty in the allocation of spills to the relevant claimant or Drizit for the first approximately 20 months of these </w:t>
      </w:r>
      <w:r w:rsidR="003E5D95">
        <w:rPr>
          <w:i/>
        </w:rPr>
        <w:t>Contracts</w:t>
      </w:r>
      <w:r w:rsidR="00547A9A" w:rsidRPr="007015A2">
        <w:rPr>
          <w:i/>
        </w:rPr>
        <w:t>. Where, after a contractor had been appointed (such appointment</w:t>
      </w:r>
      <w:r w:rsidR="00F60ED0" w:rsidRPr="007015A2">
        <w:rPr>
          <w:i/>
        </w:rPr>
        <w:t xml:space="preserve"> would</w:t>
      </w:r>
      <w:r w:rsidR="00654D6A" w:rsidRPr="007015A2">
        <w:rPr>
          <w:i/>
        </w:rPr>
        <w:t xml:space="preserve"> </w:t>
      </w:r>
      <w:r w:rsidR="006A259A" w:rsidRPr="007015A2">
        <w:rPr>
          <w:i/>
        </w:rPr>
        <w:t xml:space="preserve">inevitably involve a measure of urgency to contain the spill as soon as possible) and it emerged that the contract should have been awarded to the other contractor because of the size of the spill, on several occasions the site was simply handed over to the correct contractor at the request of Transnet. </w:t>
      </w:r>
    </w:p>
    <w:p w14:paraId="377B9892" w14:textId="0BFA02E1" w:rsidR="00BD2126" w:rsidRPr="007015A2" w:rsidRDefault="00AC5E05" w:rsidP="00AC5E05">
      <w:pPr>
        <w:pStyle w:val="3"/>
        <w:numPr>
          <w:ilvl w:val="0"/>
          <w:numId w:val="0"/>
        </w:numPr>
        <w:tabs>
          <w:tab w:val="left" w:pos="2552"/>
        </w:tabs>
        <w:ind w:left="2552" w:hanging="1134"/>
        <w:rPr>
          <w:i/>
          <w:lang w:val="en-ZA"/>
        </w:rPr>
      </w:pPr>
      <w:r w:rsidRPr="007015A2">
        <w:rPr>
          <w:i/>
          <w:lang w:val="en-ZA"/>
        </w:rPr>
        <w:t>[86.3.2]</w:t>
      </w:r>
      <w:r w:rsidRPr="007015A2">
        <w:rPr>
          <w:i/>
          <w:lang w:val="en-ZA"/>
        </w:rPr>
        <w:tab/>
      </w:r>
      <w:r w:rsidR="006A259A" w:rsidRPr="007015A2">
        <w:rPr>
          <w:i/>
        </w:rPr>
        <w:t xml:space="preserve">In September 2019, Transnet gave an early warning to STG of the fact that it was running low on budget, and from early 2020 (for the last approximately 16 months of the </w:t>
      </w:r>
      <w:r w:rsidR="003E5D95">
        <w:rPr>
          <w:i/>
        </w:rPr>
        <w:t>Contracts</w:t>
      </w:r>
      <w:r w:rsidR="006A259A" w:rsidRPr="007015A2">
        <w:rPr>
          <w:i/>
        </w:rPr>
        <w:t>), it became app</w:t>
      </w:r>
      <w:r w:rsidR="00467E90" w:rsidRPr="007015A2">
        <w:rPr>
          <w:i/>
        </w:rPr>
        <w:t xml:space="preserve">arent that </w:t>
      </w:r>
      <w:r w:rsidR="00CD630D" w:rsidRPr="007015A2">
        <w:rPr>
          <w:i/>
        </w:rPr>
        <w:t>Transnet</w:t>
      </w:r>
      <w:r w:rsidR="006A259A" w:rsidRPr="007015A2">
        <w:rPr>
          <w:i/>
        </w:rPr>
        <w:t xml:space="preserve"> appointed Dri</w:t>
      </w:r>
      <w:r w:rsidR="00CD630D" w:rsidRPr="007015A2">
        <w:rPr>
          <w:i/>
        </w:rPr>
        <w:t>z</w:t>
      </w:r>
      <w:r w:rsidR="006A259A" w:rsidRPr="007015A2">
        <w:rPr>
          <w:i/>
        </w:rPr>
        <w:t xml:space="preserve">it for certain large spills which </w:t>
      </w:r>
      <w:r w:rsidR="00CD630D" w:rsidRPr="007015A2">
        <w:rPr>
          <w:i/>
        </w:rPr>
        <w:t xml:space="preserve">ought to have </w:t>
      </w:r>
      <w:r w:rsidR="006A259A" w:rsidRPr="007015A2">
        <w:rPr>
          <w:i/>
        </w:rPr>
        <w:t xml:space="preserve">been allocated to STG. STG lists 13 such events in respect of which it claims loss of profits for breach of contract. </w:t>
      </w:r>
    </w:p>
    <w:p w14:paraId="7CC9A8FA" w14:textId="55287414" w:rsidR="00B31B8C" w:rsidRPr="007015A2" w:rsidRDefault="00AC5E05" w:rsidP="00AC5E05">
      <w:pPr>
        <w:pStyle w:val="3"/>
        <w:numPr>
          <w:ilvl w:val="0"/>
          <w:numId w:val="0"/>
        </w:numPr>
        <w:tabs>
          <w:tab w:val="left" w:pos="2552"/>
        </w:tabs>
        <w:ind w:left="2552" w:hanging="1134"/>
        <w:rPr>
          <w:i/>
          <w:lang w:val="en-ZA"/>
        </w:rPr>
      </w:pPr>
      <w:r w:rsidRPr="007015A2">
        <w:rPr>
          <w:i/>
          <w:lang w:val="en-ZA"/>
        </w:rPr>
        <w:t>[86.3.3]</w:t>
      </w:r>
      <w:r w:rsidRPr="007015A2">
        <w:rPr>
          <w:i/>
          <w:lang w:val="en-ZA"/>
        </w:rPr>
        <w:tab/>
      </w:r>
      <w:r w:rsidR="006A259A" w:rsidRPr="007015A2">
        <w:rPr>
          <w:i/>
        </w:rPr>
        <w:t xml:space="preserve">The sidelining of the claimants in favour of Drizit coincides with Transnet running out of budget and it is clear that that is the reason for sidelining the claimants. </w:t>
      </w:r>
    </w:p>
    <w:p w14:paraId="2E9CF7A9" w14:textId="53A75303" w:rsidR="00B31B8C" w:rsidRPr="007015A2" w:rsidRDefault="00AC5E05" w:rsidP="00AC5E05">
      <w:pPr>
        <w:pStyle w:val="3"/>
        <w:numPr>
          <w:ilvl w:val="0"/>
          <w:numId w:val="0"/>
        </w:numPr>
        <w:tabs>
          <w:tab w:val="left" w:pos="2552"/>
        </w:tabs>
        <w:ind w:left="2552" w:hanging="1134"/>
        <w:rPr>
          <w:i/>
          <w:lang w:val="en-ZA"/>
        </w:rPr>
      </w:pPr>
      <w:r w:rsidRPr="007015A2">
        <w:rPr>
          <w:i/>
          <w:lang w:val="en-ZA"/>
        </w:rPr>
        <w:lastRenderedPageBreak/>
        <w:t>[86.3.4]</w:t>
      </w:r>
      <w:r w:rsidRPr="007015A2">
        <w:rPr>
          <w:i/>
          <w:lang w:val="en-ZA"/>
        </w:rPr>
        <w:tab/>
      </w:r>
      <w:r w:rsidR="006A259A" w:rsidRPr="007015A2">
        <w:rPr>
          <w:i/>
        </w:rPr>
        <w:t xml:space="preserve">Accordingly, the conduct of the claimants and Transnet for the first approximately 20 months of the </w:t>
      </w:r>
      <w:r w:rsidR="003E5D95">
        <w:rPr>
          <w:i/>
        </w:rPr>
        <w:t>Contracts</w:t>
      </w:r>
      <w:r w:rsidR="006A259A" w:rsidRPr="007015A2">
        <w:rPr>
          <w:i/>
        </w:rPr>
        <w:t xml:space="preserve"> is in line with the claimants'</w:t>
      </w:r>
      <w:r w:rsidR="00B31B8C" w:rsidRPr="007015A2">
        <w:rPr>
          <w:i/>
        </w:rPr>
        <w:t xml:space="preserve"> i</w:t>
      </w:r>
      <w:r w:rsidR="006A259A" w:rsidRPr="007015A2">
        <w:rPr>
          <w:i/>
        </w:rPr>
        <w:t xml:space="preserve">nterpretation of the contract and in particular the "as and when required" phrase, and Transnet's </w:t>
      </w:r>
      <w:r w:rsidR="006A259A" w:rsidRPr="00EB0ABD">
        <w:rPr>
          <w:i/>
          <w:u w:val="single"/>
        </w:rPr>
        <w:t>change of stance is explained by its budgetary constraints and not by a bona fide contrary interpretation of the contract</w:t>
      </w:r>
      <w:r w:rsidR="006A259A" w:rsidRPr="007015A2">
        <w:rPr>
          <w:i/>
        </w:rPr>
        <w:t xml:space="preserve">. </w:t>
      </w:r>
      <w:r w:rsidR="00EB0ABD">
        <w:rPr>
          <w:i/>
        </w:rPr>
        <w:t>(my emphasis)</w:t>
      </w:r>
    </w:p>
    <w:p w14:paraId="47577509" w14:textId="094C6ABC" w:rsidR="00E53B0E" w:rsidRPr="009179AC" w:rsidRDefault="00AC5E05" w:rsidP="00AC5E05">
      <w:pPr>
        <w:pStyle w:val="2"/>
        <w:numPr>
          <w:ilvl w:val="0"/>
          <w:numId w:val="0"/>
        </w:numPr>
        <w:tabs>
          <w:tab w:val="left" w:pos="851"/>
        </w:tabs>
        <w:ind w:left="851" w:hanging="851"/>
        <w:rPr>
          <w:lang w:val="en-ZA"/>
        </w:rPr>
      </w:pPr>
      <w:r w:rsidRPr="009179AC">
        <w:rPr>
          <w:sz w:val="22"/>
          <w:lang w:val="en-ZA"/>
        </w:rPr>
        <w:t>[86.4]</w:t>
      </w:r>
      <w:r w:rsidRPr="009179AC">
        <w:rPr>
          <w:sz w:val="22"/>
          <w:lang w:val="en-ZA"/>
        </w:rPr>
        <w:tab/>
      </w:r>
      <w:r w:rsidR="006A259A" w:rsidRPr="007015A2">
        <w:rPr>
          <w:i/>
          <w:iCs w:val="0"/>
        </w:rPr>
        <w:t>Mr Luthuli submitted that "as and when required" gave Transnet the "w</w:t>
      </w:r>
      <w:r w:rsidR="00B41C2F">
        <w:rPr>
          <w:i/>
          <w:iCs w:val="0"/>
        </w:rPr>
        <w:t>r</w:t>
      </w:r>
      <w:r w:rsidR="006A259A" w:rsidRPr="007015A2">
        <w:rPr>
          <w:i/>
          <w:iCs w:val="0"/>
        </w:rPr>
        <w:t>iggle room" to attend to spillages itself and to use the "piggy backing" option. The latter is a recognised option for an organ of state to employ a supplier duly appointed having regard to the relevant procurement processes by another </w:t>
      </w:r>
      <w:r w:rsidR="00B31B8C" w:rsidRPr="007015A2">
        <w:rPr>
          <w:i/>
          <w:iCs w:val="0"/>
        </w:rPr>
        <w:t xml:space="preserve">organ of state for the same work. </w:t>
      </w:r>
      <w:r w:rsidR="00375E6C" w:rsidRPr="007015A2">
        <w:rPr>
          <w:i/>
          <w:iCs w:val="0"/>
        </w:rPr>
        <w:t>But neither situation applies, or was apparently envisaged to apply. The evidence establishes that Transnet did not have the wherewithal to attend to spillages itself and needed to outsource that function. Nor was there any suggestion that piggy backing was, or would ever be, available.</w:t>
      </w:r>
      <w:r w:rsidR="007B0E22">
        <w:t>”</w:t>
      </w:r>
      <w:r w:rsidR="00375E6C">
        <w:rPr>
          <w:rStyle w:val="FootnoteReference"/>
        </w:rPr>
        <w:footnoteReference w:id="51"/>
      </w:r>
    </w:p>
    <w:p w14:paraId="6B1E78F2" w14:textId="10E3AC0F" w:rsidR="00284522" w:rsidRPr="00284522" w:rsidRDefault="00AC5E05" w:rsidP="00AC5E05">
      <w:pPr>
        <w:pStyle w:val="1"/>
        <w:numPr>
          <w:ilvl w:val="0"/>
          <w:numId w:val="0"/>
        </w:numPr>
        <w:tabs>
          <w:tab w:val="left" w:pos="567"/>
        </w:tabs>
        <w:ind w:left="567" w:hanging="567"/>
        <w:rPr>
          <w:lang w:val="en-ZA"/>
        </w:rPr>
      </w:pPr>
      <w:r w:rsidRPr="00284522">
        <w:rPr>
          <w:rFonts w:cs="Arial"/>
          <w:sz w:val="22"/>
          <w:lang w:val="en-ZA"/>
        </w:rPr>
        <w:t>[87]</w:t>
      </w:r>
      <w:r w:rsidRPr="00284522">
        <w:rPr>
          <w:rFonts w:cs="Arial"/>
          <w:sz w:val="22"/>
          <w:lang w:val="en-ZA"/>
        </w:rPr>
        <w:tab/>
      </w:r>
      <w:r w:rsidR="00D35EF4">
        <w:t xml:space="preserve">The </w:t>
      </w:r>
      <w:r w:rsidR="0043248B">
        <w:t>A</w:t>
      </w:r>
      <w:r w:rsidR="00D35EF4">
        <w:t xml:space="preserve">rbitrator then </w:t>
      </w:r>
      <w:r w:rsidR="00284522">
        <w:t>arrives at his conclusions and states the following:</w:t>
      </w:r>
    </w:p>
    <w:p w14:paraId="6942432D" w14:textId="75EC9A2D" w:rsidR="004112B9" w:rsidRPr="00E6644F" w:rsidRDefault="00AC5E05" w:rsidP="00AC5E05">
      <w:pPr>
        <w:pStyle w:val="2"/>
        <w:numPr>
          <w:ilvl w:val="0"/>
          <w:numId w:val="0"/>
        </w:numPr>
        <w:tabs>
          <w:tab w:val="left" w:pos="851"/>
        </w:tabs>
        <w:ind w:left="851" w:hanging="851"/>
        <w:rPr>
          <w:i/>
          <w:iCs w:val="0"/>
          <w:lang w:val="en-ZA"/>
        </w:rPr>
      </w:pPr>
      <w:r w:rsidRPr="00E6644F">
        <w:rPr>
          <w:i/>
          <w:iCs w:val="0"/>
          <w:sz w:val="22"/>
          <w:lang w:val="en-ZA"/>
        </w:rPr>
        <w:t>[87.1]</w:t>
      </w:r>
      <w:r w:rsidRPr="00E6644F">
        <w:rPr>
          <w:i/>
          <w:iCs w:val="0"/>
          <w:sz w:val="22"/>
          <w:lang w:val="en-ZA"/>
        </w:rPr>
        <w:tab/>
      </w:r>
      <w:r w:rsidR="00284522">
        <w:t>“</w:t>
      </w:r>
      <w:r w:rsidR="00D35EF4" w:rsidRPr="00E6644F">
        <w:rPr>
          <w:i/>
          <w:iCs w:val="0"/>
        </w:rPr>
        <w:t xml:space="preserve">We are therefore left with the question of what "as and when required" means. If a panel had been appointed, one could understand that a contractor on the panel had no right to be appointed to attend to a particular spillage, and "as </w:t>
      </w:r>
      <w:r w:rsidR="00D35EF4" w:rsidRPr="00E6644F">
        <w:rPr>
          <w:i/>
          <w:iCs w:val="0"/>
        </w:rPr>
        <w:lastRenderedPageBreak/>
        <w:t xml:space="preserve">required" would have given Transnet the right to decide which </w:t>
      </w:r>
      <w:r w:rsidR="004112B9" w:rsidRPr="00E6644F">
        <w:rPr>
          <w:i/>
          <w:iCs w:val="0"/>
        </w:rPr>
        <w:t>contractor t</w:t>
      </w:r>
      <w:r w:rsidR="00D35EF4" w:rsidRPr="00E6644F">
        <w:rPr>
          <w:i/>
          <w:iCs w:val="0"/>
        </w:rPr>
        <w:t>o appoint. But that is not the situation here. There is a single contractor for each region and size of spill. In that context, "as and when required" clearly means that there is no right to work (i.e. its services would not be required) if there is no spillage, but where there is a spillage, in the particular contractor's region and of the size for which that contractor has been contracted, it is entitled to be appointed to attend to the containment and remediation of that spill, and Transnet had no right to appoint another contractor. In theory</w:t>
      </w:r>
      <w:r w:rsidR="00DF013A">
        <w:rPr>
          <w:i/>
          <w:iCs w:val="0"/>
        </w:rPr>
        <w:t>,</w:t>
      </w:r>
      <w:r w:rsidR="00D35EF4" w:rsidRPr="00E6644F">
        <w:rPr>
          <w:i/>
          <w:iCs w:val="0"/>
        </w:rPr>
        <w:t xml:space="preserve"> Transnet could decide to ignore a </w:t>
      </w:r>
      <w:r w:rsidR="00B92AB3" w:rsidRPr="00E6644F">
        <w:rPr>
          <w:i/>
          <w:iCs w:val="0"/>
        </w:rPr>
        <w:t>spill and</w:t>
      </w:r>
      <w:r w:rsidR="00D35EF4" w:rsidRPr="00E6644F">
        <w:rPr>
          <w:i/>
          <w:iCs w:val="0"/>
        </w:rPr>
        <w:t xml:space="preserve"> take no steps to contain or remediate it. That would of course be unthinkable since it has statutory environmental duties. But if it is to appoint anyone to attend to a large spill (other than itself), it is not entitled to appoint any contractor other than STG. </w:t>
      </w:r>
    </w:p>
    <w:p w14:paraId="47E57773" w14:textId="1DAC4C02" w:rsidR="0029798E" w:rsidRPr="00E6644F" w:rsidRDefault="00AC5E05" w:rsidP="00AC5E05">
      <w:pPr>
        <w:pStyle w:val="2"/>
        <w:numPr>
          <w:ilvl w:val="0"/>
          <w:numId w:val="0"/>
        </w:numPr>
        <w:tabs>
          <w:tab w:val="left" w:pos="851"/>
        </w:tabs>
        <w:ind w:left="851" w:hanging="851"/>
        <w:rPr>
          <w:i/>
          <w:iCs w:val="0"/>
          <w:lang w:val="en-ZA"/>
        </w:rPr>
      </w:pPr>
      <w:r w:rsidRPr="00E6644F">
        <w:rPr>
          <w:i/>
          <w:iCs w:val="0"/>
          <w:sz w:val="22"/>
          <w:lang w:val="en-ZA"/>
        </w:rPr>
        <w:t>[87.2]</w:t>
      </w:r>
      <w:r w:rsidRPr="00E6644F">
        <w:rPr>
          <w:i/>
          <w:iCs w:val="0"/>
          <w:sz w:val="22"/>
          <w:lang w:val="en-ZA"/>
        </w:rPr>
        <w:tab/>
      </w:r>
      <w:r w:rsidR="00D35EF4" w:rsidRPr="00E6644F">
        <w:rPr>
          <w:i/>
          <w:iCs w:val="0"/>
        </w:rPr>
        <w:t xml:space="preserve">The idea that Transnet is free to appoint another contractor for a spill of the size and in the region falling within STG's contract loses sight of the fact </w:t>
      </w:r>
      <w:r w:rsidR="00D35EF4" w:rsidRPr="00E6644F">
        <w:rPr>
          <w:rFonts w:cs="Arial"/>
          <w:i/>
          <w:iCs w:val="0"/>
          <w:szCs w:val="24"/>
        </w:rPr>
        <w:t>that</w:t>
      </w:r>
      <w:r w:rsidR="0029798E" w:rsidRPr="00E6644F">
        <w:rPr>
          <w:rFonts w:eastAsia="Times New Roman" w:cs="Arial"/>
          <w:i/>
          <w:iCs w:val="0"/>
          <w:color w:val="000000"/>
          <w:szCs w:val="24"/>
          <w:lang w:eastAsia="en-ZA" w:bidi="ar-SA"/>
        </w:rPr>
        <w:t xml:space="preserve"> Transnet</w:t>
      </w:r>
      <w:r w:rsidR="0029798E" w:rsidRPr="00E6644F">
        <w:rPr>
          <w:rFonts w:ascii="Segoe UI" w:eastAsia="Times New Roman" w:hAnsi="Segoe UI" w:cs="Segoe UI"/>
          <w:i/>
          <w:iCs w:val="0"/>
          <w:color w:val="000000"/>
          <w:sz w:val="27"/>
          <w:szCs w:val="27"/>
          <w:lang w:eastAsia="en-ZA" w:bidi="ar-SA"/>
        </w:rPr>
        <w:t xml:space="preserve"> i</w:t>
      </w:r>
      <w:r w:rsidR="0029798E" w:rsidRPr="00E6644F">
        <w:rPr>
          <w:i/>
          <w:iCs w:val="0"/>
        </w:rPr>
        <w:t xml:space="preserve">s an organ of state, bound by legislative strictures regarding procurement. If is not at liberty to appoint a contractor or supplier that has not been properly selected after a valid procurement process. Drizit has not been appointed as a contractor or supplier for spills in excess of 50000 litres. Mr Luthuli's answer that such an appointment may be an unlawful act on the part of Transnet but does not affect the validity of Drizit's appointment by Transnet is too simplistic, but in any event begs the question: Why would the parties have intended that such a consequence could eventuate from the STG </w:t>
      </w:r>
      <w:r w:rsidR="0029798E" w:rsidRPr="00E6644F">
        <w:rPr>
          <w:i/>
          <w:iCs w:val="0"/>
        </w:rPr>
        <w:lastRenderedPageBreak/>
        <w:t xml:space="preserve">contract? </w:t>
      </w:r>
    </w:p>
    <w:p w14:paraId="39F7F5FF" w14:textId="607FB0BE" w:rsidR="005851AB" w:rsidRPr="009E646D" w:rsidRDefault="00AC5E05" w:rsidP="00AC5E05">
      <w:pPr>
        <w:pStyle w:val="2"/>
        <w:numPr>
          <w:ilvl w:val="0"/>
          <w:numId w:val="0"/>
        </w:numPr>
        <w:tabs>
          <w:tab w:val="left" w:pos="851"/>
        </w:tabs>
        <w:ind w:left="851" w:hanging="851"/>
        <w:rPr>
          <w:lang w:val="en-ZA"/>
        </w:rPr>
      </w:pPr>
      <w:r w:rsidRPr="009E646D">
        <w:rPr>
          <w:sz w:val="22"/>
          <w:lang w:val="en-ZA"/>
        </w:rPr>
        <w:t>[87.3]</w:t>
      </w:r>
      <w:r w:rsidRPr="009E646D">
        <w:rPr>
          <w:sz w:val="22"/>
          <w:lang w:val="en-ZA"/>
        </w:rPr>
        <w:tab/>
      </w:r>
      <w:r w:rsidR="0029798E" w:rsidRPr="00E6644F">
        <w:rPr>
          <w:i/>
          <w:iCs w:val="0"/>
        </w:rPr>
        <w:t>Mr Luthuli emphasised the difficulty in assessing the size of the spill, and the fact that Transnet was "blind" to the size of the spill at the time when it was noticed or reported and when a contractor was assigned to attend thereto. Whilst I accept that fact, it does not in my view alter my conclusion above. In particular, it does not allow Transnet with impunity to appoint the smaller (presumably cheaper) contractor to attend to every spill, regardless of size. That is not a bona fide application of the contract. Whilst I accept that an error may be made, legitimately, in allocating what is thought to be a smaller spill to Dr</w:t>
      </w:r>
      <w:r w:rsidR="00DF013A">
        <w:rPr>
          <w:i/>
          <w:iCs w:val="0"/>
        </w:rPr>
        <w:t>i</w:t>
      </w:r>
      <w:r w:rsidR="0029798E" w:rsidRPr="00E6644F">
        <w:rPr>
          <w:i/>
          <w:iCs w:val="0"/>
        </w:rPr>
        <w:t xml:space="preserve">zit, once the actual size of the spill is apparent (as for instance in the case of the Bronkhorstspruit spill of approximately 450000 litres, and other spills up to 380 000 litres), the position must be corrected, the originally allocated contractor told to withdraw, and the correct contractor awarded the contract.  Mr Luthuli raised an obstacle to this, namely that Transnet may be liable to damages to the contractor originally assigned and thereafter told to cease work. That is not to my mind a valid obstacle. It would be fairly obvious to the contractors that when allocated a site, it would be conditional on the size of the </w:t>
      </w:r>
      <w:r w:rsidR="00FD0A29" w:rsidRPr="00E6644F">
        <w:rPr>
          <w:i/>
          <w:iCs w:val="0"/>
        </w:rPr>
        <w:t xml:space="preserve">spillage </w:t>
      </w:r>
      <w:r w:rsidR="007528C4" w:rsidRPr="00E6644F">
        <w:rPr>
          <w:rFonts w:ascii="Segoe UI" w:eastAsia="Times New Roman" w:hAnsi="Segoe UI" w:cs="Segoe UI"/>
          <w:i/>
          <w:iCs w:val="0"/>
          <w:color w:val="000000"/>
          <w:sz w:val="27"/>
          <w:szCs w:val="27"/>
          <w:lang w:eastAsia="en-ZA" w:bidi="ar-SA"/>
        </w:rPr>
        <w:t>f</w:t>
      </w:r>
      <w:r w:rsidR="007F3645" w:rsidRPr="00E6644F">
        <w:rPr>
          <w:i/>
          <w:iCs w:val="0"/>
        </w:rPr>
        <w:t xml:space="preserve">alling within its contract and, if that were not obvious enough, the appointment could always be made expressly conditional on such fact. Moreover, that is precisely what occurred in the first approximately 20 months of the </w:t>
      </w:r>
      <w:r w:rsidR="003E5D95">
        <w:rPr>
          <w:i/>
          <w:iCs w:val="0"/>
        </w:rPr>
        <w:t>Contracts</w:t>
      </w:r>
      <w:r w:rsidR="007F3645" w:rsidRPr="00E6644F">
        <w:rPr>
          <w:i/>
          <w:iCs w:val="0"/>
        </w:rPr>
        <w:t xml:space="preserve">, from the unchallenged evidence, and there is no suggestion that Transnet was at any stage confronted with a claim by the withdrawing </w:t>
      </w:r>
      <w:r w:rsidR="007F3645" w:rsidRPr="00E6644F">
        <w:rPr>
          <w:i/>
          <w:iCs w:val="0"/>
        </w:rPr>
        <w:lastRenderedPageBreak/>
        <w:t>contractor for damages in not being able to complete the contract. There is in any event a sound reason why Transnet should reverse an incorrect allocation, especially if it turns out to be a major spill. It is clear from the claimants that far more equipment is needed in order to remedia</w:t>
      </w:r>
      <w:r w:rsidR="009E646D" w:rsidRPr="00E6644F">
        <w:rPr>
          <w:i/>
          <w:iCs w:val="0"/>
        </w:rPr>
        <w:t>te a</w:t>
      </w:r>
      <w:r w:rsidR="007F3645" w:rsidRPr="00E6644F">
        <w:rPr>
          <w:i/>
          <w:iCs w:val="0"/>
        </w:rPr>
        <w:t xml:space="preserve"> spill, and STG would doubtless have been appointed for major spills because of its possession of or access to the necessary equipment, which a smaller contractor probably does not have. The choice of contractor for larger and smaller spills was presumably made on this basis. The adjudicator found in Transnet's favour on the interpretation of the contract. I do not agree with that conclusion, for all the reasons stated above. The second special plea accordingly also fails</w:t>
      </w:r>
      <w:r w:rsidR="007F3645" w:rsidRPr="007F3645">
        <w:t>.</w:t>
      </w:r>
      <w:r w:rsidR="009E646D">
        <w:t>”</w:t>
      </w:r>
      <w:r w:rsidR="006B51C7">
        <w:rPr>
          <w:rStyle w:val="FootnoteReference"/>
        </w:rPr>
        <w:footnoteReference w:id="52"/>
      </w:r>
    </w:p>
    <w:p w14:paraId="09C25437" w14:textId="1B4C7DB8" w:rsidR="00064294" w:rsidRDefault="00AC5E05" w:rsidP="00AC5E05">
      <w:pPr>
        <w:pStyle w:val="1"/>
        <w:numPr>
          <w:ilvl w:val="0"/>
          <w:numId w:val="0"/>
        </w:numPr>
        <w:tabs>
          <w:tab w:val="left" w:pos="567"/>
        </w:tabs>
        <w:ind w:left="567" w:hanging="567"/>
        <w:rPr>
          <w:lang w:val="en-ZA"/>
        </w:rPr>
      </w:pPr>
      <w:r>
        <w:rPr>
          <w:rFonts w:cs="Arial"/>
          <w:sz w:val="22"/>
          <w:lang w:val="en-ZA"/>
        </w:rPr>
        <w:t>[88]</w:t>
      </w:r>
      <w:r>
        <w:rPr>
          <w:rFonts w:cs="Arial"/>
          <w:sz w:val="22"/>
          <w:lang w:val="en-ZA"/>
        </w:rPr>
        <w:tab/>
      </w:r>
      <w:r w:rsidR="00B92AB3">
        <w:rPr>
          <w:lang w:val="en-ZA"/>
        </w:rPr>
        <w:t xml:space="preserve">What is evident from the </w:t>
      </w:r>
      <w:r w:rsidR="00BD5B1C">
        <w:rPr>
          <w:lang w:val="en-ZA"/>
        </w:rPr>
        <w:t>A</w:t>
      </w:r>
      <w:r w:rsidR="00B92AB3">
        <w:rPr>
          <w:lang w:val="en-ZA"/>
        </w:rPr>
        <w:t xml:space="preserve">rbitrator’s award thus far is that his approach to the interpretation of the contract was in accordance with the established jurisprudence so helpfully summarised by Transnet.  The </w:t>
      </w:r>
      <w:r w:rsidR="00BD5B1C">
        <w:rPr>
          <w:lang w:val="en-ZA"/>
        </w:rPr>
        <w:t>A</w:t>
      </w:r>
      <w:r w:rsidR="00B92AB3">
        <w:rPr>
          <w:lang w:val="en-ZA"/>
        </w:rPr>
        <w:t xml:space="preserve">rbitrator’s approach was to interpret the contract </w:t>
      </w:r>
      <w:r w:rsidR="00BD5B1C">
        <w:rPr>
          <w:i/>
          <w:lang w:val="en-US"/>
        </w:rPr>
        <w:t>i</w:t>
      </w:r>
      <w:r w:rsidR="00B92AB3" w:rsidRPr="00676CB4">
        <w:rPr>
          <w:i/>
          <w:lang w:val="en-US"/>
        </w:rPr>
        <w:t xml:space="preserve">n the light of the </w:t>
      </w:r>
      <w:r w:rsidR="00B92AB3" w:rsidRPr="00AC2476">
        <w:rPr>
          <w:i/>
          <w:lang w:val="en-US"/>
        </w:rPr>
        <w:t>ordinary rules of grammar and syntax; the context in which the provision appears; the apparent purpose to which it is directed, and the material known to those responsible for its production</w:t>
      </w:r>
      <w:r w:rsidR="00B92AB3" w:rsidRPr="00AC2476">
        <w:rPr>
          <w:lang w:val="en-US"/>
        </w:rPr>
        <w:t>.  He</w:t>
      </w:r>
      <w:r w:rsidR="00B92AB3">
        <w:rPr>
          <w:lang w:val="en-US"/>
        </w:rPr>
        <w:t xml:space="preserve"> relied on evidence from persons who were directly involved in the negotiation and execution for context, and not mere submissions from the </w:t>
      </w:r>
      <w:r w:rsidR="00BD5B1C">
        <w:rPr>
          <w:lang w:val="en-US"/>
        </w:rPr>
        <w:t>B</w:t>
      </w:r>
      <w:r w:rsidR="00B92AB3">
        <w:rPr>
          <w:lang w:val="en-US"/>
        </w:rPr>
        <w:t xml:space="preserve">ar.  </w:t>
      </w:r>
      <w:r w:rsidR="00064294">
        <w:rPr>
          <w:lang w:val="en-ZA"/>
        </w:rPr>
        <w:t xml:space="preserve">The unchallenged evidence was that for the first 20 months, the contract was understood and implemented in accordance with Spill Tech’s interpretation, with </w:t>
      </w:r>
      <w:r w:rsidR="00064294">
        <w:rPr>
          <w:lang w:val="en-ZA"/>
        </w:rPr>
        <w:lastRenderedPageBreak/>
        <w:t>the assistance of the Transnet Service Manager.</w:t>
      </w:r>
      <w:r w:rsidR="00064294" w:rsidRPr="00064294">
        <w:rPr>
          <w:lang w:val="en-ZA"/>
        </w:rPr>
        <w:t xml:space="preserve"> </w:t>
      </w:r>
      <w:r w:rsidR="00064294">
        <w:rPr>
          <w:lang w:val="en-ZA"/>
        </w:rPr>
        <w:t xml:space="preserve">He arrives at an interpretation of the contract which is not far-fetched or removed from the commercial reality in which the parties had conducted themselves.  </w:t>
      </w:r>
    </w:p>
    <w:p w14:paraId="02F61D6D" w14:textId="6A38ACDD" w:rsidR="009E646D" w:rsidRDefault="00AC5E05" w:rsidP="00AC5E05">
      <w:pPr>
        <w:pStyle w:val="1"/>
        <w:numPr>
          <w:ilvl w:val="0"/>
          <w:numId w:val="0"/>
        </w:numPr>
        <w:tabs>
          <w:tab w:val="left" w:pos="567"/>
        </w:tabs>
        <w:ind w:left="567" w:hanging="567"/>
        <w:rPr>
          <w:lang w:val="en-ZA"/>
        </w:rPr>
      </w:pPr>
      <w:r>
        <w:rPr>
          <w:rFonts w:cs="Arial"/>
          <w:sz w:val="22"/>
          <w:lang w:val="en-ZA"/>
        </w:rPr>
        <w:t>[89]</w:t>
      </w:r>
      <w:r>
        <w:rPr>
          <w:rFonts w:cs="Arial"/>
          <w:sz w:val="22"/>
          <w:lang w:val="en-ZA"/>
        </w:rPr>
        <w:tab/>
      </w:r>
      <w:r w:rsidR="00B92AB3">
        <w:rPr>
          <w:lang w:val="en-ZA"/>
        </w:rPr>
        <w:t>The</w:t>
      </w:r>
      <w:r w:rsidR="00D40B62">
        <w:rPr>
          <w:lang w:val="en-ZA"/>
        </w:rPr>
        <w:t xml:space="preserve"> </w:t>
      </w:r>
      <w:r w:rsidR="008B6552">
        <w:rPr>
          <w:lang w:val="en-ZA"/>
        </w:rPr>
        <w:t>A</w:t>
      </w:r>
      <w:r w:rsidR="00D40B62">
        <w:rPr>
          <w:lang w:val="en-ZA"/>
        </w:rPr>
        <w:t xml:space="preserve">rbitrator’s award </w:t>
      </w:r>
      <w:r w:rsidR="008B6552">
        <w:rPr>
          <w:lang w:val="en-ZA"/>
        </w:rPr>
        <w:t xml:space="preserve">further </w:t>
      </w:r>
      <w:r w:rsidR="00D40B62">
        <w:rPr>
          <w:lang w:val="en-ZA"/>
        </w:rPr>
        <w:t xml:space="preserve">demonstrates that he </w:t>
      </w:r>
      <w:r w:rsidR="00DF0812">
        <w:rPr>
          <w:lang w:val="en-ZA"/>
        </w:rPr>
        <w:t>considered</w:t>
      </w:r>
      <w:r w:rsidR="00D40B62">
        <w:rPr>
          <w:lang w:val="en-ZA"/>
        </w:rPr>
        <w:t xml:space="preserve"> </w:t>
      </w:r>
      <w:r w:rsidR="00D40B62" w:rsidRPr="002C2F78">
        <w:rPr>
          <w:u w:val="single"/>
          <w:lang w:val="en-ZA"/>
        </w:rPr>
        <w:t xml:space="preserve">all </w:t>
      </w:r>
      <w:r w:rsidR="00D40B62">
        <w:rPr>
          <w:lang w:val="en-ZA"/>
        </w:rPr>
        <w:t xml:space="preserve">of Transnet’s submissions – including the factual averments made by Mr Luthuli from the </w:t>
      </w:r>
      <w:r w:rsidR="00022F17">
        <w:rPr>
          <w:lang w:val="en-ZA"/>
        </w:rPr>
        <w:t>B</w:t>
      </w:r>
      <w:r w:rsidR="00D40B62">
        <w:rPr>
          <w:lang w:val="en-ZA"/>
        </w:rPr>
        <w:t xml:space="preserve">ar – and dealt with each of them. </w:t>
      </w:r>
    </w:p>
    <w:p w14:paraId="311F11FE" w14:textId="6F0D3F0C" w:rsidR="00AA158E" w:rsidRDefault="00AC5E05" w:rsidP="00AC5E05">
      <w:pPr>
        <w:pStyle w:val="1"/>
        <w:numPr>
          <w:ilvl w:val="0"/>
          <w:numId w:val="0"/>
        </w:numPr>
        <w:tabs>
          <w:tab w:val="left" w:pos="567"/>
        </w:tabs>
        <w:ind w:left="567" w:hanging="567"/>
        <w:rPr>
          <w:lang w:val="en-ZA"/>
        </w:rPr>
      </w:pPr>
      <w:r>
        <w:rPr>
          <w:rFonts w:cs="Arial"/>
          <w:sz w:val="22"/>
          <w:lang w:val="en-ZA"/>
        </w:rPr>
        <w:t>[90]</w:t>
      </w:r>
      <w:r>
        <w:rPr>
          <w:rFonts w:cs="Arial"/>
          <w:sz w:val="22"/>
          <w:lang w:val="en-ZA"/>
        </w:rPr>
        <w:tab/>
      </w:r>
      <w:r w:rsidR="0096441B">
        <w:rPr>
          <w:lang w:val="en-ZA"/>
        </w:rPr>
        <w:t xml:space="preserve">The </w:t>
      </w:r>
      <w:r w:rsidR="008B6552">
        <w:rPr>
          <w:lang w:val="en-ZA"/>
        </w:rPr>
        <w:t>A</w:t>
      </w:r>
      <w:r w:rsidR="0096441B">
        <w:rPr>
          <w:lang w:val="en-ZA"/>
        </w:rPr>
        <w:t>rbitrator</w:t>
      </w:r>
      <w:r w:rsidR="00B92AB3">
        <w:rPr>
          <w:lang w:val="en-ZA"/>
        </w:rPr>
        <w:t xml:space="preserve"> then</w:t>
      </w:r>
      <w:r w:rsidR="0096441B">
        <w:rPr>
          <w:lang w:val="en-ZA"/>
        </w:rPr>
        <w:t xml:space="preserve"> went on to </w:t>
      </w:r>
      <w:r w:rsidR="00C732DA">
        <w:rPr>
          <w:lang w:val="en-ZA"/>
        </w:rPr>
        <w:t>clarify</w:t>
      </w:r>
      <w:r w:rsidR="00930244">
        <w:rPr>
          <w:lang w:val="en-ZA"/>
        </w:rPr>
        <w:t xml:space="preserve"> </w:t>
      </w:r>
      <w:r w:rsidR="0096441B">
        <w:rPr>
          <w:lang w:val="en-ZA"/>
        </w:rPr>
        <w:t>his interpretation</w:t>
      </w:r>
      <w:r w:rsidR="00930244">
        <w:rPr>
          <w:lang w:val="en-ZA"/>
        </w:rPr>
        <w:t xml:space="preserve"> for the guidance of the parties going forward. </w:t>
      </w:r>
      <w:r w:rsidR="00704B31">
        <w:rPr>
          <w:lang w:val="en-ZA"/>
        </w:rPr>
        <w:t>In his award</w:t>
      </w:r>
      <w:r w:rsidR="00CC59F5">
        <w:rPr>
          <w:lang w:val="en-ZA"/>
        </w:rPr>
        <w:t>,</w:t>
      </w:r>
      <w:r w:rsidR="00704B31">
        <w:rPr>
          <w:lang w:val="en-ZA"/>
        </w:rPr>
        <w:t xml:space="preserve"> he states that his interpretation has two parts to it.</w:t>
      </w:r>
      <w:r w:rsidR="003329F5">
        <w:rPr>
          <w:rStyle w:val="FootnoteReference"/>
        </w:rPr>
        <w:footnoteReference w:id="53"/>
      </w:r>
      <w:r w:rsidR="00704B31">
        <w:rPr>
          <w:lang w:val="en-ZA"/>
        </w:rPr>
        <w:t xml:space="preserve">  The first dealt with the </w:t>
      </w:r>
      <w:r w:rsidR="003329F5">
        <w:rPr>
          <w:lang w:val="en-ZA"/>
        </w:rPr>
        <w:t xml:space="preserve">meaning of </w:t>
      </w:r>
      <w:r w:rsidR="00704B31">
        <w:rPr>
          <w:lang w:val="en-ZA"/>
        </w:rPr>
        <w:t>“as and when required”</w:t>
      </w:r>
      <w:r w:rsidR="00C732DA">
        <w:rPr>
          <w:lang w:val="en-ZA"/>
        </w:rPr>
        <w:t xml:space="preserve"> which I have dealt with above.  </w:t>
      </w:r>
      <w:r w:rsidR="00450C19">
        <w:rPr>
          <w:lang w:val="en-ZA"/>
        </w:rPr>
        <w:t xml:space="preserve"> The second part identified by him </w:t>
      </w:r>
      <w:r w:rsidR="000D4B5C">
        <w:rPr>
          <w:lang w:val="en-ZA"/>
        </w:rPr>
        <w:t xml:space="preserve">is what </w:t>
      </w:r>
      <w:r w:rsidR="0029595E">
        <w:rPr>
          <w:lang w:val="en-ZA"/>
        </w:rPr>
        <w:t>is to</w:t>
      </w:r>
      <w:r w:rsidR="000D4B5C">
        <w:rPr>
          <w:lang w:val="en-ZA"/>
        </w:rPr>
        <w:t xml:space="preserve"> occur if Transnet allocates </w:t>
      </w:r>
      <w:r w:rsidR="0029595E">
        <w:rPr>
          <w:lang w:val="en-ZA"/>
        </w:rPr>
        <w:t>a spill site to one contractor</w:t>
      </w:r>
      <w:r w:rsidR="00AF0910">
        <w:rPr>
          <w:lang w:val="en-ZA"/>
        </w:rPr>
        <w:t>,</w:t>
      </w:r>
      <w:r w:rsidR="0029595E">
        <w:rPr>
          <w:lang w:val="en-ZA"/>
        </w:rPr>
        <w:t xml:space="preserve"> and it turns out that it should have been allocated to the other contractor.</w:t>
      </w:r>
      <w:r w:rsidR="00F34E28">
        <w:rPr>
          <w:lang w:val="en-ZA"/>
        </w:rPr>
        <w:t xml:space="preserve"> </w:t>
      </w:r>
      <w:r w:rsidR="009300E4">
        <w:rPr>
          <w:lang w:val="en-ZA"/>
        </w:rPr>
        <w:t xml:space="preserve">He states that his finding in this regard </w:t>
      </w:r>
      <w:r w:rsidR="00A44ED6">
        <w:rPr>
          <w:lang w:val="en-ZA"/>
        </w:rPr>
        <w:t xml:space="preserve">is not simply a matter of a proper construction of the </w:t>
      </w:r>
      <w:r w:rsidR="008B6552">
        <w:rPr>
          <w:lang w:val="en-ZA"/>
        </w:rPr>
        <w:t>C</w:t>
      </w:r>
      <w:r w:rsidR="00A44ED6">
        <w:rPr>
          <w:lang w:val="en-ZA"/>
        </w:rPr>
        <w:t xml:space="preserve">ontracts but rather </w:t>
      </w:r>
      <w:r w:rsidR="00AF0910">
        <w:rPr>
          <w:lang w:val="en-ZA"/>
        </w:rPr>
        <w:t xml:space="preserve">that it is a tacit term. </w:t>
      </w:r>
    </w:p>
    <w:p w14:paraId="46E1F246" w14:textId="72D84CF5" w:rsidR="009D055A" w:rsidRPr="009D055A" w:rsidRDefault="00AC5E05" w:rsidP="00AC5E05">
      <w:pPr>
        <w:pStyle w:val="1"/>
        <w:numPr>
          <w:ilvl w:val="0"/>
          <w:numId w:val="0"/>
        </w:numPr>
        <w:tabs>
          <w:tab w:val="left" w:pos="567"/>
        </w:tabs>
        <w:ind w:left="567" w:hanging="567"/>
        <w:rPr>
          <w:lang w:val="en-ZA"/>
        </w:rPr>
      </w:pPr>
      <w:r w:rsidRPr="009D055A">
        <w:rPr>
          <w:rFonts w:cs="Arial"/>
          <w:sz w:val="22"/>
          <w:lang w:val="en-ZA"/>
        </w:rPr>
        <w:t>[91]</w:t>
      </w:r>
      <w:r w:rsidRPr="009D055A">
        <w:rPr>
          <w:rFonts w:cs="Arial"/>
          <w:sz w:val="22"/>
          <w:lang w:val="en-ZA"/>
        </w:rPr>
        <w:tab/>
      </w:r>
      <w:r w:rsidR="00005D48">
        <w:t>He goes on to state</w:t>
      </w:r>
      <w:r w:rsidR="009D055A">
        <w:t xml:space="preserve"> – </w:t>
      </w:r>
    </w:p>
    <w:p w14:paraId="4A489D49" w14:textId="691F5A4E" w:rsidR="006745B7" w:rsidRPr="00432A52" w:rsidRDefault="00AC5E05" w:rsidP="00AC5E05">
      <w:pPr>
        <w:pStyle w:val="2"/>
        <w:numPr>
          <w:ilvl w:val="0"/>
          <w:numId w:val="0"/>
        </w:numPr>
        <w:tabs>
          <w:tab w:val="left" w:pos="851"/>
        </w:tabs>
        <w:ind w:left="851" w:hanging="851"/>
        <w:rPr>
          <w:i/>
          <w:iCs w:val="0"/>
          <w:lang w:val="en-ZA"/>
        </w:rPr>
      </w:pPr>
      <w:r w:rsidRPr="00432A52">
        <w:rPr>
          <w:i/>
          <w:iCs w:val="0"/>
          <w:sz w:val="22"/>
          <w:lang w:val="en-ZA"/>
        </w:rPr>
        <w:t>[91.1]</w:t>
      </w:r>
      <w:r w:rsidRPr="00432A52">
        <w:rPr>
          <w:i/>
          <w:iCs w:val="0"/>
          <w:sz w:val="22"/>
          <w:lang w:val="en-ZA"/>
        </w:rPr>
        <w:tab/>
      </w:r>
      <w:r w:rsidR="00005D48">
        <w:t xml:space="preserve"> “</w:t>
      </w:r>
      <w:r w:rsidR="00005D48" w:rsidRPr="00432A52">
        <w:rPr>
          <w:i/>
          <w:iCs w:val="0"/>
        </w:rPr>
        <w:t xml:space="preserve">Mr Luthuli submits that by making the last mentioned finding, I would </w:t>
      </w:r>
      <w:r w:rsidR="00512690">
        <w:rPr>
          <w:i/>
          <w:iCs w:val="0"/>
        </w:rPr>
        <w:t xml:space="preserve">be making </w:t>
      </w:r>
      <w:r w:rsidR="00005D48" w:rsidRPr="00432A52">
        <w:rPr>
          <w:i/>
          <w:iCs w:val="0"/>
        </w:rPr>
        <w:t xml:space="preserve">a contract for the parties. I accept as a principle of law that I may not make a contract for the parties. But this to my mind is a clear case of an </w:t>
      </w:r>
      <w:r w:rsidR="00005D48" w:rsidRPr="00596C03">
        <w:rPr>
          <w:i/>
          <w:iCs w:val="0"/>
          <w:u w:val="single"/>
        </w:rPr>
        <w:t>imputed tacit term</w:t>
      </w:r>
      <w:r w:rsidR="00005D48" w:rsidRPr="00233D5B">
        <w:rPr>
          <w:i/>
          <w:iCs w:val="0"/>
        </w:rPr>
        <w:t>.</w:t>
      </w:r>
      <w:r w:rsidR="00005D48" w:rsidRPr="00432A52">
        <w:rPr>
          <w:i/>
          <w:iCs w:val="0"/>
        </w:rPr>
        <w:t xml:space="preserve"> Had an officious bystander asked of the parties: "What </w:t>
      </w:r>
      <w:r w:rsidR="00005D48" w:rsidRPr="00432A52">
        <w:rPr>
          <w:i/>
          <w:iCs w:val="0"/>
        </w:rPr>
        <w:lastRenderedPageBreak/>
        <w:t xml:space="preserve">would happen if there is a bona fide misallocation of a spill?", to my mind the unanimous answer of the parties would have been: "Of course, Transnet would instruct the contractor on site to hand the site over to the correct contractor. It is not necessary to put that in the contract, it is too obvious." The present hearing concerns five special defences, of which the interpretation of the </w:t>
      </w:r>
      <w:r w:rsidR="003E5D95">
        <w:rPr>
          <w:i/>
          <w:iCs w:val="0"/>
        </w:rPr>
        <w:t>Contracts</w:t>
      </w:r>
      <w:r w:rsidR="00005D48" w:rsidRPr="00432A52">
        <w:rPr>
          <w:i/>
          <w:iCs w:val="0"/>
        </w:rPr>
        <w:t xml:space="preserve"> arises as part of the second special defence. If I am against the defendant on the second special defence, I must dismiss it, and it would in my view not be proper for me to go further and embody my interpretation of the </w:t>
      </w:r>
      <w:r w:rsidR="003E5D95">
        <w:rPr>
          <w:i/>
          <w:iCs w:val="0"/>
        </w:rPr>
        <w:t>Contracts</w:t>
      </w:r>
      <w:r w:rsidR="00005D48" w:rsidRPr="00432A52">
        <w:rPr>
          <w:i/>
          <w:iCs w:val="0"/>
        </w:rPr>
        <w:t xml:space="preserve"> in the award. However, that does not cause a difficulty, as I see it, since my finding on the interpretation of the </w:t>
      </w:r>
      <w:r w:rsidR="003E5D95">
        <w:rPr>
          <w:i/>
          <w:iCs w:val="0"/>
        </w:rPr>
        <w:t>Contracts</w:t>
      </w:r>
      <w:r w:rsidR="00005D48" w:rsidRPr="00432A52">
        <w:rPr>
          <w:i/>
          <w:iCs w:val="0"/>
        </w:rPr>
        <w:t xml:space="preserve"> will dispose of that issue finally and would amount to an issue estoppel on the point.</w:t>
      </w:r>
      <w:r w:rsidR="006745B7" w:rsidRPr="00432A52">
        <w:rPr>
          <w:rFonts w:ascii="Segoe UI" w:eastAsia="Times New Roman" w:hAnsi="Segoe UI" w:cs="Segoe UI"/>
          <w:i/>
          <w:iCs w:val="0"/>
          <w:color w:val="000000"/>
          <w:sz w:val="27"/>
          <w:szCs w:val="27"/>
          <w:lang w:eastAsia="en-ZA" w:bidi="ar-SA"/>
        </w:rPr>
        <w:t xml:space="preserve"> </w:t>
      </w:r>
      <w:r w:rsidR="006745B7" w:rsidRPr="00432A52">
        <w:rPr>
          <w:i/>
          <w:iCs w:val="0"/>
        </w:rPr>
        <w:t xml:space="preserve"> I accordingly find that upon </w:t>
      </w:r>
      <w:r w:rsidR="00CC59F5">
        <w:rPr>
          <w:i/>
          <w:iCs w:val="0"/>
        </w:rPr>
        <w:t>the</w:t>
      </w:r>
      <w:r w:rsidR="006745B7" w:rsidRPr="00432A52">
        <w:rPr>
          <w:i/>
          <w:iCs w:val="0"/>
        </w:rPr>
        <w:t xml:space="preserve"> proper construction of each contract that:</w:t>
      </w:r>
    </w:p>
    <w:p w14:paraId="5748BF9F" w14:textId="6BC113BE" w:rsidR="00910443" w:rsidRPr="00432A52" w:rsidRDefault="00AC5E05" w:rsidP="00AC5E05">
      <w:pPr>
        <w:pStyle w:val="2"/>
        <w:numPr>
          <w:ilvl w:val="0"/>
          <w:numId w:val="0"/>
        </w:numPr>
        <w:tabs>
          <w:tab w:val="left" w:pos="851"/>
        </w:tabs>
        <w:ind w:left="851" w:hanging="851"/>
        <w:rPr>
          <w:i/>
          <w:iCs w:val="0"/>
          <w:lang w:val="en-ZA"/>
        </w:rPr>
      </w:pPr>
      <w:r w:rsidRPr="00432A52">
        <w:rPr>
          <w:i/>
          <w:iCs w:val="0"/>
          <w:sz w:val="22"/>
          <w:lang w:val="en-ZA"/>
        </w:rPr>
        <w:t>[91.2]</w:t>
      </w:r>
      <w:r w:rsidRPr="00432A52">
        <w:rPr>
          <w:i/>
          <w:iCs w:val="0"/>
          <w:sz w:val="22"/>
          <w:lang w:val="en-ZA"/>
        </w:rPr>
        <w:tab/>
      </w:r>
      <w:r w:rsidR="006745B7" w:rsidRPr="00432A52">
        <w:rPr>
          <w:i/>
          <w:iCs w:val="0"/>
        </w:rPr>
        <w:t xml:space="preserve">The claimant is entitled and obliged to attend to the containment and remediation of all spills at the defendant's pipeline facilities and pipeline network exceeding 50 000 litres in volume as and when they occur or as and when it becomes apparent that a spill exceeds that threshold, and that it is a tacit term of each contract that: </w:t>
      </w:r>
    </w:p>
    <w:p w14:paraId="397D81D1" w14:textId="0E4AEF0A" w:rsidR="001B1623" w:rsidRPr="00432A52" w:rsidRDefault="00AC5E05" w:rsidP="00AC5E05">
      <w:pPr>
        <w:pStyle w:val="2"/>
        <w:numPr>
          <w:ilvl w:val="0"/>
          <w:numId w:val="0"/>
        </w:numPr>
        <w:tabs>
          <w:tab w:val="left" w:pos="851"/>
        </w:tabs>
        <w:ind w:left="851" w:hanging="851"/>
        <w:rPr>
          <w:i/>
          <w:iCs w:val="0"/>
          <w:lang w:val="en-ZA"/>
        </w:rPr>
      </w:pPr>
      <w:r w:rsidRPr="00432A52">
        <w:rPr>
          <w:i/>
          <w:iCs w:val="0"/>
          <w:sz w:val="22"/>
          <w:lang w:val="en-ZA"/>
        </w:rPr>
        <w:t>[91.3]</w:t>
      </w:r>
      <w:r w:rsidRPr="00432A52">
        <w:rPr>
          <w:i/>
          <w:iCs w:val="0"/>
          <w:sz w:val="22"/>
          <w:lang w:val="en-ZA"/>
        </w:rPr>
        <w:tab/>
      </w:r>
      <w:r w:rsidR="006745B7" w:rsidRPr="00432A52">
        <w:rPr>
          <w:i/>
          <w:iCs w:val="0"/>
        </w:rPr>
        <w:t>If a spill exceeding 50000 litres in volume has been awa</w:t>
      </w:r>
      <w:r w:rsidR="00910443" w:rsidRPr="00432A52">
        <w:rPr>
          <w:i/>
          <w:iCs w:val="0"/>
        </w:rPr>
        <w:t xml:space="preserve">rded to </w:t>
      </w:r>
      <w:r w:rsidR="006745B7" w:rsidRPr="00432A52">
        <w:rPr>
          <w:i/>
          <w:iCs w:val="0"/>
        </w:rPr>
        <w:t>a contractor other than the claimant, once that becomes app</w:t>
      </w:r>
      <w:r w:rsidR="00910443" w:rsidRPr="00432A52">
        <w:rPr>
          <w:i/>
          <w:iCs w:val="0"/>
        </w:rPr>
        <w:t>arent the</w:t>
      </w:r>
      <w:r w:rsidR="006745B7" w:rsidRPr="00432A52">
        <w:rPr>
          <w:i/>
          <w:iCs w:val="0"/>
        </w:rPr>
        <w:t xml:space="preserve"> defendant is obliged to: a. terminate the appointment of that other contractor; and b. appoint the claimant to complete the containment and/or remediation of the spill concerned.</w:t>
      </w:r>
      <w:r w:rsidR="00910443" w:rsidRPr="00432A52">
        <w:rPr>
          <w:i/>
          <w:iCs w:val="0"/>
        </w:rPr>
        <w:t>”</w:t>
      </w:r>
    </w:p>
    <w:p w14:paraId="017138D9" w14:textId="32555281" w:rsidR="00262BEB" w:rsidRDefault="00AC5E05" w:rsidP="00AC5E05">
      <w:pPr>
        <w:pStyle w:val="1"/>
        <w:numPr>
          <w:ilvl w:val="0"/>
          <w:numId w:val="0"/>
        </w:numPr>
        <w:tabs>
          <w:tab w:val="left" w:pos="567"/>
        </w:tabs>
        <w:ind w:left="567" w:hanging="567"/>
        <w:rPr>
          <w:lang w:val="en-ZA"/>
        </w:rPr>
      </w:pPr>
      <w:r>
        <w:rPr>
          <w:rFonts w:cs="Arial"/>
          <w:sz w:val="22"/>
          <w:lang w:val="en-ZA"/>
        </w:rPr>
        <w:lastRenderedPageBreak/>
        <w:t>[92]</w:t>
      </w:r>
      <w:r>
        <w:rPr>
          <w:rFonts w:cs="Arial"/>
          <w:sz w:val="22"/>
          <w:lang w:val="en-ZA"/>
        </w:rPr>
        <w:tab/>
      </w:r>
      <w:r w:rsidR="00B468B2">
        <w:rPr>
          <w:lang w:val="en-ZA"/>
        </w:rPr>
        <w:t>As to th</w:t>
      </w:r>
      <w:r w:rsidR="0093183F">
        <w:rPr>
          <w:lang w:val="en-ZA"/>
        </w:rPr>
        <w:t>is</w:t>
      </w:r>
      <w:r w:rsidR="00B468B2">
        <w:rPr>
          <w:lang w:val="en-ZA"/>
        </w:rPr>
        <w:t xml:space="preserve"> second finding</w:t>
      </w:r>
      <w:r w:rsidR="00122DC8">
        <w:rPr>
          <w:lang w:val="en-ZA"/>
        </w:rPr>
        <w:t xml:space="preserve">, </w:t>
      </w:r>
      <w:r w:rsidR="0093183F">
        <w:rPr>
          <w:lang w:val="en-ZA"/>
        </w:rPr>
        <w:t xml:space="preserve">namely reading in a tacit term in the Contracts </w:t>
      </w:r>
      <w:r w:rsidR="00122DC8">
        <w:rPr>
          <w:lang w:val="en-ZA"/>
        </w:rPr>
        <w:t xml:space="preserve">some background is required to understand the context in which this finding was made. </w:t>
      </w:r>
      <w:r w:rsidR="006E4100">
        <w:rPr>
          <w:lang w:val="en-ZA"/>
        </w:rPr>
        <w:t>After</w:t>
      </w:r>
      <w:r w:rsidR="00122DC8">
        <w:rPr>
          <w:lang w:val="en-ZA"/>
        </w:rPr>
        <w:t xml:space="preserve"> Spill Tech became aware of </w:t>
      </w:r>
      <w:r w:rsidR="00CC59F5">
        <w:rPr>
          <w:lang w:val="en-ZA"/>
        </w:rPr>
        <w:t xml:space="preserve">a </w:t>
      </w:r>
      <w:r w:rsidR="00122DC8">
        <w:rPr>
          <w:lang w:val="en-ZA"/>
        </w:rPr>
        <w:t xml:space="preserve">major spill being allocated to Drizit, it sent a Request for Information </w:t>
      </w:r>
      <w:r w:rsidR="00C36ED1">
        <w:rPr>
          <w:lang w:val="en-ZA"/>
        </w:rPr>
        <w:t xml:space="preserve">(RFI) </w:t>
      </w:r>
      <w:r w:rsidR="00122DC8">
        <w:rPr>
          <w:lang w:val="en-ZA"/>
        </w:rPr>
        <w:t xml:space="preserve">to </w:t>
      </w:r>
      <w:r w:rsidR="001F6FCB">
        <w:rPr>
          <w:lang w:val="en-ZA"/>
        </w:rPr>
        <w:t>TPL</w:t>
      </w:r>
      <w:r w:rsidR="00122DC8">
        <w:rPr>
          <w:lang w:val="en-ZA"/>
        </w:rPr>
        <w:t xml:space="preserve"> on </w:t>
      </w:r>
      <w:r w:rsidR="006E4100">
        <w:rPr>
          <w:lang w:val="en-ZA"/>
        </w:rPr>
        <w:t xml:space="preserve">20 January 2020 in which it </w:t>
      </w:r>
      <w:r w:rsidR="00211108">
        <w:rPr>
          <w:lang w:val="en-ZA"/>
        </w:rPr>
        <w:t xml:space="preserve">set out its </w:t>
      </w:r>
      <w:r w:rsidR="001E0D1B">
        <w:rPr>
          <w:lang w:val="en-ZA"/>
        </w:rPr>
        <w:t>concern that major spills were being allocated to Drizit</w:t>
      </w:r>
      <w:r w:rsidR="001F6FCB">
        <w:rPr>
          <w:lang w:val="en-ZA"/>
        </w:rPr>
        <w:t>.</w:t>
      </w:r>
      <w:r w:rsidR="00760F78">
        <w:rPr>
          <w:rStyle w:val="FootnoteReference"/>
        </w:rPr>
        <w:footnoteReference w:id="54"/>
      </w:r>
      <w:r w:rsidR="00C36ED1">
        <w:rPr>
          <w:lang w:val="en-ZA"/>
        </w:rPr>
        <w:t xml:space="preserve">  In that RFI</w:t>
      </w:r>
      <w:r w:rsidR="00777F57">
        <w:rPr>
          <w:lang w:val="en-ZA"/>
        </w:rPr>
        <w:t xml:space="preserve"> Spill Tech notes that it could be </w:t>
      </w:r>
      <w:r w:rsidR="00661998">
        <w:rPr>
          <w:lang w:val="en-ZA"/>
        </w:rPr>
        <w:t xml:space="preserve">difficult to initially </w:t>
      </w:r>
      <w:r w:rsidR="00BD3475">
        <w:rPr>
          <w:lang w:val="en-ZA"/>
        </w:rPr>
        <w:t xml:space="preserve">quantify the amount of the product lost during the initial stages </w:t>
      </w:r>
      <w:r w:rsidR="00DB7CAC">
        <w:rPr>
          <w:lang w:val="en-ZA"/>
        </w:rPr>
        <w:t xml:space="preserve">of a spill and proposes </w:t>
      </w:r>
      <w:r w:rsidR="00F7476C">
        <w:rPr>
          <w:lang w:val="en-ZA"/>
        </w:rPr>
        <w:t>a mechanism by which</w:t>
      </w:r>
      <w:r w:rsidR="00F126AC">
        <w:rPr>
          <w:lang w:val="en-ZA"/>
        </w:rPr>
        <w:t xml:space="preserve"> a process of site handover be agreed between the two contractors.</w:t>
      </w:r>
    </w:p>
    <w:p w14:paraId="438E0F0B" w14:textId="44A96A06" w:rsidR="00122DC8" w:rsidRDefault="00AC5E05" w:rsidP="00AC5E05">
      <w:pPr>
        <w:pStyle w:val="1"/>
        <w:numPr>
          <w:ilvl w:val="0"/>
          <w:numId w:val="0"/>
        </w:numPr>
        <w:tabs>
          <w:tab w:val="left" w:pos="567"/>
        </w:tabs>
        <w:ind w:left="567" w:hanging="567"/>
        <w:rPr>
          <w:lang w:val="en-ZA"/>
        </w:rPr>
      </w:pPr>
      <w:r>
        <w:rPr>
          <w:rFonts w:cs="Arial"/>
          <w:sz w:val="22"/>
          <w:lang w:val="en-ZA"/>
        </w:rPr>
        <w:t>[93]</w:t>
      </w:r>
      <w:r>
        <w:rPr>
          <w:rFonts w:cs="Arial"/>
          <w:sz w:val="22"/>
          <w:lang w:val="en-ZA"/>
        </w:rPr>
        <w:tab/>
      </w:r>
      <w:r w:rsidR="00F17335">
        <w:rPr>
          <w:lang w:val="en-ZA"/>
        </w:rPr>
        <w:t xml:space="preserve">In the arbitration proceedings, </w:t>
      </w:r>
      <w:r w:rsidR="00262BEB">
        <w:rPr>
          <w:lang w:val="en-ZA"/>
        </w:rPr>
        <w:t xml:space="preserve">Transnet </w:t>
      </w:r>
      <w:r w:rsidR="00C77837">
        <w:rPr>
          <w:lang w:val="en-ZA"/>
        </w:rPr>
        <w:t xml:space="preserve">relied on </w:t>
      </w:r>
      <w:r w:rsidR="00262BEB">
        <w:rPr>
          <w:lang w:val="en-ZA"/>
        </w:rPr>
        <w:t xml:space="preserve">this RFI in support of its arguments that </w:t>
      </w:r>
      <w:r w:rsidR="00760F78">
        <w:rPr>
          <w:lang w:val="en-ZA"/>
        </w:rPr>
        <w:t>the size of a spill was not easy to detect</w:t>
      </w:r>
      <w:r w:rsidR="004232E4">
        <w:rPr>
          <w:lang w:val="en-ZA"/>
        </w:rPr>
        <w:t>,</w:t>
      </w:r>
      <w:r w:rsidR="00760F78">
        <w:rPr>
          <w:lang w:val="en-ZA"/>
        </w:rPr>
        <w:t xml:space="preserve"> that Spill </w:t>
      </w:r>
      <w:r w:rsidR="00CC59F5">
        <w:rPr>
          <w:lang w:val="en-ZA"/>
        </w:rPr>
        <w:t>T</w:t>
      </w:r>
      <w:r w:rsidR="00760F78">
        <w:rPr>
          <w:lang w:val="en-ZA"/>
        </w:rPr>
        <w:t>ech itself acknowledges this</w:t>
      </w:r>
      <w:r w:rsidR="00CC59F5">
        <w:rPr>
          <w:lang w:val="en-ZA"/>
        </w:rPr>
        <w:t>,</w:t>
      </w:r>
      <w:r w:rsidR="00760F78">
        <w:rPr>
          <w:lang w:val="en-ZA"/>
        </w:rPr>
        <w:t xml:space="preserve"> and that the mechanism proposed by Spill Tech of site handover </w:t>
      </w:r>
      <w:r w:rsidR="004232E4">
        <w:rPr>
          <w:lang w:val="en-ZA"/>
        </w:rPr>
        <w:t xml:space="preserve">confirms that the </w:t>
      </w:r>
      <w:r w:rsidR="00D33D36">
        <w:rPr>
          <w:lang w:val="en-ZA"/>
        </w:rPr>
        <w:t>Contracts</w:t>
      </w:r>
      <w:r w:rsidR="00AD702C">
        <w:rPr>
          <w:lang w:val="en-ZA"/>
        </w:rPr>
        <w:t xml:space="preserve"> as they currently stand, there is no obligation on the contractor to disestablish</w:t>
      </w:r>
      <w:r w:rsidR="0079305B">
        <w:rPr>
          <w:lang w:val="en-ZA"/>
        </w:rPr>
        <w:t xml:space="preserve"> and hand over a site if it has been determined that the volume </w:t>
      </w:r>
      <w:r w:rsidR="00C77837">
        <w:rPr>
          <w:lang w:val="en-ZA"/>
        </w:rPr>
        <w:t xml:space="preserve">of the spill is either below or above the relevant contractual threshold. It </w:t>
      </w:r>
      <w:r w:rsidR="00F17335">
        <w:rPr>
          <w:lang w:val="en-ZA"/>
        </w:rPr>
        <w:t>argued further</w:t>
      </w:r>
      <w:r w:rsidR="00C77837">
        <w:rPr>
          <w:lang w:val="en-ZA"/>
        </w:rPr>
        <w:t xml:space="preserve"> that </w:t>
      </w:r>
      <w:r w:rsidR="00055A25">
        <w:rPr>
          <w:lang w:val="en-ZA"/>
        </w:rPr>
        <w:t xml:space="preserve">Spill </w:t>
      </w:r>
      <w:r w:rsidR="00CC59F5">
        <w:rPr>
          <w:lang w:val="en-ZA"/>
        </w:rPr>
        <w:t>T</w:t>
      </w:r>
      <w:r w:rsidR="00055A25">
        <w:rPr>
          <w:lang w:val="en-ZA"/>
        </w:rPr>
        <w:t xml:space="preserve">ech proposed a legal solution </w:t>
      </w:r>
      <w:r w:rsidR="00017BAB">
        <w:rPr>
          <w:lang w:val="en-ZA"/>
        </w:rPr>
        <w:t xml:space="preserve">to a </w:t>
      </w:r>
      <w:r w:rsidR="00017BAB" w:rsidRPr="00F17335">
        <w:rPr>
          <w:i/>
          <w:iCs w:val="0"/>
          <w:lang w:val="en-ZA"/>
        </w:rPr>
        <w:t>lacuna</w:t>
      </w:r>
      <w:r w:rsidR="00017BAB">
        <w:rPr>
          <w:lang w:val="en-ZA"/>
        </w:rPr>
        <w:t xml:space="preserve"> in the contractual arrangement</w:t>
      </w:r>
      <w:r w:rsidR="0046426C">
        <w:rPr>
          <w:lang w:val="en-ZA"/>
        </w:rPr>
        <w:t xml:space="preserve"> which according to Spill Tech was </w:t>
      </w:r>
      <w:r w:rsidR="00DC2F4C">
        <w:rPr>
          <w:lang w:val="en-ZA"/>
        </w:rPr>
        <w:t>managed through understandings and gentleman’s arrangements.</w:t>
      </w:r>
      <w:r w:rsidR="00DC2F4C">
        <w:rPr>
          <w:rStyle w:val="FootnoteReference"/>
        </w:rPr>
        <w:footnoteReference w:id="55"/>
      </w:r>
      <w:r w:rsidR="00F17335">
        <w:rPr>
          <w:lang w:val="en-ZA"/>
        </w:rPr>
        <w:t xml:space="preserve">  </w:t>
      </w:r>
    </w:p>
    <w:p w14:paraId="325813E2" w14:textId="2284331B" w:rsidR="00122DC8" w:rsidRDefault="00AC5E05" w:rsidP="00AC5E05">
      <w:pPr>
        <w:pStyle w:val="1"/>
        <w:numPr>
          <w:ilvl w:val="0"/>
          <w:numId w:val="0"/>
        </w:numPr>
        <w:tabs>
          <w:tab w:val="left" w:pos="567"/>
        </w:tabs>
        <w:ind w:left="567" w:hanging="567"/>
        <w:rPr>
          <w:lang w:val="en-ZA"/>
        </w:rPr>
      </w:pPr>
      <w:r>
        <w:rPr>
          <w:rFonts w:cs="Arial"/>
          <w:sz w:val="22"/>
          <w:lang w:val="en-ZA"/>
        </w:rPr>
        <w:t>[94]</w:t>
      </w:r>
      <w:r>
        <w:rPr>
          <w:rFonts w:cs="Arial"/>
          <w:sz w:val="22"/>
          <w:lang w:val="en-ZA"/>
        </w:rPr>
        <w:tab/>
      </w:r>
      <w:r w:rsidR="00491630">
        <w:rPr>
          <w:lang w:val="en-ZA"/>
        </w:rPr>
        <w:t>Thus</w:t>
      </w:r>
      <w:r w:rsidR="00F56B1A">
        <w:rPr>
          <w:lang w:val="en-ZA"/>
        </w:rPr>
        <w:t>,</w:t>
      </w:r>
      <w:r w:rsidR="00491630">
        <w:rPr>
          <w:lang w:val="en-ZA"/>
        </w:rPr>
        <w:t xml:space="preserve"> </w:t>
      </w:r>
      <w:r w:rsidR="00996267">
        <w:rPr>
          <w:lang w:val="en-ZA"/>
        </w:rPr>
        <w:t xml:space="preserve">we see </w:t>
      </w:r>
      <w:r w:rsidR="00AE4151">
        <w:rPr>
          <w:lang w:val="en-ZA"/>
        </w:rPr>
        <w:t xml:space="preserve">from this is </w:t>
      </w:r>
      <w:r w:rsidR="00996267">
        <w:rPr>
          <w:lang w:val="en-ZA"/>
        </w:rPr>
        <w:t xml:space="preserve">that </w:t>
      </w:r>
      <w:r w:rsidR="00120A42">
        <w:rPr>
          <w:lang w:val="en-ZA"/>
        </w:rPr>
        <w:t>Transnet</w:t>
      </w:r>
      <w:r w:rsidR="00491630">
        <w:rPr>
          <w:lang w:val="en-ZA"/>
        </w:rPr>
        <w:t xml:space="preserve"> had</w:t>
      </w:r>
      <w:r w:rsidR="00120A42">
        <w:rPr>
          <w:lang w:val="en-ZA"/>
        </w:rPr>
        <w:t xml:space="preserve"> engaged </w:t>
      </w:r>
      <w:r w:rsidR="00315A17">
        <w:rPr>
          <w:lang w:val="en-ZA"/>
        </w:rPr>
        <w:t xml:space="preserve">fully </w:t>
      </w:r>
      <w:r w:rsidR="00120A42">
        <w:rPr>
          <w:lang w:val="en-ZA"/>
        </w:rPr>
        <w:t xml:space="preserve">with the </w:t>
      </w:r>
      <w:r w:rsidR="00F45638">
        <w:rPr>
          <w:lang w:val="en-ZA"/>
        </w:rPr>
        <w:t>RFI</w:t>
      </w:r>
      <w:r w:rsidR="00315A17">
        <w:rPr>
          <w:lang w:val="en-ZA"/>
        </w:rPr>
        <w:t xml:space="preserve"> </w:t>
      </w:r>
      <w:r w:rsidR="00491630">
        <w:rPr>
          <w:lang w:val="en-ZA"/>
        </w:rPr>
        <w:t xml:space="preserve"> </w:t>
      </w:r>
      <w:r w:rsidR="00A0632B">
        <w:rPr>
          <w:lang w:val="en-ZA"/>
        </w:rPr>
        <w:t xml:space="preserve">albeit in favour of its </w:t>
      </w:r>
      <w:r w:rsidR="00E5251C">
        <w:rPr>
          <w:lang w:val="en-ZA"/>
        </w:rPr>
        <w:t xml:space="preserve">argument </w:t>
      </w:r>
      <w:r w:rsidR="00BB7BE7">
        <w:rPr>
          <w:lang w:val="en-ZA"/>
        </w:rPr>
        <w:t xml:space="preserve">that the </w:t>
      </w:r>
      <w:r w:rsidR="00E5251C">
        <w:rPr>
          <w:lang w:val="en-ZA"/>
        </w:rPr>
        <w:t>Contracts</w:t>
      </w:r>
      <w:r w:rsidR="00315A17">
        <w:rPr>
          <w:lang w:val="en-ZA"/>
        </w:rPr>
        <w:t xml:space="preserve"> </w:t>
      </w:r>
      <w:r w:rsidR="00BB7BE7">
        <w:rPr>
          <w:lang w:val="en-ZA"/>
        </w:rPr>
        <w:t xml:space="preserve">did not require Transnet to </w:t>
      </w:r>
      <w:r w:rsidR="00F45638">
        <w:rPr>
          <w:lang w:val="en-ZA"/>
        </w:rPr>
        <w:t xml:space="preserve">request a contractor to </w:t>
      </w:r>
      <w:r w:rsidR="00591ACC">
        <w:rPr>
          <w:lang w:val="en-ZA"/>
        </w:rPr>
        <w:t xml:space="preserve">disestablish the site.  </w:t>
      </w:r>
    </w:p>
    <w:p w14:paraId="61AD09F0" w14:textId="582BC728" w:rsidR="00E5251C" w:rsidRDefault="00AC5E05" w:rsidP="00AC5E05">
      <w:pPr>
        <w:pStyle w:val="1"/>
        <w:numPr>
          <w:ilvl w:val="0"/>
          <w:numId w:val="0"/>
        </w:numPr>
        <w:tabs>
          <w:tab w:val="left" w:pos="567"/>
        </w:tabs>
        <w:ind w:left="567" w:hanging="567"/>
        <w:rPr>
          <w:lang w:val="en-ZA"/>
        </w:rPr>
      </w:pPr>
      <w:r>
        <w:rPr>
          <w:rFonts w:cs="Arial"/>
          <w:sz w:val="22"/>
          <w:lang w:val="en-ZA"/>
        </w:rPr>
        <w:lastRenderedPageBreak/>
        <w:t>[95]</w:t>
      </w:r>
      <w:r>
        <w:rPr>
          <w:rFonts w:cs="Arial"/>
          <w:sz w:val="22"/>
          <w:lang w:val="en-ZA"/>
        </w:rPr>
        <w:tab/>
      </w:r>
      <w:r w:rsidR="00591ACC">
        <w:rPr>
          <w:lang w:val="en-ZA"/>
        </w:rPr>
        <w:t xml:space="preserve">However, what was before the </w:t>
      </w:r>
      <w:r w:rsidR="00BD303A">
        <w:rPr>
          <w:lang w:val="en-ZA"/>
        </w:rPr>
        <w:t>Arbitrator</w:t>
      </w:r>
      <w:r w:rsidR="00591ACC">
        <w:rPr>
          <w:lang w:val="en-ZA"/>
        </w:rPr>
        <w:t xml:space="preserve"> was not </w:t>
      </w:r>
      <w:r w:rsidR="00E5251C">
        <w:rPr>
          <w:lang w:val="en-ZA"/>
        </w:rPr>
        <w:t xml:space="preserve">only </w:t>
      </w:r>
      <w:r w:rsidR="00591ACC">
        <w:rPr>
          <w:lang w:val="en-ZA"/>
        </w:rPr>
        <w:t>the RFI but also the witness statements of Spill Tech</w:t>
      </w:r>
      <w:r w:rsidR="00452E10">
        <w:rPr>
          <w:lang w:val="en-ZA"/>
        </w:rPr>
        <w:t xml:space="preserve"> which he relied on for the interpretation exercise as contextual </w:t>
      </w:r>
      <w:r w:rsidR="008C1BD0">
        <w:rPr>
          <w:lang w:val="en-ZA"/>
        </w:rPr>
        <w:t>evidence</w:t>
      </w:r>
      <w:r w:rsidR="00591ACC">
        <w:rPr>
          <w:lang w:val="en-ZA"/>
        </w:rPr>
        <w:t xml:space="preserve">.  </w:t>
      </w:r>
    </w:p>
    <w:p w14:paraId="00DC52C1" w14:textId="59EC454F" w:rsidR="00A2726A" w:rsidRDefault="00AC5E05" w:rsidP="00AC5E05">
      <w:pPr>
        <w:pStyle w:val="1"/>
        <w:numPr>
          <w:ilvl w:val="0"/>
          <w:numId w:val="0"/>
        </w:numPr>
        <w:tabs>
          <w:tab w:val="left" w:pos="567"/>
        </w:tabs>
        <w:ind w:left="567" w:hanging="567"/>
        <w:rPr>
          <w:lang w:val="en-ZA"/>
        </w:rPr>
      </w:pPr>
      <w:r>
        <w:rPr>
          <w:rFonts w:cs="Arial"/>
          <w:sz w:val="22"/>
          <w:lang w:val="en-ZA"/>
        </w:rPr>
        <w:t>[96]</w:t>
      </w:r>
      <w:r>
        <w:rPr>
          <w:rFonts w:cs="Arial"/>
          <w:sz w:val="22"/>
          <w:lang w:val="en-ZA"/>
        </w:rPr>
        <w:tab/>
      </w:r>
      <w:r w:rsidR="00400D4F">
        <w:rPr>
          <w:lang w:val="en-ZA"/>
        </w:rPr>
        <w:t xml:space="preserve">Mr Van der Kwast explains in his </w:t>
      </w:r>
      <w:r w:rsidR="00E5251C">
        <w:rPr>
          <w:lang w:val="en-ZA"/>
        </w:rPr>
        <w:t xml:space="preserve">witness </w:t>
      </w:r>
      <w:r w:rsidR="00400D4F">
        <w:rPr>
          <w:lang w:val="en-ZA"/>
        </w:rPr>
        <w:t xml:space="preserve">statement that </w:t>
      </w:r>
      <w:r w:rsidR="00A46DD6">
        <w:rPr>
          <w:lang w:val="en-ZA"/>
        </w:rPr>
        <w:t xml:space="preserve">while spills were initially difficult to assess, Tim Liversage of Transnet had developed a method </w:t>
      </w:r>
      <w:r w:rsidR="00607246">
        <w:rPr>
          <w:lang w:val="en-ZA"/>
        </w:rPr>
        <w:t>for roughly assessing the volume of the spill at the Delmas spill</w:t>
      </w:r>
      <w:r w:rsidR="00102F44">
        <w:rPr>
          <w:lang w:val="en-ZA"/>
        </w:rPr>
        <w:t xml:space="preserve">.  His method involved using a container, a </w:t>
      </w:r>
      <w:r w:rsidR="008C1BD0">
        <w:rPr>
          <w:lang w:val="en-ZA"/>
        </w:rPr>
        <w:t>bucket,</w:t>
      </w:r>
      <w:r w:rsidR="00102F44">
        <w:rPr>
          <w:lang w:val="en-ZA"/>
        </w:rPr>
        <w:t xml:space="preserve"> or a 2-litre bottle, to catch the gushing product and </w:t>
      </w:r>
      <w:r w:rsidR="009F3643">
        <w:rPr>
          <w:lang w:val="en-ZA"/>
        </w:rPr>
        <w:t xml:space="preserve">to time how quickly the container fills up.  This helped determine the rate of flow </w:t>
      </w:r>
      <w:r w:rsidR="00017D17">
        <w:rPr>
          <w:lang w:val="en-ZA"/>
        </w:rPr>
        <w:t xml:space="preserve">and an estimated period </w:t>
      </w:r>
      <w:r w:rsidR="0057270E">
        <w:rPr>
          <w:lang w:val="en-ZA"/>
        </w:rPr>
        <w:t xml:space="preserve">that the spill was running to obtain a volume.  This bucket method was not always suitable when dealing with a tap into the pipeline </w:t>
      </w:r>
      <w:r w:rsidR="00C032C8">
        <w:rPr>
          <w:lang w:val="en-ZA"/>
        </w:rPr>
        <w:t xml:space="preserve">below ground </w:t>
      </w:r>
      <w:r w:rsidR="0057270E">
        <w:rPr>
          <w:lang w:val="en-ZA"/>
        </w:rPr>
        <w:t>but whe</w:t>
      </w:r>
      <w:r w:rsidR="00C032C8">
        <w:rPr>
          <w:lang w:val="en-ZA"/>
        </w:rPr>
        <w:t>re the method could be used, they did.  Tim Liversage w</w:t>
      </w:r>
      <w:r w:rsidR="00CE3576">
        <w:rPr>
          <w:lang w:val="en-ZA"/>
        </w:rPr>
        <w:t>ould attend on site to do it or ask the Spill Tech first responder</w:t>
      </w:r>
      <w:r w:rsidR="00B5154D">
        <w:rPr>
          <w:lang w:val="en-ZA"/>
        </w:rPr>
        <w:t>s to do it.</w:t>
      </w:r>
      <w:r w:rsidR="00B5154D">
        <w:rPr>
          <w:rStyle w:val="FootnoteReference"/>
        </w:rPr>
        <w:footnoteReference w:id="56"/>
      </w:r>
      <w:r w:rsidR="00A2726A">
        <w:rPr>
          <w:lang w:val="en-ZA"/>
        </w:rPr>
        <w:t xml:space="preserve">  As to the switching of contractors</w:t>
      </w:r>
      <w:r w:rsidR="000209F5">
        <w:rPr>
          <w:lang w:val="en-ZA"/>
        </w:rPr>
        <w:t xml:space="preserve">, </w:t>
      </w:r>
      <w:r w:rsidR="00F40CDA">
        <w:rPr>
          <w:lang w:val="en-ZA"/>
        </w:rPr>
        <w:t xml:space="preserve">both Mr </w:t>
      </w:r>
      <w:r w:rsidR="000209F5">
        <w:rPr>
          <w:lang w:val="en-ZA"/>
        </w:rPr>
        <w:t xml:space="preserve">Van der Kwast </w:t>
      </w:r>
      <w:r w:rsidR="00F40CDA">
        <w:rPr>
          <w:lang w:val="en-ZA"/>
        </w:rPr>
        <w:t xml:space="preserve">and Ms </w:t>
      </w:r>
      <w:r w:rsidR="00445208">
        <w:rPr>
          <w:lang w:val="en-ZA"/>
        </w:rPr>
        <w:t xml:space="preserve">Radebe </w:t>
      </w:r>
      <w:r w:rsidR="000209F5">
        <w:rPr>
          <w:lang w:val="en-ZA"/>
        </w:rPr>
        <w:t>confirm</w:t>
      </w:r>
      <w:r w:rsidR="00CC59F5">
        <w:rPr>
          <w:lang w:val="en-ZA"/>
        </w:rPr>
        <w:t>ed</w:t>
      </w:r>
      <w:r w:rsidR="000209F5">
        <w:rPr>
          <w:lang w:val="en-ZA"/>
        </w:rPr>
        <w:t xml:space="preserve"> that </w:t>
      </w:r>
      <w:r w:rsidR="00445208">
        <w:rPr>
          <w:lang w:val="en-ZA"/>
        </w:rPr>
        <w:t xml:space="preserve">the way the contract worked was that they would get a call from the Transnet </w:t>
      </w:r>
      <w:r w:rsidR="005D1D9F">
        <w:rPr>
          <w:lang w:val="en-ZA"/>
        </w:rPr>
        <w:t xml:space="preserve">master control </w:t>
      </w:r>
      <w:r w:rsidR="00445208">
        <w:rPr>
          <w:lang w:val="en-ZA"/>
        </w:rPr>
        <w:t xml:space="preserve">centre. </w:t>
      </w:r>
      <w:r w:rsidR="00CA1A42">
        <w:rPr>
          <w:lang w:val="en-ZA"/>
        </w:rPr>
        <w:t xml:space="preserve"> </w:t>
      </w:r>
      <w:r w:rsidR="005D1D9F">
        <w:rPr>
          <w:lang w:val="en-ZA"/>
        </w:rPr>
        <w:t>They would then deploy to</w:t>
      </w:r>
      <w:r w:rsidR="00CC59F5">
        <w:rPr>
          <w:lang w:val="en-ZA"/>
        </w:rPr>
        <w:t xml:space="preserve"> the</w:t>
      </w:r>
      <w:r w:rsidR="005D1D9F">
        <w:rPr>
          <w:lang w:val="en-ZA"/>
        </w:rPr>
        <w:t xml:space="preserve"> site. The initial focus was on containment. </w:t>
      </w:r>
      <w:r w:rsidR="00176B78">
        <w:rPr>
          <w:lang w:val="en-ZA"/>
        </w:rPr>
        <w:t xml:space="preserve"> There were some occasions where they were told to attend to a spill which it later emerged was going to be less than 50 000 litres </w:t>
      </w:r>
      <w:r w:rsidR="005A4ACB">
        <w:rPr>
          <w:lang w:val="en-ZA"/>
        </w:rPr>
        <w:t>and, in those cases,</w:t>
      </w:r>
      <w:r w:rsidR="003D09D1">
        <w:rPr>
          <w:lang w:val="en-ZA"/>
        </w:rPr>
        <w:t xml:space="preserve"> </w:t>
      </w:r>
      <w:r w:rsidR="00176B78">
        <w:rPr>
          <w:lang w:val="en-ZA"/>
        </w:rPr>
        <w:t xml:space="preserve">they were asked by Transnet to </w:t>
      </w:r>
      <w:r w:rsidR="003D09D1">
        <w:rPr>
          <w:lang w:val="en-ZA"/>
        </w:rPr>
        <w:t>hand over the sites to Drizit.</w:t>
      </w:r>
      <w:r w:rsidR="00EF70E0">
        <w:rPr>
          <w:rStyle w:val="FootnoteReference"/>
        </w:rPr>
        <w:footnoteReference w:id="57"/>
      </w:r>
      <w:r w:rsidR="003D09D1">
        <w:rPr>
          <w:lang w:val="en-ZA"/>
        </w:rPr>
        <w:t xml:space="preserve"> It was Transnet’s </w:t>
      </w:r>
      <w:r w:rsidR="00EF70E0">
        <w:rPr>
          <w:lang w:val="en-ZA"/>
        </w:rPr>
        <w:t>practice to reallocate spills on this basis.</w:t>
      </w:r>
      <w:r w:rsidR="005A4ACB">
        <w:rPr>
          <w:rStyle w:val="FootnoteReference"/>
        </w:rPr>
        <w:footnoteReference w:id="58"/>
      </w:r>
      <w:r w:rsidR="00EF70E0">
        <w:rPr>
          <w:lang w:val="en-ZA"/>
        </w:rPr>
        <w:t xml:space="preserve"> </w:t>
      </w:r>
      <w:r w:rsidR="003D09D1">
        <w:rPr>
          <w:lang w:val="en-ZA"/>
        </w:rPr>
        <w:t xml:space="preserve"> </w:t>
      </w:r>
      <w:r w:rsidR="00176B78">
        <w:rPr>
          <w:lang w:val="en-ZA"/>
        </w:rPr>
        <w:t>For the first 20 months</w:t>
      </w:r>
      <w:r w:rsidR="00CC59F5">
        <w:rPr>
          <w:lang w:val="en-ZA"/>
        </w:rPr>
        <w:t>,</w:t>
      </w:r>
      <w:r w:rsidR="00176B78">
        <w:rPr>
          <w:lang w:val="en-ZA"/>
        </w:rPr>
        <w:t xml:space="preserve"> </w:t>
      </w:r>
      <w:r w:rsidR="00751A67">
        <w:rPr>
          <w:lang w:val="en-ZA"/>
        </w:rPr>
        <w:t>this was how the contract was executed.</w:t>
      </w:r>
    </w:p>
    <w:p w14:paraId="03A064B7" w14:textId="2E359D9C" w:rsidR="008A460E" w:rsidRPr="00C13F9F" w:rsidRDefault="00AC5E05" w:rsidP="00AC5E05">
      <w:pPr>
        <w:pStyle w:val="1"/>
        <w:numPr>
          <w:ilvl w:val="0"/>
          <w:numId w:val="0"/>
        </w:numPr>
        <w:tabs>
          <w:tab w:val="left" w:pos="567"/>
        </w:tabs>
        <w:ind w:left="567" w:hanging="567"/>
        <w:rPr>
          <w:lang w:val="en-ZA"/>
        </w:rPr>
      </w:pPr>
      <w:r w:rsidRPr="00C13F9F">
        <w:rPr>
          <w:rFonts w:cs="Arial"/>
          <w:sz w:val="22"/>
          <w:lang w:val="en-ZA"/>
        </w:rPr>
        <w:lastRenderedPageBreak/>
        <w:t>[97]</w:t>
      </w:r>
      <w:r w:rsidRPr="00C13F9F">
        <w:rPr>
          <w:rFonts w:cs="Arial"/>
          <w:sz w:val="22"/>
          <w:lang w:val="en-ZA"/>
        </w:rPr>
        <w:tab/>
      </w:r>
      <w:r w:rsidR="008A460E" w:rsidRPr="00C13F9F">
        <w:rPr>
          <w:lang w:val="en-ZA"/>
        </w:rPr>
        <w:t xml:space="preserve">The </w:t>
      </w:r>
      <w:r w:rsidR="00966F58">
        <w:rPr>
          <w:lang w:val="en-ZA"/>
        </w:rPr>
        <w:t>A</w:t>
      </w:r>
      <w:r w:rsidR="008A460E" w:rsidRPr="00C13F9F">
        <w:rPr>
          <w:lang w:val="en-ZA"/>
        </w:rPr>
        <w:t>rbitrator</w:t>
      </w:r>
      <w:r w:rsidR="008C21FF">
        <w:rPr>
          <w:lang w:val="en-ZA"/>
        </w:rPr>
        <w:t>,</w:t>
      </w:r>
      <w:r w:rsidR="008A460E" w:rsidRPr="00C13F9F">
        <w:rPr>
          <w:lang w:val="en-ZA"/>
        </w:rPr>
        <w:t xml:space="preserve"> after considering</w:t>
      </w:r>
      <w:r w:rsidR="00D41817">
        <w:rPr>
          <w:lang w:val="en-ZA"/>
        </w:rPr>
        <w:t xml:space="preserve"> the pleadings, and</w:t>
      </w:r>
      <w:r w:rsidR="008A460E" w:rsidRPr="00C13F9F">
        <w:rPr>
          <w:lang w:val="en-ZA"/>
        </w:rPr>
        <w:t xml:space="preserve"> all of the contextual evidence and submissions from both parties, disagreed with Transnet</w:t>
      </w:r>
      <w:r w:rsidR="008C21FF">
        <w:rPr>
          <w:lang w:val="en-ZA"/>
        </w:rPr>
        <w:t>’s interpretation</w:t>
      </w:r>
      <w:r w:rsidR="008A460E" w:rsidRPr="00C13F9F">
        <w:rPr>
          <w:lang w:val="en-ZA"/>
        </w:rPr>
        <w:t xml:space="preserve">.  </w:t>
      </w:r>
    </w:p>
    <w:p w14:paraId="161A0089" w14:textId="3AF398B1" w:rsidR="00E31A9D" w:rsidRPr="00E31A9D" w:rsidRDefault="00AC5E05" w:rsidP="00AC5E05">
      <w:pPr>
        <w:pStyle w:val="1"/>
        <w:numPr>
          <w:ilvl w:val="0"/>
          <w:numId w:val="0"/>
        </w:numPr>
        <w:tabs>
          <w:tab w:val="left" w:pos="567"/>
        </w:tabs>
        <w:ind w:left="567" w:hanging="567"/>
        <w:rPr>
          <w:lang w:val="en-ZA"/>
        </w:rPr>
      </w:pPr>
      <w:r w:rsidRPr="00E31A9D">
        <w:rPr>
          <w:rFonts w:cs="Arial"/>
          <w:sz w:val="22"/>
          <w:lang w:val="en-ZA"/>
        </w:rPr>
        <w:t>[98]</w:t>
      </w:r>
      <w:r w:rsidRPr="00E31A9D">
        <w:rPr>
          <w:rFonts w:cs="Arial"/>
          <w:sz w:val="22"/>
          <w:lang w:val="en-ZA"/>
        </w:rPr>
        <w:tab/>
      </w:r>
      <w:r w:rsidR="00DD7F1E">
        <w:t xml:space="preserve">In these proceedings, </w:t>
      </w:r>
      <w:r w:rsidR="008A460E">
        <w:t xml:space="preserve">Transnet challenges this finding on the basis that the </w:t>
      </w:r>
      <w:r w:rsidR="00BD303A">
        <w:t>Arbitrator</w:t>
      </w:r>
      <w:r w:rsidR="008A460E">
        <w:t xml:space="preserve"> was in fact making a contract for the parties and exceeded his powers. </w:t>
      </w:r>
      <w:r w:rsidR="00353055">
        <w:t xml:space="preserve">It is clear from the arbitral award that this </w:t>
      </w:r>
      <w:r w:rsidR="009530C0">
        <w:t xml:space="preserve">argument was put to the </w:t>
      </w:r>
      <w:r w:rsidR="00BD303A">
        <w:t>Arbitrator</w:t>
      </w:r>
      <w:r w:rsidR="009530C0">
        <w:t xml:space="preserve"> and was rejected by him</w:t>
      </w:r>
      <w:r w:rsidR="00BA6048">
        <w:t xml:space="preserve"> </w:t>
      </w:r>
      <w:r w:rsidR="005D10C3">
        <w:t xml:space="preserve">for the reasons </w:t>
      </w:r>
      <w:r w:rsidR="00BA6048">
        <w:t xml:space="preserve">set out </w:t>
      </w:r>
      <w:r w:rsidR="00C17384">
        <w:t>in</w:t>
      </w:r>
      <w:r w:rsidR="00BA6048">
        <w:t xml:space="preserve"> the award.</w:t>
      </w:r>
      <w:r w:rsidR="005D10C3">
        <w:t xml:space="preserve"> </w:t>
      </w:r>
    </w:p>
    <w:p w14:paraId="06A8D70F" w14:textId="26022289" w:rsidR="008A460E" w:rsidRPr="005D10C3" w:rsidRDefault="00AC5E05" w:rsidP="00AC5E05">
      <w:pPr>
        <w:pStyle w:val="1"/>
        <w:numPr>
          <w:ilvl w:val="0"/>
          <w:numId w:val="0"/>
        </w:numPr>
        <w:tabs>
          <w:tab w:val="left" w:pos="567"/>
        </w:tabs>
        <w:ind w:left="567" w:hanging="567"/>
        <w:rPr>
          <w:lang w:val="en-ZA"/>
        </w:rPr>
      </w:pPr>
      <w:r w:rsidRPr="005D10C3">
        <w:rPr>
          <w:rFonts w:cs="Arial"/>
          <w:sz w:val="22"/>
          <w:lang w:val="en-ZA"/>
        </w:rPr>
        <w:t>[99]</w:t>
      </w:r>
      <w:r w:rsidRPr="005D10C3">
        <w:rPr>
          <w:rFonts w:cs="Arial"/>
          <w:sz w:val="22"/>
          <w:lang w:val="en-ZA"/>
        </w:rPr>
        <w:tab/>
      </w:r>
      <w:r w:rsidR="0005323C">
        <w:t xml:space="preserve">In essence </w:t>
      </w:r>
      <w:r w:rsidR="00293FAE">
        <w:t>these are the</w:t>
      </w:r>
      <w:r w:rsidR="00E31A9D">
        <w:t xml:space="preserve"> same arguments </w:t>
      </w:r>
      <w:r w:rsidR="00293FAE">
        <w:t xml:space="preserve">Transnet </w:t>
      </w:r>
      <w:r w:rsidR="00E31A9D">
        <w:t>had made in the Arbitration.</w:t>
      </w:r>
    </w:p>
    <w:p w14:paraId="55216F4C" w14:textId="4D753F17" w:rsidR="00586C76" w:rsidRPr="00D515C6" w:rsidRDefault="00AC5E05" w:rsidP="00AC5E05">
      <w:pPr>
        <w:pStyle w:val="1"/>
        <w:numPr>
          <w:ilvl w:val="0"/>
          <w:numId w:val="0"/>
        </w:numPr>
        <w:tabs>
          <w:tab w:val="left" w:pos="567"/>
        </w:tabs>
        <w:ind w:left="567" w:hanging="567"/>
        <w:rPr>
          <w:lang w:val="en-ZA"/>
        </w:rPr>
      </w:pPr>
      <w:r w:rsidRPr="00D515C6">
        <w:rPr>
          <w:rFonts w:cs="Arial"/>
          <w:sz w:val="22"/>
          <w:lang w:val="en-ZA"/>
        </w:rPr>
        <w:t>[100]</w:t>
      </w:r>
      <w:r w:rsidRPr="00D515C6">
        <w:rPr>
          <w:rFonts w:cs="Arial"/>
          <w:sz w:val="22"/>
          <w:lang w:val="en-ZA"/>
        </w:rPr>
        <w:tab/>
      </w:r>
      <w:r w:rsidR="00586C76">
        <w:t>The following observations can be made to demonstrate why Transnet’s grounds of review have little merit:</w:t>
      </w:r>
    </w:p>
    <w:p w14:paraId="7EB78891" w14:textId="5CBCAE3D" w:rsidR="00586C76" w:rsidRDefault="00AC5E05" w:rsidP="00AC5E05">
      <w:pPr>
        <w:pStyle w:val="2"/>
        <w:numPr>
          <w:ilvl w:val="0"/>
          <w:numId w:val="0"/>
        </w:numPr>
        <w:tabs>
          <w:tab w:val="left" w:pos="851"/>
        </w:tabs>
        <w:ind w:left="851" w:hanging="851"/>
        <w:rPr>
          <w:lang w:val="en-ZA"/>
        </w:rPr>
      </w:pPr>
      <w:r>
        <w:rPr>
          <w:sz w:val="22"/>
          <w:lang w:val="en-ZA"/>
        </w:rPr>
        <w:t>[100.1]</w:t>
      </w:r>
      <w:r>
        <w:rPr>
          <w:sz w:val="22"/>
          <w:lang w:val="en-ZA"/>
        </w:rPr>
        <w:tab/>
      </w:r>
      <w:r w:rsidR="00586C76">
        <w:rPr>
          <w:lang w:val="en-ZA"/>
        </w:rPr>
        <w:t>Firstly, as to the ‘as and when required’ provision, Spill Tech expressly pleaded that it</w:t>
      </w:r>
      <w:r w:rsidR="00586C76" w:rsidRPr="00231995">
        <w:rPr>
          <w:lang w:val="en-ZA"/>
        </w:rPr>
        <w:t xml:space="preserve"> was</w:t>
      </w:r>
      <w:r w:rsidR="00586C76" w:rsidRPr="00231995">
        <w:rPr>
          <w:i/>
          <w:iCs w:val="0"/>
          <w:lang w:val="en-ZA"/>
        </w:rPr>
        <w:t xml:space="preserve"> </w:t>
      </w:r>
      <w:r w:rsidR="00586C76">
        <w:rPr>
          <w:i/>
          <w:iCs w:val="0"/>
          <w:lang w:val="en-ZA"/>
        </w:rPr>
        <w:t>“</w:t>
      </w:r>
      <w:r w:rsidR="00586C76" w:rsidRPr="00231995">
        <w:rPr>
          <w:i/>
          <w:iCs w:val="0"/>
          <w:lang w:val="en-ZA"/>
        </w:rPr>
        <w:t xml:space="preserve">an express and/or implied and/or tacit term of the contract that </w:t>
      </w:r>
      <w:r w:rsidR="00586C76">
        <w:rPr>
          <w:i/>
          <w:iCs w:val="0"/>
          <w:lang w:val="en-ZA"/>
        </w:rPr>
        <w:t>i</w:t>
      </w:r>
      <w:r w:rsidR="00586C76" w:rsidRPr="00231995">
        <w:rPr>
          <w:i/>
          <w:iCs w:val="0"/>
          <w:lang w:val="en-ZA"/>
        </w:rPr>
        <w:t xml:space="preserve">t is obliged and entitled to attend to the remediation of all incidents involving major pipeline spills </w:t>
      </w:r>
      <w:r w:rsidR="00586C76" w:rsidRPr="007C17BF">
        <w:rPr>
          <w:i/>
          <w:iCs w:val="0"/>
          <w:lang w:val="en-ZA"/>
        </w:rPr>
        <w:t>which comprise fuel spills or contamination exceeding 50 000litres</w:t>
      </w:r>
      <w:r w:rsidR="00586C76">
        <w:rPr>
          <w:lang w:val="en-ZA"/>
        </w:rPr>
        <w:t>”.</w:t>
      </w:r>
      <w:r w:rsidR="00586C76">
        <w:rPr>
          <w:rStyle w:val="FootnoteReference"/>
        </w:rPr>
        <w:footnoteReference w:id="59"/>
      </w:r>
      <w:r w:rsidR="00586C76">
        <w:rPr>
          <w:lang w:val="en-ZA"/>
        </w:rPr>
        <w:t xml:space="preserve">  Hence from the commencement of the proceedings, Transnet was alive to the fact that Spill Tech advanced an interpretation of the Contracts that it was entitled to exclusive allocation of spills in excess of 50 000 litres and that it had pleaded an implied or tacit term to that effect.  Indeed, Transnet itself deals with this issue in its submissions to the Arbitrator in the context of the RFI, the letter sent by Spill Tech to TPL </w:t>
      </w:r>
      <w:r w:rsidR="00586C76">
        <w:rPr>
          <w:lang w:val="en-ZA"/>
        </w:rPr>
        <w:lastRenderedPageBreak/>
        <w:t>on 20 January 2020.</w:t>
      </w:r>
      <w:r w:rsidR="00586C76">
        <w:rPr>
          <w:rStyle w:val="FootnoteReference"/>
        </w:rPr>
        <w:footnoteReference w:id="60"/>
      </w:r>
      <w:r w:rsidR="00586C76">
        <w:rPr>
          <w:lang w:val="en-ZA"/>
        </w:rPr>
        <w:t xml:space="preserve"> </w:t>
      </w:r>
    </w:p>
    <w:p w14:paraId="61FF2F04" w14:textId="6E0F51A9" w:rsidR="00586C76" w:rsidRDefault="00AC5E05" w:rsidP="00AC5E05">
      <w:pPr>
        <w:pStyle w:val="2"/>
        <w:numPr>
          <w:ilvl w:val="0"/>
          <w:numId w:val="0"/>
        </w:numPr>
        <w:tabs>
          <w:tab w:val="left" w:pos="851"/>
        </w:tabs>
        <w:ind w:left="851" w:hanging="851"/>
        <w:rPr>
          <w:lang w:val="en-ZA"/>
        </w:rPr>
      </w:pPr>
      <w:r>
        <w:rPr>
          <w:sz w:val="22"/>
          <w:lang w:val="en-ZA"/>
        </w:rPr>
        <w:t>[100.2]</w:t>
      </w:r>
      <w:r>
        <w:rPr>
          <w:sz w:val="22"/>
          <w:lang w:val="en-ZA"/>
        </w:rPr>
        <w:tab/>
      </w:r>
      <w:r w:rsidR="00586C76">
        <w:rPr>
          <w:lang w:val="en-ZA"/>
        </w:rPr>
        <w:t>Secondly, it is clear from the Arbitrator’s award and Transnet’s submissions that the tacit term was canvassed in the hearings and with Transnet. This is why the Arbitrator was able to reproduce the arguments made by Mr Luthuli on this score.  Hence there can be no suggestion of any unfairness to Transnet in the proceedings.</w:t>
      </w:r>
    </w:p>
    <w:p w14:paraId="15BB8E8A" w14:textId="1DF8D4FB" w:rsidR="00586C76" w:rsidRDefault="00AC5E05" w:rsidP="00AC5E05">
      <w:pPr>
        <w:pStyle w:val="2"/>
        <w:numPr>
          <w:ilvl w:val="0"/>
          <w:numId w:val="0"/>
        </w:numPr>
        <w:tabs>
          <w:tab w:val="left" w:pos="851"/>
        </w:tabs>
        <w:ind w:left="851" w:hanging="851"/>
        <w:rPr>
          <w:lang w:val="en-ZA"/>
        </w:rPr>
      </w:pPr>
      <w:r>
        <w:rPr>
          <w:sz w:val="22"/>
          <w:lang w:val="en-ZA"/>
        </w:rPr>
        <w:t>[100.3]</w:t>
      </w:r>
      <w:r>
        <w:rPr>
          <w:sz w:val="22"/>
          <w:lang w:val="en-ZA"/>
        </w:rPr>
        <w:tab/>
      </w:r>
      <w:r w:rsidR="00586C76">
        <w:rPr>
          <w:lang w:val="en-ZA"/>
        </w:rPr>
        <w:t xml:space="preserve">Thirdly, the unchallenged factual evidence in the arbitration proceedings was that this is how the Contracts were understood </w:t>
      </w:r>
      <w:r w:rsidR="00586C76" w:rsidRPr="002F6EA0">
        <w:rPr>
          <w:u w:val="single"/>
          <w:lang w:val="en-ZA"/>
        </w:rPr>
        <w:t>and</w:t>
      </w:r>
      <w:r w:rsidR="00586C76">
        <w:rPr>
          <w:lang w:val="en-ZA"/>
        </w:rPr>
        <w:t xml:space="preserve"> implemented by the parties themselves, at least for the first 20 months.  While the Contracts did not expressly state this, the Transnet officials and the two contractors had put in place a practical mechanism by which the different contractors were allocated to spills and then asked to withdraw once the extent of the spillage was more accurately determined.  Transnet did not put up any evidence from its employees to challenge Spill Tech’s factual evidence. </w:t>
      </w:r>
    </w:p>
    <w:p w14:paraId="5757EEB1" w14:textId="10B57FE9" w:rsidR="00586C76" w:rsidRDefault="00AC5E05" w:rsidP="00AC5E05">
      <w:pPr>
        <w:pStyle w:val="1"/>
        <w:numPr>
          <w:ilvl w:val="0"/>
          <w:numId w:val="0"/>
        </w:numPr>
        <w:tabs>
          <w:tab w:val="left" w:pos="567"/>
        </w:tabs>
        <w:ind w:left="567" w:hanging="567"/>
        <w:rPr>
          <w:lang w:val="en-ZA"/>
        </w:rPr>
      </w:pPr>
      <w:r>
        <w:rPr>
          <w:rFonts w:cs="Arial"/>
          <w:sz w:val="22"/>
          <w:lang w:val="en-ZA"/>
        </w:rPr>
        <w:t>[101]</w:t>
      </w:r>
      <w:r>
        <w:rPr>
          <w:rFonts w:cs="Arial"/>
          <w:sz w:val="22"/>
          <w:lang w:val="en-ZA"/>
        </w:rPr>
        <w:tab/>
      </w:r>
      <w:r w:rsidR="00586C76">
        <w:rPr>
          <w:lang w:val="en-ZA"/>
        </w:rPr>
        <w:t xml:space="preserve">In deciding this issue, the Arbitrator was required to interpret the Contracts.  In this exercise had regard to the wording of the Contracts, the pleadings, and the evidence of the Spill Tech witnesses on how the Contracts were executed by the parties as context.   He did not impose an </w:t>
      </w:r>
      <w:r w:rsidR="00586C76" w:rsidRPr="00DE38EB">
        <w:rPr>
          <w:i/>
          <w:iCs w:val="0"/>
          <w:lang w:val="en-ZA"/>
        </w:rPr>
        <w:t>ex post facto</w:t>
      </w:r>
      <w:r w:rsidR="00586C76">
        <w:rPr>
          <w:lang w:val="en-ZA"/>
        </w:rPr>
        <w:t xml:space="preserve"> understanding of the  Contracts on the parties but based it on the conduct of the parties which was placed before him by the Spill Tech witnesses.   </w:t>
      </w:r>
    </w:p>
    <w:p w14:paraId="2EB48CA3" w14:textId="08FA9868" w:rsidR="00387C53" w:rsidRPr="00387C53" w:rsidRDefault="00AC5E05" w:rsidP="00AC5E05">
      <w:pPr>
        <w:pStyle w:val="1"/>
        <w:numPr>
          <w:ilvl w:val="0"/>
          <w:numId w:val="0"/>
        </w:numPr>
        <w:tabs>
          <w:tab w:val="left" w:pos="567"/>
        </w:tabs>
        <w:ind w:left="567" w:hanging="567"/>
        <w:rPr>
          <w:lang w:val="en-ZA"/>
        </w:rPr>
      </w:pPr>
      <w:r w:rsidRPr="00387C53">
        <w:rPr>
          <w:rFonts w:cs="Arial"/>
          <w:sz w:val="22"/>
          <w:lang w:val="en-ZA"/>
        </w:rPr>
        <w:lastRenderedPageBreak/>
        <w:t>[102]</w:t>
      </w:r>
      <w:r w:rsidRPr="00387C53">
        <w:rPr>
          <w:rFonts w:cs="Arial"/>
          <w:sz w:val="22"/>
          <w:lang w:val="en-ZA"/>
        </w:rPr>
        <w:tab/>
      </w:r>
      <w:r w:rsidR="00B22FC9">
        <w:t xml:space="preserve">Unless he conducted a gross irregularity by not permitting Transnet a fair opportunity to address the issue or </w:t>
      </w:r>
      <w:r w:rsidR="00B4077A">
        <w:t>misconceived the enquiry, his interpretation of the Contracts</w:t>
      </w:r>
      <w:r w:rsidR="00C17384">
        <w:t xml:space="preserve"> – even if this be wrong – will not be set aside by the court. </w:t>
      </w:r>
      <w:r w:rsidR="0011430D">
        <w:t>There is no suggestion that he misconceived the enquiry.  He was required to interpret the Contracts which he did.</w:t>
      </w:r>
      <w:r w:rsidR="00FC57C4">
        <w:t xml:space="preserve"> </w:t>
      </w:r>
    </w:p>
    <w:p w14:paraId="23500A12" w14:textId="7B5863D3" w:rsidR="00F96FEC" w:rsidRDefault="00AC5E05" w:rsidP="00AC5E05">
      <w:pPr>
        <w:pStyle w:val="1"/>
        <w:numPr>
          <w:ilvl w:val="0"/>
          <w:numId w:val="0"/>
        </w:numPr>
        <w:tabs>
          <w:tab w:val="left" w:pos="567"/>
        </w:tabs>
        <w:ind w:left="567" w:hanging="567"/>
        <w:rPr>
          <w:lang w:val="en-ZA"/>
        </w:rPr>
      </w:pPr>
      <w:r>
        <w:rPr>
          <w:rFonts w:cs="Arial"/>
          <w:sz w:val="22"/>
          <w:lang w:val="en-ZA"/>
        </w:rPr>
        <w:t>[103]</w:t>
      </w:r>
      <w:r>
        <w:rPr>
          <w:rFonts w:cs="Arial"/>
          <w:sz w:val="22"/>
          <w:lang w:val="en-ZA"/>
        </w:rPr>
        <w:tab/>
      </w:r>
      <w:r w:rsidR="00F96FEC">
        <w:rPr>
          <w:lang w:val="en-ZA"/>
        </w:rPr>
        <w:t xml:space="preserve">Transnet was given every opportunity to </w:t>
      </w:r>
      <w:r w:rsidR="00603DEC">
        <w:rPr>
          <w:lang w:val="en-ZA"/>
        </w:rPr>
        <w:t xml:space="preserve">place factual evidence before the Arbitrator, an opportunity it elected not to take. </w:t>
      </w:r>
      <w:r w:rsidR="00F96FEC">
        <w:rPr>
          <w:lang w:val="en-ZA"/>
        </w:rPr>
        <w:t xml:space="preserve"> No evidence was put up by Transnet that the Arbitrator had denied </w:t>
      </w:r>
      <w:r w:rsidR="006C3EDB">
        <w:rPr>
          <w:lang w:val="en-ZA"/>
        </w:rPr>
        <w:t xml:space="preserve">it a fair and adequate </w:t>
      </w:r>
      <w:r w:rsidR="00603DEC">
        <w:rPr>
          <w:lang w:val="en-ZA"/>
        </w:rPr>
        <w:t>hearing on this issue</w:t>
      </w:r>
      <w:r w:rsidR="00F64516">
        <w:rPr>
          <w:lang w:val="en-ZA"/>
        </w:rPr>
        <w:t>.</w:t>
      </w:r>
    </w:p>
    <w:p w14:paraId="6ECC7791" w14:textId="51350D9F" w:rsidR="000E14B2" w:rsidRDefault="00AC5E05" w:rsidP="00AC5E05">
      <w:pPr>
        <w:pStyle w:val="1"/>
        <w:numPr>
          <w:ilvl w:val="0"/>
          <w:numId w:val="0"/>
        </w:numPr>
        <w:tabs>
          <w:tab w:val="left" w:pos="567"/>
        </w:tabs>
        <w:ind w:left="567" w:hanging="567"/>
        <w:rPr>
          <w:lang w:val="en-ZA"/>
        </w:rPr>
      </w:pPr>
      <w:r>
        <w:rPr>
          <w:rFonts w:cs="Arial"/>
          <w:sz w:val="22"/>
          <w:lang w:val="en-ZA"/>
        </w:rPr>
        <w:t>[104]</w:t>
      </w:r>
      <w:r>
        <w:rPr>
          <w:rFonts w:cs="Arial"/>
          <w:sz w:val="22"/>
          <w:lang w:val="en-ZA"/>
        </w:rPr>
        <w:tab/>
      </w:r>
      <w:r w:rsidR="005E2448">
        <w:rPr>
          <w:lang w:val="en-ZA"/>
        </w:rPr>
        <w:t xml:space="preserve">Accordingly, </w:t>
      </w:r>
      <w:r w:rsidR="000E14B2">
        <w:rPr>
          <w:lang w:val="en-ZA"/>
        </w:rPr>
        <w:t>Transnet’s application in relation to this defence stands to be dismissed.</w:t>
      </w:r>
    </w:p>
    <w:p w14:paraId="5FD2069B" w14:textId="77777777" w:rsidR="00663C34" w:rsidRPr="00FE17C1" w:rsidRDefault="00663C34" w:rsidP="00596C03">
      <w:pPr>
        <w:pStyle w:val="1"/>
        <w:numPr>
          <w:ilvl w:val="0"/>
          <w:numId w:val="0"/>
        </w:numPr>
        <w:ind w:left="567" w:hanging="567"/>
        <w:rPr>
          <w:b/>
          <w:bCs/>
          <w:lang w:val="en-ZA"/>
        </w:rPr>
      </w:pPr>
      <w:r w:rsidRPr="00FE17C1">
        <w:rPr>
          <w:b/>
          <w:bCs/>
          <w:lang w:val="en-ZA"/>
        </w:rPr>
        <w:t>Consequential Damages Special Defence</w:t>
      </w:r>
    </w:p>
    <w:p w14:paraId="17545EA0" w14:textId="47C0F99E" w:rsidR="00663C34" w:rsidRDefault="00AC5E05" w:rsidP="00AC5E05">
      <w:pPr>
        <w:pStyle w:val="1"/>
        <w:numPr>
          <w:ilvl w:val="0"/>
          <w:numId w:val="0"/>
        </w:numPr>
        <w:tabs>
          <w:tab w:val="left" w:pos="567"/>
        </w:tabs>
        <w:ind w:left="567" w:hanging="567"/>
        <w:rPr>
          <w:lang w:val="en-ZA"/>
        </w:rPr>
      </w:pPr>
      <w:r>
        <w:rPr>
          <w:rFonts w:cs="Arial"/>
          <w:sz w:val="22"/>
          <w:lang w:val="en-ZA"/>
        </w:rPr>
        <w:t>[105]</w:t>
      </w:r>
      <w:r>
        <w:rPr>
          <w:rFonts w:cs="Arial"/>
          <w:sz w:val="22"/>
          <w:lang w:val="en-ZA"/>
        </w:rPr>
        <w:tab/>
      </w:r>
      <w:r w:rsidR="00663C34">
        <w:rPr>
          <w:lang w:val="en-ZA"/>
        </w:rPr>
        <w:t>The third and fourth special defence are related but dealt with separately by the parties and the Arbitrator. To avoid any confusion, I maintain the distinction and refer to the third defence as the consequential damages defence.</w:t>
      </w:r>
    </w:p>
    <w:p w14:paraId="1ABECC56" w14:textId="119622C7" w:rsidR="00663C34" w:rsidRDefault="00AC5E05" w:rsidP="00AC5E05">
      <w:pPr>
        <w:pStyle w:val="1"/>
        <w:numPr>
          <w:ilvl w:val="0"/>
          <w:numId w:val="0"/>
        </w:numPr>
        <w:tabs>
          <w:tab w:val="left" w:pos="567"/>
        </w:tabs>
        <w:ind w:left="567" w:hanging="567"/>
        <w:rPr>
          <w:lang w:val="en-ZA"/>
        </w:rPr>
      </w:pPr>
      <w:r>
        <w:rPr>
          <w:rFonts w:cs="Arial"/>
          <w:sz w:val="22"/>
          <w:lang w:val="en-ZA"/>
        </w:rPr>
        <w:t>[106]</w:t>
      </w:r>
      <w:r>
        <w:rPr>
          <w:rFonts w:cs="Arial"/>
          <w:sz w:val="22"/>
          <w:lang w:val="en-ZA"/>
        </w:rPr>
        <w:tab/>
      </w:r>
      <w:r w:rsidR="00663C34">
        <w:rPr>
          <w:lang w:val="en-ZA"/>
        </w:rPr>
        <w:t>In its statement of claim Spill Tech set out its basis of liability as follows:</w:t>
      </w:r>
    </w:p>
    <w:p w14:paraId="24B1B92A" w14:textId="68C9678B" w:rsidR="00663C34" w:rsidRPr="00CF0831" w:rsidRDefault="00AC5E05" w:rsidP="00AC5E05">
      <w:pPr>
        <w:pStyle w:val="2"/>
        <w:numPr>
          <w:ilvl w:val="0"/>
          <w:numId w:val="0"/>
        </w:numPr>
        <w:tabs>
          <w:tab w:val="left" w:pos="851"/>
        </w:tabs>
        <w:ind w:left="851" w:hanging="851"/>
        <w:rPr>
          <w:i/>
          <w:iCs w:val="0"/>
          <w:lang w:val="en-ZA"/>
        </w:rPr>
      </w:pPr>
      <w:r w:rsidRPr="00CF0831">
        <w:rPr>
          <w:i/>
          <w:iCs w:val="0"/>
          <w:sz w:val="22"/>
          <w:lang w:val="en-ZA"/>
        </w:rPr>
        <w:t>[106.1]</w:t>
      </w:r>
      <w:r w:rsidRPr="00CF0831">
        <w:rPr>
          <w:i/>
          <w:iCs w:val="0"/>
          <w:sz w:val="22"/>
          <w:lang w:val="en-ZA"/>
        </w:rPr>
        <w:tab/>
      </w:r>
      <w:r w:rsidR="00663C34">
        <w:t>“</w:t>
      </w:r>
      <w:r w:rsidR="00663C34" w:rsidRPr="00CF0831">
        <w:rPr>
          <w:i/>
          <w:iCs w:val="0"/>
        </w:rPr>
        <w:t xml:space="preserve">58. The Defendant's allocation of the various CE sites to Drizit and/or its failure to terminate Drizit's services on the relevant sites once it became apparent that they involved spills exceeding 50 000 litres constituted a breach </w:t>
      </w:r>
      <w:r w:rsidR="00663C34" w:rsidRPr="00CF0831">
        <w:rPr>
          <w:i/>
          <w:iCs w:val="0"/>
        </w:rPr>
        <w:lastRenderedPageBreak/>
        <w:t>of the Contract.”</w:t>
      </w:r>
    </w:p>
    <w:p w14:paraId="51194365" w14:textId="5A7C2CA4" w:rsidR="00663C34" w:rsidRPr="00CF0831" w:rsidRDefault="00AC5E05" w:rsidP="00AC5E05">
      <w:pPr>
        <w:pStyle w:val="2"/>
        <w:numPr>
          <w:ilvl w:val="0"/>
          <w:numId w:val="0"/>
        </w:numPr>
        <w:tabs>
          <w:tab w:val="left" w:pos="851"/>
        </w:tabs>
        <w:ind w:left="851" w:hanging="851"/>
        <w:rPr>
          <w:i/>
          <w:iCs w:val="0"/>
          <w:lang w:val="en-ZA"/>
        </w:rPr>
      </w:pPr>
      <w:r w:rsidRPr="00CF0831">
        <w:rPr>
          <w:i/>
          <w:iCs w:val="0"/>
          <w:sz w:val="22"/>
          <w:lang w:val="en-ZA"/>
        </w:rPr>
        <w:t>[106.2]</w:t>
      </w:r>
      <w:r w:rsidRPr="00CF0831">
        <w:rPr>
          <w:i/>
          <w:iCs w:val="0"/>
          <w:sz w:val="22"/>
          <w:lang w:val="en-ZA"/>
        </w:rPr>
        <w:tab/>
      </w:r>
      <w:r w:rsidR="00663C34" w:rsidRPr="00CF0831">
        <w:rPr>
          <w:i/>
          <w:iCs w:val="0"/>
        </w:rPr>
        <w:t>“59. The Defendant's breach of contract in turn constitutes a compensation event as contemplated in clause 60.1(14)of the Contract.”</w:t>
      </w:r>
    </w:p>
    <w:p w14:paraId="513B49F0" w14:textId="16F5459C" w:rsidR="00663C34" w:rsidRPr="00CF0831" w:rsidRDefault="00AC5E05" w:rsidP="00AC5E05">
      <w:pPr>
        <w:pStyle w:val="2"/>
        <w:numPr>
          <w:ilvl w:val="0"/>
          <w:numId w:val="0"/>
        </w:numPr>
        <w:tabs>
          <w:tab w:val="left" w:pos="851"/>
        </w:tabs>
        <w:ind w:left="851" w:hanging="851"/>
        <w:rPr>
          <w:i/>
          <w:iCs w:val="0"/>
          <w:lang w:val="en-ZA"/>
        </w:rPr>
      </w:pPr>
      <w:r w:rsidRPr="00CF0831">
        <w:rPr>
          <w:i/>
          <w:iCs w:val="0"/>
          <w:sz w:val="22"/>
          <w:lang w:val="en-ZA"/>
        </w:rPr>
        <w:t>[106.3]</w:t>
      </w:r>
      <w:r w:rsidRPr="00CF0831">
        <w:rPr>
          <w:i/>
          <w:iCs w:val="0"/>
          <w:sz w:val="22"/>
          <w:lang w:val="en-ZA"/>
        </w:rPr>
        <w:tab/>
      </w:r>
      <w:r w:rsidR="00663C34" w:rsidRPr="00CF0831">
        <w:rPr>
          <w:i/>
          <w:iCs w:val="0"/>
        </w:rPr>
        <w:t>“60. The Claimant has suffered damages as a result of the Defendant's breach of the Contract in the form of its loss of the profit it would have earned had it been allocated the sites concerned as it should have been.</w:t>
      </w:r>
    </w:p>
    <w:p w14:paraId="6A906AA1" w14:textId="6CA527D0" w:rsidR="00663C34" w:rsidRPr="00CF0831" w:rsidRDefault="00AC5E05" w:rsidP="00AC5E05">
      <w:pPr>
        <w:pStyle w:val="2"/>
        <w:numPr>
          <w:ilvl w:val="0"/>
          <w:numId w:val="0"/>
        </w:numPr>
        <w:tabs>
          <w:tab w:val="left" w:pos="851"/>
        </w:tabs>
        <w:ind w:left="851" w:hanging="851"/>
        <w:rPr>
          <w:i/>
          <w:iCs w:val="0"/>
          <w:lang w:val="en-ZA"/>
        </w:rPr>
      </w:pPr>
      <w:r w:rsidRPr="00CF0831">
        <w:rPr>
          <w:i/>
          <w:iCs w:val="0"/>
          <w:sz w:val="22"/>
          <w:lang w:val="en-ZA"/>
        </w:rPr>
        <w:t>[106.4]</w:t>
      </w:r>
      <w:r w:rsidRPr="00CF0831">
        <w:rPr>
          <w:i/>
          <w:iCs w:val="0"/>
          <w:sz w:val="22"/>
          <w:lang w:val="en-ZA"/>
        </w:rPr>
        <w:tab/>
      </w:r>
      <w:r w:rsidR="00663C34" w:rsidRPr="00CF0831">
        <w:rPr>
          <w:i/>
          <w:iCs w:val="0"/>
        </w:rPr>
        <w:t xml:space="preserve">“61. The Claimant's loss in this regard constitutes damages which flow naturally and directly from the Defendant's breach and/or are damages which it may be reasonably supposed to have been in the contemplation of the parties at the conclusion of the Contract as a probable consequence of any such breach.” </w:t>
      </w:r>
    </w:p>
    <w:p w14:paraId="415798A7" w14:textId="2D24823D" w:rsidR="00663C34" w:rsidRPr="00CF0831" w:rsidRDefault="00AC5E05" w:rsidP="00AC5E05">
      <w:pPr>
        <w:pStyle w:val="2"/>
        <w:numPr>
          <w:ilvl w:val="0"/>
          <w:numId w:val="0"/>
        </w:numPr>
        <w:tabs>
          <w:tab w:val="left" w:pos="851"/>
        </w:tabs>
        <w:ind w:left="851" w:hanging="851"/>
        <w:rPr>
          <w:i/>
          <w:iCs w:val="0"/>
          <w:lang w:val="en-ZA"/>
        </w:rPr>
      </w:pPr>
      <w:r w:rsidRPr="00CF0831">
        <w:rPr>
          <w:i/>
          <w:iCs w:val="0"/>
          <w:sz w:val="22"/>
          <w:lang w:val="en-ZA"/>
        </w:rPr>
        <w:t>[106.5]</w:t>
      </w:r>
      <w:r w:rsidRPr="00CF0831">
        <w:rPr>
          <w:i/>
          <w:iCs w:val="0"/>
          <w:sz w:val="22"/>
          <w:lang w:val="en-ZA"/>
        </w:rPr>
        <w:tab/>
      </w:r>
      <w:r w:rsidR="00663C34" w:rsidRPr="00CF0831">
        <w:rPr>
          <w:i/>
          <w:iCs w:val="0"/>
        </w:rPr>
        <w:t>“62. The Defendant is liable for the Claimant's aforesaid damages and loss by virtue of the compensation event regime contained in the Contract, alternatively in accordance with the common law principles applicable to a breach of contract.”</w:t>
      </w:r>
    </w:p>
    <w:p w14:paraId="5888034D" w14:textId="1E2283BC" w:rsidR="00663C34" w:rsidRPr="00E61387" w:rsidRDefault="00AC5E05" w:rsidP="00AC5E05">
      <w:pPr>
        <w:pStyle w:val="2"/>
        <w:numPr>
          <w:ilvl w:val="0"/>
          <w:numId w:val="0"/>
        </w:numPr>
        <w:tabs>
          <w:tab w:val="left" w:pos="851"/>
        </w:tabs>
        <w:ind w:left="851" w:hanging="851"/>
        <w:rPr>
          <w:lang w:val="en-ZA"/>
        </w:rPr>
      </w:pPr>
      <w:r w:rsidRPr="00E61387">
        <w:rPr>
          <w:sz w:val="22"/>
          <w:lang w:val="en-ZA"/>
        </w:rPr>
        <w:t>[106.6]</w:t>
      </w:r>
      <w:r w:rsidRPr="00E61387">
        <w:rPr>
          <w:sz w:val="22"/>
          <w:lang w:val="en-ZA"/>
        </w:rPr>
        <w:tab/>
      </w:r>
      <w:r w:rsidR="00663C34" w:rsidRPr="00CF0831">
        <w:rPr>
          <w:i/>
          <w:iCs w:val="0"/>
        </w:rPr>
        <w:t>63. The Claimant's claims set out above represent the fair and reasonable quantum of the Claimant's damages and loss occasioned by the Defendant's breaches</w:t>
      </w:r>
      <w:r w:rsidR="00663C34">
        <w:t>.”</w:t>
      </w:r>
      <w:r w:rsidR="00663C34">
        <w:rPr>
          <w:rStyle w:val="FootnoteReference"/>
        </w:rPr>
        <w:footnoteReference w:id="61"/>
      </w:r>
    </w:p>
    <w:p w14:paraId="74F3897F" w14:textId="61B5FFC8" w:rsidR="00663C34" w:rsidRDefault="00AC5E05" w:rsidP="00AC5E05">
      <w:pPr>
        <w:pStyle w:val="1"/>
        <w:numPr>
          <w:ilvl w:val="0"/>
          <w:numId w:val="0"/>
        </w:numPr>
        <w:tabs>
          <w:tab w:val="left" w:pos="567"/>
        </w:tabs>
        <w:ind w:left="567" w:hanging="567"/>
        <w:rPr>
          <w:lang w:val="en-ZA"/>
        </w:rPr>
      </w:pPr>
      <w:r>
        <w:rPr>
          <w:rFonts w:cs="Arial"/>
          <w:sz w:val="22"/>
          <w:lang w:val="en-ZA"/>
        </w:rPr>
        <w:lastRenderedPageBreak/>
        <w:t>[107]</w:t>
      </w:r>
      <w:r>
        <w:rPr>
          <w:rFonts w:cs="Arial"/>
          <w:sz w:val="22"/>
          <w:lang w:val="en-ZA"/>
        </w:rPr>
        <w:tab/>
      </w:r>
      <w:r w:rsidR="00663C34">
        <w:rPr>
          <w:lang w:val="en-ZA"/>
        </w:rPr>
        <w:t xml:space="preserve">It is evident from the way Spill Tech pleaded its claims that it was contending for loss of profits connected with incorrectly allocated sites by Transnet and that it relied on both the compensation regime in the Contracts as well as the common law principles applicable to breach of contract.  While the common law claim was not separately formulated Spill Tech clearly states it as an alternative basis of liability.  </w:t>
      </w:r>
    </w:p>
    <w:p w14:paraId="3DEEB5E3" w14:textId="336FC3C4" w:rsidR="00663C34" w:rsidRDefault="00AC5E05" w:rsidP="00AC5E05">
      <w:pPr>
        <w:pStyle w:val="1"/>
        <w:numPr>
          <w:ilvl w:val="0"/>
          <w:numId w:val="0"/>
        </w:numPr>
        <w:tabs>
          <w:tab w:val="left" w:pos="567"/>
        </w:tabs>
        <w:ind w:left="567" w:hanging="567"/>
        <w:rPr>
          <w:lang w:val="en-ZA"/>
        </w:rPr>
      </w:pPr>
      <w:r>
        <w:rPr>
          <w:rFonts w:cs="Arial"/>
          <w:sz w:val="22"/>
          <w:lang w:val="en-ZA"/>
        </w:rPr>
        <w:t>[108]</w:t>
      </w:r>
      <w:r>
        <w:rPr>
          <w:rFonts w:cs="Arial"/>
          <w:sz w:val="22"/>
          <w:lang w:val="en-ZA"/>
        </w:rPr>
        <w:tab/>
      </w:r>
      <w:r w:rsidR="00663C34">
        <w:rPr>
          <w:lang w:val="en-ZA"/>
        </w:rPr>
        <w:t>Transnet’s special defence in the arbitration proceedings was that the claims by Spill Tech were simply consequential damages that were not cogni</w:t>
      </w:r>
      <w:r w:rsidR="00042507">
        <w:rPr>
          <w:lang w:val="en-ZA"/>
        </w:rPr>
        <w:t>s</w:t>
      </w:r>
      <w:r w:rsidR="00663C34">
        <w:rPr>
          <w:lang w:val="en-ZA"/>
        </w:rPr>
        <w:t>able under the Contract. It argued that consequential damages are excluded under the Contracts (Part C1.2 Contract Data (Part one) clause 80.1, clause 80, and clause 18.1).  On a plain reading of the Contracts, the parties’ liability to each other is limited to what is expressly stated in the Contracts.</w:t>
      </w:r>
      <w:r w:rsidR="00663C34">
        <w:rPr>
          <w:rStyle w:val="FootnoteReference"/>
        </w:rPr>
        <w:footnoteReference w:id="62"/>
      </w:r>
      <w:r w:rsidR="00663C34" w:rsidRPr="00F91718">
        <w:rPr>
          <w:lang w:val="en-ZA"/>
        </w:rPr>
        <w:t xml:space="preserve"> </w:t>
      </w:r>
      <w:r w:rsidR="00663C34">
        <w:rPr>
          <w:lang w:val="en-ZA"/>
        </w:rPr>
        <w:t>Transnet argued that once the Arbitrator determines that consequential damages are excluded under the Contracts, Spill Tech’s claims fall to be dismissed.</w:t>
      </w:r>
    </w:p>
    <w:p w14:paraId="09C49CE9" w14:textId="66CBCC76" w:rsidR="00663C34" w:rsidRDefault="00AC5E05" w:rsidP="00AC5E05">
      <w:pPr>
        <w:pStyle w:val="1"/>
        <w:numPr>
          <w:ilvl w:val="0"/>
          <w:numId w:val="0"/>
        </w:numPr>
        <w:tabs>
          <w:tab w:val="left" w:pos="567"/>
        </w:tabs>
        <w:ind w:left="567" w:hanging="567"/>
      </w:pPr>
      <w:r>
        <w:rPr>
          <w:rFonts w:cs="Arial"/>
          <w:sz w:val="22"/>
        </w:rPr>
        <w:t>[109]</w:t>
      </w:r>
      <w:r>
        <w:rPr>
          <w:rFonts w:cs="Arial"/>
          <w:sz w:val="22"/>
        </w:rPr>
        <w:tab/>
      </w:r>
      <w:r w:rsidR="00663C34">
        <w:t>In its Statement of Defence, in which this defence was entitled No Cause of Action, Transnet stated:</w:t>
      </w:r>
    </w:p>
    <w:p w14:paraId="56C44925" w14:textId="23CF67BF" w:rsidR="00663C34" w:rsidRDefault="00AC5E05" w:rsidP="00AC5E05">
      <w:pPr>
        <w:pStyle w:val="2"/>
        <w:numPr>
          <w:ilvl w:val="0"/>
          <w:numId w:val="0"/>
        </w:numPr>
        <w:tabs>
          <w:tab w:val="left" w:pos="851"/>
        </w:tabs>
        <w:ind w:left="851" w:hanging="851"/>
      </w:pPr>
      <w:r>
        <w:rPr>
          <w:sz w:val="22"/>
        </w:rPr>
        <w:t>[109.1]</w:t>
      </w:r>
      <w:r>
        <w:rPr>
          <w:sz w:val="22"/>
        </w:rPr>
        <w:tab/>
      </w:r>
      <w:r w:rsidR="00663C34">
        <w:t>“</w:t>
      </w:r>
      <w:r w:rsidR="00663C34" w:rsidRPr="005648C9">
        <w:rPr>
          <w:i/>
          <w:iCs w:val="0"/>
        </w:rPr>
        <w:t xml:space="preserve">The alleged damages suffered and claimed by Spill Tech Gauteng are pleaded in paragraphs 60 to 64 of the statement of claim, and each and every one of those allegations are denied. The damages claimed by Spill Tech Gauteng are consequential damages and are excluded under the Contract. </w:t>
      </w:r>
      <w:r w:rsidR="00663C34" w:rsidRPr="005648C9">
        <w:rPr>
          <w:i/>
          <w:iCs w:val="0"/>
        </w:rPr>
        <w:lastRenderedPageBreak/>
        <w:t>Accordingly</w:t>
      </w:r>
      <w:r w:rsidR="00663C34">
        <w:rPr>
          <w:i/>
          <w:iCs w:val="0"/>
        </w:rPr>
        <w:t>,</w:t>
      </w:r>
      <w:r w:rsidR="00663C34" w:rsidRPr="005648C9">
        <w:rPr>
          <w:i/>
          <w:iCs w:val="0"/>
        </w:rPr>
        <w:t xml:space="preserve"> Transnet denies that Spill Tech Gauteng has a claim arising</w:t>
      </w:r>
      <w:r w:rsidR="00663C34">
        <w:rPr>
          <w:i/>
          <w:iCs w:val="0"/>
        </w:rPr>
        <w:t xml:space="preserve"> </w:t>
      </w:r>
      <w:r w:rsidR="00663C34" w:rsidRPr="008C4E01">
        <w:rPr>
          <w:i/>
          <w:iCs w:val="0"/>
          <w:u w:val="single"/>
        </w:rPr>
        <w:t>in connection</w:t>
      </w:r>
      <w:r w:rsidR="00663C34" w:rsidRPr="005648C9">
        <w:rPr>
          <w:i/>
          <w:iCs w:val="0"/>
        </w:rPr>
        <w:t xml:space="preserve"> with the Contract</w:t>
      </w:r>
      <w:r w:rsidR="00663C34" w:rsidRPr="005648C9">
        <w:t>.</w:t>
      </w:r>
      <w:r w:rsidR="00663C34">
        <w:t>”</w:t>
      </w:r>
      <w:r w:rsidR="00663C34">
        <w:rPr>
          <w:rStyle w:val="FootnoteReference"/>
        </w:rPr>
        <w:footnoteReference w:id="63"/>
      </w:r>
      <w:r w:rsidR="00663C34" w:rsidRPr="005648C9">
        <w:t> </w:t>
      </w:r>
    </w:p>
    <w:p w14:paraId="4336FA9D" w14:textId="0A3B6647" w:rsidR="00663C34" w:rsidRDefault="00AC5E05" w:rsidP="00AC5E05">
      <w:pPr>
        <w:pStyle w:val="1"/>
        <w:numPr>
          <w:ilvl w:val="0"/>
          <w:numId w:val="0"/>
        </w:numPr>
        <w:tabs>
          <w:tab w:val="left" w:pos="567"/>
        </w:tabs>
        <w:ind w:left="567" w:hanging="567"/>
      </w:pPr>
      <w:r>
        <w:rPr>
          <w:rFonts w:cs="Arial"/>
          <w:sz w:val="22"/>
        </w:rPr>
        <w:t>[110]</w:t>
      </w:r>
      <w:r>
        <w:rPr>
          <w:rFonts w:cs="Arial"/>
          <w:sz w:val="22"/>
        </w:rPr>
        <w:tab/>
      </w:r>
      <w:r w:rsidR="00663C34">
        <w:t>In its application for the separation of the defence, in which the defence is now entitled the Consequential Damages Special Defence, Transnet submitted:</w:t>
      </w:r>
    </w:p>
    <w:p w14:paraId="2F3941A3" w14:textId="029ADDCB" w:rsidR="00663C34" w:rsidRDefault="00AC5E05" w:rsidP="00AC5E05">
      <w:pPr>
        <w:pStyle w:val="2"/>
        <w:numPr>
          <w:ilvl w:val="0"/>
          <w:numId w:val="0"/>
        </w:numPr>
        <w:tabs>
          <w:tab w:val="left" w:pos="851"/>
        </w:tabs>
        <w:ind w:left="851" w:hanging="851"/>
        <w:rPr>
          <w:i/>
          <w:iCs w:val="0"/>
        </w:rPr>
      </w:pPr>
      <w:r>
        <w:rPr>
          <w:i/>
          <w:iCs w:val="0"/>
          <w:sz w:val="22"/>
        </w:rPr>
        <w:t>[110.1]</w:t>
      </w:r>
      <w:r>
        <w:rPr>
          <w:i/>
          <w:iCs w:val="0"/>
          <w:sz w:val="22"/>
        </w:rPr>
        <w:tab/>
      </w:r>
      <w:r w:rsidR="00663C34">
        <w:t>“</w:t>
      </w:r>
      <w:r w:rsidR="00663C34" w:rsidRPr="005E5FD4">
        <w:rPr>
          <w:i/>
          <w:iCs w:val="0"/>
        </w:rPr>
        <w:t xml:space="preserve">The consequential damages special defence is set out in paragraphs 13 to 15 of the statements of defence. The consequential damages special defence is simply that what is claimed by the Claimant are consequential damages —a claim </w:t>
      </w:r>
      <w:r w:rsidR="00663C34" w:rsidRPr="00455750">
        <w:rPr>
          <w:i/>
          <w:iCs w:val="0"/>
        </w:rPr>
        <w:t>which is not cognisable</w:t>
      </w:r>
      <w:r w:rsidR="00663C34" w:rsidRPr="005E5FD4">
        <w:rPr>
          <w:i/>
          <w:iCs w:val="0"/>
        </w:rPr>
        <w:t xml:space="preserve"> under the Contract. This special defence works in tandem with the fourth special defence - the incompetent remedy special defence. The Defendant contends that: The consequential damages special defence </w:t>
      </w:r>
      <w:r w:rsidR="00663C34" w:rsidRPr="002C2F78">
        <w:rPr>
          <w:i/>
          <w:iCs w:val="0"/>
        </w:rPr>
        <w:t>requires an interpretation of the Contract to determine whether a claim for consequential damages is competent or not</w:t>
      </w:r>
      <w:r w:rsidR="00663C34" w:rsidRPr="00020881">
        <w:rPr>
          <w:i/>
          <w:iCs w:val="0"/>
        </w:rPr>
        <w:t>.</w:t>
      </w:r>
      <w:r w:rsidR="00663C34" w:rsidRPr="005E5FD4">
        <w:rPr>
          <w:i/>
          <w:iCs w:val="0"/>
        </w:rPr>
        <w:t xml:space="preserve"> The interpretation of the Contract is a </w:t>
      </w:r>
      <w:r w:rsidR="00663C34" w:rsidRPr="002C2F78">
        <w:rPr>
          <w:i/>
          <w:iCs w:val="0"/>
        </w:rPr>
        <w:t>legal question</w:t>
      </w:r>
      <w:r w:rsidR="00663C34" w:rsidRPr="005E5FD4">
        <w:rPr>
          <w:i/>
          <w:iCs w:val="0"/>
        </w:rPr>
        <w:t xml:space="preserve"> and will not require the leading of any evidence. If the question is determined in the Defendant's favour it will be dispositive of all claims. For all these reasons the Defendant contends that it will be convenient to separate the consequential damages special defence and asks the arbitrator to direct that it be separated accordingly.</w:t>
      </w:r>
      <w:r w:rsidR="00663C34">
        <w:rPr>
          <w:i/>
          <w:iCs w:val="0"/>
        </w:rPr>
        <w:t>”</w:t>
      </w:r>
      <w:r w:rsidR="00663C34">
        <w:rPr>
          <w:rStyle w:val="FootnoteReference"/>
          <w:i/>
          <w:iCs w:val="0"/>
        </w:rPr>
        <w:footnoteReference w:id="64"/>
      </w:r>
    </w:p>
    <w:p w14:paraId="559C5B35" w14:textId="5C7EAC0A" w:rsidR="00663C34" w:rsidRDefault="00AC5E05" w:rsidP="00AC5E05">
      <w:pPr>
        <w:pStyle w:val="1"/>
        <w:numPr>
          <w:ilvl w:val="0"/>
          <w:numId w:val="0"/>
        </w:numPr>
        <w:tabs>
          <w:tab w:val="left" w:pos="567"/>
        </w:tabs>
        <w:ind w:left="567" w:hanging="567"/>
      </w:pPr>
      <w:r>
        <w:rPr>
          <w:rFonts w:cs="Arial"/>
          <w:sz w:val="22"/>
        </w:rPr>
        <w:t>[111]</w:t>
      </w:r>
      <w:r>
        <w:rPr>
          <w:rFonts w:cs="Arial"/>
          <w:sz w:val="22"/>
        </w:rPr>
        <w:tab/>
      </w:r>
      <w:r w:rsidR="00663C34">
        <w:t xml:space="preserve">The change in the title of the defence suggests that Transnet had changed its litigation strategy midstream.  But </w:t>
      </w:r>
      <w:r w:rsidR="00663C34" w:rsidRPr="004B029F">
        <w:rPr>
          <w:lang w:val="en-ZA"/>
        </w:rPr>
        <w:t>this much is clear</w:t>
      </w:r>
      <w:r w:rsidR="00663C34">
        <w:rPr>
          <w:lang w:val="en-ZA"/>
        </w:rPr>
        <w:t xml:space="preserve"> – in its submissions Transnet </w:t>
      </w:r>
      <w:r w:rsidR="00663C34">
        <w:rPr>
          <w:lang w:val="en-ZA"/>
        </w:rPr>
        <w:lastRenderedPageBreak/>
        <w:t xml:space="preserve">contends that </w:t>
      </w:r>
      <w:r w:rsidR="00663C34">
        <w:t>’</w:t>
      </w:r>
      <w:r w:rsidR="00663C34" w:rsidRPr="002C2F78">
        <w:rPr>
          <w:i/>
          <w:iCs w:val="0"/>
        </w:rPr>
        <w:t>t</w:t>
      </w:r>
      <w:r w:rsidR="00663C34" w:rsidRPr="00D43904">
        <w:rPr>
          <w:i/>
          <w:iCs w:val="0"/>
        </w:rPr>
        <w:t>h</w:t>
      </w:r>
      <w:r w:rsidR="00663C34" w:rsidRPr="00020881">
        <w:rPr>
          <w:i/>
        </w:rPr>
        <w:t xml:space="preserve">e consequential damages special defence </w:t>
      </w:r>
      <w:r w:rsidR="00663C34" w:rsidRPr="00020881">
        <w:rPr>
          <w:i/>
          <w:u w:val="single"/>
        </w:rPr>
        <w:t>requires an interpretation of the Contract to determine whether a claim for consequential damages is competent or not</w:t>
      </w:r>
      <w:r w:rsidR="00663C34">
        <w:rPr>
          <w:i/>
          <w:u w:val="single"/>
        </w:rPr>
        <w:t>’</w:t>
      </w:r>
      <w:r w:rsidR="00663C34" w:rsidRPr="00020881">
        <w:rPr>
          <w:i/>
        </w:rPr>
        <w:t>.</w:t>
      </w:r>
      <w:r w:rsidR="00663C34">
        <w:rPr>
          <w:i/>
        </w:rPr>
        <w:t>(</w:t>
      </w:r>
      <w:r w:rsidR="00663C34" w:rsidRPr="002C2F78">
        <w:rPr>
          <w:iCs w:val="0"/>
        </w:rPr>
        <w:t>My emphasis</w:t>
      </w:r>
      <w:r w:rsidR="00663C34">
        <w:rPr>
          <w:i/>
        </w:rPr>
        <w:t>).</w:t>
      </w:r>
      <w:r w:rsidR="00663C34" w:rsidRPr="00563781">
        <w:rPr>
          <w:lang w:val="en-ZA"/>
        </w:rPr>
        <w:t xml:space="preserve"> </w:t>
      </w:r>
    </w:p>
    <w:p w14:paraId="6A63F1EB" w14:textId="64423F2E" w:rsidR="00663C34" w:rsidRDefault="00AC5E05" w:rsidP="00AC5E05">
      <w:pPr>
        <w:pStyle w:val="1"/>
        <w:numPr>
          <w:ilvl w:val="0"/>
          <w:numId w:val="0"/>
        </w:numPr>
        <w:tabs>
          <w:tab w:val="left" w:pos="567"/>
        </w:tabs>
        <w:ind w:left="567" w:hanging="567"/>
        <w:rPr>
          <w:lang w:val="en-ZA"/>
        </w:rPr>
      </w:pPr>
      <w:r>
        <w:rPr>
          <w:rFonts w:cs="Arial"/>
          <w:sz w:val="22"/>
          <w:lang w:val="en-ZA"/>
        </w:rPr>
        <w:t>[112]</w:t>
      </w:r>
      <w:r>
        <w:rPr>
          <w:rFonts w:cs="Arial"/>
          <w:sz w:val="22"/>
          <w:lang w:val="en-ZA"/>
        </w:rPr>
        <w:tab/>
      </w:r>
      <w:r w:rsidR="00663C34">
        <w:rPr>
          <w:lang w:val="en-ZA"/>
        </w:rPr>
        <w:t>In his award the Arbitrator found:</w:t>
      </w:r>
    </w:p>
    <w:p w14:paraId="1744B345" w14:textId="7FAE7EC5" w:rsidR="00663C34" w:rsidRDefault="00AC5E05" w:rsidP="00AC5E05">
      <w:pPr>
        <w:pStyle w:val="2"/>
        <w:numPr>
          <w:ilvl w:val="0"/>
          <w:numId w:val="0"/>
        </w:numPr>
        <w:tabs>
          <w:tab w:val="left" w:pos="851"/>
        </w:tabs>
        <w:ind w:left="851" w:hanging="851"/>
      </w:pPr>
      <w:r>
        <w:rPr>
          <w:sz w:val="22"/>
        </w:rPr>
        <w:t>[112.1]</w:t>
      </w:r>
      <w:r>
        <w:rPr>
          <w:sz w:val="22"/>
        </w:rPr>
        <w:tab/>
      </w:r>
      <w:r w:rsidR="00663C34">
        <w:t>“</w:t>
      </w:r>
      <w:r w:rsidR="00663C34" w:rsidRPr="00EE6263">
        <w:rPr>
          <w:i/>
          <w:iCs w:val="0"/>
        </w:rPr>
        <w:t>Assuming they are consequential (and not general damages) these are included in common law claims for breach of contract, common law remedies are not excluded by the NEC3 Contracts and therefore consequential damages are cognisable in the Contracts</w:t>
      </w:r>
      <w:r w:rsidR="00663C34">
        <w:t xml:space="preserve">.”  </w:t>
      </w:r>
    </w:p>
    <w:p w14:paraId="419E0AF3" w14:textId="6C25C2C9" w:rsidR="00663C34" w:rsidRDefault="00AC5E05" w:rsidP="00AC5E05">
      <w:pPr>
        <w:pStyle w:val="1"/>
        <w:numPr>
          <w:ilvl w:val="0"/>
          <w:numId w:val="0"/>
        </w:numPr>
        <w:tabs>
          <w:tab w:val="left" w:pos="567"/>
        </w:tabs>
        <w:ind w:left="567" w:hanging="567"/>
      </w:pPr>
      <w:r>
        <w:rPr>
          <w:rFonts w:cs="Arial"/>
          <w:sz w:val="22"/>
        </w:rPr>
        <w:t>[113]</w:t>
      </w:r>
      <w:r>
        <w:rPr>
          <w:rFonts w:cs="Arial"/>
          <w:sz w:val="22"/>
        </w:rPr>
        <w:tab/>
      </w:r>
      <w:r w:rsidR="00663C34">
        <w:t>In his award, the Arbitrator describes this defence as having two aspects.</w:t>
      </w:r>
      <w:r w:rsidR="00663C34">
        <w:rPr>
          <w:rStyle w:val="FootnoteReference"/>
        </w:rPr>
        <w:footnoteReference w:id="65"/>
      </w:r>
      <w:r w:rsidR="00663C34">
        <w:t xml:space="preserve">  The first is whether the damages claimed by the claimants are consequential damages.  The second is whether consequential damages or general damages claimable under the common law are expressly or by necessary implication excluded by the contract.  The Arbitrator concludes that the damages claimed by Spill Tech are not indirect or consequential but flow naturally and generally from the breach complained of.  They were general damages.  But even if they were consequential damages, they are not precluded from the Contracts because the NEC3 Conditions of Contract do not expressly exclude common law rights.  He concludes that Spill Tech’s claims may be claimed under the Contracts because the NEC3 Conditions of Contract do not exclude common law remedies.</w:t>
      </w:r>
    </w:p>
    <w:p w14:paraId="6716DE8C" w14:textId="208A13C9" w:rsidR="00663C34" w:rsidRPr="00C820E4" w:rsidRDefault="00AC5E05" w:rsidP="00AC5E05">
      <w:pPr>
        <w:pStyle w:val="1"/>
        <w:numPr>
          <w:ilvl w:val="0"/>
          <w:numId w:val="0"/>
        </w:numPr>
        <w:tabs>
          <w:tab w:val="left" w:pos="567"/>
        </w:tabs>
        <w:ind w:left="567" w:hanging="567"/>
      </w:pPr>
      <w:r w:rsidRPr="00C820E4">
        <w:rPr>
          <w:rFonts w:cs="Arial"/>
          <w:sz w:val="22"/>
        </w:rPr>
        <w:lastRenderedPageBreak/>
        <w:t>[114]</w:t>
      </w:r>
      <w:r w:rsidRPr="00C820E4">
        <w:rPr>
          <w:rFonts w:cs="Arial"/>
          <w:sz w:val="22"/>
        </w:rPr>
        <w:tab/>
      </w:r>
      <w:r w:rsidR="00663C34">
        <w:t xml:space="preserve">Hence the enquiry into whether consequential damages were cognisable under the Contracts had acquired a ‘second leg’ namely </w:t>
      </w:r>
      <w:r w:rsidR="00663C34" w:rsidRPr="00C820E4">
        <w:rPr>
          <w:i/>
          <w:iCs w:val="0"/>
        </w:rPr>
        <w:t>whether consequential damages or general damages claimable under the common law are expressly or by necessary implication excluded by the contract</w:t>
      </w:r>
      <w:r w:rsidR="00663C34">
        <w:rPr>
          <w:i/>
          <w:iCs w:val="0"/>
        </w:rPr>
        <w:t>.</w:t>
      </w:r>
    </w:p>
    <w:p w14:paraId="3A00B1C6" w14:textId="6CDACA26" w:rsidR="00115D12" w:rsidRDefault="00AC5E05" w:rsidP="00AC5E05">
      <w:pPr>
        <w:pStyle w:val="1"/>
        <w:numPr>
          <w:ilvl w:val="0"/>
          <w:numId w:val="0"/>
        </w:numPr>
        <w:tabs>
          <w:tab w:val="left" w:pos="567"/>
        </w:tabs>
        <w:ind w:left="567" w:hanging="567"/>
      </w:pPr>
      <w:r>
        <w:rPr>
          <w:rFonts w:cs="Arial"/>
          <w:sz w:val="22"/>
        </w:rPr>
        <w:t>[115]</w:t>
      </w:r>
      <w:r>
        <w:rPr>
          <w:rFonts w:cs="Arial"/>
          <w:sz w:val="22"/>
        </w:rPr>
        <w:tab/>
      </w:r>
      <w:r w:rsidR="00663C34">
        <w:t xml:space="preserve"> In these proceedings, Transnet challenges this finding</w:t>
      </w:r>
      <w:r w:rsidR="00663C34" w:rsidRPr="00C820E4">
        <w:rPr>
          <w:i/>
        </w:rPr>
        <w:t xml:space="preserve"> inter alia </w:t>
      </w:r>
      <w:r w:rsidR="00663C34">
        <w:t>on the basis that Spill Tech’s reliance on the common law basis of its claim for loss of profits for breach of contract was not properly</w:t>
      </w:r>
      <w:r w:rsidR="00466CC4">
        <w:t xml:space="preserve"> pleaded</w:t>
      </w:r>
      <w:r w:rsidR="00663C34">
        <w:t>, did not form part of the separated issues, that the Arbitrator exceeded his powers and conducted the wrong enquiry.  All that he was required to do was determine whether a loss of profits claim was expressly included in the Contracts. Furthermore, the Arbitrator did not provide Transnet with an adequate opportunity to address the second issue decided by him namely whether common law rights for breach of contract were included in the Contracts and whether Spill Tech’s claim fell within these common law rights for breach of contract.</w:t>
      </w:r>
      <w:r w:rsidR="0002291F">
        <w:t xml:space="preserve">  Transnet has been prejudiced by this finding.  </w:t>
      </w:r>
    </w:p>
    <w:p w14:paraId="5739052A" w14:textId="4839CF84" w:rsidR="0002291F" w:rsidRDefault="00AC5E05" w:rsidP="00AC5E05">
      <w:pPr>
        <w:pStyle w:val="1"/>
        <w:numPr>
          <w:ilvl w:val="0"/>
          <w:numId w:val="0"/>
        </w:numPr>
        <w:tabs>
          <w:tab w:val="left" w:pos="567"/>
        </w:tabs>
        <w:ind w:left="567" w:hanging="567"/>
      </w:pPr>
      <w:r>
        <w:rPr>
          <w:rFonts w:cs="Arial"/>
          <w:sz w:val="22"/>
        </w:rPr>
        <w:t>[116]</w:t>
      </w:r>
      <w:r>
        <w:rPr>
          <w:rFonts w:cs="Arial"/>
          <w:sz w:val="22"/>
        </w:rPr>
        <w:tab/>
      </w:r>
      <w:r w:rsidR="00011730">
        <w:t>It alleges</w:t>
      </w:r>
      <w:r w:rsidR="00466CC4">
        <w:t xml:space="preserve"> further</w:t>
      </w:r>
      <w:r w:rsidR="00011730">
        <w:t xml:space="preserve"> that </w:t>
      </w:r>
      <w:r w:rsidR="0030319A">
        <w:t xml:space="preserve">its approach </w:t>
      </w:r>
      <w:r w:rsidR="00115D12">
        <w:t>was</w:t>
      </w:r>
      <w:r w:rsidR="0030319A">
        <w:t xml:space="preserve"> to direct the special defences to the provisions of the Contracts </w:t>
      </w:r>
      <w:r w:rsidR="00115D12">
        <w:t xml:space="preserve">only </w:t>
      </w:r>
      <w:r w:rsidR="0030319A">
        <w:t>and not to Spill Tech’s common law rights (assuming they were properly pleaded)</w:t>
      </w:r>
      <w:r w:rsidR="00115D12">
        <w:t xml:space="preserve"> and that its intention was to </w:t>
      </w:r>
      <w:r w:rsidR="00F0751B">
        <w:t>deal with Spill Tech’s common law case sometime in the future and possibly in some other forum.</w:t>
      </w:r>
    </w:p>
    <w:p w14:paraId="0C21B128" w14:textId="07C268C4" w:rsidR="00F0751B" w:rsidRDefault="00AC5E05" w:rsidP="00AC5E05">
      <w:pPr>
        <w:pStyle w:val="1"/>
        <w:numPr>
          <w:ilvl w:val="0"/>
          <w:numId w:val="0"/>
        </w:numPr>
        <w:tabs>
          <w:tab w:val="left" w:pos="567"/>
        </w:tabs>
        <w:ind w:left="567" w:hanging="567"/>
      </w:pPr>
      <w:r>
        <w:rPr>
          <w:rFonts w:cs="Arial"/>
          <w:sz w:val="22"/>
        </w:rPr>
        <w:t>[117]</w:t>
      </w:r>
      <w:r>
        <w:rPr>
          <w:rFonts w:cs="Arial"/>
          <w:sz w:val="22"/>
        </w:rPr>
        <w:tab/>
      </w:r>
      <w:r w:rsidR="00F0751B">
        <w:t xml:space="preserve"> I understand this argument to mean that Transnet directed its special defences against only the express provisions of the Contracts and the four corners of the </w:t>
      </w:r>
      <w:r w:rsidR="00F0751B">
        <w:lastRenderedPageBreak/>
        <w:t xml:space="preserve">documents containing these and that it had a view that the common law claim would be dealt with sometime in the future and that the parties had not agreed to refer this to arbitration </w:t>
      </w:r>
      <w:r w:rsidR="00DA636A">
        <w:t>i.e.</w:t>
      </w:r>
      <w:r w:rsidR="00F0751B">
        <w:t xml:space="preserve"> the existence debate.</w:t>
      </w:r>
      <w:r w:rsidR="0002291F">
        <w:t xml:space="preserve">  </w:t>
      </w:r>
    </w:p>
    <w:p w14:paraId="734D9978" w14:textId="6901DE84" w:rsidR="00663C34" w:rsidRPr="00CE523D" w:rsidRDefault="00AC5E05" w:rsidP="00AC5E05">
      <w:pPr>
        <w:pStyle w:val="1"/>
        <w:numPr>
          <w:ilvl w:val="0"/>
          <w:numId w:val="0"/>
        </w:numPr>
        <w:tabs>
          <w:tab w:val="left" w:pos="567"/>
        </w:tabs>
        <w:ind w:left="567" w:hanging="567"/>
        <w:rPr>
          <w:lang w:val="en-ZA"/>
        </w:rPr>
      </w:pPr>
      <w:r w:rsidRPr="00CE523D">
        <w:rPr>
          <w:rFonts w:cs="Arial"/>
          <w:sz w:val="22"/>
          <w:lang w:val="en-ZA"/>
        </w:rPr>
        <w:t>[118]</w:t>
      </w:r>
      <w:r w:rsidRPr="00CE523D">
        <w:rPr>
          <w:rFonts w:cs="Arial"/>
          <w:sz w:val="22"/>
          <w:lang w:val="en-ZA"/>
        </w:rPr>
        <w:tab/>
      </w:r>
      <w:r w:rsidR="00663C34" w:rsidRPr="00CE523D">
        <w:rPr>
          <w:lang w:val="en-ZA"/>
        </w:rPr>
        <w:t xml:space="preserve">Spill Tech disputes that Transnet was not provided with an adequate opportunity or that its claim based on common law rights for breach of contract were not fully ventilated in the arbitration.  Spill Tech submits the issue of its claims being based on common law principles was extensively debated at the arbitration hearing.  </w:t>
      </w:r>
    </w:p>
    <w:p w14:paraId="030585B6" w14:textId="3C858310" w:rsidR="00663C34" w:rsidRDefault="00AC5E05" w:rsidP="00AC5E05">
      <w:pPr>
        <w:pStyle w:val="1"/>
        <w:numPr>
          <w:ilvl w:val="0"/>
          <w:numId w:val="0"/>
        </w:numPr>
        <w:tabs>
          <w:tab w:val="left" w:pos="567"/>
        </w:tabs>
        <w:ind w:left="567" w:hanging="567"/>
      </w:pPr>
      <w:r>
        <w:rPr>
          <w:rFonts w:cs="Arial"/>
          <w:sz w:val="22"/>
        </w:rPr>
        <w:t>[119]</w:t>
      </w:r>
      <w:r>
        <w:rPr>
          <w:rFonts w:cs="Arial"/>
          <w:sz w:val="22"/>
        </w:rPr>
        <w:tab/>
      </w:r>
      <w:r w:rsidR="00663C34">
        <w:t>Let us turn to consider how these events came about. Since the full transcript of proceedings was not placed before me, I am constrained to rely on the limited extracts of the record and the award to discern the chronological progression of this issue.</w:t>
      </w:r>
    </w:p>
    <w:p w14:paraId="05E74700" w14:textId="226CA1BD" w:rsidR="00663C34" w:rsidRDefault="00AC5E05" w:rsidP="00AC5E05">
      <w:pPr>
        <w:pStyle w:val="1"/>
        <w:numPr>
          <w:ilvl w:val="0"/>
          <w:numId w:val="0"/>
        </w:numPr>
        <w:tabs>
          <w:tab w:val="left" w:pos="567"/>
        </w:tabs>
        <w:ind w:left="567" w:hanging="567"/>
      </w:pPr>
      <w:r>
        <w:rPr>
          <w:rFonts w:cs="Arial"/>
          <w:sz w:val="22"/>
        </w:rPr>
        <w:t>[120]</w:t>
      </w:r>
      <w:r>
        <w:rPr>
          <w:rFonts w:cs="Arial"/>
          <w:sz w:val="22"/>
        </w:rPr>
        <w:tab/>
      </w:r>
      <w:r w:rsidR="00663C34">
        <w:t xml:space="preserve">In its answering affidavit Spill Tech further provides the following excerpt of the transcript in support of its contention that Spill Tech’s claim being based on common law principles was extensively debated: </w:t>
      </w:r>
    </w:p>
    <w:p w14:paraId="149B811B" w14:textId="0331A3FC" w:rsidR="00663C34" w:rsidRPr="00A803AF" w:rsidRDefault="00AC5E05" w:rsidP="00AC5E05">
      <w:pPr>
        <w:pStyle w:val="2"/>
        <w:numPr>
          <w:ilvl w:val="0"/>
          <w:numId w:val="0"/>
        </w:numPr>
        <w:tabs>
          <w:tab w:val="left" w:pos="851"/>
        </w:tabs>
        <w:spacing w:line="276" w:lineRule="auto"/>
        <w:ind w:left="851" w:hanging="851"/>
        <w:rPr>
          <w:i/>
          <w:iCs w:val="0"/>
          <w:sz w:val="22"/>
          <w:lang w:val="en-ZA"/>
        </w:rPr>
      </w:pPr>
      <w:r w:rsidRPr="00A803AF">
        <w:rPr>
          <w:i/>
          <w:iCs w:val="0"/>
          <w:sz w:val="22"/>
          <w:lang w:val="en-ZA"/>
        </w:rPr>
        <w:t>[120.1]</w:t>
      </w:r>
      <w:r w:rsidRPr="00A803AF">
        <w:rPr>
          <w:i/>
          <w:iCs w:val="0"/>
          <w:sz w:val="22"/>
          <w:lang w:val="en-ZA"/>
        </w:rPr>
        <w:tab/>
      </w:r>
      <w:r w:rsidR="00663C34" w:rsidRPr="003A706E">
        <w:rPr>
          <w:i/>
          <w:iCs w:val="0"/>
          <w:sz w:val="22"/>
        </w:rPr>
        <w:t>"</w:t>
      </w:r>
      <w:r w:rsidR="00663C34" w:rsidRPr="003A706E">
        <w:rPr>
          <w:i/>
          <w:iCs w:val="0"/>
          <w:sz w:val="22"/>
          <w:u w:val="single"/>
        </w:rPr>
        <w:t>MR LUTHULI</w:t>
      </w:r>
      <w:r w:rsidR="00663C34" w:rsidRPr="003A706E">
        <w:rPr>
          <w:i/>
          <w:iCs w:val="0"/>
          <w:sz w:val="22"/>
        </w:rPr>
        <w:t xml:space="preserve"> We are not Mr Arbitrator contending that they will never have a c</w:t>
      </w:r>
      <w:r w:rsidR="00663C34">
        <w:rPr>
          <w:i/>
          <w:iCs w:val="0"/>
          <w:sz w:val="22"/>
        </w:rPr>
        <w:t>laim for</w:t>
      </w:r>
      <w:r w:rsidR="00663C34" w:rsidRPr="003A706E">
        <w:rPr>
          <w:i/>
          <w:iCs w:val="0"/>
          <w:sz w:val="22"/>
        </w:rPr>
        <w:t xml:space="preserve"> consequential damages. Such a claim may exist at common law. All we are s</w:t>
      </w:r>
      <w:r w:rsidR="00663C34">
        <w:rPr>
          <w:i/>
          <w:iCs w:val="0"/>
          <w:sz w:val="22"/>
        </w:rPr>
        <w:t>aying to</w:t>
      </w:r>
      <w:r w:rsidR="00663C34" w:rsidRPr="003A706E">
        <w:rPr>
          <w:i/>
          <w:iCs w:val="0"/>
          <w:sz w:val="22"/>
        </w:rPr>
        <w:t xml:space="preserve"> you Mr Arbitrator</w:t>
      </w:r>
      <w:r w:rsidR="00663C34">
        <w:rPr>
          <w:i/>
          <w:iCs w:val="0"/>
          <w:sz w:val="22"/>
        </w:rPr>
        <w:t xml:space="preserve"> </w:t>
      </w:r>
      <w:r w:rsidR="00663C34" w:rsidRPr="003A706E">
        <w:rPr>
          <w:i/>
          <w:iCs w:val="0"/>
          <w:sz w:val="22"/>
        </w:rPr>
        <w:t>is tha</w:t>
      </w:r>
      <w:r w:rsidR="00663C34">
        <w:rPr>
          <w:i/>
          <w:iCs w:val="0"/>
          <w:sz w:val="22"/>
        </w:rPr>
        <w:t xml:space="preserve">t </w:t>
      </w:r>
      <w:r w:rsidR="00663C34" w:rsidRPr="003A706E">
        <w:rPr>
          <w:i/>
          <w:iCs w:val="0"/>
          <w:sz w:val="22"/>
        </w:rPr>
        <w:t>it does not exist under the contract and here we are bei</w:t>
      </w:r>
      <w:r w:rsidR="00663C34">
        <w:rPr>
          <w:i/>
          <w:iCs w:val="0"/>
          <w:sz w:val="22"/>
        </w:rPr>
        <w:t>ng sued</w:t>
      </w:r>
      <w:r w:rsidR="00663C34" w:rsidRPr="003A706E">
        <w:rPr>
          <w:i/>
          <w:iCs w:val="0"/>
          <w:sz w:val="22"/>
        </w:rPr>
        <w:t xml:space="preserve"> under the contract.</w:t>
      </w:r>
    </w:p>
    <w:p w14:paraId="2CB49276" w14:textId="77777777" w:rsidR="00663C34" w:rsidRDefault="00663C34" w:rsidP="00663C34">
      <w:pPr>
        <w:pStyle w:val="2"/>
        <w:numPr>
          <w:ilvl w:val="0"/>
          <w:numId w:val="0"/>
        </w:numPr>
        <w:spacing w:line="276" w:lineRule="auto"/>
        <w:ind w:left="1418"/>
        <w:rPr>
          <w:i/>
          <w:iCs w:val="0"/>
          <w:sz w:val="22"/>
        </w:rPr>
      </w:pPr>
      <w:r w:rsidRPr="00A803AF">
        <w:rPr>
          <w:i/>
          <w:iCs w:val="0"/>
          <w:sz w:val="22"/>
          <w:u w:val="single"/>
        </w:rPr>
        <w:t>ARBITRATOR</w:t>
      </w:r>
      <w:r w:rsidRPr="003A706E">
        <w:rPr>
          <w:i/>
          <w:iCs w:val="0"/>
          <w:sz w:val="22"/>
        </w:rPr>
        <w:t xml:space="preserve"> Well the common law claim may not be outside of the contract. It may be that one of the remedies that you have is provided by the common law, but it arises out of a breach of the contract. You are not suing in a delict or</w:t>
      </w:r>
      <w:r>
        <w:rPr>
          <w:i/>
          <w:iCs w:val="0"/>
          <w:sz w:val="22"/>
        </w:rPr>
        <w:t xml:space="preserve"> </w:t>
      </w:r>
      <w:r w:rsidRPr="003A706E">
        <w:rPr>
          <w:i/>
          <w:iCs w:val="0"/>
          <w:sz w:val="22"/>
        </w:rPr>
        <w:t>in an enrichment or something like that. It's a claim of breach of contract and</w:t>
      </w:r>
      <w:r>
        <w:rPr>
          <w:i/>
          <w:iCs w:val="0"/>
          <w:sz w:val="22"/>
        </w:rPr>
        <w:t xml:space="preserve"> </w:t>
      </w:r>
      <w:r w:rsidRPr="003A706E">
        <w:rPr>
          <w:i/>
          <w:iCs w:val="0"/>
          <w:sz w:val="22"/>
        </w:rPr>
        <w:t xml:space="preserve">if the contract doesn't provide a specific remedy, that may assist the </w:t>
      </w:r>
      <w:r>
        <w:rPr>
          <w:i/>
          <w:iCs w:val="0"/>
          <w:sz w:val="22"/>
        </w:rPr>
        <w:t>claimant i</w:t>
      </w:r>
      <w:r w:rsidRPr="003A706E">
        <w:rPr>
          <w:i/>
          <w:iCs w:val="0"/>
          <w:sz w:val="22"/>
        </w:rPr>
        <w:t xml:space="preserve">n saying well then I have a claim under common law or for general damages, maybe even for consequential damages so why do you say that's outside of the </w:t>
      </w:r>
      <w:r w:rsidRPr="003A706E">
        <w:rPr>
          <w:i/>
          <w:iCs w:val="0"/>
          <w:sz w:val="22"/>
        </w:rPr>
        <w:lastRenderedPageBreak/>
        <w:t xml:space="preserve">contract? </w:t>
      </w:r>
    </w:p>
    <w:p w14:paraId="26638329" w14:textId="77777777" w:rsidR="00663C34" w:rsidRDefault="00663C34" w:rsidP="00663C34">
      <w:pPr>
        <w:pStyle w:val="2"/>
        <w:numPr>
          <w:ilvl w:val="0"/>
          <w:numId w:val="0"/>
        </w:numPr>
        <w:spacing w:line="276" w:lineRule="auto"/>
        <w:ind w:left="1418"/>
        <w:rPr>
          <w:i/>
          <w:iCs w:val="0"/>
          <w:sz w:val="22"/>
        </w:rPr>
      </w:pPr>
      <w:r w:rsidRPr="00A803AF">
        <w:rPr>
          <w:i/>
          <w:iCs w:val="0"/>
          <w:sz w:val="22"/>
          <w:u w:val="single"/>
        </w:rPr>
        <w:t>MR LUTHULI</w:t>
      </w:r>
      <w:r w:rsidRPr="003A706E">
        <w:rPr>
          <w:i/>
          <w:iCs w:val="0"/>
          <w:sz w:val="22"/>
        </w:rPr>
        <w:t xml:space="preserve"> Because the contract expressly excludes</w:t>
      </w:r>
      <w:r>
        <w:rPr>
          <w:i/>
          <w:iCs w:val="0"/>
          <w:sz w:val="22"/>
        </w:rPr>
        <w:t xml:space="preserve"> </w:t>
      </w:r>
      <w:r w:rsidRPr="003A706E">
        <w:rPr>
          <w:i/>
          <w:iCs w:val="0"/>
          <w:sz w:val="22"/>
        </w:rPr>
        <w:t xml:space="preserve">it Mr Arbitrator. </w:t>
      </w:r>
      <w:r w:rsidRPr="00A803AF">
        <w:rPr>
          <w:i/>
          <w:iCs w:val="0"/>
          <w:sz w:val="22"/>
          <w:u w:val="single"/>
        </w:rPr>
        <w:t>ARBITRATOR</w:t>
      </w:r>
      <w:r w:rsidRPr="003A706E">
        <w:rPr>
          <w:i/>
          <w:iCs w:val="0"/>
          <w:sz w:val="22"/>
        </w:rPr>
        <w:t xml:space="preserve"> Well the contract doesn't deal specifically with this type of breach. </w:t>
      </w:r>
    </w:p>
    <w:p w14:paraId="52AB8643" w14:textId="77777777" w:rsidR="00663C34" w:rsidRDefault="00663C34" w:rsidP="00663C34">
      <w:pPr>
        <w:pStyle w:val="2"/>
        <w:numPr>
          <w:ilvl w:val="0"/>
          <w:numId w:val="0"/>
        </w:numPr>
        <w:spacing w:line="276" w:lineRule="auto"/>
        <w:ind w:left="1418"/>
        <w:rPr>
          <w:i/>
          <w:iCs w:val="0"/>
          <w:sz w:val="22"/>
        </w:rPr>
      </w:pPr>
      <w:r w:rsidRPr="00A803AF">
        <w:rPr>
          <w:i/>
          <w:iCs w:val="0"/>
          <w:sz w:val="22"/>
          <w:u w:val="single"/>
        </w:rPr>
        <w:t>MR LUTHULI</w:t>
      </w:r>
      <w:r w:rsidRPr="003A706E">
        <w:rPr>
          <w:i/>
          <w:iCs w:val="0"/>
          <w:sz w:val="22"/>
        </w:rPr>
        <w:t xml:space="preserve"> It doesn'</w:t>
      </w:r>
      <w:r>
        <w:rPr>
          <w:i/>
          <w:iCs w:val="0"/>
          <w:sz w:val="22"/>
        </w:rPr>
        <w:t>t</w:t>
      </w:r>
      <w:r w:rsidRPr="003A706E">
        <w:rPr>
          <w:i/>
          <w:iCs w:val="0"/>
          <w:sz w:val="22"/>
        </w:rPr>
        <w:t>." </w:t>
      </w:r>
      <w:r>
        <w:rPr>
          <w:rStyle w:val="FootnoteReference"/>
          <w:i/>
          <w:iCs w:val="0"/>
          <w:sz w:val="22"/>
        </w:rPr>
        <w:footnoteReference w:id="66"/>
      </w:r>
    </w:p>
    <w:p w14:paraId="194A89AD" w14:textId="6F03E33E" w:rsidR="00663C34" w:rsidRDefault="00AC5E05" w:rsidP="00AC5E05">
      <w:pPr>
        <w:pStyle w:val="1"/>
        <w:numPr>
          <w:ilvl w:val="0"/>
          <w:numId w:val="0"/>
        </w:numPr>
        <w:tabs>
          <w:tab w:val="left" w:pos="567"/>
        </w:tabs>
        <w:ind w:left="567" w:hanging="567"/>
        <w:rPr>
          <w:lang w:val="en-ZA"/>
        </w:rPr>
      </w:pPr>
      <w:r>
        <w:rPr>
          <w:rFonts w:cs="Arial"/>
          <w:sz w:val="22"/>
          <w:lang w:val="en-ZA"/>
        </w:rPr>
        <w:t>[121]</w:t>
      </w:r>
      <w:r>
        <w:rPr>
          <w:rFonts w:cs="Arial"/>
          <w:sz w:val="22"/>
          <w:lang w:val="en-ZA"/>
        </w:rPr>
        <w:tab/>
      </w:r>
      <w:r w:rsidR="00663C34">
        <w:rPr>
          <w:lang w:val="en-ZA"/>
        </w:rPr>
        <w:t xml:space="preserve">At this point of the proceedings, we see that the Arbitrator has pertinently put his views about the common law </w:t>
      </w:r>
      <w:r w:rsidR="006F6D8A">
        <w:rPr>
          <w:lang w:val="en-ZA"/>
        </w:rPr>
        <w:t xml:space="preserve">claim for </w:t>
      </w:r>
      <w:r w:rsidR="00663C34">
        <w:rPr>
          <w:lang w:val="en-ZA"/>
        </w:rPr>
        <w:t>damages to Transnet’s legal representative.</w:t>
      </w:r>
    </w:p>
    <w:p w14:paraId="5B907F06" w14:textId="0BC3BBAF" w:rsidR="00663C34" w:rsidRPr="00194991" w:rsidRDefault="00AC5E05" w:rsidP="00AC5E05">
      <w:pPr>
        <w:pStyle w:val="1"/>
        <w:numPr>
          <w:ilvl w:val="0"/>
          <w:numId w:val="0"/>
        </w:numPr>
        <w:tabs>
          <w:tab w:val="left" w:pos="567"/>
        </w:tabs>
        <w:ind w:left="567" w:hanging="567"/>
      </w:pPr>
      <w:r w:rsidRPr="00194991">
        <w:rPr>
          <w:rFonts w:cs="Arial"/>
          <w:sz w:val="22"/>
        </w:rPr>
        <w:t>[122]</w:t>
      </w:r>
      <w:r w:rsidRPr="00194991">
        <w:rPr>
          <w:rFonts w:cs="Arial"/>
          <w:sz w:val="22"/>
        </w:rPr>
        <w:tab/>
      </w:r>
      <w:r w:rsidR="00663C34">
        <w:rPr>
          <w:lang w:val="en-ZA"/>
        </w:rPr>
        <w:t xml:space="preserve">In its Heads of Argument (not in its replying affidavit), Transnet submits at paragraph 37 that </w:t>
      </w:r>
      <w:r w:rsidR="00663C34" w:rsidRPr="00194991">
        <w:t>given the way the supposed alternative claim is pleaded</w:t>
      </w:r>
      <w:r w:rsidR="00663C34">
        <w:t xml:space="preserve"> </w:t>
      </w:r>
      <w:r w:rsidR="007242D9">
        <w:t xml:space="preserve">in the SOC </w:t>
      </w:r>
      <w:r w:rsidR="00663C34" w:rsidRPr="00194991">
        <w:t>Transnet</w:t>
      </w:r>
      <w:r w:rsidR="00663C34">
        <w:t>’s legal team</w:t>
      </w:r>
      <w:r w:rsidR="00663C34" w:rsidRPr="00194991">
        <w:t xml:space="preserve"> did not appreciate that the common law claim was meant to be a complete and separate alternative</w:t>
      </w:r>
      <w:r w:rsidR="00663C34">
        <w:t xml:space="preserve"> claim</w:t>
      </w:r>
      <w:r w:rsidR="00663C34" w:rsidRPr="00194991">
        <w:t xml:space="preserve">. In fact, Transnet’s legal advisor’s attention was drawn to the alternative common law claim when it was mentioned by the Arbitrator during the hearing. </w:t>
      </w:r>
      <w:r w:rsidR="00663C34">
        <w:t xml:space="preserve">Even </w:t>
      </w:r>
      <w:r w:rsidR="00663C34" w:rsidRPr="00194991">
        <w:t xml:space="preserve">Spill Tech’s counsel was not certain that Spill Tech had pleaded an alternative claim until it was pointed out to her by her attorney. </w:t>
      </w:r>
      <w:r w:rsidR="00663C34">
        <w:t>Transnet states that t</w:t>
      </w:r>
      <w:r w:rsidR="00663C34" w:rsidRPr="00194991">
        <w:t xml:space="preserve">he relevant exchange can be found at pages 73 and 74 of the transcripts which </w:t>
      </w:r>
      <w:r w:rsidR="00663C34">
        <w:t xml:space="preserve">it said would </w:t>
      </w:r>
      <w:r w:rsidR="00663C34" w:rsidRPr="00194991">
        <w:t>be made available at the hearing of this matter</w:t>
      </w:r>
      <w:r w:rsidR="00663C34">
        <w:rPr>
          <w:rStyle w:val="FootnoteReference"/>
        </w:rPr>
        <w:footnoteReference w:id="67"/>
      </w:r>
      <w:r w:rsidR="00663C34" w:rsidRPr="00194991">
        <w:t xml:space="preserve"> and went as follows:</w:t>
      </w:r>
    </w:p>
    <w:p w14:paraId="5165E677" w14:textId="77777777" w:rsidR="00663C34" w:rsidRPr="003D1BF0" w:rsidRDefault="00663C34" w:rsidP="00663C34">
      <w:pPr>
        <w:pStyle w:val="2"/>
        <w:numPr>
          <w:ilvl w:val="0"/>
          <w:numId w:val="0"/>
        </w:numPr>
        <w:ind w:left="1179"/>
        <w:rPr>
          <w:i/>
          <w:iCs w:val="0"/>
          <w:sz w:val="22"/>
          <w:lang w:val="en-US"/>
        </w:rPr>
      </w:pPr>
      <w:r w:rsidRPr="003D1BF0">
        <w:rPr>
          <w:i/>
          <w:iCs w:val="0"/>
          <w:sz w:val="22"/>
          <w:u w:val="single"/>
          <w:lang w:val="en-US"/>
        </w:rPr>
        <w:t>“ARBITRATOR</w:t>
      </w:r>
      <w:r w:rsidRPr="003D1BF0">
        <w:rPr>
          <w:i/>
          <w:iCs w:val="0"/>
          <w:sz w:val="22"/>
          <w:lang w:val="en-US"/>
        </w:rPr>
        <w:t xml:space="preserve"> I have a difficulty in seeing how one fits a loss of profits into a change of pricing. That prices I think are specifically defined and I'm not sure that a loss of profit can fit there and so that’s, that’s the one difficulty. The other is that </w:t>
      </w:r>
      <w:r w:rsidRPr="003D1BF0">
        <w:rPr>
          <w:i/>
          <w:iCs w:val="0"/>
          <w:sz w:val="22"/>
          <w:lang w:val="en-US"/>
        </w:rPr>
        <w:lastRenderedPageBreak/>
        <w:t>if you say well it’s the loss of profit is something outside of the compensation events, then the question is whether you've pleaded that at all.</w:t>
      </w:r>
    </w:p>
    <w:p w14:paraId="4D47428A" w14:textId="77777777" w:rsidR="00663C34" w:rsidRPr="003D1BF0" w:rsidRDefault="00663C34" w:rsidP="00663C34">
      <w:pPr>
        <w:pStyle w:val="1"/>
        <w:numPr>
          <w:ilvl w:val="0"/>
          <w:numId w:val="0"/>
        </w:numPr>
        <w:ind w:left="1026" w:firstLine="153"/>
        <w:rPr>
          <w:i/>
          <w:iCs w:val="0"/>
          <w:sz w:val="22"/>
          <w:lang w:val="en-US"/>
        </w:rPr>
      </w:pPr>
      <w:r w:rsidRPr="003D1BF0">
        <w:rPr>
          <w:i/>
          <w:iCs w:val="0"/>
          <w:sz w:val="22"/>
          <w:u w:val="single"/>
          <w:lang w:val="en-US"/>
        </w:rPr>
        <w:t>MS ANNINDALE</w:t>
      </w:r>
      <w:r w:rsidRPr="003D1BF0">
        <w:rPr>
          <w:i/>
          <w:iCs w:val="0"/>
          <w:sz w:val="22"/>
          <w:lang w:val="en-US"/>
        </w:rPr>
        <w:t xml:space="preserve"> The claim currently is pleaded on the basis it is a compensation event and the requirements had to be followed, so we accept that is not pleaded. If you were to conduce to the view Mr Arbitrator that in fact this was not a compensation event because of its nature but nonetheless Spill Tech retained its contractual remedies, then it would be open to Spill Tech to amend and to plead that, but it would still be in that dispute which would then be determined here. It would just mean that the actual differences and limitations did not have to be complied with because one didn’t have to go through the referral process. My instructing attorney Mr Arbitrator draws my attention quite rightly to what is pleaded at paragraph 62 of the Gauteng Spill Tech pleadings, that’s at page 16. What is pleaded is indeed in the alternative to say:</w:t>
      </w:r>
    </w:p>
    <w:p w14:paraId="41D083C5" w14:textId="77777777" w:rsidR="00663C34" w:rsidRPr="003D1BF0" w:rsidRDefault="00663C34" w:rsidP="00663C34">
      <w:pPr>
        <w:pStyle w:val="1"/>
        <w:numPr>
          <w:ilvl w:val="0"/>
          <w:numId w:val="0"/>
        </w:numPr>
        <w:ind w:left="873"/>
        <w:rPr>
          <w:i/>
          <w:iCs w:val="0"/>
          <w:sz w:val="22"/>
          <w:lang w:val="en-US"/>
        </w:rPr>
      </w:pPr>
      <w:r w:rsidRPr="003D1BF0">
        <w:rPr>
          <w:i/>
          <w:iCs w:val="0"/>
          <w:sz w:val="22"/>
          <w:lang w:val="en-US"/>
        </w:rPr>
        <w:t>"The defendant is liable for the claimant's damages by virtue of the compensation regime contained in the contract alternatively in accordance with the common law principles applicable to breach".</w:t>
      </w:r>
    </w:p>
    <w:p w14:paraId="775BFC06" w14:textId="77777777" w:rsidR="00663C34" w:rsidRPr="003D1BF0" w:rsidRDefault="00663C34" w:rsidP="00663C34">
      <w:pPr>
        <w:pStyle w:val="1"/>
        <w:numPr>
          <w:ilvl w:val="0"/>
          <w:numId w:val="0"/>
        </w:numPr>
        <w:ind w:left="873"/>
        <w:rPr>
          <w:i/>
          <w:iCs w:val="0"/>
          <w:sz w:val="22"/>
          <w:lang w:val="en-US"/>
        </w:rPr>
      </w:pPr>
      <w:r w:rsidRPr="003D1BF0">
        <w:rPr>
          <w:i/>
          <w:iCs w:val="0"/>
          <w:sz w:val="22"/>
          <w:lang w:val="en-US"/>
        </w:rPr>
        <w:t>And paragraph 63 then states:</w:t>
      </w:r>
    </w:p>
    <w:p w14:paraId="1EE05BC2" w14:textId="77777777" w:rsidR="00663C34" w:rsidRPr="003D1BF0" w:rsidRDefault="00663C34" w:rsidP="00663C34">
      <w:pPr>
        <w:pStyle w:val="1"/>
        <w:numPr>
          <w:ilvl w:val="0"/>
          <w:numId w:val="0"/>
        </w:numPr>
        <w:ind w:left="873"/>
        <w:rPr>
          <w:i/>
          <w:iCs w:val="0"/>
          <w:sz w:val="22"/>
          <w:lang w:val="en-US"/>
        </w:rPr>
      </w:pPr>
      <w:r w:rsidRPr="003D1BF0">
        <w:rPr>
          <w:i/>
          <w:iCs w:val="0"/>
          <w:sz w:val="22"/>
          <w:lang w:val="en-US"/>
        </w:rPr>
        <w:t>"That the claims represent the fair reasonable quantum of the damages and losses occasioned by the breaches</w:t>
      </w:r>
      <w:r>
        <w:rPr>
          <w:i/>
          <w:iCs w:val="0"/>
          <w:sz w:val="22"/>
          <w:lang w:val="en-US"/>
        </w:rPr>
        <w:t>.</w:t>
      </w:r>
      <w:r w:rsidRPr="003D1BF0">
        <w:rPr>
          <w:i/>
          <w:iCs w:val="0"/>
          <w:sz w:val="22"/>
          <w:lang w:val="en-US"/>
        </w:rPr>
        <w:t>"</w:t>
      </w:r>
    </w:p>
    <w:p w14:paraId="202CD268" w14:textId="77777777" w:rsidR="00663C34" w:rsidRPr="00194991" w:rsidRDefault="00663C34" w:rsidP="00663C34">
      <w:pPr>
        <w:pStyle w:val="1"/>
        <w:numPr>
          <w:ilvl w:val="0"/>
          <w:numId w:val="0"/>
        </w:numPr>
        <w:ind w:left="720"/>
        <w:rPr>
          <w:lang w:val="en-US"/>
        </w:rPr>
      </w:pPr>
      <w:r w:rsidRPr="004329F6">
        <w:rPr>
          <w:i/>
          <w:iCs w:val="0"/>
          <w:sz w:val="22"/>
          <w:lang w:val="en-US"/>
        </w:rPr>
        <w:t>So apologies, I misspoke earlier when I said that was not pleaded. It was indeed pleaded in the alternative. I'm indebted to my instructing attorney</w:t>
      </w:r>
      <w:r>
        <w:rPr>
          <w:i/>
          <w:iCs w:val="0"/>
          <w:sz w:val="22"/>
          <w:lang w:val="en-US"/>
        </w:rPr>
        <w:t>.”</w:t>
      </w:r>
    </w:p>
    <w:p w14:paraId="7290AAB5" w14:textId="785FBC32" w:rsidR="00663C34" w:rsidRDefault="00AC5E05" w:rsidP="00AC5E05">
      <w:pPr>
        <w:pStyle w:val="1"/>
        <w:numPr>
          <w:ilvl w:val="0"/>
          <w:numId w:val="0"/>
        </w:numPr>
        <w:tabs>
          <w:tab w:val="left" w:pos="567"/>
        </w:tabs>
        <w:ind w:left="567" w:hanging="567"/>
        <w:rPr>
          <w:lang w:val="en-ZA"/>
        </w:rPr>
      </w:pPr>
      <w:r>
        <w:rPr>
          <w:rFonts w:cs="Arial"/>
          <w:sz w:val="22"/>
          <w:lang w:val="en-ZA"/>
        </w:rPr>
        <w:lastRenderedPageBreak/>
        <w:t>[123]</w:t>
      </w:r>
      <w:r>
        <w:rPr>
          <w:rFonts w:cs="Arial"/>
          <w:sz w:val="22"/>
          <w:lang w:val="en-ZA"/>
        </w:rPr>
        <w:tab/>
      </w:r>
      <w:r w:rsidR="00663C34">
        <w:rPr>
          <w:lang w:val="en-ZA"/>
        </w:rPr>
        <w:t>Transnet submits that the exchange quoted above would have been odd if the alternative claim was pleaded with sufficient clarity to inform Transnet of it.  Spill Tech’s counsel would have known about it.  Moreover, the above exchange would have been odd if the issue had been one of the separate</w:t>
      </w:r>
      <w:r w:rsidR="00A96DC8">
        <w:rPr>
          <w:lang w:val="en-ZA"/>
        </w:rPr>
        <w:t>d</w:t>
      </w:r>
      <w:r w:rsidR="00663C34">
        <w:rPr>
          <w:lang w:val="en-ZA"/>
        </w:rPr>
        <w:t xml:space="preserve"> issues. The parties would have addressed it in their heads of argument and would have been well prepared and been on top of the issues.</w:t>
      </w:r>
      <w:r w:rsidR="00663C34">
        <w:rPr>
          <w:rStyle w:val="FootnoteReference"/>
        </w:rPr>
        <w:footnoteReference w:id="68"/>
      </w:r>
    </w:p>
    <w:p w14:paraId="32F1D42C" w14:textId="31572CD5" w:rsidR="00663C34" w:rsidRDefault="00AC5E05" w:rsidP="00AC5E05">
      <w:pPr>
        <w:pStyle w:val="1"/>
        <w:numPr>
          <w:ilvl w:val="0"/>
          <w:numId w:val="0"/>
        </w:numPr>
        <w:tabs>
          <w:tab w:val="left" w:pos="567"/>
        </w:tabs>
        <w:ind w:left="567" w:hanging="567"/>
        <w:rPr>
          <w:lang w:val="en-ZA"/>
        </w:rPr>
      </w:pPr>
      <w:r>
        <w:rPr>
          <w:rFonts w:cs="Arial"/>
          <w:sz w:val="22"/>
          <w:lang w:val="en-ZA"/>
        </w:rPr>
        <w:t>[124]</w:t>
      </w:r>
      <w:r>
        <w:rPr>
          <w:rFonts w:cs="Arial"/>
          <w:sz w:val="22"/>
          <w:lang w:val="en-ZA"/>
        </w:rPr>
        <w:tab/>
      </w:r>
      <w:r w:rsidR="00663C34">
        <w:rPr>
          <w:lang w:val="en-ZA"/>
        </w:rPr>
        <w:t xml:space="preserve">Ms Annandale in response says that at that time she had misspoke but points to the fact that Spill Tech’s claim had been pleaded, Transnet was aware of this from the beginning and had been provided with an opportunity to make extensive submissions to the Arbitrator.  Furthermore, the Arbitrator  provided the parties with an opportunity to make further submissions.  </w:t>
      </w:r>
    </w:p>
    <w:p w14:paraId="02655D8D" w14:textId="0EE63A4C" w:rsidR="00663C34" w:rsidRPr="00033031" w:rsidRDefault="00AC5E05" w:rsidP="00AC5E05">
      <w:pPr>
        <w:pStyle w:val="1"/>
        <w:numPr>
          <w:ilvl w:val="0"/>
          <w:numId w:val="0"/>
        </w:numPr>
        <w:tabs>
          <w:tab w:val="left" w:pos="567"/>
        </w:tabs>
        <w:ind w:left="567" w:hanging="567"/>
      </w:pPr>
      <w:r w:rsidRPr="00033031">
        <w:rPr>
          <w:rFonts w:cs="Arial"/>
          <w:sz w:val="22"/>
        </w:rPr>
        <w:t>[125]</w:t>
      </w:r>
      <w:r w:rsidRPr="00033031">
        <w:rPr>
          <w:rFonts w:cs="Arial"/>
          <w:sz w:val="22"/>
        </w:rPr>
        <w:tab/>
      </w:r>
      <w:r w:rsidR="00663C34">
        <w:t>Whether an opportunity to make further submissions (“further opportunity”) was provided is not disputed by Transnet</w:t>
      </w:r>
      <w:r w:rsidR="00C242FA">
        <w:t xml:space="preserve"> i</w:t>
      </w:r>
      <w:r w:rsidR="00663C34" w:rsidRPr="00033031">
        <w:t>n its founding affidavit.</w:t>
      </w:r>
      <w:r w:rsidR="00663C34">
        <w:rPr>
          <w:rStyle w:val="FootnoteReference"/>
        </w:rPr>
        <w:footnoteReference w:id="69"/>
      </w:r>
      <w:r w:rsidR="00663C34">
        <w:t xml:space="preserve"> </w:t>
      </w:r>
    </w:p>
    <w:p w14:paraId="05C29B3B" w14:textId="404E1772" w:rsidR="00663C34" w:rsidRDefault="00AC5E05" w:rsidP="00AC5E05">
      <w:pPr>
        <w:pStyle w:val="1"/>
        <w:numPr>
          <w:ilvl w:val="0"/>
          <w:numId w:val="0"/>
        </w:numPr>
        <w:tabs>
          <w:tab w:val="left" w:pos="567"/>
        </w:tabs>
        <w:ind w:left="567" w:hanging="567"/>
        <w:rPr>
          <w:lang w:val="en-ZA"/>
        </w:rPr>
      </w:pPr>
      <w:r>
        <w:rPr>
          <w:rFonts w:cs="Arial"/>
          <w:sz w:val="22"/>
          <w:lang w:val="en-ZA"/>
        </w:rPr>
        <w:t>[126]</w:t>
      </w:r>
      <w:r>
        <w:rPr>
          <w:rFonts w:cs="Arial"/>
          <w:sz w:val="22"/>
          <w:lang w:val="en-ZA"/>
        </w:rPr>
        <w:tab/>
      </w:r>
      <w:r w:rsidR="00663C34">
        <w:rPr>
          <w:lang w:val="en-ZA"/>
        </w:rPr>
        <w:t xml:space="preserve">In its answering affidavit at paragraph 66.3, Spill Tech alleges that its heads of arguments filed in the </w:t>
      </w:r>
      <w:r w:rsidR="00663C34" w:rsidRPr="00F1088C">
        <w:rPr>
          <w:lang w:val="en-ZA"/>
        </w:rPr>
        <w:t>arbitration proceedings</w:t>
      </w:r>
      <w:r w:rsidR="00663C34">
        <w:rPr>
          <w:lang w:val="en-ZA"/>
        </w:rPr>
        <w:t xml:space="preserve"> addressed its reliance on the common law remedy expressly. (“</w:t>
      </w:r>
      <w:r w:rsidR="00663C34" w:rsidRPr="00CF0831">
        <w:rPr>
          <w:b/>
          <w:bCs/>
          <w:lang w:val="en-ZA"/>
        </w:rPr>
        <w:t>66.3 Heads</w:t>
      </w:r>
      <w:r w:rsidR="00663C34">
        <w:rPr>
          <w:lang w:val="en-ZA"/>
        </w:rPr>
        <w:t>”) . It is not clear to me whether these were filled prior to or in response to the further opportunity but nothing much turns on this.</w:t>
      </w:r>
    </w:p>
    <w:p w14:paraId="15C9D1F9" w14:textId="16CFE342" w:rsidR="00663C34" w:rsidRDefault="00AC5E05" w:rsidP="00AC5E05">
      <w:pPr>
        <w:pStyle w:val="1"/>
        <w:numPr>
          <w:ilvl w:val="0"/>
          <w:numId w:val="0"/>
        </w:numPr>
        <w:tabs>
          <w:tab w:val="left" w:pos="567"/>
        </w:tabs>
        <w:ind w:left="567" w:hanging="567"/>
        <w:rPr>
          <w:lang w:val="en-ZA"/>
        </w:rPr>
      </w:pPr>
      <w:r>
        <w:rPr>
          <w:rFonts w:cs="Arial"/>
          <w:sz w:val="22"/>
          <w:lang w:val="en-ZA"/>
        </w:rPr>
        <w:t>[127]</w:t>
      </w:r>
      <w:r>
        <w:rPr>
          <w:rFonts w:cs="Arial"/>
          <w:sz w:val="22"/>
          <w:lang w:val="en-ZA"/>
        </w:rPr>
        <w:tab/>
      </w:r>
      <w:r w:rsidR="00663C34">
        <w:rPr>
          <w:lang w:val="en-ZA"/>
        </w:rPr>
        <w:t>Extracts from the 66.3 Heads are reproduced below:</w:t>
      </w:r>
    </w:p>
    <w:p w14:paraId="7A88F604" w14:textId="69770A38" w:rsidR="00663C34" w:rsidRPr="00797039" w:rsidRDefault="00AC5E05" w:rsidP="00AC5E05">
      <w:pPr>
        <w:pStyle w:val="2"/>
        <w:numPr>
          <w:ilvl w:val="0"/>
          <w:numId w:val="0"/>
        </w:numPr>
        <w:tabs>
          <w:tab w:val="left" w:pos="851"/>
        </w:tabs>
        <w:ind w:left="851" w:hanging="851"/>
        <w:rPr>
          <w:i/>
          <w:iCs w:val="0"/>
          <w:sz w:val="22"/>
          <w:lang w:val="en-ZA"/>
        </w:rPr>
      </w:pPr>
      <w:r w:rsidRPr="00797039">
        <w:rPr>
          <w:i/>
          <w:iCs w:val="0"/>
          <w:sz w:val="22"/>
          <w:lang w:val="en-ZA"/>
        </w:rPr>
        <w:lastRenderedPageBreak/>
        <w:t>[127.1]</w:t>
      </w:r>
      <w:r w:rsidRPr="00797039">
        <w:rPr>
          <w:i/>
          <w:iCs w:val="0"/>
          <w:sz w:val="22"/>
          <w:lang w:val="en-ZA"/>
        </w:rPr>
        <w:tab/>
      </w:r>
      <w:r w:rsidR="00663C34">
        <w:rPr>
          <w:lang w:val="en-ZA"/>
        </w:rPr>
        <w:t xml:space="preserve"> “</w:t>
      </w:r>
      <w:r w:rsidR="00663C34" w:rsidRPr="00797039">
        <w:rPr>
          <w:i/>
          <w:iCs w:val="0"/>
          <w:sz w:val="22"/>
        </w:rPr>
        <w:t>146. Even if that clause is somehow to be read in reverse, it is an exclusion of special damages, not of ordinary consequential damages within the contemplation of the parties as discussed in Holmedene Brickworks.</w:t>
      </w:r>
    </w:p>
    <w:p w14:paraId="7352EDBA" w14:textId="4A3835DC" w:rsidR="00663C34" w:rsidRPr="00797039" w:rsidRDefault="00AC5E05" w:rsidP="00AC5E05">
      <w:pPr>
        <w:pStyle w:val="2"/>
        <w:numPr>
          <w:ilvl w:val="0"/>
          <w:numId w:val="0"/>
        </w:numPr>
        <w:tabs>
          <w:tab w:val="left" w:pos="851"/>
        </w:tabs>
        <w:ind w:left="851" w:hanging="851"/>
        <w:rPr>
          <w:i/>
          <w:iCs w:val="0"/>
          <w:sz w:val="22"/>
          <w:lang w:val="en-ZA"/>
        </w:rPr>
      </w:pPr>
      <w:r w:rsidRPr="00797039">
        <w:rPr>
          <w:i/>
          <w:iCs w:val="0"/>
          <w:sz w:val="22"/>
          <w:lang w:val="en-ZA"/>
        </w:rPr>
        <w:t>[127.2]</w:t>
      </w:r>
      <w:r w:rsidRPr="00797039">
        <w:rPr>
          <w:i/>
          <w:iCs w:val="0"/>
          <w:sz w:val="22"/>
          <w:lang w:val="en-ZA"/>
        </w:rPr>
        <w:tab/>
      </w:r>
      <w:r w:rsidR="00663C34" w:rsidRPr="00797039">
        <w:rPr>
          <w:i/>
          <w:iCs w:val="0"/>
          <w:sz w:val="22"/>
        </w:rPr>
        <w:t>152. It</w:t>
      </w:r>
      <w:r w:rsidR="00663C34">
        <w:rPr>
          <w:i/>
          <w:iCs w:val="0"/>
          <w:sz w:val="22"/>
        </w:rPr>
        <w:t xml:space="preserve"> </w:t>
      </w:r>
      <w:r w:rsidR="00663C34" w:rsidRPr="00797039">
        <w:rPr>
          <w:i/>
          <w:iCs w:val="0"/>
          <w:sz w:val="22"/>
        </w:rPr>
        <w:t xml:space="preserve">is manifestly so that a breach by the Defendant in not allocating the spills to the Claimants which the Contract provides for will result in the Claimants suffering loss in the form of loss of profits. As such loss of profits in the context of the Contract constitutes direct damages, amount of which must be treated as a change in the Prices. </w:t>
      </w:r>
    </w:p>
    <w:p w14:paraId="4F76DAF3" w14:textId="6282AD1E" w:rsidR="00663C34" w:rsidRPr="00797039" w:rsidRDefault="00AC5E05" w:rsidP="00AC5E05">
      <w:pPr>
        <w:pStyle w:val="2"/>
        <w:numPr>
          <w:ilvl w:val="0"/>
          <w:numId w:val="0"/>
        </w:numPr>
        <w:tabs>
          <w:tab w:val="left" w:pos="851"/>
        </w:tabs>
        <w:ind w:left="851" w:hanging="851"/>
        <w:rPr>
          <w:i/>
          <w:iCs w:val="0"/>
          <w:sz w:val="22"/>
          <w:lang w:val="en-ZA"/>
        </w:rPr>
      </w:pPr>
      <w:r w:rsidRPr="00797039">
        <w:rPr>
          <w:i/>
          <w:iCs w:val="0"/>
          <w:sz w:val="22"/>
          <w:lang w:val="en-ZA"/>
        </w:rPr>
        <w:t>[127.3]</w:t>
      </w:r>
      <w:r w:rsidRPr="00797039">
        <w:rPr>
          <w:i/>
          <w:iCs w:val="0"/>
          <w:sz w:val="22"/>
          <w:lang w:val="en-ZA"/>
        </w:rPr>
        <w:tab/>
      </w:r>
      <w:r w:rsidR="00663C34" w:rsidRPr="00797039">
        <w:rPr>
          <w:i/>
          <w:iCs w:val="0"/>
          <w:sz w:val="22"/>
        </w:rPr>
        <w:t xml:space="preserve">153. In the alternative ..... and if the arbitrator does not accept that clause 60, 1(14) read with clause 63.5 of the Contract falls to be interpreted as set out above and does not permit of a direct damages claim for loss of profits, the Claimants submit that: </w:t>
      </w:r>
    </w:p>
    <w:p w14:paraId="1DBA8927" w14:textId="586CD70B" w:rsidR="00663C34" w:rsidRPr="00797039" w:rsidRDefault="00AC5E05" w:rsidP="00AC5E05">
      <w:pPr>
        <w:pStyle w:val="3"/>
        <w:numPr>
          <w:ilvl w:val="0"/>
          <w:numId w:val="0"/>
        </w:numPr>
        <w:tabs>
          <w:tab w:val="left" w:pos="2552"/>
        </w:tabs>
        <w:ind w:left="2552" w:hanging="1134"/>
        <w:rPr>
          <w:i/>
          <w:sz w:val="22"/>
          <w:szCs w:val="22"/>
          <w:lang w:val="en-ZA"/>
        </w:rPr>
      </w:pPr>
      <w:r w:rsidRPr="00797039">
        <w:rPr>
          <w:i/>
          <w:sz w:val="22"/>
          <w:szCs w:val="22"/>
          <w:lang w:val="en-ZA"/>
        </w:rPr>
        <w:t>[127.3.1]</w:t>
      </w:r>
      <w:r w:rsidRPr="00797039">
        <w:rPr>
          <w:i/>
          <w:sz w:val="22"/>
          <w:szCs w:val="22"/>
          <w:lang w:val="en-ZA"/>
        </w:rPr>
        <w:tab/>
      </w:r>
      <w:r w:rsidR="00663C34" w:rsidRPr="00797039">
        <w:rPr>
          <w:i/>
          <w:sz w:val="22"/>
          <w:szCs w:val="22"/>
        </w:rPr>
        <w:t>153.1 the Claimant</w:t>
      </w:r>
      <w:r w:rsidR="00663C34">
        <w:rPr>
          <w:i/>
          <w:sz w:val="22"/>
          <w:szCs w:val="22"/>
        </w:rPr>
        <w:t>’</w:t>
      </w:r>
      <w:r w:rsidR="00663C34" w:rsidRPr="00797039">
        <w:rPr>
          <w:i/>
          <w:sz w:val="22"/>
          <w:szCs w:val="22"/>
        </w:rPr>
        <w:t xml:space="preserve">s claims constitute damages claims to which the Claimants are entitled in terms of normal common law contractual principles in any event; </w:t>
      </w:r>
    </w:p>
    <w:p w14:paraId="182C4DB9" w14:textId="7DFC704B" w:rsidR="00663C34" w:rsidRDefault="00AC5E05" w:rsidP="00AC5E05">
      <w:pPr>
        <w:pStyle w:val="3"/>
        <w:numPr>
          <w:ilvl w:val="0"/>
          <w:numId w:val="0"/>
        </w:numPr>
        <w:tabs>
          <w:tab w:val="left" w:pos="2552"/>
        </w:tabs>
        <w:ind w:left="2552" w:hanging="1134"/>
        <w:rPr>
          <w:lang w:val="en-ZA"/>
        </w:rPr>
      </w:pPr>
      <w:r>
        <w:rPr>
          <w:lang w:val="en-ZA"/>
        </w:rPr>
        <w:t>[127.3.2]</w:t>
      </w:r>
      <w:r>
        <w:rPr>
          <w:lang w:val="en-ZA"/>
        </w:rPr>
        <w:tab/>
      </w:r>
      <w:r w:rsidR="00663C34" w:rsidRPr="00797039">
        <w:rPr>
          <w:i/>
          <w:sz w:val="22"/>
          <w:szCs w:val="22"/>
        </w:rPr>
        <w:t>153.2 Clause 63.5 cannot be construed as a clause which excludes the Claimants entitlement to such common law contractual damages.</w:t>
      </w:r>
      <w:r w:rsidR="00663C34" w:rsidRPr="0025678A">
        <w:t>"</w:t>
      </w:r>
      <w:r w:rsidR="00663C34">
        <w:rPr>
          <w:rStyle w:val="FootnoteReference"/>
        </w:rPr>
        <w:footnoteReference w:id="70"/>
      </w:r>
      <w:r w:rsidR="00663C34">
        <w:rPr>
          <w:lang w:val="en-ZA"/>
        </w:rPr>
        <w:tab/>
      </w:r>
      <w:r w:rsidR="00663C34">
        <w:rPr>
          <w:lang w:val="en-ZA"/>
        </w:rPr>
        <w:tab/>
      </w:r>
    </w:p>
    <w:p w14:paraId="76AE80A7" w14:textId="16E22D9C" w:rsidR="00663C34" w:rsidRDefault="00AC5E05" w:rsidP="00AC5E05">
      <w:pPr>
        <w:pStyle w:val="1"/>
        <w:numPr>
          <w:ilvl w:val="0"/>
          <w:numId w:val="0"/>
        </w:numPr>
        <w:tabs>
          <w:tab w:val="left" w:pos="567"/>
        </w:tabs>
        <w:ind w:left="567" w:hanging="567"/>
        <w:rPr>
          <w:lang w:val="en-ZA"/>
        </w:rPr>
      </w:pPr>
      <w:r>
        <w:rPr>
          <w:rFonts w:cs="Arial"/>
          <w:sz w:val="22"/>
          <w:lang w:val="en-ZA"/>
        </w:rPr>
        <w:t>[128]</w:t>
      </w:r>
      <w:r>
        <w:rPr>
          <w:rFonts w:cs="Arial"/>
          <w:sz w:val="22"/>
          <w:lang w:val="en-ZA"/>
        </w:rPr>
        <w:tab/>
      </w:r>
      <w:r w:rsidR="00663C34">
        <w:rPr>
          <w:lang w:val="en-ZA"/>
        </w:rPr>
        <w:t xml:space="preserve">In its replying affidavit, all that Transnet says about this is the following: </w:t>
      </w:r>
    </w:p>
    <w:p w14:paraId="1F8A8DB1" w14:textId="157A7B8B" w:rsidR="00663C34" w:rsidRPr="00797039" w:rsidRDefault="00AC5E05" w:rsidP="00AC5E05">
      <w:pPr>
        <w:pStyle w:val="2"/>
        <w:numPr>
          <w:ilvl w:val="0"/>
          <w:numId w:val="0"/>
        </w:numPr>
        <w:tabs>
          <w:tab w:val="left" w:pos="851"/>
        </w:tabs>
        <w:ind w:left="851" w:hanging="851"/>
        <w:rPr>
          <w:lang w:val="en-ZA"/>
        </w:rPr>
      </w:pPr>
      <w:r w:rsidRPr="00797039">
        <w:rPr>
          <w:sz w:val="22"/>
          <w:lang w:val="en-ZA"/>
        </w:rPr>
        <w:t>[128.1]</w:t>
      </w:r>
      <w:r w:rsidRPr="00797039">
        <w:rPr>
          <w:sz w:val="22"/>
          <w:lang w:val="en-ZA"/>
        </w:rPr>
        <w:tab/>
      </w:r>
      <w:r w:rsidR="00663C34">
        <w:t>“</w:t>
      </w:r>
      <w:r w:rsidR="00663C34" w:rsidRPr="00797039">
        <w:t>45. Ad para</w:t>
      </w:r>
      <w:r w:rsidR="00663C34">
        <w:t>graph</w:t>
      </w:r>
      <w:r w:rsidR="00663C34" w:rsidRPr="00797039">
        <w:t xml:space="preserve"> 60 to 77</w:t>
      </w:r>
    </w:p>
    <w:p w14:paraId="216A7F11" w14:textId="77777777" w:rsidR="00663C34" w:rsidRDefault="00663C34" w:rsidP="00663C34">
      <w:pPr>
        <w:pStyle w:val="3"/>
        <w:numPr>
          <w:ilvl w:val="0"/>
          <w:numId w:val="0"/>
        </w:numPr>
        <w:ind w:left="2552" w:hanging="1134"/>
        <w:rPr>
          <w:lang w:val="en-ZA"/>
        </w:rPr>
      </w:pPr>
      <w:r w:rsidRPr="00797039">
        <w:lastRenderedPageBreak/>
        <w:t xml:space="preserve"> 45.1 </w:t>
      </w:r>
      <w:r w:rsidRPr="0093216E">
        <w:rPr>
          <w:i/>
          <w:iCs/>
        </w:rPr>
        <w:t xml:space="preserve">I </w:t>
      </w:r>
      <w:r w:rsidRPr="00797039">
        <w:rPr>
          <w:i/>
          <w:iCs/>
          <w:sz w:val="22"/>
          <w:szCs w:val="22"/>
        </w:rPr>
        <w:t>deny the averments under these paragraphs to the extent that they are inconsistent with what is set out in the founding affidavit and this affidavit and refer to what is stated above and in the founding affidavit</w:t>
      </w:r>
      <w:r w:rsidRPr="00797039">
        <w:t>.</w:t>
      </w:r>
      <w:r>
        <w:t>”</w:t>
      </w:r>
    </w:p>
    <w:p w14:paraId="0D9978C2" w14:textId="4437385F" w:rsidR="00663C34" w:rsidRDefault="00AC5E05" w:rsidP="00AC5E05">
      <w:pPr>
        <w:pStyle w:val="1"/>
        <w:numPr>
          <w:ilvl w:val="0"/>
          <w:numId w:val="0"/>
        </w:numPr>
        <w:tabs>
          <w:tab w:val="left" w:pos="567"/>
        </w:tabs>
        <w:ind w:left="567" w:hanging="567"/>
        <w:rPr>
          <w:lang w:val="en-ZA"/>
        </w:rPr>
      </w:pPr>
      <w:r>
        <w:rPr>
          <w:rFonts w:cs="Arial"/>
          <w:sz w:val="22"/>
          <w:lang w:val="en-ZA"/>
        </w:rPr>
        <w:t>[129]</w:t>
      </w:r>
      <w:r>
        <w:rPr>
          <w:rFonts w:cs="Arial"/>
          <w:sz w:val="22"/>
          <w:lang w:val="en-ZA"/>
        </w:rPr>
        <w:tab/>
      </w:r>
      <w:r w:rsidR="00663C34">
        <w:rPr>
          <w:lang w:val="en-ZA"/>
        </w:rPr>
        <w:t xml:space="preserve">This is </w:t>
      </w:r>
      <w:r w:rsidR="00BF2743">
        <w:rPr>
          <w:lang w:val="en-ZA"/>
        </w:rPr>
        <w:t>a</w:t>
      </w:r>
      <w:r w:rsidR="00663C34">
        <w:rPr>
          <w:lang w:val="en-ZA"/>
        </w:rPr>
        <w:t xml:space="preserve"> bizarre manner of pleading.  Either Spill Tech’s heads contained those submissions, or they didn’t.  Since Transnet does not place these in dispute, I must assume that they did.  </w:t>
      </w:r>
    </w:p>
    <w:p w14:paraId="53BA6C30" w14:textId="4C611A35" w:rsidR="00663C34" w:rsidRPr="007736F9" w:rsidRDefault="00AC5E05" w:rsidP="00AC5E05">
      <w:pPr>
        <w:pStyle w:val="1"/>
        <w:numPr>
          <w:ilvl w:val="0"/>
          <w:numId w:val="0"/>
        </w:numPr>
        <w:tabs>
          <w:tab w:val="left" w:pos="567"/>
        </w:tabs>
        <w:ind w:left="567" w:hanging="567"/>
        <w:rPr>
          <w:lang w:val="en-ZA"/>
        </w:rPr>
      </w:pPr>
      <w:r w:rsidRPr="007736F9">
        <w:rPr>
          <w:rFonts w:cs="Arial"/>
          <w:sz w:val="22"/>
          <w:lang w:val="en-ZA"/>
        </w:rPr>
        <w:t>[130]</w:t>
      </w:r>
      <w:r w:rsidRPr="007736F9">
        <w:rPr>
          <w:rFonts w:cs="Arial"/>
          <w:sz w:val="22"/>
          <w:lang w:val="en-ZA"/>
        </w:rPr>
        <w:tab/>
      </w:r>
      <w:r w:rsidR="00663C34">
        <w:rPr>
          <w:lang w:val="en-ZA"/>
        </w:rPr>
        <w:t xml:space="preserve">Nevertheless, it appears from </w:t>
      </w:r>
      <w:r w:rsidR="00663C34" w:rsidRPr="007736F9">
        <w:rPr>
          <w:lang w:val="en-ZA"/>
        </w:rPr>
        <w:t xml:space="preserve">the limited aspects of the </w:t>
      </w:r>
      <w:r w:rsidR="00663C34">
        <w:rPr>
          <w:lang w:val="en-ZA"/>
        </w:rPr>
        <w:t>transcript</w:t>
      </w:r>
      <w:r w:rsidR="00663C34" w:rsidRPr="007736F9">
        <w:rPr>
          <w:lang w:val="en-ZA"/>
        </w:rPr>
        <w:t xml:space="preserve"> put before me </w:t>
      </w:r>
      <w:r w:rsidR="00663C34">
        <w:rPr>
          <w:lang w:val="en-ZA"/>
        </w:rPr>
        <w:t xml:space="preserve">by Transnet and Spill Tech </w:t>
      </w:r>
      <w:r w:rsidR="00663C34" w:rsidRPr="007736F9">
        <w:rPr>
          <w:lang w:val="en-ZA"/>
        </w:rPr>
        <w:t>that the Arbitrator had</w:t>
      </w:r>
      <w:r w:rsidR="00663C34">
        <w:rPr>
          <w:lang w:val="en-ZA"/>
        </w:rPr>
        <w:t xml:space="preserve"> been mulling over </w:t>
      </w:r>
      <w:r w:rsidR="00663C34" w:rsidRPr="007736F9">
        <w:rPr>
          <w:lang w:val="en-ZA"/>
        </w:rPr>
        <w:t>three issues which he</w:t>
      </w:r>
      <w:r w:rsidR="00663C34">
        <w:rPr>
          <w:lang w:val="en-ZA"/>
        </w:rPr>
        <w:t xml:space="preserve"> then</w:t>
      </w:r>
      <w:r w:rsidR="00663C34" w:rsidRPr="007736F9">
        <w:rPr>
          <w:lang w:val="en-ZA"/>
        </w:rPr>
        <w:t xml:space="preserve"> raised with the parties during the hearing of 17 November 2022, namely - </w:t>
      </w:r>
    </w:p>
    <w:p w14:paraId="31D552BE" w14:textId="4F5A0AE7" w:rsidR="00663C34" w:rsidRPr="007736F9" w:rsidRDefault="00AC5E05" w:rsidP="00AC5E05">
      <w:pPr>
        <w:pStyle w:val="2"/>
        <w:numPr>
          <w:ilvl w:val="0"/>
          <w:numId w:val="0"/>
        </w:numPr>
        <w:tabs>
          <w:tab w:val="left" w:pos="851"/>
        </w:tabs>
        <w:ind w:left="851" w:hanging="851"/>
        <w:rPr>
          <w:lang w:val="en-ZA"/>
        </w:rPr>
      </w:pPr>
      <w:r w:rsidRPr="007736F9">
        <w:rPr>
          <w:sz w:val="22"/>
          <w:lang w:val="en-ZA"/>
        </w:rPr>
        <w:t>[130.1]</w:t>
      </w:r>
      <w:r w:rsidRPr="007736F9">
        <w:rPr>
          <w:sz w:val="22"/>
          <w:lang w:val="en-ZA"/>
        </w:rPr>
        <w:tab/>
      </w:r>
      <w:r w:rsidR="00663C34" w:rsidRPr="007736F9">
        <w:rPr>
          <w:lang w:val="en-ZA"/>
        </w:rPr>
        <w:t xml:space="preserve">Whether loss of profits (whether these be direct or consequential damages) claimed by Spill Tech were outside of the compensation regime; </w:t>
      </w:r>
    </w:p>
    <w:p w14:paraId="5FD40CAD" w14:textId="4C21FFAA" w:rsidR="00663C34" w:rsidRPr="007736F9" w:rsidRDefault="00AC5E05" w:rsidP="00AC5E05">
      <w:pPr>
        <w:pStyle w:val="2"/>
        <w:numPr>
          <w:ilvl w:val="0"/>
          <w:numId w:val="0"/>
        </w:numPr>
        <w:tabs>
          <w:tab w:val="left" w:pos="851"/>
        </w:tabs>
        <w:ind w:left="851" w:hanging="851"/>
        <w:rPr>
          <w:lang w:val="en-ZA"/>
        </w:rPr>
      </w:pPr>
      <w:r w:rsidRPr="007736F9">
        <w:rPr>
          <w:sz w:val="22"/>
          <w:lang w:val="en-ZA"/>
        </w:rPr>
        <w:t>[130.2]</w:t>
      </w:r>
      <w:r w:rsidRPr="007736F9">
        <w:rPr>
          <w:sz w:val="22"/>
          <w:lang w:val="en-ZA"/>
        </w:rPr>
        <w:tab/>
      </w:r>
      <w:r w:rsidR="00663C34" w:rsidRPr="007736F9">
        <w:rPr>
          <w:lang w:val="en-ZA"/>
        </w:rPr>
        <w:t>The claim for consequential damages (loss of profits) might arise from common law rights for breach of contract and whether these were outside of the Contracts; and</w:t>
      </w:r>
    </w:p>
    <w:p w14:paraId="64F737E4" w14:textId="1498FCAC" w:rsidR="00663C34" w:rsidRPr="007736F9" w:rsidRDefault="00AC5E05" w:rsidP="00AC5E05">
      <w:pPr>
        <w:pStyle w:val="2"/>
        <w:numPr>
          <w:ilvl w:val="0"/>
          <w:numId w:val="0"/>
        </w:numPr>
        <w:tabs>
          <w:tab w:val="left" w:pos="851"/>
        </w:tabs>
        <w:ind w:left="851" w:hanging="851"/>
        <w:rPr>
          <w:lang w:val="en-ZA"/>
        </w:rPr>
      </w:pPr>
      <w:r w:rsidRPr="007736F9">
        <w:rPr>
          <w:sz w:val="22"/>
          <w:lang w:val="en-ZA"/>
        </w:rPr>
        <w:t>[130.3]</w:t>
      </w:r>
      <w:r w:rsidRPr="007736F9">
        <w:rPr>
          <w:sz w:val="22"/>
          <w:lang w:val="en-ZA"/>
        </w:rPr>
        <w:tab/>
      </w:r>
      <w:r w:rsidR="00663C34" w:rsidRPr="007736F9">
        <w:rPr>
          <w:lang w:val="en-ZA"/>
        </w:rPr>
        <w:t>Whether this alternative claim was pleaded by Spill Tech.</w:t>
      </w:r>
    </w:p>
    <w:p w14:paraId="7B280702" w14:textId="7170EF4B" w:rsidR="00663C34" w:rsidRPr="00885721" w:rsidRDefault="00AC5E05" w:rsidP="00AC5E05">
      <w:pPr>
        <w:pStyle w:val="1"/>
        <w:numPr>
          <w:ilvl w:val="0"/>
          <w:numId w:val="0"/>
        </w:numPr>
        <w:tabs>
          <w:tab w:val="left" w:pos="567"/>
        </w:tabs>
        <w:ind w:left="567" w:hanging="567"/>
      </w:pPr>
      <w:r w:rsidRPr="00885721">
        <w:rPr>
          <w:rFonts w:cs="Arial"/>
          <w:sz w:val="22"/>
        </w:rPr>
        <w:t>[131]</w:t>
      </w:r>
      <w:r w:rsidRPr="00885721">
        <w:rPr>
          <w:rFonts w:cs="Arial"/>
          <w:sz w:val="22"/>
        </w:rPr>
        <w:tab/>
      </w:r>
      <w:r w:rsidR="00663C34" w:rsidRPr="007736F9">
        <w:rPr>
          <w:lang w:val="en-ZA"/>
        </w:rPr>
        <w:t xml:space="preserve">He </w:t>
      </w:r>
      <w:r w:rsidR="00663C34">
        <w:rPr>
          <w:lang w:val="en-ZA"/>
        </w:rPr>
        <w:t xml:space="preserve">debates </w:t>
      </w:r>
      <w:r w:rsidR="00663C34" w:rsidRPr="007736F9">
        <w:rPr>
          <w:lang w:val="en-ZA"/>
        </w:rPr>
        <w:t xml:space="preserve">these questions </w:t>
      </w:r>
      <w:r w:rsidR="00663C34">
        <w:rPr>
          <w:lang w:val="en-ZA"/>
        </w:rPr>
        <w:t xml:space="preserve">with the parties </w:t>
      </w:r>
      <w:r w:rsidR="00663C34" w:rsidRPr="00033031">
        <w:rPr>
          <w:lang w:val="en-ZA"/>
        </w:rPr>
        <w:t>and both</w:t>
      </w:r>
      <w:r w:rsidR="00663C34" w:rsidRPr="007736F9">
        <w:rPr>
          <w:lang w:val="en-ZA"/>
        </w:rPr>
        <w:t xml:space="preserve"> parties are provided with an opportunity to file further submissions.</w:t>
      </w:r>
    </w:p>
    <w:p w14:paraId="49A1C81E" w14:textId="14BEA948" w:rsidR="00663C34" w:rsidRDefault="00AC5E05" w:rsidP="00AC5E05">
      <w:pPr>
        <w:pStyle w:val="1"/>
        <w:numPr>
          <w:ilvl w:val="0"/>
          <w:numId w:val="0"/>
        </w:numPr>
        <w:tabs>
          <w:tab w:val="left" w:pos="567"/>
        </w:tabs>
        <w:ind w:left="567" w:hanging="567"/>
      </w:pPr>
      <w:r>
        <w:rPr>
          <w:rFonts w:cs="Arial"/>
          <w:sz w:val="22"/>
        </w:rPr>
        <w:lastRenderedPageBreak/>
        <w:t>[132]</w:t>
      </w:r>
      <w:r>
        <w:rPr>
          <w:rFonts w:cs="Arial"/>
          <w:sz w:val="22"/>
        </w:rPr>
        <w:tab/>
      </w:r>
      <w:r w:rsidR="00663C34">
        <w:t>Even if I am to assume in favour of Transnet for argument’s sake that somehow its legal team was not alive to Spill Tech’s alternative common law</w:t>
      </w:r>
      <w:r w:rsidR="00B123AC">
        <w:t xml:space="preserve"> claim</w:t>
      </w:r>
      <w:r w:rsidR="00663C34">
        <w:t xml:space="preserve"> </w:t>
      </w:r>
      <w:r w:rsidR="002916BB">
        <w:t xml:space="preserve">at </w:t>
      </w:r>
      <w:r w:rsidR="00663C34">
        <w:t xml:space="preserve">the commencement of the arbitration, by the time of the hearing on 17 November 2022, there could be </w:t>
      </w:r>
      <w:r w:rsidR="00663C34" w:rsidRPr="00B123AC">
        <w:rPr>
          <w:u w:val="single"/>
        </w:rPr>
        <w:t>no doubt</w:t>
      </w:r>
      <w:r w:rsidR="00663C34">
        <w:t xml:space="preserve"> that it had been made aware of the issue by the questions put to the parties by the Arbitrator and by Spill Tech’s 66.3 Heads. </w:t>
      </w:r>
    </w:p>
    <w:p w14:paraId="5E87126B" w14:textId="483AD9B4" w:rsidR="00663C34" w:rsidRDefault="00AC5E05" w:rsidP="00AC5E05">
      <w:pPr>
        <w:pStyle w:val="1"/>
        <w:numPr>
          <w:ilvl w:val="0"/>
          <w:numId w:val="0"/>
        </w:numPr>
        <w:tabs>
          <w:tab w:val="left" w:pos="567"/>
        </w:tabs>
        <w:ind w:left="567" w:hanging="567"/>
        <w:rPr>
          <w:lang w:val="en-ZA"/>
        </w:rPr>
      </w:pPr>
      <w:r>
        <w:rPr>
          <w:rFonts w:cs="Arial"/>
          <w:sz w:val="22"/>
          <w:lang w:val="en-ZA"/>
        </w:rPr>
        <w:t>[133]</w:t>
      </w:r>
      <w:r>
        <w:rPr>
          <w:rFonts w:cs="Arial"/>
          <w:sz w:val="22"/>
          <w:lang w:val="en-ZA"/>
        </w:rPr>
        <w:tab/>
      </w:r>
      <w:r w:rsidR="00663C34">
        <w:rPr>
          <w:lang w:val="en-ZA"/>
        </w:rPr>
        <w:t xml:space="preserve">The obvious questions that come to mind are whether Transnet made further submissions and whether it raised with the Arbitrator all the objections it now raises. Did it place before the Arbitrator that in its view </w:t>
      </w:r>
      <w:r w:rsidR="004D1F29">
        <w:rPr>
          <w:lang w:val="en-ZA"/>
        </w:rPr>
        <w:t xml:space="preserve">that this issue was not properly pleaded? That </w:t>
      </w:r>
      <w:r w:rsidR="00663C34">
        <w:rPr>
          <w:lang w:val="en-ZA"/>
        </w:rPr>
        <w:t xml:space="preserve">this was not a separated issue? Or that its defences were directed only at the express provisions of the Contracts? Did it ask for a postponement of the proceedings to enable it to prepare adequately? Did it object to the jurisdiction of the Arbitrator regarding the common law claim which it now advances? </w:t>
      </w:r>
    </w:p>
    <w:p w14:paraId="7EDA85CF" w14:textId="5C3A6B7F" w:rsidR="00663C34" w:rsidRDefault="00AC5E05" w:rsidP="00AC5E05">
      <w:pPr>
        <w:pStyle w:val="1"/>
        <w:numPr>
          <w:ilvl w:val="0"/>
          <w:numId w:val="0"/>
        </w:numPr>
        <w:tabs>
          <w:tab w:val="left" w:pos="567"/>
        </w:tabs>
        <w:ind w:left="567" w:hanging="567"/>
        <w:rPr>
          <w:lang w:val="en-ZA"/>
        </w:rPr>
      </w:pPr>
      <w:r>
        <w:rPr>
          <w:rFonts w:cs="Arial"/>
          <w:sz w:val="22"/>
          <w:lang w:val="en-ZA"/>
        </w:rPr>
        <w:t>[134]</w:t>
      </w:r>
      <w:r>
        <w:rPr>
          <w:rFonts w:cs="Arial"/>
          <w:sz w:val="22"/>
          <w:lang w:val="en-ZA"/>
        </w:rPr>
        <w:tab/>
      </w:r>
      <w:r w:rsidR="00663C34">
        <w:t>Transnet is silent in its founding papers on what it submitted to the Arbitrator or how it dealt with the issue during the arbitration hearings.</w:t>
      </w:r>
      <w:r w:rsidR="00663C34" w:rsidRPr="00EE3B1C">
        <w:rPr>
          <w:lang w:val="en-ZA"/>
        </w:rPr>
        <w:t xml:space="preserve"> </w:t>
      </w:r>
      <w:r w:rsidR="00663C34" w:rsidRPr="00CC4F17">
        <w:rPr>
          <w:lang w:val="en-ZA"/>
        </w:rPr>
        <w:t xml:space="preserve">For </w:t>
      </w:r>
      <w:r w:rsidR="00663C34">
        <w:rPr>
          <w:lang w:val="en-ZA"/>
        </w:rPr>
        <w:t xml:space="preserve">present </w:t>
      </w:r>
      <w:r w:rsidR="00663C34" w:rsidRPr="00CC4F17">
        <w:rPr>
          <w:lang w:val="en-ZA"/>
        </w:rPr>
        <w:t>purposes, I can only assume from its silence that it elected not to</w:t>
      </w:r>
      <w:r w:rsidR="00663C34">
        <w:rPr>
          <w:lang w:val="en-ZA"/>
        </w:rPr>
        <w:t xml:space="preserve"> respond to Spill Tech’s submissions, did not raise any objections in relation to this issue  and did not make further submissions to the Arbitrator</w:t>
      </w:r>
      <w:r w:rsidR="00663C34" w:rsidRPr="00CC4F17">
        <w:rPr>
          <w:lang w:val="en-ZA"/>
        </w:rPr>
        <w:t xml:space="preserve">. </w:t>
      </w:r>
      <w:r w:rsidR="00663C34">
        <w:rPr>
          <w:lang w:val="en-ZA"/>
        </w:rPr>
        <w:t xml:space="preserve"> </w:t>
      </w:r>
    </w:p>
    <w:p w14:paraId="204C4878" w14:textId="00EE9799" w:rsidR="00663C34" w:rsidRDefault="00AC5E05" w:rsidP="00AC5E05">
      <w:pPr>
        <w:pStyle w:val="1"/>
        <w:numPr>
          <w:ilvl w:val="0"/>
          <w:numId w:val="0"/>
        </w:numPr>
        <w:tabs>
          <w:tab w:val="left" w:pos="567"/>
        </w:tabs>
        <w:ind w:left="567" w:hanging="567"/>
      </w:pPr>
      <w:r>
        <w:rPr>
          <w:rFonts w:cs="Arial"/>
          <w:sz w:val="22"/>
        </w:rPr>
        <w:t>[135]</w:t>
      </w:r>
      <w:r>
        <w:rPr>
          <w:rFonts w:cs="Arial"/>
          <w:sz w:val="22"/>
        </w:rPr>
        <w:tab/>
      </w:r>
      <w:r w:rsidR="000B75C5">
        <w:t>It</w:t>
      </w:r>
      <w:r w:rsidR="00663C34">
        <w:t xml:space="preserve"> is often the case that an arbitrator might during an oral hearing suggest a line of argument or approach to a case that has not occurred to the parties.  It is then for the parties to determine whether they wished to adopt a new point and not for </w:t>
      </w:r>
      <w:r w:rsidR="00663C34">
        <w:lastRenderedPageBreak/>
        <w:t>the arbitrator.</w:t>
      </w:r>
      <w:r w:rsidR="00663C34">
        <w:rPr>
          <w:rStyle w:val="FootnoteReference"/>
        </w:rPr>
        <w:footnoteReference w:id="71"/>
      </w:r>
      <w:r w:rsidR="00104726">
        <w:t xml:space="preserve">  </w:t>
      </w:r>
    </w:p>
    <w:p w14:paraId="2984D739" w14:textId="5921CE27" w:rsidR="00663C34" w:rsidRDefault="00AC5E05" w:rsidP="00AC5E05">
      <w:pPr>
        <w:pStyle w:val="1"/>
        <w:numPr>
          <w:ilvl w:val="0"/>
          <w:numId w:val="0"/>
        </w:numPr>
        <w:tabs>
          <w:tab w:val="left" w:pos="567"/>
        </w:tabs>
        <w:ind w:left="567" w:hanging="567"/>
      </w:pPr>
      <w:r>
        <w:rPr>
          <w:rFonts w:cs="Arial"/>
          <w:sz w:val="22"/>
        </w:rPr>
        <w:t>[136]</w:t>
      </w:r>
      <w:r>
        <w:rPr>
          <w:rFonts w:cs="Arial"/>
          <w:sz w:val="22"/>
        </w:rPr>
        <w:tab/>
      </w:r>
      <w:r w:rsidR="00663C34">
        <w:t xml:space="preserve">This is why it is incumbent on parties when faced with a line of enquiry that they had not anticipated or in their view were not formulated in their pleadings or their affidavits to raise their objections with the arbitrator. </w:t>
      </w:r>
      <w:r w:rsidR="002916BB">
        <w:t xml:space="preserve">To do nothing </w:t>
      </w:r>
      <w:r w:rsidR="002E3811">
        <w:t>especially in contested proceedings might</w:t>
      </w:r>
      <w:r w:rsidR="00341E58">
        <w:t xml:space="preserve"> lead</w:t>
      </w:r>
      <w:r w:rsidR="002E3811">
        <w:t xml:space="preserve"> to an inference of</w:t>
      </w:r>
      <w:r w:rsidR="002932CE">
        <w:t xml:space="preserve"> waiver, or consent </w:t>
      </w:r>
      <w:r w:rsidR="002E3811">
        <w:t>or at the very least acquiescence to the line of enquiry.</w:t>
      </w:r>
      <w:r w:rsidR="00104726">
        <w:t xml:space="preserve"> </w:t>
      </w:r>
    </w:p>
    <w:p w14:paraId="0766E769" w14:textId="3636387C" w:rsidR="00597976" w:rsidRDefault="00AC5E05" w:rsidP="00AC5E05">
      <w:pPr>
        <w:pStyle w:val="1"/>
        <w:numPr>
          <w:ilvl w:val="0"/>
          <w:numId w:val="0"/>
        </w:numPr>
        <w:tabs>
          <w:tab w:val="left" w:pos="567"/>
        </w:tabs>
        <w:ind w:left="567" w:hanging="567"/>
        <w:rPr>
          <w:lang w:val="en-ZA"/>
        </w:rPr>
      </w:pPr>
      <w:r>
        <w:rPr>
          <w:rFonts w:cs="Arial"/>
          <w:sz w:val="22"/>
          <w:lang w:val="en-ZA"/>
        </w:rPr>
        <w:t>[137]</w:t>
      </w:r>
      <w:r>
        <w:rPr>
          <w:rFonts w:cs="Arial"/>
          <w:sz w:val="22"/>
          <w:lang w:val="en-ZA"/>
        </w:rPr>
        <w:tab/>
      </w:r>
      <w:r w:rsidR="00597976">
        <w:rPr>
          <w:lang w:val="en-ZA"/>
        </w:rPr>
        <w:t xml:space="preserve">Transnet has not placed before me any evidence that in the arbitration it had objected to this line of enquiry by the Arbitrator or had in anyway brought to his attention why embarking on this debate would be unfair or prejudicial to Transnet. </w:t>
      </w:r>
    </w:p>
    <w:p w14:paraId="52A82439" w14:textId="2F10E537" w:rsidR="00903737" w:rsidRPr="00037659" w:rsidRDefault="00AC5E05" w:rsidP="00AC5E05">
      <w:pPr>
        <w:pStyle w:val="1"/>
        <w:numPr>
          <w:ilvl w:val="0"/>
          <w:numId w:val="0"/>
        </w:numPr>
        <w:tabs>
          <w:tab w:val="left" w:pos="567"/>
        </w:tabs>
        <w:ind w:left="567" w:hanging="567"/>
        <w:rPr>
          <w:lang w:val="en-ZA"/>
        </w:rPr>
      </w:pPr>
      <w:r w:rsidRPr="00037659">
        <w:rPr>
          <w:rFonts w:cs="Arial"/>
          <w:sz w:val="22"/>
          <w:lang w:val="en-ZA"/>
        </w:rPr>
        <w:t>[138]</w:t>
      </w:r>
      <w:r w:rsidRPr="00037659">
        <w:rPr>
          <w:rFonts w:cs="Arial"/>
          <w:sz w:val="22"/>
          <w:lang w:val="en-ZA"/>
        </w:rPr>
        <w:tab/>
      </w:r>
      <w:r w:rsidR="001A5D66">
        <w:t>It was</w:t>
      </w:r>
      <w:r w:rsidR="00663C34" w:rsidRPr="000C6C4E">
        <w:t xml:space="preserve"> provided with an </w:t>
      </w:r>
      <w:r w:rsidR="00663C34">
        <w:t xml:space="preserve">adequate </w:t>
      </w:r>
      <w:r w:rsidR="00663C34" w:rsidRPr="000C6C4E">
        <w:t>opportunity to make further submissions</w:t>
      </w:r>
      <w:r w:rsidR="00663C34">
        <w:t xml:space="preserve">, an opportunity in which it could have raised any number of objections or concerns about this issue, </w:t>
      </w:r>
      <w:r w:rsidR="00663C34" w:rsidRPr="00633A78">
        <w:t xml:space="preserve">including the objection to the </w:t>
      </w:r>
      <w:r w:rsidR="00663C34">
        <w:t>Arbitrator</w:t>
      </w:r>
      <w:r w:rsidR="00663C34" w:rsidRPr="00633A78">
        <w:t>’s jurisdiction over this matter.</w:t>
      </w:r>
      <w:r w:rsidR="00663C34" w:rsidRPr="00885721">
        <w:t xml:space="preserve"> </w:t>
      </w:r>
      <w:r w:rsidR="00D2573A">
        <w:t xml:space="preserve">  If Transnet was of the view that the alternative claim was not properly pleaded or that its special defences were directed only at the express provisions of the Contracts, or that this line of enquiry by the Arbitrator constituted a seismic shift in its case, it had a duty to raise this at this juncture in the arbitration or in the further submissions requested by the Arbitrator.</w:t>
      </w:r>
      <w:r w:rsidR="00D2573A" w:rsidRPr="00D2573A">
        <w:t xml:space="preserve"> </w:t>
      </w:r>
      <w:r w:rsidR="00D2573A">
        <w:t>Had Transnet raised the objections it now raises the Arbitrator might have come to a different decision which might have rendered the review of his finding</w:t>
      </w:r>
      <w:r w:rsidR="00903737" w:rsidRPr="00903737">
        <w:t xml:space="preserve"> </w:t>
      </w:r>
      <w:r w:rsidR="00903737">
        <w:t xml:space="preserve">unnecessary. </w:t>
      </w:r>
    </w:p>
    <w:p w14:paraId="2EE487CA" w14:textId="4C352D1F" w:rsidR="00663C34" w:rsidRDefault="00AC5E05" w:rsidP="00AC5E05">
      <w:pPr>
        <w:pStyle w:val="1"/>
        <w:numPr>
          <w:ilvl w:val="0"/>
          <w:numId w:val="0"/>
        </w:numPr>
        <w:tabs>
          <w:tab w:val="left" w:pos="567"/>
        </w:tabs>
        <w:ind w:left="567" w:hanging="567"/>
      </w:pPr>
      <w:r>
        <w:rPr>
          <w:rFonts w:cs="Arial"/>
          <w:sz w:val="22"/>
        </w:rPr>
        <w:lastRenderedPageBreak/>
        <w:t>[139]</w:t>
      </w:r>
      <w:r>
        <w:rPr>
          <w:rFonts w:cs="Arial"/>
          <w:sz w:val="22"/>
        </w:rPr>
        <w:tab/>
      </w:r>
      <w:r w:rsidR="00663C34">
        <w:t xml:space="preserve">Moreover, </w:t>
      </w:r>
      <w:r w:rsidR="00D2573A">
        <w:t xml:space="preserve">Transnet had at its disposal any number of remedies in the event that </w:t>
      </w:r>
      <w:r w:rsidR="00903737">
        <w:t xml:space="preserve">it required more time or if </w:t>
      </w:r>
      <w:r w:rsidR="00D2573A">
        <w:t>the Arbitrator dismissed any of its objections</w:t>
      </w:r>
      <w:r w:rsidR="00903737">
        <w:t xml:space="preserve"> </w:t>
      </w:r>
      <w:r w:rsidR="00663C34">
        <w:t>including a</w:t>
      </w:r>
      <w:r w:rsidR="00903737">
        <w:t>pplying for</w:t>
      </w:r>
      <w:r w:rsidR="00663C34">
        <w:t xml:space="preserve"> postponement of the proceedings or even an interim court ruling on the matter as it had done in the adjudication. </w:t>
      </w:r>
    </w:p>
    <w:p w14:paraId="0E99E50B" w14:textId="684C2505" w:rsidR="00037659" w:rsidRDefault="00AC5E05" w:rsidP="00AC5E05">
      <w:pPr>
        <w:pStyle w:val="1"/>
        <w:numPr>
          <w:ilvl w:val="0"/>
          <w:numId w:val="0"/>
        </w:numPr>
        <w:tabs>
          <w:tab w:val="left" w:pos="567"/>
        </w:tabs>
        <w:ind w:left="567" w:hanging="567"/>
      </w:pPr>
      <w:r>
        <w:rPr>
          <w:rFonts w:cs="Arial"/>
          <w:sz w:val="22"/>
        </w:rPr>
        <w:t>[140]</w:t>
      </w:r>
      <w:r>
        <w:rPr>
          <w:rFonts w:cs="Arial"/>
          <w:sz w:val="22"/>
        </w:rPr>
        <w:tab/>
      </w:r>
      <w:r w:rsidR="00037659" w:rsidRPr="000C6C4E">
        <w:t xml:space="preserve">Transnet was represented by a comprehensive legal team, and it would seem odd – given its objections now – that it would not have placed any of these </w:t>
      </w:r>
      <w:r w:rsidR="00037659">
        <w:t xml:space="preserve">objections </w:t>
      </w:r>
      <w:r w:rsidR="00037659" w:rsidRPr="000C6C4E">
        <w:t xml:space="preserve">before the </w:t>
      </w:r>
      <w:r w:rsidR="00037659">
        <w:t>A</w:t>
      </w:r>
      <w:r w:rsidR="00037659" w:rsidRPr="000C6C4E">
        <w:t xml:space="preserve">rbitrator.  </w:t>
      </w:r>
      <w:r w:rsidR="00037659">
        <w:t xml:space="preserve">More so given its earlier conduct during the adjudication. Recall that in that proceeding, Transnet had raised its objections to the adjudicator’s jurisdiction and had threatened to interdict the process.  Indeed, it had launched motion court proceedings to that effect. </w:t>
      </w:r>
    </w:p>
    <w:p w14:paraId="103A1F5C" w14:textId="37202C31" w:rsidR="00663C34" w:rsidRPr="00A17AC0" w:rsidRDefault="00AC5E05" w:rsidP="00AC5E05">
      <w:pPr>
        <w:pStyle w:val="1"/>
        <w:numPr>
          <w:ilvl w:val="0"/>
          <w:numId w:val="0"/>
        </w:numPr>
        <w:tabs>
          <w:tab w:val="left" w:pos="567"/>
        </w:tabs>
        <w:ind w:left="567" w:hanging="567"/>
        <w:rPr>
          <w:lang w:val="en-ZA"/>
        </w:rPr>
      </w:pPr>
      <w:r w:rsidRPr="00A17AC0">
        <w:rPr>
          <w:rFonts w:cs="Arial"/>
          <w:sz w:val="22"/>
          <w:lang w:val="en-ZA"/>
        </w:rPr>
        <w:t>[141]</w:t>
      </w:r>
      <w:r w:rsidRPr="00A17AC0">
        <w:rPr>
          <w:rFonts w:cs="Arial"/>
          <w:sz w:val="22"/>
          <w:lang w:val="en-ZA"/>
        </w:rPr>
        <w:tab/>
      </w:r>
      <w:r w:rsidR="00D4045B">
        <w:t xml:space="preserve">To suggest now that there was an existence dispute as in </w:t>
      </w:r>
      <w:r w:rsidR="00D4045B" w:rsidRPr="00036289">
        <w:rPr>
          <w:b/>
          <w:bCs/>
          <w:i/>
          <w:iCs w:val="0"/>
        </w:rPr>
        <w:t>Canton Trading</w:t>
      </w:r>
      <w:r w:rsidR="00D4045B">
        <w:t xml:space="preserve"> </w:t>
      </w:r>
      <w:r w:rsidR="00036289">
        <w:t xml:space="preserve">is not open to </w:t>
      </w:r>
      <w:r w:rsidR="00423E15">
        <w:t>Transnet</w:t>
      </w:r>
      <w:r w:rsidR="00036289">
        <w:t xml:space="preserve">.  In any event, </w:t>
      </w:r>
      <w:r w:rsidR="00036289" w:rsidRPr="00036289">
        <w:rPr>
          <w:b/>
          <w:bCs/>
          <w:i/>
          <w:iCs w:val="0"/>
        </w:rPr>
        <w:t>Canton Trading</w:t>
      </w:r>
      <w:r w:rsidR="00036289">
        <w:t xml:space="preserve"> is distinguish</w:t>
      </w:r>
      <w:r w:rsidR="00423E15">
        <w:t xml:space="preserve">able </w:t>
      </w:r>
      <w:r w:rsidR="00036289">
        <w:t xml:space="preserve">on the facts. </w:t>
      </w:r>
    </w:p>
    <w:p w14:paraId="7D6D029A" w14:textId="48B3DC88" w:rsidR="00F651FA" w:rsidRDefault="00AC5E05" w:rsidP="00AC5E05">
      <w:pPr>
        <w:pStyle w:val="1"/>
        <w:numPr>
          <w:ilvl w:val="0"/>
          <w:numId w:val="0"/>
        </w:numPr>
        <w:tabs>
          <w:tab w:val="left" w:pos="567"/>
        </w:tabs>
        <w:ind w:left="567" w:hanging="567"/>
      </w:pPr>
      <w:r>
        <w:rPr>
          <w:rFonts w:cs="Arial"/>
          <w:sz w:val="22"/>
        </w:rPr>
        <w:t>[142]</w:t>
      </w:r>
      <w:r>
        <w:rPr>
          <w:rFonts w:cs="Arial"/>
          <w:sz w:val="22"/>
        </w:rPr>
        <w:tab/>
      </w:r>
      <w:r w:rsidR="00F651FA">
        <w:t>Finally, when regard is had to the Arbitrator’s reasoning it cannot be said that he acted in a high handed manner or misconceived the nature of the enquiry.  The enquiry he embarks on is precisely that which was asked of him namely whether the damages claimed by Spill Tech were consequential damages which were not cognisable under the Contracts.   In his award, after having requested and receiving further submissions, he summarises the special defence as follows:</w:t>
      </w:r>
    </w:p>
    <w:p w14:paraId="5A09D317" w14:textId="286513C3" w:rsidR="00F651FA" w:rsidRPr="007A2C9D" w:rsidRDefault="00AC5E05" w:rsidP="00AC5E05">
      <w:pPr>
        <w:pStyle w:val="2"/>
        <w:numPr>
          <w:ilvl w:val="0"/>
          <w:numId w:val="0"/>
        </w:numPr>
        <w:tabs>
          <w:tab w:val="left" w:pos="851"/>
        </w:tabs>
        <w:ind w:left="851" w:hanging="851"/>
        <w:rPr>
          <w:lang w:val="en-ZA"/>
        </w:rPr>
      </w:pPr>
      <w:r w:rsidRPr="007A2C9D">
        <w:rPr>
          <w:sz w:val="22"/>
          <w:lang w:val="en-ZA"/>
        </w:rPr>
        <w:t>[142.1]</w:t>
      </w:r>
      <w:r w:rsidRPr="007A2C9D">
        <w:rPr>
          <w:sz w:val="22"/>
          <w:lang w:val="en-ZA"/>
        </w:rPr>
        <w:tab/>
      </w:r>
      <w:r w:rsidR="00F651FA">
        <w:t>“</w:t>
      </w:r>
      <w:r w:rsidR="00F651FA" w:rsidRPr="00F9201E">
        <w:rPr>
          <w:i/>
          <w:iCs w:val="0"/>
        </w:rPr>
        <w:t xml:space="preserve">There are two aspects to this defence. The first is whether the damages claimed by the claimants are consequential damages. </w:t>
      </w:r>
      <w:r w:rsidR="00F651FA" w:rsidRPr="00E418B0">
        <w:rPr>
          <w:i/>
          <w:iCs w:val="0"/>
        </w:rPr>
        <w:t xml:space="preserve">The second is whether consequential damages, or general damages claimable under the common </w:t>
      </w:r>
      <w:r w:rsidR="00F651FA" w:rsidRPr="00E418B0">
        <w:rPr>
          <w:i/>
          <w:iCs w:val="0"/>
        </w:rPr>
        <w:lastRenderedPageBreak/>
        <w:t>law, are expressly or by necessary implication excluded by the contract</w:t>
      </w:r>
      <w:r w:rsidR="00F651FA" w:rsidRPr="007A2C9D">
        <w:t>.</w:t>
      </w:r>
      <w:r w:rsidR="00F651FA">
        <w:t>”</w:t>
      </w:r>
    </w:p>
    <w:p w14:paraId="45F41104" w14:textId="65FCA57A" w:rsidR="00F651FA" w:rsidRDefault="00AC5E05" w:rsidP="00AC5E05">
      <w:pPr>
        <w:pStyle w:val="1"/>
        <w:numPr>
          <w:ilvl w:val="0"/>
          <w:numId w:val="0"/>
        </w:numPr>
        <w:tabs>
          <w:tab w:val="left" w:pos="567"/>
        </w:tabs>
        <w:ind w:left="567" w:hanging="567"/>
        <w:rPr>
          <w:lang w:val="en-ZA"/>
        </w:rPr>
      </w:pPr>
      <w:r>
        <w:rPr>
          <w:rFonts w:cs="Arial"/>
          <w:sz w:val="22"/>
          <w:lang w:val="en-ZA"/>
        </w:rPr>
        <w:t>[143]</w:t>
      </w:r>
      <w:r>
        <w:rPr>
          <w:rFonts w:cs="Arial"/>
          <w:sz w:val="22"/>
          <w:lang w:val="en-ZA"/>
        </w:rPr>
        <w:tab/>
      </w:r>
      <w:r w:rsidR="00F651FA">
        <w:rPr>
          <w:lang w:val="en-ZA"/>
        </w:rPr>
        <w:t>He finds:</w:t>
      </w:r>
    </w:p>
    <w:p w14:paraId="3F3DA35D" w14:textId="7C8DC648" w:rsidR="00F651FA" w:rsidRPr="00F65C33" w:rsidRDefault="00AC5E05" w:rsidP="00AC5E05">
      <w:pPr>
        <w:pStyle w:val="2"/>
        <w:numPr>
          <w:ilvl w:val="0"/>
          <w:numId w:val="0"/>
        </w:numPr>
        <w:tabs>
          <w:tab w:val="left" w:pos="851"/>
        </w:tabs>
        <w:ind w:left="851" w:hanging="851"/>
        <w:rPr>
          <w:lang w:val="en-ZA"/>
        </w:rPr>
      </w:pPr>
      <w:r w:rsidRPr="00F65C33">
        <w:rPr>
          <w:sz w:val="22"/>
          <w:lang w:val="en-ZA"/>
        </w:rPr>
        <w:t>[143.1]</w:t>
      </w:r>
      <w:r w:rsidRPr="00F65C33">
        <w:rPr>
          <w:sz w:val="22"/>
          <w:lang w:val="en-ZA"/>
        </w:rPr>
        <w:tab/>
      </w:r>
      <w:r w:rsidR="00F651FA">
        <w:t>“</w:t>
      </w:r>
      <w:r w:rsidR="00F651FA" w:rsidRPr="00883D4B">
        <w:rPr>
          <w:i/>
          <w:iCs w:val="0"/>
        </w:rPr>
        <w:t>Transnet refers to two clauses to support its contention that consequential damages are excluded under the contract. The first is clause 80.1, which lists the employer</w:t>
      </w:r>
      <w:r w:rsidR="00F651FA">
        <w:rPr>
          <w:i/>
          <w:iCs w:val="0"/>
        </w:rPr>
        <w:t>’</w:t>
      </w:r>
      <w:r w:rsidR="00F651FA" w:rsidRPr="00883D4B">
        <w:rPr>
          <w:i/>
          <w:iCs w:val="0"/>
        </w:rPr>
        <w:t xml:space="preserve">s risk, and of which it may fairly be said that the present claims do not fit happily into that clause. But there is no express mention or exclusion of consequential damages in that clause. Transnet further refers to clause X18.1, to be found in the Contract Data. It provides under the heading </w:t>
      </w:r>
      <w:r w:rsidR="00F651FA">
        <w:rPr>
          <w:i/>
          <w:iCs w:val="0"/>
        </w:rPr>
        <w:t>“</w:t>
      </w:r>
      <w:r w:rsidR="00F651FA" w:rsidRPr="00883D4B">
        <w:rPr>
          <w:i/>
          <w:iCs w:val="0"/>
        </w:rPr>
        <w:t>Limitation of liability</w:t>
      </w:r>
      <w:r w:rsidR="00F651FA">
        <w:rPr>
          <w:i/>
          <w:iCs w:val="0"/>
        </w:rPr>
        <w:t>”</w:t>
      </w:r>
      <w:r w:rsidR="00F651FA" w:rsidRPr="00883D4B">
        <w:rPr>
          <w:i/>
          <w:iCs w:val="0"/>
        </w:rPr>
        <w:t xml:space="preserve"> that </w:t>
      </w:r>
      <w:r w:rsidR="00F651FA">
        <w:rPr>
          <w:i/>
          <w:iCs w:val="0"/>
        </w:rPr>
        <w:t>“</w:t>
      </w:r>
      <w:r w:rsidR="00F651FA" w:rsidRPr="00883D4B">
        <w:rPr>
          <w:i/>
          <w:iCs w:val="0"/>
        </w:rPr>
        <w:t>The Contractor</w:t>
      </w:r>
      <w:r w:rsidR="00F651FA">
        <w:rPr>
          <w:i/>
          <w:iCs w:val="0"/>
        </w:rPr>
        <w:t>’</w:t>
      </w:r>
      <w:r w:rsidR="00F651FA" w:rsidRPr="00883D4B">
        <w:rPr>
          <w:i/>
          <w:iCs w:val="0"/>
        </w:rPr>
        <w:t>s liability”</w:t>
      </w:r>
      <w:r w:rsidR="00F651FA" w:rsidRPr="001561F3">
        <w:rPr>
          <w:rFonts w:ascii="Segoe UI" w:eastAsia="Times New Roman" w:hAnsi="Segoe UI" w:cs="Segoe UI"/>
          <w:iCs w:val="0"/>
          <w:color w:val="000000"/>
          <w:sz w:val="27"/>
          <w:szCs w:val="27"/>
          <w:lang w:eastAsia="en-ZA" w:bidi="ar-SA"/>
        </w:rPr>
        <w:t xml:space="preserve"> </w:t>
      </w:r>
      <w:r w:rsidR="00F651FA" w:rsidRPr="001561F3">
        <w:rPr>
          <w:i/>
          <w:iCs w:val="0"/>
        </w:rPr>
        <w:t>to the Employer for indirect or consequential loss is limited to: 0% of the Prices</w:t>
      </w:r>
      <w:r w:rsidR="00F651FA">
        <w:rPr>
          <w:i/>
          <w:iCs w:val="0"/>
        </w:rPr>
        <w:t>”</w:t>
      </w:r>
      <w:r w:rsidR="00F651FA" w:rsidRPr="001561F3">
        <w:rPr>
          <w:i/>
          <w:iCs w:val="0"/>
        </w:rPr>
        <w:t>. This clause of course refers to the Contractor</w:t>
      </w:r>
      <w:r w:rsidR="00F651FA">
        <w:rPr>
          <w:i/>
          <w:iCs w:val="0"/>
        </w:rPr>
        <w:t>’</w:t>
      </w:r>
      <w:r w:rsidR="00F651FA" w:rsidRPr="001561F3">
        <w:rPr>
          <w:i/>
          <w:iCs w:val="0"/>
        </w:rPr>
        <w:t>s liability and not the Employer</w:t>
      </w:r>
      <w:r w:rsidR="00F651FA">
        <w:rPr>
          <w:i/>
          <w:iCs w:val="0"/>
        </w:rPr>
        <w:t>’</w:t>
      </w:r>
      <w:r w:rsidR="00F651FA" w:rsidRPr="001561F3">
        <w:rPr>
          <w:i/>
          <w:iCs w:val="0"/>
        </w:rPr>
        <w:t>s, and if indirect or consequential loss were excluded from the contract, it may well be asked why it was necessary to state that the Contractor</w:t>
      </w:r>
      <w:r w:rsidR="00F651FA">
        <w:rPr>
          <w:i/>
          <w:iCs w:val="0"/>
        </w:rPr>
        <w:t>’</w:t>
      </w:r>
      <w:r w:rsidR="00F651FA" w:rsidRPr="001561F3">
        <w:rPr>
          <w:i/>
          <w:iCs w:val="0"/>
        </w:rPr>
        <w:t>s liability for such loss had to be limited at all. The clause, if anything, is against Transnet.</w:t>
      </w:r>
      <w:r w:rsidR="00F651FA">
        <w:rPr>
          <w:i/>
          <w:iCs w:val="0"/>
        </w:rPr>
        <w:t xml:space="preserve"> </w:t>
      </w:r>
      <w:r w:rsidR="00F651FA" w:rsidRPr="00F65C33">
        <w:rPr>
          <w:i/>
          <w:iCs w:val="0"/>
        </w:rPr>
        <w:t xml:space="preserve">It would in my view take clear wording to construe the NEC3 Conditions of Contract as excluding common law rights, which I do not find, and nor does it seem to me, are common law rights excluded as a necessary implication. The contract simply does not contemplate the present situation where the contractor complains that it was not allocated work to which it was entitled. Assuming those to be special (consequential) damages, those are to my mind not excluded by the contract. Accordingly, not only are the damages claimed in my view not special damages (indirect or consequential damages) but even if </w:t>
      </w:r>
      <w:r w:rsidR="00F651FA" w:rsidRPr="00F65C33">
        <w:rPr>
          <w:i/>
          <w:iCs w:val="0"/>
        </w:rPr>
        <w:lastRenderedPageBreak/>
        <w:t>they were, they are in any event not expressly or by necessary implication excluded by the contract. It must then be asked whether the damages claimed by the claimants (i.e. direct or general damages) may be claimed under the contract at all. It is true that there is no express provision for such</w:t>
      </w:r>
      <w:r w:rsidR="00F651FA">
        <w:rPr>
          <w:i/>
          <w:iCs w:val="0"/>
        </w:rPr>
        <w:t xml:space="preserve"> a</w:t>
      </w:r>
      <w:r w:rsidR="00F651FA" w:rsidRPr="00F65C33">
        <w:rPr>
          <w:i/>
          <w:iCs w:val="0"/>
        </w:rPr>
        <w:t xml:space="preserve"> claim, but then the scheme of the contract assumes that work is actually allocated to the contractor. There is undoubtedly a common law claim for damages for breaches of the nature alleged in these matters, and it would in my view take express wording, or very clear implication, to exclude such a claim. It is inconceivable that the parties intended, absent a clear indication to the contrary, that the employer could with impunity bypass the claimants in breach of their </w:t>
      </w:r>
      <w:r w:rsidR="00F651FA">
        <w:rPr>
          <w:i/>
          <w:iCs w:val="0"/>
        </w:rPr>
        <w:t>Contracts</w:t>
      </w:r>
      <w:r w:rsidR="00F651FA" w:rsidRPr="00F65C33">
        <w:rPr>
          <w:i/>
          <w:iCs w:val="0"/>
        </w:rPr>
        <w:t xml:space="preserve"> and suffer no consequences.”</w:t>
      </w:r>
      <w:r w:rsidR="00F651FA">
        <w:rPr>
          <w:rStyle w:val="FootnoteReference"/>
          <w:i/>
          <w:iCs w:val="0"/>
        </w:rPr>
        <w:footnoteReference w:id="72"/>
      </w:r>
    </w:p>
    <w:p w14:paraId="3AB1099E" w14:textId="77F13BBD" w:rsidR="00F651FA" w:rsidRDefault="00AC5E05" w:rsidP="00AC5E05">
      <w:pPr>
        <w:pStyle w:val="1"/>
        <w:numPr>
          <w:ilvl w:val="0"/>
          <w:numId w:val="0"/>
        </w:numPr>
        <w:tabs>
          <w:tab w:val="left" w:pos="567"/>
        </w:tabs>
        <w:ind w:left="567" w:hanging="567"/>
        <w:rPr>
          <w:lang w:val="en-ZA"/>
        </w:rPr>
      </w:pPr>
      <w:r>
        <w:rPr>
          <w:rFonts w:cs="Arial"/>
          <w:sz w:val="22"/>
          <w:lang w:val="en-ZA"/>
        </w:rPr>
        <w:t>[144]</w:t>
      </w:r>
      <w:r>
        <w:rPr>
          <w:rFonts w:cs="Arial"/>
          <w:sz w:val="22"/>
          <w:lang w:val="en-ZA"/>
        </w:rPr>
        <w:tab/>
      </w:r>
      <w:r w:rsidR="00F651FA">
        <w:rPr>
          <w:lang w:val="en-ZA"/>
        </w:rPr>
        <w:t>In deciding these issues, the Arbitrator refers to authorities referred to him:</w:t>
      </w:r>
    </w:p>
    <w:p w14:paraId="34CABC47" w14:textId="13A339E8" w:rsidR="00F651FA" w:rsidRPr="00CB572D" w:rsidRDefault="00AC5E05" w:rsidP="00AC5E05">
      <w:pPr>
        <w:pStyle w:val="2"/>
        <w:numPr>
          <w:ilvl w:val="0"/>
          <w:numId w:val="0"/>
        </w:numPr>
        <w:tabs>
          <w:tab w:val="left" w:pos="851"/>
        </w:tabs>
        <w:ind w:left="851" w:hanging="851"/>
        <w:rPr>
          <w:lang w:val="en-ZA"/>
        </w:rPr>
      </w:pPr>
      <w:r w:rsidRPr="00CB572D">
        <w:rPr>
          <w:sz w:val="22"/>
          <w:lang w:val="en-ZA"/>
        </w:rPr>
        <w:t>[144.1]</w:t>
      </w:r>
      <w:r w:rsidRPr="00CB572D">
        <w:rPr>
          <w:sz w:val="22"/>
          <w:lang w:val="en-ZA"/>
        </w:rPr>
        <w:tab/>
      </w:r>
      <w:r w:rsidR="00F651FA">
        <w:rPr>
          <w:lang w:val="en-ZA"/>
        </w:rPr>
        <w:t xml:space="preserve">For the enquiry as to the nature of the damages, he refers to </w:t>
      </w:r>
      <w:r w:rsidR="00F651FA" w:rsidRPr="00DD55DC">
        <w:rPr>
          <w:b/>
          <w:bCs/>
          <w:i/>
          <w:iCs w:val="0"/>
          <w:lang w:val="en-ZA"/>
        </w:rPr>
        <w:t>Holmdene Brickworks</w:t>
      </w:r>
      <w:r w:rsidR="00F651FA">
        <w:rPr>
          <w:rStyle w:val="FootnoteReference"/>
          <w:b/>
          <w:bCs/>
          <w:i/>
          <w:iCs w:val="0"/>
        </w:rPr>
        <w:footnoteReference w:id="73"/>
      </w:r>
      <w:r w:rsidR="00F651FA">
        <w:rPr>
          <w:lang w:val="en-ZA"/>
        </w:rPr>
        <w:t xml:space="preserve"> and the authorities referred to him by Ms Annandale namely</w:t>
      </w:r>
      <w:r w:rsidR="00F651FA" w:rsidRPr="00DD55DC">
        <w:rPr>
          <w:rFonts w:ascii="Segoe UI" w:eastAsia="Times New Roman" w:hAnsi="Segoe UI" w:cs="Segoe UI"/>
          <w:iCs w:val="0"/>
          <w:color w:val="000000"/>
          <w:sz w:val="27"/>
          <w:szCs w:val="27"/>
          <w:lang w:eastAsia="en-ZA" w:bidi="ar-SA"/>
        </w:rPr>
        <w:t xml:space="preserve"> </w:t>
      </w:r>
      <w:r w:rsidR="00F651FA" w:rsidRPr="00DD55DC">
        <w:t> </w:t>
      </w:r>
      <w:r w:rsidR="00F651FA" w:rsidRPr="006B3EEF">
        <w:rPr>
          <w:u w:val="single"/>
        </w:rPr>
        <w:t>2 Entertain Video Ltd and Others v Son DADC Euro e Ltd [2020] EWHC 972 (TCC)</w:t>
      </w:r>
      <w:r w:rsidR="00F651FA">
        <w:t xml:space="preserve"> in support of his conclusion.  </w:t>
      </w:r>
    </w:p>
    <w:p w14:paraId="299568BC" w14:textId="48878FC4" w:rsidR="00F651FA" w:rsidRPr="00F651FA" w:rsidRDefault="00AC5E05" w:rsidP="00AC5E05">
      <w:pPr>
        <w:pStyle w:val="2"/>
        <w:numPr>
          <w:ilvl w:val="0"/>
          <w:numId w:val="0"/>
        </w:numPr>
        <w:tabs>
          <w:tab w:val="left" w:pos="851"/>
        </w:tabs>
        <w:ind w:left="851" w:hanging="851"/>
        <w:rPr>
          <w:lang w:val="en-ZA"/>
        </w:rPr>
      </w:pPr>
      <w:r w:rsidRPr="00F651FA">
        <w:rPr>
          <w:sz w:val="22"/>
          <w:lang w:val="en-ZA"/>
        </w:rPr>
        <w:t>[144.2]</w:t>
      </w:r>
      <w:r w:rsidRPr="00F651FA">
        <w:rPr>
          <w:sz w:val="22"/>
          <w:lang w:val="en-ZA"/>
        </w:rPr>
        <w:tab/>
      </w:r>
      <w:r w:rsidR="00F651FA">
        <w:t xml:space="preserve">For the enquiry whether the NEC3 contract excluded he refers to two commentaries by respected authors </w:t>
      </w:r>
      <w:r w:rsidR="00F651FA" w:rsidRPr="00160326">
        <w:t>Keatin on NEC3, paragraph</w:t>
      </w:r>
      <w:r w:rsidR="00F651FA">
        <w:t>s</w:t>
      </w:r>
      <w:r w:rsidR="00F651FA" w:rsidRPr="00160326">
        <w:t xml:space="preserve"> 7-123 and Eggleston, The NEC3 En</w:t>
      </w:r>
      <w:r w:rsidR="00F651FA">
        <w:t>g</w:t>
      </w:r>
      <w:r w:rsidR="00F651FA" w:rsidRPr="00160326">
        <w:t>ineerin</w:t>
      </w:r>
      <w:r w:rsidR="00F651FA">
        <w:t>g</w:t>
      </w:r>
      <w:r w:rsidR="00F651FA" w:rsidRPr="00160326">
        <w:t xml:space="preserve"> and Construction Contract A Commenta</w:t>
      </w:r>
      <w:r w:rsidR="00F651FA">
        <w:t>ry</w:t>
      </w:r>
      <w:r w:rsidR="00F651FA" w:rsidRPr="00160326">
        <w:t xml:space="preserve"> </w:t>
      </w:r>
      <w:r w:rsidR="00F651FA" w:rsidRPr="00160326">
        <w:lastRenderedPageBreak/>
        <w:t xml:space="preserve">at paragraph 11.5 on pages 217/8 and 226, which support the notion that the NEC3 Conditions of Contract do not exclude common law remedies. </w:t>
      </w:r>
    </w:p>
    <w:p w14:paraId="7E872974" w14:textId="13F56745" w:rsidR="00663C34" w:rsidRDefault="00AC5E05" w:rsidP="00AC5E05">
      <w:pPr>
        <w:pStyle w:val="1"/>
        <w:numPr>
          <w:ilvl w:val="0"/>
          <w:numId w:val="0"/>
        </w:numPr>
        <w:tabs>
          <w:tab w:val="left" w:pos="567"/>
        </w:tabs>
        <w:ind w:left="567" w:hanging="567"/>
        <w:rPr>
          <w:lang w:val="en-ZA"/>
        </w:rPr>
      </w:pPr>
      <w:r>
        <w:rPr>
          <w:rFonts w:cs="Arial"/>
          <w:sz w:val="22"/>
          <w:lang w:val="en-ZA"/>
        </w:rPr>
        <w:t>[145]</w:t>
      </w:r>
      <w:r>
        <w:rPr>
          <w:rFonts w:cs="Arial"/>
          <w:sz w:val="22"/>
          <w:lang w:val="en-ZA"/>
        </w:rPr>
        <w:tab/>
      </w:r>
      <w:r w:rsidR="00663C34">
        <w:rPr>
          <w:lang w:val="en-ZA"/>
        </w:rPr>
        <w:t xml:space="preserve">In these proceedings, Transnet put up extracts of Keatin and Eggleston which it </w:t>
      </w:r>
      <w:r w:rsidR="00583B7B">
        <w:rPr>
          <w:lang w:val="en-ZA"/>
        </w:rPr>
        <w:t xml:space="preserve">required </w:t>
      </w:r>
      <w:r w:rsidR="00663C34">
        <w:rPr>
          <w:lang w:val="en-ZA"/>
        </w:rPr>
        <w:t xml:space="preserve">me to have regard in support of its review grounds, </w:t>
      </w:r>
      <w:r w:rsidR="00583B7B">
        <w:rPr>
          <w:lang w:val="en-ZA"/>
        </w:rPr>
        <w:t>an invitation which I decline</w:t>
      </w:r>
      <w:r w:rsidR="00663C34">
        <w:rPr>
          <w:lang w:val="en-ZA"/>
        </w:rPr>
        <w:t xml:space="preserve">.  These are submissions that Transnet ought to have placed before the Arbitrator when it was asked to and provided with an opportunity to do so.  It is not open to </w:t>
      </w:r>
      <w:r w:rsidR="006B645C">
        <w:rPr>
          <w:lang w:val="en-ZA"/>
        </w:rPr>
        <w:t>Transnet to</w:t>
      </w:r>
      <w:r w:rsidR="00663C34">
        <w:rPr>
          <w:lang w:val="en-ZA"/>
        </w:rPr>
        <w:t xml:space="preserve"> now launch opposing arguments to Spill Tech’s submissions which it ought to have done in the arbitration</w:t>
      </w:r>
      <w:r w:rsidR="00F651FA">
        <w:rPr>
          <w:lang w:val="en-ZA"/>
        </w:rPr>
        <w:t>.</w:t>
      </w:r>
    </w:p>
    <w:p w14:paraId="04B94168" w14:textId="28A66ECD" w:rsidR="00F651FA" w:rsidRDefault="00AC5E05" w:rsidP="00AC5E05">
      <w:pPr>
        <w:pStyle w:val="1"/>
        <w:numPr>
          <w:ilvl w:val="0"/>
          <w:numId w:val="0"/>
        </w:numPr>
        <w:tabs>
          <w:tab w:val="left" w:pos="567"/>
        </w:tabs>
        <w:ind w:left="567" w:hanging="567"/>
      </w:pPr>
      <w:r>
        <w:rPr>
          <w:rFonts w:cs="Arial"/>
          <w:sz w:val="22"/>
        </w:rPr>
        <w:t>[146]</w:t>
      </w:r>
      <w:r>
        <w:rPr>
          <w:rFonts w:cs="Arial"/>
          <w:sz w:val="22"/>
        </w:rPr>
        <w:tab/>
      </w:r>
      <w:r w:rsidR="00F651FA">
        <w:t>It appears to me that Transnet’s failure to engage with this issue was not because it was not provided with an opportunity to do so but that “</w:t>
      </w:r>
      <w:r w:rsidR="00F651FA" w:rsidRPr="00CB73E9">
        <w:rPr>
          <w:i/>
        </w:rPr>
        <w:t>it was part of a tactical decision which has resulted in the bringing of this review.</w:t>
      </w:r>
      <w:r w:rsidR="00F651FA" w:rsidRPr="00CB73E9">
        <w:t>”</w:t>
      </w:r>
      <w:r w:rsidR="00F651FA">
        <w:rPr>
          <w:rStyle w:val="FootnoteReference"/>
        </w:rPr>
        <w:footnoteReference w:id="74"/>
      </w:r>
    </w:p>
    <w:p w14:paraId="520ED300" w14:textId="2D657782" w:rsidR="00F651FA" w:rsidRDefault="00AC5E05" w:rsidP="00AC5E05">
      <w:pPr>
        <w:pStyle w:val="1"/>
        <w:numPr>
          <w:ilvl w:val="0"/>
          <w:numId w:val="0"/>
        </w:numPr>
        <w:tabs>
          <w:tab w:val="left" w:pos="567"/>
        </w:tabs>
        <w:ind w:left="567" w:hanging="567"/>
      </w:pPr>
      <w:r>
        <w:rPr>
          <w:rFonts w:cs="Arial"/>
          <w:sz w:val="22"/>
        </w:rPr>
        <w:t>[147]</w:t>
      </w:r>
      <w:r>
        <w:rPr>
          <w:rFonts w:cs="Arial"/>
          <w:sz w:val="22"/>
        </w:rPr>
        <w:tab/>
      </w:r>
      <w:r w:rsidR="00F651FA" w:rsidRPr="00A502E1">
        <w:t>In </w:t>
      </w:r>
      <w:r w:rsidR="00F651FA" w:rsidRPr="00716522">
        <w:rPr>
          <w:b/>
          <w:bCs/>
          <w:i/>
        </w:rPr>
        <w:t>Lufuno Mphaphuli and Associates (Pty) Limited v Andrews</w:t>
      </w:r>
      <w:r w:rsidR="00F651FA" w:rsidRPr="00716522">
        <w:rPr>
          <w:b/>
          <w:bCs/>
        </w:rPr>
        <w:t> </w:t>
      </w:r>
      <w:r w:rsidR="00F651FA" w:rsidRPr="00716522">
        <w:rPr>
          <w:b/>
          <w:bCs/>
          <w:i/>
        </w:rPr>
        <w:t>and Another</w:t>
      </w:r>
      <w:r w:rsidR="00F651FA" w:rsidRPr="00A502E1">
        <w:rPr>
          <w:i/>
        </w:rPr>
        <w:t> </w:t>
      </w:r>
      <w:r w:rsidR="00F651FA">
        <w:rPr>
          <w:rStyle w:val="FootnoteReference"/>
          <w:i/>
        </w:rPr>
        <w:footnoteReference w:id="75"/>
      </w:r>
      <w:r w:rsidR="00F651FA">
        <w:t>, Ngcobo J in discussing why the Court should be very reluctant to entertain a constitutional matter that could have been, but was not, raised in the High Court or the Supreme Court of Appeal,  held:</w:t>
      </w:r>
    </w:p>
    <w:p w14:paraId="1DC184E3" w14:textId="6C2A49FE" w:rsidR="00F651FA" w:rsidRPr="00FA6A0C" w:rsidRDefault="00AC5E05" w:rsidP="00AC5E05">
      <w:pPr>
        <w:pStyle w:val="2"/>
        <w:numPr>
          <w:ilvl w:val="0"/>
          <w:numId w:val="0"/>
        </w:numPr>
        <w:tabs>
          <w:tab w:val="left" w:pos="851"/>
        </w:tabs>
        <w:ind w:left="851" w:hanging="851"/>
      </w:pPr>
      <w:r w:rsidRPr="00FA6A0C">
        <w:rPr>
          <w:sz w:val="22"/>
        </w:rPr>
        <w:t>[147.1]</w:t>
      </w:r>
      <w:r w:rsidRPr="00FA6A0C">
        <w:rPr>
          <w:sz w:val="22"/>
        </w:rPr>
        <w:tab/>
      </w:r>
      <w:r w:rsidR="00F651FA" w:rsidRPr="002C2F78">
        <w:rPr>
          <w:i/>
          <w:iCs w:val="0"/>
        </w:rPr>
        <w:t>“[293] It is patently clear from these statements that the constitutional issue was raised as an afterthought in order to get the ear of this Court</w:t>
      </w:r>
      <w:r w:rsidR="00F651FA">
        <w:t>.”</w:t>
      </w:r>
    </w:p>
    <w:p w14:paraId="2413C2CC" w14:textId="1D79FEA2" w:rsidR="00F651FA" w:rsidRPr="00D2689F" w:rsidRDefault="00AC5E05" w:rsidP="00AC5E05">
      <w:pPr>
        <w:pStyle w:val="1"/>
        <w:numPr>
          <w:ilvl w:val="0"/>
          <w:numId w:val="0"/>
        </w:numPr>
        <w:tabs>
          <w:tab w:val="left" w:pos="567"/>
        </w:tabs>
        <w:ind w:left="567" w:hanging="567"/>
        <w:rPr>
          <w:lang w:val="en-ZA"/>
        </w:rPr>
      </w:pPr>
      <w:r w:rsidRPr="00D2689F">
        <w:rPr>
          <w:rFonts w:cs="Arial"/>
          <w:sz w:val="22"/>
          <w:lang w:val="en-ZA"/>
        </w:rPr>
        <w:t>[148]</w:t>
      </w:r>
      <w:r w:rsidRPr="00D2689F">
        <w:rPr>
          <w:rFonts w:cs="Arial"/>
          <w:sz w:val="22"/>
          <w:lang w:val="en-ZA"/>
        </w:rPr>
        <w:tab/>
      </w:r>
      <w:r w:rsidR="00F651FA">
        <w:t xml:space="preserve">While Ngcobo J’s comments applied to a constitutional issue that ought to have </w:t>
      </w:r>
      <w:r w:rsidR="00F651FA">
        <w:lastRenderedPageBreak/>
        <w:t xml:space="preserve">been raised by the appellant, I would venture that the same principle applies in this matter.  </w:t>
      </w:r>
    </w:p>
    <w:p w14:paraId="304D4A21" w14:textId="0FBE9580" w:rsidR="00663C34" w:rsidRDefault="00AC5E05" w:rsidP="00AC5E05">
      <w:pPr>
        <w:pStyle w:val="1"/>
        <w:numPr>
          <w:ilvl w:val="0"/>
          <w:numId w:val="0"/>
        </w:numPr>
        <w:tabs>
          <w:tab w:val="left" w:pos="567"/>
        </w:tabs>
        <w:ind w:left="567" w:hanging="567"/>
        <w:rPr>
          <w:lang w:val="en-ZA"/>
        </w:rPr>
      </w:pPr>
      <w:r>
        <w:rPr>
          <w:rFonts w:cs="Arial"/>
          <w:sz w:val="22"/>
          <w:lang w:val="en-ZA"/>
        </w:rPr>
        <w:t>[149]</w:t>
      </w:r>
      <w:r>
        <w:rPr>
          <w:rFonts w:cs="Arial"/>
          <w:sz w:val="22"/>
          <w:lang w:val="en-ZA"/>
        </w:rPr>
        <w:tab/>
      </w:r>
      <w:r w:rsidR="00663C34">
        <w:rPr>
          <w:lang w:val="en-ZA"/>
        </w:rPr>
        <w:t xml:space="preserve">In conclusion on this defence, I find that the Arbitrator’s enquiry on whether </w:t>
      </w:r>
      <w:r w:rsidR="00663C34" w:rsidRPr="000D2D84">
        <w:rPr>
          <w:i/>
          <w:lang w:val="en-ZA"/>
        </w:rPr>
        <w:t>consequential damages were cognisable under the Contract</w:t>
      </w:r>
      <w:r w:rsidR="00663C34">
        <w:rPr>
          <w:i/>
          <w:lang w:val="en-ZA"/>
        </w:rPr>
        <w:t>s</w:t>
      </w:r>
      <w:r w:rsidR="00663C34">
        <w:rPr>
          <w:lang w:val="en-ZA"/>
        </w:rPr>
        <w:t xml:space="preserve"> was not misconceived.  This is the enquiry he had been asked to do and what he embarked on. </w:t>
      </w:r>
      <w:r w:rsidR="00663C34" w:rsidRPr="00A8631A">
        <w:rPr>
          <w:lang w:val="en-ZA"/>
        </w:rPr>
        <w:t xml:space="preserve">The issue was clearly before him as a separated issue for consideration.  </w:t>
      </w:r>
      <w:r w:rsidR="00663C34">
        <w:rPr>
          <w:lang w:val="en-ZA"/>
        </w:rPr>
        <w:t xml:space="preserve">When he was mulling over the issue of whether </w:t>
      </w:r>
      <w:r w:rsidR="002D5B11">
        <w:rPr>
          <w:lang w:val="en-ZA"/>
        </w:rPr>
        <w:t>consequential</w:t>
      </w:r>
      <w:r w:rsidR="00663C34">
        <w:rPr>
          <w:lang w:val="en-ZA"/>
        </w:rPr>
        <w:t xml:space="preserve"> damages would be cognisable under the common law claim for breach of contract and whether these were included or excluded in the Contracts, he raised this pertinently with both parties and provided both to make further submissions. </w:t>
      </w:r>
    </w:p>
    <w:p w14:paraId="2021AEA7" w14:textId="051B9F65" w:rsidR="00663C34" w:rsidRDefault="00AC5E05" w:rsidP="00AC5E05">
      <w:pPr>
        <w:pStyle w:val="1"/>
        <w:numPr>
          <w:ilvl w:val="0"/>
          <w:numId w:val="0"/>
        </w:numPr>
        <w:tabs>
          <w:tab w:val="left" w:pos="567"/>
        </w:tabs>
        <w:ind w:left="567" w:hanging="567"/>
        <w:rPr>
          <w:lang w:val="en-ZA"/>
        </w:rPr>
      </w:pPr>
      <w:r>
        <w:rPr>
          <w:rFonts w:cs="Arial"/>
          <w:sz w:val="22"/>
          <w:lang w:val="en-ZA"/>
        </w:rPr>
        <w:t>[150]</w:t>
      </w:r>
      <w:r>
        <w:rPr>
          <w:rFonts w:cs="Arial"/>
          <w:sz w:val="22"/>
          <w:lang w:val="en-ZA"/>
        </w:rPr>
        <w:tab/>
      </w:r>
      <w:r w:rsidR="00663C34">
        <w:rPr>
          <w:lang w:val="en-ZA"/>
        </w:rPr>
        <w:t xml:space="preserve">That </w:t>
      </w:r>
      <w:r w:rsidR="00D2689F">
        <w:rPr>
          <w:lang w:val="en-ZA"/>
        </w:rPr>
        <w:t xml:space="preserve">the Arbitrator </w:t>
      </w:r>
      <w:r w:rsidR="00663C34">
        <w:rPr>
          <w:lang w:val="en-ZA"/>
        </w:rPr>
        <w:t>might have not favoured Transnet’s version, or arrived at an incorrect interpretation of the contract, or made errors of law is not a ground of review that warrants interference by this Court.</w:t>
      </w:r>
      <w:r w:rsidR="00663C34">
        <w:rPr>
          <w:rStyle w:val="FootnoteReference"/>
        </w:rPr>
        <w:footnoteReference w:id="76"/>
      </w:r>
      <w:r w:rsidR="00663C34">
        <w:rPr>
          <w:lang w:val="en-ZA"/>
        </w:rPr>
        <w:t xml:space="preserve"> </w:t>
      </w:r>
    </w:p>
    <w:p w14:paraId="47360E44" w14:textId="566F40F3" w:rsidR="00663C34" w:rsidRDefault="00AC5E05" w:rsidP="00AC5E05">
      <w:pPr>
        <w:pStyle w:val="1"/>
        <w:numPr>
          <w:ilvl w:val="0"/>
          <w:numId w:val="0"/>
        </w:numPr>
        <w:tabs>
          <w:tab w:val="left" w:pos="567"/>
        </w:tabs>
        <w:ind w:left="567" w:hanging="567"/>
      </w:pPr>
      <w:r>
        <w:rPr>
          <w:rFonts w:cs="Arial"/>
          <w:sz w:val="22"/>
        </w:rPr>
        <w:t>[151]</w:t>
      </w:r>
      <w:r>
        <w:rPr>
          <w:rFonts w:cs="Arial"/>
          <w:sz w:val="22"/>
        </w:rPr>
        <w:tab/>
      </w:r>
      <w:r w:rsidR="00663C34">
        <w:t xml:space="preserve">Accordingly, Transnet’s application in relation to the third defence is dismissed. </w:t>
      </w:r>
    </w:p>
    <w:p w14:paraId="7F83EB53" w14:textId="45DE163D" w:rsidR="00067109" w:rsidRPr="00596C03" w:rsidRDefault="00067109" w:rsidP="00596C03">
      <w:pPr>
        <w:pStyle w:val="1"/>
        <w:numPr>
          <w:ilvl w:val="0"/>
          <w:numId w:val="0"/>
        </w:numPr>
        <w:rPr>
          <w:b/>
          <w:bCs/>
        </w:rPr>
      </w:pPr>
      <w:r w:rsidRPr="00596C03">
        <w:rPr>
          <w:b/>
          <w:bCs/>
        </w:rPr>
        <w:t xml:space="preserve">The Incompetent remedy defence </w:t>
      </w:r>
    </w:p>
    <w:p w14:paraId="7173D7EE" w14:textId="744A0358" w:rsidR="00AE33EC" w:rsidRDefault="00AC5E05" w:rsidP="00AC5E05">
      <w:pPr>
        <w:pStyle w:val="1"/>
        <w:numPr>
          <w:ilvl w:val="0"/>
          <w:numId w:val="0"/>
        </w:numPr>
        <w:tabs>
          <w:tab w:val="left" w:pos="567"/>
        </w:tabs>
        <w:ind w:left="567" w:hanging="567"/>
      </w:pPr>
      <w:r>
        <w:rPr>
          <w:rFonts w:cs="Arial"/>
          <w:sz w:val="22"/>
        </w:rPr>
        <w:t>[152]</w:t>
      </w:r>
      <w:r>
        <w:rPr>
          <w:rFonts w:cs="Arial"/>
          <w:sz w:val="22"/>
        </w:rPr>
        <w:tab/>
      </w:r>
      <w:r w:rsidR="00AE33EC">
        <w:t xml:space="preserve">This fourth special defence is related to the third defence.  </w:t>
      </w:r>
    </w:p>
    <w:p w14:paraId="15DA79C4" w14:textId="67E26BAF" w:rsidR="00BD6973" w:rsidRDefault="00AC5E05" w:rsidP="00AC5E05">
      <w:pPr>
        <w:pStyle w:val="1"/>
        <w:numPr>
          <w:ilvl w:val="0"/>
          <w:numId w:val="0"/>
        </w:numPr>
        <w:tabs>
          <w:tab w:val="left" w:pos="567"/>
        </w:tabs>
        <w:ind w:left="567" w:hanging="567"/>
      </w:pPr>
      <w:r>
        <w:rPr>
          <w:rFonts w:cs="Arial"/>
          <w:sz w:val="22"/>
        </w:rPr>
        <w:t>[153]</w:t>
      </w:r>
      <w:r>
        <w:rPr>
          <w:rFonts w:cs="Arial"/>
          <w:sz w:val="22"/>
        </w:rPr>
        <w:tab/>
      </w:r>
      <w:r w:rsidR="00BD6973">
        <w:t xml:space="preserve">In his award, the </w:t>
      </w:r>
      <w:r w:rsidR="009F0FA7">
        <w:t>Arbitrator</w:t>
      </w:r>
      <w:r w:rsidR="00BD6973">
        <w:t xml:space="preserve"> found that:</w:t>
      </w:r>
    </w:p>
    <w:p w14:paraId="1360B154" w14:textId="22065472" w:rsidR="00BD6973" w:rsidRDefault="00AC5E05" w:rsidP="00AC5E05">
      <w:pPr>
        <w:pStyle w:val="2"/>
        <w:numPr>
          <w:ilvl w:val="0"/>
          <w:numId w:val="0"/>
        </w:numPr>
        <w:tabs>
          <w:tab w:val="left" w:pos="851"/>
        </w:tabs>
        <w:ind w:left="851" w:hanging="851"/>
      </w:pPr>
      <w:r>
        <w:rPr>
          <w:sz w:val="22"/>
        </w:rPr>
        <w:lastRenderedPageBreak/>
        <w:t>[153.1]</w:t>
      </w:r>
      <w:r>
        <w:rPr>
          <w:sz w:val="22"/>
        </w:rPr>
        <w:tab/>
      </w:r>
      <w:r w:rsidR="00473C4B">
        <w:t>“</w:t>
      </w:r>
      <w:r w:rsidR="00473C4B" w:rsidRPr="002F3DA6">
        <w:rPr>
          <w:i/>
          <w:iCs w:val="0"/>
        </w:rPr>
        <w:t xml:space="preserve">This special plea is based on the fact that the claimants consider and have pleaded the alleged events to be compensation events, in which event Transnet points to clause 63.5 which provides that: </w:t>
      </w:r>
      <w:r w:rsidR="006F6B2B">
        <w:rPr>
          <w:i/>
          <w:iCs w:val="0"/>
        </w:rPr>
        <w:t>“</w:t>
      </w:r>
      <w:r w:rsidR="00473C4B" w:rsidRPr="002F3DA6">
        <w:rPr>
          <w:i/>
          <w:iCs w:val="0"/>
        </w:rPr>
        <w:t>The rights of the Employer and the Contractor to changes of the Prices are their only rights in respect of a compensation event.</w:t>
      </w:r>
      <w:r w:rsidR="006F6B2B">
        <w:rPr>
          <w:i/>
          <w:iCs w:val="0"/>
        </w:rPr>
        <w:t>”</w:t>
      </w:r>
      <w:r w:rsidR="00473C4B" w:rsidRPr="002F3DA6">
        <w:rPr>
          <w:i/>
          <w:iCs w:val="0"/>
        </w:rPr>
        <w:t xml:space="preserve"> </w:t>
      </w:r>
      <w:r w:rsidR="002F3DA6" w:rsidRPr="002F3DA6">
        <w:rPr>
          <w:i/>
          <w:iCs w:val="0"/>
        </w:rPr>
        <w:t xml:space="preserve"> </w:t>
      </w:r>
      <w:r w:rsidR="00473C4B" w:rsidRPr="002F3DA6">
        <w:rPr>
          <w:i/>
          <w:iCs w:val="0"/>
        </w:rPr>
        <w:t>Transnet alleges that a claim for loss of profit is not a change of the Prices as contemplated in the contract and that the statement of claim therefore does not disclose a cause of action. Notwithstanding the claimants</w:t>
      </w:r>
      <w:r w:rsidR="006F6B2B">
        <w:rPr>
          <w:i/>
          <w:iCs w:val="0"/>
        </w:rPr>
        <w:t>’</w:t>
      </w:r>
      <w:r w:rsidR="00473C4B" w:rsidRPr="002F3DA6">
        <w:rPr>
          <w:i/>
          <w:iCs w:val="0"/>
        </w:rPr>
        <w:t xml:space="preserve"> reliance on compensation events, I am of the view that the breaches complained of are not compensation events</w:t>
      </w:r>
      <w:r w:rsidR="002F3DA6" w:rsidRPr="002F3DA6">
        <w:rPr>
          <w:i/>
          <w:iCs w:val="0"/>
        </w:rPr>
        <w:t xml:space="preserve"> </w:t>
      </w:r>
      <w:r w:rsidR="00473C4B" w:rsidRPr="002F3DA6">
        <w:rPr>
          <w:i/>
          <w:iCs w:val="0"/>
        </w:rPr>
        <w:t>but are breaches which fall under the common law and are not excluded by the contract. Reliance on common law remedies has been pleaded by the claimants in the alternative.</w:t>
      </w:r>
      <w:r w:rsidR="00B325D8" w:rsidRPr="002F3DA6">
        <w:rPr>
          <w:rFonts w:ascii="Segoe UI" w:eastAsia="Times New Roman" w:hAnsi="Segoe UI" w:cs="Segoe UI"/>
          <w:i/>
          <w:iCs w:val="0"/>
          <w:color w:val="000000"/>
          <w:sz w:val="27"/>
          <w:szCs w:val="27"/>
          <w:lang w:eastAsia="en-ZA" w:bidi="ar-SA"/>
        </w:rPr>
        <w:t xml:space="preserve"> A</w:t>
      </w:r>
      <w:r w:rsidR="00B325D8" w:rsidRPr="002F3DA6">
        <w:rPr>
          <w:i/>
          <w:iCs w:val="0"/>
        </w:rPr>
        <w:t>c</w:t>
      </w:r>
      <w:r w:rsidR="002F3DA6" w:rsidRPr="002F3DA6">
        <w:rPr>
          <w:i/>
          <w:iCs w:val="0"/>
        </w:rPr>
        <w:t>c</w:t>
      </w:r>
      <w:r w:rsidR="00B325D8" w:rsidRPr="002F3DA6">
        <w:rPr>
          <w:i/>
          <w:iCs w:val="0"/>
        </w:rPr>
        <w:t>ordingly, whilst I agree that loss of profit is not a change of the Prices, I am of the view that the remedy is competent and that the fourth special plea should also be dismissed</w:t>
      </w:r>
      <w:r w:rsidR="002F3DA6">
        <w:t>.”</w:t>
      </w:r>
      <w:r w:rsidR="002643EA">
        <w:rPr>
          <w:rStyle w:val="FootnoteReference"/>
        </w:rPr>
        <w:footnoteReference w:id="77"/>
      </w:r>
    </w:p>
    <w:p w14:paraId="324F9D8D" w14:textId="2824ACCF" w:rsidR="002F3DA6" w:rsidRDefault="00AC5E05" w:rsidP="00AC5E05">
      <w:pPr>
        <w:pStyle w:val="1"/>
        <w:numPr>
          <w:ilvl w:val="0"/>
          <w:numId w:val="0"/>
        </w:numPr>
        <w:tabs>
          <w:tab w:val="left" w:pos="567"/>
        </w:tabs>
        <w:ind w:left="567" w:hanging="567"/>
      </w:pPr>
      <w:r>
        <w:rPr>
          <w:rFonts w:cs="Arial"/>
          <w:sz w:val="22"/>
        </w:rPr>
        <w:t>[154]</w:t>
      </w:r>
      <w:r>
        <w:rPr>
          <w:rFonts w:cs="Arial"/>
          <w:sz w:val="22"/>
        </w:rPr>
        <w:tab/>
      </w:r>
      <w:r w:rsidR="002F3DA6">
        <w:t xml:space="preserve">This finding by the </w:t>
      </w:r>
      <w:r w:rsidR="009F0FA7">
        <w:t>Arbitrator</w:t>
      </w:r>
      <w:r w:rsidR="002F3DA6">
        <w:t xml:space="preserve"> is linked to the earlier findings under the third defence.  In its founding affidavit</w:t>
      </w:r>
      <w:r w:rsidR="006F6B2B">
        <w:t>,</w:t>
      </w:r>
      <w:r w:rsidR="002F3DA6">
        <w:t xml:space="preserve"> Transnet submits that </w:t>
      </w:r>
      <w:r w:rsidR="003D1A29">
        <w:t>it’s</w:t>
      </w:r>
      <w:r w:rsidR="002F3DA6">
        <w:t xml:space="preserve"> difficult to understand the </w:t>
      </w:r>
      <w:r w:rsidR="009F0FA7">
        <w:t>Arbitrator</w:t>
      </w:r>
      <w:r w:rsidR="002F3DA6">
        <w:t xml:space="preserve">’s findings namely that Spill Tech’s </w:t>
      </w:r>
      <w:r w:rsidR="00EB5BFB">
        <w:t xml:space="preserve">claim for loss of profit does not amount to compensation events but </w:t>
      </w:r>
      <w:r w:rsidR="003D1A29">
        <w:t xml:space="preserve">then </w:t>
      </w:r>
      <w:r w:rsidR="00EB5BFB">
        <w:t>is</w:t>
      </w:r>
      <w:r w:rsidR="003D1A29">
        <w:t xml:space="preserve"> still</w:t>
      </w:r>
      <w:r w:rsidR="00EB5BFB">
        <w:t xml:space="preserve"> a competent remedy under the Contract.</w:t>
      </w:r>
    </w:p>
    <w:p w14:paraId="5FE151CB" w14:textId="4F55C2F2" w:rsidR="00EB5BFB" w:rsidRDefault="00AC5E05" w:rsidP="00AC5E05">
      <w:pPr>
        <w:pStyle w:val="1"/>
        <w:numPr>
          <w:ilvl w:val="0"/>
          <w:numId w:val="0"/>
        </w:numPr>
        <w:tabs>
          <w:tab w:val="left" w:pos="567"/>
        </w:tabs>
        <w:ind w:left="567" w:hanging="567"/>
      </w:pPr>
      <w:r>
        <w:rPr>
          <w:rFonts w:cs="Arial"/>
          <w:sz w:val="22"/>
        </w:rPr>
        <w:t>[155]</w:t>
      </w:r>
      <w:r>
        <w:rPr>
          <w:rFonts w:cs="Arial"/>
          <w:sz w:val="22"/>
        </w:rPr>
        <w:tab/>
      </w:r>
      <w:r w:rsidR="003D1A29">
        <w:t xml:space="preserve">The difficulty is only Transnet’s.  What is clear from the reasoning of the </w:t>
      </w:r>
      <w:r w:rsidR="006F6B2B">
        <w:t>A</w:t>
      </w:r>
      <w:r w:rsidR="003D1A29">
        <w:t xml:space="preserve">rbitrator </w:t>
      </w:r>
      <w:r w:rsidR="006F6B2B">
        <w:lastRenderedPageBreak/>
        <w:t xml:space="preserve">is </w:t>
      </w:r>
      <w:r w:rsidR="003D1A29">
        <w:t xml:space="preserve">that the </w:t>
      </w:r>
      <w:r w:rsidR="00865540">
        <w:t xml:space="preserve">issue of consequential damages and incompetent remedy were considered together.  </w:t>
      </w:r>
      <w:r w:rsidR="00EB5BFB">
        <w:t>When the arbitral award is read a</w:t>
      </w:r>
      <w:r w:rsidR="006F6B2B">
        <w:t>s</w:t>
      </w:r>
      <w:r w:rsidR="00EB5BFB">
        <w:t xml:space="preserve"> whole</w:t>
      </w:r>
      <w:r w:rsidR="006F6B2B">
        <w:t>,</w:t>
      </w:r>
      <w:r w:rsidR="00EB5BFB">
        <w:t xml:space="preserve"> the </w:t>
      </w:r>
      <w:r w:rsidR="006F6B2B">
        <w:t>A</w:t>
      </w:r>
      <w:r w:rsidR="00EB5BFB">
        <w:t>rbitrator’s reasoning on this defence flows logically from his conclusion on the third defence namely that the NEC3 conditions of contract do no</w:t>
      </w:r>
      <w:r w:rsidR="00231602">
        <w:t>t</w:t>
      </w:r>
      <w:r w:rsidR="00EB5BFB">
        <w:t xml:space="preserve"> exclude common law rights for breach of contract, that under the common law</w:t>
      </w:r>
      <w:r w:rsidR="00231602">
        <w:t>,do</w:t>
      </w:r>
      <w:r w:rsidR="00EB5BFB">
        <w:t xml:space="preserve"> </w:t>
      </w:r>
      <w:r w:rsidR="00F01729">
        <w:t>consequential (or direct) damages is a competent remedy and that Spill Tech had pleaded its alternative claim in the SOC.</w:t>
      </w:r>
    </w:p>
    <w:p w14:paraId="5DB03527" w14:textId="2EA371E9" w:rsidR="00F01729" w:rsidRDefault="00AC5E05" w:rsidP="00AC5E05">
      <w:pPr>
        <w:pStyle w:val="1"/>
        <w:numPr>
          <w:ilvl w:val="0"/>
          <w:numId w:val="0"/>
        </w:numPr>
        <w:tabs>
          <w:tab w:val="left" w:pos="567"/>
        </w:tabs>
        <w:ind w:left="567" w:hanging="567"/>
      </w:pPr>
      <w:r>
        <w:rPr>
          <w:rFonts w:cs="Arial"/>
          <w:sz w:val="22"/>
        </w:rPr>
        <w:t>[156]</w:t>
      </w:r>
      <w:r>
        <w:rPr>
          <w:rFonts w:cs="Arial"/>
          <w:sz w:val="22"/>
        </w:rPr>
        <w:tab/>
      </w:r>
      <w:r w:rsidR="00F01729">
        <w:t xml:space="preserve">His enquiry is not misconceived </w:t>
      </w:r>
      <w:r w:rsidR="00325960">
        <w:t xml:space="preserve">and nor was there any evidence put up by Transnet that it was not provided with a fair opportunity to </w:t>
      </w:r>
      <w:r w:rsidR="00252DB4">
        <w:t>address this issue.</w:t>
      </w:r>
    </w:p>
    <w:p w14:paraId="7F1AA56F" w14:textId="6E2222F1" w:rsidR="00252DB4" w:rsidRDefault="00AC5E05" w:rsidP="00AC5E05">
      <w:pPr>
        <w:pStyle w:val="1"/>
        <w:numPr>
          <w:ilvl w:val="0"/>
          <w:numId w:val="0"/>
        </w:numPr>
        <w:tabs>
          <w:tab w:val="left" w:pos="567"/>
        </w:tabs>
        <w:ind w:left="567" w:hanging="567"/>
      </w:pPr>
      <w:r>
        <w:rPr>
          <w:rFonts w:cs="Arial"/>
          <w:sz w:val="22"/>
        </w:rPr>
        <w:t>[157]</w:t>
      </w:r>
      <w:r>
        <w:rPr>
          <w:rFonts w:cs="Arial"/>
          <w:sz w:val="22"/>
        </w:rPr>
        <w:tab/>
      </w:r>
      <w:r w:rsidR="00252DB4">
        <w:t>Accordingly, this defence stands to be dismissed.</w:t>
      </w:r>
    </w:p>
    <w:p w14:paraId="79F6D03E" w14:textId="220C7763" w:rsidR="009A761B" w:rsidRPr="002C2F78" w:rsidRDefault="009A761B" w:rsidP="00095CC5">
      <w:pPr>
        <w:pStyle w:val="1"/>
        <w:numPr>
          <w:ilvl w:val="0"/>
          <w:numId w:val="0"/>
        </w:numPr>
        <w:rPr>
          <w:b/>
          <w:bCs/>
        </w:rPr>
      </w:pPr>
      <w:r w:rsidRPr="002C2F78">
        <w:rPr>
          <w:b/>
          <w:bCs/>
        </w:rPr>
        <w:t>Time Bar</w:t>
      </w:r>
    </w:p>
    <w:p w14:paraId="080EA01F" w14:textId="274A72C8" w:rsidR="00881E06" w:rsidRDefault="00AC5E05" w:rsidP="00AC5E05">
      <w:pPr>
        <w:pStyle w:val="1"/>
        <w:numPr>
          <w:ilvl w:val="0"/>
          <w:numId w:val="0"/>
        </w:numPr>
        <w:tabs>
          <w:tab w:val="left" w:pos="567"/>
        </w:tabs>
        <w:ind w:left="567" w:hanging="567"/>
      </w:pPr>
      <w:r>
        <w:rPr>
          <w:rFonts w:cs="Arial"/>
          <w:sz w:val="22"/>
        </w:rPr>
        <w:t>[158]</w:t>
      </w:r>
      <w:r>
        <w:rPr>
          <w:rFonts w:cs="Arial"/>
          <w:sz w:val="22"/>
        </w:rPr>
        <w:tab/>
      </w:r>
      <w:r w:rsidR="00881E06">
        <w:t>In his award</w:t>
      </w:r>
      <w:r w:rsidR="006F6B2B">
        <w:t>,</w:t>
      </w:r>
      <w:r w:rsidR="00881E06">
        <w:t xml:space="preserve"> the </w:t>
      </w:r>
      <w:r w:rsidR="009F0FA7">
        <w:t>Arbitrator</w:t>
      </w:r>
      <w:r w:rsidR="00881E06">
        <w:t xml:space="preserve"> held:</w:t>
      </w:r>
    </w:p>
    <w:p w14:paraId="111D6AC2" w14:textId="14CA1313" w:rsidR="0030748E" w:rsidRDefault="00AC5E05" w:rsidP="00AC5E05">
      <w:pPr>
        <w:pStyle w:val="2"/>
        <w:numPr>
          <w:ilvl w:val="0"/>
          <w:numId w:val="0"/>
        </w:numPr>
        <w:tabs>
          <w:tab w:val="left" w:pos="851"/>
        </w:tabs>
        <w:ind w:left="851" w:hanging="851"/>
      </w:pPr>
      <w:r>
        <w:rPr>
          <w:sz w:val="22"/>
        </w:rPr>
        <w:t>[158.1]</w:t>
      </w:r>
      <w:r>
        <w:rPr>
          <w:sz w:val="22"/>
        </w:rPr>
        <w:tab/>
      </w:r>
      <w:r w:rsidR="008C6E53">
        <w:t>“</w:t>
      </w:r>
      <w:r w:rsidR="008C6E53" w:rsidRPr="00095CC5">
        <w:rPr>
          <w:i/>
          <w:iCs w:val="0"/>
        </w:rPr>
        <w:t>There are three aspects to this special defence. The first is whether proper notice was given in terms of the compensation event procedure, secondly</w:t>
      </w:r>
      <w:r w:rsidR="00231602">
        <w:rPr>
          <w:i/>
          <w:iCs w:val="0"/>
        </w:rPr>
        <w:t>,</w:t>
      </w:r>
      <w:r w:rsidR="008C6E53" w:rsidRPr="00095CC5">
        <w:rPr>
          <w:i/>
          <w:iCs w:val="0"/>
        </w:rPr>
        <w:t xml:space="preserve"> whether the interim payment procedure in clause 50 of the NEC3 Conditions of Contract complied with, and thirdly whether referral to adjudication took place timeously.</w:t>
      </w:r>
      <w:r w:rsidR="0030748E">
        <w:t>”</w:t>
      </w:r>
      <w:r w:rsidR="008C6E53" w:rsidRPr="008C6E53">
        <w:t xml:space="preserve"> </w:t>
      </w:r>
      <w:r w:rsidR="0030748E">
        <w:rPr>
          <w:rStyle w:val="FootnoteReference"/>
        </w:rPr>
        <w:footnoteReference w:id="78"/>
      </w:r>
    </w:p>
    <w:p w14:paraId="15B73511" w14:textId="29E6C2C0" w:rsidR="0030748E" w:rsidRDefault="00AC5E05" w:rsidP="00AC5E05">
      <w:pPr>
        <w:pStyle w:val="2"/>
        <w:numPr>
          <w:ilvl w:val="0"/>
          <w:numId w:val="0"/>
        </w:numPr>
        <w:tabs>
          <w:tab w:val="left" w:pos="851"/>
        </w:tabs>
        <w:ind w:left="851" w:hanging="851"/>
      </w:pPr>
      <w:r>
        <w:rPr>
          <w:sz w:val="22"/>
        </w:rPr>
        <w:t>[158.2]</w:t>
      </w:r>
      <w:r>
        <w:rPr>
          <w:sz w:val="22"/>
        </w:rPr>
        <w:tab/>
      </w:r>
      <w:r w:rsidR="0030748E">
        <w:t>“</w:t>
      </w:r>
      <w:r w:rsidR="008C6E53" w:rsidRPr="00095CC5">
        <w:rPr>
          <w:i/>
          <w:iCs w:val="0"/>
        </w:rPr>
        <w:t xml:space="preserve">Once I have found that the events in question were not compensation events, </w:t>
      </w:r>
      <w:r w:rsidR="008C6E53" w:rsidRPr="00095CC5">
        <w:rPr>
          <w:i/>
          <w:iCs w:val="0"/>
        </w:rPr>
        <w:lastRenderedPageBreak/>
        <w:t xml:space="preserve">the first question falls away. There was no need for the claimants to comply with the provisions of clauses 60 to 65 of the NEC3 Conditions of Contract.  The second aspect involves clause 50 of the NEC3 Conditions of Contract. That clause provides for the procedure of assessing the amount due by the Service Manager. It is unnecessary that I delve into the details of that procedure because the claimants allege in their witness statements that the payment process followed in relation to the contract did not follow the procedure envisaged in clause 50 of the NEC3 Conditions of Contract, and the Service Manager did not issue interim payment certificates. In this regard: 50.1 Ms Radebe for the claimants described the process as follows (I paraphrase): each month the Service Manager issued a task order; the claimant formulated and submitted a costing schedule and pro forma invoice for each spill site to the Service Manager relating to services </w:t>
      </w:r>
      <w:r w:rsidR="00334422" w:rsidRPr="00095CC5">
        <w:rPr>
          <w:i/>
          <w:iCs w:val="0"/>
        </w:rPr>
        <w:t>rendered for the month concerned for vetting; the Service Manager raised queries; the claimant addressed the queries raised and amended its costing schedule as agreed; and the claimant then submitted its final invoice for payment. 50.2 Mr Luthuli submitted that variations to the contract had to be reduced to writing and signed by the parties. Ms Annandale SC</w:t>
      </w:r>
      <w:r w:rsidR="00231602">
        <w:rPr>
          <w:i/>
          <w:iCs w:val="0"/>
        </w:rPr>
        <w:t>,</w:t>
      </w:r>
      <w:r w:rsidR="00334422" w:rsidRPr="00095CC5">
        <w:rPr>
          <w:i/>
          <w:iCs w:val="0"/>
        </w:rPr>
        <w:t xml:space="preserve"> in turn</w:t>
      </w:r>
      <w:r w:rsidR="00231602">
        <w:rPr>
          <w:i/>
          <w:iCs w:val="0"/>
        </w:rPr>
        <w:t>,</w:t>
      </w:r>
      <w:r w:rsidR="00334422" w:rsidRPr="00095CC5">
        <w:rPr>
          <w:i/>
          <w:iCs w:val="0"/>
        </w:rPr>
        <w:t xml:space="preserve"> referred me to the case of Van der Walt v Minnaar 1954 (3) SA 932 (0) at 937, which is authority for the proposition that performance of an obligation written contract in a manner other than that prescribed at the request of one party and as a favour by the other would be considered to be proper performance and could be proved by extrinsic evidence. In my view</w:t>
      </w:r>
      <w:r w:rsidR="006F6B2B">
        <w:rPr>
          <w:i/>
          <w:iCs w:val="0"/>
        </w:rPr>
        <w:t>,</w:t>
      </w:r>
      <w:r w:rsidR="00334422" w:rsidRPr="00095CC5">
        <w:rPr>
          <w:i/>
          <w:iCs w:val="0"/>
        </w:rPr>
        <w:t xml:space="preserve"> this is applicable in the present situation and </w:t>
      </w:r>
      <w:r w:rsidR="00334422" w:rsidRPr="00095CC5">
        <w:rPr>
          <w:i/>
          <w:iCs w:val="0"/>
        </w:rPr>
        <w:lastRenderedPageBreak/>
        <w:t>Transnet is precluded from, at this stage, contending that there should have been strict compliance with clause 50.</w:t>
      </w:r>
      <w:r w:rsidR="001C6700" w:rsidRPr="00095CC5">
        <w:rPr>
          <w:i/>
          <w:iCs w:val="0"/>
        </w:rPr>
        <w:t xml:space="preserve"> The third aspect involves the referral to adjudication. The table at clause W1.1(3) of the NEC3 Conditions of Contract provides for four different scenarios. I agree with the claimants that 'Any other matter" applies, in which case the referral to the adjudicator had to be between two and four weeks after notification of the dispute to the other party and the Service Manager. The notification by Transnet that it rejected liability for the invoices and that no payment would be made in respect thereof occurred on 2 June 2021 and was notification of the dispute, and the referral took place within four weeks on 30 June 2021, i.e</w:t>
      </w:r>
      <w:r w:rsidR="00231602">
        <w:rPr>
          <w:i/>
          <w:iCs w:val="0"/>
        </w:rPr>
        <w:t>.</w:t>
      </w:r>
      <w:r w:rsidR="001C6700" w:rsidRPr="00095CC5">
        <w:rPr>
          <w:i/>
          <w:iCs w:val="0"/>
        </w:rPr>
        <w:t xml:space="preserve"> timeously. In the circumstances, the fifth special plea must also be dismissed</w:t>
      </w:r>
      <w:r w:rsidR="001C6700" w:rsidRPr="001C6700">
        <w:t>.</w:t>
      </w:r>
      <w:r w:rsidR="001C6700">
        <w:t>”</w:t>
      </w:r>
    </w:p>
    <w:p w14:paraId="2C0AE504" w14:textId="1A00C087" w:rsidR="00FB4614" w:rsidRDefault="00AC5E05" w:rsidP="00AC5E05">
      <w:pPr>
        <w:pStyle w:val="1"/>
        <w:numPr>
          <w:ilvl w:val="0"/>
          <w:numId w:val="0"/>
        </w:numPr>
        <w:tabs>
          <w:tab w:val="left" w:pos="567"/>
        </w:tabs>
        <w:ind w:left="567" w:hanging="567"/>
      </w:pPr>
      <w:r>
        <w:rPr>
          <w:rFonts w:cs="Arial"/>
          <w:sz w:val="22"/>
        </w:rPr>
        <w:t>[159]</w:t>
      </w:r>
      <w:r>
        <w:rPr>
          <w:rFonts w:cs="Arial"/>
          <w:sz w:val="22"/>
        </w:rPr>
        <w:tab/>
      </w:r>
      <w:r w:rsidR="00F3110E">
        <w:t>The relevance of the letter of 2 June 2021 is that it is in this letter that Transnet unequivocally rejects Spill Tech’s claim.  Until that point the parties were still trying to engage with each other</w:t>
      </w:r>
      <w:r w:rsidR="00FB4614">
        <w:t>.</w:t>
      </w:r>
      <w:r w:rsidR="00FB4614">
        <w:rPr>
          <w:rStyle w:val="FootnoteReference"/>
        </w:rPr>
        <w:footnoteReference w:id="79"/>
      </w:r>
      <w:r w:rsidR="005C1E7D">
        <w:t xml:space="preserve">  The calculation of whether proper notice was given by Spill Tech </w:t>
      </w:r>
      <w:r w:rsidR="00904031">
        <w:t xml:space="preserve">is done </w:t>
      </w:r>
      <w:r w:rsidR="005C1E7D">
        <w:t xml:space="preserve">in terms of the </w:t>
      </w:r>
      <w:r w:rsidR="00473C2E">
        <w:t>adjudication table</w:t>
      </w:r>
      <w:r w:rsidR="005C1E7D">
        <w:t xml:space="preserve"> </w:t>
      </w:r>
      <w:r w:rsidR="00473C2E">
        <w:t>in the</w:t>
      </w:r>
      <w:r w:rsidR="005C1E7D">
        <w:t xml:space="preserve"> Contract</w:t>
      </w:r>
      <w:r w:rsidR="00651D1D">
        <w:t>s</w:t>
      </w:r>
      <w:r w:rsidR="005C1E7D">
        <w:t xml:space="preserve">. </w:t>
      </w:r>
    </w:p>
    <w:p w14:paraId="080343B7" w14:textId="19778A49" w:rsidR="005B3AEB" w:rsidRDefault="00AC5E05" w:rsidP="00AC5E05">
      <w:pPr>
        <w:pStyle w:val="1"/>
        <w:numPr>
          <w:ilvl w:val="0"/>
          <w:numId w:val="0"/>
        </w:numPr>
        <w:tabs>
          <w:tab w:val="left" w:pos="567"/>
        </w:tabs>
        <w:ind w:left="567" w:hanging="567"/>
      </w:pPr>
      <w:r>
        <w:rPr>
          <w:rFonts w:cs="Arial"/>
          <w:sz w:val="22"/>
        </w:rPr>
        <w:t>[160]</w:t>
      </w:r>
      <w:r>
        <w:rPr>
          <w:rFonts w:cs="Arial"/>
          <w:sz w:val="22"/>
        </w:rPr>
        <w:tab/>
      </w:r>
      <w:r w:rsidR="001C6700">
        <w:t>Transnet</w:t>
      </w:r>
      <w:r w:rsidR="000664DA">
        <w:t>’s</w:t>
      </w:r>
      <w:r w:rsidR="001C6700">
        <w:t xml:space="preserve"> </w:t>
      </w:r>
      <w:r w:rsidR="00734A15">
        <w:t xml:space="preserve">grounds of review include that the </w:t>
      </w:r>
      <w:r w:rsidR="009F0FA7">
        <w:t>Arbitrator</w:t>
      </w:r>
      <w:r w:rsidR="00734A15">
        <w:t xml:space="preserve"> misconceived the enquiry</w:t>
      </w:r>
      <w:r w:rsidR="002E15E9">
        <w:t xml:space="preserve"> and </w:t>
      </w:r>
      <w:r w:rsidR="007B45D2">
        <w:t xml:space="preserve">strayed beyond the pleaded and separated </w:t>
      </w:r>
      <w:r w:rsidR="00647C3B">
        <w:t>issues</w:t>
      </w:r>
      <w:r w:rsidR="00734A15">
        <w:t xml:space="preserve">.  </w:t>
      </w:r>
      <w:r w:rsidR="007853C7">
        <w:t xml:space="preserve">It was not clear how Transnet could have given notice about </w:t>
      </w:r>
      <w:r w:rsidR="009D7B30">
        <w:t xml:space="preserve">the common law claims when these were not notified and when in fact it did not know </w:t>
      </w:r>
      <w:r w:rsidR="00DF26B0">
        <w:t xml:space="preserve">of such claims (because they had  been pleaded only in the arbitration proceedings). </w:t>
      </w:r>
      <w:r w:rsidR="0023022F">
        <w:t>Furthermore, t</w:t>
      </w:r>
      <w:r w:rsidR="007361DA">
        <w:t xml:space="preserve">he basis on </w:t>
      </w:r>
      <w:r w:rsidR="007361DA">
        <w:lastRenderedPageBreak/>
        <w:t xml:space="preserve">which the </w:t>
      </w:r>
      <w:r w:rsidR="00651D1D">
        <w:t>A</w:t>
      </w:r>
      <w:r w:rsidR="007361DA">
        <w:t xml:space="preserve">rbitrator determined this issue </w:t>
      </w:r>
      <w:r w:rsidR="000963ED">
        <w:t xml:space="preserve">namely on Transnet’s letter of 2 June 2022 was not pleaded by </w:t>
      </w:r>
      <w:r w:rsidR="00F174BB">
        <w:t>Spill Tech or Transnet nor relied upon it in argument by either.</w:t>
      </w:r>
      <w:r w:rsidR="00794A36">
        <w:rPr>
          <w:rStyle w:val="FootnoteReference"/>
        </w:rPr>
        <w:footnoteReference w:id="80"/>
      </w:r>
      <w:r w:rsidR="00F174BB">
        <w:t xml:space="preserve">  </w:t>
      </w:r>
    </w:p>
    <w:p w14:paraId="0C2EA1EA" w14:textId="3EA34AC0" w:rsidR="0030748E" w:rsidRDefault="00AC5E05" w:rsidP="00AC5E05">
      <w:pPr>
        <w:pStyle w:val="1"/>
        <w:numPr>
          <w:ilvl w:val="0"/>
          <w:numId w:val="0"/>
        </w:numPr>
        <w:tabs>
          <w:tab w:val="left" w:pos="567"/>
        </w:tabs>
        <w:ind w:left="567" w:hanging="567"/>
      </w:pPr>
      <w:r>
        <w:rPr>
          <w:rFonts w:cs="Arial"/>
          <w:sz w:val="22"/>
        </w:rPr>
        <w:t>[161]</w:t>
      </w:r>
      <w:r>
        <w:rPr>
          <w:rFonts w:cs="Arial"/>
          <w:sz w:val="22"/>
        </w:rPr>
        <w:tab/>
      </w:r>
      <w:r w:rsidR="00F174BB">
        <w:t>Spill Tech disputes this in its answering affidavit.</w:t>
      </w:r>
      <w:r w:rsidR="005B3AEB">
        <w:t xml:space="preserve">  It submits that </w:t>
      </w:r>
      <w:r w:rsidR="00BB148B">
        <w:t>Transnet’s contentions are contrary to Spill Tech’s pleaded case</w:t>
      </w:r>
      <w:r w:rsidR="0060215A">
        <w:t xml:space="preserve">, </w:t>
      </w:r>
      <w:r w:rsidR="00C208EE">
        <w:t>and</w:t>
      </w:r>
      <w:r w:rsidR="00117965">
        <w:t xml:space="preserve"> that Transnet chose not to engage with the replication of the evidence which was before the </w:t>
      </w:r>
      <w:r w:rsidR="00651D1D">
        <w:t>A</w:t>
      </w:r>
      <w:r w:rsidR="00117965">
        <w:t>rbitrator</w:t>
      </w:r>
      <w:r w:rsidR="001645AC">
        <w:t xml:space="preserve"> regarding the letter of 2 June 2021.</w:t>
      </w:r>
      <w:r w:rsidR="0060215A">
        <w:rPr>
          <w:rStyle w:val="FootnoteReference"/>
        </w:rPr>
        <w:footnoteReference w:id="81"/>
      </w:r>
      <w:r w:rsidR="004567E1">
        <w:t xml:space="preserve">  It submits that had Transnet wished to make anything of the letter referred to</w:t>
      </w:r>
      <w:r w:rsidR="00C208EE">
        <w:t>,</w:t>
      </w:r>
      <w:r w:rsidR="004567E1">
        <w:t xml:space="preserve"> </w:t>
      </w:r>
      <w:r w:rsidR="007F76DA">
        <w:t xml:space="preserve">it could and should have done so at the right time and </w:t>
      </w:r>
      <w:r w:rsidR="000269C1">
        <w:t xml:space="preserve">in the right forum, namely the arbitration.  </w:t>
      </w:r>
    </w:p>
    <w:p w14:paraId="5F0272D6" w14:textId="1E18F608" w:rsidR="00BD3C06" w:rsidRDefault="00AC5E05" w:rsidP="00AC5E05">
      <w:pPr>
        <w:pStyle w:val="1"/>
        <w:numPr>
          <w:ilvl w:val="0"/>
          <w:numId w:val="0"/>
        </w:numPr>
        <w:tabs>
          <w:tab w:val="left" w:pos="567"/>
        </w:tabs>
        <w:ind w:left="567" w:hanging="567"/>
      </w:pPr>
      <w:r>
        <w:rPr>
          <w:rFonts w:cs="Arial"/>
          <w:sz w:val="22"/>
        </w:rPr>
        <w:t>[162]</w:t>
      </w:r>
      <w:r>
        <w:rPr>
          <w:rFonts w:cs="Arial"/>
          <w:sz w:val="22"/>
        </w:rPr>
        <w:tab/>
      </w:r>
      <w:r w:rsidR="007F4E38">
        <w:t>I agree.</w:t>
      </w:r>
      <w:r w:rsidR="0016590C" w:rsidRPr="0016590C">
        <w:rPr>
          <w:rFonts w:eastAsia="Times New Roman" w:cs="Times New Roman"/>
          <w:iCs w:val="0"/>
          <w:szCs w:val="16"/>
          <w:lang w:eastAsia="en-ZA" w:bidi="ar-SA"/>
        </w:rPr>
        <w:t xml:space="preserve"> </w:t>
      </w:r>
      <w:r w:rsidR="0016590C" w:rsidRPr="0016590C">
        <w:t>The letter of 2 June 2021 and the events preceding it are dealt in detail by Ms Radebe in her witness statement.</w:t>
      </w:r>
      <w:r w:rsidR="0016590C">
        <w:rPr>
          <w:rStyle w:val="FootnoteReference"/>
        </w:rPr>
        <w:footnoteReference w:id="82"/>
      </w:r>
      <w:r w:rsidR="0016590C" w:rsidRPr="0016590C">
        <w:t xml:space="preserve"> </w:t>
      </w:r>
      <w:r w:rsidR="007F4E38">
        <w:t xml:space="preserve"> </w:t>
      </w:r>
      <w:r w:rsidR="00EF7360">
        <w:t xml:space="preserve">These disputes </w:t>
      </w:r>
      <w:r w:rsidR="007F4E38">
        <w:t>ought to have been fully ventilated in the arbitration.  Recall that Transnet elected not to file any witness statements.</w:t>
      </w:r>
      <w:r w:rsidR="006339C1">
        <w:t xml:space="preserve">  </w:t>
      </w:r>
      <w:r w:rsidR="007F4E38">
        <w:t xml:space="preserve">It cannot now seek to raise factual disputes that it ought to have raised with the </w:t>
      </w:r>
      <w:r w:rsidR="00BD3C06">
        <w:t>A</w:t>
      </w:r>
      <w:r w:rsidR="007F4E38">
        <w:t xml:space="preserve">rbitrator in the </w:t>
      </w:r>
      <w:r w:rsidR="00FB4E05">
        <w:t>arbitration</w:t>
      </w:r>
      <w:r w:rsidR="00C208EE">
        <w:t>.</w:t>
      </w:r>
    </w:p>
    <w:p w14:paraId="203D767E" w14:textId="6C1C3F49" w:rsidR="007F4E38" w:rsidRDefault="00AC5E05" w:rsidP="00AC5E05">
      <w:pPr>
        <w:pStyle w:val="1"/>
        <w:numPr>
          <w:ilvl w:val="0"/>
          <w:numId w:val="0"/>
        </w:numPr>
        <w:tabs>
          <w:tab w:val="left" w:pos="567"/>
        </w:tabs>
        <w:ind w:left="567" w:hanging="567"/>
      </w:pPr>
      <w:r>
        <w:rPr>
          <w:rFonts w:cs="Arial"/>
          <w:sz w:val="22"/>
        </w:rPr>
        <w:t>[163]</w:t>
      </w:r>
      <w:r>
        <w:rPr>
          <w:rFonts w:cs="Arial"/>
          <w:sz w:val="22"/>
        </w:rPr>
        <w:tab/>
      </w:r>
      <w:r w:rsidR="00C208EE">
        <w:t xml:space="preserve"> In relation to the whether the common law claim was notified or not this was a</w:t>
      </w:r>
      <w:r w:rsidR="00FB4E05">
        <w:t>lso a</w:t>
      </w:r>
      <w:r w:rsidR="00C208EE">
        <w:t xml:space="preserve"> matter that Transnet ought to have raised in the arbitration</w:t>
      </w:r>
      <w:r w:rsidR="00FB4E05">
        <w:t xml:space="preserve"> or in its further submissions.</w:t>
      </w:r>
      <w:r w:rsidR="00644380">
        <w:t xml:space="preserve"> By then it was alive to the fact that the </w:t>
      </w:r>
      <w:r w:rsidR="00BD3C06">
        <w:t>A</w:t>
      </w:r>
      <w:r w:rsidR="00644380">
        <w:t>rbitrator was</w:t>
      </w:r>
      <w:r w:rsidR="00BD3C06">
        <w:t xml:space="preserve"> debating whether the </w:t>
      </w:r>
      <w:r w:rsidR="00644380">
        <w:t xml:space="preserve">Contracts did not necessarily exclude common law rights for breach of contract. </w:t>
      </w:r>
    </w:p>
    <w:p w14:paraId="14B40204" w14:textId="2CAFB76B" w:rsidR="001645AC" w:rsidRDefault="00AC5E05" w:rsidP="00AC5E05">
      <w:pPr>
        <w:pStyle w:val="1"/>
        <w:numPr>
          <w:ilvl w:val="0"/>
          <w:numId w:val="0"/>
        </w:numPr>
        <w:tabs>
          <w:tab w:val="left" w:pos="567"/>
        </w:tabs>
        <w:ind w:left="567" w:hanging="567"/>
      </w:pPr>
      <w:r>
        <w:rPr>
          <w:rFonts w:cs="Arial"/>
          <w:sz w:val="22"/>
        </w:rPr>
        <w:lastRenderedPageBreak/>
        <w:t>[164]</w:t>
      </w:r>
      <w:r>
        <w:rPr>
          <w:rFonts w:cs="Arial"/>
          <w:sz w:val="22"/>
        </w:rPr>
        <w:tab/>
      </w:r>
      <w:r w:rsidR="001645AC">
        <w:t>T</w:t>
      </w:r>
      <w:r w:rsidR="005F23E4">
        <w:t xml:space="preserve">here is no </w:t>
      </w:r>
      <w:r w:rsidR="00BD3C06">
        <w:t>evidence</w:t>
      </w:r>
      <w:r w:rsidR="005F23E4">
        <w:t xml:space="preserve"> that the </w:t>
      </w:r>
      <w:r w:rsidR="00BD3C06">
        <w:t>A</w:t>
      </w:r>
      <w:r w:rsidR="005F23E4">
        <w:t xml:space="preserve">rbitrator misconceived the nature of the enquiry or strayed beyond the </w:t>
      </w:r>
      <w:r w:rsidR="00573E33">
        <w:t>pleadings,</w:t>
      </w:r>
      <w:r w:rsidR="005F23E4">
        <w:t xml:space="preserve"> or the factual evidence placed before</w:t>
      </w:r>
      <w:r w:rsidR="00722E72">
        <w:t xml:space="preserve"> him</w:t>
      </w:r>
      <w:r w:rsidR="005F23E4">
        <w:t>.</w:t>
      </w:r>
    </w:p>
    <w:p w14:paraId="64DB76E9" w14:textId="69924D63" w:rsidR="005F23E4" w:rsidRDefault="00AC5E05" w:rsidP="00AC5E05">
      <w:pPr>
        <w:pStyle w:val="1"/>
        <w:numPr>
          <w:ilvl w:val="0"/>
          <w:numId w:val="0"/>
        </w:numPr>
        <w:tabs>
          <w:tab w:val="left" w:pos="567"/>
        </w:tabs>
        <w:ind w:left="567" w:hanging="567"/>
      </w:pPr>
      <w:r>
        <w:rPr>
          <w:rFonts w:cs="Arial"/>
          <w:sz w:val="22"/>
        </w:rPr>
        <w:t>[165]</w:t>
      </w:r>
      <w:r>
        <w:rPr>
          <w:rFonts w:cs="Arial"/>
          <w:sz w:val="22"/>
        </w:rPr>
        <w:tab/>
      </w:r>
      <w:r w:rsidR="005F23E4">
        <w:t>Accordingly</w:t>
      </w:r>
      <w:r w:rsidR="006D4F8A">
        <w:t>, Transnet’s application in relation to this defence also stands to be dismissed.</w:t>
      </w:r>
    </w:p>
    <w:p w14:paraId="6795532A" w14:textId="326C0296" w:rsidR="00D43A25" w:rsidRPr="00D43A25" w:rsidRDefault="00D43A25" w:rsidP="00D43A25">
      <w:pPr>
        <w:pStyle w:val="1"/>
        <w:numPr>
          <w:ilvl w:val="0"/>
          <w:numId w:val="0"/>
        </w:numPr>
        <w:rPr>
          <w:b/>
          <w:bCs/>
        </w:rPr>
      </w:pPr>
      <w:r>
        <w:rPr>
          <w:b/>
          <w:bCs/>
        </w:rPr>
        <w:t>Conclusion</w:t>
      </w:r>
    </w:p>
    <w:p w14:paraId="5A5E3EB6" w14:textId="0E518CC6" w:rsidR="005B614F" w:rsidRPr="00596C03" w:rsidRDefault="00AC5E05" w:rsidP="00AC5E05">
      <w:pPr>
        <w:pStyle w:val="1"/>
        <w:numPr>
          <w:ilvl w:val="0"/>
          <w:numId w:val="0"/>
        </w:numPr>
        <w:tabs>
          <w:tab w:val="left" w:pos="567"/>
        </w:tabs>
        <w:ind w:left="567" w:hanging="567"/>
        <w:rPr>
          <w:b/>
        </w:rPr>
      </w:pPr>
      <w:r w:rsidRPr="00596C03">
        <w:rPr>
          <w:rFonts w:cs="Arial"/>
          <w:sz w:val="22"/>
        </w:rPr>
        <w:t>[166]</w:t>
      </w:r>
      <w:r w:rsidRPr="00596C03">
        <w:rPr>
          <w:rFonts w:cs="Arial"/>
          <w:sz w:val="22"/>
        </w:rPr>
        <w:tab/>
      </w:r>
      <w:r w:rsidR="00573E33">
        <w:t xml:space="preserve">In conclusion, I find that </w:t>
      </w:r>
      <w:r w:rsidR="00D43A25">
        <w:t>Transnet’s application for review of the arbitral award stands to be dismissed.</w:t>
      </w:r>
    </w:p>
    <w:p w14:paraId="368DA974" w14:textId="7C922991" w:rsidR="00D2039F" w:rsidRPr="002C2F78" w:rsidRDefault="00AC5E05" w:rsidP="00AC5E05">
      <w:pPr>
        <w:pStyle w:val="1"/>
        <w:numPr>
          <w:ilvl w:val="0"/>
          <w:numId w:val="0"/>
        </w:numPr>
        <w:tabs>
          <w:tab w:val="left" w:pos="567"/>
        </w:tabs>
        <w:ind w:left="567" w:hanging="567"/>
        <w:rPr>
          <w:b/>
        </w:rPr>
      </w:pPr>
      <w:r w:rsidRPr="002C2F78">
        <w:rPr>
          <w:rFonts w:cs="Arial"/>
          <w:sz w:val="22"/>
        </w:rPr>
        <w:t>[167]</w:t>
      </w:r>
      <w:r w:rsidRPr="002C2F78">
        <w:rPr>
          <w:rFonts w:cs="Arial"/>
          <w:sz w:val="22"/>
        </w:rPr>
        <w:tab/>
      </w:r>
      <w:r w:rsidR="00893AB3">
        <w:t>The Arbitrator did not misconceive the enquir</w:t>
      </w:r>
      <w:r w:rsidR="00E46E10">
        <w:t>ies</w:t>
      </w:r>
      <w:r w:rsidR="00893AB3">
        <w:t xml:space="preserve">.  The only way in which he could determine the five special defences was to interpret the provisions of the Contracts, an exercise which Transnet in seeking the separation of issues </w:t>
      </w:r>
      <w:r w:rsidR="00E23957">
        <w:t>required him to do.</w:t>
      </w:r>
    </w:p>
    <w:p w14:paraId="5A55638A" w14:textId="10D954AD" w:rsidR="002A25B7" w:rsidRPr="002C2F78" w:rsidRDefault="00AC5E05" w:rsidP="00AC5E05">
      <w:pPr>
        <w:pStyle w:val="1"/>
        <w:numPr>
          <w:ilvl w:val="0"/>
          <w:numId w:val="0"/>
        </w:numPr>
        <w:tabs>
          <w:tab w:val="left" w:pos="567"/>
        </w:tabs>
        <w:ind w:left="567" w:hanging="567"/>
        <w:rPr>
          <w:b/>
        </w:rPr>
      </w:pPr>
      <w:r w:rsidRPr="002C2F78">
        <w:rPr>
          <w:rFonts w:cs="Arial"/>
          <w:sz w:val="22"/>
        </w:rPr>
        <w:t>[168]</w:t>
      </w:r>
      <w:r w:rsidRPr="002C2F78">
        <w:rPr>
          <w:rFonts w:cs="Arial"/>
          <w:sz w:val="22"/>
        </w:rPr>
        <w:tab/>
      </w:r>
      <w:r w:rsidR="006F7D37">
        <w:t xml:space="preserve">In the arbitration </w:t>
      </w:r>
      <w:r w:rsidR="00A833B8">
        <w:t xml:space="preserve">Transnet </w:t>
      </w:r>
      <w:r w:rsidR="00E35D48">
        <w:t>elected not to lead any factual evidence and to limit its approach</w:t>
      </w:r>
      <w:r w:rsidR="008941D0">
        <w:t xml:space="preserve"> to</w:t>
      </w:r>
      <w:r w:rsidR="00E35D48">
        <w:t xml:space="preserve"> legal argument</w:t>
      </w:r>
      <w:r w:rsidR="008941D0">
        <w:t>s</w:t>
      </w:r>
      <w:r w:rsidR="006F7D37">
        <w:t xml:space="preserve"> confined to the express provisions of the Contracts</w:t>
      </w:r>
      <w:r w:rsidR="008941D0">
        <w:t>.</w:t>
      </w:r>
      <w:r w:rsidR="008941D0" w:rsidRPr="008941D0">
        <w:t xml:space="preserve"> </w:t>
      </w:r>
      <w:r w:rsidR="00A833B8">
        <w:t>However</w:t>
      </w:r>
      <w:r w:rsidR="00F918FA">
        <w:t>,</w:t>
      </w:r>
      <w:r w:rsidR="00A833B8">
        <w:t xml:space="preserve"> </w:t>
      </w:r>
      <w:r w:rsidR="00F918FA">
        <w:t>its</w:t>
      </w:r>
      <w:r w:rsidR="00A833B8">
        <w:t xml:space="preserve"> approach was not an agreed one </w:t>
      </w:r>
      <w:r w:rsidR="00E72ECB">
        <w:t xml:space="preserve">but was </w:t>
      </w:r>
      <w:r w:rsidR="00A833B8">
        <w:t>contested by Spill Tech</w:t>
      </w:r>
      <w:r w:rsidR="00F918FA">
        <w:t xml:space="preserve"> from commencement of the dispute and </w:t>
      </w:r>
      <w:r w:rsidR="00C87B42">
        <w:t>during</w:t>
      </w:r>
      <w:r w:rsidR="00F918FA">
        <w:t xml:space="preserve"> the arbitration.  Transnet was alive to this contested view. </w:t>
      </w:r>
    </w:p>
    <w:p w14:paraId="00F47D0B" w14:textId="5D43E5F2" w:rsidR="00F918FA" w:rsidRPr="00596C03" w:rsidRDefault="00AC5E05" w:rsidP="00AC5E05">
      <w:pPr>
        <w:pStyle w:val="1"/>
        <w:numPr>
          <w:ilvl w:val="0"/>
          <w:numId w:val="0"/>
        </w:numPr>
        <w:tabs>
          <w:tab w:val="left" w:pos="567"/>
        </w:tabs>
        <w:ind w:left="567" w:hanging="567"/>
        <w:rPr>
          <w:b/>
        </w:rPr>
      </w:pPr>
      <w:r w:rsidRPr="00596C03">
        <w:rPr>
          <w:rFonts w:cs="Arial"/>
          <w:sz w:val="22"/>
        </w:rPr>
        <w:t>[169]</w:t>
      </w:r>
      <w:r w:rsidRPr="00596C03">
        <w:rPr>
          <w:rFonts w:cs="Arial"/>
          <w:sz w:val="22"/>
        </w:rPr>
        <w:tab/>
      </w:r>
      <w:r w:rsidR="00682912">
        <w:t xml:space="preserve">It was given a full opportunity to make written and oral submissions on all its defences. </w:t>
      </w:r>
      <w:r w:rsidR="00F918FA">
        <w:t>In relation to the third and fourth defence</w:t>
      </w:r>
      <w:r w:rsidR="00F93AA5">
        <w:t xml:space="preserve">s in particular, </w:t>
      </w:r>
      <w:r w:rsidR="00F918FA">
        <w:t xml:space="preserve">Transnet’s legal team had been squarely confronted with </w:t>
      </w:r>
      <w:r w:rsidR="002810B4">
        <w:t xml:space="preserve">the Arbitrator’s views that </w:t>
      </w:r>
      <w:r w:rsidR="002810B4">
        <w:lastRenderedPageBreak/>
        <w:t xml:space="preserve">consequential damages (or loss of profits) were cognisable under the Contracts because the NEC3 did not exclude common law rights </w:t>
      </w:r>
      <w:r w:rsidR="00864E1A">
        <w:t xml:space="preserve">for breach of contract.  Transnet was afforded an opportunity to deal with this issue, </w:t>
      </w:r>
      <w:r w:rsidR="00E72ECB">
        <w:t xml:space="preserve">and </w:t>
      </w:r>
      <w:r w:rsidR="00864E1A">
        <w:t>to make further submissions</w:t>
      </w:r>
      <w:r w:rsidR="00E72ECB">
        <w:t xml:space="preserve">.  It could have </w:t>
      </w:r>
      <w:r w:rsidR="00864E1A">
        <w:t>raise</w:t>
      </w:r>
      <w:r w:rsidR="009D3B70">
        <w:t>d</w:t>
      </w:r>
      <w:r w:rsidR="00864E1A">
        <w:t xml:space="preserve"> any number of objections</w:t>
      </w:r>
      <w:r w:rsidR="009D3B70">
        <w:t xml:space="preserve"> that it now raises</w:t>
      </w:r>
      <w:r w:rsidR="00864E1A">
        <w:t xml:space="preserve"> during the arbitration</w:t>
      </w:r>
      <w:r w:rsidR="003143A5">
        <w:t xml:space="preserve"> which it</w:t>
      </w:r>
      <w:r w:rsidR="00864E1A">
        <w:t xml:space="preserve"> failed to do. </w:t>
      </w:r>
    </w:p>
    <w:p w14:paraId="7321D298" w14:textId="1BA9D458" w:rsidR="00161DC5" w:rsidRPr="00FE17C1" w:rsidRDefault="00AC5E05" w:rsidP="00AC5E05">
      <w:pPr>
        <w:pStyle w:val="1"/>
        <w:numPr>
          <w:ilvl w:val="0"/>
          <w:numId w:val="0"/>
        </w:numPr>
        <w:tabs>
          <w:tab w:val="left" w:pos="567"/>
        </w:tabs>
        <w:ind w:left="567" w:hanging="567"/>
        <w:rPr>
          <w:b/>
        </w:rPr>
      </w:pPr>
      <w:r w:rsidRPr="00FE17C1">
        <w:rPr>
          <w:rFonts w:cs="Arial"/>
          <w:sz w:val="22"/>
        </w:rPr>
        <w:t>[170]</w:t>
      </w:r>
      <w:r w:rsidRPr="00FE17C1">
        <w:rPr>
          <w:rFonts w:cs="Arial"/>
          <w:sz w:val="22"/>
        </w:rPr>
        <w:tab/>
      </w:r>
      <w:r w:rsidR="00161DC5">
        <w:t xml:space="preserve">Transnet as applicant bears the onus to show that the Arbitrator committed a gross irregularity or exceeded his powers.  In my view, </w:t>
      </w:r>
      <w:r w:rsidR="002656CA">
        <w:t xml:space="preserve">Transnet has not discharged its onus. </w:t>
      </w:r>
    </w:p>
    <w:p w14:paraId="79FC43D0" w14:textId="7E90FF94" w:rsidR="00864E1A" w:rsidRPr="00DD5E21" w:rsidRDefault="00AC5E05" w:rsidP="00AC5E05">
      <w:pPr>
        <w:pStyle w:val="1"/>
        <w:numPr>
          <w:ilvl w:val="0"/>
          <w:numId w:val="0"/>
        </w:numPr>
        <w:tabs>
          <w:tab w:val="left" w:pos="567"/>
        </w:tabs>
        <w:ind w:left="567" w:hanging="567"/>
        <w:rPr>
          <w:b/>
        </w:rPr>
      </w:pPr>
      <w:r w:rsidRPr="00DD5E21">
        <w:rPr>
          <w:rFonts w:cs="Arial"/>
          <w:sz w:val="22"/>
        </w:rPr>
        <w:t>[171]</w:t>
      </w:r>
      <w:r w:rsidRPr="00DD5E21">
        <w:rPr>
          <w:rFonts w:cs="Arial"/>
          <w:sz w:val="22"/>
        </w:rPr>
        <w:tab/>
      </w:r>
      <w:r w:rsidR="00864E1A">
        <w:t>Finally</w:t>
      </w:r>
      <w:r w:rsidR="00701A8F">
        <w:t>,</w:t>
      </w:r>
      <w:r w:rsidR="00864E1A">
        <w:t xml:space="preserve"> </w:t>
      </w:r>
      <w:r w:rsidR="0068771E">
        <w:t xml:space="preserve">it must be </w:t>
      </w:r>
      <w:r w:rsidR="002656CA">
        <w:t xml:space="preserve">borne in mind </w:t>
      </w:r>
      <w:r w:rsidR="0068771E">
        <w:t>that t</w:t>
      </w:r>
      <w:r w:rsidR="00C87B42">
        <w:t>he findings by the Arbitrator</w:t>
      </w:r>
      <w:r w:rsidR="00456CBD">
        <w:t xml:space="preserve"> (other than</w:t>
      </w:r>
      <w:r w:rsidR="00596C03">
        <w:t xml:space="preserve"> some aspects of</w:t>
      </w:r>
      <w:r w:rsidR="00456CBD">
        <w:t xml:space="preserve"> the Time Bar issue) </w:t>
      </w:r>
      <w:r w:rsidR="00C87B42">
        <w:t>are findings of law.  It remains to be seen</w:t>
      </w:r>
      <w:r w:rsidR="00456CBD">
        <w:t>, given the negotiations that took place between the parties</w:t>
      </w:r>
      <w:r w:rsidR="00815EFA">
        <w:t xml:space="preserve"> after </w:t>
      </w:r>
      <w:r w:rsidR="006F78B7">
        <w:t>September 2019,</w:t>
      </w:r>
      <w:r w:rsidR="00815EFA">
        <w:t xml:space="preserve"> </w:t>
      </w:r>
      <w:r w:rsidR="00C87B42">
        <w:t xml:space="preserve"> whether as a </w:t>
      </w:r>
      <w:r w:rsidR="00C87B42" w:rsidRPr="00596C03">
        <w:rPr>
          <w:u w:val="single"/>
        </w:rPr>
        <w:t>matter of fact</w:t>
      </w:r>
      <w:r w:rsidR="00C87B42">
        <w:t xml:space="preserve"> Spill Tech will be able to show a breach of the Contracts</w:t>
      </w:r>
      <w:r w:rsidR="00B8087B">
        <w:t>.</w:t>
      </w:r>
      <w:r w:rsidR="00456CBD">
        <w:t xml:space="preserve"> </w:t>
      </w:r>
    </w:p>
    <w:p w14:paraId="514D7C49" w14:textId="3F461499" w:rsidR="00DD5E21" w:rsidRPr="00DD5E21" w:rsidRDefault="00AC5E05" w:rsidP="00AC5E05">
      <w:pPr>
        <w:pStyle w:val="1"/>
        <w:numPr>
          <w:ilvl w:val="0"/>
          <w:numId w:val="0"/>
        </w:numPr>
        <w:tabs>
          <w:tab w:val="left" w:pos="567"/>
        </w:tabs>
        <w:ind w:left="567" w:hanging="567"/>
        <w:rPr>
          <w:b/>
        </w:rPr>
      </w:pPr>
      <w:r w:rsidRPr="00DD5E21">
        <w:rPr>
          <w:rFonts w:cs="Arial"/>
          <w:sz w:val="22"/>
        </w:rPr>
        <w:t>[172]</w:t>
      </w:r>
      <w:r w:rsidRPr="00DD5E21">
        <w:rPr>
          <w:rFonts w:cs="Arial"/>
          <w:sz w:val="22"/>
        </w:rPr>
        <w:tab/>
      </w:r>
      <w:r w:rsidR="00DD5E21">
        <w:t>As to the issue of costs, the usual principle is that costs follow the suit</w:t>
      </w:r>
      <w:r w:rsidR="0063127E">
        <w:t xml:space="preserve">. </w:t>
      </w:r>
      <w:r w:rsidR="00B447F0">
        <w:t>I cannot see any reason to depart from this.</w:t>
      </w:r>
    </w:p>
    <w:p w14:paraId="10AE8461" w14:textId="61F997EC" w:rsidR="00DD5E21" w:rsidRPr="00DD5E21" w:rsidRDefault="00AC5E05" w:rsidP="00AC5E05">
      <w:pPr>
        <w:pStyle w:val="1"/>
        <w:numPr>
          <w:ilvl w:val="0"/>
          <w:numId w:val="0"/>
        </w:numPr>
        <w:tabs>
          <w:tab w:val="left" w:pos="567"/>
        </w:tabs>
        <w:ind w:left="567" w:hanging="567"/>
        <w:rPr>
          <w:b/>
        </w:rPr>
      </w:pPr>
      <w:r w:rsidRPr="00DD5E21">
        <w:rPr>
          <w:rFonts w:cs="Arial"/>
          <w:sz w:val="22"/>
        </w:rPr>
        <w:t>[173]</w:t>
      </w:r>
      <w:r w:rsidRPr="00DD5E21">
        <w:rPr>
          <w:rFonts w:cs="Arial"/>
          <w:sz w:val="22"/>
        </w:rPr>
        <w:tab/>
      </w:r>
      <w:r w:rsidR="00DD5E21">
        <w:t>Accordingly, I make the following order</w:t>
      </w:r>
    </w:p>
    <w:p w14:paraId="24F7C822" w14:textId="62EA6246" w:rsidR="00B447F0" w:rsidRPr="00504DA8" w:rsidRDefault="000664DA" w:rsidP="002C2F78">
      <w:pPr>
        <w:pStyle w:val="2"/>
        <w:numPr>
          <w:ilvl w:val="0"/>
          <w:numId w:val="0"/>
        </w:numPr>
        <w:ind w:left="851"/>
      </w:pPr>
      <w:r>
        <w:t xml:space="preserve">1. </w:t>
      </w:r>
      <w:r w:rsidR="00F229F5">
        <w:t xml:space="preserve">The </w:t>
      </w:r>
      <w:r w:rsidR="00B447F0">
        <w:t>application is dismissed with costs.</w:t>
      </w:r>
    </w:p>
    <w:p w14:paraId="6B0733D5" w14:textId="13678E49" w:rsidR="009623C1" w:rsidRPr="009623C1" w:rsidRDefault="000F177B" w:rsidP="0017322D">
      <w:pPr>
        <w:pStyle w:val="1"/>
        <w:numPr>
          <w:ilvl w:val="0"/>
          <w:numId w:val="0"/>
        </w:numPr>
        <w:ind w:left="3447" w:firstLine="153"/>
        <w:rPr>
          <w:b/>
        </w:rPr>
      </w:pPr>
      <w:r>
        <w:t xml:space="preserve">      </w:t>
      </w:r>
      <w:r w:rsidR="009623C1" w:rsidRPr="009623C1">
        <w:rPr>
          <w:b/>
        </w:rPr>
        <w:t>_____________________________________</w:t>
      </w:r>
    </w:p>
    <w:p w14:paraId="0E5C6D1D" w14:textId="7E7E41E6" w:rsidR="009623C1" w:rsidRPr="009623C1" w:rsidRDefault="00A842ED" w:rsidP="009623C1">
      <w:pPr>
        <w:jc w:val="right"/>
        <w:rPr>
          <w:b/>
        </w:rPr>
      </w:pPr>
      <w:r>
        <w:rPr>
          <w:b/>
        </w:rPr>
        <w:t>Y CARRIM</w:t>
      </w:r>
      <w:r w:rsidR="003A494B">
        <w:rPr>
          <w:b/>
        </w:rPr>
        <w:t xml:space="preserve"> </w:t>
      </w:r>
    </w:p>
    <w:p w14:paraId="0AD2B965" w14:textId="21515384" w:rsidR="009623C1" w:rsidRPr="009623C1" w:rsidRDefault="00A842ED" w:rsidP="009623C1">
      <w:pPr>
        <w:jc w:val="right"/>
        <w:rPr>
          <w:b/>
        </w:rPr>
      </w:pPr>
      <w:r>
        <w:rPr>
          <w:b/>
        </w:rPr>
        <w:t xml:space="preserve">ACTING </w:t>
      </w:r>
      <w:r w:rsidR="009623C1" w:rsidRPr="009623C1">
        <w:rPr>
          <w:b/>
        </w:rPr>
        <w:t>JUDGE OF THE HIGH COURT OF SOUTH AFRICA</w:t>
      </w:r>
    </w:p>
    <w:p w14:paraId="511F1296" w14:textId="77777777" w:rsidR="009623C1" w:rsidRPr="009623C1" w:rsidRDefault="009623C1" w:rsidP="009623C1">
      <w:pPr>
        <w:jc w:val="right"/>
        <w:rPr>
          <w:b/>
        </w:rPr>
      </w:pPr>
      <w:r w:rsidRPr="009623C1">
        <w:rPr>
          <w:b/>
        </w:rPr>
        <w:lastRenderedPageBreak/>
        <w:t>GAUTENG DIVISION</w:t>
      </w:r>
    </w:p>
    <w:p w14:paraId="29A86A33" w14:textId="7D18D3E3" w:rsidR="003A7510" w:rsidRDefault="009623C1" w:rsidP="00B77D6E">
      <w:pPr>
        <w:jc w:val="right"/>
        <w:rPr>
          <w:b/>
        </w:rPr>
      </w:pPr>
      <w:r w:rsidRPr="009623C1">
        <w:rPr>
          <w:b/>
        </w:rPr>
        <w:t>JOHANNESBURG</w:t>
      </w:r>
    </w:p>
    <w:p w14:paraId="0751B2FE" w14:textId="77777777" w:rsidR="000F177B" w:rsidRPr="009623C1" w:rsidRDefault="000F177B" w:rsidP="00EA793B">
      <w:pPr>
        <w:rPr>
          <w:b/>
        </w:rPr>
      </w:pPr>
    </w:p>
    <w:p w14:paraId="2B760F84" w14:textId="7DB1C76A" w:rsidR="009623C1" w:rsidRPr="008C0740" w:rsidRDefault="00A842ED" w:rsidP="009623C1">
      <w:pPr>
        <w:rPr>
          <w:b/>
          <w:bCs/>
        </w:rPr>
      </w:pPr>
      <w:r>
        <w:rPr>
          <w:b/>
          <w:bCs/>
        </w:rPr>
        <w:t>APPEARANCES</w:t>
      </w:r>
    </w:p>
    <w:p w14:paraId="7B6CF869" w14:textId="77777777" w:rsidR="003A494B" w:rsidRPr="009623C1" w:rsidRDefault="003A494B" w:rsidP="009623C1">
      <w:pPr>
        <w:rPr>
          <w:b/>
        </w:rPr>
      </w:pPr>
    </w:p>
    <w:p w14:paraId="16E123EA" w14:textId="215E9902" w:rsidR="005E192D" w:rsidRDefault="00A842ED" w:rsidP="009623C1">
      <w:r>
        <w:t xml:space="preserve">COUNSEL </w:t>
      </w:r>
      <w:r w:rsidR="008C0740">
        <w:t xml:space="preserve">FOR THE </w:t>
      </w:r>
      <w:r w:rsidR="001F6A08">
        <w:t>APPLICANT</w:t>
      </w:r>
      <w:r w:rsidR="008C0740">
        <w:t>:</w:t>
      </w:r>
      <w:r w:rsidR="009623C1">
        <w:t xml:space="preserve"> </w:t>
      </w:r>
      <w:r w:rsidR="009623C1">
        <w:tab/>
      </w:r>
      <w:r w:rsidR="008C0740">
        <w:tab/>
      </w:r>
      <w:r w:rsidR="008C0740">
        <w:tab/>
      </w:r>
      <w:r w:rsidR="00FC29F0">
        <w:t xml:space="preserve">Adv </w:t>
      </w:r>
      <w:r w:rsidR="001F6A08">
        <w:t>N Luthuli</w:t>
      </w:r>
    </w:p>
    <w:p w14:paraId="7174FB57" w14:textId="4FEC5858" w:rsidR="003E07E4" w:rsidRDefault="003E07E4" w:rsidP="009623C1">
      <w:r>
        <w:t>INSTRUCTED BY:</w:t>
      </w:r>
      <w:r>
        <w:tab/>
      </w:r>
      <w:r>
        <w:tab/>
      </w:r>
      <w:r>
        <w:tab/>
      </w:r>
      <w:r>
        <w:tab/>
      </w:r>
      <w:r>
        <w:tab/>
      </w:r>
      <w:r>
        <w:tab/>
      </w:r>
      <w:r w:rsidR="001F6A08">
        <w:t>Harris Nupen Molebatsi Inc.</w:t>
      </w:r>
    </w:p>
    <w:p w14:paraId="1947F6F0" w14:textId="77777777" w:rsidR="003E07E4" w:rsidRDefault="003E07E4" w:rsidP="009623C1"/>
    <w:p w14:paraId="15811C32" w14:textId="25E05A53" w:rsidR="009623C1" w:rsidRDefault="00A842ED" w:rsidP="009623C1">
      <w:r>
        <w:t xml:space="preserve">COUNSEL </w:t>
      </w:r>
      <w:r w:rsidR="008C0740">
        <w:t>FOR THE</w:t>
      </w:r>
      <w:r w:rsidR="00FC29F0">
        <w:t xml:space="preserve"> 4</w:t>
      </w:r>
      <w:r w:rsidR="00FC29F0">
        <w:rPr>
          <w:vertAlign w:val="superscript"/>
        </w:rPr>
        <w:t xml:space="preserve">TH </w:t>
      </w:r>
      <w:r w:rsidR="008C0740">
        <w:t>DEFENDANTS:</w:t>
      </w:r>
      <w:r w:rsidR="008C0740">
        <w:tab/>
      </w:r>
      <w:r w:rsidR="00FC29F0">
        <w:tab/>
        <w:t xml:space="preserve">Adv </w:t>
      </w:r>
      <w:r w:rsidR="001F6A08">
        <w:t>AM Annandale SC</w:t>
      </w:r>
    </w:p>
    <w:p w14:paraId="38901A8B" w14:textId="3DF66016" w:rsidR="003E07E4" w:rsidRDefault="003E07E4" w:rsidP="009623C1">
      <w:r>
        <w:t xml:space="preserve">INSTRUCTED BY: </w:t>
      </w:r>
      <w:r>
        <w:tab/>
      </w:r>
      <w:r>
        <w:tab/>
      </w:r>
      <w:r>
        <w:tab/>
      </w:r>
      <w:r>
        <w:tab/>
      </w:r>
      <w:r>
        <w:tab/>
      </w:r>
      <w:r>
        <w:tab/>
      </w:r>
      <w:r w:rsidR="001F6A08">
        <w:t>Cox Yeats Attorneys</w:t>
      </w:r>
    </w:p>
    <w:p w14:paraId="6C66B150" w14:textId="77777777" w:rsidR="003E07E4" w:rsidRDefault="003E07E4" w:rsidP="009623C1"/>
    <w:p w14:paraId="5E24C42A" w14:textId="468F166E" w:rsidR="003E07E4" w:rsidRDefault="003E07E4" w:rsidP="009623C1">
      <w:r>
        <w:t>DATE</w:t>
      </w:r>
      <w:r w:rsidR="008943BC">
        <w:t>S</w:t>
      </w:r>
      <w:r>
        <w:t xml:space="preserve"> OF HEARING:</w:t>
      </w:r>
      <w:r>
        <w:tab/>
      </w:r>
      <w:r>
        <w:tab/>
      </w:r>
      <w:r>
        <w:tab/>
      </w:r>
      <w:r>
        <w:tab/>
      </w:r>
      <w:r>
        <w:tab/>
      </w:r>
      <w:r w:rsidR="001F6A08">
        <w:t>30 October 2023</w:t>
      </w:r>
    </w:p>
    <w:p w14:paraId="232D7088" w14:textId="4B669876" w:rsidR="00F51C90" w:rsidRPr="009C2FF3" w:rsidRDefault="003A494B" w:rsidP="009623C1">
      <w:r>
        <w:t>DATE OF</w:t>
      </w:r>
      <w:r w:rsidR="00A41721">
        <w:t xml:space="preserve"> JUDGMENT</w:t>
      </w:r>
      <w:r>
        <w:t>:</w:t>
      </w:r>
      <w:r>
        <w:tab/>
      </w:r>
      <w:r>
        <w:tab/>
      </w:r>
      <w:r>
        <w:tab/>
      </w:r>
      <w:r w:rsidR="003E07E4">
        <w:tab/>
      </w:r>
      <w:r w:rsidR="003E07E4">
        <w:tab/>
      </w:r>
      <w:r w:rsidR="00B81FC1">
        <w:t>0</w:t>
      </w:r>
      <w:r w:rsidR="000618B9">
        <w:t>2</w:t>
      </w:r>
      <w:r w:rsidR="00B81FC1">
        <w:t xml:space="preserve"> February 2024</w:t>
      </w:r>
      <w:bookmarkEnd w:id="1"/>
    </w:p>
    <w:sectPr w:rsidR="00F51C90" w:rsidRPr="009C2FF3" w:rsidSect="0046447E">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B288" w14:textId="77777777" w:rsidR="00965434" w:rsidRDefault="00965434" w:rsidP="00115245">
      <w:r>
        <w:separator/>
      </w:r>
    </w:p>
  </w:endnote>
  <w:endnote w:type="continuationSeparator" w:id="0">
    <w:p w14:paraId="5A981B81" w14:textId="77777777" w:rsidR="00965434" w:rsidRDefault="00965434"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9681B" w14:textId="77777777" w:rsidR="00965434" w:rsidRDefault="00965434" w:rsidP="00115245">
      <w:r>
        <w:separator/>
      </w:r>
    </w:p>
  </w:footnote>
  <w:footnote w:type="continuationSeparator" w:id="0">
    <w:p w14:paraId="6A111AE6" w14:textId="77777777" w:rsidR="00965434" w:rsidRDefault="00965434" w:rsidP="00115245">
      <w:r>
        <w:continuationSeparator/>
      </w:r>
    </w:p>
  </w:footnote>
  <w:footnote w:id="1">
    <w:p w14:paraId="729E72DB" w14:textId="55FEC2FB" w:rsidR="00AA1B1F" w:rsidRDefault="00AA1B1F">
      <w:pPr>
        <w:pStyle w:val="FootnoteText"/>
      </w:pPr>
      <w:r>
        <w:rPr>
          <w:rStyle w:val="FootnoteReference"/>
        </w:rPr>
        <w:footnoteRef/>
      </w:r>
      <w:r>
        <w:t xml:space="preserve"> Previously known as </w:t>
      </w:r>
      <w:r w:rsidR="002D2084">
        <w:t>“</w:t>
      </w:r>
      <w:r w:rsidR="005A66CA">
        <w:t>Petronet</w:t>
      </w:r>
      <w:r w:rsidR="002D2084">
        <w:t>”.</w:t>
      </w:r>
    </w:p>
  </w:footnote>
  <w:footnote w:id="2">
    <w:p w14:paraId="391521E2" w14:textId="6681B857" w:rsidR="00ED2541" w:rsidRPr="00ED2541" w:rsidRDefault="00ED2541">
      <w:pPr>
        <w:pStyle w:val="FootnoteText"/>
        <w:rPr>
          <w:lang w:val="en-ZA"/>
        </w:rPr>
      </w:pPr>
      <w:r>
        <w:rPr>
          <w:rStyle w:val="FootnoteReference"/>
        </w:rPr>
        <w:footnoteRef/>
      </w:r>
      <w:r>
        <w:t xml:space="preserve"> </w:t>
      </w:r>
      <w:r w:rsidR="009A7A98">
        <w:rPr>
          <w:lang w:val="en-ZA"/>
        </w:rPr>
        <w:t>Annexure FA2</w:t>
      </w:r>
      <w:r w:rsidR="002D2084">
        <w:rPr>
          <w:lang w:val="en-ZA"/>
        </w:rPr>
        <w:t xml:space="preserve"> as at</w:t>
      </w:r>
      <w:r w:rsidR="009A7A98">
        <w:rPr>
          <w:lang w:val="en-ZA"/>
        </w:rPr>
        <w:t xml:space="preserve"> CaseLines</w:t>
      </w:r>
      <w:r w:rsidR="001B64D9">
        <w:rPr>
          <w:lang w:val="en-ZA"/>
        </w:rPr>
        <w:t xml:space="preserve"> </w:t>
      </w:r>
      <w:r w:rsidR="002D2084">
        <w:rPr>
          <w:lang w:val="en-ZA"/>
        </w:rPr>
        <w:t xml:space="preserve"> section</w:t>
      </w:r>
      <w:r w:rsidR="001B64D9">
        <w:rPr>
          <w:lang w:val="en-ZA"/>
        </w:rPr>
        <w:t xml:space="preserve"> </w:t>
      </w:r>
      <w:r w:rsidR="009A7A98">
        <w:rPr>
          <w:lang w:val="en-ZA"/>
        </w:rPr>
        <w:t>94</w:t>
      </w:r>
      <w:r w:rsidR="002D2084">
        <w:rPr>
          <w:lang w:val="en-ZA"/>
        </w:rPr>
        <w:t>.</w:t>
      </w:r>
    </w:p>
  </w:footnote>
  <w:footnote w:id="3">
    <w:p w14:paraId="44F170D5" w14:textId="6E33ED87" w:rsidR="001B64D9" w:rsidRDefault="001B64D9">
      <w:pPr>
        <w:pStyle w:val="FootnoteText"/>
      </w:pPr>
      <w:r>
        <w:rPr>
          <w:rStyle w:val="FootnoteReference"/>
        </w:rPr>
        <w:footnoteRef/>
      </w:r>
      <w:r>
        <w:t xml:space="preserve"> </w:t>
      </w:r>
      <w:r w:rsidR="002D2084">
        <w:t xml:space="preserve">As at </w:t>
      </w:r>
      <w:r w:rsidR="00D4239A">
        <w:t>C</w:t>
      </w:r>
      <w:r w:rsidR="002D2084">
        <w:t>ase</w:t>
      </w:r>
      <w:r w:rsidR="00D4239A">
        <w:t>L</w:t>
      </w:r>
      <w:r w:rsidR="002D2084">
        <w:t>ines section</w:t>
      </w:r>
      <w:r w:rsidR="00D4239A">
        <w:t xml:space="preserve"> </w:t>
      </w:r>
      <w:r w:rsidR="00461221">
        <w:t>93</w:t>
      </w:r>
      <w:r w:rsidR="002D2084">
        <w:t>.</w:t>
      </w:r>
    </w:p>
  </w:footnote>
  <w:footnote w:id="4">
    <w:p w14:paraId="29C8C36B" w14:textId="5970865B" w:rsidR="003A3A2B" w:rsidRDefault="003A3A2B">
      <w:pPr>
        <w:pStyle w:val="FootnoteText"/>
      </w:pPr>
      <w:r>
        <w:rPr>
          <w:rStyle w:val="FootnoteReference"/>
        </w:rPr>
        <w:footnoteRef/>
      </w:r>
      <w:r>
        <w:t xml:space="preserve"> STG Statement of Claim </w:t>
      </w:r>
      <w:r w:rsidR="002D2084">
        <w:t xml:space="preserve">as at </w:t>
      </w:r>
      <w:r>
        <w:t>C</w:t>
      </w:r>
      <w:r w:rsidR="002D2084">
        <w:t>ase</w:t>
      </w:r>
      <w:r>
        <w:t>L</w:t>
      </w:r>
      <w:r w:rsidR="002D2084">
        <w:t>ines section</w:t>
      </w:r>
      <w:r>
        <w:t xml:space="preserve"> </w:t>
      </w:r>
      <w:r w:rsidR="00BD7062">
        <w:t>276-281</w:t>
      </w:r>
      <w:r w:rsidR="007A401F">
        <w:t xml:space="preserve"> </w:t>
      </w:r>
      <w:r w:rsidR="00444C21">
        <w:t xml:space="preserve">Transnet Founding Affidavit </w:t>
      </w:r>
      <w:r w:rsidR="00962B4B">
        <w:t>para</w:t>
      </w:r>
      <w:r w:rsidR="002D2084">
        <w:t>graph</w:t>
      </w:r>
      <w:r w:rsidR="00962B4B">
        <w:t xml:space="preserve"> 26</w:t>
      </w:r>
      <w:r w:rsidR="002D2084">
        <w:t xml:space="preserve"> as at </w:t>
      </w:r>
      <w:r w:rsidR="00962B4B">
        <w:t>C</w:t>
      </w:r>
      <w:r w:rsidR="002D2084">
        <w:t>ase</w:t>
      </w:r>
      <w:r w:rsidR="00962B4B">
        <w:t>L</w:t>
      </w:r>
      <w:r w:rsidR="002D2084">
        <w:t>ines section</w:t>
      </w:r>
      <w:r w:rsidR="00962B4B">
        <w:t xml:space="preserve"> 12</w:t>
      </w:r>
      <w:r w:rsidR="002D2084">
        <w:t>.</w:t>
      </w:r>
    </w:p>
  </w:footnote>
  <w:footnote w:id="5">
    <w:p w14:paraId="0F1D704A" w14:textId="0E95604D" w:rsidR="0081665F" w:rsidRDefault="0081665F" w:rsidP="0081665F">
      <w:pPr>
        <w:pStyle w:val="FootnoteText"/>
      </w:pPr>
      <w:r>
        <w:rPr>
          <w:rStyle w:val="FootnoteReference"/>
        </w:rPr>
        <w:footnoteRef/>
      </w:r>
      <w:r>
        <w:t xml:space="preserve"> Radebe Witness Statement </w:t>
      </w:r>
      <w:r w:rsidR="00841869">
        <w:t>p</w:t>
      </w:r>
      <w:r w:rsidR="002D2084">
        <w:t xml:space="preserve">ages </w:t>
      </w:r>
      <w:r w:rsidR="00841869">
        <w:t>389 -391</w:t>
      </w:r>
      <w:r w:rsidR="002D2084">
        <w:t>.</w:t>
      </w:r>
    </w:p>
  </w:footnote>
  <w:footnote w:id="6">
    <w:p w14:paraId="6B8744CC" w14:textId="1CC2BA4A" w:rsidR="0081665F" w:rsidRPr="0081665F" w:rsidRDefault="0081665F">
      <w:pPr>
        <w:pStyle w:val="FootnoteText"/>
        <w:rPr>
          <w:lang w:val="en-ZA"/>
        </w:rPr>
      </w:pPr>
      <w:r>
        <w:rPr>
          <w:rStyle w:val="FootnoteReference"/>
        </w:rPr>
        <w:footnoteRef/>
      </w:r>
      <w:r>
        <w:t xml:space="preserve"> </w:t>
      </w:r>
      <w:r w:rsidR="008B2454">
        <w:t>Van der Kwast Witness Statement</w:t>
      </w:r>
      <w:r w:rsidR="00FD61E3">
        <w:t xml:space="preserve"> p</w:t>
      </w:r>
      <w:r w:rsidR="002D2084">
        <w:t xml:space="preserve">ages </w:t>
      </w:r>
      <w:r w:rsidR="00FD61E3">
        <w:t>317-3</w:t>
      </w:r>
      <w:r w:rsidR="006E5FB0">
        <w:t>74</w:t>
      </w:r>
      <w:r w:rsidR="002D2084">
        <w:t>.</w:t>
      </w:r>
    </w:p>
  </w:footnote>
  <w:footnote w:id="7">
    <w:p w14:paraId="2725B47A" w14:textId="1A1D078A" w:rsidR="000B771D" w:rsidRPr="000B771D" w:rsidRDefault="000B771D">
      <w:pPr>
        <w:pStyle w:val="FootnoteText"/>
        <w:rPr>
          <w:lang w:val="en-ZA"/>
        </w:rPr>
      </w:pPr>
      <w:r>
        <w:rPr>
          <w:rStyle w:val="FootnoteReference"/>
        </w:rPr>
        <w:footnoteRef/>
      </w:r>
      <w:r>
        <w:t xml:space="preserve"> </w:t>
      </w:r>
      <w:r w:rsidR="00E806E8">
        <w:rPr>
          <w:lang w:val="en-ZA"/>
        </w:rPr>
        <w:t xml:space="preserve">Van der Kwast Witness Statement </w:t>
      </w:r>
      <w:r w:rsidR="00462107">
        <w:rPr>
          <w:lang w:val="en-ZA"/>
        </w:rPr>
        <w:t>para</w:t>
      </w:r>
      <w:r w:rsidR="002D2084">
        <w:rPr>
          <w:lang w:val="en-ZA"/>
        </w:rPr>
        <w:t>graph</w:t>
      </w:r>
      <w:r w:rsidR="00462107">
        <w:rPr>
          <w:lang w:val="en-ZA"/>
        </w:rPr>
        <w:t xml:space="preserve"> 76 </w:t>
      </w:r>
      <w:r w:rsidR="002D2084">
        <w:rPr>
          <w:lang w:val="en-ZA"/>
        </w:rPr>
        <w:t xml:space="preserve">on </w:t>
      </w:r>
      <w:r w:rsidR="00462107">
        <w:rPr>
          <w:lang w:val="en-ZA"/>
        </w:rPr>
        <w:t>p</w:t>
      </w:r>
      <w:r w:rsidR="002D2084">
        <w:rPr>
          <w:lang w:val="en-ZA"/>
        </w:rPr>
        <w:t xml:space="preserve">age </w:t>
      </w:r>
      <w:r w:rsidR="00462107">
        <w:rPr>
          <w:lang w:val="en-ZA"/>
        </w:rPr>
        <w:t>374</w:t>
      </w:r>
      <w:r w:rsidR="002D2084">
        <w:rPr>
          <w:lang w:val="en-ZA"/>
        </w:rPr>
        <w:t>.</w:t>
      </w:r>
    </w:p>
  </w:footnote>
  <w:footnote w:id="8">
    <w:p w14:paraId="382D9FDB" w14:textId="48C28A4D" w:rsidR="00D84F24" w:rsidRPr="00D84F24" w:rsidRDefault="00D84F24">
      <w:pPr>
        <w:pStyle w:val="FootnoteText"/>
        <w:rPr>
          <w:lang w:val="en-ZA"/>
        </w:rPr>
      </w:pPr>
      <w:r>
        <w:rPr>
          <w:rStyle w:val="FootnoteReference"/>
        </w:rPr>
        <w:footnoteRef/>
      </w:r>
      <w:r>
        <w:t xml:space="preserve"> </w:t>
      </w:r>
      <w:r>
        <w:rPr>
          <w:lang w:val="en-ZA"/>
        </w:rPr>
        <w:t>Radebe Witness Statement</w:t>
      </w:r>
      <w:r w:rsidR="0074020E">
        <w:rPr>
          <w:lang w:val="en-ZA"/>
        </w:rPr>
        <w:t xml:space="preserve"> p</w:t>
      </w:r>
      <w:r w:rsidR="002D2084">
        <w:rPr>
          <w:lang w:val="en-ZA"/>
        </w:rPr>
        <w:t xml:space="preserve">age </w:t>
      </w:r>
      <w:r w:rsidR="0074020E">
        <w:rPr>
          <w:lang w:val="en-ZA"/>
        </w:rPr>
        <w:t>391.  Van De Kwast</w:t>
      </w:r>
      <w:r w:rsidR="0014185B">
        <w:rPr>
          <w:lang w:val="en-ZA"/>
        </w:rPr>
        <w:t xml:space="preserve"> Witness Statement</w:t>
      </w:r>
      <w:r w:rsidR="0074020E">
        <w:rPr>
          <w:lang w:val="en-ZA"/>
        </w:rPr>
        <w:t xml:space="preserve"> </w:t>
      </w:r>
      <w:r w:rsidR="005769F7">
        <w:rPr>
          <w:lang w:val="en-ZA"/>
        </w:rPr>
        <w:t>p</w:t>
      </w:r>
      <w:r w:rsidR="002D2084">
        <w:rPr>
          <w:lang w:val="en-ZA"/>
        </w:rPr>
        <w:t xml:space="preserve">age </w:t>
      </w:r>
      <w:r w:rsidR="005769F7">
        <w:rPr>
          <w:lang w:val="en-ZA"/>
        </w:rPr>
        <w:t>375</w:t>
      </w:r>
      <w:r w:rsidR="00984C4D">
        <w:rPr>
          <w:lang w:val="en-ZA"/>
        </w:rPr>
        <w:t>.</w:t>
      </w:r>
    </w:p>
  </w:footnote>
  <w:footnote w:id="9">
    <w:p w14:paraId="123F1FCD" w14:textId="77777777" w:rsidR="00746EE0" w:rsidRPr="00596C03" w:rsidRDefault="00746EE0" w:rsidP="00746EE0">
      <w:pPr>
        <w:pStyle w:val="FootnoteText"/>
        <w:rPr>
          <w:lang w:val="en-ZA"/>
        </w:rPr>
      </w:pPr>
      <w:r>
        <w:rPr>
          <w:rStyle w:val="FootnoteReference"/>
        </w:rPr>
        <w:footnoteRef/>
      </w:r>
      <w:r>
        <w:t xml:space="preserve"> </w:t>
      </w:r>
      <w:r>
        <w:rPr>
          <w:lang w:val="en-ZA"/>
        </w:rPr>
        <w:t>Annexure FA3 CaseLines 01-288</w:t>
      </w:r>
    </w:p>
  </w:footnote>
  <w:footnote w:id="10">
    <w:p w14:paraId="6C87FC6B" w14:textId="4B0EA46B" w:rsidR="006769BA" w:rsidRPr="006769BA" w:rsidRDefault="006769BA">
      <w:pPr>
        <w:pStyle w:val="FootnoteText"/>
        <w:rPr>
          <w:lang w:val="en-ZA"/>
        </w:rPr>
      </w:pPr>
      <w:r>
        <w:rPr>
          <w:rStyle w:val="FootnoteReference"/>
        </w:rPr>
        <w:footnoteRef/>
      </w:r>
      <w:r>
        <w:t xml:space="preserve"> </w:t>
      </w:r>
      <w:r>
        <w:rPr>
          <w:lang w:val="en-ZA"/>
        </w:rPr>
        <w:t>Para 12.3 CaseLines 01-3</w:t>
      </w:r>
      <w:r w:rsidR="00B64F4D">
        <w:rPr>
          <w:lang w:val="en-ZA"/>
        </w:rPr>
        <w:t>09</w:t>
      </w:r>
    </w:p>
  </w:footnote>
  <w:footnote w:id="11">
    <w:p w14:paraId="5A3F22D1" w14:textId="4443DF72" w:rsidR="00F85A99" w:rsidRPr="00F85A99" w:rsidRDefault="00F85A99">
      <w:pPr>
        <w:pStyle w:val="FootnoteText"/>
        <w:rPr>
          <w:lang w:val="en-ZA"/>
        </w:rPr>
      </w:pPr>
      <w:r>
        <w:rPr>
          <w:rStyle w:val="FootnoteReference"/>
        </w:rPr>
        <w:footnoteRef/>
      </w:r>
      <w:r>
        <w:t xml:space="preserve"> </w:t>
      </w:r>
      <w:r w:rsidR="006769BA">
        <w:rPr>
          <w:lang w:val="en-ZA"/>
        </w:rPr>
        <w:t>Paras 12.</w:t>
      </w:r>
      <w:r w:rsidR="00B64F4D">
        <w:rPr>
          <w:lang w:val="en-ZA"/>
        </w:rPr>
        <w:t>4</w:t>
      </w:r>
      <w:r w:rsidR="006769BA">
        <w:rPr>
          <w:lang w:val="en-ZA"/>
        </w:rPr>
        <w:t xml:space="preserve"> – 12.5 CaseLines </w:t>
      </w:r>
      <w:r w:rsidR="00B64F4D">
        <w:rPr>
          <w:lang w:val="en-ZA"/>
        </w:rPr>
        <w:t>01-310</w:t>
      </w:r>
    </w:p>
  </w:footnote>
  <w:footnote w:id="12">
    <w:p w14:paraId="43CE2A7B" w14:textId="008C837E" w:rsidR="00046E74" w:rsidRPr="00046E74" w:rsidRDefault="00046E74">
      <w:pPr>
        <w:pStyle w:val="FootnoteText"/>
        <w:rPr>
          <w:lang w:val="en-ZA"/>
        </w:rPr>
      </w:pPr>
      <w:r>
        <w:rPr>
          <w:rStyle w:val="FootnoteReference"/>
        </w:rPr>
        <w:footnoteRef/>
      </w:r>
      <w:r>
        <w:t xml:space="preserve"> </w:t>
      </w:r>
      <w:r>
        <w:rPr>
          <w:lang w:val="en-ZA"/>
        </w:rPr>
        <w:t xml:space="preserve">Para 8.1 CaseLines </w:t>
      </w:r>
      <w:r w:rsidR="004301B9">
        <w:rPr>
          <w:lang w:val="en-ZA"/>
        </w:rPr>
        <w:t>01-301</w:t>
      </w:r>
    </w:p>
  </w:footnote>
  <w:footnote w:id="13">
    <w:p w14:paraId="3938971A" w14:textId="2D5EA8D1" w:rsidR="00746EE0" w:rsidRPr="00746EE0" w:rsidRDefault="00746EE0">
      <w:pPr>
        <w:pStyle w:val="FootnoteText"/>
        <w:rPr>
          <w:lang w:val="en-ZA"/>
        </w:rPr>
      </w:pPr>
      <w:r>
        <w:rPr>
          <w:rStyle w:val="FootnoteReference"/>
        </w:rPr>
        <w:footnoteRef/>
      </w:r>
      <w:r>
        <w:t xml:space="preserve"> </w:t>
      </w:r>
      <w:r w:rsidR="00281052">
        <w:t>Paras 2.2 CaseLines 01-289 and para 2.4 CaseLines 01-</w:t>
      </w:r>
      <w:r w:rsidR="009A4461">
        <w:t>300</w:t>
      </w:r>
    </w:p>
  </w:footnote>
  <w:footnote w:id="14">
    <w:p w14:paraId="4B6BE34C" w14:textId="77777777" w:rsidR="00386001" w:rsidRPr="00CA089C" w:rsidRDefault="00386001" w:rsidP="00386001">
      <w:pPr>
        <w:pStyle w:val="FootnoteText"/>
        <w:rPr>
          <w:lang w:val="en-ZA"/>
        </w:rPr>
      </w:pPr>
      <w:r>
        <w:rPr>
          <w:rStyle w:val="FootnoteReference"/>
        </w:rPr>
        <w:footnoteRef/>
      </w:r>
      <w:r>
        <w:t xml:space="preserve"> </w:t>
      </w:r>
      <w:r>
        <w:rPr>
          <w:lang w:bidi="hi-IN"/>
        </w:rPr>
        <w:t>S</w:t>
      </w:r>
      <w:r w:rsidRPr="00CA089C">
        <w:rPr>
          <w:lang w:bidi="hi-IN"/>
        </w:rPr>
        <w:t xml:space="preserve">ummarised in paragraph 105 of the Spill Tech Gauteng </w:t>
      </w:r>
      <w:r>
        <w:rPr>
          <w:lang w:bidi="hi-IN"/>
        </w:rPr>
        <w:t>SOC.</w:t>
      </w:r>
      <w:r w:rsidRPr="00CA089C">
        <w:rPr>
          <w:lang w:bidi="hi-IN"/>
        </w:rPr>
        <w:t xml:space="preserve"> </w:t>
      </w:r>
    </w:p>
  </w:footnote>
  <w:footnote w:id="15">
    <w:p w14:paraId="04FBBE91" w14:textId="77777777" w:rsidR="00386001" w:rsidRPr="00970019" w:rsidRDefault="00386001" w:rsidP="00386001">
      <w:pPr>
        <w:pStyle w:val="FootnoteText"/>
        <w:rPr>
          <w:lang w:val="en-ZA"/>
        </w:rPr>
      </w:pPr>
      <w:r>
        <w:rPr>
          <w:rStyle w:val="FootnoteReference"/>
        </w:rPr>
        <w:footnoteRef/>
      </w:r>
      <w:r>
        <w:t xml:space="preserve"> </w:t>
      </w:r>
      <w:r>
        <w:rPr>
          <w:lang w:val="en-ZA"/>
        </w:rPr>
        <w:t>Annexures FA21 and 22.  CaseLines 01-255 to 01-286.</w:t>
      </w:r>
    </w:p>
  </w:footnote>
  <w:footnote w:id="16">
    <w:p w14:paraId="7D21A16C" w14:textId="720580FE" w:rsidR="002671CE" w:rsidRPr="002671CE" w:rsidRDefault="002671CE">
      <w:pPr>
        <w:pStyle w:val="FootnoteText"/>
        <w:rPr>
          <w:lang w:val="en-ZA"/>
        </w:rPr>
      </w:pPr>
      <w:r>
        <w:rPr>
          <w:rStyle w:val="FootnoteReference"/>
        </w:rPr>
        <w:footnoteRef/>
      </w:r>
      <w:r>
        <w:t xml:space="preserve"> </w:t>
      </w:r>
      <w:r w:rsidR="00A7615F">
        <w:rPr>
          <w:lang w:val="en-ZA"/>
        </w:rPr>
        <w:t>Annexures FA25</w:t>
      </w:r>
      <w:r w:rsidR="00A7615F" w:rsidRPr="00A7615F">
        <w:rPr>
          <w:lang w:val="en-ZA"/>
        </w:rPr>
        <w:t xml:space="preserve"> </w:t>
      </w:r>
      <w:r w:rsidR="00A7615F">
        <w:rPr>
          <w:lang w:val="en-ZA"/>
        </w:rPr>
        <w:t>&amp; FA26</w:t>
      </w:r>
      <w:r w:rsidR="00984C4D">
        <w:rPr>
          <w:lang w:val="en-ZA"/>
        </w:rPr>
        <w:t xml:space="preserve"> as at </w:t>
      </w:r>
      <w:r w:rsidR="00AA5B4E">
        <w:rPr>
          <w:lang w:val="en-ZA"/>
        </w:rPr>
        <w:t xml:space="preserve">CaseLines </w:t>
      </w:r>
      <w:r w:rsidR="00984C4D">
        <w:rPr>
          <w:lang w:val="en-ZA"/>
        </w:rPr>
        <w:t>sections 01-</w:t>
      </w:r>
      <w:r w:rsidR="00A7615F">
        <w:rPr>
          <w:lang w:val="en-ZA"/>
        </w:rPr>
        <w:t>226 &amp;</w:t>
      </w:r>
      <w:r w:rsidR="00984C4D">
        <w:rPr>
          <w:lang w:val="en-ZA"/>
        </w:rPr>
        <w:t xml:space="preserve"> 01-</w:t>
      </w:r>
      <w:r w:rsidR="00AA5B4E">
        <w:rPr>
          <w:lang w:val="en-ZA"/>
        </w:rPr>
        <w:t>338</w:t>
      </w:r>
      <w:r w:rsidR="002D2084">
        <w:rPr>
          <w:lang w:val="en-ZA"/>
        </w:rPr>
        <w:t>.</w:t>
      </w:r>
    </w:p>
  </w:footnote>
  <w:footnote w:id="17">
    <w:p w14:paraId="7CCAC208" w14:textId="2B6A95C4" w:rsidR="008D6B23" w:rsidRDefault="008D6B23">
      <w:pPr>
        <w:pStyle w:val="FootnoteText"/>
      </w:pPr>
      <w:r>
        <w:rPr>
          <w:rStyle w:val="FootnoteReference"/>
        </w:rPr>
        <w:footnoteRef/>
      </w:r>
      <w:r>
        <w:t xml:space="preserve"> The chief operations officer of the Spill Tech group of companies</w:t>
      </w:r>
      <w:r w:rsidR="00045A2F">
        <w:t xml:space="preserve"> at the time, which included Spill Tech Gauteng and Spill Tech.</w:t>
      </w:r>
    </w:p>
  </w:footnote>
  <w:footnote w:id="18">
    <w:p w14:paraId="09BE39AF" w14:textId="5832884F" w:rsidR="009A01E2" w:rsidRDefault="009A01E2">
      <w:pPr>
        <w:pStyle w:val="FootnoteText"/>
      </w:pPr>
      <w:r>
        <w:rPr>
          <w:rStyle w:val="FootnoteReference"/>
        </w:rPr>
        <w:footnoteRef/>
      </w:r>
      <w:r>
        <w:t xml:space="preserve"> </w:t>
      </w:r>
      <w:r w:rsidR="004859AB">
        <w:t>Director of Spill Tech (Pty) Ltd</w:t>
      </w:r>
      <w:r w:rsidR="001472F6">
        <w:t xml:space="preserve"> </w:t>
      </w:r>
      <w:r w:rsidR="002D17A0">
        <w:t>responsible for contract management</w:t>
      </w:r>
      <w:r w:rsidR="00231602">
        <w:t>.</w:t>
      </w:r>
    </w:p>
  </w:footnote>
  <w:footnote w:id="19">
    <w:p w14:paraId="4412F9DE" w14:textId="7FCAA279" w:rsidR="00740915" w:rsidRPr="009E6A23" w:rsidRDefault="00740915" w:rsidP="00740915">
      <w:pPr>
        <w:pStyle w:val="FootnoteText"/>
        <w:rPr>
          <w:lang w:val="en-ZA"/>
        </w:rPr>
      </w:pPr>
      <w:r>
        <w:rPr>
          <w:rStyle w:val="FootnoteReference"/>
        </w:rPr>
        <w:footnoteRef/>
      </w:r>
      <w:r>
        <w:t xml:space="preserve"> </w:t>
      </w:r>
      <w:r>
        <w:rPr>
          <w:lang w:val="en-ZA"/>
        </w:rPr>
        <w:t>Arbitrator’s award para</w:t>
      </w:r>
      <w:r w:rsidR="00231602">
        <w:rPr>
          <w:lang w:val="en-ZA"/>
        </w:rPr>
        <w:t>graph</w:t>
      </w:r>
      <w:r>
        <w:rPr>
          <w:lang w:val="en-ZA"/>
        </w:rPr>
        <w:t xml:space="preserve"> 6 </w:t>
      </w:r>
      <w:r w:rsidR="00984C4D">
        <w:rPr>
          <w:lang w:val="en-ZA"/>
        </w:rPr>
        <w:t xml:space="preserve">as at </w:t>
      </w:r>
      <w:r>
        <w:rPr>
          <w:lang w:val="en-ZA"/>
        </w:rPr>
        <w:t xml:space="preserve">CaseLines </w:t>
      </w:r>
      <w:r w:rsidR="00984C4D">
        <w:rPr>
          <w:lang w:val="en-ZA"/>
        </w:rPr>
        <w:t xml:space="preserve">section </w:t>
      </w:r>
      <w:r>
        <w:rPr>
          <w:lang w:val="en-ZA"/>
        </w:rPr>
        <w:t>01-67</w:t>
      </w:r>
      <w:r w:rsidR="00231602">
        <w:rPr>
          <w:lang w:val="en-ZA"/>
        </w:rPr>
        <w:t>.</w:t>
      </w:r>
    </w:p>
  </w:footnote>
  <w:footnote w:id="20">
    <w:p w14:paraId="78327630" w14:textId="3B63A10F" w:rsidR="00B623A5" w:rsidRDefault="00B623A5" w:rsidP="00B623A5">
      <w:pPr>
        <w:pStyle w:val="FootnoteText"/>
      </w:pPr>
      <w:r w:rsidRPr="00F82368">
        <w:rPr>
          <w:rStyle w:val="FootnoteReference"/>
          <w:rFonts w:ascii="Times New Roman" w:hAnsi="Times New Roman"/>
        </w:rPr>
        <w:footnoteRef/>
      </w:r>
      <w:r w:rsidRPr="00F82368">
        <w:rPr>
          <w:rFonts w:ascii="Times New Roman" w:hAnsi="Times New Roman"/>
        </w:rPr>
        <w:t xml:space="preserve"> </w:t>
      </w:r>
      <w:r w:rsidR="0010322D" w:rsidRPr="0010322D">
        <w:rPr>
          <w:rFonts w:cs="Arial"/>
          <w:i/>
          <w:iCs/>
          <w:lang w:val="en-ZA"/>
        </w:rPr>
        <w:t>Eskom Holdings Limited v The Joint Venture of Edison Jehano (Pty) Ltd and KEC International Limited and Others</w:t>
      </w:r>
      <w:r w:rsidR="0010322D" w:rsidRPr="0010322D">
        <w:rPr>
          <w:rFonts w:cs="Arial"/>
          <w:lang w:val="en-ZA"/>
        </w:rPr>
        <w:t xml:space="preserve"> (177/2020) [2021] ZASCA 138 (6 October 2021) para</w:t>
      </w:r>
      <w:r w:rsidR="002D2084">
        <w:rPr>
          <w:rFonts w:cs="Arial"/>
          <w:lang w:val="en-ZA"/>
        </w:rPr>
        <w:t>graph</w:t>
      </w:r>
      <w:r w:rsidR="0010322D" w:rsidRPr="0010322D">
        <w:rPr>
          <w:rFonts w:cs="Arial"/>
          <w:lang w:val="en-ZA"/>
        </w:rPr>
        <w:t xml:space="preserve"> 22</w:t>
      </w:r>
      <w:r w:rsidR="002D2084">
        <w:rPr>
          <w:rFonts w:cs="Arial"/>
          <w:lang w:val="en-ZA"/>
        </w:rPr>
        <w:t>.</w:t>
      </w:r>
    </w:p>
  </w:footnote>
  <w:footnote w:id="21">
    <w:p w14:paraId="70A02814" w14:textId="547D6FF3" w:rsidR="00892C79" w:rsidRDefault="00892C79">
      <w:pPr>
        <w:pStyle w:val="FootnoteText"/>
      </w:pPr>
      <w:r>
        <w:rPr>
          <w:rStyle w:val="FootnoteReference"/>
        </w:rPr>
        <w:footnoteRef/>
      </w:r>
      <w:r>
        <w:t xml:space="preserve"> </w:t>
      </w:r>
      <w:r w:rsidRPr="00892C79">
        <w:t>[2006] 139 SCA (RSA)</w:t>
      </w:r>
      <w:r w:rsidR="002D2084">
        <w:t>.</w:t>
      </w:r>
    </w:p>
  </w:footnote>
  <w:footnote w:id="22">
    <w:p w14:paraId="4B8AA42C" w14:textId="25A4183E" w:rsidR="009D2D48" w:rsidRPr="009D2D48" w:rsidRDefault="009D2D48">
      <w:pPr>
        <w:pStyle w:val="FootnoteText"/>
        <w:rPr>
          <w:lang w:val="en-ZA"/>
        </w:rPr>
      </w:pPr>
      <w:r>
        <w:rPr>
          <w:rStyle w:val="FootnoteReference"/>
        </w:rPr>
        <w:footnoteRef/>
      </w:r>
      <w:r>
        <w:t xml:space="preserve"> </w:t>
      </w:r>
      <w:r w:rsidR="002D2084">
        <w:t>As at p</w:t>
      </w:r>
      <w:r w:rsidR="0031586C">
        <w:t>ara</w:t>
      </w:r>
      <w:r w:rsidR="002D2084">
        <w:t>graph</w:t>
      </w:r>
      <w:r w:rsidR="0031586C">
        <w:t xml:space="preserve"> 4</w:t>
      </w:r>
      <w:r w:rsidR="002D2084">
        <w:t>.</w:t>
      </w:r>
    </w:p>
  </w:footnote>
  <w:footnote w:id="23">
    <w:p w14:paraId="64E93A77" w14:textId="77777777" w:rsidR="0044180B" w:rsidRDefault="0044180B" w:rsidP="0044180B">
      <w:pPr>
        <w:pStyle w:val="FootnoteText"/>
      </w:pPr>
      <w:r w:rsidRPr="009518E4">
        <w:rPr>
          <w:rStyle w:val="FootnoteReference"/>
          <w:rFonts w:cs="Arial"/>
        </w:rPr>
        <w:footnoteRef/>
      </w:r>
      <w:r w:rsidRPr="009518E4">
        <w:rPr>
          <w:rFonts w:cs="Arial"/>
        </w:rPr>
        <w:t xml:space="preserve"> Without a special provision there is in any event no appeal possible because appeals are only possible from lower courts to higher courts. </w:t>
      </w:r>
    </w:p>
  </w:footnote>
  <w:footnote w:id="24">
    <w:p w14:paraId="2D8889B4" w14:textId="2342B853" w:rsidR="00892C79" w:rsidRPr="00972339" w:rsidRDefault="00892C79" w:rsidP="00892C79">
      <w:pPr>
        <w:pStyle w:val="FootnoteText"/>
        <w:rPr>
          <w:lang w:val="en-ZA"/>
        </w:rPr>
      </w:pPr>
      <w:r>
        <w:rPr>
          <w:rStyle w:val="FootnoteReference"/>
        </w:rPr>
        <w:footnoteRef/>
      </w:r>
      <w:r>
        <w:t xml:space="preserve"> </w:t>
      </w:r>
      <w:r w:rsidR="002D2084">
        <w:t xml:space="preserve">As at </w:t>
      </w:r>
      <w:r w:rsidR="002D2084">
        <w:rPr>
          <w:lang w:val="en-ZA"/>
        </w:rPr>
        <w:t>p</w:t>
      </w:r>
      <w:r>
        <w:rPr>
          <w:lang w:val="en-ZA"/>
        </w:rPr>
        <w:t>ara</w:t>
      </w:r>
      <w:r w:rsidR="002D2084">
        <w:rPr>
          <w:lang w:val="en-ZA"/>
        </w:rPr>
        <w:t>graph</w:t>
      </w:r>
      <w:r>
        <w:rPr>
          <w:lang w:val="en-ZA"/>
        </w:rPr>
        <w:t xml:space="preserve"> 50</w:t>
      </w:r>
      <w:r w:rsidR="002D2084">
        <w:rPr>
          <w:lang w:val="en-ZA"/>
        </w:rPr>
        <w:t>.</w:t>
      </w:r>
    </w:p>
  </w:footnote>
  <w:footnote w:id="25">
    <w:p w14:paraId="0D427F72" w14:textId="04DCF06F" w:rsidR="00734879" w:rsidRPr="00F84CEA" w:rsidRDefault="00734879">
      <w:pPr>
        <w:pStyle w:val="FootnoteText"/>
        <w:rPr>
          <w:rFonts w:cs="Arial"/>
        </w:rPr>
      </w:pPr>
      <w:r>
        <w:rPr>
          <w:rStyle w:val="FootnoteReference"/>
        </w:rPr>
        <w:footnoteRef/>
      </w:r>
      <w:r>
        <w:t xml:space="preserve"> </w:t>
      </w:r>
      <w:r w:rsidRPr="00F84CEA">
        <w:rPr>
          <w:rFonts w:cs="Arial"/>
          <w:i/>
        </w:rPr>
        <w:t>Telcordia</w:t>
      </w:r>
      <w:r w:rsidRPr="00F84CEA">
        <w:rPr>
          <w:rFonts w:cs="Arial"/>
          <w:i/>
          <w:spacing w:val="-2"/>
        </w:rPr>
        <w:t xml:space="preserve"> </w:t>
      </w:r>
      <w:r w:rsidRPr="00F84CEA">
        <w:rPr>
          <w:rFonts w:cs="Arial"/>
          <w:iCs/>
        </w:rPr>
        <w:t>at</w:t>
      </w:r>
      <w:r w:rsidRPr="00F84CEA">
        <w:rPr>
          <w:rFonts w:cs="Arial"/>
          <w:iCs/>
          <w:spacing w:val="-2"/>
        </w:rPr>
        <w:t xml:space="preserve"> </w:t>
      </w:r>
      <w:r w:rsidR="00785EF6" w:rsidRPr="00F84CEA">
        <w:rPr>
          <w:rFonts w:cs="Arial"/>
          <w:iCs/>
          <w:spacing w:val="-2"/>
        </w:rPr>
        <w:t>para</w:t>
      </w:r>
      <w:r w:rsidR="002D2084">
        <w:rPr>
          <w:rFonts w:cs="Arial"/>
          <w:iCs/>
          <w:spacing w:val="-2"/>
        </w:rPr>
        <w:t>graph</w:t>
      </w:r>
      <w:r w:rsidR="00785EF6" w:rsidRPr="00F84CEA">
        <w:rPr>
          <w:rFonts w:cs="Arial"/>
          <w:i/>
          <w:spacing w:val="-2"/>
        </w:rPr>
        <w:t xml:space="preserve"> </w:t>
      </w:r>
      <w:r w:rsidRPr="00F84CEA">
        <w:rPr>
          <w:rFonts w:cs="Arial"/>
        </w:rPr>
        <w:t>[51]</w:t>
      </w:r>
      <w:r w:rsidR="002D2084">
        <w:rPr>
          <w:rFonts w:cs="Arial"/>
        </w:rPr>
        <w:t>.</w:t>
      </w:r>
    </w:p>
  </w:footnote>
  <w:footnote w:id="26">
    <w:p w14:paraId="2C02325F" w14:textId="340177D1" w:rsidR="00B51EDD" w:rsidRDefault="00B51EDD" w:rsidP="00B51EDD">
      <w:pPr>
        <w:pStyle w:val="FootnoteText"/>
      </w:pPr>
      <w:r>
        <w:rPr>
          <w:rStyle w:val="FootnoteReference"/>
        </w:rPr>
        <w:footnoteRef/>
      </w:r>
      <w:r>
        <w:t xml:space="preserve"> </w:t>
      </w:r>
      <w:bookmarkStart w:id="6" w:name="_Hlk155783767"/>
      <w:r w:rsidRPr="000F2CD2">
        <w:rPr>
          <w:i/>
          <w:iCs/>
        </w:rPr>
        <w:t xml:space="preserve">Telcordia </w:t>
      </w:r>
      <w:r>
        <w:t xml:space="preserve">at </w:t>
      </w:r>
      <w:r w:rsidR="002D2084">
        <w:t xml:space="preserve">paragraphs </w:t>
      </w:r>
      <w:r>
        <w:t>[73] and [85]</w:t>
      </w:r>
      <w:r w:rsidR="002D2084">
        <w:t>.</w:t>
      </w:r>
    </w:p>
    <w:bookmarkEnd w:id="6"/>
  </w:footnote>
  <w:footnote w:id="27">
    <w:p w14:paraId="6B5330FD" w14:textId="51A60BA9" w:rsidR="00B51EDD" w:rsidRDefault="00B51EDD" w:rsidP="00B51EDD">
      <w:pPr>
        <w:pStyle w:val="FootnoteText"/>
      </w:pPr>
      <w:r>
        <w:rPr>
          <w:rStyle w:val="FootnoteReference"/>
        </w:rPr>
        <w:footnoteRef/>
      </w:r>
      <w:r>
        <w:t xml:space="preserve"> </w:t>
      </w:r>
      <w:r w:rsidRPr="00865837">
        <w:rPr>
          <w:i/>
          <w:iCs/>
        </w:rPr>
        <w:t>Telcordia</w:t>
      </w:r>
      <w:r>
        <w:t xml:space="preserve"> at</w:t>
      </w:r>
      <w:r w:rsidR="002D2084">
        <w:t xml:space="preserve"> paragraph</w:t>
      </w:r>
      <w:r>
        <w:t xml:space="preserve"> [73</w:t>
      </w:r>
      <w:r w:rsidR="002D2084">
        <w:t>].</w:t>
      </w:r>
    </w:p>
  </w:footnote>
  <w:footnote w:id="28">
    <w:p w14:paraId="3277C781" w14:textId="453BBEFC" w:rsidR="003D0662" w:rsidRDefault="003D0662">
      <w:pPr>
        <w:pStyle w:val="FootnoteText"/>
      </w:pPr>
      <w:r>
        <w:rPr>
          <w:rStyle w:val="FootnoteReference"/>
        </w:rPr>
        <w:footnoteRef/>
      </w:r>
      <w:r>
        <w:t xml:space="preserve"> </w:t>
      </w:r>
      <w:r w:rsidR="00865837">
        <w:t>(</w:t>
      </w:r>
      <w:r w:rsidR="00865837" w:rsidRPr="00865837">
        <w:rPr>
          <w:lang w:val="en-ZA"/>
        </w:rPr>
        <w:t>298/2017) [2018] ZASCA 23; [2018] 2 All SA 660 (SCA); 2018 (5) SA 462 (SCA) (22 March 2018)</w:t>
      </w:r>
      <w:r w:rsidR="002D2084">
        <w:rPr>
          <w:lang w:val="en-ZA"/>
        </w:rPr>
        <w:t>.</w:t>
      </w:r>
    </w:p>
  </w:footnote>
  <w:footnote w:id="29">
    <w:p w14:paraId="20AD53EF" w14:textId="58D022AB" w:rsidR="005E44B9" w:rsidRPr="00F84CEA" w:rsidRDefault="005E44B9">
      <w:pPr>
        <w:pStyle w:val="FootnoteText"/>
        <w:rPr>
          <w:rFonts w:cs="Arial"/>
        </w:rPr>
      </w:pPr>
      <w:r w:rsidRPr="00F84CEA">
        <w:rPr>
          <w:rStyle w:val="FootnoteReference"/>
          <w:rFonts w:cs="Arial"/>
        </w:rPr>
        <w:footnoteRef/>
      </w:r>
      <w:r w:rsidRPr="00F84CEA">
        <w:rPr>
          <w:rFonts w:cs="Arial"/>
        </w:rPr>
        <w:t xml:space="preserve"> </w:t>
      </w:r>
      <w:r w:rsidR="00785EF6" w:rsidRPr="00F84CEA">
        <w:rPr>
          <w:rFonts w:cs="Arial"/>
          <w:i/>
        </w:rPr>
        <w:t>Telcordia</w:t>
      </w:r>
      <w:r w:rsidR="00785EF6" w:rsidRPr="00F84CEA">
        <w:rPr>
          <w:rFonts w:cs="Arial"/>
          <w:i/>
          <w:spacing w:val="-1"/>
        </w:rPr>
        <w:t xml:space="preserve"> </w:t>
      </w:r>
      <w:r w:rsidR="00785EF6" w:rsidRPr="00F84CEA">
        <w:rPr>
          <w:rFonts w:cs="Arial"/>
          <w:i/>
        </w:rPr>
        <w:t xml:space="preserve">supra </w:t>
      </w:r>
      <w:r w:rsidR="00785EF6" w:rsidRPr="00F84CEA">
        <w:rPr>
          <w:rFonts w:cs="Arial"/>
        </w:rPr>
        <w:t>at para</w:t>
      </w:r>
      <w:r w:rsidR="002D2084">
        <w:rPr>
          <w:rFonts w:cs="Arial"/>
        </w:rPr>
        <w:t>graph</w:t>
      </w:r>
      <w:r w:rsidR="00785EF6" w:rsidRPr="00F84CEA">
        <w:rPr>
          <w:rFonts w:cs="Arial"/>
          <w:spacing w:val="-2"/>
        </w:rPr>
        <w:t xml:space="preserve"> </w:t>
      </w:r>
      <w:r w:rsidR="00785EF6" w:rsidRPr="00F84CEA">
        <w:rPr>
          <w:rFonts w:cs="Arial"/>
        </w:rPr>
        <w:t>48</w:t>
      </w:r>
      <w:r w:rsidR="002D2084">
        <w:rPr>
          <w:rFonts w:cs="Arial"/>
        </w:rPr>
        <w:t>.</w:t>
      </w:r>
    </w:p>
  </w:footnote>
  <w:footnote w:id="30">
    <w:p w14:paraId="64E9D4B5" w14:textId="3BA46728" w:rsidR="00865837" w:rsidRDefault="00865837">
      <w:pPr>
        <w:pStyle w:val="FootnoteText"/>
      </w:pPr>
      <w:r>
        <w:rPr>
          <w:rStyle w:val="FootnoteReference"/>
        </w:rPr>
        <w:footnoteRef/>
      </w:r>
      <w:r>
        <w:t xml:space="preserve"> </w:t>
      </w:r>
      <w:r w:rsidRPr="00865837">
        <w:t>(case no 177/2020) </w:t>
      </w:r>
      <w:hyperlink r:id="rId1" w:tooltip="View LawCiteRecord" w:history="1">
        <w:r w:rsidRPr="00865837">
          <w:rPr>
            <w:rStyle w:val="Hyperlink"/>
          </w:rPr>
          <w:t>[2021] ZASCA </w:t>
        </w:r>
      </w:hyperlink>
      <w:hyperlink r:id="rId2" w:tooltip="View LawCiteRecord" w:history="1">
        <w:r w:rsidRPr="00865837">
          <w:rPr>
            <w:rStyle w:val="Hyperlink"/>
          </w:rPr>
          <w:t>138</w:t>
        </w:r>
      </w:hyperlink>
      <w:r w:rsidRPr="00865837">
        <w:t> (06 October 2021)</w:t>
      </w:r>
      <w:r w:rsidR="002D2084">
        <w:t>.</w:t>
      </w:r>
    </w:p>
  </w:footnote>
  <w:footnote w:id="31">
    <w:p w14:paraId="56EF4A8E" w14:textId="0D7BCF57" w:rsidR="00D669AA" w:rsidRPr="00D669AA" w:rsidRDefault="00D669AA">
      <w:pPr>
        <w:pStyle w:val="FootnoteText"/>
        <w:rPr>
          <w:lang w:val="en-ZA"/>
        </w:rPr>
      </w:pPr>
      <w:r>
        <w:rPr>
          <w:rStyle w:val="FootnoteReference"/>
        </w:rPr>
        <w:footnoteRef/>
      </w:r>
      <w:r>
        <w:t xml:space="preserve"> </w:t>
      </w:r>
      <w:r w:rsidR="00551678" w:rsidRPr="00551678">
        <w:rPr>
          <w:i/>
          <w:iCs/>
        </w:rPr>
        <w:t xml:space="preserve">Eskom </w:t>
      </w:r>
      <w:r w:rsidR="00551678">
        <w:t xml:space="preserve">at </w:t>
      </w:r>
      <w:r>
        <w:rPr>
          <w:lang w:val="en-ZA"/>
        </w:rPr>
        <w:t>Para</w:t>
      </w:r>
      <w:r w:rsidR="002D2084">
        <w:rPr>
          <w:lang w:val="en-ZA"/>
        </w:rPr>
        <w:t>graph</w:t>
      </w:r>
      <w:r>
        <w:rPr>
          <w:lang w:val="en-ZA"/>
        </w:rPr>
        <w:t xml:space="preserve"> 22</w:t>
      </w:r>
      <w:r w:rsidR="00551678">
        <w:rPr>
          <w:lang w:val="en-ZA"/>
        </w:rPr>
        <w:t xml:space="preserve"> and the cases cited therein</w:t>
      </w:r>
      <w:r w:rsidR="002D2084">
        <w:rPr>
          <w:lang w:val="en-ZA"/>
        </w:rPr>
        <w:t>.</w:t>
      </w:r>
    </w:p>
  </w:footnote>
  <w:footnote w:id="32">
    <w:p w14:paraId="2FF026B0" w14:textId="77777777" w:rsidR="005A6C94" w:rsidRPr="00716522" w:rsidRDefault="005A6C94" w:rsidP="005A6C94">
      <w:pPr>
        <w:pStyle w:val="FootnoteText"/>
        <w:rPr>
          <w:lang w:val="en-ZA"/>
        </w:rPr>
      </w:pPr>
      <w:r>
        <w:rPr>
          <w:rStyle w:val="FootnoteReference"/>
        </w:rPr>
        <w:footnoteRef/>
      </w:r>
      <w:r>
        <w:t xml:space="preserve"> </w:t>
      </w:r>
      <w:r>
        <w:rPr>
          <w:rFonts w:cs="Arial"/>
          <w:i/>
          <w:iCs/>
          <w:color w:val="242121"/>
          <w:szCs w:val="20"/>
          <w:shd w:val="clear" w:color="auto" w:fill="FFFFFF"/>
        </w:rPr>
        <w:t>Dexgroup (Pty) Ltd v Trustco Group International (Pty) Ltd and Others </w:t>
      </w:r>
      <w:r>
        <w:rPr>
          <w:rFonts w:cs="Arial"/>
          <w:color w:val="242121"/>
          <w:szCs w:val="20"/>
          <w:shd w:val="clear" w:color="auto" w:fill="FFFFFF"/>
        </w:rPr>
        <w:t>2013 (6) SA 520 (SCA).</w:t>
      </w:r>
    </w:p>
  </w:footnote>
  <w:footnote w:id="33">
    <w:p w14:paraId="3138ED7C" w14:textId="6B43B31A" w:rsidR="00C31333" w:rsidRDefault="00C31333">
      <w:pPr>
        <w:pStyle w:val="FootnoteText"/>
      </w:pPr>
      <w:r w:rsidRPr="005A4D73">
        <w:rPr>
          <w:rStyle w:val="FootnoteReference"/>
          <w:i/>
          <w:iCs/>
        </w:rPr>
        <w:footnoteRef/>
      </w:r>
      <w:r w:rsidRPr="005A4D73">
        <w:rPr>
          <w:i/>
          <w:iCs/>
        </w:rPr>
        <w:t xml:space="preserve"> Telcordia</w:t>
      </w:r>
      <w:r>
        <w:t xml:space="preserve"> at </w:t>
      </w:r>
      <w:r w:rsidR="005A4D73">
        <w:t>para</w:t>
      </w:r>
      <w:r w:rsidR="002D2084">
        <w:t>graph</w:t>
      </w:r>
      <w:r w:rsidR="005A4D73">
        <w:t xml:space="preserve"> </w:t>
      </w:r>
      <w:r>
        <w:t>85</w:t>
      </w:r>
      <w:r w:rsidR="002D2084">
        <w:t>.</w:t>
      </w:r>
    </w:p>
  </w:footnote>
  <w:footnote w:id="34">
    <w:p w14:paraId="1114F533" w14:textId="77777777" w:rsidR="00AF5AB7" w:rsidRPr="00011F65" w:rsidRDefault="00AF5AB7" w:rsidP="00AF5AB7">
      <w:pPr>
        <w:pStyle w:val="FootnoteText"/>
        <w:rPr>
          <w:lang w:val="en-ZA"/>
        </w:rPr>
      </w:pPr>
      <w:r>
        <w:rPr>
          <w:rStyle w:val="FootnoteReference"/>
        </w:rPr>
        <w:footnoteRef/>
      </w:r>
      <w:r>
        <w:t xml:space="preserve"> </w:t>
      </w:r>
      <w:r>
        <w:rPr>
          <w:lang w:val="en-ZA"/>
        </w:rPr>
        <w:t xml:space="preserve">PAA Ramsden </w:t>
      </w:r>
      <w:r w:rsidRPr="00011F65">
        <w:rPr>
          <w:i/>
          <w:iCs/>
          <w:lang w:val="en-ZA"/>
        </w:rPr>
        <w:t>The Law of Arbitration</w:t>
      </w:r>
      <w:r>
        <w:rPr>
          <w:lang w:val="en-ZA"/>
        </w:rPr>
        <w:t xml:space="preserve"> Juta 2</w:t>
      </w:r>
      <w:r w:rsidRPr="00011F65">
        <w:rPr>
          <w:vertAlign w:val="superscript"/>
          <w:lang w:val="en-ZA"/>
        </w:rPr>
        <w:t>nd</w:t>
      </w:r>
      <w:r>
        <w:rPr>
          <w:lang w:val="en-ZA"/>
        </w:rPr>
        <w:t xml:space="preserve"> Ed p 253</w:t>
      </w:r>
    </w:p>
  </w:footnote>
  <w:footnote w:id="35">
    <w:p w14:paraId="3CA1F708" w14:textId="4120312E" w:rsidR="00CA5412" w:rsidRDefault="00CA5412">
      <w:pPr>
        <w:pStyle w:val="FootnoteText"/>
      </w:pPr>
      <w:r>
        <w:rPr>
          <w:rStyle w:val="FootnoteReference"/>
        </w:rPr>
        <w:footnoteRef/>
      </w:r>
      <w:r>
        <w:t xml:space="preserve"> </w:t>
      </w:r>
      <w:r w:rsidR="002E64EF" w:rsidRPr="002E64EF">
        <w:rPr>
          <w:lang w:val="en-ZA"/>
        </w:rPr>
        <w:t>(015/07) [2007] ZASCA 163; [2007] SCA 163 (RSA); [2008] 2 All SA 132 (SCA); 2008 (2) SA 608 (SCA) (29 November 2007)</w:t>
      </w:r>
      <w:r w:rsidR="00984C4D">
        <w:rPr>
          <w:lang w:val="en-ZA"/>
        </w:rPr>
        <w:t>.</w:t>
      </w:r>
    </w:p>
  </w:footnote>
  <w:footnote w:id="36">
    <w:p w14:paraId="1A7FAAD9" w14:textId="6A1A457B" w:rsidR="007D2E52" w:rsidRDefault="007D2E52" w:rsidP="007D2E52">
      <w:pPr>
        <w:pStyle w:val="FootnoteText"/>
      </w:pPr>
      <w:r>
        <w:rPr>
          <w:rStyle w:val="FootnoteReference"/>
        </w:rPr>
        <w:footnoteRef/>
      </w:r>
      <w:r>
        <w:t xml:space="preserve"> </w:t>
      </w:r>
      <w:r w:rsidRPr="002D2084">
        <w:rPr>
          <w:rFonts w:cs="Arial"/>
          <w:i/>
          <w:iCs/>
        </w:rPr>
        <w:t>H</w:t>
      </w:r>
      <w:r w:rsidRPr="002C2F78">
        <w:rPr>
          <w:rFonts w:cs="Arial"/>
          <w:i/>
        </w:rPr>
        <w:t>os+Med</w:t>
      </w:r>
      <w:r w:rsidRPr="002C2F78">
        <w:rPr>
          <w:rFonts w:cs="Arial"/>
          <w:i/>
          <w:spacing w:val="-1"/>
        </w:rPr>
        <w:t xml:space="preserve"> </w:t>
      </w:r>
      <w:r w:rsidRPr="002C2F78">
        <w:rPr>
          <w:rFonts w:cs="Arial"/>
          <w:i/>
        </w:rPr>
        <w:t>Medical</w:t>
      </w:r>
      <w:r w:rsidRPr="002C2F78">
        <w:rPr>
          <w:rFonts w:cs="Arial"/>
          <w:i/>
          <w:spacing w:val="-2"/>
        </w:rPr>
        <w:t xml:space="preserve"> </w:t>
      </w:r>
      <w:r w:rsidRPr="002C2F78">
        <w:rPr>
          <w:rFonts w:cs="Arial"/>
          <w:i/>
        </w:rPr>
        <w:t>Aid</w:t>
      </w:r>
      <w:r w:rsidRPr="002C2F78">
        <w:rPr>
          <w:rFonts w:cs="Arial"/>
          <w:i/>
          <w:spacing w:val="-2"/>
        </w:rPr>
        <w:t xml:space="preserve"> </w:t>
      </w:r>
      <w:r w:rsidRPr="002C2F78">
        <w:rPr>
          <w:rFonts w:cs="Arial"/>
          <w:i/>
        </w:rPr>
        <w:t xml:space="preserve">Scheme </w:t>
      </w:r>
      <w:r w:rsidRPr="002C2F78">
        <w:rPr>
          <w:rFonts w:cs="Arial"/>
        </w:rPr>
        <w:t>at</w:t>
      </w:r>
      <w:r w:rsidRPr="002C2F78">
        <w:rPr>
          <w:rFonts w:cs="Arial"/>
          <w:spacing w:val="-2"/>
        </w:rPr>
        <w:t xml:space="preserve"> </w:t>
      </w:r>
      <w:r w:rsidRPr="002C2F78">
        <w:rPr>
          <w:rFonts w:cs="Arial"/>
        </w:rPr>
        <w:t xml:space="preserve"> para</w:t>
      </w:r>
      <w:r w:rsidR="002D2084" w:rsidRPr="002C2F78">
        <w:rPr>
          <w:rFonts w:cs="Arial"/>
        </w:rPr>
        <w:t>graph</w:t>
      </w:r>
      <w:r w:rsidRPr="002C2F78">
        <w:rPr>
          <w:rFonts w:cs="Arial"/>
        </w:rPr>
        <w:t xml:space="preserve"> 30</w:t>
      </w:r>
      <w:r w:rsidR="002D2084">
        <w:rPr>
          <w:rFonts w:cs="Arial"/>
        </w:rPr>
        <w:t>.</w:t>
      </w:r>
    </w:p>
  </w:footnote>
  <w:footnote w:id="37">
    <w:p w14:paraId="6A1366D6" w14:textId="1F162342" w:rsidR="003D6920" w:rsidRPr="003555C1" w:rsidRDefault="003D6920" w:rsidP="003D6920">
      <w:pPr>
        <w:pStyle w:val="FootnoteText"/>
        <w:rPr>
          <w:lang w:val="en-ZA"/>
        </w:rPr>
      </w:pPr>
      <w:r>
        <w:rPr>
          <w:rStyle w:val="FootnoteReference"/>
        </w:rPr>
        <w:footnoteRef/>
      </w:r>
      <w:r>
        <w:t xml:space="preserve"> </w:t>
      </w:r>
      <w:r w:rsidRPr="003555C1">
        <w:rPr>
          <w:lang w:val="en-ZA"/>
        </w:rPr>
        <w:t>(479/2020) [2021] ZASCA 163; 2022 (4) SA 420 (SCA) (1 December 2021)</w:t>
      </w:r>
      <w:r w:rsidR="002D2084">
        <w:rPr>
          <w:lang w:val="en-ZA"/>
        </w:rPr>
        <w:t>.</w:t>
      </w:r>
    </w:p>
  </w:footnote>
  <w:footnote w:id="38">
    <w:p w14:paraId="055D1682" w14:textId="18A8282F" w:rsidR="003D6920" w:rsidRDefault="003D6920" w:rsidP="003D6920">
      <w:pPr>
        <w:pStyle w:val="FootnoteText"/>
      </w:pPr>
      <w:r>
        <w:rPr>
          <w:rStyle w:val="FootnoteReference"/>
        </w:rPr>
        <w:footnoteRef/>
      </w:r>
      <w:r>
        <w:t xml:space="preserve"> Transnet’s Heads </w:t>
      </w:r>
      <w:r w:rsidR="002D2084">
        <w:t xml:space="preserve">at </w:t>
      </w:r>
      <w:r>
        <w:t>para</w:t>
      </w:r>
      <w:r w:rsidR="002D2084">
        <w:t>graph</w:t>
      </w:r>
      <w:r>
        <w:t xml:space="preserve"> 69</w:t>
      </w:r>
      <w:r w:rsidR="002D2084">
        <w:t>.</w:t>
      </w:r>
    </w:p>
  </w:footnote>
  <w:footnote w:id="39">
    <w:p w14:paraId="1D49C97A" w14:textId="68CBFBCE" w:rsidR="00DD7A4F" w:rsidRDefault="00DD7A4F">
      <w:pPr>
        <w:pStyle w:val="FootnoteText"/>
      </w:pPr>
      <w:r w:rsidRPr="00DD7A4F">
        <w:rPr>
          <w:rStyle w:val="FootnoteReference"/>
        </w:rPr>
        <w:footnoteRef/>
      </w:r>
      <w:r w:rsidRPr="00DD7A4F">
        <w:t xml:space="preserve"> </w:t>
      </w:r>
      <w:r w:rsidRPr="00DD7A4F">
        <w:rPr>
          <w:i/>
          <w:iCs/>
        </w:rPr>
        <w:t>Canton Trading</w:t>
      </w:r>
      <w:r>
        <w:t xml:space="preserve"> at para</w:t>
      </w:r>
      <w:r w:rsidR="00984C4D">
        <w:t>graph</w:t>
      </w:r>
      <w:r>
        <w:t xml:space="preserve"> </w:t>
      </w:r>
      <w:r w:rsidR="00CE3847">
        <w:t>31</w:t>
      </w:r>
      <w:r w:rsidR="00984C4D">
        <w:t>.</w:t>
      </w:r>
    </w:p>
  </w:footnote>
  <w:footnote w:id="40">
    <w:p w14:paraId="75E6B8DB" w14:textId="2E9BD1FB" w:rsidR="00BC6BEF" w:rsidRDefault="00BC6BEF">
      <w:pPr>
        <w:pStyle w:val="FootnoteText"/>
      </w:pPr>
      <w:r>
        <w:rPr>
          <w:rStyle w:val="FootnoteReference"/>
        </w:rPr>
        <w:footnoteRef/>
      </w:r>
      <w:r>
        <w:t xml:space="preserve"> </w:t>
      </w:r>
      <w:r w:rsidRPr="00F93177">
        <w:rPr>
          <w:i/>
          <w:iCs/>
        </w:rPr>
        <w:t xml:space="preserve">Total Support Management </w:t>
      </w:r>
      <w:r w:rsidR="00E07819" w:rsidRPr="00F93177">
        <w:rPr>
          <w:i/>
          <w:iCs/>
        </w:rPr>
        <w:t>(Pty) Ltd and Another v Diversified Systems (SA)</w:t>
      </w:r>
      <w:r w:rsidR="00F93177" w:rsidRPr="00F93177">
        <w:rPr>
          <w:i/>
          <w:iCs/>
        </w:rPr>
        <w:t xml:space="preserve"> and Another</w:t>
      </w:r>
      <w:r w:rsidR="00F93177">
        <w:t xml:space="preserve"> 2002 (4) SA 661 (SCA) at para</w:t>
      </w:r>
      <w:r w:rsidR="00984C4D">
        <w:t>graph</w:t>
      </w:r>
      <w:r w:rsidR="00F93177">
        <w:t xml:space="preserve"> 21.</w:t>
      </w:r>
    </w:p>
  </w:footnote>
  <w:footnote w:id="41">
    <w:p w14:paraId="05B63D10" w14:textId="6B7B77A0" w:rsidR="00B01AB6" w:rsidRDefault="00B01AB6">
      <w:pPr>
        <w:pStyle w:val="FootnoteText"/>
      </w:pPr>
      <w:r>
        <w:rPr>
          <w:rStyle w:val="FootnoteReference"/>
        </w:rPr>
        <w:footnoteRef/>
      </w:r>
      <w:r>
        <w:t xml:space="preserve"> </w:t>
      </w:r>
      <w:r w:rsidRPr="00450AF0">
        <w:rPr>
          <w:i/>
          <w:iCs/>
        </w:rPr>
        <w:t>Telcordia</w:t>
      </w:r>
      <w:r>
        <w:t xml:space="preserve"> para</w:t>
      </w:r>
      <w:r w:rsidR="002D2084">
        <w:t>graph</w:t>
      </w:r>
      <w:r>
        <w:t xml:space="preserve"> </w:t>
      </w:r>
      <w:r w:rsidR="00450AF0">
        <w:t>99</w:t>
      </w:r>
      <w:r w:rsidR="002D2084">
        <w:t>.</w:t>
      </w:r>
    </w:p>
  </w:footnote>
  <w:footnote w:id="42">
    <w:p w14:paraId="76C7C419" w14:textId="0CE87FE4" w:rsidR="00BF7908" w:rsidRDefault="00BF7908">
      <w:pPr>
        <w:pStyle w:val="FootnoteText"/>
      </w:pPr>
      <w:r>
        <w:rPr>
          <w:rStyle w:val="FootnoteReference"/>
        </w:rPr>
        <w:footnoteRef/>
      </w:r>
      <w:r w:rsidR="002D2084">
        <w:t>As at</w:t>
      </w:r>
      <w:r>
        <w:t xml:space="preserve"> </w:t>
      </w:r>
      <w:r w:rsidR="002D2084">
        <w:t>p</w:t>
      </w:r>
      <w:r w:rsidR="00ED56C9">
        <w:t>ara</w:t>
      </w:r>
      <w:r w:rsidR="002D2084">
        <w:t>graph</w:t>
      </w:r>
      <w:r w:rsidR="00ED56C9">
        <w:t xml:space="preserve"> 11</w:t>
      </w:r>
      <w:r w:rsidR="002D2084">
        <w:t>.</w:t>
      </w:r>
      <w:r w:rsidR="00A551DC">
        <w:t xml:space="preserve"> </w:t>
      </w:r>
    </w:p>
  </w:footnote>
  <w:footnote w:id="43">
    <w:p w14:paraId="7C521592" w14:textId="77777777" w:rsidR="0053288D" w:rsidRDefault="0053288D" w:rsidP="0053288D">
      <w:pPr>
        <w:pStyle w:val="FootnoteText"/>
      </w:pPr>
      <w:r>
        <w:rPr>
          <w:rStyle w:val="FootnoteReference"/>
        </w:rPr>
        <w:footnoteRef/>
      </w:r>
      <w:r>
        <w:t xml:space="preserve"> </w:t>
      </w:r>
      <w:r w:rsidRPr="002C5DC0">
        <w:rPr>
          <w:lang w:val="en-US"/>
        </w:rPr>
        <w:t xml:space="preserve">Per Wallis JA in </w:t>
      </w:r>
      <w:r w:rsidRPr="002C5DC0">
        <w:rPr>
          <w:i/>
          <w:lang w:val="en-US"/>
        </w:rPr>
        <w:t xml:space="preserve">Natal Joint Municipal Pension Fund v Endumeni Municipality </w:t>
      </w:r>
      <w:r w:rsidRPr="002C5DC0">
        <w:rPr>
          <w:lang w:val="en-US"/>
        </w:rPr>
        <w:t>2012 (4) SA 593 (SCA) at para</w:t>
      </w:r>
      <w:r>
        <w:rPr>
          <w:lang w:val="en-US"/>
        </w:rPr>
        <w:t>graph</w:t>
      </w:r>
      <w:r w:rsidRPr="002C5DC0">
        <w:rPr>
          <w:lang w:val="en-US"/>
        </w:rPr>
        <w:t xml:space="preserve"> 18.</w:t>
      </w:r>
    </w:p>
  </w:footnote>
  <w:footnote w:id="44">
    <w:p w14:paraId="741280AA" w14:textId="77777777" w:rsidR="0053288D" w:rsidRDefault="0053288D" w:rsidP="0053288D">
      <w:pPr>
        <w:pStyle w:val="FootnoteText"/>
      </w:pPr>
      <w:r>
        <w:rPr>
          <w:rStyle w:val="FootnoteReference"/>
        </w:rPr>
        <w:footnoteRef/>
      </w:r>
      <w:r>
        <w:t xml:space="preserve"> Ibid.</w:t>
      </w:r>
    </w:p>
  </w:footnote>
  <w:footnote w:id="45">
    <w:p w14:paraId="6B528EDC" w14:textId="46BA1309" w:rsidR="00DC6C78" w:rsidRPr="00DC6C78" w:rsidRDefault="00DC6C78">
      <w:pPr>
        <w:pStyle w:val="FootnoteText"/>
        <w:rPr>
          <w:lang w:val="en-ZA"/>
        </w:rPr>
      </w:pPr>
      <w:r>
        <w:rPr>
          <w:rStyle w:val="FootnoteReference"/>
        </w:rPr>
        <w:footnoteRef/>
      </w:r>
      <w:r>
        <w:t xml:space="preserve"> </w:t>
      </w:r>
      <w:r w:rsidR="00DF776C">
        <w:t xml:space="preserve">Arbitration </w:t>
      </w:r>
      <w:r>
        <w:rPr>
          <w:lang w:val="en-ZA"/>
        </w:rPr>
        <w:t>Award para</w:t>
      </w:r>
      <w:r w:rsidR="002D2084">
        <w:rPr>
          <w:lang w:val="en-ZA"/>
        </w:rPr>
        <w:t>graph</w:t>
      </w:r>
      <w:r w:rsidR="00DF776C">
        <w:rPr>
          <w:lang w:val="en-ZA"/>
        </w:rPr>
        <w:t xml:space="preserve"> 9.1 to 9.9 CaseLines </w:t>
      </w:r>
      <w:r w:rsidR="00984C4D">
        <w:rPr>
          <w:lang w:val="en-ZA"/>
        </w:rPr>
        <w:t xml:space="preserve">section </w:t>
      </w:r>
      <w:r w:rsidR="00A0048A">
        <w:rPr>
          <w:lang w:val="en-ZA"/>
        </w:rPr>
        <w:t>01</w:t>
      </w:r>
      <w:r w:rsidR="00984C4D">
        <w:rPr>
          <w:lang w:val="en-ZA"/>
        </w:rPr>
        <w:t>-</w:t>
      </w:r>
      <w:r w:rsidR="00A0048A">
        <w:rPr>
          <w:lang w:val="en-ZA"/>
        </w:rPr>
        <w:t>69</w:t>
      </w:r>
      <w:r w:rsidR="00984C4D">
        <w:rPr>
          <w:lang w:val="en-ZA"/>
        </w:rPr>
        <w:t xml:space="preserve"> to 01-</w:t>
      </w:r>
      <w:r w:rsidR="00A0048A">
        <w:rPr>
          <w:lang w:val="en-ZA"/>
        </w:rPr>
        <w:t>71</w:t>
      </w:r>
      <w:r w:rsidR="00B75BFB">
        <w:rPr>
          <w:lang w:val="en-ZA"/>
        </w:rPr>
        <w:t>.</w:t>
      </w:r>
    </w:p>
  </w:footnote>
  <w:footnote w:id="46">
    <w:p w14:paraId="5C0CB39D" w14:textId="391CFE65" w:rsidR="00012D91" w:rsidRDefault="00012D91">
      <w:pPr>
        <w:pStyle w:val="FootnoteText"/>
      </w:pPr>
      <w:r>
        <w:rPr>
          <w:rStyle w:val="FootnoteReference"/>
        </w:rPr>
        <w:footnoteRef/>
      </w:r>
      <w:r>
        <w:t xml:space="preserve"> </w:t>
      </w:r>
      <w:r w:rsidR="00A04639" w:rsidRPr="0056422D">
        <w:rPr>
          <w:i/>
          <w:iCs/>
        </w:rPr>
        <w:t>Amec Group Ltd v Thames Water Utilities Ltd</w:t>
      </w:r>
      <w:r w:rsidR="00A04639">
        <w:t xml:space="preserve"> </w:t>
      </w:r>
      <w:r w:rsidR="00A04639" w:rsidRPr="00A04639">
        <w:t>[2010] EWHC 419 (TCC)</w:t>
      </w:r>
      <w:r w:rsidR="00B75BFB">
        <w:t>.</w:t>
      </w:r>
    </w:p>
  </w:footnote>
  <w:footnote w:id="47">
    <w:p w14:paraId="0D6D7540" w14:textId="6B790C05" w:rsidR="007408CA" w:rsidRPr="007408CA" w:rsidRDefault="007408CA">
      <w:pPr>
        <w:pStyle w:val="FootnoteText"/>
        <w:rPr>
          <w:lang w:val="en-ZA"/>
        </w:rPr>
      </w:pPr>
      <w:r>
        <w:rPr>
          <w:rStyle w:val="FootnoteReference"/>
        </w:rPr>
        <w:footnoteRef/>
      </w:r>
      <w:r>
        <w:t xml:space="preserve"> </w:t>
      </w:r>
      <w:r>
        <w:rPr>
          <w:lang w:val="en-ZA"/>
        </w:rPr>
        <w:t>Award para</w:t>
      </w:r>
      <w:r w:rsidR="00B75BFB">
        <w:rPr>
          <w:lang w:val="en-ZA"/>
        </w:rPr>
        <w:t>graphs</w:t>
      </w:r>
      <w:r>
        <w:rPr>
          <w:lang w:val="en-ZA"/>
        </w:rPr>
        <w:t xml:space="preserve"> 10.1-10.10</w:t>
      </w:r>
      <w:r w:rsidR="00B75BFB">
        <w:rPr>
          <w:lang w:val="en-ZA"/>
        </w:rPr>
        <w:t>.</w:t>
      </w:r>
    </w:p>
  </w:footnote>
  <w:footnote w:id="48">
    <w:p w14:paraId="5B9B7593" w14:textId="77777777" w:rsidR="00A66CA8" w:rsidRDefault="00A66CA8" w:rsidP="00A66CA8">
      <w:pPr>
        <w:pStyle w:val="FootnoteText"/>
      </w:pPr>
      <w:r>
        <w:rPr>
          <w:rStyle w:val="FootnoteReference"/>
        </w:rPr>
        <w:footnoteRef/>
      </w:r>
      <w:r>
        <w:t xml:space="preserve"> </w:t>
      </w:r>
      <w:r w:rsidRPr="000F2CD2">
        <w:rPr>
          <w:i/>
          <w:iCs/>
        </w:rPr>
        <w:t xml:space="preserve">Telcordia </w:t>
      </w:r>
      <w:r>
        <w:t>at paragraphs [73] and [85].</w:t>
      </w:r>
    </w:p>
    <w:p w14:paraId="75FA769E" w14:textId="77777777" w:rsidR="00A66CA8" w:rsidRDefault="00A66CA8" w:rsidP="00A66CA8">
      <w:pPr>
        <w:pStyle w:val="FootnoteText"/>
      </w:pPr>
    </w:p>
  </w:footnote>
  <w:footnote w:id="49">
    <w:p w14:paraId="00567845" w14:textId="3CC6A325" w:rsidR="00736820" w:rsidRDefault="00736820" w:rsidP="00736820">
      <w:pPr>
        <w:pStyle w:val="FootnoteText"/>
      </w:pPr>
      <w:r>
        <w:rPr>
          <w:rStyle w:val="FootnoteReference"/>
        </w:rPr>
        <w:footnoteRef/>
      </w:r>
      <w:r>
        <w:t xml:space="preserve"> Transnet Heads of Argument para</w:t>
      </w:r>
      <w:r w:rsidR="00B75BFB">
        <w:t>graph</w:t>
      </w:r>
      <w:r>
        <w:t xml:space="preserve"> 54- 55</w:t>
      </w:r>
      <w:r w:rsidR="00B75BFB">
        <w:t>.</w:t>
      </w:r>
    </w:p>
  </w:footnote>
  <w:footnote w:id="50">
    <w:p w14:paraId="71068F30" w14:textId="1C5FC50B" w:rsidR="002C5DC0" w:rsidRPr="002C5DC0" w:rsidRDefault="002C5DC0" w:rsidP="002C5DC0">
      <w:pPr>
        <w:pStyle w:val="FootnoteText"/>
        <w:rPr>
          <w:lang w:val="en-US"/>
        </w:rPr>
      </w:pPr>
      <w:r>
        <w:rPr>
          <w:rStyle w:val="FootnoteReference"/>
        </w:rPr>
        <w:footnoteRef/>
      </w:r>
      <w:r>
        <w:t xml:space="preserve"> </w:t>
      </w:r>
      <w:r w:rsidRPr="002C5DC0">
        <w:rPr>
          <w:lang w:val="en-US"/>
        </w:rPr>
        <w:t xml:space="preserve">See also </w:t>
      </w:r>
      <w:r w:rsidRPr="002C5DC0">
        <w:rPr>
          <w:i/>
          <w:lang w:val="en-US"/>
        </w:rPr>
        <w:t xml:space="preserve">Novartis South Africa (Pty) Ltd v Maphil Trading (Pty) Ltd </w:t>
      </w:r>
      <w:r w:rsidRPr="002C5DC0">
        <w:rPr>
          <w:lang w:val="en-US"/>
        </w:rPr>
        <w:t xml:space="preserve">2016 (1) SA 518 (SCA) at paras 30 and 31; </w:t>
      </w:r>
      <w:r w:rsidRPr="002C5DC0">
        <w:rPr>
          <w:i/>
          <w:lang w:val="en-US"/>
        </w:rPr>
        <w:t xml:space="preserve">Airports Company South Africa SOC Ltd v Airports Bookshops (Pty) Ltd t/a Exclusive Books </w:t>
      </w:r>
      <w:r w:rsidRPr="002C5DC0">
        <w:rPr>
          <w:lang w:val="en-US"/>
        </w:rPr>
        <w:t xml:space="preserve">[2016] 4 All SA 665 (SCA) at para 21; </w:t>
      </w:r>
      <w:r w:rsidRPr="002C5DC0">
        <w:rPr>
          <w:i/>
          <w:lang w:val="en-US"/>
        </w:rPr>
        <w:t xml:space="preserve">Ekurhuleni Metropolitan Municipality v Germiston Municipal Retirement Fund </w:t>
      </w:r>
      <w:r w:rsidRPr="002C5DC0">
        <w:rPr>
          <w:lang w:val="en-US"/>
        </w:rPr>
        <w:t>2010 (2) SA 498 (SCA) at para</w:t>
      </w:r>
      <w:r w:rsidR="00B75BFB">
        <w:rPr>
          <w:lang w:val="en-US"/>
        </w:rPr>
        <w:t>graph</w:t>
      </w:r>
      <w:r w:rsidRPr="002C5DC0">
        <w:rPr>
          <w:lang w:val="en-US"/>
        </w:rPr>
        <w:t xml:space="preserve"> 13.</w:t>
      </w:r>
    </w:p>
    <w:p w14:paraId="6D93ACA6" w14:textId="23B021A5" w:rsidR="002C5DC0" w:rsidRDefault="002C5DC0">
      <w:pPr>
        <w:pStyle w:val="FootnoteText"/>
      </w:pPr>
    </w:p>
  </w:footnote>
  <w:footnote w:id="51">
    <w:p w14:paraId="20A63C62" w14:textId="1DCF0E29" w:rsidR="00375E6C" w:rsidRDefault="00375E6C">
      <w:pPr>
        <w:pStyle w:val="FootnoteText"/>
      </w:pPr>
      <w:r>
        <w:rPr>
          <w:rStyle w:val="FootnoteReference"/>
        </w:rPr>
        <w:footnoteRef/>
      </w:r>
      <w:r>
        <w:t xml:space="preserve"> Award para</w:t>
      </w:r>
      <w:r w:rsidR="00B75BFB">
        <w:t>graphs</w:t>
      </w:r>
      <w:r>
        <w:t xml:space="preserve"> </w:t>
      </w:r>
      <w:r w:rsidR="00E9166A">
        <w:t>18-21</w:t>
      </w:r>
      <w:r w:rsidR="00B75BFB">
        <w:t>.</w:t>
      </w:r>
    </w:p>
  </w:footnote>
  <w:footnote w:id="52">
    <w:p w14:paraId="66948449" w14:textId="2B5EF591" w:rsidR="006B51C7" w:rsidRDefault="006B51C7">
      <w:pPr>
        <w:pStyle w:val="FootnoteText"/>
      </w:pPr>
      <w:r>
        <w:rPr>
          <w:rStyle w:val="FootnoteReference"/>
        </w:rPr>
        <w:footnoteRef/>
      </w:r>
      <w:r>
        <w:t xml:space="preserve"> Award para</w:t>
      </w:r>
      <w:r w:rsidR="00B75BFB">
        <w:t>graphs</w:t>
      </w:r>
      <w:r>
        <w:t xml:space="preserve"> 2</w:t>
      </w:r>
      <w:r w:rsidR="00636818">
        <w:t>1-28</w:t>
      </w:r>
      <w:r w:rsidR="00B75BFB">
        <w:t>.</w:t>
      </w:r>
    </w:p>
  </w:footnote>
  <w:footnote w:id="53">
    <w:p w14:paraId="6CA46940" w14:textId="7E7357F9" w:rsidR="003329F5" w:rsidRDefault="003329F5">
      <w:pPr>
        <w:pStyle w:val="FootnoteText"/>
      </w:pPr>
      <w:r>
        <w:rPr>
          <w:rStyle w:val="FootnoteReference"/>
        </w:rPr>
        <w:footnoteRef/>
      </w:r>
      <w:r>
        <w:t xml:space="preserve"> </w:t>
      </w:r>
      <w:r w:rsidRPr="00140A6C">
        <w:t>Para</w:t>
      </w:r>
      <w:r w:rsidR="00B75BFB" w:rsidRPr="00140A6C">
        <w:t>graph</w:t>
      </w:r>
      <w:r w:rsidRPr="00140A6C">
        <w:t xml:space="preserve"> 29</w:t>
      </w:r>
      <w:r w:rsidR="00B75BFB" w:rsidRPr="00140A6C">
        <w:t>.</w:t>
      </w:r>
    </w:p>
  </w:footnote>
  <w:footnote w:id="54">
    <w:p w14:paraId="2437E76E" w14:textId="07A28DF9" w:rsidR="00760F78" w:rsidRPr="00760F78" w:rsidRDefault="00760F78">
      <w:pPr>
        <w:pStyle w:val="FootnoteText"/>
        <w:rPr>
          <w:lang w:val="en-ZA"/>
        </w:rPr>
      </w:pPr>
      <w:r>
        <w:rPr>
          <w:rStyle w:val="FootnoteReference"/>
        </w:rPr>
        <w:footnoteRef/>
      </w:r>
      <w:r>
        <w:t xml:space="preserve"> </w:t>
      </w:r>
      <w:r>
        <w:rPr>
          <w:lang w:val="en-ZA"/>
        </w:rPr>
        <w:t xml:space="preserve">ST1 </w:t>
      </w:r>
      <w:r w:rsidR="00D95FD8">
        <w:rPr>
          <w:lang w:val="en-ZA"/>
        </w:rPr>
        <w:t>para</w:t>
      </w:r>
      <w:r w:rsidR="00B75BFB">
        <w:rPr>
          <w:lang w:val="en-ZA"/>
        </w:rPr>
        <w:t>graphs</w:t>
      </w:r>
      <w:r w:rsidR="00D95FD8">
        <w:rPr>
          <w:lang w:val="en-ZA"/>
        </w:rPr>
        <w:t xml:space="preserve"> 44-</w:t>
      </w:r>
      <w:r w:rsidR="00120A42">
        <w:rPr>
          <w:lang w:val="en-ZA"/>
        </w:rPr>
        <w:t>49</w:t>
      </w:r>
      <w:r w:rsidR="00B75BFB">
        <w:rPr>
          <w:lang w:val="en-ZA"/>
        </w:rPr>
        <w:t>.</w:t>
      </w:r>
    </w:p>
  </w:footnote>
  <w:footnote w:id="55">
    <w:p w14:paraId="095D2ED6" w14:textId="4EFA9D94" w:rsidR="00DC2F4C" w:rsidRPr="00DC2F4C" w:rsidRDefault="00DC2F4C">
      <w:pPr>
        <w:pStyle w:val="FootnoteText"/>
        <w:rPr>
          <w:lang w:val="en-ZA"/>
        </w:rPr>
      </w:pPr>
      <w:r>
        <w:rPr>
          <w:rStyle w:val="FootnoteReference"/>
        </w:rPr>
        <w:footnoteRef/>
      </w:r>
      <w:r>
        <w:t xml:space="preserve"> </w:t>
      </w:r>
      <w:r>
        <w:rPr>
          <w:lang w:val="en-ZA"/>
        </w:rPr>
        <w:t>ST1 para</w:t>
      </w:r>
      <w:r w:rsidR="00B75BFB">
        <w:rPr>
          <w:lang w:val="en-ZA"/>
        </w:rPr>
        <w:t>graph</w:t>
      </w:r>
      <w:r>
        <w:rPr>
          <w:lang w:val="en-ZA"/>
        </w:rPr>
        <w:t xml:space="preserve"> 50 </w:t>
      </w:r>
      <w:r w:rsidR="00984C4D">
        <w:rPr>
          <w:lang w:val="en-ZA"/>
        </w:rPr>
        <w:t xml:space="preserve">as </w:t>
      </w:r>
      <w:r w:rsidR="00B75BFB">
        <w:rPr>
          <w:lang w:val="en-ZA"/>
        </w:rPr>
        <w:t xml:space="preserve">at </w:t>
      </w:r>
      <w:r w:rsidR="00120A42">
        <w:rPr>
          <w:lang w:val="en-ZA"/>
        </w:rPr>
        <w:t>C</w:t>
      </w:r>
      <w:r w:rsidR="00984C4D">
        <w:rPr>
          <w:lang w:val="en-ZA"/>
        </w:rPr>
        <w:t>ase</w:t>
      </w:r>
      <w:r w:rsidR="00120A42">
        <w:rPr>
          <w:lang w:val="en-ZA"/>
        </w:rPr>
        <w:t>L</w:t>
      </w:r>
      <w:r w:rsidR="00984C4D">
        <w:rPr>
          <w:lang w:val="en-ZA"/>
        </w:rPr>
        <w:t>ines section</w:t>
      </w:r>
      <w:r w:rsidR="00120A42">
        <w:rPr>
          <w:lang w:val="en-ZA"/>
        </w:rPr>
        <w:t xml:space="preserve"> </w:t>
      </w:r>
      <w:r w:rsidR="00984C4D">
        <w:rPr>
          <w:lang w:val="en-ZA"/>
        </w:rPr>
        <w:t>01-</w:t>
      </w:r>
      <w:r w:rsidR="00120A42">
        <w:rPr>
          <w:lang w:val="en-ZA"/>
        </w:rPr>
        <w:t>531</w:t>
      </w:r>
      <w:r w:rsidR="00B75BFB">
        <w:rPr>
          <w:lang w:val="en-ZA"/>
        </w:rPr>
        <w:t>.</w:t>
      </w:r>
    </w:p>
  </w:footnote>
  <w:footnote w:id="56">
    <w:p w14:paraId="742D5FF7" w14:textId="1A70C68E" w:rsidR="00B5154D" w:rsidRPr="00B5154D" w:rsidRDefault="00B5154D">
      <w:pPr>
        <w:pStyle w:val="FootnoteText"/>
        <w:rPr>
          <w:lang w:val="en-ZA"/>
        </w:rPr>
      </w:pPr>
      <w:r>
        <w:rPr>
          <w:rStyle w:val="FootnoteReference"/>
        </w:rPr>
        <w:footnoteRef/>
      </w:r>
      <w:r>
        <w:t xml:space="preserve"> </w:t>
      </w:r>
      <w:r>
        <w:rPr>
          <w:lang w:val="en-ZA"/>
        </w:rPr>
        <w:t>Van der Kwast witness statement para</w:t>
      </w:r>
      <w:r w:rsidR="00B75BFB">
        <w:rPr>
          <w:lang w:val="en-ZA"/>
        </w:rPr>
        <w:t>graph</w:t>
      </w:r>
      <w:r>
        <w:rPr>
          <w:lang w:val="en-ZA"/>
        </w:rPr>
        <w:t xml:space="preserve">s </w:t>
      </w:r>
      <w:r w:rsidR="00A2726A">
        <w:rPr>
          <w:lang w:val="en-ZA"/>
        </w:rPr>
        <w:t>49–54.</w:t>
      </w:r>
    </w:p>
  </w:footnote>
  <w:footnote w:id="57">
    <w:p w14:paraId="17939341" w14:textId="4034F58F" w:rsidR="005A4ACB" w:rsidRPr="00EF70E0" w:rsidRDefault="00EF70E0" w:rsidP="006D44C8">
      <w:pPr>
        <w:pStyle w:val="FootnoteText"/>
        <w:rPr>
          <w:lang w:val="en-ZA"/>
        </w:rPr>
      </w:pPr>
      <w:r>
        <w:rPr>
          <w:rStyle w:val="FootnoteReference"/>
        </w:rPr>
        <w:footnoteRef/>
      </w:r>
      <w:r>
        <w:t xml:space="preserve"> </w:t>
      </w:r>
      <w:r>
        <w:rPr>
          <w:lang w:val="en-ZA"/>
        </w:rPr>
        <w:t>Radebe witness statement para</w:t>
      </w:r>
      <w:r w:rsidR="00B75BFB">
        <w:rPr>
          <w:lang w:val="en-ZA"/>
        </w:rPr>
        <w:t>graphs</w:t>
      </w:r>
      <w:r>
        <w:rPr>
          <w:lang w:val="en-ZA"/>
        </w:rPr>
        <w:t xml:space="preserve"> </w:t>
      </w:r>
      <w:r w:rsidR="00E52560">
        <w:rPr>
          <w:lang w:val="en-ZA"/>
        </w:rPr>
        <w:t xml:space="preserve">36-42 </w:t>
      </w:r>
      <w:r w:rsidR="0008025D">
        <w:rPr>
          <w:lang w:val="en-ZA"/>
        </w:rPr>
        <w:t xml:space="preserve">as at </w:t>
      </w:r>
      <w:r w:rsidR="00E52560">
        <w:rPr>
          <w:lang w:val="en-ZA"/>
        </w:rPr>
        <w:t>C</w:t>
      </w:r>
      <w:r w:rsidR="0008025D">
        <w:rPr>
          <w:lang w:val="en-ZA"/>
        </w:rPr>
        <w:t>ase</w:t>
      </w:r>
      <w:r w:rsidR="00E52560">
        <w:rPr>
          <w:lang w:val="en-ZA"/>
        </w:rPr>
        <w:t>L</w:t>
      </w:r>
      <w:r w:rsidR="0008025D">
        <w:rPr>
          <w:lang w:val="en-ZA"/>
        </w:rPr>
        <w:t>ines sections</w:t>
      </w:r>
      <w:r w:rsidR="00E52560">
        <w:rPr>
          <w:lang w:val="en-ZA"/>
        </w:rPr>
        <w:t xml:space="preserve"> </w:t>
      </w:r>
      <w:r w:rsidR="0008025D">
        <w:rPr>
          <w:lang w:val="en-ZA"/>
        </w:rPr>
        <w:t>01-</w:t>
      </w:r>
      <w:r w:rsidR="005A4ACB">
        <w:rPr>
          <w:lang w:val="en-ZA"/>
        </w:rPr>
        <w:t>389</w:t>
      </w:r>
      <w:r w:rsidR="0008025D">
        <w:rPr>
          <w:lang w:val="en-ZA"/>
        </w:rPr>
        <w:t xml:space="preserve"> to 01-</w:t>
      </w:r>
      <w:r w:rsidR="005A4ACB">
        <w:rPr>
          <w:lang w:val="en-ZA"/>
        </w:rPr>
        <w:t>390</w:t>
      </w:r>
      <w:r w:rsidR="00B75BFB">
        <w:rPr>
          <w:lang w:val="en-ZA"/>
        </w:rPr>
        <w:t>.</w:t>
      </w:r>
    </w:p>
  </w:footnote>
  <w:footnote w:id="58">
    <w:p w14:paraId="56B1C055" w14:textId="4ABD348F" w:rsidR="005A4ACB" w:rsidRPr="005A4ACB" w:rsidRDefault="005A4ACB">
      <w:pPr>
        <w:pStyle w:val="FootnoteText"/>
        <w:rPr>
          <w:lang w:val="en-ZA"/>
        </w:rPr>
      </w:pPr>
      <w:r>
        <w:rPr>
          <w:rStyle w:val="FootnoteReference"/>
        </w:rPr>
        <w:footnoteRef/>
      </w:r>
      <w:r>
        <w:t xml:space="preserve"> </w:t>
      </w:r>
      <w:r>
        <w:rPr>
          <w:lang w:val="en-ZA"/>
        </w:rPr>
        <w:t>Van der Kwast witness statement para</w:t>
      </w:r>
      <w:r w:rsidR="00B75BFB">
        <w:rPr>
          <w:lang w:val="en-ZA"/>
        </w:rPr>
        <w:t>graph</w:t>
      </w:r>
      <w:r>
        <w:rPr>
          <w:lang w:val="en-ZA"/>
        </w:rPr>
        <w:t xml:space="preserve">s </w:t>
      </w:r>
      <w:r w:rsidR="006D44C8">
        <w:rPr>
          <w:lang w:val="en-ZA"/>
        </w:rPr>
        <w:t>59-61</w:t>
      </w:r>
      <w:r w:rsidR="0008025D">
        <w:rPr>
          <w:lang w:val="en-ZA"/>
        </w:rPr>
        <w:t xml:space="preserve"> as at</w:t>
      </w:r>
      <w:r w:rsidR="00C8445D">
        <w:rPr>
          <w:lang w:val="en-ZA"/>
        </w:rPr>
        <w:t xml:space="preserve"> C</w:t>
      </w:r>
      <w:r w:rsidR="0008025D">
        <w:rPr>
          <w:lang w:val="en-ZA"/>
        </w:rPr>
        <w:t>ase</w:t>
      </w:r>
      <w:r w:rsidR="00C8445D">
        <w:rPr>
          <w:lang w:val="en-ZA"/>
        </w:rPr>
        <w:t>L</w:t>
      </w:r>
      <w:r w:rsidR="0008025D">
        <w:rPr>
          <w:lang w:val="en-ZA"/>
        </w:rPr>
        <w:t>ines sections</w:t>
      </w:r>
      <w:r w:rsidR="00C8445D">
        <w:rPr>
          <w:lang w:val="en-ZA"/>
        </w:rPr>
        <w:t xml:space="preserve"> </w:t>
      </w:r>
      <w:r w:rsidR="0008025D">
        <w:rPr>
          <w:lang w:val="en-ZA"/>
        </w:rPr>
        <w:t>01-</w:t>
      </w:r>
      <w:r w:rsidR="00C8445D">
        <w:rPr>
          <w:lang w:val="en-ZA"/>
        </w:rPr>
        <w:t>369</w:t>
      </w:r>
      <w:r w:rsidR="0008025D">
        <w:rPr>
          <w:lang w:val="en-ZA"/>
        </w:rPr>
        <w:t xml:space="preserve"> to 01-</w:t>
      </w:r>
      <w:r w:rsidR="00C8445D">
        <w:rPr>
          <w:lang w:val="en-ZA"/>
        </w:rPr>
        <w:t>370</w:t>
      </w:r>
      <w:r w:rsidR="00B75BFB">
        <w:rPr>
          <w:lang w:val="en-ZA"/>
        </w:rPr>
        <w:t>.</w:t>
      </w:r>
    </w:p>
  </w:footnote>
  <w:footnote w:id="59">
    <w:p w14:paraId="636CDCBB" w14:textId="77777777" w:rsidR="00586C76" w:rsidRPr="004E6638" w:rsidRDefault="00586C76" w:rsidP="00586C76">
      <w:pPr>
        <w:pStyle w:val="FootnoteText"/>
        <w:rPr>
          <w:lang w:val="en-ZA"/>
        </w:rPr>
      </w:pPr>
      <w:r>
        <w:rPr>
          <w:rStyle w:val="FootnoteReference"/>
        </w:rPr>
        <w:footnoteRef/>
      </w:r>
      <w:r>
        <w:t xml:space="preserve"> Spill Tech </w:t>
      </w:r>
      <w:r>
        <w:rPr>
          <w:lang w:val="en-ZA"/>
        </w:rPr>
        <w:t>Statement of Claim (SOC) para 4.1 CL 257.  See also Answering Affidavit paragraph 55 as at CaseLines section 01- 466.</w:t>
      </w:r>
    </w:p>
  </w:footnote>
  <w:footnote w:id="60">
    <w:p w14:paraId="625CE95E" w14:textId="77777777" w:rsidR="00586C76" w:rsidRPr="005B00BE" w:rsidRDefault="00586C76" w:rsidP="00586C76">
      <w:pPr>
        <w:pStyle w:val="FootnoteText"/>
        <w:rPr>
          <w:lang w:val="en-ZA"/>
        </w:rPr>
      </w:pPr>
      <w:r>
        <w:rPr>
          <w:rStyle w:val="FootnoteReference"/>
        </w:rPr>
        <w:footnoteRef/>
      </w:r>
      <w:r>
        <w:t xml:space="preserve"> </w:t>
      </w:r>
      <w:r>
        <w:rPr>
          <w:lang w:val="en-ZA"/>
        </w:rPr>
        <w:t>ST1 Transnet Pipelines Written Submissions on Separated Issues paragraph 49.</w:t>
      </w:r>
    </w:p>
  </w:footnote>
  <w:footnote w:id="61">
    <w:p w14:paraId="7FCE191F" w14:textId="77777777" w:rsidR="00663C34" w:rsidRPr="00892F5E" w:rsidRDefault="00663C34" w:rsidP="00663C34">
      <w:pPr>
        <w:pStyle w:val="FootnoteText"/>
        <w:rPr>
          <w:lang w:val="en-ZA"/>
        </w:rPr>
      </w:pPr>
      <w:r>
        <w:rPr>
          <w:rStyle w:val="FootnoteReference"/>
        </w:rPr>
        <w:footnoteRef/>
      </w:r>
      <w:r>
        <w:t xml:space="preserve"> </w:t>
      </w:r>
      <w:r>
        <w:rPr>
          <w:lang w:val="en-ZA"/>
        </w:rPr>
        <w:t>SOC paragraphs 58-63 as at CaseLines section 01-271.</w:t>
      </w:r>
    </w:p>
  </w:footnote>
  <w:footnote w:id="62">
    <w:p w14:paraId="20A6B2F9" w14:textId="77777777" w:rsidR="00663C34" w:rsidRPr="00143EE3" w:rsidRDefault="00663C34" w:rsidP="00663C34">
      <w:pPr>
        <w:pStyle w:val="FootnoteText"/>
        <w:rPr>
          <w:lang w:val="en-ZA"/>
        </w:rPr>
      </w:pPr>
      <w:r>
        <w:rPr>
          <w:rStyle w:val="FootnoteReference"/>
        </w:rPr>
        <w:footnoteRef/>
      </w:r>
      <w:r>
        <w:t xml:space="preserve"> </w:t>
      </w:r>
      <w:r>
        <w:rPr>
          <w:lang w:val="en-ZA"/>
        </w:rPr>
        <w:t>ST1 paragraphs 79-83 as at CaseLines section 01-542 -543.</w:t>
      </w:r>
    </w:p>
  </w:footnote>
  <w:footnote w:id="63">
    <w:p w14:paraId="362CC5E9" w14:textId="77777777" w:rsidR="00663C34" w:rsidRDefault="00663C34" w:rsidP="00663C34">
      <w:pPr>
        <w:pStyle w:val="FootnoteText"/>
      </w:pPr>
      <w:r>
        <w:rPr>
          <w:rStyle w:val="FootnoteReference"/>
        </w:rPr>
        <w:footnoteRef/>
      </w:r>
      <w:r>
        <w:t xml:space="preserve"> Annexure FA25 as at CaseLines section 01-318.</w:t>
      </w:r>
    </w:p>
  </w:footnote>
  <w:footnote w:id="64">
    <w:p w14:paraId="6EB1521C" w14:textId="77777777" w:rsidR="00663C34" w:rsidRDefault="00663C34" w:rsidP="00663C34">
      <w:pPr>
        <w:pStyle w:val="FootnoteText"/>
      </w:pPr>
      <w:r>
        <w:rPr>
          <w:rStyle w:val="FootnoteReference"/>
        </w:rPr>
        <w:footnoteRef/>
      </w:r>
      <w:r>
        <w:t xml:space="preserve"> Paragraphs 33-37 as at CaseLines section 01-656.</w:t>
      </w:r>
    </w:p>
  </w:footnote>
  <w:footnote w:id="65">
    <w:p w14:paraId="7C509A3A" w14:textId="77777777" w:rsidR="00663C34" w:rsidRDefault="00663C34" w:rsidP="00663C34">
      <w:pPr>
        <w:pStyle w:val="FootnoteText"/>
      </w:pPr>
      <w:r>
        <w:rPr>
          <w:rStyle w:val="FootnoteReference"/>
        </w:rPr>
        <w:footnoteRef/>
      </w:r>
      <w:r>
        <w:t xml:space="preserve"> Paragraph 33 as at CaseLines section 01-86.</w:t>
      </w:r>
    </w:p>
  </w:footnote>
  <w:footnote w:id="66">
    <w:p w14:paraId="3B398DC5" w14:textId="77777777" w:rsidR="00663C34" w:rsidRPr="002C2F78" w:rsidRDefault="00663C34" w:rsidP="00663C34">
      <w:pPr>
        <w:pStyle w:val="FootnoteText"/>
        <w:rPr>
          <w:lang w:val="en-ZA"/>
        </w:rPr>
      </w:pPr>
      <w:r>
        <w:rPr>
          <w:rStyle w:val="FootnoteReference"/>
        </w:rPr>
        <w:footnoteRef/>
      </w:r>
      <w:r>
        <w:t xml:space="preserve"> </w:t>
      </w:r>
      <w:r>
        <w:rPr>
          <w:lang w:val="en-ZA"/>
        </w:rPr>
        <w:t>Paragraph 87 CaseLines as at CaseLines section 01-474.</w:t>
      </w:r>
    </w:p>
  </w:footnote>
  <w:footnote w:id="67">
    <w:p w14:paraId="2A008B38" w14:textId="77777777" w:rsidR="00663C34" w:rsidRPr="002F1918" w:rsidRDefault="00663C34" w:rsidP="00663C34">
      <w:pPr>
        <w:pStyle w:val="FootnoteText"/>
        <w:rPr>
          <w:lang w:val="en-ZA"/>
        </w:rPr>
      </w:pPr>
      <w:r>
        <w:rPr>
          <w:rStyle w:val="FootnoteReference"/>
        </w:rPr>
        <w:footnoteRef/>
      </w:r>
      <w:r>
        <w:t xml:space="preserve"> </w:t>
      </w:r>
      <w:r>
        <w:rPr>
          <w:lang w:val="en-ZA"/>
        </w:rPr>
        <w:t>Needless to say this was not made available at the hearing</w:t>
      </w:r>
    </w:p>
  </w:footnote>
  <w:footnote w:id="68">
    <w:p w14:paraId="71E9B636" w14:textId="77777777" w:rsidR="00663C34" w:rsidRPr="00963255" w:rsidRDefault="00663C34" w:rsidP="00663C34">
      <w:pPr>
        <w:pStyle w:val="FootnoteText"/>
        <w:rPr>
          <w:lang w:val="en-ZA"/>
        </w:rPr>
      </w:pPr>
      <w:r>
        <w:rPr>
          <w:rStyle w:val="FootnoteReference"/>
        </w:rPr>
        <w:footnoteRef/>
      </w:r>
      <w:r>
        <w:t xml:space="preserve"> </w:t>
      </w:r>
      <w:r w:rsidRPr="00E80E04">
        <w:rPr>
          <w:lang w:val="en-ZA"/>
        </w:rPr>
        <w:t>Heads paragraph 39</w:t>
      </w:r>
      <w:r>
        <w:rPr>
          <w:lang w:val="en-ZA"/>
        </w:rPr>
        <w:t>.</w:t>
      </w:r>
    </w:p>
  </w:footnote>
  <w:footnote w:id="69">
    <w:p w14:paraId="2E0031C6" w14:textId="77777777" w:rsidR="00663C34" w:rsidRPr="003A15C0" w:rsidRDefault="00663C34" w:rsidP="00663C34">
      <w:pPr>
        <w:pStyle w:val="FootnoteText"/>
        <w:rPr>
          <w:lang w:val="en-ZA"/>
        </w:rPr>
      </w:pPr>
      <w:r w:rsidRPr="007E2B89">
        <w:rPr>
          <w:rStyle w:val="FootnoteReference"/>
        </w:rPr>
        <w:footnoteRef/>
      </w:r>
      <w:r w:rsidRPr="007E2B89">
        <w:t xml:space="preserve"> As at paragraph 70</w:t>
      </w:r>
      <w:r>
        <w:t xml:space="preserve"> as at</w:t>
      </w:r>
      <w:r w:rsidRPr="007E2B89">
        <w:t xml:space="preserve"> </w:t>
      </w:r>
      <w:r w:rsidRPr="007E2B89">
        <w:rPr>
          <w:lang w:val="en-ZA"/>
        </w:rPr>
        <w:t xml:space="preserve">CaseLines section </w:t>
      </w:r>
      <w:r>
        <w:rPr>
          <w:lang w:val="en-ZA"/>
        </w:rPr>
        <w:t>01-</w:t>
      </w:r>
      <w:r w:rsidRPr="007E2B89">
        <w:rPr>
          <w:lang w:val="en-ZA"/>
        </w:rPr>
        <w:t>26.</w:t>
      </w:r>
    </w:p>
  </w:footnote>
  <w:footnote w:id="70">
    <w:p w14:paraId="58825205" w14:textId="77777777" w:rsidR="00663C34" w:rsidRPr="00F71BA8" w:rsidRDefault="00663C34" w:rsidP="00663C34">
      <w:pPr>
        <w:pStyle w:val="FootnoteText"/>
        <w:rPr>
          <w:lang w:val="en-ZA"/>
        </w:rPr>
      </w:pPr>
      <w:r>
        <w:rPr>
          <w:rStyle w:val="FootnoteReference"/>
        </w:rPr>
        <w:footnoteRef/>
      </w:r>
      <w:r>
        <w:t xml:space="preserve"> </w:t>
      </w:r>
      <w:r>
        <w:rPr>
          <w:lang w:val="en-ZA"/>
        </w:rPr>
        <w:t>CaseLines section 01-469.</w:t>
      </w:r>
    </w:p>
  </w:footnote>
  <w:footnote w:id="71">
    <w:p w14:paraId="1A916289" w14:textId="77777777" w:rsidR="00663C34" w:rsidRPr="000D487A" w:rsidRDefault="00663C34" w:rsidP="00663C34">
      <w:pPr>
        <w:pStyle w:val="FootnoteText"/>
        <w:rPr>
          <w:lang w:val="en-ZA"/>
        </w:rPr>
      </w:pPr>
      <w:r>
        <w:rPr>
          <w:rStyle w:val="FootnoteReference"/>
        </w:rPr>
        <w:footnoteRef/>
      </w:r>
      <w:r>
        <w:t xml:space="preserve"> </w:t>
      </w:r>
      <w:r>
        <w:rPr>
          <w:lang w:val="en-ZA"/>
        </w:rPr>
        <w:t xml:space="preserve">PAA Ramsden, </w:t>
      </w:r>
      <w:r w:rsidRPr="00D34220">
        <w:rPr>
          <w:i/>
          <w:iCs/>
          <w:lang w:val="en-ZA"/>
        </w:rPr>
        <w:t>The Law of Arbitration</w:t>
      </w:r>
      <w:r>
        <w:rPr>
          <w:lang w:val="en-ZA"/>
        </w:rPr>
        <w:t>, Juta 2</w:t>
      </w:r>
      <w:r w:rsidRPr="00A032EE">
        <w:rPr>
          <w:vertAlign w:val="superscript"/>
          <w:lang w:val="en-ZA"/>
        </w:rPr>
        <w:t>nd</w:t>
      </w:r>
      <w:r>
        <w:rPr>
          <w:lang w:val="en-ZA"/>
        </w:rPr>
        <w:t xml:space="preserve"> Edition page 170</w:t>
      </w:r>
    </w:p>
  </w:footnote>
  <w:footnote w:id="72">
    <w:p w14:paraId="53C4D70E" w14:textId="77777777" w:rsidR="00F651FA" w:rsidRDefault="00F651FA" w:rsidP="00F651FA">
      <w:pPr>
        <w:pStyle w:val="FootnoteText"/>
      </w:pPr>
      <w:r>
        <w:rPr>
          <w:rStyle w:val="FootnoteReference"/>
        </w:rPr>
        <w:footnoteRef/>
      </w:r>
      <w:r>
        <w:t xml:space="preserve"> Award paragraph 37-42.</w:t>
      </w:r>
    </w:p>
  </w:footnote>
  <w:footnote w:id="73">
    <w:p w14:paraId="417B259A" w14:textId="77777777" w:rsidR="00F651FA" w:rsidRDefault="00F651FA" w:rsidP="00F651FA">
      <w:pPr>
        <w:pStyle w:val="FootnoteText"/>
      </w:pPr>
      <w:r>
        <w:rPr>
          <w:rStyle w:val="FootnoteReference"/>
        </w:rPr>
        <w:footnoteRef/>
      </w:r>
      <w:r>
        <w:t xml:space="preserve"> </w:t>
      </w:r>
      <w:r w:rsidRPr="006B3EEF">
        <w:rPr>
          <w:i/>
          <w:iCs/>
        </w:rPr>
        <w:t>Holmdene Brickworks P Ltd v Roberts Construction Co Ltd</w:t>
      </w:r>
      <w:r w:rsidRPr="006B3EEF">
        <w:t xml:space="preserve"> 1977 (3) SA 670 (A) at 687C-H</w:t>
      </w:r>
      <w:r>
        <w:t>.</w:t>
      </w:r>
    </w:p>
  </w:footnote>
  <w:footnote w:id="74">
    <w:p w14:paraId="2524C6C8" w14:textId="77777777" w:rsidR="00F651FA" w:rsidRDefault="00F651FA" w:rsidP="00F651FA">
      <w:pPr>
        <w:pStyle w:val="FootnoteText"/>
      </w:pPr>
      <w:r>
        <w:rPr>
          <w:rStyle w:val="FootnoteReference"/>
        </w:rPr>
        <w:footnoteRef/>
      </w:r>
      <w:r>
        <w:t xml:space="preserve"> See </w:t>
      </w:r>
      <w:r w:rsidRPr="004840D5">
        <w:rPr>
          <w:i/>
          <w:iCs/>
        </w:rPr>
        <w:t>J</w:t>
      </w:r>
      <w:r w:rsidRPr="004840D5">
        <w:rPr>
          <w:i/>
          <w:iCs/>
          <w:lang w:val="en-ZA"/>
        </w:rPr>
        <w:t>MH-Doctors SPV (RF) (Pty) Ltd v 3 Health Holdco Mauritius Ltd and Others</w:t>
      </w:r>
      <w:r w:rsidRPr="004840D5">
        <w:rPr>
          <w:lang w:val="en-ZA"/>
        </w:rPr>
        <w:t xml:space="preserve"> (32492/2021) [2022] ZAGPJHC 266 (26 April 2022)</w:t>
      </w:r>
      <w:r>
        <w:rPr>
          <w:lang w:val="en-ZA"/>
        </w:rPr>
        <w:t xml:space="preserve"> paragraph 44.</w:t>
      </w:r>
    </w:p>
  </w:footnote>
  <w:footnote w:id="75">
    <w:p w14:paraId="0EEAA2C1" w14:textId="77777777" w:rsidR="00F651FA" w:rsidRPr="002C2F78" w:rsidRDefault="00F651FA" w:rsidP="00F651FA">
      <w:pPr>
        <w:pStyle w:val="FootnoteText"/>
        <w:rPr>
          <w:lang w:val="en-ZA"/>
        </w:rPr>
      </w:pPr>
      <w:r>
        <w:rPr>
          <w:rStyle w:val="FootnoteReference"/>
        </w:rPr>
        <w:footnoteRef/>
      </w:r>
      <w:r>
        <w:t xml:space="preserve"> </w:t>
      </w:r>
      <w:hyperlink r:id="rId3" w:tooltip="View LawCiteRecord" w:history="1">
        <w:r w:rsidRPr="002C2F78">
          <w:rPr>
            <w:rStyle w:val="Hyperlink"/>
            <w:color w:val="000000" w:themeColor="text1"/>
            <w:u w:val="none"/>
          </w:rPr>
          <w:t>2009 (4) SA 529</w:t>
        </w:r>
      </w:hyperlink>
      <w:r w:rsidRPr="00E05AD6">
        <w:t> (CC)</w:t>
      </w:r>
      <w:r>
        <w:t>.</w:t>
      </w:r>
    </w:p>
  </w:footnote>
  <w:footnote w:id="76">
    <w:p w14:paraId="6156ABF0" w14:textId="77777777" w:rsidR="00663C34" w:rsidRDefault="00663C34" w:rsidP="00663C34">
      <w:pPr>
        <w:pStyle w:val="FootnoteText"/>
      </w:pPr>
      <w:r>
        <w:rPr>
          <w:rStyle w:val="FootnoteReference"/>
        </w:rPr>
        <w:footnoteRef/>
      </w:r>
      <w:r>
        <w:t xml:space="preserve"> </w:t>
      </w:r>
      <w:r w:rsidRPr="004519C1">
        <w:rPr>
          <w:i/>
          <w:iCs/>
        </w:rPr>
        <w:t>Telcordia supra</w:t>
      </w:r>
      <w:r>
        <w:rPr>
          <w:i/>
          <w:iCs/>
        </w:rPr>
        <w:t>.</w:t>
      </w:r>
    </w:p>
  </w:footnote>
  <w:footnote w:id="77">
    <w:p w14:paraId="48C2E0C4" w14:textId="797813F9" w:rsidR="002643EA" w:rsidRDefault="002643EA">
      <w:pPr>
        <w:pStyle w:val="FootnoteText"/>
      </w:pPr>
      <w:r>
        <w:rPr>
          <w:rStyle w:val="FootnoteReference"/>
        </w:rPr>
        <w:footnoteRef/>
      </w:r>
      <w:r>
        <w:t xml:space="preserve"> </w:t>
      </w:r>
      <w:r w:rsidR="00933642">
        <w:t>Award para</w:t>
      </w:r>
      <w:r w:rsidR="00231602">
        <w:t>graphs</w:t>
      </w:r>
      <w:r w:rsidR="00933642">
        <w:t xml:space="preserve"> 45-47</w:t>
      </w:r>
      <w:r w:rsidR="00231602">
        <w:t xml:space="preserve"> and </w:t>
      </w:r>
      <w:r w:rsidR="00933642">
        <w:t xml:space="preserve"> 89-90</w:t>
      </w:r>
      <w:r w:rsidR="00231602">
        <w:t xml:space="preserve"> on CaseLines.</w:t>
      </w:r>
    </w:p>
  </w:footnote>
  <w:footnote w:id="78">
    <w:p w14:paraId="54F38710" w14:textId="0EA31E0A" w:rsidR="0030748E" w:rsidRDefault="0030748E">
      <w:pPr>
        <w:pStyle w:val="FootnoteText"/>
      </w:pPr>
      <w:r>
        <w:rPr>
          <w:rStyle w:val="FootnoteReference"/>
        </w:rPr>
        <w:footnoteRef/>
      </w:r>
      <w:r>
        <w:t xml:space="preserve"> </w:t>
      </w:r>
      <w:r w:rsidR="00231602">
        <w:t>As at p</w:t>
      </w:r>
      <w:r>
        <w:t>ara</w:t>
      </w:r>
      <w:r w:rsidR="00231602">
        <w:t>graph</w:t>
      </w:r>
      <w:r>
        <w:t xml:space="preserve"> 48</w:t>
      </w:r>
      <w:r w:rsidR="00231602">
        <w:t>.</w:t>
      </w:r>
    </w:p>
  </w:footnote>
  <w:footnote w:id="79">
    <w:p w14:paraId="64395621" w14:textId="22C40C5F" w:rsidR="00FB4614" w:rsidRDefault="00FB4614">
      <w:pPr>
        <w:pStyle w:val="FootnoteText"/>
      </w:pPr>
      <w:r>
        <w:rPr>
          <w:rStyle w:val="FootnoteReference"/>
        </w:rPr>
        <w:footnoteRef/>
      </w:r>
      <w:r>
        <w:t xml:space="preserve"> Radebe Witness Statement </w:t>
      </w:r>
      <w:r w:rsidR="005C1E7D">
        <w:t>para</w:t>
      </w:r>
      <w:r w:rsidR="000168F0">
        <w:t>graph</w:t>
      </w:r>
      <w:r w:rsidR="005C1E7D">
        <w:t>s 89-95</w:t>
      </w:r>
      <w:r w:rsidR="000168F0">
        <w:t xml:space="preserve"> as at</w:t>
      </w:r>
      <w:r w:rsidR="005C1E7D">
        <w:t xml:space="preserve"> C</w:t>
      </w:r>
      <w:r w:rsidR="000168F0">
        <w:t>ase</w:t>
      </w:r>
      <w:r w:rsidR="005C1E7D">
        <w:t>L</w:t>
      </w:r>
      <w:r w:rsidR="000168F0">
        <w:t>ines section</w:t>
      </w:r>
      <w:r w:rsidR="005C1E7D">
        <w:t xml:space="preserve"> </w:t>
      </w:r>
      <w:r w:rsidR="000168F0">
        <w:t>01-</w:t>
      </w:r>
      <w:r w:rsidR="005C1E7D">
        <w:t>433</w:t>
      </w:r>
      <w:r w:rsidR="000168F0">
        <w:t xml:space="preserve"> to 01-</w:t>
      </w:r>
      <w:r w:rsidR="005C1E7D">
        <w:t>434</w:t>
      </w:r>
      <w:r w:rsidR="000168F0">
        <w:t>.</w:t>
      </w:r>
    </w:p>
  </w:footnote>
  <w:footnote w:id="80">
    <w:p w14:paraId="042ACDC0" w14:textId="090656AE" w:rsidR="00794A36" w:rsidRDefault="00794A36">
      <w:pPr>
        <w:pStyle w:val="FootnoteText"/>
      </w:pPr>
      <w:r>
        <w:rPr>
          <w:rStyle w:val="FootnoteReference"/>
        </w:rPr>
        <w:footnoteRef/>
      </w:r>
      <w:r>
        <w:t xml:space="preserve"> Founding Affidavit </w:t>
      </w:r>
      <w:r w:rsidR="002C01E9">
        <w:t>para</w:t>
      </w:r>
      <w:r w:rsidR="000664DA">
        <w:t>graph</w:t>
      </w:r>
      <w:r w:rsidR="002C01E9">
        <w:t xml:space="preserve"> 109</w:t>
      </w:r>
      <w:r w:rsidR="000168F0">
        <w:t>-</w:t>
      </w:r>
      <w:r w:rsidR="002C01E9">
        <w:t>114</w:t>
      </w:r>
      <w:r w:rsidR="00E80E04">
        <w:t xml:space="preserve"> as at CaseLines sections 01-41 to 01-42</w:t>
      </w:r>
      <w:r w:rsidR="000168F0">
        <w:t>.</w:t>
      </w:r>
    </w:p>
  </w:footnote>
  <w:footnote w:id="81">
    <w:p w14:paraId="73E35604" w14:textId="14B19B8D" w:rsidR="0060215A" w:rsidRDefault="0060215A">
      <w:pPr>
        <w:pStyle w:val="FootnoteText"/>
      </w:pPr>
      <w:r>
        <w:rPr>
          <w:rStyle w:val="FootnoteReference"/>
        </w:rPr>
        <w:footnoteRef/>
      </w:r>
      <w:r>
        <w:t xml:space="preserve"> </w:t>
      </w:r>
      <w:r w:rsidR="000269C1">
        <w:t>Answering Affidavit para</w:t>
      </w:r>
      <w:r w:rsidR="000664DA">
        <w:t>graph</w:t>
      </w:r>
      <w:r w:rsidR="000168F0">
        <w:t>s</w:t>
      </w:r>
      <w:r w:rsidR="000269C1">
        <w:t xml:space="preserve"> </w:t>
      </w:r>
      <w:r w:rsidR="007F4E38">
        <w:t>140.1-140.3</w:t>
      </w:r>
      <w:r w:rsidR="000168F0">
        <w:t xml:space="preserve"> as at</w:t>
      </w:r>
      <w:r w:rsidR="007F4E38">
        <w:t xml:space="preserve"> C</w:t>
      </w:r>
      <w:r w:rsidR="000168F0">
        <w:t>ase</w:t>
      </w:r>
      <w:r w:rsidR="007F4E38">
        <w:t>L</w:t>
      </w:r>
      <w:r w:rsidR="000168F0">
        <w:t>ines section</w:t>
      </w:r>
      <w:r w:rsidR="007F4E38">
        <w:t xml:space="preserve"> </w:t>
      </w:r>
      <w:r w:rsidR="000168F0">
        <w:t>01-</w:t>
      </w:r>
      <w:r w:rsidR="007F4E38">
        <w:t>496</w:t>
      </w:r>
      <w:r w:rsidR="000168F0">
        <w:t>.</w:t>
      </w:r>
    </w:p>
  </w:footnote>
  <w:footnote w:id="82">
    <w:p w14:paraId="09C9B3E3" w14:textId="320FD373" w:rsidR="0016590C" w:rsidRDefault="0016590C">
      <w:pPr>
        <w:pStyle w:val="FootnoteText"/>
      </w:pPr>
      <w:r>
        <w:rPr>
          <w:rStyle w:val="FootnoteReference"/>
        </w:rPr>
        <w:footnoteRef/>
      </w:r>
      <w:r>
        <w:t xml:space="preserve"> REF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4D040D1C" w:rsidR="0056721D" w:rsidRDefault="0056721D">
        <w:pPr>
          <w:pStyle w:val="Header"/>
          <w:jc w:val="right"/>
        </w:pPr>
        <w:r>
          <w:fldChar w:fldCharType="begin"/>
        </w:r>
        <w:r>
          <w:instrText xml:space="preserve"> PAGE   \* MERGEFORMAT </w:instrText>
        </w:r>
        <w:r>
          <w:fldChar w:fldCharType="separate"/>
        </w:r>
        <w:r w:rsidR="00AC5E05">
          <w:rPr>
            <w:noProof/>
          </w:rPr>
          <w:t>78</w:t>
        </w:r>
        <w:r>
          <w:rPr>
            <w:noProof/>
          </w:rPr>
          <w:fldChar w:fldCharType="end"/>
        </w:r>
      </w:p>
    </w:sdtContent>
  </w:sdt>
  <w:p w14:paraId="76A8DD65" w14:textId="77777777" w:rsidR="0056721D" w:rsidRDefault="0056721D">
    <w:pPr>
      <w:pStyle w:val="Header"/>
    </w:pPr>
  </w:p>
  <w:p w14:paraId="1F5B1532" w14:textId="77777777" w:rsidR="00A93219" w:rsidRDefault="00A93219"/>
  <w:p w14:paraId="040E50D4" w14:textId="77777777" w:rsidR="00A93219" w:rsidRDefault="00A93219"/>
  <w:p w14:paraId="5DCCEE64" w14:textId="77777777" w:rsidR="00A93219" w:rsidRDefault="00A93219"/>
  <w:p w14:paraId="6401CF0F" w14:textId="77777777" w:rsidR="008E67B9" w:rsidRDefault="008E67B9"/>
  <w:p w14:paraId="02C85F60" w14:textId="77777777" w:rsidR="008E67B9" w:rsidRDefault="008E67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86D71"/>
    <w:multiLevelType w:val="hybridMultilevel"/>
    <w:tmpl w:val="D9123D28"/>
    <w:lvl w:ilvl="0" w:tplc="9120EC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75FAE"/>
    <w:multiLevelType w:val="hybridMultilevel"/>
    <w:tmpl w:val="9150223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0291B69"/>
    <w:multiLevelType w:val="multilevel"/>
    <w:tmpl w:val="98E2B372"/>
    <w:lvl w:ilvl="0">
      <w:start w:val="92"/>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7D162D6"/>
    <w:multiLevelType w:val="multilevel"/>
    <w:tmpl w:val="D8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A9D3E81"/>
    <w:multiLevelType w:val="multilevel"/>
    <w:tmpl w:val="4F12D8CA"/>
    <w:lvl w:ilvl="0">
      <w:start w:val="44"/>
      <w:numFmt w:val="decimal"/>
      <w:lvlText w:val="%1."/>
      <w:lvlJc w:val="left"/>
      <w:pPr>
        <w:ind w:left="530" w:hanging="53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16" w15:restartNumberingAfterBreak="0">
    <w:nsid w:val="1B011F0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055326"/>
    <w:multiLevelType w:val="hybridMultilevel"/>
    <w:tmpl w:val="2836E30E"/>
    <w:lvl w:ilvl="0" w:tplc="D1A8DB0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1B24665E"/>
    <w:multiLevelType w:val="multilevel"/>
    <w:tmpl w:val="E7A6650E"/>
    <w:lvl w:ilvl="0">
      <w:start w:val="1"/>
      <w:numFmt w:val="decimal"/>
      <w:lvlText w:val="%1."/>
      <w:lvlJc w:val="left"/>
      <w:pPr>
        <w:ind w:left="1273" w:hanging="1133"/>
      </w:pPr>
      <w:rPr>
        <w:rFonts w:ascii="Arial MT" w:eastAsia="Arial MT" w:hAnsi="Arial MT" w:cs="Arial MT" w:hint="default"/>
        <w:w w:val="100"/>
        <w:sz w:val="24"/>
        <w:szCs w:val="24"/>
        <w:lang w:val="en-US" w:eastAsia="en-US" w:bidi="ar-SA"/>
      </w:rPr>
    </w:lvl>
    <w:lvl w:ilvl="1">
      <w:start w:val="1"/>
      <w:numFmt w:val="decimal"/>
      <w:lvlText w:val="%1.%2"/>
      <w:lvlJc w:val="left"/>
      <w:pPr>
        <w:ind w:left="1626" w:hanging="1486"/>
      </w:pPr>
      <w:rPr>
        <w:rFonts w:ascii="Arial MT" w:eastAsia="Arial MT" w:hAnsi="Arial MT" w:cs="Arial MT" w:hint="default"/>
        <w:w w:val="99"/>
        <w:sz w:val="24"/>
        <w:szCs w:val="24"/>
        <w:lang w:val="en-US" w:eastAsia="en-US" w:bidi="ar-SA"/>
      </w:rPr>
    </w:lvl>
    <w:lvl w:ilvl="2">
      <w:start w:val="1"/>
      <w:numFmt w:val="decimal"/>
      <w:lvlText w:val="%1.%2.%3"/>
      <w:lvlJc w:val="left"/>
      <w:pPr>
        <w:ind w:left="1842" w:hanging="1702"/>
      </w:pPr>
      <w:rPr>
        <w:rFonts w:ascii="Arial MT" w:eastAsia="Arial MT" w:hAnsi="Arial MT" w:cs="Arial MT" w:hint="default"/>
        <w:spacing w:val="-1"/>
        <w:w w:val="99"/>
        <w:sz w:val="24"/>
        <w:szCs w:val="24"/>
        <w:lang w:val="en-US" w:eastAsia="en-US" w:bidi="ar-SA"/>
      </w:rPr>
    </w:lvl>
    <w:lvl w:ilvl="3">
      <w:numFmt w:val="bullet"/>
      <w:lvlText w:val="•"/>
      <w:lvlJc w:val="left"/>
      <w:pPr>
        <w:ind w:left="2885" w:hanging="1702"/>
      </w:pPr>
      <w:rPr>
        <w:rFonts w:hint="default"/>
        <w:lang w:val="en-US" w:eastAsia="en-US" w:bidi="ar-SA"/>
      </w:rPr>
    </w:lvl>
    <w:lvl w:ilvl="4">
      <w:numFmt w:val="bullet"/>
      <w:lvlText w:val="•"/>
      <w:lvlJc w:val="left"/>
      <w:pPr>
        <w:ind w:left="3931" w:hanging="1702"/>
      </w:pPr>
      <w:rPr>
        <w:rFonts w:hint="default"/>
        <w:lang w:val="en-US" w:eastAsia="en-US" w:bidi="ar-SA"/>
      </w:rPr>
    </w:lvl>
    <w:lvl w:ilvl="5">
      <w:numFmt w:val="bullet"/>
      <w:lvlText w:val="•"/>
      <w:lvlJc w:val="left"/>
      <w:pPr>
        <w:ind w:left="4977" w:hanging="1702"/>
      </w:pPr>
      <w:rPr>
        <w:rFonts w:hint="default"/>
        <w:lang w:val="en-US" w:eastAsia="en-US" w:bidi="ar-SA"/>
      </w:rPr>
    </w:lvl>
    <w:lvl w:ilvl="6">
      <w:numFmt w:val="bullet"/>
      <w:lvlText w:val="•"/>
      <w:lvlJc w:val="left"/>
      <w:pPr>
        <w:ind w:left="6023" w:hanging="1702"/>
      </w:pPr>
      <w:rPr>
        <w:rFonts w:hint="default"/>
        <w:lang w:val="en-US" w:eastAsia="en-US" w:bidi="ar-SA"/>
      </w:rPr>
    </w:lvl>
    <w:lvl w:ilvl="7">
      <w:numFmt w:val="bullet"/>
      <w:lvlText w:val="•"/>
      <w:lvlJc w:val="left"/>
      <w:pPr>
        <w:ind w:left="7069" w:hanging="1702"/>
      </w:pPr>
      <w:rPr>
        <w:rFonts w:hint="default"/>
        <w:lang w:val="en-US" w:eastAsia="en-US" w:bidi="ar-SA"/>
      </w:rPr>
    </w:lvl>
    <w:lvl w:ilvl="8">
      <w:numFmt w:val="bullet"/>
      <w:lvlText w:val="•"/>
      <w:lvlJc w:val="left"/>
      <w:pPr>
        <w:ind w:left="8114" w:hanging="1702"/>
      </w:pPr>
      <w:rPr>
        <w:rFonts w:hint="default"/>
        <w:lang w:val="en-US" w:eastAsia="en-US" w:bidi="ar-SA"/>
      </w:rPr>
    </w:lvl>
  </w:abstractNum>
  <w:abstractNum w:abstractNumId="19" w15:restartNumberingAfterBreak="0">
    <w:nsid w:val="1DDE75E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2D5F75"/>
    <w:multiLevelType w:val="multilevel"/>
    <w:tmpl w:val="AA3EA45E"/>
    <w:lvl w:ilvl="0">
      <w:start w:val="11"/>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1FB927FE"/>
    <w:multiLevelType w:val="multilevel"/>
    <w:tmpl w:val="E55C941C"/>
    <w:lvl w:ilvl="0">
      <w:start w:val="14"/>
      <w:numFmt w:val="decimal"/>
      <w:lvlText w:val="%1"/>
      <w:lvlJc w:val="left"/>
      <w:pPr>
        <w:ind w:left="460" w:hanging="460"/>
      </w:pPr>
      <w:rPr>
        <w:rFonts w:hint="default"/>
        <w:i/>
      </w:rPr>
    </w:lvl>
    <w:lvl w:ilvl="1">
      <w:start w:val="2"/>
      <w:numFmt w:val="decimal"/>
      <w:lvlText w:val="%1.%2"/>
      <w:lvlJc w:val="left"/>
      <w:pPr>
        <w:ind w:left="990" w:hanging="460"/>
      </w:pPr>
      <w:rPr>
        <w:rFonts w:hint="default"/>
        <w:i/>
      </w:rPr>
    </w:lvl>
    <w:lvl w:ilvl="2">
      <w:start w:val="1"/>
      <w:numFmt w:val="decimal"/>
      <w:lvlText w:val="%1.%2.%3"/>
      <w:lvlJc w:val="left"/>
      <w:pPr>
        <w:ind w:left="1780" w:hanging="720"/>
      </w:pPr>
      <w:rPr>
        <w:rFonts w:hint="default"/>
        <w:i/>
      </w:rPr>
    </w:lvl>
    <w:lvl w:ilvl="3">
      <w:start w:val="1"/>
      <w:numFmt w:val="decimal"/>
      <w:lvlText w:val="%1.%2.%3.%4"/>
      <w:lvlJc w:val="left"/>
      <w:pPr>
        <w:ind w:left="2670" w:hanging="1080"/>
      </w:pPr>
      <w:rPr>
        <w:rFonts w:hint="default"/>
        <w:i/>
      </w:rPr>
    </w:lvl>
    <w:lvl w:ilvl="4">
      <w:start w:val="1"/>
      <w:numFmt w:val="decimal"/>
      <w:lvlText w:val="%1.%2.%3.%4.%5"/>
      <w:lvlJc w:val="left"/>
      <w:pPr>
        <w:ind w:left="3200" w:hanging="1080"/>
      </w:pPr>
      <w:rPr>
        <w:rFonts w:hint="default"/>
        <w:i/>
      </w:rPr>
    </w:lvl>
    <w:lvl w:ilvl="5">
      <w:start w:val="1"/>
      <w:numFmt w:val="decimal"/>
      <w:lvlText w:val="%1.%2.%3.%4.%5.%6"/>
      <w:lvlJc w:val="left"/>
      <w:pPr>
        <w:ind w:left="4090" w:hanging="1440"/>
      </w:pPr>
      <w:rPr>
        <w:rFonts w:hint="default"/>
        <w:i/>
      </w:rPr>
    </w:lvl>
    <w:lvl w:ilvl="6">
      <w:start w:val="1"/>
      <w:numFmt w:val="decimal"/>
      <w:lvlText w:val="%1.%2.%3.%4.%5.%6.%7"/>
      <w:lvlJc w:val="left"/>
      <w:pPr>
        <w:ind w:left="4620" w:hanging="1440"/>
      </w:pPr>
      <w:rPr>
        <w:rFonts w:hint="default"/>
        <w:i/>
      </w:rPr>
    </w:lvl>
    <w:lvl w:ilvl="7">
      <w:start w:val="1"/>
      <w:numFmt w:val="decimal"/>
      <w:lvlText w:val="%1.%2.%3.%4.%5.%6.%7.%8"/>
      <w:lvlJc w:val="left"/>
      <w:pPr>
        <w:ind w:left="5510" w:hanging="1800"/>
      </w:pPr>
      <w:rPr>
        <w:rFonts w:hint="default"/>
        <w:i/>
      </w:rPr>
    </w:lvl>
    <w:lvl w:ilvl="8">
      <w:start w:val="1"/>
      <w:numFmt w:val="decimal"/>
      <w:lvlText w:val="%1.%2.%3.%4.%5.%6.%7.%8.%9"/>
      <w:lvlJc w:val="left"/>
      <w:pPr>
        <w:ind w:left="6040" w:hanging="1800"/>
      </w:pPr>
      <w:rPr>
        <w:rFonts w:hint="default"/>
        <w:i/>
      </w:rPr>
    </w:lvl>
  </w:abstractNum>
  <w:abstractNum w:abstractNumId="22" w15:restartNumberingAfterBreak="0">
    <w:nsid w:val="20AE7D97"/>
    <w:multiLevelType w:val="hybridMultilevel"/>
    <w:tmpl w:val="4E125C0A"/>
    <w:lvl w:ilvl="0" w:tplc="D840CF1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220E3D9C"/>
    <w:multiLevelType w:val="hybridMultilevel"/>
    <w:tmpl w:val="D3A27D0C"/>
    <w:lvl w:ilvl="0" w:tplc="F31C27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903084E"/>
    <w:multiLevelType w:val="hybridMultilevel"/>
    <w:tmpl w:val="AF1EBE5A"/>
    <w:lvl w:ilvl="0" w:tplc="FAAC56F8">
      <w:numFmt w:val="bullet"/>
      <w:lvlText w:val=""/>
      <w:lvlJc w:val="left"/>
      <w:pPr>
        <w:ind w:left="2990" w:hanging="356"/>
      </w:pPr>
      <w:rPr>
        <w:rFonts w:ascii="Symbol" w:eastAsia="Symbol" w:hAnsi="Symbol" w:cs="Symbol" w:hint="default"/>
        <w:w w:val="100"/>
        <w:sz w:val="24"/>
        <w:szCs w:val="24"/>
        <w:lang w:val="en-US" w:eastAsia="en-US" w:bidi="ar-SA"/>
      </w:rPr>
    </w:lvl>
    <w:lvl w:ilvl="1" w:tplc="040699A8">
      <w:numFmt w:val="bullet"/>
      <w:lvlText w:val="o"/>
      <w:lvlJc w:val="left"/>
      <w:pPr>
        <w:ind w:left="3712" w:hanging="358"/>
      </w:pPr>
      <w:rPr>
        <w:rFonts w:ascii="Courier New" w:eastAsia="Courier New" w:hAnsi="Courier New" w:cs="Courier New" w:hint="default"/>
        <w:w w:val="100"/>
        <w:sz w:val="24"/>
        <w:szCs w:val="24"/>
        <w:lang w:val="en-US" w:eastAsia="en-US" w:bidi="ar-SA"/>
      </w:rPr>
    </w:lvl>
    <w:lvl w:ilvl="2" w:tplc="33E41D90">
      <w:numFmt w:val="bullet"/>
      <w:lvlText w:val="•"/>
      <w:lvlJc w:val="left"/>
      <w:pPr>
        <w:ind w:left="4502" w:hanging="358"/>
      </w:pPr>
      <w:rPr>
        <w:rFonts w:hint="default"/>
        <w:lang w:val="en-US" w:eastAsia="en-US" w:bidi="ar-SA"/>
      </w:rPr>
    </w:lvl>
    <w:lvl w:ilvl="3" w:tplc="A86A5998">
      <w:numFmt w:val="bullet"/>
      <w:lvlText w:val="•"/>
      <w:lvlJc w:val="left"/>
      <w:pPr>
        <w:ind w:left="5285" w:hanging="358"/>
      </w:pPr>
      <w:rPr>
        <w:rFonts w:hint="default"/>
        <w:lang w:val="en-US" w:eastAsia="en-US" w:bidi="ar-SA"/>
      </w:rPr>
    </w:lvl>
    <w:lvl w:ilvl="4" w:tplc="A8C4EAA8">
      <w:numFmt w:val="bullet"/>
      <w:lvlText w:val="•"/>
      <w:lvlJc w:val="left"/>
      <w:pPr>
        <w:ind w:left="6068" w:hanging="358"/>
      </w:pPr>
      <w:rPr>
        <w:rFonts w:hint="default"/>
        <w:lang w:val="en-US" w:eastAsia="en-US" w:bidi="ar-SA"/>
      </w:rPr>
    </w:lvl>
    <w:lvl w:ilvl="5" w:tplc="BA40B526">
      <w:numFmt w:val="bullet"/>
      <w:lvlText w:val="•"/>
      <w:lvlJc w:val="left"/>
      <w:pPr>
        <w:ind w:left="6851" w:hanging="358"/>
      </w:pPr>
      <w:rPr>
        <w:rFonts w:hint="default"/>
        <w:lang w:val="en-US" w:eastAsia="en-US" w:bidi="ar-SA"/>
      </w:rPr>
    </w:lvl>
    <w:lvl w:ilvl="6" w:tplc="FC784BCE">
      <w:numFmt w:val="bullet"/>
      <w:lvlText w:val="•"/>
      <w:lvlJc w:val="left"/>
      <w:pPr>
        <w:ind w:left="7634" w:hanging="358"/>
      </w:pPr>
      <w:rPr>
        <w:rFonts w:hint="default"/>
        <w:lang w:val="en-US" w:eastAsia="en-US" w:bidi="ar-SA"/>
      </w:rPr>
    </w:lvl>
    <w:lvl w:ilvl="7" w:tplc="90EE87BA">
      <w:numFmt w:val="bullet"/>
      <w:lvlText w:val="•"/>
      <w:lvlJc w:val="left"/>
      <w:pPr>
        <w:ind w:left="8417" w:hanging="358"/>
      </w:pPr>
      <w:rPr>
        <w:rFonts w:hint="default"/>
        <w:lang w:val="en-US" w:eastAsia="en-US" w:bidi="ar-SA"/>
      </w:rPr>
    </w:lvl>
    <w:lvl w:ilvl="8" w:tplc="71BA5B08">
      <w:numFmt w:val="bullet"/>
      <w:lvlText w:val="•"/>
      <w:lvlJc w:val="left"/>
      <w:pPr>
        <w:ind w:left="9200" w:hanging="358"/>
      </w:pPr>
      <w:rPr>
        <w:rFonts w:hint="default"/>
        <w:lang w:val="en-US" w:eastAsia="en-US" w:bidi="ar-SA"/>
      </w:rPr>
    </w:lvl>
  </w:abstractNum>
  <w:abstractNum w:abstractNumId="26"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EC32EAB"/>
    <w:multiLevelType w:val="multilevel"/>
    <w:tmpl w:val="38881C6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851"/>
        </w:tabs>
        <w:ind w:left="851" w:hanging="851"/>
      </w:pPr>
      <w:rPr>
        <w:rFonts w:ascii="Arial" w:eastAsia="WenQuanYi Micro Hei" w:hAnsi="Arial" w:cs="Lohit Hindi" w:hint="default"/>
        <w:sz w:val="22"/>
        <w:szCs w:val="22"/>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1570EAD"/>
    <w:multiLevelType w:val="multilevel"/>
    <w:tmpl w:val="ABBCF722"/>
    <w:lvl w:ilvl="0">
      <w:start w:val="1"/>
      <w:numFmt w:val="decimal"/>
      <w:lvlText w:val="%1."/>
      <w:lvlJc w:val="left"/>
      <w:pPr>
        <w:ind w:left="360" w:hanging="360"/>
      </w:pPr>
      <w:rPr>
        <w:b w:val="0"/>
        <w:i w:val="0"/>
        <w:iCs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362F6BEC"/>
    <w:multiLevelType w:val="hybridMultilevel"/>
    <w:tmpl w:val="4E0C80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38763B3C"/>
    <w:multiLevelType w:val="multilevel"/>
    <w:tmpl w:val="3CFCDC26"/>
    <w:lvl w:ilvl="0">
      <w:start w:val="14"/>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A8708BA"/>
    <w:multiLevelType w:val="hybridMultilevel"/>
    <w:tmpl w:val="DAF8F614"/>
    <w:lvl w:ilvl="0" w:tplc="FA7641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15:restartNumberingAfterBreak="0">
    <w:nsid w:val="3CAD71C6"/>
    <w:multiLevelType w:val="hybridMultilevel"/>
    <w:tmpl w:val="0B9A6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4F93EB6"/>
    <w:multiLevelType w:val="multilevel"/>
    <w:tmpl w:val="C46AA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62E1E58"/>
    <w:multiLevelType w:val="multilevel"/>
    <w:tmpl w:val="B8F08806"/>
    <w:lvl w:ilvl="0">
      <w:start w:val="16"/>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8" w15:restartNumberingAfterBreak="0">
    <w:nsid w:val="4C2C75C8"/>
    <w:multiLevelType w:val="multilevel"/>
    <w:tmpl w:val="770441C2"/>
    <w:lvl w:ilvl="0">
      <w:start w:val="8"/>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1" w15:restartNumberingAfterBreak="0">
    <w:nsid w:val="53595403"/>
    <w:multiLevelType w:val="hybridMultilevel"/>
    <w:tmpl w:val="F1829DA6"/>
    <w:lvl w:ilvl="0" w:tplc="CC90405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15:restartNumberingAfterBreak="0">
    <w:nsid w:val="541C7CC9"/>
    <w:multiLevelType w:val="hybridMultilevel"/>
    <w:tmpl w:val="B9F451DC"/>
    <w:lvl w:ilvl="0" w:tplc="B74ECC9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15:restartNumberingAfterBreak="0">
    <w:nsid w:val="548E0C6A"/>
    <w:multiLevelType w:val="multilevel"/>
    <w:tmpl w:val="E5348918"/>
    <w:lvl w:ilvl="0">
      <w:start w:val="111"/>
      <w:numFmt w:val="decimal"/>
      <w:lvlText w:val="%1."/>
      <w:lvlJc w:val="left"/>
      <w:pPr>
        <w:ind w:left="660" w:hanging="660"/>
      </w:pPr>
      <w:rPr>
        <w:rFonts w:hint="default"/>
        <w:i/>
      </w:rPr>
    </w:lvl>
    <w:lvl w:ilvl="1">
      <w:start w:val="1"/>
      <w:numFmt w:val="decimal"/>
      <w:lvlText w:val="%1.%2."/>
      <w:lvlJc w:val="left"/>
      <w:pPr>
        <w:ind w:left="1287" w:hanging="72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44" w15:restartNumberingAfterBreak="0">
    <w:nsid w:val="56820213"/>
    <w:multiLevelType w:val="hybridMultilevel"/>
    <w:tmpl w:val="0E3C65A8"/>
    <w:lvl w:ilvl="0" w:tplc="0C0ED2E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15:restartNumberingAfterBreak="0">
    <w:nsid w:val="580C1BB7"/>
    <w:multiLevelType w:val="hybridMultilevel"/>
    <w:tmpl w:val="23967BD4"/>
    <w:lvl w:ilvl="0" w:tplc="397EE8A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6" w15:restartNumberingAfterBreak="0">
    <w:nsid w:val="5B0A531D"/>
    <w:multiLevelType w:val="multilevel"/>
    <w:tmpl w:val="DC509C72"/>
    <w:lvl w:ilvl="0">
      <w:start w:val="1"/>
      <w:numFmt w:val="decimal"/>
      <w:lvlText w:val="%1."/>
      <w:lvlJc w:val="left"/>
      <w:pPr>
        <w:ind w:left="969" w:hanging="852"/>
      </w:pPr>
      <w:rPr>
        <w:rFonts w:hint="default"/>
        <w:w w:val="100"/>
        <w:lang w:val="en-US" w:eastAsia="en-US" w:bidi="ar-SA"/>
      </w:rPr>
    </w:lvl>
    <w:lvl w:ilvl="1">
      <w:start w:val="1"/>
      <w:numFmt w:val="decimal"/>
      <w:lvlText w:val="%1.%2."/>
      <w:lvlJc w:val="left"/>
      <w:pPr>
        <w:ind w:left="1819" w:hanging="1702"/>
      </w:pPr>
      <w:rPr>
        <w:rFonts w:ascii="Arial MT" w:eastAsia="Arial MT" w:hAnsi="Arial MT" w:cs="Arial MT" w:hint="default"/>
        <w:w w:val="100"/>
        <w:sz w:val="24"/>
        <w:szCs w:val="24"/>
        <w:lang w:val="en-US" w:eastAsia="en-US" w:bidi="ar-SA"/>
      </w:rPr>
    </w:lvl>
    <w:lvl w:ilvl="2">
      <w:start w:val="1"/>
      <w:numFmt w:val="decimal"/>
      <w:lvlText w:val="%1.%2.%3."/>
      <w:lvlJc w:val="left"/>
      <w:pPr>
        <w:ind w:left="2668" w:hanging="2552"/>
      </w:pPr>
      <w:rPr>
        <w:rFonts w:ascii="Arial MT" w:eastAsia="Arial MT" w:hAnsi="Arial MT" w:cs="Arial MT" w:hint="default"/>
        <w:spacing w:val="-2"/>
        <w:w w:val="100"/>
        <w:sz w:val="24"/>
        <w:szCs w:val="24"/>
        <w:lang w:val="en-US" w:eastAsia="en-US" w:bidi="ar-SA"/>
      </w:rPr>
    </w:lvl>
    <w:lvl w:ilvl="3">
      <w:numFmt w:val="bullet"/>
      <w:lvlText w:val="•"/>
      <w:lvlJc w:val="left"/>
      <w:pPr>
        <w:ind w:left="3673" w:hanging="2552"/>
      </w:pPr>
      <w:rPr>
        <w:rFonts w:hint="default"/>
        <w:lang w:val="en-US" w:eastAsia="en-US" w:bidi="ar-SA"/>
      </w:rPr>
    </w:lvl>
    <w:lvl w:ilvl="4">
      <w:numFmt w:val="bullet"/>
      <w:lvlText w:val="•"/>
      <w:lvlJc w:val="left"/>
      <w:pPr>
        <w:ind w:left="4686" w:hanging="2552"/>
      </w:pPr>
      <w:rPr>
        <w:rFonts w:hint="default"/>
        <w:lang w:val="en-US" w:eastAsia="en-US" w:bidi="ar-SA"/>
      </w:rPr>
    </w:lvl>
    <w:lvl w:ilvl="5">
      <w:numFmt w:val="bullet"/>
      <w:lvlText w:val="•"/>
      <w:lvlJc w:val="left"/>
      <w:pPr>
        <w:ind w:left="5699" w:hanging="2552"/>
      </w:pPr>
      <w:rPr>
        <w:rFonts w:hint="default"/>
        <w:lang w:val="en-US" w:eastAsia="en-US" w:bidi="ar-SA"/>
      </w:rPr>
    </w:lvl>
    <w:lvl w:ilvl="6">
      <w:numFmt w:val="bullet"/>
      <w:lvlText w:val="•"/>
      <w:lvlJc w:val="left"/>
      <w:pPr>
        <w:ind w:left="6713" w:hanging="2552"/>
      </w:pPr>
      <w:rPr>
        <w:rFonts w:hint="default"/>
        <w:lang w:val="en-US" w:eastAsia="en-US" w:bidi="ar-SA"/>
      </w:rPr>
    </w:lvl>
    <w:lvl w:ilvl="7">
      <w:numFmt w:val="bullet"/>
      <w:lvlText w:val="•"/>
      <w:lvlJc w:val="left"/>
      <w:pPr>
        <w:ind w:left="7726" w:hanging="2552"/>
      </w:pPr>
      <w:rPr>
        <w:rFonts w:hint="default"/>
        <w:lang w:val="en-US" w:eastAsia="en-US" w:bidi="ar-SA"/>
      </w:rPr>
    </w:lvl>
    <w:lvl w:ilvl="8">
      <w:numFmt w:val="bullet"/>
      <w:lvlText w:val="•"/>
      <w:lvlJc w:val="left"/>
      <w:pPr>
        <w:ind w:left="8739" w:hanging="2552"/>
      </w:pPr>
      <w:rPr>
        <w:rFonts w:hint="default"/>
        <w:lang w:val="en-US" w:eastAsia="en-US" w:bidi="ar-SA"/>
      </w:rPr>
    </w:lvl>
  </w:abstractNum>
  <w:abstractNum w:abstractNumId="47" w15:restartNumberingAfterBreak="0">
    <w:nsid w:val="5C66068C"/>
    <w:multiLevelType w:val="hybridMultilevel"/>
    <w:tmpl w:val="60225588"/>
    <w:lvl w:ilvl="0" w:tplc="A02089D0">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8"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EBB03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27A3A69"/>
    <w:multiLevelType w:val="multilevel"/>
    <w:tmpl w:val="FD822968"/>
    <w:lvl w:ilvl="0">
      <w:start w:val="15"/>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51"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2"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3"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54" w15:restartNumberingAfterBreak="0">
    <w:nsid w:val="6D3557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6"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7"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7B147C53"/>
    <w:multiLevelType w:val="multilevel"/>
    <w:tmpl w:val="BC44091E"/>
    <w:lvl w:ilvl="0">
      <w:start w:val="17"/>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7"/>
  </w:num>
  <w:num w:numId="2">
    <w:abstractNumId w:val="8"/>
  </w:num>
  <w:num w:numId="3">
    <w:abstractNumId w:val="0"/>
  </w:num>
  <w:num w:numId="4">
    <w:abstractNumId w:val="40"/>
  </w:num>
  <w:num w:numId="5">
    <w:abstractNumId w:val="39"/>
  </w:num>
  <w:num w:numId="6">
    <w:abstractNumId w:val="7"/>
  </w:num>
  <w:num w:numId="7">
    <w:abstractNumId w:val="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51"/>
  </w:num>
  <w:num w:numId="13">
    <w:abstractNumId w:val="57"/>
  </w:num>
  <w:num w:numId="14">
    <w:abstractNumId w:val="11"/>
  </w:num>
  <w:num w:numId="15">
    <w:abstractNumId w:val="9"/>
  </w:num>
  <w:num w:numId="16">
    <w:abstractNumId w:val="52"/>
  </w:num>
  <w:num w:numId="17">
    <w:abstractNumId w:val="14"/>
  </w:num>
  <w:num w:numId="18">
    <w:abstractNumId w:val="29"/>
  </w:num>
  <w:num w:numId="19">
    <w:abstractNumId w:val="4"/>
  </w:num>
  <w:num w:numId="20">
    <w:abstractNumId w:val="48"/>
  </w:num>
  <w:num w:numId="21">
    <w:abstractNumId w:val="27"/>
  </w:num>
  <w:num w:numId="22">
    <w:abstractNumId w:val="53"/>
  </w:num>
  <w:num w:numId="23">
    <w:abstractNumId w:val="27"/>
  </w:num>
  <w:num w:numId="24">
    <w:abstractNumId w:val="33"/>
  </w:num>
  <w:num w:numId="25">
    <w:abstractNumId w:val="55"/>
  </w:num>
  <w:num w:numId="26">
    <w:abstractNumId w:val="31"/>
  </w:num>
  <w:num w:numId="27">
    <w:abstractNumId w:val="56"/>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2"/>
  </w:num>
  <w:num w:numId="32">
    <w:abstractNumId w:val="5"/>
  </w:num>
  <w:num w:numId="33">
    <w:abstractNumId w:val="28"/>
  </w:num>
  <w:num w:numId="34">
    <w:abstractNumId w:val="37"/>
  </w:num>
  <w:num w:numId="35">
    <w:abstractNumId w:val="6"/>
  </w:num>
  <w:num w:numId="36">
    <w:abstractNumId w:val="50"/>
  </w:num>
  <w:num w:numId="37">
    <w:abstractNumId w:val="34"/>
  </w:num>
  <w:num w:numId="38">
    <w:abstractNumId w:val="10"/>
  </w:num>
  <w:num w:numId="39">
    <w:abstractNumId w:val="49"/>
  </w:num>
  <w:num w:numId="40">
    <w:abstractNumId w:val="54"/>
  </w:num>
  <w:num w:numId="41">
    <w:abstractNumId w:val="45"/>
  </w:num>
  <w:num w:numId="42">
    <w:abstractNumId w:val="36"/>
  </w:num>
  <w:num w:numId="43">
    <w:abstractNumId w:val="22"/>
  </w:num>
  <w:num w:numId="44">
    <w:abstractNumId w:val="35"/>
  </w:num>
  <w:num w:numId="45">
    <w:abstractNumId w:val="17"/>
  </w:num>
  <w:num w:numId="46">
    <w:abstractNumId w:val="41"/>
  </w:num>
  <w:num w:numId="47">
    <w:abstractNumId w:val="30"/>
  </w:num>
  <w:num w:numId="48">
    <w:abstractNumId w:val="23"/>
  </w:num>
  <w:num w:numId="49">
    <w:abstractNumId w:val="44"/>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20"/>
  </w:num>
  <w:num w:numId="54">
    <w:abstractNumId w:val="32"/>
  </w:num>
  <w:num w:numId="55">
    <w:abstractNumId w:val="58"/>
  </w:num>
  <w:num w:numId="56">
    <w:abstractNumId w:val="15"/>
  </w:num>
  <w:num w:numId="57">
    <w:abstractNumId w:val="21"/>
  </w:num>
  <w:num w:numId="58">
    <w:abstractNumId w:val="43"/>
  </w:num>
  <w:num w:numId="59">
    <w:abstractNumId w:val="47"/>
  </w:num>
  <w:num w:numId="60">
    <w:abstractNumId w:val="25"/>
  </w:num>
  <w:num w:numId="61">
    <w:abstractNumId w:val="46"/>
  </w:num>
  <w:num w:numId="62">
    <w:abstractNumId w:val="18"/>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zsDA0NbA0tDC2NDBW0lEKTi0uzszPAykwrAUAB0mGXywAAAA="/>
  </w:docVars>
  <w:rsids>
    <w:rsidRoot w:val="00AD7F4C"/>
    <w:rsid w:val="000001EE"/>
    <w:rsid w:val="000003A1"/>
    <w:rsid w:val="000007B5"/>
    <w:rsid w:val="0000092D"/>
    <w:rsid w:val="00000EF5"/>
    <w:rsid w:val="00000EF9"/>
    <w:rsid w:val="00001541"/>
    <w:rsid w:val="00001F2D"/>
    <w:rsid w:val="000025D3"/>
    <w:rsid w:val="000026BE"/>
    <w:rsid w:val="000026D9"/>
    <w:rsid w:val="00002E04"/>
    <w:rsid w:val="000031F1"/>
    <w:rsid w:val="000037D3"/>
    <w:rsid w:val="00003D4F"/>
    <w:rsid w:val="000043C3"/>
    <w:rsid w:val="00004609"/>
    <w:rsid w:val="00004C50"/>
    <w:rsid w:val="00004C75"/>
    <w:rsid w:val="00004FF5"/>
    <w:rsid w:val="00005022"/>
    <w:rsid w:val="00005393"/>
    <w:rsid w:val="00005518"/>
    <w:rsid w:val="00005CE1"/>
    <w:rsid w:val="00005D48"/>
    <w:rsid w:val="00006D13"/>
    <w:rsid w:val="00006D89"/>
    <w:rsid w:val="00006E40"/>
    <w:rsid w:val="000071A6"/>
    <w:rsid w:val="0000721E"/>
    <w:rsid w:val="00007412"/>
    <w:rsid w:val="0000748D"/>
    <w:rsid w:val="000076E9"/>
    <w:rsid w:val="00007A1E"/>
    <w:rsid w:val="00007B78"/>
    <w:rsid w:val="00010468"/>
    <w:rsid w:val="00010AF1"/>
    <w:rsid w:val="00011719"/>
    <w:rsid w:val="00011730"/>
    <w:rsid w:val="00012678"/>
    <w:rsid w:val="00012BC9"/>
    <w:rsid w:val="00012D91"/>
    <w:rsid w:val="00013956"/>
    <w:rsid w:val="00013988"/>
    <w:rsid w:val="000139E1"/>
    <w:rsid w:val="00013A66"/>
    <w:rsid w:val="00013FB3"/>
    <w:rsid w:val="00014779"/>
    <w:rsid w:val="0001479D"/>
    <w:rsid w:val="00014F01"/>
    <w:rsid w:val="00015055"/>
    <w:rsid w:val="000157E2"/>
    <w:rsid w:val="00015D09"/>
    <w:rsid w:val="0001663B"/>
    <w:rsid w:val="000168F0"/>
    <w:rsid w:val="00016B15"/>
    <w:rsid w:val="00016D7D"/>
    <w:rsid w:val="000174A9"/>
    <w:rsid w:val="00017BAB"/>
    <w:rsid w:val="00017BF0"/>
    <w:rsid w:val="00017D17"/>
    <w:rsid w:val="00017FF6"/>
    <w:rsid w:val="000205BB"/>
    <w:rsid w:val="00020881"/>
    <w:rsid w:val="000209F5"/>
    <w:rsid w:val="00020C06"/>
    <w:rsid w:val="00021839"/>
    <w:rsid w:val="000223BA"/>
    <w:rsid w:val="0002291F"/>
    <w:rsid w:val="00022F17"/>
    <w:rsid w:val="000234BC"/>
    <w:rsid w:val="00023A1E"/>
    <w:rsid w:val="00023BCE"/>
    <w:rsid w:val="00024510"/>
    <w:rsid w:val="00024B45"/>
    <w:rsid w:val="00024C2F"/>
    <w:rsid w:val="00024C6F"/>
    <w:rsid w:val="00025AAC"/>
    <w:rsid w:val="00025AB9"/>
    <w:rsid w:val="00026013"/>
    <w:rsid w:val="0002644E"/>
    <w:rsid w:val="000267B0"/>
    <w:rsid w:val="000269C1"/>
    <w:rsid w:val="00026EF4"/>
    <w:rsid w:val="00027805"/>
    <w:rsid w:val="00027E31"/>
    <w:rsid w:val="00027E97"/>
    <w:rsid w:val="00027F99"/>
    <w:rsid w:val="00030503"/>
    <w:rsid w:val="00032191"/>
    <w:rsid w:val="0003277C"/>
    <w:rsid w:val="000327C4"/>
    <w:rsid w:val="00033031"/>
    <w:rsid w:val="00034B38"/>
    <w:rsid w:val="000352B0"/>
    <w:rsid w:val="00035C54"/>
    <w:rsid w:val="00035CA2"/>
    <w:rsid w:val="00035E09"/>
    <w:rsid w:val="00036289"/>
    <w:rsid w:val="000367BE"/>
    <w:rsid w:val="00036839"/>
    <w:rsid w:val="00036B3C"/>
    <w:rsid w:val="00036BAA"/>
    <w:rsid w:val="00036CBB"/>
    <w:rsid w:val="00036E35"/>
    <w:rsid w:val="000371DE"/>
    <w:rsid w:val="00037659"/>
    <w:rsid w:val="000377D2"/>
    <w:rsid w:val="00037B4A"/>
    <w:rsid w:val="00037E9A"/>
    <w:rsid w:val="00040CF7"/>
    <w:rsid w:val="00040CFF"/>
    <w:rsid w:val="00040F56"/>
    <w:rsid w:val="000410B1"/>
    <w:rsid w:val="0004166E"/>
    <w:rsid w:val="0004179B"/>
    <w:rsid w:val="00041A35"/>
    <w:rsid w:val="00041C7F"/>
    <w:rsid w:val="00042120"/>
    <w:rsid w:val="00042144"/>
    <w:rsid w:val="0004225B"/>
    <w:rsid w:val="00042507"/>
    <w:rsid w:val="00042883"/>
    <w:rsid w:val="00042AB7"/>
    <w:rsid w:val="0004302A"/>
    <w:rsid w:val="00043330"/>
    <w:rsid w:val="00043B8D"/>
    <w:rsid w:val="00043D2C"/>
    <w:rsid w:val="00044986"/>
    <w:rsid w:val="00044CB9"/>
    <w:rsid w:val="0004504E"/>
    <w:rsid w:val="000454EE"/>
    <w:rsid w:val="00045A2F"/>
    <w:rsid w:val="000462DA"/>
    <w:rsid w:val="0004633C"/>
    <w:rsid w:val="00046726"/>
    <w:rsid w:val="00046B44"/>
    <w:rsid w:val="00046E74"/>
    <w:rsid w:val="0004700B"/>
    <w:rsid w:val="000471C4"/>
    <w:rsid w:val="00047380"/>
    <w:rsid w:val="00047864"/>
    <w:rsid w:val="00047964"/>
    <w:rsid w:val="00047B31"/>
    <w:rsid w:val="00052118"/>
    <w:rsid w:val="000526FC"/>
    <w:rsid w:val="00052CE2"/>
    <w:rsid w:val="0005323C"/>
    <w:rsid w:val="00053C3D"/>
    <w:rsid w:val="00053DD2"/>
    <w:rsid w:val="000541F4"/>
    <w:rsid w:val="000552C4"/>
    <w:rsid w:val="000554AC"/>
    <w:rsid w:val="00055A25"/>
    <w:rsid w:val="000566B1"/>
    <w:rsid w:val="000567B6"/>
    <w:rsid w:val="000569B1"/>
    <w:rsid w:val="00056A6E"/>
    <w:rsid w:val="0005747E"/>
    <w:rsid w:val="00057EA1"/>
    <w:rsid w:val="00057FE1"/>
    <w:rsid w:val="000603D2"/>
    <w:rsid w:val="000608DB"/>
    <w:rsid w:val="00060B0C"/>
    <w:rsid w:val="0006122D"/>
    <w:rsid w:val="000614DC"/>
    <w:rsid w:val="00061632"/>
    <w:rsid w:val="000618B9"/>
    <w:rsid w:val="00062318"/>
    <w:rsid w:val="0006281D"/>
    <w:rsid w:val="00062AC4"/>
    <w:rsid w:val="00062B74"/>
    <w:rsid w:val="00063586"/>
    <w:rsid w:val="00063B6E"/>
    <w:rsid w:val="00064037"/>
    <w:rsid w:val="00064294"/>
    <w:rsid w:val="000643EE"/>
    <w:rsid w:val="00064417"/>
    <w:rsid w:val="000648C6"/>
    <w:rsid w:val="00064DFB"/>
    <w:rsid w:val="00065C29"/>
    <w:rsid w:val="00065D25"/>
    <w:rsid w:val="00065DBA"/>
    <w:rsid w:val="000664DA"/>
    <w:rsid w:val="0006685D"/>
    <w:rsid w:val="000669CF"/>
    <w:rsid w:val="00067109"/>
    <w:rsid w:val="00067403"/>
    <w:rsid w:val="00067D43"/>
    <w:rsid w:val="000713C6"/>
    <w:rsid w:val="000715B5"/>
    <w:rsid w:val="00071C04"/>
    <w:rsid w:val="0007238B"/>
    <w:rsid w:val="00073213"/>
    <w:rsid w:val="000732F3"/>
    <w:rsid w:val="00073789"/>
    <w:rsid w:val="00073F14"/>
    <w:rsid w:val="000743C1"/>
    <w:rsid w:val="00074490"/>
    <w:rsid w:val="0007533B"/>
    <w:rsid w:val="000753C4"/>
    <w:rsid w:val="00075A7B"/>
    <w:rsid w:val="00075BC7"/>
    <w:rsid w:val="0007641F"/>
    <w:rsid w:val="00076671"/>
    <w:rsid w:val="000768B7"/>
    <w:rsid w:val="000769A3"/>
    <w:rsid w:val="00076AEB"/>
    <w:rsid w:val="00076B2C"/>
    <w:rsid w:val="00076C32"/>
    <w:rsid w:val="00076DDE"/>
    <w:rsid w:val="000770F5"/>
    <w:rsid w:val="0008025D"/>
    <w:rsid w:val="00080E59"/>
    <w:rsid w:val="000815CF"/>
    <w:rsid w:val="0008177E"/>
    <w:rsid w:val="00081B44"/>
    <w:rsid w:val="000821DD"/>
    <w:rsid w:val="00082613"/>
    <w:rsid w:val="00082900"/>
    <w:rsid w:val="00083CCC"/>
    <w:rsid w:val="00083DA8"/>
    <w:rsid w:val="00084247"/>
    <w:rsid w:val="00084337"/>
    <w:rsid w:val="0008478E"/>
    <w:rsid w:val="00084A85"/>
    <w:rsid w:val="00084E66"/>
    <w:rsid w:val="0008561B"/>
    <w:rsid w:val="00087415"/>
    <w:rsid w:val="00087CC7"/>
    <w:rsid w:val="00087F0F"/>
    <w:rsid w:val="00090323"/>
    <w:rsid w:val="00090D1E"/>
    <w:rsid w:val="00090E6B"/>
    <w:rsid w:val="00091EF1"/>
    <w:rsid w:val="000926EA"/>
    <w:rsid w:val="0009279F"/>
    <w:rsid w:val="00092D5E"/>
    <w:rsid w:val="00092F71"/>
    <w:rsid w:val="00094423"/>
    <w:rsid w:val="00094488"/>
    <w:rsid w:val="00095CA6"/>
    <w:rsid w:val="00095CC5"/>
    <w:rsid w:val="00095F1C"/>
    <w:rsid w:val="0009617B"/>
    <w:rsid w:val="000963ED"/>
    <w:rsid w:val="000964D4"/>
    <w:rsid w:val="000968A2"/>
    <w:rsid w:val="00097461"/>
    <w:rsid w:val="000975B2"/>
    <w:rsid w:val="0009779A"/>
    <w:rsid w:val="00097A02"/>
    <w:rsid w:val="00097C41"/>
    <w:rsid w:val="00097DA1"/>
    <w:rsid w:val="00097ECB"/>
    <w:rsid w:val="00097F2B"/>
    <w:rsid w:val="000A0398"/>
    <w:rsid w:val="000A1B6E"/>
    <w:rsid w:val="000A1C84"/>
    <w:rsid w:val="000A1CF7"/>
    <w:rsid w:val="000A24FF"/>
    <w:rsid w:val="000A2515"/>
    <w:rsid w:val="000A2AD5"/>
    <w:rsid w:val="000A361F"/>
    <w:rsid w:val="000A3B3C"/>
    <w:rsid w:val="000A4016"/>
    <w:rsid w:val="000A504D"/>
    <w:rsid w:val="000A5626"/>
    <w:rsid w:val="000A58B9"/>
    <w:rsid w:val="000A5992"/>
    <w:rsid w:val="000B0357"/>
    <w:rsid w:val="000B0497"/>
    <w:rsid w:val="000B0977"/>
    <w:rsid w:val="000B1336"/>
    <w:rsid w:val="000B1386"/>
    <w:rsid w:val="000B1905"/>
    <w:rsid w:val="000B1B70"/>
    <w:rsid w:val="000B2671"/>
    <w:rsid w:val="000B27BD"/>
    <w:rsid w:val="000B2E1A"/>
    <w:rsid w:val="000B39EC"/>
    <w:rsid w:val="000B3C84"/>
    <w:rsid w:val="000B494A"/>
    <w:rsid w:val="000B4A7E"/>
    <w:rsid w:val="000B4E9C"/>
    <w:rsid w:val="000B6170"/>
    <w:rsid w:val="000B66A1"/>
    <w:rsid w:val="000B66CC"/>
    <w:rsid w:val="000B708F"/>
    <w:rsid w:val="000B75C5"/>
    <w:rsid w:val="000B771D"/>
    <w:rsid w:val="000B7B0D"/>
    <w:rsid w:val="000B7B10"/>
    <w:rsid w:val="000B7CF0"/>
    <w:rsid w:val="000B7F3F"/>
    <w:rsid w:val="000C0067"/>
    <w:rsid w:val="000C03C5"/>
    <w:rsid w:val="000C0E29"/>
    <w:rsid w:val="000C1006"/>
    <w:rsid w:val="000C12AC"/>
    <w:rsid w:val="000C15AC"/>
    <w:rsid w:val="000C2093"/>
    <w:rsid w:val="000C255C"/>
    <w:rsid w:val="000C2D83"/>
    <w:rsid w:val="000C2E2C"/>
    <w:rsid w:val="000C3186"/>
    <w:rsid w:val="000C3464"/>
    <w:rsid w:val="000C4114"/>
    <w:rsid w:val="000C47A3"/>
    <w:rsid w:val="000C4EA2"/>
    <w:rsid w:val="000C5B22"/>
    <w:rsid w:val="000C65D6"/>
    <w:rsid w:val="000C696B"/>
    <w:rsid w:val="000C6C4E"/>
    <w:rsid w:val="000C726A"/>
    <w:rsid w:val="000C7D3C"/>
    <w:rsid w:val="000D0A14"/>
    <w:rsid w:val="000D0C25"/>
    <w:rsid w:val="000D1047"/>
    <w:rsid w:val="000D1198"/>
    <w:rsid w:val="000D11A4"/>
    <w:rsid w:val="000D1DE1"/>
    <w:rsid w:val="000D22FD"/>
    <w:rsid w:val="000D2565"/>
    <w:rsid w:val="000D26DF"/>
    <w:rsid w:val="000D2D84"/>
    <w:rsid w:val="000D31B5"/>
    <w:rsid w:val="000D363F"/>
    <w:rsid w:val="000D3A7D"/>
    <w:rsid w:val="000D4298"/>
    <w:rsid w:val="000D437D"/>
    <w:rsid w:val="000D473D"/>
    <w:rsid w:val="000D4B5C"/>
    <w:rsid w:val="000D4F96"/>
    <w:rsid w:val="000D531E"/>
    <w:rsid w:val="000D5323"/>
    <w:rsid w:val="000D5C5F"/>
    <w:rsid w:val="000D5E07"/>
    <w:rsid w:val="000D6532"/>
    <w:rsid w:val="000D7C8A"/>
    <w:rsid w:val="000D7CFD"/>
    <w:rsid w:val="000E0006"/>
    <w:rsid w:val="000E0F39"/>
    <w:rsid w:val="000E14B2"/>
    <w:rsid w:val="000E14B4"/>
    <w:rsid w:val="000E1549"/>
    <w:rsid w:val="000E1C17"/>
    <w:rsid w:val="000E1C6F"/>
    <w:rsid w:val="000E1D43"/>
    <w:rsid w:val="000E22BE"/>
    <w:rsid w:val="000E2823"/>
    <w:rsid w:val="000E3453"/>
    <w:rsid w:val="000E3AEC"/>
    <w:rsid w:val="000E3F04"/>
    <w:rsid w:val="000E3F6A"/>
    <w:rsid w:val="000E42D9"/>
    <w:rsid w:val="000E43C6"/>
    <w:rsid w:val="000E46E8"/>
    <w:rsid w:val="000E4996"/>
    <w:rsid w:val="000E4B30"/>
    <w:rsid w:val="000E5267"/>
    <w:rsid w:val="000E5EE7"/>
    <w:rsid w:val="000E6427"/>
    <w:rsid w:val="000E6EA6"/>
    <w:rsid w:val="000E7913"/>
    <w:rsid w:val="000F0069"/>
    <w:rsid w:val="000F0276"/>
    <w:rsid w:val="000F04AB"/>
    <w:rsid w:val="000F12F3"/>
    <w:rsid w:val="000F15DC"/>
    <w:rsid w:val="000F177B"/>
    <w:rsid w:val="000F1831"/>
    <w:rsid w:val="000F19DD"/>
    <w:rsid w:val="000F1B35"/>
    <w:rsid w:val="000F1FCB"/>
    <w:rsid w:val="000F22A3"/>
    <w:rsid w:val="000F2CD2"/>
    <w:rsid w:val="000F32B3"/>
    <w:rsid w:val="000F3774"/>
    <w:rsid w:val="000F390B"/>
    <w:rsid w:val="000F3A88"/>
    <w:rsid w:val="000F42BE"/>
    <w:rsid w:val="000F4FE4"/>
    <w:rsid w:val="000F58E7"/>
    <w:rsid w:val="000F67EC"/>
    <w:rsid w:val="000F6AE3"/>
    <w:rsid w:val="000F6E19"/>
    <w:rsid w:val="000F71BA"/>
    <w:rsid w:val="000F79EC"/>
    <w:rsid w:val="001012BE"/>
    <w:rsid w:val="00101803"/>
    <w:rsid w:val="00101A4E"/>
    <w:rsid w:val="00102F44"/>
    <w:rsid w:val="00102F71"/>
    <w:rsid w:val="00103024"/>
    <w:rsid w:val="0010322D"/>
    <w:rsid w:val="00103752"/>
    <w:rsid w:val="00104726"/>
    <w:rsid w:val="00104E71"/>
    <w:rsid w:val="00104E7D"/>
    <w:rsid w:val="00105258"/>
    <w:rsid w:val="001060C1"/>
    <w:rsid w:val="001063D6"/>
    <w:rsid w:val="00106516"/>
    <w:rsid w:val="00106882"/>
    <w:rsid w:val="0010697E"/>
    <w:rsid w:val="001076ED"/>
    <w:rsid w:val="00107844"/>
    <w:rsid w:val="0010797E"/>
    <w:rsid w:val="00107A38"/>
    <w:rsid w:val="00110900"/>
    <w:rsid w:val="00111329"/>
    <w:rsid w:val="0011147D"/>
    <w:rsid w:val="00111595"/>
    <w:rsid w:val="00111BE6"/>
    <w:rsid w:val="00111FF3"/>
    <w:rsid w:val="00112F70"/>
    <w:rsid w:val="0011344A"/>
    <w:rsid w:val="00113812"/>
    <w:rsid w:val="00113FEF"/>
    <w:rsid w:val="0011430D"/>
    <w:rsid w:val="00114385"/>
    <w:rsid w:val="001145F3"/>
    <w:rsid w:val="00115245"/>
    <w:rsid w:val="00115898"/>
    <w:rsid w:val="00115D12"/>
    <w:rsid w:val="00116524"/>
    <w:rsid w:val="00117343"/>
    <w:rsid w:val="001173C1"/>
    <w:rsid w:val="0011783C"/>
    <w:rsid w:val="00117965"/>
    <w:rsid w:val="00117D63"/>
    <w:rsid w:val="00120289"/>
    <w:rsid w:val="00120A42"/>
    <w:rsid w:val="00120DB7"/>
    <w:rsid w:val="00120E1D"/>
    <w:rsid w:val="001210C6"/>
    <w:rsid w:val="00121310"/>
    <w:rsid w:val="001214B2"/>
    <w:rsid w:val="00121D6D"/>
    <w:rsid w:val="001224C7"/>
    <w:rsid w:val="00122959"/>
    <w:rsid w:val="00122DC8"/>
    <w:rsid w:val="00122E49"/>
    <w:rsid w:val="0012364D"/>
    <w:rsid w:val="00123665"/>
    <w:rsid w:val="00123680"/>
    <w:rsid w:val="00123DC2"/>
    <w:rsid w:val="0012426D"/>
    <w:rsid w:val="00124662"/>
    <w:rsid w:val="001248A4"/>
    <w:rsid w:val="001258C6"/>
    <w:rsid w:val="00125BDA"/>
    <w:rsid w:val="00125F72"/>
    <w:rsid w:val="0012671C"/>
    <w:rsid w:val="00126965"/>
    <w:rsid w:val="00126A19"/>
    <w:rsid w:val="00127ADA"/>
    <w:rsid w:val="0013064B"/>
    <w:rsid w:val="001309F1"/>
    <w:rsid w:val="00130D1F"/>
    <w:rsid w:val="00130F92"/>
    <w:rsid w:val="00131007"/>
    <w:rsid w:val="00131325"/>
    <w:rsid w:val="00131543"/>
    <w:rsid w:val="00132013"/>
    <w:rsid w:val="001328ED"/>
    <w:rsid w:val="00133296"/>
    <w:rsid w:val="00133322"/>
    <w:rsid w:val="00133466"/>
    <w:rsid w:val="00134036"/>
    <w:rsid w:val="001340F4"/>
    <w:rsid w:val="00134470"/>
    <w:rsid w:val="00134B79"/>
    <w:rsid w:val="00135C25"/>
    <w:rsid w:val="00135E05"/>
    <w:rsid w:val="00137B70"/>
    <w:rsid w:val="00140A6C"/>
    <w:rsid w:val="00140B02"/>
    <w:rsid w:val="0014185B"/>
    <w:rsid w:val="00141AF1"/>
    <w:rsid w:val="0014208E"/>
    <w:rsid w:val="00143E0F"/>
    <w:rsid w:val="00143E1B"/>
    <w:rsid w:val="00143EE3"/>
    <w:rsid w:val="001441DA"/>
    <w:rsid w:val="00145B61"/>
    <w:rsid w:val="00145B6A"/>
    <w:rsid w:val="0014616E"/>
    <w:rsid w:val="001462FC"/>
    <w:rsid w:val="001468BA"/>
    <w:rsid w:val="00146DDD"/>
    <w:rsid w:val="0014710A"/>
    <w:rsid w:val="001472F6"/>
    <w:rsid w:val="0015010C"/>
    <w:rsid w:val="00150AC6"/>
    <w:rsid w:val="00150C6C"/>
    <w:rsid w:val="0015121B"/>
    <w:rsid w:val="00151489"/>
    <w:rsid w:val="00151D69"/>
    <w:rsid w:val="0015272F"/>
    <w:rsid w:val="0015292C"/>
    <w:rsid w:val="001529AF"/>
    <w:rsid w:val="001533D2"/>
    <w:rsid w:val="00153BCD"/>
    <w:rsid w:val="0015434F"/>
    <w:rsid w:val="00154728"/>
    <w:rsid w:val="0015495D"/>
    <w:rsid w:val="00154E59"/>
    <w:rsid w:val="00154EC6"/>
    <w:rsid w:val="001550D0"/>
    <w:rsid w:val="001553DB"/>
    <w:rsid w:val="00155596"/>
    <w:rsid w:val="001561F3"/>
    <w:rsid w:val="00156240"/>
    <w:rsid w:val="001562CB"/>
    <w:rsid w:val="0015650B"/>
    <w:rsid w:val="0015676D"/>
    <w:rsid w:val="001567D0"/>
    <w:rsid w:val="00157759"/>
    <w:rsid w:val="0015786A"/>
    <w:rsid w:val="00157C3E"/>
    <w:rsid w:val="00160326"/>
    <w:rsid w:val="00160F54"/>
    <w:rsid w:val="001613AD"/>
    <w:rsid w:val="0016159B"/>
    <w:rsid w:val="00161B42"/>
    <w:rsid w:val="00161DC5"/>
    <w:rsid w:val="001626E2"/>
    <w:rsid w:val="00162D60"/>
    <w:rsid w:val="00163249"/>
    <w:rsid w:val="0016348C"/>
    <w:rsid w:val="00164225"/>
    <w:rsid w:val="001645AC"/>
    <w:rsid w:val="00164952"/>
    <w:rsid w:val="00164BE7"/>
    <w:rsid w:val="00164F18"/>
    <w:rsid w:val="001650A8"/>
    <w:rsid w:val="001652B4"/>
    <w:rsid w:val="001652F6"/>
    <w:rsid w:val="0016539E"/>
    <w:rsid w:val="0016546B"/>
    <w:rsid w:val="0016590C"/>
    <w:rsid w:val="00165F11"/>
    <w:rsid w:val="001665E5"/>
    <w:rsid w:val="00167BB4"/>
    <w:rsid w:val="00167D7A"/>
    <w:rsid w:val="00170368"/>
    <w:rsid w:val="00170A5D"/>
    <w:rsid w:val="0017100E"/>
    <w:rsid w:val="00171177"/>
    <w:rsid w:val="0017129E"/>
    <w:rsid w:val="0017207B"/>
    <w:rsid w:val="00172644"/>
    <w:rsid w:val="00172F5D"/>
    <w:rsid w:val="0017317F"/>
    <w:rsid w:val="0017322D"/>
    <w:rsid w:val="001738BC"/>
    <w:rsid w:val="00173B17"/>
    <w:rsid w:val="00173C62"/>
    <w:rsid w:val="00173DFC"/>
    <w:rsid w:val="001744A6"/>
    <w:rsid w:val="00174B7E"/>
    <w:rsid w:val="001750DB"/>
    <w:rsid w:val="0017511F"/>
    <w:rsid w:val="0017518A"/>
    <w:rsid w:val="00175265"/>
    <w:rsid w:val="00175449"/>
    <w:rsid w:val="00175877"/>
    <w:rsid w:val="00175D58"/>
    <w:rsid w:val="00175FF8"/>
    <w:rsid w:val="0017652F"/>
    <w:rsid w:val="00176B78"/>
    <w:rsid w:val="00177207"/>
    <w:rsid w:val="001773A8"/>
    <w:rsid w:val="001779BC"/>
    <w:rsid w:val="001801AB"/>
    <w:rsid w:val="00180773"/>
    <w:rsid w:val="00180B60"/>
    <w:rsid w:val="001812DE"/>
    <w:rsid w:val="001815EB"/>
    <w:rsid w:val="001822E1"/>
    <w:rsid w:val="001829E9"/>
    <w:rsid w:val="00182C6A"/>
    <w:rsid w:val="00183192"/>
    <w:rsid w:val="00183D2B"/>
    <w:rsid w:val="00183E73"/>
    <w:rsid w:val="001852B1"/>
    <w:rsid w:val="00186D2C"/>
    <w:rsid w:val="00187669"/>
    <w:rsid w:val="00187691"/>
    <w:rsid w:val="00187AA4"/>
    <w:rsid w:val="0019046A"/>
    <w:rsid w:val="0019087A"/>
    <w:rsid w:val="001910E9"/>
    <w:rsid w:val="00192693"/>
    <w:rsid w:val="00192AD9"/>
    <w:rsid w:val="00193169"/>
    <w:rsid w:val="0019325C"/>
    <w:rsid w:val="00193F31"/>
    <w:rsid w:val="001941ED"/>
    <w:rsid w:val="00194234"/>
    <w:rsid w:val="001943EF"/>
    <w:rsid w:val="0019451B"/>
    <w:rsid w:val="00194991"/>
    <w:rsid w:val="0019568E"/>
    <w:rsid w:val="001962FD"/>
    <w:rsid w:val="00196AFF"/>
    <w:rsid w:val="00196E3A"/>
    <w:rsid w:val="00197791"/>
    <w:rsid w:val="00197C67"/>
    <w:rsid w:val="00197C81"/>
    <w:rsid w:val="00197F5E"/>
    <w:rsid w:val="00197FC6"/>
    <w:rsid w:val="001A00C1"/>
    <w:rsid w:val="001A0282"/>
    <w:rsid w:val="001A028D"/>
    <w:rsid w:val="001A0391"/>
    <w:rsid w:val="001A08B8"/>
    <w:rsid w:val="001A0E90"/>
    <w:rsid w:val="001A1544"/>
    <w:rsid w:val="001A19B0"/>
    <w:rsid w:val="001A1B0B"/>
    <w:rsid w:val="001A1B25"/>
    <w:rsid w:val="001A2212"/>
    <w:rsid w:val="001A2328"/>
    <w:rsid w:val="001A3E89"/>
    <w:rsid w:val="001A5D66"/>
    <w:rsid w:val="001A6457"/>
    <w:rsid w:val="001A6D17"/>
    <w:rsid w:val="001A7239"/>
    <w:rsid w:val="001A7558"/>
    <w:rsid w:val="001A75D3"/>
    <w:rsid w:val="001A7D24"/>
    <w:rsid w:val="001A7FEA"/>
    <w:rsid w:val="001B0765"/>
    <w:rsid w:val="001B091A"/>
    <w:rsid w:val="001B09A6"/>
    <w:rsid w:val="001B0E3A"/>
    <w:rsid w:val="001B1045"/>
    <w:rsid w:val="001B1368"/>
    <w:rsid w:val="001B1623"/>
    <w:rsid w:val="001B2213"/>
    <w:rsid w:val="001B2640"/>
    <w:rsid w:val="001B2D50"/>
    <w:rsid w:val="001B3751"/>
    <w:rsid w:val="001B39AE"/>
    <w:rsid w:val="001B3F45"/>
    <w:rsid w:val="001B4530"/>
    <w:rsid w:val="001B58A2"/>
    <w:rsid w:val="001B64D9"/>
    <w:rsid w:val="001B65A6"/>
    <w:rsid w:val="001B67F5"/>
    <w:rsid w:val="001B6BD7"/>
    <w:rsid w:val="001B736C"/>
    <w:rsid w:val="001B766C"/>
    <w:rsid w:val="001C057A"/>
    <w:rsid w:val="001C0BDD"/>
    <w:rsid w:val="001C16D7"/>
    <w:rsid w:val="001C27A3"/>
    <w:rsid w:val="001C2FBB"/>
    <w:rsid w:val="001C3037"/>
    <w:rsid w:val="001C318A"/>
    <w:rsid w:val="001C38A1"/>
    <w:rsid w:val="001C39C7"/>
    <w:rsid w:val="001C428B"/>
    <w:rsid w:val="001C4BE1"/>
    <w:rsid w:val="001C4D95"/>
    <w:rsid w:val="001C58CC"/>
    <w:rsid w:val="001C5BE4"/>
    <w:rsid w:val="001C5DC6"/>
    <w:rsid w:val="001C5EF4"/>
    <w:rsid w:val="001C5FF8"/>
    <w:rsid w:val="001C61FF"/>
    <w:rsid w:val="001C6700"/>
    <w:rsid w:val="001C6AF9"/>
    <w:rsid w:val="001C6BFC"/>
    <w:rsid w:val="001C733F"/>
    <w:rsid w:val="001C77DD"/>
    <w:rsid w:val="001C7BF6"/>
    <w:rsid w:val="001C7C4D"/>
    <w:rsid w:val="001D0DC4"/>
    <w:rsid w:val="001D1686"/>
    <w:rsid w:val="001D204D"/>
    <w:rsid w:val="001D2565"/>
    <w:rsid w:val="001D260C"/>
    <w:rsid w:val="001D2874"/>
    <w:rsid w:val="001D29AE"/>
    <w:rsid w:val="001D2EA8"/>
    <w:rsid w:val="001D32FD"/>
    <w:rsid w:val="001D397D"/>
    <w:rsid w:val="001D3C81"/>
    <w:rsid w:val="001D3EE2"/>
    <w:rsid w:val="001D41F1"/>
    <w:rsid w:val="001D46D9"/>
    <w:rsid w:val="001D486E"/>
    <w:rsid w:val="001D4BB8"/>
    <w:rsid w:val="001D4E49"/>
    <w:rsid w:val="001D55F9"/>
    <w:rsid w:val="001D5949"/>
    <w:rsid w:val="001D636C"/>
    <w:rsid w:val="001D6CF5"/>
    <w:rsid w:val="001D7859"/>
    <w:rsid w:val="001D7AC3"/>
    <w:rsid w:val="001D7ACC"/>
    <w:rsid w:val="001D7B35"/>
    <w:rsid w:val="001E00D7"/>
    <w:rsid w:val="001E0460"/>
    <w:rsid w:val="001E060F"/>
    <w:rsid w:val="001E0613"/>
    <w:rsid w:val="001E06F5"/>
    <w:rsid w:val="001E0775"/>
    <w:rsid w:val="001E07DD"/>
    <w:rsid w:val="001E0CA3"/>
    <w:rsid w:val="001E0D1B"/>
    <w:rsid w:val="001E103B"/>
    <w:rsid w:val="001E1114"/>
    <w:rsid w:val="001E142E"/>
    <w:rsid w:val="001E142F"/>
    <w:rsid w:val="001E1F7D"/>
    <w:rsid w:val="001E2210"/>
    <w:rsid w:val="001E2212"/>
    <w:rsid w:val="001E2974"/>
    <w:rsid w:val="001E2DA9"/>
    <w:rsid w:val="001E3179"/>
    <w:rsid w:val="001E3931"/>
    <w:rsid w:val="001E5131"/>
    <w:rsid w:val="001E5529"/>
    <w:rsid w:val="001E5D73"/>
    <w:rsid w:val="001E6314"/>
    <w:rsid w:val="001E6ED0"/>
    <w:rsid w:val="001E77C7"/>
    <w:rsid w:val="001E7DA7"/>
    <w:rsid w:val="001F0581"/>
    <w:rsid w:val="001F05C0"/>
    <w:rsid w:val="001F12AB"/>
    <w:rsid w:val="001F1468"/>
    <w:rsid w:val="001F1477"/>
    <w:rsid w:val="001F1531"/>
    <w:rsid w:val="001F1770"/>
    <w:rsid w:val="001F1F54"/>
    <w:rsid w:val="001F2977"/>
    <w:rsid w:val="001F2C6A"/>
    <w:rsid w:val="001F2D04"/>
    <w:rsid w:val="001F3644"/>
    <w:rsid w:val="001F3767"/>
    <w:rsid w:val="001F3CAE"/>
    <w:rsid w:val="001F4669"/>
    <w:rsid w:val="001F49F7"/>
    <w:rsid w:val="001F5035"/>
    <w:rsid w:val="001F5D81"/>
    <w:rsid w:val="001F6A08"/>
    <w:rsid w:val="001F6F2B"/>
    <w:rsid w:val="001F6FCB"/>
    <w:rsid w:val="001F7BC5"/>
    <w:rsid w:val="001F7FC2"/>
    <w:rsid w:val="002008E6"/>
    <w:rsid w:val="002009B6"/>
    <w:rsid w:val="00200D85"/>
    <w:rsid w:val="0020161E"/>
    <w:rsid w:val="00201ECC"/>
    <w:rsid w:val="0020229A"/>
    <w:rsid w:val="0020258E"/>
    <w:rsid w:val="00202687"/>
    <w:rsid w:val="00202C55"/>
    <w:rsid w:val="00202F97"/>
    <w:rsid w:val="00203048"/>
    <w:rsid w:val="00203099"/>
    <w:rsid w:val="00203B2C"/>
    <w:rsid w:val="00204AC4"/>
    <w:rsid w:val="002053DD"/>
    <w:rsid w:val="00205999"/>
    <w:rsid w:val="00206909"/>
    <w:rsid w:val="00206ED7"/>
    <w:rsid w:val="0020713D"/>
    <w:rsid w:val="00207393"/>
    <w:rsid w:val="00207996"/>
    <w:rsid w:val="00207AFE"/>
    <w:rsid w:val="00207F92"/>
    <w:rsid w:val="002101BB"/>
    <w:rsid w:val="00210A60"/>
    <w:rsid w:val="00211108"/>
    <w:rsid w:val="00211E3E"/>
    <w:rsid w:val="00212B52"/>
    <w:rsid w:val="00212E44"/>
    <w:rsid w:val="00213440"/>
    <w:rsid w:val="002135A1"/>
    <w:rsid w:val="002137F8"/>
    <w:rsid w:val="00213914"/>
    <w:rsid w:val="00213BDE"/>
    <w:rsid w:val="00214884"/>
    <w:rsid w:val="00214D52"/>
    <w:rsid w:val="0021536A"/>
    <w:rsid w:val="0021586F"/>
    <w:rsid w:val="00215BA5"/>
    <w:rsid w:val="002169E8"/>
    <w:rsid w:val="00216BCA"/>
    <w:rsid w:val="00216E31"/>
    <w:rsid w:val="002172D6"/>
    <w:rsid w:val="00217A1B"/>
    <w:rsid w:val="002204A3"/>
    <w:rsid w:val="0022103E"/>
    <w:rsid w:val="002214E2"/>
    <w:rsid w:val="002216BF"/>
    <w:rsid w:val="00221808"/>
    <w:rsid w:val="0022241E"/>
    <w:rsid w:val="00222D24"/>
    <w:rsid w:val="00223928"/>
    <w:rsid w:val="00223968"/>
    <w:rsid w:val="00223AC3"/>
    <w:rsid w:val="00224003"/>
    <w:rsid w:val="0022426E"/>
    <w:rsid w:val="002246DB"/>
    <w:rsid w:val="0022485A"/>
    <w:rsid w:val="002248E4"/>
    <w:rsid w:val="00224C0F"/>
    <w:rsid w:val="00226016"/>
    <w:rsid w:val="00226ECB"/>
    <w:rsid w:val="002271D2"/>
    <w:rsid w:val="00227325"/>
    <w:rsid w:val="0023022F"/>
    <w:rsid w:val="00230D61"/>
    <w:rsid w:val="00231437"/>
    <w:rsid w:val="00231602"/>
    <w:rsid w:val="00231882"/>
    <w:rsid w:val="00231995"/>
    <w:rsid w:val="00231A6B"/>
    <w:rsid w:val="0023235A"/>
    <w:rsid w:val="00232A6F"/>
    <w:rsid w:val="00233364"/>
    <w:rsid w:val="00233D5B"/>
    <w:rsid w:val="0023419D"/>
    <w:rsid w:val="002346DB"/>
    <w:rsid w:val="00234C6F"/>
    <w:rsid w:val="00234E67"/>
    <w:rsid w:val="00234EFB"/>
    <w:rsid w:val="00234F48"/>
    <w:rsid w:val="002360DB"/>
    <w:rsid w:val="00236AE3"/>
    <w:rsid w:val="00236F37"/>
    <w:rsid w:val="00237558"/>
    <w:rsid w:val="0023795E"/>
    <w:rsid w:val="00237B60"/>
    <w:rsid w:val="002400E6"/>
    <w:rsid w:val="002406BD"/>
    <w:rsid w:val="002409BF"/>
    <w:rsid w:val="00241917"/>
    <w:rsid w:val="00242380"/>
    <w:rsid w:val="0024263E"/>
    <w:rsid w:val="00242846"/>
    <w:rsid w:val="00242CFB"/>
    <w:rsid w:val="00242E6A"/>
    <w:rsid w:val="00243281"/>
    <w:rsid w:val="00243294"/>
    <w:rsid w:val="002437F9"/>
    <w:rsid w:val="00244F4E"/>
    <w:rsid w:val="0024500A"/>
    <w:rsid w:val="00245381"/>
    <w:rsid w:val="00245933"/>
    <w:rsid w:val="00245A32"/>
    <w:rsid w:val="002462F5"/>
    <w:rsid w:val="002463DF"/>
    <w:rsid w:val="00246473"/>
    <w:rsid w:val="00247467"/>
    <w:rsid w:val="00247A69"/>
    <w:rsid w:val="00247C43"/>
    <w:rsid w:val="00247EEB"/>
    <w:rsid w:val="00250394"/>
    <w:rsid w:val="00250982"/>
    <w:rsid w:val="00250B38"/>
    <w:rsid w:val="00251183"/>
    <w:rsid w:val="00251336"/>
    <w:rsid w:val="00251D3D"/>
    <w:rsid w:val="00252900"/>
    <w:rsid w:val="00252DB4"/>
    <w:rsid w:val="0025330D"/>
    <w:rsid w:val="002533C5"/>
    <w:rsid w:val="00253568"/>
    <w:rsid w:val="00253B4E"/>
    <w:rsid w:val="00253B9A"/>
    <w:rsid w:val="00254018"/>
    <w:rsid w:val="002543D0"/>
    <w:rsid w:val="00254988"/>
    <w:rsid w:val="00254E57"/>
    <w:rsid w:val="00254EFF"/>
    <w:rsid w:val="00255100"/>
    <w:rsid w:val="00255951"/>
    <w:rsid w:val="00256352"/>
    <w:rsid w:val="00256692"/>
    <w:rsid w:val="0025678A"/>
    <w:rsid w:val="0025707E"/>
    <w:rsid w:val="00257291"/>
    <w:rsid w:val="002600FD"/>
    <w:rsid w:val="0026073B"/>
    <w:rsid w:val="00260BF8"/>
    <w:rsid w:val="00261163"/>
    <w:rsid w:val="0026229C"/>
    <w:rsid w:val="00262464"/>
    <w:rsid w:val="00262BEB"/>
    <w:rsid w:val="002636CF"/>
    <w:rsid w:val="00263CD9"/>
    <w:rsid w:val="00263E02"/>
    <w:rsid w:val="002643EA"/>
    <w:rsid w:val="0026449D"/>
    <w:rsid w:val="00264DCB"/>
    <w:rsid w:val="00265254"/>
    <w:rsid w:val="002656CA"/>
    <w:rsid w:val="00266052"/>
    <w:rsid w:val="00266A57"/>
    <w:rsid w:val="00266C60"/>
    <w:rsid w:val="00266D99"/>
    <w:rsid w:val="00266FC2"/>
    <w:rsid w:val="0026703D"/>
    <w:rsid w:val="002671CE"/>
    <w:rsid w:val="00267FC0"/>
    <w:rsid w:val="00270F2A"/>
    <w:rsid w:val="00272194"/>
    <w:rsid w:val="00272701"/>
    <w:rsid w:val="00272723"/>
    <w:rsid w:val="00272810"/>
    <w:rsid w:val="002738C6"/>
    <w:rsid w:val="00273E45"/>
    <w:rsid w:val="00273FA0"/>
    <w:rsid w:val="00273FB9"/>
    <w:rsid w:val="00274568"/>
    <w:rsid w:val="002749DA"/>
    <w:rsid w:val="00275010"/>
    <w:rsid w:val="0027593C"/>
    <w:rsid w:val="00275C84"/>
    <w:rsid w:val="00275FD9"/>
    <w:rsid w:val="00276477"/>
    <w:rsid w:val="00276A99"/>
    <w:rsid w:val="00276AA7"/>
    <w:rsid w:val="00276B6F"/>
    <w:rsid w:val="00276BAB"/>
    <w:rsid w:val="0027781A"/>
    <w:rsid w:val="0027791B"/>
    <w:rsid w:val="00277E90"/>
    <w:rsid w:val="00280B6C"/>
    <w:rsid w:val="00281052"/>
    <w:rsid w:val="002810B4"/>
    <w:rsid w:val="00281231"/>
    <w:rsid w:val="002815DC"/>
    <w:rsid w:val="00281690"/>
    <w:rsid w:val="00281C0E"/>
    <w:rsid w:val="00281D17"/>
    <w:rsid w:val="00281FBF"/>
    <w:rsid w:val="00282000"/>
    <w:rsid w:val="00282D1C"/>
    <w:rsid w:val="00283410"/>
    <w:rsid w:val="00283497"/>
    <w:rsid w:val="0028385F"/>
    <w:rsid w:val="00283DF8"/>
    <w:rsid w:val="00283F76"/>
    <w:rsid w:val="002840A8"/>
    <w:rsid w:val="00284522"/>
    <w:rsid w:val="0028471A"/>
    <w:rsid w:val="00286E0F"/>
    <w:rsid w:val="002874A0"/>
    <w:rsid w:val="00287E8B"/>
    <w:rsid w:val="00290393"/>
    <w:rsid w:val="00290A6C"/>
    <w:rsid w:val="00290AF6"/>
    <w:rsid w:val="002916BB"/>
    <w:rsid w:val="002919F1"/>
    <w:rsid w:val="00292506"/>
    <w:rsid w:val="00292736"/>
    <w:rsid w:val="002932CE"/>
    <w:rsid w:val="00293631"/>
    <w:rsid w:val="002936C5"/>
    <w:rsid w:val="002938FA"/>
    <w:rsid w:val="00293CC6"/>
    <w:rsid w:val="00293FAE"/>
    <w:rsid w:val="002945C4"/>
    <w:rsid w:val="0029491F"/>
    <w:rsid w:val="0029546D"/>
    <w:rsid w:val="0029595E"/>
    <w:rsid w:val="002959E7"/>
    <w:rsid w:val="00295C82"/>
    <w:rsid w:val="002964EC"/>
    <w:rsid w:val="00296557"/>
    <w:rsid w:val="00296B7F"/>
    <w:rsid w:val="00297582"/>
    <w:rsid w:val="0029798E"/>
    <w:rsid w:val="002979F2"/>
    <w:rsid w:val="00297B28"/>
    <w:rsid w:val="00297CAA"/>
    <w:rsid w:val="00297CD4"/>
    <w:rsid w:val="002A033E"/>
    <w:rsid w:val="002A05D9"/>
    <w:rsid w:val="002A0701"/>
    <w:rsid w:val="002A081B"/>
    <w:rsid w:val="002A0B6B"/>
    <w:rsid w:val="002A1403"/>
    <w:rsid w:val="002A1727"/>
    <w:rsid w:val="002A1F7B"/>
    <w:rsid w:val="002A20ED"/>
    <w:rsid w:val="002A25B7"/>
    <w:rsid w:val="002A27C9"/>
    <w:rsid w:val="002A29CB"/>
    <w:rsid w:val="002A3170"/>
    <w:rsid w:val="002A39A8"/>
    <w:rsid w:val="002A3D68"/>
    <w:rsid w:val="002A3E4C"/>
    <w:rsid w:val="002A414E"/>
    <w:rsid w:val="002A41E2"/>
    <w:rsid w:val="002A42E3"/>
    <w:rsid w:val="002A469C"/>
    <w:rsid w:val="002A46A7"/>
    <w:rsid w:val="002A4B4F"/>
    <w:rsid w:val="002A4BD7"/>
    <w:rsid w:val="002A4D60"/>
    <w:rsid w:val="002A51DB"/>
    <w:rsid w:val="002A5368"/>
    <w:rsid w:val="002A6480"/>
    <w:rsid w:val="002A65BE"/>
    <w:rsid w:val="002A680A"/>
    <w:rsid w:val="002A6E5D"/>
    <w:rsid w:val="002A72E7"/>
    <w:rsid w:val="002A73BC"/>
    <w:rsid w:val="002A7F28"/>
    <w:rsid w:val="002B04FF"/>
    <w:rsid w:val="002B05F3"/>
    <w:rsid w:val="002B060C"/>
    <w:rsid w:val="002B1672"/>
    <w:rsid w:val="002B17F3"/>
    <w:rsid w:val="002B1843"/>
    <w:rsid w:val="002B19D0"/>
    <w:rsid w:val="002B2159"/>
    <w:rsid w:val="002B217C"/>
    <w:rsid w:val="002B3426"/>
    <w:rsid w:val="002B38D9"/>
    <w:rsid w:val="002B39BC"/>
    <w:rsid w:val="002B406A"/>
    <w:rsid w:val="002B4223"/>
    <w:rsid w:val="002B4D10"/>
    <w:rsid w:val="002B5A47"/>
    <w:rsid w:val="002B6034"/>
    <w:rsid w:val="002B7929"/>
    <w:rsid w:val="002C01E9"/>
    <w:rsid w:val="002C0251"/>
    <w:rsid w:val="002C0292"/>
    <w:rsid w:val="002C1338"/>
    <w:rsid w:val="002C1424"/>
    <w:rsid w:val="002C156D"/>
    <w:rsid w:val="002C2084"/>
    <w:rsid w:val="002C222A"/>
    <w:rsid w:val="002C2DDA"/>
    <w:rsid w:val="002C2F78"/>
    <w:rsid w:val="002C32D9"/>
    <w:rsid w:val="002C3D20"/>
    <w:rsid w:val="002C3D8A"/>
    <w:rsid w:val="002C3E50"/>
    <w:rsid w:val="002C4854"/>
    <w:rsid w:val="002C4AE6"/>
    <w:rsid w:val="002C4B9B"/>
    <w:rsid w:val="002C4E67"/>
    <w:rsid w:val="002C55B2"/>
    <w:rsid w:val="002C5B0A"/>
    <w:rsid w:val="002C5DC0"/>
    <w:rsid w:val="002C5FD2"/>
    <w:rsid w:val="002C63D6"/>
    <w:rsid w:val="002C72C1"/>
    <w:rsid w:val="002C7E8F"/>
    <w:rsid w:val="002D01BA"/>
    <w:rsid w:val="002D0463"/>
    <w:rsid w:val="002D06B4"/>
    <w:rsid w:val="002D07E3"/>
    <w:rsid w:val="002D084A"/>
    <w:rsid w:val="002D0FD3"/>
    <w:rsid w:val="002D17A0"/>
    <w:rsid w:val="002D17FE"/>
    <w:rsid w:val="002D1A05"/>
    <w:rsid w:val="002D1D9F"/>
    <w:rsid w:val="002D2084"/>
    <w:rsid w:val="002D2977"/>
    <w:rsid w:val="002D307B"/>
    <w:rsid w:val="002D34CB"/>
    <w:rsid w:val="002D383A"/>
    <w:rsid w:val="002D402D"/>
    <w:rsid w:val="002D4178"/>
    <w:rsid w:val="002D43A7"/>
    <w:rsid w:val="002D4BEF"/>
    <w:rsid w:val="002D4EC4"/>
    <w:rsid w:val="002D5126"/>
    <w:rsid w:val="002D5185"/>
    <w:rsid w:val="002D54F2"/>
    <w:rsid w:val="002D5B11"/>
    <w:rsid w:val="002D6260"/>
    <w:rsid w:val="002D635F"/>
    <w:rsid w:val="002D64B9"/>
    <w:rsid w:val="002D654C"/>
    <w:rsid w:val="002D6816"/>
    <w:rsid w:val="002D6A5F"/>
    <w:rsid w:val="002D6CD0"/>
    <w:rsid w:val="002D7160"/>
    <w:rsid w:val="002E064E"/>
    <w:rsid w:val="002E15E9"/>
    <w:rsid w:val="002E1E8E"/>
    <w:rsid w:val="002E253A"/>
    <w:rsid w:val="002E28C4"/>
    <w:rsid w:val="002E2971"/>
    <w:rsid w:val="002E30D6"/>
    <w:rsid w:val="002E3118"/>
    <w:rsid w:val="002E3223"/>
    <w:rsid w:val="002E3811"/>
    <w:rsid w:val="002E3F05"/>
    <w:rsid w:val="002E48E8"/>
    <w:rsid w:val="002E4B25"/>
    <w:rsid w:val="002E59C3"/>
    <w:rsid w:val="002E5F3F"/>
    <w:rsid w:val="002E60D1"/>
    <w:rsid w:val="002E6105"/>
    <w:rsid w:val="002E6150"/>
    <w:rsid w:val="002E64EF"/>
    <w:rsid w:val="002E6C8A"/>
    <w:rsid w:val="002E6F9C"/>
    <w:rsid w:val="002E72FD"/>
    <w:rsid w:val="002F0601"/>
    <w:rsid w:val="002F0760"/>
    <w:rsid w:val="002F10A4"/>
    <w:rsid w:val="002F12CF"/>
    <w:rsid w:val="002F12FE"/>
    <w:rsid w:val="002F179E"/>
    <w:rsid w:val="002F17AB"/>
    <w:rsid w:val="002F1D84"/>
    <w:rsid w:val="002F23AD"/>
    <w:rsid w:val="002F24D3"/>
    <w:rsid w:val="002F30D3"/>
    <w:rsid w:val="002F3133"/>
    <w:rsid w:val="002F3DA6"/>
    <w:rsid w:val="002F3FFF"/>
    <w:rsid w:val="002F4438"/>
    <w:rsid w:val="002F450F"/>
    <w:rsid w:val="002F47E5"/>
    <w:rsid w:val="002F512F"/>
    <w:rsid w:val="002F5701"/>
    <w:rsid w:val="002F5E51"/>
    <w:rsid w:val="002F5F2D"/>
    <w:rsid w:val="002F6338"/>
    <w:rsid w:val="002F68EA"/>
    <w:rsid w:val="002F6A67"/>
    <w:rsid w:val="002F6D46"/>
    <w:rsid w:val="002F6EA0"/>
    <w:rsid w:val="002F70EE"/>
    <w:rsid w:val="002F724E"/>
    <w:rsid w:val="002F7E5A"/>
    <w:rsid w:val="0030068D"/>
    <w:rsid w:val="00301A32"/>
    <w:rsid w:val="003027FB"/>
    <w:rsid w:val="00302C46"/>
    <w:rsid w:val="00302CA1"/>
    <w:rsid w:val="00302F6F"/>
    <w:rsid w:val="003030B7"/>
    <w:rsid w:val="0030319A"/>
    <w:rsid w:val="00303393"/>
    <w:rsid w:val="0030423E"/>
    <w:rsid w:val="003044C6"/>
    <w:rsid w:val="003049ED"/>
    <w:rsid w:val="00305D5B"/>
    <w:rsid w:val="0030748E"/>
    <w:rsid w:val="003074CD"/>
    <w:rsid w:val="0030786B"/>
    <w:rsid w:val="0030786F"/>
    <w:rsid w:val="0031001C"/>
    <w:rsid w:val="00310158"/>
    <w:rsid w:val="0031072D"/>
    <w:rsid w:val="00310E3A"/>
    <w:rsid w:val="00311D81"/>
    <w:rsid w:val="00312210"/>
    <w:rsid w:val="003142CB"/>
    <w:rsid w:val="00314356"/>
    <w:rsid w:val="003143A5"/>
    <w:rsid w:val="00314652"/>
    <w:rsid w:val="00314713"/>
    <w:rsid w:val="0031488B"/>
    <w:rsid w:val="003148AE"/>
    <w:rsid w:val="00314B3E"/>
    <w:rsid w:val="0031586C"/>
    <w:rsid w:val="00315A17"/>
    <w:rsid w:val="00315FE3"/>
    <w:rsid w:val="00316B25"/>
    <w:rsid w:val="0031709C"/>
    <w:rsid w:val="00317735"/>
    <w:rsid w:val="00317900"/>
    <w:rsid w:val="00320434"/>
    <w:rsid w:val="00320568"/>
    <w:rsid w:val="00320655"/>
    <w:rsid w:val="0032085D"/>
    <w:rsid w:val="00320976"/>
    <w:rsid w:val="00320C2A"/>
    <w:rsid w:val="00320D1E"/>
    <w:rsid w:val="00321007"/>
    <w:rsid w:val="003210CC"/>
    <w:rsid w:val="003212BA"/>
    <w:rsid w:val="003213E7"/>
    <w:rsid w:val="00321700"/>
    <w:rsid w:val="00321AF2"/>
    <w:rsid w:val="0032269C"/>
    <w:rsid w:val="003233E5"/>
    <w:rsid w:val="003235A8"/>
    <w:rsid w:val="003236F5"/>
    <w:rsid w:val="003237DC"/>
    <w:rsid w:val="00323B14"/>
    <w:rsid w:val="00323D0E"/>
    <w:rsid w:val="00323E57"/>
    <w:rsid w:val="0032419D"/>
    <w:rsid w:val="0032425E"/>
    <w:rsid w:val="003243A3"/>
    <w:rsid w:val="00324CE5"/>
    <w:rsid w:val="00325073"/>
    <w:rsid w:val="00325960"/>
    <w:rsid w:val="00326267"/>
    <w:rsid w:val="00327290"/>
    <w:rsid w:val="003277DB"/>
    <w:rsid w:val="00327F53"/>
    <w:rsid w:val="00330B17"/>
    <w:rsid w:val="0033187A"/>
    <w:rsid w:val="00331C5E"/>
    <w:rsid w:val="00331DE0"/>
    <w:rsid w:val="00332113"/>
    <w:rsid w:val="0033242B"/>
    <w:rsid w:val="00332969"/>
    <w:rsid w:val="003329F5"/>
    <w:rsid w:val="00332E2C"/>
    <w:rsid w:val="003331D9"/>
    <w:rsid w:val="00333EAB"/>
    <w:rsid w:val="00334422"/>
    <w:rsid w:val="00334529"/>
    <w:rsid w:val="0033486B"/>
    <w:rsid w:val="00334DDA"/>
    <w:rsid w:val="00335147"/>
    <w:rsid w:val="0033523C"/>
    <w:rsid w:val="00335A12"/>
    <w:rsid w:val="0033663E"/>
    <w:rsid w:val="0033748E"/>
    <w:rsid w:val="00337520"/>
    <w:rsid w:val="003377E4"/>
    <w:rsid w:val="0033786D"/>
    <w:rsid w:val="0033792D"/>
    <w:rsid w:val="003379B6"/>
    <w:rsid w:val="00337DC7"/>
    <w:rsid w:val="00337E8D"/>
    <w:rsid w:val="00337ED1"/>
    <w:rsid w:val="0034022B"/>
    <w:rsid w:val="003402BE"/>
    <w:rsid w:val="003403C8"/>
    <w:rsid w:val="00340833"/>
    <w:rsid w:val="00340D11"/>
    <w:rsid w:val="003411B4"/>
    <w:rsid w:val="00341CC3"/>
    <w:rsid w:val="00341E58"/>
    <w:rsid w:val="0034200E"/>
    <w:rsid w:val="003423FB"/>
    <w:rsid w:val="003429FA"/>
    <w:rsid w:val="00342C29"/>
    <w:rsid w:val="00343D1C"/>
    <w:rsid w:val="0034413D"/>
    <w:rsid w:val="00344380"/>
    <w:rsid w:val="00345162"/>
    <w:rsid w:val="00345559"/>
    <w:rsid w:val="00345BE0"/>
    <w:rsid w:val="00345E35"/>
    <w:rsid w:val="00345E57"/>
    <w:rsid w:val="00346597"/>
    <w:rsid w:val="00347644"/>
    <w:rsid w:val="00347843"/>
    <w:rsid w:val="00347A57"/>
    <w:rsid w:val="00347AD6"/>
    <w:rsid w:val="00347D50"/>
    <w:rsid w:val="00350E9F"/>
    <w:rsid w:val="00351EB9"/>
    <w:rsid w:val="003524B1"/>
    <w:rsid w:val="0035298A"/>
    <w:rsid w:val="00352B12"/>
    <w:rsid w:val="00353055"/>
    <w:rsid w:val="00353580"/>
    <w:rsid w:val="00353582"/>
    <w:rsid w:val="00354999"/>
    <w:rsid w:val="00355250"/>
    <w:rsid w:val="00355433"/>
    <w:rsid w:val="0035551B"/>
    <w:rsid w:val="003555C1"/>
    <w:rsid w:val="00355B81"/>
    <w:rsid w:val="00355F2D"/>
    <w:rsid w:val="003562A6"/>
    <w:rsid w:val="0035659A"/>
    <w:rsid w:val="003565E2"/>
    <w:rsid w:val="0035666A"/>
    <w:rsid w:val="00356B7C"/>
    <w:rsid w:val="00356D20"/>
    <w:rsid w:val="0035710D"/>
    <w:rsid w:val="003574FA"/>
    <w:rsid w:val="00357B0C"/>
    <w:rsid w:val="00357F59"/>
    <w:rsid w:val="00360549"/>
    <w:rsid w:val="003606E8"/>
    <w:rsid w:val="00361726"/>
    <w:rsid w:val="00361A0A"/>
    <w:rsid w:val="00361B40"/>
    <w:rsid w:val="0036200C"/>
    <w:rsid w:val="00362150"/>
    <w:rsid w:val="003621C4"/>
    <w:rsid w:val="00362780"/>
    <w:rsid w:val="003627D3"/>
    <w:rsid w:val="00362A67"/>
    <w:rsid w:val="00362D2C"/>
    <w:rsid w:val="00362F60"/>
    <w:rsid w:val="003631D1"/>
    <w:rsid w:val="0036369F"/>
    <w:rsid w:val="00363775"/>
    <w:rsid w:val="00364101"/>
    <w:rsid w:val="0036415B"/>
    <w:rsid w:val="00364795"/>
    <w:rsid w:val="003648D7"/>
    <w:rsid w:val="003653D9"/>
    <w:rsid w:val="00365595"/>
    <w:rsid w:val="00365917"/>
    <w:rsid w:val="00365A12"/>
    <w:rsid w:val="003660A2"/>
    <w:rsid w:val="003663D8"/>
    <w:rsid w:val="0036668A"/>
    <w:rsid w:val="003675A8"/>
    <w:rsid w:val="00367714"/>
    <w:rsid w:val="0036776F"/>
    <w:rsid w:val="0036781E"/>
    <w:rsid w:val="00367BE1"/>
    <w:rsid w:val="0037030F"/>
    <w:rsid w:val="0037056C"/>
    <w:rsid w:val="00370D8B"/>
    <w:rsid w:val="00371318"/>
    <w:rsid w:val="00371370"/>
    <w:rsid w:val="003714F9"/>
    <w:rsid w:val="00372207"/>
    <w:rsid w:val="0037234E"/>
    <w:rsid w:val="00372664"/>
    <w:rsid w:val="00372CA8"/>
    <w:rsid w:val="0037314D"/>
    <w:rsid w:val="00373547"/>
    <w:rsid w:val="003739AA"/>
    <w:rsid w:val="00373C3F"/>
    <w:rsid w:val="00373C7E"/>
    <w:rsid w:val="00373F9A"/>
    <w:rsid w:val="0037462F"/>
    <w:rsid w:val="003757D5"/>
    <w:rsid w:val="00375BE7"/>
    <w:rsid w:val="00375E6C"/>
    <w:rsid w:val="00376B0F"/>
    <w:rsid w:val="00377B92"/>
    <w:rsid w:val="00377B94"/>
    <w:rsid w:val="0038040D"/>
    <w:rsid w:val="003804B1"/>
    <w:rsid w:val="00380525"/>
    <w:rsid w:val="00381117"/>
    <w:rsid w:val="00381242"/>
    <w:rsid w:val="0038157E"/>
    <w:rsid w:val="0038187E"/>
    <w:rsid w:val="00381DE5"/>
    <w:rsid w:val="003829A9"/>
    <w:rsid w:val="003848B1"/>
    <w:rsid w:val="00384ED6"/>
    <w:rsid w:val="00386001"/>
    <w:rsid w:val="00386437"/>
    <w:rsid w:val="00386E40"/>
    <w:rsid w:val="0038758B"/>
    <w:rsid w:val="003876E6"/>
    <w:rsid w:val="00387C53"/>
    <w:rsid w:val="00387DE2"/>
    <w:rsid w:val="0039031B"/>
    <w:rsid w:val="003907D2"/>
    <w:rsid w:val="00390810"/>
    <w:rsid w:val="00390B8B"/>
    <w:rsid w:val="00391307"/>
    <w:rsid w:val="0039138F"/>
    <w:rsid w:val="00391A75"/>
    <w:rsid w:val="00392434"/>
    <w:rsid w:val="00392844"/>
    <w:rsid w:val="00392CE0"/>
    <w:rsid w:val="0039448F"/>
    <w:rsid w:val="00394779"/>
    <w:rsid w:val="00394E44"/>
    <w:rsid w:val="0039615F"/>
    <w:rsid w:val="00396313"/>
    <w:rsid w:val="00396697"/>
    <w:rsid w:val="0039673B"/>
    <w:rsid w:val="00396A5D"/>
    <w:rsid w:val="00396FE4"/>
    <w:rsid w:val="00397332"/>
    <w:rsid w:val="00397D1B"/>
    <w:rsid w:val="003A061A"/>
    <w:rsid w:val="003A0773"/>
    <w:rsid w:val="003A0790"/>
    <w:rsid w:val="003A0DBD"/>
    <w:rsid w:val="003A0E19"/>
    <w:rsid w:val="003A15C0"/>
    <w:rsid w:val="003A1665"/>
    <w:rsid w:val="003A19D9"/>
    <w:rsid w:val="003A1C86"/>
    <w:rsid w:val="003A2067"/>
    <w:rsid w:val="003A2561"/>
    <w:rsid w:val="003A269B"/>
    <w:rsid w:val="003A291A"/>
    <w:rsid w:val="003A2B22"/>
    <w:rsid w:val="003A3344"/>
    <w:rsid w:val="003A367D"/>
    <w:rsid w:val="003A3776"/>
    <w:rsid w:val="003A3A10"/>
    <w:rsid w:val="003A3A2B"/>
    <w:rsid w:val="003A463D"/>
    <w:rsid w:val="003A48AA"/>
    <w:rsid w:val="003A494B"/>
    <w:rsid w:val="003A5026"/>
    <w:rsid w:val="003A54CA"/>
    <w:rsid w:val="003A54EC"/>
    <w:rsid w:val="003A56C5"/>
    <w:rsid w:val="003A586D"/>
    <w:rsid w:val="003A6390"/>
    <w:rsid w:val="003A63F7"/>
    <w:rsid w:val="003A64C9"/>
    <w:rsid w:val="003A6B58"/>
    <w:rsid w:val="003A6D0F"/>
    <w:rsid w:val="003A6DF0"/>
    <w:rsid w:val="003A706E"/>
    <w:rsid w:val="003A73DA"/>
    <w:rsid w:val="003A74CE"/>
    <w:rsid w:val="003A7510"/>
    <w:rsid w:val="003A771E"/>
    <w:rsid w:val="003A776A"/>
    <w:rsid w:val="003A7A34"/>
    <w:rsid w:val="003B0110"/>
    <w:rsid w:val="003B0687"/>
    <w:rsid w:val="003B0CB4"/>
    <w:rsid w:val="003B0CD6"/>
    <w:rsid w:val="003B0EAB"/>
    <w:rsid w:val="003B1034"/>
    <w:rsid w:val="003B1199"/>
    <w:rsid w:val="003B1DD8"/>
    <w:rsid w:val="003B1EFC"/>
    <w:rsid w:val="003B2109"/>
    <w:rsid w:val="003B2C36"/>
    <w:rsid w:val="003B2D29"/>
    <w:rsid w:val="003B3224"/>
    <w:rsid w:val="003B34A7"/>
    <w:rsid w:val="003B3ACE"/>
    <w:rsid w:val="003B43E8"/>
    <w:rsid w:val="003B49E4"/>
    <w:rsid w:val="003B4C1A"/>
    <w:rsid w:val="003B4C5E"/>
    <w:rsid w:val="003B4CD6"/>
    <w:rsid w:val="003B520D"/>
    <w:rsid w:val="003B54C7"/>
    <w:rsid w:val="003B5608"/>
    <w:rsid w:val="003B5A31"/>
    <w:rsid w:val="003B5B72"/>
    <w:rsid w:val="003B641C"/>
    <w:rsid w:val="003B68CE"/>
    <w:rsid w:val="003B6B75"/>
    <w:rsid w:val="003B6F8B"/>
    <w:rsid w:val="003B7156"/>
    <w:rsid w:val="003B7524"/>
    <w:rsid w:val="003C05D9"/>
    <w:rsid w:val="003C060F"/>
    <w:rsid w:val="003C075C"/>
    <w:rsid w:val="003C0BD4"/>
    <w:rsid w:val="003C0D92"/>
    <w:rsid w:val="003C0DF1"/>
    <w:rsid w:val="003C0F9F"/>
    <w:rsid w:val="003C1A87"/>
    <w:rsid w:val="003C215F"/>
    <w:rsid w:val="003C250C"/>
    <w:rsid w:val="003C33BD"/>
    <w:rsid w:val="003C3543"/>
    <w:rsid w:val="003C3C19"/>
    <w:rsid w:val="003C4298"/>
    <w:rsid w:val="003C42BE"/>
    <w:rsid w:val="003C45B1"/>
    <w:rsid w:val="003C46C0"/>
    <w:rsid w:val="003C4E9C"/>
    <w:rsid w:val="003C5D46"/>
    <w:rsid w:val="003C6629"/>
    <w:rsid w:val="003C6D54"/>
    <w:rsid w:val="003C7108"/>
    <w:rsid w:val="003C7290"/>
    <w:rsid w:val="003C72D0"/>
    <w:rsid w:val="003C785A"/>
    <w:rsid w:val="003C7EF1"/>
    <w:rsid w:val="003D0662"/>
    <w:rsid w:val="003D07C6"/>
    <w:rsid w:val="003D09D1"/>
    <w:rsid w:val="003D0BC4"/>
    <w:rsid w:val="003D125A"/>
    <w:rsid w:val="003D130B"/>
    <w:rsid w:val="003D139F"/>
    <w:rsid w:val="003D1A29"/>
    <w:rsid w:val="003D1BF0"/>
    <w:rsid w:val="003D2986"/>
    <w:rsid w:val="003D3645"/>
    <w:rsid w:val="003D3B55"/>
    <w:rsid w:val="003D3BB0"/>
    <w:rsid w:val="003D3D85"/>
    <w:rsid w:val="003D4EFC"/>
    <w:rsid w:val="003D532A"/>
    <w:rsid w:val="003D5332"/>
    <w:rsid w:val="003D57A0"/>
    <w:rsid w:val="003D6920"/>
    <w:rsid w:val="003D6B83"/>
    <w:rsid w:val="003D6C2F"/>
    <w:rsid w:val="003D6D58"/>
    <w:rsid w:val="003D72D5"/>
    <w:rsid w:val="003D762D"/>
    <w:rsid w:val="003D77B5"/>
    <w:rsid w:val="003D7916"/>
    <w:rsid w:val="003D7CC0"/>
    <w:rsid w:val="003D7E79"/>
    <w:rsid w:val="003D7FD0"/>
    <w:rsid w:val="003E0545"/>
    <w:rsid w:val="003E07E4"/>
    <w:rsid w:val="003E0F70"/>
    <w:rsid w:val="003E1124"/>
    <w:rsid w:val="003E1FF2"/>
    <w:rsid w:val="003E22A1"/>
    <w:rsid w:val="003E24EA"/>
    <w:rsid w:val="003E31AE"/>
    <w:rsid w:val="003E3ADD"/>
    <w:rsid w:val="003E3F2E"/>
    <w:rsid w:val="003E4764"/>
    <w:rsid w:val="003E4A0B"/>
    <w:rsid w:val="003E50E3"/>
    <w:rsid w:val="003E5D95"/>
    <w:rsid w:val="003E5EA7"/>
    <w:rsid w:val="003E5F5B"/>
    <w:rsid w:val="003E63AC"/>
    <w:rsid w:val="003E63C2"/>
    <w:rsid w:val="003E6788"/>
    <w:rsid w:val="003E7326"/>
    <w:rsid w:val="003E7724"/>
    <w:rsid w:val="003E7BB2"/>
    <w:rsid w:val="003F0118"/>
    <w:rsid w:val="003F0176"/>
    <w:rsid w:val="003F09BA"/>
    <w:rsid w:val="003F138C"/>
    <w:rsid w:val="003F228F"/>
    <w:rsid w:val="003F462F"/>
    <w:rsid w:val="003F4766"/>
    <w:rsid w:val="003F4B13"/>
    <w:rsid w:val="003F5B4E"/>
    <w:rsid w:val="003F5F1F"/>
    <w:rsid w:val="003F6BE7"/>
    <w:rsid w:val="003F6ECB"/>
    <w:rsid w:val="003F7FBE"/>
    <w:rsid w:val="0040036A"/>
    <w:rsid w:val="00400A31"/>
    <w:rsid w:val="00400D4F"/>
    <w:rsid w:val="004012BF"/>
    <w:rsid w:val="00401801"/>
    <w:rsid w:val="00401BF0"/>
    <w:rsid w:val="00401EB8"/>
    <w:rsid w:val="00402466"/>
    <w:rsid w:val="0040307A"/>
    <w:rsid w:val="00403234"/>
    <w:rsid w:val="004035D4"/>
    <w:rsid w:val="00403F96"/>
    <w:rsid w:val="00404270"/>
    <w:rsid w:val="00404F05"/>
    <w:rsid w:val="00404F42"/>
    <w:rsid w:val="00405015"/>
    <w:rsid w:val="00405293"/>
    <w:rsid w:val="00405D0E"/>
    <w:rsid w:val="00405E30"/>
    <w:rsid w:val="0040676E"/>
    <w:rsid w:val="004067FF"/>
    <w:rsid w:val="00406923"/>
    <w:rsid w:val="00407776"/>
    <w:rsid w:val="004102F8"/>
    <w:rsid w:val="0041032D"/>
    <w:rsid w:val="00411184"/>
    <w:rsid w:val="004112B9"/>
    <w:rsid w:val="004112E3"/>
    <w:rsid w:val="0041229E"/>
    <w:rsid w:val="00412D3E"/>
    <w:rsid w:val="00412DE5"/>
    <w:rsid w:val="004138A7"/>
    <w:rsid w:val="00413A73"/>
    <w:rsid w:val="00414175"/>
    <w:rsid w:val="00414F15"/>
    <w:rsid w:val="004158AA"/>
    <w:rsid w:val="004159A7"/>
    <w:rsid w:val="00415D9E"/>
    <w:rsid w:val="00416334"/>
    <w:rsid w:val="00416940"/>
    <w:rsid w:val="00417C28"/>
    <w:rsid w:val="0042067C"/>
    <w:rsid w:val="004214B3"/>
    <w:rsid w:val="00421517"/>
    <w:rsid w:val="00421901"/>
    <w:rsid w:val="004221F0"/>
    <w:rsid w:val="004225B0"/>
    <w:rsid w:val="004225C0"/>
    <w:rsid w:val="004232E4"/>
    <w:rsid w:val="0042348C"/>
    <w:rsid w:val="004236B7"/>
    <w:rsid w:val="00423E15"/>
    <w:rsid w:val="00424215"/>
    <w:rsid w:val="004244B8"/>
    <w:rsid w:val="0042517A"/>
    <w:rsid w:val="00425366"/>
    <w:rsid w:val="004263DD"/>
    <w:rsid w:val="00426DA2"/>
    <w:rsid w:val="00427140"/>
    <w:rsid w:val="00427798"/>
    <w:rsid w:val="00427A9D"/>
    <w:rsid w:val="004301B9"/>
    <w:rsid w:val="00430E10"/>
    <w:rsid w:val="00431021"/>
    <w:rsid w:val="0043126A"/>
    <w:rsid w:val="004315FB"/>
    <w:rsid w:val="004321A4"/>
    <w:rsid w:val="0043248B"/>
    <w:rsid w:val="004329BA"/>
    <w:rsid w:val="004329F6"/>
    <w:rsid w:val="00432A52"/>
    <w:rsid w:val="00432B1E"/>
    <w:rsid w:val="00432DEF"/>
    <w:rsid w:val="00432ED3"/>
    <w:rsid w:val="004335C6"/>
    <w:rsid w:val="00433693"/>
    <w:rsid w:val="0043412B"/>
    <w:rsid w:val="00434260"/>
    <w:rsid w:val="004343C6"/>
    <w:rsid w:val="00434400"/>
    <w:rsid w:val="00434441"/>
    <w:rsid w:val="0043494A"/>
    <w:rsid w:val="0043552E"/>
    <w:rsid w:val="00435D5C"/>
    <w:rsid w:val="00436B35"/>
    <w:rsid w:val="004370E8"/>
    <w:rsid w:val="0043765D"/>
    <w:rsid w:val="00437849"/>
    <w:rsid w:val="00437A51"/>
    <w:rsid w:val="00437BF0"/>
    <w:rsid w:val="00437CC8"/>
    <w:rsid w:val="00437FF6"/>
    <w:rsid w:val="00440831"/>
    <w:rsid w:val="004409B1"/>
    <w:rsid w:val="004409D0"/>
    <w:rsid w:val="00440B7A"/>
    <w:rsid w:val="00440D55"/>
    <w:rsid w:val="00441696"/>
    <w:rsid w:val="0044180B"/>
    <w:rsid w:val="004421AD"/>
    <w:rsid w:val="004421FD"/>
    <w:rsid w:val="0044236C"/>
    <w:rsid w:val="00442AFC"/>
    <w:rsid w:val="00442C23"/>
    <w:rsid w:val="00442E46"/>
    <w:rsid w:val="00443F79"/>
    <w:rsid w:val="0044429C"/>
    <w:rsid w:val="00444513"/>
    <w:rsid w:val="00444B5E"/>
    <w:rsid w:val="00444C21"/>
    <w:rsid w:val="00445208"/>
    <w:rsid w:val="004454FD"/>
    <w:rsid w:val="00445F00"/>
    <w:rsid w:val="004462A3"/>
    <w:rsid w:val="00446490"/>
    <w:rsid w:val="004467E0"/>
    <w:rsid w:val="00446971"/>
    <w:rsid w:val="004469AE"/>
    <w:rsid w:val="00446E44"/>
    <w:rsid w:val="004472C4"/>
    <w:rsid w:val="0044775E"/>
    <w:rsid w:val="00447DF3"/>
    <w:rsid w:val="004500C8"/>
    <w:rsid w:val="0045091A"/>
    <w:rsid w:val="00450988"/>
    <w:rsid w:val="00450A2F"/>
    <w:rsid w:val="00450A43"/>
    <w:rsid w:val="00450A5A"/>
    <w:rsid w:val="00450AF0"/>
    <w:rsid w:val="00450C19"/>
    <w:rsid w:val="00450CA0"/>
    <w:rsid w:val="00450D4F"/>
    <w:rsid w:val="00451013"/>
    <w:rsid w:val="00451551"/>
    <w:rsid w:val="00451828"/>
    <w:rsid w:val="004519C1"/>
    <w:rsid w:val="00451B01"/>
    <w:rsid w:val="004522C1"/>
    <w:rsid w:val="00452353"/>
    <w:rsid w:val="004523D5"/>
    <w:rsid w:val="00452E10"/>
    <w:rsid w:val="00452EDC"/>
    <w:rsid w:val="00452F24"/>
    <w:rsid w:val="00453152"/>
    <w:rsid w:val="00453EED"/>
    <w:rsid w:val="00454018"/>
    <w:rsid w:val="004548FA"/>
    <w:rsid w:val="00454CC8"/>
    <w:rsid w:val="00455047"/>
    <w:rsid w:val="00455750"/>
    <w:rsid w:val="004557F3"/>
    <w:rsid w:val="004567E1"/>
    <w:rsid w:val="00456C13"/>
    <w:rsid w:val="00456CBD"/>
    <w:rsid w:val="00456FFD"/>
    <w:rsid w:val="00457088"/>
    <w:rsid w:val="00457466"/>
    <w:rsid w:val="00457D24"/>
    <w:rsid w:val="00457DD8"/>
    <w:rsid w:val="004602DF"/>
    <w:rsid w:val="00460518"/>
    <w:rsid w:val="004609DA"/>
    <w:rsid w:val="0046101D"/>
    <w:rsid w:val="00461221"/>
    <w:rsid w:val="00461699"/>
    <w:rsid w:val="00461849"/>
    <w:rsid w:val="00462104"/>
    <w:rsid w:val="00462107"/>
    <w:rsid w:val="00462590"/>
    <w:rsid w:val="00462A6D"/>
    <w:rsid w:val="00463544"/>
    <w:rsid w:val="00463B0A"/>
    <w:rsid w:val="004641F2"/>
    <w:rsid w:val="0046426C"/>
    <w:rsid w:val="00464374"/>
    <w:rsid w:val="004643C0"/>
    <w:rsid w:val="0046447E"/>
    <w:rsid w:val="00464569"/>
    <w:rsid w:val="0046478C"/>
    <w:rsid w:val="00464948"/>
    <w:rsid w:val="00464A83"/>
    <w:rsid w:val="00465206"/>
    <w:rsid w:val="004652D0"/>
    <w:rsid w:val="00465BC2"/>
    <w:rsid w:val="00465BC7"/>
    <w:rsid w:val="004661F8"/>
    <w:rsid w:val="00466378"/>
    <w:rsid w:val="004663C3"/>
    <w:rsid w:val="00466CC4"/>
    <w:rsid w:val="00466EED"/>
    <w:rsid w:val="00467391"/>
    <w:rsid w:val="004674BF"/>
    <w:rsid w:val="00467E72"/>
    <w:rsid w:val="00467E90"/>
    <w:rsid w:val="0047035C"/>
    <w:rsid w:val="00470481"/>
    <w:rsid w:val="00470636"/>
    <w:rsid w:val="004711BE"/>
    <w:rsid w:val="00471671"/>
    <w:rsid w:val="00471CD6"/>
    <w:rsid w:val="00471DAE"/>
    <w:rsid w:val="004724C4"/>
    <w:rsid w:val="00472976"/>
    <w:rsid w:val="00472CD6"/>
    <w:rsid w:val="00473061"/>
    <w:rsid w:val="00473320"/>
    <w:rsid w:val="00473C2E"/>
    <w:rsid w:val="00473C4B"/>
    <w:rsid w:val="00474025"/>
    <w:rsid w:val="004742B6"/>
    <w:rsid w:val="0047447E"/>
    <w:rsid w:val="00474F6B"/>
    <w:rsid w:val="00474FDF"/>
    <w:rsid w:val="00475159"/>
    <w:rsid w:val="00475509"/>
    <w:rsid w:val="0047571E"/>
    <w:rsid w:val="004763AB"/>
    <w:rsid w:val="004767C3"/>
    <w:rsid w:val="00476EC1"/>
    <w:rsid w:val="004770CB"/>
    <w:rsid w:val="004775E6"/>
    <w:rsid w:val="004776BE"/>
    <w:rsid w:val="00480080"/>
    <w:rsid w:val="004810A9"/>
    <w:rsid w:val="00481154"/>
    <w:rsid w:val="004814E7"/>
    <w:rsid w:val="00481E6A"/>
    <w:rsid w:val="00482251"/>
    <w:rsid w:val="0048276D"/>
    <w:rsid w:val="00482B69"/>
    <w:rsid w:val="00483464"/>
    <w:rsid w:val="004840D5"/>
    <w:rsid w:val="0048472E"/>
    <w:rsid w:val="00484B38"/>
    <w:rsid w:val="00484FBA"/>
    <w:rsid w:val="004859AB"/>
    <w:rsid w:val="004868D6"/>
    <w:rsid w:val="0048727C"/>
    <w:rsid w:val="00487843"/>
    <w:rsid w:val="00487939"/>
    <w:rsid w:val="00487ABA"/>
    <w:rsid w:val="00487CD0"/>
    <w:rsid w:val="0049059F"/>
    <w:rsid w:val="004907DD"/>
    <w:rsid w:val="00490F03"/>
    <w:rsid w:val="0049143A"/>
    <w:rsid w:val="00491630"/>
    <w:rsid w:val="0049176E"/>
    <w:rsid w:val="004917FE"/>
    <w:rsid w:val="004918B9"/>
    <w:rsid w:val="00491EE2"/>
    <w:rsid w:val="004922F0"/>
    <w:rsid w:val="004927FF"/>
    <w:rsid w:val="004928D9"/>
    <w:rsid w:val="004929F2"/>
    <w:rsid w:val="00492DFE"/>
    <w:rsid w:val="00493426"/>
    <w:rsid w:val="004937E8"/>
    <w:rsid w:val="00493877"/>
    <w:rsid w:val="0049391A"/>
    <w:rsid w:val="00493DAE"/>
    <w:rsid w:val="00494922"/>
    <w:rsid w:val="0049500B"/>
    <w:rsid w:val="004956AD"/>
    <w:rsid w:val="00495773"/>
    <w:rsid w:val="004962E9"/>
    <w:rsid w:val="004968C9"/>
    <w:rsid w:val="00497188"/>
    <w:rsid w:val="004A0111"/>
    <w:rsid w:val="004A02B0"/>
    <w:rsid w:val="004A0434"/>
    <w:rsid w:val="004A0C11"/>
    <w:rsid w:val="004A1021"/>
    <w:rsid w:val="004A1968"/>
    <w:rsid w:val="004A1EA1"/>
    <w:rsid w:val="004A25BC"/>
    <w:rsid w:val="004A29C6"/>
    <w:rsid w:val="004A383D"/>
    <w:rsid w:val="004A3FFA"/>
    <w:rsid w:val="004A4282"/>
    <w:rsid w:val="004A468E"/>
    <w:rsid w:val="004A56F1"/>
    <w:rsid w:val="004A5A06"/>
    <w:rsid w:val="004A5B68"/>
    <w:rsid w:val="004A5EDB"/>
    <w:rsid w:val="004A63CC"/>
    <w:rsid w:val="004A6444"/>
    <w:rsid w:val="004A7A22"/>
    <w:rsid w:val="004B029F"/>
    <w:rsid w:val="004B0DD1"/>
    <w:rsid w:val="004B0E80"/>
    <w:rsid w:val="004B1421"/>
    <w:rsid w:val="004B17A7"/>
    <w:rsid w:val="004B259A"/>
    <w:rsid w:val="004B2BDB"/>
    <w:rsid w:val="004B389D"/>
    <w:rsid w:val="004B3B44"/>
    <w:rsid w:val="004B4530"/>
    <w:rsid w:val="004B45BF"/>
    <w:rsid w:val="004B51BB"/>
    <w:rsid w:val="004B538C"/>
    <w:rsid w:val="004B5658"/>
    <w:rsid w:val="004B5A1F"/>
    <w:rsid w:val="004B5ACE"/>
    <w:rsid w:val="004B5C5F"/>
    <w:rsid w:val="004B6E2D"/>
    <w:rsid w:val="004B73DD"/>
    <w:rsid w:val="004C0755"/>
    <w:rsid w:val="004C0BEF"/>
    <w:rsid w:val="004C37E0"/>
    <w:rsid w:val="004C39F9"/>
    <w:rsid w:val="004C3A8E"/>
    <w:rsid w:val="004C3C81"/>
    <w:rsid w:val="004C3D03"/>
    <w:rsid w:val="004C45CA"/>
    <w:rsid w:val="004C5160"/>
    <w:rsid w:val="004C5499"/>
    <w:rsid w:val="004C5CD9"/>
    <w:rsid w:val="004C61D2"/>
    <w:rsid w:val="004C69D8"/>
    <w:rsid w:val="004C7225"/>
    <w:rsid w:val="004C72B7"/>
    <w:rsid w:val="004C75A4"/>
    <w:rsid w:val="004C79E2"/>
    <w:rsid w:val="004C79F3"/>
    <w:rsid w:val="004D0AF6"/>
    <w:rsid w:val="004D16CF"/>
    <w:rsid w:val="004D184F"/>
    <w:rsid w:val="004D1C16"/>
    <w:rsid w:val="004D1CB6"/>
    <w:rsid w:val="004D1F29"/>
    <w:rsid w:val="004D261A"/>
    <w:rsid w:val="004D27EB"/>
    <w:rsid w:val="004D2D9E"/>
    <w:rsid w:val="004D37A4"/>
    <w:rsid w:val="004D37BD"/>
    <w:rsid w:val="004D3988"/>
    <w:rsid w:val="004D3B5E"/>
    <w:rsid w:val="004D410F"/>
    <w:rsid w:val="004D4143"/>
    <w:rsid w:val="004D4283"/>
    <w:rsid w:val="004D452A"/>
    <w:rsid w:val="004D457C"/>
    <w:rsid w:val="004D4F9F"/>
    <w:rsid w:val="004D551D"/>
    <w:rsid w:val="004D62EC"/>
    <w:rsid w:val="004D757C"/>
    <w:rsid w:val="004D7A4A"/>
    <w:rsid w:val="004D7BD2"/>
    <w:rsid w:val="004E0260"/>
    <w:rsid w:val="004E06EC"/>
    <w:rsid w:val="004E06FF"/>
    <w:rsid w:val="004E102A"/>
    <w:rsid w:val="004E17AF"/>
    <w:rsid w:val="004E1908"/>
    <w:rsid w:val="004E19B6"/>
    <w:rsid w:val="004E1D23"/>
    <w:rsid w:val="004E2560"/>
    <w:rsid w:val="004E2771"/>
    <w:rsid w:val="004E27BC"/>
    <w:rsid w:val="004E29EF"/>
    <w:rsid w:val="004E3988"/>
    <w:rsid w:val="004E3C8E"/>
    <w:rsid w:val="004E3F73"/>
    <w:rsid w:val="004E4026"/>
    <w:rsid w:val="004E4CBA"/>
    <w:rsid w:val="004E4FA6"/>
    <w:rsid w:val="004E4FE3"/>
    <w:rsid w:val="004E5804"/>
    <w:rsid w:val="004E596A"/>
    <w:rsid w:val="004E5D63"/>
    <w:rsid w:val="004E5EEE"/>
    <w:rsid w:val="004E64A6"/>
    <w:rsid w:val="004E6638"/>
    <w:rsid w:val="004E69C0"/>
    <w:rsid w:val="004E7445"/>
    <w:rsid w:val="004E7749"/>
    <w:rsid w:val="004E7CA6"/>
    <w:rsid w:val="004F0181"/>
    <w:rsid w:val="004F054E"/>
    <w:rsid w:val="004F0A4C"/>
    <w:rsid w:val="004F0E6D"/>
    <w:rsid w:val="004F1561"/>
    <w:rsid w:val="004F195A"/>
    <w:rsid w:val="004F1B26"/>
    <w:rsid w:val="004F1CBA"/>
    <w:rsid w:val="004F1FD1"/>
    <w:rsid w:val="004F27B0"/>
    <w:rsid w:val="004F2BC5"/>
    <w:rsid w:val="004F31FC"/>
    <w:rsid w:val="004F42BF"/>
    <w:rsid w:val="004F4A02"/>
    <w:rsid w:val="004F4F72"/>
    <w:rsid w:val="004F530C"/>
    <w:rsid w:val="004F60EA"/>
    <w:rsid w:val="004F6227"/>
    <w:rsid w:val="004F6613"/>
    <w:rsid w:val="004F68B9"/>
    <w:rsid w:val="004F6A3A"/>
    <w:rsid w:val="004F6A6D"/>
    <w:rsid w:val="004F6F94"/>
    <w:rsid w:val="004F7339"/>
    <w:rsid w:val="004F7919"/>
    <w:rsid w:val="00500473"/>
    <w:rsid w:val="00500AEA"/>
    <w:rsid w:val="00501732"/>
    <w:rsid w:val="005017C8"/>
    <w:rsid w:val="00501AFE"/>
    <w:rsid w:val="00502A5C"/>
    <w:rsid w:val="00503114"/>
    <w:rsid w:val="0050338C"/>
    <w:rsid w:val="005034A1"/>
    <w:rsid w:val="005035D5"/>
    <w:rsid w:val="00503CDE"/>
    <w:rsid w:val="005044F3"/>
    <w:rsid w:val="005045AE"/>
    <w:rsid w:val="00504CC9"/>
    <w:rsid w:val="00504DA8"/>
    <w:rsid w:val="005052C4"/>
    <w:rsid w:val="005053C1"/>
    <w:rsid w:val="005059E3"/>
    <w:rsid w:val="00505D97"/>
    <w:rsid w:val="00506144"/>
    <w:rsid w:val="005071A7"/>
    <w:rsid w:val="005101CB"/>
    <w:rsid w:val="00510489"/>
    <w:rsid w:val="0051064B"/>
    <w:rsid w:val="005109B3"/>
    <w:rsid w:val="00510B05"/>
    <w:rsid w:val="00510BAF"/>
    <w:rsid w:val="00510E27"/>
    <w:rsid w:val="005114A5"/>
    <w:rsid w:val="00512690"/>
    <w:rsid w:val="00513291"/>
    <w:rsid w:val="00513544"/>
    <w:rsid w:val="0051369A"/>
    <w:rsid w:val="00513836"/>
    <w:rsid w:val="00513887"/>
    <w:rsid w:val="00513D36"/>
    <w:rsid w:val="00513FA1"/>
    <w:rsid w:val="0051406F"/>
    <w:rsid w:val="00514CC8"/>
    <w:rsid w:val="00514FFB"/>
    <w:rsid w:val="0051516F"/>
    <w:rsid w:val="00515268"/>
    <w:rsid w:val="005154BB"/>
    <w:rsid w:val="005156AA"/>
    <w:rsid w:val="00515ECC"/>
    <w:rsid w:val="00515F3E"/>
    <w:rsid w:val="00516074"/>
    <w:rsid w:val="00516AC3"/>
    <w:rsid w:val="00517ABC"/>
    <w:rsid w:val="00517D1E"/>
    <w:rsid w:val="005203C2"/>
    <w:rsid w:val="00520868"/>
    <w:rsid w:val="00520E50"/>
    <w:rsid w:val="005214BF"/>
    <w:rsid w:val="00522162"/>
    <w:rsid w:val="00522A79"/>
    <w:rsid w:val="005231A8"/>
    <w:rsid w:val="00523E34"/>
    <w:rsid w:val="005252B6"/>
    <w:rsid w:val="005253AC"/>
    <w:rsid w:val="005253F9"/>
    <w:rsid w:val="00525496"/>
    <w:rsid w:val="00525816"/>
    <w:rsid w:val="00525B10"/>
    <w:rsid w:val="00526EFB"/>
    <w:rsid w:val="005274C8"/>
    <w:rsid w:val="00527930"/>
    <w:rsid w:val="00530217"/>
    <w:rsid w:val="00530827"/>
    <w:rsid w:val="00530A4C"/>
    <w:rsid w:val="00530D60"/>
    <w:rsid w:val="00531454"/>
    <w:rsid w:val="0053146C"/>
    <w:rsid w:val="005318BD"/>
    <w:rsid w:val="00531925"/>
    <w:rsid w:val="0053288D"/>
    <w:rsid w:val="00532D77"/>
    <w:rsid w:val="005332D4"/>
    <w:rsid w:val="00533455"/>
    <w:rsid w:val="00533D03"/>
    <w:rsid w:val="005344E4"/>
    <w:rsid w:val="00534716"/>
    <w:rsid w:val="005353FD"/>
    <w:rsid w:val="0053560F"/>
    <w:rsid w:val="00536778"/>
    <w:rsid w:val="005372FC"/>
    <w:rsid w:val="005373A1"/>
    <w:rsid w:val="0053783C"/>
    <w:rsid w:val="005400A8"/>
    <w:rsid w:val="005409D1"/>
    <w:rsid w:val="005428C8"/>
    <w:rsid w:val="0054290D"/>
    <w:rsid w:val="00543954"/>
    <w:rsid w:val="005439CF"/>
    <w:rsid w:val="00543D3A"/>
    <w:rsid w:val="00546154"/>
    <w:rsid w:val="00546262"/>
    <w:rsid w:val="005466C5"/>
    <w:rsid w:val="00546717"/>
    <w:rsid w:val="0054794C"/>
    <w:rsid w:val="00547A9A"/>
    <w:rsid w:val="00547FD4"/>
    <w:rsid w:val="00550EAC"/>
    <w:rsid w:val="00551678"/>
    <w:rsid w:val="00551A73"/>
    <w:rsid w:val="00552159"/>
    <w:rsid w:val="00552D99"/>
    <w:rsid w:val="00553963"/>
    <w:rsid w:val="00554224"/>
    <w:rsid w:val="00554CD7"/>
    <w:rsid w:val="00554F2B"/>
    <w:rsid w:val="0055585D"/>
    <w:rsid w:val="00555F21"/>
    <w:rsid w:val="00556B13"/>
    <w:rsid w:val="00557405"/>
    <w:rsid w:val="00557439"/>
    <w:rsid w:val="005608A5"/>
    <w:rsid w:val="005609D3"/>
    <w:rsid w:val="00560DD0"/>
    <w:rsid w:val="00561227"/>
    <w:rsid w:val="00561AA5"/>
    <w:rsid w:val="00561C6F"/>
    <w:rsid w:val="00562741"/>
    <w:rsid w:val="00562A40"/>
    <w:rsid w:val="0056346C"/>
    <w:rsid w:val="00563781"/>
    <w:rsid w:val="005637A2"/>
    <w:rsid w:val="00563923"/>
    <w:rsid w:val="005639BF"/>
    <w:rsid w:val="0056422D"/>
    <w:rsid w:val="00564341"/>
    <w:rsid w:val="00564495"/>
    <w:rsid w:val="005648C9"/>
    <w:rsid w:val="0056552B"/>
    <w:rsid w:val="005658DA"/>
    <w:rsid w:val="00565955"/>
    <w:rsid w:val="00565D72"/>
    <w:rsid w:val="00565F3D"/>
    <w:rsid w:val="00566246"/>
    <w:rsid w:val="0056721D"/>
    <w:rsid w:val="0056730C"/>
    <w:rsid w:val="005674F2"/>
    <w:rsid w:val="00567620"/>
    <w:rsid w:val="00567646"/>
    <w:rsid w:val="005677A9"/>
    <w:rsid w:val="00567967"/>
    <w:rsid w:val="00570362"/>
    <w:rsid w:val="005704BF"/>
    <w:rsid w:val="00570636"/>
    <w:rsid w:val="00570E39"/>
    <w:rsid w:val="00570F1E"/>
    <w:rsid w:val="0057111D"/>
    <w:rsid w:val="005718E1"/>
    <w:rsid w:val="00571C4F"/>
    <w:rsid w:val="00571F3E"/>
    <w:rsid w:val="00572323"/>
    <w:rsid w:val="0057270E"/>
    <w:rsid w:val="00572747"/>
    <w:rsid w:val="0057274A"/>
    <w:rsid w:val="00573270"/>
    <w:rsid w:val="005734EE"/>
    <w:rsid w:val="00573E33"/>
    <w:rsid w:val="005741C7"/>
    <w:rsid w:val="0057450D"/>
    <w:rsid w:val="00574DBE"/>
    <w:rsid w:val="005751FC"/>
    <w:rsid w:val="0057534C"/>
    <w:rsid w:val="005756B2"/>
    <w:rsid w:val="00575B66"/>
    <w:rsid w:val="00575BB6"/>
    <w:rsid w:val="00575C36"/>
    <w:rsid w:val="00575F5B"/>
    <w:rsid w:val="0057655A"/>
    <w:rsid w:val="005769F7"/>
    <w:rsid w:val="00576BEF"/>
    <w:rsid w:val="00577105"/>
    <w:rsid w:val="0057755A"/>
    <w:rsid w:val="005775FD"/>
    <w:rsid w:val="00577C78"/>
    <w:rsid w:val="005807C1"/>
    <w:rsid w:val="00580897"/>
    <w:rsid w:val="00580E2C"/>
    <w:rsid w:val="005812AB"/>
    <w:rsid w:val="00581451"/>
    <w:rsid w:val="00581C9B"/>
    <w:rsid w:val="00582174"/>
    <w:rsid w:val="0058281E"/>
    <w:rsid w:val="0058288F"/>
    <w:rsid w:val="00582F60"/>
    <w:rsid w:val="00583B7B"/>
    <w:rsid w:val="00583E1C"/>
    <w:rsid w:val="00583E8E"/>
    <w:rsid w:val="00584257"/>
    <w:rsid w:val="00584275"/>
    <w:rsid w:val="005843B7"/>
    <w:rsid w:val="005848DE"/>
    <w:rsid w:val="005851AB"/>
    <w:rsid w:val="00585F96"/>
    <w:rsid w:val="00586C76"/>
    <w:rsid w:val="00586EB6"/>
    <w:rsid w:val="005878A7"/>
    <w:rsid w:val="005878B9"/>
    <w:rsid w:val="00587E88"/>
    <w:rsid w:val="0059041D"/>
    <w:rsid w:val="00590D69"/>
    <w:rsid w:val="0059103F"/>
    <w:rsid w:val="00591472"/>
    <w:rsid w:val="00591772"/>
    <w:rsid w:val="00591ACC"/>
    <w:rsid w:val="00591B9B"/>
    <w:rsid w:val="00593F07"/>
    <w:rsid w:val="00594751"/>
    <w:rsid w:val="00594841"/>
    <w:rsid w:val="00594CEF"/>
    <w:rsid w:val="00595A7B"/>
    <w:rsid w:val="00595AAE"/>
    <w:rsid w:val="00595DBC"/>
    <w:rsid w:val="00596222"/>
    <w:rsid w:val="00596C03"/>
    <w:rsid w:val="00596EE2"/>
    <w:rsid w:val="00597976"/>
    <w:rsid w:val="00597E39"/>
    <w:rsid w:val="00597E81"/>
    <w:rsid w:val="005A0273"/>
    <w:rsid w:val="005A1D85"/>
    <w:rsid w:val="005A2E6F"/>
    <w:rsid w:val="005A32FD"/>
    <w:rsid w:val="005A33A3"/>
    <w:rsid w:val="005A3500"/>
    <w:rsid w:val="005A35BC"/>
    <w:rsid w:val="005A3D8D"/>
    <w:rsid w:val="005A4303"/>
    <w:rsid w:val="005A486A"/>
    <w:rsid w:val="005A4ACB"/>
    <w:rsid w:val="005A4D06"/>
    <w:rsid w:val="005A4D73"/>
    <w:rsid w:val="005A4E6B"/>
    <w:rsid w:val="005A4F6A"/>
    <w:rsid w:val="005A5949"/>
    <w:rsid w:val="005A5CD5"/>
    <w:rsid w:val="005A5D07"/>
    <w:rsid w:val="005A5ED8"/>
    <w:rsid w:val="005A659A"/>
    <w:rsid w:val="005A66CA"/>
    <w:rsid w:val="005A69D9"/>
    <w:rsid w:val="005A6AC1"/>
    <w:rsid w:val="005A6C94"/>
    <w:rsid w:val="005A7C10"/>
    <w:rsid w:val="005B00BE"/>
    <w:rsid w:val="005B0196"/>
    <w:rsid w:val="005B1165"/>
    <w:rsid w:val="005B16DB"/>
    <w:rsid w:val="005B1C40"/>
    <w:rsid w:val="005B1E71"/>
    <w:rsid w:val="005B20E0"/>
    <w:rsid w:val="005B2585"/>
    <w:rsid w:val="005B2DB9"/>
    <w:rsid w:val="005B376C"/>
    <w:rsid w:val="005B3AEB"/>
    <w:rsid w:val="005B3D4A"/>
    <w:rsid w:val="005B412D"/>
    <w:rsid w:val="005B413D"/>
    <w:rsid w:val="005B527B"/>
    <w:rsid w:val="005B57B7"/>
    <w:rsid w:val="005B5912"/>
    <w:rsid w:val="005B614F"/>
    <w:rsid w:val="005B699E"/>
    <w:rsid w:val="005B6A29"/>
    <w:rsid w:val="005B6CDE"/>
    <w:rsid w:val="005B78AA"/>
    <w:rsid w:val="005C0A55"/>
    <w:rsid w:val="005C0A86"/>
    <w:rsid w:val="005C131F"/>
    <w:rsid w:val="005C1E7D"/>
    <w:rsid w:val="005C1EE3"/>
    <w:rsid w:val="005C2295"/>
    <w:rsid w:val="005C2C8B"/>
    <w:rsid w:val="005C2D99"/>
    <w:rsid w:val="005C3DCA"/>
    <w:rsid w:val="005C3F98"/>
    <w:rsid w:val="005C4AA6"/>
    <w:rsid w:val="005C52B8"/>
    <w:rsid w:val="005C531C"/>
    <w:rsid w:val="005C54C8"/>
    <w:rsid w:val="005C5500"/>
    <w:rsid w:val="005C5FE8"/>
    <w:rsid w:val="005C634F"/>
    <w:rsid w:val="005C69D1"/>
    <w:rsid w:val="005C6D9F"/>
    <w:rsid w:val="005C7C32"/>
    <w:rsid w:val="005C7DAA"/>
    <w:rsid w:val="005C7EDB"/>
    <w:rsid w:val="005D0375"/>
    <w:rsid w:val="005D0793"/>
    <w:rsid w:val="005D0844"/>
    <w:rsid w:val="005D0A4A"/>
    <w:rsid w:val="005D10C3"/>
    <w:rsid w:val="005D10F0"/>
    <w:rsid w:val="005D12BD"/>
    <w:rsid w:val="005D1C6D"/>
    <w:rsid w:val="005D1D9F"/>
    <w:rsid w:val="005D1ECB"/>
    <w:rsid w:val="005D3D10"/>
    <w:rsid w:val="005D44FB"/>
    <w:rsid w:val="005D4E8A"/>
    <w:rsid w:val="005D4EE9"/>
    <w:rsid w:val="005D5AC3"/>
    <w:rsid w:val="005D5BCA"/>
    <w:rsid w:val="005D5E41"/>
    <w:rsid w:val="005D60BC"/>
    <w:rsid w:val="005D689D"/>
    <w:rsid w:val="005D704B"/>
    <w:rsid w:val="005E02A8"/>
    <w:rsid w:val="005E02DF"/>
    <w:rsid w:val="005E04CB"/>
    <w:rsid w:val="005E07B1"/>
    <w:rsid w:val="005E08C8"/>
    <w:rsid w:val="005E0A7E"/>
    <w:rsid w:val="005E192D"/>
    <w:rsid w:val="005E2448"/>
    <w:rsid w:val="005E2689"/>
    <w:rsid w:val="005E2D0C"/>
    <w:rsid w:val="005E352B"/>
    <w:rsid w:val="005E361D"/>
    <w:rsid w:val="005E380E"/>
    <w:rsid w:val="005E3865"/>
    <w:rsid w:val="005E44B9"/>
    <w:rsid w:val="005E4870"/>
    <w:rsid w:val="005E490F"/>
    <w:rsid w:val="005E58E8"/>
    <w:rsid w:val="005E5900"/>
    <w:rsid w:val="005E5FD4"/>
    <w:rsid w:val="005E6E48"/>
    <w:rsid w:val="005E6F74"/>
    <w:rsid w:val="005E71A2"/>
    <w:rsid w:val="005E763E"/>
    <w:rsid w:val="005E76BA"/>
    <w:rsid w:val="005F0A5B"/>
    <w:rsid w:val="005F0D5D"/>
    <w:rsid w:val="005F11AB"/>
    <w:rsid w:val="005F137A"/>
    <w:rsid w:val="005F15F6"/>
    <w:rsid w:val="005F1774"/>
    <w:rsid w:val="005F23E4"/>
    <w:rsid w:val="005F2CC6"/>
    <w:rsid w:val="005F32A2"/>
    <w:rsid w:val="005F35AB"/>
    <w:rsid w:val="005F3F0C"/>
    <w:rsid w:val="005F445F"/>
    <w:rsid w:val="005F44AE"/>
    <w:rsid w:val="005F4965"/>
    <w:rsid w:val="005F6FC0"/>
    <w:rsid w:val="005F7082"/>
    <w:rsid w:val="005F70E3"/>
    <w:rsid w:val="005F772E"/>
    <w:rsid w:val="005F778B"/>
    <w:rsid w:val="005F7967"/>
    <w:rsid w:val="006000C8"/>
    <w:rsid w:val="006006B9"/>
    <w:rsid w:val="00600B0A"/>
    <w:rsid w:val="00600C4E"/>
    <w:rsid w:val="006011F7"/>
    <w:rsid w:val="00601661"/>
    <w:rsid w:val="006019B0"/>
    <w:rsid w:val="0060215A"/>
    <w:rsid w:val="0060294C"/>
    <w:rsid w:val="00602A19"/>
    <w:rsid w:val="00603007"/>
    <w:rsid w:val="0060322E"/>
    <w:rsid w:val="00603A0A"/>
    <w:rsid w:val="00603B35"/>
    <w:rsid w:val="00603DEC"/>
    <w:rsid w:val="00604116"/>
    <w:rsid w:val="00605390"/>
    <w:rsid w:val="006056DC"/>
    <w:rsid w:val="00606248"/>
    <w:rsid w:val="00606C62"/>
    <w:rsid w:val="00606DD4"/>
    <w:rsid w:val="00607246"/>
    <w:rsid w:val="00610CBC"/>
    <w:rsid w:val="00611C6B"/>
    <w:rsid w:val="00612016"/>
    <w:rsid w:val="0061204F"/>
    <w:rsid w:val="00612CE6"/>
    <w:rsid w:val="00612E4E"/>
    <w:rsid w:val="006134D3"/>
    <w:rsid w:val="006134FA"/>
    <w:rsid w:val="00613820"/>
    <w:rsid w:val="006141DA"/>
    <w:rsid w:val="0061444D"/>
    <w:rsid w:val="006144EF"/>
    <w:rsid w:val="00614510"/>
    <w:rsid w:val="00614802"/>
    <w:rsid w:val="00614AD0"/>
    <w:rsid w:val="00614BC6"/>
    <w:rsid w:val="00614C29"/>
    <w:rsid w:val="00614CC7"/>
    <w:rsid w:val="00615E79"/>
    <w:rsid w:val="00616528"/>
    <w:rsid w:val="0061657B"/>
    <w:rsid w:val="006168FB"/>
    <w:rsid w:val="00616CC5"/>
    <w:rsid w:val="00616F32"/>
    <w:rsid w:val="00617393"/>
    <w:rsid w:val="00617810"/>
    <w:rsid w:val="006201B6"/>
    <w:rsid w:val="006201EB"/>
    <w:rsid w:val="006201FD"/>
    <w:rsid w:val="00620320"/>
    <w:rsid w:val="006209F7"/>
    <w:rsid w:val="00620BC4"/>
    <w:rsid w:val="0062160E"/>
    <w:rsid w:val="00621D1D"/>
    <w:rsid w:val="006221D9"/>
    <w:rsid w:val="00622271"/>
    <w:rsid w:val="0062256F"/>
    <w:rsid w:val="006225D4"/>
    <w:rsid w:val="00622F34"/>
    <w:rsid w:val="006230B7"/>
    <w:rsid w:val="00623974"/>
    <w:rsid w:val="006243CA"/>
    <w:rsid w:val="00624549"/>
    <w:rsid w:val="00624C56"/>
    <w:rsid w:val="00625859"/>
    <w:rsid w:val="0062607D"/>
    <w:rsid w:val="00626111"/>
    <w:rsid w:val="0062619F"/>
    <w:rsid w:val="00626420"/>
    <w:rsid w:val="00626734"/>
    <w:rsid w:val="006268F3"/>
    <w:rsid w:val="00626FD0"/>
    <w:rsid w:val="006272A6"/>
    <w:rsid w:val="006278F6"/>
    <w:rsid w:val="006302C0"/>
    <w:rsid w:val="0063079F"/>
    <w:rsid w:val="00630E4B"/>
    <w:rsid w:val="0063127E"/>
    <w:rsid w:val="00632663"/>
    <w:rsid w:val="00632879"/>
    <w:rsid w:val="00632AC5"/>
    <w:rsid w:val="006339C1"/>
    <w:rsid w:val="00633A78"/>
    <w:rsid w:val="00634325"/>
    <w:rsid w:val="0063465A"/>
    <w:rsid w:val="006350B9"/>
    <w:rsid w:val="00635147"/>
    <w:rsid w:val="00635408"/>
    <w:rsid w:val="006354BC"/>
    <w:rsid w:val="006359FE"/>
    <w:rsid w:val="00635B97"/>
    <w:rsid w:val="00636258"/>
    <w:rsid w:val="00636818"/>
    <w:rsid w:val="0063684F"/>
    <w:rsid w:val="00636B8B"/>
    <w:rsid w:val="00636BB7"/>
    <w:rsid w:val="006379C7"/>
    <w:rsid w:val="006406F1"/>
    <w:rsid w:val="0064072C"/>
    <w:rsid w:val="00640B26"/>
    <w:rsid w:val="00640CA9"/>
    <w:rsid w:val="00640F2C"/>
    <w:rsid w:val="006410EF"/>
    <w:rsid w:val="00642B6A"/>
    <w:rsid w:val="00643734"/>
    <w:rsid w:val="006437E7"/>
    <w:rsid w:val="006437EC"/>
    <w:rsid w:val="00643803"/>
    <w:rsid w:val="00644380"/>
    <w:rsid w:val="0064465A"/>
    <w:rsid w:val="00644CFB"/>
    <w:rsid w:val="00644E64"/>
    <w:rsid w:val="0064511D"/>
    <w:rsid w:val="006453A0"/>
    <w:rsid w:val="006457DD"/>
    <w:rsid w:val="00645CAF"/>
    <w:rsid w:val="00645D2F"/>
    <w:rsid w:val="00646A56"/>
    <w:rsid w:val="00646B84"/>
    <w:rsid w:val="0064715B"/>
    <w:rsid w:val="00647482"/>
    <w:rsid w:val="00647518"/>
    <w:rsid w:val="00647C3B"/>
    <w:rsid w:val="00647F50"/>
    <w:rsid w:val="00650264"/>
    <w:rsid w:val="00651489"/>
    <w:rsid w:val="00651BD1"/>
    <w:rsid w:val="00651D1D"/>
    <w:rsid w:val="0065297C"/>
    <w:rsid w:val="00652AC7"/>
    <w:rsid w:val="00652D48"/>
    <w:rsid w:val="00653292"/>
    <w:rsid w:val="00653B9F"/>
    <w:rsid w:val="0065480C"/>
    <w:rsid w:val="00654C02"/>
    <w:rsid w:val="00654C2F"/>
    <w:rsid w:val="00654D6A"/>
    <w:rsid w:val="00654E38"/>
    <w:rsid w:val="00655A7B"/>
    <w:rsid w:val="006561FB"/>
    <w:rsid w:val="00656844"/>
    <w:rsid w:val="0065693F"/>
    <w:rsid w:val="00657137"/>
    <w:rsid w:val="006575EA"/>
    <w:rsid w:val="00657B09"/>
    <w:rsid w:val="00657E4C"/>
    <w:rsid w:val="00660459"/>
    <w:rsid w:val="00661998"/>
    <w:rsid w:val="00661F97"/>
    <w:rsid w:val="00662028"/>
    <w:rsid w:val="0066240C"/>
    <w:rsid w:val="00662B17"/>
    <w:rsid w:val="006635A4"/>
    <w:rsid w:val="006635B3"/>
    <w:rsid w:val="00663C34"/>
    <w:rsid w:val="0066468B"/>
    <w:rsid w:val="00664FF7"/>
    <w:rsid w:val="00665463"/>
    <w:rsid w:val="0066588E"/>
    <w:rsid w:val="00665CAD"/>
    <w:rsid w:val="00665D58"/>
    <w:rsid w:val="00666A0C"/>
    <w:rsid w:val="00666D1F"/>
    <w:rsid w:val="0067117A"/>
    <w:rsid w:val="00671903"/>
    <w:rsid w:val="00672F6F"/>
    <w:rsid w:val="00673703"/>
    <w:rsid w:val="00673D00"/>
    <w:rsid w:val="006743D2"/>
    <w:rsid w:val="006745B7"/>
    <w:rsid w:val="00674CE3"/>
    <w:rsid w:val="0067533F"/>
    <w:rsid w:val="00675363"/>
    <w:rsid w:val="00675E73"/>
    <w:rsid w:val="006762C6"/>
    <w:rsid w:val="006769BA"/>
    <w:rsid w:val="00676A68"/>
    <w:rsid w:val="00676B91"/>
    <w:rsid w:val="00676CB4"/>
    <w:rsid w:val="00677432"/>
    <w:rsid w:val="00677511"/>
    <w:rsid w:val="00677A92"/>
    <w:rsid w:val="00677D95"/>
    <w:rsid w:val="00677DC9"/>
    <w:rsid w:val="00680DE8"/>
    <w:rsid w:val="006814D3"/>
    <w:rsid w:val="00681563"/>
    <w:rsid w:val="00681AE7"/>
    <w:rsid w:val="00681F30"/>
    <w:rsid w:val="00681FA4"/>
    <w:rsid w:val="0068236E"/>
    <w:rsid w:val="0068254C"/>
    <w:rsid w:val="006825DC"/>
    <w:rsid w:val="00682912"/>
    <w:rsid w:val="006829E9"/>
    <w:rsid w:val="00682D08"/>
    <w:rsid w:val="00683827"/>
    <w:rsid w:val="00683CC8"/>
    <w:rsid w:val="006848ED"/>
    <w:rsid w:val="00685FC6"/>
    <w:rsid w:val="006863B7"/>
    <w:rsid w:val="006863EF"/>
    <w:rsid w:val="0068771E"/>
    <w:rsid w:val="00687E9A"/>
    <w:rsid w:val="006903F5"/>
    <w:rsid w:val="00690A17"/>
    <w:rsid w:val="00690E44"/>
    <w:rsid w:val="00690E83"/>
    <w:rsid w:val="00690E99"/>
    <w:rsid w:val="00690EDE"/>
    <w:rsid w:val="00691980"/>
    <w:rsid w:val="00691F73"/>
    <w:rsid w:val="00692E50"/>
    <w:rsid w:val="006935B4"/>
    <w:rsid w:val="00693733"/>
    <w:rsid w:val="006944F8"/>
    <w:rsid w:val="00694BF1"/>
    <w:rsid w:val="00694F2E"/>
    <w:rsid w:val="006954F1"/>
    <w:rsid w:val="0069609A"/>
    <w:rsid w:val="0069614B"/>
    <w:rsid w:val="0069654D"/>
    <w:rsid w:val="00696913"/>
    <w:rsid w:val="00696963"/>
    <w:rsid w:val="0069757A"/>
    <w:rsid w:val="006975D3"/>
    <w:rsid w:val="00697DB8"/>
    <w:rsid w:val="006A06BE"/>
    <w:rsid w:val="006A0705"/>
    <w:rsid w:val="006A07EA"/>
    <w:rsid w:val="006A0DBA"/>
    <w:rsid w:val="006A259A"/>
    <w:rsid w:val="006A28BB"/>
    <w:rsid w:val="006A2951"/>
    <w:rsid w:val="006A3476"/>
    <w:rsid w:val="006A3F7D"/>
    <w:rsid w:val="006A41A1"/>
    <w:rsid w:val="006A51B7"/>
    <w:rsid w:val="006A5ADF"/>
    <w:rsid w:val="006A5B0B"/>
    <w:rsid w:val="006A618E"/>
    <w:rsid w:val="006A620A"/>
    <w:rsid w:val="006A62CC"/>
    <w:rsid w:val="006A6473"/>
    <w:rsid w:val="006A661B"/>
    <w:rsid w:val="006A66C3"/>
    <w:rsid w:val="006A6C14"/>
    <w:rsid w:val="006A6FAB"/>
    <w:rsid w:val="006A79E4"/>
    <w:rsid w:val="006A7D57"/>
    <w:rsid w:val="006B05C9"/>
    <w:rsid w:val="006B11CF"/>
    <w:rsid w:val="006B14A8"/>
    <w:rsid w:val="006B28F4"/>
    <w:rsid w:val="006B2A11"/>
    <w:rsid w:val="006B2F18"/>
    <w:rsid w:val="006B35A5"/>
    <w:rsid w:val="006B371E"/>
    <w:rsid w:val="006B3992"/>
    <w:rsid w:val="006B3E27"/>
    <w:rsid w:val="006B3E48"/>
    <w:rsid w:val="006B3EEF"/>
    <w:rsid w:val="006B409E"/>
    <w:rsid w:val="006B448A"/>
    <w:rsid w:val="006B4FE5"/>
    <w:rsid w:val="006B51C7"/>
    <w:rsid w:val="006B54B3"/>
    <w:rsid w:val="006B55EC"/>
    <w:rsid w:val="006B5E47"/>
    <w:rsid w:val="006B5F54"/>
    <w:rsid w:val="006B633B"/>
    <w:rsid w:val="006B645C"/>
    <w:rsid w:val="006B6C08"/>
    <w:rsid w:val="006B6E23"/>
    <w:rsid w:val="006B7635"/>
    <w:rsid w:val="006B765F"/>
    <w:rsid w:val="006B7A6F"/>
    <w:rsid w:val="006B7FF0"/>
    <w:rsid w:val="006C0297"/>
    <w:rsid w:val="006C0608"/>
    <w:rsid w:val="006C08B5"/>
    <w:rsid w:val="006C0C3F"/>
    <w:rsid w:val="006C10B1"/>
    <w:rsid w:val="006C1344"/>
    <w:rsid w:val="006C1D50"/>
    <w:rsid w:val="006C1E95"/>
    <w:rsid w:val="006C2379"/>
    <w:rsid w:val="006C3137"/>
    <w:rsid w:val="006C32E4"/>
    <w:rsid w:val="006C3BAA"/>
    <w:rsid w:val="006C3E79"/>
    <w:rsid w:val="006C3EDB"/>
    <w:rsid w:val="006C400A"/>
    <w:rsid w:val="006C4904"/>
    <w:rsid w:val="006C4C0A"/>
    <w:rsid w:val="006C4FC4"/>
    <w:rsid w:val="006C525E"/>
    <w:rsid w:val="006C52BD"/>
    <w:rsid w:val="006C5A42"/>
    <w:rsid w:val="006C5B67"/>
    <w:rsid w:val="006C5CCA"/>
    <w:rsid w:val="006C65F6"/>
    <w:rsid w:val="006C6666"/>
    <w:rsid w:val="006C67B4"/>
    <w:rsid w:val="006C6931"/>
    <w:rsid w:val="006C6A5F"/>
    <w:rsid w:val="006C74DC"/>
    <w:rsid w:val="006C7E80"/>
    <w:rsid w:val="006D06C8"/>
    <w:rsid w:val="006D07E7"/>
    <w:rsid w:val="006D0932"/>
    <w:rsid w:val="006D0AC6"/>
    <w:rsid w:val="006D1079"/>
    <w:rsid w:val="006D1607"/>
    <w:rsid w:val="006D2119"/>
    <w:rsid w:val="006D2728"/>
    <w:rsid w:val="006D283C"/>
    <w:rsid w:val="006D2E69"/>
    <w:rsid w:val="006D2FE5"/>
    <w:rsid w:val="006D37D9"/>
    <w:rsid w:val="006D3DBA"/>
    <w:rsid w:val="006D3DFE"/>
    <w:rsid w:val="006D3E4B"/>
    <w:rsid w:val="006D4089"/>
    <w:rsid w:val="006D420D"/>
    <w:rsid w:val="006D44C8"/>
    <w:rsid w:val="006D4568"/>
    <w:rsid w:val="006D49D8"/>
    <w:rsid w:val="006D4F85"/>
    <w:rsid w:val="006D4F8A"/>
    <w:rsid w:val="006D5F06"/>
    <w:rsid w:val="006D66EA"/>
    <w:rsid w:val="006D6C0F"/>
    <w:rsid w:val="006D739E"/>
    <w:rsid w:val="006D7476"/>
    <w:rsid w:val="006D76D3"/>
    <w:rsid w:val="006D772B"/>
    <w:rsid w:val="006D7D83"/>
    <w:rsid w:val="006D7F36"/>
    <w:rsid w:val="006E041D"/>
    <w:rsid w:val="006E0447"/>
    <w:rsid w:val="006E0451"/>
    <w:rsid w:val="006E05FA"/>
    <w:rsid w:val="006E0D36"/>
    <w:rsid w:val="006E0D59"/>
    <w:rsid w:val="006E1923"/>
    <w:rsid w:val="006E2195"/>
    <w:rsid w:val="006E2643"/>
    <w:rsid w:val="006E2AA1"/>
    <w:rsid w:val="006E2DEB"/>
    <w:rsid w:val="006E308E"/>
    <w:rsid w:val="006E32E7"/>
    <w:rsid w:val="006E3828"/>
    <w:rsid w:val="006E3BAF"/>
    <w:rsid w:val="006E3DD8"/>
    <w:rsid w:val="006E4100"/>
    <w:rsid w:val="006E46A0"/>
    <w:rsid w:val="006E4A5E"/>
    <w:rsid w:val="006E510B"/>
    <w:rsid w:val="006E5254"/>
    <w:rsid w:val="006E545F"/>
    <w:rsid w:val="006E5FB0"/>
    <w:rsid w:val="006E62CF"/>
    <w:rsid w:val="006E6324"/>
    <w:rsid w:val="006E66C6"/>
    <w:rsid w:val="006E69D3"/>
    <w:rsid w:val="006E6CFA"/>
    <w:rsid w:val="006E6DBD"/>
    <w:rsid w:val="006F06A4"/>
    <w:rsid w:val="006F0794"/>
    <w:rsid w:val="006F19D7"/>
    <w:rsid w:val="006F2209"/>
    <w:rsid w:val="006F3200"/>
    <w:rsid w:val="006F42C5"/>
    <w:rsid w:val="006F4AB7"/>
    <w:rsid w:val="006F58A2"/>
    <w:rsid w:val="006F60E8"/>
    <w:rsid w:val="006F67A6"/>
    <w:rsid w:val="006F6B2B"/>
    <w:rsid w:val="006F6D8A"/>
    <w:rsid w:val="006F78B7"/>
    <w:rsid w:val="006F7949"/>
    <w:rsid w:val="006F7993"/>
    <w:rsid w:val="006F7D37"/>
    <w:rsid w:val="006F7EA6"/>
    <w:rsid w:val="00700EEA"/>
    <w:rsid w:val="00701423"/>
    <w:rsid w:val="007014D6"/>
    <w:rsid w:val="0070151B"/>
    <w:rsid w:val="007015A2"/>
    <w:rsid w:val="00701632"/>
    <w:rsid w:val="00701889"/>
    <w:rsid w:val="00701A8F"/>
    <w:rsid w:val="00701E1F"/>
    <w:rsid w:val="00702114"/>
    <w:rsid w:val="00702242"/>
    <w:rsid w:val="00702543"/>
    <w:rsid w:val="00702C89"/>
    <w:rsid w:val="0070316F"/>
    <w:rsid w:val="007037FE"/>
    <w:rsid w:val="007040AC"/>
    <w:rsid w:val="00704634"/>
    <w:rsid w:val="0070488C"/>
    <w:rsid w:val="00704B31"/>
    <w:rsid w:val="00704D22"/>
    <w:rsid w:val="007051FC"/>
    <w:rsid w:val="007056D8"/>
    <w:rsid w:val="00705B46"/>
    <w:rsid w:val="00705BDE"/>
    <w:rsid w:val="00705C94"/>
    <w:rsid w:val="00706140"/>
    <w:rsid w:val="00707087"/>
    <w:rsid w:val="007073F8"/>
    <w:rsid w:val="00707995"/>
    <w:rsid w:val="00707DB5"/>
    <w:rsid w:val="007102E2"/>
    <w:rsid w:val="007103B2"/>
    <w:rsid w:val="00710EFD"/>
    <w:rsid w:val="0071125E"/>
    <w:rsid w:val="007114DF"/>
    <w:rsid w:val="00713272"/>
    <w:rsid w:val="00713350"/>
    <w:rsid w:val="007137C8"/>
    <w:rsid w:val="00713B23"/>
    <w:rsid w:val="00713BD4"/>
    <w:rsid w:val="00714501"/>
    <w:rsid w:val="007151C4"/>
    <w:rsid w:val="00715834"/>
    <w:rsid w:val="00715A87"/>
    <w:rsid w:val="00716002"/>
    <w:rsid w:val="00716522"/>
    <w:rsid w:val="007168AE"/>
    <w:rsid w:val="007169AA"/>
    <w:rsid w:val="00716A50"/>
    <w:rsid w:val="00717127"/>
    <w:rsid w:val="00717431"/>
    <w:rsid w:val="007176D8"/>
    <w:rsid w:val="00717D57"/>
    <w:rsid w:val="0072049B"/>
    <w:rsid w:val="00720ADD"/>
    <w:rsid w:val="00721116"/>
    <w:rsid w:val="0072121E"/>
    <w:rsid w:val="0072136B"/>
    <w:rsid w:val="00721D58"/>
    <w:rsid w:val="007220C0"/>
    <w:rsid w:val="00722666"/>
    <w:rsid w:val="00722E72"/>
    <w:rsid w:val="007237D8"/>
    <w:rsid w:val="00723AA5"/>
    <w:rsid w:val="00723DAF"/>
    <w:rsid w:val="007242D9"/>
    <w:rsid w:val="0072431A"/>
    <w:rsid w:val="0072620C"/>
    <w:rsid w:val="0072640D"/>
    <w:rsid w:val="00726980"/>
    <w:rsid w:val="0072758D"/>
    <w:rsid w:val="007277E3"/>
    <w:rsid w:val="007305B1"/>
    <w:rsid w:val="00730B2B"/>
    <w:rsid w:val="00730D43"/>
    <w:rsid w:val="00730FDB"/>
    <w:rsid w:val="007319C3"/>
    <w:rsid w:val="00731E7D"/>
    <w:rsid w:val="007322AC"/>
    <w:rsid w:val="007325F3"/>
    <w:rsid w:val="00732DA4"/>
    <w:rsid w:val="00733185"/>
    <w:rsid w:val="00733C19"/>
    <w:rsid w:val="00734157"/>
    <w:rsid w:val="007341D1"/>
    <w:rsid w:val="00734401"/>
    <w:rsid w:val="00734865"/>
    <w:rsid w:val="00734879"/>
    <w:rsid w:val="00734A15"/>
    <w:rsid w:val="00734E7E"/>
    <w:rsid w:val="00735525"/>
    <w:rsid w:val="007358AF"/>
    <w:rsid w:val="00735C5A"/>
    <w:rsid w:val="0073610B"/>
    <w:rsid w:val="007361DA"/>
    <w:rsid w:val="0073666E"/>
    <w:rsid w:val="00736820"/>
    <w:rsid w:val="00736A03"/>
    <w:rsid w:val="0073723E"/>
    <w:rsid w:val="00737D83"/>
    <w:rsid w:val="00740030"/>
    <w:rsid w:val="0074020E"/>
    <w:rsid w:val="0074035A"/>
    <w:rsid w:val="007408CA"/>
    <w:rsid w:val="00740915"/>
    <w:rsid w:val="00740B0D"/>
    <w:rsid w:val="00740FB9"/>
    <w:rsid w:val="00742B3D"/>
    <w:rsid w:val="00742FA2"/>
    <w:rsid w:val="007433CC"/>
    <w:rsid w:val="00743C63"/>
    <w:rsid w:val="00744098"/>
    <w:rsid w:val="00744163"/>
    <w:rsid w:val="007443F6"/>
    <w:rsid w:val="00744F0D"/>
    <w:rsid w:val="00745768"/>
    <w:rsid w:val="00745C98"/>
    <w:rsid w:val="0074608D"/>
    <w:rsid w:val="0074679E"/>
    <w:rsid w:val="00746EE0"/>
    <w:rsid w:val="007503A3"/>
    <w:rsid w:val="007511AF"/>
    <w:rsid w:val="00751A27"/>
    <w:rsid w:val="00751A67"/>
    <w:rsid w:val="00751C88"/>
    <w:rsid w:val="00751D08"/>
    <w:rsid w:val="007522A3"/>
    <w:rsid w:val="00752481"/>
    <w:rsid w:val="0075271B"/>
    <w:rsid w:val="00752873"/>
    <w:rsid w:val="007528C4"/>
    <w:rsid w:val="00752B69"/>
    <w:rsid w:val="00752C42"/>
    <w:rsid w:val="00752FF9"/>
    <w:rsid w:val="0075329F"/>
    <w:rsid w:val="007533AD"/>
    <w:rsid w:val="00753438"/>
    <w:rsid w:val="007545DE"/>
    <w:rsid w:val="007552B3"/>
    <w:rsid w:val="00755863"/>
    <w:rsid w:val="00756017"/>
    <w:rsid w:val="007569DB"/>
    <w:rsid w:val="00756F9A"/>
    <w:rsid w:val="00757893"/>
    <w:rsid w:val="00757FCD"/>
    <w:rsid w:val="0076049F"/>
    <w:rsid w:val="00760643"/>
    <w:rsid w:val="0076080D"/>
    <w:rsid w:val="0076095F"/>
    <w:rsid w:val="00760F78"/>
    <w:rsid w:val="007613CF"/>
    <w:rsid w:val="007617EB"/>
    <w:rsid w:val="00762563"/>
    <w:rsid w:val="00762B49"/>
    <w:rsid w:val="00762BDD"/>
    <w:rsid w:val="007631D4"/>
    <w:rsid w:val="00763E1F"/>
    <w:rsid w:val="00763EF5"/>
    <w:rsid w:val="00763F63"/>
    <w:rsid w:val="0076445E"/>
    <w:rsid w:val="00764882"/>
    <w:rsid w:val="00764957"/>
    <w:rsid w:val="007650E4"/>
    <w:rsid w:val="0076510E"/>
    <w:rsid w:val="00765378"/>
    <w:rsid w:val="00766DF6"/>
    <w:rsid w:val="00767692"/>
    <w:rsid w:val="00767A7D"/>
    <w:rsid w:val="00770011"/>
    <w:rsid w:val="00770033"/>
    <w:rsid w:val="00770D88"/>
    <w:rsid w:val="00771382"/>
    <w:rsid w:val="00771DED"/>
    <w:rsid w:val="00771F49"/>
    <w:rsid w:val="00772095"/>
    <w:rsid w:val="00772615"/>
    <w:rsid w:val="00772C04"/>
    <w:rsid w:val="00773303"/>
    <w:rsid w:val="007736F9"/>
    <w:rsid w:val="00773941"/>
    <w:rsid w:val="00773F00"/>
    <w:rsid w:val="00774613"/>
    <w:rsid w:val="00774B5C"/>
    <w:rsid w:val="007754AE"/>
    <w:rsid w:val="00775D46"/>
    <w:rsid w:val="00776247"/>
    <w:rsid w:val="007765D8"/>
    <w:rsid w:val="00776F85"/>
    <w:rsid w:val="00777304"/>
    <w:rsid w:val="00777B30"/>
    <w:rsid w:val="00777F57"/>
    <w:rsid w:val="0078013D"/>
    <w:rsid w:val="0078019A"/>
    <w:rsid w:val="00780F93"/>
    <w:rsid w:val="00781041"/>
    <w:rsid w:val="00781091"/>
    <w:rsid w:val="0078122A"/>
    <w:rsid w:val="007818EE"/>
    <w:rsid w:val="00782B4A"/>
    <w:rsid w:val="00782EC8"/>
    <w:rsid w:val="00782F2A"/>
    <w:rsid w:val="00782F2F"/>
    <w:rsid w:val="007830CD"/>
    <w:rsid w:val="00784359"/>
    <w:rsid w:val="007850B2"/>
    <w:rsid w:val="007851ED"/>
    <w:rsid w:val="007853C7"/>
    <w:rsid w:val="00785920"/>
    <w:rsid w:val="00785989"/>
    <w:rsid w:val="00785A50"/>
    <w:rsid w:val="00785EF6"/>
    <w:rsid w:val="007861CC"/>
    <w:rsid w:val="00786275"/>
    <w:rsid w:val="00786F58"/>
    <w:rsid w:val="0079015D"/>
    <w:rsid w:val="007906AA"/>
    <w:rsid w:val="00790996"/>
    <w:rsid w:val="007909EE"/>
    <w:rsid w:val="00790FC5"/>
    <w:rsid w:val="007911A4"/>
    <w:rsid w:val="0079157F"/>
    <w:rsid w:val="007920D3"/>
    <w:rsid w:val="00792164"/>
    <w:rsid w:val="007929DC"/>
    <w:rsid w:val="0079305B"/>
    <w:rsid w:val="007940B3"/>
    <w:rsid w:val="007949E3"/>
    <w:rsid w:val="00794A36"/>
    <w:rsid w:val="00794BBA"/>
    <w:rsid w:val="00794CC2"/>
    <w:rsid w:val="007951BF"/>
    <w:rsid w:val="00795D33"/>
    <w:rsid w:val="0079646F"/>
    <w:rsid w:val="007965AD"/>
    <w:rsid w:val="00796AD2"/>
    <w:rsid w:val="00797039"/>
    <w:rsid w:val="007A014D"/>
    <w:rsid w:val="007A0797"/>
    <w:rsid w:val="007A1ECE"/>
    <w:rsid w:val="007A1F80"/>
    <w:rsid w:val="007A2891"/>
    <w:rsid w:val="007A2C9D"/>
    <w:rsid w:val="007A35BF"/>
    <w:rsid w:val="007A3964"/>
    <w:rsid w:val="007A401F"/>
    <w:rsid w:val="007A4806"/>
    <w:rsid w:val="007A55A8"/>
    <w:rsid w:val="007A65FA"/>
    <w:rsid w:val="007A689E"/>
    <w:rsid w:val="007A6B32"/>
    <w:rsid w:val="007A74E6"/>
    <w:rsid w:val="007A7B28"/>
    <w:rsid w:val="007B02C5"/>
    <w:rsid w:val="007B04D5"/>
    <w:rsid w:val="007B08C4"/>
    <w:rsid w:val="007B0E22"/>
    <w:rsid w:val="007B0FDA"/>
    <w:rsid w:val="007B227F"/>
    <w:rsid w:val="007B2296"/>
    <w:rsid w:val="007B2D43"/>
    <w:rsid w:val="007B34CC"/>
    <w:rsid w:val="007B38F5"/>
    <w:rsid w:val="007B40E7"/>
    <w:rsid w:val="007B45D2"/>
    <w:rsid w:val="007B4E4F"/>
    <w:rsid w:val="007B4E80"/>
    <w:rsid w:val="007B50BF"/>
    <w:rsid w:val="007B5426"/>
    <w:rsid w:val="007B5669"/>
    <w:rsid w:val="007B5890"/>
    <w:rsid w:val="007B58B1"/>
    <w:rsid w:val="007B59ED"/>
    <w:rsid w:val="007B5BB2"/>
    <w:rsid w:val="007B6643"/>
    <w:rsid w:val="007B6AD6"/>
    <w:rsid w:val="007B6C1D"/>
    <w:rsid w:val="007B75B7"/>
    <w:rsid w:val="007B7F2D"/>
    <w:rsid w:val="007C01FC"/>
    <w:rsid w:val="007C02D9"/>
    <w:rsid w:val="007C0605"/>
    <w:rsid w:val="007C1785"/>
    <w:rsid w:val="007C17BF"/>
    <w:rsid w:val="007C196E"/>
    <w:rsid w:val="007C21A0"/>
    <w:rsid w:val="007C2CE8"/>
    <w:rsid w:val="007C2F23"/>
    <w:rsid w:val="007C3104"/>
    <w:rsid w:val="007C34D4"/>
    <w:rsid w:val="007C395E"/>
    <w:rsid w:val="007C39F2"/>
    <w:rsid w:val="007C3A70"/>
    <w:rsid w:val="007C41C1"/>
    <w:rsid w:val="007C4370"/>
    <w:rsid w:val="007C5B4E"/>
    <w:rsid w:val="007C5BBC"/>
    <w:rsid w:val="007C5CE6"/>
    <w:rsid w:val="007C5DC8"/>
    <w:rsid w:val="007C5E58"/>
    <w:rsid w:val="007C6854"/>
    <w:rsid w:val="007C72B0"/>
    <w:rsid w:val="007D0316"/>
    <w:rsid w:val="007D0673"/>
    <w:rsid w:val="007D100B"/>
    <w:rsid w:val="007D1403"/>
    <w:rsid w:val="007D1F48"/>
    <w:rsid w:val="007D243A"/>
    <w:rsid w:val="007D2E52"/>
    <w:rsid w:val="007D3ACF"/>
    <w:rsid w:val="007D3E38"/>
    <w:rsid w:val="007D3FC3"/>
    <w:rsid w:val="007D446E"/>
    <w:rsid w:val="007D5CC3"/>
    <w:rsid w:val="007D5FE2"/>
    <w:rsid w:val="007D60F5"/>
    <w:rsid w:val="007D631F"/>
    <w:rsid w:val="007D653E"/>
    <w:rsid w:val="007D66A8"/>
    <w:rsid w:val="007D6C8E"/>
    <w:rsid w:val="007D6E06"/>
    <w:rsid w:val="007D6EC1"/>
    <w:rsid w:val="007D70CC"/>
    <w:rsid w:val="007D79CB"/>
    <w:rsid w:val="007D7D8E"/>
    <w:rsid w:val="007E01AE"/>
    <w:rsid w:val="007E01F9"/>
    <w:rsid w:val="007E05E8"/>
    <w:rsid w:val="007E07CF"/>
    <w:rsid w:val="007E0FA8"/>
    <w:rsid w:val="007E18A4"/>
    <w:rsid w:val="007E2713"/>
    <w:rsid w:val="007E2B89"/>
    <w:rsid w:val="007E2FEA"/>
    <w:rsid w:val="007E334B"/>
    <w:rsid w:val="007E3A9B"/>
    <w:rsid w:val="007E48FF"/>
    <w:rsid w:val="007E4A64"/>
    <w:rsid w:val="007E5101"/>
    <w:rsid w:val="007E5168"/>
    <w:rsid w:val="007E5C89"/>
    <w:rsid w:val="007E60F1"/>
    <w:rsid w:val="007E6298"/>
    <w:rsid w:val="007E6C31"/>
    <w:rsid w:val="007E71AC"/>
    <w:rsid w:val="007E7E37"/>
    <w:rsid w:val="007F00FA"/>
    <w:rsid w:val="007F0171"/>
    <w:rsid w:val="007F01EC"/>
    <w:rsid w:val="007F0D19"/>
    <w:rsid w:val="007F10DB"/>
    <w:rsid w:val="007F1A45"/>
    <w:rsid w:val="007F1CA7"/>
    <w:rsid w:val="007F2A01"/>
    <w:rsid w:val="007F3645"/>
    <w:rsid w:val="007F37D9"/>
    <w:rsid w:val="007F3BBC"/>
    <w:rsid w:val="007F3E02"/>
    <w:rsid w:val="007F4619"/>
    <w:rsid w:val="007F499D"/>
    <w:rsid w:val="007F4E38"/>
    <w:rsid w:val="007F5CCA"/>
    <w:rsid w:val="007F60B8"/>
    <w:rsid w:val="007F7592"/>
    <w:rsid w:val="007F76DA"/>
    <w:rsid w:val="007F7E8B"/>
    <w:rsid w:val="0080043B"/>
    <w:rsid w:val="00800525"/>
    <w:rsid w:val="00800C33"/>
    <w:rsid w:val="00800F34"/>
    <w:rsid w:val="0080214C"/>
    <w:rsid w:val="008027CE"/>
    <w:rsid w:val="00802FA5"/>
    <w:rsid w:val="00803114"/>
    <w:rsid w:val="00803266"/>
    <w:rsid w:val="008038F5"/>
    <w:rsid w:val="00803A24"/>
    <w:rsid w:val="00803C5E"/>
    <w:rsid w:val="00804017"/>
    <w:rsid w:val="008045FB"/>
    <w:rsid w:val="008048F0"/>
    <w:rsid w:val="00804C5B"/>
    <w:rsid w:val="00804E77"/>
    <w:rsid w:val="0080535F"/>
    <w:rsid w:val="008061A4"/>
    <w:rsid w:val="0080620D"/>
    <w:rsid w:val="008064BE"/>
    <w:rsid w:val="008065A9"/>
    <w:rsid w:val="00810E43"/>
    <w:rsid w:val="00810EB2"/>
    <w:rsid w:val="0081104F"/>
    <w:rsid w:val="00811359"/>
    <w:rsid w:val="008119F1"/>
    <w:rsid w:val="00811EA1"/>
    <w:rsid w:val="00812B00"/>
    <w:rsid w:val="00812C54"/>
    <w:rsid w:val="00812ED0"/>
    <w:rsid w:val="00812FB2"/>
    <w:rsid w:val="00813016"/>
    <w:rsid w:val="008142B9"/>
    <w:rsid w:val="008142EA"/>
    <w:rsid w:val="00814625"/>
    <w:rsid w:val="0081504C"/>
    <w:rsid w:val="00815488"/>
    <w:rsid w:val="00815831"/>
    <w:rsid w:val="008159FC"/>
    <w:rsid w:val="00815EFA"/>
    <w:rsid w:val="0081609D"/>
    <w:rsid w:val="00816560"/>
    <w:rsid w:val="0081665F"/>
    <w:rsid w:val="00816770"/>
    <w:rsid w:val="0081678C"/>
    <w:rsid w:val="00817040"/>
    <w:rsid w:val="00817232"/>
    <w:rsid w:val="008174EF"/>
    <w:rsid w:val="00820DAC"/>
    <w:rsid w:val="008210C1"/>
    <w:rsid w:val="00822054"/>
    <w:rsid w:val="00822BBA"/>
    <w:rsid w:val="0082308E"/>
    <w:rsid w:val="008231AC"/>
    <w:rsid w:val="00823D64"/>
    <w:rsid w:val="00824735"/>
    <w:rsid w:val="00824892"/>
    <w:rsid w:val="00824D2D"/>
    <w:rsid w:val="00824F47"/>
    <w:rsid w:val="00825390"/>
    <w:rsid w:val="008253AC"/>
    <w:rsid w:val="0082578A"/>
    <w:rsid w:val="00825891"/>
    <w:rsid w:val="00825AC0"/>
    <w:rsid w:val="00825D89"/>
    <w:rsid w:val="00825FA4"/>
    <w:rsid w:val="00825FE0"/>
    <w:rsid w:val="008269B0"/>
    <w:rsid w:val="00826CB8"/>
    <w:rsid w:val="00827368"/>
    <w:rsid w:val="00827487"/>
    <w:rsid w:val="00827534"/>
    <w:rsid w:val="008278C0"/>
    <w:rsid w:val="00830B4C"/>
    <w:rsid w:val="00830F60"/>
    <w:rsid w:val="0083174C"/>
    <w:rsid w:val="00832743"/>
    <w:rsid w:val="00833285"/>
    <w:rsid w:val="008338AF"/>
    <w:rsid w:val="00833C0B"/>
    <w:rsid w:val="00833C92"/>
    <w:rsid w:val="0083519D"/>
    <w:rsid w:val="0083553E"/>
    <w:rsid w:val="008357F0"/>
    <w:rsid w:val="008362A6"/>
    <w:rsid w:val="008363C8"/>
    <w:rsid w:val="00836F39"/>
    <w:rsid w:val="00840BE7"/>
    <w:rsid w:val="00841484"/>
    <w:rsid w:val="0084169F"/>
    <w:rsid w:val="008417C7"/>
    <w:rsid w:val="00841869"/>
    <w:rsid w:val="0084264E"/>
    <w:rsid w:val="00842AAE"/>
    <w:rsid w:val="00843A42"/>
    <w:rsid w:val="00843B31"/>
    <w:rsid w:val="00844108"/>
    <w:rsid w:val="0084446F"/>
    <w:rsid w:val="008445F5"/>
    <w:rsid w:val="0084490B"/>
    <w:rsid w:val="00844F2D"/>
    <w:rsid w:val="0084501F"/>
    <w:rsid w:val="008451CD"/>
    <w:rsid w:val="00845547"/>
    <w:rsid w:val="0084601C"/>
    <w:rsid w:val="00846754"/>
    <w:rsid w:val="00846D54"/>
    <w:rsid w:val="00847329"/>
    <w:rsid w:val="00847780"/>
    <w:rsid w:val="008478F3"/>
    <w:rsid w:val="00847AE8"/>
    <w:rsid w:val="008506DB"/>
    <w:rsid w:val="0085175D"/>
    <w:rsid w:val="00851D1F"/>
    <w:rsid w:val="008526E5"/>
    <w:rsid w:val="008533F4"/>
    <w:rsid w:val="00853984"/>
    <w:rsid w:val="00854FCB"/>
    <w:rsid w:val="00856A9E"/>
    <w:rsid w:val="00856D5E"/>
    <w:rsid w:val="00856DAB"/>
    <w:rsid w:val="0085774D"/>
    <w:rsid w:val="00857976"/>
    <w:rsid w:val="00861AA3"/>
    <w:rsid w:val="00862109"/>
    <w:rsid w:val="00862519"/>
    <w:rsid w:val="00862C49"/>
    <w:rsid w:val="00862F60"/>
    <w:rsid w:val="008638BB"/>
    <w:rsid w:val="00863980"/>
    <w:rsid w:val="00864E1A"/>
    <w:rsid w:val="00864E48"/>
    <w:rsid w:val="008651CC"/>
    <w:rsid w:val="00865540"/>
    <w:rsid w:val="008656BE"/>
    <w:rsid w:val="00865837"/>
    <w:rsid w:val="00865B22"/>
    <w:rsid w:val="00865B8A"/>
    <w:rsid w:val="00866D52"/>
    <w:rsid w:val="0086727D"/>
    <w:rsid w:val="00867976"/>
    <w:rsid w:val="00867B1C"/>
    <w:rsid w:val="00867CF3"/>
    <w:rsid w:val="00870024"/>
    <w:rsid w:val="008709B6"/>
    <w:rsid w:val="00870C73"/>
    <w:rsid w:val="0087106C"/>
    <w:rsid w:val="0087115F"/>
    <w:rsid w:val="00871248"/>
    <w:rsid w:val="00872D6B"/>
    <w:rsid w:val="00872DA0"/>
    <w:rsid w:val="00873332"/>
    <w:rsid w:val="00873349"/>
    <w:rsid w:val="00873CD7"/>
    <w:rsid w:val="00873EFC"/>
    <w:rsid w:val="00874059"/>
    <w:rsid w:val="00874B70"/>
    <w:rsid w:val="008750D3"/>
    <w:rsid w:val="008759FA"/>
    <w:rsid w:val="00875A53"/>
    <w:rsid w:val="00875FDB"/>
    <w:rsid w:val="00876471"/>
    <w:rsid w:val="00876DD7"/>
    <w:rsid w:val="008777EB"/>
    <w:rsid w:val="00877A07"/>
    <w:rsid w:val="00881243"/>
    <w:rsid w:val="00881E06"/>
    <w:rsid w:val="00881F68"/>
    <w:rsid w:val="008821AD"/>
    <w:rsid w:val="00882795"/>
    <w:rsid w:val="00882A35"/>
    <w:rsid w:val="00882C70"/>
    <w:rsid w:val="00883D4B"/>
    <w:rsid w:val="00884004"/>
    <w:rsid w:val="008842FC"/>
    <w:rsid w:val="0088586C"/>
    <w:rsid w:val="00885A5C"/>
    <w:rsid w:val="00886796"/>
    <w:rsid w:val="00886B20"/>
    <w:rsid w:val="00886F76"/>
    <w:rsid w:val="008870EB"/>
    <w:rsid w:val="00887580"/>
    <w:rsid w:val="008875FA"/>
    <w:rsid w:val="00890FB1"/>
    <w:rsid w:val="008910DB"/>
    <w:rsid w:val="008912BF"/>
    <w:rsid w:val="00891699"/>
    <w:rsid w:val="008918E8"/>
    <w:rsid w:val="00891EA3"/>
    <w:rsid w:val="008925E9"/>
    <w:rsid w:val="008926CC"/>
    <w:rsid w:val="00892BE1"/>
    <w:rsid w:val="00892C79"/>
    <w:rsid w:val="00892F5E"/>
    <w:rsid w:val="00892FDE"/>
    <w:rsid w:val="00893049"/>
    <w:rsid w:val="00893168"/>
    <w:rsid w:val="00893AB3"/>
    <w:rsid w:val="008941D0"/>
    <w:rsid w:val="008943BC"/>
    <w:rsid w:val="008959C6"/>
    <w:rsid w:val="00895B8D"/>
    <w:rsid w:val="00895E20"/>
    <w:rsid w:val="008960A8"/>
    <w:rsid w:val="008962F1"/>
    <w:rsid w:val="008968DE"/>
    <w:rsid w:val="00896CAB"/>
    <w:rsid w:val="00896CEF"/>
    <w:rsid w:val="00896D9E"/>
    <w:rsid w:val="0089766E"/>
    <w:rsid w:val="00897F04"/>
    <w:rsid w:val="008A04C6"/>
    <w:rsid w:val="008A0762"/>
    <w:rsid w:val="008A19A5"/>
    <w:rsid w:val="008A296B"/>
    <w:rsid w:val="008A32BD"/>
    <w:rsid w:val="008A3F8C"/>
    <w:rsid w:val="008A4065"/>
    <w:rsid w:val="008A460E"/>
    <w:rsid w:val="008A49ED"/>
    <w:rsid w:val="008A4B81"/>
    <w:rsid w:val="008A5400"/>
    <w:rsid w:val="008A543B"/>
    <w:rsid w:val="008A5CAB"/>
    <w:rsid w:val="008A5F93"/>
    <w:rsid w:val="008A73DF"/>
    <w:rsid w:val="008B000D"/>
    <w:rsid w:val="008B0013"/>
    <w:rsid w:val="008B0670"/>
    <w:rsid w:val="008B07DA"/>
    <w:rsid w:val="008B0B4A"/>
    <w:rsid w:val="008B0D97"/>
    <w:rsid w:val="008B0F5F"/>
    <w:rsid w:val="008B106F"/>
    <w:rsid w:val="008B194A"/>
    <w:rsid w:val="008B1A9E"/>
    <w:rsid w:val="008B1AA3"/>
    <w:rsid w:val="008B1CCC"/>
    <w:rsid w:val="008B234F"/>
    <w:rsid w:val="008B2454"/>
    <w:rsid w:val="008B2EAF"/>
    <w:rsid w:val="008B30AA"/>
    <w:rsid w:val="008B3172"/>
    <w:rsid w:val="008B368E"/>
    <w:rsid w:val="008B379B"/>
    <w:rsid w:val="008B3DF3"/>
    <w:rsid w:val="008B483D"/>
    <w:rsid w:val="008B4E9D"/>
    <w:rsid w:val="008B5955"/>
    <w:rsid w:val="008B5C0F"/>
    <w:rsid w:val="008B6552"/>
    <w:rsid w:val="008B6D68"/>
    <w:rsid w:val="008B725B"/>
    <w:rsid w:val="008B757A"/>
    <w:rsid w:val="008B772F"/>
    <w:rsid w:val="008B7969"/>
    <w:rsid w:val="008B7F1A"/>
    <w:rsid w:val="008C02F8"/>
    <w:rsid w:val="008C0315"/>
    <w:rsid w:val="008C0740"/>
    <w:rsid w:val="008C16F9"/>
    <w:rsid w:val="008C172F"/>
    <w:rsid w:val="008C1BD0"/>
    <w:rsid w:val="008C21FF"/>
    <w:rsid w:val="008C304F"/>
    <w:rsid w:val="008C3074"/>
    <w:rsid w:val="008C3808"/>
    <w:rsid w:val="008C3899"/>
    <w:rsid w:val="008C3BEE"/>
    <w:rsid w:val="008C3E62"/>
    <w:rsid w:val="008C4E01"/>
    <w:rsid w:val="008C4EF2"/>
    <w:rsid w:val="008C5971"/>
    <w:rsid w:val="008C6715"/>
    <w:rsid w:val="008C68C4"/>
    <w:rsid w:val="008C6E53"/>
    <w:rsid w:val="008C6F08"/>
    <w:rsid w:val="008C74CE"/>
    <w:rsid w:val="008C7562"/>
    <w:rsid w:val="008C7947"/>
    <w:rsid w:val="008C7F7E"/>
    <w:rsid w:val="008D0010"/>
    <w:rsid w:val="008D0049"/>
    <w:rsid w:val="008D0FCD"/>
    <w:rsid w:val="008D1231"/>
    <w:rsid w:val="008D1905"/>
    <w:rsid w:val="008D2338"/>
    <w:rsid w:val="008D24C1"/>
    <w:rsid w:val="008D24E7"/>
    <w:rsid w:val="008D2C10"/>
    <w:rsid w:val="008D2DEF"/>
    <w:rsid w:val="008D3A80"/>
    <w:rsid w:val="008D3B67"/>
    <w:rsid w:val="008D4069"/>
    <w:rsid w:val="008D469C"/>
    <w:rsid w:val="008D4DED"/>
    <w:rsid w:val="008D5447"/>
    <w:rsid w:val="008D5BE1"/>
    <w:rsid w:val="008D5E87"/>
    <w:rsid w:val="008D658E"/>
    <w:rsid w:val="008D6B23"/>
    <w:rsid w:val="008D7460"/>
    <w:rsid w:val="008D7856"/>
    <w:rsid w:val="008E0187"/>
    <w:rsid w:val="008E0632"/>
    <w:rsid w:val="008E0664"/>
    <w:rsid w:val="008E07AA"/>
    <w:rsid w:val="008E0C98"/>
    <w:rsid w:val="008E0CEC"/>
    <w:rsid w:val="008E1024"/>
    <w:rsid w:val="008E1216"/>
    <w:rsid w:val="008E12DC"/>
    <w:rsid w:val="008E1602"/>
    <w:rsid w:val="008E1986"/>
    <w:rsid w:val="008E25F1"/>
    <w:rsid w:val="008E26B2"/>
    <w:rsid w:val="008E27AD"/>
    <w:rsid w:val="008E35F0"/>
    <w:rsid w:val="008E36BE"/>
    <w:rsid w:val="008E3862"/>
    <w:rsid w:val="008E3EBB"/>
    <w:rsid w:val="008E44B7"/>
    <w:rsid w:val="008E49F1"/>
    <w:rsid w:val="008E4ADD"/>
    <w:rsid w:val="008E5479"/>
    <w:rsid w:val="008E54FF"/>
    <w:rsid w:val="008E5A28"/>
    <w:rsid w:val="008E61BD"/>
    <w:rsid w:val="008E62F6"/>
    <w:rsid w:val="008E67B9"/>
    <w:rsid w:val="008E6816"/>
    <w:rsid w:val="008E6BE8"/>
    <w:rsid w:val="008E6F91"/>
    <w:rsid w:val="008E718A"/>
    <w:rsid w:val="008E742D"/>
    <w:rsid w:val="008E7B85"/>
    <w:rsid w:val="008E7F39"/>
    <w:rsid w:val="008F0155"/>
    <w:rsid w:val="008F0C6A"/>
    <w:rsid w:val="008F0D07"/>
    <w:rsid w:val="008F11EB"/>
    <w:rsid w:val="008F1679"/>
    <w:rsid w:val="008F19A2"/>
    <w:rsid w:val="008F2248"/>
    <w:rsid w:val="008F24AF"/>
    <w:rsid w:val="008F266C"/>
    <w:rsid w:val="008F301A"/>
    <w:rsid w:val="008F3827"/>
    <w:rsid w:val="008F3BDF"/>
    <w:rsid w:val="008F487F"/>
    <w:rsid w:val="008F4A13"/>
    <w:rsid w:val="008F4FF8"/>
    <w:rsid w:val="008F572D"/>
    <w:rsid w:val="008F6B7A"/>
    <w:rsid w:val="008F6CA0"/>
    <w:rsid w:val="008F6D27"/>
    <w:rsid w:val="008F7CAD"/>
    <w:rsid w:val="00900191"/>
    <w:rsid w:val="00900758"/>
    <w:rsid w:val="009008EF"/>
    <w:rsid w:val="009009A9"/>
    <w:rsid w:val="00900ED5"/>
    <w:rsid w:val="0090244B"/>
    <w:rsid w:val="0090250E"/>
    <w:rsid w:val="00902884"/>
    <w:rsid w:val="00902FFF"/>
    <w:rsid w:val="009032E4"/>
    <w:rsid w:val="009033EB"/>
    <w:rsid w:val="00903422"/>
    <w:rsid w:val="00903737"/>
    <w:rsid w:val="00903D22"/>
    <w:rsid w:val="00903ED9"/>
    <w:rsid w:val="00904031"/>
    <w:rsid w:val="00904CDD"/>
    <w:rsid w:val="009051E0"/>
    <w:rsid w:val="00905B11"/>
    <w:rsid w:val="00906649"/>
    <w:rsid w:val="00906D64"/>
    <w:rsid w:val="009071D0"/>
    <w:rsid w:val="00907883"/>
    <w:rsid w:val="00910443"/>
    <w:rsid w:val="009107BC"/>
    <w:rsid w:val="00910908"/>
    <w:rsid w:val="00912559"/>
    <w:rsid w:val="00912AB5"/>
    <w:rsid w:val="00912ED8"/>
    <w:rsid w:val="00912F2F"/>
    <w:rsid w:val="00912F9A"/>
    <w:rsid w:val="00913B29"/>
    <w:rsid w:val="00913B6D"/>
    <w:rsid w:val="009143DE"/>
    <w:rsid w:val="0091485E"/>
    <w:rsid w:val="009148AB"/>
    <w:rsid w:val="009154BE"/>
    <w:rsid w:val="009161D0"/>
    <w:rsid w:val="00916C2E"/>
    <w:rsid w:val="00916D89"/>
    <w:rsid w:val="0091704C"/>
    <w:rsid w:val="00917088"/>
    <w:rsid w:val="00917287"/>
    <w:rsid w:val="009175B9"/>
    <w:rsid w:val="009179AC"/>
    <w:rsid w:val="009205B0"/>
    <w:rsid w:val="0092134B"/>
    <w:rsid w:val="009221AC"/>
    <w:rsid w:val="009225B3"/>
    <w:rsid w:val="00922A15"/>
    <w:rsid w:val="00922B57"/>
    <w:rsid w:val="00922EDB"/>
    <w:rsid w:val="00923495"/>
    <w:rsid w:val="0092456D"/>
    <w:rsid w:val="00924E40"/>
    <w:rsid w:val="00925590"/>
    <w:rsid w:val="00925A71"/>
    <w:rsid w:val="00925C68"/>
    <w:rsid w:val="0092657F"/>
    <w:rsid w:val="00926967"/>
    <w:rsid w:val="00927518"/>
    <w:rsid w:val="00927AF3"/>
    <w:rsid w:val="00927FC3"/>
    <w:rsid w:val="009300E4"/>
    <w:rsid w:val="00930244"/>
    <w:rsid w:val="009303B5"/>
    <w:rsid w:val="0093074D"/>
    <w:rsid w:val="0093083F"/>
    <w:rsid w:val="009312C7"/>
    <w:rsid w:val="009316DD"/>
    <w:rsid w:val="0093183F"/>
    <w:rsid w:val="00931B0E"/>
    <w:rsid w:val="00932061"/>
    <w:rsid w:val="0093216E"/>
    <w:rsid w:val="00933397"/>
    <w:rsid w:val="00933642"/>
    <w:rsid w:val="00933706"/>
    <w:rsid w:val="00933B94"/>
    <w:rsid w:val="00933F98"/>
    <w:rsid w:val="009347E2"/>
    <w:rsid w:val="00934A8F"/>
    <w:rsid w:val="009350BF"/>
    <w:rsid w:val="009359A1"/>
    <w:rsid w:val="009402DC"/>
    <w:rsid w:val="00940962"/>
    <w:rsid w:val="0094099B"/>
    <w:rsid w:val="00941909"/>
    <w:rsid w:val="00942069"/>
    <w:rsid w:val="00942294"/>
    <w:rsid w:val="00942377"/>
    <w:rsid w:val="00942DBC"/>
    <w:rsid w:val="009435CD"/>
    <w:rsid w:val="0094379A"/>
    <w:rsid w:val="0094396D"/>
    <w:rsid w:val="0094420F"/>
    <w:rsid w:val="0094477E"/>
    <w:rsid w:val="00944846"/>
    <w:rsid w:val="00945A06"/>
    <w:rsid w:val="00945EA1"/>
    <w:rsid w:val="00945F82"/>
    <w:rsid w:val="00945FE7"/>
    <w:rsid w:val="0094624C"/>
    <w:rsid w:val="009469B5"/>
    <w:rsid w:val="00946A90"/>
    <w:rsid w:val="009473CE"/>
    <w:rsid w:val="00947563"/>
    <w:rsid w:val="00947A5C"/>
    <w:rsid w:val="00947BA7"/>
    <w:rsid w:val="009508D4"/>
    <w:rsid w:val="00950B20"/>
    <w:rsid w:val="00950D10"/>
    <w:rsid w:val="00950F84"/>
    <w:rsid w:val="009513B0"/>
    <w:rsid w:val="00952B7A"/>
    <w:rsid w:val="00952E72"/>
    <w:rsid w:val="009530C0"/>
    <w:rsid w:val="009534F3"/>
    <w:rsid w:val="0095382A"/>
    <w:rsid w:val="00953C93"/>
    <w:rsid w:val="0095413E"/>
    <w:rsid w:val="009557D5"/>
    <w:rsid w:val="0095580C"/>
    <w:rsid w:val="00955978"/>
    <w:rsid w:val="00955E51"/>
    <w:rsid w:val="009560D7"/>
    <w:rsid w:val="009566EF"/>
    <w:rsid w:val="009568A7"/>
    <w:rsid w:val="009575D1"/>
    <w:rsid w:val="0095760F"/>
    <w:rsid w:val="00957888"/>
    <w:rsid w:val="00957B1D"/>
    <w:rsid w:val="009602DC"/>
    <w:rsid w:val="009603CC"/>
    <w:rsid w:val="0096054E"/>
    <w:rsid w:val="00960EC8"/>
    <w:rsid w:val="0096140A"/>
    <w:rsid w:val="00961FA9"/>
    <w:rsid w:val="009623C1"/>
    <w:rsid w:val="009623F3"/>
    <w:rsid w:val="00962B4B"/>
    <w:rsid w:val="00962E16"/>
    <w:rsid w:val="00963255"/>
    <w:rsid w:val="009637F9"/>
    <w:rsid w:val="00963AA1"/>
    <w:rsid w:val="00963E79"/>
    <w:rsid w:val="0096441B"/>
    <w:rsid w:val="009646D8"/>
    <w:rsid w:val="00964757"/>
    <w:rsid w:val="00964897"/>
    <w:rsid w:val="00965434"/>
    <w:rsid w:val="009658B2"/>
    <w:rsid w:val="009659E0"/>
    <w:rsid w:val="00966F58"/>
    <w:rsid w:val="0096755E"/>
    <w:rsid w:val="0096769E"/>
    <w:rsid w:val="00967B54"/>
    <w:rsid w:val="00967D8E"/>
    <w:rsid w:val="00970019"/>
    <w:rsid w:val="00970887"/>
    <w:rsid w:val="0097113C"/>
    <w:rsid w:val="00971C7B"/>
    <w:rsid w:val="00971DA8"/>
    <w:rsid w:val="00972022"/>
    <w:rsid w:val="0097213C"/>
    <w:rsid w:val="0097220D"/>
    <w:rsid w:val="00972339"/>
    <w:rsid w:val="00972753"/>
    <w:rsid w:val="00973026"/>
    <w:rsid w:val="00973F57"/>
    <w:rsid w:val="00974119"/>
    <w:rsid w:val="009741CB"/>
    <w:rsid w:val="009745C9"/>
    <w:rsid w:val="009749EA"/>
    <w:rsid w:val="00974E3E"/>
    <w:rsid w:val="00975262"/>
    <w:rsid w:val="00975498"/>
    <w:rsid w:val="009758AF"/>
    <w:rsid w:val="00976A8C"/>
    <w:rsid w:val="0097721C"/>
    <w:rsid w:val="00977B6B"/>
    <w:rsid w:val="00977D06"/>
    <w:rsid w:val="00980647"/>
    <w:rsid w:val="009806EB"/>
    <w:rsid w:val="00981370"/>
    <w:rsid w:val="0098138F"/>
    <w:rsid w:val="00981482"/>
    <w:rsid w:val="00981FEA"/>
    <w:rsid w:val="00982912"/>
    <w:rsid w:val="00982AEF"/>
    <w:rsid w:val="00982BD2"/>
    <w:rsid w:val="00982C16"/>
    <w:rsid w:val="00982E37"/>
    <w:rsid w:val="00983352"/>
    <w:rsid w:val="0098379F"/>
    <w:rsid w:val="00983AAA"/>
    <w:rsid w:val="00983F4B"/>
    <w:rsid w:val="0098418F"/>
    <w:rsid w:val="009843C3"/>
    <w:rsid w:val="00984A6F"/>
    <w:rsid w:val="00984C4D"/>
    <w:rsid w:val="0098576C"/>
    <w:rsid w:val="00986528"/>
    <w:rsid w:val="0098672C"/>
    <w:rsid w:val="00987214"/>
    <w:rsid w:val="009875D2"/>
    <w:rsid w:val="00987D40"/>
    <w:rsid w:val="009908D9"/>
    <w:rsid w:val="00990AF7"/>
    <w:rsid w:val="00990C98"/>
    <w:rsid w:val="00990DA1"/>
    <w:rsid w:val="00990FFB"/>
    <w:rsid w:val="00991865"/>
    <w:rsid w:val="00991BBA"/>
    <w:rsid w:val="00991F5E"/>
    <w:rsid w:val="009922B6"/>
    <w:rsid w:val="00992EA9"/>
    <w:rsid w:val="00993083"/>
    <w:rsid w:val="009933FD"/>
    <w:rsid w:val="00993EA8"/>
    <w:rsid w:val="0099400F"/>
    <w:rsid w:val="0099418B"/>
    <w:rsid w:val="00995141"/>
    <w:rsid w:val="00995791"/>
    <w:rsid w:val="009957F3"/>
    <w:rsid w:val="00996267"/>
    <w:rsid w:val="00996DF6"/>
    <w:rsid w:val="0099743F"/>
    <w:rsid w:val="009A01E2"/>
    <w:rsid w:val="009A0354"/>
    <w:rsid w:val="009A0846"/>
    <w:rsid w:val="009A0CAC"/>
    <w:rsid w:val="009A1561"/>
    <w:rsid w:val="009A1BFB"/>
    <w:rsid w:val="009A2AC4"/>
    <w:rsid w:val="009A2F27"/>
    <w:rsid w:val="009A32DF"/>
    <w:rsid w:val="009A3774"/>
    <w:rsid w:val="009A42CF"/>
    <w:rsid w:val="009A4461"/>
    <w:rsid w:val="009A4792"/>
    <w:rsid w:val="009A4871"/>
    <w:rsid w:val="009A4886"/>
    <w:rsid w:val="009A48FD"/>
    <w:rsid w:val="009A4A88"/>
    <w:rsid w:val="009A4B12"/>
    <w:rsid w:val="009A5A3F"/>
    <w:rsid w:val="009A6389"/>
    <w:rsid w:val="009A6AFB"/>
    <w:rsid w:val="009A6F33"/>
    <w:rsid w:val="009A761B"/>
    <w:rsid w:val="009A7A98"/>
    <w:rsid w:val="009A7B03"/>
    <w:rsid w:val="009A7EAC"/>
    <w:rsid w:val="009B037C"/>
    <w:rsid w:val="009B07A9"/>
    <w:rsid w:val="009B08D9"/>
    <w:rsid w:val="009B08DD"/>
    <w:rsid w:val="009B1528"/>
    <w:rsid w:val="009B16A0"/>
    <w:rsid w:val="009B179E"/>
    <w:rsid w:val="009B1CF9"/>
    <w:rsid w:val="009B306F"/>
    <w:rsid w:val="009B34C8"/>
    <w:rsid w:val="009B39A1"/>
    <w:rsid w:val="009B3BF5"/>
    <w:rsid w:val="009B44C8"/>
    <w:rsid w:val="009B4D01"/>
    <w:rsid w:val="009B5281"/>
    <w:rsid w:val="009B546B"/>
    <w:rsid w:val="009B60C4"/>
    <w:rsid w:val="009B78A1"/>
    <w:rsid w:val="009B7AFD"/>
    <w:rsid w:val="009C000F"/>
    <w:rsid w:val="009C0578"/>
    <w:rsid w:val="009C08DC"/>
    <w:rsid w:val="009C0B76"/>
    <w:rsid w:val="009C0CF9"/>
    <w:rsid w:val="009C1126"/>
    <w:rsid w:val="009C1522"/>
    <w:rsid w:val="009C1B42"/>
    <w:rsid w:val="009C1F07"/>
    <w:rsid w:val="009C2B84"/>
    <w:rsid w:val="009C2EC2"/>
    <w:rsid w:val="009C2FF3"/>
    <w:rsid w:val="009C402A"/>
    <w:rsid w:val="009C481E"/>
    <w:rsid w:val="009C6A31"/>
    <w:rsid w:val="009C7480"/>
    <w:rsid w:val="009C74CC"/>
    <w:rsid w:val="009C78F2"/>
    <w:rsid w:val="009C79AD"/>
    <w:rsid w:val="009C7A03"/>
    <w:rsid w:val="009D0335"/>
    <w:rsid w:val="009D04F0"/>
    <w:rsid w:val="009D055A"/>
    <w:rsid w:val="009D067D"/>
    <w:rsid w:val="009D0736"/>
    <w:rsid w:val="009D0F32"/>
    <w:rsid w:val="009D2508"/>
    <w:rsid w:val="009D2D35"/>
    <w:rsid w:val="009D2D48"/>
    <w:rsid w:val="009D2E0D"/>
    <w:rsid w:val="009D363A"/>
    <w:rsid w:val="009D36F9"/>
    <w:rsid w:val="009D37D2"/>
    <w:rsid w:val="009D3B70"/>
    <w:rsid w:val="009D3C29"/>
    <w:rsid w:val="009D3DA2"/>
    <w:rsid w:val="009D41C6"/>
    <w:rsid w:val="009D4E2D"/>
    <w:rsid w:val="009D51E8"/>
    <w:rsid w:val="009D53BA"/>
    <w:rsid w:val="009D56C6"/>
    <w:rsid w:val="009D5C39"/>
    <w:rsid w:val="009D5FBE"/>
    <w:rsid w:val="009D69E1"/>
    <w:rsid w:val="009D6C16"/>
    <w:rsid w:val="009D7263"/>
    <w:rsid w:val="009D745C"/>
    <w:rsid w:val="009D7B30"/>
    <w:rsid w:val="009D7C31"/>
    <w:rsid w:val="009D7E53"/>
    <w:rsid w:val="009E0074"/>
    <w:rsid w:val="009E0305"/>
    <w:rsid w:val="009E0395"/>
    <w:rsid w:val="009E13B2"/>
    <w:rsid w:val="009E1F33"/>
    <w:rsid w:val="009E2F9E"/>
    <w:rsid w:val="009E3CDA"/>
    <w:rsid w:val="009E641E"/>
    <w:rsid w:val="009E646D"/>
    <w:rsid w:val="009E69EF"/>
    <w:rsid w:val="009E6A23"/>
    <w:rsid w:val="009E6B90"/>
    <w:rsid w:val="009E762B"/>
    <w:rsid w:val="009F00FB"/>
    <w:rsid w:val="009F0AD9"/>
    <w:rsid w:val="009F0BFE"/>
    <w:rsid w:val="009F0FA7"/>
    <w:rsid w:val="009F138A"/>
    <w:rsid w:val="009F169D"/>
    <w:rsid w:val="009F1F72"/>
    <w:rsid w:val="009F238C"/>
    <w:rsid w:val="009F24F8"/>
    <w:rsid w:val="009F262A"/>
    <w:rsid w:val="009F2721"/>
    <w:rsid w:val="009F2D01"/>
    <w:rsid w:val="009F301C"/>
    <w:rsid w:val="009F3643"/>
    <w:rsid w:val="009F39A9"/>
    <w:rsid w:val="009F3C1B"/>
    <w:rsid w:val="009F4299"/>
    <w:rsid w:val="009F438A"/>
    <w:rsid w:val="009F4566"/>
    <w:rsid w:val="009F50E2"/>
    <w:rsid w:val="009F5F46"/>
    <w:rsid w:val="009F6121"/>
    <w:rsid w:val="009F65A5"/>
    <w:rsid w:val="009F65CA"/>
    <w:rsid w:val="009F6797"/>
    <w:rsid w:val="009F687A"/>
    <w:rsid w:val="009F7160"/>
    <w:rsid w:val="009F7344"/>
    <w:rsid w:val="00A0048A"/>
    <w:rsid w:val="00A007F4"/>
    <w:rsid w:val="00A01EB1"/>
    <w:rsid w:val="00A025B8"/>
    <w:rsid w:val="00A02857"/>
    <w:rsid w:val="00A02C66"/>
    <w:rsid w:val="00A02E79"/>
    <w:rsid w:val="00A03386"/>
    <w:rsid w:val="00A033BB"/>
    <w:rsid w:val="00A03D1A"/>
    <w:rsid w:val="00A03E79"/>
    <w:rsid w:val="00A03E8F"/>
    <w:rsid w:val="00A042C5"/>
    <w:rsid w:val="00A0447F"/>
    <w:rsid w:val="00A04639"/>
    <w:rsid w:val="00A046F1"/>
    <w:rsid w:val="00A04956"/>
    <w:rsid w:val="00A04D51"/>
    <w:rsid w:val="00A0518A"/>
    <w:rsid w:val="00A0526B"/>
    <w:rsid w:val="00A0549E"/>
    <w:rsid w:val="00A05B98"/>
    <w:rsid w:val="00A0632B"/>
    <w:rsid w:val="00A06472"/>
    <w:rsid w:val="00A066F8"/>
    <w:rsid w:val="00A06780"/>
    <w:rsid w:val="00A06EC5"/>
    <w:rsid w:val="00A076CA"/>
    <w:rsid w:val="00A0793A"/>
    <w:rsid w:val="00A10EB7"/>
    <w:rsid w:val="00A110D0"/>
    <w:rsid w:val="00A115D7"/>
    <w:rsid w:val="00A117C2"/>
    <w:rsid w:val="00A119CF"/>
    <w:rsid w:val="00A12E26"/>
    <w:rsid w:val="00A13984"/>
    <w:rsid w:val="00A13B89"/>
    <w:rsid w:val="00A13DFB"/>
    <w:rsid w:val="00A13FE8"/>
    <w:rsid w:val="00A145B9"/>
    <w:rsid w:val="00A14634"/>
    <w:rsid w:val="00A14EFA"/>
    <w:rsid w:val="00A15343"/>
    <w:rsid w:val="00A1537C"/>
    <w:rsid w:val="00A15B83"/>
    <w:rsid w:val="00A1623B"/>
    <w:rsid w:val="00A16845"/>
    <w:rsid w:val="00A16A32"/>
    <w:rsid w:val="00A173FC"/>
    <w:rsid w:val="00A1749E"/>
    <w:rsid w:val="00A17AC0"/>
    <w:rsid w:val="00A17F10"/>
    <w:rsid w:val="00A204CE"/>
    <w:rsid w:val="00A207E2"/>
    <w:rsid w:val="00A20856"/>
    <w:rsid w:val="00A20CD2"/>
    <w:rsid w:val="00A21616"/>
    <w:rsid w:val="00A21C40"/>
    <w:rsid w:val="00A21DA5"/>
    <w:rsid w:val="00A2228B"/>
    <w:rsid w:val="00A22558"/>
    <w:rsid w:val="00A22AAA"/>
    <w:rsid w:val="00A22B16"/>
    <w:rsid w:val="00A22E58"/>
    <w:rsid w:val="00A2426D"/>
    <w:rsid w:val="00A24FB8"/>
    <w:rsid w:val="00A25496"/>
    <w:rsid w:val="00A26CC9"/>
    <w:rsid w:val="00A2726A"/>
    <w:rsid w:val="00A30051"/>
    <w:rsid w:val="00A317C6"/>
    <w:rsid w:val="00A31ABD"/>
    <w:rsid w:val="00A32998"/>
    <w:rsid w:val="00A32BC1"/>
    <w:rsid w:val="00A32CC3"/>
    <w:rsid w:val="00A32E65"/>
    <w:rsid w:val="00A33502"/>
    <w:rsid w:val="00A337A9"/>
    <w:rsid w:val="00A33B53"/>
    <w:rsid w:val="00A341A5"/>
    <w:rsid w:val="00A341FD"/>
    <w:rsid w:val="00A3480E"/>
    <w:rsid w:val="00A353E0"/>
    <w:rsid w:val="00A35947"/>
    <w:rsid w:val="00A35DF5"/>
    <w:rsid w:val="00A3638C"/>
    <w:rsid w:val="00A36A38"/>
    <w:rsid w:val="00A37299"/>
    <w:rsid w:val="00A37B47"/>
    <w:rsid w:val="00A40BD4"/>
    <w:rsid w:val="00A41191"/>
    <w:rsid w:val="00A41721"/>
    <w:rsid w:val="00A4180C"/>
    <w:rsid w:val="00A42613"/>
    <w:rsid w:val="00A426FC"/>
    <w:rsid w:val="00A4338D"/>
    <w:rsid w:val="00A43546"/>
    <w:rsid w:val="00A43D76"/>
    <w:rsid w:val="00A43F39"/>
    <w:rsid w:val="00A44477"/>
    <w:rsid w:val="00A448E4"/>
    <w:rsid w:val="00A44ED6"/>
    <w:rsid w:val="00A451A2"/>
    <w:rsid w:val="00A4563A"/>
    <w:rsid w:val="00A458A9"/>
    <w:rsid w:val="00A45F56"/>
    <w:rsid w:val="00A46DD6"/>
    <w:rsid w:val="00A4777D"/>
    <w:rsid w:val="00A47A26"/>
    <w:rsid w:val="00A502E1"/>
    <w:rsid w:val="00A50383"/>
    <w:rsid w:val="00A5058B"/>
    <w:rsid w:val="00A5182A"/>
    <w:rsid w:val="00A51D06"/>
    <w:rsid w:val="00A52252"/>
    <w:rsid w:val="00A52C42"/>
    <w:rsid w:val="00A52D05"/>
    <w:rsid w:val="00A52D9D"/>
    <w:rsid w:val="00A54B30"/>
    <w:rsid w:val="00A54C58"/>
    <w:rsid w:val="00A551DC"/>
    <w:rsid w:val="00A5538C"/>
    <w:rsid w:val="00A5547E"/>
    <w:rsid w:val="00A5569B"/>
    <w:rsid w:val="00A55851"/>
    <w:rsid w:val="00A560FF"/>
    <w:rsid w:val="00A564B8"/>
    <w:rsid w:val="00A56A25"/>
    <w:rsid w:val="00A56FFD"/>
    <w:rsid w:val="00A570FA"/>
    <w:rsid w:val="00A57955"/>
    <w:rsid w:val="00A60572"/>
    <w:rsid w:val="00A60BDD"/>
    <w:rsid w:val="00A60DAC"/>
    <w:rsid w:val="00A60E51"/>
    <w:rsid w:val="00A61B38"/>
    <w:rsid w:val="00A61DF7"/>
    <w:rsid w:val="00A62028"/>
    <w:rsid w:val="00A62CE3"/>
    <w:rsid w:val="00A62D09"/>
    <w:rsid w:val="00A63A59"/>
    <w:rsid w:val="00A63F91"/>
    <w:rsid w:val="00A64AB2"/>
    <w:rsid w:val="00A64E28"/>
    <w:rsid w:val="00A64E44"/>
    <w:rsid w:val="00A65FDE"/>
    <w:rsid w:val="00A66CA8"/>
    <w:rsid w:val="00A66DBA"/>
    <w:rsid w:val="00A67816"/>
    <w:rsid w:val="00A70160"/>
    <w:rsid w:val="00A72319"/>
    <w:rsid w:val="00A72548"/>
    <w:rsid w:val="00A7270E"/>
    <w:rsid w:val="00A72F90"/>
    <w:rsid w:val="00A73822"/>
    <w:rsid w:val="00A750B4"/>
    <w:rsid w:val="00A7615F"/>
    <w:rsid w:val="00A766F3"/>
    <w:rsid w:val="00A77D81"/>
    <w:rsid w:val="00A77E1A"/>
    <w:rsid w:val="00A803AF"/>
    <w:rsid w:val="00A8043B"/>
    <w:rsid w:val="00A805BC"/>
    <w:rsid w:val="00A80682"/>
    <w:rsid w:val="00A829C0"/>
    <w:rsid w:val="00A82B8C"/>
    <w:rsid w:val="00A82D49"/>
    <w:rsid w:val="00A82EE4"/>
    <w:rsid w:val="00A832D7"/>
    <w:rsid w:val="00A833B8"/>
    <w:rsid w:val="00A8355F"/>
    <w:rsid w:val="00A8358C"/>
    <w:rsid w:val="00A83592"/>
    <w:rsid w:val="00A83993"/>
    <w:rsid w:val="00A842ED"/>
    <w:rsid w:val="00A84595"/>
    <w:rsid w:val="00A845E4"/>
    <w:rsid w:val="00A8492C"/>
    <w:rsid w:val="00A84B94"/>
    <w:rsid w:val="00A84EF7"/>
    <w:rsid w:val="00A86059"/>
    <w:rsid w:val="00A8631A"/>
    <w:rsid w:val="00A8718D"/>
    <w:rsid w:val="00A8753B"/>
    <w:rsid w:val="00A876B9"/>
    <w:rsid w:val="00A877D4"/>
    <w:rsid w:val="00A9023D"/>
    <w:rsid w:val="00A90667"/>
    <w:rsid w:val="00A90C35"/>
    <w:rsid w:val="00A9137B"/>
    <w:rsid w:val="00A91780"/>
    <w:rsid w:val="00A91AA7"/>
    <w:rsid w:val="00A91BC3"/>
    <w:rsid w:val="00A92370"/>
    <w:rsid w:val="00A928FE"/>
    <w:rsid w:val="00A92920"/>
    <w:rsid w:val="00A92CAD"/>
    <w:rsid w:val="00A93219"/>
    <w:rsid w:val="00A9329A"/>
    <w:rsid w:val="00A93EB0"/>
    <w:rsid w:val="00A93F3D"/>
    <w:rsid w:val="00A9442A"/>
    <w:rsid w:val="00A948E2"/>
    <w:rsid w:val="00A9519E"/>
    <w:rsid w:val="00A95865"/>
    <w:rsid w:val="00A959DD"/>
    <w:rsid w:val="00A95DDE"/>
    <w:rsid w:val="00A96857"/>
    <w:rsid w:val="00A9685E"/>
    <w:rsid w:val="00A96DC8"/>
    <w:rsid w:val="00A97441"/>
    <w:rsid w:val="00A97746"/>
    <w:rsid w:val="00A9788D"/>
    <w:rsid w:val="00AA00FD"/>
    <w:rsid w:val="00AA01EC"/>
    <w:rsid w:val="00AA04E4"/>
    <w:rsid w:val="00AA0989"/>
    <w:rsid w:val="00AA158E"/>
    <w:rsid w:val="00AA15BE"/>
    <w:rsid w:val="00AA1B1F"/>
    <w:rsid w:val="00AA1FC1"/>
    <w:rsid w:val="00AA2C46"/>
    <w:rsid w:val="00AA2CF6"/>
    <w:rsid w:val="00AA38F5"/>
    <w:rsid w:val="00AA3A2C"/>
    <w:rsid w:val="00AA480F"/>
    <w:rsid w:val="00AA5121"/>
    <w:rsid w:val="00AA5277"/>
    <w:rsid w:val="00AA5994"/>
    <w:rsid w:val="00AA5B4E"/>
    <w:rsid w:val="00AA5B6C"/>
    <w:rsid w:val="00AA70D2"/>
    <w:rsid w:val="00AA73D3"/>
    <w:rsid w:val="00AA79DE"/>
    <w:rsid w:val="00AB03B9"/>
    <w:rsid w:val="00AB0424"/>
    <w:rsid w:val="00AB0892"/>
    <w:rsid w:val="00AB0A19"/>
    <w:rsid w:val="00AB0DFF"/>
    <w:rsid w:val="00AB161E"/>
    <w:rsid w:val="00AB20BD"/>
    <w:rsid w:val="00AB2274"/>
    <w:rsid w:val="00AB26BB"/>
    <w:rsid w:val="00AB3FB3"/>
    <w:rsid w:val="00AB4A04"/>
    <w:rsid w:val="00AB4AA7"/>
    <w:rsid w:val="00AB4AB2"/>
    <w:rsid w:val="00AB4EF7"/>
    <w:rsid w:val="00AB4FFC"/>
    <w:rsid w:val="00AB54FE"/>
    <w:rsid w:val="00AB6564"/>
    <w:rsid w:val="00AB65F0"/>
    <w:rsid w:val="00AB6EEA"/>
    <w:rsid w:val="00AB7A67"/>
    <w:rsid w:val="00AB7C3D"/>
    <w:rsid w:val="00AB7E89"/>
    <w:rsid w:val="00AC2208"/>
    <w:rsid w:val="00AC2476"/>
    <w:rsid w:val="00AC24B0"/>
    <w:rsid w:val="00AC2D2F"/>
    <w:rsid w:val="00AC2D7A"/>
    <w:rsid w:val="00AC47DD"/>
    <w:rsid w:val="00AC4D76"/>
    <w:rsid w:val="00AC5139"/>
    <w:rsid w:val="00AC5773"/>
    <w:rsid w:val="00AC5E05"/>
    <w:rsid w:val="00AC6021"/>
    <w:rsid w:val="00AC614B"/>
    <w:rsid w:val="00AC6748"/>
    <w:rsid w:val="00AC6D57"/>
    <w:rsid w:val="00AC6DB5"/>
    <w:rsid w:val="00AC79F2"/>
    <w:rsid w:val="00AC7B02"/>
    <w:rsid w:val="00AD01AC"/>
    <w:rsid w:val="00AD0446"/>
    <w:rsid w:val="00AD0EB8"/>
    <w:rsid w:val="00AD1C91"/>
    <w:rsid w:val="00AD1D70"/>
    <w:rsid w:val="00AD230B"/>
    <w:rsid w:val="00AD2776"/>
    <w:rsid w:val="00AD2E87"/>
    <w:rsid w:val="00AD408E"/>
    <w:rsid w:val="00AD44D3"/>
    <w:rsid w:val="00AD5F80"/>
    <w:rsid w:val="00AD6705"/>
    <w:rsid w:val="00AD6B72"/>
    <w:rsid w:val="00AD6FCE"/>
    <w:rsid w:val="00AD702C"/>
    <w:rsid w:val="00AD70DA"/>
    <w:rsid w:val="00AD7213"/>
    <w:rsid w:val="00AD7476"/>
    <w:rsid w:val="00AD7F4C"/>
    <w:rsid w:val="00AD7FF5"/>
    <w:rsid w:val="00AE06EC"/>
    <w:rsid w:val="00AE0CD3"/>
    <w:rsid w:val="00AE1D05"/>
    <w:rsid w:val="00AE1ED9"/>
    <w:rsid w:val="00AE2106"/>
    <w:rsid w:val="00AE2ACF"/>
    <w:rsid w:val="00AE301D"/>
    <w:rsid w:val="00AE33EC"/>
    <w:rsid w:val="00AE3479"/>
    <w:rsid w:val="00AE38AB"/>
    <w:rsid w:val="00AE4151"/>
    <w:rsid w:val="00AE44DF"/>
    <w:rsid w:val="00AE4971"/>
    <w:rsid w:val="00AE4C31"/>
    <w:rsid w:val="00AE4CE5"/>
    <w:rsid w:val="00AE53D5"/>
    <w:rsid w:val="00AE544B"/>
    <w:rsid w:val="00AE5A13"/>
    <w:rsid w:val="00AE5D03"/>
    <w:rsid w:val="00AE6137"/>
    <w:rsid w:val="00AE7000"/>
    <w:rsid w:val="00AE75DD"/>
    <w:rsid w:val="00AE75EF"/>
    <w:rsid w:val="00AE768E"/>
    <w:rsid w:val="00AE78F3"/>
    <w:rsid w:val="00AE7E79"/>
    <w:rsid w:val="00AF0910"/>
    <w:rsid w:val="00AF0FB6"/>
    <w:rsid w:val="00AF113D"/>
    <w:rsid w:val="00AF1A00"/>
    <w:rsid w:val="00AF2EE8"/>
    <w:rsid w:val="00AF386B"/>
    <w:rsid w:val="00AF3914"/>
    <w:rsid w:val="00AF3CEB"/>
    <w:rsid w:val="00AF3EB7"/>
    <w:rsid w:val="00AF45DA"/>
    <w:rsid w:val="00AF466E"/>
    <w:rsid w:val="00AF4849"/>
    <w:rsid w:val="00AF4B9E"/>
    <w:rsid w:val="00AF4D70"/>
    <w:rsid w:val="00AF4F70"/>
    <w:rsid w:val="00AF5521"/>
    <w:rsid w:val="00AF5AB7"/>
    <w:rsid w:val="00AF608E"/>
    <w:rsid w:val="00AF663A"/>
    <w:rsid w:val="00B00C9E"/>
    <w:rsid w:val="00B01976"/>
    <w:rsid w:val="00B01AB6"/>
    <w:rsid w:val="00B01AC4"/>
    <w:rsid w:val="00B0264A"/>
    <w:rsid w:val="00B026EB"/>
    <w:rsid w:val="00B0291F"/>
    <w:rsid w:val="00B02AFF"/>
    <w:rsid w:val="00B02F02"/>
    <w:rsid w:val="00B030F1"/>
    <w:rsid w:val="00B034D6"/>
    <w:rsid w:val="00B03DDF"/>
    <w:rsid w:val="00B048C7"/>
    <w:rsid w:val="00B05251"/>
    <w:rsid w:val="00B05306"/>
    <w:rsid w:val="00B056E4"/>
    <w:rsid w:val="00B05B94"/>
    <w:rsid w:val="00B06003"/>
    <w:rsid w:val="00B06083"/>
    <w:rsid w:val="00B076ED"/>
    <w:rsid w:val="00B07C0E"/>
    <w:rsid w:val="00B07D6E"/>
    <w:rsid w:val="00B10B00"/>
    <w:rsid w:val="00B10DA6"/>
    <w:rsid w:val="00B11D6E"/>
    <w:rsid w:val="00B123AC"/>
    <w:rsid w:val="00B12815"/>
    <w:rsid w:val="00B12BC9"/>
    <w:rsid w:val="00B12C0B"/>
    <w:rsid w:val="00B12C0F"/>
    <w:rsid w:val="00B1401B"/>
    <w:rsid w:val="00B14536"/>
    <w:rsid w:val="00B14837"/>
    <w:rsid w:val="00B14B3C"/>
    <w:rsid w:val="00B1568E"/>
    <w:rsid w:val="00B164B8"/>
    <w:rsid w:val="00B16B0B"/>
    <w:rsid w:val="00B16F17"/>
    <w:rsid w:val="00B17B9C"/>
    <w:rsid w:val="00B17E2C"/>
    <w:rsid w:val="00B20781"/>
    <w:rsid w:val="00B20D92"/>
    <w:rsid w:val="00B20F0D"/>
    <w:rsid w:val="00B20FD1"/>
    <w:rsid w:val="00B21106"/>
    <w:rsid w:val="00B2196D"/>
    <w:rsid w:val="00B21BC3"/>
    <w:rsid w:val="00B22017"/>
    <w:rsid w:val="00B22B85"/>
    <w:rsid w:val="00B22FC9"/>
    <w:rsid w:val="00B22FCF"/>
    <w:rsid w:val="00B23048"/>
    <w:rsid w:val="00B235A8"/>
    <w:rsid w:val="00B23A6A"/>
    <w:rsid w:val="00B23E19"/>
    <w:rsid w:val="00B23E2C"/>
    <w:rsid w:val="00B2420A"/>
    <w:rsid w:val="00B2429C"/>
    <w:rsid w:val="00B2498D"/>
    <w:rsid w:val="00B25652"/>
    <w:rsid w:val="00B25F79"/>
    <w:rsid w:val="00B26929"/>
    <w:rsid w:val="00B26DF3"/>
    <w:rsid w:val="00B26E73"/>
    <w:rsid w:val="00B27154"/>
    <w:rsid w:val="00B27628"/>
    <w:rsid w:val="00B30EF4"/>
    <w:rsid w:val="00B31255"/>
    <w:rsid w:val="00B31753"/>
    <w:rsid w:val="00B31B8C"/>
    <w:rsid w:val="00B31E4B"/>
    <w:rsid w:val="00B32437"/>
    <w:rsid w:val="00B325D8"/>
    <w:rsid w:val="00B32873"/>
    <w:rsid w:val="00B328F5"/>
    <w:rsid w:val="00B32C9A"/>
    <w:rsid w:val="00B32E47"/>
    <w:rsid w:val="00B33297"/>
    <w:rsid w:val="00B33371"/>
    <w:rsid w:val="00B333FD"/>
    <w:rsid w:val="00B34F3E"/>
    <w:rsid w:val="00B3511E"/>
    <w:rsid w:val="00B35619"/>
    <w:rsid w:val="00B36038"/>
    <w:rsid w:val="00B3673B"/>
    <w:rsid w:val="00B36A1A"/>
    <w:rsid w:val="00B37255"/>
    <w:rsid w:val="00B375B2"/>
    <w:rsid w:val="00B37D04"/>
    <w:rsid w:val="00B37DD9"/>
    <w:rsid w:val="00B4077A"/>
    <w:rsid w:val="00B41093"/>
    <w:rsid w:val="00B41154"/>
    <w:rsid w:val="00B4160D"/>
    <w:rsid w:val="00B41C2F"/>
    <w:rsid w:val="00B42282"/>
    <w:rsid w:val="00B42339"/>
    <w:rsid w:val="00B424C7"/>
    <w:rsid w:val="00B4275E"/>
    <w:rsid w:val="00B42B48"/>
    <w:rsid w:val="00B42C26"/>
    <w:rsid w:val="00B43DFF"/>
    <w:rsid w:val="00B43EBB"/>
    <w:rsid w:val="00B447F0"/>
    <w:rsid w:val="00B44F3A"/>
    <w:rsid w:val="00B45664"/>
    <w:rsid w:val="00B45A37"/>
    <w:rsid w:val="00B46537"/>
    <w:rsid w:val="00B468B2"/>
    <w:rsid w:val="00B46C7E"/>
    <w:rsid w:val="00B47615"/>
    <w:rsid w:val="00B4780D"/>
    <w:rsid w:val="00B5029A"/>
    <w:rsid w:val="00B507B2"/>
    <w:rsid w:val="00B50B47"/>
    <w:rsid w:val="00B5154D"/>
    <w:rsid w:val="00B51B82"/>
    <w:rsid w:val="00B51E2D"/>
    <w:rsid w:val="00B51EDD"/>
    <w:rsid w:val="00B53BDD"/>
    <w:rsid w:val="00B541DD"/>
    <w:rsid w:val="00B55BA1"/>
    <w:rsid w:val="00B55C52"/>
    <w:rsid w:val="00B55D2C"/>
    <w:rsid w:val="00B55ECE"/>
    <w:rsid w:val="00B55F4C"/>
    <w:rsid w:val="00B5601E"/>
    <w:rsid w:val="00B56318"/>
    <w:rsid w:val="00B564D4"/>
    <w:rsid w:val="00B579A0"/>
    <w:rsid w:val="00B57E99"/>
    <w:rsid w:val="00B57FB8"/>
    <w:rsid w:val="00B60F2B"/>
    <w:rsid w:val="00B60FB6"/>
    <w:rsid w:val="00B612DF"/>
    <w:rsid w:val="00B61874"/>
    <w:rsid w:val="00B61DBC"/>
    <w:rsid w:val="00B61DC2"/>
    <w:rsid w:val="00B622EE"/>
    <w:rsid w:val="00B623A5"/>
    <w:rsid w:val="00B6247A"/>
    <w:rsid w:val="00B6266E"/>
    <w:rsid w:val="00B62A91"/>
    <w:rsid w:val="00B62B2E"/>
    <w:rsid w:val="00B62D98"/>
    <w:rsid w:val="00B6364D"/>
    <w:rsid w:val="00B636F5"/>
    <w:rsid w:val="00B64C88"/>
    <w:rsid w:val="00B64E1D"/>
    <w:rsid w:val="00B64F4D"/>
    <w:rsid w:val="00B653B9"/>
    <w:rsid w:val="00B65848"/>
    <w:rsid w:val="00B66384"/>
    <w:rsid w:val="00B66974"/>
    <w:rsid w:val="00B67790"/>
    <w:rsid w:val="00B700A4"/>
    <w:rsid w:val="00B7094C"/>
    <w:rsid w:val="00B71426"/>
    <w:rsid w:val="00B7168C"/>
    <w:rsid w:val="00B7225A"/>
    <w:rsid w:val="00B72285"/>
    <w:rsid w:val="00B72FD6"/>
    <w:rsid w:val="00B73EEB"/>
    <w:rsid w:val="00B7408F"/>
    <w:rsid w:val="00B751C3"/>
    <w:rsid w:val="00B755D6"/>
    <w:rsid w:val="00B755FE"/>
    <w:rsid w:val="00B75706"/>
    <w:rsid w:val="00B75A6A"/>
    <w:rsid w:val="00B75B7C"/>
    <w:rsid w:val="00B75BFB"/>
    <w:rsid w:val="00B76565"/>
    <w:rsid w:val="00B77D6E"/>
    <w:rsid w:val="00B8087B"/>
    <w:rsid w:val="00B80FD1"/>
    <w:rsid w:val="00B810A6"/>
    <w:rsid w:val="00B8196A"/>
    <w:rsid w:val="00B81FC1"/>
    <w:rsid w:val="00B82078"/>
    <w:rsid w:val="00B82180"/>
    <w:rsid w:val="00B822F6"/>
    <w:rsid w:val="00B8340F"/>
    <w:rsid w:val="00B83531"/>
    <w:rsid w:val="00B83B3E"/>
    <w:rsid w:val="00B8429E"/>
    <w:rsid w:val="00B845F8"/>
    <w:rsid w:val="00B8496B"/>
    <w:rsid w:val="00B855BC"/>
    <w:rsid w:val="00B855C0"/>
    <w:rsid w:val="00B860AD"/>
    <w:rsid w:val="00B872B0"/>
    <w:rsid w:val="00B87D91"/>
    <w:rsid w:val="00B87FAA"/>
    <w:rsid w:val="00B90016"/>
    <w:rsid w:val="00B903E3"/>
    <w:rsid w:val="00B90439"/>
    <w:rsid w:val="00B90B51"/>
    <w:rsid w:val="00B9121B"/>
    <w:rsid w:val="00B92AB3"/>
    <w:rsid w:val="00B92E14"/>
    <w:rsid w:val="00B9320E"/>
    <w:rsid w:val="00B93666"/>
    <w:rsid w:val="00B93C70"/>
    <w:rsid w:val="00B949F0"/>
    <w:rsid w:val="00B94BB4"/>
    <w:rsid w:val="00B94C28"/>
    <w:rsid w:val="00B96853"/>
    <w:rsid w:val="00B96E7C"/>
    <w:rsid w:val="00B97157"/>
    <w:rsid w:val="00B97B87"/>
    <w:rsid w:val="00BA0588"/>
    <w:rsid w:val="00BA0903"/>
    <w:rsid w:val="00BA1009"/>
    <w:rsid w:val="00BA1483"/>
    <w:rsid w:val="00BA184E"/>
    <w:rsid w:val="00BA19A2"/>
    <w:rsid w:val="00BA1B90"/>
    <w:rsid w:val="00BA1D34"/>
    <w:rsid w:val="00BA1FFF"/>
    <w:rsid w:val="00BA221F"/>
    <w:rsid w:val="00BA2D3F"/>
    <w:rsid w:val="00BA2F49"/>
    <w:rsid w:val="00BA327F"/>
    <w:rsid w:val="00BA38F2"/>
    <w:rsid w:val="00BA3D3F"/>
    <w:rsid w:val="00BA401C"/>
    <w:rsid w:val="00BA427F"/>
    <w:rsid w:val="00BA436D"/>
    <w:rsid w:val="00BA4628"/>
    <w:rsid w:val="00BA574E"/>
    <w:rsid w:val="00BA59B2"/>
    <w:rsid w:val="00BA6048"/>
    <w:rsid w:val="00BA607B"/>
    <w:rsid w:val="00BA60CE"/>
    <w:rsid w:val="00BA6266"/>
    <w:rsid w:val="00BA661E"/>
    <w:rsid w:val="00BA6FBE"/>
    <w:rsid w:val="00BA77B9"/>
    <w:rsid w:val="00BA7927"/>
    <w:rsid w:val="00BA7AE5"/>
    <w:rsid w:val="00BA7CAD"/>
    <w:rsid w:val="00BB0242"/>
    <w:rsid w:val="00BB0365"/>
    <w:rsid w:val="00BB0495"/>
    <w:rsid w:val="00BB06FF"/>
    <w:rsid w:val="00BB1344"/>
    <w:rsid w:val="00BB1388"/>
    <w:rsid w:val="00BB148B"/>
    <w:rsid w:val="00BB1D4A"/>
    <w:rsid w:val="00BB2DB7"/>
    <w:rsid w:val="00BB2F5A"/>
    <w:rsid w:val="00BB31FE"/>
    <w:rsid w:val="00BB34FB"/>
    <w:rsid w:val="00BB3724"/>
    <w:rsid w:val="00BB3A61"/>
    <w:rsid w:val="00BB4EBB"/>
    <w:rsid w:val="00BB56FA"/>
    <w:rsid w:val="00BB69C8"/>
    <w:rsid w:val="00BB7BE7"/>
    <w:rsid w:val="00BB7BF1"/>
    <w:rsid w:val="00BB7C4B"/>
    <w:rsid w:val="00BC0808"/>
    <w:rsid w:val="00BC0C52"/>
    <w:rsid w:val="00BC0D4D"/>
    <w:rsid w:val="00BC1041"/>
    <w:rsid w:val="00BC11F7"/>
    <w:rsid w:val="00BC1625"/>
    <w:rsid w:val="00BC1ED0"/>
    <w:rsid w:val="00BC32AE"/>
    <w:rsid w:val="00BC32D3"/>
    <w:rsid w:val="00BC3851"/>
    <w:rsid w:val="00BC39D5"/>
    <w:rsid w:val="00BC5363"/>
    <w:rsid w:val="00BC57CF"/>
    <w:rsid w:val="00BC59A3"/>
    <w:rsid w:val="00BC65D2"/>
    <w:rsid w:val="00BC6AFB"/>
    <w:rsid w:val="00BC6BEF"/>
    <w:rsid w:val="00BC71CA"/>
    <w:rsid w:val="00BC73AB"/>
    <w:rsid w:val="00BC748E"/>
    <w:rsid w:val="00BD0273"/>
    <w:rsid w:val="00BD052A"/>
    <w:rsid w:val="00BD0833"/>
    <w:rsid w:val="00BD138A"/>
    <w:rsid w:val="00BD1F42"/>
    <w:rsid w:val="00BD20DD"/>
    <w:rsid w:val="00BD2126"/>
    <w:rsid w:val="00BD24F2"/>
    <w:rsid w:val="00BD2907"/>
    <w:rsid w:val="00BD2F90"/>
    <w:rsid w:val="00BD303A"/>
    <w:rsid w:val="00BD3140"/>
    <w:rsid w:val="00BD3475"/>
    <w:rsid w:val="00BD3A5E"/>
    <w:rsid w:val="00BD3C06"/>
    <w:rsid w:val="00BD4501"/>
    <w:rsid w:val="00BD5344"/>
    <w:rsid w:val="00BD5B1C"/>
    <w:rsid w:val="00BD6168"/>
    <w:rsid w:val="00BD61A3"/>
    <w:rsid w:val="00BD6685"/>
    <w:rsid w:val="00BD67F8"/>
    <w:rsid w:val="00BD692F"/>
    <w:rsid w:val="00BD6973"/>
    <w:rsid w:val="00BD6B8C"/>
    <w:rsid w:val="00BD7062"/>
    <w:rsid w:val="00BE1489"/>
    <w:rsid w:val="00BE16BB"/>
    <w:rsid w:val="00BE1C6C"/>
    <w:rsid w:val="00BE22FE"/>
    <w:rsid w:val="00BE28B3"/>
    <w:rsid w:val="00BE324B"/>
    <w:rsid w:val="00BE3C7F"/>
    <w:rsid w:val="00BE41BA"/>
    <w:rsid w:val="00BE4FD4"/>
    <w:rsid w:val="00BE659B"/>
    <w:rsid w:val="00BE6D19"/>
    <w:rsid w:val="00BE6FB0"/>
    <w:rsid w:val="00BE7360"/>
    <w:rsid w:val="00BE7551"/>
    <w:rsid w:val="00BE7A71"/>
    <w:rsid w:val="00BF005C"/>
    <w:rsid w:val="00BF01B7"/>
    <w:rsid w:val="00BF0801"/>
    <w:rsid w:val="00BF0A6B"/>
    <w:rsid w:val="00BF15BC"/>
    <w:rsid w:val="00BF15C6"/>
    <w:rsid w:val="00BF19DE"/>
    <w:rsid w:val="00BF1C3B"/>
    <w:rsid w:val="00BF1C93"/>
    <w:rsid w:val="00BF209D"/>
    <w:rsid w:val="00BF23A5"/>
    <w:rsid w:val="00BF2488"/>
    <w:rsid w:val="00BF25E6"/>
    <w:rsid w:val="00BF2743"/>
    <w:rsid w:val="00BF283E"/>
    <w:rsid w:val="00BF2A64"/>
    <w:rsid w:val="00BF2CB2"/>
    <w:rsid w:val="00BF30DF"/>
    <w:rsid w:val="00BF3235"/>
    <w:rsid w:val="00BF3804"/>
    <w:rsid w:val="00BF3A20"/>
    <w:rsid w:val="00BF45C3"/>
    <w:rsid w:val="00BF4885"/>
    <w:rsid w:val="00BF4B22"/>
    <w:rsid w:val="00BF53D8"/>
    <w:rsid w:val="00BF5426"/>
    <w:rsid w:val="00BF596E"/>
    <w:rsid w:val="00BF5EEE"/>
    <w:rsid w:val="00BF61F4"/>
    <w:rsid w:val="00BF6ADC"/>
    <w:rsid w:val="00BF6BB4"/>
    <w:rsid w:val="00BF73BF"/>
    <w:rsid w:val="00BF758A"/>
    <w:rsid w:val="00BF7779"/>
    <w:rsid w:val="00BF7908"/>
    <w:rsid w:val="00BF7B1B"/>
    <w:rsid w:val="00BF7CCF"/>
    <w:rsid w:val="00BF7FE7"/>
    <w:rsid w:val="00C00CD4"/>
    <w:rsid w:val="00C00FE0"/>
    <w:rsid w:val="00C016D7"/>
    <w:rsid w:val="00C01FEA"/>
    <w:rsid w:val="00C01FFC"/>
    <w:rsid w:val="00C02A93"/>
    <w:rsid w:val="00C032C8"/>
    <w:rsid w:val="00C03449"/>
    <w:rsid w:val="00C036BC"/>
    <w:rsid w:val="00C03FC4"/>
    <w:rsid w:val="00C04146"/>
    <w:rsid w:val="00C05755"/>
    <w:rsid w:val="00C05A0D"/>
    <w:rsid w:val="00C05AB7"/>
    <w:rsid w:val="00C068B6"/>
    <w:rsid w:val="00C06B36"/>
    <w:rsid w:val="00C06E5D"/>
    <w:rsid w:val="00C071A7"/>
    <w:rsid w:val="00C074E8"/>
    <w:rsid w:val="00C078BF"/>
    <w:rsid w:val="00C07D2C"/>
    <w:rsid w:val="00C07F85"/>
    <w:rsid w:val="00C10069"/>
    <w:rsid w:val="00C10361"/>
    <w:rsid w:val="00C103ED"/>
    <w:rsid w:val="00C10A41"/>
    <w:rsid w:val="00C10D8B"/>
    <w:rsid w:val="00C10E39"/>
    <w:rsid w:val="00C10FBC"/>
    <w:rsid w:val="00C112C3"/>
    <w:rsid w:val="00C11451"/>
    <w:rsid w:val="00C118E8"/>
    <w:rsid w:val="00C11DAC"/>
    <w:rsid w:val="00C1209F"/>
    <w:rsid w:val="00C12A1C"/>
    <w:rsid w:val="00C12D89"/>
    <w:rsid w:val="00C12DC5"/>
    <w:rsid w:val="00C13F9F"/>
    <w:rsid w:val="00C13FEA"/>
    <w:rsid w:val="00C141AF"/>
    <w:rsid w:val="00C142C3"/>
    <w:rsid w:val="00C14E9D"/>
    <w:rsid w:val="00C15CA4"/>
    <w:rsid w:val="00C16A2E"/>
    <w:rsid w:val="00C16B2F"/>
    <w:rsid w:val="00C16C0F"/>
    <w:rsid w:val="00C16CAD"/>
    <w:rsid w:val="00C16FC1"/>
    <w:rsid w:val="00C172C5"/>
    <w:rsid w:val="00C17384"/>
    <w:rsid w:val="00C1778F"/>
    <w:rsid w:val="00C17B63"/>
    <w:rsid w:val="00C2063F"/>
    <w:rsid w:val="00C208EE"/>
    <w:rsid w:val="00C21159"/>
    <w:rsid w:val="00C212DD"/>
    <w:rsid w:val="00C21AD7"/>
    <w:rsid w:val="00C220D9"/>
    <w:rsid w:val="00C22483"/>
    <w:rsid w:val="00C2249C"/>
    <w:rsid w:val="00C22718"/>
    <w:rsid w:val="00C22C96"/>
    <w:rsid w:val="00C22D7D"/>
    <w:rsid w:val="00C242FA"/>
    <w:rsid w:val="00C2463A"/>
    <w:rsid w:val="00C246A4"/>
    <w:rsid w:val="00C24743"/>
    <w:rsid w:val="00C24CEE"/>
    <w:rsid w:val="00C252D9"/>
    <w:rsid w:val="00C2593E"/>
    <w:rsid w:val="00C2596A"/>
    <w:rsid w:val="00C25D3E"/>
    <w:rsid w:val="00C263D3"/>
    <w:rsid w:val="00C27053"/>
    <w:rsid w:val="00C276F0"/>
    <w:rsid w:val="00C30023"/>
    <w:rsid w:val="00C300F9"/>
    <w:rsid w:val="00C30459"/>
    <w:rsid w:val="00C30875"/>
    <w:rsid w:val="00C30B78"/>
    <w:rsid w:val="00C31046"/>
    <w:rsid w:val="00C31333"/>
    <w:rsid w:val="00C317A3"/>
    <w:rsid w:val="00C3246A"/>
    <w:rsid w:val="00C32A79"/>
    <w:rsid w:val="00C32CB5"/>
    <w:rsid w:val="00C32E15"/>
    <w:rsid w:val="00C33AA3"/>
    <w:rsid w:val="00C33BCB"/>
    <w:rsid w:val="00C33D51"/>
    <w:rsid w:val="00C3658D"/>
    <w:rsid w:val="00C36ED1"/>
    <w:rsid w:val="00C37011"/>
    <w:rsid w:val="00C3710C"/>
    <w:rsid w:val="00C40019"/>
    <w:rsid w:val="00C403B7"/>
    <w:rsid w:val="00C40C52"/>
    <w:rsid w:val="00C40DE5"/>
    <w:rsid w:val="00C40E8A"/>
    <w:rsid w:val="00C4122A"/>
    <w:rsid w:val="00C41D75"/>
    <w:rsid w:val="00C42A4B"/>
    <w:rsid w:val="00C43046"/>
    <w:rsid w:val="00C43B92"/>
    <w:rsid w:val="00C43D09"/>
    <w:rsid w:val="00C43E31"/>
    <w:rsid w:val="00C44D1B"/>
    <w:rsid w:val="00C4514C"/>
    <w:rsid w:val="00C451D2"/>
    <w:rsid w:val="00C45374"/>
    <w:rsid w:val="00C453BE"/>
    <w:rsid w:val="00C45936"/>
    <w:rsid w:val="00C46B2D"/>
    <w:rsid w:val="00C46B64"/>
    <w:rsid w:val="00C46EB2"/>
    <w:rsid w:val="00C471E5"/>
    <w:rsid w:val="00C4724E"/>
    <w:rsid w:val="00C47412"/>
    <w:rsid w:val="00C474F6"/>
    <w:rsid w:val="00C47CB9"/>
    <w:rsid w:val="00C47CDA"/>
    <w:rsid w:val="00C50205"/>
    <w:rsid w:val="00C50332"/>
    <w:rsid w:val="00C51740"/>
    <w:rsid w:val="00C51992"/>
    <w:rsid w:val="00C52D4A"/>
    <w:rsid w:val="00C54158"/>
    <w:rsid w:val="00C54327"/>
    <w:rsid w:val="00C543C1"/>
    <w:rsid w:val="00C54751"/>
    <w:rsid w:val="00C54A12"/>
    <w:rsid w:val="00C556FD"/>
    <w:rsid w:val="00C55AC7"/>
    <w:rsid w:val="00C55CD8"/>
    <w:rsid w:val="00C56662"/>
    <w:rsid w:val="00C56742"/>
    <w:rsid w:val="00C56A2E"/>
    <w:rsid w:val="00C56FF6"/>
    <w:rsid w:val="00C5744D"/>
    <w:rsid w:val="00C57A8C"/>
    <w:rsid w:val="00C60664"/>
    <w:rsid w:val="00C608E0"/>
    <w:rsid w:val="00C60BDA"/>
    <w:rsid w:val="00C61B4C"/>
    <w:rsid w:val="00C61CE5"/>
    <w:rsid w:val="00C627F2"/>
    <w:rsid w:val="00C62853"/>
    <w:rsid w:val="00C63AFE"/>
    <w:rsid w:val="00C63EEE"/>
    <w:rsid w:val="00C64264"/>
    <w:rsid w:val="00C64350"/>
    <w:rsid w:val="00C64413"/>
    <w:rsid w:val="00C651C1"/>
    <w:rsid w:val="00C6528A"/>
    <w:rsid w:val="00C65D76"/>
    <w:rsid w:val="00C660A7"/>
    <w:rsid w:val="00C66D9C"/>
    <w:rsid w:val="00C67384"/>
    <w:rsid w:val="00C676E9"/>
    <w:rsid w:val="00C678BA"/>
    <w:rsid w:val="00C714B0"/>
    <w:rsid w:val="00C7167B"/>
    <w:rsid w:val="00C72161"/>
    <w:rsid w:val="00C72AC2"/>
    <w:rsid w:val="00C72DDB"/>
    <w:rsid w:val="00C732DA"/>
    <w:rsid w:val="00C737B0"/>
    <w:rsid w:val="00C7426C"/>
    <w:rsid w:val="00C74670"/>
    <w:rsid w:val="00C74CFA"/>
    <w:rsid w:val="00C74DD5"/>
    <w:rsid w:val="00C75627"/>
    <w:rsid w:val="00C75C47"/>
    <w:rsid w:val="00C75E6C"/>
    <w:rsid w:val="00C76864"/>
    <w:rsid w:val="00C76C15"/>
    <w:rsid w:val="00C7737C"/>
    <w:rsid w:val="00C77525"/>
    <w:rsid w:val="00C775F9"/>
    <w:rsid w:val="00C77837"/>
    <w:rsid w:val="00C77E56"/>
    <w:rsid w:val="00C80195"/>
    <w:rsid w:val="00C803D9"/>
    <w:rsid w:val="00C81152"/>
    <w:rsid w:val="00C8115E"/>
    <w:rsid w:val="00C81894"/>
    <w:rsid w:val="00C81AC4"/>
    <w:rsid w:val="00C81E1B"/>
    <w:rsid w:val="00C827D8"/>
    <w:rsid w:val="00C828ED"/>
    <w:rsid w:val="00C82D75"/>
    <w:rsid w:val="00C82FC7"/>
    <w:rsid w:val="00C83018"/>
    <w:rsid w:val="00C8409A"/>
    <w:rsid w:val="00C842F0"/>
    <w:rsid w:val="00C8445D"/>
    <w:rsid w:val="00C844AD"/>
    <w:rsid w:val="00C84545"/>
    <w:rsid w:val="00C84946"/>
    <w:rsid w:val="00C84D0C"/>
    <w:rsid w:val="00C85592"/>
    <w:rsid w:val="00C856BF"/>
    <w:rsid w:val="00C86959"/>
    <w:rsid w:val="00C86E17"/>
    <w:rsid w:val="00C8733C"/>
    <w:rsid w:val="00C87B42"/>
    <w:rsid w:val="00C87F3D"/>
    <w:rsid w:val="00C9009E"/>
    <w:rsid w:val="00C902DE"/>
    <w:rsid w:val="00C90586"/>
    <w:rsid w:val="00C9058F"/>
    <w:rsid w:val="00C90A13"/>
    <w:rsid w:val="00C91535"/>
    <w:rsid w:val="00C917CB"/>
    <w:rsid w:val="00C91FA9"/>
    <w:rsid w:val="00C9235D"/>
    <w:rsid w:val="00C923E9"/>
    <w:rsid w:val="00C926BF"/>
    <w:rsid w:val="00C93095"/>
    <w:rsid w:val="00C938CF"/>
    <w:rsid w:val="00C9393A"/>
    <w:rsid w:val="00C93E0F"/>
    <w:rsid w:val="00C94594"/>
    <w:rsid w:val="00C94750"/>
    <w:rsid w:val="00C94ADB"/>
    <w:rsid w:val="00C94B51"/>
    <w:rsid w:val="00C95A13"/>
    <w:rsid w:val="00C95B24"/>
    <w:rsid w:val="00C96627"/>
    <w:rsid w:val="00C96BA2"/>
    <w:rsid w:val="00C96D93"/>
    <w:rsid w:val="00C97621"/>
    <w:rsid w:val="00C97815"/>
    <w:rsid w:val="00C9783D"/>
    <w:rsid w:val="00C97AAA"/>
    <w:rsid w:val="00C97B5F"/>
    <w:rsid w:val="00C97F0D"/>
    <w:rsid w:val="00C97FDB"/>
    <w:rsid w:val="00CA010F"/>
    <w:rsid w:val="00CA0354"/>
    <w:rsid w:val="00CA041E"/>
    <w:rsid w:val="00CA0791"/>
    <w:rsid w:val="00CA085D"/>
    <w:rsid w:val="00CA089C"/>
    <w:rsid w:val="00CA0A6D"/>
    <w:rsid w:val="00CA0DB1"/>
    <w:rsid w:val="00CA14CE"/>
    <w:rsid w:val="00CA1A42"/>
    <w:rsid w:val="00CA1E2F"/>
    <w:rsid w:val="00CA1EFC"/>
    <w:rsid w:val="00CA29EC"/>
    <w:rsid w:val="00CA2AFE"/>
    <w:rsid w:val="00CA3098"/>
    <w:rsid w:val="00CA41AE"/>
    <w:rsid w:val="00CA4351"/>
    <w:rsid w:val="00CA46CA"/>
    <w:rsid w:val="00CA4B5A"/>
    <w:rsid w:val="00CA4F0D"/>
    <w:rsid w:val="00CA5217"/>
    <w:rsid w:val="00CA5412"/>
    <w:rsid w:val="00CA5F57"/>
    <w:rsid w:val="00CA60F4"/>
    <w:rsid w:val="00CA61C9"/>
    <w:rsid w:val="00CA674B"/>
    <w:rsid w:val="00CA680B"/>
    <w:rsid w:val="00CA6D0E"/>
    <w:rsid w:val="00CA70EF"/>
    <w:rsid w:val="00CA72DC"/>
    <w:rsid w:val="00CA7C91"/>
    <w:rsid w:val="00CB0555"/>
    <w:rsid w:val="00CB0891"/>
    <w:rsid w:val="00CB0E8D"/>
    <w:rsid w:val="00CB2501"/>
    <w:rsid w:val="00CB2D7A"/>
    <w:rsid w:val="00CB39E0"/>
    <w:rsid w:val="00CB3BA5"/>
    <w:rsid w:val="00CB498A"/>
    <w:rsid w:val="00CB4D0E"/>
    <w:rsid w:val="00CB572D"/>
    <w:rsid w:val="00CB5847"/>
    <w:rsid w:val="00CB5B21"/>
    <w:rsid w:val="00CB5C55"/>
    <w:rsid w:val="00CB68A7"/>
    <w:rsid w:val="00CB73E9"/>
    <w:rsid w:val="00CB7438"/>
    <w:rsid w:val="00CB7462"/>
    <w:rsid w:val="00CB74FC"/>
    <w:rsid w:val="00CB7710"/>
    <w:rsid w:val="00CB7765"/>
    <w:rsid w:val="00CB7C44"/>
    <w:rsid w:val="00CC0AF8"/>
    <w:rsid w:val="00CC0B78"/>
    <w:rsid w:val="00CC2172"/>
    <w:rsid w:val="00CC22D8"/>
    <w:rsid w:val="00CC2939"/>
    <w:rsid w:val="00CC4311"/>
    <w:rsid w:val="00CC4676"/>
    <w:rsid w:val="00CC4D2F"/>
    <w:rsid w:val="00CC4E16"/>
    <w:rsid w:val="00CC4F17"/>
    <w:rsid w:val="00CC51F0"/>
    <w:rsid w:val="00CC59F5"/>
    <w:rsid w:val="00CC5B20"/>
    <w:rsid w:val="00CC5CEF"/>
    <w:rsid w:val="00CC6C76"/>
    <w:rsid w:val="00CC6D00"/>
    <w:rsid w:val="00CC78F3"/>
    <w:rsid w:val="00CD1344"/>
    <w:rsid w:val="00CD173B"/>
    <w:rsid w:val="00CD192E"/>
    <w:rsid w:val="00CD2C7C"/>
    <w:rsid w:val="00CD2D0F"/>
    <w:rsid w:val="00CD2F77"/>
    <w:rsid w:val="00CD319F"/>
    <w:rsid w:val="00CD3399"/>
    <w:rsid w:val="00CD36F0"/>
    <w:rsid w:val="00CD38BC"/>
    <w:rsid w:val="00CD3C25"/>
    <w:rsid w:val="00CD446B"/>
    <w:rsid w:val="00CD630D"/>
    <w:rsid w:val="00CD6D5A"/>
    <w:rsid w:val="00CD7773"/>
    <w:rsid w:val="00CD7DDF"/>
    <w:rsid w:val="00CE002E"/>
    <w:rsid w:val="00CE0174"/>
    <w:rsid w:val="00CE025E"/>
    <w:rsid w:val="00CE0287"/>
    <w:rsid w:val="00CE0B10"/>
    <w:rsid w:val="00CE0CF1"/>
    <w:rsid w:val="00CE1C99"/>
    <w:rsid w:val="00CE1CFC"/>
    <w:rsid w:val="00CE1D03"/>
    <w:rsid w:val="00CE217A"/>
    <w:rsid w:val="00CE2264"/>
    <w:rsid w:val="00CE25E3"/>
    <w:rsid w:val="00CE2859"/>
    <w:rsid w:val="00CE2862"/>
    <w:rsid w:val="00CE2B16"/>
    <w:rsid w:val="00CE2CBD"/>
    <w:rsid w:val="00CE3139"/>
    <w:rsid w:val="00CE3576"/>
    <w:rsid w:val="00CE3847"/>
    <w:rsid w:val="00CE3AE6"/>
    <w:rsid w:val="00CE3DF0"/>
    <w:rsid w:val="00CE3ED3"/>
    <w:rsid w:val="00CE46A5"/>
    <w:rsid w:val="00CE523D"/>
    <w:rsid w:val="00CE5298"/>
    <w:rsid w:val="00CE5995"/>
    <w:rsid w:val="00CE63FF"/>
    <w:rsid w:val="00CE6E81"/>
    <w:rsid w:val="00CE7071"/>
    <w:rsid w:val="00CE71D7"/>
    <w:rsid w:val="00CE7703"/>
    <w:rsid w:val="00CE7AA0"/>
    <w:rsid w:val="00CE7C60"/>
    <w:rsid w:val="00CF00B3"/>
    <w:rsid w:val="00CF0831"/>
    <w:rsid w:val="00CF128C"/>
    <w:rsid w:val="00CF1525"/>
    <w:rsid w:val="00CF17A9"/>
    <w:rsid w:val="00CF296C"/>
    <w:rsid w:val="00CF29A3"/>
    <w:rsid w:val="00CF2B39"/>
    <w:rsid w:val="00CF3C1E"/>
    <w:rsid w:val="00CF5144"/>
    <w:rsid w:val="00CF5366"/>
    <w:rsid w:val="00CF53B6"/>
    <w:rsid w:val="00CF6163"/>
    <w:rsid w:val="00CF6FC2"/>
    <w:rsid w:val="00CF73FA"/>
    <w:rsid w:val="00CF7D0A"/>
    <w:rsid w:val="00D00629"/>
    <w:rsid w:val="00D00748"/>
    <w:rsid w:val="00D00CFF"/>
    <w:rsid w:val="00D00D65"/>
    <w:rsid w:val="00D00F2A"/>
    <w:rsid w:val="00D01967"/>
    <w:rsid w:val="00D024B1"/>
    <w:rsid w:val="00D02535"/>
    <w:rsid w:val="00D0282C"/>
    <w:rsid w:val="00D031C9"/>
    <w:rsid w:val="00D0376A"/>
    <w:rsid w:val="00D0399A"/>
    <w:rsid w:val="00D03D0B"/>
    <w:rsid w:val="00D04F8D"/>
    <w:rsid w:val="00D05020"/>
    <w:rsid w:val="00D052CE"/>
    <w:rsid w:val="00D05A66"/>
    <w:rsid w:val="00D05BBC"/>
    <w:rsid w:val="00D05E3A"/>
    <w:rsid w:val="00D06A68"/>
    <w:rsid w:val="00D076E6"/>
    <w:rsid w:val="00D07758"/>
    <w:rsid w:val="00D10D24"/>
    <w:rsid w:val="00D10F5C"/>
    <w:rsid w:val="00D10F86"/>
    <w:rsid w:val="00D10FEF"/>
    <w:rsid w:val="00D11FA9"/>
    <w:rsid w:val="00D12960"/>
    <w:rsid w:val="00D13012"/>
    <w:rsid w:val="00D131B3"/>
    <w:rsid w:val="00D1440D"/>
    <w:rsid w:val="00D15088"/>
    <w:rsid w:val="00D171C9"/>
    <w:rsid w:val="00D17B76"/>
    <w:rsid w:val="00D17C34"/>
    <w:rsid w:val="00D17E00"/>
    <w:rsid w:val="00D20051"/>
    <w:rsid w:val="00D20194"/>
    <w:rsid w:val="00D2039F"/>
    <w:rsid w:val="00D207D4"/>
    <w:rsid w:val="00D2112C"/>
    <w:rsid w:val="00D215F4"/>
    <w:rsid w:val="00D21C3F"/>
    <w:rsid w:val="00D2202E"/>
    <w:rsid w:val="00D22FD5"/>
    <w:rsid w:val="00D2369D"/>
    <w:rsid w:val="00D23769"/>
    <w:rsid w:val="00D23DDA"/>
    <w:rsid w:val="00D245D4"/>
    <w:rsid w:val="00D24DE6"/>
    <w:rsid w:val="00D25073"/>
    <w:rsid w:val="00D251FD"/>
    <w:rsid w:val="00D25645"/>
    <w:rsid w:val="00D2573A"/>
    <w:rsid w:val="00D25C77"/>
    <w:rsid w:val="00D25E30"/>
    <w:rsid w:val="00D260BD"/>
    <w:rsid w:val="00D2689F"/>
    <w:rsid w:val="00D26F58"/>
    <w:rsid w:val="00D26F86"/>
    <w:rsid w:val="00D271F8"/>
    <w:rsid w:val="00D279C5"/>
    <w:rsid w:val="00D27B92"/>
    <w:rsid w:val="00D30380"/>
    <w:rsid w:val="00D303FC"/>
    <w:rsid w:val="00D3136B"/>
    <w:rsid w:val="00D31A6F"/>
    <w:rsid w:val="00D3223B"/>
    <w:rsid w:val="00D329AC"/>
    <w:rsid w:val="00D32E03"/>
    <w:rsid w:val="00D32FA5"/>
    <w:rsid w:val="00D33731"/>
    <w:rsid w:val="00D3382F"/>
    <w:rsid w:val="00D33D36"/>
    <w:rsid w:val="00D33EE7"/>
    <w:rsid w:val="00D349A7"/>
    <w:rsid w:val="00D34D92"/>
    <w:rsid w:val="00D34DF8"/>
    <w:rsid w:val="00D34F9F"/>
    <w:rsid w:val="00D35A05"/>
    <w:rsid w:val="00D35CA7"/>
    <w:rsid w:val="00D35DF4"/>
    <w:rsid w:val="00D35EF4"/>
    <w:rsid w:val="00D3645C"/>
    <w:rsid w:val="00D3649E"/>
    <w:rsid w:val="00D366EF"/>
    <w:rsid w:val="00D36862"/>
    <w:rsid w:val="00D36BBE"/>
    <w:rsid w:val="00D36F00"/>
    <w:rsid w:val="00D3765E"/>
    <w:rsid w:val="00D376C0"/>
    <w:rsid w:val="00D37993"/>
    <w:rsid w:val="00D4045B"/>
    <w:rsid w:val="00D40B62"/>
    <w:rsid w:val="00D412BD"/>
    <w:rsid w:val="00D413C7"/>
    <w:rsid w:val="00D41817"/>
    <w:rsid w:val="00D418CB"/>
    <w:rsid w:val="00D4239A"/>
    <w:rsid w:val="00D4359A"/>
    <w:rsid w:val="00D43904"/>
    <w:rsid w:val="00D43A25"/>
    <w:rsid w:val="00D44041"/>
    <w:rsid w:val="00D44B9B"/>
    <w:rsid w:val="00D44CBA"/>
    <w:rsid w:val="00D44CDB"/>
    <w:rsid w:val="00D45B89"/>
    <w:rsid w:val="00D45D66"/>
    <w:rsid w:val="00D46968"/>
    <w:rsid w:val="00D4729C"/>
    <w:rsid w:val="00D4790C"/>
    <w:rsid w:val="00D47D00"/>
    <w:rsid w:val="00D501DD"/>
    <w:rsid w:val="00D51393"/>
    <w:rsid w:val="00D515C6"/>
    <w:rsid w:val="00D51672"/>
    <w:rsid w:val="00D51A92"/>
    <w:rsid w:val="00D528D1"/>
    <w:rsid w:val="00D52EF1"/>
    <w:rsid w:val="00D5324B"/>
    <w:rsid w:val="00D547B3"/>
    <w:rsid w:val="00D553B3"/>
    <w:rsid w:val="00D5551B"/>
    <w:rsid w:val="00D55E23"/>
    <w:rsid w:val="00D55EDD"/>
    <w:rsid w:val="00D56109"/>
    <w:rsid w:val="00D568DC"/>
    <w:rsid w:val="00D56BD9"/>
    <w:rsid w:val="00D56D7D"/>
    <w:rsid w:val="00D5733A"/>
    <w:rsid w:val="00D57375"/>
    <w:rsid w:val="00D57693"/>
    <w:rsid w:val="00D576AA"/>
    <w:rsid w:val="00D577A8"/>
    <w:rsid w:val="00D57DAF"/>
    <w:rsid w:val="00D57E34"/>
    <w:rsid w:val="00D606E1"/>
    <w:rsid w:val="00D60766"/>
    <w:rsid w:val="00D60AD5"/>
    <w:rsid w:val="00D61149"/>
    <w:rsid w:val="00D6134F"/>
    <w:rsid w:val="00D6148A"/>
    <w:rsid w:val="00D616DA"/>
    <w:rsid w:val="00D61D33"/>
    <w:rsid w:val="00D6219F"/>
    <w:rsid w:val="00D625A5"/>
    <w:rsid w:val="00D63276"/>
    <w:rsid w:val="00D63576"/>
    <w:rsid w:val="00D63AD6"/>
    <w:rsid w:val="00D644B4"/>
    <w:rsid w:val="00D659DB"/>
    <w:rsid w:val="00D6608B"/>
    <w:rsid w:val="00D6627E"/>
    <w:rsid w:val="00D663C7"/>
    <w:rsid w:val="00D669AA"/>
    <w:rsid w:val="00D66FFB"/>
    <w:rsid w:val="00D670FC"/>
    <w:rsid w:val="00D67994"/>
    <w:rsid w:val="00D7001A"/>
    <w:rsid w:val="00D70B09"/>
    <w:rsid w:val="00D70CC2"/>
    <w:rsid w:val="00D70F1C"/>
    <w:rsid w:val="00D70F76"/>
    <w:rsid w:val="00D716D2"/>
    <w:rsid w:val="00D71C18"/>
    <w:rsid w:val="00D72169"/>
    <w:rsid w:val="00D722C6"/>
    <w:rsid w:val="00D72C90"/>
    <w:rsid w:val="00D73140"/>
    <w:rsid w:val="00D738B5"/>
    <w:rsid w:val="00D73DB5"/>
    <w:rsid w:val="00D74000"/>
    <w:rsid w:val="00D7494E"/>
    <w:rsid w:val="00D74E16"/>
    <w:rsid w:val="00D75B15"/>
    <w:rsid w:val="00D767DB"/>
    <w:rsid w:val="00D76848"/>
    <w:rsid w:val="00D76CFE"/>
    <w:rsid w:val="00D76D8F"/>
    <w:rsid w:val="00D76E8C"/>
    <w:rsid w:val="00D80209"/>
    <w:rsid w:val="00D80430"/>
    <w:rsid w:val="00D8086C"/>
    <w:rsid w:val="00D8088B"/>
    <w:rsid w:val="00D80BCF"/>
    <w:rsid w:val="00D80D4F"/>
    <w:rsid w:val="00D80F11"/>
    <w:rsid w:val="00D81720"/>
    <w:rsid w:val="00D8175C"/>
    <w:rsid w:val="00D81D2B"/>
    <w:rsid w:val="00D81D75"/>
    <w:rsid w:val="00D81F58"/>
    <w:rsid w:val="00D81F8C"/>
    <w:rsid w:val="00D82A5E"/>
    <w:rsid w:val="00D834CD"/>
    <w:rsid w:val="00D83B83"/>
    <w:rsid w:val="00D845F9"/>
    <w:rsid w:val="00D848D3"/>
    <w:rsid w:val="00D84BBF"/>
    <w:rsid w:val="00D84F24"/>
    <w:rsid w:val="00D85454"/>
    <w:rsid w:val="00D85947"/>
    <w:rsid w:val="00D85F05"/>
    <w:rsid w:val="00D861A9"/>
    <w:rsid w:val="00D90DC2"/>
    <w:rsid w:val="00D91653"/>
    <w:rsid w:val="00D91726"/>
    <w:rsid w:val="00D91836"/>
    <w:rsid w:val="00D922C4"/>
    <w:rsid w:val="00D9238D"/>
    <w:rsid w:val="00D92B6E"/>
    <w:rsid w:val="00D9337F"/>
    <w:rsid w:val="00D942E4"/>
    <w:rsid w:val="00D94574"/>
    <w:rsid w:val="00D95159"/>
    <w:rsid w:val="00D9528F"/>
    <w:rsid w:val="00D955CB"/>
    <w:rsid w:val="00D95662"/>
    <w:rsid w:val="00D957F8"/>
    <w:rsid w:val="00D9596D"/>
    <w:rsid w:val="00D95B6C"/>
    <w:rsid w:val="00D95FD8"/>
    <w:rsid w:val="00D969E0"/>
    <w:rsid w:val="00D96BE5"/>
    <w:rsid w:val="00D96CD8"/>
    <w:rsid w:val="00D9718A"/>
    <w:rsid w:val="00D97738"/>
    <w:rsid w:val="00DA0454"/>
    <w:rsid w:val="00DA0A17"/>
    <w:rsid w:val="00DA0EED"/>
    <w:rsid w:val="00DA11B6"/>
    <w:rsid w:val="00DA18AA"/>
    <w:rsid w:val="00DA1B54"/>
    <w:rsid w:val="00DA1BE2"/>
    <w:rsid w:val="00DA1F0E"/>
    <w:rsid w:val="00DA2053"/>
    <w:rsid w:val="00DA256E"/>
    <w:rsid w:val="00DA32FC"/>
    <w:rsid w:val="00DA33FA"/>
    <w:rsid w:val="00DA3644"/>
    <w:rsid w:val="00DA369E"/>
    <w:rsid w:val="00DA5258"/>
    <w:rsid w:val="00DA556F"/>
    <w:rsid w:val="00DA5898"/>
    <w:rsid w:val="00DA5B0B"/>
    <w:rsid w:val="00DA636A"/>
    <w:rsid w:val="00DA65C7"/>
    <w:rsid w:val="00DA66C3"/>
    <w:rsid w:val="00DA735D"/>
    <w:rsid w:val="00DA7CF8"/>
    <w:rsid w:val="00DA7FE2"/>
    <w:rsid w:val="00DB0F71"/>
    <w:rsid w:val="00DB15CE"/>
    <w:rsid w:val="00DB15F5"/>
    <w:rsid w:val="00DB16A2"/>
    <w:rsid w:val="00DB23F6"/>
    <w:rsid w:val="00DB2646"/>
    <w:rsid w:val="00DB266B"/>
    <w:rsid w:val="00DB3894"/>
    <w:rsid w:val="00DB3A0B"/>
    <w:rsid w:val="00DB3B77"/>
    <w:rsid w:val="00DB3E39"/>
    <w:rsid w:val="00DB4C26"/>
    <w:rsid w:val="00DB72B6"/>
    <w:rsid w:val="00DB74AD"/>
    <w:rsid w:val="00DB7AD3"/>
    <w:rsid w:val="00DB7B30"/>
    <w:rsid w:val="00DB7CAC"/>
    <w:rsid w:val="00DB7CFF"/>
    <w:rsid w:val="00DB7E20"/>
    <w:rsid w:val="00DC00B9"/>
    <w:rsid w:val="00DC1372"/>
    <w:rsid w:val="00DC186D"/>
    <w:rsid w:val="00DC1A3A"/>
    <w:rsid w:val="00DC1CCD"/>
    <w:rsid w:val="00DC1E0D"/>
    <w:rsid w:val="00DC2F4C"/>
    <w:rsid w:val="00DC321B"/>
    <w:rsid w:val="00DC34D0"/>
    <w:rsid w:val="00DC3635"/>
    <w:rsid w:val="00DC3E3C"/>
    <w:rsid w:val="00DC41FC"/>
    <w:rsid w:val="00DC4462"/>
    <w:rsid w:val="00DC45AD"/>
    <w:rsid w:val="00DC48AE"/>
    <w:rsid w:val="00DC4CD4"/>
    <w:rsid w:val="00DC4E2E"/>
    <w:rsid w:val="00DC4E9A"/>
    <w:rsid w:val="00DC599E"/>
    <w:rsid w:val="00DC5D66"/>
    <w:rsid w:val="00DC6C2C"/>
    <w:rsid w:val="00DC6C78"/>
    <w:rsid w:val="00DC7052"/>
    <w:rsid w:val="00DC7E06"/>
    <w:rsid w:val="00DC7E32"/>
    <w:rsid w:val="00DD04B7"/>
    <w:rsid w:val="00DD2073"/>
    <w:rsid w:val="00DD2A50"/>
    <w:rsid w:val="00DD325F"/>
    <w:rsid w:val="00DD3319"/>
    <w:rsid w:val="00DD430A"/>
    <w:rsid w:val="00DD46C8"/>
    <w:rsid w:val="00DD5083"/>
    <w:rsid w:val="00DD55DC"/>
    <w:rsid w:val="00DD5873"/>
    <w:rsid w:val="00DD5881"/>
    <w:rsid w:val="00DD5E21"/>
    <w:rsid w:val="00DD675D"/>
    <w:rsid w:val="00DD6A9E"/>
    <w:rsid w:val="00DD720F"/>
    <w:rsid w:val="00DD7A4F"/>
    <w:rsid w:val="00DD7F1E"/>
    <w:rsid w:val="00DE0277"/>
    <w:rsid w:val="00DE0C3C"/>
    <w:rsid w:val="00DE0DD5"/>
    <w:rsid w:val="00DE10CB"/>
    <w:rsid w:val="00DE13C9"/>
    <w:rsid w:val="00DE18EA"/>
    <w:rsid w:val="00DE1DAB"/>
    <w:rsid w:val="00DE224C"/>
    <w:rsid w:val="00DE2496"/>
    <w:rsid w:val="00DE3010"/>
    <w:rsid w:val="00DE34E4"/>
    <w:rsid w:val="00DE38B6"/>
    <w:rsid w:val="00DE38EB"/>
    <w:rsid w:val="00DE3D30"/>
    <w:rsid w:val="00DE3F78"/>
    <w:rsid w:val="00DE413F"/>
    <w:rsid w:val="00DE4A8B"/>
    <w:rsid w:val="00DE5238"/>
    <w:rsid w:val="00DE5293"/>
    <w:rsid w:val="00DE55B4"/>
    <w:rsid w:val="00DE60A9"/>
    <w:rsid w:val="00DE7019"/>
    <w:rsid w:val="00DF013A"/>
    <w:rsid w:val="00DF0812"/>
    <w:rsid w:val="00DF10A4"/>
    <w:rsid w:val="00DF1343"/>
    <w:rsid w:val="00DF26B0"/>
    <w:rsid w:val="00DF2C5C"/>
    <w:rsid w:val="00DF4572"/>
    <w:rsid w:val="00DF45B7"/>
    <w:rsid w:val="00DF4BC7"/>
    <w:rsid w:val="00DF560D"/>
    <w:rsid w:val="00DF60BC"/>
    <w:rsid w:val="00DF614A"/>
    <w:rsid w:val="00DF6F83"/>
    <w:rsid w:val="00DF776C"/>
    <w:rsid w:val="00DF7D60"/>
    <w:rsid w:val="00E012E1"/>
    <w:rsid w:val="00E0204C"/>
    <w:rsid w:val="00E023E2"/>
    <w:rsid w:val="00E029DE"/>
    <w:rsid w:val="00E03A22"/>
    <w:rsid w:val="00E0480D"/>
    <w:rsid w:val="00E04926"/>
    <w:rsid w:val="00E04A3E"/>
    <w:rsid w:val="00E053AE"/>
    <w:rsid w:val="00E05742"/>
    <w:rsid w:val="00E0590D"/>
    <w:rsid w:val="00E05AD6"/>
    <w:rsid w:val="00E05D81"/>
    <w:rsid w:val="00E0640A"/>
    <w:rsid w:val="00E06493"/>
    <w:rsid w:val="00E0691B"/>
    <w:rsid w:val="00E07493"/>
    <w:rsid w:val="00E074F0"/>
    <w:rsid w:val="00E07634"/>
    <w:rsid w:val="00E07819"/>
    <w:rsid w:val="00E07B2F"/>
    <w:rsid w:val="00E07FFD"/>
    <w:rsid w:val="00E10C08"/>
    <w:rsid w:val="00E10C2A"/>
    <w:rsid w:val="00E10D7F"/>
    <w:rsid w:val="00E11322"/>
    <w:rsid w:val="00E11E8B"/>
    <w:rsid w:val="00E1216E"/>
    <w:rsid w:val="00E12519"/>
    <w:rsid w:val="00E130E0"/>
    <w:rsid w:val="00E13106"/>
    <w:rsid w:val="00E138D7"/>
    <w:rsid w:val="00E138DB"/>
    <w:rsid w:val="00E13C60"/>
    <w:rsid w:val="00E13EF4"/>
    <w:rsid w:val="00E141CF"/>
    <w:rsid w:val="00E14205"/>
    <w:rsid w:val="00E14A6C"/>
    <w:rsid w:val="00E14CF1"/>
    <w:rsid w:val="00E14E04"/>
    <w:rsid w:val="00E1563E"/>
    <w:rsid w:val="00E163EA"/>
    <w:rsid w:val="00E16401"/>
    <w:rsid w:val="00E1647A"/>
    <w:rsid w:val="00E177A0"/>
    <w:rsid w:val="00E17DA5"/>
    <w:rsid w:val="00E200F0"/>
    <w:rsid w:val="00E20852"/>
    <w:rsid w:val="00E2088B"/>
    <w:rsid w:val="00E21533"/>
    <w:rsid w:val="00E21675"/>
    <w:rsid w:val="00E21F6A"/>
    <w:rsid w:val="00E221F5"/>
    <w:rsid w:val="00E22A90"/>
    <w:rsid w:val="00E2345E"/>
    <w:rsid w:val="00E23955"/>
    <w:rsid w:val="00E23957"/>
    <w:rsid w:val="00E249F3"/>
    <w:rsid w:val="00E24E2B"/>
    <w:rsid w:val="00E24FDF"/>
    <w:rsid w:val="00E25339"/>
    <w:rsid w:val="00E2549C"/>
    <w:rsid w:val="00E25833"/>
    <w:rsid w:val="00E25C4D"/>
    <w:rsid w:val="00E25C7A"/>
    <w:rsid w:val="00E25CA1"/>
    <w:rsid w:val="00E260EE"/>
    <w:rsid w:val="00E267CE"/>
    <w:rsid w:val="00E26817"/>
    <w:rsid w:val="00E27BE9"/>
    <w:rsid w:val="00E27D53"/>
    <w:rsid w:val="00E27DBD"/>
    <w:rsid w:val="00E30057"/>
    <w:rsid w:val="00E306AF"/>
    <w:rsid w:val="00E3087F"/>
    <w:rsid w:val="00E30AA8"/>
    <w:rsid w:val="00E30EE6"/>
    <w:rsid w:val="00E30F62"/>
    <w:rsid w:val="00E31247"/>
    <w:rsid w:val="00E316B8"/>
    <w:rsid w:val="00E317F0"/>
    <w:rsid w:val="00E31A9D"/>
    <w:rsid w:val="00E32342"/>
    <w:rsid w:val="00E32481"/>
    <w:rsid w:val="00E32E2E"/>
    <w:rsid w:val="00E3397C"/>
    <w:rsid w:val="00E33B07"/>
    <w:rsid w:val="00E33F98"/>
    <w:rsid w:val="00E33FAF"/>
    <w:rsid w:val="00E3484E"/>
    <w:rsid w:val="00E3547F"/>
    <w:rsid w:val="00E3550B"/>
    <w:rsid w:val="00E35775"/>
    <w:rsid w:val="00E357B8"/>
    <w:rsid w:val="00E35D48"/>
    <w:rsid w:val="00E35D7B"/>
    <w:rsid w:val="00E3669D"/>
    <w:rsid w:val="00E369B8"/>
    <w:rsid w:val="00E37146"/>
    <w:rsid w:val="00E37A66"/>
    <w:rsid w:val="00E408FE"/>
    <w:rsid w:val="00E40F37"/>
    <w:rsid w:val="00E41648"/>
    <w:rsid w:val="00E41665"/>
    <w:rsid w:val="00E42227"/>
    <w:rsid w:val="00E424C9"/>
    <w:rsid w:val="00E42A97"/>
    <w:rsid w:val="00E43052"/>
    <w:rsid w:val="00E43135"/>
    <w:rsid w:val="00E438B0"/>
    <w:rsid w:val="00E43E50"/>
    <w:rsid w:val="00E446AA"/>
    <w:rsid w:val="00E44AF4"/>
    <w:rsid w:val="00E44C27"/>
    <w:rsid w:val="00E4503E"/>
    <w:rsid w:val="00E45428"/>
    <w:rsid w:val="00E4550D"/>
    <w:rsid w:val="00E45A40"/>
    <w:rsid w:val="00E464DF"/>
    <w:rsid w:val="00E467CC"/>
    <w:rsid w:val="00E46E10"/>
    <w:rsid w:val="00E472A8"/>
    <w:rsid w:val="00E507D1"/>
    <w:rsid w:val="00E50B1C"/>
    <w:rsid w:val="00E50E29"/>
    <w:rsid w:val="00E51419"/>
    <w:rsid w:val="00E5144F"/>
    <w:rsid w:val="00E51A96"/>
    <w:rsid w:val="00E52406"/>
    <w:rsid w:val="00E5251C"/>
    <w:rsid w:val="00E52560"/>
    <w:rsid w:val="00E531EB"/>
    <w:rsid w:val="00E535DF"/>
    <w:rsid w:val="00E535F6"/>
    <w:rsid w:val="00E53A01"/>
    <w:rsid w:val="00E53B0E"/>
    <w:rsid w:val="00E54D35"/>
    <w:rsid w:val="00E5529B"/>
    <w:rsid w:val="00E5571B"/>
    <w:rsid w:val="00E55AD4"/>
    <w:rsid w:val="00E55E49"/>
    <w:rsid w:val="00E5666D"/>
    <w:rsid w:val="00E5704C"/>
    <w:rsid w:val="00E57D2A"/>
    <w:rsid w:val="00E607D1"/>
    <w:rsid w:val="00E60D54"/>
    <w:rsid w:val="00E60F39"/>
    <w:rsid w:val="00E61387"/>
    <w:rsid w:val="00E61A39"/>
    <w:rsid w:val="00E61BBA"/>
    <w:rsid w:val="00E61BBC"/>
    <w:rsid w:val="00E62435"/>
    <w:rsid w:val="00E62519"/>
    <w:rsid w:val="00E62905"/>
    <w:rsid w:val="00E62FE6"/>
    <w:rsid w:val="00E6329E"/>
    <w:rsid w:val="00E63D26"/>
    <w:rsid w:val="00E6430C"/>
    <w:rsid w:val="00E6492A"/>
    <w:rsid w:val="00E64EB4"/>
    <w:rsid w:val="00E651FD"/>
    <w:rsid w:val="00E657D0"/>
    <w:rsid w:val="00E6644F"/>
    <w:rsid w:val="00E66EA9"/>
    <w:rsid w:val="00E66F64"/>
    <w:rsid w:val="00E6756D"/>
    <w:rsid w:val="00E677BE"/>
    <w:rsid w:val="00E67AF6"/>
    <w:rsid w:val="00E67E88"/>
    <w:rsid w:val="00E70CB5"/>
    <w:rsid w:val="00E7113A"/>
    <w:rsid w:val="00E71316"/>
    <w:rsid w:val="00E71FAB"/>
    <w:rsid w:val="00E72056"/>
    <w:rsid w:val="00E72218"/>
    <w:rsid w:val="00E7240A"/>
    <w:rsid w:val="00E7242C"/>
    <w:rsid w:val="00E729BB"/>
    <w:rsid w:val="00E72ECB"/>
    <w:rsid w:val="00E72F07"/>
    <w:rsid w:val="00E739E8"/>
    <w:rsid w:val="00E73A45"/>
    <w:rsid w:val="00E74853"/>
    <w:rsid w:val="00E750C2"/>
    <w:rsid w:val="00E75135"/>
    <w:rsid w:val="00E7641E"/>
    <w:rsid w:val="00E764A2"/>
    <w:rsid w:val="00E7650F"/>
    <w:rsid w:val="00E76712"/>
    <w:rsid w:val="00E76CA3"/>
    <w:rsid w:val="00E76D25"/>
    <w:rsid w:val="00E801C4"/>
    <w:rsid w:val="00E8039D"/>
    <w:rsid w:val="00E80432"/>
    <w:rsid w:val="00E806E8"/>
    <w:rsid w:val="00E8075A"/>
    <w:rsid w:val="00E80E04"/>
    <w:rsid w:val="00E8148D"/>
    <w:rsid w:val="00E81518"/>
    <w:rsid w:val="00E81F46"/>
    <w:rsid w:val="00E824B1"/>
    <w:rsid w:val="00E82E93"/>
    <w:rsid w:val="00E83CF5"/>
    <w:rsid w:val="00E83E8D"/>
    <w:rsid w:val="00E856C3"/>
    <w:rsid w:val="00E85970"/>
    <w:rsid w:val="00E86E87"/>
    <w:rsid w:val="00E87129"/>
    <w:rsid w:val="00E87449"/>
    <w:rsid w:val="00E87922"/>
    <w:rsid w:val="00E9037C"/>
    <w:rsid w:val="00E90458"/>
    <w:rsid w:val="00E90A61"/>
    <w:rsid w:val="00E91199"/>
    <w:rsid w:val="00E9166A"/>
    <w:rsid w:val="00E92047"/>
    <w:rsid w:val="00E922B4"/>
    <w:rsid w:val="00E9288B"/>
    <w:rsid w:val="00E934F5"/>
    <w:rsid w:val="00E942CA"/>
    <w:rsid w:val="00E94ABC"/>
    <w:rsid w:val="00E94BB4"/>
    <w:rsid w:val="00E94F4C"/>
    <w:rsid w:val="00E95202"/>
    <w:rsid w:val="00E9526F"/>
    <w:rsid w:val="00E952A7"/>
    <w:rsid w:val="00E95CA8"/>
    <w:rsid w:val="00E95E1B"/>
    <w:rsid w:val="00E9661F"/>
    <w:rsid w:val="00E96872"/>
    <w:rsid w:val="00E972E4"/>
    <w:rsid w:val="00E974E0"/>
    <w:rsid w:val="00E97538"/>
    <w:rsid w:val="00E97622"/>
    <w:rsid w:val="00E97653"/>
    <w:rsid w:val="00E97D8F"/>
    <w:rsid w:val="00E97FA5"/>
    <w:rsid w:val="00EA06E1"/>
    <w:rsid w:val="00EA088F"/>
    <w:rsid w:val="00EA0D78"/>
    <w:rsid w:val="00EA0D80"/>
    <w:rsid w:val="00EA1161"/>
    <w:rsid w:val="00EA11A9"/>
    <w:rsid w:val="00EA1879"/>
    <w:rsid w:val="00EA18CE"/>
    <w:rsid w:val="00EA19DF"/>
    <w:rsid w:val="00EA2406"/>
    <w:rsid w:val="00EA2A3C"/>
    <w:rsid w:val="00EA2AFC"/>
    <w:rsid w:val="00EA2B5B"/>
    <w:rsid w:val="00EA2DB9"/>
    <w:rsid w:val="00EA4EF5"/>
    <w:rsid w:val="00EA5083"/>
    <w:rsid w:val="00EA556B"/>
    <w:rsid w:val="00EA563F"/>
    <w:rsid w:val="00EA5900"/>
    <w:rsid w:val="00EA5B72"/>
    <w:rsid w:val="00EA5F06"/>
    <w:rsid w:val="00EA60D6"/>
    <w:rsid w:val="00EA6405"/>
    <w:rsid w:val="00EA6992"/>
    <w:rsid w:val="00EA6DDD"/>
    <w:rsid w:val="00EA71DD"/>
    <w:rsid w:val="00EA793B"/>
    <w:rsid w:val="00EA7A20"/>
    <w:rsid w:val="00EA7CFD"/>
    <w:rsid w:val="00EA7F8B"/>
    <w:rsid w:val="00EB043F"/>
    <w:rsid w:val="00EB0ABD"/>
    <w:rsid w:val="00EB1226"/>
    <w:rsid w:val="00EB18A9"/>
    <w:rsid w:val="00EB191D"/>
    <w:rsid w:val="00EB2536"/>
    <w:rsid w:val="00EB2C18"/>
    <w:rsid w:val="00EB2C92"/>
    <w:rsid w:val="00EB3186"/>
    <w:rsid w:val="00EB3B19"/>
    <w:rsid w:val="00EB441F"/>
    <w:rsid w:val="00EB484C"/>
    <w:rsid w:val="00EB4A68"/>
    <w:rsid w:val="00EB4A84"/>
    <w:rsid w:val="00EB4C30"/>
    <w:rsid w:val="00EB5BFB"/>
    <w:rsid w:val="00EB6036"/>
    <w:rsid w:val="00EB61F8"/>
    <w:rsid w:val="00EB66BC"/>
    <w:rsid w:val="00EB6B5A"/>
    <w:rsid w:val="00EB6F5F"/>
    <w:rsid w:val="00EB70CC"/>
    <w:rsid w:val="00EB7DC1"/>
    <w:rsid w:val="00EB7DFA"/>
    <w:rsid w:val="00EC038F"/>
    <w:rsid w:val="00EC07D5"/>
    <w:rsid w:val="00EC0D88"/>
    <w:rsid w:val="00EC0E99"/>
    <w:rsid w:val="00EC1905"/>
    <w:rsid w:val="00EC2110"/>
    <w:rsid w:val="00EC2BF7"/>
    <w:rsid w:val="00EC2C46"/>
    <w:rsid w:val="00EC2DB6"/>
    <w:rsid w:val="00EC307B"/>
    <w:rsid w:val="00EC3648"/>
    <w:rsid w:val="00EC36FD"/>
    <w:rsid w:val="00EC3751"/>
    <w:rsid w:val="00EC381B"/>
    <w:rsid w:val="00EC50DD"/>
    <w:rsid w:val="00EC52F3"/>
    <w:rsid w:val="00EC5A8D"/>
    <w:rsid w:val="00EC6135"/>
    <w:rsid w:val="00EC61F0"/>
    <w:rsid w:val="00EC6750"/>
    <w:rsid w:val="00EC75C9"/>
    <w:rsid w:val="00ED09D9"/>
    <w:rsid w:val="00ED0F9B"/>
    <w:rsid w:val="00ED1706"/>
    <w:rsid w:val="00ED245D"/>
    <w:rsid w:val="00ED2528"/>
    <w:rsid w:val="00ED2541"/>
    <w:rsid w:val="00ED25D4"/>
    <w:rsid w:val="00ED26F0"/>
    <w:rsid w:val="00ED2E3D"/>
    <w:rsid w:val="00ED3068"/>
    <w:rsid w:val="00ED35AC"/>
    <w:rsid w:val="00ED3634"/>
    <w:rsid w:val="00ED38D1"/>
    <w:rsid w:val="00ED3A14"/>
    <w:rsid w:val="00ED4223"/>
    <w:rsid w:val="00ED4D77"/>
    <w:rsid w:val="00ED56C9"/>
    <w:rsid w:val="00ED65F5"/>
    <w:rsid w:val="00ED6676"/>
    <w:rsid w:val="00ED674B"/>
    <w:rsid w:val="00ED67A7"/>
    <w:rsid w:val="00ED6E72"/>
    <w:rsid w:val="00ED7207"/>
    <w:rsid w:val="00ED7B55"/>
    <w:rsid w:val="00ED7DF5"/>
    <w:rsid w:val="00EE0952"/>
    <w:rsid w:val="00EE0DBA"/>
    <w:rsid w:val="00EE2537"/>
    <w:rsid w:val="00EE26AD"/>
    <w:rsid w:val="00EE26C3"/>
    <w:rsid w:val="00EE277D"/>
    <w:rsid w:val="00EE289E"/>
    <w:rsid w:val="00EE28ED"/>
    <w:rsid w:val="00EE2F14"/>
    <w:rsid w:val="00EE3263"/>
    <w:rsid w:val="00EE33D5"/>
    <w:rsid w:val="00EE4325"/>
    <w:rsid w:val="00EE43AE"/>
    <w:rsid w:val="00EE4628"/>
    <w:rsid w:val="00EE4CFD"/>
    <w:rsid w:val="00EE5485"/>
    <w:rsid w:val="00EE54E5"/>
    <w:rsid w:val="00EE5B94"/>
    <w:rsid w:val="00EE5B96"/>
    <w:rsid w:val="00EE66CF"/>
    <w:rsid w:val="00EE6D73"/>
    <w:rsid w:val="00EE72F8"/>
    <w:rsid w:val="00EE7345"/>
    <w:rsid w:val="00EE73AE"/>
    <w:rsid w:val="00EE7CA5"/>
    <w:rsid w:val="00EF0AE2"/>
    <w:rsid w:val="00EF11A5"/>
    <w:rsid w:val="00EF155A"/>
    <w:rsid w:val="00EF1B56"/>
    <w:rsid w:val="00EF1EB3"/>
    <w:rsid w:val="00EF2305"/>
    <w:rsid w:val="00EF2A5B"/>
    <w:rsid w:val="00EF2B75"/>
    <w:rsid w:val="00EF359F"/>
    <w:rsid w:val="00EF38A2"/>
    <w:rsid w:val="00EF3FA2"/>
    <w:rsid w:val="00EF3FB5"/>
    <w:rsid w:val="00EF4193"/>
    <w:rsid w:val="00EF4199"/>
    <w:rsid w:val="00EF4CAC"/>
    <w:rsid w:val="00EF4DB0"/>
    <w:rsid w:val="00EF541A"/>
    <w:rsid w:val="00EF6B09"/>
    <w:rsid w:val="00EF6F68"/>
    <w:rsid w:val="00EF70E0"/>
    <w:rsid w:val="00EF713B"/>
    <w:rsid w:val="00EF723F"/>
    <w:rsid w:val="00EF7346"/>
    <w:rsid w:val="00EF7360"/>
    <w:rsid w:val="00EF7991"/>
    <w:rsid w:val="00F0037E"/>
    <w:rsid w:val="00F0058C"/>
    <w:rsid w:val="00F009BF"/>
    <w:rsid w:val="00F00A90"/>
    <w:rsid w:val="00F00C41"/>
    <w:rsid w:val="00F00EE5"/>
    <w:rsid w:val="00F01329"/>
    <w:rsid w:val="00F0146A"/>
    <w:rsid w:val="00F01729"/>
    <w:rsid w:val="00F01AFA"/>
    <w:rsid w:val="00F01BE0"/>
    <w:rsid w:val="00F02014"/>
    <w:rsid w:val="00F023F4"/>
    <w:rsid w:val="00F025B9"/>
    <w:rsid w:val="00F02E4E"/>
    <w:rsid w:val="00F0341F"/>
    <w:rsid w:val="00F03CDB"/>
    <w:rsid w:val="00F03F47"/>
    <w:rsid w:val="00F04595"/>
    <w:rsid w:val="00F045BC"/>
    <w:rsid w:val="00F04BA2"/>
    <w:rsid w:val="00F04FD0"/>
    <w:rsid w:val="00F052C5"/>
    <w:rsid w:val="00F05EE2"/>
    <w:rsid w:val="00F06439"/>
    <w:rsid w:val="00F0751B"/>
    <w:rsid w:val="00F07DA8"/>
    <w:rsid w:val="00F07E3E"/>
    <w:rsid w:val="00F10565"/>
    <w:rsid w:val="00F1088C"/>
    <w:rsid w:val="00F10DB3"/>
    <w:rsid w:val="00F10DD4"/>
    <w:rsid w:val="00F1101C"/>
    <w:rsid w:val="00F11456"/>
    <w:rsid w:val="00F11D24"/>
    <w:rsid w:val="00F1268C"/>
    <w:rsid w:val="00F126AC"/>
    <w:rsid w:val="00F126BC"/>
    <w:rsid w:val="00F13479"/>
    <w:rsid w:val="00F135C2"/>
    <w:rsid w:val="00F135EB"/>
    <w:rsid w:val="00F1398A"/>
    <w:rsid w:val="00F139BF"/>
    <w:rsid w:val="00F14830"/>
    <w:rsid w:val="00F14D69"/>
    <w:rsid w:val="00F15789"/>
    <w:rsid w:val="00F165B2"/>
    <w:rsid w:val="00F168F6"/>
    <w:rsid w:val="00F16D33"/>
    <w:rsid w:val="00F16E3A"/>
    <w:rsid w:val="00F17144"/>
    <w:rsid w:val="00F17335"/>
    <w:rsid w:val="00F174BB"/>
    <w:rsid w:val="00F203DB"/>
    <w:rsid w:val="00F20BA3"/>
    <w:rsid w:val="00F20BBA"/>
    <w:rsid w:val="00F20EC3"/>
    <w:rsid w:val="00F211F2"/>
    <w:rsid w:val="00F21AC4"/>
    <w:rsid w:val="00F221E6"/>
    <w:rsid w:val="00F2265B"/>
    <w:rsid w:val="00F229F5"/>
    <w:rsid w:val="00F22EE6"/>
    <w:rsid w:val="00F23697"/>
    <w:rsid w:val="00F23767"/>
    <w:rsid w:val="00F2460B"/>
    <w:rsid w:val="00F25353"/>
    <w:rsid w:val="00F255C6"/>
    <w:rsid w:val="00F25AC3"/>
    <w:rsid w:val="00F26723"/>
    <w:rsid w:val="00F27153"/>
    <w:rsid w:val="00F2718E"/>
    <w:rsid w:val="00F27B63"/>
    <w:rsid w:val="00F27CE9"/>
    <w:rsid w:val="00F3110E"/>
    <w:rsid w:val="00F317CF"/>
    <w:rsid w:val="00F31BA2"/>
    <w:rsid w:val="00F31C25"/>
    <w:rsid w:val="00F31DA7"/>
    <w:rsid w:val="00F31F35"/>
    <w:rsid w:val="00F31FF5"/>
    <w:rsid w:val="00F32365"/>
    <w:rsid w:val="00F34365"/>
    <w:rsid w:val="00F34B18"/>
    <w:rsid w:val="00F34E28"/>
    <w:rsid w:val="00F35ED4"/>
    <w:rsid w:val="00F36064"/>
    <w:rsid w:val="00F368A4"/>
    <w:rsid w:val="00F3694B"/>
    <w:rsid w:val="00F36CAF"/>
    <w:rsid w:val="00F36CB0"/>
    <w:rsid w:val="00F371E5"/>
    <w:rsid w:val="00F379A6"/>
    <w:rsid w:val="00F37B0F"/>
    <w:rsid w:val="00F4005A"/>
    <w:rsid w:val="00F4039A"/>
    <w:rsid w:val="00F405E7"/>
    <w:rsid w:val="00F40CAD"/>
    <w:rsid w:val="00F40CDA"/>
    <w:rsid w:val="00F40E13"/>
    <w:rsid w:val="00F40E83"/>
    <w:rsid w:val="00F41688"/>
    <w:rsid w:val="00F416EC"/>
    <w:rsid w:val="00F42033"/>
    <w:rsid w:val="00F4273D"/>
    <w:rsid w:val="00F42C61"/>
    <w:rsid w:val="00F436D9"/>
    <w:rsid w:val="00F4372E"/>
    <w:rsid w:val="00F43A76"/>
    <w:rsid w:val="00F43AF9"/>
    <w:rsid w:val="00F43FE6"/>
    <w:rsid w:val="00F445C9"/>
    <w:rsid w:val="00F44A1C"/>
    <w:rsid w:val="00F4529B"/>
    <w:rsid w:val="00F45638"/>
    <w:rsid w:val="00F46586"/>
    <w:rsid w:val="00F465F8"/>
    <w:rsid w:val="00F47562"/>
    <w:rsid w:val="00F47BCB"/>
    <w:rsid w:val="00F47EE5"/>
    <w:rsid w:val="00F509A4"/>
    <w:rsid w:val="00F51491"/>
    <w:rsid w:val="00F51B8E"/>
    <w:rsid w:val="00F51C90"/>
    <w:rsid w:val="00F5220C"/>
    <w:rsid w:val="00F52798"/>
    <w:rsid w:val="00F52BE6"/>
    <w:rsid w:val="00F53995"/>
    <w:rsid w:val="00F53A2C"/>
    <w:rsid w:val="00F541B5"/>
    <w:rsid w:val="00F546AE"/>
    <w:rsid w:val="00F55E3E"/>
    <w:rsid w:val="00F565C0"/>
    <w:rsid w:val="00F567F4"/>
    <w:rsid w:val="00F56B1A"/>
    <w:rsid w:val="00F576D0"/>
    <w:rsid w:val="00F57927"/>
    <w:rsid w:val="00F60804"/>
    <w:rsid w:val="00F60B9D"/>
    <w:rsid w:val="00F60C31"/>
    <w:rsid w:val="00F60ED0"/>
    <w:rsid w:val="00F60F89"/>
    <w:rsid w:val="00F61531"/>
    <w:rsid w:val="00F62A7A"/>
    <w:rsid w:val="00F6347E"/>
    <w:rsid w:val="00F63B85"/>
    <w:rsid w:val="00F644C2"/>
    <w:rsid w:val="00F64516"/>
    <w:rsid w:val="00F648D6"/>
    <w:rsid w:val="00F64B26"/>
    <w:rsid w:val="00F651FA"/>
    <w:rsid w:val="00F65C33"/>
    <w:rsid w:val="00F66213"/>
    <w:rsid w:val="00F66BAC"/>
    <w:rsid w:val="00F66BC4"/>
    <w:rsid w:val="00F66EF3"/>
    <w:rsid w:val="00F66F44"/>
    <w:rsid w:val="00F67AF4"/>
    <w:rsid w:val="00F70954"/>
    <w:rsid w:val="00F70EA2"/>
    <w:rsid w:val="00F71BA8"/>
    <w:rsid w:val="00F71BB4"/>
    <w:rsid w:val="00F72258"/>
    <w:rsid w:val="00F723F8"/>
    <w:rsid w:val="00F73947"/>
    <w:rsid w:val="00F73993"/>
    <w:rsid w:val="00F739E4"/>
    <w:rsid w:val="00F7476C"/>
    <w:rsid w:val="00F74B6D"/>
    <w:rsid w:val="00F755A1"/>
    <w:rsid w:val="00F755DC"/>
    <w:rsid w:val="00F75882"/>
    <w:rsid w:val="00F76595"/>
    <w:rsid w:val="00F7665C"/>
    <w:rsid w:val="00F76A03"/>
    <w:rsid w:val="00F76C5B"/>
    <w:rsid w:val="00F8053A"/>
    <w:rsid w:val="00F80E32"/>
    <w:rsid w:val="00F810A0"/>
    <w:rsid w:val="00F81C6F"/>
    <w:rsid w:val="00F82ECC"/>
    <w:rsid w:val="00F82F0A"/>
    <w:rsid w:val="00F83742"/>
    <w:rsid w:val="00F83AF7"/>
    <w:rsid w:val="00F83D4F"/>
    <w:rsid w:val="00F846B8"/>
    <w:rsid w:val="00F84882"/>
    <w:rsid w:val="00F84CEA"/>
    <w:rsid w:val="00F84F60"/>
    <w:rsid w:val="00F852C2"/>
    <w:rsid w:val="00F8532C"/>
    <w:rsid w:val="00F853C6"/>
    <w:rsid w:val="00F85A99"/>
    <w:rsid w:val="00F8649E"/>
    <w:rsid w:val="00F86985"/>
    <w:rsid w:val="00F875BD"/>
    <w:rsid w:val="00F87807"/>
    <w:rsid w:val="00F87CF3"/>
    <w:rsid w:val="00F9042E"/>
    <w:rsid w:val="00F90464"/>
    <w:rsid w:val="00F90ED0"/>
    <w:rsid w:val="00F9140D"/>
    <w:rsid w:val="00F91718"/>
    <w:rsid w:val="00F91874"/>
    <w:rsid w:val="00F918FA"/>
    <w:rsid w:val="00F91A03"/>
    <w:rsid w:val="00F91A66"/>
    <w:rsid w:val="00F9201E"/>
    <w:rsid w:val="00F92818"/>
    <w:rsid w:val="00F928E4"/>
    <w:rsid w:val="00F92A92"/>
    <w:rsid w:val="00F92AF5"/>
    <w:rsid w:val="00F92CE8"/>
    <w:rsid w:val="00F93177"/>
    <w:rsid w:val="00F93AA5"/>
    <w:rsid w:val="00F93B1D"/>
    <w:rsid w:val="00F93EA8"/>
    <w:rsid w:val="00F93F88"/>
    <w:rsid w:val="00F94469"/>
    <w:rsid w:val="00F945B3"/>
    <w:rsid w:val="00F94907"/>
    <w:rsid w:val="00F94E82"/>
    <w:rsid w:val="00F94E8C"/>
    <w:rsid w:val="00F94F57"/>
    <w:rsid w:val="00F967B0"/>
    <w:rsid w:val="00F96A33"/>
    <w:rsid w:val="00F96FEC"/>
    <w:rsid w:val="00F97221"/>
    <w:rsid w:val="00F97278"/>
    <w:rsid w:val="00F975B0"/>
    <w:rsid w:val="00F97F31"/>
    <w:rsid w:val="00FA03C5"/>
    <w:rsid w:val="00FA03DE"/>
    <w:rsid w:val="00FA055D"/>
    <w:rsid w:val="00FA0577"/>
    <w:rsid w:val="00FA089C"/>
    <w:rsid w:val="00FA089D"/>
    <w:rsid w:val="00FA148B"/>
    <w:rsid w:val="00FA1702"/>
    <w:rsid w:val="00FA1820"/>
    <w:rsid w:val="00FA198B"/>
    <w:rsid w:val="00FA1FD6"/>
    <w:rsid w:val="00FA35D2"/>
    <w:rsid w:val="00FA3933"/>
    <w:rsid w:val="00FA3BF1"/>
    <w:rsid w:val="00FA420C"/>
    <w:rsid w:val="00FA47F3"/>
    <w:rsid w:val="00FA5270"/>
    <w:rsid w:val="00FA5497"/>
    <w:rsid w:val="00FA5F9F"/>
    <w:rsid w:val="00FA6210"/>
    <w:rsid w:val="00FA647D"/>
    <w:rsid w:val="00FA6828"/>
    <w:rsid w:val="00FA6891"/>
    <w:rsid w:val="00FA6A0C"/>
    <w:rsid w:val="00FA6AD7"/>
    <w:rsid w:val="00FA6BAA"/>
    <w:rsid w:val="00FA722B"/>
    <w:rsid w:val="00FA7360"/>
    <w:rsid w:val="00FA738F"/>
    <w:rsid w:val="00FA73A5"/>
    <w:rsid w:val="00FB04CC"/>
    <w:rsid w:val="00FB1363"/>
    <w:rsid w:val="00FB1BC8"/>
    <w:rsid w:val="00FB2268"/>
    <w:rsid w:val="00FB2364"/>
    <w:rsid w:val="00FB28D0"/>
    <w:rsid w:val="00FB2D63"/>
    <w:rsid w:val="00FB3053"/>
    <w:rsid w:val="00FB3BA3"/>
    <w:rsid w:val="00FB4099"/>
    <w:rsid w:val="00FB4520"/>
    <w:rsid w:val="00FB4614"/>
    <w:rsid w:val="00FB4B20"/>
    <w:rsid w:val="00FB4CAC"/>
    <w:rsid w:val="00FB4CCC"/>
    <w:rsid w:val="00FB4E05"/>
    <w:rsid w:val="00FB5463"/>
    <w:rsid w:val="00FB555E"/>
    <w:rsid w:val="00FB6031"/>
    <w:rsid w:val="00FB628B"/>
    <w:rsid w:val="00FB6BE4"/>
    <w:rsid w:val="00FB6F32"/>
    <w:rsid w:val="00FB7308"/>
    <w:rsid w:val="00FB784A"/>
    <w:rsid w:val="00FB7AA9"/>
    <w:rsid w:val="00FB7F24"/>
    <w:rsid w:val="00FC03F3"/>
    <w:rsid w:val="00FC08F6"/>
    <w:rsid w:val="00FC0B6E"/>
    <w:rsid w:val="00FC1E0D"/>
    <w:rsid w:val="00FC24BB"/>
    <w:rsid w:val="00FC29F0"/>
    <w:rsid w:val="00FC3012"/>
    <w:rsid w:val="00FC35B8"/>
    <w:rsid w:val="00FC3C04"/>
    <w:rsid w:val="00FC416C"/>
    <w:rsid w:val="00FC536E"/>
    <w:rsid w:val="00FC5508"/>
    <w:rsid w:val="00FC57C4"/>
    <w:rsid w:val="00FC5BF0"/>
    <w:rsid w:val="00FC5DD8"/>
    <w:rsid w:val="00FC5E1A"/>
    <w:rsid w:val="00FC6030"/>
    <w:rsid w:val="00FC61FF"/>
    <w:rsid w:val="00FC6260"/>
    <w:rsid w:val="00FC67A2"/>
    <w:rsid w:val="00FC6CD8"/>
    <w:rsid w:val="00FC7AFA"/>
    <w:rsid w:val="00FC7D01"/>
    <w:rsid w:val="00FD00EC"/>
    <w:rsid w:val="00FD03F8"/>
    <w:rsid w:val="00FD049B"/>
    <w:rsid w:val="00FD0A29"/>
    <w:rsid w:val="00FD0BB3"/>
    <w:rsid w:val="00FD2793"/>
    <w:rsid w:val="00FD3534"/>
    <w:rsid w:val="00FD423B"/>
    <w:rsid w:val="00FD42D6"/>
    <w:rsid w:val="00FD49E4"/>
    <w:rsid w:val="00FD53C3"/>
    <w:rsid w:val="00FD5520"/>
    <w:rsid w:val="00FD5AFB"/>
    <w:rsid w:val="00FD5CCF"/>
    <w:rsid w:val="00FD61E3"/>
    <w:rsid w:val="00FD62AD"/>
    <w:rsid w:val="00FD64FD"/>
    <w:rsid w:val="00FD6A78"/>
    <w:rsid w:val="00FD71A8"/>
    <w:rsid w:val="00FD7BD2"/>
    <w:rsid w:val="00FE00D5"/>
    <w:rsid w:val="00FE0571"/>
    <w:rsid w:val="00FE17DC"/>
    <w:rsid w:val="00FE2820"/>
    <w:rsid w:val="00FE3530"/>
    <w:rsid w:val="00FE37B9"/>
    <w:rsid w:val="00FE41E3"/>
    <w:rsid w:val="00FE423A"/>
    <w:rsid w:val="00FE4447"/>
    <w:rsid w:val="00FE47BD"/>
    <w:rsid w:val="00FE4B5B"/>
    <w:rsid w:val="00FE4F1A"/>
    <w:rsid w:val="00FE51D1"/>
    <w:rsid w:val="00FE5640"/>
    <w:rsid w:val="00FE6A83"/>
    <w:rsid w:val="00FE6CCE"/>
    <w:rsid w:val="00FE76FF"/>
    <w:rsid w:val="00FE7B1A"/>
    <w:rsid w:val="00FE7F62"/>
    <w:rsid w:val="00FE7FA1"/>
    <w:rsid w:val="00FF0068"/>
    <w:rsid w:val="00FF0655"/>
    <w:rsid w:val="00FF0804"/>
    <w:rsid w:val="00FF18DE"/>
    <w:rsid w:val="00FF2177"/>
    <w:rsid w:val="00FF278C"/>
    <w:rsid w:val="00FF27B0"/>
    <w:rsid w:val="00FF2CA1"/>
    <w:rsid w:val="00FF31CE"/>
    <w:rsid w:val="00FF3215"/>
    <w:rsid w:val="00FF32DD"/>
    <w:rsid w:val="00FF3EDE"/>
    <w:rsid w:val="00FF5CF6"/>
    <w:rsid w:val="00FF6849"/>
    <w:rsid w:val="00FF6DFB"/>
    <w:rsid w:val="00FF71C1"/>
    <w:rsid w:val="00FF73DA"/>
    <w:rsid w:val="00FF7956"/>
    <w:rsid w:val="00FF7A78"/>
    <w:rsid w:val="00FF7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83D0A"/>
  <w15:docId w15:val="{A99A375D-A94A-43F9-A0E3-019005D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1"/>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 w:type="character" w:customStyle="1" w:styleId="UnresolvedMention">
    <w:name w:val="Unresolved Mention"/>
    <w:basedOn w:val="DefaultParagraphFont"/>
    <w:uiPriority w:val="99"/>
    <w:semiHidden/>
    <w:unhideWhenUsed/>
    <w:rsid w:val="00A50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16674469">
      <w:bodyDiv w:val="1"/>
      <w:marLeft w:val="0"/>
      <w:marRight w:val="0"/>
      <w:marTop w:val="0"/>
      <w:marBottom w:val="0"/>
      <w:divBdr>
        <w:top w:val="none" w:sz="0" w:space="0" w:color="auto"/>
        <w:left w:val="none" w:sz="0" w:space="0" w:color="auto"/>
        <w:bottom w:val="none" w:sz="0" w:space="0" w:color="auto"/>
        <w:right w:val="none" w:sz="0" w:space="0" w:color="auto"/>
      </w:divBdr>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24162092">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61840197">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42936129">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0943798">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02983280">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47696338">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488091584">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62597547">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75692254">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57887807">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63781261">
      <w:bodyDiv w:val="1"/>
      <w:marLeft w:val="0"/>
      <w:marRight w:val="0"/>
      <w:marTop w:val="0"/>
      <w:marBottom w:val="0"/>
      <w:divBdr>
        <w:top w:val="none" w:sz="0" w:space="0" w:color="auto"/>
        <w:left w:val="none" w:sz="0" w:space="0" w:color="auto"/>
        <w:bottom w:val="none" w:sz="0" w:space="0" w:color="auto"/>
        <w:right w:val="none" w:sz="0" w:space="0" w:color="auto"/>
      </w:divBdr>
    </w:div>
    <w:div w:id="1879006552">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5356781">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 w:id="2143572858">
      <w:bodyDiv w:val="1"/>
      <w:marLeft w:val="0"/>
      <w:marRight w:val="0"/>
      <w:marTop w:val="0"/>
      <w:marBottom w:val="0"/>
      <w:divBdr>
        <w:top w:val="none" w:sz="0" w:space="0" w:color="auto"/>
        <w:left w:val="none" w:sz="0" w:space="0" w:color="auto"/>
        <w:bottom w:val="none" w:sz="0" w:space="0" w:color="auto"/>
        <w:right w:val="none" w:sz="0" w:space="0" w:color="auto"/>
      </w:divBdr>
      <w:divsChild>
        <w:div w:id="45373567">
          <w:marLeft w:val="0"/>
          <w:marRight w:val="0"/>
          <w:marTop w:val="240"/>
          <w:marBottom w:val="24"/>
          <w:divBdr>
            <w:top w:val="single" w:sz="8" w:space="2" w:color="808080"/>
            <w:left w:val="none" w:sz="0" w:space="0" w:color="auto"/>
            <w:bottom w:val="none" w:sz="0" w:space="0" w:color="auto"/>
            <w:right w:val="none" w:sz="0" w:space="0" w:color="auto"/>
          </w:divBdr>
        </w:div>
        <w:div w:id="68045239">
          <w:marLeft w:val="567"/>
          <w:marRight w:val="0"/>
          <w:marTop w:val="60"/>
          <w:marBottom w:val="0"/>
          <w:divBdr>
            <w:top w:val="none" w:sz="0" w:space="0" w:color="auto"/>
            <w:left w:val="none" w:sz="0" w:space="0" w:color="auto"/>
            <w:bottom w:val="none" w:sz="0" w:space="0" w:color="auto"/>
            <w:right w:val="none" w:sz="0" w:space="0" w:color="auto"/>
          </w:divBdr>
        </w:div>
        <w:div w:id="82535304">
          <w:marLeft w:val="0"/>
          <w:marRight w:val="0"/>
          <w:marTop w:val="120"/>
          <w:marBottom w:val="0"/>
          <w:divBdr>
            <w:top w:val="none" w:sz="0" w:space="0" w:color="auto"/>
            <w:left w:val="none" w:sz="0" w:space="0" w:color="auto"/>
            <w:bottom w:val="none" w:sz="0" w:space="0" w:color="auto"/>
            <w:right w:val="none" w:sz="0" w:space="0" w:color="auto"/>
          </w:divBdr>
        </w:div>
        <w:div w:id="144595068">
          <w:marLeft w:val="0"/>
          <w:marRight w:val="0"/>
          <w:marTop w:val="120"/>
          <w:marBottom w:val="0"/>
          <w:divBdr>
            <w:top w:val="none" w:sz="0" w:space="0" w:color="auto"/>
            <w:left w:val="none" w:sz="0" w:space="0" w:color="auto"/>
            <w:bottom w:val="none" w:sz="0" w:space="0" w:color="auto"/>
            <w:right w:val="none" w:sz="0" w:space="0" w:color="auto"/>
          </w:divBdr>
        </w:div>
        <w:div w:id="196629736">
          <w:marLeft w:val="567"/>
          <w:marRight w:val="0"/>
          <w:marTop w:val="60"/>
          <w:marBottom w:val="0"/>
          <w:divBdr>
            <w:top w:val="none" w:sz="0" w:space="0" w:color="auto"/>
            <w:left w:val="none" w:sz="0" w:space="0" w:color="auto"/>
            <w:bottom w:val="none" w:sz="0" w:space="0" w:color="auto"/>
            <w:right w:val="none" w:sz="0" w:space="0" w:color="auto"/>
          </w:divBdr>
        </w:div>
        <w:div w:id="294722443">
          <w:marLeft w:val="0"/>
          <w:marRight w:val="0"/>
          <w:marTop w:val="120"/>
          <w:marBottom w:val="0"/>
          <w:divBdr>
            <w:top w:val="none" w:sz="0" w:space="0" w:color="auto"/>
            <w:left w:val="none" w:sz="0" w:space="0" w:color="auto"/>
            <w:bottom w:val="none" w:sz="0" w:space="0" w:color="auto"/>
            <w:right w:val="none" w:sz="0" w:space="0" w:color="auto"/>
          </w:divBdr>
        </w:div>
        <w:div w:id="474496077">
          <w:marLeft w:val="0"/>
          <w:marRight w:val="0"/>
          <w:marTop w:val="120"/>
          <w:marBottom w:val="0"/>
          <w:divBdr>
            <w:top w:val="none" w:sz="0" w:space="0" w:color="auto"/>
            <w:left w:val="none" w:sz="0" w:space="0" w:color="auto"/>
            <w:bottom w:val="none" w:sz="0" w:space="0" w:color="auto"/>
            <w:right w:val="none" w:sz="0" w:space="0" w:color="auto"/>
          </w:divBdr>
        </w:div>
        <w:div w:id="491920154">
          <w:marLeft w:val="0"/>
          <w:marRight w:val="0"/>
          <w:marTop w:val="120"/>
          <w:marBottom w:val="0"/>
          <w:divBdr>
            <w:top w:val="none" w:sz="0" w:space="0" w:color="auto"/>
            <w:left w:val="none" w:sz="0" w:space="0" w:color="auto"/>
            <w:bottom w:val="none" w:sz="0" w:space="0" w:color="auto"/>
            <w:right w:val="none" w:sz="0" w:space="0" w:color="auto"/>
          </w:divBdr>
        </w:div>
        <w:div w:id="561015864">
          <w:marLeft w:val="567"/>
          <w:marRight w:val="0"/>
          <w:marTop w:val="60"/>
          <w:marBottom w:val="0"/>
          <w:divBdr>
            <w:top w:val="none" w:sz="0" w:space="0" w:color="auto"/>
            <w:left w:val="none" w:sz="0" w:space="0" w:color="auto"/>
            <w:bottom w:val="none" w:sz="0" w:space="0" w:color="auto"/>
            <w:right w:val="none" w:sz="0" w:space="0" w:color="auto"/>
          </w:divBdr>
        </w:div>
        <w:div w:id="814297054">
          <w:marLeft w:val="0"/>
          <w:marRight w:val="0"/>
          <w:marTop w:val="240"/>
          <w:marBottom w:val="24"/>
          <w:divBdr>
            <w:top w:val="single" w:sz="8" w:space="2" w:color="808080"/>
            <w:left w:val="none" w:sz="0" w:space="0" w:color="auto"/>
            <w:bottom w:val="none" w:sz="0" w:space="0" w:color="auto"/>
            <w:right w:val="none" w:sz="0" w:space="0" w:color="auto"/>
          </w:divBdr>
        </w:div>
        <w:div w:id="815999530">
          <w:marLeft w:val="0"/>
          <w:marRight w:val="0"/>
          <w:marTop w:val="120"/>
          <w:marBottom w:val="0"/>
          <w:divBdr>
            <w:top w:val="none" w:sz="0" w:space="0" w:color="auto"/>
            <w:left w:val="none" w:sz="0" w:space="0" w:color="auto"/>
            <w:bottom w:val="none" w:sz="0" w:space="0" w:color="auto"/>
            <w:right w:val="none" w:sz="0" w:space="0" w:color="auto"/>
          </w:divBdr>
        </w:div>
        <w:div w:id="972910023">
          <w:marLeft w:val="0"/>
          <w:marRight w:val="0"/>
          <w:marTop w:val="120"/>
          <w:marBottom w:val="0"/>
          <w:divBdr>
            <w:top w:val="none" w:sz="0" w:space="0" w:color="auto"/>
            <w:left w:val="none" w:sz="0" w:space="0" w:color="auto"/>
            <w:bottom w:val="none" w:sz="0" w:space="0" w:color="auto"/>
            <w:right w:val="none" w:sz="0" w:space="0" w:color="auto"/>
          </w:divBdr>
        </w:div>
        <w:div w:id="1187594468">
          <w:marLeft w:val="0"/>
          <w:marRight w:val="0"/>
          <w:marTop w:val="120"/>
          <w:marBottom w:val="0"/>
          <w:divBdr>
            <w:top w:val="none" w:sz="0" w:space="0" w:color="auto"/>
            <w:left w:val="none" w:sz="0" w:space="0" w:color="auto"/>
            <w:bottom w:val="none" w:sz="0" w:space="0" w:color="auto"/>
            <w:right w:val="none" w:sz="0" w:space="0" w:color="auto"/>
          </w:divBdr>
        </w:div>
        <w:div w:id="1249535672">
          <w:marLeft w:val="0"/>
          <w:marRight w:val="0"/>
          <w:marTop w:val="120"/>
          <w:marBottom w:val="0"/>
          <w:divBdr>
            <w:top w:val="none" w:sz="0" w:space="0" w:color="auto"/>
            <w:left w:val="none" w:sz="0" w:space="0" w:color="auto"/>
            <w:bottom w:val="none" w:sz="0" w:space="0" w:color="auto"/>
            <w:right w:val="none" w:sz="0" w:space="0" w:color="auto"/>
          </w:divBdr>
        </w:div>
        <w:div w:id="1394083280">
          <w:marLeft w:val="0"/>
          <w:marRight w:val="0"/>
          <w:marTop w:val="120"/>
          <w:marBottom w:val="0"/>
          <w:divBdr>
            <w:top w:val="none" w:sz="0" w:space="0" w:color="auto"/>
            <w:left w:val="none" w:sz="0" w:space="0" w:color="auto"/>
            <w:bottom w:val="none" w:sz="0" w:space="0" w:color="auto"/>
            <w:right w:val="none" w:sz="0" w:space="0" w:color="auto"/>
          </w:divBdr>
        </w:div>
        <w:div w:id="1944335735">
          <w:marLeft w:val="0"/>
          <w:marRight w:val="0"/>
          <w:marTop w:val="120"/>
          <w:marBottom w:val="0"/>
          <w:divBdr>
            <w:top w:val="none" w:sz="0" w:space="0" w:color="auto"/>
            <w:left w:val="none" w:sz="0" w:space="0" w:color="auto"/>
            <w:bottom w:val="none" w:sz="0" w:space="0" w:color="auto"/>
            <w:right w:val="none" w:sz="0" w:space="0" w:color="auto"/>
          </w:divBdr>
        </w:div>
        <w:div w:id="1968117396">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legis/consol_act/aa1965137/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lii.org/za/legis/consol_act/aa196513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09%20%284%29%20SA%20529" TargetMode="External"/><Relationship Id="rId2" Type="http://schemas.openxmlformats.org/officeDocument/2006/relationships/hyperlink" Target="https://www.saflii.org/cgi-bin/LawCite?cit=%5b2021%5d%20ZASCA%20138" TargetMode="External"/><Relationship Id="rId1" Type="http://schemas.openxmlformats.org/officeDocument/2006/relationships/hyperlink" Target="https://www.saflii.org/cgi-bin/LawCite?cit=%5b2021%5d%20ZASCA%20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6" ma:contentTypeDescription="Create a new document." ma:contentTypeScope="" ma:versionID="e003b6ae15e5f06ac368320f68af4195">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71896f5ab21b3e36467fbd271530ff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2.xml><?xml version="1.0" encoding="utf-8"?>
<ds:datastoreItem xmlns:ds="http://schemas.openxmlformats.org/officeDocument/2006/customXml" ds:itemID="{ABAEC93F-BE30-47E4-8C1E-4CFEB9D9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4.xml><?xml version="1.0" encoding="utf-8"?>
<ds:datastoreItem xmlns:ds="http://schemas.openxmlformats.org/officeDocument/2006/customXml" ds:itemID="{CD1B3A24-934C-4B82-91EF-4AD216F4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16056</Words>
  <Characters>91522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Sathish</cp:lastModifiedBy>
  <cp:revision>3</cp:revision>
  <cp:lastPrinted>2024-02-05T10:07:00Z</cp:lastPrinted>
  <dcterms:created xsi:type="dcterms:W3CDTF">2024-02-06T10:26:00Z</dcterms:created>
  <dcterms:modified xsi:type="dcterms:W3CDTF">2024-02-06T12:21:00Z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