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458" w14:textId="77777777" w:rsidR="00FD0326" w:rsidRPr="00520591" w:rsidRDefault="00FD0326" w:rsidP="00FD0326">
      <w:pPr>
        <w:pStyle w:val="LegalTitle"/>
        <w:spacing w:after="0" w:line="360" w:lineRule="auto"/>
        <w:rPr>
          <w:u w:val="single"/>
        </w:rPr>
      </w:pPr>
      <w:r>
        <w:rPr>
          <w:u w:val="single"/>
        </w:rPr>
        <w:t>REPUBLIC</w:t>
      </w:r>
      <w:r w:rsidRPr="00520591">
        <w:rPr>
          <w:u w:val="single"/>
        </w:rPr>
        <w:t xml:space="preserve"> of south africa</w:t>
      </w:r>
    </w:p>
    <w:p w14:paraId="4F182618" w14:textId="77777777" w:rsidR="008524A5" w:rsidRDefault="00206174" w:rsidP="00945C1A">
      <w:pPr>
        <w:pStyle w:val="LegalNormal"/>
        <w:spacing w:after="120" w:line="360" w:lineRule="auto"/>
        <w:jc w:val="center"/>
      </w:pPr>
      <w:r>
        <w:t xml:space="preserve"> </w:t>
      </w:r>
      <w:r w:rsidR="00A61975" w:rsidRPr="00D0071D">
        <w:rPr>
          <w:noProof/>
          <w:color w:val="1F497D"/>
          <w:lang w:val="en-ZA" w:eastAsia="en-ZA"/>
        </w:rPr>
        <w:drawing>
          <wp:inline distT="0" distB="0" distL="0" distR="0" wp14:anchorId="49E943B4" wp14:editId="14D726A3">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C7A5469" w14:textId="77777777" w:rsidR="008524A5" w:rsidRPr="00520591" w:rsidRDefault="008524A5" w:rsidP="00972016">
      <w:pPr>
        <w:pStyle w:val="LegalTitle"/>
        <w:spacing w:after="0" w:line="360" w:lineRule="auto"/>
        <w:rPr>
          <w:u w:val="single"/>
        </w:rPr>
      </w:pPr>
      <w:r w:rsidRPr="00520591">
        <w:rPr>
          <w:u w:val="single"/>
        </w:rPr>
        <w:t xml:space="preserve">IN THE </w:t>
      </w:r>
      <w:r w:rsidR="00433C24">
        <w:rPr>
          <w:u w:val="single"/>
        </w:rPr>
        <w:t>HIGH</w:t>
      </w:r>
      <w:r w:rsidRPr="00520591">
        <w:rPr>
          <w:u w:val="single"/>
        </w:rPr>
        <w:t xml:space="preserve"> COURT of south africa</w:t>
      </w:r>
    </w:p>
    <w:p w14:paraId="2C053D5A" w14:textId="77777777" w:rsidR="008524A5" w:rsidRDefault="00EC035B" w:rsidP="00972016">
      <w:pPr>
        <w:pStyle w:val="LegalTitle"/>
        <w:spacing w:after="240" w:line="360" w:lineRule="auto"/>
        <w:rPr>
          <w:u w:val="single"/>
        </w:rP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1CF1F151" wp14:editId="7344763F">
                <wp:simplePos x="0" y="0"/>
                <wp:positionH relativeFrom="column">
                  <wp:posOffset>-489585</wp:posOffset>
                </wp:positionH>
                <wp:positionV relativeFrom="paragraph">
                  <wp:posOffset>313055</wp:posOffset>
                </wp:positionV>
                <wp:extent cx="2984500" cy="508000"/>
                <wp:effectExtent l="0" t="0" r="25400" b="254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8000"/>
                        </a:xfrm>
                        <a:prstGeom prst="rect">
                          <a:avLst/>
                        </a:prstGeom>
                        <a:solidFill>
                          <a:srgbClr val="FFFFFF"/>
                        </a:solidFill>
                        <a:ln w="9525">
                          <a:solidFill>
                            <a:srgbClr val="000000"/>
                          </a:solidFill>
                          <a:miter lim="800000"/>
                          <a:headEnd/>
                          <a:tailEnd/>
                        </a:ln>
                      </wps:spPr>
                      <wps:txbx>
                        <w:txbxContent>
                          <w:p w14:paraId="4C4A2222" w14:textId="3AAA465A" w:rsidR="00CD78D6" w:rsidRDefault="00507C2A" w:rsidP="00507C2A">
                            <w:pPr>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B2F0B" w:rsidRPr="007B2F0B">
                              <w:rPr>
                                <w:rFonts w:ascii="Century Gothic" w:hAnsi="Century Gothic"/>
                                <w:b/>
                                <w:bCs/>
                                <w:sz w:val="20"/>
                                <w:szCs w:val="20"/>
                              </w:rPr>
                              <w:t>NOT</w:t>
                            </w:r>
                            <w:r w:rsidR="007B2F0B">
                              <w:rPr>
                                <w:rFonts w:ascii="Century Gothic" w:hAnsi="Century Gothic"/>
                                <w:sz w:val="20"/>
                                <w:szCs w:val="20"/>
                              </w:rPr>
                              <w:t xml:space="preserve"> </w:t>
                            </w:r>
                            <w:r w:rsidR="00CD78D6">
                              <w:rPr>
                                <w:rFonts w:ascii="Century Gothic" w:hAnsi="Century Gothic"/>
                                <w:sz w:val="20"/>
                                <w:szCs w:val="20"/>
                              </w:rPr>
                              <w:t>REPORTABLE</w:t>
                            </w:r>
                          </w:p>
                          <w:p w14:paraId="530C4320" w14:textId="021A0123" w:rsidR="00CD78D6" w:rsidRDefault="00507C2A" w:rsidP="00507C2A">
                            <w:pPr>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B2F0B" w:rsidRPr="007B2F0B">
                              <w:rPr>
                                <w:rFonts w:ascii="Century Gothic" w:hAnsi="Century Gothic"/>
                                <w:b/>
                                <w:bCs/>
                                <w:sz w:val="20"/>
                                <w:szCs w:val="20"/>
                              </w:rPr>
                              <w:t>NOT</w:t>
                            </w:r>
                            <w:r w:rsidR="007B2F0B">
                              <w:rPr>
                                <w:rFonts w:ascii="Century Gothic" w:hAnsi="Century Gothic"/>
                                <w:sz w:val="20"/>
                                <w:szCs w:val="20"/>
                              </w:rPr>
                              <w:t xml:space="preserve"> </w:t>
                            </w:r>
                            <w:r w:rsidR="00CD78D6">
                              <w:rPr>
                                <w:rFonts w:ascii="Century Gothic" w:hAnsi="Century Gothic"/>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1F151" id="_x0000_t202" coordsize="21600,21600" o:spt="202" path="m,l,21600r21600,l21600,xe">
                <v:stroke joinstyle="miter"/>
                <v:path gradientshapeok="t" o:connecttype="rect"/>
              </v:shapetype>
              <v:shape id="Text Box 1" o:spid="_x0000_s1026" type="#_x0000_t202" style="position:absolute;left:0;text-align:left;margin-left:-38.55pt;margin-top:24.65pt;width:23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">
                <v:textbox>
                  <w:txbxContent>
                    <w:p w14:paraId="4C4A2222" w14:textId="3AAA465A" w:rsidR="00CD78D6" w:rsidRDefault="00507C2A" w:rsidP="00507C2A">
                      <w:pPr>
                        <w:suppressAutoHyphens w:val="0"/>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B2F0B" w:rsidRPr="007B2F0B">
                        <w:rPr>
                          <w:rFonts w:ascii="Century Gothic" w:hAnsi="Century Gothic"/>
                          <w:b/>
                          <w:bCs/>
                          <w:sz w:val="20"/>
                          <w:szCs w:val="20"/>
                        </w:rPr>
                        <w:t>NOT</w:t>
                      </w:r>
                      <w:r w:rsidR="007B2F0B">
                        <w:rPr>
                          <w:rFonts w:ascii="Century Gothic" w:hAnsi="Century Gothic"/>
                          <w:sz w:val="20"/>
                          <w:szCs w:val="20"/>
                        </w:rPr>
                        <w:t xml:space="preserve"> </w:t>
                      </w:r>
                      <w:r w:rsidR="00CD78D6">
                        <w:rPr>
                          <w:rFonts w:ascii="Century Gothic" w:hAnsi="Century Gothic"/>
                          <w:sz w:val="20"/>
                          <w:szCs w:val="20"/>
                        </w:rPr>
                        <w:t>REPORTABLE</w:t>
                      </w:r>
                    </w:p>
                    <w:p w14:paraId="530C4320" w14:textId="021A0123" w:rsidR="00CD78D6" w:rsidRDefault="00507C2A" w:rsidP="00507C2A">
                      <w:pPr>
                        <w:suppressAutoHyphens w:val="0"/>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7B2F0B" w:rsidRPr="007B2F0B">
                        <w:rPr>
                          <w:rFonts w:ascii="Century Gothic" w:hAnsi="Century Gothic"/>
                          <w:b/>
                          <w:bCs/>
                          <w:sz w:val="20"/>
                          <w:szCs w:val="20"/>
                        </w:rPr>
                        <w:t>NOT</w:t>
                      </w:r>
                      <w:r w:rsidR="007B2F0B">
                        <w:rPr>
                          <w:rFonts w:ascii="Century Gothic" w:hAnsi="Century Gothic"/>
                          <w:sz w:val="20"/>
                          <w:szCs w:val="20"/>
                        </w:rPr>
                        <w:t xml:space="preserve"> </w:t>
                      </w:r>
                      <w:r w:rsidR="00CD78D6">
                        <w:rPr>
                          <w:rFonts w:ascii="Century Gothic" w:hAnsi="Century Gothic"/>
                          <w:sz w:val="20"/>
                          <w:szCs w:val="20"/>
                        </w:rPr>
                        <w:t>OF INTEREST TO OTHER JUDGES</w:t>
                      </w:r>
                    </w:p>
                  </w:txbxContent>
                </v:textbox>
              </v:shape>
            </w:pict>
          </mc:Fallback>
        </mc:AlternateContent>
      </w:r>
      <w:r w:rsidR="00091025">
        <w:rPr>
          <w:u w:val="single"/>
        </w:rPr>
        <w:t>GAUTENG DIVISION, JOHANNESBURG</w:t>
      </w:r>
    </w:p>
    <w:p w14:paraId="600F6D40" w14:textId="77777777" w:rsidR="00EC035B" w:rsidRDefault="00EC035B" w:rsidP="00EC035B">
      <w:pPr>
        <w:pStyle w:val="LegalAnnexure"/>
        <w:spacing w:after="0" w:line="360" w:lineRule="auto"/>
        <w:jc w:val="left"/>
        <w:rPr>
          <w:u w:val="single"/>
        </w:rPr>
      </w:pPr>
    </w:p>
    <w:p w14:paraId="374C4FCD" w14:textId="371C15CD" w:rsidR="009314F3" w:rsidRDefault="00410D37" w:rsidP="007B2F0B">
      <w:pPr>
        <w:pStyle w:val="LegalAnnexure"/>
        <w:spacing w:before="360" w:after="0" w:line="360" w:lineRule="auto"/>
      </w:pPr>
      <w:r>
        <w:rPr>
          <w:u w:val="single"/>
        </w:rPr>
        <w:t>CASE</w:t>
      </w:r>
      <w:r w:rsidR="009314F3" w:rsidRPr="00A84826">
        <w:rPr>
          <w:u w:val="single"/>
        </w:rPr>
        <w:t xml:space="preserve"> </w:t>
      </w:r>
      <w:r w:rsidR="00972016">
        <w:rPr>
          <w:u w:val="single"/>
        </w:rPr>
        <w:t>NUMBER</w:t>
      </w:r>
      <w:r w:rsidR="009314F3" w:rsidRPr="002D4810">
        <w:rPr>
          <w:b w:val="0"/>
        </w:rPr>
        <w:t>:</w:t>
      </w:r>
      <w:r w:rsidR="00F86558" w:rsidRPr="002D4810">
        <w:rPr>
          <w:b w:val="0"/>
        </w:rPr>
        <w:t xml:space="preserve"> </w:t>
      </w:r>
      <w:r w:rsidR="00091025">
        <w:rPr>
          <w:b w:val="0"/>
        </w:rPr>
        <w:t>A</w:t>
      </w:r>
      <w:r w:rsidR="007B2F0B">
        <w:rPr>
          <w:b w:val="0"/>
        </w:rPr>
        <w:t>3</w:t>
      </w:r>
      <w:r w:rsidR="00091025">
        <w:rPr>
          <w:b w:val="0"/>
        </w:rPr>
        <w:t>0</w:t>
      </w:r>
      <w:r w:rsidR="007B2F0B">
        <w:rPr>
          <w:b w:val="0"/>
        </w:rPr>
        <w:t>94</w:t>
      </w:r>
      <w:r w:rsidR="00091025">
        <w:rPr>
          <w:b w:val="0"/>
        </w:rPr>
        <w:t>/2022</w:t>
      </w:r>
    </w:p>
    <w:p w14:paraId="059E4684" w14:textId="53B3AFF1" w:rsidR="0076063C" w:rsidRDefault="0076063C" w:rsidP="00091025">
      <w:pPr>
        <w:pStyle w:val="LegalNormal"/>
        <w:spacing w:after="120" w:line="360" w:lineRule="auto"/>
        <w:jc w:val="right"/>
      </w:pPr>
      <w:r w:rsidRPr="0076063C">
        <w:rPr>
          <w:b/>
          <w:u w:val="single"/>
        </w:rPr>
        <w:t>DATE</w:t>
      </w:r>
      <w:r>
        <w:rPr>
          <w:b/>
        </w:rPr>
        <w:t xml:space="preserve">: </w:t>
      </w:r>
      <w:r w:rsidR="00A95A09">
        <w:t>09</w:t>
      </w:r>
      <w:r w:rsidR="00A95A09" w:rsidRPr="00A95A09">
        <w:rPr>
          <w:vertAlign w:val="superscript"/>
        </w:rPr>
        <w:t>th</w:t>
      </w:r>
      <w:r w:rsidR="00A95A09">
        <w:t xml:space="preserve"> January</w:t>
      </w:r>
      <w:r>
        <w:t xml:space="preserve"> 20</w:t>
      </w:r>
      <w:r w:rsidR="00065E50">
        <w:t>2</w:t>
      </w:r>
      <w:r w:rsidR="00A95A09">
        <w:t>4</w:t>
      </w:r>
    </w:p>
    <w:p w14:paraId="2403DDAB" w14:textId="77777777" w:rsidR="009314F3" w:rsidRPr="00A84826" w:rsidRDefault="009314F3" w:rsidP="00091025">
      <w:pPr>
        <w:pStyle w:val="LegalNormal"/>
        <w:spacing w:after="120" w:line="360" w:lineRule="auto"/>
      </w:pPr>
      <w:r w:rsidRPr="00A84826">
        <w:t>In the matter between:</w:t>
      </w:r>
    </w:p>
    <w:p w14:paraId="2E201969" w14:textId="50A9A482" w:rsidR="00091025" w:rsidRDefault="007B2F0B" w:rsidP="00091025">
      <w:pPr>
        <w:pStyle w:val="LegalPlainDef"/>
        <w:spacing w:after="120" w:line="360" w:lineRule="auto"/>
      </w:pPr>
      <w:r>
        <w:rPr>
          <w:b/>
        </w:rPr>
        <w:t>UNITRANS HOLDINGS LIMITED</w:t>
      </w:r>
      <w:r w:rsidR="00091025">
        <w:rPr>
          <w:b/>
        </w:rPr>
        <w:tab/>
      </w:r>
      <w:r w:rsidR="00091025">
        <w:t>Appellant</w:t>
      </w:r>
    </w:p>
    <w:p w14:paraId="207B8AEB" w14:textId="77777777" w:rsidR="009314F3" w:rsidRPr="00A84826" w:rsidRDefault="009314F3" w:rsidP="00203325">
      <w:pPr>
        <w:pStyle w:val="LegalNormal"/>
        <w:spacing w:after="120" w:line="360" w:lineRule="auto"/>
      </w:pPr>
      <w:r w:rsidRPr="00A84826">
        <w:t>and</w:t>
      </w:r>
      <w:r w:rsidR="008079AD">
        <w:t xml:space="preserve"> </w:t>
      </w:r>
    </w:p>
    <w:p w14:paraId="0E593BAB" w14:textId="77777777" w:rsidR="007B2F0B" w:rsidRDefault="007B2F0B" w:rsidP="007B2F0B">
      <w:pPr>
        <w:pStyle w:val="LegalPlainDef"/>
        <w:spacing w:after="0" w:line="240" w:lineRule="auto"/>
        <w:rPr>
          <w:b/>
        </w:rPr>
      </w:pPr>
      <w:r>
        <w:rPr>
          <w:b/>
        </w:rPr>
        <w:t xml:space="preserve">THE COMMISSIONER FOR </w:t>
      </w:r>
    </w:p>
    <w:p w14:paraId="3E8D0E92" w14:textId="1052BCD5" w:rsidR="00091025" w:rsidRDefault="007B2F0B" w:rsidP="007B2F0B">
      <w:pPr>
        <w:pStyle w:val="LegalPlainDef"/>
        <w:spacing w:after="240" w:line="360" w:lineRule="auto"/>
      </w:pPr>
      <w:r>
        <w:rPr>
          <w:b/>
        </w:rPr>
        <w:t>THE SOUTH AFRICAN REVENUE SERVICES</w:t>
      </w:r>
      <w:r w:rsidR="00091025">
        <w:rPr>
          <w:b/>
        </w:rPr>
        <w:tab/>
      </w:r>
      <w:r w:rsidR="002232F3">
        <w:t>Respondent</w:t>
      </w:r>
    </w:p>
    <w:p w14:paraId="4474CF88" w14:textId="4206A612" w:rsidR="00AE7DC6" w:rsidRDefault="00AE7DC6" w:rsidP="00AE7DC6">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7B2F0B">
        <w:rPr>
          <w:rFonts w:cs="Arial"/>
          <w:i/>
          <w:lang w:val="en-ZA" w:eastAsia="en-US"/>
        </w:rPr>
        <w:t>Unitrans Holdings v C</w:t>
      </w:r>
      <w:r>
        <w:rPr>
          <w:rFonts w:cs="Arial"/>
          <w:i/>
          <w:lang w:val="en-ZA" w:eastAsia="en-US"/>
        </w:rPr>
        <w:t>SARS (A</w:t>
      </w:r>
      <w:r w:rsidR="007B2F0B">
        <w:rPr>
          <w:rFonts w:cs="Arial"/>
          <w:i/>
          <w:lang w:val="en-ZA" w:eastAsia="en-US"/>
        </w:rPr>
        <w:t>3</w:t>
      </w:r>
      <w:r>
        <w:rPr>
          <w:rFonts w:cs="Arial"/>
          <w:i/>
          <w:lang w:val="en-ZA" w:eastAsia="en-US"/>
        </w:rPr>
        <w:t>0</w:t>
      </w:r>
      <w:r w:rsidR="007B2F0B">
        <w:rPr>
          <w:rFonts w:cs="Arial"/>
          <w:i/>
          <w:lang w:val="en-ZA" w:eastAsia="en-US"/>
        </w:rPr>
        <w:t>94</w:t>
      </w:r>
      <w:r>
        <w:rPr>
          <w:rFonts w:cs="Arial"/>
          <w:i/>
          <w:lang w:val="en-ZA" w:eastAsia="en-US"/>
        </w:rPr>
        <w:t>/202</w:t>
      </w:r>
      <w:r w:rsidR="007B2F0B">
        <w:rPr>
          <w:rFonts w:cs="Arial"/>
          <w:i/>
          <w:lang w:val="en-ZA" w:eastAsia="en-US"/>
        </w:rPr>
        <w:t>2</w:t>
      </w:r>
      <w:r>
        <w:rPr>
          <w:rFonts w:cs="Arial"/>
          <w:i/>
          <w:lang w:val="en-ZA" w:eastAsia="en-US"/>
        </w:rPr>
        <w:t xml:space="preserve">) </w:t>
      </w:r>
      <w:r>
        <w:rPr>
          <w:rFonts w:cs="Arial"/>
          <w:b/>
          <w:lang w:val="en-ZA" w:eastAsia="en-US"/>
        </w:rPr>
        <w:t xml:space="preserve">[2023] ZAGPJHC --- </w:t>
      </w:r>
      <w:r>
        <w:rPr>
          <w:rFonts w:cs="Arial"/>
          <w:lang w:val="en-ZA" w:eastAsia="en-US"/>
        </w:rPr>
        <w:t>(</w:t>
      </w:r>
      <w:r w:rsidR="00A95A09">
        <w:rPr>
          <w:rFonts w:cs="Arial"/>
          <w:lang w:val="en-ZA" w:eastAsia="en-US"/>
        </w:rPr>
        <w:t>09</w:t>
      </w:r>
      <w:r w:rsidR="00D177E3">
        <w:rPr>
          <w:rFonts w:cs="Arial"/>
          <w:lang w:val="en-ZA" w:eastAsia="en-US"/>
        </w:rPr>
        <w:t xml:space="preserve"> </w:t>
      </w:r>
      <w:r w:rsidR="00A95A09">
        <w:rPr>
          <w:rFonts w:cs="Arial"/>
          <w:lang w:val="en-ZA" w:eastAsia="en-US"/>
        </w:rPr>
        <w:t>January</w:t>
      </w:r>
      <w:r>
        <w:rPr>
          <w:rFonts w:cs="Arial"/>
          <w:lang w:val="en-ZA" w:eastAsia="en-US"/>
        </w:rPr>
        <w:t xml:space="preserve"> 202</w:t>
      </w:r>
      <w:r w:rsidR="00A95A09">
        <w:rPr>
          <w:rFonts w:cs="Arial"/>
          <w:lang w:val="en-ZA" w:eastAsia="en-US"/>
        </w:rPr>
        <w:t>4</w:t>
      </w:r>
      <w:r>
        <w:rPr>
          <w:rFonts w:cs="Arial"/>
          <w:lang w:val="en-ZA" w:eastAsia="en-US"/>
        </w:rPr>
        <w:t>)</w:t>
      </w:r>
      <w:r>
        <w:rPr>
          <w:rFonts w:cs="Arial"/>
          <w:b/>
          <w:lang w:val="en-ZA" w:eastAsia="en-US"/>
        </w:rPr>
        <w:t xml:space="preserve"> </w:t>
      </w:r>
      <w:r>
        <w:rPr>
          <w:rFonts w:cs="Arial"/>
          <w:i/>
          <w:lang w:val="en-ZA" w:eastAsia="en-US"/>
        </w:rPr>
        <w:t xml:space="preserve"> </w:t>
      </w:r>
    </w:p>
    <w:p w14:paraId="504A5BBD" w14:textId="42D3DFB5" w:rsidR="00091025" w:rsidRDefault="00091025" w:rsidP="00091025">
      <w:pPr>
        <w:suppressAutoHyphens w:val="0"/>
        <w:spacing w:line="360" w:lineRule="auto"/>
        <w:ind w:left="1440" w:hanging="1440"/>
        <w:jc w:val="both"/>
        <w:rPr>
          <w:rFonts w:cs="Arial"/>
          <w:b/>
          <w:lang w:val="en-ZA" w:eastAsia="en-US"/>
        </w:rPr>
      </w:pPr>
      <w:r>
        <w:rPr>
          <w:rFonts w:cs="Arial"/>
          <w:b/>
          <w:bCs/>
          <w:lang w:val="en-ZA" w:eastAsia="en-US"/>
        </w:rPr>
        <w:t>Coram</w:t>
      </w:r>
      <w:r>
        <w:rPr>
          <w:rFonts w:cs="Arial"/>
          <w:lang w:val="en-ZA" w:eastAsia="en-US"/>
        </w:rPr>
        <w:t>:</w:t>
      </w:r>
      <w:r>
        <w:rPr>
          <w:rFonts w:cs="Arial"/>
          <w:lang w:val="en-ZA" w:eastAsia="en-US"/>
        </w:rPr>
        <w:tab/>
        <w:t xml:space="preserve">Adams </w:t>
      </w:r>
      <w:r w:rsidRPr="00091025">
        <w:rPr>
          <w:rFonts w:cs="Arial"/>
          <w:i/>
          <w:lang w:val="en-ZA" w:eastAsia="en-US"/>
        </w:rPr>
        <w:t>et</w:t>
      </w:r>
      <w:r>
        <w:rPr>
          <w:rFonts w:cs="Arial"/>
          <w:lang w:val="en-ZA" w:eastAsia="en-US"/>
        </w:rPr>
        <w:t xml:space="preserve"> </w:t>
      </w:r>
      <w:r w:rsidR="007B2F0B">
        <w:rPr>
          <w:rFonts w:cs="Arial"/>
          <w:lang w:val="en-ZA" w:eastAsia="en-US"/>
        </w:rPr>
        <w:t>Strydom</w:t>
      </w:r>
      <w:r>
        <w:rPr>
          <w:rFonts w:cs="Arial"/>
          <w:lang w:val="en-ZA" w:eastAsia="en-US"/>
        </w:rPr>
        <w:t xml:space="preserve"> JJ</w:t>
      </w:r>
    </w:p>
    <w:p w14:paraId="4FAE3880" w14:textId="69A85DB6" w:rsidR="00423B3B" w:rsidRDefault="00423B3B" w:rsidP="00091025">
      <w:pPr>
        <w:suppressAutoHyphens w:val="0"/>
        <w:spacing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7B2F0B">
        <w:rPr>
          <w:rFonts w:cs="Arial"/>
          <w:lang w:val="en-ZA" w:eastAsia="en-US"/>
        </w:rPr>
        <w:t>15</w:t>
      </w:r>
      <w:r w:rsidR="00EA5FBB">
        <w:rPr>
          <w:rFonts w:cs="Arial"/>
          <w:lang w:val="en-ZA" w:eastAsia="en-US"/>
        </w:rPr>
        <w:t xml:space="preserve"> </w:t>
      </w:r>
      <w:r w:rsidR="007B2F0B">
        <w:rPr>
          <w:rFonts w:cs="Arial"/>
          <w:lang w:val="en-ZA" w:eastAsia="en-US"/>
        </w:rPr>
        <w:t>August</w:t>
      </w:r>
      <w:r w:rsidR="00065E50">
        <w:rPr>
          <w:rFonts w:cs="Arial"/>
          <w:lang w:val="en-ZA" w:eastAsia="en-US"/>
        </w:rPr>
        <w:t xml:space="preserve"> 2023</w:t>
      </w:r>
    </w:p>
    <w:p w14:paraId="69BA7458" w14:textId="4BD742B5" w:rsidR="00423B3B" w:rsidRDefault="00423B3B" w:rsidP="00423B3B">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A95A09">
        <w:rPr>
          <w:rFonts w:cs="Arial"/>
          <w:lang w:val="en-ZA" w:eastAsia="en-US"/>
        </w:rPr>
        <w:t>09</w:t>
      </w:r>
      <w:r>
        <w:rPr>
          <w:rFonts w:cs="Arial"/>
          <w:lang w:val="en-ZA" w:eastAsia="en-US"/>
        </w:rPr>
        <w:t xml:space="preserve"> </w:t>
      </w:r>
      <w:r w:rsidR="00A95A09">
        <w:rPr>
          <w:rFonts w:cs="Arial"/>
          <w:lang w:val="en-ZA" w:eastAsia="en-US"/>
        </w:rPr>
        <w:t>January</w:t>
      </w:r>
      <w:r w:rsidR="00065E50">
        <w:rPr>
          <w:rFonts w:cs="Arial"/>
          <w:lang w:val="en-ZA" w:eastAsia="en-US"/>
        </w:rPr>
        <w:t xml:space="preserve"> 202</w:t>
      </w:r>
      <w:r w:rsidR="00A95A09">
        <w:rPr>
          <w:rFonts w:cs="Arial"/>
          <w:lang w:val="en-ZA" w:eastAsia="en-US"/>
        </w:rPr>
        <w:t>4</w:t>
      </w:r>
      <w:r>
        <w:rPr>
          <w:rFonts w:cs="Arial"/>
          <w:lang w:val="en-ZA" w:eastAsia="en-US"/>
        </w:rPr>
        <w:t xml:space="preserve"> – This judgment was handed down electronically by circulation to the parties' representatives </w:t>
      </w:r>
      <w:r w:rsidRPr="00423B3B">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and time for h</w:t>
      </w:r>
      <w:r w:rsidR="00BD421A">
        <w:rPr>
          <w:rFonts w:cs="Arial"/>
          <w:lang w:val="en-ZA" w:eastAsia="en-US"/>
        </w:rPr>
        <w:t>and-down is deemed to be 1</w:t>
      </w:r>
      <w:r w:rsidR="00551815">
        <w:rPr>
          <w:rFonts w:cs="Arial"/>
          <w:lang w:val="en-ZA" w:eastAsia="en-US"/>
        </w:rPr>
        <w:t>1</w:t>
      </w:r>
      <w:r w:rsidR="00065E50">
        <w:rPr>
          <w:rFonts w:cs="Arial"/>
          <w:lang w:val="en-ZA" w:eastAsia="en-US"/>
        </w:rPr>
        <w:t>:</w:t>
      </w:r>
      <w:r w:rsidR="00551815">
        <w:rPr>
          <w:rFonts w:cs="Arial"/>
          <w:lang w:val="en-ZA" w:eastAsia="en-US"/>
        </w:rPr>
        <w:t>0</w:t>
      </w:r>
      <w:r>
        <w:rPr>
          <w:rFonts w:cs="Arial"/>
          <w:lang w:val="en-ZA" w:eastAsia="en-US"/>
        </w:rPr>
        <w:t xml:space="preserve">0 on </w:t>
      </w:r>
      <w:r w:rsidR="00A95A09">
        <w:rPr>
          <w:rFonts w:cs="Arial"/>
          <w:lang w:val="en-ZA" w:eastAsia="en-US"/>
        </w:rPr>
        <w:t>09</w:t>
      </w:r>
      <w:r>
        <w:rPr>
          <w:rFonts w:cs="Arial"/>
          <w:lang w:val="en-ZA" w:eastAsia="en-US"/>
        </w:rPr>
        <w:t xml:space="preserve"> </w:t>
      </w:r>
      <w:r w:rsidR="00A95A09">
        <w:rPr>
          <w:rFonts w:cs="Arial"/>
          <w:lang w:val="en-ZA" w:eastAsia="en-US"/>
        </w:rPr>
        <w:t>January</w:t>
      </w:r>
      <w:r w:rsidR="00065E50">
        <w:rPr>
          <w:rFonts w:cs="Arial"/>
          <w:lang w:val="en-ZA" w:eastAsia="en-US"/>
        </w:rPr>
        <w:t xml:space="preserve"> 202</w:t>
      </w:r>
      <w:r w:rsidR="00A95A09">
        <w:rPr>
          <w:rFonts w:cs="Arial"/>
          <w:lang w:val="en-ZA" w:eastAsia="en-US"/>
        </w:rPr>
        <w:t>4</w:t>
      </w:r>
      <w:r>
        <w:rPr>
          <w:rFonts w:cs="Arial"/>
          <w:lang w:val="en-ZA" w:eastAsia="en-US"/>
        </w:rPr>
        <w:t>.</w:t>
      </w:r>
    </w:p>
    <w:p w14:paraId="6E61BB6F" w14:textId="53096D63" w:rsidR="00825082" w:rsidRDefault="00312CEA" w:rsidP="00FF1CCB">
      <w:pPr>
        <w:spacing w:line="360" w:lineRule="auto"/>
        <w:jc w:val="both"/>
        <w:rPr>
          <w:rFonts w:cs="Arial"/>
          <w:bCs/>
          <w:lang w:val="en-ZA" w:eastAsia="en-US"/>
        </w:rPr>
      </w:pPr>
      <w:r>
        <w:rPr>
          <w:rFonts w:cs="Arial"/>
          <w:b/>
          <w:bCs/>
          <w:lang w:val="en-ZA" w:eastAsia="en-US"/>
        </w:rPr>
        <w:t>Summary:</w:t>
      </w:r>
      <w:r w:rsidR="002F0A68">
        <w:rPr>
          <w:rFonts w:cs="Arial"/>
          <w:bCs/>
          <w:lang w:val="en-ZA" w:eastAsia="en-US"/>
        </w:rPr>
        <w:tab/>
      </w:r>
      <w:r w:rsidR="00A35C62">
        <w:rPr>
          <w:rFonts w:cs="Arial"/>
          <w:bCs/>
          <w:lang w:val="en-ZA" w:eastAsia="en-US"/>
        </w:rPr>
        <w:t xml:space="preserve">Appeal from the </w:t>
      </w:r>
      <w:r w:rsidR="004644DB">
        <w:rPr>
          <w:rFonts w:cs="Arial"/>
          <w:bCs/>
          <w:lang w:val="en-ZA" w:eastAsia="en-US"/>
        </w:rPr>
        <w:t>Tax Court</w:t>
      </w:r>
      <w:r w:rsidR="002F0A68">
        <w:rPr>
          <w:rFonts w:cs="Arial"/>
          <w:bCs/>
          <w:lang w:val="en-ZA" w:eastAsia="en-US"/>
        </w:rPr>
        <w:t xml:space="preserve"> – </w:t>
      </w:r>
      <w:r w:rsidR="00A35C62" w:rsidRPr="00A35C62">
        <w:rPr>
          <w:rFonts w:cs="Arial"/>
          <w:bCs/>
          <w:lang w:val="en-ZA" w:eastAsia="en-US"/>
        </w:rPr>
        <w:t xml:space="preserve">whether </w:t>
      </w:r>
      <w:r w:rsidR="00E50CBC" w:rsidRPr="00E50CBC">
        <w:rPr>
          <w:rFonts w:cs="Arial"/>
          <w:bCs/>
          <w:lang w:val="en-ZA" w:eastAsia="en-US"/>
        </w:rPr>
        <w:t xml:space="preserve">interest </w:t>
      </w:r>
      <w:r w:rsidR="00E50CBC">
        <w:rPr>
          <w:rFonts w:cs="Arial"/>
          <w:bCs/>
          <w:lang w:val="en-ZA" w:eastAsia="en-US"/>
        </w:rPr>
        <w:t xml:space="preserve">expenditure </w:t>
      </w:r>
      <w:r w:rsidR="00E50CBC" w:rsidRPr="00E50CBC">
        <w:rPr>
          <w:rFonts w:cs="Arial"/>
          <w:bCs/>
          <w:lang w:val="en-ZA" w:eastAsia="en-US"/>
        </w:rPr>
        <w:t xml:space="preserve">is </w:t>
      </w:r>
      <w:r w:rsidR="00766778">
        <w:rPr>
          <w:rFonts w:cs="Arial"/>
          <w:bCs/>
          <w:lang w:val="en-ZA" w:eastAsia="en-US"/>
        </w:rPr>
        <w:t xml:space="preserve">tax </w:t>
      </w:r>
      <w:r w:rsidR="00E50CBC" w:rsidRPr="00E50CBC">
        <w:rPr>
          <w:rFonts w:cs="Arial"/>
          <w:bCs/>
          <w:lang w:val="en-ZA" w:eastAsia="en-US"/>
        </w:rPr>
        <w:t xml:space="preserve">deductible, as </w:t>
      </w:r>
      <w:r w:rsidR="00E50CBC">
        <w:rPr>
          <w:rFonts w:cs="Arial"/>
          <w:bCs/>
          <w:lang w:val="en-ZA" w:eastAsia="en-US"/>
        </w:rPr>
        <w:t xml:space="preserve">having been </w:t>
      </w:r>
      <w:r w:rsidR="00E50CBC" w:rsidRPr="00E50CBC">
        <w:rPr>
          <w:rFonts w:cs="Arial"/>
          <w:bCs/>
          <w:lang w:val="en-ZA" w:eastAsia="en-US"/>
        </w:rPr>
        <w:t xml:space="preserve">incurred in the course of carrying out </w:t>
      </w:r>
      <w:r w:rsidR="00E50CBC">
        <w:rPr>
          <w:rFonts w:cs="Arial"/>
          <w:bCs/>
          <w:lang w:val="en-ZA" w:eastAsia="en-US"/>
        </w:rPr>
        <w:t xml:space="preserve">‘any trade’ </w:t>
      </w:r>
      <w:r w:rsidR="00E50CBC" w:rsidRPr="00E50CBC">
        <w:rPr>
          <w:rFonts w:cs="Arial"/>
          <w:bCs/>
          <w:lang w:val="en-ZA" w:eastAsia="en-US"/>
        </w:rPr>
        <w:t>and in the production of income</w:t>
      </w:r>
      <w:r w:rsidR="00E50CBC">
        <w:rPr>
          <w:rFonts w:cs="Arial"/>
          <w:bCs/>
          <w:lang w:val="en-ZA" w:eastAsia="en-US"/>
        </w:rPr>
        <w:t xml:space="preserve"> – </w:t>
      </w:r>
      <w:r w:rsidR="00E50CBC" w:rsidRPr="00E50CBC">
        <w:rPr>
          <w:rFonts w:cs="Arial"/>
          <w:bCs/>
          <w:lang w:val="en-ZA" w:eastAsia="en-US"/>
        </w:rPr>
        <w:t>section</w:t>
      </w:r>
      <w:r w:rsidR="00E50CBC">
        <w:rPr>
          <w:rFonts w:cs="Arial"/>
          <w:bCs/>
          <w:lang w:val="en-ZA" w:eastAsia="en-US"/>
        </w:rPr>
        <w:t xml:space="preserve"> </w:t>
      </w:r>
      <w:r w:rsidR="00E50CBC" w:rsidRPr="00E50CBC">
        <w:rPr>
          <w:rFonts w:cs="Arial"/>
          <w:bCs/>
          <w:lang w:val="en-ZA" w:eastAsia="en-US"/>
        </w:rPr>
        <w:t>24J(2)</w:t>
      </w:r>
      <w:r w:rsidR="00E50CBC">
        <w:rPr>
          <w:rFonts w:cs="Arial"/>
          <w:bCs/>
          <w:lang w:val="en-ZA" w:eastAsia="en-US"/>
        </w:rPr>
        <w:t xml:space="preserve"> of the Income Tax Act – </w:t>
      </w:r>
      <w:r w:rsidR="00E50CBC" w:rsidRPr="00E50CBC">
        <w:rPr>
          <w:rFonts w:cs="Arial"/>
          <w:bCs/>
          <w:lang w:val="en-ZA" w:eastAsia="en-US"/>
        </w:rPr>
        <w:t>the taxpayer</w:t>
      </w:r>
      <w:r w:rsidR="00E50CBC">
        <w:rPr>
          <w:rFonts w:cs="Arial"/>
          <w:bCs/>
          <w:lang w:val="en-ZA" w:eastAsia="en-US"/>
        </w:rPr>
        <w:t xml:space="preserve"> </w:t>
      </w:r>
      <w:r w:rsidR="00E50CBC" w:rsidRPr="00E50CBC">
        <w:rPr>
          <w:rFonts w:cs="Arial"/>
          <w:bCs/>
          <w:lang w:val="en-ZA" w:eastAsia="en-US"/>
        </w:rPr>
        <w:lastRenderedPageBreak/>
        <w:t>trad</w:t>
      </w:r>
      <w:r w:rsidR="00BD6EB5">
        <w:rPr>
          <w:rFonts w:cs="Arial"/>
          <w:bCs/>
          <w:lang w:val="en-ZA" w:eastAsia="en-US"/>
        </w:rPr>
        <w:t>ing</w:t>
      </w:r>
      <w:r w:rsidR="00E50CBC" w:rsidRPr="00E50CBC">
        <w:rPr>
          <w:rFonts w:cs="Arial"/>
          <w:bCs/>
          <w:lang w:val="en-ZA" w:eastAsia="en-US"/>
        </w:rPr>
        <w:t xml:space="preserve"> as a</w:t>
      </w:r>
      <w:r w:rsidR="00E50CBC">
        <w:rPr>
          <w:rFonts w:cs="Arial"/>
          <w:bCs/>
          <w:lang w:val="en-ZA" w:eastAsia="en-US"/>
        </w:rPr>
        <w:t xml:space="preserve">n investment holding company </w:t>
      </w:r>
      <w:r w:rsidR="00BD6EB5">
        <w:rPr>
          <w:rFonts w:cs="Arial"/>
          <w:bCs/>
          <w:lang w:val="en-ZA" w:eastAsia="en-US"/>
        </w:rPr>
        <w:t xml:space="preserve">– </w:t>
      </w:r>
      <w:r w:rsidR="00E50CBC" w:rsidRPr="00E50CBC">
        <w:rPr>
          <w:rFonts w:cs="Arial"/>
          <w:bCs/>
          <w:lang w:val="en-ZA" w:eastAsia="en-US"/>
        </w:rPr>
        <w:t>the</w:t>
      </w:r>
      <w:r w:rsidR="00BD6EB5">
        <w:rPr>
          <w:rFonts w:cs="Arial"/>
          <w:bCs/>
          <w:lang w:val="en-ZA" w:eastAsia="en-US"/>
        </w:rPr>
        <w:t xml:space="preserve"> interest</w:t>
      </w:r>
      <w:r w:rsidR="00E50CBC" w:rsidRPr="00E50CBC">
        <w:rPr>
          <w:rFonts w:cs="Arial"/>
          <w:bCs/>
          <w:lang w:val="en-ZA" w:eastAsia="en-US"/>
        </w:rPr>
        <w:t xml:space="preserve"> expenditure claimed </w:t>
      </w:r>
      <w:r w:rsidR="00BD6EB5">
        <w:rPr>
          <w:rFonts w:cs="Arial"/>
          <w:bCs/>
          <w:lang w:val="en-ZA" w:eastAsia="en-US"/>
        </w:rPr>
        <w:t>not clos</w:t>
      </w:r>
      <w:r w:rsidR="00E50CBC" w:rsidRPr="00E50CBC">
        <w:rPr>
          <w:rFonts w:cs="Arial"/>
          <w:bCs/>
          <w:lang w:val="en-ZA" w:eastAsia="en-US"/>
        </w:rPr>
        <w:t>ely linked to its income earning operations as a</w:t>
      </w:r>
      <w:r w:rsidR="00BD6EB5">
        <w:rPr>
          <w:rFonts w:cs="Arial"/>
          <w:bCs/>
          <w:lang w:val="en-ZA" w:eastAsia="en-US"/>
        </w:rPr>
        <w:t>n investment holding company – t</w:t>
      </w:r>
      <w:r w:rsidR="00E50CBC" w:rsidRPr="00E50CBC">
        <w:rPr>
          <w:rFonts w:cs="Arial"/>
          <w:bCs/>
          <w:lang w:val="en-ZA" w:eastAsia="en-US"/>
        </w:rPr>
        <w:t>he</w:t>
      </w:r>
      <w:r w:rsidR="00BD6EB5">
        <w:rPr>
          <w:rFonts w:cs="Arial"/>
          <w:bCs/>
          <w:lang w:val="en-ZA" w:eastAsia="en-US"/>
        </w:rPr>
        <w:t xml:space="preserve"> </w:t>
      </w:r>
      <w:r w:rsidR="00E50CBC" w:rsidRPr="00E50CBC">
        <w:rPr>
          <w:rFonts w:cs="Arial"/>
          <w:bCs/>
          <w:lang w:val="en-ZA" w:eastAsia="en-US"/>
        </w:rPr>
        <w:t>purpose of the expenditure was not to produce income but to further the interest of the subsidiaries</w:t>
      </w:r>
      <w:r w:rsidR="00BD6EB5">
        <w:rPr>
          <w:rFonts w:cs="Arial"/>
          <w:bCs/>
          <w:lang w:val="en-ZA" w:eastAsia="en-US"/>
        </w:rPr>
        <w:t xml:space="preserve"> – t</w:t>
      </w:r>
      <w:r w:rsidR="00E50CBC" w:rsidRPr="00E50CBC">
        <w:rPr>
          <w:rFonts w:cs="Arial"/>
          <w:bCs/>
          <w:lang w:val="en-ZA" w:eastAsia="en-US"/>
        </w:rPr>
        <w:t>herefore,</w:t>
      </w:r>
      <w:r w:rsidR="00BD6EB5">
        <w:rPr>
          <w:rFonts w:cs="Arial"/>
          <w:bCs/>
          <w:lang w:val="en-ZA" w:eastAsia="en-US"/>
        </w:rPr>
        <w:t xml:space="preserve"> </w:t>
      </w:r>
      <w:r w:rsidR="00E50CBC" w:rsidRPr="00E50CBC">
        <w:rPr>
          <w:rFonts w:cs="Arial"/>
          <w:bCs/>
          <w:lang w:val="en-ZA" w:eastAsia="en-US"/>
        </w:rPr>
        <w:t>the expenditure was not incurred in the production of the taxpayer’s income.</w:t>
      </w:r>
    </w:p>
    <w:p w14:paraId="3660963F" w14:textId="511D3B76" w:rsidR="00C07E4A" w:rsidRDefault="007869EF" w:rsidP="00825082">
      <w:pPr>
        <w:spacing w:after="240" w:line="360" w:lineRule="auto"/>
        <w:jc w:val="both"/>
        <w:rPr>
          <w:rFonts w:cs="Arial"/>
          <w:bCs/>
          <w:lang w:val="en-ZA" w:eastAsia="en-US"/>
        </w:rPr>
      </w:pPr>
      <w:r>
        <w:rPr>
          <w:rFonts w:cs="Arial"/>
          <w:bCs/>
          <w:lang w:val="en-ZA" w:eastAsia="en-US"/>
        </w:rPr>
        <w:t xml:space="preserve">Appeal </w:t>
      </w:r>
      <w:r w:rsidR="00BD6EB5">
        <w:rPr>
          <w:rFonts w:cs="Arial"/>
          <w:bCs/>
          <w:lang w:val="en-ZA" w:eastAsia="en-US"/>
        </w:rPr>
        <w:t>dismissed</w:t>
      </w:r>
      <w:r>
        <w:rPr>
          <w:rFonts w:cs="Arial"/>
          <w:bCs/>
          <w:lang w:val="en-ZA" w:eastAsia="en-US"/>
        </w:rPr>
        <w:t xml:space="preserve"> </w:t>
      </w:r>
      <w:r w:rsidR="00BD6EB5">
        <w:rPr>
          <w:rFonts w:cs="Arial"/>
          <w:bCs/>
          <w:lang w:val="en-ZA" w:eastAsia="en-US"/>
        </w:rPr>
        <w:t>with costs</w:t>
      </w:r>
      <w:r>
        <w:rPr>
          <w:rFonts w:cs="Arial"/>
          <w:bCs/>
          <w:lang w:val="en-ZA" w:eastAsia="en-US"/>
        </w:rPr>
        <w:t>.</w:t>
      </w:r>
    </w:p>
    <w:p w14:paraId="3270D1B8" w14:textId="77777777" w:rsidR="00312CEA" w:rsidRDefault="00312CEA" w:rsidP="00C07E4A">
      <w:pPr>
        <w:pStyle w:val="LegalTramLines"/>
        <w:keepNext/>
        <w:spacing w:after="240"/>
      </w:pPr>
      <w:r>
        <w:t>ORDER</w:t>
      </w:r>
    </w:p>
    <w:p w14:paraId="04F76327" w14:textId="44C177D3" w:rsidR="003472E7" w:rsidRDefault="003472E7" w:rsidP="003472E7">
      <w:pPr>
        <w:pStyle w:val="LegalMAINHEADING"/>
        <w:spacing w:before="0" w:after="120" w:line="360" w:lineRule="auto"/>
        <w:rPr>
          <w:rFonts w:cs="Arial"/>
          <w:b w:val="0"/>
          <w:caps w:val="0"/>
          <w:lang w:eastAsia="en-US"/>
        </w:rPr>
      </w:pPr>
      <w:r>
        <w:rPr>
          <w:rFonts w:cs="Arial"/>
          <w:caps w:val="0"/>
          <w:lang w:eastAsia="en-US"/>
        </w:rPr>
        <w:t xml:space="preserve">On appeal from: </w:t>
      </w:r>
      <w:r>
        <w:rPr>
          <w:rFonts w:cs="Arial"/>
          <w:b w:val="0"/>
          <w:caps w:val="0"/>
          <w:lang w:eastAsia="en-US"/>
        </w:rPr>
        <w:t>The Tax Court, Johannesburg (Bam J sitting as the Court of first instance,</w:t>
      </w:r>
      <w:r w:rsidRPr="003472E7">
        <w:t xml:space="preserve"> </w:t>
      </w:r>
      <w:r w:rsidRPr="003472E7">
        <w:rPr>
          <w:rFonts w:cs="Arial"/>
          <w:b w:val="0"/>
          <w:caps w:val="0"/>
          <w:lang w:eastAsia="en-US"/>
        </w:rPr>
        <w:t>with an Accounting Member and a Commercial Member</w:t>
      </w:r>
      <w:r>
        <w:rPr>
          <w:rFonts w:cs="Arial"/>
          <w:b w:val="0"/>
          <w:caps w:val="0"/>
          <w:lang w:eastAsia="en-US"/>
        </w:rPr>
        <w:t>):</w:t>
      </w:r>
    </w:p>
    <w:p w14:paraId="2D2A49B9" w14:textId="17F3E161" w:rsidR="00D6164F" w:rsidRDefault="00507C2A" w:rsidP="00507C2A">
      <w:pPr>
        <w:pStyle w:val="LegalList1"/>
        <w:spacing w:after="240" w:line="360" w:lineRule="auto"/>
        <w:ind w:left="567" w:hanging="567"/>
      </w:pPr>
      <w:r>
        <w:t>(1)</w:t>
      </w:r>
      <w:r>
        <w:tab/>
      </w:r>
      <w:r w:rsidR="00F922DD">
        <w:t>The appeal</w:t>
      </w:r>
      <w:r w:rsidR="00D6164F">
        <w:t xml:space="preserve"> of the </w:t>
      </w:r>
      <w:r w:rsidR="00667ACF">
        <w:t>taxpayer</w:t>
      </w:r>
      <w:r w:rsidR="00F922DD">
        <w:t xml:space="preserve"> against </w:t>
      </w:r>
      <w:r w:rsidR="00D6164F">
        <w:t xml:space="preserve">the order of the Tax Court dated </w:t>
      </w:r>
      <w:r w:rsidR="00667ACF">
        <w:t>09</w:t>
      </w:r>
      <w:r w:rsidR="00E50CBC">
        <w:t> </w:t>
      </w:r>
      <w:r w:rsidR="00667ACF">
        <w:t>February</w:t>
      </w:r>
      <w:r w:rsidR="00D6164F">
        <w:t xml:space="preserve"> 202</w:t>
      </w:r>
      <w:r w:rsidR="00667ACF">
        <w:t>2</w:t>
      </w:r>
      <w:r w:rsidR="00D6164F">
        <w:t xml:space="preserve"> is </w:t>
      </w:r>
      <w:r w:rsidR="00667ACF">
        <w:t>dismissed with costs</w:t>
      </w:r>
      <w:r w:rsidR="00D6164F">
        <w:t>.</w:t>
      </w:r>
    </w:p>
    <w:p w14:paraId="0AAE8029" w14:textId="77777777" w:rsidR="009314F3" w:rsidRPr="00A84826" w:rsidRDefault="00F86558" w:rsidP="006F3861">
      <w:pPr>
        <w:pStyle w:val="LegalTramLines"/>
        <w:keepNext/>
        <w:spacing w:after="240"/>
      </w:pPr>
      <w:r>
        <w:t xml:space="preserve">JUDGMENT </w:t>
      </w:r>
    </w:p>
    <w:p w14:paraId="6377512D" w14:textId="57CEA61F" w:rsidR="00D63801" w:rsidRPr="00310C25" w:rsidRDefault="001069D0" w:rsidP="005C09F4">
      <w:pPr>
        <w:pStyle w:val="LegalMAINHEADING"/>
        <w:spacing w:before="240" w:after="120" w:line="360" w:lineRule="auto"/>
      </w:pPr>
      <w:r w:rsidRPr="00310C25">
        <w:rPr>
          <w:caps w:val="0"/>
        </w:rPr>
        <w:t>Adams J</w:t>
      </w:r>
      <w:r w:rsidR="00FC2867">
        <w:rPr>
          <w:caps w:val="0"/>
        </w:rPr>
        <w:t xml:space="preserve"> (</w:t>
      </w:r>
      <w:r w:rsidR="007B2F0B">
        <w:rPr>
          <w:caps w:val="0"/>
        </w:rPr>
        <w:t>Strydom</w:t>
      </w:r>
      <w:r w:rsidR="002232F3">
        <w:rPr>
          <w:caps w:val="0"/>
        </w:rPr>
        <w:t xml:space="preserve"> J</w:t>
      </w:r>
      <w:r w:rsidR="00FC2867">
        <w:rPr>
          <w:caps w:val="0"/>
        </w:rPr>
        <w:t xml:space="preserve"> concurring)</w:t>
      </w:r>
      <w:r w:rsidR="007329C4" w:rsidRPr="00310C25">
        <w:rPr>
          <w:caps w:val="0"/>
        </w:rPr>
        <w:t>:</w:t>
      </w:r>
    </w:p>
    <w:p w14:paraId="72771ECA" w14:textId="17183D49" w:rsidR="00F747C7" w:rsidRPr="00DA6028" w:rsidRDefault="00507C2A" w:rsidP="00507C2A">
      <w:pPr>
        <w:pStyle w:val="LegalList1"/>
        <w:spacing w:after="120" w:line="360" w:lineRule="auto"/>
        <w:rPr>
          <w:lang w:val="en-ZA"/>
        </w:rPr>
      </w:pPr>
      <w:r w:rsidRPr="00DA6028">
        <w:rPr>
          <w:lang w:val="en-ZA"/>
        </w:rPr>
        <w:t>[1].</w:t>
      </w:r>
      <w:r w:rsidRPr="00DA6028">
        <w:rPr>
          <w:lang w:val="en-ZA"/>
        </w:rPr>
        <w:tab/>
      </w:r>
      <w:r w:rsidR="009615E6">
        <w:t>The appellant (‘the taxpayer’)</w:t>
      </w:r>
      <w:r w:rsidR="009615E6">
        <w:rPr>
          <w:lang w:val="en-ZA"/>
        </w:rPr>
        <w:t xml:space="preserve"> </w:t>
      </w:r>
      <w:r w:rsidR="009615E6" w:rsidRPr="009615E6">
        <w:rPr>
          <w:lang w:val="en-ZA"/>
        </w:rPr>
        <w:t>trade</w:t>
      </w:r>
      <w:r w:rsidR="009615E6">
        <w:rPr>
          <w:lang w:val="en-ZA"/>
        </w:rPr>
        <w:t>s</w:t>
      </w:r>
      <w:r w:rsidR="009615E6" w:rsidRPr="009615E6">
        <w:rPr>
          <w:lang w:val="en-ZA"/>
        </w:rPr>
        <w:t xml:space="preserve"> as an investment and </w:t>
      </w:r>
      <w:r w:rsidR="009615E6">
        <w:rPr>
          <w:lang w:val="en-ZA"/>
        </w:rPr>
        <w:t xml:space="preserve">a </w:t>
      </w:r>
      <w:r w:rsidR="009615E6" w:rsidRPr="009615E6">
        <w:rPr>
          <w:lang w:val="en-ZA"/>
        </w:rPr>
        <w:t>holding company</w:t>
      </w:r>
      <w:r w:rsidR="009615E6">
        <w:rPr>
          <w:lang w:val="en-ZA"/>
        </w:rPr>
        <w:t xml:space="preserve"> – that much appears to be common cause.</w:t>
      </w:r>
      <w:r w:rsidR="00A44F3E">
        <w:rPr>
          <w:lang w:val="en-ZA"/>
        </w:rPr>
        <w:t xml:space="preserve"> Its case is that, at the relevant time, it </w:t>
      </w:r>
      <w:r w:rsidR="00A44F3E" w:rsidRPr="00A44F3E">
        <w:rPr>
          <w:lang w:val="en-ZA"/>
        </w:rPr>
        <w:t xml:space="preserve">performed a treasury function for the Unitrans </w:t>
      </w:r>
      <w:r w:rsidR="00561C36">
        <w:rPr>
          <w:lang w:val="en-ZA"/>
        </w:rPr>
        <w:t>G</w:t>
      </w:r>
      <w:r w:rsidR="00A44F3E" w:rsidRPr="00A44F3E">
        <w:rPr>
          <w:lang w:val="en-ZA"/>
        </w:rPr>
        <w:t xml:space="preserve">roup of </w:t>
      </w:r>
      <w:r w:rsidR="00561C36">
        <w:rPr>
          <w:lang w:val="en-ZA"/>
        </w:rPr>
        <w:t>C</w:t>
      </w:r>
      <w:r w:rsidR="00A44F3E" w:rsidRPr="00A44F3E">
        <w:rPr>
          <w:lang w:val="en-ZA"/>
        </w:rPr>
        <w:t>ompanies</w:t>
      </w:r>
      <w:r w:rsidR="00A44F3E">
        <w:rPr>
          <w:lang w:val="en-ZA"/>
        </w:rPr>
        <w:t xml:space="preserve"> and that such </w:t>
      </w:r>
      <w:r w:rsidR="00A44F3E" w:rsidRPr="00A44F3E">
        <w:rPr>
          <w:lang w:val="en-ZA"/>
        </w:rPr>
        <w:t>function included the provision of loan funding</w:t>
      </w:r>
      <w:r w:rsidR="00561C36">
        <w:rPr>
          <w:lang w:val="en-ZA"/>
        </w:rPr>
        <w:t>,</w:t>
      </w:r>
      <w:r w:rsidR="00A44F3E" w:rsidRPr="00A44F3E">
        <w:rPr>
          <w:lang w:val="en-ZA"/>
        </w:rPr>
        <w:t xml:space="preserve"> as well as cash management. </w:t>
      </w:r>
      <w:r w:rsidR="00A44F3E">
        <w:rPr>
          <w:lang w:val="en-ZA"/>
        </w:rPr>
        <w:t>I</w:t>
      </w:r>
      <w:r w:rsidR="00A44F3E" w:rsidRPr="00A44F3E">
        <w:rPr>
          <w:lang w:val="en-ZA"/>
        </w:rPr>
        <w:t xml:space="preserve">ts wholly owned subsidiaries had a cash management arrangement with Standard Bank, whereby the group’s bank accounts were balanced to zero on a daily basis. If the group’s net position ended up in overdraft, </w:t>
      </w:r>
      <w:r w:rsidR="00A44F3E">
        <w:rPr>
          <w:lang w:val="en-ZA"/>
        </w:rPr>
        <w:t>the taxpayer</w:t>
      </w:r>
      <w:r w:rsidR="00A44F3E" w:rsidRPr="00A44F3E">
        <w:rPr>
          <w:lang w:val="en-ZA"/>
        </w:rPr>
        <w:t xml:space="preserve"> would borrow funds from Standard Bank on a call loan and if the group was in a positive cash position, </w:t>
      </w:r>
      <w:r w:rsidR="00A44F3E">
        <w:rPr>
          <w:lang w:val="en-ZA"/>
        </w:rPr>
        <w:t>the taxpayer</w:t>
      </w:r>
      <w:r w:rsidR="00A44F3E" w:rsidRPr="00A44F3E">
        <w:rPr>
          <w:lang w:val="en-ZA"/>
        </w:rPr>
        <w:t xml:space="preserve"> would pay back the call loan.</w:t>
      </w:r>
      <w:r w:rsidR="00DA6028">
        <w:rPr>
          <w:lang w:val="en-ZA"/>
        </w:rPr>
        <w:t xml:space="preserve"> As at</w:t>
      </w:r>
      <w:r w:rsidR="00DA6028" w:rsidRPr="00DA6028">
        <w:rPr>
          <w:lang w:val="en-ZA"/>
        </w:rPr>
        <w:t xml:space="preserve"> 30 June 2011</w:t>
      </w:r>
      <w:r w:rsidR="00DA6028">
        <w:rPr>
          <w:lang w:val="en-ZA"/>
        </w:rPr>
        <w:t>,</w:t>
      </w:r>
      <w:r w:rsidR="00DA6028" w:rsidRPr="00DA6028">
        <w:rPr>
          <w:lang w:val="en-ZA"/>
        </w:rPr>
        <w:t xml:space="preserve"> </w:t>
      </w:r>
      <w:r w:rsidR="00DA6028">
        <w:rPr>
          <w:lang w:val="en-ZA"/>
        </w:rPr>
        <w:t>the taxpayer</w:t>
      </w:r>
      <w:r w:rsidR="00DA6028" w:rsidRPr="00DA6028">
        <w:rPr>
          <w:lang w:val="en-ZA"/>
        </w:rPr>
        <w:t xml:space="preserve"> had available cash resources of R347</w:t>
      </w:r>
      <w:r w:rsidR="00AD1574">
        <w:rPr>
          <w:lang w:val="en-ZA"/>
        </w:rPr>
        <w:t> </w:t>
      </w:r>
      <w:r w:rsidR="00DA6028" w:rsidRPr="00DA6028">
        <w:rPr>
          <w:lang w:val="en-ZA"/>
        </w:rPr>
        <w:t>m</w:t>
      </w:r>
      <w:r w:rsidR="00DA6028">
        <w:rPr>
          <w:lang w:val="en-ZA"/>
        </w:rPr>
        <w:t>illion</w:t>
      </w:r>
      <w:r w:rsidR="00DA6028" w:rsidRPr="00DA6028">
        <w:rPr>
          <w:lang w:val="en-ZA"/>
        </w:rPr>
        <w:t xml:space="preserve">. </w:t>
      </w:r>
      <w:r w:rsidR="00A44F3E" w:rsidRPr="00DA6028">
        <w:rPr>
          <w:lang w:val="en-ZA"/>
        </w:rPr>
        <w:t xml:space="preserve">This, so the taxpayer contends, demonstrates the fact that its dealings with its wholly owned subsidiaries and with the bank were not only inter-related, but actively managed on a daily basis. </w:t>
      </w:r>
    </w:p>
    <w:p w14:paraId="58ED0080" w14:textId="6A7B4BCF" w:rsidR="00561C36" w:rsidRPr="00790985" w:rsidRDefault="00507C2A" w:rsidP="00507C2A">
      <w:pPr>
        <w:pStyle w:val="LegalList1"/>
        <w:spacing w:after="120" w:line="360" w:lineRule="auto"/>
        <w:rPr>
          <w:lang w:val="en-ZA"/>
        </w:rPr>
      </w:pPr>
      <w:r w:rsidRPr="00790985">
        <w:rPr>
          <w:lang w:val="en-ZA"/>
        </w:rPr>
        <w:lastRenderedPageBreak/>
        <w:t>[2].</w:t>
      </w:r>
      <w:r w:rsidRPr="00790985">
        <w:rPr>
          <w:lang w:val="en-ZA"/>
        </w:rPr>
        <w:tab/>
      </w:r>
      <w:r w:rsidR="00561C36">
        <w:rPr>
          <w:lang w:val="en-ZA"/>
        </w:rPr>
        <w:t>The taxpayer</w:t>
      </w:r>
      <w:r w:rsidR="00561C36" w:rsidRPr="00561C36">
        <w:rPr>
          <w:lang w:val="en-ZA"/>
        </w:rPr>
        <w:t xml:space="preserve"> declared in its 2011 </w:t>
      </w:r>
      <w:r w:rsidR="00561C36">
        <w:rPr>
          <w:lang w:val="en-ZA"/>
        </w:rPr>
        <w:t xml:space="preserve">income </w:t>
      </w:r>
      <w:r w:rsidR="00561C36" w:rsidRPr="00561C36">
        <w:rPr>
          <w:lang w:val="en-ZA"/>
        </w:rPr>
        <w:t>tax return, that it earned interest income from its subsidiaries in the amount of R34</w:t>
      </w:r>
      <w:r w:rsidR="00561C36">
        <w:rPr>
          <w:lang w:val="en-ZA"/>
        </w:rPr>
        <w:t> </w:t>
      </w:r>
      <w:r w:rsidR="00561C36" w:rsidRPr="00561C36">
        <w:rPr>
          <w:lang w:val="en-ZA"/>
        </w:rPr>
        <w:t>935</w:t>
      </w:r>
      <w:r w:rsidR="00561C36">
        <w:rPr>
          <w:lang w:val="en-ZA"/>
        </w:rPr>
        <w:t> </w:t>
      </w:r>
      <w:r w:rsidR="00561C36" w:rsidRPr="00561C36">
        <w:rPr>
          <w:lang w:val="en-ZA"/>
        </w:rPr>
        <w:t>90</w:t>
      </w:r>
      <w:r w:rsidR="00561C36">
        <w:rPr>
          <w:lang w:val="en-ZA"/>
        </w:rPr>
        <w:t>0</w:t>
      </w:r>
      <w:r w:rsidR="00561C36" w:rsidRPr="00561C36">
        <w:rPr>
          <w:lang w:val="en-ZA"/>
        </w:rPr>
        <w:t>. It also claimed</w:t>
      </w:r>
      <w:r w:rsidR="00561C36">
        <w:rPr>
          <w:lang w:val="en-ZA"/>
        </w:rPr>
        <w:t>,</w:t>
      </w:r>
      <w:r w:rsidR="00561C36" w:rsidRPr="00561C36">
        <w:rPr>
          <w:lang w:val="en-ZA"/>
        </w:rPr>
        <w:t xml:space="preserve"> as a deduction, an amount of R68</w:t>
      </w:r>
      <w:r w:rsidR="00561C36">
        <w:rPr>
          <w:lang w:val="en-ZA"/>
        </w:rPr>
        <w:t> </w:t>
      </w:r>
      <w:r w:rsidR="00561C36" w:rsidRPr="00561C36">
        <w:rPr>
          <w:lang w:val="en-ZA"/>
        </w:rPr>
        <w:t>133</w:t>
      </w:r>
      <w:r w:rsidR="00561C36">
        <w:rPr>
          <w:lang w:val="en-ZA"/>
        </w:rPr>
        <w:t> </w:t>
      </w:r>
      <w:r w:rsidR="00561C36" w:rsidRPr="00561C36">
        <w:rPr>
          <w:lang w:val="en-ZA"/>
        </w:rPr>
        <w:t>602</w:t>
      </w:r>
      <w:r w:rsidR="00561C36">
        <w:rPr>
          <w:lang w:val="en-ZA"/>
        </w:rPr>
        <w:t>,</w:t>
      </w:r>
      <w:r w:rsidR="00561C36" w:rsidRPr="00561C36">
        <w:rPr>
          <w:lang w:val="en-ZA"/>
        </w:rPr>
        <w:t xml:space="preserve"> being interest paid by </w:t>
      </w:r>
      <w:r w:rsidR="00561C36">
        <w:rPr>
          <w:lang w:val="en-ZA"/>
        </w:rPr>
        <w:t xml:space="preserve">it </w:t>
      </w:r>
      <w:r w:rsidR="00790985">
        <w:rPr>
          <w:lang w:val="en-ZA"/>
        </w:rPr>
        <w:t xml:space="preserve">to </w:t>
      </w:r>
      <w:r w:rsidR="00561C36">
        <w:rPr>
          <w:lang w:val="en-ZA"/>
        </w:rPr>
        <w:t xml:space="preserve">its </w:t>
      </w:r>
      <w:r w:rsidR="00DA6028">
        <w:rPr>
          <w:lang w:val="en-ZA"/>
        </w:rPr>
        <w:t>shareholder</w:t>
      </w:r>
      <w:r w:rsidR="00561C36">
        <w:rPr>
          <w:lang w:val="en-ZA"/>
        </w:rPr>
        <w:t xml:space="preserve">, </w:t>
      </w:r>
      <w:r w:rsidR="00561C36" w:rsidRPr="00561C36">
        <w:rPr>
          <w:lang w:val="en-ZA"/>
        </w:rPr>
        <w:t>Steinhoff Africa Holdings (P</w:t>
      </w:r>
      <w:r w:rsidR="00561C36">
        <w:rPr>
          <w:lang w:val="en-ZA"/>
        </w:rPr>
        <w:t>ty</w:t>
      </w:r>
      <w:r w:rsidR="00561C36" w:rsidRPr="00561C36">
        <w:rPr>
          <w:lang w:val="en-ZA"/>
        </w:rPr>
        <w:t>) Limited (</w:t>
      </w:r>
      <w:r w:rsidR="00561C36">
        <w:rPr>
          <w:lang w:val="en-ZA"/>
        </w:rPr>
        <w:t>‘</w:t>
      </w:r>
      <w:r w:rsidR="00561C36" w:rsidRPr="00561C36">
        <w:rPr>
          <w:lang w:val="en-ZA"/>
        </w:rPr>
        <w:t>Steinhoff</w:t>
      </w:r>
      <w:r w:rsidR="00561C36">
        <w:rPr>
          <w:lang w:val="en-ZA"/>
        </w:rPr>
        <w:t>’</w:t>
      </w:r>
      <w:r w:rsidR="00561C36" w:rsidRPr="00561C36">
        <w:rPr>
          <w:lang w:val="en-ZA"/>
        </w:rPr>
        <w:t>).</w:t>
      </w:r>
      <w:r w:rsidR="00790985">
        <w:rPr>
          <w:lang w:val="en-ZA"/>
        </w:rPr>
        <w:t xml:space="preserve"> </w:t>
      </w:r>
      <w:r w:rsidR="00551815">
        <w:rPr>
          <w:lang w:val="en-ZA"/>
        </w:rPr>
        <w:t>Importantly, i</w:t>
      </w:r>
      <w:r w:rsidR="00561C36" w:rsidRPr="00790985">
        <w:rPr>
          <w:lang w:val="en-ZA"/>
        </w:rPr>
        <w:t>t also declared that during</w:t>
      </w:r>
      <w:r w:rsidR="004210A7">
        <w:rPr>
          <w:lang w:val="en-ZA"/>
        </w:rPr>
        <w:t xml:space="preserve"> </w:t>
      </w:r>
      <w:r w:rsidR="00561C36" w:rsidRPr="00790985">
        <w:rPr>
          <w:lang w:val="en-ZA"/>
        </w:rPr>
        <w:t xml:space="preserve">the relevant period, it did </w:t>
      </w:r>
      <w:r w:rsidR="00561C36" w:rsidRPr="00551815">
        <w:rPr>
          <w:u w:val="single"/>
          <w:lang w:val="en-ZA"/>
        </w:rPr>
        <w:t>not</w:t>
      </w:r>
      <w:r w:rsidR="00561C36" w:rsidRPr="00790985">
        <w:rPr>
          <w:lang w:val="en-ZA"/>
        </w:rPr>
        <w:t xml:space="preserve"> enter into any transactions as contemplated by s</w:t>
      </w:r>
      <w:r w:rsidR="00766778">
        <w:rPr>
          <w:lang w:val="en-ZA"/>
        </w:rPr>
        <w:t> </w:t>
      </w:r>
      <w:r w:rsidR="00561C36" w:rsidRPr="00790985">
        <w:rPr>
          <w:lang w:val="en-ZA"/>
        </w:rPr>
        <w:t>24J of the Income Tax Act</w:t>
      </w:r>
      <w:r w:rsidR="00790985">
        <w:rPr>
          <w:rStyle w:val="FootnoteReference"/>
          <w:lang w:val="en-ZA"/>
        </w:rPr>
        <w:footnoteReference w:id="1"/>
      </w:r>
      <w:r w:rsidR="00790985" w:rsidRPr="00790985">
        <w:rPr>
          <w:lang w:val="en-ZA"/>
        </w:rPr>
        <w:t xml:space="preserve"> (</w:t>
      </w:r>
      <w:r w:rsidR="00790985">
        <w:rPr>
          <w:lang w:val="en-ZA"/>
        </w:rPr>
        <w:t xml:space="preserve">‘the </w:t>
      </w:r>
      <w:r w:rsidR="00790985" w:rsidRPr="00790985">
        <w:rPr>
          <w:lang w:val="en-ZA"/>
        </w:rPr>
        <w:t>Income Tax Act</w:t>
      </w:r>
      <w:r w:rsidR="00790985">
        <w:rPr>
          <w:lang w:val="en-ZA"/>
        </w:rPr>
        <w:t>’</w:t>
      </w:r>
      <w:r w:rsidR="00790985" w:rsidRPr="00790985">
        <w:rPr>
          <w:lang w:val="en-ZA"/>
        </w:rPr>
        <w:t>)</w:t>
      </w:r>
      <w:r w:rsidR="00790985">
        <w:rPr>
          <w:lang w:val="en-ZA"/>
        </w:rPr>
        <w:t>.</w:t>
      </w:r>
    </w:p>
    <w:p w14:paraId="6937F78C" w14:textId="303B355F" w:rsidR="00561C36" w:rsidRPr="009A6E57" w:rsidRDefault="00507C2A" w:rsidP="00507C2A">
      <w:pPr>
        <w:pStyle w:val="LegalList1"/>
        <w:spacing w:after="120" w:line="360" w:lineRule="auto"/>
        <w:rPr>
          <w:lang w:val="en-ZA"/>
        </w:rPr>
      </w:pPr>
      <w:r w:rsidRPr="009A6E57">
        <w:rPr>
          <w:lang w:val="en-ZA"/>
        </w:rPr>
        <w:t>[3].</w:t>
      </w:r>
      <w:r w:rsidRPr="009A6E57">
        <w:rPr>
          <w:lang w:val="en-ZA"/>
        </w:rPr>
        <w:tab/>
      </w:r>
      <w:r w:rsidR="00561C36" w:rsidRPr="00561C36">
        <w:rPr>
          <w:lang w:val="en-ZA"/>
        </w:rPr>
        <w:t xml:space="preserve">On 8 December 2014, </w:t>
      </w:r>
      <w:r w:rsidR="004F529F">
        <w:rPr>
          <w:lang w:val="en-ZA"/>
        </w:rPr>
        <w:t>the respondent (‘</w:t>
      </w:r>
      <w:r w:rsidR="00561C36" w:rsidRPr="00561C36">
        <w:rPr>
          <w:lang w:val="en-ZA"/>
        </w:rPr>
        <w:t>SARS</w:t>
      </w:r>
      <w:r w:rsidR="004F529F">
        <w:rPr>
          <w:lang w:val="en-ZA"/>
        </w:rPr>
        <w:t>’)</w:t>
      </w:r>
      <w:r w:rsidR="00561C36" w:rsidRPr="00561C36">
        <w:rPr>
          <w:lang w:val="en-ZA"/>
        </w:rPr>
        <w:t xml:space="preserve"> issued a letter notifying</w:t>
      </w:r>
      <w:r w:rsidR="004F529F">
        <w:rPr>
          <w:lang w:val="en-ZA"/>
        </w:rPr>
        <w:t xml:space="preserve"> the taxpayer</w:t>
      </w:r>
      <w:r w:rsidR="00561C36" w:rsidRPr="00561C36">
        <w:rPr>
          <w:lang w:val="en-ZA"/>
        </w:rPr>
        <w:t xml:space="preserve"> of </w:t>
      </w:r>
      <w:r w:rsidR="004F529F">
        <w:rPr>
          <w:lang w:val="en-ZA"/>
        </w:rPr>
        <w:t>its</w:t>
      </w:r>
      <w:r w:rsidR="00561C36" w:rsidRPr="00561C36">
        <w:rPr>
          <w:lang w:val="en-ZA"/>
        </w:rPr>
        <w:t xml:space="preserve"> audit findings and SARS’s intention to raise additional assessments for the 2011 year of assessment.  </w:t>
      </w:r>
      <w:r w:rsidR="00561C36" w:rsidRPr="004F529F">
        <w:rPr>
          <w:lang w:val="en-ZA"/>
        </w:rPr>
        <w:t xml:space="preserve">On 28 April 2015, SARS issued a </w:t>
      </w:r>
      <w:r w:rsidR="004F529F">
        <w:rPr>
          <w:lang w:val="en-ZA"/>
        </w:rPr>
        <w:t>‘</w:t>
      </w:r>
      <w:r w:rsidR="00561C36" w:rsidRPr="004F529F">
        <w:rPr>
          <w:lang w:val="en-ZA"/>
        </w:rPr>
        <w:t>letter of finalisation of audit</w:t>
      </w:r>
      <w:r w:rsidR="004F529F">
        <w:rPr>
          <w:lang w:val="en-ZA"/>
        </w:rPr>
        <w:t>’</w:t>
      </w:r>
      <w:r w:rsidR="00561C36" w:rsidRPr="004F529F">
        <w:rPr>
          <w:lang w:val="en-ZA"/>
        </w:rPr>
        <w:t xml:space="preserve"> in terms of which it adjusted </w:t>
      </w:r>
      <w:r w:rsidR="004F529F">
        <w:rPr>
          <w:lang w:val="en-ZA"/>
        </w:rPr>
        <w:t>the taxpayer’s</w:t>
      </w:r>
      <w:r w:rsidR="00561C36" w:rsidRPr="004F529F">
        <w:rPr>
          <w:lang w:val="en-ZA"/>
        </w:rPr>
        <w:t xml:space="preserve"> taxable income of the 2011 year of assessment by disallowing the interest claimed in terms of section 24J(2) of the Income Tax Act. The basis for disallowing the interest deduction was that the interest claimed by </w:t>
      </w:r>
      <w:r w:rsidR="004F529F">
        <w:rPr>
          <w:lang w:val="en-ZA"/>
        </w:rPr>
        <w:t>the taxpayer</w:t>
      </w:r>
      <w:r w:rsidR="00561C36" w:rsidRPr="004F529F">
        <w:rPr>
          <w:lang w:val="en-ZA"/>
        </w:rPr>
        <w:t xml:space="preserve"> was not an expenditure incurred in the conduct of any trade and was not in the production of income. SARS disputed that </w:t>
      </w:r>
      <w:r w:rsidR="004F529F">
        <w:rPr>
          <w:lang w:val="en-ZA"/>
        </w:rPr>
        <w:t>the taxpayer</w:t>
      </w:r>
      <w:r w:rsidR="00561C36" w:rsidRPr="004F529F">
        <w:rPr>
          <w:lang w:val="en-ZA"/>
        </w:rPr>
        <w:t xml:space="preserve"> conducted a trade as a money lender and that the expenditure was incurred in the production of income. In other words, the expenditure claimed by </w:t>
      </w:r>
      <w:r w:rsidR="008510AD">
        <w:rPr>
          <w:lang w:val="en-ZA"/>
        </w:rPr>
        <w:t>the taxpayer</w:t>
      </w:r>
      <w:r w:rsidR="00561C36" w:rsidRPr="004F529F">
        <w:rPr>
          <w:lang w:val="en-ZA"/>
        </w:rPr>
        <w:t xml:space="preserve"> did not meet the requirements of section 24J(2) of the Income Tax Act.</w:t>
      </w:r>
      <w:r w:rsidR="009A6E57">
        <w:rPr>
          <w:lang w:val="en-ZA"/>
        </w:rPr>
        <w:t xml:space="preserve"> </w:t>
      </w:r>
      <w:r w:rsidR="00561C36" w:rsidRPr="009A6E57">
        <w:rPr>
          <w:lang w:val="en-ZA"/>
        </w:rPr>
        <w:t xml:space="preserve">SARS </w:t>
      </w:r>
      <w:r w:rsidR="009A6E57">
        <w:rPr>
          <w:lang w:val="en-ZA"/>
        </w:rPr>
        <w:t xml:space="preserve">did however </w:t>
      </w:r>
      <w:r w:rsidR="00561C36" w:rsidRPr="009A6E57">
        <w:rPr>
          <w:lang w:val="en-ZA"/>
        </w:rPr>
        <w:t xml:space="preserve">allow the interest expenditure to the extent of the income earned by </w:t>
      </w:r>
      <w:r w:rsidR="009A6E57">
        <w:rPr>
          <w:lang w:val="en-ZA"/>
        </w:rPr>
        <w:t>the taxpayer</w:t>
      </w:r>
      <w:r w:rsidR="00561C36" w:rsidRPr="009A6E57">
        <w:rPr>
          <w:lang w:val="en-ZA"/>
        </w:rPr>
        <w:t xml:space="preserve"> from the investment income of R34</w:t>
      </w:r>
      <w:r w:rsidR="009A6E57">
        <w:rPr>
          <w:lang w:val="en-ZA"/>
        </w:rPr>
        <w:t> </w:t>
      </w:r>
      <w:r w:rsidR="00561C36" w:rsidRPr="009A6E57">
        <w:rPr>
          <w:lang w:val="en-ZA"/>
        </w:rPr>
        <w:t>93</w:t>
      </w:r>
      <w:r w:rsidR="009A6E57">
        <w:rPr>
          <w:lang w:val="en-ZA"/>
        </w:rPr>
        <w:t>5 9</w:t>
      </w:r>
      <w:r w:rsidR="00561C36" w:rsidRPr="009A6E57">
        <w:rPr>
          <w:lang w:val="en-ZA"/>
        </w:rPr>
        <w:t>00.</w:t>
      </w:r>
      <w:r w:rsidR="009A6E57">
        <w:rPr>
          <w:lang w:val="en-ZA"/>
        </w:rPr>
        <w:t xml:space="preserve"> </w:t>
      </w:r>
      <w:r w:rsidR="00561C36" w:rsidRPr="009A6E57">
        <w:rPr>
          <w:lang w:val="en-ZA"/>
        </w:rPr>
        <w:t xml:space="preserve">SARS also imposed an understatement penalty of 10% on the basis that there was substantial under-declaration of income. </w:t>
      </w:r>
    </w:p>
    <w:p w14:paraId="4E3B9142" w14:textId="268AA726" w:rsidR="00561C36" w:rsidRPr="00DA6028" w:rsidRDefault="00507C2A" w:rsidP="00507C2A">
      <w:pPr>
        <w:pStyle w:val="LegalList1"/>
        <w:spacing w:after="120" w:line="360" w:lineRule="auto"/>
        <w:rPr>
          <w:lang w:val="en-ZA"/>
        </w:rPr>
      </w:pPr>
      <w:r w:rsidRPr="00DA6028">
        <w:rPr>
          <w:lang w:val="en-ZA"/>
        </w:rPr>
        <w:t>[4].</w:t>
      </w:r>
      <w:r w:rsidRPr="00DA6028">
        <w:rPr>
          <w:lang w:val="en-ZA"/>
        </w:rPr>
        <w:tab/>
      </w:r>
      <w:r w:rsidR="00561C36" w:rsidRPr="00561C36">
        <w:rPr>
          <w:lang w:val="en-ZA"/>
        </w:rPr>
        <w:t xml:space="preserve">On 10 June 2015 </w:t>
      </w:r>
      <w:r w:rsidR="001D013F">
        <w:rPr>
          <w:lang w:val="en-ZA"/>
        </w:rPr>
        <w:t>the taxpayer</w:t>
      </w:r>
      <w:r w:rsidR="00561C36" w:rsidRPr="00561C36">
        <w:rPr>
          <w:lang w:val="en-ZA"/>
        </w:rPr>
        <w:t xml:space="preserve"> objected to the </w:t>
      </w:r>
      <w:r w:rsidR="00AD1574">
        <w:rPr>
          <w:lang w:val="en-ZA"/>
        </w:rPr>
        <w:t xml:space="preserve">additional </w:t>
      </w:r>
      <w:r w:rsidR="00561C36" w:rsidRPr="00561C36">
        <w:rPr>
          <w:lang w:val="en-ZA"/>
        </w:rPr>
        <w:t xml:space="preserve">assessment and on 15 July 2015 SARS disallowed the objection. </w:t>
      </w:r>
      <w:r w:rsidR="001D013F">
        <w:rPr>
          <w:lang w:val="en-ZA"/>
        </w:rPr>
        <w:t xml:space="preserve">The taxpayer </w:t>
      </w:r>
      <w:r w:rsidR="00561C36" w:rsidRPr="00561C36">
        <w:rPr>
          <w:lang w:val="en-ZA"/>
        </w:rPr>
        <w:t>appealed</w:t>
      </w:r>
      <w:r w:rsidR="001D013F">
        <w:rPr>
          <w:lang w:val="en-ZA"/>
        </w:rPr>
        <w:t xml:space="preserve"> the</w:t>
      </w:r>
      <w:r w:rsidR="00AD1574">
        <w:rPr>
          <w:lang w:val="en-ZA"/>
        </w:rPr>
        <w:t xml:space="preserve"> additional</w:t>
      </w:r>
      <w:r w:rsidR="001D013F">
        <w:rPr>
          <w:lang w:val="en-ZA"/>
        </w:rPr>
        <w:t xml:space="preserve"> assessment and </w:t>
      </w:r>
      <w:r w:rsidR="00561C36" w:rsidRPr="00561C36">
        <w:rPr>
          <w:lang w:val="en-ZA"/>
        </w:rPr>
        <w:t>the disallowance of the objection</w:t>
      </w:r>
      <w:r w:rsidR="001D013F">
        <w:rPr>
          <w:lang w:val="en-ZA"/>
        </w:rPr>
        <w:t xml:space="preserve"> to the Tax Court before which the </w:t>
      </w:r>
      <w:r w:rsidR="00561C36" w:rsidRPr="001D013F">
        <w:rPr>
          <w:lang w:val="en-ZA"/>
        </w:rPr>
        <w:t xml:space="preserve">main issue on appeal was whether the interest expense claimed by </w:t>
      </w:r>
      <w:r w:rsidR="001D013F">
        <w:rPr>
          <w:lang w:val="en-ZA"/>
        </w:rPr>
        <w:t>the taxpayer</w:t>
      </w:r>
      <w:r w:rsidR="00561C36" w:rsidRPr="001D013F">
        <w:rPr>
          <w:lang w:val="en-ZA"/>
        </w:rPr>
        <w:t xml:space="preserve"> met the requirements of s 24(J)(2) of the Income Tax Act. Put differently, the </w:t>
      </w:r>
      <w:r w:rsidR="00DA6028">
        <w:rPr>
          <w:lang w:val="en-ZA"/>
        </w:rPr>
        <w:t xml:space="preserve">Tax Court </w:t>
      </w:r>
      <w:r w:rsidR="00561C36" w:rsidRPr="001D013F">
        <w:rPr>
          <w:lang w:val="en-ZA"/>
        </w:rPr>
        <w:t xml:space="preserve">was called upon to decide whether </w:t>
      </w:r>
      <w:r w:rsidR="00DA6028">
        <w:rPr>
          <w:lang w:val="en-ZA"/>
        </w:rPr>
        <w:t>the taxpayer</w:t>
      </w:r>
      <w:r w:rsidR="00561C36" w:rsidRPr="001D013F">
        <w:rPr>
          <w:lang w:val="en-ZA"/>
        </w:rPr>
        <w:t xml:space="preserve"> incurred the </w:t>
      </w:r>
      <w:r w:rsidR="00A7730D">
        <w:rPr>
          <w:lang w:val="en-ZA"/>
        </w:rPr>
        <w:t xml:space="preserve">interest </w:t>
      </w:r>
      <w:r w:rsidR="00561C36" w:rsidRPr="001D013F">
        <w:rPr>
          <w:lang w:val="en-ZA"/>
        </w:rPr>
        <w:t>expense of R68</w:t>
      </w:r>
      <w:r w:rsidR="00DA6028">
        <w:rPr>
          <w:lang w:val="en-ZA"/>
        </w:rPr>
        <w:t> </w:t>
      </w:r>
      <w:r w:rsidR="00561C36" w:rsidRPr="001D013F">
        <w:rPr>
          <w:lang w:val="en-ZA"/>
        </w:rPr>
        <w:t>134</w:t>
      </w:r>
      <w:r w:rsidR="00DA6028">
        <w:rPr>
          <w:lang w:val="en-ZA"/>
        </w:rPr>
        <w:t> </w:t>
      </w:r>
      <w:r w:rsidR="00561C36" w:rsidRPr="001D013F">
        <w:rPr>
          <w:lang w:val="en-ZA"/>
        </w:rPr>
        <w:t>000</w:t>
      </w:r>
      <w:r w:rsidR="00DA6028">
        <w:rPr>
          <w:lang w:val="en-ZA"/>
        </w:rPr>
        <w:t xml:space="preserve"> in the production of income </w:t>
      </w:r>
      <w:r w:rsidR="00561C36" w:rsidRPr="00DA6028">
        <w:rPr>
          <w:lang w:val="en-ZA"/>
        </w:rPr>
        <w:t xml:space="preserve">whilst conducting </w:t>
      </w:r>
      <w:r w:rsidR="00DA6028">
        <w:rPr>
          <w:lang w:val="en-ZA"/>
        </w:rPr>
        <w:t>‘</w:t>
      </w:r>
      <w:r w:rsidR="00561C36" w:rsidRPr="00DA6028">
        <w:rPr>
          <w:lang w:val="en-ZA"/>
        </w:rPr>
        <w:t>a trade</w:t>
      </w:r>
      <w:r w:rsidR="00DA6028">
        <w:rPr>
          <w:lang w:val="en-ZA"/>
        </w:rPr>
        <w:t>’.</w:t>
      </w:r>
    </w:p>
    <w:p w14:paraId="3DE589D3" w14:textId="0C130530" w:rsidR="00561C36" w:rsidRPr="00561C36" w:rsidRDefault="00507C2A" w:rsidP="00507C2A">
      <w:pPr>
        <w:pStyle w:val="LegalList1"/>
        <w:spacing w:after="120" w:line="360" w:lineRule="auto"/>
        <w:rPr>
          <w:lang w:val="en-ZA"/>
        </w:rPr>
      </w:pPr>
      <w:bookmarkStart w:id="0" w:name="_Hlk154511811"/>
      <w:r w:rsidRPr="00561C36">
        <w:rPr>
          <w:lang w:val="en-ZA"/>
        </w:rPr>
        <w:lastRenderedPageBreak/>
        <w:t>[5].</w:t>
      </w:r>
      <w:r w:rsidRPr="00561C36">
        <w:rPr>
          <w:lang w:val="en-ZA"/>
        </w:rPr>
        <w:tab/>
      </w:r>
      <w:r w:rsidR="00561C36" w:rsidRPr="00561C36">
        <w:rPr>
          <w:lang w:val="en-ZA"/>
        </w:rPr>
        <w:t xml:space="preserve">SARS denied that </w:t>
      </w:r>
      <w:r w:rsidR="00010177">
        <w:rPr>
          <w:lang w:val="en-ZA"/>
        </w:rPr>
        <w:t>the taxpayer</w:t>
      </w:r>
      <w:r w:rsidR="00561C36" w:rsidRPr="00561C36">
        <w:rPr>
          <w:lang w:val="en-ZA"/>
        </w:rPr>
        <w:t xml:space="preserve"> conducted trade as a money lender. It also disputed that the expenditure claimed by </w:t>
      </w:r>
      <w:r w:rsidR="00010177">
        <w:rPr>
          <w:lang w:val="en-ZA"/>
        </w:rPr>
        <w:t>the taxpayer</w:t>
      </w:r>
      <w:r w:rsidR="00561C36" w:rsidRPr="00561C36">
        <w:rPr>
          <w:lang w:val="en-ZA"/>
        </w:rPr>
        <w:t xml:space="preserve"> was closely linked to its income</w:t>
      </w:r>
      <w:r w:rsidR="00010177">
        <w:rPr>
          <w:lang w:val="en-ZA"/>
        </w:rPr>
        <w:t xml:space="preserve"> </w:t>
      </w:r>
      <w:r w:rsidR="00561C36" w:rsidRPr="00561C36">
        <w:rPr>
          <w:lang w:val="en-ZA"/>
        </w:rPr>
        <w:t xml:space="preserve">earning operations as a money lender. The purpose of the expenditure was not to produce income but to further the interest of the subsidiaries.  Therefore, SARS’s case was that the expenditure was not incurred in the production of </w:t>
      </w:r>
      <w:r w:rsidR="00010177">
        <w:rPr>
          <w:lang w:val="en-ZA"/>
        </w:rPr>
        <w:t>the taxpayer’s</w:t>
      </w:r>
      <w:r w:rsidR="00561C36" w:rsidRPr="00561C36">
        <w:rPr>
          <w:lang w:val="en-ZA"/>
        </w:rPr>
        <w:t xml:space="preserve"> income.  </w:t>
      </w:r>
    </w:p>
    <w:bookmarkEnd w:id="0"/>
    <w:p w14:paraId="332F188E" w14:textId="51498227" w:rsidR="00193A10" w:rsidRDefault="00507C2A" w:rsidP="00507C2A">
      <w:pPr>
        <w:pStyle w:val="LegalList1"/>
        <w:spacing w:after="120" w:line="360" w:lineRule="auto"/>
        <w:rPr>
          <w:lang w:val="en-ZA"/>
        </w:rPr>
      </w:pPr>
      <w:r>
        <w:rPr>
          <w:lang w:val="en-ZA"/>
        </w:rPr>
        <w:t>[6].</w:t>
      </w:r>
      <w:r>
        <w:rPr>
          <w:lang w:val="en-ZA"/>
        </w:rPr>
        <w:tab/>
      </w:r>
      <w:r w:rsidR="00561C36" w:rsidRPr="00561C36">
        <w:rPr>
          <w:lang w:val="en-ZA"/>
        </w:rPr>
        <w:t xml:space="preserve">In its Rule 32 statement of grounds of appeal, </w:t>
      </w:r>
      <w:r w:rsidR="00010177">
        <w:rPr>
          <w:lang w:val="en-ZA"/>
        </w:rPr>
        <w:t>the taxpayer</w:t>
      </w:r>
      <w:r w:rsidR="00561C36" w:rsidRPr="00561C36">
        <w:rPr>
          <w:lang w:val="en-ZA"/>
        </w:rPr>
        <w:t xml:space="preserve"> pleaded that it incurred interest on funds borrowed from group companies with a view to make loans to group companies in the course of its lending trade carried on by it and in the production of income in the form of interest to be earned from the loans to group companies. Apart from the lending trade, the </w:t>
      </w:r>
      <w:r w:rsidR="00193A10">
        <w:rPr>
          <w:lang w:val="en-ZA"/>
        </w:rPr>
        <w:t>taxpayer</w:t>
      </w:r>
      <w:r w:rsidR="00561C36" w:rsidRPr="00561C36">
        <w:rPr>
          <w:lang w:val="en-ZA"/>
        </w:rPr>
        <w:t xml:space="preserve"> does not identify any other trade in its Rule 32 statement. </w:t>
      </w:r>
    </w:p>
    <w:p w14:paraId="723902C0" w14:textId="4391F3F9" w:rsidR="00431B19" w:rsidRPr="00431B19" w:rsidRDefault="00507C2A" w:rsidP="00507C2A">
      <w:pPr>
        <w:pStyle w:val="LegalList1"/>
        <w:spacing w:after="120" w:line="360" w:lineRule="auto"/>
        <w:rPr>
          <w:lang w:val="en-ZA"/>
        </w:rPr>
      </w:pPr>
      <w:r w:rsidRPr="00431B19">
        <w:rPr>
          <w:lang w:val="en-ZA"/>
        </w:rPr>
        <w:t>[7].</w:t>
      </w:r>
      <w:r w:rsidRPr="00431B19">
        <w:rPr>
          <w:lang w:val="en-ZA"/>
        </w:rPr>
        <w:tab/>
      </w:r>
      <w:r w:rsidR="007D3AC7">
        <w:t xml:space="preserve">On </w:t>
      </w:r>
      <w:r w:rsidR="00431B19">
        <w:t>09</w:t>
      </w:r>
      <w:r w:rsidR="005B2F4F">
        <w:t> </w:t>
      </w:r>
      <w:r w:rsidR="00431B19">
        <w:t>February</w:t>
      </w:r>
      <w:r w:rsidR="007D3AC7">
        <w:t xml:space="preserve"> 202</w:t>
      </w:r>
      <w:r w:rsidR="00431B19">
        <w:t>2</w:t>
      </w:r>
      <w:r w:rsidR="007D3AC7">
        <w:t xml:space="preserve">, the </w:t>
      </w:r>
      <w:r w:rsidR="00431B19">
        <w:t>T</w:t>
      </w:r>
      <w:r w:rsidR="007D3AC7">
        <w:t xml:space="preserve">ax </w:t>
      </w:r>
      <w:r w:rsidR="00431B19">
        <w:t>C</w:t>
      </w:r>
      <w:r w:rsidR="007D3AC7">
        <w:t xml:space="preserve">ourt (per </w:t>
      </w:r>
      <w:r w:rsidR="00431B19">
        <w:t>Bam</w:t>
      </w:r>
      <w:r w:rsidR="007D3AC7">
        <w:t xml:space="preserve"> J, </w:t>
      </w:r>
      <w:bookmarkStart w:id="1" w:name="_Hlk154511186"/>
      <w:r w:rsidR="007D3AC7">
        <w:t xml:space="preserve">sitting with an Accounting </w:t>
      </w:r>
      <w:r w:rsidR="00431B19">
        <w:t>M</w:t>
      </w:r>
      <w:r w:rsidR="007D3AC7">
        <w:t>ember and a Commercial Member</w:t>
      </w:r>
      <w:bookmarkEnd w:id="1"/>
      <w:r w:rsidR="007D3AC7">
        <w:t xml:space="preserve">) </w:t>
      </w:r>
      <w:r w:rsidR="00431B19">
        <w:t>dismissed</w:t>
      </w:r>
      <w:r w:rsidR="007D3AC7">
        <w:t xml:space="preserve"> the taxpayer’s appeal with costs and </w:t>
      </w:r>
      <w:r w:rsidR="00431B19">
        <w:t>confirmed the assessment issued by SARS on 28 April 2015,</w:t>
      </w:r>
      <w:r w:rsidR="007D3AC7">
        <w:t xml:space="preserve"> thus </w:t>
      </w:r>
      <w:r w:rsidR="00431B19">
        <w:t>rejecting</w:t>
      </w:r>
      <w:r w:rsidR="007D3AC7">
        <w:t xml:space="preserve"> the taxpayer’s </w:t>
      </w:r>
      <w:r w:rsidR="00431B19">
        <w:t>assertion that the interest expense of R68 133 602</w:t>
      </w:r>
      <w:r w:rsidR="007D3AC7">
        <w:t xml:space="preserve"> </w:t>
      </w:r>
      <w:r w:rsidR="00431B19">
        <w:t>was deductible in terms of s 24J</w:t>
      </w:r>
      <w:r w:rsidR="00766778">
        <w:t>(2)</w:t>
      </w:r>
      <w:r w:rsidR="00431B19">
        <w:t xml:space="preserve"> of the Income Tax Act.</w:t>
      </w:r>
    </w:p>
    <w:p w14:paraId="6BAF2AF5" w14:textId="0D8BB456" w:rsidR="00C955F2" w:rsidRDefault="00507C2A" w:rsidP="00507C2A">
      <w:pPr>
        <w:pStyle w:val="LegalList1"/>
        <w:spacing w:after="120" w:line="360" w:lineRule="auto"/>
        <w:rPr>
          <w:lang w:val="en-ZA"/>
        </w:rPr>
      </w:pPr>
      <w:r>
        <w:rPr>
          <w:lang w:val="en-ZA"/>
        </w:rPr>
        <w:t>[8].</w:t>
      </w:r>
      <w:r>
        <w:rPr>
          <w:lang w:val="en-ZA"/>
        </w:rPr>
        <w:tab/>
      </w:r>
      <w:r w:rsidR="0068137D">
        <w:rPr>
          <w:lang w:val="en-ZA"/>
        </w:rPr>
        <w:t xml:space="preserve">It is </w:t>
      </w:r>
      <w:r w:rsidR="0037324F">
        <w:rPr>
          <w:lang w:val="en-ZA"/>
        </w:rPr>
        <w:t xml:space="preserve">that judgment and </w:t>
      </w:r>
      <w:r w:rsidR="00401644">
        <w:rPr>
          <w:lang w:val="en-ZA"/>
        </w:rPr>
        <w:t xml:space="preserve">the </w:t>
      </w:r>
      <w:r w:rsidR="0037324F">
        <w:rPr>
          <w:lang w:val="en-ZA"/>
        </w:rPr>
        <w:t>order of the Tax C</w:t>
      </w:r>
      <w:r w:rsidR="0068137D">
        <w:rPr>
          <w:lang w:val="en-ZA"/>
        </w:rPr>
        <w:t xml:space="preserve">ourt which </w:t>
      </w:r>
      <w:r w:rsidR="00431B19">
        <w:rPr>
          <w:lang w:val="en-ZA"/>
        </w:rPr>
        <w:t>the taxpayer</w:t>
      </w:r>
      <w:r w:rsidR="0068137D">
        <w:rPr>
          <w:lang w:val="en-ZA"/>
        </w:rPr>
        <w:t xml:space="preserve"> appeals against to this court. In issue in </w:t>
      </w:r>
      <w:r w:rsidR="00C955F2">
        <w:rPr>
          <w:lang w:val="en-ZA"/>
        </w:rPr>
        <w:t>this</w:t>
      </w:r>
      <w:r w:rsidR="0068137D">
        <w:rPr>
          <w:lang w:val="en-ZA"/>
        </w:rPr>
        <w:t xml:space="preserve"> appeal is</w:t>
      </w:r>
      <w:r w:rsidR="00BB1901">
        <w:rPr>
          <w:lang w:val="en-ZA"/>
        </w:rPr>
        <w:t xml:space="preserve"> </w:t>
      </w:r>
      <w:r w:rsidR="00401644" w:rsidRPr="00BB1901">
        <w:rPr>
          <w:lang w:val="en-ZA"/>
        </w:rPr>
        <w:t xml:space="preserve">whether the interest expenditure incurred by </w:t>
      </w:r>
      <w:r w:rsidR="00BB1901">
        <w:rPr>
          <w:lang w:val="en-ZA"/>
        </w:rPr>
        <w:t>the taxpayer</w:t>
      </w:r>
      <w:r w:rsidR="00401644" w:rsidRPr="00BB1901">
        <w:rPr>
          <w:lang w:val="en-ZA"/>
        </w:rPr>
        <w:t xml:space="preserve"> in its 2011 year of assessment</w:t>
      </w:r>
      <w:r w:rsidR="00BB1901">
        <w:rPr>
          <w:lang w:val="en-ZA"/>
        </w:rPr>
        <w:t xml:space="preserve"> ‘</w:t>
      </w:r>
      <w:r w:rsidR="00BB1901" w:rsidRPr="00BB1901">
        <w:rPr>
          <w:lang w:val="en-ZA"/>
        </w:rPr>
        <w:t xml:space="preserve">must be deducted from the income of </w:t>
      </w:r>
      <w:r w:rsidR="00BB1901">
        <w:rPr>
          <w:lang w:val="en-ZA"/>
        </w:rPr>
        <w:t xml:space="preserve">[the taxpayer]’ </w:t>
      </w:r>
      <w:r w:rsidR="00BB1901" w:rsidRPr="00BB1901">
        <w:rPr>
          <w:lang w:val="en-ZA"/>
        </w:rPr>
        <w:t xml:space="preserve">in accordance with </w:t>
      </w:r>
      <w:r w:rsidR="00BB1901">
        <w:rPr>
          <w:lang w:val="en-ZA"/>
        </w:rPr>
        <w:t>s</w:t>
      </w:r>
      <w:r w:rsidR="00BB1901" w:rsidRPr="00BB1901">
        <w:rPr>
          <w:lang w:val="en-ZA"/>
        </w:rPr>
        <w:t xml:space="preserve"> 24J(2) of the Income Tax Act</w:t>
      </w:r>
      <w:r w:rsidR="00BB1901">
        <w:rPr>
          <w:lang w:val="en-ZA"/>
        </w:rPr>
        <w:t xml:space="preserve">. Having regard to the aforesaid provision, the more crystalised question to be considered is </w:t>
      </w:r>
      <w:r w:rsidR="00C955F2">
        <w:rPr>
          <w:lang w:val="en-ZA"/>
        </w:rPr>
        <w:t xml:space="preserve">whether the expense was incurred in the production of income derived from carrying on any trade. A </w:t>
      </w:r>
      <w:r w:rsidR="00401644" w:rsidRPr="00C955F2">
        <w:rPr>
          <w:lang w:val="en-ZA"/>
        </w:rPr>
        <w:t>further issue</w:t>
      </w:r>
      <w:r w:rsidR="00C955F2">
        <w:rPr>
          <w:lang w:val="en-ZA"/>
        </w:rPr>
        <w:t xml:space="preserve"> before this appeal court</w:t>
      </w:r>
      <w:r w:rsidR="00401644" w:rsidRPr="00C955F2">
        <w:rPr>
          <w:lang w:val="en-ZA"/>
        </w:rPr>
        <w:t xml:space="preserve"> is whether an understatement penalty was correctly imposed by SARS</w:t>
      </w:r>
      <w:r w:rsidR="00B73F07">
        <w:rPr>
          <w:lang w:val="en-ZA"/>
        </w:rPr>
        <w:t>.</w:t>
      </w:r>
    </w:p>
    <w:p w14:paraId="00B79EA4" w14:textId="14E0C253" w:rsidR="002E5EB9" w:rsidRDefault="00507C2A" w:rsidP="00507C2A">
      <w:pPr>
        <w:pStyle w:val="LegalList1"/>
        <w:spacing w:after="120" w:line="360" w:lineRule="auto"/>
        <w:rPr>
          <w:lang w:val="en-ZA"/>
        </w:rPr>
      </w:pPr>
      <w:r>
        <w:rPr>
          <w:lang w:val="en-ZA"/>
        </w:rPr>
        <w:t>[9].</w:t>
      </w:r>
      <w:r>
        <w:rPr>
          <w:lang w:val="en-ZA"/>
        </w:rPr>
        <w:tab/>
      </w:r>
      <w:r w:rsidR="00C955F2">
        <w:rPr>
          <w:lang w:val="en-ZA"/>
        </w:rPr>
        <w:t xml:space="preserve">I interpose here to mention that </w:t>
      </w:r>
      <w:r w:rsidR="00401644" w:rsidRPr="004301F8">
        <w:rPr>
          <w:lang w:val="en-ZA"/>
        </w:rPr>
        <w:t xml:space="preserve">the </w:t>
      </w:r>
      <w:r w:rsidR="00C955F2">
        <w:rPr>
          <w:lang w:val="en-ZA"/>
        </w:rPr>
        <w:t xml:space="preserve">main </w:t>
      </w:r>
      <w:r w:rsidR="00401644" w:rsidRPr="004301F8">
        <w:rPr>
          <w:lang w:val="en-ZA"/>
        </w:rPr>
        <w:t>question</w:t>
      </w:r>
      <w:r w:rsidR="00C955F2">
        <w:rPr>
          <w:lang w:val="en-ZA"/>
        </w:rPr>
        <w:t xml:space="preserve"> to be considered by this court</w:t>
      </w:r>
      <w:r w:rsidR="00401644" w:rsidRPr="004301F8">
        <w:rPr>
          <w:lang w:val="en-ZA"/>
        </w:rPr>
        <w:t xml:space="preserve"> is the correctness of the partial disallowance by SARS of the amount of R68</w:t>
      </w:r>
      <w:r w:rsidR="00C955F2">
        <w:rPr>
          <w:lang w:val="en-ZA"/>
        </w:rPr>
        <w:t> </w:t>
      </w:r>
      <w:r w:rsidR="00401644" w:rsidRPr="004301F8">
        <w:rPr>
          <w:lang w:val="en-ZA"/>
        </w:rPr>
        <w:t>134</w:t>
      </w:r>
      <w:r w:rsidR="00C955F2">
        <w:rPr>
          <w:lang w:val="en-ZA"/>
        </w:rPr>
        <w:t> </w:t>
      </w:r>
      <w:r w:rsidR="00401644" w:rsidRPr="004301F8">
        <w:rPr>
          <w:lang w:val="en-ZA"/>
        </w:rPr>
        <w:t xml:space="preserve">000 claimed by </w:t>
      </w:r>
      <w:r w:rsidR="00C955F2">
        <w:rPr>
          <w:lang w:val="en-ZA"/>
        </w:rPr>
        <w:t>the taxpayer</w:t>
      </w:r>
      <w:r w:rsidR="00401644" w:rsidRPr="004301F8">
        <w:rPr>
          <w:lang w:val="en-ZA"/>
        </w:rPr>
        <w:t xml:space="preserve"> as </w:t>
      </w:r>
      <w:r w:rsidR="00C955F2">
        <w:rPr>
          <w:lang w:val="en-ZA"/>
        </w:rPr>
        <w:t xml:space="preserve">a </w:t>
      </w:r>
      <w:r w:rsidR="00401644" w:rsidRPr="004301F8">
        <w:rPr>
          <w:lang w:val="en-ZA"/>
        </w:rPr>
        <w:t>deductible interest expenditure. The amount disallowed by SARS was R33</w:t>
      </w:r>
      <w:r w:rsidR="00C955F2">
        <w:rPr>
          <w:lang w:val="en-ZA"/>
        </w:rPr>
        <w:t> </w:t>
      </w:r>
      <w:r w:rsidR="00401644" w:rsidRPr="004301F8">
        <w:rPr>
          <w:lang w:val="en-ZA"/>
        </w:rPr>
        <w:t>197</w:t>
      </w:r>
      <w:r w:rsidR="00C955F2">
        <w:rPr>
          <w:lang w:val="en-ZA"/>
        </w:rPr>
        <w:t xml:space="preserve"> </w:t>
      </w:r>
      <w:r w:rsidR="00401644" w:rsidRPr="004301F8">
        <w:rPr>
          <w:lang w:val="en-ZA"/>
        </w:rPr>
        <w:t xml:space="preserve">698, being the difference between the interest income earned by </w:t>
      </w:r>
      <w:r w:rsidR="00C955F2">
        <w:rPr>
          <w:lang w:val="en-ZA"/>
        </w:rPr>
        <w:t>the taxpayer</w:t>
      </w:r>
      <w:r w:rsidR="00401644" w:rsidRPr="004301F8">
        <w:rPr>
          <w:lang w:val="en-ZA"/>
        </w:rPr>
        <w:t xml:space="preserve"> from its subsidiaries and the interest expenditure incurred by it in its 2011 year of assessment. </w:t>
      </w:r>
      <w:r w:rsidR="00C955F2">
        <w:rPr>
          <w:lang w:val="en-ZA"/>
        </w:rPr>
        <w:t>The taxpayer</w:t>
      </w:r>
      <w:r w:rsidR="00401644" w:rsidRPr="00C955F2">
        <w:rPr>
          <w:lang w:val="en-ZA"/>
        </w:rPr>
        <w:t xml:space="preserve"> contends </w:t>
      </w:r>
      <w:r w:rsidR="00401644" w:rsidRPr="00C955F2">
        <w:rPr>
          <w:lang w:val="en-ZA"/>
        </w:rPr>
        <w:lastRenderedPageBreak/>
        <w:t>that the full amount of the interest expenditure of R68</w:t>
      </w:r>
      <w:r w:rsidR="00C955F2">
        <w:rPr>
          <w:lang w:val="en-ZA"/>
        </w:rPr>
        <w:t> </w:t>
      </w:r>
      <w:r w:rsidR="00401644" w:rsidRPr="00C955F2">
        <w:rPr>
          <w:lang w:val="en-ZA"/>
        </w:rPr>
        <w:t>134</w:t>
      </w:r>
      <w:r w:rsidR="00C955F2">
        <w:rPr>
          <w:lang w:val="en-ZA"/>
        </w:rPr>
        <w:t xml:space="preserve"> </w:t>
      </w:r>
      <w:r w:rsidR="00401644" w:rsidRPr="00C955F2">
        <w:rPr>
          <w:lang w:val="en-ZA"/>
        </w:rPr>
        <w:t>000 incurred by it was deductible in terms of section 24J(2) of the Act.</w:t>
      </w:r>
    </w:p>
    <w:p w14:paraId="0BC9300F" w14:textId="541A6D52" w:rsidR="002E5EB9" w:rsidRDefault="00507C2A" w:rsidP="00507C2A">
      <w:pPr>
        <w:pStyle w:val="LegalList1"/>
        <w:spacing w:after="0" w:line="360" w:lineRule="auto"/>
        <w:rPr>
          <w:lang w:val="en-ZA"/>
        </w:rPr>
      </w:pPr>
      <w:r>
        <w:rPr>
          <w:lang w:val="en-ZA"/>
        </w:rPr>
        <w:t>[10].</w:t>
      </w:r>
      <w:r>
        <w:rPr>
          <w:lang w:val="en-ZA"/>
        </w:rPr>
        <w:tab/>
      </w:r>
      <w:r w:rsidR="002E5EB9">
        <w:rPr>
          <w:lang w:val="en-ZA"/>
        </w:rPr>
        <w:t xml:space="preserve">It may be apposite, at this juncture, </w:t>
      </w:r>
      <w:r w:rsidR="008A34E1">
        <w:rPr>
          <w:lang w:val="en-ZA"/>
        </w:rPr>
        <w:t xml:space="preserve">to </w:t>
      </w:r>
      <w:r w:rsidR="002E5EB9">
        <w:rPr>
          <w:lang w:val="en-ZA"/>
        </w:rPr>
        <w:t xml:space="preserve">cite s 24J(2) in full. It reads as follows: - </w:t>
      </w:r>
    </w:p>
    <w:p w14:paraId="7BB03DCA" w14:textId="286CE7A0" w:rsidR="002E5EB9" w:rsidRPr="005303A8" w:rsidRDefault="005303A8" w:rsidP="005303A8">
      <w:pPr>
        <w:pStyle w:val="LegalList1"/>
        <w:spacing w:after="0" w:line="360" w:lineRule="auto"/>
        <w:ind w:left="567" w:hanging="567"/>
        <w:rPr>
          <w:sz w:val="20"/>
          <w:szCs w:val="20"/>
          <w:lang w:val="en-ZA"/>
        </w:rPr>
      </w:pPr>
      <w:r w:rsidRPr="005303A8">
        <w:rPr>
          <w:sz w:val="20"/>
          <w:szCs w:val="20"/>
          <w:lang w:val="en-ZA"/>
        </w:rPr>
        <w:t>‘</w:t>
      </w:r>
      <w:r w:rsidR="002E5EB9" w:rsidRPr="005303A8">
        <w:rPr>
          <w:sz w:val="20"/>
          <w:szCs w:val="20"/>
          <w:lang w:val="en-ZA"/>
        </w:rPr>
        <w:t>(2)</w:t>
      </w:r>
      <w:r>
        <w:rPr>
          <w:sz w:val="20"/>
          <w:szCs w:val="20"/>
          <w:lang w:val="en-ZA"/>
        </w:rPr>
        <w:tab/>
      </w:r>
      <w:r w:rsidR="002E5EB9" w:rsidRPr="005303A8">
        <w:rPr>
          <w:sz w:val="20"/>
          <w:szCs w:val="20"/>
          <w:lang w:val="en-ZA"/>
        </w:rPr>
        <w:t>Where any person is the issuer in relation to an instrument during any year of assessment, such person shall for the purposes of this Act be deemed to have incurred an amount of interest during such year of assessment, which is equal to</w:t>
      </w:r>
      <w:r>
        <w:rPr>
          <w:sz w:val="20"/>
          <w:szCs w:val="20"/>
          <w:lang w:val="en-ZA"/>
        </w:rPr>
        <w:t xml:space="preserve"> – </w:t>
      </w:r>
    </w:p>
    <w:p w14:paraId="333F7794" w14:textId="3BB9706A" w:rsidR="002E5EB9" w:rsidRDefault="00507C2A" w:rsidP="00507C2A">
      <w:pPr>
        <w:pStyle w:val="LegalList1"/>
        <w:spacing w:after="0" w:line="360" w:lineRule="auto"/>
        <w:ind w:left="851" w:hanging="567"/>
        <w:rPr>
          <w:sz w:val="20"/>
          <w:szCs w:val="20"/>
          <w:lang w:val="en-ZA"/>
        </w:rPr>
      </w:pPr>
      <w:r>
        <w:rPr>
          <w:sz w:val="20"/>
          <w:szCs w:val="20"/>
          <w:lang w:val="en-ZA"/>
        </w:rPr>
        <w:t>(a)</w:t>
      </w:r>
      <w:r>
        <w:rPr>
          <w:sz w:val="20"/>
          <w:szCs w:val="20"/>
          <w:lang w:val="en-ZA"/>
        </w:rPr>
        <w:tab/>
      </w:r>
      <w:r w:rsidR="002E5EB9" w:rsidRPr="005303A8">
        <w:rPr>
          <w:sz w:val="20"/>
          <w:szCs w:val="20"/>
          <w:lang w:val="en-ZA"/>
        </w:rPr>
        <w:t>the sum of all accrual amounts in relation to all accrual periods falling, whether in whole or in part, within such year of assessment in respect of such instrument; or</w:t>
      </w:r>
    </w:p>
    <w:p w14:paraId="24DB32B9" w14:textId="0558D393" w:rsidR="002E5EB9" w:rsidRPr="005303A8" w:rsidRDefault="00507C2A" w:rsidP="00507C2A">
      <w:pPr>
        <w:pStyle w:val="LegalList1"/>
        <w:spacing w:after="0" w:line="360" w:lineRule="auto"/>
        <w:ind w:left="851" w:hanging="567"/>
        <w:rPr>
          <w:sz w:val="20"/>
          <w:szCs w:val="20"/>
          <w:lang w:val="en-ZA"/>
        </w:rPr>
      </w:pPr>
      <w:r w:rsidRPr="005303A8">
        <w:rPr>
          <w:sz w:val="20"/>
          <w:szCs w:val="20"/>
          <w:lang w:val="en-ZA"/>
        </w:rPr>
        <w:t>(b)</w:t>
      </w:r>
      <w:r w:rsidRPr="005303A8">
        <w:rPr>
          <w:sz w:val="20"/>
          <w:szCs w:val="20"/>
          <w:lang w:val="en-ZA"/>
        </w:rPr>
        <w:tab/>
      </w:r>
      <w:r w:rsidR="002E5EB9" w:rsidRPr="005303A8">
        <w:rPr>
          <w:sz w:val="20"/>
          <w:szCs w:val="20"/>
          <w:lang w:val="en-ZA"/>
        </w:rPr>
        <w:t>an amount determined in accordance with an alternative method in relation to such year of assessment in respect of such instrument,</w:t>
      </w:r>
    </w:p>
    <w:p w14:paraId="44E3AF18" w14:textId="5B666669" w:rsidR="00401644" w:rsidRPr="005303A8" w:rsidRDefault="002E5EB9" w:rsidP="005303A8">
      <w:pPr>
        <w:pStyle w:val="LegalList1"/>
        <w:spacing w:after="120" w:line="360" w:lineRule="auto"/>
        <w:ind w:left="567"/>
        <w:rPr>
          <w:sz w:val="20"/>
          <w:szCs w:val="20"/>
          <w:lang w:val="en-ZA"/>
        </w:rPr>
      </w:pPr>
      <w:r w:rsidRPr="005303A8">
        <w:rPr>
          <w:sz w:val="20"/>
          <w:szCs w:val="20"/>
          <w:lang w:val="en-ZA"/>
        </w:rPr>
        <w:t xml:space="preserve">which must be deducted from the income of that person derived from carrying on any trade, if that amount is incurred in the production of the </w:t>
      </w:r>
      <w:r w:rsidR="005303A8" w:rsidRPr="005303A8">
        <w:rPr>
          <w:sz w:val="20"/>
          <w:szCs w:val="20"/>
          <w:lang w:val="en-ZA"/>
        </w:rPr>
        <w:t>income.</w:t>
      </w:r>
      <w:r w:rsidR="005303A8">
        <w:rPr>
          <w:sz w:val="20"/>
          <w:szCs w:val="20"/>
          <w:lang w:val="en-ZA"/>
        </w:rPr>
        <w:t>’</w:t>
      </w:r>
      <w:r w:rsidRPr="005303A8">
        <w:rPr>
          <w:sz w:val="20"/>
          <w:szCs w:val="20"/>
          <w:lang w:val="en-ZA"/>
        </w:rPr>
        <w:t xml:space="preserve">  </w:t>
      </w:r>
      <w:r w:rsidR="00401644" w:rsidRPr="005303A8">
        <w:rPr>
          <w:sz w:val="20"/>
          <w:szCs w:val="20"/>
          <w:lang w:val="en-ZA"/>
        </w:rPr>
        <w:t xml:space="preserve"> </w:t>
      </w:r>
    </w:p>
    <w:p w14:paraId="18CBF435" w14:textId="6B21A8E2" w:rsidR="00401644" w:rsidRPr="008D734F" w:rsidRDefault="00507C2A" w:rsidP="00507C2A">
      <w:pPr>
        <w:pStyle w:val="LegalList1"/>
        <w:spacing w:after="0" w:line="360" w:lineRule="auto"/>
        <w:rPr>
          <w:lang w:val="en-ZA"/>
        </w:rPr>
      </w:pPr>
      <w:r w:rsidRPr="008D734F">
        <w:rPr>
          <w:lang w:val="en-ZA"/>
        </w:rPr>
        <w:t>[11].</w:t>
      </w:r>
      <w:r w:rsidRPr="008D734F">
        <w:rPr>
          <w:lang w:val="en-ZA"/>
        </w:rPr>
        <w:tab/>
      </w:r>
      <w:r w:rsidR="00B73F07">
        <w:rPr>
          <w:lang w:val="en-ZA"/>
        </w:rPr>
        <w:t>T</w:t>
      </w:r>
      <w:r w:rsidR="00401644" w:rsidRPr="004301F8">
        <w:rPr>
          <w:lang w:val="en-ZA"/>
        </w:rPr>
        <w:t xml:space="preserve">he term </w:t>
      </w:r>
      <w:r w:rsidR="00B73F07">
        <w:rPr>
          <w:lang w:val="en-ZA"/>
        </w:rPr>
        <w:t>‘</w:t>
      </w:r>
      <w:r w:rsidR="00401644" w:rsidRPr="004301F8">
        <w:rPr>
          <w:lang w:val="en-ZA"/>
        </w:rPr>
        <w:t>trade</w:t>
      </w:r>
      <w:r w:rsidR="00B73F07">
        <w:rPr>
          <w:lang w:val="en-ZA"/>
        </w:rPr>
        <w:t>’, which is central to the dispute between the parties,</w:t>
      </w:r>
      <w:r w:rsidR="00401644" w:rsidRPr="004301F8">
        <w:rPr>
          <w:lang w:val="en-ZA"/>
        </w:rPr>
        <w:t xml:space="preserve"> is defined in section 1 of the </w:t>
      </w:r>
      <w:r w:rsidR="00B73F07">
        <w:rPr>
          <w:lang w:val="en-ZA"/>
        </w:rPr>
        <w:t>Income Tax Act</w:t>
      </w:r>
      <w:r w:rsidR="00401644" w:rsidRPr="008D734F">
        <w:rPr>
          <w:lang w:val="en-ZA"/>
        </w:rPr>
        <w:t xml:space="preserve"> as follows:</w:t>
      </w:r>
      <w:r w:rsidR="008A34E1">
        <w:rPr>
          <w:lang w:val="en-ZA"/>
        </w:rPr>
        <w:t xml:space="preserve"> - </w:t>
      </w:r>
      <w:r w:rsidR="00401644" w:rsidRPr="008D734F">
        <w:rPr>
          <w:lang w:val="en-ZA"/>
        </w:rPr>
        <w:t xml:space="preserve"> </w:t>
      </w:r>
    </w:p>
    <w:p w14:paraId="6364413C" w14:textId="5385F045" w:rsidR="00401644" w:rsidRPr="00B73F07" w:rsidRDefault="00B73F07" w:rsidP="00B73F07">
      <w:pPr>
        <w:pStyle w:val="LegalList1"/>
        <w:spacing w:after="120" w:line="360" w:lineRule="auto"/>
        <w:rPr>
          <w:sz w:val="20"/>
          <w:szCs w:val="20"/>
          <w:lang w:val="en-ZA"/>
        </w:rPr>
      </w:pPr>
      <w:r w:rsidRPr="00B73F07">
        <w:rPr>
          <w:sz w:val="20"/>
          <w:szCs w:val="20"/>
          <w:lang w:val="en-ZA"/>
        </w:rPr>
        <w:t>‘</w:t>
      </w:r>
      <w:r>
        <w:rPr>
          <w:sz w:val="20"/>
          <w:szCs w:val="20"/>
          <w:lang w:val="en-ZA"/>
        </w:rPr>
        <w:t xml:space="preserve"> </w:t>
      </w:r>
      <w:r w:rsidRPr="00B73F07">
        <w:rPr>
          <w:sz w:val="20"/>
          <w:szCs w:val="20"/>
          <w:lang w:val="en-ZA"/>
        </w:rPr>
        <w:t>“</w:t>
      </w:r>
      <w:r w:rsidR="00401644" w:rsidRPr="00B73F07">
        <w:rPr>
          <w:sz w:val="20"/>
          <w:szCs w:val="20"/>
          <w:lang w:val="en-ZA"/>
        </w:rPr>
        <w:t>trade</w:t>
      </w:r>
      <w:r w:rsidRPr="00B73F07">
        <w:rPr>
          <w:sz w:val="20"/>
          <w:szCs w:val="20"/>
          <w:lang w:val="en-ZA"/>
        </w:rPr>
        <w:t>”</w:t>
      </w:r>
      <w:r w:rsidR="00401644" w:rsidRPr="00B73F07">
        <w:rPr>
          <w:sz w:val="20"/>
          <w:szCs w:val="20"/>
          <w:lang w:val="en-ZA"/>
        </w:rPr>
        <w:t xml:space="preserve"> includes every profession, trade, business, employment, calling, occupation or venture, including the letting of any property and the use or grant of permission to use any patent as defined in the Patents Act or any design as defined in the Designs Act or any trade mark as defined in the Trade Marks Act or any copyright as defined in the Copyright Act or any other property which is of a similar nature.</w:t>
      </w:r>
      <w:r>
        <w:rPr>
          <w:sz w:val="20"/>
          <w:szCs w:val="20"/>
          <w:lang w:val="en-ZA"/>
        </w:rPr>
        <w:t>’</w:t>
      </w:r>
    </w:p>
    <w:p w14:paraId="18278C8A" w14:textId="76EFDDEC" w:rsidR="00401644" w:rsidRPr="004301F8" w:rsidRDefault="00507C2A" w:rsidP="00507C2A">
      <w:pPr>
        <w:pStyle w:val="LegalList1"/>
        <w:spacing w:after="120" w:line="360" w:lineRule="auto"/>
        <w:rPr>
          <w:lang w:val="en-ZA"/>
        </w:rPr>
      </w:pPr>
      <w:r w:rsidRPr="004301F8">
        <w:rPr>
          <w:lang w:val="en-ZA"/>
        </w:rPr>
        <w:t>[12].</w:t>
      </w:r>
      <w:r w:rsidRPr="004301F8">
        <w:rPr>
          <w:lang w:val="en-ZA"/>
        </w:rPr>
        <w:tab/>
      </w:r>
      <w:r w:rsidR="00401644" w:rsidRPr="004301F8">
        <w:rPr>
          <w:lang w:val="en-ZA"/>
        </w:rPr>
        <w:t xml:space="preserve">It is also important to note that the </w:t>
      </w:r>
      <w:r w:rsidR="00B73F07">
        <w:rPr>
          <w:lang w:val="en-ZA"/>
        </w:rPr>
        <w:t>‘</w:t>
      </w:r>
      <w:r w:rsidR="00401644" w:rsidRPr="004301F8">
        <w:rPr>
          <w:lang w:val="en-ZA"/>
        </w:rPr>
        <w:t>trade</w:t>
      </w:r>
      <w:r w:rsidR="00B73F07">
        <w:rPr>
          <w:lang w:val="en-ZA"/>
        </w:rPr>
        <w:t>’</w:t>
      </w:r>
      <w:r w:rsidR="00401644" w:rsidRPr="004301F8">
        <w:rPr>
          <w:lang w:val="en-ZA"/>
        </w:rPr>
        <w:t xml:space="preserve"> requirement of s 24J(2), in terms of which expenditure in the form of interest must be deducted, provides that expenditure in the form of interest must be deducted from the income of a person derived from carrying on any trade, if that amount of interest is incurred in the production of the income. </w:t>
      </w:r>
    </w:p>
    <w:p w14:paraId="32182255" w14:textId="2F3DF514" w:rsidR="00B73F07" w:rsidRDefault="00507C2A" w:rsidP="00507C2A">
      <w:pPr>
        <w:pStyle w:val="LegalList1"/>
        <w:spacing w:after="120" w:line="360" w:lineRule="auto"/>
        <w:rPr>
          <w:lang w:val="en-ZA"/>
        </w:rPr>
      </w:pPr>
      <w:r>
        <w:rPr>
          <w:lang w:val="en-ZA"/>
        </w:rPr>
        <w:t>[13].</w:t>
      </w:r>
      <w:r>
        <w:rPr>
          <w:lang w:val="en-ZA"/>
        </w:rPr>
        <w:tab/>
      </w:r>
      <w:r w:rsidR="00C54A70">
        <w:rPr>
          <w:lang w:val="en-ZA"/>
        </w:rPr>
        <w:t>The aforegoing issues are to be decided against the factual backd</w:t>
      </w:r>
      <w:r w:rsidR="0037324F">
        <w:rPr>
          <w:lang w:val="en-ZA"/>
        </w:rPr>
        <w:t>rop of the matter and the facts</w:t>
      </w:r>
      <w:r w:rsidR="00C54A70">
        <w:rPr>
          <w:lang w:val="en-ZA"/>
        </w:rPr>
        <w:t xml:space="preserve">, the most notable of which </w:t>
      </w:r>
      <w:r w:rsidR="00B73F07">
        <w:rPr>
          <w:lang w:val="en-ZA"/>
        </w:rPr>
        <w:t xml:space="preserve">relate to the type of trade that the taxpayer was involved in and whether the interest expenditure incurred during the 2011 </w:t>
      </w:r>
      <w:r w:rsidR="007F29D4">
        <w:rPr>
          <w:lang w:val="en-ZA"/>
        </w:rPr>
        <w:t xml:space="preserve">tax year of assessment was incurred in the production of income whilst trading. </w:t>
      </w:r>
    </w:p>
    <w:p w14:paraId="1B22E858" w14:textId="69564FBD" w:rsidR="00476463" w:rsidRPr="00476463" w:rsidRDefault="00507C2A" w:rsidP="00507C2A">
      <w:pPr>
        <w:pStyle w:val="LegalList1"/>
        <w:spacing w:after="120" w:line="360" w:lineRule="auto"/>
        <w:rPr>
          <w:lang w:val="en-ZA"/>
        </w:rPr>
      </w:pPr>
      <w:r w:rsidRPr="00476463">
        <w:rPr>
          <w:lang w:val="en-ZA"/>
        </w:rPr>
        <w:t>[14].</w:t>
      </w:r>
      <w:r w:rsidRPr="00476463">
        <w:rPr>
          <w:lang w:val="en-ZA"/>
        </w:rPr>
        <w:tab/>
      </w:r>
      <w:r w:rsidR="007F29D4">
        <w:rPr>
          <w:lang w:val="en-ZA"/>
        </w:rPr>
        <w:t xml:space="preserve">In </w:t>
      </w:r>
      <w:r w:rsidR="008A34E1">
        <w:rPr>
          <w:lang w:val="en-ZA"/>
        </w:rPr>
        <w:t>this</w:t>
      </w:r>
      <w:r w:rsidR="007F29D4">
        <w:rPr>
          <w:lang w:val="en-ZA"/>
        </w:rPr>
        <w:t xml:space="preserve"> appeal, as in the Tax Court, it was argued by Mr Emslie SC, who appeared on behalf of the taxpayer, that,</w:t>
      </w:r>
      <w:r w:rsidR="004301F8" w:rsidRPr="004301F8">
        <w:rPr>
          <w:lang w:val="en-ZA"/>
        </w:rPr>
        <w:t xml:space="preserve"> if interest is incurred in the production of income (which is not limited to interest income), it can be deducted from the </w:t>
      </w:r>
      <w:r w:rsidR="004301F8" w:rsidRPr="004301F8">
        <w:rPr>
          <w:lang w:val="en-ZA"/>
        </w:rPr>
        <w:lastRenderedPageBreak/>
        <w:t>income derived from carrying on any trade, which is not limited to the trade of</w:t>
      </w:r>
      <w:r w:rsidR="008D734F">
        <w:rPr>
          <w:lang w:val="en-ZA"/>
        </w:rPr>
        <w:t xml:space="preserve"> </w:t>
      </w:r>
      <w:r w:rsidR="007F29D4">
        <w:rPr>
          <w:lang w:val="en-ZA"/>
        </w:rPr>
        <w:t>‘</w:t>
      </w:r>
      <w:r w:rsidR="004301F8" w:rsidRPr="008D734F">
        <w:rPr>
          <w:lang w:val="en-ZA"/>
        </w:rPr>
        <w:t>moneylending</w:t>
      </w:r>
      <w:r w:rsidR="007F29D4">
        <w:rPr>
          <w:lang w:val="en-ZA"/>
        </w:rPr>
        <w:t xml:space="preserve">’. </w:t>
      </w:r>
      <w:r w:rsidR="008A34E1">
        <w:rPr>
          <w:lang w:val="en-ZA"/>
        </w:rPr>
        <w:t xml:space="preserve">This, in my view, appears to be a trite enough principle, if regard is had to the provision of s 24J(2). </w:t>
      </w:r>
      <w:r w:rsidR="007F29D4">
        <w:rPr>
          <w:lang w:val="en-ZA"/>
        </w:rPr>
        <w:t xml:space="preserve">The main thrust of the taxpayer’s argument was that the interest was in fact incurred by it not in its trade as a ‘moneylender’, but more in its capacity as an investment holding company. </w:t>
      </w:r>
      <w:r w:rsidR="00476463">
        <w:rPr>
          <w:lang w:val="en-ZA"/>
        </w:rPr>
        <w:t>In support of its case in that regard, much emphasis was placed by the taxpayer on SARS’s averment in its Rule 31 statement (para 33) that ‘</w:t>
      </w:r>
      <w:r w:rsidR="00476463" w:rsidRPr="00476463">
        <w:rPr>
          <w:lang w:val="en-ZA"/>
        </w:rPr>
        <w:t>the appellant conducts trade as an investment and holding company</w:t>
      </w:r>
      <w:r w:rsidR="00476463">
        <w:rPr>
          <w:lang w:val="en-ZA"/>
        </w:rPr>
        <w:t>’.</w:t>
      </w:r>
    </w:p>
    <w:p w14:paraId="4802104E" w14:textId="6D1C14C9" w:rsidR="007F29D4" w:rsidRDefault="00507C2A" w:rsidP="00507C2A">
      <w:pPr>
        <w:pStyle w:val="LegalList1"/>
        <w:spacing w:after="120" w:line="360" w:lineRule="auto"/>
        <w:rPr>
          <w:lang w:val="en-ZA"/>
        </w:rPr>
      </w:pPr>
      <w:r>
        <w:rPr>
          <w:lang w:val="en-ZA"/>
        </w:rPr>
        <w:t>[15].</w:t>
      </w:r>
      <w:r>
        <w:rPr>
          <w:lang w:val="en-ZA"/>
        </w:rPr>
        <w:tab/>
      </w:r>
      <w:r w:rsidR="007F29D4">
        <w:rPr>
          <w:lang w:val="en-ZA"/>
        </w:rPr>
        <w:t>The main difficulty with these contentions</w:t>
      </w:r>
      <w:r w:rsidR="002A0081">
        <w:rPr>
          <w:lang w:val="en-ZA"/>
        </w:rPr>
        <w:t>, according to SARS,</w:t>
      </w:r>
      <w:r w:rsidR="007F29D4">
        <w:rPr>
          <w:lang w:val="en-ZA"/>
        </w:rPr>
        <w:t xml:space="preserve"> was that it was at variance with the case pleaded by the taxpayer</w:t>
      </w:r>
      <w:r w:rsidR="00476463">
        <w:rPr>
          <w:lang w:val="en-ZA"/>
        </w:rPr>
        <w:t xml:space="preserve"> itself</w:t>
      </w:r>
      <w:r w:rsidR="005B333F">
        <w:rPr>
          <w:lang w:val="en-ZA"/>
        </w:rPr>
        <w:t>,</w:t>
      </w:r>
      <w:r w:rsidR="007F29D4">
        <w:rPr>
          <w:lang w:val="en-ZA"/>
        </w:rPr>
        <w:t xml:space="preserve"> not just in its rule 32 statement of appeal, but also in its grounds of objection to the additional </w:t>
      </w:r>
      <w:r w:rsidR="00476463">
        <w:rPr>
          <w:lang w:val="en-ZA"/>
        </w:rPr>
        <w:t>assessment.</w:t>
      </w:r>
    </w:p>
    <w:p w14:paraId="3D9DE30A" w14:textId="094D149A" w:rsidR="004301F8" w:rsidRPr="00476463" w:rsidRDefault="00507C2A" w:rsidP="00507C2A">
      <w:pPr>
        <w:pStyle w:val="LegalList1"/>
        <w:spacing w:after="120" w:line="360" w:lineRule="auto"/>
        <w:rPr>
          <w:lang w:val="en-ZA"/>
        </w:rPr>
      </w:pPr>
      <w:r w:rsidRPr="00476463">
        <w:rPr>
          <w:lang w:val="en-ZA"/>
        </w:rPr>
        <w:t>[16].</w:t>
      </w:r>
      <w:r w:rsidRPr="00476463">
        <w:rPr>
          <w:lang w:val="en-ZA"/>
        </w:rPr>
        <w:tab/>
      </w:r>
      <w:r w:rsidR="00476463">
        <w:rPr>
          <w:lang w:val="en-ZA"/>
        </w:rPr>
        <w:t>T</w:t>
      </w:r>
      <w:r w:rsidR="004301F8" w:rsidRPr="004301F8">
        <w:rPr>
          <w:lang w:val="en-ZA"/>
        </w:rPr>
        <w:t xml:space="preserve">he term </w:t>
      </w:r>
      <w:r w:rsidR="00476463">
        <w:rPr>
          <w:lang w:val="en-ZA"/>
        </w:rPr>
        <w:t>‘</w:t>
      </w:r>
      <w:r w:rsidR="004301F8" w:rsidRPr="004301F8">
        <w:rPr>
          <w:lang w:val="en-ZA"/>
        </w:rPr>
        <w:t>income</w:t>
      </w:r>
      <w:r w:rsidR="00476463">
        <w:rPr>
          <w:lang w:val="en-ZA"/>
        </w:rPr>
        <w:t>’</w:t>
      </w:r>
      <w:r w:rsidR="004301F8" w:rsidRPr="004301F8">
        <w:rPr>
          <w:lang w:val="en-ZA"/>
        </w:rPr>
        <w:t xml:space="preserve"> is defined in s 1 of the </w:t>
      </w:r>
      <w:r w:rsidR="00476463">
        <w:rPr>
          <w:lang w:val="en-ZA"/>
        </w:rPr>
        <w:t xml:space="preserve">Income Tax </w:t>
      </w:r>
      <w:r w:rsidR="004301F8" w:rsidRPr="004301F8">
        <w:rPr>
          <w:lang w:val="en-ZA"/>
        </w:rPr>
        <w:t>Act as</w:t>
      </w:r>
      <w:r w:rsidR="00476463">
        <w:rPr>
          <w:lang w:val="en-ZA"/>
        </w:rPr>
        <w:t xml:space="preserve"> ‘</w:t>
      </w:r>
      <w:r w:rsidR="004301F8" w:rsidRPr="00476463">
        <w:rPr>
          <w:lang w:val="en-ZA"/>
        </w:rPr>
        <w:t>the amount remaining of the gross income of any person for any year or period of assessment after deducting therefrom any amounts exempt from normal tax</w:t>
      </w:r>
      <w:r w:rsidR="00476463">
        <w:rPr>
          <w:lang w:val="en-ZA"/>
        </w:rPr>
        <w:t xml:space="preserve">’. </w:t>
      </w:r>
      <w:r w:rsidR="004301F8" w:rsidRPr="00476463">
        <w:rPr>
          <w:lang w:val="en-ZA"/>
        </w:rPr>
        <w:t xml:space="preserve">Thus </w:t>
      </w:r>
      <w:r w:rsidR="00476463">
        <w:rPr>
          <w:lang w:val="en-ZA"/>
        </w:rPr>
        <w:t>‘</w:t>
      </w:r>
      <w:r w:rsidR="004301F8" w:rsidRPr="00476463">
        <w:rPr>
          <w:lang w:val="en-ZA"/>
        </w:rPr>
        <w:t>income</w:t>
      </w:r>
      <w:r w:rsidR="00476463">
        <w:rPr>
          <w:lang w:val="en-ZA"/>
        </w:rPr>
        <w:t>’</w:t>
      </w:r>
      <w:r w:rsidR="004301F8" w:rsidRPr="00476463">
        <w:rPr>
          <w:lang w:val="en-ZA"/>
        </w:rPr>
        <w:t xml:space="preserve"> does not mean profit. It means gross income less exempt income, </w:t>
      </w:r>
      <w:r w:rsidR="00476463">
        <w:rPr>
          <w:lang w:val="en-ZA"/>
        </w:rPr>
        <w:t>that is</w:t>
      </w:r>
      <w:r w:rsidR="004301F8" w:rsidRPr="00476463">
        <w:rPr>
          <w:lang w:val="en-ZA"/>
        </w:rPr>
        <w:t xml:space="preserve"> before any deductible expenses have been taken into account. </w:t>
      </w:r>
    </w:p>
    <w:p w14:paraId="29C7C0D8" w14:textId="2509F01B" w:rsidR="004301F8" w:rsidRPr="00DE78A7" w:rsidRDefault="00507C2A" w:rsidP="00507C2A">
      <w:pPr>
        <w:pStyle w:val="LegalList1"/>
        <w:spacing w:after="120" w:line="360" w:lineRule="auto"/>
        <w:rPr>
          <w:lang w:val="en-ZA"/>
        </w:rPr>
      </w:pPr>
      <w:r w:rsidRPr="00DE78A7">
        <w:rPr>
          <w:lang w:val="en-ZA"/>
        </w:rPr>
        <w:t>[17].</w:t>
      </w:r>
      <w:r w:rsidRPr="00DE78A7">
        <w:rPr>
          <w:lang w:val="en-ZA"/>
        </w:rPr>
        <w:tab/>
      </w:r>
      <w:r w:rsidR="002A4350">
        <w:rPr>
          <w:lang w:val="en-ZA"/>
        </w:rPr>
        <w:t xml:space="preserve">The taxpayer also </w:t>
      </w:r>
      <w:r w:rsidR="00DE78A7">
        <w:rPr>
          <w:lang w:val="en-ZA"/>
        </w:rPr>
        <w:t>sets</w:t>
      </w:r>
      <w:r w:rsidR="002A4350">
        <w:rPr>
          <w:lang w:val="en-ZA"/>
        </w:rPr>
        <w:t xml:space="preserve"> </w:t>
      </w:r>
      <w:r w:rsidR="00DE78A7">
        <w:rPr>
          <w:lang w:val="en-ZA"/>
        </w:rPr>
        <w:t>much</w:t>
      </w:r>
      <w:r w:rsidR="002A4350">
        <w:rPr>
          <w:lang w:val="en-ZA"/>
        </w:rPr>
        <w:t xml:space="preserve"> store </w:t>
      </w:r>
      <w:r w:rsidR="00DE78A7">
        <w:rPr>
          <w:lang w:val="en-ZA"/>
        </w:rPr>
        <w:t xml:space="preserve">by </w:t>
      </w:r>
      <w:r w:rsidR="004301F8" w:rsidRPr="004301F8">
        <w:rPr>
          <w:lang w:val="en-ZA"/>
        </w:rPr>
        <w:t>the findings of the Supreme Court of Appeal (</w:t>
      </w:r>
      <w:r w:rsidR="00DE78A7">
        <w:rPr>
          <w:lang w:val="en-ZA"/>
        </w:rPr>
        <w:t>‘</w:t>
      </w:r>
      <w:r w:rsidR="004301F8" w:rsidRPr="004301F8">
        <w:rPr>
          <w:lang w:val="en-ZA"/>
        </w:rPr>
        <w:t>the SCA</w:t>
      </w:r>
      <w:r w:rsidR="00DE78A7">
        <w:rPr>
          <w:lang w:val="en-ZA"/>
        </w:rPr>
        <w:t>’</w:t>
      </w:r>
      <w:r w:rsidR="004301F8" w:rsidRPr="004301F8">
        <w:rPr>
          <w:lang w:val="en-ZA"/>
        </w:rPr>
        <w:t xml:space="preserve">) in </w:t>
      </w:r>
      <w:r w:rsidR="004301F8" w:rsidRPr="00BE74B7">
        <w:rPr>
          <w:i/>
          <w:iCs/>
          <w:lang w:val="en-ZA"/>
        </w:rPr>
        <w:t>Commissioner, South African Revenue Service v Tiger Oats Ltd</w:t>
      </w:r>
      <w:r w:rsidR="00DE78A7">
        <w:rPr>
          <w:rStyle w:val="FootnoteReference"/>
          <w:i/>
          <w:iCs/>
          <w:lang w:val="en-ZA"/>
        </w:rPr>
        <w:footnoteReference w:id="2"/>
      </w:r>
      <w:r w:rsidR="00DE78A7">
        <w:rPr>
          <w:lang w:val="en-ZA"/>
        </w:rPr>
        <w:t>, as t</w:t>
      </w:r>
      <w:r w:rsidR="004301F8" w:rsidRPr="004301F8">
        <w:rPr>
          <w:lang w:val="en-ZA"/>
        </w:rPr>
        <w:t>he</w:t>
      </w:r>
      <w:r w:rsidR="00DE78A7">
        <w:rPr>
          <w:lang w:val="en-ZA"/>
        </w:rPr>
        <w:t xml:space="preserve"> </w:t>
      </w:r>
      <w:r w:rsidR="00DE78A7" w:rsidRPr="00DE78A7">
        <w:rPr>
          <w:lang w:val="en-ZA"/>
        </w:rPr>
        <w:t>facts of that matter</w:t>
      </w:r>
      <w:r w:rsidR="00DE78A7">
        <w:rPr>
          <w:lang w:val="en-ZA"/>
        </w:rPr>
        <w:t>, according to the taxpayer,</w:t>
      </w:r>
      <w:r w:rsidR="00DE78A7" w:rsidRPr="00DE78A7">
        <w:rPr>
          <w:lang w:val="en-ZA"/>
        </w:rPr>
        <w:t xml:space="preserve"> bear a striking resemblance to the facts </w:t>
      </w:r>
      <w:r w:rsidR="00DE78A7">
        <w:rPr>
          <w:lang w:val="en-ZA"/>
        </w:rPr>
        <w:t>in</w:t>
      </w:r>
      <w:r w:rsidR="00DE78A7" w:rsidRPr="00DE78A7">
        <w:rPr>
          <w:lang w:val="en-ZA"/>
        </w:rPr>
        <w:t xml:space="preserve"> this appeal.</w:t>
      </w:r>
      <w:r w:rsidR="00DE78A7">
        <w:rPr>
          <w:lang w:val="en-ZA"/>
        </w:rPr>
        <w:t xml:space="preserve"> In that matter, the SCA </w:t>
      </w:r>
      <w:r w:rsidR="004301F8" w:rsidRPr="00DE78A7">
        <w:rPr>
          <w:lang w:val="en-ZA"/>
        </w:rPr>
        <w:t>pronounced authoritatively on the question whether a holding company advancing low</w:t>
      </w:r>
      <w:r w:rsidR="00BE74B7" w:rsidRPr="00DE78A7">
        <w:rPr>
          <w:lang w:val="en-ZA"/>
        </w:rPr>
        <w:t xml:space="preserve"> </w:t>
      </w:r>
      <w:r w:rsidR="004301F8" w:rsidRPr="00DE78A7">
        <w:rPr>
          <w:lang w:val="en-ZA"/>
        </w:rPr>
        <w:t>interest and interest</w:t>
      </w:r>
      <w:r w:rsidR="00CF065B" w:rsidRPr="00DE78A7">
        <w:rPr>
          <w:lang w:val="en-ZA"/>
        </w:rPr>
        <w:noBreakHyphen/>
      </w:r>
      <w:r w:rsidR="004301F8" w:rsidRPr="00DE78A7">
        <w:rPr>
          <w:lang w:val="en-ZA"/>
        </w:rPr>
        <w:t xml:space="preserve">free loans to its subsidiaries, in whose businesses it was intimately involved, was carrying on a business, which constitutes a </w:t>
      </w:r>
      <w:r w:rsidR="00DE78A7">
        <w:rPr>
          <w:lang w:val="en-ZA"/>
        </w:rPr>
        <w:t>‘</w:t>
      </w:r>
      <w:r w:rsidR="004301F8" w:rsidRPr="00DE78A7">
        <w:rPr>
          <w:lang w:val="en-ZA"/>
        </w:rPr>
        <w:t>trade</w:t>
      </w:r>
      <w:r w:rsidR="00DE78A7">
        <w:rPr>
          <w:lang w:val="en-ZA"/>
        </w:rPr>
        <w:t>’</w:t>
      </w:r>
      <w:r w:rsidR="004301F8" w:rsidRPr="00DE78A7">
        <w:rPr>
          <w:lang w:val="en-ZA"/>
        </w:rPr>
        <w:t xml:space="preserve"> as defined for income tax purposes. These are precisely the activities carried on by</w:t>
      </w:r>
      <w:r w:rsidR="00DE78A7">
        <w:rPr>
          <w:lang w:val="en-ZA"/>
        </w:rPr>
        <w:t xml:space="preserve"> it, so</w:t>
      </w:r>
      <w:r w:rsidR="004301F8" w:rsidRPr="00DE78A7">
        <w:rPr>
          <w:lang w:val="en-ZA"/>
        </w:rPr>
        <w:t xml:space="preserve"> </w:t>
      </w:r>
      <w:r w:rsidR="00DE78A7">
        <w:rPr>
          <w:lang w:val="en-ZA"/>
        </w:rPr>
        <w:t>the taxpayer contends</w:t>
      </w:r>
      <w:r w:rsidR="004301F8" w:rsidRPr="00DE78A7">
        <w:rPr>
          <w:lang w:val="en-ZA"/>
        </w:rPr>
        <w:t xml:space="preserve">, which was also intimately involved in the businesses of its subsidiaries, to which it advanced low-interest and interest-free loans. </w:t>
      </w:r>
    </w:p>
    <w:p w14:paraId="37016528" w14:textId="35C36BC3" w:rsidR="004301F8" w:rsidRPr="004301F8" w:rsidRDefault="00507C2A" w:rsidP="00507C2A">
      <w:pPr>
        <w:pStyle w:val="LegalList1"/>
        <w:spacing w:after="0" w:line="360" w:lineRule="auto"/>
        <w:rPr>
          <w:lang w:val="en-ZA"/>
        </w:rPr>
      </w:pPr>
      <w:r w:rsidRPr="004301F8">
        <w:rPr>
          <w:lang w:val="en-ZA"/>
        </w:rPr>
        <w:t>[18].</w:t>
      </w:r>
      <w:r w:rsidRPr="004301F8">
        <w:rPr>
          <w:lang w:val="en-ZA"/>
        </w:rPr>
        <w:tab/>
      </w:r>
      <w:r w:rsidR="00DE78A7">
        <w:rPr>
          <w:lang w:val="en-ZA"/>
        </w:rPr>
        <w:t xml:space="preserve">At para 27, the SCA </w:t>
      </w:r>
      <w:r w:rsidR="002A0081">
        <w:rPr>
          <w:lang w:val="en-ZA"/>
        </w:rPr>
        <w:t xml:space="preserve">in </w:t>
      </w:r>
      <w:r w:rsidR="002A0081" w:rsidRPr="002A0081">
        <w:rPr>
          <w:i/>
          <w:iCs/>
          <w:lang w:val="en-ZA"/>
        </w:rPr>
        <w:t>Tiger Oats</w:t>
      </w:r>
      <w:r w:rsidR="002A0081">
        <w:rPr>
          <w:lang w:val="en-ZA"/>
        </w:rPr>
        <w:t xml:space="preserve"> </w:t>
      </w:r>
      <w:r w:rsidR="00DE78A7">
        <w:rPr>
          <w:lang w:val="en-ZA"/>
        </w:rPr>
        <w:t>makes the following observation: -</w:t>
      </w:r>
    </w:p>
    <w:p w14:paraId="4F791583" w14:textId="16EEC6AE" w:rsidR="004301F8" w:rsidRPr="001C019B" w:rsidRDefault="00DE78A7" w:rsidP="00DE78A7">
      <w:pPr>
        <w:pStyle w:val="LegalList1"/>
        <w:spacing w:after="120" w:line="360" w:lineRule="auto"/>
        <w:rPr>
          <w:sz w:val="20"/>
          <w:szCs w:val="20"/>
          <w:lang w:val="en-ZA"/>
        </w:rPr>
      </w:pPr>
      <w:r w:rsidRPr="001C019B">
        <w:rPr>
          <w:sz w:val="20"/>
          <w:szCs w:val="20"/>
          <w:lang w:val="en-ZA"/>
        </w:rPr>
        <w:t>‘</w:t>
      </w:r>
      <w:r w:rsidR="004301F8" w:rsidRPr="001C019B">
        <w:rPr>
          <w:sz w:val="20"/>
          <w:szCs w:val="20"/>
          <w:lang w:val="en-ZA"/>
        </w:rPr>
        <w:t>[27]</w:t>
      </w:r>
      <w:r w:rsidRPr="001C019B">
        <w:rPr>
          <w:sz w:val="20"/>
          <w:szCs w:val="20"/>
          <w:lang w:val="en-ZA"/>
        </w:rPr>
        <w:tab/>
      </w:r>
      <w:r w:rsidR="004301F8" w:rsidRPr="001C019B">
        <w:rPr>
          <w:sz w:val="20"/>
          <w:szCs w:val="20"/>
          <w:lang w:val="en-ZA"/>
        </w:rPr>
        <w:t xml:space="preserve">The loans made by the respondent are loans made to subsidiary and associated companies. No loans are made to anybody else. These loans are managed by Tiger Management </w:t>
      </w:r>
      <w:r w:rsidR="004301F8" w:rsidRPr="001C019B">
        <w:rPr>
          <w:sz w:val="20"/>
          <w:szCs w:val="20"/>
          <w:lang w:val="en-ZA"/>
        </w:rPr>
        <w:lastRenderedPageBreak/>
        <w:t xml:space="preserve">Services. In making loans to subsidiaries and associates the respondent applies the following policies: All loans are funded by share capital and reserves and loans from subsidiary companies with surplus cash. … Loans to subsidiaries are shareholders’ loans which typically do not bear interest. Loans to associated companies are only made in proportion to shareholding and to loans made by outside shareholders. Where interest is charged, the rate of interest is invariably lower than the rate at which the subsidiary is able to borrow from outside sources. … </w:t>
      </w:r>
      <w:r w:rsidR="001C019B">
        <w:rPr>
          <w:sz w:val="20"/>
          <w:szCs w:val="20"/>
          <w:lang w:val="en-ZA"/>
        </w:rPr>
        <w:t>’.</w:t>
      </w:r>
    </w:p>
    <w:p w14:paraId="25705F76" w14:textId="07893503" w:rsidR="001C019B" w:rsidRDefault="00507C2A" w:rsidP="00507C2A">
      <w:pPr>
        <w:pStyle w:val="LegalList1"/>
        <w:spacing w:after="0" w:line="360" w:lineRule="auto"/>
        <w:rPr>
          <w:lang w:val="en-ZA"/>
        </w:rPr>
      </w:pPr>
      <w:r>
        <w:rPr>
          <w:lang w:val="en-ZA"/>
        </w:rPr>
        <w:t>[19].</w:t>
      </w:r>
      <w:r>
        <w:rPr>
          <w:lang w:val="en-ZA"/>
        </w:rPr>
        <w:tab/>
      </w:r>
      <w:r w:rsidR="001C019B">
        <w:rPr>
          <w:lang w:val="en-ZA"/>
        </w:rPr>
        <w:t>And at para 28, the following is said:</w:t>
      </w:r>
    </w:p>
    <w:p w14:paraId="3D4B7ECE" w14:textId="70FC96CF" w:rsidR="004301F8" w:rsidRPr="001C019B" w:rsidRDefault="001C019B" w:rsidP="001C019B">
      <w:pPr>
        <w:pStyle w:val="LegalList1"/>
        <w:spacing w:after="120" w:line="360" w:lineRule="auto"/>
        <w:rPr>
          <w:sz w:val="20"/>
          <w:szCs w:val="20"/>
          <w:lang w:val="en-ZA"/>
        </w:rPr>
      </w:pPr>
      <w:r>
        <w:rPr>
          <w:sz w:val="20"/>
          <w:szCs w:val="20"/>
          <w:lang w:val="en-ZA"/>
        </w:rPr>
        <w:t>‘</w:t>
      </w:r>
      <w:r w:rsidR="004301F8" w:rsidRPr="001C019B">
        <w:rPr>
          <w:sz w:val="20"/>
          <w:szCs w:val="20"/>
          <w:lang w:val="en-ZA"/>
        </w:rPr>
        <w:t>[28]</w:t>
      </w:r>
      <w:r w:rsidRPr="001C019B">
        <w:rPr>
          <w:sz w:val="20"/>
          <w:szCs w:val="20"/>
          <w:lang w:val="en-ZA"/>
        </w:rPr>
        <w:tab/>
      </w:r>
      <w:r w:rsidR="004301F8" w:rsidRPr="001C019B">
        <w:rPr>
          <w:sz w:val="20"/>
          <w:szCs w:val="20"/>
          <w:lang w:val="en-ZA"/>
        </w:rPr>
        <w:t>Loans to subsidiaries are intended to fund long-term working capital or capital expenditure requirements of subsidiaries with the purpose of facilitating the efficient deployment of the capital and reserves of the respondent. All loans are unsecured and no term for repayment is fixed.</w:t>
      </w:r>
      <w:r>
        <w:rPr>
          <w:sz w:val="20"/>
          <w:szCs w:val="20"/>
          <w:lang w:val="en-ZA"/>
        </w:rPr>
        <w:t>’</w:t>
      </w:r>
    </w:p>
    <w:p w14:paraId="574DF161" w14:textId="698AA92E" w:rsidR="004301F8" w:rsidRDefault="00507C2A" w:rsidP="00507C2A">
      <w:pPr>
        <w:pStyle w:val="LegalList1"/>
        <w:spacing w:after="120" w:line="360" w:lineRule="auto"/>
        <w:rPr>
          <w:lang w:val="en-ZA"/>
        </w:rPr>
      </w:pPr>
      <w:r>
        <w:rPr>
          <w:lang w:val="en-ZA"/>
        </w:rPr>
        <w:t>[20].</w:t>
      </w:r>
      <w:r>
        <w:rPr>
          <w:lang w:val="en-ZA"/>
        </w:rPr>
        <w:tab/>
      </w:r>
      <w:r w:rsidR="001C019B">
        <w:rPr>
          <w:lang w:val="en-ZA"/>
        </w:rPr>
        <w:t xml:space="preserve">This scenario described by the SCA in the </w:t>
      </w:r>
      <w:r w:rsidR="001C019B" w:rsidRPr="001C019B">
        <w:rPr>
          <w:i/>
          <w:iCs/>
          <w:lang w:val="en-ZA"/>
        </w:rPr>
        <w:t>Tiger Oats</w:t>
      </w:r>
      <w:r w:rsidR="001C019B">
        <w:rPr>
          <w:lang w:val="en-ZA"/>
        </w:rPr>
        <w:t xml:space="preserve"> case, so the taxpayer contend</w:t>
      </w:r>
      <w:r w:rsidR="006C6BF8">
        <w:rPr>
          <w:lang w:val="en-ZA"/>
        </w:rPr>
        <w:t>s</w:t>
      </w:r>
      <w:r w:rsidR="001C019B">
        <w:rPr>
          <w:lang w:val="en-ZA"/>
        </w:rPr>
        <w:t xml:space="preserve">, is exactly the position </w:t>
      </w:r>
      <w:r w:rsidR="001C019B" w:rsidRPr="006C6BF8">
        <w:rPr>
          <w:i/>
          <w:iCs/>
          <w:lang w:val="en-ZA"/>
        </w:rPr>
        <w:t>in casu</w:t>
      </w:r>
      <w:r w:rsidR="001C019B">
        <w:rPr>
          <w:lang w:val="en-ZA"/>
        </w:rPr>
        <w:t xml:space="preserve"> in relation to it. And this conclusion is to be deduced from SARS’s allegation that the taxpayer is an investment holding company.</w:t>
      </w:r>
    </w:p>
    <w:p w14:paraId="3BF8D349" w14:textId="24E46886" w:rsidR="006C6BF8" w:rsidRPr="004301F8" w:rsidRDefault="00507C2A" w:rsidP="00507C2A">
      <w:pPr>
        <w:pStyle w:val="LegalList1"/>
        <w:spacing w:after="0" w:line="360" w:lineRule="auto"/>
        <w:rPr>
          <w:lang w:val="en-ZA"/>
        </w:rPr>
      </w:pPr>
      <w:r w:rsidRPr="004301F8">
        <w:rPr>
          <w:lang w:val="en-ZA"/>
        </w:rPr>
        <w:t>[21].</w:t>
      </w:r>
      <w:r w:rsidRPr="004301F8">
        <w:rPr>
          <w:lang w:val="en-ZA"/>
        </w:rPr>
        <w:tab/>
      </w:r>
      <w:r w:rsidR="006C6BF8">
        <w:rPr>
          <w:lang w:val="en-ZA"/>
        </w:rPr>
        <w:t xml:space="preserve">A further correlation between the facts in </w:t>
      </w:r>
      <w:r w:rsidR="006C6BF8" w:rsidRPr="002A0081">
        <w:rPr>
          <w:i/>
          <w:iCs/>
          <w:lang w:val="en-ZA"/>
        </w:rPr>
        <w:t>Tiger Oats</w:t>
      </w:r>
      <w:r w:rsidR="006C6BF8">
        <w:rPr>
          <w:lang w:val="en-ZA"/>
        </w:rPr>
        <w:t xml:space="preserve"> and </w:t>
      </w:r>
      <w:r w:rsidR="008A34E1">
        <w:rPr>
          <w:lang w:val="en-ZA"/>
        </w:rPr>
        <w:t xml:space="preserve">those in </w:t>
      </w:r>
      <w:r w:rsidR="006C6BF8">
        <w:rPr>
          <w:lang w:val="en-ZA"/>
        </w:rPr>
        <w:t xml:space="preserve">this matter is highlighted by the taxpayer as per para 36, of the judgment, which reads as follows: - </w:t>
      </w:r>
    </w:p>
    <w:p w14:paraId="69F42CD4" w14:textId="3DE63C39" w:rsidR="004301F8" w:rsidRPr="006C6BF8" w:rsidRDefault="004301F8" w:rsidP="006C6BF8">
      <w:pPr>
        <w:pStyle w:val="LegalList1"/>
        <w:spacing w:after="120" w:line="360" w:lineRule="auto"/>
        <w:rPr>
          <w:sz w:val="20"/>
          <w:szCs w:val="20"/>
          <w:lang w:val="en-ZA"/>
        </w:rPr>
      </w:pPr>
      <w:r w:rsidRPr="006C6BF8">
        <w:rPr>
          <w:sz w:val="20"/>
          <w:szCs w:val="20"/>
          <w:lang w:val="en-ZA"/>
        </w:rPr>
        <w:t>[36]</w:t>
      </w:r>
      <w:r w:rsidRPr="006C6BF8">
        <w:rPr>
          <w:sz w:val="20"/>
          <w:szCs w:val="20"/>
          <w:lang w:val="en-ZA"/>
        </w:rPr>
        <w:tab/>
        <w:t>Although the respondent has no employees and no fixed assets, it pays for the management services provided to its operating subsidiaries and associated companies by Tiger Management Services, a division of Tiger Food Industries Limited. That company is wholly owned by Tiger Foods Limited which is in turn wholly owned by the respondent. The wherewithal to pay those management fees is derived by the respondent from directors’ fees paid to certain of its non</w:t>
      </w:r>
      <w:r w:rsidR="000B3829">
        <w:rPr>
          <w:sz w:val="20"/>
          <w:szCs w:val="20"/>
          <w:lang w:val="en-ZA"/>
        </w:rPr>
        <w:t>-</w:t>
      </w:r>
      <w:r w:rsidRPr="006C6BF8">
        <w:rPr>
          <w:sz w:val="20"/>
          <w:szCs w:val="20"/>
          <w:lang w:val="en-ZA"/>
        </w:rPr>
        <w:t>executive directors by subsidiary or associated companies of which those directors are also directors. It is the policy of the respondent that its non-executive directors who are also directors of its subsidiary or associated companies must account to the respondent for all directors’ fees paid to them. Again this shows that the respondent is actively involved in the operations of the subsidiaries and associated companies and is not simply a passive investor in them, equatable with a member of the public who invests in listed shares on the stock exchange.</w:t>
      </w:r>
      <w:r w:rsidR="006C6BF8">
        <w:rPr>
          <w:sz w:val="20"/>
          <w:szCs w:val="20"/>
          <w:lang w:val="en-ZA"/>
        </w:rPr>
        <w:t>’</w:t>
      </w:r>
      <w:r w:rsidRPr="006C6BF8">
        <w:rPr>
          <w:sz w:val="20"/>
          <w:szCs w:val="20"/>
          <w:lang w:val="en-ZA"/>
        </w:rPr>
        <w:t xml:space="preserve"> </w:t>
      </w:r>
    </w:p>
    <w:p w14:paraId="21D33502" w14:textId="2BF9B012" w:rsidR="00CD7F89" w:rsidRDefault="00507C2A" w:rsidP="00507C2A">
      <w:pPr>
        <w:pStyle w:val="LegalList1"/>
        <w:spacing w:after="120" w:line="360" w:lineRule="auto"/>
        <w:rPr>
          <w:lang w:val="en-ZA"/>
        </w:rPr>
      </w:pPr>
      <w:r>
        <w:rPr>
          <w:lang w:val="en-ZA"/>
        </w:rPr>
        <w:t>[22].</w:t>
      </w:r>
      <w:r>
        <w:rPr>
          <w:lang w:val="en-ZA"/>
        </w:rPr>
        <w:tab/>
      </w:r>
      <w:r w:rsidR="006C6BF8">
        <w:rPr>
          <w:lang w:val="en-ZA"/>
        </w:rPr>
        <w:t xml:space="preserve">The taxpayer accordingly argues that </w:t>
      </w:r>
      <w:r w:rsidR="004301F8" w:rsidRPr="006C6BF8">
        <w:rPr>
          <w:i/>
          <w:iCs/>
          <w:lang w:val="en-ZA"/>
        </w:rPr>
        <w:t>Tiger Oats</w:t>
      </w:r>
      <w:r w:rsidR="004301F8" w:rsidRPr="004301F8">
        <w:rPr>
          <w:lang w:val="en-ZA"/>
        </w:rPr>
        <w:t xml:space="preserve">, albeit decided in the context of liability for the now repealed regional establishment levy legislation, is authority for the proposition that a holding company carrying on business as an investment holding company and making interest-free or low-interest loans to its subsidiaries in whose management it is intimately involved, is a company carrying on a business and therefore carrying on a </w:t>
      </w:r>
      <w:r w:rsidR="006C6BF8">
        <w:rPr>
          <w:lang w:val="en-ZA"/>
        </w:rPr>
        <w:t>‘</w:t>
      </w:r>
      <w:r w:rsidR="004301F8" w:rsidRPr="00D57E87">
        <w:rPr>
          <w:lang w:val="en-ZA"/>
        </w:rPr>
        <w:t>trade</w:t>
      </w:r>
      <w:r w:rsidR="006C6BF8">
        <w:rPr>
          <w:lang w:val="en-ZA"/>
        </w:rPr>
        <w:t>’</w:t>
      </w:r>
      <w:r w:rsidR="004301F8" w:rsidRPr="00D57E87">
        <w:rPr>
          <w:lang w:val="en-ZA"/>
        </w:rPr>
        <w:t xml:space="preserve">, as defined, for income tax </w:t>
      </w:r>
      <w:r w:rsidR="004301F8" w:rsidRPr="00D57E87">
        <w:rPr>
          <w:lang w:val="en-ZA"/>
        </w:rPr>
        <w:lastRenderedPageBreak/>
        <w:t xml:space="preserve">purposes. </w:t>
      </w:r>
      <w:r w:rsidR="004301F8" w:rsidRPr="006C6BF8">
        <w:rPr>
          <w:lang w:val="en-ZA"/>
        </w:rPr>
        <w:t>This being the case,</w:t>
      </w:r>
      <w:r w:rsidR="006C6BF8">
        <w:rPr>
          <w:lang w:val="en-ZA"/>
        </w:rPr>
        <w:t xml:space="preserve"> so the argument on behalf </w:t>
      </w:r>
      <w:r w:rsidR="005B333F">
        <w:rPr>
          <w:lang w:val="en-ZA"/>
        </w:rPr>
        <w:t xml:space="preserve">of </w:t>
      </w:r>
      <w:r w:rsidR="006C6BF8">
        <w:rPr>
          <w:lang w:val="en-ZA"/>
        </w:rPr>
        <w:t>the taxpayer is</w:t>
      </w:r>
      <w:r w:rsidR="00FF3DE9">
        <w:rPr>
          <w:lang w:val="en-ZA"/>
        </w:rPr>
        <w:t xml:space="preserve"> </w:t>
      </w:r>
      <w:r w:rsidR="006C6BF8">
        <w:rPr>
          <w:lang w:val="en-ZA"/>
        </w:rPr>
        <w:t>concluded</w:t>
      </w:r>
      <w:r w:rsidR="00205CF7">
        <w:rPr>
          <w:lang w:val="en-ZA"/>
        </w:rPr>
        <w:t xml:space="preserve">, </w:t>
      </w:r>
      <w:r w:rsidR="004301F8" w:rsidRPr="006C6BF8">
        <w:rPr>
          <w:lang w:val="en-ZA"/>
        </w:rPr>
        <w:t xml:space="preserve">the interest earned by </w:t>
      </w:r>
      <w:r w:rsidR="00205CF7">
        <w:rPr>
          <w:lang w:val="en-ZA"/>
        </w:rPr>
        <w:t>it</w:t>
      </w:r>
      <w:r w:rsidR="004301F8" w:rsidRPr="006C6BF8">
        <w:rPr>
          <w:lang w:val="en-ZA"/>
        </w:rPr>
        <w:t xml:space="preserve"> from its subsidiaries was </w:t>
      </w:r>
      <w:r w:rsidR="00205CF7">
        <w:rPr>
          <w:lang w:val="en-ZA"/>
        </w:rPr>
        <w:t>income</w:t>
      </w:r>
      <w:r w:rsidR="004301F8" w:rsidRPr="006C6BF8">
        <w:rPr>
          <w:lang w:val="en-ZA"/>
        </w:rPr>
        <w:t xml:space="preserve"> </w:t>
      </w:r>
      <w:r w:rsidR="00205CF7">
        <w:rPr>
          <w:lang w:val="en-ZA"/>
        </w:rPr>
        <w:t>‘</w:t>
      </w:r>
      <w:r w:rsidR="004301F8" w:rsidRPr="006C6BF8">
        <w:rPr>
          <w:lang w:val="en-ZA"/>
        </w:rPr>
        <w:t>of that person derived from carrying on any trade</w:t>
      </w:r>
      <w:r w:rsidR="00205CF7">
        <w:rPr>
          <w:lang w:val="en-ZA"/>
        </w:rPr>
        <w:t>’</w:t>
      </w:r>
      <w:r w:rsidR="004301F8" w:rsidRPr="006C6BF8">
        <w:rPr>
          <w:lang w:val="en-ZA"/>
        </w:rPr>
        <w:t xml:space="preserve"> as contemplated in section 24J(2), and that the interest incurred by it was </w:t>
      </w:r>
      <w:r w:rsidR="00205CF7">
        <w:rPr>
          <w:lang w:val="en-ZA"/>
        </w:rPr>
        <w:t>‘</w:t>
      </w:r>
      <w:r w:rsidR="004301F8" w:rsidRPr="006C6BF8">
        <w:rPr>
          <w:lang w:val="en-ZA"/>
        </w:rPr>
        <w:t>incurred in the production of the income</w:t>
      </w:r>
      <w:r w:rsidR="00205CF7">
        <w:rPr>
          <w:lang w:val="en-ZA"/>
        </w:rPr>
        <w:t>’</w:t>
      </w:r>
      <w:r w:rsidR="004301F8" w:rsidRPr="006C6BF8">
        <w:rPr>
          <w:lang w:val="en-ZA"/>
        </w:rPr>
        <w:t xml:space="preserve">, also as </w:t>
      </w:r>
      <w:r w:rsidR="00205CF7">
        <w:rPr>
          <w:lang w:val="en-ZA"/>
        </w:rPr>
        <w:t>envisaged</w:t>
      </w:r>
      <w:r w:rsidR="004301F8" w:rsidRPr="006C6BF8">
        <w:rPr>
          <w:lang w:val="en-ZA"/>
        </w:rPr>
        <w:t xml:space="preserve"> </w:t>
      </w:r>
      <w:r w:rsidR="00205CF7">
        <w:rPr>
          <w:lang w:val="en-ZA"/>
        </w:rPr>
        <w:t>by</w:t>
      </w:r>
      <w:r w:rsidR="004301F8" w:rsidRPr="006C6BF8">
        <w:rPr>
          <w:lang w:val="en-ZA"/>
        </w:rPr>
        <w:t xml:space="preserve"> s 24J(2)</w:t>
      </w:r>
      <w:r w:rsidR="00205CF7">
        <w:rPr>
          <w:lang w:val="en-ZA"/>
        </w:rPr>
        <w:t>.</w:t>
      </w:r>
    </w:p>
    <w:p w14:paraId="0CD0DB69" w14:textId="24E623D7" w:rsidR="004301F8" w:rsidRDefault="00507C2A" w:rsidP="00507C2A">
      <w:pPr>
        <w:pStyle w:val="LegalList1"/>
        <w:spacing w:after="120" w:line="360" w:lineRule="auto"/>
        <w:rPr>
          <w:lang w:val="en-ZA"/>
        </w:rPr>
      </w:pPr>
      <w:r>
        <w:rPr>
          <w:lang w:val="en-ZA"/>
        </w:rPr>
        <w:t>[23].</w:t>
      </w:r>
      <w:r>
        <w:rPr>
          <w:lang w:val="en-ZA"/>
        </w:rPr>
        <w:tab/>
      </w:r>
      <w:r w:rsidR="00CD7F89">
        <w:rPr>
          <w:lang w:val="en-ZA"/>
        </w:rPr>
        <w:t xml:space="preserve">Moreover, so the argument on behalf of the taxpayer continues, the turnover generated from its </w:t>
      </w:r>
      <w:r w:rsidR="00CD7F89" w:rsidRPr="00CD7F89">
        <w:rPr>
          <w:lang w:val="en-ZA"/>
        </w:rPr>
        <w:t>interest-earning and interest-incurring</w:t>
      </w:r>
      <w:r w:rsidR="00FF3DE9">
        <w:rPr>
          <w:lang w:val="en-ZA"/>
        </w:rPr>
        <w:t xml:space="preserve"> activities (as against moneylending business) in most years in fact translate</w:t>
      </w:r>
      <w:r w:rsidR="000C11D4">
        <w:rPr>
          <w:lang w:val="en-ZA"/>
        </w:rPr>
        <w:t>d</w:t>
      </w:r>
      <w:r w:rsidR="00FF3DE9">
        <w:rPr>
          <w:lang w:val="en-ZA"/>
        </w:rPr>
        <w:t xml:space="preserve"> into a profit, which support their contention that the interest expense in respect of the 2011 year of assessment can and should be deducted in terms of s 24J(2). Those figures, extracted from the annual financial statement of the taxpayer for the </w:t>
      </w:r>
      <w:r w:rsidR="004301F8" w:rsidRPr="00FF3DE9">
        <w:rPr>
          <w:lang w:val="en-ZA"/>
        </w:rPr>
        <w:t>2008 to 2017 financial years</w:t>
      </w:r>
      <w:r w:rsidR="002A0081">
        <w:rPr>
          <w:lang w:val="en-ZA"/>
        </w:rPr>
        <w:t>,</w:t>
      </w:r>
      <w:r w:rsidR="004301F8" w:rsidRPr="00FF3DE9">
        <w:rPr>
          <w:lang w:val="en-ZA"/>
        </w:rPr>
        <w:t xml:space="preserve"> reveal the following for each of the above financial years: </w:t>
      </w:r>
    </w:p>
    <w:tbl>
      <w:tblPr>
        <w:tblW w:w="8925" w:type="dxa"/>
        <w:jc w:val="center"/>
        <w:tblLayout w:type="fixed"/>
        <w:tblCellMar>
          <w:left w:w="10" w:type="dxa"/>
          <w:right w:w="10" w:type="dxa"/>
        </w:tblCellMar>
        <w:tblLook w:val="0000" w:firstRow="0" w:lastRow="0" w:firstColumn="0" w:lastColumn="0" w:noHBand="0" w:noVBand="0"/>
      </w:tblPr>
      <w:tblGrid>
        <w:gridCol w:w="850"/>
        <w:gridCol w:w="1134"/>
        <w:gridCol w:w="2121"/>
        <w:gridCol w:w="2550"/>
        <w:gridCol w:w="2270"/>
      </w:tblGrid>
      <w:tr w:rsidR="00AB603D" w:rsidRPr="00F71212" w14:paraId="23D0555D"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6A00451C" w14:textId="77777777" w:rsidR="00AB603D" w:rsidRPr="00F71212" w:rsidRDefault="00AB603D" w:rsidP="00543743">
            <w:pPr>
              <w:widowControl w:val="0"/>
              <w:autoSpaceDE w:val="0"/>
              <w:autoSpaceDN w:val="0"/>
              <w:adjustRightInd w:val="0"/>
              <w:spacing w:before="120"/>
              <w:ind w:right="167"/>
              <w:jc w:val="center"/>
              <w:rPr>
                <w:rFonts w:cs="Arial"/>
                <w:b/>
                <w:sz w:val="16"/>
                <w:szCs w:val="16"/>
              </w:rPr>
            </w:pPr>
            <w:r w:rsidRPr="00F71212">
              <w:rPr>
                <w:rFonts w:cs="Arial"/>
                <w:b/>
                <w:sz w:val="16"/>
                <w:szCs w:val="16"/>
              </w:rPr>
              <w:t>YEAR</w:t>
            </w:r>
          </w:p>
        </w:tc>
        <w:tc>
          <w:tcPr>
            <w:tcW w:w="1134" w:type="dxa"/>
            <w:tcBorders>
              <w:top w:val="single" w:sz="5" w:space="0" w:color="auto"/>
              <w:left w:val="single" w:sz="5" w:space="0" w:color="auto"/>
              <w:bottom w:val="single" w:sz="5" w:space="0" w:color="auto"/>
              <w:right w:val="single" w:sz="5" w:space="0" w:color="auto"/>
            </w:tcBorders>
            <w:vAlign w:val="center"/>
          </w:tcPr>
          <w:p w14:paraId="27683FDB" w14:textId="5F0F416D" w:rsidR="00AB603D" w:rsidRPr="00F71212" w:rsidRDefault="00AB603D" w:rsidP="00E5733C">
            <w:pPr>
              <w:widowControl w:val="0"/>
              <w:autoSpaceDE w:val="0"/>
              <w:autoSpaceDN w:val="0"/>
              <w:adjustRightInd w:val="0"/>
              <w:spacing w:before="120"/>
              <w:ind w:right="166"/>
              <w:jc w:val="center"/>
              <w:rPr>
                <w:rFonts w:cs="Arial"/>
                <w:b/>
                <w:sz w:val="16"/>
                <w:szCs w:val="16"/>
              </w:rPr>
            </w:pPr>
            <w:r w:rsidRPr="00F71212">
              <w:rPr>
                <w:rFonts w:cs="Arial"/>
                <w:b/>
                <w:sz w:val="16"/>
                <w:szCs w:val="16"/>
              </w:rPr>
              <w:t>Source</w:t>
            </w:r>
          </w:p>
        </w:tc>
        <w:tc>
          <w:tcPr>
            <w:tcW w:w="2121" w:type="dxa"/>
            <w:tcBorders>
              <w:top w:val="single" w:sz="5" w:space="0" w:color="auto"/>
              <w:left w:val="single" w:sz="5" w:space="0" w:color="auto"/>
              <w:bottom w:val="single" w:sz="5" w:space="0" w:color="auto"/>
              <w:right w:val="single" w:sz="5" w:space="0" w:color="auto"/>
            </w:tcBorders>
            <w:vAlign w:val="center"/>
          </w:tcPr>
          <w:p w14:paraId="2621E264" w14:textId="252FFDEE" w:rsidR="00AB603D" w:rsidRPr="00F71212" w:rsidRDefault="00AB603D" w:rsidP="00475769">
            <w:pPr>
              <w:widowControl w:val="0"/>
              <w:autoSpaceDE w:val="0"/>
              <w:autoSpaceDN w:val="0"/>
              <w:adjustRightInd w:val="0"/>
              <w:spacing w:before="120"/>
              <w:ind w:left="252" w:right="108"/>
              <w:jc w:val="center"/>
              <w:rPr>
                <w:rFonts w:cs="Arial"/>
                <w:b/>
                <w:sz w:val="16"/>
                <w:szCs w:val="16"/>
              </w:rPr>
            </w:pPr>
            <w:r w:rsidRPr="00F71212">
              <w:rPr>
                <w:rFonts w:cs="Arial"/>
                <w:b/>
                <w:sz w:val="16"/>
                <w:szCs w:val="16"/>
              </w:rPr>
              <w:t>Interest Income</w:t>
            </w:r>
          </w:p>
        </w:tc>
        <w:tc>
          <w:tcPr>
            <w:tcW w:w="2550" w:type="dxa"/>
            <w:tcBorders>
              <w:top w:val="single" w:sz="5" w:space="0" w:color="auto"/>
              <w:left w:val="single" w:sz="5" w:space="0" w:color="auto"/>
              <w:bottom w:val="single" w:sz="5" w:space="0" w:color="auto"/>
              <w:right w:val="single" w:sz="5" w:space="0" w:color="auto"/>
            </w:tcBorders>
            <w:vAlign w:val="center"/>
          </w:tcPr>
          <w:p w14:paraId="7CF6D2F1" w14:textId="4F324EEB" w:rsidR="00AB603D" w:rsidRPr="00F71212" w:rsidRDefault="00AB603D" w:rsidP="00F71212">
            <w:pPr>
              <w:widowControl w:val="0"/>
              <w:autoSpaceDE w:val="0"/>
              <w:autoSpaceDN w:val="0"/>
              <w:adjustRightInd w:val="0"/>
              <w:spacing w:before="120"/>
              <w:jc w:val="center"/>
              <w:rPr>
                <w:rFonts w:cs="Arial"/>
                <w:b/>
                <w:sz w:val="16"/>
                <w:szCs w:val="16"/>
              </w:rPr>
            </w:pPr>
            <w:r w:rsidRPr="00F71212">
              <w:rPr>
                <w:rFonts w:cs="Arial"/>
                <w:b/>
                <w:sz w:val="16"/>
                <w:szCs w:val="16"/>
              </w:rPr>
              <w:t>Interest Paid</w:t>
            </w:r>
          </w:p>
        </w:tc>
        <w:tc>
          <w:tcPr>
            <w:tcW w:w="2270" w:type="dxa"/>
            <w:tcBorders>
              <w:top w:val="single" w:sz="5" w:space="0" w:color="auto"/>
              <w:left w:val="single" w:sz="5" w:space="0" w:color="auto"/>
              <w:bottom w:val="single" w:sz="5" w:space="0" w:color="auto"/>
              <w:right w:val="single" w:sz="5" w:space="0" w:color="auto"/>
            </w:tcBorders>
            <w:vAlign w:val="center"/>
          </w:tcPr>
          <w:p w14:paraId="240765BB" w14:textId="2620D687" w:rsidR="00AB603D" w:rsidRPr="00F71212" w:rsidRDefault="00AB603D" w:rsidP="00543743">
            <w:pPr>
              <w:widowControl w:val="0"/>
              <w:autoSpaceDE w:val="0"/>
              <w:autoSpaceDN w:val="0"/>
              <w:adjustRightInd w:val="0"/>
              <w:spacing w:before="120"/>
              <w:jc w:val="center"/>
              <w:rPr>
                <w:rFonts w:cs="Arial"/>
                <w:b/>
                <w:sz w:val="16"/>
                <w:szCs w:val="16"/>
              </w:rPr>
            </w:pPr>
            <w:r w:rsidRPr="00F71212">
              <w:rPr>
                <w:rFonts w:cs="Arial"/>
                <w:b/>
                <w:sz w:val="16"/>
                <w:szCs w:val="16"/>
              </w:rPr>
              <w:t>Profit / Loss</w:t>
            </w:r>
          </w:p>
        </w:tc>
      </w:tr>
      <w:tr w:rsidR="00AB603D" w:rsidRPr="0011040F" w14:paraId="089FF299"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0A6794E6" w14:textId="3A9487B2" w:rsidR="00AB603D" w:rsidRPr="0011040F" w:rsidRDefault="00AB603D" w:rsidP="00543743">
            <w:pPr>
              <w:widowControl w:val="0"/>
              <w:autoSpaceDE w:val="0"/>
              <w:autoSpaceDN w:val="0"/>
              <w:adjustRightInd w:val="0"/>
              <w:spacing w:before="120"/>
              <w:ind w:right="77"/>
              <w:jc w:val="center"/>
              <w:rPr>
                <w:rFonts w:cs="Arial"/>
                <w:b/>
                <w:sz w:val="16"/>
                <w:szCs w:val="16"/>
              </w:rPr>
            </w:pPr>
            <w:r w:rsidRPr="0011040F">
              <w:rPr>
                <w:rFonts w:cs="Arial"/>
                <w:b/>
                <w:sz w:val="16"/>
                <w:szCs w:val="16"/>
              </w:rPr>
              <w:t>200</w:t>
            </w:r>
            <w:r>
              <w:rPr>
                <w:rFonts w:cs="Arial"/>
                <w:b/>
                <w:sz w:val="16"/>
                <w:szCs w:val="16"/>
              </w:rPr>
              <w:t>8</w:t>
            </w:r>
          </w:p>
        </w:tc>
        <w:tc>
          <w:tcPr>
            <w:tcW w:w="1134" w:type="dxa"/>
            <w:tcBorders>
              <w:top w:val="single" w:sz="5" w:space="0" w:color="auto"/>
              <w:left w:val="single" w:sz="5" w:space="0" w:color="auto"/>
              <w:bottom w:val="single" w:sz="5" w:space="0" w:color="auto"/>
              <w:right w:val="single" w:sz="5" w:space="0" w:color="auto"/>
            </w:tcBorders>
            <w:vAlign w:val="center"/>
          </w:tcPr>
          <w:p w14:paraId="42C7F34D" w14:textId="083A0A30" w:rsidR="00AB603D" w:rsidRPr="0011040F" w:rsidRDefault="00AB603D" w:rsidP="00E5733C">
            <w:pPr>
              <w:widowControl w:val="0"/>
              <w:autoSpaceDE w:val="0"/>
              <w:autoSpaceDN w:val="0"/>
              <w:adjustRightInd w:val="0"/>
              <w:spacing w:before="120"/>
              <w:ind w:right="76"/>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6CEDB5EC" w14:textId="16E5DB14" w:rsidR="00AB603D" w:rsidRPr="0011040F" w:rsidRDefault="00475769" w:rsidP="00380439">
            <w:pPr>
              <w:widowControl w:val="0"/>
              <w:autoSpaceDE w:val="0"/>
              <w:autoSpaceDN w:val="0"/>
              <w:adjustRightInd w:val="0"/>
              <w:spacing w:before="120"/>
              <w:jc w:val="center"/>
              <w:rPr>
                <w:rFonts w:cs="Arial"/>
                <w:sz w:val="16"/>
                <w:szCs w:val="16"/>
              </w:rPr>
            </w:pPr>
            <w:r w:rsidRPr="00475769">
              <w:rPr>
                <w:rFonts w:cs="Arial"/>
                <w:sz w:val="16"/>
                <w:szCs w:val="16"/>
              </w:rPr>
              <w:t>375</w:t>
            </w:r>
            <w:r>
              <w:rPr>
                <w:rFonts w:cs="Arial"/>
                <w:sz w:val="16"/>
                <w:szCs w:val="16"/>
              </w:rPr>
              <w:t xml:space="preserve"> 000</w:t>
            </w:r>
          </w:p>
        </w:tc>
        <w:tc>
          <w:tcPr>
            <w:tcW w:w="2550" w:type="dxa"/>
            <w:tcBorders>
              <w:top w:val="single" w:sz="5" w:space="0" w:color="auto"/>
              <w:left w:val="single" w:sz="5" w:space="0" w:color="auto"/>
              <w:bottom w:val="single" w:sz="5" w:space="0" w:color="auto"/>
              <w:right w:val="single" w:sz="5" w:space="0" w:color="auto"/>
            </w:tcBorders>
            <w:vAlign w:val="center"/>
          </w:tcPr>
          <w:p w14:paraId="76690250" w14:textId="1441DB1A" w:rsidR="00AB603D" w:rsidRPr="00F71212" w:rsidRDefault="00475769" w:rsidP="00F71212">
            <w:pPr>
              <w:widowControl w:val="0"/>
              <w:tabs>
                <w:tab w:val="decimal" w:pos="648"/>
              </w:tabs>
              <w:autoSpaceDE w:val="0"/>
              <w:autoSpaceDN w:val="0"/>
              <w:adjustRightInd w:val="0"/>
              <w:spacing w:before="120"/>
              <w:jc w:val="center"/>
              <w:rPr>
                <w:rFonts w:cs="Arial"/>
                <w:bCs/>
                <w:sz w:val="16"/>
                <w:szCs w:val="16"/>
              </w:rPr>
            </w:pPr>
            <w:r w:rsidRPr="00F71212">
              <w:rPr>
                <w:rFonts w:cs="Arial"/>
                <w:bCs/>
                <w:sz w:val="16"/>
                <w:szCs w:val="16"/>
              </w:rPr>
              <w:t>99 000</w:t>
            </w:r>
          </w:p>
        </w:tc>
        <w:tc>
          <w:tcPr>
            <w:tcW w:w="2270" w:type="dxa"/>
            <w:tcBorders>
              <w:top w:val="single" w:sz="5" w:space="0" w:color="auto"/>
              <w:left w:val="single" w:sz="5" w:space="0" w:color="auto"/>
              <w:bottom w:val="single" w:sz="5" w:space="0" w:color="auto"/>
              <w:right w:val="single" w:sz="5" w:space="0" w:color="auto"/>
            </w:tcBorders>
            <w:vAlign w:val="center"/>
          </w:tcPr>
          <w:p w14:paraId="358AA056" w14:textId="75C6FD47" w:rsidR="00AB603D" w:rsidRPr="00475769" w:rsidRDefault="00AB603D" w:rsidP="00543743">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63A73293"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2172F1B9" w14:textId="77777777" w:rsidR="00AB603D" w:rsidRPr="0011040F" w:rsidRDefault="00AB603D" w:rsidP="00543743">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51B014BB" w14:textId="2D19DF0C" w:rsidR="00AB603D" w:rsidRPr="0011040F" w:rsidRDefault="00AB603D" w:rsidP="00E5733C">
            <w:pPr>
              <w:widowControl w:val="0"/>
              <w:autoSpaceDE w:val="0"/>
              <w:autoSpaceDN w:val="0"/>
              <w:adjustRightInd w:val="0"/>
              <w:spacing w:before="120"/>
              <w:ind w:right="76"/>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1A321CCF" w14:textId="0B1259F2" w:rsidR="00AB603D" w:rsidRPr="0011040F" w:rsidRDefault="00475769" w:rsidP="00380439">
            <w:pPr>
              <w:widowControl w:val="0"/>
              <w:autoSpaceDE w:val="0"/>
              <w:autoSpaceDN w:val="0"/>
              <w:adjustRightInd w:val="0"/>
              <w:spacing w:before="120"/>
              <w:jc w:val="center"/>
              <w:rPr>
                <w:rFonts w:cs="Arial"/>
                <w:sz w:val="16"/>
                <w:szCs w:val="16"/>
              </w:rPr>
            </w:pPr>
            <w:r w:rsidRPr="00475769">
              <w:rPr>
                <w:rFonts w:cs="Arial"/>
                <w:sz w:val="16"/>
                <w:szCs w:val="16"/>
              </w:rPr>
              <w:t>41</w:t>
            </w:r>
            <w:r>
              <w:rPr>
                <w:rFonts w:cs="Arial"/>
                <w:sz w:val="16"/>
                <w:szCs w:val="16"/>
              </w:rPr>
              <w:t> </w:t>
            </w:r>
            <w:r w:rsidRPr="00475769">
              <w:rPr>
                <w:rFonts w:cs="Arial"/>
                <w:sz w:val="16"/>
                <w:szCs w:val="16"/>
              </w:rPr>
              <w:t>921</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0F87ED5F" w14:textId="3091CB6B" w:rsidR="00AB603D" w:rsidRPr="00F71212" w:rsidRDefault="00475769" w:rsidP="00F71212">
            <w:pPr>
              <w:widowControl w:val="0"/>
              <w:tabs>
                <w:tab w:val="decimal" w:pos="648"/>
              </w:tabs>
              <w:autoSpaceDE w:val="0"/>
              <w:autoSpaceDN w:val="0"/>
              <w:adjustRightInd w:val="0"/>
              <w:spacing w:before="120"/>
              <w:jc w:val="center"/>
              <w:rPr>
                <w:rFonts w:cs="Arial"/>
                <w:bCs/>
                <w:sz w:val="16"/>
                <w:szCs w:val="16"/>
              </w:rPr>
            </w:pPr>
            <w:r w:rsidRPr="00F71212">
              <w:rPr>
                <w:rFonts w:cs="Arial"/>
                <w:bCs/>
                <w:sz w:val="16"/>
                <w:szCs w:val="16"/>
              </w:rPr>
              <w:t>41 921 000</w:t>
            </w:r>
          </w:p>
        </w:tc>
        <w:tc>
          <w:tcPr>
            <w:tcW w:w="2270" w:type="dxa"/>
            <w:tcBorders>
              <w:top w:val="single" w:sz="5" w:space="0" w:color="auto"/>
              <w:left w:val="single" w:sz="5" w:space="0" w:color="auto"/>
              <w:bottom w:val="single" w:sz="5" w:space="0" w:color="auto"/>
              <w:right w:val="single" w:sz="5" w:space="0" w:color="auto"/>
            </w:tcBorders>
            <w:vAlign w:val="center"/>
          </w:tcPr>
          <w:p w14:paraId="6CAA0384" w14:textId="0577E358" w:rsidR="00AB603D" w:rsidRPr="00475769" w:rsidRDefault="00475769" w:rsidP="00380439">
            <w:pPr>
              <w:widowControl w:val="0"/>
              <w:autoSpaceDE w:val="0"/>
              <w:autoSpaceDN w:val="0"/>
              <w:adjustRightInd w:val="0"/>
              <w:spacing w:before="120"/>
              <w:ind w:right="107"/>
              <w:jc w:val="center"/>
              <w:rPr>
                <w:rFonts w:cs="Arial"/>
                <w:b/>
                <w:sz w:val="16"/>
                <w:szCs w:val="16"/>
              </w:rPr>
            </w:pPr>
            <w:r w:rsidRPr="00475769">
              <w:rPr>
                <w:rFonts w:cs="Arial"/>
                <w:b/>
                <w:sz w:val="16"/>
                <w:szCs w:val="16"/>
              </w:rPr>
              <w:t>276 000</w:t>
            </w:r>
          </w:p>
        </w:tc>
      </w:tr>
      <w:tr w:rsidR="00AB603D" w:rsidRPr="0011040F" w14:paraId="4425F023"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7B2A7BC5" w14:textId="72BFCC7B" w:rsidR="00AB603D" w:rsidRPr="0011040F" w:rsidRDefault="00AB603D" w:rsidP="00AB603D">
            <w:pPr>
              <w:widowControl w:val="0"/>
              <w:autoSpaceDE w:val="0"/>
              <w:autoSpaceDN w:val="0"/>
              <w:adjustRightInd w:val="0"/>
              <w:spacing w:before="120"/>
              <w:ind w:right="77"/>
              <w:jc w:val="center"/>
              <w:rPr>
                <w:rFonts w:cs="Arial"/>
                <w:b/>
                <w:sz w:val="16"/>
                <w:szCs w:val="16"/>
              </w:rPr>
            </w:pPr>
            <w:r w:rsidRPr="0011040F">
              <w:rPr>
                <w:rFonts w:cs="Arial"/>
                <w:b/>
                <w:sz w:val="16"/>
                <w:szCs w:val="16"/>
              </w:rPr>
              <w:t>20</w:t>
            </w:r>
            <w:r>
              <w:rPr>
                <w:rFonts w:cs="Arial"/>
                <w:b/>
                <w:sz w:val="16"/>
                <w:szCs w:val="16"/>
              </w:rPr>
              <w:t>09</w:t>
            </w:r>
          </w:p>
        </w:tc>
        <w:tc>
          <w:tcPr>
            <w:tcW w:w="1134" w:type="dxa"/>
            <w:tcBorders>
              <w:top w:val="single" w:sz="5" w:space="0" w:color="auto"/>
              <w:left w:val="single" w:sz="5" w:space="0" w:color="auto"/>
              <w:bottom w:val="single" w:sz="5" w:space="0" w:color="auto"/>
              <w:right w:val="single" w:sz="5" w:space="0" w:color="auto"/>
            </w:tcBorders>
            <w:vAlign w:val="center"/>
          </w:tcPr>
          <w:p w14:paraId="27DB2A81" w14:textId="35A58E68" w:rsidR="00AB603D" w:rsidRPr="0011040F" w:rsidRDefault="00AB603D" w:rsidP="00E5733C">
            <w:pPr>
              <w:widowControl w:val="0"/>
              <w:autoSpaceDE w:val="0"/>
              <w:autoSpaceDN w:val="0"/>
              <w:adjustRightInd w:val="0"/>
              <w:spacing w:before="120"/>
              <w:ind w:right="76"/>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2B388146" w14:textId="3D418DB3" w:rsidR="00AB603D" w:rsidRPr="0011040F" w:rsidRDefault="00475769" w:rsidP="00380439">
            <w:pPr>
              <w:widowControl w:val="0"/>
              <w:autoSpaceDE w:val="0"/>
              <w:autoSpaceDN w:val="0"/>
              <w:adjustRightInd w:val="0"/>
              <w:spacing w:before="120"/>
              <w:jc w:val="center"/>
              <w:rPr>
                <w:rFonts w:cs="Arial"/>
                <w:sz w:val="16"/>
                <w:szCs w:val="16"/>
              </w:rPr>
            </w:pPr>
            <w:r w:rsidRPr="00475769">
              <w:rPr>
                <w:rFonts w:cs="Arial"/>
                <w:sz w:val="16"/>
                <w:szCs w:val="16"/>
              </w:rPr>
              <w:t>1</w:t>
            </w:r>
            <w:r>
              <w:rPr>
                <w:rFonts w:cs="Arial"/>
                <w:sz w:val="16"/>
                <w:szCs w:val="16"/>
              </w:rPr>
              <w:t> </w:t>
            </w:r>
            <w:r w:rsidRPr="00475769">
              <w:rPr>
                <w:rFonts w:cs="Arial"/>
                <w:sz w:val="16"/>
                <w:szCs w:val="16"/>
              </w:rPr>
              <w:t>072</w:t>
            </w:r>
            <w:r>
              <w:rPr>
                <w:rFonts w:cs="Arial"/>
                <w:sz w:val="16"/>
                <w:szCs w:val="16"/>
              </w:rPr>
              <w:t xml:space="preserve"> 000</w:t>
            </w:r>
          </w:p>
        </w:tc>
        <w:tc>
          <w:tcPr>
            <w:tcW w:w="2550" w:type="dxa"/>
            <w:tcBorders>
              <w:top w:val="single" w:sz="5" w:space="0" w:color="auto"/>
              <w:left w:val="single" w:sz="5" w:space="0" w:color="auto"/>
              <w:bottom w:val="single" w:sz="5" w:space="0" w:color="auto"/>
              <w:right w:val="single" w:sz="5" w:space="0" w:color="auto"/>
            </w:tcBorders>
            <w:vAlign w:val="center"/>
          </w:tcPr>
          <w:p w14:paraId="31C41374" w14:textId="2AFC1847" w:rsidR="00AB603D" w:rsidRPr="00F71212" w:rsidRDefault="00F71212" w:rsidP="00F71212">
            <w:pPr>
              <w:widowControl w:val="0"/>
              <w:tabs>
                <w:tab w:val="decimal" w:pos="648"/>
              </w:tabs>
              <w:autoSpaceDE w:val="0"/>
              <w:autoSpaceDN w:val="0"/>
              <w:adjustRightInd w:val="0"/>
              <w:spacing w:before="120"/>
              <w:jc w:val="center"/>
              <w:rPr>
                <w:rFonts w:cs="Arial"/>
                <w:bCs/>
                <w:sz w:val="16"/>
                <w:szCs w:val="16"/>
              </w:rPr>
            </w:pPr>
            <w:r w:rsidRPr="00F71212">
              <w:rPr>
                <w:rFonts w:cs="Arial"/>
                <w:bCs/>
                <w:sz w:val="16"/>
                <w:szCs w:val="16"/>
              </w:rPr>
              <w:t>---</w:t>
            </w:r>
          </w:p>
        </w:tc>
        <w:tc>
          <w:tcPr>
            <w:tcW w:w="2270" w:type="dxa"/>
            <w:tcBorders>
              <w:top w:val="single" w:sz="5" w:space="0" w:color="auto"/>
              <w:left w:val="single" w:sz="5" w:space="0" w:color="auto"/>
              <w:bottom w:val="single" w:sz="5" w:space="0" w:color="auto"/>
              <w:right w:val="single" w:sz="5" w:space="0" w:color="auto"/>
            </w:tcBorders>
            <w:vAlign w:val="center"/>
          </w:tcPr>
          <w:p w14:paraId="4A2B0562" w14:textId="787675ED"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2488D84C"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70D9A5F4"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68C0733B" w14:textId="1F524BF1" w:rsidR="00AB603D"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4D5C4ECA" w14:textId="7D3FBAF3" w:rsidR="00AB603D" w:rsidRDefault="00475769" w:rsidP="00380439">
            <w:pPr>
              <w:widowControl w:val="0"/>
              <w:autoSpaceDE w:val="0"/>
              <w:autoSpaceDN w:val="0"/>
              <w:adjustRightInd w:val="0"/>
              <w:spacing w:before="120"/>
              <w:jc w:val="center"/>
              <w:rPr>
                <w:rFonts w:cs="Arial"/>
                <w:sz w:val="16"/>
                <w:szCs w:val="16"/>
              </w:rPr>
            </w:pPr>
            <w:r w:rsidRPr="00475769">
              <w:rPr>
                <w:rFonts w:cs="Arial"/>
                <w:sz w:val="16"/>
                <w:szCs w:val="16"/>
              </w:rPr>
              <w:t>17</w:t>
            </w:r>
            <w:r>
              <w:rPr>
                <w:rFonts w:cs="Arial"/>
                <w:sz w:val="16"/>
                <w:szCs w:val="16"/>
              </w:rPr>
              <w:t> </w:t>
            </w:r>
            <w:r w:rsidRPr="00475769">
              <w:rPr>
                <w:rFonts w:cs="Arial"/>
                <w:sz w:val="16"/>
                <w:szCs w:val="16"/>
              </w:rPr>
              <w:t>335</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69476D47" w14:textId="3875460F" w:rsidR="00AB603D" w:rsidRPr="00F71212" w:rsidRDefault="00475769" w:rsidP="00F71212">
            <w:pPr>
              <w:widowControl w:val="0"/>
              <w:tabs>
                <w:tab w:val="decimal" w:pos="648"/>
              </w:tabs>
              <w:autoSpaceDE w:val="0"/>
              <w:autoSpaceDN w:val="0"/>
              <w:adjustRightInd w:val="0"/>
              <w:spacing w:before="120"/>
              <w:jc w:val="center"/>
              <w:rPr>
                <w:rFonts w:cs="Arial"/>
                <w:bCs/>
                <w:sz w:val="16"/>
                <w:szCs w:val="16"/>
              </w:rPr>
            </w:pPr>
            <w:r w:rsidRPr="00F71212">
              <w:rPr>
                <w:rFonts w:cs="Arial"/>
                <w:bCs/>
                <w:sz w:val="16"/>
                <w:szCs w:val="16"/>
              </w:rPr>
              <w:t>44 978 000</w:t>
            </w:r>
          </w:p>
        </w:tc>
        <w:tc>
          <w:tcPr>
            <w:tcW w:w="2270" w:type="dxa"/>
            <w:tcBorders>
              <w:top w:val="single" w:sz="5" w:space="0" w:color="auto"/>
              <w:left w:val="single" w:sz="5" w:space="0" w:color="auto"/>
              <w:bottom w:val="single" w:sz="5" w:space="0" w:color="auto"/>
              <w:right w:val="single" w:sz="5" w:space="0" w:color="auto"/>
            </w:tcBorders>
            <w:vAlign w:val="center"/>
          </w:tcPr>
          <w:p w14:paraId="74382B16" w14:textId="05CB966F" w:rsidR="00AB603D" w:rsidRPr="00475769" w:rsidRDefault="00475769" w:rsidP="00380439">
            <w:pPr>
              <w:widowControl w:val="0"/>
              <w:autoSpaceDE w:val="0"/>
              <w:autoSpaceDN w:val="0"/>
              <w:adjustRightInd w:val="0"/>
              <w:spacing w:before="120"/>
              <w:ind w:right="107"/>
              <w:jc w:val="center"/>
              <w:rPr>
                <w:rFonts w:cs="Arial"/>
                <w:b/>
                <w:sz w:val="16"/>
                <w:szCs w:val="16"/>
              </w:rPr>
            </w:pPr>
            <w:r w:rsidRPr="00475769">
              <w:rPr>
                <w:rFonts w:cs="Arial"/>
                <w:b/>
                <w:sz w:val="16"/>
                <w:szCs w:val="16"/>
              </w:rPr>
              <w:t>(26 571 000) Loss</w:t>
            </w:r>
          </w:p>
        </w:tc>
      </w:tr>
      <w:tr w:rsidR="00AB603D" w:rsidRPr="0011040F" w14:paraId="17426F06"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7E7A428E" w14:textId="3B1F0CF6" w:rsidR="00AB603D" w:rsidRPr="0011040F" w:rsidRDefault="00AB603D" w:rsidP="00AB603D">
            <w:pPr>
              <w:widowControl w:val="0"/>
              <w:autoSpaceDE w:val="0"/>
              <w:autoSpaceDN w:val="0"/>
              <w:adjustRightInd w:val="0"/>
              <w:spacing w:before="120"/>
              <w:ind w:right="77"/>
              <w:jc w:val="center"/>
              <w:rPr>
                <w:rFonts w:cs="Arial"/>
                <w:b/>
                <w:sz w:val="16"/>
                <w:szCs w:val="16"/>
              </w:rPr>
            </w:pPr>
            <w:r w:rsidRPr="0011040F">
              <w:rPr>
                <w:rFonts w:cs="Arial"/>
                <w:b/>
                <w:sz w:val="16"/>
                <w:szCs w:val="16"/>
              </w:rPr>
              <w:t>20</w:t>
            </w:r>
            <w:r>
              <w:rPr>
                <w:rFonts w:cs="Arial"/>
                <w:b/>
                <w:sz w:val="16"/>
                <w:szCs w:val="16"/>
              </w:rPr>
              <w:t>10</w:t>
            </w:r>
          </w:p>
        </w:tc>
        <w:tc>
          <w:tcPr>
            <w:tcW w:w="1134" w:type="dxa"/>
            <w:tcBorders>
              <w:top w:val="single" w:sz="5" w:space="0" w:color="auto"/>
              <w:left w:val="single" w:sz="5" w:space="0" w:color="auto"/>
              <w:bottom w:val="single" w:sz="5" w:space="0" w:color="auto"/>
              <w:right w:val="single" w:sz="5" w:space="0" w:color="auto"/>
            </w:tcBorders>
            <w:vAlign w:val="center"/>
          </w:tcPr>
          <w:p w14:paraId="33584B9B" w14:textId="2B5503C0"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447645E5" w14:textId="67B36C2D" w:rsidR="00AB603D" w:rsidRPr="0011040F" w:rsidRDefault="00F71212" w:rsidP="00380439">
            <w:pPr>
              <w:widowControl w:val="0"/>
              <w:autoSpaceDE w:val="0"/>
              <w:autoSpaceDN w:val="0"/>
              <w:adjustRightInd w:val="0"/>
              <w:spacing w:before="120"/>
              <w:jc w:val="center"/>
              <w:rPr>
                <w:rFonts w:cs="Arial"/>
                <w:sz w:val="16"/>
                <w:szCs w:val="16"/>
              </w:rPr>
            </w:pPr>
            <w:r>
              <w:rPr>
                <w:rFonts w:cs="Arial"/>
                <w:sz w:val="16"/>
                <w:szCs w:val="16"/>
              </w:rPr>
              <w:t>342 000</w:t>
            </w:r>
          </w:p>
        </w:tc>
        <w:tc>
          <w:tcPr>
            <w:tcW w:w="2550" w:type="dxa"/>
            <w:tcBorders>
              <w:top w:val="single" w:sz="5" w:space="0" w:color="auto"/>
              <w:left w:val="single" w:sz="5" w:space="0" w:color="auto"/>
              <w:bottom w:val="single" w:sz="5" w:space="0" w:color="auto"/>
              <w:right w:val="single" w:sz="5" w:space="0" w:color="auto"/>
            </w:tcBorders>
            <w:vAlign w:val="center"/>
          </w:tcPr>
          <w:p w14:paraId="086432E5" w14:textId="74A6BA7D" w:rsidR="00AB603D" w:rsidRPr="00F71212" w:rsidRDefault="00F71212" w:rsidP="00F71212">
            <w:pPr>
              <w:widowControl w:val="0"/>
              <w:tabs>
                <w:tab w:val="decimal" w:pos="648"/>
              </w:tabs>
              <w:autoSpaceDE w:val="0"/>
              <w:autoSpaceDN w:val="0"/>
              <w:adjustRightInd w:val="0"/>
              <w:spacing w:before="120"/>
              <w:jc w:val="center"/>
              <w:rPr>
                <w:rFonts w:cs="Arial"/>
                <w:bCs/>
                <w:sz w:val="16"/>
                <w:szCs w:val="16"/>
              </w:rPr>
            </w:pPr>
            <w:r w:rsidRPr="00F71212">
              <w:rPr>
                <w:rFonts w:cs="Arial"/>
                <w:bCs/>
                <w:sz w:val="16"/>
                <w:szCs w:val="16"/>
              </w:rPr>
              <w:t>---</w:t>
            </w:r>
          </w:p>
        </w:tc>
        <w:tc>
          <w:tcPr>
            <w:tcW w:w="2270" w:type="dxa"/>
            <w:tcBorders>
              <w:top w:val="single" w:sz="5" w:space="0" w:color="auto"/>
              <w:left w:val="single" w:sz="5" w:space="0" w:color="auto"/>
              <w:bottom w:val="single" w:sz="5" w:space="0" w:color="auto"/>
              <w:right w:val="single" w:sz="5" w:space="0" w:color="auto"/>
            </w:tcBorders>
            <w:vAlign w:val="center"/>
          </w:tcPr>
          <w:p w14:paraId="0701205C" w14:textId="4B7E46EA"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5E226B58"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696F29C1"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68A1C2DA" w14:textId="1FD91B3F"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11C3DD94" w14:textId="60084BA1" w:rsidR="00AB603D" w:rsidRDefault="00F71212" w:rsidP="00380439">
            <w:pPr>
              <w:widowControl w:val="0"/>
              <w:autoSpaceDE w:val="0"/>
              <w:autoSpaceDN w:val="0"/>
              <w:adjustRightInd w:val="0"/>
              <w:spacing w:before="120"/>
              <w:jc w:val="center"/>
              <w:rPr>
                <w:rFonts w:cs="Arial"/>
                <w:sz w:val="16"/>
                <w:szCs w:val="16"/>
              </w:rPr>
            </w:pPr>
            <w:r w:rsidRPr="00F71212">
              <w:rPr>
                <w:rFonts w:cs="Arial"/>
                <w:sz w:val="16"/>
                <w:szCs w:val="16"/>
              </w:rPr>
              <w:t>25</w:t>
            </w:r>
            <w:r>
              <w:rPr>
                <w:rFonts w:cs="Arial"/>
                <w:sz w:val="16"/>
                <w:szCs w:val="16"/>
              </w:rPr>
              <w:t> </w:t>
            </w:r>
            <w:r w:rsidRPr="00F71212">
              <w:rPr>
                <w:rFonts w:cs="Arial"/>
                <w:sz w:val="16"/>
                <w:szCs w:val="16"/>
              </w:rPr>
              <w:t>591</w:t>
            </w:r>
            <w:r>
              <w:rPr>
                <w:rFonts w:cs="Arial"/>
                <w:sz w:val="16"/>
                <w:szCs w:val="16"/>
              </w:rPr>
              <w:t> 000</w:t>
            </w:r>
            <w:r w:rsidRPr="00F71212">
              <w:rPr>
                <w:rFonts w:cs="Arial"/>
                <w:sz w:val="16"/>
                <w:szCs w:val="16"/>
              </w:rPr>
              <w:t xml:space="preserve">               </w:t>
            </w:r>
          </w:p>
        </w:tc>
        <w:tc>
          <w:tcPr>
            <w:tcW w:w="2550" w:type="dxa"/>
            <w:tcBorders>
              <w:top w:val="single" w:sz="5" w:space="0" w:color="auto"/>
              <w:left w:val="single" w:sz="5" w:space="0" w:color="auto"/>
              <w:bottom w:val="single" w:sz="5" w:space="0" w:color="auto"/>
              <w:right w:val="single" w:sz="5" w:space="0" w:color="auto"/>
            </w:tcBorders>
            <w:vAlign w:val="center"/>
          </w:tcPr>
          <w:p w14:paraId="2218230D" w14:textId="52693EA5" w:rsidR="00AB603D" w:rsidRPr="00F71212" w:rsidRDefault="00F71212" w:rsidP="00F71212">
            <w:pPr>
              <w:widowControl w:val="0"/>
              <w:tabs>
                <w:tab w:val="decimal" w:pos="648"/>
              </w:tabs>
              <w:autoSpaceDE w:val="0"/>
              <w:autoSpaceDN w:val="0"/>
              <w:adjustRightInd w:val="0"/>
              <w:spacing w:before="120"/>
              <w:jc w:val="center"/>
              <w:rPr>
                <w:rFonts w:cs="Arial"/>
                <w:bCs/>
                <w:sz w:val="16"/>
                <w:szCs w:val="16"/>
              </w:rPr>
            </w:pPr>
            <w:r w:rsidRPr="00F71212">
              <w:rPr>
                <w:rFonts w:cs="Arial"/>
                <w:bCs/>
                <w:sz w:val="16"/>
                <w:szCs w:val="16"/>
              </w:rPr>
              <w:t xml:space="preserve">33 710 000  </w:t>
            </w:r>
          </w:p>
        </w:tc>
        <w:tc>
          <w:tcPr>
            <w:tcW w:w="2270" w:type="dxa"/>
            <w:tcBorders>
              <w:top w:val="single" w:sz="5" w:space="0" w:color="auto"/>
              <w:left w:val="single" w:sz="5" w:space="0" w:color="auto"/>
              <w:bottom w:val="single" w:sz="5" w:space="0" w:color="auto"/>
              <w:right w:val="single" w:sz="5" w:space="0" w:color="auto"/>
            </w:tcBorders>
            <w:vAlign w:val="center"/>
          </w:tcPr>
          <w:p w14:paraId="13056A9D" w14:textId="162F7A03" w:rsidR="00AB603D" w:rsidRPr="00475769" w:rsidRDefault="00F71212" w:rsidP="00380439">
            <w:pPr>
              <w:widowControl w:val="0"/>
              <w:autoSpaceDE w:val="0"/>
              <w:autoSpaceDN w:val="0"/>
              <w:adjustRightInd w:val="0"/>
              <w:spacing w:before="120"/>
              <w:ind w:right="107"/>
              <w:jc w:val="center"/>
              <w:rPr>
                <w:rFonts w:cs="Arial"/>
                <w:b/>
                <w:sz w:val="16"/>
                <w:szCs w:val="16"/>
              </w:rPr>
            </w:pPr>
            <w:r>
              <w:rPr>
                <w:rFonts w:cs="Arial"/>
                <w:b/>
                <w:sz w:val="16"/>
                <w:szCs w:val="16"/>
              </w:rPr>
              <w:t>(</w:t>
            </w:r>
            <w:r w:rsidRPr="00F71212">
              <w:rPr>
                <w:rFonts w:cs="Arial"/>
                <w:b/>
                <w:sz w:val="16"/>
                <w:szCs w:val="16"/>
              </w:rPr>
              <w:t>7</w:t>
            </w:r>
            <w:r>
              <w:rPr>
                <w:rFonts w:cs="Arial"/>
                <w:b/>
                <w:sz w:val="16"/>
                <w:szCs w:val="16"/>
              </w:rPr>
              <w:t> </w:t>
            </w:r>
            <w:r w:rsidRPr="00F71212">
              <w:rPr>
                <w:rFonts w:cs="Arial"/>
                <w:b/>
                <w:sz w:val="16"/>
                <w:szCs w:val="16"/>
              </w:rPr>
              <w:t>777</w:t>
            </w:r>
            <w:r>
              <w:rPr>
                <w:rFonts w:cs="Arial"/>
                <w:b/>
                <w:sz w:val="16"/>
                <w:szCs w:val="16"/>
              </w:rPr>
              <w:t> 000)</w:t>
            </w:r>
            <w:r w:rsidRPr="00F71212">
              <w:rPr>
                <w:rFonts w:cs="Arial"/>
                <w:b/>
                <w:sz w:val="16"/>
                <w:szCs w:val="16"/>
              </w:rPr>
              <w:t xml:space="preserve"> </w:t>
            </w:r>
            <w:r>
              <w:rPr>
                <w:rFonts w:cs="Arial"/>
                <w:b/>
                <w:sz w:val="16"/>
                <w:szCs w:val="16"/>
              </w:rPr>
              <w:t>L</w:t>
            </w:r>
            <w:r w:rsidRPr="00F71212">
              <w:rPr>
                <w:rFonts w:cs="Arial"/>
                <w:b/>
                <w:sz w:val="16"/>
                <w:szCs w:val="16"/>
              </w:rPr>
              <w:t>oss</w:t>
            </w:r>
          </w:p>
        </w:tc>
      </w:tr>
      <w:tr w:rsidR="00AB603D" w:rsidRPr="00BF7792" w14:paraId="7CEAD8B1" w14:textId="77777777" w:rsidTr="002A0081">
        <w:trPr>
          <w:jc w:val="center"/>
        </w:trPr>
        <w:tc>
          <w:tcPr>
            <w:tcW w:w="85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6AA9E636" w14:textId="24ED1392" w:rsidR="00AB603D" w:rsidRPr="00BF7792" w:rsidRDefault="00AB603D" w:rsidP="00AB603D">
            <w:pPr>
              <w:widowControl w:val="0"/>
              <w:autoSpaceDE w:val="0"/>
              <w:autoSpaceDN w:val="0"/>
              <w:adjustRightInd w:val="0"/>
              <w:spacing w:before="120"/>
              <w:ind w:right="77"/>
              <w:jc w:val="center"/>
              <w:rPr>
                <w:rFonts w:cs="Arial"/>
                <w:b/>
                <w:sz w:val="16"/>
                <w:szCs w:val="16"/>
              </w:rPr>
            </w:pPr>
            <w:r w:rsidRPr="00BF7792">
              <w:rPr>
                <w:rFonts w:cs="Arial"/>
                <w:b/>
                <w:sz w:val="16"/>
                <w:szCs w:val="16"/>
              </w:rPr>
              <w:t>2011</w:t>
            </w:r>
          </w:p>
        </w:tc>
        <w:tc>
          <w:tcPr>
            <w:tcW w:w="1134"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12F185D4" w14:textId="777D99AA" w:rsidR="00AB603D" w:rsidRPr="00BF7792" w:rsidRDefault="00AB603D" w:rsidP="00E5733C">
            <w:pPr>
              <w:widowControl w:val="0"/>
              <w:autoSpaceDE w:val="0"/>
              <w:autoSpaceDN w:val="0"/>
              <w:adjustRightInd w:val="0"/>
              <w:spacing w:before="120"/>
              <w:jc w:val="center"/>
              <w:rPr>
                <w:rFonts w:cs="Arial"/>
                <w:b/>
                <w:sz w:val="16"/>
                <w:szCs w:val="16"/>
              </w:rPr>
            </w:pPr>
            <w:r w:rsidRPr="00BF7792">
              <w:rPr>
                <w:rFonts w:cs="Arial"/>
                <w:b/>
                <w:sz w:val="16"/>
                <w:szCs w:val="16"/>
              </w:rPr>
              <w:t>Bank</w:t>
            </w:r>
          </w:p>
        </w:tc>
        <w:tc>
          <w:tcPr>
            <w:tcW w:w="2121"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7F372971" w14:textId="69688DC1" w:rsidR="00AB603D" w:rsidRPr="00BF7792" w:rsidRDefault="00F71212" w:rsidP="00380439">
            <w:pPr>
              <w:widowControl w:val="0"/>
              <w:autoSpaceDE w:val="0"/>
              <w:autoSpaceDN w:val="0"/>
              <w:adjustRightInd w:val="0"/>
              <w:spacing w:before="120"/>
              <w:jc w:val="center"/>
              <w:rPr>
                <w:rFonts w:cs="Arial"/>
                <w:b/>
                <w:sz w:val="16"/>
                <w:szCs w:val="16"/>
              </w:rPr>
            </w:pPr>
            <w:r w:rsidRPr="00BF7792">
              <w:rPr>
                <w:rFonts w:cs="Arial"/>
                <w:b/>
                <w:sz w:val="16"/>
                <w:szCs w:val="16"/>
              </w:rPr>
              <w:t>---</w:t>
            </w:r>
          </w:p>
        </w:tc>
        <w:tc>
          <w:tcPr>
            <w:tcW w:w="255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023DC220" w14:textId="22E69A76" w:rsidR="00AB603D" w:rsidRPr="00BF7792" w:rsidRDefault="00F71212" w:rsidP="00F71212">
            <w:pPr>
              <w:widowControl w:val="0"/>
              <w:tabs>
                <w:tab w:val="decimal" w:pos="648"/>
              </w:tabs>
              <w:autoSpaceDE w:val="0"/>
              <w:autoSpaceDN w:val="0"/>
              <w:adjustRightInd w:val="0"/>
              <w:spacing w:before="120"/>
              <w:jc w:val="center"/>
              <w:rPr>
                <w:rFonts w:cs="Arial"/>
                <w:b/>
                <w:sz w:val="16"/>
                <w:szCs w:val="16"/>
              </w:rPr>
            </w:pPr>
            <w:r w:rsidRPr="00BF7792">
              <w:rPr>
                <w:rFonts w:cs="Arial"/>
                <w:b/>
                <w:sz w:val="16"/>
                <w:szCs w:val="16"/>
              </w:rPr>
              <w:t>---</w:t>
            </w:r>
          </w:p>
        </w:tc>
        <w:tc>
          <w:tcPr>
            <w:tcW w:w="227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164CF2A9" w14:textId="03C05F96" w:rsidR="00AB603D" w:rsidRPr="00BF7792"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BF7792" w14:paraId="35ABD30C" w14:textId="77777777" w:rsidTr="002A0081">
        <w:trPr>
          <w:jc w:val="center"/>
        </w:trPr>
        <w:tc>
          <w:tcPr>
            <w:tcW w:w="85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1264D6A4" w14:textId="77777777" w:rsidR="00AB603D" w:rsidRPr="00BF7792"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418AFBB0" w14:textId="6A63DA26" w:rsidR="00AB603D" w:rsidRPr="00BF7792" w:rsidRDefault="00AB603D" w:rsidP="00E5733C">
            <w:pPr>
              <w:widowControl w:val="0"/>
              <w:autoSpaceDE w:val="0"/>
              <w:autoSpaceDN w:val="0"/>
              <w:adjustRightInd w:val="0"/>
              <w:spacing w:before="120"/>
              <w:jc w:val="center"/>
              <w:rPr>
                <w:rFonts w:cs="Arial"/>
                <w:b/>
                <w:sz w:val="16"/>
                <w:szCs w:val="16"/>
              </w:rPr>
            </w:pPr>
            <w:r w:rsidRPr="00BF7792">
              <w:rPr>
                <w:rFonts w:cs="Arial"/>
                <w:b/>
                <w:sz w:val="16"/>
                <w:szCs w:val="16"/>
              </w:rPr>
              <w:t>Group</w:t>
            </w:r>
          </w:p>
        </w:tc>
        <w:tc>
          <w:tcPr>
            <w:tcW w:w="2121"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21C72689" w14:textId="18389868" w:rsidR="00AB603D" w:rsidRPr="00BF7792" w:rsidRDefault="00F71212" w:rsidP="00380439">
            <w:pPr>
              <w:widowControl w:val="0"/>
              <w:autoSpaceDE w:val="0"/>
              <w:autoSpaceDN w:val="0"/>
              <w:adjustRightInd w:val="0"/>
              <w:spacing w:before="120"/>
              <w:jc w:val="center"/>
              <w:rPr>
                <w:rFonts w:cs="Arial"/>
                <w:b/>
                <w:sz w:val="16"/>
                <w:szCs w:val="16"/>
              </w:rPr>
            </w:pPr>
            <w:r w:rsidRPr="00BF7792">
              <w:rPr>
                <w:rFonts w:cs="Arial"/>
                <w:b/>
                <w:sz w:val="16"/>
                <w:szCs w:val="16"/>
              </w:rPr>
              <w:t>34 936 000</w:t>
            </w:r>
          </w:p>
        </w:tc>
        <w:tc>
          <w:tcPr>
            <w:tcW w:w="255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701E1B86" w14:textId="316DED12" w:rsidR="00AB603D" w:rsidRPr="00BF7792" w:rsidRDefault="00F71212" w:rsidP="00F71212">
            <w:pPr>
              <w:widowControl w:val="0"/>
              <w:tabs>
                <w:tab w:val="decimal" w:pos="648"/>
              </w:tabs>
              <w:autoSpaceDE w:val="0"/>
              <w:autoSpaceDN w:val="0"/>
              <w:adjustRightInd w:val="0"/>
              <w:spacing w:before="120"/>
              <w:jc w:val="center"/>
              <w:rPr>
                <w:rFonts w:cs="Arial"/>
                <w:b/>
                <w:sz w:val="16"/>
                <w:szCs w:val="16"/>
              </w:rPr>
            </w:pPr>
            <w:r w:rsidRPr="00BF7792">
              <w:rPr>
                <w:rFonts w:cs="Arial"/>
                <w:b/>
                <w:sz w:val="16"/>
                <w:szCs w:val="16"/>
              </w:rPr>
              <w:t>68 134 000</w:t>
            </w:r>
          </w:p>
        </w:tc>
        <w:tc>
          <w:tcPr>
            <w:tcW w:w="2270"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14:paraId="4E12E801" w14:textId="07E66C04" w:rsidR="00AB603D" w:rsidRPr="00BF7792" w:rsidRDefault="00F71212" w:rsidP="00380439">
            <w:pPr>
              <w:widowControl w:val="0"/>
              <w:autoSpaceDE w:val="0"/>
              <w:autoSpaceDN w:val="0"/>
              <w:adjustRightInd w:val="0"/>
              <w:spacing w:before="120"/>
              <w:ind w:right="107"/>
              <w:jc w:val="center"/>
              <w:rPr>
                <w:rFonts w:cs="Arial"/>
                <w:b/>
                <w:sz w:val="16"/>
                <w:szCs w:val="16"/>
              </w:rPr>
            </w:pPr>
            <w:r w:rsidRPr="00BF7792">
              <w:rPr>
                <w:rFonts w:cs="Arial"/>
                <w:b/>
                <w:sz w:val="16"/>
                <w:szCs w:val="16"/>
              </w:rPr>
              <w:t>(33 198 000) Loss</w:t>
            </w:r>
          </w:p>
        </w:tc>
      </w:tr>
      <w:tr w:rsidR="00AB603D" w:rsidRPr="0011040F" w14:paraId="60A200D2"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1BCC4DF3" w14:textId="6A0F4027" w:rsidR="00AB603D" w:rsidRPr="0011040F" w:rsidRDefault="00AB603D" w:rsidP="00AB603D">
            <w:pPr>
              <w:widowControl w:val="0"/>
              <w:autoSpaceDE w:val="0"/>
              <w:autoSpaceDN w:val="0"/>
              <w:adjustRightInd w:val="0"/>
              <w:spacing w:before="120"/>
              <w:ind w:right="77"/>
              <w:jc w:val="center"/>
              <w:rPr>
                <w:rFonts w:cs="Arial"/>
                <w:b/>
                <w:sz w:val="16"/>
                <w:szCs w:val="16"/>
              </w:rPr>
            </w:pPr>
            <w:r>
              <w:rPr>
                <w:rFonts w:cs="Arial"/>
                <w:b/>
                <w:sz w:val="16"/>
                <w:szCs w:val="16"/>
              </w:rPr>
              <w:t>2012</w:t>
            </w:r>
          </w:p>
        </w:tc>
        <w:tc>
          <w:tcPr>
            <w:tcW w:w="1134" w:type="dxa"/>
            <w:tcBorders>
              <w:top w:val="single" w:sz="5" w:space="0" w:color="auto"/>
              <w:left w:val="single" w:sz="5" w:space="0" w:color="auto"/>
              <w:bottom w:val="single" w:sz="5" w:space="0" w:color="auto"/>
              <w:right w:val="single" w:sz="5" w:space="0" w:color="auto"/>
            </w:tcBorders>
            <w:vAlign w:val="center"/>
          </w:tcPr>
          <w:p w14:paraId="07D72DE9" w14:textId="287D0273"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237EB7A0" w14:textId="4BCB8C95" w:rsidR="00AB603D" w:rsidRDefault="006764F9" w:rsidP="00380439">
            <w:pPr>
              <w:widowControl w:val="0"/>
              <w:autoSpaceDE w:val="0"/>
              <w:autoSpaceDN w:val="0"/>
              <w:adjustRightInd w:val="0"/>
              <w:spacing w:before="120"/>
              <w:jc w:val="center"/>
              <w:rPr>
                <w:rFonts w:cs="Arial"/>
                <w:sz w:val="16"/>
                <w:szCs w:val="16"/>
              </w:rPr>
            </w:pPr>
            <w:r w:rsidRPr="006764F9">
              <w:rPr>
                <w:rFonts w:cs="Arial"/>
                <w:sz w:val="16"/>
                <w:szCs w:val="16"/>
              </w:rPr>
              <w:t>74</w:t>
            </w:r>
            <w:r>
              <w:rPr>
                <w:rFonts w:cs="Arial"/>
                <w:sz w:val="16"/>
                <w:szCs w:val="16"/>
              </w:rPr>
              <w:t> </w:t>
            </w:r>
            <w:r w:rsidRPr="006764F9">
              <w:rPr>
                <w:rFonts w:cs="Arial"/>
                <w:sz w:val="16"/>
                <w:szCs w:val="16"/>
              </w:rPr>
              <w:t>572</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4F574406" w14:textId="1C326B97" w:rsidR="00AB603D" w:rsidRPr="00F71212" w:rsidRDefault="006764F9" w:rsidP="00F71212">
            <w:pPr>
              <w:widowControl w:val="0"/>
              <w:tabs>
                <w:tab w:val="decimal" w:pos="648"/>
              </w:tabs>
              <w:autoSpaceDE w:val="0"/>
              <w:autoSpaceDN w:val="0"/>
              <w:adjustRightInd w:val="0"/>
              <w:spacing w:before="120"/>
              <w:jc w:val="center"/>
              <w:rPr>
                <w:rFonts w:cs="Arial"/>
                <w:bCs/>
                <w:sz w:val="16"/>
                <w:szCs w:val="16"/>
              </w:rPr>
            </w:pPr>
            <w:r w:rsidRPr="006764F9">
              <w:rPr>
                <w:rFonts w:cs="Arial"/>
                <w:bCs/>
                <w:sz w:val="16"/>
                <w:szCs w:val="16"/>
              </w:rPr>
              <w:t>9</w:t>
            </w:r>
            <w:r>
              <w:rPr>
                <w:rFonts w:cs="Arial"/>
                <w:bCs/>
                <w:sz w:val="16"/>
                <w:szCs w:val="16"/>
              </w:rPr>
              <w:t> </w:t>
            </w:r>
            <w:r w:rsidRPr="006764F9">
              <w:rPr>
                <w:rFonts w:cs="Arial"/>
                <w:bCs/>
                <w:sz w:val="16"/>
                <w:szCs w:val="16"/>
              </w:rPr>
              <w:t>783</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61D97E48" w14:textId="77777777" w:rsidR="00AB603D" w:rsidRPr="00F71212"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6E869BA6"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420653A0"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07C30B14" w14:textId="18748DC3"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0F9FE24E" w14:textId="7DFB8A1A" w:rsidR="00AB603D" w:rsidRDefault="00380439" w:rsidP="00380439">
            <w:pPr>
              <w:widowControl w:val="0"/>
              <w:autoSpaceDE w:val="0"/>
              <w:autoSpaceDN w:val="0"/>
              <w:adjustRightInd w:val="0"/>
              <w:spacing w:before="120"/>
              <w:jc w:val="center"/>
              <w:rPr>
                <w:rFonts w:cs="Arial"/>
                <w:sz w:val="16"/>
                <w:szCs w:val="16"/>
              </w:rPr>
            </w:pPr>
            <w:r w:rsidRPr="00380439">
              <w:rPr>
                <w:rFonts w:cs="Arial"/>
                <w:sz w:val="16"/>
                <w:szCs w:val="16"/>
              </w:rPr>
              <w:t>87</w:t>
            </w:r>
            <w:r>
              <w:rPr>
                <w:rFonts w:cs="Arial"/>
                <w:sz w:val="16"/>
                <w:szCs w:val="16"/>
              </w:rPr>
              <w:t> </w:t>
            </w:r>
            <w:r w:rsidRPr="00380439">
              <w:rPr>
                <w:rFonts w:cs="Arial"/>
                <w:sz w:val="16"/>
                <w:szCs w:val="16"/>
              </w:rPr>
              <w:t>700</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03B97606" w14:textId="13D66D49" w:rsidR="00AB603D" w:rsidRPr="00F71212" w:rsidRDefault="00380439" w:rsidP="00F71212">
            <w:pPr>
              <w:widowControl w:val="0"/>
              <w:tabs>
                <w:tab w:val="decimal" w:pos="648"/>
              </w:tabs>
              <w:autoSpaceDE w:val="0"/>
              <w:autoSpaceDN w:val="0"/>
              <w:adjustRightInd w:val="0"/>
              <w:spacing w:before="120"/>
              <w:jc w:val="center"/>
              <w:rPr>
                <w:rFonts w:cs="Arial"/>
                <w:bCs/>
                <w:sz w:val="16"/>
                <w:szCs w:val="16"/>
              </w:rPr>
            </w:pPr>
            <w:r w:rsidRPr="00380439">
              <w:rPr>
                <w:rFonts w:cs="Arial"/>
                <w:bCs/>
                <w:sz w:val="16"/>
                <w:szCs w:val="16"/>
              </w:rPr>
              <w:t>122</w:t>
            </w:r>
            <w:r>
              <w:rPr>
                <w:rFonts w:cs="Arial"/>
                <w:bCs/>
                <w:sz w:val="16"/>
                <w:szCs w:val="16"/>
              </w:rPr>
              <w:t> </w:t>
            </w:r>
            <w:r w:rsidRPr="00380439">
              <w:rPr>
                <w:rFonts w:cs="Arial"/>
                <w:bCs/>
                <w:sz w:val="16"/>
                <w:szCs w:val="16"/>
              </w:rPr>
              <w:t>722</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7CF173AE"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6764F9" w:rsidRPr="0011040F" w14:paraId="232DA6DA"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41B8D670" w14:textId="77777777" w:rsidR="006764F9" w:rsidRPr="0011040F" w:rsidRDefault="006764F9"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6B075A01" w14:textId="3AC64F57" w:rsidR="006764F9" w:rsidRDefault="00380439" w:rsidP="00E5733C">
            <w:pPr>
              <w:widowControl w:val="0"/>
              <w:autoSpaceDE w:val="0"/>
              <w:autoSpaceDN w:val="0"/>
              <w:adjustRightInd w:val="0"/>
              <w:spacing w:before="120"/>
              <w:jc w:val="center"/>
              <w:rPr>
                <w:rFonts w:cs="Arial"/>
                <w:sz w:val="16"/>
                <w:szCs w:val="16"/>
              </w:rPr>
            </w:pPr>
            <w:r>
              <w:rPr>
                <w:rFonts w:cs="Arial"/>
                <w:sz w:val="16"/>
                <w:szCs w:val="16"/>
              </w:rPr>
              <w:t>Other</w:t>
            </w:r>
          </w:p>
        </w:tc>
        <w:tc>
          <w:tcPr>
            <w:tcW w:w="2121" w:type="dxa"/>
            <w:tcBorders>
              <w:top w:val="single" w:sz="5" w:space="0" w:color="auto"/>
              <w:left w:val="single" w:sz="5" w:space="0" w:color="auto"/>
              <w:bottom w:val="single" w:sz="5" w:space="0" w:color="auto"/>
              <w:right w:val="single" w:sz="5" w:space="0" w:color="auto"/>
            </w:tcBorders>
            <w:vAlign w:val="center"/>
          </w:tcPr>
          <w:p w14:paraId="1414D7F8" w14:textId="10CBD586" w:rsidR="006764F9" w:rsidRDefault="00380439" w:rsidP="00380439">
            <w:pPr>
              <w:widowControl w:val="0"/>
              <w:autoSpaceDE w:val="0"/>
              <w:autoSpaceDN w:val="0"/>
              <w:adjustRightInd w:val="0"/>
              <w:spacing w:before="120"/>
              <w:jc w:val="center"/>
              <w:rPr>
                <w:rFonts w:cs="Arial"/>
                <w:sz w:val="16"/>
                <w:szCs w:val="16"/>
              </w:rPr>
            </w:pPr>
            <w:r>
              <w:rPr>
                <w:rFonts w:cs="Arial"/>
                <w:sz w:val="16"/>
                <w:szCs w:val="16"/>
              </w:rPr>
              <w:t>3 000</w:t>
            </w:r>
          </w:p>
        </w:tc>
        <w:tc>
          <w:tcPr>
            <w:tcW w:w="2550" w:type="dxa"/>
            <w:tcBorders>
              <w:top w:val="single" w:sz="5" w:space="0" w:color="auto"/>
              <w:left w:val="single" w:sz="5" w:space="0" w:color="auto"/>
              <w:bottom w:val="single" w:sz="5" w:space="0" w:color="auto"/>
              <w:right w:val="single" w:sz="5" w:space="0" w:color="auto"/>
            </w:tcBorders>
            <w:vAlign w:val="center"/>
          </w:tcPr>
          <w:p w14:paraId="7EAE0574" w14:textId="53FA6B30" w:rsidR="006764F9" w:rsidRPr="00F71212" w:rsidRDefault="00380439" w:rsidP="00F71212">
            <w:pPr>
              <w:widowControl w:val="0"/>
              <w:tabs>
                <w:tab w:val="decimal" w:pos="648"/>
              </w:tabs>
              <w:autoSpaceDE w:val="0"/>
              <w:autoSpaceDN w:val="0"/>
              <w:adjustRightInd w:val="0"/>
              <w:spacing w:before="120"/>
              <w:jc w:val="center"/>
              <w:rPr>
                <w:rFonts w:cs="Arial"/>
                <w:bCs/>
                <w:sz w:val="16"/>
                <w:szCs w:val="16"/>
              </w:rPr>
            </w:pPr>
            <w:r w:rsidRPr="00380439">
              <w:rPr>
                <w:rFonts w:cs="Arial"/>
                <w:bCs/>
                <w:sz w:val="16"/>
                <w:szCs w:val="16"/>
              </w:rPr>
              <w:t>156</w:t>
            </w:r>
            <w:r>
              <w:rPr>
                <w:rFonts w:cs="Arial"/>
                <w:bCs/>
                <w:sz w:val="16"/>
                <w:szCs w:val="16"/>
              </w:rPr>
              <w:t> 000</w:t>
            </w:r>
            <w:r w:rsidRPr="00380439">
              <w:rPr>
                <w:rFonts w:cs="Arial"/>
                <w:bCs/>
                <w:sz w:val="16"/>
                <w:szCs w:val="16"/>
              </w:rPr>
              <w:t xml:space="preserve">       </w:t>
            </w:r>
          </w:p>
        </w:tc>
        <w:tc>
          <w:tcPr>
            <w:tcW w:w="2270" w:type="dxa"/>
            <w:tcBorders>
              <w:top w:val="single" w:sz="5" w:space="0" w:color="auto"/>
              <w:left w:val="single" w:sz="5" w:space="0" w:color="auto"/>
              <w:bottom w:val="single" w:sz="5" w:space="0" w:color="auto"/>
              <w:right w:val="single" w:sz="5" w:space="0" w:color="auto"/>
            </w:tcBorders>
            <w:vAlign w:val="center"/>
          </w:tcPr>
          <w:p w14:paraId="75143477" w14:textId="507A345F" w:rsidR="006764F9" w:rsidRPr="00475769" w:rsidRDefault="00380439" w:rsidP="00380439">
            <w:pPr>
              <w:widowControl w:val="0"/>
              <w:autoSpaceDE w:val="0"/>
              <w:autoSpaceDN w:val="0"/>
              <w:adjustRightInd w:val="0"/>
              <w:spacing w:before="120"/>
              <w:ind w:right="107"/>
              <w:jc w:val="center"/>
              <w:rPr>
                <w:rFonts w:cs="Arial"/>
                <w:b/>
                <w:sz w:val="16"/>
                <w:szCs w:val="16"/>
              </w:rPr>
            </w:pPr>
            <w:r w:rsidRPr="00380439">
              <w:rPr>
                <w:rFonts w:cs="Arial"/>
                <w:b/>
                <w:sz w:val="16"/>
                <w:szCs w:val="16"/>
              </w:rPr>
              <w:t>29</w:t>
            </w:r>
            <w:r>
              <w:rPr>
                <w:rFonts w:cs="Arial"/>
                <w:b/>
                <w:sz w:val="16"/>
                <w:szCs w:val="16"/>
              </w:rPr>
              <w:t> </w:t>
            </w:r>
            <w:r w:rsidRPr="00380439">
              <w:rPr>
                <w:rFonts w:cs="Arial"/>
                <w:b/>
                <w:sz w:val="16"/>
                <w:szCs w:val="16"/>
              </w:rPr>
              <w:t>584</w:t>
            </w:r>
            <w:r>
              <w:rPr>
                <w:rFonts w:cs="Arial"/>
                <w:b/>
                <w:sz w:val="16"/>
                <w:szCs w:val="16"/>
              </w:rPr>
              <w:t> 000</w:t>
            </w:r>
          </w:p>
        </w:tc>
      </w:tr>
      <w:tr w:rsidR="00AB603D" w:rsidRPr="0011040F" w14:paraId="4D6180FE"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4BDBFC79" w14:textId="17200E95" w:rsidR="00AB603D" w:rsidRPr="0011040F" w:rsidRDefault="00AB603D" w:rsidP="00AB603D">
            <w:pPr>
              <w:widowControl w:val="0"/>
              <w:autoSpaceDE w:val="0"/>
              <w:autoSpaceDN w:val="0"/>
              <w:adjustRightInd w:val="0"/>
              <w:spacing w:before="120"/>
              <w:ind w:right="77"/>
              <w:jc w:val="center"/>
              <w:rPr>
                <w:rFonts w:cs="Arial"/>
                <w:b/>
                <w:sz w:val="16"/>
                <w:szCs w:val="16"/>
              </w:rPr>
            </w:pPr>
            <w:r>
              <w:rPr>
                <w:rFonts w:cs="Arial"/>
                <w:b/>
                <w:sz w:val="16"/>
                <w:szCs w:val="16"/>
              </w:rPr>
              <w:t>2013</w:t>
            </w:r>
          </w:p>
        </w:tc>
        <w:tc>
          <w:tcPr>
            <w:tcW w:w="1134" w:type="dxa"/>
            <w:tcBorders>
              <w:top w:val="single" w:sz="5" w:space="0" w:color="auto"/>
              <w:left w:val="single" w:sz="5" w:space="0" w:color="auto"/>
              <w:bottom w:val="single" w:sz="5" w:space="0" w:color="auto"/>
              <w:right w:val="single" w:sz="5" w:space="0" w:color="auto"/>
            </w:tcBorders>
            <w:vAlign w:val="center"/>
          </w:tcPr>
          <w:p w14:paraId="51718699" w14:textId="5ED3BAA3"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020729CD" w14:textId="5EFE174C" w:rsidR="00AB603D" w:rsidRDefault="00380439" w:rsidP="00475769">
            <w:pPr>
              <w:widowControl w:val="0"/>
              <w:autoSpaceDE w:val="0"/>
              <w:autoSpaceDN w:val="0"/>
              <w:adjustRightInd w:val="0"/>
              <w:spacing w:before="120"/>
              <w:jc w:val="center"/>
              <w:rPr>
                <w:rFonts w:cs="Arial"/>
                <w:sz w:val="16"/>
                <w:szCs w:val="16"/>
              </w:rPr>
            </w:pPr>
            <w:r w:rsidRPr="00380439">
              <w:rPr>
                <w:rFonts w:cs="Arial"/>
                <w:sz w:val="16"/>
                <w:szCs w:val="16"/>
              </w:rPr>
              <w:t>79</w:t>
            </w:r>
            <w:r>
              <w:rPr>
                <w:rFonts w:cs="Arial"/>
                <w:sz w:val="16"/>
                <w:szCs w:val="16"/>
              </w:rPr>
              <w:t> </w:t>
            </w:r>
            <w:r w:rsidRPr="00380439">
              <w:rPr>
                <w:rFonts w:cs="Arial"/>
                <w:sz w:val="16"/>
                <w:szCs w:val="16"/>
              </w:rPr>
              <w:t>787</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67DB3F57" w14:textId="5513A281" w:rsidR="00AB603D" w:rsidRPr="00F71212" w:rsidRDefault="00380439" w:rsidP="00380439">
            <w:pPr>
              <w:widowControl w:val="0"/>
              <w:autoSpaceDE w:val="0"/>
              <w:autoSpaceDN w:val="0"/>
              <w:adjustRightInd w:val="0"/>
              <w:spacing w:before="120"/>
              <w:jc w:val="center"/>
              <w:rPr>
                <w:rFonts w:cs="Arial"/>
                <w:bCs/>
                <w:sz w:val="16"/>
                <w:szCs w:val="16"/>
              </w:rPr>
            </w:pPr>
            <w:r w:rsidRPr="00380439">
              <w:rPr>
                <w:rFonts w:cs="Arial"/>
                <w:bCs/>
                <w:sz w:val="16"/>
                <w:szCs w:val="16"/>
              </w:rPr>
              <w:t>27</w:t>
            </w:r>
            <w:r>
              <w:rPr>
                <w:rFonts w:cs="Arial"/>
                <w:bCs/>
                <w:sz w:val="16"/>
                <w:szCs w:val="16"/>
              </w:rPr>
              <w:t xml:space="preserve"> </w:t>
            </w:r>
            <w:r w:rsidRPr="00380439">
              <w:rPr>
                <w:rFonts w:cs="Arial"/>
                <w:bCs/>
                <w:sz w:val="16"/>
                <w:szCs w:val="16"/>
              </w:rPr>
              <w:t>182</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6119CA57"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70482FDD"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309E72CE"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49A71D34" w14:textId="26A97292"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5CA74DB0" w14:textId="4CDF0F53" w:rsidR="00AB603D" w:rsidRDefault="00E5733C" w:rsidP="00E5733C">
            <w:pPr>
              <w:widowControl w:val="0"/>
              <w:autoSpaceDE w:val="0"/>
              <w:autoSpaceDN w:val="0"/>
              <w:adjustRightInd w:val="0"/>
              <w:spacing w:before="120"/>
              <w:jc w:val="center"/>
              <w:rPr>
                <w:rFonts w:cs="Arial"/>
                <w:sz w:val="16"/>
                <w:szCs w:val="16"/>
              </w:rPr>
            </w:pPr>
            <w:r w:rsidRPr="00E5733C">
              <w:rPr>
                <w:rFonts w:cs="Arial"/>
                <w:sz w:val="16"/>
                <w:szCs w:val="16"/>
              </w:rPr>
              <w:t>42</w:t>
            </w:r>
            <w:r>
              <w:rPr>
                <w:rFonts w:cs="Arial"/>
                <w:sz w:val="16"/>
                <w:szCs w:val="16"/>
              </w:rPr>
              <w:t> </w:t>
            </w:r>
            <w:r w:rsidRPr="00E5733C">
              <w:rPr>
                <w:rFonts w:cs="Arial"/>
                <w:sz w:val="16"/>
                <w:szCs w:val="16"/>
              </w:rPr>
              <w:t>460</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195C322E" w14:textId="411274B6" w:rsidR="00AB603D" w:rsidRPr="00F71212" w:rsidRDefault="00E5733C" w:rsidP="00E5733C">
            <w:pPr>
              <w:widowControl w:val="0"/>
              <w:autoSpaceDE w:val="0"/>
              <w:autoSpaceDN w:val="0"/>
              <w:adjustRightInd w:val="0"/>
              <w:spacing w:before="120"/>
              <w:jc w:val="center"/>
              <w:rPr>
                <w:rFonts w:cs="Arial"/>
                <w:bCs/>
                <w:sz w:val="16"/>
                <w:szCs w:val="16"/>
              </w:rPr>
            </w:pPr>
            <w:r w:rsidRPr="00E5733C">
              <w:rPr>
                <w:rFonts w:cs="Arial"/>
                <w:bCs/>
                <w:sz w:val="16"/>
                <w:szCs w:val="16"/>
              </w:rPr>
              <w:t>102</w:t>
            </w:r>
            <w:r>
              <w:rPr>
                <w:rFonts w:cs="Arial"/>
                <w:bCs/>
                <w:sz w:val="16"/>
                <w:szCs w:val="16"/>
              </w:rPr>
              <w:t> </w:t>
            </w:r>
            <w:r w:rsidRPr="00E5733C">
              <w:rPr>
                <w:rFonts w:cs="Arial"/>
                <w:bCs/>
                <w:sz w:val="16"/>
                <w:szCs w:val="16"/>
              </w:rPr>
              <w:t>723</w:t>
            </w:r>
            <w:r>
              <w:rPr>
                <w:rFonts w:cs="Arial"/>
                <w:bCs/>
                <w:sz w:val="16"/>
                <w:szCs w:val="16"/>
              </w:rPr>
              <w:t xml:space="preserve"> 000</w:t>
            </w:r>
          </w:p>
        </w:tc>
        <w:tc>
          <w:tcPr>
            <w:tcW w:w="2270" w:type="dxa"/>
            <w:tcBorders>
              <w:top w:val="single" w:sz="5" w:space="0" w:color="auto"/>
              <w:left w:val="single" w:sz="5" w:space="0" w:color="auto"/>
              <w:bottom w:val="single" w:sz="5" w:space="0" w:color="auto"/>
              <w:right w:val="single" w:sz="5" w:space="0" w:color="auto"/>
            </w:tcBorders>
            <w:vAlign w:val="center"/>
          </w:tcPr>
          <w:p w14:paraId="00FDCF01"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E5733C" w:rsidRPr="0011040F" w14:paraId="24C8AF26"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418EC066" w14:textId="77777777" w:rsidR="00E5733C" w:rsidRPr="0011040F" w:rsidRDefault="00E5733C"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1C77EC56" w14:textId="58C691C3" w:rsidR="00E5733C" w:rsidRDefault="00E5733C" w:rsidP="00E5733C">
            <w:pPr>
              <w:widowControl w:val="0"/>
              <w:autoSpaceDE w:val="0"/>
              <w:autoSpaceDN w:val="0"/>
              <w:adjustRightInd w:val="0"/>
              <w:spacing w:before="120"/>
              <w:jc w:val="center"/>
              <w:rPr>
                <w:rFonts w:cs="Arial"/>
                <w:sz w:val="16"/>
                <w:szCs w:val="16"/>
              </w:rPr>
            </w:pPr>
            <w:r>
              <w:rPr>
                <w:rFonts w:cs="Arial"/>
                <w:sz w:val="16"/>
                <w:szCs w:val="16"/>
              </w:rPr>
              <w:t>Other</w:t>
            </w:r>
          </w:p>
        </w:tc>
        <w:tc>
          <w:tcPr>
            <w:tcW w:w="2121" w:type="dxa"/>
            <w:tcBorders>
              <w:top w:val="single" w:sz="5" w:space="0" w:color="auto"/>
              <w:left w:val="single" w:sz="5" w:space="0" w:color="auto"/>
              <w:bottom w:val="single" w:sz="5" w:space="0" w:color="auto"/>
              <w:right w:val="single" w:sz="5" w:space="0" w:color="auto"/>
            </w:tcBorders>
            <w:vAlign w:val="center"/>
          </w:tcPr>
          <w:p w14:paraId="3FB26C92" w14:textId="722FA2C2" w:rsidR="00E5733C" w:rsidRPr="00E5733C" w:rsidRDefault="00E5733C" w:rsidP="00E5733C">
            <w:pPr>
              <w:widowControl w:val="0"/>
              <w:autoSpaceDE w:val="0"/>
              <w:autoSpaceDN w:val="0"/>
              <w:adjustRightInd w:val="0"/>
              <w:spacing w:before="120"/>
              <w:jc w:val="center"/>
              <w:rPr>
                <w:rFonts w:cs="Arial"/>
                <w:sz w:val="16"/>
                <w:szCs w:val="16"/>
              </w:rPr>
            </w:pPr>
            <w:r>
              <w:rPr>
                <w:rFonts w:cs="Arial"/>
                <w:sz w:val="16"/>
                <w:szCs w:val="16"/>
              </w:rPr>
              <w:t>---</w:t>
            </w:r>
          </w:p>
        </w:tc>
        <w:tc>
          <w:tcPr>
            <w:tcW w:w="2550" w:type="dxa"/>
            <w:tcBorders>
              <w:top w:val="single" w:sz="5" w:space="0" w:color="auto"/>
              <w:left w:val="single" w:sz="5" w:space="0" w:color="auto"/>
              <w:bottom w:val="single" w:sz="5" w:space="0" w:color="auto"/>
              <w:right w:val="single" w:sz="5" w:space="0" w:color="auto"/>
            </w:tcBorders>
            <w:vAlign w:val="center"/>
          </w:tcPr>
          <w:p w14:paraId="3AFBE1E6" w14:textId="698B759D" w:rsidR="00E5733C" w:rsidRPr="00E5733C" w:rsidRDefault="00E5733C" w:rsidP="00E5733C">
            <w:pPr>
              <w:widowControl w:val="0"/>
              <w:autoSpaceDE w:val="0"/>
              <w:autoSpaceDN w:val="0"/>
              <w:adjustRightInd w:val="0"/>
              <w:spacing w:before="120"/>
              <w:jc w:val="center"/>
              <w:rPr>
                <w:rFonts w:cs="Arial"/>
                <w:bCs/>
                <w:sz w:val="16"/>
                <w:szCs w:val="16"/>
              </w:rPr>
            </w:pPr>
            <w:r w:rsidRPr="00E5733C">
              <w:rPr>
                <w:rFonts w:cs="Arial"/>
                <w:bCs/>
                <w:sz w:val="16"/>
                <w:szCs w:val="16"/>
              </w:rPr>
              <w:t>208</w:t>
            </w:r>
            <w:r>
              <w:rPr>
                <w:rFonts w:cs="Arial"/>
                <w:bCs/>
                <w:sz w:val="16"/>
                <w:szCs w:val="16"/>
              </w:rPr>
              <w:t> 000</w:t>
            </w:r>
            <w:r w:rsidRPr="00E5733C">
              <w:rPr>
                <w:rFonts w:cs="Arial"/>
                <w:bCs/>
                <w:sz w:val="16"/>
                <w:szCs w:val="16"/>
              </w:rPr>
              <w:t xml:space="preserve">       </w:t>
            </w:r>
          </w:p>
        </w:tc>
        <w:tc>
          <w:tcPr>
            <w:tcW w:w="2270" w:type="dxa"/>
            <w:tcBorders>
              <w:top w:val="single" w:sz="5" w:space="0" w:color="auto"/>
              <w:left w:val="single" w:sz="5" w:space="0" w:color="auto"/>
              <w:bottom w:val="single" w:sz="5" w:space="0" w:color="auto"/>
              <w:right w:val="single" w:sz="5" w:space="0" w:color="auto"/>
            </w:tcBorders>
            <w:vAlign w:val="center"/>
          </w:tcPr>
          <w:p w14:paraId="6C160B9E" w14:textId="25DD7DAE" w:rsidR="00E5733C" w:rsidRPr="00475769" w:rsidRDefault="00E5733C" w:rsidP="00E5733C">
            <w:pPr>
              <w:widowControl w:val="0"/>
              <w:autoSpaceDE w:val="0"/>
              <w:autoSpaceDN w:val="0"/>
              <w:adjustRightInd w:val="0"/>
              <w:spacing w:before="120"/>
              <w:ind w:right="107"/>
              <w:jc w:val="center"/>
              <w:rPr>
                <w:rFonts w:cs="Arial"/>
                <w:b/>
                <w:sz w:val="16"/>
                <w:szCs w:val="16"/>
              </w:rPr>
            </w:pPr>
            <w:r>
              <w:rPr>
                <w:rFonts w:cs="Arial"/>
                <w:b/>
                <w:sz w:val="16"/>
                <w:szCs w:val="16"/>
              </w:rPr>
              <w:t>(</w:t>
            </w:r>
            <w:r w:rsidRPr="00E5733C">
              <w:rPr>
                <w:rFonts w:cs="Arial"/>
                <w:b/>
                <w:sz w:val="16"/>
                <w:szCs w:val="16"/>
              </w:rPr>
              <w:t>7</w:t>
            </w:r>
            <w:r>
              <w:rPr>
                <w:rFonts w:cs="Arial"/>
                <w:b/>
                <w:sz w:val="16"/>
                <w:szCs w:val="16"/>
              </w:rPr>
              <w:t> </w:t>
            </w:r>
            <w:r w:rsidRPr="00E5733C">
              <w:rPr>
                <w:rFonts w:cs="Arial"/>
                <w:b/>
                <w:sz w:val="16"/>
                <w:szCs w:val="16"/>
              </w:rPr>
              <w:t>866</w:t>
            </w:r>
            <w:r>
              <w:rPr>
                <w:rFonts w:cs="Arial"/>
                <w:b/>
                <w:sz w:val="16"/>
                <w:szCs w:val="16"/>
              </w:rPr>
              <w:t> 000)</w:t>
            </w:r>
            <w:r w:rsidRPr="00E5733C">
              <w:rPr>
                <w:rFonts w:cs="Arial"/>
                <w:b/>
                <w:sz w:val="16"/>
                <w:szCs w:val="16"/>
              </w:rPr>
              <w:t xml:space="preserve"> </w:t>
            </w:r>
            <w:r>
              <w:rPr>
                <w:rFonts w:cs="Arial"/>
                <w:b/>
                <w:sz w:val="16"/>
                <w:szCs w:val="16"/>
              </w:rPr>
              <w:t>L</w:t>
            </w:r>
            <w:r w:rsidRPr="00E5733C">
              <w:rPr>
                <w:rFonts w:cs="Arial"/>
                <w:b/>
                <w:sz w:val="16"/>
                <w:szCs w:val="16"/>
              </w:rPr>
              <w:t>oss</w:t>
            </w:r>
          </w:p>
        </w:tc>
      </w:tr>
      <w:tr w:rsidR="00AB603D" w:rsidRPr="0011040F" w14:paraId="6A5D4480"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1C6124B7" w14:textId="0BBB4A9E" w:rsidR="00AB603D" w:rsidRPr="0011040F" w:rsidRDefault="00AB603D" w:rsidP="00AB603D">
            <w:pPr>
              <w:widowControl w:val="0"/>
              <w:autoSpaceDE w:val="0"/>
              <w:autoSpaceDN w:val="0"/>
              <w:adjustRightInd w:val="0"/>
              <w:spacing w:before="120"/>
              <w:ind w:right="77"/>
              <w:jc w:val="center"/>
              <w:rPr>
                <w:rFonts w:cs="Arial"/>
                <w:b/>
                <w:sz w:val="16"/>
                <w:szCs w:val="16"/>
              </w:rPr>
            </w:pPr>
            <w:r>
              <w:rPr>
                <w:rFonts w:cs="Arial"/>
                <w:b/>
                <w:sz w:val="16"/>
                <w:szCs w:val="16"/>
              </w:rPr>
              <w:t>2014</w:t>
            </w:r>
          </w:p>
        </w:tc>
        <w:tc>
          <w:tcPr>
            <w:tcW w:w="1134" w:type="dxa"/>
            <w:tcBorders>
              <w:top w:val="single" w:sz="5" w:space="0" w:color="auto"/>
              <w:left w:val="single" w:sz="5" w:space="0" w:color="auto"/>
              <w:bottom w:val="single" w:sz="5" w:space="0" w:color="auto"/>
              <w:right w:val="single" w:sz="5" w:space="0" w:color="auto"/>
            </w:tcBorders>
            <w:vAlign w:val="center"/>
          </w:tcPr>
          <w:p w14:paraId="55CA403E" w14:textId="7BABD647"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2BDA0F4F" w14:textId="75C5A672" w:rsidR="00AB603D" w:rsidRDefault="00E5733C" w:rsidP="00E5733C">
            <w:pPr>
              <w:widowControl w:val="0"/>
              <w:autoSpaceDE w:val="0"/>
              <w:autoSpaceDN w:val="0"/>
              <w:adjustRightInd w:val="0"/>
              <w:spacing w:before="120"/>
              <w:jc w:val="center"/>
              <w:rPr>
                <w:rFonts w:cs="Arial"/>
                <w:sz w:val="16"/>
                <w:szCs w:val="16"/>
              </w:rPr>
            </w:pPr>
            <w:r w:rsidRPr="00E5733C">
              <w:rPr>
                <w:rFonts w:cs="Arial"/>
                <w:sz w:val="16"/>
                <w:szCs w:val="16"/>
              </w:rPr>
              <w:t>84</w:t>
            </w:r>
            <w:r>
              <w:rPr>
                <w:rFonts w:cs="Arial"/>
                <w:sz w:val="16"/>
                <w:szCs w:val="16"/>
              </w:rPr>
              <w:t> </w:t>
            </w:r>
            <w:r w:rsidRPr="00E5733C">
              <w:rPr>
                <w:rFonts w:cs="Arial"/>
                <w:sz w:val="16"/>
                <w:szCs w:val="16"/>
              </w:rPr>
              <w:t>104</w:t>
            </w:r>
            <w:r>
              <w:rPr>
                <w:rFonts w:cs="Arial"/>
                <w:sz w:val="16"/>
                <w:szCs w:val="16"/>
              </w:rPr>
              <w:t> 000</w:t>
            </w:r>
            <w:r w:rsidRPr="00E5733C">
              <w:rPr>
                <w:rFonts w:cs="Arial"/>
                <w:sz w:val="16"/>
                <w:szCs w:val="16"/>
              </w:rPr>
              <w:t xml:space="preserve">            </w:t>
            </w:r>
          </w:p>
        </w:tc>
        <w:tc>
          <w:tcPr>
            <w:tcW w:w="2550" w:type="dxa"/>
            <w:tcBorders>
              <w:top w:val="single" w:sz="5" w:space="0" w:color="auto"/>
              <w:left w:val="single" w:sz="5" w:space="0" w:color="auto"/>
              <w:bottom w:val="single" w:sz="5" w:space="0" w:color="auto"/>
              <w:right w:val="single" w:sz="5" w:space="0" w:color="auto"/>
            </w:tcBorders>
            <w:vAlign w:val="center"/>
          </w:tcPr>
          <w:p w14:paraId="678A08A3" w14:textId="6B825530" w:rsidR="00AB603D" w:rsidRPr="00F71212" w:rsidRDefault="00E5733C" w:rsidP="00E5733C">
            <w:pPr>
              <w:widowControl w:val="0"/>
              <w:autoSpaceDE w:val="0"/>
              <w:autoSpaceDN w:val="0"/>
              <w:adjustRightInd w:val="0"/>
              <w:spacing w:before="120"/>
              <w:jc w:val="center"/>
              <w:rPr>
                <w:rFonts w:cs="Arial"/>
                <w:bCs/>
                <w:sz w:val="16"/>
                <w:szCs w:val="16"/>
              </w:rPr>
            </w:pPr>
            <w:r w:rsidRPr="00E5733C">
              <w:rPr>
                <w:rFonts w:cs="Arial"/>
                <w:bCs/>
                <w:sz w:val="16"/>
                <w:szCs w:val="16"/>
              </w:rPr>
              <w:t>49</w:t>
            </w:r>
            <w:r>
              <w:rPr>
                <w:rFonts w:cs="Arial"/>
                <w:bCs/>
                <w:sz w:val="16"/>
                <w:szCs w:val="16"/>
              </w:rPr>
              <w:t> </w:t>
            </w:r>
            <w:r w:rsidRPr="00E5733C">
              <w:rPr>
                <w:rFonts w:cs="Arial"/>
                <w:bCs/>
                <w:sz w:val="16"/>
                <w:szCs w:val="16"/>
              </w:rPr>
              <w:t>752</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357A453C"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1EFA1C8C"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0C19D6DD"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56549C7F" w14:textId="1F468CCD"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589BB564" w14:textId="600DDED2" w:rsidR="00AB603D" w:rsidRDefault="00E5733C" w:rsidP="00761F79">
            <w:pPr>
              <w:widowControl w:val="0"/>
              <w:autoSpaceDE w:val="0"/>
              <w:autoSpaceDN w:val="0"/>
              <w:adjustRightInd w:val="0"/>
              <w:spacing w:before="120"/>
              <w:jc w:val="center"/>
              <w:rPr>
                <w:rFonts w:cs="Arial"/>
                <w:sz w:val="16"/>
                <w:szCs w:val="16"/>
              </w:rPr>
            </w:pPr>
            <w:r w:rsidRPr="00E5733C">
              <w:rPr>
                <w:rFonts w:cs="Arial"/>
                <w:sz w:val="16"/>
                <w:szCs w:val="16"/>
              </w:rPr>
              <w:t>86</w:t>
            </w:r>
            <w:r w:rsidR="00761F79">
              <w:rPr>
                <w:rFonts w:cs="Arial"/>
                <w:sz w:val="16"/>
                <w:szCs w:val="16"/>
              </w:rPr>
              <w:t> </w:t>
            </w:r>
            <w:r w:rsidRPr="00E5733C">
              <w:rPr>
                <w:rFonts w:cs="Arial"/>
                <w:sz w:val="16"/>
                <w:szCs w:val="16"/>
              </w:rPr>
              <w:t>206</w:t>
            </w:r>
            <w:r w:rsidR="00761F79">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688AA4E0" w14:textId="7B645A14" w:rsidR="00AB603D" w:rsidRPr="00F71212" w:rsidRDefault="00E5733C" w:rsidP="00E5733C">
            <w:pPr>
              <w:widowControl w:val="0"/>
              <w:autoSpaceDE w:val="0"/>
              <w:autoSpaceDN w:val="0"/>
              <w:adjustRightInd w:val="0"/>
              <w:spacing w:before="120"/>
              <w:jc w:val="center"/>
              <w:rPr>
                <w:rFonts w:cs="Arial"/>
                <w:bCs/>
                <w:sz w:val="16"/>
                <w:szCs w:val="16"/>
              </w:rPr>
            </w:pPr>
            <w:r w:rsidRPr="00E5733C">
              <w:rPr>
                <w:rFonts w:cs="Arial"/>
                <w:bCs/>
                <w:sz w:val="16"/>
                <w:szCs w:val="16"/>
              </w:rPr>
              <w:t>120</w:t>
            </w:r>
            <w:r>
              <w:rPr>
                <w:rFonts w:cs="Arial"/>
                <w:bCs/>
                <w:sz w:val="16"/>
                <w:szCs w:val="16"/>
              </w:rPr>
              <w:t xml:space="preserve"> </w:t>
            </w:r>
            <w:r w:rsidRPr="00E5733C">
              <w:rPr>
                <w:rFonts w:cs="Arial"/>
                <w:bCs/>
                <w:sz w:val="16"/>
                <w:szCs w:val="16"/>
              </w:rPr>
              <w:t>330</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29E426A1"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761F79" w:rsidRPr="0011040F" w14:paraId="5080B477"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102C3CB0" w14:textId="77777777" w:rsidR="00761F79" w:rsidRPr="0011040F" w:rsidRDefault="00761F79"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0C20EF4D" w14:textId="406954EC" w:rsidR="00761F79" w:rsidRDefault="00761F79" w:rsidP="00E5733C">
            <w:pPr>
              <w:widowControl w:val="0"/>
              <w:autoSpaceDE w:val="0"/>
              <w:autoSpaceDN w:val="0"/>
              <w:adjustRightInd w:val="0"/>
              <w:spacing w:before="120"/>
              <w:jc w:val="center"/>
              <w:rPr>
                <w:rFonts w:cs="Arial"/>
                <w:sz w:val="16"/>
                <w:szCs w:val="16"/>
              </w:rPr>
            </w:pPr>
            <w:r>
              <w:rPr>
                <w:rFonts w:cs="Arial"/>
                <w:sz w:val="16"/>
                <w:szCs w:val="16"/>
              </w:rPr>
              <w:t>Other</w:t>
            </w:r>
          </w:p>
        </w:tc>
        <w:tc>
          <w:tcPr>
            <w:tcW w:w="2121" w:type="dxa"/>
            <w:tcBorders>
              <w:top w:val="single" w:sz="5" w:space="0" w:color="auto"/>
              <w:left w:val="single" w:sz="5" w:space="0" w:color="auto"/>
              <w:bottom w:val="single" w:sz="5" w:space="0" w:color="auto"/>
              <w:right w:val="single" w:sz="5" w:space="0" w:color="auto"/>
            </w:tcBorders>
            <w:vAlign w:val="center"/>
          </w:tcPr>
          <w:p w14:paraId="66891BC3" w14:textId="75E69CF3" w:rsidR="00761F79" w:rsidRPr="00E5733C" w:rsidRDefault="00761F79" w:rsidP="00761F79">
            <w:pPr>
              <w:widowControl w:val="0"/>
              <w:autoSpaceDE w:val="0"/>
              <w:autoSpaceDN w:val="0"/>
              <w:adjustRightInd w:val="0"/>
              <w:spacing w:before="120"/>
              <w:jc w:val="center"/>
              <w:rPr>
                <w:rFonts w:cs="Arial"/>
                <w:sz w:val="16"/>
                <w:szCs w:val="16"/>
              </w:rPr>
            </w:pPr>
            <w:r w:rsidRPr="00761F79">
              <w:rPr>
                <w:rFonts w:cs="Arial"/>
                <w:sz w:val="16"/>
                <w:szCs w:val="16"/>
              </w:rPr>
              <w:t>108</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34FAE9EC" w14:textId="093958B9" w:rsidR="00761F79" w:rsidRPr="00E5733C" w:rsidRDefault="00761F79" w:rsidP="00E5733C">
            <w:pPr>
              <w:widowControl w:val="0"/>
              <w:autoSpaceDE w:val="0"/>
              <w:autoSpaceDN w:val="0"/>
              <w:adjustRightInd w:val="0"/>
              <w:spacing w:before="120"/>
              <w:jc w:val="center"/>
              <w:rPr>
                <w:rFonts w:cs="Arial"/>
                <w:bCs/>
                <w:sz w:val="16"/>
                <w:szCs w:val="16"/>
              </w:rPr>
            </w:pPr>
            <w:r w:rsidRPr="00761F79">
              <w:rPr>
                <w:rFonts w:cs="Arial"/>
                <w:bCs/>
                <w:sz w:val="16"/>
                <w:szCs w:val="16"/>
              </w:rPr>
              <w:t>230</w:t>
            </w:r>
            <w:r>
              <w:rPr>
                <w:rFonts w:cs="Arial"/>
                <w:bCs/>
                <w:sz w:val="16"/>
                <w:szCs w:val="16"/>
              </w:rPr>
              <w:t> 000</w:t>
            </w:r>
            <w:r w:rsidRPr="00761F79">
              <w:rPr>
                <w:rFonts w:cs="Arial"/>
                <w:bCs/>
                <w:sz w:val="16"/>
                <w:szCs w:val="16"/>
              </w:rPr>
              <w:t xml:space="preserve">          </w:t>
            </w:r>
          </w:p>
        </w:tc>
        <w:tc>
          <w:tcPr>
            <w:tcW w:w="2270" w:type="dxa"/>
            <w:tcBorders>
              <w:top w:val="single" w:sz="5" w:space="0" w:color="auto"/>
              <w:left w:val="single" w:sz="5" w:space="0" w:color="auto"/>
              <w:bottom w:val="single" w:sz="5" w:space="0" w:color="auto"/>
              <w:right w:val="single" w:sz="5" w:space="0" w:color="auto"/>
            </w:tcBorders>
            <w:vAlign w:val="center"/>
          </w:tcPr>
          <w:p w14:paraId="18ECD3A9" w14:textId="4D6A7B39" w:rsidR="00761F79" w:rsidRPr="00475769" w:rsidRDefault="00761F79" w:rsidP="00761F79">
            <w:pPr>
              <w:widowControl w:val="0"/>
              <w:autoSpaceDE w:val="0"/>
              <w:autoSpaceDN w:val="0"/>
              <w:adjustRightInd w:val="0"/>
              <w:spacing w:before="120"/>
              <w:ind w:right="107"/>
              <w:jc w:val="center"/>
              <w:rPr>
                <w:rFonts w:cs="Arial"/>
                <w:b/>
                <w:sz w:val="16"/>
                <w:szCs w:val="16"/>
              </w:rPr>
            </w:pPr>
            <w:r w:rsidRPr="00761F79">
              <w:rPr>
                <w:rFonts w:cs="Arial"/>
                <w:b/>
                <w:sz w:val="16"/>
                <w:szCs w:val="16"/>
              </w:rPr>
              <w:t>106</w:t>
            </w:r>
            <w:r>
              <w:rPr>
                <w:rFonts w:cs="Arial"/>
                <w:b/>
                <w:sz w:val="16"/>
                <w:szCs w:val="16"/>
              </w:rPr>
              <w:t> 000</w:t>
            </w:r>
          </w:p>
        </w:tc>
      </w:tr>
      <w:tr w:rsidR="00AB603D" w:rsidRPr="0011040F" w14:paraId="7D51B089"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5635AD6F" w14:textId="03BAA57F" w:rsidR="00AB603D" w:rsidRPr="0011040F" w:rsidRDefault="00AB603D" w:rsidP="00AB603D">
            <w:pPr>
              <w:widowControl w:val="0"/>
              <w:autoSpaceDE w:val="0"/>
              <w:autoSpaceDN w:val="0"/>
              <w:adjustRightInd w:val="0"/>
              <w:spacing w:before="120"/>
              <w:ind w:right="77"/>
              <w:jc w:val="center"/>
              <w:rPr>
                <w:rFonts w:cs="Arial"/>
                <w:b/>
                <w:sz w:val="16"/>
                <w:szCs w:val="16"/>
              </w:rPr>
            </w:pPr>
            <w:r>
              <w:rPr>
                <w:rFonts w:cs="Arial"/>
                <w:b/>
                <w:sz w:val="16"/>
                <w:szCs w:val="16"/>
              </w:rPr>
              <w:t>2015</w:t>
            </w:r>
          </w:p>
        </w:tc>
        <w:tc>
          <w:tcPr>
            <w:tcW w:w="1134" w:type="dxa"/>
            <w:tcBorders>
              <w:top w:val="single" w:sz="5" w:space="0" w:color="auto"/>
              <w:left w:val="single" w:sz="5" w:space="0" w:color="auto"/>
              <w:bottom w:val="single" w:sz="5" w:space="0" w:color="auto"/>
              <w:right w:val="single" w:sz="5" w:space="0" w:color="auto"/>
            </w:tcBorders>
            <w:vAlign w:val="center"/>
          </w:tcPr>
          <w:p w14:paraId="644B7010" w14:textId="164600FD"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33EEEB99" w14:textId="36FCC55C" w:rsidR="00AB603D" w:rsidRDefault="00761F79" w:rsidP="00761F79">
            <w:pPr>
              <w:widowControl w:val="0"/>
              <w:autoSpaceDE w:val="0"/>
              <w:autoSpaceDN w:val="0"/>
              <w:adjustRightInd w:val="0"/>
              <w:spacing w:before="120"/>
              <w:jc w:val="center"/>
              <w:rPr>
                <w:rFonts w:cs="Arial"/>
                <w:sz w:val="16"/>
                <w:szCs w:val="16"/>
              </w:rPr>
            </w:pPr>
            <w:r w:rsidRPr="00761F79">
              <w:rPr>
                <w:rFonts w:cs="Arial"/>
                <w:sz w:val="16"/>
                <w:szCs w:val="16"/>
              </w:rPr>
              <w:t>69</w:t>
            </w:r>
            <w:r>
              <w:rPr>
                <w:rFonts w:cs="Arial"/>
                <w:sz w:val="16"/>
                <w:szCs w:val="16"/>
              </w:rPr>
              <w:t> </w:t>
            </w:r>
            <w:r w:rsidRPr="00761F79">
              <w:rPr>
                <w:rFonts w:cs="Arial"/>
                <w:sz w:val="16"/>
                <w:szCs w:val="16"/>
              </w:rPr>
              <w:t>832</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6FD12E36" w14:textId="42504C6E" w:rsidR="00AB603D" w:rsidRPr="00F71212" w:rsidRDefault="00761F79" w:rsidP="00F71212">
            <w:pPr>
              <w:widowControl w:val="0"/>
              <w:tabs>
                <w:tab w:val="decimal" w:pos="648"/>
              </w:tabs>
              <w:autoSpaceDE w:val="0"/>
              <w:autoSpaceDN w:val="0"/>
              <w:adjustRightInd w:val="0"/>
              <w:spacing w:before="120"/>
              <w:jc w:val="center"/>
              <w:rPr>
                <w:rFonts w:cs="Arial"/>
                <w:bCs/>
                <w:sz w:val="16"/>
                <w:szCs w:val="16"/>
              </w:rPr>
            </w:pPr>
            <w:r w:rsidRPr="00761F79">
              <w:rPr>
                <w:rFonts w:cs="Arial"/>
                <w:bCs/>
                <w:sz w:val="16"/>
                <w:szCs w:val="16"/>
              </w:rPr>
              <w:t>48</w:t>
            </w:r>
            <w:r>
              <w:rPr>
                <w:rFonts w:cs="Arial"/>
                <w:bCs/>
                <w:sz w:val="16"/>
                <w:szCs w:val="16"/>
              </w:rPr>
              <w:t> </w:t>
            </w:r>
            <w:r w:rsidRPr="00761F79">
              <w:rPr>
                <w:rFonts w:cs="Arial"/>
                <w:bCs/>
                <w:sz w:val="16"/>
                <w:szCs w:val="16"/>
              </w:rPr>
              <w:t>192</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46E6C175"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37858071"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5810070F"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79EBBE49" w14:textId="29541B50"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06CAB51D" w14:textId="397E4A30" w:rsidR="00AB603D" w:rsidRDefault="00761F79" w:rsidP="00475769">
            <w:pPr>
              <w:widowControl w:val="0"/>
              <w:tabs>
                <w:tab w:val="decimal" w:pos="792"/>
              </w:tabs>
              <w:autoSpaceDE w:val="0"/>
              <w:autoSpaceDN w:val="0"/>
              <w:adjustRightInd w:val="0"/>
              <w:spacing w:before="120"/>
              <w:jc w:val="center"/>
              <w:rPr>
                <w:rFonts w:cs="Arial"/>
                <w:sz w:val="16"/>
                <w:szCs w:val="16"/>
              </w:rPr>
            </w:pPr>
            <w:r w:rsidRPr="00761F79">
              <w:rPr>
                <w:rFonts w:cs="Arial"/>
                <w:sz w:val="16"/>
                <w:szCs w:val="16"/>
              </w:rPr>
              <w:t>90</w:t>
            </w:r>
            <w:r>
              <w:rPr>
                <w:rFonts w:cs="Arial"/>
                <w:sz w:val="16"/>
                <w:szCs w:val="16"/>
              </w:rPr>
              <w:t> </w:t>
            </w:r>
            <w:r w:rsidRPr="00761F79">
              <w:rPr>
                <w:rFonts w:cs="Arial"/>
                <w:sz w:val="16"/>
                <w:szCs w:val="16"/>
              </w:rPr>
              <w:t>386</w:t>
            </w:r>
            <w:r>
              <w:rPr>
                <w:rFonts w:cs="Arial"/>
                <w:sz w:val="16"/>
                <w:szCs w:val="16"/>
              </w:rPr>
              <w:t xml:space="preserve"> 000</w:t>
            </w:r>
          </w:p>
        </w:tc>
        <w:tc>
          <w:tcPr>
            <w:tcW w:w="2550" w:type="dxa"/>
            <w:tcBorders>
              <w:top w:val="single" w:sz="5" w:space="0" w:color="auto"/>
              <w:left w:val="single" w:sz="5" w:space="0" w:color="auto"/>
              <w:bottom w:val="single" w:sz="5" w:space="0" w:color="auto"/>
              <w:right w:val="single" w:sz="5" w:space="0" w:color="auto"/>
            </w:tcBorders>
            <w:vAlign w:val="center"/>
          </w:tcPr>
          <w:p w14:paraId="2992D747" w14:textId="1C75A306" w:rsidR="00AB603D" w:rsidRPr="00F71212" w:rsidRDefault="00761F79" w:rsidP="00F71212">
            <w:pPr>
              <w:widowControl w:val="0"/>
              <w:tabs>
                <w:tab w:val="decimal" w:pos="648"/>
              </w:tabs>
              <w:autoSpaceDE w:val="0"/>
              <w:autoSpaceDN w:val="0"/>
              <w:adjustRightInd w:val="0"/>
              <w:spacing w:before="120"/>
              <w:jc w:val="center"/>
              <w:rPr>
                <w:rFonts w:cs="Arial"/>
                <w:bCs/>
                <w:sz w:val="16"/>
                <w:szCs w:val="16"/>
              </w:rPr>
            </w:pPr>
            <w:r w:rsidRPr="00761F79">
              <w:rPr>
                <w:rFonts w:cs="Arial"/>
                <w:bCs/>
                <w:sz w:val="16"/>
                <w:szCs w:val="16"/>
              </w:rPr>
              <w:t>110</w:t>
            </w:r>
            <w:r>
              <w:rPr>
                <w:rFonts w:cs="Arial"/>
                <w:bCs/>
                <w:sz w:val="16"/>
                <w:szCs w:val="16"/>
              </w:rPr>
              <w:t> </w:t>
            </w:r>
            <w:r w:rsidRPr="00761F79">
              <w:rPr>
                <w:rFonts w:cs="Arial"/>
                <w:bCs/>
                <w:sz w:val="16"/>
                <w:szCs w:val="16"/>
              </w:rPr>
              <w:t>145</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01598C0C"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761F79" w:rsidRPr="0011040F" w14:paraId="1C884CAA"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19B4066D" w14:textId="77777777" w:rsidR="00761F79" w:rsidRPr="0011040F" w:rsidRDefault="00761F79"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2A6748D5" w14:textId="149EEF94" w:rsidR="00761F79" w:rsidRDefault="00761F79" w:rsidP="00E5733C">
            <w:pPr>
              <w:widowControl w:val="0"/>
              <w:autoSpaceDE w:val="0"/>
              <w:autoSpaceDN w:val="0"/>
              <w:adjustRightInd w:val="0"/>
              <w:spacing w:before="120"/>
              <w:jc w:val="center"/>
              <w:rPr>
                <w:rFonts w:cs="Arial"/>
                <w:sz w:val="16"/>
                <w:szCs w:val="16"/>
              </w:rPr>
            </w:pPr>
            <w:r>
              <w:rPr>
                <w:rFonts w:cs="Arial"/>
                <w:sz w:val="16"/>
                <w:szCs w:val="16"/>
              </w:rPr>
              <w:t>Other</w:t>
            </w:r>
          </w:p>
        </w:tc>
        <w:tc>
          <w:tcPr>
            <w:tcW w:w="2121" w:type="dxa"/>
            <w:tcBorders>
              <w:top w:val="single" w:sz="5" w:space="0" w:color="auto"/>
              <w:left w:val="single" w:sz="5" w:space="0" w:color="auto"/>
              <w:bottom w:val="single" w:sz="5" w:space="0" w:color="auto"/>
              <w:right w:val="single" w:sz="5" w:space="0" w:color="auto"/>
            </w:tcBorders>
            <w:vAlign w:val="center"/>
          </w:tcPr>
          <w:p w14:paraId="5761E6EC" w14:textId="3C0F0A2C" w:rsidR="00761F79" w:rsidRPr="00761F79" w:rsidRDefault="00761F79" w:rsidP="00761F79">
            <w:pPr>
              <w:widowControl w:val="0"/>
              <w:autoSpaceDE w:val="0"/>
              <w:autoSpaceDN w:val="0"/>
              <w:adjustRightInd w:val="0"/>
              <w:spacing w:before="120"/>
              <w:jc w:val="center"/>
              <w:rPr>
                <w:rFonts w:cs="Arial"/>
                <w:sz w:val="16"/>
                <w:szCs w:val="16"/>
              </w:rPr>
            </w:pPr>
            <w:r>
              <w:rPr>
                <w:rFonts w:cs="Arial"/>
                <w:sz w:val="16"/>
                <w:szCs w:val="16"/>
              </w:rPr>
              <w:t>---</w:t>
            </w:r>
          </w:p>
        </w:tc>
        <w:tc>
          <w:tcPr>
            <w:tcW w:w="2550" w:type="dxa"/>
            <w:tcBorders>
              <w:top w:val="single" w:sz="5" w:space="0" w:color="auto"/>
              <w:left w:val="single" w:sz="5" w:space="0" w:color="auto"/>
              <w:bottom w:val="single" w:sz="5" w:space="0" w:color="auto"/>
              <w:right w:val="single" w:sz="5" w:space="0" w:color="auto"/>
            </w:tcBorders>
            <w:vAlign w:val="center"/>
          </w:tcPr>
          <w:p w14:paraId="61E4D9E1" w14:textId="52D14328" w:rsidR="00761F79" w:rsidRPr="00761F79" w:rsidRDefault="00761F79" w:rsidP="00761F79">
            <w:pPr>
              <w:widowControl w:val="0"/>
              <w:autoSpaceDE w:val="0"/>
              <w:autoSpaceDN w:val="0"/>
              <w:adjustRightInd w:val="0"/>
              <w:spacing w:before="120"/>
              <w:jc w:val="center"/>
              <w:rPr>
                <w:rFonts w:cs="Arial"/>
                <w:bCs/>
                <w:sz w:val="16"/>
                <w:szCs w:val="16"/>
              </w:rPr>
            </w:pPr>
            <w:r w:rsidRPr="00761F79">
              <w:rPr>
                <w:rFonts w:cs="Arial"/>
                <w:bCs/>
                <w:sz w:val="16"/>
                <w:szCs w:val="16"/>
              </w:rPr>
              <w:t>300</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23876707" w14:textId="6EBEFD2E" w:rsidR="00761F79" w:rsidRPr="00475769" w:rsidRDefault="00761F79" w:rsidP="001F21FF">
            <w:pPr>
              <w:widowControl w:val="0"/>
              <w:autoSpaceDE w:val="0"/>
              <w:autoSpaceDN w:val="0"/>
              <w:adjustRightInd w:val="0"/>
              <w:spacing w:before="120"/>
              <w:ind w:right="107"/>
              <w:jc w:val="center"/>
              <w:rPr>
                <w:rFonts w:cs="Arial"/>
                <w:b/>
                <w:sz w:val="16"/>
                <w:szCs w:val="16"/>
              </w:rPr>
            </w:pPr>
            <w:r w:rsidRPr="00761F79">
              <w:rPr>
                <w:rFonts w:cs="Arial"/>
                <w:b/>
                <w:sz w:val="16"/>
                <w:szCs w:val="16"/>
              </w:rPr>
              <w:t>6</w:t>
            </w:r>
            <w:r>
              <w:rPr>
                <w:rFonts w:cs="Arial"/>
                <w:b/>
                <w:sz w:val="16"/>
                <w:szCs w:val="16"/>
              </w:rPr>
              <w:t> </w:t>
            </w:r>
            <w:r w:rsidRPr="00761F79">
              <w:rPr>
                <w:rFonts w:cs="Arial"/>
                <w:b/>
                <w:sz w:val="16"/>
                <w:szCs w:val="16"/>
              </w:rPr>
              <w:t>483</w:t>
            </w:r>
            <w:r>
              <w:rPr>
                <w:rFonts w:cs="Arial"/>
                <w:b/>
                <w:sz w:val="16"/>
                <w:szCs w:val="16"/>
              </w:rPr>
              <w:t> 000</w:t>
            </w:r>
          </w:p>
        </w:tc>
      </w:tr>
      <w:tr w:rsidR="00AB603D" w:rsidRPr="0011040F" w14:paraId="07209B7D"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179D302B" w14:textId="16D4FDEF" w:rsidR="00AB603D" w:rsidRPr="0011040F" w:rsidRDefault="00AB603D" w:rsidP="00AB603D">
            <w:pPr>
              <w:widowControl w:val="0"/>
              <w:autoSpaceDE w:val="0"/>
              <w:autoSpaceDN w:val="0"/>
              <w:adjustRightInd w:val="0"/>
              <w:spacing w:before="120"/>
              <w:ind w:right="77"/>
              <w:jc w:val="center"/>
              <w:rPr>
                <w:rFonts w:cs="Arial"/>
                <w:b/>
                <w:sz w:val="16"/>
                <w:szCs w:val="16"/>
              </w:rPr>
            </w:pPr>
            <w:r>
              <w:rPr>
                <w:rFonts w:cs="Arial"/>
                <w:b/>
                <w:sz w:val="16"/>
                <w:szCs w:val="16"/>
              </w:rPr>
              <w:t>2016</w:t>
            </w:r>
          </w:p>
        </w:tc>
        <w:tc>
          <w:tcPr>
            <w:tcW w:w="1134" w:type="dxa"/>
            <w:tcBorders>
              <w:top w:val="single" w:sz="5" w:space="0" w:color="auto"/>
              <w:left w:val="single" w:sz="5" w:space="0" w:color="auto"/>
              <w:bottom w:val="single" w:sz="5" w:space="0" w:color="auto"/>
              <w:right w:val="single" w:sz="5" w:space="0" w:color="auto"/>
            </w:tcBorders>
            <w:vAlign w:val="center"/>
          </w:tcPr>
          <w:p w14:paraId="044D8F2E" w14:textId="16A0B13F"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30BE6524" w14:textId="244DE7C4" w:rsidR="00AB603D" w:rsidRDefault="001F21FF" w:rsidP="001F21FF">
            <w:pPr>
              <w:widowControl w:val="0"/>
              <w:autoSpaceDE w:val="0"/>
              <w:autoSpaceDN w:val="0"/>
              <w:adjustRightInd w:val="0"/>
              <w:spacing w:before="120"/>
              <w:jc w:val="center"/>
              <w:rPr>
                <w:rFonts w:cs="Arial"/>
                <w:sz w:val="16"/>
                <w:szCs w:val="16"/>
              </w:rPr>
            </w:pPr>
            <w:r w:rsidRPr="001F21FF">
              <w:rPr>
                <w:rFonts w:cs="Arial"/>
                <w:sz w:val="16"/>
                <w:szCs w:val="16"/>
              </w:rPr>
              <w:t>73</w:t>
            </w:r>
            <w:r>
              <w:rPr>
                <w:rFonts w:cs="Arial"/>
                <w:sz w:val="16"/>
                <w:szCs w:val="16"/>
              </w:rPr>
              <w:t> </w:t>
            </w:r>
            <w:r w:rsidRPr="001F21FF">
              <w:rPr>
                <w:rFonts w:cs="Arial"/>
                <w:sz w:val="16"/>
                <w:szCs w:val="16"/>
              </w:rPr>
              <w:t>642</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133AED13" w14:textId="0509729E" w:rsidR="00AB603D" w:rsidRPr="00F71212" w:rsidRDefault="00761F79" w:rsidP="001F21FF">
            <w:pPr>
              <w:widowControl w:val="0"/>
              <w:autoSpaceDE w:val="0"/>
              <w:autoSpaceDN w:val="0"/>
              <w:adjustRightInd w:val="0"/>
              <w:spacing w:before="120"/>
              <w:jc w:val="center"/>
              <w:rPr>
                <w:rFonts w:cs="Arial"/>
                <w:bCs/>
                <w:sz w:val="16"/>
                <w:szCs w:val="16"/>
              </w:rPr>
            </w:pPr>
            <w:r w:rsidRPr="00761F79">
              <w:rPr>
                <w:rFonts w:cs="Arial"/>
                <w:bCs/>
                <w:sz w:val="16"/>
                <w:szCs w:val="16"/>
              </w:rPr>
              <w:t>49</w:t>
            </w:r>
            <w:r w:rsidR="001F21FF">
              <w:rPr>
                <w:rFonts w:cs="Arial"/>
                <w:bCs/>
                <w:sz w:val="16"/>
                <w:szCs w:val="16"/>
              </w:rPr>
              <w:t> </w:t>
            </w:r>
            <w:r w:rsidRPr="00761F79">
              <w:rPr>
                <w:rFonts w:cs="Arial"/>
                <w:bCs/>
                <w:sz w:val="16"/>
                <w:szCs w:val="16"/>
              </w:rPr>
              <w:t>213</w:t>
            </w:r>
            <w:r w:rsidR="001F21FF">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56A5A0F5"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7318F487"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28F29218"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7CDB6EC5" w14:textId="4EB89137"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6033D06B" w14:textId="45BACC86" w:rsidR="00AB603D" w:rsidRDefault="001F21FF" w:rsidP="001F21FF">
            <w:pPr>
              <w:widowControl w:val="0"/>
              <w:autoSpaceDE w:val="0"/>
              <w:autoSpaceDN w:val="0"/>
              <w:adjustRightInd w:val="0"/>
              <w:spacing w:before="120"/>
              <w:jc w:val="center"/>
              <w:rPr>
                <w:rFonts w:cs="Arial"/>
                <w:sz w:val="16"/>
                <w:szCs w:val="16"/>
              </w:rPr>
            </w:pPr>
            <w:r w:rsidRPr="001F21FF">
              <w:rPr>
                <w:rFonts w:cs="Arial"/>
                <w:sz w:val="16"/>
                <w:szCs w:val="16"/>
              </w:rPr>
              <w:t>74</w:t>
            </w:r>
            <w:r>
              <w:rPr>
                <w:rFonts w:cs="Arial"/>
                <w:sz w:val="16"/>
                <w:szCs w:val="16"/>
              </w:rPr>
              <w:t> </w:t>
            </w:r>
            <w:r w:rsidRPr="001F21FF">
              <w:rPr>
                <w:rFonts w:cs="Arial"/>
                <w:sz w:val="16"/>
                <w:szCs w:val="16"/>
              </w:rPr>
              <w:t>182</w:t>
            </w:r>
            <w:r>
              <w:rPr>
                <w:rFonts w:cs="Arial"/>
                <w:sz w:val="16"/>
                <w:szCs w:val="16"/>
              </w:rPr>
              <w:t> 000</w:t>
            </w:r>
          </w:p>
        </w:tc>
        <w:tc>
          <w:tcPr>
            <w:tcW w:w="2550" w:type="dxa"/>
            <w:tcBorders>
              <w:top w:val="single" w:sz="5" w:space="0" w:color="auto"/>
              <w:left w:val="single" w:sz="5" w:space="0" w:color="auto"/>
              <w:bottom w:val="single" w:sz="5" w:space="0" w:color="auto"/>
              <w:right w:val="single" w:sz="5" w:space="0" w:color="auto"/>
            </w:tcBorders>
            <w:vAlign w:val="center"/>
          </w:tcPr>
          <w:p w14:paraId="3ECF7CD3" w14:textId="35DED4C6" w:rsidR="00AB603D" w:rsidRPr="00F71212" w:rsidRDefault="001F21FF" w:rsidP="001F21FF">
            <w:pPr>
              <w:widowControl w:val="0"/>
              <w:autoSpaceDE w:val="0"/>
              <w:autoSpaceDN w:val="0"/>
              <w:adjustRightInd w:val="0"/>
              <w:spacing w:before="120"/>
              <w:jc w:val="center"/>
              <w:rPr>
                <w:rFonts w:cs="Arial"/>
                <w:bCs/>
                <w:sz w:val="16"/>
                <w:szCs w:val="16"/>
              </w:rPr>
            </w:pPr>
            <w:r w:rsidRPr="001F21FF">
              <w:rPr>
                <w:rFonts w:cs="Arial"/>
                <w:bCs/>
                <w:sz w:val="16"/>
                <w:szCs w:val="16"/>
              </w:rPr>
              <w:t>91</w:t>
            </w:r>
            <w:r>
              <w:rPr>
                <w:rFonts w:cs="Arial"/>
                <w:bCs/>
                <w:sz w:val="16"/>
                <w:szCs w:val="16"/>
              </w:rPr>
              <w:t> </w:t>
            </w:r>
            <w:r w:rsidRPr="001F21FF">
              <w:rPr>
                <w:rFonts w:cs="Arial"/>
                <w:bCs/>
                <w:sz w:val="16"/>
                <w:szCs w:val="16"/>
              </w:rPr>
              <w:t>828</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38F49055" w14:textId="77777777" w:rsidR="00AB603D" w:rsidRPr="00475769" w:rsidRDefault="00AB603D" w:rsidP="00AB603D">
            <w:pPr>
              <w:widowControl w:val="0"/>
              <w:tabs>
                <w:tab w:val="decimal" w:pos="936"/>
              </w:tabs>
              <w:autoSpaceDE w:val="0"/>
              <w:autoSpaceDN w:val="0"/>
              <w:adjustRightInd w:val="0"/>
              <w:spacing w:before="120"/>
              <w:ind w:right="107"/>
              <w:jc w:val="center"/>
              <w:rPr>
                <w:rFonts w:cs="Arial"/>
                <w:b/>
                <w:sz w:val="16"/>
                <w:szCs w:val="16"/>
              </w:rPr>
            </w:pPr>
          </w:p>
        </w:tc>
      </w:tr>
      <w:tr w:rsidR="001F21FF" w:rsidRPr="0011040F" w14:paraId="648AC279"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6BE99266" w14:textId="77777777" w:rsidR="001F21FF" w:rsidRPr="0011040F" w:rsidRDefault="001F21FF"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7AA240E5" w14:textId="5935CB50" w:rsidR="001F21FF" w:rsidRDefault="001F21FF" w:rsidP="00E5733C">
            <w:pPr>
              <w:widowControl w:val="0"/>
              <w:autoSpaceDE w:val="0"/>
              <w:autoSpaceDN w:val="0"/>
              <w:adjustRightInd w:val="0"/>
              <w:spacing w:before="120"/>
              <w:jc w:val="center"/>
              <w:rPr>
                <w:rFonts w:cs="Arial"/>
                <w:sz w:val="16"/>
                <w:szCs w:val="16"/>
              </w:rPr>
            </w:pPr>
            <w:r>
              <w:rPr>
                <w:rFonts w:cs="Arial"/>
                <w:sz w:val="16"/>
                <w:szCs w:val="16"/>
              </w:rPr>
              <w:t>Other</w:t>
            </w:r>
          </w:p>
        </w:tc>
        <w:tc>
          <w:tcPr>
            <w:tcW w:w="2121" w:type="dxa"/>
            <w:tcBorders>
              <w:top w:val="single" w:sz="5" w:space="0" w:color="auto"/>
              <w:left w:val="single" w:sz="5" w:space="0" w:color="auto"/>
              <w:bottom w:val="single" w:sz="5" w:space="0" w:color="auto"/>
              <w:right w:val="single" w:sz="5" w:space="0" w:color="auto"/>
            </w:tcBorders>
            <w:vAlign w:val="center"/>
          </w:tcPr>
          <w:p w14:paraId="3DA09C7C" w14:textId="5E0B4151" w:rsidR="001F21FF" w:rsidRPr="001F21FF" w:rsidRDefault="001F21FF" w:rsidP="001F21FF">
            <w:pPr>
              <w:widowControl w:val="0"/>
              <w:autoSpaceDE w:val="0"/>
              <w:autoSpaceDN w:val="0"/>
              <w:adjustRightInd w:val="0"/>
              <w:spacing w:before="120"/>
              <w:jc w:val="center"/>
              <w:rPr>
                <w:rFonts w:cs="Arial"/>
                <w:sz w:val="16"/>
                <w:szCs w:val="16"/>
              </w:rPr>
            </w:pPr>
            <w:r>
              <w:rPr>
                <w:rFonts w:cs="Arial"/>
                <w:sz w:val="16"/>
                <w:szCs w:val="16"/>
              </w:rPr>
              <w:t>---</w:t>
            </w:r>
          </w:p>
        </w:tc>
        <w:tc>
          <w:tcPr>
            <w:tcW w:w="2550" w:type="dxa"/>
            <w:tcBorders>
              <w:top w:val="single" w:sz="5" w:space="0" w:color="auto"/>
              <w:left w:val="single" w:sz="5" w:space="0" w:color="auto"/>
              <w:bottom w:val="single" w:sz="5" w:space="0" w:color="auto"/>
              <w:right w:val="single" w:sz="5" w:space="0" w:color="auto"/>
            </w:tcBorders>
            <w:vAlign w:val="center"/>
          </w:tcPr>
          <w:p w14:paraId="55A00E4C" w14:textId="31181DBF" w:rsidR="001F21FF" w:rsidRPr="001F21FF" w:rsidRDefault="001F21FF" w:rsidP="001F21FF">
            <w:pPr>
              <w:widowControl w:val="0"/>
              <w:autoSpaceDE w:val="0"/>
              <w:autoSpaceDN w:val="0"/>
              <w:adjustRightInd w:val="0"/>
              <w:spacing w:before="120"/>
              <w:jc w:val="center"/>
              <w:rPr>
                <w:rFonts w:cs="Arial"/>
                <w:bCs/>
                <w:sz w:val="16"/>
                <w:szCs w:val="16"/>
              </w:rPr>
            </w:pPr>
            <w:r w:rsidRPr="001F21FF">
              <w:rPr>
                <w:rFonts w:cs="Arial"/>
                <w:bCs/>
                <w:sz w:val="16"/>
                <w:szCs w:val="16"/>
              </w:rPr>
              <w:t>300</w:t>
            </w:r>
            <w:r>
              <w:rPr>
                <w:rFonts w:cs="Arial"/>
                <w:bCs/>
                <w:sz w:val="16"/>
                <w:szCs w:val="16"/>
              </w:rPr>
              <w:t> 000</w:t>
            </w:r>
          </w:p>
        </w:tc>
        <w:tc>
          <w:tcPr>
            <w:tcW w:w="2270" w:type="dxa"/>
            <w:tcBorders>
              <w:top w:val="single" w:sz="5" w:space="0" w:color="auto"/>
              <w:left w:val="single" w:sz="5" w:space="0" w:color="auto"/>
              <w:bottom w:val="single" w:sz="5" w:space="0" w:color="auto"/>
              <w:right w:val="single" w:sz="5" w:space="0" w:color="auto"/>
            </w:tcBorders>
            <w:vAlign w:val="center"/>
          </w:tcPr>
          <w:p w14:paraId="78515DDC" w14:textId="283F939D" w:rsidR="001F21FF" w:rsidRPr="00475769" w:rsidRDefault="001F21FF" w:rsidP="001F21FF">
            <w:pPr>
              <w:widowControl w:val="0"/>
              <w:autoSpaceDE w:val="0"/>
              <w:autoSpaceDN w:val="0"/>
              <w:adjustRightInd w:val="0"/>
              <w:spacing w:before="120"/>
              <w:ind w:right="107"/>
              <w:jc w:val="center"/>
              <w:rPr>
                <w:rFonts w:cs="Arial"/>
                <w:b/>
                <w:sz w:val="16"/>
                <w:szCs w:val="16"/>
              </w:rPr>
            </w:pPr>
            <w:r w:rsidRPr="001F21FF">
              <w:rPr>
                <w:rFonts w:cs="Arial"/>
                <w:b/>
                <w:sz w:val="16"/>
                <w:szCs w:val="16"/>
              </w:rPr>
              <w:t>6</w:t>
            </w:r>
            <w:r>
              <w:rPr>
                <w:rFonts w:cs="Arial"/>
                <w:b/>
                <w:sz w:val="16"/>
                <w:szCs w:val="16"/>
              </w:rPr>
              <w:t> </w:t>
            </w:r>
            <w:r w:rsidRPr="001F21FF">
              <w:rPr>
                <w:rFonts w:cs="Arial"/>
                <w:b/>
                <w:sz w:val="16"/>
                <w:szCs w:val="16"/>
              </w:rPr>
              <w:t>483</w:t>
            </w:r>
            <w:r>
              <w:rPr>
                <w:rFonts w:cs="Arial"/>
                <w:b/>
                <w:sz w:val="16"/>
                <w:szCs w:val="16"/>
              </w:rPr>
              <w:t> 000</w:t>
            </w:r>
          </w:p>
        </w:tc>
      </w:tr>
      <w:tr w:rsidR="00AB603D" w:rsidRPr="0011040F" w14:paraId="375BABF2" w14:textId="77777777" w:rsidTr="005B333F">
        <w:trPr>
          <w:cantSplit/>
          <w:jc w:val="center"/>
        </w:trPr>
        <w:tc>
          <w:tcPr>
            <w:tcW w:w="850" w:type="dxa"/>
            <w:tcBorders>
              <w:top w:val="single" w:sz="5" w:space="0" w:color="auto"/>
              <w:left w:val="single" w:sz="5" w:space="0" w:color="auto"/>
              <w:bottom w:val="single" w:sz="5" w:space="0" w:color="auto"/>
              <w:right w:val="single" w:sz="5" w:space="0" w:color="auto"/>
            </w:tcBorders>
            <w:vAlign w:val="center"/>
          </w:tcPr>
          <w:p w14:paraId="1F69C21A" w14:textId="5C7CE4F1" w:rsidR="00AB603D" w:rsidRPr="0011040F" w:rsidRDefault="00AB603D" w:rsidP="005B333F">
            <w:pPr>
              <w:keepNext/>
              <w:widowControl w:val="0"/>
              <w:autoSpaceDE w:val="0"/>
              <w:autoSpaceDN w:val="0"/>
              <w:adjustRightInd w:val="0"/>
              <w:spacing w:before="120"/>
              <w:ind w:right="77"/>
              <w:jc w:val="center"/>
              <w:rPr>
                <w:rFonts w:cs="Arial"/>
                <w:b/>
                <w:sz w:val="16"/>
                <w:szCs w:val="16"/>
              </w:rPr>
            </w:pPr>
            <w:r>
              <w:rPr>
                <w:rFonts w:cs="Arial"/>
                <w:b/>
                <w:sz w:val="16"/>
                <w:szCs w:val="16"/>
              </w:rPr>
              <w:lastRenderedPageBreak/>
              <w:t>2017</w:t>
            </w:r>
          </w:p>
        </w:tc>
        <w:tc>
          <w:tcPr>
            <w:tcW w:w="1134" w:type="dxa"/>
            <w:tcBorders>
              <w:top w:val="single" w:sz="5" w:space="0" w:color="auto"/>
              <w:left w:val="single" w:sz="5" w:space="0" w:color="auto"/>
              <w:bottom w:val="single" w:sz="5" w:space="0" w:color="auto"/>
              <w:right w:val="single" w:sz="5" w:space="0" w:color="auto"/>
            </w:tcBorders>
            <w:vAlign w:val="center"/>
          </w:tcPr>
          <w:p w14:paraId="37481804" w14:textId="2DBC6E5E" w:rsidR="00AB603D" w:rsidRPr="0011040F" w:rsidRDefault="00AB603D" w:rsidP="005B333F">
            <w:pPr>
              <w:keepNext/>
              <w:widowControl w:val="0"/>
              <w:autoSpaceDE w:val="0"/>
              <w:autoSpaceDN w:val="0"/>
              <w:adjustRightInd w:val="0"/>
              <w:spacing w:before="120"/>
              <w:jc w:val="center"/>
              <w:rPr>
                <w:rFonts w:cs="Arial"/>
                <w:sz w:val="16"/>
                <w:szCs w:val="16"/>
              </w:rPr>
            </w:pPr>
            <w:r>
              <w:rPr>
                <w:rFonts w:cs="Arial"/>
                <w:sz w:val="16"/>
                <w:szCs w:val="16"/>
              </w:rPr>
              <w:t>Bank</w:t>
            </w:r>
          </w:p>
        </w:tc>
        <w:tc>
          <w:tcPr>
            <w:tcW w:w="2121" w:type="dxa"/>
            <w:tcBorders>
              <w:top w:val="single" w:sz="5" w:space="0" w:color="auto"/>
              <w:left w:val="single" w:sz="5" w:space="0" w:color="auto"/>
              <w:bottom w:val="single" w:sz="5" w:space="0" w:color="auto"/>
              <w:right w:val="single" w:sz="5" w:space="0" w:color="auto"/>
            </w:tcBorders>
            <w:vAlign w:val="center"/>
          </w:tcPr>
          <w:p w14:paraId="782BC4BC" w14:textId="6FB1F494" w:rsidR="00AB603D" w:rsidRDefault="001F21FF" w:rsidP="005B333F">
            <w:pPr>
              <w:keepNext/>
              <w:widowControl w:val="0"/>
              <w:autoSpaceDE w:val="0"/>
              <w:autoSpaceDN w:val="0"/>
              <w:adjustRightInd w:val="0"/>
              <w:spacing w:before="120"/>
              <w:jc w:val="center"/>
              <w:rPr>
                <w:rFonts w:cs="Arial"/>
                <w:sz w:val="16"/>
                <w:szCs w:val="16"/>
              </w:rPr>
            </w:pPr>
            <w:r w:rsidRPr="001F21FF">
              <w:rPr>
                <w:rFonts w:cs="Arial"/>
                <w:sz w:val="16"/>
                <w:szCs w:val="16"/>
              </w:rPr>
              <w:t xml:space="preserve">46 765 542                     </w:t>
            </w:r>
          </w:p>
        </w:tc>
        <w:tc>
          <w:tcPr>
            <w:tcW w:w="2550" w:type="dxa"/>
            <w:tcBorders>
              <w:top w:val="single" w:sz="5" w:space="0" w:color="auto"/>
              <w:left w:val="single" w:sz="5" w:space="0" w:color="auto"/>
              <w:bottom w:val="single" w:sz="5" w:space="0" w:color="auto"/>
              <w:right w:val="single" w:sz="5" w:space="0" w:color="auto"/>
            </w:tcBorders>
            <w:vAlign w:val="center"/>
          </w:tcPr>
          <w:p w14:paraId="422747FF" w14:textId="77777777" w:rsidR="00AB603D" w:rsidRPr="00F71212" w:rsidRDefault="00AB603D" w:rsidP="005B333F">
            <w:pPr>
              <w:keepNext/>
              <w:widowControl w:val="0"/>
              <w:autoSpaceDE w:val="0"/>
              <w:autoSpaceDN w:val="0"/>
              <w:adjustRightInd w:val="0"/>
              <w:spacing w:before="120"/>
              <w:jc w:val="center"/>
              <w:rPr>
                <w:rFonts w:cs="Arial"/>
                <w:bCs/>
                <w:sz w:val="16"/>
                <w:szCs w:val="16"/>
              </w:rPr>
            </w:pPr>
          </w:p>
        </w:tc>
        <w:tc>
          <w:tcPr>
            <w:tcW w:w="2270" w:type="dxa"/>
            <w:tcBorders>
              <w:top w:val="single" w:sz="5" w:space="0" w:color="auto"/>
              <w:left w:val="single" w:sz="5" w:space="0" w:color="auto"/>
              <w:bottom w:val="single" w:sz="5" w:space="0" w:color="auto"/>
              <w:right w:val="single" w:sz="5" w:space="0" w:color="auto"/>
            </w:tcBorders>
            <w:vAlign w:val="center"/>
          </w:tcPr>
          <w:p w14:paraId="7801EA75" w14:textId="77777777" w:rsidR="00AB603D" w:rsidRPr="00475769" w:rsidRDefault="00AB603D" w:rsidP="005B333F">
            <w:pPr>
              <w:keepNext/>
              <w:widowControl w:val="0"/>
              <w:tabs>
                <w:tab w:val="decimal" w:pos="936"/>
              </w:tabs>
              <w:autoSpaceDE w:val="0"/>
              <w:autoSpaceDN w:val="0"/>
              <w:adjustRightInd w:val="0"/>
              <w:spacing w:before="120"/>
              <w:ind w:right="107"/>
              <w:jc w:val="center"/>
              <w:rPr>
                <w:rFonts w:cs="Arial"/>
                <w:b/>
                <w:sz w:val="16"/>
                <w:szCs w:val="16"/>
              </w:rPr>
            </w:pPr>
          </w:p>
        </w:tc>
      </w:tr>
      <w:tr w:rsidR="00AB603D" w:rsidRPr="0011040F" w14:paraId="04FF4733" w14:textId="77777777" w:rsidTr="00AB603D">
        <w:trPr>
          <w:jc w:val="center"/>
        </w:trPr>
        <w:tc>
          <w:tcPr>
            <w:tcW w:w="850" w:type="dxa"/>
            <w:tcBorders>
              <w:top w:val="single" w:sz="5" w:space="0" w:color="auto"/>
              <w:left w:val="single" w:sz="5" w:space="0" w:color="auto"/>
              <w:bottom w:val="single" w:sz="5" w:space="0" w:color="auto"/>
              <w:right w:val="single" w:sz="5" w:space="0" w:color="auto"/>
            </w:tcBorders>
            <w:vAlign w:val="center"/>
          </w:tcPr>
          <w:p w14:paraId="52E03D5A" w14:textId="77777777" w:rsidR="00AB603D" w:rsidRPr="0011040F" w:rsidRDefault="00AB603D" w:rsidP="00AB603D">
            <w:pPr>
              <w:widowControl w:val="0"/>
              <w:autoSpaceDE w:val="0"/>
              <w:autoSpaceDN w:val="0"/>
              <w:adjustRightInd w:val="0"/>
              <w:spacing w:before="120"/>
              <w:ind w:right="77"/>
              <w:jc w:val="center"/>
              <w:rPr>
                <w:rFonts w:cs="Arial"/>
                <w:b/>
                <w:sz w:val="16"/>
                <w:szCs w:val="16"/>
              </w:rPr>
            </w:pPr>
          </w:p>
        </w:tc>
        <w:tc>
          <w:tcPr>
            <w:tcW w:w="1134" w:type="dxa"/>
            <w:tcBorders>
              <w:top w:val="single" w:sz="5" w:space="0" w:color="auto"/>
              <w:left w:val="single" w:sz="5" w:space="0" w:color="auto"/>
              <w:bottom w:val="single" w:sz="5" w:space="0" w:color="auto"/>
              <w:right w:val="single" w:sz="5" w:space="0" w:color="auto"/>
            </w:tcBorders>
            <w:vAlign w:val="center"/>
          </w:tcPr>
          <w:p w14:paraId="7F9E88BF" w14:textId="566424DF" w:rsidR="00AB603D" w:rsidRPr="0011040F" w:rsidRDefault="00AB603D" w:rsidP="00E5733C">
            <w:pPr>
              <w:widowControl w:val="0"/>
              <w:autoSpaceDE w:val="0"/>
              <w:autoSpaceDN w:val="0"/>
              <w:adjustRightInd w:val="0"/>
              <w:spacing w:before="120"/>
              <w:jc w:val="center"/>
              <w:rPr>
                <w:rFonts w:cs="Arial"/>
                <w:sz w:val="16"/>
                <w:szCs w:val="16"/>
              </w:rPr>
            </w:pPr>
            <w:r>
              <w:rPr>
                <w:rFonts w:cs="Arial"/>
                <w:sz w:val="16"/>
                <w:szCs w:val="16"/>
              </w:rPr>
              <w:t>Group</w:t>
            </w:r>
          </w:p>
        </w:tc>
        <w:tc>
          <w:tcPr>
            <w:tcW w:w="2121" w:type="dxa"/>
            <w:tcBorders>
              <w:top w:val="single" w:sz="5" w:space="0" w:color="auto"/>
              <w:left w:val="single" w:sz="5" w:space="0" w:color="auto"/>
              <w:bottom w:val="single" w:sz="5" w:space="0" w:color="auto"/>
              <w:right w:val="single" w:sz="5" w:space="0" w:color="auto"/>
            </w:tcBorders>
            <w:vAlign w:val="center"/>
          </w:tcPr>
          <w:p w14:paraId="5D7AB511" w14:textId="03D52EBD" w:rsidR="00AB603D" w:rsidRDefault="001F21FF" w:rsidP="001F21FF">
            <w:pPr>
              <w:widowControl w:val="0"/>
              <w:autoSpaceDE w:val="0"/>
              <w:autoSpaceDN w:val="0"/>
              <w:adjustRightInd w:val="0"/>
              <w:spacing w:before="120"/>
              <w:jc w:val="center"/>
              <w:rPr>
                <w:rFonts w:cs="Arial"/>
                <w:sz w:val="16"/>
                <w:szCs w:val="16"/>
              </w:rPr>
            </w:pPr>
            <w:r w:rsidRPr="001F21FF">
              <w:rPr>
                <w:rFonts w:cs="Arial"/>
                <w:sz w:val="16"/>
                <w:szCs w:val="16"/>
              </w:rPr>
              <w:t>2</w:t>
            </w:r>
            <w:r>
              <w:rPr>
                <w:rFonts w:cs="Arial"/>
                <w:sz w:val="16"/>
                <w:szCs w:val="16"/>
              </w:rPr>
              <w:t> </w:t>
            </w:r>
            <w:r w:rsidRPr="001F21FF">
              <w:rPr>
                <w:rFonts w:cs="Arial"/>
                <w:sz w:val="16"/>
                <w:szCs w:val="16"/>
              </w:rPr>
              <w:t>277</w:t>
            </w:r>
            <w:r>
              <w:rPr>
                <w:rFonts w:cs="Arial"/>
                <w:sz w:val="16"/>
                <w:szCs w:val="16"/>
              </w:rPr>
              <w:t> </w:t>
            </w:r>
            <w:r w:rsidRPr="001F21FF">
              <w:rPr>
                <w:rFonts w:cs="Arial"/>
                <w:sz w:val="16"/>
                <w:szCs w:val="16"/>
              </w:rPr>
              <w:t>355</w:t>
            </w:r>
          </w:p>
        </w:tc>
        <w:tc>
          <w:tcPr>
            <w:tcW w:w="2550" w:type="dxa"/>
            <w:tcBorders>
              <w:top w:val="single" w:sz="5" w:space="0" w:color="auto"/>
              <w:left w:val="single" w:sz="5" w:space="0" w:color="auto"/>
              <w:bottom w:val="single" w:sz="5" w:space="0" w:color="auto"/>
              <w:right w:val="single" w:sz="5" w:space="0" w:color="auto"/>
            </w:tcBorders>
            <w:vAlign w:val="center"/>
          </w:tcPr>
          <w:p w14:paraId="47812A29" w14:textId="2B50C939" w:rsidR="00AB603D" w:rsidRPr="00F71212" w:rsidRDefault="001F21FF" w:rsidP="001F21FF">
            <w:pPr>
              <w:widowControl w:val="0"/>
              <w:autoSpaceDE w:val="0"/>
              <w:autoSpaceDN w:val="0"/>
              <w:adjustRightInd w:val="0"/>
              <w:spacing w:before="120"/>
              <w:jc w:val="center"/>
              <w:rPr>
                <w:rFonts w:cs="Arial"/>
                <w:bCs/>
                <w:sz w:val="16"/>
                <w:szCs w:val="16"/>
              </w:rPr>
            </w:pPr>
            <w:r w:rsidRPr="001F21FF">
              <w:rPr>
                <w:rFonts w:cs="Arial"/>
                <w:bCs/>
                <w:sz w:val="16"/>
                <w:szCs w:val="16"/>
              </w:rPr>
              <w:t>44</w:t>
            </w:r>
            <w:r w:rsidR="00FF4772">
              <w:rPr>
                <w:rFonts w:cs="Arial"/>
                <w:bCs/>
                <w:sz w:val="16"/>
                <w:szCs w:val="16"/>
              </w:rPr>
              <w:t> </w:t>
            </w:r>
            <w:r w:rsidRPr="001F21FF">
              <w:rPr>
                <w:rFonts w:cs="Arial"/>
                <w:bCs/>
                <w:sz w:val="16"/>
                <w:szCs w:val="16"/>
              </w:rPr>
              <w:t>697 629</w:t>
            </w:r>
          </w:p>
        </w:tc>
        <w:tc>
          <w:tcPr>
            <w:tcW w:w="2270" w:type="dxa"/>
            <w:tcBorders>
              <w:top w:val="single" w:sz="5" w:space="0" w:color="auto"/>
              <w:left w:val="single" w:sz="5" w:space="0" w:color="auto"/>
              <w:bottom w:val="single" w:sz="5" w:space="0" w:color="auto"/>
              <w:right w:val="single" w:sz="5" w:space="0" w:color="auto"/>
            </w:tcBorders>
            <w:vAlign w:val="center"/>
          </w:tcPr>
          <w:p w14:paraId="413B50B2" w14:textId="6A4CF1D3" w:rsidR="00AB603D" w:rsidRPr="00507C2A" w:rsidRDefault="00507C2A" w:rsidP="00507C2A">
            <w:pPr>
              <w:widowControl w:val="0"/>
              <w:autoSpaceDE w:val="0"/>
              <w:autoSpaceDN w:val="0"/>
              <w:adjustRightInd w:val="0"/>
              <w:spacing w:before="120"/>
              <w:ind w:left="560" w:right="107"/>
              <w:rPr>
                <w:rFonts w:cs="Arial"/>
                <w:b/>
                <w:sz w:val="16"/>
                <w:szCs w:val="16"/>
              </w:rPr>
            </w:pPr>
            <w:r w:rsidRPr="000C11D4">
              <w:rPr>
                <w:rFonts w:cs="Arial"/>
                <w:b/>
                <w:sz w:val="16"/>
                <w:szCs w:val="16"/>
              </w:rPr>
              <w:t>4</w:t>
            </w:r>
            <w:r w:rsidRPr="000C11D4">
              <w:rPr>
                <w:rFonts w:cs="Arial"/>
                <w:b/>
                <w:sz w:val="16"/>
                <w:szCs w:val="16"/>
              </w:rPr>
              <w:tab/>
            </w:r>
            <w:r w:rsidR="001F21FF" w:rsidRPr="00507C2A">
              <w:rPr>
                <w:rFonts w:cs="Arial"/>
                <w:b/>
                <w:sz w:val="16"/>
                <w:szCs w:val="16"/>
              </w:rPr>
              <w:t>345 268</w:t>
            </w:r>
          </w:p>
        </w:tc>
      </w:tr>
      <w:tr w:rsidR="00FF4772" w:rsidRPr="0011040F" w14:paraId="6633397E" w14:textId="77777777" w:rsidTr="00FF4772">
        <w:trPr>
          <w:jc w:val="center"/>
        </w:trPr>
        <w:tc>
          <w:tcPr>
            <w:tcW w:w="8925" w:type="dxa"/>
            <w:gridSpan w:val="5"/>
            <w:tcBorders>
              <w:top w:val="single" w:sz="5" w:space="0" w:color="auto"/>
              <w:left w:val="single" w:sz="5" w:space="0" w:color="auto"/>
              <w:bottom w:val="single" w:sz="5" w:space="0" w:color="auto"/>
              <w:right w:val="single" w:sz="5" w:space="0" w:color="auto"/>
            </w:tcBorders>
            <w:shd w:val="clear" w:color="auto" w:fill="D9D9D9" w:themeFill="background1" w:themeFillShade="D9"/>
            <w:vAlign w:val="center"/>
          </w:tcPr>
          <w:p w14:paraId="308B2C67" w14:textId="77777777" w:rsidR="00FF4772" w:rsidRPr="00475769" w:rsidRDefault="00FF4772" w:rsidP="00543743">
            <w:pPr>
              <w:widowControl w:val="0"/>
              <w:tabs>
                <w:tab w:val="decimal" w:pos="936"/>
              </w:tabs>
              <w:autoSpaceDE w:val="0"/>
              <w:autoSpaceDN w:val="0"/>
              <w:adjustRightInd w:val="0"/>
              <w:spacing w:before="120"/>
              <w:ind w:right="107"/>
              <w:jc w:val="center"/>
              <w:rPr>
                <w:rFonts w:cs="Arial"/>
                <w:b/>
                <w:sz w:val="16"/>
                <w:szCs w:val="16"/>
              </w:rPr>
            </w:pPr>
          </w:p>
        </w:tc>
      </w:tr>
    </w:tbl>
    <w:p w14:paraId="2F7AA723" w14:textId="0CE10D2B" w:rsidR="004301F8" w:rsidRPr="000C11D4" w:rsidRDefault="00507C2A" w:rsidP="00507C2A">
      <w:pPr>
        <w:pStyle w:val="LegalList1"/>
        <w:spacing w:before="240" w:after="120" w:line="360" w:lineRule="auto"/>
        <w:rPr>
          <w:lang w:val="en-ZA"/>
        </w:rPr>
      </w:pPr>
      <w:r w:rsidRPr="000C11D4">
        <w:rPr>
          <w:lang w:val="en-ZA"/>
        </w:rPr>
        <w:t>[24].</w:t>
      </w:r>
      <w:r w:rsidRPr="000C11D4">
        <w:rPr>
          <w:lang w:val="en-ZA"/>
        </w:rPr>
        <w:tab/>
      </w:r>
      <w:r w:rsidR="004301F8" w:rsidRPr="004301F8">
        <w:rPr>
          <w:lang w:val="en-ZA"/>
        </w:rPr>
        <w:t xml:space="preserve">It can be seen from the above that although </w:t>
      </w:r>
      <w:r w:rsidR="00BF7792">
        <w:rPr>
          <w:lang w:val="en-ZA"/>
        </w:rPr>
        <w:t>the taxpayer</w:t>
      </w:r>
      <w:r w:rsidR="004301F8" w:rsidRPr="004301F8">
        <w:rPr>
          <w:lang w:val="en-ZA"/>
        </w:rPr>
        <w:t xml:space="preserve"> made a loss from its </w:t>
      </w:r>
      <w:bookmarkStart w:id="2" w:name="_Hlk153543251"/>
      <w:r w:rsidR="004301F8" w:rsidRPr="004301F8">
        <w:rPr>
          <w:lang w:val="en-ZA"/>
        </w:rPr>
        <w:t xml:space="preserve">interest-earning and interest-incurring </w:t>
      </w:r>
      <w:bookmarkEnd w:id="2"/>
      <w:r w:rsidR="004301F8" w:rsidRPr="004301F8">
        <w:rPr>
          <w:lang w:val="en-ZA"/>
        </w:rPr>
        <w:t xml:space="preserve">activities in the 2011 year of assessment, it made a profit from these activities in five of the succeeding six years. </w:t>
      </w:r>
      <w:r w:rsidR="004301F8" w:rsidRPr="00BF7792">
        <w:rPr>
          <w:lang w:val="en-ZA"/>
        </w:rPr>
        <w:t>And</w:t>
      </w:r>
      <w:r w:rsidR="00BF7792">
        <w:rPr>
          <w:lang w:val="en-ZA"/>
        </w:rPr>
        <w:t>, so the contention on behalf of the taxpayer continues,</w:t>
      </w:r>
      <w:r w:rsidR="004301F8" w:rsidRPr="00BF7792">
        <w:rPr>
          <w:lang w:val="en-ZA"/>
        </w:rPr>
        <w:t xml:space="preserve"> if the dividends earned by Unitrans are taken into account in addition to the interest earned by it in every year of assessment from 2008 to 2017, </w:t>
      </w:r>
      <w:r w:rsidR="00906690">
        <w:rPr>
          <w:lang w:val="en-ZA"/>
        </w:rPr>
        <w:t>the taxpayer</w:t>
      </w:r>
      <w:r w:rsidR="004301F8" w:rsidRPr="00BF7792">
        <w:rPr>
          <w:lang w:val="en-ZA"/>
        </w:rPr>
        <w:t xml:space="preserve"> made a profit in each and every one of those years.</w:t>
      </w:r>
      <w:r w:rsidR="000C11D4">
        <w:rPr>
          <w:lang w:val="en-ZA"/>
        </w:rPr>
        <w:t xml:space="preserve"> </w:t>
      </w:r>
      <w:r w:rsidR="00BF7792" w:rsidRPr="000C11D4">
        <w:rPr>
          <w:lang w:val="en-ZA"/>
        </w:rPr>
        <w:t>The taxpayer furthermore submits t</w:t>
      </w:r>
      <w:r w:rsidR="004301F8" w:rsidRPr="000C11D4">
        <w:rPr>
          <w:lang w:val="en-ZA"/>
        </w:rPr>
        <w:t xml:space="preserve">hat it is legitimate to take the dividends into account for this purpose because dividends are gross income, and it is legitimate to take gross income into account when determining profit and the existence of the purpose of making a profit. </w:t>
      </w:r>
    </w:p>
    <w:p w14:paraId="6EEA6B34" w14:textId="49F31107" w:rsidR="00396A82" w:rsidRPr="00B453BB" w:rsidRDefault="00507C2A" w:rsidP="00507C2A">
      <w:pPr>
        <w:pStyle w:val="LegalList1"/>
        <w:spacing w:after="120" w:line="360" w:lineRule="auto"/>
        <w:rPr>
          <w:lang w:val="en-ZA"/>
        </w:rPr>
      </w:pPr>
      <w:r w:rsidRPr="00B453BB">
        <w:rPr>
          <w:lang w:val="en-ZA"/>
        </w:rPr>
        <w:t>[25].</w:t>
      </w:r>
      <w:r w:rsidRPr="00B453BB">
        <w:rPr>
          <w:lang w:val="en-ZA"/>
        </w:rPr>
        <w:tab/>
      </w:r>
      <w:r w:rsidR="00396A82">
        <w:rPr>
          <w:lang w:val="en-ZA"/>
        </w:rPr>
        <w:t xml:space="preserve">In sum, the taxpayer’s contention is that it should be </w:t>
      </w:r>
      <w:r w:rsidR="004301F8" w:rsidRPr="004301F8">
        <w:rPr>
          <w:lang w:val="en-ZA"/>
        </w:rPr>
        <w:t>recognised</w:t>
      </w:r>
      <w:r w:rsidR="00396A82">
        <w:rPr>
          <w:lang w:val="en-ZA"/>
        </w:rPr>
        <w:t xml:space="preserve"> </w:t>
      </w:r>
      <w:r w:rsidR="004301F8" w:rsidRPr="004301F8">
        <w:rPr>
          <w:lang w:val="en-ZA"/>
        </w:rPr>
        <w:t xml:space="preserve">that the relevant trade is </w:t>
      </w:r>
      <w:r w:rsidR="00396A82">
        <w:rPr>
          <w:lang w:val="en-ZA"/>
        </w:rPr>
        <w:t>its</w:t>
      </w:r>
      <w:r w:rsidR="004301F8" w:rsidRPr="004301F8">
        <w:rPr>
          <w:lang w:val="en-ZA"/>
        </w:rPr>
        <w:t xml:space="preserve"> trade as an investment and </w:t>
      </w:r>
      <w:r w:rsidR="00396A82">
        <w:rPr>
          <w:lang w:val="en-ZA"/>
        </w:rPr>
        <w:t xml:space="preserve">a </w:t>
      </w:r>
      <w:r w:rsidR="004301F8" w:rsidRPr="004301F8">
        <w:rPr>
          <w:lang w:val="en-ZA"/>
        </w:rPr>
        <w:t xml:space="preserve">holding company (as pleaded by SARS) and not that of </w:t>
      </w:r>
      <w:r w:rsidR="00396A82">
        <w:rPr>
          <w:lang w:val="en-ZA"/>
        </w:rPr>
        <w:t>‘</w:t>
      </w:r>
      <w:r w:rsidR="004301F8" w:rsidRPr="004301F8">
        <w:rPr>
          <w:lang w:val="en-ZA"/>
        </w:rPr>
        <w:t>moneylending</w:t>
      </w:r>
      <w:r w:rsidR="00396A82">
        <w:rPr>
          <w:lang w:val="en-ZA"/>
        </w:rPr>
        <w:t>’</w:t>
      </w:r>
      <w:r w:rsidR="004301F8" w:rsidRPr="004301F8">
        <w:rPr>
          <w:lang w:val="en-ZA"/>
        </w:rPr>
        <w:t xml:space="preserve"> (as contemplated in the </w:t>
      </w:r>
      <w:r w:rsidR="00B453BB" w:rsidRPr="00B453BB">
        <w:rPr>
          <w:i/>
          <w:iCs/>
          <w:lang w:val="en-ZA"/>
        </w:rPr>
        <w:t>Stone</w:t>
      </w:r>
      <w:r w:rsidR="00B453BB">
        <w:rPr>
          <w:rStyle w:val="FootnoteReference"/>
          <w:i/>
          <w:iCs/>
          <w:lang w:val="en-ZA"/>
        </w:rPr>
        <w:footnoteReference w:id="3"/>
      </w:r>
      <w:r w:rsidR="00B453BB">
        <w:rPr>
          <w:lang w:val="en-ZA"/>
        </w:rPr>
        <w:t xml:space="preserve"> </w:t>
      </w:r>
      <w:r w:rsidR="004301F8" w:rsidRPr="00B453BB">
        <w:rPr>
          <w:lang w:val="en-ZA"/>
        </w:rPr>
        <w:t xml:space="preserve">and </w:t>
      </w:r>
      <w:r w:rsidR="004301F8" w:rsidRPr="00B453BB">
        <w:rPr>
          <w:i/>
          <w:iCs/>
          <w:lang w:val="en-ZA"/>
        </w:rPr>
        <w:t>Solaglass</w:t>
      </w:r>
      <w:r w:rsidR="008F1247">
        <w:rPr>
          <w:rStyle w:val="FootnoteReference"/>
          <w:i/>
          <w:iCs/>
          <w:lang w:val="en-ZA"/>
        </w:rPr>
        <w:footnoteReference w:id="4"/>
      </w:r>
      <w:r w:rsidR="004301F8" w:rsidRPr="00B453BB">
        <w:rPr>
          <w:lang w:val="en-ZA"/>
        </w:rPr>
        <w:t xml:space="preserve"> cases)</w:t>
      </w:r>
      <w:r w:rsidR="00396A82" w:rsidRPr="00B453BB">
        <w:rPr>
          <w:lang w:val="en-ZA"/>
        </w:rPr>
        <w:t xml:space="preserve">. </w:t>
      </w:r>
    </w:p>
    <w:p w14:paraId="0F56C970" w14:textId="4369B935" w:rsidR="004301F8" w:rsidRPr="005A71B6" w:rsidRDefault="00507C2A" w:rsidP="00507C2A">
      <w:pPr>
        <w:pStyle w:val="LegalList1"/>
        <w:spacing w:after="120" w:line="360" w:lineRule="auto"/>
        <w:rPr>
          <w:lang w:val="en-ZA"/>
        </w:rPr>
      </w:pPr>
      <w:r w:rsidRPr="005A71B6">
        <w:rPr>
          <w:lang w:val="en-ZA"/>
        </w:rPr>
        <w:t>[26].</w:t>
      </w:r>
      <w:r w:rsidRPr="005A71B6">
        <w:rPr>
          <w:lang w:val="en-ZA"/>
        </w:rPr>
        <w:tab/>
      </w:r>
      <w:r w:rsidR="00B453BB">
        <w:rPr>
          <w:lang w:val="en-ZA"/>
        </w:rPr>
        <w:t>T</w:t>
      </w:r>
      <w:r w:rsidR="00396A82">
        <w:rPr>
          <w:lang w:val="en-ZA"/>
        </w:rPr>
        <w:t xml:space="preserve">he taxpayer’s witness, Ms Smuts, </w:t>
      </w:r>
      <w:r w:rsidR="00B453BB">
        <w:rPr>
          <w:lang w:val="en-ZA"/>
        </w:rPr>
        <w:t>gave</w:t>
      </w:r>
      <w:r w:rsidR="004301F8" w:rsidRPr="004301F8">
        <w:rPr>
          <w:lang w:val="en-ZA"/>
        </w:rPr>
        <w:t xml:space="preserve"> evidence </w:t>
      </w:r>
      <w:r w:rsidR="00B453BB">
        <w:rPr>
          <w:lang w:val="en-ZA"/>
        </w:rPr>
        <w:t>that</w:t>
      </w:r>
      <w:r w:rsidR="004301F8" w:rsidRPr="004301F8">
        <w:rPr>
          <w:lang w:val="en-ZA"/>
        </w:rPr>
        <w:t xml:space="preserve">, in all of its </w:t>
      </w:r>
      <w:r w:rsidR="00ED51DA" w:rsidRPr="004301F8">
        <w:rPr>
          <w:lang w:val="en-ZA"/>
        </w:rPr>
        <w:t>interest</w:t>
      </w:r>
      <w:r w:rsidR="00ED51DA">
        <w:rPr>
          <w:lang w:val="en-ZA"/>
        </w:rPr>
        <w:noBreakHyphen/>
      </w:r>
      <w:r w:rsidR="00ED51DA" w:rsidRPr="004301F8">
        <w:rPr>
          <w:lang w:val="en-ZA"/>
        </w:rPr>
        <w:t>earning</w:t>
      </w:r>
      <w:r w:rsidR="004301F8" w:rsidRPr="004301F8">
        <w:rPr>
          <w:lang w:val="en-ZA"/>
        </w:rPr>
        <w:t xml:space="preserve"> and interest</w:t>
      </w:r>
      <w:r w:rsidR="00ED51DA">
        <w:rPr>
          <w:lang w:val="en-ZA"/>
        </w:rPr>
        <w:noBreakHyphen/>
      </w:r>
      <w:r w:rsidR="004301F8" w:rsidRPr="004301F8">
        <w:rPr>
          <w:lang w:val="en-ZA"/>
        </w:rPr>
        <w:t xml:space="preserve">incurring activities, involving both its subsidiaries and the Bank, </w:t>
      </w:r>
      <w:r w:rsidR="00396A82">
        <w:rPr>
          <w:lang w:val="en-ZA"/>
        </w:rPr>
        <w:t>the taxpayer</w:t>
      </w:r>
      <w:r w:rsidR="004301F8" w:rsidRPr="004301F8">
        <w:rPr>
          <w:lang w:val="en-ZA"/>
        </w:rPr>
        <w:t xml:space="preserve"> borrowed, advanced and deposited funds with the purpose of making an overall profit.</w:t>
      </w:r>
      <w:bookmarkStart w:id="3" w:name="_Hlk153392522"/>
      <w:r w:rsidR="00B453BB">
        <w:rPr>
          <w:lang w:val="en-ZA"/>
        </w:rPr>
        <w:t xml:space="preserve"> </w:t>
      </w:r>
      <w:r w:rsidR="00396A82" w:rsidRPr="00B453BB">
        <w:rPr>
          <w:lang w:val="en-ZA"/>
        </w:rPr>
        <w:t>Mr Emslie</w:t>
      </w:r>
      <w:r w:rsidR="00B453BB">
        <w:rPr>
          <w:lang w:val="en-ZA"/>
        </w:rPr>
        <w:t xml:space="preserve"> submitted that from </w:t>
      </w:r>
      <w:r w:rsidR="004301F8" w:rsidRPr="00B453BB">
        <w:rPr>
          <w:lang w:val="en-ZA"/>
        </w:rPr>
        <w:t xml:space="preserve">Ms </w:t>
      </w:r>
      <w:r w:rsidR="00ED51DA" w:rsidRPr="00B453BB">
        <w:rPr>
          <w:lang w:val="en-ZA"/>
        </w:rPr>
        <w:t>Smuts’</w:t>
      </w:r>
      <w:r w:rsidR="004301F8" w:rsidRPr="00B453BB">
        <w:rPr>
          <w:lang w:val="en-ZA"/>
        </w:rPr>
        <w:t xml:space="preserve"> direct evidence of </w:t>
      </w:r>
      <w:r w:rsidR="00396A82" w:rsidRPr="00B453BB">
        <w:rPr>
          <w:lang w:val="en-ZA"/>
        </w:rPr>
        <w:t xml:space="preserve">the taxpayer’s </w:t>
      </w:r>
      <w:r w:rsidR="004301F8" w:rsidRPr="00B453BB">
        <w:rPr>
          <w:lang w:val="en-ZA"/>
        </w:rPr>
        <w:t>purpose</w:t>
      </w:r>
      <w:r w:rsidR="00B453BB">
        <w:rPr>
          <w:lang w:val="en-ZA"/>
        </w:rPr>
        <w:t xml:space="preserve">, when </w:t>
      </w:r>
      <w:r w:rsidR="004301F8" w:rsidRPr="00B453BB">
        <w:rPr>
          <w:lang w:val="en-ZA"/>
        </w:rPr>
        <w:t xml:space="preserve">weighed and tested against the probabilities and the inferences normally to be drawn from the established and objective facts, </w:t>
      </w:r>
      <w:r w:rsidR="00B453BB">
        <w:rPr>
          <w:lang w:val="en-ZA"/>
        </w:rPr>
        <w:t>it can and should be</w:t>
      </w:r>
      <w:r w:rsidR="004301F8" w:rsidRPr="00B453BB">
        <w:rPr>
          <w:lang w:val="en-ZA"/>
        </w:rPr>
        <w:t xml:space="preserve"> conclu</w:t>
      </w:r>
      <w:r w:rsidR="00B453BB">
        <w:rPr>
          <w:lang w:val="en-ZA"/>
        </w:rPr>
        <w:t>ded</w:t>
      </w:r>
      <w:r w:rsidR="004301F8" w:rsidRPr="00B453BB">
        <w:rPr>
          <w:lang w:val="en-ZA"/>
        </w:rPr>
        <w:t xml:space="preserve"> that </w:t>
      </w:r>
      <w:r w:rsidR="00396A82" w:rsidRPr="00B453BB">
        <w:rPr>
          <w:lang w:val="en-ZA"/>
        </w:rPr>
        <w:t>the taxpayer</w:t>
      </w:r>
      <w:r w:rsidR="004301F8" w:rsidRPr="00B453BB">
        <w:rPr>
          <w:lang w:val="en-ZA"/>
        </w:rPr>
        <w:t xml:space="preserve"> had the requisite profit-making purpose to be carrying on a trade from its interest-earning and interest-incurring activities, </w:t>
      </w:r>
      <w:r w:rsidR="00C536FE" w:rsidRPr="00B453BB">
        <w:rPr>
          <w:lang w:val="en-ZA"/>
        </w:rPr>
        <w:t>that being</w:t>
      </w:r>
      <w:r w:rsidR="004301F8" w:rsidRPr="00B453BB">
        <w:rPr>
          <w:lang w:val="en-ZA"/>
        </w:rPr>
        <w:t xml:space="preserve"> its trade as an investment and holding company.</w:t>
      </w:r>
      <w:bookmarkEnd w:id="3"/>
      <w:r w:rsidR="00C536FE" w:rsidRPr="00B453BB">
        <w:rPr>
          <w:lang w:val="en-ZA"/>
        </w:rPr>
        <w:t xml:space="preserve"> </w:t>
      </w:r>
      <w:r w:rsidR="00B453BB">
        <w:rPr>
          <w:lang w:val="en-ZA"/>
        </w:rPr>
        <w:t xml:space="preserve">I do not agree with these submissions for the reasons alluded to later on in the judgment, notably the fact that the evidence, as a whole, do not </w:t>
      </w:r>
      <w:r w:rsidR="005A71B6">
        <w:rPr>
          <w:lang w:val="en-ZA"/>
        </w:rPr>
        <w:t xml:space="preserve">support the taxpayer’s case especially not as regards the 2011 tax year of assessment. </w:t>
      </w:r>
      <w:r w:rsidR="005A71B6">
        <w:rPr>
          <w:lang w:val="en-ZA"/>
        </w:rPr>
        <w:lastRenderedPageBreak/>
        <w:t xml:space="preserve">It cannot be said with any conviction that during </w:t>
      </w:r>
      <w:r w:rsidR="004301F8" w:rsidRPr="005A71B6">
        <w:rPr>
          <w:lang w:val="en-ZA"/>
        </w:rPr>
        <w:t xml:space="preserve">its 2011 year of assessment </w:t>
      </w:r>
      <w:r w:rsidR="00C536FE" w:rsidRPr="005A71B6">
        <w:rPr>
          <w:lang w:val="en-ZA"/>
        </w:rPr>
        <w:t>the taxpayer</w:t>
      </w:r>
      <w:r w:rsidR="004301F8" w:rsidRPr="005A71B6">
        <w:rPr>
          <w:lang w:val="en-ZA"/>
        </w:rPr>
        <w:t xml:space="preserve"> had the purpose of making profits in the medium term.</w:t>
      </w:r>
      <w:r w:rsidR="005A71B6">
        <w:rPr>
          <w:lang w:val="en-ZA"/>
        </w:rPr>
        <w:t xml:space="preserve"> </w:t>
      </w:r>
      <w:r w:rsidR="004301F8" w:rsidRPr="005A71B6">
        <w:rPr>
          <w:lang w:val="en-ZA"/>
        </w:rPr>
        <w:t xml:space="preserve"> </w:t>
      </w:r>
    </w:p>
    <w:p w14:paraId="00C2FD45" w14:textId="1019F948" w:rsidR="004301F8" w:rsidRPr="00C536FE" w:rsidRDefault="00507C2A" w:rsidP="00507C2A">
      <w:pPr>
        <w:pStyle w:val="LegalList1"/>
        <w:spacing w:after="120" w:line="360" w:lineRule="auto"/>
        <w:rPr>
          <w:lang w:val="en-ZA"/>
        </w:rPr>
      </w:pPr>
      <w:bookmarkStart w:id="4" w:name="_Hlk153392898"/>
      <w:r w:rsidRPr="00C536FE">
        <w:rPr>
          <w:lang w:val="en-ZA"/>
        </w:rPr>
        <w:t>[27].</w:t>
      </w:r>
      <w:r w:rsidRPr="00C536FE">
        <w:rPr>
          <w:lang w:val="en-ZA"/>
        </w:rPr>
        <w:tab/>
      </w:r>
      <w:r w:rsidR="00C536FE">
        <w:rPr>
          <w:lang w:val="en-ZA"/>
        </w:rPr>
        <w:t xml:space="preserve">The point is simply that the evidence of </w:t>
      </w:r>
      <w:r w:rsidR="004301F8" w:rsidRPr="00C536FE">
        <w:rPr>
          <w:lang w:val="en-ZA"/>
        </w:rPr>
        <w:t>Ms Smuts</w:t>
      </w:r>
      <w:r w:rsidR="00C536FE">
        <w:rPr>
          <w:lang w:val="en-ZA"/>
        </w:rPr>
        <w:t xml:space="preserve"> was to the effect </w:t>
      </w:r>
      <w:r w:rsidR="004301F8" w:rsidRPr="00C536FE">
        <w:rPr>
          <w:lang w:val="en-ZA"/>
        </w:rPr>
        <w:t xml:space="preserve">that </w:t>
      </w:r>
      <w:r w:rsidR="00C536FE">
        <w:rPr>
          <w:lang w:val="en-ZA"/>
        </w:rPr>
        <w:t>the taxpayer</w:t>
      </w:r>
      <w:r w:rsidR="004301F8" w:rsidRPr="00C536FE">
        <w:rPr>
          <w:lang w:val="en-ZA"/>
        </w:rPr>
        <w:t xml:space="preserve"> performed a treasury</w:t>
      </w:r>
      <w:r w:rsidR="00912BE8" w:rsidRPr="00C536FE">
        <w:rPr>
          <w:lang w:val="en-ZA"/>
        </w:rPr>
        <w:t xml:space="preserve"> </w:t>
      </w:r>
      <w:r w:rsidR="004301F8" w:rsidRPr="00C536FE">
        <w:rPr>
          <w:lang w:val="en-ZA"/>
        </w:rPr>
        <w:t xml:space="preserve">function for </w:t>
      </w:r>
      <w:r w:rsidR="00C536FE">
        <w:rPr>
          <w:lang w:val="en-ZA"/>
        </w:rPr>
        <w:t xml:space="preserve">its </w:t>
      </w:r>
      <w:r w:rsidR="004301F8" w:rsidRPr="00C536FE">
        <w:rPr>
          <w:lang w:val="en-ZA"/>
        </w:rPr>
        <w:t xml:space="preserve">group of companies. This function included the provision of loan funding as well as cash management. She testified that </w:t>
      </w:r>
      <w:r w:rsidR="00C536FE">
        <w:rPr>
          <w:lang w:val="en-ZA"/>
        </w:rPr>
        <w:t>the taxpayer</w:t>
      </w:r>
      <w:r w:rsidR="004301F8" w:rsidRPr="00C536FE">
        <w:rPr>
          <w:lang w:val="en-ZA"/>
        </w:rPr>
        <w:t xml:space="preserve"> and its </w:t>
      </w:r>
      <w:r w:rsidR="000C11D4" w:rsidRPr="00C536FE">
        <w:rPr>
          <w:lang w:val="en-ZA"/>
        </w:rPr>
        <w:t>wholly owned</w:t>
      </w:r>
      <w:r w:rsidR="004301F8" w:rsidRPr="00C536FE">
        <w:rPr>
          <w:lang w:val="en-ZA"/>
        </w:rPr>
        <w:t xml:space="preserve"> subsidiaries had a cash management arrangement with Standard Bank, whereby the group’s bank accounts were balanced to zero on a daily basis. She testified that information had to be provided to the Bank by 11 am each day as part of this cash management arrangement with the Bank. If the group’s net position ended up in overdraft, </w:t>
      </w:r>
      <w:r w:rsidR="00C536FE">
        <w:rPr>
          <w:lang w:val="en-ZA"/>
        </w:rPr>
        <w:t>the taxpayer</w:t>
      </w:r>
      <w:r w:rsidR="004301F8" w:rsidRPr="00C536FE">
        <w:rPr>
          <w:lang w:val="en-ZA"/>
        </w:rPr>
        <w:t xml:space="preserve"> would borrow funds from Standard Bank on a call loan and if the group was in a positive cash position, </w:t>
      </w:r>
      <w:r w:rsidR="00C536FE">
        <w:rPr>
          <w:lang w:val="en-ZA"/>
        </w:rPr>
        <w:t>the taxpayer</w:t>
      </w:r>
      <w:r w:rsidR="004301F8" w:rsidRPr="00C536FE">
        <w:rPr>
          <w:lang w:val="en-ZA"/>
        </w:rPr>
        <w:t xml:space="preserve"> would pay back the call loan. </w:t>
      </w:r>
    </w:p>
    <w:bookmarkEnd w:id="4"/>
    <w:p w14:paraId="5DC3EA1C" w14:textId="5FD52C86" w:rsidR="004301F8" w:rsidRPr="00DE56A7" w:rsidRDefault="00507C2A" w:rsidP="00507C2A">
      <w:pPr>
        <w:pStyle w:val="LegalList1"/>
        <w:spacing w:after="120" w:line="360" w:lineRule="auto"/>
        <w:rPr>
          <w:lang w:val="en-ZA"/>
        </w:rPr>
      </w:pPr>
      <w:r w:rsidRPr="00DE56A7">
        <w:rPr>
          <w:lang w:val="en-ZA"/>
        </w:rPr>
        <w:t>[28].</w:t>
      </w:r>
      <w:r w:rsidRPr="00DE56A7">
        <w:rPr>
          <w:lang w:val="en-ZA"/>
        </w:rPr>
        <w:tab/>
      </w:r>
      <w:r w:rsidR="00DE56A7">
        <w:rPr>
          <w:lang w:val="en-ZA"/>
        </w:rPr>
        <w:t xml:space="preserve">In sum, the taxpayer’s case in this appeal is that, as part of its business and its trade as an investment holding company, it </w:t>
      </w:r>
      <w:r w:rsidR="004301F8" w:rsidRPr="00DE56A7">
        <w:rPr>
          <w:lang w:val="en-ZA"/>
        </w:rPr>
        <w:t>lent</w:t>
      </w:r>
      <w:r w:rsidR="00DE56A7">
        <w:rPr>
          <w:lang w:val="en-ZA"/>
        </w:rPr>
        <w:t xml:space="preserve"> and advanced</w:t>
      </w:r>
      <w:r w:rsidR="004301F8" w:rsidRPr="00DE56A7">
        <w:rPr>
          <w:lang w:val="en-ZA"/>
        </w:rPr>
        <w:t xml:space="preserve"> funds only to its own subsidiaries, of which it was the holding company. This</w:t>
      </w:r>
      <w:r w:rsidR="00DE56A7">
        <w:rPr>
          <w:lang w:val="en-ZA"/>
        </w:rPr>
        <w:t>, so the argument is concluded, places the taxpayer</w:t>
      </w:r>
      <w:r w:rsidR="004301F8" w:rsidRPr="00DE56A7">
        <w:rPr>
          <w:lang w:val="en-ZA"/>
        </w:rPr>
        <w:t xml:space="preserve"> in the same position as the taxpayer in </w:t>
      </w:r>
      <w:r w:rsidR="004301F8" w:rsidRPr="00DE56A7">
        <w:rPr>
          <w:i/>
          <w:iCs/>
          <w:lang w:val="en-ZA"/>
        </w:rPr>
        <w:t>Tiger Oats</w:t>
      </w:r>
      <w:r w:rsidR="00DE56A7">
        <w:rPr>
          <w:lang w:val="en-ZA"/>
        </w:rPr>
        <w:t xml:space="preserve">, which means, as was held by the SCA in that case, that the interest incurred should be deducted from the taxpayer’s income during the 2011 tax year of assessment. </w:t>
      </w:r>
      <w:r w:rsidR="004301F8" w:rsidRPr="00DE56A7">
        <w:rPr>
          <w:lang w:val="en-ZA"/>
        </w:rPr>
        <w:t xml:space="preserve">Moreover, furthering the interests of its subsidiaries was also the furtherance </w:t>
      </w:r>
      <w:r w:rsidR="001C306F">
        <w:rPr>
          <w:lang w:val="en-ZA"/>
        </w:rPr>
        <w:t xml:space="preserve">of </w:t>
      </w:r>
      <w:r w:rsidR="00C63A22">
        <w:rPr>
          <w:lang w:val="en-ZA"/>
        </w:rPr>
        <w:t>the taxpayer’s</w:t>
      </w:r>
      <w:r w:rsidR="004301F8" w:rsidRPr="00DE56A7">
        <w:rPr>
          <w:lang w:val="en-ZA"/>
        </w:rPr>
        <w:t xml:space="preserve"> own interests because </w:t>
      </w:r>
      <w:r w:rsidR="00C63A22">
        <w:rPr>
          <w:lang w:val="en-ZA"/>
        </w:rPr>
        <w:t>it</w:t>
      </w:r>
      <w:r w:rsidR="004301F8" w:rsidRPr="00DE56A7">
        <w:rPr>
          <w:lang w:val="en-ZA"/>
        </w:rPr>
        <w:t xml:space="preserve"> was the holding company of the subsidiaries, so its own interests were fully aligned with those of its subsidiaries. </w:t>
      </w:r>
    </w:p>
    <w:p w14:paraId="31B39491" w14:textId="34093223" w:rsidR="00C63A22" w:rsidRPr="005A71B6" w:rsidRDefault="00507C2A" w:rsidP="00507C2A">
      <w:pPr>
        <w:pStyle w:val="LegalList1"/>
        <w:spacing w:after="120" w:line="360" w:lineRule="auto"/>
        <w:rPr>
          <w:lang w:val="en-ZA"/>
        </w:rPr>
      </w:pPr>
      <w:r w:rsidRPr="005A71B6">
        <w:rPr>
          <w:lang w:val="en-ZA"/>
        </w:rPr>
        <w:t>[29].</w:t>
      </w:r>
      <w:r w:rsidRPr="005A71B6">
        <w:rPr>
          <w:lang w:val="en-ZA"/>
        </w:rPr>
        <w:tab/>
      </w:r>
      <w:r w:rsidR="00C63A22">
        <w:rPr>
          <w:lang w:val="en-ZA"/>
        </w:rPr>
        <w:t>The question remaining is whether, having regard to the pleadings and the evidence, the taxpayer</w:t>
      </w:r>
      <w:r w:rsidR="004301F8" w:rsidRPr="004301F8">
        <w:rPr>
          <w:lang w:val="en-ZA"/>
        </w:rPr>
        <w:t xml:space="preserve"> </w:t>
      </w:r>
      <w:r w:rsidR="00C63A22">
        <w:rPr>
          <w:lang w:val="en-ZA"/>
        </w:rPr>
        <w:t>had</w:t>
      </w:r>
      <w:r w:rsidR="004301F8" w:rsidRPr="004301F8">
        <w:rPr>
          <w:lang w:val="en-ZA"/>
        </w:rPr>
        <w:t xml:space="preserve"> discharged the burden of proving that it conducted trade as an investment and holding company </w:t>
      </w:r>
      <w:r w:rsidR="00C63A22">
        <w:rPr>
          <w:lang w:val="en-ZA"/>
        </w:rPr>
        <w:t>a</w:t>
      </w:r>
      <w:r w:rsidR="004301F8" w:rsidRPr="004301F8">
        <w:rPr>
          <w:lang w:val="en-ZA"/>
        </w:rPr>
        <w:t>nd that in the course of that trade it incurred expenditure in the form of interest in the production of income in the form of interest from its subsidiaries</w:t>
      </w:r>
      <w:r w:rsidR="00C63A22">
        <w:rPr>
          <w:lang w:val="en-ZA"/>
        </w:rPr>
        <w:t>.</w:t>
      </w:r>
      <w:r w:rsidR="005A71B6">
        <w:rPr>
          <w:lang w:val="en-ZA"/>
        </w:rPr>
        <w:t xml:space="preserve"> </w:t>
      </w:r>
      <w:r w:rsidR="00314682" w:rsidRPr="005A71B6">
        <w:rPr>
          <w:lang w:val="en-ZA"/>
        </w:rPr>
        <w:t xml:space="preserve">Moreover, the further outstanding issue is whether in the production of </w:t>
      </w:r>
      <w:r w:rsidR="00314682" w:rsidRPr="005A71B6">
        <w:rPr>
          <w:u w:val="single"/>
          <w:lang w:val="en-ZA"/>
        </w:rPr>
        <w:t>that</w:t>
      </w:r>
      <w:r w:rsidR="00314682" w:rsidRPr="005A71B6">
        <w:rPr>
          <w:lang w:val="en-ZA"/>
        </w:rPr>
        <w:t xml:space="preserve"> income, the taxpayer incurred the interest expenditure</w:t>
      </w:r>
      <w:r w:rsidR="002210A9" w:rsidRPr="005A71B6">
        <w:rPr>
          <w:lang w:val="en-ZA"/>
        </w:rPr>
        <w:t xml:space="preserve">. I return to these issues </w:t>
      </w:r>
      <w:r w:rsidR="00906690">
        <w:rPr>
          <w:lang w:val="en-ZA"/>
        </w:rPr>
        <w:t>hereinbelow</w:t>
      </w:r>
      <w:r w:rsidR="002210A9" w:rsidRPr="005A71B6">
        <w:rPr>
          <w:lang w:val="en-ZA"/>
        </w:rPr>
        <w:t>.</w:t>
      </w:r>
      <w:r w:rsidR="00314682" w:rsidRPr="005A71B6">
        <w:rPr>
          <w:lang w:val="en-ZA"/>
        </w:rPr>
        <w:t xml:space="preserve">   </w:t>
      </w:r>
    </w:p>
    <w:p w14:paraId="3F289EE3" w14:textId="740D0F19" w:rsidR="00C63A22" w:rsidRDefault="00507C2A" w:rsidP="00507C2A">
      <w:pPr>
        <w:pStyle w:val="LegalList1"/>
        <w:spacing w:after="120" w:line="360" w:lineRule="auto"/>
        <w:rPr>
          <w:lang w:val="en-ZA"/>
        </w:rPr>
      </w:pPr>
      <w:r>
        <w:rPr>
          <w:lang w:val="en-ZA"/>
        </w:rPr>
        <w:lastRenderedPageBreak/>
        <w:t>[30].</w:t>
      </w:r>
      <w:r>
        <w:rPr>
          <w:lang w:val="en-ZA"/>
        </w:rPr>
        <w:tab/>
      </w:r>
      <w:r w:rsidR="002210A9">
        <w:rPr>
          <w:lang w:val="en-ZA"/>
        </w:rPr>
        <w:t xml:space="preserve">Before that </w:t>
      </w:r>
      <w:r w:rsidR="009C6E92">
        <w:rPr>
          <w:lang w:val="en-ZA"/>
        </w:rPr>
        <w:t>I</w:t>
      </w:r>
      <w:r w:rsidR="002210A9">
        <w:rPr>
          <w:lang w:val="en-ZA"/>
        </w:rPr>
        <w:t xml:space="preserve"> need to deal briefly with the issue as to whether the taxpayer’s pleaded case accords with the one argued on its </w:t>
      </w:r>
      <w:r w:rsidR="00C24F27">
        <w:rPr>
          <w:lang w:val="en-ZA"/>
        </w:rPr>
        <w:t xml:space="preserve">behalf </w:t>
      </w:r>
      <w:r w:rsidR="002210A9">
        <w:rPr>
          <w:lang w:val="en-ZA"/>
        </w:rPr>
        <w:t>during the appeal in the Tax Court and in this appeal court. I</w:t>
      </w:r>
      <w:r w:rsidR="009C6E92">
        <w:rPr>
          <w:lang w:val="en-ZA"/>
        </w:rPr>
        <w:t xml:space="preserve"> do not accept the contention on behalf of SARS that </w:t>
      </w:r>
      <w:r w:rsidR="002210A9">
        <w:rPr>
          <w:lang w:val="en-ZA"/>
        </w:rPr>
        <w:t>the</w:t>
      </w:r>
      <w:r w:rsidR="009C6E92">
        <w:rPr>
          <w:lang w:val="en-ZA"/>
        </w:rPr>
        <w:t xml:space="preserve"> case relied upon by the taxpayer was not pleaded. The simple fact of the matter is that it was common cause between the parties on the pleadings that the taxpayer traded as an investment holding company. SARS pleaded as much in its rule 31 statement</w:t>
      </w:r>
      <w:r w:rsidR="00AC05BC">
        <w:rPr>
          <w:lang w:val="en-ZA"/>
        </w:rPr>
        <w:t xml:space="preserve"> of grounds of assessment</w:t>
      </w:r>
      <w:r w:rsidR="009C6E92">
        <w:rPr>
          <w:lang w:val="en-ZA"/>
        </w:rPr>
        <w:t xml:space="preserve">. </w:t>
      </w:r>
      <w:r w:rsidR="002210A9">
        <w:rPr>
          <w:lang w:val="en-ZA"/>
        </w:rPr>
        <w:t>The taxpayer was accordingly fully within its right to rely on that common cause fact as a basis for its case in terms of the provisions of s 24J(2) of the Income Tax Act.</w:t>
      </w:r>
    </w:p>
    <w:p w14:paraId="45016704" w14:textId="16988402" w:rsidR="0088494E" w:rsidRPr="00485CA4" w:rsidRDefault="00507C2A" w:rsidP="00507C2A">
      <w:pPr>
        <w:pStyle w:val="LegalList1"/>
        <w:spacing w:after="0" w:line="360" w:lineRule="auto"/>
        <w:rPr>
          <w:lang w:val="en-ZA"/>
        </w:rPr>
      </w:pPr>
      <w:r w:rsidRPr="00485CA4">
        <w:rPr>
          <w:lang w:val="en-ZA"/>
        </w:rPr>
        <w:t>[31].</w:t>
      </w:r>
      <w:r w:rsidRPr="00485CA4">
        <w:rPr>
          <w:lang w:val="en-ZA"/>
        </w:rPr>
        <w:tab/>
      </w:r>
      <w:r w:rsidR="00485CA4">
        <w:rPr>
          <w:lang w:val="en-ZA"/>
        </w:rPr>
        <w:t xml:space="preserve">What is more is that, as early as 2013 in correspondence between the taxpayer and SARS, the former advised the latter </w:t>
      </w:r>
      <w:r w:rsidR="0088494E" w:rsidRPr="00485CA4">
        <w:rPr>
          <w:lang w:val="en-ZA"/>
        </w:rPr>
        <w:t xml:space="preserve">that the money lending business of </w:t>
      </w:r>
      <w:r w:rsidR="00485CA4">
        <w:rPr>
          <w:lang w:val="en-ZA"/>
        </w:rPr>
        <w:t>the taxpayer</w:t>
      </w:r>
      <w:r w:rsidR="0088494E" w:rsidRPr="00485CA4">
        <w:rPr>
          <w:lang w:val="en-ZA"/>
        </w:rPr>
        <w:t xml:space="preserve">, as well as its investment activities, fall within the Act’s definition of </w:t>
      </w:r>
      <w:r w:rsidR="00485CA4">
        <w:rPr>
          <w:lang w:val="en-ZA"/>
        </w:rPr>
        <w:t>‘</w:t>
      </w:r>
      <w:r w:rsidR="0088494E" w:rsidRPr="00485CA4">
        <w:rPr>
          <w:lang w:val="en-ZA"/>
        </w:rPr>
        <w:t>trade</w:t>
      </w:r>
      <w:r w:rsidR="00485CA4">
        <w:rPr>
          <w:lang w:val="en-ZA"/>
        </w:rPr>
        <w:t>’ as envisaged by the Income Tax Act</w:t>
      </w:r>
      <w:r w:rsidR="0088494E" w:rsidRPr="00485CA4">
        <w:rPr>
          <w:lang w:val="en-ZA"/>
        </w:rPr>
        <w:t>.</w:t>
      </w:r>
      <w:r w:rsidR="00485CA4">
        <w:rPr>
          <w:lang w:val="en-ZA"/>
        </w:rPr>
        <w:t xml:space="preserve"> In one such communiqué, the taxpayer advised SARS as follows: - </w:t>
      </w:r>
    </w:p>
    <w:p w14:paraId="797EC8ED" w14:textId="29954BB3" w:rsidR="00485CA4" w:rsidRPr="00485CA4" w:rsidRDefault="00485CA4" w:rsidP="00485CA4">
      <w:pPr>
        <w:pStyle w:val="LegalList1"/>
        <w:spacing w:after="120" w:line="360" w:lineRule="auto"/>
        <w:rPr>
          <w:sz w:val="20"/>
          <w:szCs w:val="20"/>
          <w:lang w:val="en-ZA"/>
        </w:rPr>
      </w:pPr>
      <w:r w:rsidRPr="00485CA4">
        <w:rPr>
          <w:sz w:val="20"/>
          <w:szCs w:val="20"/>
          <w:lang w:val="en-ZA"/>
        </w:rPr>
        <w:t>‘</w:t>
      </w:r>
      <w:r w:rsidR="0088494E" w:rsidRPr="00485CA4">
        <w:rPr>
          <w:sz w:val="20"/>
          <w:szCs w:val="20"/>
          <w:lang w:val="en-ZA"/>
        </w:rPr>
        <w:t xml:space="preserve">We have shown the </w:t>
      </w:r>
      <w:r w:rsidRPr="00485CA4">
        <w:rPr>
          <w:sz w:val="20"/>
          <w:szCs w:val="20"/>
          <w:lang w:val="en-ZA"/>
        </w:rPr>
        <w:t>[taxpayer]</w:t>
      </w:r>
      <w:r w:rsidR="0088494E" w:rsidRPr="00485CA4">
        <w:rPr>
          <w:sz w:val="20"/>
          <w:szCs w:val="20"/>
          <w:lang w:val="en-ZA"/>
        </w:rPr>
        <w:t xml:space="preserve"> to be carrying on a trade, being investment in shares and advancing of funds to group companies (money lending), </w:t>
      </w:r>
      <w:r w:rsidRPr="00485CA4">
        <w:rPr>
          <w:sz w:val="20"/>
          <w:szCs w:val="20"/>
          <w:lang w:val="en-ZA"/>
        </w:rPr>
        <w:t>…’.</w:t>
      </w:r>
    </w:p>
    <w:p w14:paraId="2E61D1C7" w14:textId="44269114" w:rsidR="004F1B04" w:rsidRDefault="00507C2A" w:rsidP="00507C2A">
      <w:pPr>
        <w:pStyle w:val="LegalList1"/>
        <w:spacing w:after="120" w:line="360" w:lineRule="auto"/>
        <w:rPr>
          <w:lang w:val="en-ZA"/>
        </w:rPr>
      </w:pPr>
      <w:r>
        <w:rPr>
          <w:lang w:val="en-ZA"/>
        </w:rPr>
        <w:t>[32].</w:t>
      </w:r>
      <w:r>
        <w:rPr>
          <w:lang w:val="en-ZA"/>
        </w:rPr>
        <w:tab/>
      </w:r>
      <w:r w:rsidR="00EE34CA">
        <w:rPr>
          <w:lang w:val="en-ZA"/>
        </w:rPr>
        <w:t>I therefore conclude that the</w:t>
      </w:r>
      <w:r w:rsidR="002210A9">
        <w:rPr>
          <w:lang w:val="en-ZA"/>
        </w:rPr>
        <w:t xml:space="preserve">re is no merit in the contention by SARS that the case relied upon by the taxpayer was not properly pleaded by it. The </w:t>
      </w:r>
      <w:r w:rsidR="004F1B04">
        <w:rPr>
          <w:lang w:val="en-ZA"/>
        </w:rPr>
        <w:t xml:space="preserve">court </w:t>
      </w:r>
      <w:r w:rsidR="004F1B04" w:rsidRPr="004F1B04">
        <w:rPr>
          <w:i/>
          <w:iCs/>
          <w:lang w:val="en-ZA"/>
        </w:rPr>
        <w:t>a</w:t>
      </w:r>
      <w:r w:rsidR="004F1B04">
        <w:rPr>
          <w:lang w:val="en-ZA"/>
        </w:rPr>
        <w:t xml:space="preserve"> </w:t>
      </w:r>
      <w:r w:rsidR="004F1B04" w:rsidRPr="004F1B04">
        <w:rPr>
          <w:i/>
          <w:iCs/>
          <w:lang w:val="en-ZA"/>
        </w:rPr>
        <w:t>quo</w:t>
      </w:r>
      <w:r w:rsidR="004F1B04">
        <w:rPr>
          <w:lang w:val="en-ZA"/>
        </w:rPr>
        <w:t xml:space="preserve">, in holding otherwise, misdirected itself. </w:t>
      </w:r>
      <w:r w:rsidR="002E773F" w:rsidRPr="004F1B04">
        <w:rPr>
          <w:lang w:val="en-ZA"/>
        </w:rPr>
        <w:t xml:space="preserve">Its emphasis on the fact that the taxpayer </w:t>
      </w:r>
      <w:r w:rsidR="0088494E" w:rsidRPr="004F1B04">
        <w:rPr>
          <w:lang w:val="en-ZA"/>
        </w:rPr>
        <w:t xml:space="preserve">was not carrying on a trade as a </w:t>
      </w:r>
      <w:r w:rsidR="002E773F" w:rsidRPr="004F1B04">
        <w:rPr>
          <w:lang w:val="en-ZA"/>
        </w:rPr>
        <w:t>‘</w:t>
      </w:r>
      <w:r w:rsidR="0088494E" w:rsidRPr="004F1B04">
        <w:rPr>
          <w:lang w:val="en-ZA"/>
        </w:rPr>
        <w:t>money lender</w:t>
      </w:r>
      <w:r w:rsidR="002E773F" w:rsidRPr="004F1B04">
        <w:rPr>
          <w:lang w:val="en-ZA"/>
        </w:rPr>
        <w:t xml:space="preserve">’ obfuscated the requirement </w:t>
      </w:r>
      <w:r w:rsidR="00041A63" w:rsidRPr="004F1B04">
        <w:rPr>
          <w:lang w:val="en-ZA"/>
        </w:rPr>
        <w:t xml:space="preserve">in the said section that the interest expenditure should be allowed as a deduction if it derives income from ‘any trade’ and </w:t>
      </w:r>
      <w:r w:rsidR="00D31DD5">
        <w:rPr>
          <w:lang w:val="en-ZA"/>
        </w:rPr>
        <w:t xml:space="preserve">the interest expenditure </w:t>
      </w:r>
      <w:r w:rsidR="00041A63" w:rsidRPr="004F1B04">
        <w:rPr>
          <w:lang w:val="en-ZA"/>
        </w:rPr>
        <w:t xml:space="preserve">is incurred in the production of such income. </w:t>
      </w:r>
      <w:r w:rsidR="001C306F">
        <w:rPr>
          <w:lang w:val="en-ZA"/>
        </w:rPr>
        <w:t xml:space="preserve">The court </w:t>
      </w:r>
      <w:r w:rsidR="001C306F" w:rsidRPr="001C306F">
        <w:rPr>
          <w:i/>
          <w:iCs/>
          <w:lang w:val="en-ZA"/>
        </w:rPr>
        <w:t>a quo’s</w:t>
      </w:r>
      <w:r w:rsidR="00041A63" w:rsidRPr="004F1B04">
        <w:rPr>
          <w:lang w:val="en-ZA"/>
        </w:rPr>
        <w:t xml:space="preserve"> reliance on </w:t>
      </w:r>
      <w:r w:rsidR="00041A63" w:rsidRPr="004F1B04">
        <w:rPr>
          <w:i/>
          <w:iCs/>
          <w:lang w:val="en-ZA"/>
        </w:rPr>
        <w:t>Solaglass</w:t>
      </w:r>
      <w:r w:rsidR="00041A63" w:rsidRPr="004F1B04">
        <w:rPr>
          <w:lang w:val="en-ZA"/>
        </w:rPr>
        <w:t xml:space="preserve"> was misguided. It is so, as contended by the taxpayer, that </w:t>
      </w:r>
      <w:r w:rsidR="0088494E" w:rsidRPr="004F1B04">
        <w:rPr>
          <w:lang w:val="en-ZA"/>
        </w:rPr>
        <w:t xml:space="preserve">the court </w:t>
      </w:r>
      <w:r w:rsidR="0088494E" w:rsidRPr="004F1B04">
        <w:rPr>
          <w:i/>
          <w:iCs/>
          <w:lang w:val="en-ZA"/>
        </w:rPr>
        <w:t>a quo</w:t>
      </w:r>
      <w:r w:rsidR="0088494E" w:rsidRPr="004F1B04">
        <w:rPr>
          <w:lang w:val="en-ZA"/>
        </w:rPr>
        <w:t xml:space="preserve"> erred by failing to appreciate that the term </w:t>
      </w:r>
      <w:r w:rsidR="00041A63" w:rsidRPr="004F1B04">
        <w:rPr>
          <w:lang w:val="en-ZA"/>
        </w:rPr>
        <w:t>‘</w:t>
      </w:r>
      <w:r w:rsidR="0088494E" w:rsidRPr="004F1B04">
        <w:rPr>
          <w:lang w:val="en-ZA"/>
        </w:rPr>
        <w:t>moneylending</w:t>
      </w:r>
      <w:r w:rsidR="00041A63" w:rsidRPr="004F1B04">
        <w:rPr>
          <w:lang w:val="en-ZA"/>
        </w:rPr>
        <w:t>’</w:t>
      </w:r>
      <w:r w:rsidR="0088494E" w:rsidRPr="004F1B04">
        <w:rPr>
          <w:lang w:val="en-ZA"/>
        </w:rPr>
        <w:t xml:space="preserve"> has a specialised meaning which is relevant only where a taxpayer seeks to deduct a loss arising from a loan from becoming irrecoverable, in which case only a </w:t>
      </w:r>
      <w:r w:rsidR="00041A63" w:rsidRPr="004F1B04">
        <w:rPr>
          <w:lang w:val="en-ZA"/>
        </w:rPr>
        <w:t>‘</w:t>
      </w:r>
      <w:r w:rsidR="0088494E" w:rsidRPr="004F1B04">
        <w:rPr>
          <w:lang w:val="en-ZA"/>
        </w:rPr>
        <w:t>moneylender</w:t>
      </w:r>
      <w:r w:rsidR="00041A63" w:rsidRPr="004F1B04">
        <w:rPr>
          <w:lang w:val="en-ZA"/>
        </w:rPr>
        <w:t>’</w:t>
      </w:r>
      <w:r w:rsidR="0088494E" w:rsidRPr="004F1B04">
        <w:rPr>
          <w:lang w:val="en-ZA"/>
        </w:rPr>
        <w:t xml:space="preserve"> or bank can treat such a loss as being not of a capital nature</w:t>
      </w:r>
      <w:r w:rsidR="00041A63" w:rsidRPr="004F1B04">
        <w:rPr>
          <w:lang w:val="en-ZA"/>
        </w:rPr>
        <w:t xml:space="preserve">. </w:t>
      </w:r>
      <w:r w:rsidR="00041A63" w:rsidRPr="004F1B04">
        <w:rPr>
          <w:i/>
          <w:iCs/>
          <w:lang w:val="en-ZA"/>
        </w:rPr>
        <w:t>In casu</w:t>
      </w:r>
      <w:r w:rsidR="0088494E" w:rsidRPr="004F1B04">
        <w:rPr>
          <w:lang w:val="en-ZA"/>
        </w:rPr>
        <w:t xml:space="preserve">, there </w:t>
      </w:r>
      <w:r w:rsidR="00C24F27">
        <w:rPr>
          <w:lang w:val="en-ZA"/>
        </w:rPr>
        <w:t>was</w:t>
      </w:r>
      <w:r w:rsidR="0088494E" w:rsidRPr="004F1B04">
        <w:rPr>
          <w:lang w:val="en-ZA"/>
        </w:rPr>
        <w:t xml:space="preserve"> no capital versus revenue dispute, </w:t>
      </w:r>
      <w:r w:rsidR="00C24F27">
        <w:rPr>
          <w:lang w:val="en-ZA"/>
        </w:rPr>
        <w:t xml:space="preserve">but rather </w:t>
      </w:r>
      <w:r w:rsidR="0088494E" w:rsidRPr="004F1B04">
        <w:rPr>
          <w:lang w:val="en-ZA"/>
        </w:rPr>
        <w:t>the deductibility of expenditure in the form of interest.</w:t>
      </w:r>
    </w:p>
    <w:p w14:paraId="3BBE0F48" w14:textId="7CAE41FD" w:rsidR="0088494E" w:rsidRPr="004F1B04" w:rsidRDefault="00507C2A" w:rsidP="00507C2A">
      <w:pPr>
        <w:pStyle w:val="LegalList1"/>
        <w:spacing w:after="120" w:line="360" w:lineRule="auto"/>
        <w:rPr>
          <w:lang w:val="en-ZA"/>
        </w:rPr>
      </w:pPr>
      <w:r w:rsidRPr="004F1B04">
        <w:rPr>
          <w:lang w:val="en-ZA"/>
        </w:rPr>
        <w:t>[33].</w:t>
      </w:r>
      <w:r w:rsidRPr="004F1B04">
        <w:rPr>
          <w:lang w:val="en-ZA"/>
        </w:rPr>
        <w:tab/>
      </w:r>
      <w:r w:rsidR="004F1B04">
        <w:rPr>
          <w:lang w:val="en-ZA"/>
        </w:rPr>
        <w:t xml:space="preserve">I return to the </w:t>
      </w:r>
      <w:r w:rsidR="00A370E4">
        <w:rPr>
          <w:lang w:val="en-ZA"/>
        </w:rPr>
        <w:t>issue whether the taxpayer has discharged the onus on it to prove that it has met the requirements of s 24J(2).</w:t>
      </w:r>
    </w:p>
    <w:p w14:paraId="0F3ABBBA" w14:textId="334F1A3C" w:rsidR="00A370E4" w:rsidRDefault="00507C2A" w:rsidP="00507C2A">
      <w:pPr>
        <w:pStyle w:val="LegalList1"/>
        <w:spacing w:after="120" w:line="360" w:lineRule="auto"/>
        <w:rPr>
          <w:lang w:val="en-ZA"/>
        </w:rPr>
      </w:pPr>
      <w:r>
        <w:rPr>
          <w:lang w:val="en-ZA"/>
        </w:rPr>
        <w:lastRenderedPageBreak/>
        <w:t>[34].</w:t>
      </w:r>
      <w:r>
        <w:rPr>
          <w:lang w:val="en-ZA"/>
        </w:rPr>
        <w:tab/>
      </w:r>
      <w:r w:rsidR="00A370E4">
        <w:rPr>
          <w:lang w:val="en-ZA"/>
        </w:rPr>
        <w:t xml:space="preserve">In its judgment, </w:t>
      </w:r>
      <w:r w:rsidR="0088494E" w:rsidRPr="0088494E">
        <w:rPr>
          <w:lang w:val="en-ZA"/>
        </w:rPr>
        <w:t xml:space="preserve">the court </w:t>
      </w:r>
      <w:r w:rsidR="0088494E" w:rsidRPr="00A370E4">
        <w:rPr>
          <w:i/>
          <w:iCs/>
          <w:lang w:val="en-ZA"/>
        </w:rPr>
        <w:t>a quo</w:t>
      </w:r>
      <w:r w:rsidR="0088494E" w:rsidRPr="0088494E">
        <w:rPr>
          <w:lang w:val="en-ZA"/>
        </w:rPr>
        <w:t xml:space="preserve"> looked at the nature of </w:t>
      </w:r>
      <w:r w:rsidR="00A370E4">
        <w:rPr>
          <w:lang w:val="en-ZA"/>
        </w:rPr>
        <w:t xml:space="preserve">the </w:t>
      </w:r>
      <w:r w:rsidR="0088494E" w:rsidRPr="0088494E">
        <w:rPr>
          <w:lang w:val="en-ZA"/>
        </w:rPr>
        <w:t xml:space="preserve">activities conducted by </w:t>
      </w:r>
      <w:r w:rsidR="00A370E4">
        <w:rPr>
          <w:lang w:val="en-ZA"/>
        </w:rPr>
        <w:t>the taxpayer</w:t>
      </w:r>
      <w:r w:rsidR="0088494E" w:rsidRPr="0088494E">
        <w:rPr>
          <w:lang w:val="en-ZA"/>
        </w:rPr>
        <w:t xml:space="preserve">, the correspondence between the parties and the evidence before it. </w:t>
      </w:r>
    </w:p>
    <w:p w14:paraId="46C2B9EF" w14:textId="36E96832" w:rsidR="0088494E" w:rsidRPr="0067256E" w:rsidRDefault="00507C2A" w:rsidP="00507C2A">
      <w:pPr>
        <w:pStyle w:val="LegalList1"/>
        <w:spacing w:after="120" w:line="360" w:lineRule="auto"/>
        <w:rPr>
          <w:lang w:val="en-ZA"/>
        </w:rPr>
      </w:pPr>
      <w:r w:rsidRPr="0067256E">
        <w:rPr>
          <w:lang w:val="en-ZA"/>
        </w:rPr>
        <w:t>[35].</w:t>
      </w:r>
      <w:r w:rsidRPr="0067256E">
        <w:rPr>
          <w:lang w:val="en-ZA"/>
        </w:rPr>
        <w:tab/>
      </w:r>
      <w:r w:rsidR="00560587">
        <w:rPr>
          <w:lang w:val="en-ZA"/>
        </w:rPr>
        <w:t>O</w:t>
      </w:r>
      <w:r w:rsidR="00AB40E3">
        <w:rPr>
          <w:lang w:val="en-ZA"/>
        </w:rPr>
        <w:t xml:space="preserve">n the basis of the authority in </w:t>
      </w:r>
      <w:r w:rsidR="00AB40E3" w:rsidRPr="00560587">
        <w:rPr>
          <w:i/>
          <w:iCs/>
          <w:lang w:val="en-ZA"/>
        </w:rPr>
        <w:t>Solaglass</w:t>
      </w:r>
      <w:r w:rsidR="00560587">
        <w:rPr>
          <w:lang w:val="en-ZA"/>
        </w:rPr>
        <w:t xml:space="preserve">, the court </w:t>
      </w:r>
      <w:r w:rsidR="00560587" w:rsidRPr="00560587">
        <w:rPr>
          <w:i/>
          <w:iCs/>
          <w:lang w:val="en-ZA"/>
        </w:rPr>
        <w:t>a quo</w:t>
      </w:r>
      <w:r w:rsidR="00560587">
        <w:rPr>
          <w:lang w:val="en-ZA"/>
        </w:rPr>
        <w:t xml:space="preserve"> held </w:t>
      </w:r>
      <w:r w:rsidR="00AB40E3">
        <w:rPr>
          <w:lang w:val="en-ZA"/>
        </w:rPr>
        <w:t>that</w:t>
      </w:r>
      <w:r w:rsidR="00560587">
        <w:rPr>
          <w:lang w:val="en-ZA"/>
        </w:rPr>
        <w:t xml:space="preserve"> the taxpayer had not proven that it carried on the trade of a moneylender and concluded that s 24J(2) is not implicated. As already indicated, this conclusion was reached on the basis that the case pleaded by the taxpayer was that its trade was that of a moneylender. That finding I have found to have been a misdirection. The simple point is that the fact that the taxpayer was not a moneylender</w:t>
      </w:r>
      <w:r w:rsidR="001C306F">
        <w:rPr>
          <w:lang w:val="en-ZA"/>
        </w:rPr>
        <w:t>,</w:t>
      </w:r>
      <w:r w:rsidR="00560587">
        <w:rPr>
          <w:lang w:val="en-ZA"/>
        </w:rPr>
        <w:t xml:space="preserve"> as defined by the authorities</w:t>
      </w:r>
      <w:r w:rsidR="001C306F">
        <w:rPr>
          <w:lang w:val="en-ZA"/>
        </w:rPr>
        <w:t>,</w:t>
      </w:r>
      <w:r w:rsidR="00560587">
        <w:rPr>
          <w:lang w:val="en-ZA"/>
        </w:rPr>
        <w:t xml:space="preserve"> does not necessarily mean that it was not </w:t>
      </w:r>
      <w:r w:rsidR="0067256E">
        <w:rPr>
          <w:lang w:val="en-ZA"/>
        </w:rPr>
        <w:t xml:space="preserve">conducting a trade as envisaged by the said section. That is a separate issue which is required to be considered and decided on the basis of the facts in the matter, to which I now turn. In that regard, the question must surely be whether </w:t>
      </w:r>
      <w:r w:rsidR="0088494E" w:rsidRPr="0067256E">
        <w:rPr>
          <w:lang w:val="en-ZA"/>
        </w:rPr>
        <w:t xml:space="preserve">the deductions claimed </w:t>
      </w:r>
      <w:r w:rsidR="0067256E">
        <w:rPr>
          <w:lang w:val="en-ZA"/>
        </w:rPr>
        <w:t>arose from the taxpayer’s</w:t>
      </w:r>
      <w:r w:rsidR="0088494E" w:rsidRPr="0067256E">
        <w:rPr>
          <w:lang w:val="en-ZA"/>
        </w:rPr>
        <w:t xml:space="preserve"> business to make a profit from the money-lending activity, </w:t>
      </w:r>
      <w:r w:rsidR="0067256E">
        <w:rPr>
          <w:lang w:val="en-ZA"/>
        </w:rPr>
        <w:t xml:space="preserve">as well as from the business of </w:t>
      </w:r>
      <w:r w:rsidR="0088494E" w:rsidRPr="0067256E">
        <w:rPr>
          <w:lang w:val="en-ZA"/>
        </w:rPr>
        <w:t>provid</w:t>
      </w:r>
      <w:r w:rsidR="0067256E">
        <w:rPr>
          <w:lang w:val="en-ZA"/>
        </w:rPr>
        <w:t>ing a</w:t>
      </w:r>
      <w:r w:rsidR="0088494E" w:rsidRPr="0067256E">
        <w:rPr>
          <w:lang w:val="en-ZA"/>
        </w:rPr>
        <w:t xml:space="preserve"> benefit to the Group. </w:t>
      </w:r>
    </w:p>
    <w:p w14:paraId="08E196A1" w14:textId="1531E9F7" w:rsidR="00235983" w:rsidRDefault="00507C2A" w:rsidP="00507C2A">
      <w:pPr>
        <w:pStyle w:val="LegalList1"/>
        <w:spacing w:after="120" w:line="360" w:lineRule="auto"/>
        <w:rPr>
          <w:lang w:val="en-ZA"/>
        </w:rPr>
      </w:pPr>
      <w:r>
        <w:rPr>
          <w:lang w:val="en-ZA"/>
        </w:rPr>
        <w:t>[36].</w:t>
      </w:r>
      <w:r>
        <w:rPr>
          <w:lang w:val="en-ZA"/>
        </w:rPr>
        <w:tab/>
      </w:r>
      <w:r w:rsidR="0008319D">
        <w:rPr>
          <w:lang w:val="en-ZA"/>
        </w:rPr>
        <w:t>It is the case of the taxpayer that it</w:t>
      </w:r>
      <w:r w:rsidR="0088494E" w:rsidRPr="0088494E">
        <w:rPr>
          <w:lang w:val="en-ZA"/>
        </w:rPr>
        <w:t xml:space="preserve"> conducted two related ventures. First, it carried on an investment business aimed predominantly at reaping dividends from a number of its subsidiaries engaged, by and large, in the logistics trade. Not all of the subsidiaries' ventures were equally profitable. All of them participated, however, in competitive markets, and it was always an objective of </w:t>
      </w:r>
      <w:r w:rsidR="0008319D">
        <w:rPr>
          <w:lang w:val="en-ZA"/>
        </w:rPr>
        <w:t>the taxpayer</w:t>
      </w:r>
      <w:r w:rsidR="0088494E" w:rsidRPr="0088494E">
        <w:rPr>
          <w:lang w:val="en-ZA"/>
        </w:rPr>
        <w:t xml:space="preserve"> to protect, nurture and build its investments in its intergroup subsidiaries.</w:t>
      </w:r>
      <w:r w:rsidR="00235983">
        <w:rPr>
          <w:lang w:val="en-ZA"/>
        </w:rPr>
        <w:t xml:space="preserve"> </w:t>
      </w:r>
      <w:r w:rsidR="0008319D" w:rsidRPr="00235983">
        <w:rPr>
          <w:lang w:val="en-ZA"/>
        </w:rPr>
        <w:t>The taxpayer</w:t>
      </w:r>
      <w:r w:rsidR="0088494E" w:rsidRPr="00235983">
        <w:rPr>
          <w:lang w:val="en-ZA"/>
        </w:rPr>
        <w:t xml:space="preserve"> also conducted a second venture: it borrowed funds with a view to on-lending such funds to the entities wherein its investments resided. </w:t>
      </w:r>
      <w:r w:rsidR="00235983">
        <w:rPr>
          <w:lang w:val="en-ZA"/>
        </w:rPr>
        <w:t>The interest rate charged on such loans advanced to its subsidiaries ranged from 0% to about 8% and was always lower than the rate of interest at which the taxpayer borrowed the monies from its related companies in the Group.</w:t>
      </w:r>
    </w:p>
    <w:p w14:paraId="776549EA" w14:textId="0FB45BC9" w:rsidR="00D31DD5" w:rsidRDefault="00507C2A" w:rsidP="00507C2A">
      <w:pPr>
        <w:pStyle w:val="LegalList1"/>
        <w:spacing w:after="120" w:line="360" w:lineRule="auto"/>
        <w:rPr>
          <w:lang w:val="en-ZA"/>
        </w:rPr>
      </w:pPr>
      <w:r>
        <w:rPr>
          <w:lang w:val="en-ZA"/>
        </w:rPr>
        <w:t>[37].</w:t>
      </w:r>
      <w:r>
        <w:rPr>
          <w:lang w:val="en-ZA"/>
        </w:rPr>
        <w:tab/>
      </w:r>
      <w:r w:rsidR="00D31DD5">
        <w:rPr>
          <w:lang w:val="en-ZA"/>
        </w:rPr>
        <w:t>The question therefore is w</w:t>
      </w:r>
      <w:r w:rsidR="00E818AF">
        <w:rPr>
          <w:lang w:val="en-ZA"/>
        </w:rPr>
        <w:t xml:space="preserve">hat was the ‘trade which produced income’ conducted by the taxpayer and how does it </w:t>
      </w:r>
      <w:r w:rsidR="0088494E" w:rsidRPr="00E818AF">
        <w:rPr>
          <w:lang w:val="en-ZA"/>
        </w:rPr>
        <w:t xml:space="preserve">entitle </w:t>
      </w:r>
      <w:r w:rsidR="00E818AF">
        <w:rPr>
          <w:lang w:val="en-ZA"/>
        </w:rPr>
        <w:t>the taxpayer</w:t>
      </w:r>
      <w:r w:rsidR="0088494E" w:rsidRPr="00E818AF">
        <w:rPr>
          <w:lang w:val="en-ZA"/>
        </w:rPr>
        <w:t xml:space="preserve"> to claim interest in terms of section 24J(2).</w:t>
      </w:r>
      <w:r w:rsidR="00D31DD5">
        <w:rPr>
          <w:lang w:val="en-ZA"/>
        </w:rPr>
        <w:t xml:space="preserve"> In that regard, t</w:t>
      </w:r>
      <w:r w:rsidR="0088494E" w:rsidRPr="00D31DD5">
        <w:rPr>
          <w:lang w:val="en-ZA"/>
        </w:rPr>
        <w:t xml:space="preserve">he court </w:t>
      </w:r>
      <w:r w:rsidR="0088494E" w:rsidRPr="00D31DD5">
        <w:rPr>
          <w:i/>
          <w:iCs/>
          <w:lang w:val="en-ZA"/>
        </w:rPr>
        <w:t>a quo</w:t>
      </w:r>
      <w:r w:rsidR="0088494E" w:rsidRPr="00D31DD5">
        <w:rPr>
          <w:lang w:val="en-ZA"/>
        </w:rPr>
        <w:t xml:space="preserve"> </w:t>
      </w:r>
      <w:r w:rsidR="00D31DD5">
        <w:rPr>
          <w:lang w:val="en-ZA"/>
        </w:rPr>
        <w:t>correctly</w:t>
      </w:r>
      <w:r w:rsidR="0088494E" w:rsidRPr="00D31DD5">
        <w:rPr>
          <w:lang w:val="en-ZA"/>
        </w:rPr>
        <w:t xml:space="preserve"> noted that </w:t>
      </w:r>
      <w:r w:rsidR="00D31DD5">
        <w:rPr>
          <w:lang w:val="en-ZA"/>
        </w:rPr>
        <w:t>the taxpayer</w:t>
      </w:r>
      <w:r w:rsidR="0088494E" w:rsidRPr="00D31DD5">
        <w:rPr>
          <w:lang w:val="en-ZA"/>
        </w:rPr>
        <w:t xml:space="preserve"> no longer wished to rely on its argument that it is a moneylender. </w:t>
      </w:r>
    </w:p>
    <w:p w14:paraId="19267468" w14:textId="15AC57E3" w:rsidR="004F0804" w:rsidRDefault="00507C2A" w:rsidP="00507C2A">
      <w:pPr>
        <w:pStyle w:val="LegalList1"/>
        <w:spacing w:after="120" w:line="360" w:lineRule="auto"/>
        <w:rPr>
          <w:lang w:val="en-ZA"/>
        </w:rPr>
      </w:pPr>
      <w:r>
        <w:rPr>
          <w:lang w:val="en-ZA"/>
        </w:rPr>
        <w:lastRenderedPageBreak/>
        <w:t>[38].</w:t>
      </w:r>
      <w:r>
        <w:rPr>
          <w:lang w:val="en-ZA"/>
        </w:rPr>
        <w:tab/>
      </w:r>
      <w:r w:rsidR="0088494E" w:rsidRPr="0088494E">
        <w:rPr>
          <w:lang w:val="en-ZA"/>
        </w:rPr>
        <w:t xml:space="preserve">Insofar as </w:t>
      </w:r>
      <w:r w:rsidR="00D31DD5">
        <w:rPr>
          <w:lang w:val="en-ZA"/>
        </w:rPr>
        <w:t>the taxpayer</w:t>
      </w:r>
      <w:r w:rsidR="0088494E" w:rsidRPr="0088494E">
        <w:rPr>
          <w:lang w:val="en-ZA"/>
        </w:rPr>
        <w:t xml:space="preserve"> alleges that it conducted an investment trade, it is clear</w:t>
      </w:r>
      <w:r w:rsidR="00D31DD5" w:rsidRPr="00D31DD5">
        <w:rPr>
          <w:lang w:val="en-ZA"/>
        </w:rPr>
        <w:t xml:space="preserve"> </w:t>
      </w:r>
      <w:r w:rsidR="00D31DD5" w:rsidRPr="0088494E">
        <w:rPr>
          <w:lang w:val="en-ZA"/>
        </w:rPr>
        <w:t>from the financial statement</w:t>
      </w:r>
      <w:r w:rsidR="00D31DD5">
        <w:rPr>
          <w:lang w:val="en-ZA"/>
        </w:rPr>
        <w:t>, as was submitted on behalf of SARS,</w:t>
      </w:r>
      <w:r w:rsidR="0088494E" w:rsidRPr="0088494E">
        <w:rPr>
          <w:lang w:val="en-ZA"/>
        </w:rPr>
        <w:t xml:space="preserve"> that </w:t>
      </w:r>
      <w:r w:rsidR="00D31DD5">
        <w:rPr>
          <w:lang w:val="en-ZA"/>
        </w:rPr>
        <w:t>the taxpayer</w:t>
      </w:r>
      <w:r w:rsidR="0088494E" w:rsidRPr="0088494E">
        <w:rPr>
          <w:lang w:val="en-ZA"/>
        </w:rPr>
        <w:t xml:space="preserve"> earned unproductive interest. Therefore, even if such investment business is considered to be a trade, it yield</w:t>
      </w:r>
      <w:r w:rsidR="00367D95">
        <w:rPr>
          <w:lang w:val="en-ZA"/>
        </w:rPr>
        <w:t>ed</w:t>
      </w:r>
      <w:r w:rsidR="0088494E" w:rsidRPr="0088494E">
        <w:rPr>
          <w:lang w:val="en-ZA"/>
        </w:rPr>
        <w:t xml:space="preserve"> unproductive interest and it cannot be allowed a deduction. </w:t>
      </w:r>
      <w:r w:rsidR="00D31DD5">
        <w:rPr>
          <w:lang w:val="en-ZA"/>
        </w:rPr>
        <w:t>The point is simply that</w:t>
      </w:r>
      <w:r w:rsidR="0088494E" w:rsidRPr="004F0804">
        <w:rPr>
          <w:lang w:val="en-ZA"/>
        </w:rPr>
        <w:t xml:space="preserve">, to the extent that </w:t>
      </w:r>
      <w:r w:rsidR="004F0804">
        <w:rPr>
          <w:lang w:val="en-ZA"/>
        </w:rPr>
        <w:t>the taxpayer</w:t>
      </w:r>
      <w:r w:rsidR="0088494E" w:rsidRPr="004F0804">
        <w:rPr>
          <w:lang w:val="en-ZA"/>
        </w:rPr>
        <w:t xml:space="preserve"> argues that it performed a treasury function on behalf of the group companies,</w:t>
      </w:r>
      <w:r w:rsidR="004F0804">
        <w:rPr>
          <w:lang w:val="en-ZA"/>
        </w:rPr>
        <w:t xml:space="preserve"> such a contention</w:t>
      </w:r>
      <w:r w:rsidR="0088494E" w:rsidRPr="004F0804">
        <w:rPr>
          <w:lang w:val="en-ZA"/>
        </w:rPr>
        <w:t xml:space="preserve"> is not supported by the facts and evidence before this court and the court </w:t>
      </w:r>
      <w:r w:rsidR="0088494E" w:rsidRPr="004F0804">
        <w:rPr>
          <w:i/>
          <w:iCs/>
          <w:lang w:val="en-ZA"/>
        </w:rPr>
        <w:t>a quo</w:t>
      </w:r>
      <w:r w:rsidR="0088494E" w:rsidRPr="004F0804">
        <w:rPr>
          <w:lang w:val="en-ZA"/>
        </w:rPr>
        <w:t xml:space="preserve">.  The evidence before the court </w:t>
      </w:r>
      <w:r w:rsidR="0088494E" w:rsidRPr="004F0804">
        <w:rPr>
          <w:i/>
          <w:iCs/>
          <w:lang w:val="en-ZA"/>
        </w:rPr>
        <w:t>a quo</w:t>
      </w:r>
      <w:r w:rsidR="0088494E" w:rsidRPr="004F0804">
        <w:rPr>
          <w:lang w:val="en-ZA"/>
        </w:rPr>
        <w:t xml:space="preserve"> was that between 2007 and 2011, </w:t>
      </w:r>
      <w:r w:rsidR="004F0804">
        <w:rPr>
          <w:lang w:val="en-ZA"/>
        </w:rPr>
        <w:t>the taxpayer</w:t>
      </w:r>
      <w:r w:rsidR="0088494E" w:rsidRPr="004F0804">
        <w:rPr>
          <w:lang w:val="en-ZA"/>
        </w:rPr>
        <w:t xml:space="preserve"> did not perform any administrative, financial or secretarial services to group companies. The financial statements of </w:t>
      </w:r>
      <w:r w:rsidR="004F0804">
        <w:rPr>
          <w:lang w:val="en-ZA"/>
        </w:rPr>
        <w:t>the taxpayer</w:t>
      </w:r>
      <w:r w:rsidR="0088494E" w:rsidRPr="004F0804">
        <w:rPr>
          <w:lang w:val="en-ZA"/>
        </w:rPr>
        <w:t xml:space="preserve"> </w:t>
      </w:r>
      <w:r w:rsidR="004F0804">
        <w:rPr>
          <w:lang w:val="en-ZA"/>
        </w:rPr>
        <w:t>confirm the aforegoing.</w:t>
      </w:r>
    </w:p>
    <w:p w14:paraId="79019BF4" w14:textId="114EC370" w:rsidR="0088494E" w:rsidRPr="0088494E" w:rsidRDefault="00507C2A" w:rsidP="00507C2A">
      <w:pPr>
        <w:pStyle w:val="LegalList1"/>
        <w:spacing w:after="120" w:line="360" w:lineRule="auto"/>
        <w:rPr>
          <w:lang w:val="en-ZA"/>
        </w:rPr>
      </w:pPr>
      <w:r w:rsidRPr="0088494E">
        <w:rPr>
          <w:lang w:val="en-ZA"/>
        </w:rPr>
        <w:t>[39].</w:t>
      </w:r>
      <w:r w:rsidRPr="0088494E">
        <w:rPr>
          <w:lang w:val="en-ZA"/>
        </w:rPr>
        <w:tab/>
      </w:r>
      <w:r w:rsidR="004F0804">
        <w:rPr>
          <w:lang w:val="en-ZA"/>
        </w:rPr>
        <w:t xml:space="preserve">Moreover, </w:t>
      </w:r>
      <w:r w:rsidR="00E31D0B" w:rsidRPr="0088494E">
        <w:rPr>
          <w:lang w:val="en-ZA"/>
        </w:rPr>
        <w:t>no</w:t>
      </w:r>
      <w:r w:rsidR="00E31D0B">
        <w:rPr>
          <w:lang w:val="en-ZA"/>
        </w:rPr>
        <w:t xml:space="preserve"> evidence was </w:t>
      </w:r>
      <w:r w:rsidR="00E31D0B" w:rsidRPr="0088494E">
        <w:rPr>
          <w:lang w:val="en-ZA"/>
        </w:rPr>
        <w:t>place</w:t>
      </w:r>
      <w:r w:rsidR="00E31D0B">
        <w:rPr>
          <w:lang w:val="en-ZA"/>
        </w:rPr>
        <w:t xml:space="preserve">d </w:t>
      </w:r>
      <w:r w:rsidR="00E31D0B" w:rsidRPr="0088494E">
        <w:rPr>
          <w:lang w:val="en-ZA"/>
        </w:rPr>
        <w:t xml:space="preserve">before the court </w:t>
      </w:r>
      <w:r w:rsidR="00E31D0B" w:rsidRPr="004F0804">
        <w:rPr>
          <w:i/>
          <w:iCs/>
          <w:lang w:val="en-ZA"/>
        </w:rPr>
        <w:t>a quo</w:t>
      </w:r>
      <w:r w:rsidR="00E31D0B" w:rsidRPr="0088494E">
        <w:rPr>
          <w:lang w:val="en-ZA"/>
        </w:rPr>
        <w:t xml:space="preserve"> that</w:t>
      </w:r>
      <w:r w:rsidR="00E31D0B">
        <w:rPr>
          <w:lang w:val="en-ZA"/>
        </w:rPr>
        <w:t>,</w:t>
      </w:r>
      <w:r w:rsidR="00E31D0B" w:rsidRPr="0088494E">
        <w:rPr>
          <w:lang w:val="en-ZA"/>
        </w:rPr>
        <w:t xml:space="preserve"> </w:t>
      </w:r>
      <w:r w:rsidR="004F0804">
        <w:rPr>
          <w:lang w:val="en-ZA"/>
        </w:rPr>
        <w:t xml:space="preserve">during the relevant period, being the 2011 tax year of assessment, </w:t>
      </w:r>
      <w:r w:rsidR="00E31D0B">
        <w:rPr>
          <w:lang w:val="en-ZA"/>
        </w:rPr>
        <w:t>the taxpayer</w:t>
      </w:r>
      <w:r w:rsidR="0088494E" w:rsidRPr="0088494E">
        <w:rPr>
          <w:lang w:val="en-ZA"/>
        </w:rPr>
        <w:t xml:space="preserve"> was involved intimately in the management of its subsidiaries. The only evidence before the court </w:t>
      </w:r>
      <w:r w:rsidR="0088494E" w:rsidRPr="004F0804">
        <w:rPr>
          <w:i/>
          <w:iCs/>
          <w:lang w:val="en-ZA"/>
        </w:rPr>
        <w:t>a quo</w:t>
      </w:r>
      <w:r w:rsidR="0088494E" w:rsidRPr="0088494E">
        <w:rPr>
          <w:lang w:val="en-ZA"/>
        </w:rPr>
        <w:t xml:space="preserve"> was that </w:t>
      </w:r>
      <w:r w:rsidR="004F0804">
        <w:rPr>
          <w:lang w:val="en-ZA"/>
        </w:rPr>
        <w:t>it</w:t>
      </w:r>
      <w:r w:rsidR="0088494E" w:rsidRPr="0088494E">
        <w:rPr>
          <w:lang w:val="en-ZA"/>
        </w:rPr>
        <w:t xml:space="preserve"> invested in its subsidiaries so that it can enhance their performance and in turn reap the benefits in the form of dividends.  </w:t>
      </w:r>
    </w:p>
    <w:p w14:paraId="78FDE894" w14:textId="4A82A708" w:rsidR="00C85B92" w:rsidRDefault="00507C2A" w:rsidP="00507C2A">
      <w:pPr>
        <w:pStyle w:val="LegalList1"/>
        <w:spacing w:after="120" w:line="360" w:lineRule="auto"/>
        <w:rPr>
          <w:lang w:val="en-ZA"/>
        </w:rPr>
      </w:pPr>
      <w:r>
        <w:rPr>
          <w:lang w:val="en-ZA"/>
        </w:rPr>
        <w:t>[40].</w:t>
      </w:r>
      <w:r>
        <w:rPr>
          <w:lang w:val="en-ZA"/>
        </w:rPr>
        <w:tab/>
      </w:r>
      <w:r w:rsidR="004F0804">
        <w:rPr>
          <w:lang w:val="en-ZA"/>
        </w:rPr>
        <w:t>In sum, S</w:t>
      </w:r>
      <w:r w:rsidR="0088494E" w:rsidRPr="0088494E">
        <w:rPr>
          <w:lang w:val="en-ZA"/>
        </w:rPr>
        <w:t>ARS</w:t>
      </w:r>
      <w:r w:rsidR="004F0804">
        <w:rPr>
          <w:lang w:val="en-ZA"/>
        </w:rPr>
        <w:t xml:space="preserve"> was correct in its findings that insofar as the</w:t>
      </w:r>
      <w:r w:rsidR="0088494E" w:rsidRPr="0088494E">
        <w:rPr>
          <w:lang w:val="en-ZA"/>
        </w:rPr>
        <w:t xml:space="preserve"> </w:t>
      </w:r>
      <w:r w:rsidR="004F0804">
        <w:rPr>
          <w:lang w:val="en-ZA"/>
        </w:rPr>
        <w:t>taxpayer</w:t>
      </w:r>
      <w:r w:rsidR="0088494E" w:rsidRPr="0088494E">
        <w:rPr>
          <w:lang w:val="en-ZA"/>
        </w:rPr>
        <w:t xml:space="preserve"> conducted an investment trade, </w:t>
      </w:r>
      <w:r w:rsidR="004F0804">
        <w:rPr>
          <w:lang w:val="en-ZA"/>
        </w:rPr>
        <w:t xml:space="preserve">such </w:t>
      </w:r>
      <w:r w:rsidR="0088494E" w:rsidRPr="0088494E">
        <w:rPr>
          <w:lang w:val="en-ZA"/>
        </w:rPr>
        <w:t xml:space="preserve">investment trade yielded exempt income, and as such, </w:t>
      </w:r>
      <w:r w:rsidR="004F0804">
        <w:rPr>
          <w:lang w:val="en-ZA"/>
        </w:rPr>
        <w:t>it</w:t>
      </w:r>
      <w:r w:rsidR="0088494E" w:rsidRPr="0088494E">
        <w:rPr>
          <w:lang w:val="en-ZA"/>
        </w:rPr>
        <w:t xml:space="preserve"> would not be </w:t>
      </w:r>
      <w:r w:rsidR="004F0804">
        <w:rPr>
          <w:lang w:val="en-ZA"/>
        </w:rPr>
        <w:t>entitled</w:t>
      </w:r>
      <w:r w:rsidR="0088494E" w:rsidRPr="0088494E">
        <w:rPr>
          <w:lang w:val="en-ZA"/>
        </w:rPr>
        <w:t xml:space="preserve"> to deduct interest in terms of section 24J(2).</w:t>
      </w:r>
      <w:r w:rsidR="00C85B92">
        <w:rPr>
          <w:lang w:val="en-ZA"/>
        </w:rPr>
        <w:t xml:space="preserve"> Moreover, t</w:t>
      </w:r>
      <w:r w:rsidR="0088494E" w:rsidRPr="00C85B92">
        <w:rPr>
          <w:lang w:val="en-ZA"/>
        </w:rPr>
        <w:t>he loan in investment activities produce</w:t>
      </w:r>
      <w:r w:rsidR="00C85B92">
        <w:rPr>
          <w:lang w:val="en-ZA"/>
        </w:rPr>
        <w:t>d</w:t>
      </w:r>
      <w:r w:rsidR="0088494E" w:rsidRPr="00C85B92">
        <w:rPr>
          <w:lang w:val="en-ZA"/>
        </w:rPr>
        <w:t xml:space="preserve"> unproductive interest and exempt income in the form of dividends. </w:t>
      </w:r>
      <w:r w:rsidR="00C85B92">
        <w:rPr>
          <w:lang w:val="en-ZA"/>
        </w:rPr>
        <w:t xml:space="preserve">Also, </w:t>
      </w:r>
      <w:r w:rsidR="0088494E" w:rsidRPr="00C85B92">
        <w:rPr>
          <w:lang w:val="en-ZA"/>
        </w:rPr>
        <w:t xml:space="preserve">on its own version, </w:t>
      </w:r>
      <w:r w:rsidR="00C85B92">
        <w:rPr>
          <w:lang w:val="en-ZA"/>
        </w:rPr>
        <w:t>the taxpayer</w:t>
      </w:r>
      <w:r w:rsidR="0088494E" w:rsidRPr="00C85B92">
        <w:rPr>
          <w:lang w:val="en-ZA"/>
        </w:rPr>
        <w:t xml:space="preserve"> did not, in 2011, conduct any trade which provided financial and secretarial services to its subsidiaries. Ms Smuts conceded under cross-examination that in 2011, </w:t>
      </w:r>
      <w:r w:rsidR="00C85B92">
        <w:rPr>
          <w:lang w:val="en-ZA"/>
        </w:rPr>
        <w:t>the taxpayer</w:t>
      </w:r>
      <w:r w:rsidR="0088494E" w:rsidRPr="00C85B92">
        <w:rPr>
          <w:lang w:val="en-ZA"/>
        </w:rPr>
        <w:t xml:space="preserve"> did not provide these services</w:t>
      </w:r>
      <w:r w:rsidR="00C85B92">
        <w:rPr>
          <w:lang w:val="en-ZA"/>
        </w:rPr>
        <w:t>.</w:t>
      </w:r>
    </w:p>
    <w:p w14:paraId="4B7BFE7E" w14:textId="79083268" w:rsidR="0088494E" w:rsidRPr="0088494E" w:rsidRDefault="00507C2A" w:rsidP="00507C2A">
      <w:pPr>
        <w:pStyle w:val="LegalList1"/>
        <w:spacing w:after="120" w:line="360" w:lineRule="auto"/>
        <w:rPr>
          <w:lang w:val="en-ZA"/>
        </w:rPr>
      </w:pPr>
      <w:r w:rsidRPr="0088494E">
        <w:rPr>
          <w:lang w:val="en-ZA"/>
        </w:rPr>
        <w:t>[41].</w:t>
      </w:r>
      <w:r w:rsidRPr="0088494E">
        <w:rPr>
          <w:lang w:val="en-ZA"/>
        </w:rPr>
        <w:tab/>
      </w:r>
      <w:r w:rsidR="00C85B92">
        <w:rPr>
          <w:lang w:val="en-ZA"/>
        </w:rPr>
        <w:t>It was furthermore submitted by Ms Magano</w:t>
      </w:r>
      <w:r w:rsidR="00805FA7">
        <w:rPr>
          <w:lang w:val="en-ZA"/>
        </w:rPr>
        <w:t>, Counsel for SARS,</w:t>
      </w:r>
      <w:r w:rsidR="00C85B92">
        <w:rPr>
          <w:lang w:val="en-ZA"/>
        </w:rPr>
        <w:t xml:space="preserve"> that </w:t>
      </w:r>
      <w:r w:rsidR="0088494E" w:rsidRPr="0088494E">
        <w:rPr>
          <w:lang w:val="en-ZA"/>
        </w:rPr>
        <w:t xml:space="preserve">the carrying on of </w:t>
      </w:r>
      <w:r w:rsidR="00C85B92">
        <w:rPr>
          <w:lang w:val="en-ZA"/>
        </w:rPr>
        <w:t xml:space="preserve">a </w:t>
      </w:r>
      <w:r w:rsidR="0088494E" w:rsidRPr="0088494E">
        <w:rPr>
          <w:lang w:val="en-ZA"/>
        </w:rPr>
        <w:t xml:space="preserve">trade involves an </w:t>
      </w:r>
      <w:r w:rsidR="00C85B92">
        <w:rPr>
          <w:lang w:val="en-ZA"/>
        </w:rPr>
        <w:t>‘</w:t>
      </w:r>
      <w:r w:rsidR="0088494E" w:rsidRPr="0088494E">
        <w:rPr>
          <w:lang w:val="en-ZA"/>
        </w:rPr>
        <w:t>active step</w:t>
      </w:r>
      <w:r w:rsidR="00C85B92">
        <w:rPr>
          <w:lang w:val="en-ZA"/>
        </w:rPr>
        <w:t>’</w:t>
      </w:r>
      <w:r w:rsidR="0088494E" w:rsidRPr="0088494E">
        <w:rPr>
          <w:lang w:val="en-ZA"/>
        </w:rPr>
        <w:t xml:space="preserve">, </w:t>
      </w:r>
      <w:r w:rsidR="002825E8">
        <w:rPr>
          <w:lang w:val="en-ZA"/>
        </w:rPr>
        <w:t xml:space="preserve">which means that </w:t>
      </w:r>
      <w:r w:rsidR="0088494E" w:rsidRPr="0088494E">
        <w:rPr>
          <w:lang w:val="en-ZA"/>
        </w:rPr>
        <w:t>something more</w:t>
      </w:r>
      <w:r w:rsidR="002825E8">
        <w:rPr>
          <w:lang w:val="en-ZA"/>
        </w:rPr>
        <w:t xml:space="preserve"> is required</w:t>
      </w:r>
      <w:r w:rsidR="0088494E" w:rsidRPr="0088494E">
        <w:rPr>
          <w:lang w:val="en-ZA"/>
        </w:rPr>
        <w:t xml:space="preserve"> than a</w:t>
      </w:r>
      <w:r w:rsidR="002825E8">
        <w:rPr>
          <w:lang w:val="en-ZA"/>
        </w:rPr>
        <w:t xml:space="preserve"> mere</w:t>
      </w:r>
      <w:r w:rsidR="0088494E" w:rsidRPr="0088494E">
        <w:rPr>
          <w:lang w:val="en-ZA"/>
        </w:rPr>
        <w:t xml:space="preserve"> watching over existing investments that are not income-producing and are not intended or expected to be so.  </w:t>
      </w:r>
    </w:p>
    <w:p w14:paraId="4C20948E" w14:textId="56A0FC9F" w:rsidR="005F1A50" w:rsidRDefault="00507C2A" w:rsidP="00507C2A">
      <w:pPr>
        <w:pStyle w:val="LegalList1"/>
        <w:spacing w:after="120" w:line="360" w:lineRule="auto"/>
        <w:rPr>
          <w:lang w:val="en-ZA"/>
        </w:rPr>
      </w:pPr>
      <w:r>
        <w:rPr>
          <w:lang w:val="en-ZA"/>
        </w:rPr>
        <w:t>[42].</w:t>
      </w:r>
      <w:r>
        <w:rPr>
          <w:lang w:val="en-ZA"/>
        </w:rPr>
        <w:tab/>
      </w:r>
      <w:r w:rsidR="00F7581A">
        <w:rPr>
          <w:lang w:val="en-ZA"/>
        </w:rPr>
        <w:t xml:space="preserve">In </w:t>
      </w:r>
      <w:r w:rsidR="00F7581A" w:rsidRPr="00F7581A">
        <w:rPr>
          <w:i/>
          <w:iCs/>
          <w:lang w:val="en-ZA"/>
        </w:rPr>
        <w:t>Solaglass</w:t>
      </w:r>
      <w:r w:rsidR="00F7581A">
        <w:rPr>
          <w:lang w:val="en-ZA"/>
        </w:rPr>
        <w:t xml:space="preserve">, unlike the case </w:t>
      </w:r>
      <w:r w:rsidR="00F7581A" w:rsidRPr="00F7581A">
        <w:rPr>
          <w:i/>
          <w:iCs/>
          <w:lang w:val="en-ZA"/>
        </w:rPr>
        <w:t>in casu</w:t>
      </w:r>
      <w:r w:rsidR="00F7581A">
        <w:rPr>
          <w:lang w:val="en-ZA"/>
        </w:rPr>
        <w:t xml:space="preserve">, </w:t>
      </w:r>
      <w:r w:rsidR="0088494E" w:rsidRPr="0088494E">
        <w:rPr>
          <w:lang w:val="en-ZA"/>
        </w:rPr>
        <w:t>the evidence</w:t>
      </w:r>
      <w:r w:rsidR="00754454">
        <w:rPr>
          <w:lang w:val="en-ZA"/>
        </w:rPr>
        <w:t xml:space="preserve"> suggested that</w:t>
      </w:r>
      <w:r w:rsidR="0088494E" w:rsidRPr="0088494E">
        <w:rPr>
          <w:lang w:val="en-ZA"/>
        </w:rPr>
        <w:t xml:space="preserve"> the promotion of the Group interests </w:t>
      </w:r>
      <w:r w:rsidR="005F1A50">
        <w:rPr>
          <w:lang w:val="en-ZA"/>
        </w:rPr>
        <w:t>was</w:t>
      </w:r>
      <w:r w:rsidR="0088494E" w:rsidRPr="0088494E">
        <w:rPr>
          <w:lang w:val="en-ZA"/>
        </w:rPr>
        <w:t xml:space="preserve"> an integral part of the very activities carried on by the </w:t>
      </w:r>
      <w:r w:rsidR="005F1A50">
        <w:rPr>
          <w:lang w:val="en-ZA"/>
        </w:rPr>
        <w:t>taxpayer</w:t>
      </w:r>
      <w:r w:rsidR="0088494E" w:rsidRPr="0088494E">
        <w:rPr>
          <w:lang w:val="en-ZA"/>
        </w:rPr>
        <w:t>. It borrow</w:t>
      </w:r>
      <w:r w:rsidR="005F1A50">
        <w:rPr>
          <w:lang w:val="en-ZA"/>
        </w:rPr>
        <w:t>ed</w:t>
      </w:r>
      <w:r w:rsidR="0088494E" w:rsidRPr="0088494E">
        <w:rPr>
          <w:lang w:val="en-ZA"/>
        </w:rPr>
        <w:t xml:space="preserve"> money from subsidiaries in the Group whenever </w:t>
      </w:r>
      <w:r w:rsidR="0088494E" w:rsidRPr="0088494E">
        <w:rPr>
          <w:lang w:val="en-ZA"/>
        </w:rPr>
        <w:lastRenderedPageBreak/>
        <w:t xml:space="preserve">they have a surplus available, irrespective of the needs of the </w:t>
      </w:r>
      <w:r w:rsidR="005F1A50">
        <w:rPr>
          <w:lang w:val="en-ZA"/>
        </w:rPr>
        <w:t>taxpayer</w:t>
      </w:r>
      <w:r w:rsidR="0088494E" w:rsidRPr="0088494E">
        <w:rPr>
          <w:lang w:val="en-ZA"/>
        </w:rPr>
        <w:t xml:space="preserve"> at that time. It </w:t>
      </w:r>
      <w:r w:rsidR="00AE6B5D">
        <w:rPr>
          <w:lang w:val="en-ZA"/>
        </w:rPr>
        <w:t>loaned</w:t>
      </w:r>
      <w:r w:rsidR="0088494E" w:rsidRPr="0088494E">
        <w:rPr>
          <w:lang w:val="en-ZA"/>
        </w:rPr>
        <w:t xml:space="preserve"> money to subsidiaries at a reduced rate of interest whenever the interests of the subsidiaries concerned require</w:t>
      </w:r>
      <w:r w:rsidR="00AE6B5D">
        <w:rPr>
          <w:lang w:val="en-ZA"/>
        </w:rPr>
        <w:t>d</w:t>
      </w:r>
      <w:r w:rsidR="0088494E" w:rsidRPr="0088494E">
        <w:rPr>
          <w:lang w:val="en-ZA"/>
        </w:rPr>
        <w:t xml:space="preserve"> that to be done, irrespective of the attendant disadvantage to the </w:t>
      </w:r>
      <w:r w:rsidR="005F1A50">
        <w:rPr>
          <w:lang w:val="en-ZA"/>
        </w:rPr>
        <w:t>taxpayer</w:t>
      </w:r>
      <w:r w:rsidR="0088494E" w:rsidRPr="0088494E">
        <w:rPr>
          <w:lang w:val="en-ZA"/>
        </w:rPr>
        <w:t xml:space="preserve">. In short, the trading activities of the </w:t>
      </w:r>
      <w:r w:rsidR="005F1A50">
        <w:rPr>
          <w:lang w:val="en-ZA"/>
        </w:rPr>
        <w:t>taxpayer in that case</w:t>
      </w:r>
      <w:r w:rsidR="0088494E" w:rsidRPr="0088494E">
        <w:rPr>
          <w:lang w:val="en-ZA"/>
        </w:rPr>
        <w:t xml:space="preserve"> </w:t>
      </w:r>
      <w:r w:rsidR="005F1A50">
        <w:rPr>
          <w:lang w:val="en-ZA"/>
        </w:rPr>
        <w:t>were</w:t>
      </w:r>
      <w:r w:rsidR="0088494E" w:rsidRPr="0088494E">
        <w:rPr>
          <w:lang w:val="en-ZA"/>
        </w:rPr>
        <w:t xml:space="preserve"> governed by policy considerations dictated by the interests of the Group. </w:t>
      </w:r>
      <w:r w:rsidR="005F1A50">
        <w:rPr>
          <w:lang w:val="en-ZA"/>
        </w:rPr>
        <w:t xml:space="preserve">No such evidence was tendered </w:t>
      </w:r>
      <w:r w:rsidR="005F1A50" w:rsidRPr="005F1A50">
        <w:rPr>
          <w:i/>
          <w:iCs/>
          <w:lang w:val="en-ZA"/>
        </w:rPr>
        <w:t>in casu</w:t>
      </w:r>
      <w:r w:rsidR="005F1A50">
        <w:rPr>
          <w:lang w:val="en-ZA"/>
        </w:rPr>
        <w:t>.</w:t>
      </w:r>
    </w:p>
    <w:p w14:paraId="2D7333AD" w14:textId="768B3C9B" w:rsidR="0088494E" w:rsidRPr="00CB6720" w:rsidRDefault="00507C2A" w:rsidP="00507C2A">
      <w:pPr>
        <w:pStyle w:val="LegalList1"/>
        <w:spacing w:after="120" w:line="360" w:lineRule="auto"/>
        <w:rPr>
          <w:lang w:val="en-ZA"/>
        </w:rPr>
      </w:pPr>
      <w:r w:rsidRPr="00CB6720">
        <w:rPr>
          <w:lang w:val="en-ZA"/>
        </w:rPr>
        <w:t>[43].</w:t>
      </w:r>
      <w:r w:rsidRPr="00CB6720">
        <w:rPr>
          <w:lang w:val="en-ZA"/>
        </w:rPr>
        <w:tab/>
      </w:r>
      <w:r w:rsidR="0088494E" w:rsidRPr="0088494E">
        <w:rPr>
          <w:lang w:val="en-ZA"/>
        </w:rPr>
        <w:t xml:space="preserve">In deciding whether the taxpayer is carrying on a trade, courts have held that it is a question of fact. Those facts were not placed before SARS </w:t>
      </w:r>
      <w:r w:rsidR="00805FA7">
        <w:rPr>
          <w:lang w:val="en-ZA"/>
        </w:rPr>
        <w:t xml:space="preserve">or before the </w:t>
      </w:r>
      <w:r w:rsidR="0088494E" w:rsidRPr="0088494E">
        <w:rPr>
          <w:lang w:val="en-ZA"/>
        </w:rPr>
        <w:t xml:space="preserve">court </w:t>
      </w:r>
      <w:r w:rsidR="0088494E" w:rsidRPr="005F1A50">
        <w:rPr>
          <w:i/>
          <w:iCs/>
          <w:lang w:val="en-ZA"/>
        </w:rPr>
        <w:t>a quo</w:t>
      </w:r>
      <w:r w:rsidR="0088494E" w:rsidRPr="0088494E">
        <w:rPr>
          <w:lang w:val="en-ZA"/>
        </w:rPr>
        <w:t xml:space="preserve">. </w:t>
      </w:r>
      <w:r w:rsidR="005F1A50">
        <w:rPr>
          <w:lang w:val="en-ZA"/>
        </w:rPr>
        <w:t>T</w:t>
      </w:r>
      <w:r w:rsidR="0088494E" w:rsidRPr="005F1A50">
        <w:rPr>
          <w:lang w:val="en-ZA"/>
        </w:rPr>
        <w:t xml:space="preserve">he court </w:t>
      </w:r>
      <w:r w:rsidR="005F1A50" w:rsidRPr="00CB6720">
        <w:rPr>
          <w:i/>
          <w:iCs/>
          <w:lang w:val="en-ZA"/>
        </w:rPr>
        <w:t>a quo</w:t>
      </w:r>
      <w:r w:rsidR="005F1A50">
        <w:rPr>
          <w:lang w:val="en-ZA"/>
        </w:rPr>
        <w:t xml:space="preserve"> was correct </w:t>
      </w:r>
      <w:r w:rsidR="00CB6720">
        <w:rPr>
          <w:lang w:val="en-ZA"/>
        </w:rPr>
        <w:t xml:space="preserve">in </w:t>
      </w:r>
      <w:r w:rsidR="0088494E" w:rsidRPr="005F1A50">
        <w:rPr>
          <w:lang w:val="en-ZA"/>
        </w:rPr>
        <w:t>find</w:t>
      </w:r>
      <w:r w:rsidR="00CB6720">
        <w:rPr>
          <w:lang w:val="en-ZA"/>
        </w:rPr>
        <w:t>ing</w:t>
      </w:r>
      <w:r w:rsidR="0088494E" w:rsidRPr="005F1A50">
        <w:rPr>
          <w:lang w:val="en-ZA"/>
        </w:rPr>
        <w:t xml:space="preserve"> that </w:t>
      </w:r>
      <w:r w:rsidR="00805FA7">
        <w:rPr>
          <w:lang w:val="en-ZA"/>
        </w:rPr>
        <w:t xml:space="preserve">even if </w:t>
      </w:r>
      <w:r w:rsidR="00CB6720">
        <w:rPr>
          <w:lang w:val="en-ZA"/>
        </w:rPr>
        <w:t>the taxpayer</w:t>
      </w:r>
      <w:r w:rsidR="00805FA7">
        <w:rPr>
          <w:lang w:val="en-ZA"/>
        </w:rPr>
        <w:t xml:space="preserve"> </w:t>
      </w:r>
      <w:r w:rsidR="0088494E" w:rsidRPr="005F1A50">
        <w:rPr>
          <w:lang w:val="en-ZA"/>
        </w:rPr>
        <w:t>was</w:t>
      </w:r>
      <w:r w:rsidR="00CB6720">
        <w:rPr>
          <w:lang w:val="en-ZA"/>
        </w:rPr>
        <w:t xml:space="preserve"> </w:t>
      </w:r>
      <w:r w:rsidR="0088494E" w:rsidRPr="005F1A50">
        <w:rPr>
          <w:lang w:val="en-ZA"/>
        </w:rPr>
        <w:t xml:space="preserve">trading as an investment company, that fact on its own </w:t>
      </w:r>
      <w:r w:rsidR="00CB6720">
        <w:rPr>
          <w:lang w:val="en-ZA"/>
        </w:rPr>
        <w:t>did</w:t>
      </w:r>
      <w:r w:rsidR="0088494E" w:rsidRPr="005F1A50">
        <w:rPr>
          <w:lang w:val="en-ZA"/>
        </w:rPr>
        <w:t xml:space="preserve"> not suffice. </w:t>
      </w:r>
      <w:r w:rsidR="00CB6720">
        <w:rPr>
          <w:lang w:val="en-ZA"/>
        </w:rPr>
        <w:t xml:space="preserve">The taxpayer </w:t>
      </w:r>
      <w:r w:rsidR="0088494E" w:rsidRPr="005F1A50">
        <w:rPr>
          <w:lang w:val="en-ZA"/>
        </w:rPr>
        <w:t xml:space="preserve">still </w:t>
      </w:r>
      <w:r w:rsidR="00CB6720">
        <w:rPr>
          <w:lang w:val="en-ZA"/>
        </w:rPr>
        <w:t>bore</w:t>
      </w:r>
      <w:r w:rsidR="0088494E" w:rsidRPr="005F1A50">
        <w:rPr>
          <w:lang w:val="en-ZA"/>
        </w:rPr>
        <w:t xml:space="preserve"> the onus to prove its entitlement to the interest deduction</w:t>
      </w:r>
      <w:r w:rsidR="00CB6720">
        <w:rPr>
          <w:lang w:val="en-ZA"/>
        </w:rPr>
        <w:t xml:space="preserve">, which it failed to discharge. </w:t>
      </w:r>
      <w:r w:rsidR="0088494E" w:rsidRPr="00CB6720">
        <w:rPr>
          <w:lang w:val="en-ZA"/>
        </w:rPr>
        <w:t xml:space="preserve">The court </w:t>
      </w:r>
      <w:r w:rsidR="0088494E" w:rsidRPr="00CB6720">
        <w:rPr>
          <w:i/>
          <w:iCs/>
          <w:lang w:val="en-ZA"/>
        </w:rPr>
        <w:t>a quo</w:t>
      </w:r>
      <w:r w:rsidR="0088494E" w:rsidRPr="00CB6720">
        <w:rPr>
          <w:lang w:val="en-ZA"/>
        </w:rPr>
        <w:t xml:space="preserve"> was correct in finding that </w:t>
      </w:r>
      <w:r w:rsidR="00CB6720">
        <w:rPr>
          <w:lang w:val="en-ZA"/>
        </w:rPr>
        <w:t>the taxpayer</w:t>
      </w:r>
      <w:r w:rsidR="0088494E" w:rsidRPr="00CB6720">
        <w:rPr>
          <w:lang w:val="en-ZA"/>
        </w:rPr>
        <w:t xml:space="preserve"> did not incur the expense in the production of income.  </w:t>
      </w:r>
    </w:p>
    <w:p w14:paraId="37924A8B" w14:textId="3098F211" w:rsidR="0088494E" w:rsidRPr="0088494E" w:rsidRDefault="00507C2A" w:rsidP="00507C2A">
      <w:pPr>
        <w:pStyle w:val="LegalList1"/>
        <w:spacing w:after="120" w:line="360" w:lineRule="auto"/>
        <w:rPr>
          <w:lang w:val="en-ZA"/>
        </w:rPr>
      </w:pPr>
      <w:r w:rsidRPr="0088494E">
        <w:rPr>
          <w:lang w:val="en-ZA"/>
        </w:rPr>
        <w:t>[44].</w:t>
      </w:r>
      <w:r w:rsidRPr="0088494E">
        <w:rPr>
          <w:lang w:val="en-ZA"/>
        </w:rPr>
        <w:tab/>
      </w:r>
      <w:r w:rsidR="0088494E" w:rsidRPr="0088494E">
        <w:rPr>
          <w:lang w:val="en-ZA"/>
        </w:rPr>
        <w:t>For interest to be deductible in terms of section 24J of the Income Tax Act, it must also be incurred in the production of income. Income is produced by a performance of a series of acts attendant upon them as expenses, provided that they are so closely linked to such acts as to be regarded as part of the cost of performing them</w:t>
      </w:r>
      <w:r w:rsidR="00805FA7">
        <w:rPr>
          <w:rStyle w:val="FootnoteReference"/>
          <w:lang w:val="en-ZA"/>
        </w:rPr>
        <w:footnoteReference w:id="5"/>
      </w:r>
      <w:r w:rsidR="0088494E" w:rsidRPr="0088494E">
        <w:rPr>
          <w:lang w:val="en-ZA"/>
        </w:rPr>
        <w:t xml:space="preserve">. The most important factor in that inquiry is the purpose of borrowing money. If the purpose is to apply the funding to produce taxable income, the interest expenditure incurred should be deductible. However, if the purpose is not to produce taxable income, then the interest expenditure is not deductible.  </w:t>
      </w:r>
    </w:p>
    <w:p w14:paraId="6D2192EF" w14:textId="0E64157C" w:rsidR="009D3BCC" w:rsidRDefault="00507C2A" w:rsidP="00507C2A">
      <w:pPr>
        <w:pStyle w:val="LegalList1"/>
        <w:spacing w:after="120" w:line="360" w:lineRule="auto"/>
        <w:rPr>
          <w:lang w:val="en-ZA"/>
        </w:rPr>
      </w:pPr>
      <w:r>
        <w:rPr>
          <w:lang w:val="en-ZA"/>
        </w:rPr>
        <w:t>[45].</w:t>
      </w:r>
      <w:r>
        <w:rPr>
          <w:lang w:val="en-ZA"/>
        </w:rPr>
        <w:tab/>
      </w:r>
      <w:r w:rsidR="009D3BCC" w:rsidRPr="009D3BCC">
        <w:rPr>
          <w:lang w:val="en-ZA"/>
        </w:rPr>
        <w:t>It is trite that</w:t>
      </w:r>
      <w:r w:rsidR="00CB6720" w:rsidRPr="009D3BCC">
        <w:rPr>
          <w:color w:val="FF0000"/>
          <w:lang w:val="en-ZA"/>
        </w:rPr>
        <w:t xml:space="preserve"> </w:t>
      </w:r>
      <w:r w:rsidR="0088494E" w:rsidRPr="009D3BCC">
        <w:rPr>
          <w:lang w:val="en-ZA"/>
        </w:rPr>
        <w:t>the purpose of the expenditure concerned and the closeness of its connection with the relevant income-earning operations</w:t>
      </w:r>
      <w:r w:rsidR="00CB6720" w:rsidRPr="009D3BCC">
        <w:rPr>
          <w:lang w:val="en-ZA"/>
        </w:rPr>
        <w:t xml:space="preserve"> are the important factors to be considered in the enquiry</w:t>
      </w:r>
      <w:r w:rsidR="009D3BCC" w:rsidRPr="009D3BCC">
        <w:rPr>
          <w:lang w:val="en-ZA"/>
        </w:rPr>
        <w:t xml:space="preserve"> relating to the tax deductibility of such an expense</w:t>
      </w:r>
      <w:r w:rsidR="00CB6720" w:rsidRPr="009D3BCC">
        <w:rPr>
          <w:lang w:val="en-ZA"/>
        </w:rPr>
        <w:t xml:space="preserve">. </w:t>
      </w:r>
      <w:r w:rsidR="009D3BCC">
        <w:rPr>
          <w:lang w:val="en-ZA"/>
        </w:rPr>
        <w:t>As a g</w:t>
      </w:r>
      <w:r w:rsidR="0088494E" w:rsidRPr="009D3BCC">
        <w:rPr>
          <w:lang w:val="en-ZA"/>
        </w:rPr>
        <w:t>eneral</w:t>
      </w:r>
      <w:r w:rsidR="009D3BCC">
        <w:rPr>
          <w:lang w:val="en-ZA"/>
        </w:rPr>
        <w:t xml:space="preserve"> rule, </w:t>
      </w:r>
      <w:r w:rsidR="0088494E" w:rsidRPr="009D3BCC">
        <w:rPr>
          <w:lang w:val="en-ZA"/>
        </w:rPr>
        <w:t>in deciding whether amounts of money outlaid by a taxpayer constitute expenditure incurred in the production of the income (in terms of the general deduction formula), important and sometimes overriding factors are the purpose of the expenditure and what the expenditure effects</w:t>
      </w:r>
      <w:r w:rsidR="009D3BCC">
        <w:rPr>
          <w:lang w:val="en-ZA"/>
        </w:rPr>
        <w:t>. A</w:t>
      </w:r>
      <w:r w:rsidR="0088494E" w:rsidRPr="009D3BCC">
        <w:rPr>
          <w:lang w:val="en-ZA"/>
        </w:rPr>
        <w:t xml:space="preserve">nd in </w:t>
      </w:r>
      <w:r w:rsidR="009D3BCC">
        <w:rPr>
          <w:lang w:val="en-ZA"/>
        </w:rPr>
        <w:t>that</w:t>
      </w:r>
      <w:r w:rsidR="0088494E" w:rsidRPr="009D3BCC">
        <w:rPr>
          <w:lang w:val="en-ZA"/>
        </w:rPr>
        <w:t xml:space="preserve"> regard, the closeness of the connection between the expenditure and the income-</w:t>
      </w:r>
      <w:r w:rsidR="0088494E" w:rsidRPr="009D3BCC">
        <w:rPr>
          <w:lang w:val="en-ZA"/>
        </w:rPr>
        <w:lastRenderedPageBreak/>
        <w:t xml:space="preserve">earning operations must be assessed. </w:t>
      </w:r>
      <w:r w:rsidR="009D3BCC">
        <w:rPr>
          <w:lang w:val="en-ZA"/>
        </w:rPr>
        <w:t xml:space="preserve">This is the test to be applied </w:t>
      </w:r>
      <w:r w:rsidR="0088494E" w:rsidRPr="009D3BCC">
        <w:rPr>
          <w:lang w:val="en-ZA"/>
        </w:rPr>
        <w:t xml:space="preserve">to the provisions of s </w:t>
      </w:r>
      <w:r w:rsidR="009D3BCC">
        <w:rPr>
          <w:lang w:val="en-ZA"/>
        </w:rPr>
        <w:t xml:space="preserve">24J </w:t>
      </w:r>
      <w:r w:rsidR="0088494E" w:rsidRPr="009D3BCC">
        <w:rPr>
          <w:lang w:val="en-ZA"/>
        </w:rPr>
        <w:t>of the</w:t>
      </w:r>
      <w:r w:rsidR="009D3BCC">
        <w:rPr>
          <w:lang w:val="en-ZA"/>
        </w:rPr>
        <w:t xml:space="preserve"> Income Tax</w:t>
      </w:r>
      <w:r w:rsidR="0088494E" w:rsidRPr="009D3BCC">
        <w:rPr>
          <w:lang w:val="en-ZA"/>
        </w:rPr>
        <w:t xml:space="preserve"> Act.</w:t>
      </w:r>
    </w:p>
    <w:p w14:paraId="647B4EDC" w14:textId="69A58820" w:rsidR="009D3BCC" w:rsidRDefault="00507C2A" w:rsidP="00507C2A">
      <w:pPr>
        <w:pStyle w:val="LegalList1"/>
        <w:spacing w:after="120" w:line="360" w:lineRule="auto"/>
        <w:rPr>
          <w:lang w:val="en-ZA"/>
        </w:rPr>
      </w:pPr>
      <w:r>
        <w:rPr>
          <w:lang w:val="en-ZA"/>
        </w:rPr>
        <w:t>[46].</w:t>
      </w:r>
      <w:r>
        <w:rPr>
          <w:lang w:val="en-ZA"/>
        </w:rPr>
        <w:tab/>
      </w:r>
      <w:r w:rsidR="0088494E" w:rsidRPr="009D3BCC">
        <w:rPr>
          <w:lang w:val="en-ZA"/>
        </w:rPr>
        <w:t xml:space="preserve">  </w:t>
      </w:r>
      <w:r w:rsidR="009D3BCC">
        <w:rPr>
          <w:lang w:val="en-ZA"/>
        </w:rPr>
        <w:t xml:space="preserve">Moreover, </w:t>
      </w:r>
      <w:r w:rsidR="0088494E" w:rsidRPr="009D3BCC">
        <w:rPr>
          <w:lang w:val="en-ZA"/>
        </w:rPr>
        <w:t xml:space="preserve">in determining whether interest (or other like expenditure) incurred by a taxpayer in respect of sums of money borrowed for use in his business is deductible in terms of the general deduction formula and its negative counterparts in the Act, a distinction may in certain instances be drawn between the case where </w:t>
      </w:r>
      <w:r w:rsidR="009D3BCC">
        <w:rPr>
          <w:lang w:val="en-ZA"/>
        </w:rPr>
        <w:t>a taxpayer</w:t>
      </w:r>
      <w:r w:rsidR="0088494E" w:rsidRPr="009D3BCC">
        <w:rPr>
          <w:lang w:val="en-ZA"/>
        </w:rPr>
        <w:t xml:space="preserve"> borrows a specific sum of money and applies it to an identifiable purpose and the case where</w:t>
      </w:r>
      <w:r w:rsidR="009D3BCC">
        <w:rPr>
          <w:lang w:val="en-ZA"/>
        </w:rPr>
        <w:t xml:space="preserve"> the money is</w:t>
      </w:r>
      <w:r w:rsidR="0088494E" w:rsidRPr="009D3BCC">
        <w:rPr>
          <w:lang w:val="en-ZA"/>
        </w:rPr>
        <w:t xml:space="preserve"> borrow</w:t>
      </w:r>
      <w:r w:rsidR="009D3BCC">
        <w:rPr>
          <w:lang w:val="en-ZA"/>
        </w:rPr>
        <w:t>ed</w:t>
      </w:r>
      <w:r w:rsidR="0088494E" w:rsidRPr="009D3BCC">
        <w:rPr>
          <w:lang w:val="en-ZA"/>
        </w:rPr>
        <w:t xml:space="preserve"> to raise floating capital for use in </w:t>
      </w:r>
      <w:r w:rsidR="009D3BCC">
        <w:rPr>
          <w:lang w:val="en-ZA"/>
        </w:rPr>
        <w:t xml:space="preserve">the taxpayer’s </w:t>
      </w:r>
      <w:r w:rsidR="0088494E" w:rsidRPr="009D3BCC">
        <w:rPr>
          <w:lang w:val="en-ZA"/>
        </w:rPr>
        <w:t>business.</w:t>
      </w:r>
    </w:p>
    <w:p w14:paraId="2CEF62BE" w14:textId="0B201A81" w:rsidR="0088494E" w:rsidRPr="009D3BCC" w:rsidRDefault="00507C2A" w:rsidP="00507C2A">
      <w:pPr>
        <w:pStyle w:val="LegalList1"/>
        <w:spacing w:after="120" w:line="360" w:lineRule="auto"/>
        <w:rPr>
          <w:lang w:val="en-ZA"/>
        </w:rPr>
      </w:pPr>
      <w:r w:rsidRPr="009D3BCC">
        <w:rPr>
          <w:lang w:val="en-ZA"/>
        </w:rPr>
        <w:t>[47].</w:t>
      </w:r>
      <w:r w:rsidRPr="009D3BCC">
        <w:rPr>
          <w:lang w:val="en-ZA"/>
        </w:rPr>
        <w:tab/>
      </w:r>
      <w:r w:rsidR="0088494E" w:rsidRPr="009D3BCC">
        <w:rPr>
          <w:lang w:val="en-ZA"/>
        </w:rPr>
        <w:t>In the former type of case, both the purpose of the expenditure (in the form of interest) and its effects can readily be determined and identified: a clear and close causal connection can be traced. Both these factors are, therefore, important considerations in determining the deductibility of the expenditure.</w:t>
      </w:r>
      <w:r w:rsidR="009D3BCC">
        <w:rPr>
          <w:lang w:val="en-ZA"/>
        </w:rPr>
        <w:t xml:space="preserve"> </w:t>
      </w:r>
      <w:r w:rsidR="0088494E" w:rsidRPr="009D3BCC">
        <w:rPr>
          <w:lang w:val="en-ZA"/>
        </w:rPr>
        <w:t>In the latter type of case, however, certain factors prevent identifying such a causal connection, and one cannot say that the expenditure was incurred to achieve a particular effect. All that one can say is that, in a general sense, the expenditure is incurred to provide the institution with the capital with which to run its business, but it is not possible to link particular expenditure with the various ways in which the capital is in turn utilised.</w:t>
      </w:r>
    </w:p>
    <w:p w14:paraId="3B183E10" w14:textId="18717866" w:rsidR="0088494E" w:rsidRPr="002619EF" w:rsidRDefault="00507C2A" w:rsidP="00507C2A">
      <w:pPr>
        <w:pStyle w:val="LegalList1"/>
        <w:spacing w:after="120" w:line="360" w:lineRule="auto"/>
        <w:rPr>
          <w:lang w:val="en-ZA"/>
        </w:rPr>
      </w:pPr>
      <w:bookmarkStart w:id="5" w:name="_Hlk155642606"/>
      <w:r w:rsidRPr="002619EF">
        <w:rPr>
          <w:lang w:val="en-ZA"/>
        </w:rPr>
        <w:t>[48].</w:t>
      </w:r>
      <w:r w:rsidRPr="002619EF">
        <w:rPr>
          <w:lang w:val="en-ZA"/>
        </w:rPr>
        <w:tab/>
      </w:r>
      <w:r w:rsidR="00907C27">
        <w:rPr>
          <w:lang w:val="en-ZA"/>
        </w:rPr>
        <w:t>As</w:t>
      </w:r>
      <w:r w:rsidR="0088494E" w:rsidRPr="0088494E">
        <w:rPr>
          <w:lang w:val="en-ZA"/>
        </w:rPr>
        <w:t xml:space="preserve"> regard</w:t>
      </w:r>
      <w:r w:rsidR="00907C27">
        <w:rPr>
          <w:lang w:val="en-ZA"/>
        </w:rPr>
        <w:t>s</w:t>
      </w:r>
      <w:r w:rsidR="0088494E" w:rsidRPr="0088494E">
        <w:rPr>
          <w:lang w:val="en-ZA"/>
        </w:rPr>
        <w:t xml:space="preserve"> the </w:t>
      </w:r>
      <w:r w:rsidR="00907C27">
        <w:rPr>
          <w:lang w:val="en-ZA"/>
        </w:rPr>
        <w:t>requirement that the purpose of the act</w:t>
      </w:r>
      <w:r w:rsidR="00907C27" w:rsidRPr="00907C27">
        <w:rPr>
          <w:lang w:val="en-ZA"/>
        </w:rPr>
        <w:t xml:space="preserve">, to which the expenditure is attached, </w:t>
      </w:r>
      <w:r w:rsidR="00907C27">
        <w:rPr>
          <w:lang w:val="en-ZA"/>
        </w:rPr>
        <w:t>must be</w:t>
      </w:r>
      <w:r w:rsidR="00907C27" w:rsidRPr="00907C27">
        <w:rPr>
          <w:lang w:val="en-ZA"/>
        </w:rPr>
        <w:t xml:space="preserve"> to produce income</w:t>
      </w:r>
      <w:r w:rsidR="00907C27">
        <w:rPr>
          <w:lang w:val="en-ZA"/>
        </w:rPr>
        <w:t>, it has been held by our Courts that</w:t>
      </w:r>
      <w:r w:rsidR="0088494E" w:rsidRPr="002619EF">
        <w:rPr>
          <w:lang w:val="en-ZA"/>
        </w:rPr>
        <w:t xml:space="preserve"> </w:t>
      </w:r>
      <w:r w:rsidR="00986065" w:rsidRPr="002619EF">
        <w:rPr>
          <w:lang w:val="en-ZA"/>
        </w:rPr>
        <w:t>‘</w:t>
      </w:r>
      <w:r w:rsidR="0088494E" w:rsidRPr="002619EF">
        <w:rPr>
          <w:lang w:val="en-ZA"/>
        </w:rPr>
        <w:t xml:space="preserve">provided the act is </w:t>
      </w:r>
      <w:r w:rsidR="0088494E" w:rsidRPr="002619EF">
        <w:rPr>
          <w:i/>
          <w:iCs/>
          <w:lang w:val="en-ZA"/>
        </w:rPr>
        <w:t>bona fide</w:t>
      </w:r>
      <w:r w:rsidR="0088494E" w:rsidRPr="002619EF">
        <w:rPr>
          <w:lang w:val="en-ZA"/>
        </w:rPr>
        <w:t xml:space="preserve"> done to carry on the trade which earns the income, the expenditure attendant on it is deductible</w:t>
      </w:r>
      <w:r w:rsidR="004A2152" w:rsidRPr="002619EF">
        <w:rPr>
          <w:lang w:val="en-ZA"/>
        </w:rPr>
        <w:t>’</w:t>
      </w:r>
      <w:r w:rsidR="0088494E" w:rsidRPr="002619EF">
        <w:rPr>
          <w:lang w:val="en-ZA"/>
        </w:rPr>
        <w:t>. Further, with regard to the second requirement,</w:t>
      </w:r>
      <w:r w:rsidR="002619EF">
        <w:rPr>
          <w:lang w:val="en-ZA"/>
        </w:rPr>
        <w:t xml:space="preserve"> that </w:t>
      </w:r>
      <w:r w:rsidR="002619EF" w:rsidRPr="002619EF">
        <w:rPr>
          <w:lang w:val="en-ZA"/>
        </w:rPr>
        <w:t xml:space="preserve">the expenditure </w:t>
      </w:r>
      <w:r w:rsidR="002619EF">
        <w:rPr>
          <w:lang w:val="en-ZA"/>
        </w:rPr>
        <w:t>should be</w:t>
      </w:r>
      <w:r w:rsidR="002619EF" w:rsidRPr="002619EF">
        <w:rPr>
          <w:lang w:val="en-ZA"/>
        </w:rPr>
        <w:t xml:space="preserve"> linked closely enough to this </w:t>
      </w:r>
      <w:r w:rsidR="002619EF">
        <w:rPr>
          <w:lang w:val="en-ZA"/>
        </w:rPr>
        <w:t>a</w:t>
      </w:r>
      <w:r w:rsidR="002619EF" w:rsidRPr="002619EF">
        <w:rPr>
          <w:lang w:val="en-ZA"/>
        </w:rPr>
        <w:t>ct</w:t>
      </w:r>
      <w:r w:rsidR="002619EF">
        <w:rPr>
          <w:lang w:val="en-ZA"/>
        </w:rPr>
        <w:t xml:space="preserve">, it is trite that </w:t>
      </w:r>
      <w:r w:rsidR="0088494E" w:rsidRPr="002619EF">
        <w:rPr>
          <w:lang w:val="en-ZA"/>
        </w:rPr>
        <w:t xml:space="preserve">all expenses attached to the performance of a business operation </w:t>
      </w:r>
      <w:r w:rsidR="0088494E" w:rsidRPr="002619EF">
        <w:rPr>
          <w:i/>
          <w:iCs/>
          <w:lang w:val="en-ZA"/>
        </w:rPr>
        <w:t>bona fide</w:t>
      </w:r>
      <w:r w:rsidR="0088494E" w:rsidRPr="002619EF">
        <w:rPr>
          <w:lang w:val="en-ZA"/>
        </w:rPr>
        <w:t xml:space="preserve"> performed to earn income are deductible whether such expenses are necessary for its performance or attached to it by chance or are </w:t>
      </w:r>
      <w:r w:rsidR="0088494E" w:rsidRPr="002619EF">
        <w:rPr>
          <w:i/>
          <w:iCs/>
          <w:lang w:val="en-ZA"/>
        </w:rPr>
        <w:t>bona fide</w:t>
      </w:r>
      <w:r w:rsidR="0088494E" w:rsidRPr="002619EF">
        <w:rPr>
          <w:lang w:val="en-ZA"/>
        </w:rPr>
        <w:t xml:space="preserve"> incurred for the more efficient performance of such operation provided they are so closely connected with it that they may be regarded as part of the cost of performing it.  </w:t>
      </w:r>
    </w:p>
    <w:bookmarkEnd w:id="5"/>
    <w:p w14:paraId="2C11C6DA" w14:textId="1E2F5235" w:rsidR="0088494E" w:rsidRPr="0088494E" w:rsidRDefault="00507C2A" w:rsidP="00507C2A">
      <w:pPr>
        <w:pStyle w:val="LegalList1"/>
        <w:spacing w:after="120" w:line="360" w:lineRule="auto"/>
        <w:rPr>
          <w:lang w:val="en-ZA"/>
        </w:rPr>
      </w:pPr>
      <w:r w:rsidRPr="0088494E">
        <w:rPr>
          <w:lang w:val="en-ZA"/>
        </w:rPr>
        <w:lastRenderedPageBreak/>
        <w:t>[49].</w:t>
      </w:r>
      <w:r w:rsidRPr="0088494E">
        <w:rPr>
          <w:lang w:val="en-ZA"/>
        </w:rPr>
        <w:tab/>
      </w:r>
      <w:r w:rsidR="0088494E" w:rsidRPr="0088494E">
        <w:rPr>
          <w:lang w:val="en-ZA"/>
        </w:rPr>
        <w:t>From the foregoing, it is evident that one must determine whether the interest expense incurred will qualify for a deduction considering</w:t>
      </w:r>
      <w:r w:rsidR="004A2152">
        <w:rPr>
          <w:lang w:val="en-ZA"/>
        </w:rPr>
        <w:t>:</w:t>
      </w:r>
      <w:r w:rsidR="0088494E" w:rsidRPr="0088494E">
        <w:rPr>
          <w:lang w:val="en-ZA"/>
        </w:rPr>
        <w:t xml:space="preserve"> (a) the purpose of the loan and (b) whether the expenditure is linked closely enough to the production of income. </w:t>
      </w:r>
    </w:p>
    <w:p w14:paraId="41066745" w14:textId="63A0782D" w:rsidR="0088494E" w:rsidRPr="0088494E" w:rsidRDefault="00507C2A" w:rsidP="00507C2A">
      <w:pPr>
        <w:pStyle w:val="LegalList1"/>
        <w:spacing w:after="0" w:line="360" w:lineRule="auto"/>
        <w:rPr>
          <w:lang w:val="en-ZA"/>
        </w:rPr>
      </w:pPr>
      <w:r w:rsidRPr="0088494E">
        <w:rPr>
          <w:lang w:val="en-ZA"/>
        </w:rPr>
        <w:t>[50].</w:t>
      </w:r>
      <w:r w:rsidRPr="0088494E">
        <w:rPr>
          <w:lang w:val="en-ZA"/>
        </w:rPr>
        <w:tab/>
      </w:r>
      <w:r w:rsidR="0088494E" w:rsidRPr="0088494E">
        <w:rPr>
          <w:lang w:val="en-ZA"/>
        </w:rPr>
        <w:t xml:space="preserve">On the question of 'purpose' the following was said in the case of </w:t>
      </w:r>
      <w:r w:rsidR="0088494E" w:rsidRPr="004A2152">
        <w:rPr>
          <w:i/>
          <w:iCs/>
          <w:lang w:val="en-ZA"/>
        </w:rPr>
        <w:t>CIR v Standard Bank of SA Ltd</w:t>
      </w:r>
      <w:r w:rsidR="0088494E" w:rsidRPr="0088494E">
        <w:rPr>
          <w:lang w:val="en-ZA"/>
        </w:rPr>
        <w:t xml:space="preserve">:  </w:t>
      </w:r>
    </w:p>
    <w:p w14:paraId="2DB4A63F" w14:textId="18647192" w:rsidR="0088494E" w:rsidRPr="004A2152" w:rsidRDefault="004A2152" w:rsidP="004A2152">
      <w:pPr>
        <w:pStyle w:val="LegalList1"/>
        <w:spacing w:after="120" w:line="360" w:lineRule="auto"/>
        <w:rPr>
          <w:sz w:val="20"/>
          <w:szCs w:val="20"/>
          <w:lang w:val="en-ZA"/>
        </w:rPr>
      </w:pPr>
      <w:r w:rsidRPr="004A2152">
        <w:rPr>
          <w:sz w:val="20"/>
          <w:szCs w:val="20"/>
          <w:lang w:val="en-ZA"/>
        </w:rPr>
        <w:t>‘</w:t>
      </w:r>
      <w:r w:rsidR="0088494E" w:rsidRPr="004A2152">
        <w:rPr>
          <w:sz w:val="20"/>
          <w:szCs w:val="20"/>
          <w:lang w:val="en-ZA"/>
        </w:rPr>
        <w:t>Generally, in deciding whether moneys outlaid by a taxpayer constitute expenditure incurred in the production of the income (in terms of the general deduction formula) important and sometimes overriding factors are the purpose of the expenditure and the income-earning operations must be assessed.</w:t>
      </w:r>
      <w:r w:rsidRPr="004A2152">
        <w:rPr>
          <w:sz w:val="20"/>
          <w:szCs w:val="20"/>
          <w:lang w:val="en-ZA"/>
        </w:rPr>
        <w:t>’</w:t>
      </w:r>
    </w:p>
    <w:p w14:paraId="5F360806" w14:textId="45C9A3DF" w:rsidR="0088494E" w:rsidRPr="004A2152" w:rsidRDefault="00507C2A" w:rsidP="00507C2A">
      <w:pPr>
        <w:pStyle w:val="LegalList1"/>
        <w:spacing w:after="120" w:line="360" w:lineRule="auto"/>
        <w:rPr>
          <w:lang w:val="en-ZA"/>
        </w:rPr>
      </w:pPr>
      <w:r w:rsidRPr="004A2152">
        <w:rPr>
          <w:lang w:val="en-ZA"/>
        </w:rPr>
        <w:t>[51].</w:t>
      </w:r>
      <w:r w:rsidRPr="004A2152">
        <w:rPr>
          <w:lang w:val="en-ZA"/>
        </w:rPr>
        <w:tab/>
      </w:r>
      <w:r w:rsidR="0088494E" w:rsidRPr="0088494E">
        <w:rPr>
          <w:lang w:val="en-ZA"/>
        </w:rPr>
        <w:t xml:space="preserve">The question in the </w:t>
      </w:r>
      <w:r w:rsidR="0088494E" w:rsidRPr="004A2152">
        <w:rPr>
          <w:i/>
          <w:iCs/>
          <w:lang w:val="en-ZA"/>
        </w:rPr>
        <w:t>Standard Bank</w:t>
      </w:r>
      <w:r w:rsidR="0088494E" w:rsidRPr="0088494E">
        <w:rPr>
          <w:lang w:val="en-ZA"/>
        </w:rPr>
        <w:t xml:space="preserve"> case was whether the bank could deduct interest on money deposited by its customers if it used the money to earn tax-free</w:t>
      </w:r>
      <w:r w:rsidR="004A2152">
        <w:rPr>
          <w:lang w:val="en-ZA"/>
        </w:rPr>
        <w:t xml:space="preserve"> </w:t>
      </w:r>
      <w:r w:rsidR="0088494E" w:rsidRPr="004A2152">
        <w:rPr>
          <w:lang w:val="en-ZA"/>
        </w:rPr>
        <w:t xml:space="preserve">dividends on preference shares. The court said that as all the money from depositors went into a general pool, it could not be said for which specific purpose the money was borrowed, so one had to look at the general purpose of the bank, which was to borrow money at one interest rate and on-lend it at a higher interest rate, the general purpose being to produce income.  </w:t>
      </w:r>
    </w:p>
    <w:p w14:paraId="36DEBBF3" w14:textId="47F2B9AB" w:rsidR="0088494E" w:rsidRPr="00986065" w:rsidRDefault="00507C2A" w:rsidP="00507C2A">
      <w:pPr>
        <w:pStyle w:val="LegalList1"/>
        <w:spacing w:after="0" w:line="360" w:lineRule="auto"/>
        <w:rPr>
          <w:lang w:val="en-ZA"/>
        </w:rPr>
      </w:pPr>
      <w:r w:rsidRPr="00986065">
        <w:rPr>
          <w:lang w:val="en-ZA"/>
        </w:rPr>
        <w:t>[52].</w:t>
      </w:r>
      <w:r w:rsidRPr="00986065">
        <w:rPr>
          <w:lang w:val="en-ZA"/>
        </w:rPr>
        <w:tab/>
      </w:r>
      <w:r w:rsidR="0088494E" w:rsidRPr="0088494E">
        <w:rPr>
          <w:lang w:val="en-ZA"/>
        </w:rPr>
        <w:t xml:space="preserve">In </w:t>
      </w:r>
      <w:r w:rsidR="00986065" w:rsidRPr="00986065">
        <w:rPr>
          <w:i/>
          <w:iCs/>
          <w:lang w:val="en-ZA"/>
        </w:rPr>
        <w:t>Producer v Commissioner of Taxes</w:t>
      </w:r>
      <w:r w:rsidR="00986065">
        <w:rPr>
          <w:rStyle w:val="FootnoteReference"/>
          <w:i/>
          <w:iCs/>
          <w:lang w:val="en-ZA"/>
        </w:rPr>
        <w:footnoteReference w:id="6"/>
      </w:r>
      <w:r w:rsidR="0088494E" w:rsidRPr="00986065">
        <w:rPr>
          <w:lang w:val="en-ZA"/>
        </w:rPr>
        <w:t>,</w:t>
      </w:r>
      <w:r w:rsidR="00986065">
        <w:rPr>
          <w:lang w:val="en-ZA"/>
        </w:rPr>
        <w:t xml:space="preserve"> </w:t>
      </w:r>
      <w:r w:rsidR="0088494E" w:rsidRPr="00986065">
        <w:rPr>
          <w:lang w:val="en-ZA"/>
        </w:rPr>
        <w:t xml:space="preserve">the taxpayer company lent money to </w:t>
      </w:r>
      <w:r w:rsidR="00986065">
        <w:rPr>
          <w:lang w:val="en-ZA"/>
        </w:rPr>
        <w:t xml:space="preserve">a subsidiary in respect of </w:t>
      </w:r>
      <w:r w:rsidR="0088494E" w:rsidRPr="00986065">
        <w:rPr>
          <w:lang w:val="en-ZA"/>
        </w:rPr>
        <w:t xml:space="preserve">which it charged interest and then converted part of the loan to the subsidiary into equity. Its claim on the loan account against the subsidiary was set off against the shares issued to the subsidiary. Thus, when the money was borrowed by the taxpayer company, the purpose was certainly to produce income. </w:t>
      </w:r>
      <w:r w:rsidR="0095376B">
        <w:rPr>
          <w:lang w:val="en-ZA"/>
        </w:rPr>
        <w:t>At some stage</w:t>
      </w:r>
      <w:r w:rsidR="0088494E" w:rsidRPr="00986065">
        <w:rPr>
          <w:lang w:val="en-ZA"/>
        </w:rPr>
        <w:t xml:space="preserve"> the money was used to produce dividends, the Commissioner disallowed the part that was used to subscribe for equity. The court </w:t>
      </w:r>
      <w:r w:rsidR="00986065">
        <w:rPr>
          <w:lang w:val="en-ZA"/>
        </w:rPr>
        <w:t>held as follows</w:t>
      </w:r>
      <w:r w:rsidR="0088494E" w:rsidRPr="00986065">
        <w:rPr>
          <w:lang w:val="en-ZA"/>
        </w:rPr>
        <w:t>:</w:t>
      </w:r>
      <w:r w:rsidR="00986065">
        <w:rPr>
          <w:lang w:val="en-ZA"/>
        </w:rPr>
        <w:t xml:space="preserve"> -</w:t>
      </w:r>
      <w:r w:rsidR="0088494E" w:rsidRPr="00986065">
        <w:rPr>
          <w:lang w:val="en-ZA"/>
        </w:rPr>
        <w:t xml:space="preserve"> </w:t>
      </w:r>
    </w:p>
    <w:p w14:paraId="19DD3717" w14:textId="78A65767" w:rsidR="0088494E" w:rsidRPr="00986065" w:rsidRDefault="00986065" w:rsidP="00986065">
      <w:pPr>
        <w:pStyle w:val="LegalList1"/>
        <w:spacing w:after="120" w:line="360" w:lineRule="auto"/>
        <w:rPr>
          <w:sz w:val="20"/>
          <w:szCs w:val="20"/>
          <w:lang w:val="en-ZA"/>
        </w:rPr>
      </w:pPr>
      <w:r>
        <w:rPr>
          <w:sz w:val="20"/>
          <w:szCs w:val="20"/>
          <w:lang w:val="en-ZA"/>
        </w:rPr>
        <w:t>‘</w:t>
      </w:r>
      <w:r w:rsidR="0088494E" w:rsidRPr="00986065">
        <w:rPr>
          <w:sz w:val="20"/>
          <w:szCs w:val="20"/>
          <w:lang w:val="en-ZA"/>
        </w:rPr>
        <w:t>It is clear that if a taxpayer borrows a specific sum of money and applies that sum to a purpose unproductive of income, and not directly connected with the income</w:t>
      </w:r>
      <w:r>
        <w:rPr>
          <w:sz w:val="20"/>
          <w:szCs w:val="20"/>
          <w:lang w:val="en-ZA"/>
        </w:rPr>
        <w:t xml:space="preserve"> </w:t>
      </w:r>
      <w:r w:rsidR="0088494E" w:rsidRPr="00986065">
        <w:rPr>
          <w:sz w:val="20"/>
          <w:szCs w:val="20"/>
          <w:lang w:val="en-ZA"/>
        </w:rPr>
        <w:t>earning part of his business, then the interest paid on the borrowed money cannot be deducted as expenditure incurred in the production of income.</w:t>
      </w:r>
      <w:r>
        <w:rPr>
          <w:sz w:val="20"/>
          <w:szCs w:val="20"/>
          <w:lang w:val="en-ZA"/>
        </w:rPr>
        <w:t>’</w:t>
      </w:r>
    </w:p>
    <w:p w14:paraId="0134C1A3" w14:textId="0429857D" w:rsidR="0088494E" w:rsidRPr="0057596A" w:rsidRDefault="00507C2A" w:rsidP="00507C2A">
      <w:pPr>
        <w:pStyle w:val="LegalList1"/>
        <w:spacing w:after="120" w:line="360" w:lineRule="auto"/>
        <w:rPr>
          <w:lang w:val="en-ZA"/>
        </w:rPr>
      </w:pPr>
      <w:r w:rsidRPr="0057596A">
        <w:rPr>
          <w:lang w:val="en-ZA"/>
        </w:rPr>
        <w:t>[53].</w:t>
      </w:r>
      <w:r w:rsidRPr="0057596A">
        <w:rPr>
          <w:lang w:val="en-ZA"/>
        </w:rPr>
        <w:tab/>
      </w:r>
      <w:r w:rsidR="0088494E" w:rsidRPr="0088494E">
        <w:rPr>
          <w:lang w:val="en-ZA"/>
        </w:rPr>
        <w:t xml:space="preserve">The court in </w:t>
      </w:r>
      <w:r w:rsidR="0088494E" w:rsidRPr="0057596A">
        <w:rPr>
          <w:i/>
          <w:iCs/>
          <w:lang w:val="en-ZA"/>
        </w:rPr>
        <w:t xml:space="preserve">Producer </w:t>
      </w:r>
      <w:r w:rsidR="0088494E" w:rsidRPr="0057596A">
        <w:rPr>
          <w:lang w:val="en-ZA"/>
        </w:rPr>
        <w:t xml:space="preserve">drew a distinction between borrowing money for a specific purpose and borrowing money in order to fund general business </w:t>
      </w:r>
      <w:r w:rsidR="0088494E" w:rsidRPr="0057596A">
        <w:rPr>
          <w:lang w:val="en-ZA"/>
        </w:rPr>
        <w:lastRenderedPageBreak/>
        <w:t>operation. The court emphasise</w:t>
      </w:r>
      <w:r w:rsidR="00845021">
        <w:rPr>
          <w:lang w:val="en-ZA"/>
        </w:rPr>
        <w:t>d the fact</w:t>
      </w:r>
      <w:r w:rsidR="0088494E" w:rsidRPr="0057596A">
        <w:rPr>
          <w:lang w:val="en-ZA"/>
        </w:rPr>
        <w:t xml:space="preserve"> that interest will not be deductible if a specific sum of money is borrowed, and that amount is used for a purpose unproductive of income and not directly connected with the income earning business operation of the taxpayer. </w:t>
      </w:r>
    </w:p>
    <w:p w14:paraId="408EBC9A" w14:textId="45E52E2E" w:rsidR="0088494E" w:rsidRPr="00691A87" w:rsidRDefault="00507C2A" w:rsidP="00507C2A">
      <w:pPr>
        <w:pStyle w:val="LegalList1"/>
        <w:spacing w:after="120" w:line="360" w:lineRule="auto"/>
        <w:rPr>
          <w:lang w:val="en-ZA"/>
        </w:rPr>
      </w:pPr>
      <w:r w:rsidRPr="00691A87">
        <w:rPr>
          <w:lang w:val="en-ZA"/>
        </w:rPr>
        <w:t>[54].</w:t>
      </w:r>
      <w:r w:rsidRPr="00691A87">
        <w:rPr>
          <w:lang w:val="en-ZA"/>
        </w:rPr>
        <w:tab/>
      </w:r>
      <w:r w:rsidR="0057596A">
        <w:rPr>
          <w:lang w:val="en-ZA"/>
        </w:rPr>
        <w:t xml:space="preserve">Applying the above principles </w:t>
      </w:r>
      <w:r w:rsidR="0057596A" w:rsidRPr="0057596A">
        <w:rPr>
          <w:i/>
          <w:iCs/>
          <w:lang w:val="en-ZA"/>
        </w:rPr>
        <w:t>in casu</w:t>
      </w:r>
      <w:r w:rsidR="0057596A">
        <w:rPr>
          <w:lang w:val="en-ZA"/>
        </w:rPr>
        <w:t>, it cannot be said with any conviction that the interest expenditure was incurred in the production of income whilst the taxpayer was conducting its trade as an investment holding company</w:t>
      </w:r>
      <w:r w:rsidR="0088494E" w:rsidRPr="0088494E">
        <w:rPr>
          <w:lang w:val="en-ZA"/>
        </w:rPr>
        <w:t>.</w:t>
      </w:r>
      <w:r w:rsidR="00F260E2">
        <w:rPr>
          <w:lang w:val="en-ZA"/>
        </w:rPr>
        <w:t xml:space="preserve"> Moreover, an in-depth examination and a proper </w:t>
      </w:r>
      <w:r w:rsidR="00F260E2" w:rsidRPr="00F260E2">
        <w:rPr>
          <w:lang w:val="en-ZA"/>
        </w:rPr>
        <w:t xml:space="preserve">interpretation of the 2007 to 2011 </w:t>
      </w:r>
      <w:r w:rsidR="00F260E2">
        <w:rPr>
          <w:lang w:val="en-ZA"/>
        </w:rPr>
        <w:t xml:space="preserve">annual </w:t>
      </w:r>
      <w:r w:rsidR="00F260E2" w:rsidRPr="00F260E2">
        <w:rPr>
          <w:lang w:val="en-ZA"/>
        </w:rPr>
        <w:t>financial statements</w:t>
      </w:r>
      <w:r w:rsidR="00F260E2">
        <w:rPr>
          <w:lang w:val="en-ZA"/>
        </w:rPr>
        <w:t xml:space="preserve"> of the taxpayer</w:t>
      </w:r>
      <w:r w:rsidR="00F260E2" w:rsidRPr="00F260E2">
        <w:rPr>
          <w:lang w:val="en-ZA"/>
        </w:rPr>
        <w:t xml:space="preserve"> reveal that the loan from Steinhoff was used to acquire a subsidiary from one of the Group companies.</w:t>
      </w:r>
      <w:r w:rsidR="00F260E2">
        <w:rPr>
          <w:lang w:val="en-ZA"/>
        </w:rPr>
        <w:t xml:space="preserve"> The loan of R4 414</w:t>
      </w:r>
      <w:r w:rsidR="00691A87">
        <w:rPr>
          <w:lang w:val="en-ZA"/>
        </w:rPr>
        <w:t> </w:t>
      </w:r>
      <w:r w:rsidR="00F260E2">
        <w:rPr>
          <w:lang w:val="en-ZA"/>
        </w:rPr>
        <w:t>257</w:t>
      </w:r>
      <w:r w:rsidR="00691A87">
        <w:rPr>
          <w:lang w:val="en-ZA"/>
        </w:rPr>
        <w:t> 000</w:t>
      </w:r>
      <w:r w:rsidR="00F260E2">
        <w:rPr>
          <w:lang w:val="en-ZA"/>
        </w:rPr>
        <w:t xml:space="preserve"> during the 2007 financial year equates exactly to the </w:t>
      </w:r>
      <w:r w:rsidR="00691A87">
        <w:rPr>
          <w:lang w:val="en-ZA"/>
        </w:rPr>
        <w:t>cost of acquiring during that year ‘the business of Unitrans Limited’ – this is as per note 15.5 to the annua financial statement</w:t>
      </w:r>
      <w:r w:rsidR="008E77BA">
        <w:rPr>
          <w:lang w:val="en-ZA"/>
        </w:rPr>
        <w:t>s</w:t>
      </w:r>
      <w:r w:rsidR="00691A87">
        <w:rPr>
          <w:lang w:val="en-ZA"/>
        </w:rPr>
        <w:t xml:space="preserve"> for that year. This then means that t</w:t>
      </w:r>
      <w:r w:rsidR="0088494E" w:rsidRPr="00691A87">
        <w:rPr>
          <w:lang w:val="en-ZA"/>
        </w:rPr>
        <w:t xml:space="preserve">here is an element of unproductive interest which is not </w:t>
      </w:r>
      <w:r w:rsidR="0095376B" w:rsidRPr="00691A87">
        <w:rPr>
          <w:lang w:val="en-ZA"/>
        </w:rPr>
        <w:t xml:space="preserve">deductible </w:t>
      </w:r>
      <w:r w:rsidR="0088494E" w:rsidRPr="00691A87">
        <w:rPr>
          <w:lang w:val="en-ZA"/>
        </w:rPr>
        <w:t xml:space="preserve">in terms of the Income Tax Act.  </w:t>
      </w:r>
    </w:p>
    <w:p w14:paraId="3EE626FA" w14:textId="78072A0D" w:rsidR="0088494E" w:rsidRPr="00845021" w:rsidRDefault="00507C2A" w:rsidP="00507C2A">
      <w:pPr>
        <w:pStyle w:val="LegalList1"/>
        <w:spacing w:after="0" w:line="360" w:lineRule="auto"/>
        <w:rPr>
          <w:lang w:val="en-ZA"/>
        </w:rPr>
      </w:pPr>
      <w:r w:rsidRPr="00845021">
        <w:rPr>
          <w:lang w:val="en-ZA"/>
        </w:rPr>
        <w:t>[55].</w:t>
      </w:r>
      <w:r w:rsidRPr="00845021">
        <w:rPr>
          <w:lang w:val="en-ZA"/>
        </w:rPr>
        <w:tab/>
      </w:r>
      <w:r w:rsidR="0057596A">
        <w:rPr>
          <w:lang w:val="en-ZA"/>
        </w:rPr>
        <w:t xml:space="preserve">What is more is that </w:t>
      </w:r>
      <w:r w:rsidR="0088494E" w:rsidRPr="0088494E">
        <w:rPr>
          <w:lang w:val="en-ZA"/>
        </w:rPr>
        <w:t xml:space="preserve">Ms Smuts conceded that the purpose of borrowing money from group companies was to </w:t>
      </w:r>
      <w:r w:rsidR="0057596A" w:rsidRPr="0088494E">
        <w:rPr>
          <w:lang w:val="en-ZA"/>
        </w:rPr>
        <w:t>on lent</w:t>
      </w:r>
      <w:r w:rsidR="0088494E" w:rsidRPr="0088494E">
        <w:rPr>
          <w:lang w:val="en-ZA"/>
        </w:rPr>
        <w:t xml:space="preserve"> to group companies where group companies require assistance to salvage their business. It was conceded that the purpose of the loan was to benefit the group companies. The intention was not for </w:t>
      </w:r>
      <w:r w:rsidR="0057596A">
        <w:rPr>
          <w:lang w:val="en-ZA"/>
        </w:rPr>
        <w:t>the taxpayer</w:t>
      </w:r>
      <w:r w:rsidR="0088494E" w:rsidRPr="0088494E">
        <w:rPr>
          <w:lang w:val="en-ZA"/>
        </w:rPr>
        <w:t xml:space="preserve"> to earn an income but to help the group companies to increase their earning capacity</w:t>
      </w:r>
      <w:r w:rsidR="0057596A">
        <w:rPr>
          <w:lang w:val="en-ZA"/>
        </w:rPr>
        <w:t>. H</w:t>
      </w:r>
      <w:r w:rsidR="0088494E" w:rsidRPr="0088494E">
        <w:rPr>
          <w:lang w:val="en-ZA"/>
        </w:rPr>
        <w:t>ence it charged interest that was less than the interest paid on borrowed funds from Steinhoff.</w:t>
      </w:r>
      <w:r w:rsidR="0057596A">
        <w:rPr>
          <w:lang w:val="en-ZA"/>
        </w:rPr>
        <w:t xml:space="preserve"> The simple point being that t</w:t>
      </w:r>
      <w:r w:rsidR="0088494E" w:rsidRPr="0088494E">
        <w:rPr>
          <w:lang w:val="en-ZA"/>
        </w:rPr>
        <w:t xml:space="preserve">he purpose of the loan was not to finance the </w:t>
      </w:r>
      <w:r w:rsidR="0057596A" w:rsidRPr="0088494E">
        <w:rPr>
          <w:lang w:val="en-ZA"/>
        </w:rPr>
        <w:t>income producing</w:t>
      </w:r>
      <w:r w:rsidR="0088494E" w:rsidRPr="0088494E">
        <w:rPr>
          <w:lang w:val="en-ZA"/>
        </w:rPr>
        <w:t xml:space="preserve"> operations of </w:t>
      </w:r>
      <w:r w:rsidR="0057596A">
        <w:rPr>
          <w:lang w:val="en-ZA"/>
        </w:rPr>
        <w:t>the taxpayer</w:t>
      </w:r>
      <w:r w:rsidR="0088494E" w:rsidRPr="0088494E">
        <w:rPr>
          <w:lang w:val="en-ZA"/>
        </w:rPr>
        <w:t xml:space="preserve"> but to benefit the group companies. The Supreme Court of Appeal in</w:t>
      </w:r>
      <w:r w:rsidR="00845021">
        <w:rPr>
          <w:lang w:val="en-ZA"/>
        </w:rPr>
        <w:t xml:space="preserve"> </w:t>
      </w:r>
      <w:r w:rsidR="00845021" w:rsidRPr="00845021">
        <w:rPr>
          <w:i/>
          <w:iCs/>
          <w:lang w:val="en-ZA"/>
        </w:rPr>
        <w:t>The Commissioner for the South African Revenue Service v Spur Group (Pty) Ltd</w:t>
      </w:r>
      <w:r w:rsidR="00845021" w:rsidRPr="00845021">
        <w:rPr>
          <w:lang w:val="en-ZA"/>
        </w:rPr>
        <w:t xml:space="preserve"> 2021</w:t>
      </w:r>
      <w:r w:rsidR="00845021">
        <w:rPr>
          <w:rStyle w:val="FootnoteReference"/>
          <w:lang w:val="en-ZA"/>
        </w:rPr>
        <w:footnoteReference w:id="7"/>
      </w:r>
      <w:r w:rsidR="00845021">
        <w:rPr>
          <w:lang w:val="en-ZA"/>
        </w:rPr>
        <w:t xml:space="preserve"> </w:t>
      </w:r>
      <w:r w:rsidR="0088494E" w:rsidRPr="00845021">
        <w:rPr>
          <w:lang w:val="en-ZA"/>
        </w:rPr>
        <w:t>held</w:t>
      </w:r>
      <w:r w:rsidR="00845021">
        <w:rPr>
          <w:lang w:val="en-ZA"/>
        </w:rPr>
        <w:t xml:space="preserve"> as follows</w:t>
      </w:r>
      <w:r w:rsidR="0088494E" w:rsidRPr="00845021">
        <w:rPr>
          <w:lang w:val="en-ZA"/>
        </w:rPr>
        <w:t>:</w:t>
      </w:r>
      <w:r w:rsidR="00845021">
        <w:rPr>
          <w:lang w:val="en-ZA"/>
        </w:rPr>
        <w:t xml:space="preserve"> - </w:t>
      </w:r>
      <w:r w:rsidR="0088494E" w:rsidRPr="00845021">
        <w:rPr>
          <w:lang w:val="en-ZA"/>
        </w:rPr>
        <w:t xml:space="preserve"> </w:t>
      </w:r>
    </w:p>
    <w:p w14:paraId="1E722628" w14:textId="2D6A4FDA" w:rsidR="0088494E" w:rsidRPr="0057596A" w:rsidRDefault="0057596A" w:rsidP="0057596A">
      <w:pPr>
        <w:pStyle w:val="LegalList1"/>
        <w:spacing w:after="0" w:line="360" w:lineRule="auto"/>
        <w:rPr>
          <w:sz w:val="20"/>
          <w:szCs w:val="20"/>
          <w:lang w:val="en-ZA"/>
        </w:rPr>
      </w:pPr>
      <w:r w:rsidRPr="0057596A">
        <w:rPr>
          <w:sz w:val="20"/>
          <w:szCs w:val="20"/>
          <w:lang w:val="en-ZA"/>
        </w:rPr>
        <w:t>‘</w:t>
      </w:r>
      <w:r w:rsidR="0088494E" w:rsidRPr="0057596A">
        <w:rPr>
          <w:sz w:val="20"/>
          <w:szCs w:val="20"/>
          <w:lang w:val="en-ZA"/>
        </w:rPr>
        <w:t>[37]</w:t>
      </w:r>
      <w:r w:rsidRPr="0057596A">
        <w:rPr>
          <w:sz w:val="20"/>
          <w:szCs w:val="20"/>
          <w:lang w:val="en-ZA"/>
        </w:rPr>
        <w:tab/>
      </w:r>
      <w:r w:rsidR="0088494E" w:rsidRPr="0057596A">
        <w:rPr>
          <w:sz w:val="20"/>
          <w:szCs w:val="20"/>
          <w:lang w:val="en-ZA"/>
        </w:rPr>
        <w:t xml:space="preserve">In </w:t>
      </w:r>
      <w:r w:rsidR="0088494E" w:rsidRPr="0057596A">
        <w:rPr>
          <w:i/>
          <w:iCs/>
          <w:sz w:val="20"/>
          <w:szCs w:val="20"/>
          <w:lang w:val="en-ZA"/>
        </w:rPr>
        <w:t>Solaglass Finance Co (Pty) Ltd v Commissioner for Inland Revenue</w:t>
      </w:r>
      <w:r w:rsidR="0088494E" w:rsidRPr="0057596A">
        <w:rPr>
          <w:sz w:val="20"/>
          <w:szCs w:val="20"/>
          <w:lang w:val="en-ZA"/>
        </w:rPr>
        <w:t>, this Court made it clear that the deduction of expenditure in relation to monies spent for the purposes of advancing the interests of the group of companies to which the taxpayer belongs</w:t>
      </w:r>
      <w:r w:rsidR="00845021">
        <w:rPr>
          <w:sz w:val="20"/>
          <w:szCs w:val="20"/>
          <w:lang w:val="en-ZA"/>
        </w:rPr>
        <w:t>,</w:t>
      </w:r>
      <w:r w:rsidR="0088494E" w:rsidRPr="0057596A">
        <w:rPr>
          <w:sz w:val="20"/>
          <w:szCs w:val="20"/>
          <w:lang w:val="en-ZA"/>
        </w:rPr>
        <w:t xml:space="preserve"> is precluded. </w:t>
      </w:r>
    </w:p>
    <w:p w14:paraId="1C2E7E23" w14:textId="62863928" w:rsidR="0088494E" w:rsidRPr="0057596A" w:rsidRDefault="0088494E" w:rsidP="0057596A">
      <w:pPr>
        <w:pStyle w:val="LegalList1"/>
        <w:spacing w:after="120" w:line="360" w:lineRule="auto"/>
        <w:rPr>
          <w:sz w:val="20"/>
          <w:szCs w:val="20"/>
          <w:lang w:val="en-ZA"/>
        </w:rPr>
      </w:pPr>
      <w:r w:rsidRPr="0057596A">
        <w:rPr>
          <w:sz w:val="20"/>
          <w:szCs w:val="20"/>
          <w:lang w:val="en-ZA"/>
        </w:rPr>
        <w:t>[38]</w:t>
      </w:r>
      <w:r w:rsidR="0057596A" w:rsidRPr="0057596A">
        <w:rPr>
          <w:sz w:val="20"/>
          <w:szCs w:val="20"/>
          <w:lang w:val="en-ZA"/>
        </w:rPr>
        <w:tab/>
      </w:r>
      <w:r w:rsidRPr="0057596A">
        <w:rPr>
          <w:sz w:val="20"/>
          <w:szCs w:val="20"/>
          <w:lang w:val="en-ZA"/>
        </w:rPr>
        <w:t xml:space="preserve">Applying </w:t>
      </w:r>
      <w:r w:rsidRPr="00B4254B">
        <w:rPr>
          <w:i/>
          <w:iCs/>
          <w:sz w:val="20"/>
          <w:szCs w:val="20"/>
          <w:lang w:val="en-ZA"/>
        </w:rPr>
        <w:t>PE Tramway</w:t>
      </w:r>
      <w:r w:rsidRPr="0057596A">
        <w:rPr>
          <w:sz w:val="20"/>
          <w:szCs w:val="20"/>
          <w:lang w:val="en-ZA"/>
        </w:rPr>
        <w:t xml:space="preserve">, I find that the purpose of Spur in incurring the expenditure was not to produce income, as required by s 11(a) of the ITA, but to provide funding for the scheme, </w:t>
      </w:r>
      <w:r w:rsidRPr="0057596A">
        <w:rPr>
          <w:sz w:val="20"/>
          <w:szCs w:val="20"/>
          <w:lang w:val="en-ZA"/>
        </w:rPr>
        <w:lastRenderedPageBreak/>
        <w:t>for the ultimate benefit of Spur HoldCo. There was only an indirect and insufficient link between the expenditure and any benefit arising from the incentivisation of the participants. The contribution was therefore not sufficiently closely connected to the business operations of Spur such that it would be proper, natural and reasonable to regard the expense as part of Spur’s costs in performing such operations.</w:t>
      </w:r>
      <w:r w:rsidR="0057596A" w:rsidRPr="0057596A">
        <w:rPr>
          <w:sz w:val="20"/>
          <w:szCs w:val="20"/>
          <w:lang w:val="en-ZA"/>
        </w:rPr>
        <w:t>’</w:t>
      </w:r>
    </w:p>
    <w:p w14:paraId="0BC96659" w14:textId="04422161" w:rsidR="0088494E" w:rsidRPr="00B4254B" w:rsidRDefault="00507C2A" w:rsidP="00507C2A">
      <w:pPr>
        <w:pStyle w:val="LegalList1"/>
        <w:spacing w:after="120" w:line="360" w:lineRule="auto"/>
        <w:rPr>
          <w:lang w:val="en-ZA"/>
        </w:rPr>
      </w:pPr>
      <w:r w:rsidRPr="00B4254B">
        <w:rPr>
          <w:lang w:val="en-ZA"/>
        </w:rPr>
        <w:t>[56].</w:t>
      </w:r>
      <w:r w:rsidRPr="00B4254B">
        <w:rPr>
          <w:lang w:val="en-ZA"/>
        </w:rPr>
        <w:tab/>
      </w:r>
      <w:r w:rsidR="00B4254B">
        <w:rPr>
          <w:lang w:val="en-ZA"/>
        </w:rPr>
        <w:t xml:space="preserve">In </w:t>
      </w:r>
      <w:r w:rsidR="0088494E" w:rsidRPr="0088494E">
        <w:rPr>
          <w:lang w:val="en-ZA"/>
        </w:rPr>
        <w:t xml:space="preserve">its evidence in </w:t>
      </w:r>
      <w:r w:rsidR="00B4254B">
        <w:rPr>
          <w:lang w:val="en-ZA"/>
        </w:rPr>
        <w:t>this matter</w:t>
      </w:r>
      <w:r w:rsidR="0088494E" w:rsidRPr="0088494E">
        <w:rPr>
          <w:lang w:val="en-ZA"/>
        </w:rPr>
        <w:t xml:space="preserve">, </w:t>
      </w:r>
      <w:r w:rsidR="00B4254B">
        <w:rPr>
          <w:lang w:val="en-ZA"/>
        </w:rPr>
        <w:t>the taxpayer</w:t>
      </w:r>
      <w:r w:rsidR="0088494E" w:rsidRPr="0088494E">
        <w:rPr>
          <w:lang w:val="en-ZA"/>
        </w:rPr>
        <w:t xml:space="preserve"> did not lead any evidence as to why it considers the expense claimed to be in the production of income. It also did not challenge SARS’ evidence that the expense was not incurred in the production of income. </w:t>
      </w:r>
      <w:r w:rsidR="0088494E" w:rsidRPr="00B4254B">
        <w:rPr>
          <w:lang w:val="en-ZA"/>
        </w:rPr>
        <w:t>Based on the above</w:t>
      </w:r>
      <w:r w:rsidR="00B4254B">
        <w:rPr>
          <w:lang w:val="en-ZA"/>
        </w:rPr>
        <w:t xml:space="preserve"> principles</w:t>
      </w:r>
      <w:r w:rsidR="0088494E" w:rsidRPr="00B4254B">
        <w:rPr>
          <w:lang w:val="en-ZA"/>
        </w:rPr>
        <w:t xml:space="preserve">, it is clear that </w:t>
      </w:r>
      <w:r w:rsidR="00B4254B">
        <w:rPr>
          <w:lang w:val="en-ZA"/>
        </w:rPr>
        <w:t>the taxpayer</w:t>
      </w:r>
      <w:r w:rsidR="0088494E" w:rsidRPr="00B4254B">
        <w:rPr>
          <w:lang w:val="en-ZA"/>
        </w:rPr>
        <w:t xml:space="preserve"> does not meet the requirements of section 24J(2) of the Income Tax Act and is not entitled to the interest deduction claimed. In addition to the above, it has declared in its tax returns that it did not enter into any transactions as contemplated in section 24J of the Income Tax Act.  </w:t>
      </w:r>
    </w:p>
    <w:p w14:paraId="6F8CD08B" w14:textId="3CC59DC3" w:rsidR="0088494E" w:rsidRPr="0088494E" w:rsidRDefault="00507C2A" w:rsidP="00507C2A">
      <w:pPr>
        <w:pStyle w:val="LegalList1"/>
        <w:spacing w:after="120" w:line="360" w:lineRule="auto"/>
        <w:rPr>
          <w:lang w:val="en-ZA"/>
        </w:rPr>
      </w:pPr>
      <w:r w:rsidRPr="0088494E">
        <w:rPr>
          <w:lang w:val="en-ZA"/>
        </w:rPr>
        <w:t>[57].</w:t>
      </w:r>
      <w:r w:rsidRPr="0088494E">
        <w:rPr>
          <w:lang w:val="en-ZA"/>
        </w:rPr>
        <w:tab/>
      </w:r>
      <w:r w:rsidR="0088494E" w:rsidRPr="0088494E">
        <w:rPr>
          <w:lang w:val="en-ZA"/>
        </w:rPr>
        <w:t xml:space="preserve">On the evidence before the court </w:t>
      </w:r>
      <w:r w:rsidR="0088494E" w:rsidRPr="00B4254B">
        <w:rPr>
          <w:i/>
          <w:iCs/>
          <w:lang w:val="en-ZA"/>
        </w:rPr>
        <w:t>a quo</w:t>
      </w:r>
      <w:r w:rsidR="0088494E" w:rsidRPr="0088494E">
        <w:rPr>
          <w:lang w:val="en-ZA"/>
        </w:rPr>
        <w:t xml:space="preserve">, </w:t>
      </w:r>
      <w:r w:rsidR="00845021">
        <w:rPr>
          <w:lang w:val="en-ZA"/>
        </w:rPr>
        <w:t xml:space="preserve">it can safely be concluded that </w:t>
      </w:r>
      <w:r w:rsidR="0088494E" w:rsidRPr="0088494E">
        <w:rPr>
          <w:lang w:val="en-ZA"/>
        </w:rPr>
        <w:t xml:space="preserve">the nature of the transaction was that </w:t>
      </w:r>
      <w:r w:rsidR="00B4254B">
        <w:rPr>
          <w:lang w:val="en-ZA"/>
        </w:rPr>
        <w:t>the taxpayer</w:t>
      </w:r>
      <w:r w:rsidR="0088494E" w:rsidRPr="0088494E">
        <w:rPr>
          <w:lang w:val="en-ZA"/>
        </w:rPr>
        <w:t xml:space="preserve"> borrowed funds to enable its group companies to improve their future financial income-earning capabilities by not charging interest.</w:t>
      </w:r>
      <w:r w:rsidR="00B4254B">
        <w:rPr>
          <w:lang w:val="en-ZA"/>
        </w:rPr>
        <w:t xml:space="preserve"> </w:t>
      </w:r>
      <w:r w:rsidR="0088494E" w:rsidRPr="0088494E">
        <w:rPr>
          <w:lang w:val="en-ZA"/>
        </w:rPr>
        <w:t xml:space="preserve">This, therefore, means that the intention was never to earn any income. </w:t>
      </w:r>
      <w:r w:rsidR="00B4254B">
        <w:rPr>
          <w:lang w:val="en-ZA"/>
        </w:rPr>
        <w:t>The taxpayer</w:t>
      </w:r>
      <w:r w:rsidR="0088494E" w:rsidRPr="0088494E">
        <w:rPr>
          <w:lang w:val="en-ZA"/>
        </w:rPr>
        <w:t xml:space="preserve"> was not pursuing its self-interest but was subjugating its profitmaking potential to the interests of the group companies. </w:t>
      </w:r>
    </w:p>
    <w:p w14:paraId="0A82DA4B" w14:textId="66B1598F" w:rsidR="00B4254B" w:rsidRDefault="00507C2A" w:rsidP="00507C2A">
      <w:pPr>
        <w:pStyle w:val="LegalList1"/>
        <w:spacing w:after="120" w:line="360" w:lineRule="auto"/>
        <w:rPr>
          <w:lang w:val="en-ZA"/>
        </w:rPr>
      </w:pPr>
      <w:r>
        <w:rPr>
          <w:lang w:val="en-ZA"/>
        </w:rPr>
        <w:t>[58].</w:t>
      </w:r>
      <w:r>
        <w:rPr>
          <w:lang w:val="en-ZA"/>
        </w:rPr>
        <w:tab/>
      </w:r>
      <w:r w:rsidR="00B4254B">
        <w:rPr>
          <w:lang w:val="en-ZA"/>
        </w:rPr>
        <w:t xml:space="preserve">It is, as contended by SARS, that the taxpayer </w:t>
      </w:r>
      <w:r w:rsidR="0088494E" w:rsidRPr="0088494E">
        <w:rPr>
          <w:lang w:val="en-ZA"/>
        </w:rPr>
        <w:t xml:space="preserve">structured its affairs so that it would never earn any income, and, in the process, it would not make any profit. This is supported by what it states in the letter of appeal </w:t>
      </w:r>
      <w:r w:rsidR="0088494E" w:rsidRPr="00B4254B">
        <w:rPr>
          <w:lang w:val="en-ZA"/>
        </w:rPr>
        <w:t xml:space="preserve">that it was never its intention to borrow money at a higher rate than it charged. It intended to provide cheaper funding to group companies than what they could procure in the market. Not only did it not have any intention to earn income, it structured its affairs so that it would never earn any income but would pay expenses incurred on benefits reaped by group companies. </w:t>
      </w:r>
    </w:p>
    <w:p w14:paraId="339F2017" w14:textId="1164E4FC" w:rsidR="0088494E" w:rsidRPr="00B4254B" w:rsidRDefault="00507C2A" w:rsidP="00507C2A">
      <w:pPr>
        <w:pStyle w:val="LegalList1"/>
        <w:spacing w:after="120" w:line="360" w:lineRule="auto"/>
        <w:rPr>
          <w:lang w:val="en-ZA"/>
        </w:rPr>
      </w:pPr>
      <w:r w:rsidRPr="00B4254B">
        <w:rPr>
          <w:lang w:val="en-ZA"/>
        </w:rPr>
        <w:t>[59].</w:t>
      </w:r>
      <w:r w:rsidRPr="00B4254B">
        <w:rPr>
          <w:lang w:val="en-ZA"/>
        </w:rPr>
        <w:tab/>
      </w:r>
      <w:r w:rsidR="00B4254B">
        <w:rPr>
          <w:lang w:val="en-ZA"/>
        </w:rPr>
        <w:t>The above two requirements for the deduction of the interest expenditure to be allowed as a tax deduction were therefore not met.</w:t>
      </w:r>
      <w:r w:rsidR="002820ED">
        <w:rPr>
          <w:lang w:val="en-ZA"/>
        </w:rPr>
        <w:t xml:space="preserve"> And SARS was correct in disallowing the interest expenditure as a deduction in terms of s 24J(2).</w:t>
      </w:r>
    </w:p>
    <w:p w14:paraId="79C07B79" w14:textId="5928E84E" w:rsidR="00441836" w:rsidRDefault="00507C2A" w:rsidP="00507C2A">
      <w:pPr>
        <w:pStyle w:val="LegalList1"/>
        <w:spacing w:after="120" w:line="360" w:lineRule="auto"/>
        <w:rPr>
          <w:lang w:val="en-ZA"/>
        </w:rPr>
      </w:pPr>
      <w:r>
        <w:rPr>
          <w:lang w:val="en-ZA"/>
        </w:rPr>
        <w:t>[60].</w:t>
      </w:r>
      <w:r>
        <w:rPr>
          <w:lang w:val="en-ZA"/>
        </w:rPr>
        <w:tab/>
      </w:r>
      <w:r w:rsidR="00441836">
        <w:rPr>
          <w:lang w:val="en-ZA"/>
        </w:rPr>
        <w:t xml:space="preserve">I now proceed to briefly deal with the imposition by SARS of the </w:t>
      </w:r>
      <w:r w:rsidR="0088494E" w:rsidRPr="0088494E">
        <w:rPr>
          <w:lang w:val="en-ZA"/>
        </w:rPr>
        <w:t>understatement penalties</w:t>
      </w:r>
      <w:r w:rsidR="00441836">
        <w:rPr>
          <w:lang w:val="en-ZA"/>
        </w:rPr>
        <w:t xml:space="preserve">, which was upheld by the court </w:t>
      </w:r>
      <w:r w:rsidR="00441836" w:rsidRPr="00441836">
        <w:rPr>
          <w:i/>
          <w:iCs/>
          <w:lang w:val="en-ZA"/>
        </w:rPr>
        <w:t>a quo</w:t>
      </w:r>
      <w:r w:rsidR="00441836">
        <w:rPr>
          <w:lang w:val="en-ZA"/>
        </w:rPr>
        <w:t xml:space="preserve">. </w:t>
      </w:r>
      <w:r w:rsidR="0088494E" w:rsidRPr="00441836">
        <w:rPr>
          <w:lang w:val="en-ZA"/>
        </w:rPr>
        <w:t xml:space="preserve">Having exercised </w:t>
      </w:r>
      <w:r w:rsidR="0088494E" w:rsidRPr="00441836">
        <w:rPr>
          <w:lang w:val="en-ZA"/>
        </w:rPr>
        <w:lastRenderedPageBreak/>
        <w:t xml:space="preserve">its own original discretion, the court </w:t>
      </w:r>
      <w:r w:rsidR="0088494E" w:rsidRPr="00441836">
        <w:rPr>
          <w:i/>
          <w:iCs/>
          <w:lang w:val="en-ZA"/>
        </w:rPr>
        <w:t>a quo</w:t>
      </w:r>
      <w:r w:rsidR="0088494E" w:rsidRPr="00441836">
        <w:rPr>
          <w:lang w:val="en-ZA"/>
        </w:rPr>
        <w:t xml:space="preserve"> confirmed that SARS correctly imposed the understatement penalty of 10%. </w:t>
      </w:r>
    </w:p>
    <w:p w14:paraId="434B57D6" w14:textId="67E862F3" w:rsidR="00673A43" w:rsidRDefault="00507C2A" w:rsidP="00507C2A">
      <w:pPr>
        <w:pStyle w:val="LegalList1"/>
        <w:spacing w:after="0" w:line="360" w:lineRule="auto"/>
        <w:rPr>
          <w:lang w:val="en-ZA"/>
        </w:rPr>
      </w:pPr>
      <w:r>
        <w:rPr>
          <w:lang w:val="en-ZA"/>
        </w:rPr>
        <w:t>[61].</w:t>
      </w:r>
      <w:r>
        <w:rPr>
          <w:lang w:val="en-ZA"/>
        </w:rPr>
        <w:tab/>
      </w:r>
      <w:r w:rsidR="00441836">
        <w:rPr>
          <w:lang w:val="en-ZA"/>
        </w:rPr>
        <w:t xml:space="preserve">On this issue the case of the taxpayer is simply that, </w:t>
      </w:r>
      <w:r w:rsidR="0088494E" w:rsidRPr="00441836">
        <w:rPr>
          <w:lang w:val="en-ZA"/>
        </w:rPr>
        <w:t>in the event</w:t>
      </w:r>
      <w:r w:rsidR="00441836">
        <w:rPr>
          <w:lang w:val="en-ZA"/>
        </w:rPr>
        <w:t xml:space="preserve"> of</w:t>
      </w:r>
      <w:r w:rsidR="0088494E" w:rsidRPr="00441836">
        <w:rPr>
          <w:lang w:val="en-ZA"/>
        </w:rPr>
        <w:t xml:space="preserve"> the court </w:t>
      </w:r>
      <w:r w:rsidR="00441836">
        <w:rPr>
          <w:lang w:val="en-ZA"/>
        </w:rPr>
        <w:t xml:space="preserve">finding that </w:t>
      </w:r>
      <w:r w:rsidR="0088494E" w:rsidRPr="00441836">
        <w:rPr>
          <w:lang w:val="en-ZA"/>
        </w:rPr>
        <w:t xml:space="preserve">the interest was deductible, </w:t>
      </w:r>
      <w:r w:rsidR="00441836">
        <w:rPr>
          <w:lang w:val="en-ZA"/>
        </w:rPr>
        <w:t>there was not an understatement in that its claim for a deduction of the interest</w:t>
      </w:r>
      <w:r w:rsidR="0088494E" w:rsidRPr="00441836">
        <w:rPr>
          <w:lang w:val="en-ZA"/>
        </w:rPr>
        <w:t xml:space="preserve"> was as a result of a </w:t>
      </w:r>
      <w:r w:rsidR="0088494E" w:rsidRPr="00441836">
        <w:rPr>
          <w:i/>
          <w:iCs/>
          <w:lang w:val="en-ZA"/>
        </w:rPr>
        <w:t>bona fide</w:t>
      </w:r>
      <w:r w:rsidR="0088494E" w:rsidRPr="00441836">
        <w:rPr>
          <w:lang w:val="en-ZA"/>
        </w:rPr>
        <w:t xml:space="preserve"> inadvertent error. </w:t>
      </w:r>
      <w:r w:rsidR="00441836">
        <w:rPr>
          <w:lang w:val="en-ZA"/>
        </w:rPr>
        <w:t xml:space="preserve">In that regard, the taxpayer places </w:t>
      </w:r>
      <w:r w:rsidR="0088494E" w:rsidRPr="00441836">
        <w:rPr>
          <w:lang w:val="en-ZA"/>
        </w:rPr>
        <w:t>reliance on section 222(1)</w:t>
      </w:r>
      <w:r w:rsidR="00441836">
        <w:rPr>
          <w:lang w:val="en-ZA"/>
        </w:rPr>
        <w:t xml:space="preserve"> of the </w:t>
      </w:r>
      <w:r w:rsidR="00673A43">
        <w:rPr>
          <w:lang w:val="en-ZA"/>
        </w:rPr>
        <w:t>Tax Administration</w:t>
      </w:r>
      <w:r w:rsidR="00441836">
        <w:rPr>
          <w:lang w:val="en-ZA"/>
        </w:rPr>
        <w:t xml:space="preserve"> Act</w:t>
      </w:r>
      <w:r w:rsidR="00673A43">
        <w:rPr>
          <w:rStyle w:val="FootnoteReference"/>
          <w:lang w:val="en-ZA"/>
        </w:rPr>
        <w:footnoteReference w:id="8"/>
      </w:r>
      <w:r w:rsidR="00673A43">
        <w:rPr>
          <w:lang w:val="en-ZA"/>
        </w:rPr>
        <w:t xml:space="preserve">, which reads as follows: - </w:t>
      </w:r>
    </w:p>
    <w:p w14:paraId="62CE6C7D" w14:textId="3E5D7D8D" w:rsidR="00673A43" w:rsidRPr="00673A43" w:rsidRDefault="00673A43" w:rsidP="00673A43">
      <w:pPr>
        <w:pStyle w:val="LegalList1"/>
        <w:spacing w:after="0" w:line="360" w:lineRule="auto"/>
        <w:rPr>
          <w:b/>
          <w:bCs/>
          <w:sz w:val="20"/>
          <w:szCs w:val="20"/>
          <w:lang w:val="en-ZA"/>
        </w:rPr>
      </w:pPr>
      <w:r w:rsidRPr="00673A43">
        <w:rPr>
          <w:sz w:val="20"/>
          <w:szCs w:val="20"/>
          <w:lang w:val="en-ZA"/>
        </w:rPr>
        <w:t>‘222</w:t>
      </w:r>
      <w:r w:rsidRPr="00673A43">
        <w:rPr>
          <w:sz w:val="20"/>
          <w:szCs w:val="20"/>
          <w:lang w:val="en-ZA"/>
        </w:rPr>
        <w:tab/>
      </w:r>
      <w:r w:rsidRPr="00673A43">
        <w:rPr>
          <w:b/>
          <w:bCs/>
          <w:sz w:val="20"/>
          <w:szCs w:val="20"/>
          <w:lang w:val="en-ZA"/>
        </w:rPr>
        <w:t>Understatement penalty</w:t>
      </w:r>
    </w:p>
    <w:p w14:paraId="5521F813" w14:textId="3FC39ADF" w:rsidR="00673A43" w:rsidRPr="00673A43" w:rsidRDefault="00507C2A" w:rsidP="00507C2A">
      <w:pPr>
        <w:pStyle w:val="LegalList1"/>
        <w:spacing w:after="0" w:line="360" w:lineRule="auto"/>
        <w:ind w:left="567" w:hanging="567"/>
        <w:rPr>
          <w:sz w:val="20"/>
          <w:szCs w:val="20"/>
          <w:lang w:val="en-ZA"/>
        </w:rPr>
      </w:pPr>
      <w:r w:rsidRPr="00673A43">
        <w:rPr>
          <w:sz w:val="20"/>
          <w:szCs w:val="20"/>
          <w:lang w:val="en-ZA"/>
        </w:rPr>
        <w:t>(1)</w:t>
      </w:r>
      <w:r w:rsidRPr="00673A43">
        <w:rPr>
          <w:sz w:val="20"/>
          <w:szCs w:val="20"/>
          <w:lang w:val="en-ZA"/>
        </w:rPr>
        <w:tab/>
      </w:r>
      <w:r w:rsidR="00673A43" w:rsidRPr="00673A43">
        <w:rPr>
          <w:sz w:val="20"/>
          <w:szCs w:val="20"/>
          <w:lang w:val="en-ZA"/>
        </w:rPr>
        <w:t xml:space="preserve">In the event of an </w:t>
      </w:r>
      <w:r w:rsidR="00673A43">
        <w:rPr>
          <w:sz w:val="20"/>
          <w:szCs w:val="20"/>
          <w:lang w:val="en-ZA"/>
        </w:rPr>
        <w:t>“</w:t>
      </w:r>
      <w:r w:rsidR="00673A43" w:rsidRPr="00673A43">
        <w:rPr>
          <w:sz w:val="20"/>
          <w:szCs w:val="20"/>
          <w:lang w:val="en-ZA"/>
        </w:rPr>
        <w:t>understatement</w:t>
      </w:r>
      <w:r w:rsidR="00673A43">
        <w:rPr>
          <w:sz w:val="20"/>
          <w:szCs w:val="20"/>
          <w:lang w:val="en-ZA"/>
        </w:rPr>
        <w:t>”</w:t>
      </w:r>
      <w:r w:rsidR="00673A43" w:rsidRPr="00673A43">
        <w:rPr>
          <w:sz w:val="20"/>
          <w:szCs w:val="20"/>
          <w:lang w:val="en-ZA"/>
        </w:rPr>
        <w:t xml:space="preserve"> by a taxpayer, the taxpayer must pay, in addition to the </w:t>
      </w:r>
      <w:r w:rsidR="00673A43">
        <w:rPr>
          <w:sz w:val="20"/>
          <w:szCs w:val="20"/>
          <w:lang w:val="en-ZA"/>
        </w:rPr>
        <w:t>“</w:t>
      </w:r>
      <w:r w:rsidR="00673A43" w:rsidRPr="00673A43">
        <w:rPr>
          <w:sz w:val="20"/>
          <w:szCs w:val="20"/>
          <w:lang w:val="en-ZA"/>
        </w:rPr>
        <w:t>tax</w:t>
      </w:r>
      <w:r w:rsidR="00673A43">
        <w:rPr>
          <w:sz w:val="20"/>
          <w:szCs w:val="20"/>
          <w:lang w:val="en-ZA"/>
        </w:rPr>
        <w:t>”</w:t>
      </w:r>
      <w:r w:rsidR="00673A43" w:rsidRPr="00673A43">
        <w:rPr>
          <w:sz w:val="20"/>
          <w:szCs w:val="20"/>
          <w:lang w:val="en-ZA"/>
        </w:rPr>
        <w:t xml:space="preserve"> payable for the relevant tax period, the understatement penalty determined under subsection (2) unless the </w:t>
      </w:r>
      <w:r w:rsidR="00673A43">
        <w:rPr>
          <w:sz w:val="20"/>
          <w:szCs w:val="20"/>
          <w:lang w:val="en-ZA"/>
        </w:rPr>
        <w:t>“</w:t>
      </w:r>
      <w:r w:rsidR="00673A43" w:rsidRPr="00673A43">
        <w:rPr>
          <w:sz w:val="20"/>
          <w:szCs w:val="20"/>
          <w:lang w:val="en-ZA"/>
        </w:rPr>
        <w:t>understatement</w:t>
      </w:r>
      <w:r w:rsidR="00673A43">
        <w:rPr>
          <w:sz w:val="20"/>
          <w:szCs w:val="20"/>
          <w:lang w:val="en-ZA"/>
        </w:rPr>
        <w:t>”</w:t>
      </w:r>
      <w:r w:rsidR="00673A43" w:rsidRPr="00673A43">
        <w:rPr>
          <w:sz w:val="20"/>
          <w:szCs w:val="20"/>
          <w:lang w:val="en-ZA"/>
        </w:rPr>
        <w:t xml:space="preserve"> results from a </w:t>
      </w:r>
      <w:r w:rsidR="00673A43" w:rsidRPr="00673A43">
        <w:rPr>
          <w:i/>
          <w:iCs/>
          <w:sz w:val="20"/>
          <w:szCs w:val="20"/>
          <w:lang w:val="en-ZA"/>
        </w:rPr>
        <w:t>bona fide</w:t>
      </w:r>
      <w:r w:rsidR="00673A43" w:rsidRPr="00673A43">
        <w:rPr>
          <w:sz w:val="20"/>
          <w:szCs w:val="20"/>
          <w:lang w:val="en-ZA"/>
        </w:rPr>
        <w:t xml:space="preserve"> inadvertent error.</w:t>
      </w:r>
    </w:p>
    <w:p w14:paraId="423401A8" w14:textId="423D2BBC" w:rsidR="00673A43" w:rsidRPr="00673A43" w:rsidRDefault="00507C2A" w:rsidP="00507C2A">
      <w:pPr>
        <w:pStyle w:val="LegalList1"/>
        <w:spacing w:after="120" w:line="360" w:lineRule="auto"/>
        <w:ind w:left="567" w:hanging="567"/>
        <w:rPr>
          <w:sz w:val="20"/>
          <w:szCs w:val="20"/>
          <w:lang w:val="en-ZA"/>
        </w:rPr>
      </w:pPr>
      <w:r w:rsidRPr="00673A43">
        <w:rPr>
          <w:sz w:val="20"/>
          <w:szCs w:val="20"/>
          <w:lang w:val="en-ZA"/>
        </w:rPr>
        <w:t>(2)</w:t>
      </w:r>
      <w:r w:rsidRPr="00673A43">
        <w:rPr>
          <w:sz w:val="20"/>
          <w:szCs w:val="20"/>
          <w:lang w:val="en-ZA"/>
        </w:rPr>
        <w:tab/>
      </w:r>
      <w:r w:rsidR="00673A43" w:rsidRPr="00673A43">
        <w:rPr>
          <w:sz w:val="20"/>
          <w:szCs w:val="20"/>
          <w:lang w:val="en-ZA"/>
        </w:rPr>
        <w:t>… … …’.</w:t>
      </w:r>
    </w:p>
    <w:p w14:paraId="2F8764C9" w14:textId="189FB706" w:rsidR="009C2B7D" w:rsidRDefault="00507C2A" w:rsidP="00507C2A">
      <w:pPr>
        <w:pStyle w:val="LegalList1"/>
        <w:spacing w:after="120" w:line="360" w:lineRule="auto"/>
        <w:rPr>
          <w:lang w:val="en-ZA"/>
        </w:rPr>
      </w:pPr>
      <w:r>
        <w:rPr>
          <w:lang w:val="en-ZA"/>
        </w:rPr>
        <w:t>[62].</w:t>
      </w:r>
      <w:r>
        <w:rPr>
          <w:lang w:val="en-ZA"/>
        </w:rPr>
        <w:tab/>
      </w:r>
      <w:r w:rsidR="00673A43">
        <w:rPr>
          <w:lang w:val="en-ZA"/>
        </w:rPr>
        <w:t xml:space="preserve">The taxpayer contends </w:t>
      </w:r>
      <w:r w:rsidR="0088494E" w:rsidRPr="00673A43">
        <w:rPr>
          <w:lang w:val="en-ZA"/>
        </w:rPr>
        <w:t xml:space="preserve">that it was for SARS to satisfy itself that the understatement did not result </w:t>
      </w:r>
      <w:r w:rsidR="00673A43">
        <w:rPr>
          <w:lang w:val="en-ZA"/>
        </w:rPr>
        <w:t>from</w:t>
      </w:r>
      <w:r w:rsidR="0088494E" w:rsidRPr="00673A43">
        <w:rPr>
          <w:lang w:val="en-ZA"/>
        </w:rPr>
        <w:t xml:space="preserve"> such an error, this being a jurisdictional fact for SARS to overcome prior to imposing any understatement penalty. </w:t>
      </w:r>
      <w:r w:rsidR="009C2B7D">
        <w:rPr>
          <w:lang w:val="en-ZA"/>
        </w:rPr>
        <w:t>SARS</w:t>
      </w:r>
      <w:r w:rsidR="0088494E" w:rsidRPr="00673A43">
        <w:rPr>
          <w:lang w:val="en-ZA"/>
        </w:rPr>
        <w:t xml:space="preserve">, according to the </w:t>
      </w:r>
      <w:r w:rsidR="009C2B7D">
        <w:rPr>
          <w:lang w:val="en-ZA"/>
        </w:rPr>
        <w:t>taxpayer</w:t>
      </w:r>
      <w:r w:rsidR="0088494E" w:rsidRPr="00673A43">
        <w:rPr>
          <w:lang w:val="en-ZA"/>
        </w:rPr>
        <w:t xml:space="preserve">, did not even plead that the understatement was not due to an inadvertent </w:t>
      </w:r>
      <w:r w:rsidR="0088494E" w:rsidRPr="009C2B7D">
        <w:rPr>
          <w:i/>
          <w:iCs/>
          <w:lang w:val="en-ZA"/>
        </w:rPr>
        <w:t>bona fide</w:t>
      </w:r>
      <w:r w:rsidR="0088494E" w:rsidRPr="00673A43">
        <w:rPr>
          <w:lang w:val="en-ZA"/>
        </w:rPr>
        <w:t xml:space="preserve"> error. </w:t>
      </w:r>
    </w:p>
    <w:p w14:paraId="52CAA5CF" w14:textId="0D3DD84D" w:rsidR="0088494E" w:rsidRPr="0088494E" w:rsidRDefault="00507C2A" w:rsidP="00507C2A">
      <w:pPr>
        <w:pStyle w:val="LegalList1"/>
        <w:spacing w:after="120" w:line="360" w:lineRule="auto"/>
        <w:rPr>
          <w:lang w:val="en-ZA"/>
        </w:rPr>
      </w:pPr>
      <w:r w:rsidRPr="0088494E">
        <w:rPr>
          <w:lang w:val="en-ZA"/>
        </w:rPr>
        <w:t>[63].</w:t>
      </w:r>
      <w:r w:rsidRPr="0088494E">
        <w:rPr>
          <w:lang w:val="en-ZA"/>
        </w:rPr>
        <w:tab/>
      </w:r>
      <w:r w:rsidR="009C2B7D">
        <w:rPr>
          <w:lang w:val="en-ZA"/>
        </w:rPr>
        <w:t xml:space="preserve">In my view, the taxpayer </w:t>
      </w:r>
      <w:r w:rsidR="0088494E" w:rsidRPr="0088494E">
        <w:rPr>
          <w:lang w:val="en-ZA"/>
        </w:rPr>
        <w:t xml:space="preserve">did not demonstrate </w:t>
      </w:r>
      <w:r w:rsidR="009C2B7D">
        <w:rPr>
          <w:lang w:val="en-ZA"/>
        </w:rPr>
        <w:t>a</w:t>
      </w:r>
      <w:r w:rsidR="0088494E" w:rsidRPr="0088494E">
        <w:rPr>
          <w:lang w:val="en-ZA"/>
        </w:rPr>
        <w:t xml:space="preserve"> basis to justify the appeal court’s interference with the court </w:t>
      </w:r>
      <w:r w:rsidR="0088494E" w:rsidRPr="009C2B7D">
        <w:rPr>
          <w:i/>
          <w:iCs/>
          <w:lang w:val="en-ZA"/>
        </w:rPr>
        <w:t>a quo’s</w:t>
      </w:r>
      <w:r w:rsidR="0088494E" w:rsidRPr="0088494E">
        <w:rPr>
          <w:lang w:val="en-ZA"/>
        </w:rPr>
        <w:t xml:space="preserve"> decision to impose understatement penalties. The court </w:t>
      </w:r>
      <w:r w:rsidR="0088494E" w:rsidRPr="009C2B7D">
        <w:rPr>
          <w:i/>
          <w:iCs/>
          <w:lang w:val="en-ZA"/>
        </w:rPr>
        <w:t>a quo</w:t>
      </w:r>
      <w:r w:rsidR="009C2B7D">
        <w:rPr>
          <w:lang w:val="en-ZA"/>
        </w:rPr>
        <w:t xml:space="preserve">, </w:t>
      </w:r>
      <w:r w:rsidR="0088494E" w:rsidRPr="0088494E">
        <w:rPr>
          <w:lang w:val="en-ZA"/>
        </w:rPr>
        <w:t xml:space="preserve">in dealing with the understatement penalty, </w:t>
      </w:r>
      <w:r w:rsidR="009C2B7D">
        <w:rPr>
          <w:lang w:val="en-ZA"/>
        </w:rPr>
        <w:t>was</w:t>
      </w:r>
      <w:r w:rsidR="0088494E" w:rsidRPr="0088494E">
        <w:rPr>
          <w:lang w:val="en-ZA"/>
        </w:rPr>
        <w:t xml:space="preserve"> called upon to exercise its own original discretion. The discretion exercised by the court </w:t>
      </w:r>
      <w:r w:rsidR="0088494E" w:rsidRPr="009C2B7D">
        <w:rPr>
          <w:i/>
          <w:iCs/>
          <w:lang w:val="en-ZA"/>
        </w:rPr>
        <w:t>a quo</w:t>
      </w:r>
      <w:r w:rsidR="0088494E" w:rsidRPr="0088494E">
        <w:rPr>
          <w:lang w:val="en-ZA"/>
        </w:rPr>
        <w:t xml:space="preserve"> in imposing this understatement penalty is a discretion in </w:t>
      </w:r>
      <w:r w:rsidR="000C6E89">
        <w:rPr>
          <w:lang w:val="en-ZA"/>
        </w:rPr>
        <w:t>the</w:t>
      </w:r>
      <w:r w:rsidR="0088494E" w:rsidRPr="0088494E">
        <w:rPr>
          <w:lang w:val="en-ZA"/>
        </w:rPr>
        <w:t xml:space="preserve"> true sense of the word and therefore, it would ordinarily be inappropriate for this court to interfere unless it is satisfied that the discretion was not exercised judicially, or that it had been influenced by wrong principle or a misdirection on the facts or that it had reached a decision which could not have been made by a court properly.   </w:t>
      </w:r>
    </w:p>
    <w:p w14:paraId="3894184F" w14:textId="03AFE055" w:rsidR="0088494E" w:rsidRPr="0088494E" w:rsidRDefault="00507C2A" w:rsidP="00507C2A">
      <w:pPr>
        <w:pStyle w:val="LegalList1"/>
        <w:spacing w:after="120" w:line="360" w:lineRule="auto"/>
        <w:rPr>
          <w:lang w:val="en-ZA"/>
        </w:rPr>
      </w:pPr>
      <w:r w:rsidRPr="0088494E">
        <w:rPr>
          <w:lang w:val="en-ZA"/>
        </w:rPr>
        <w:t>[64].</w:t>
      </w:r>
      <w:r w:rsidRPr="0088494E">
        <w:rPr>
          <w:lang w:val="en-ZA"/>
        </w:rPr>
        <w:tab/>
      </w:r>
      <w:r w:rsidR="0088494E" w:rsidRPr="0088494E">
        <w:rPr>
          <w:lang w:val="en-ZA"/>
        </w:rPr>
        <w:t xml:space="preserve">As required in terms of section 102 of the Tax Administration Act, SARS proved the facts on which the understatement </w:t>
      </w:r>
      <w:r w:rsidR="009C2B7D">
        <w:rPr>
          <w:lang w:val="en-ZA"/>
        </w:rPr>
        <w:t>p</w:t>
      </w:r>
      <w:r w:rsidR="0088494E" w:rsidRPr="0088494E">
        <w:rPr>
          <w:lang w:val="en-ZA"/>
        </w:rPr>
        <w:t xml:space="preserve">enalty was imposed. It is clear from the evidence that was led before the court </w:t>
      </w:r>
      <w:r w:rsidR="0088494E" w:rsidRPr="009C2B7D">
        <w:rPr>
          <w:i/>
          <w:iCs/>
          <w:lang w:val="en-ZA"/>
        </w:rPr>
        <w:t>a quo</w:t>
      </w:r>
      <w:r w:rsidR="0088494E" w:rsidRPr="0088494E">
        <w:rPr>
          <w:lang w:val="en-ZA"/>
        </w:rPr>
        <w:t xml:space="preserve"> that there was substantial </w:t>
      </w:r>
      <w:r w:rsidR="0088494E" w:rsidRPr="0088494E">
        <w:rPr>
          <w:lang w:val="en-ZA"/>
        </w:rPr>
        <w:lastRenderedPageBreak/>
        <w:t xml:space="preserve">understatement which caused prejudice to the fiscus as defined in section 221 of the Tax Administration Act. </w:t>
      </w:r>
    </w:p>
    <w:p w14:paraId="2B5F4C2C" w14:textId="23B57756" w:rsidR="0088494E" w:rsidRPr="00AD0C84" w:rsidRDefault="00507C2A" w:rsidP="00507C2A">
      <w:pPr>
        <w:pStyle w:val="LegalList1"/>
        <w:spacing w:after="120" w:line="360" w:lineRule="auto"/>
        <w:rPr>
          <w:lang w:val="en-ZA"/>
        </w:rPr>
      </w:pPr>
      <w:r w:rsidRPr="00AD0C84">
        <w:rPr>
          <w:lang w:val="en-ZA"/>
        </w:rPr>
        <w:t>[65].</w:t>
      </w:r>
      <w:r w:rsidRPr="00AD0C84">
        <w:rPr>
          <w:lang w:val="en-ZA"/>
        </w:rPr>
        <w:tab/>
      </w:r>
      <w:r w:rsidR="00AD0C84">
        <w:rPr>
          <w:lang w:val="en-ZA"/>
        </w:rPr>
        <w:t>It is so, as submitted by SARS, that the taxpayer</w:t>
      </w:r>
      <w:r w:rsidR="0088494E" w:rsidRPr="00AD0C84">
        <w:rPr>
          <w:lang w:val="en-ZA"/>
        </w:rPr>
        <w:t xml:space="preserve"> did not commit a mistake in claiming the interest deduction. Throughout its correspondence and in the proceedings before the court </w:t>
      </w:r>
      <w:r w:rsidR="0088494E" w:rsidRPr="00AD0C84">
        <w:rPr>
          <w:i/>
          <w:iCs/>
          <w:lang w:val="en-ZA"/>
        </w:rPr>
        <w:t>a quo</w:t>
      </w:r>
      <w:r w:rsidR="00AD0C84">
        <w:rPr>
          <w:i/>
          <w:iCs/>
          <w:lang w:val="en-ZA"/>
        </w:rPr>
        <w:t>,</w:t>
      </w:r>
      <w:r w:rsidR="0088494E" w:rsidRPr="00AD0C84">
        <w:rPr>
          <w:lang w:val="en-ZA"/>
        </w:rPr>
        <w:t xml:space="preserve"> it maintained its tax position that it is entitled to claim the deduction. If this was an error, </w:t>
      </w:r>
      <w:r w:rsidR="00AD0C84">
        <w:rPr>
          <w:lang w:val="en-ZA"/>
        </w:rPr>
        <w:t xml:space="preserve">it </w:t>
      </w:r>
      <w:r w:rsidR="008E77BA">
        <w:rPr>
          <w:lang w:val="en-ZA"/>
        </w:rPr>
        <w:t>c</w:t>
      </w:r>
      <w:r w:rsidR="00AD0C84">
        <w:rPr>
          <w:lang w:val="en-ZA"/>
        </w:rPr>
        <w:t>ould and</w:t>
      </w:r>
      <w:r w:rsidR="0088494E" w:rsidRPr="00AD0C84">
        <w:rPr>
          <w:lang w:val="en-ZA"/>
        </w:rPr>
        <w:t xml:space="preserve"> </w:t>
      </w:r>
      <w:r w:rsidR="008E77BA">
        <w:rPr>
          <w:lang w:val="en-ZA"/>
        </w:rPr>
        <w:t>sh</w:t>
      </w:r>
      <w:r w:rsidR="0088494E" w:rsidRPr="00AD0C84">
        <w:rPr>
          <w:lang w:val="en-ZA"/>
        </w:rPr>
        <w:t xml:space="preserve">ould have corrected it at the inception of the audit or when the tax dispute commenced.  </w:t>
      </w:r>
    </w:p>
    <w:p w14:paraId="418C390D" w14:textId="60E09B5F" w:rsidR="000C6E89" w:rsidRDefault="00507C2A" w:rsidP="00507C2A">
      <w:pPr>
        <w:pStyle w:val="LegalList1"/>
        <w:spacing w:after="120" w:line="360" w:lineRule="auto"/>
        <w:rPr>
          <w:lang w:val="en-ZA"/>
        </w:rPr>
      </w:pPr>
      <w:r>
        <w:rPr>
          <w:lang w:val="en-ZA"/>
        </w:rPr>
        <w:t>[66].</w:t>
      </w:r>
      <w:r>
        <w:rPr>
          <w:lang w:val="en-ZA"/>
        </w:rPr>
        <w:tab/>
      </w:r>
      <w:r w:rsidR="00AD0C84">
        <w:rPr>
          <w:lang w:val="en-ZA"/>
        </w:rPr>
        <w:t xml:space="preserve">The taxpayer </w:t>
      </w:r>
      <w:r w:rsidR="0088494E" w:rsidRPr="0088494E">
        <w:rPr>
          <w:lang w:val="en-ZA"/>
        </w:rPr>
        <w:t xml:space="preserve">did not lead any evidence to show that the understatement was caused by an inadvertent </w:t>
      </w:r>
      <w:r w:rsidR="0088494E" w:rsidRPr="00AD0C84">
        <w:rPr>
          <w:i/>
          <w:iCs/>
          <w:lang w:val="en-ZA"/>
        </w:rPr>
        <w:t>bona fide</w:t>
      </w:r>
      <w:r w:rsidR="0088494E" w:rsidRPr="0088494E">
        <w:rPr>
          <w:lang w:val="en-ZA"/>
        </w:rPr>
        <w:t xml:space="preserve"> error on its part. </w:t>
      </w:r>
      <w:r w:rsidR="00AD0C84">
        <w:rPr>
          <w:lang w:val="en-ZA"/>
        </w:rPr>
        <w:t>The</w:t>
      </w:r>
      <w:r w:rsidR="0088494E" w:rsidRPr="00AD0C84">
        <w:rPr>
          <w:lang w:val="en-ZA"/>
        </w:rPr>
        <w:t xml:space="preserve"> court </w:t>
      </w:r>
      <w:r w:rsidR="0088494E" w:rsidRPr="00AD0C84">
        <w:rPr>
          <w:i/>
          <w:iCs/>
          <w:lang w:val="en-ZA"/>
        </w:rPr>
        <w:t>a quo</w:t>
      </w:r>
      <w:r w:rsidR="0088494E" w:rsidRPr="00AD0C84">
        <w:rPr>
          <w:lang w:val="en-ZA"/>
        </w:rPr>
        <w:t xml:space="preserve"> </w:t>
      </w:r>
      <w:r w:rsidR="00AD0C84">
        <w:rPr>
          <w:lang w:val="en-ZA"/>
        </w:rPr>
        <w:t>was</w:t>
      </w:r>
      <w:r w:rsidR="0088494E" w:rsidRPr="00AD0C84">
        <w:rPr>
          <w:lang w:val="en-ZA"/>
        </w:rPr>
        <w:t xml:space="preserve"> correct in finding that </w:t>
      </w:r>
      <w:r w:rsidR="00AD0C84">
        <w:rPr>
          <w:lang w:val="en-ZA"/>
        </w:rPr>
        <w:t xml:space="preserve">the taxpayer </w:t>
      </w:r>
      <w:r w:rsidR="0088494E" w:rsidRPr="00AD0C84">
        <w:rPr>
          <w:lang w:val="en-ZA"/>
        </w:rPr>
        <w:t>did not show that the understatement was caused by an inadvertent error.</w:t>
      </w:r>
      <w:r w:rsidR="00AD0C84">
        <w:rPr>
          <w:lang w:val="en-ZA"/>
        </w:rPr>
        <w:t xml:space="preserve"> In my view, therefore, </w:t>
      </w:r>
      <w:r w:rsidR="0088494E" w:rsidRPr="00AD0C84">
        <w:rPr>
          <w:lang w:val="en-ZA"/>
        </w:rPr>
        <w:t>the court</w:t>
      </w:r>
      <w:r w:rsidR="00AD0C84">
        <w:rPr>
          <w:lang w:val="en-ZA"/>
        </w:rPr>
        <w:t xml:space="preserve"> </w:t>
      </w:r>
      <w:r w:rsidR="00AD0C84" w:rsidRPr="00AD0C84">
        <w:rPr>
          <w:i/>
          <w:iCs/>
          <w:lang w:val="en-ZA"/>
        </w:rPr>
        <w:t>a quo</w:t>
      </w:r>
      <w:r w:rsidR="0088494E" w:rsidRPr="00AD0C84">
        <w:rPr>
          <w:lang w:val="en-ZA"/>
        </w:rPr>
        <w:t xml:space="preserve"> did not err when it concluded that the understatement penalty had been appropriately imposed. The court </w:t>
      </w:r>
      <w:r w:rsidR="0088494E" w:rsidRPr="000C6E89">
        <w:rPr>
          <w:i/>
          <w:iCs/>
          <w:lang w:val="en-ZA"/>
        </w:rPr>
        <w:t>a quo</w:t>
      </w:r>
      <w:r w:rsidR="0088494E" w:rsidRPr="00AD0C84">
        <w:rPr>
          <w:lang w:val="en-ZA"/>
        </w:rPr>
        <w:t xml:space="preserve"> exercised its discretion judicially and there was no material misdirection on its part, and it was not influenced by a wrong principle. Therefore, this ground of appeal </w:t>
      </w:r>
      <w:r w:rsidR="00AD0C84">
        <w:rPr>
          <w:lang w:val="en-ZA"/>
        </w:rPr>
        <w:t>falls to</w:t>
      </w:r>
      <w:r w:rsidR="0088494E" w:rsidRPr="00AD0C84">
        <w:rPr>
          <w:lang w:val="en-ZA"/>
        </w:rPr>
        <w:t xml:space="preserve"> be dismissed.</w:t>
      </w:r>
    </w:p>
    <w:p w14:paraId="2490F327" w14:textId="427014F4" w:rsidR="000C6E89" w:rsidRDefault="00507C2A" w:rsidP="00507C2A">
      <w:pPr>
        <w:pStyle w:val="LegalList1"/>
        <w:spacing w:after="120" w:line="360" w:lineRule="auto"/>
        <w:rPr>
          <w:lang w:val="en-ZA"/>
        </w:rPr>
      </w:pPr>
      <w:r>
        <w:rPr>
          <w:lang w:val="en-ZA"/>
        </w:rPr>
        <w:t>[67].</w:t>
      </w:r>
      <w:r>
        <w:rPr>
          <w:lang w:val="en-ZA"/>
        </w:rPr>
        <w:tab/>
      </w:r>
      <w:r w:rsidR="000C6E89">
        <w:rPr>
          <w:lang w:val="en-ZA"/>
        </w:rPr>
        <w:t>For all of these reasons, the appeal to the Full Bench should fail.</w:t>
      </w:r>
    </w:p>
    <w:p w14:paraId="3B4E1B97" w14:textId="29913377" w:rsidR="00101118" w:rsidRPr="00101118" w:rsidRDefault="00507C2A" w:rsidP="00507C2A">
      <w:pPr>
        <w:pStyle w:val="LegalList1"/>
        <w:spacing w:after="240" w:line="360" w:lineRule="auto"/>
        <w:rPr>
          <w:lang w:val="en-ZA"/>
        </w:rPr>
      </w:pPr>
      <w:r w:rsidRPr="00101118">
        <w:rPr>
          <w:lang w:val="en-ZA"/>
        </w:rPr>
        <w:t>[68].</w:t>
      </w:r>
      <w:r w:rsidRPr="00101118">
        <w:rPr>
          <w:lang w:val="en-ZA"/>
        </w:rPr>
        <w:tab/>
      </w:r>
      <w:r w:rsidR="000C6E89">
        <w:rPr>
          <w:lang w:val="en-ZA"/>
        </w:rPr>
        <w:t xml:space="preserve">As for costs, same should be awarded to SARS for the </w:t>
      </w:r>
      <w:r w:rsidR="00101118">
        <w:rPr>
          <w:lang w:val="en-ZA"/>
        </w:rPr>
        <w:t xml:space="preserve">simple reason that the taxpayer’s grounds of objection to the additional assessment were </w:t>
      </w:r>
      <w:r w:rsidR="00101118" w:rsidRPr="00101118">
        <w:rPr>
          <w:lang w:val="en-ZA"/>
        </w:rPr>
        <w:t xml:space="preserve">unreasonable. In </w:t>
      </w:r>
      <w:r w:rsidR="00101118">
        <w:rPr>
          <w:lang w:val="en-ZA"/>
        </w:rPr>
        <w:t>my view, the taxpayer</w:t>
      </w:r>
      <w:r w:rsidR="00101118" w:rsidRPr="00101118">
        <w:rPr>
          <w:lang w:val="en-ZA"/>
        </w:rPr>
        <w:t xml:space="preserve">, in objecting to the additional assessment for the </w:t>
      </w:r>
      <w:r w:rsidR="00101118">
        <w:rPr>
          <w:lang w:val="en-ZA"/>
        </w:rPr>
        <w:t xml:space="preserve">2011 </w:t>
      </w:r>
      <w:r w:rsidR="00101118" w:rsidRPr="00101118">
        <w:rPr>
          <w:lang w:val="en-ZA"/>
        </w:rPr>
        <w:t>tax year, acted unreasonably.</w:t>
      </w:r>
    </w:p>
    <w:p w14:paraId="1938B9E6" w14:textId="795A987B" w:rsidR="00D860C4" w:rsidRPr="00667ACF" w:rsidRDefault="00E541D3" w:rsidP="00667ACF">
      <w:pPr>
        <w:pStyle w:val="LegalList1"/>
        <w:spacing w:after="240" w:line="360" w:lineRule="auto"/>
        <w:rPr>
          <w:b/>
          <w:bCs/>
          <w:lang w:val="en-ZA"/>
        </w:rPr>
      </w:pPr>
      <w:r w:rsidRPr="00667ACF">
        <w:rPr>
          <w:b/>
          <w:bCs/>
        </w:rPr>
        <w:t>Order</w:t>
      </w:r>
    </w:p>
    <w:p w14:paraId="30406ECB" w14:textId="6AF08E55" w:rsidR="00F536C8" w:rsidRPr="008B0832" w:rsidRDefault="00507C2A" w:rsidP="00507C2A">
      <w:pPr>
        <w:pStyle w:val="LegalList1"/>
        <w:spacing w:after="120" w:line="360" w:lineRule="auto"/>
        <w:rPr>
          <w:lang w:val="en-ZA"/>
        </w:rPr>
      </w:pPr>
      <w:r w:rsidRPr="008B0832">
        <w:rPr>
          <w:lang w:val="en-ZA"/>
        </w:rPr>
        <w:t>[69].</w:t>
      </w:r>
      <w:r w:rsidRPr="008B0832">
        <w:rPr>
          <w:lang w:val="en-ZA"/>
        </w:rPr>
        <w:tab/>
      </w:r>
      <w:r w:rsidR="000A4BB6">
        <w:t xml:space="preserve">Accordingly, </w:t>
      </w:r>
      <w:r w:rsidR="00667ACF">
        <w:t xml:space="preserve">the </w:t>
      </w:r>
      <w:r w:rsidR="001F48CC">
        <w:t>following</w:t>
      </w:r>
      <w:r w:rsidR="00B01637">
        <w:t xml:space="preserve"> </w:t>
      </w:r>
      <w:r w:rsidR="008F6F14">
        <w:t>order</w:t>
      </w:r>
      <w:r w:rsidR="00667ACF">
        <w:t xml:space="preserve"> is made</w:t>
      </w:r>
      <w:r w:rsidR="008F6F14">
        <w:t>: -</w:t>
      </w:r>
    </w:p>
    <w:p w14:paraId="32E72B1A" w14:textId="5A14CC5A" w:rsidR="00E63F0A" w:rsidRDefault="00507C2A" w:rsidP="00507C2A">
      <w:pPr>
        <w:pStyle w:val="LegalList1"/>
        <w:spacing w:after="120" w:line="360" w:lineRule="auto"/>
        <w:ind w:left="567" w:hanging="567"/>
      </w:pPr>
      <w:r>
        <w:t>(1)</w:t>
      </w:r>
      <w:r>
        <w:tab/>
      </w:r>
      <w:r w:rsidR="00E63F0A">
        <w:t xml:space="preserve">The appeal of the </w:t>
      </w:r>
      <w:r w:rsidR="00667ACF">
        <w:t xml:space="preserve">taxpayer </w:t>
      </w:r>
      <w:r w:rsidR="00E63F0A">
        <w:t xml:space="preserve">against the order of the Tax Court dated </w:t>
      </w:r>
      <w:r w:rsidR="00667ACF">
        <w:t>09 February</w:t>
      </w:r>
      <w:r w:rsidR="00E63F0A">
        <w:t xml:space="preserve"> 202</w:t>
      </w:r>
      <w:r w:rsidR="00667ACF">
        <w:t>2</w:t>
      </w:r>
      <w:r w:rsidR="00E63F0A">
        <w:t xml:space="preserve"> is </w:t>
      </w:r>
      <w:r w:rsidR="00667ACF">
        <w:t>dismissed with costs</w:t>
      </w:r>
      <w:r w:rsidR="00E63F0A">
        <w:t>.</w:t>
      </w:r>
    </w:p>
    <w:p w14:paraId="7FA521A5" w14:textId="77777777" w:rsidR="009314F3" w:rsidRDefault="00D63801" w:rsidP="008E77BA">
      <w:pPr>
        <w:keepNext/>
        <w:keepLines/>
        <w:tabs>
          <w:tab w:val="left" w:pos="0"/>
        </w:tabs>
        <w:spacing w:before="960" w:line="360" w:lineRule="auto"/>
        <w:jc w:val="right"/>
        <w:rPr>
          <w:b/>
          <w:u w:val="single"/>
        </w:rPr>
      </w:pPr>
      <w:r>
        <w:rPr>
          <w:b/>
          <w:u w:val="single"/>
        </w:rPr>
        <w:t>__________________________</w:t>
      </w:r>
      <w:r w:rsidR="00E541D3">
        <w:rPr>
          <w:b/>
          <w:u w:val="single"/>
        </w:rPr>
        <w:t>______</w:t>
      </w:r>
    </w:p>
    <w:p w14:paraId="7D08C0E2" w14:textId="77777777" w:rsidR="004D79F9" w:rsidRDefault="001C52E1" w:rsidP="007D2E09">
      <w:pPr>
        <w:keepNext/>
        <w:jc w:val="right"/>
        <w:rPr>
          <w:rFonts w:cs="Arial"/>
          <w:b/>
        </w:rPr>
      </w:pPr>
      <w:r>
        <w:rPr>
          <w:rFonts w:cs="Arial"/>
          <w:b/>
        </w:rPr>
        <w:t>L R ADAMS</w:t>
      </w:r>
    </w:p>
    <w:p w14:paraId="53DC8760" w14:textId="77777777" w:rsidR="004D79F9" w:rsidRPr="0084771B" w:rsidRDefault="00316EB1" w:rsidP="007D2E09">
      <w:pPr>
        <w:keepNext/>
        <w:jc w:val="right"/>
        <w:rPr>
          <w:rFonts w:cs="Arial"/>
          <w:i/>
        </w:rPr>
      </w:pPr>
      <w:r>
        <w:rPr>
          <w:rFonts w:cs="Arial"/>
          <w:i/>
        </w:rPr>
        <w:t>Judge of the High Court,</w:t>
      </w:r>
    </w:p>
    <w:p w14:paraId="4E424FA8" w14:textId="77777777" w:rsidR="004D79F9" w:rsidRDefault="00316EB1" w:rsidP="005D32F7">
      <w:pPr>
        <w:spacing w:after="120" w:line="360" w:lineRule="auto"/>
        <w:jc w:val="right"/>
        <w:rPr>
          <w:rFonts w:cs="Arial"/>
          <w:i/>
        </w:rPr>
      </w:pPr>
      <w:r>
        <w:rPr>
          <w:rFonts w:cs="Arial"/>
          <w:i/>
        </w:rPr>
        <w:t xml:space="preserve">Gauteng Division, </w:t>
      </w:r>
      <w:r w:rsidR="00E541D3">
        <w:rPr>
          <w:rFonts w:cs="Arial"/>
          <w:i/>
        </w:rPr>
        <w:t>Johannesburg</w:t>
      </w:r>
    </w:p>
    <w:tbl>
      <w:tblPr>
        <w:tblW w:w="8897" w:type="dxa"/>
        <w:tblLook w:val="04A0" w:firstRow="1" w:lastRow="0" w:firstColumn="1" w:lastColumn="0" w:noHBand="0" w:noVBand="1"/>
      </w:tblPr>
      <w:tblGrid>
        <w:gridCol w:w="4219"/>
        <w:gridCol w:w="4678"/>
      </w:tblGrid>
      <w:tr w:rsidR="00C60A83" w14:paraId="6844A95D" w14:textId="77777777" w:rsidTr="00C60A83">
        <w:tc>
          <w:tcPr>
            <w:tcW w:w="4219" w:type="dxa"/>
            <w:tcMar>
              <w:top w:w="32" w:type="dxa"/>
              <w:left w:w="108" w:type="dxa"/>
              <w:bottom w:w="32" w:type="dxa"/>
              <w:right w:w="108" w:type="dxa"/>
            </w:tcMar>
            <w:vAlign w:val="center"/>
            <w:hideMark/>
          </w:tcPr>
          <w:p w14:paraId="7481CEF7" w14:textId="11BA154B" w:rsidR="00C60A83" w:rsidRDefault="00C60A83" w:rsidP="008454C4">
            <w:pPr>
              <w:keepNext/>
              <w:spacing w:before="240" w:after="200" w:line="276" w:lineRule="auto"/>
              <w:rPr>
                <w:sz w:val="22"/>
                <w:szCs w:val="22"/>
                <w:lang w:eastAsia="en-US"/>
              </w:rPr>
            </w:pPr>
            <w:r>
              <w:lastRenderedPageBreak/>
              <w:t>HEARD ON:</w:t>
            </w:r>
          </w:p>
        </w:tc>
        <w:tc>
          <w:tcPr>
            <w:tcW w:w="4678" w:type="dxa"/>
            <w:tcMar>
              <w:top w:w="32" w:type="dxa"/>
              <w:left w:w="108" w:type="dxa"/>
              <w:bottom w:w="32" w:type="dxa"/>
              <w:right w:w="108" w:type="dxa"/>
            </w:tcMar>
            <w:vAlign w:val="center"/>
            <w:hideMark/>
          </w:tcPr>
          <w:p w14:paraId="32EDCFAB" w14:textId="27E7A540" w:rsidR="00C60A83" w:rsidRDefault="007B2F0B" w:rsidP="002232F3">
            <w:pPr>
              <w:keepNext/>
              <w:spacing w:before="240" w:after="200" w:line="276" w:lineRule="auto"/>
              <w:rPr>
                <w:sz w:val="22"/>
                <w:szCs w:val="22"/>
                <w:lang w:eastAsia="en-US"/>
              </w:rPr>
            </w:pPr>
            <w:r>
              <w:t>15</w:t>
            </w:r>
            <w:r w:rsidRPr="007B2F0B">
              <w:rPr>
                <w:vertAlign w:val="superscript"/>
              </w:rPr>
              <w:t>th</w:t>
            </w:r>
            <w:r>
              <w:t xml:space="preserve"> August</w:t>
            </w:r>
            <w:r w:rsidR="00272C38">
              <w:t xml:space="preserve"> </w:t>
            </w:r>
            <w:r w:rsidR="00065E50">
              <w:t>2023</w:t>
            </w:r>
            <w:r w:rsidR="00C60A83">
              <w:t> </w:t>
            </w:r>
          </w:p>
        </w:tc>
      </w:tr>
      <w:tr w:rsidR="00C60A83" w14:paraId="7F17C2AB" w14:textId="77777777" w:rsidTr="00C60A83">
        <w:tc>
          <w:tcPr>
            <w:tcW w:w="4219" w:type="dxa"/>
            <w:tcMar>
              <w:top w:w="32" w:type="dxa"/>
              <w:left w:w="108" w:type="dxa"/>
              <w:bottom w:w="32" w:type="dxa"/>
              <w:right w:w="108" w:type="dxa"/>
            </w:tcMar>
            <w:vAlign w:val="center"/>
            <w:hideMark/>
          </w:tcPr>
          <w:p w14:paraId="2D223140" w14:textId="77777777" w:rsidR="00C60A83" w:rsidRDefault="00C60A83" w:rsidP="008454C4">
            <w:pPr>
              <w:keepNext/>
              <w:spacing w:after="200" w:line="276" w:lineRule="auto"/>
            </w:pPr>
            <w:r>
              <w:t>JUDGMENT DATE:</w:t>
            </w:r>
          </w:p>
        </w:tc>
        <w:tc>
          <w:tcPr>
            <w:tcW w:w="4678" w:type="dxa"/>
            <w:tcMar>
              <w:top w:w="32" w:type="dxa"/>
              <w:left w:w="108" w:type="dxa"/>
              <w:bottom w:w="32" w:type="dxa"/>
              <w:right w:w="108" w:type="dxa"/>
            </w:tcMar>
            <w:vAlign w:val="center"/>
            <w:hideMark/>
          </w:tcPr>
          <w:p w14:paraId="13C81D46" w14:textId="26B1C120" w:rsidR="00C60A83" w:rsidRDefault="00A95A09" w:rsidP="00BD421A">
            <w:pPr>
              <w:keepNext/>
              <w:spacing w:after="200" w:line="276" w:lineRule="auto"/>
            </w:pPr>
            <w:r>
              <w:t>09</w:t>
            </w:r>
            <w:r w:rsidRPr="00A95A09">
              <w:rPr>
                <w:vertAlign w:val="superscript"/>
              </w:rPr>
              <w:t>th</w:t>
            </w:r>
            <w:r w:rsidR="00BD6EB5">
              <w:t xml:space="preserve"> </w:t>
            </w:r>
            <w:r>
              <w:t>January</w:t>
            </w:r>
            <w:r w:rsidR="00C60A83">
              <w:t xml:space="preserve"> 20</w:t>
            </w:r>
            <w:r w:rsidR="00171326">
              <w:t>2</w:t>
            </w:r>
            <w:r>
              <w:t>4</w:t>
            </w:r>
          </w:p>
        </w:tc>
      </w:tr>
      <w:tr w:rsidR="00C60A83" w14:paraId="76FCA4B9" w14:textId="77777777" w:rsidTr="00C60A83">
        <w:tc>
          <w:tcPr>
            <w:tcW w:w="4219" w:type="dxa"/>
            <w:tcMar>
              <w:top w:w="32" w:type="dxa"/>
              <w:left w:w="108" w:type="dxa"/>
              <w:bottom w:w="32" w:type="dxa"/>
              <w:right w:w="108" w:type="dxa"/>
            </w:tcMar>
            <w:vAlign w:val="center"/>
            <w:hideMark/>
          </w:tcPr>
          <w:p w14:paraId="4D941BD2" w14:textId="77777777" w:rsidR="00C60A83" w:rsidRDefault="00C60A83" w:rsidP="008454C4">
            <w:pPr>
              <w:keepNext/>
              <w:spacing w:after="200" w:line="276" w:lineRule="auto"/>
            </w:pPr>
            <w:r>
              <w:t xml:space="preserve">FOR THE </w:t>
            </w:r>
            <w:r w:rsidR="00272C38">
              <w:t>APPELLANT</w:t>
            </w:r>
            <w:r>
              <w:t> </w:t>
            </w:r>
          </w:p>
        </w:tc>
        <w:tc>
          <w:tcPr>
            <w:tcW w:w="4678" w:type="dxa"/>
            <w:tcMar>
              <w:top w:w="32" w:type="dxa"/>
              <w:left w:w="108" w:type="dxa"/>
              <w:bottom w:w="32" w:type="dxa"/>
              <w:right w:w="108" w:type="dxa"/>
            </w:tcMar>
            <w:vAlign w:val="center"/>
            <w:hideMark/>
          </w:tcPr>
          <w:p w14:paraId="45FC3150" w14:textId="508C1205" w:rsidR="00C60A83" w:rsidRDefault="00C60A83" w:rsidP="002232F3">
            <w:pPr>
              <w:keepNext/>
              <w:spacing w:after="200" w:line="276" w:lineRule="auto"/>
            </w:pPr>
            <w:r>
              <w:t xml:space="preserve">Advocate </w:t>
            </w:r>
            <w:r w:rsidR="00B110C9">
              <w:t>Trevor Emslie</w:t>
            </w:r>
            <w:r w:rsidR="00272C38">
              <w:t xml:space="preserve"> SC</w:t>
            </w:r>
          </w:p>
        </w:tc>
      </w:tr>
      <w:tr w:rsidR="00C60A83" w14:paraId="18D83937" w14:textId="77777777" w:rsidTr="00C60A83">
        <w:tc>
          <w:tcPr>
            <w:tcW w:w="4219" w:type="dxa"/>
            <w:tcMar>
              <w:top w:w="32" w:type="dxa"/>
              <w:left w:w="108" w:type="dxa"/>
              <w:bottom w:w="32" w:type="dxa"/>
              <w:right w:w="108" w:type="dxa"/>
            </w:tcMar>
            <w:vAlign w:val="center"/>
            <w:hideMark/>
          </w:tcPr>
          <w:p w14:paraId="5548452B" w14:textId="77777777" w:rsidR="00C60A83" w:rsidRDefault="00C60A83" w:rsidP="008454C4">
            <w:pPr>
              <w:keepNext/>
              <w:spacing w:after="200" w:line="276" w:lineRule="auto"/>
              <w:rPr>
                <w:sz w:val="22"/>
                <w:szCs w:val="22"/>
                <w:lang w:eastAsia="en-US"/>
              </w:rPr>
            </w:pPr>
            <w:r>
              <w:t>INSTRUCTED BY: </w:t>
            </w:r>
          </w:p>
        </w:tc>
        <w:tc>
          <w:tcPr>
            <w:tcW w:w="4678" w:type="dxa"/>
            <w:tcMar>
              <w:top w:w="32" w:type="dxa"/>
              <w:left w:w="108" w:type="dxa"/>
              <w:bottom w:w="32" w:type="dxa"/>
              <w:right w:w="108" w:type="dxa"/>
            </w:tcMar>
            <w:vAlign w:val="center"/>
            <w:hideMark/>
          </w:tcPr>
          <w:p w14:paraId="5092551E" w14:textId="725A41E3" w:rsidR="00C60A83" w:rsidRDefault="00B110C9" w:rsidP="002232F3">
            <w:pPr>
              <w:keepNext/>
              <w:spacing w:after="200" w:line="276" w:lineRule="auto"/>
              <w:rPr>
                <w:sz w:val="22"/>
                <w:szCs w:val="22"/>
                <w:lang w:eastAsia="en-US"/>
              </w:rPr>
            </w:pPr>
            <w:r>
              <w:t>Werksmans</w:t>
            </w:r>
            <w:r w:rsidR="00E51A27">
              <w:t xml:space="preserve">, </w:t>
            </w:r>
            <w:r>
              <w:t>Cape Town</w:t>
            </w:r>
            <w:r w:rsidR="00272C38">
              <w:t xml:space="preserve"> </w:t>
            </w:r>
          </w:p>
        </w:tc>
      </w:tr>
      <w:tr w:rsidR="00C60A83" w14:paraId="1B32D2E0" w14:textId="77777777" w:rsidTr="00C60A83">
        <w:tc>
          <w:tcPr>
            <w:tcW w:w="4219" w:type="dxa"/>
            <w:tcMar>
              <w:top w:w="32" w:type="dxa"/>
              <w:left w:w="108" w:type="dxa"/>
              <w:bottom w:w="32" w:type="dxa"/>
              <w:right w:w="108" w:type="dxa"/>
            </w:tcMar>
            <w:vAlign w:val="center"/>
          </w:tcPr>
          <w:p w14:paraId="3A17BA3D" w14:textId="77777777" w:rsidR="00C60A83" w:rsidRDefault="00C60A83" w:rsidP="008454C4">
            <w:pPr>
              <w:keepNext/>
              <w:spacing w:after="200" w:line="276" w:lineRule="auto"/>
            </w:pPr>
            <w:r>
              <w:t xml:space="preserve">FOR THE </w:t>
            </w:r>
            <w:r w:rsidR="00272C38">
              <w:t>RESPONDENT</w:t>
            </w:r>
            <w:r>
              <w:t>:</w:t>
            </w:r>
          </w:p>
        </w:tc>
        <w:tc>
          <w:tcPr>
            <w:tcW w:w="4678" w:type="dxa"/>
            <w:tcMar>
              <w:top w:w="32" w:type="dxa"/>
              <w:left w:w="108" w:type="dxa"/>
              <w:bottom w:w="32" w:type="dxa"/>
              <w:right w:w="108" w:type="dxa"/>
            </w:tcMar>
            <w:vAlign w:val="center"/>
          </w:tcPr>
          <w:p w14:paraId="3B508609" w14:textId="57D5ACC3" w:rsidR="00C60A83" w:rsidRDefault="002232F3" w:rsidP="00832818">
            <w:pPr>
              <w:keepNext/>
              <w:spacing w:after="200" w:line="276" w:lineRule="auto"/>
            </w:pPr>
            <w:r>
              <w:t xml:space="preserve">Advocate </w:t>
            </w:r>
            <w:r w:rsidR="00B110C9">
              <w:t>K D Magano</w:t>
            </w:r>
            <w:r w:rsidR="00272C38">
              <w:t xml:space="preserve"> </w:t>
            </w:r>
          </w:p>
        </w:tc>
      </w:tr>
      <w:tr w:rsidR="00C60A83" w14:paraId="0579FAA0" w14:textId="77777777" w:rsidTr="00C60A83">
        <w:tc>
          <w:tcPr>
            <w:tcW w:w="4219" w:type="dxa"/>
            <w:tcMar>
              <w:top w:w="32" w:type="dxa"/>
              <w:left w:w="108" w:type="dxa"/>
              <w:bottom w:w="32" w:type="dxa"/>
              <w:right w:w="108" w:type="dxa"/>
            </w:tcMar>
            <w:vAlign w:val="center"/>
          </w:tcPr>
          <w:p w14:paraId="07D0996B" w14:textId="77777777" w:rsidR="00C60A83" w:rsidRDefault="00C60A83" w:rsidP="008454C4">
            <w:pPr>
              <w:keepNext/>
              <w:spacing w:after="200" w:line="276" w:lineRule="auto"/>
            </w:pPr>
            <w:r>
              <w:t>INSTRUCTED BY:</w:t>
            </w:r>
          </w:p>
        </w:tc>
        <w:tc>
          <w:tcPr>
            <w:tcW w:w="4678" w:type="dxa"/>
            <w:tcMar>
              <w:top w:w="32" w:type="dxa"/>
              <w:left w:w="108" w:type="dxa"/>
              <w:bottom w:w="32" w:type="dxa"/>
              <w:right w:w="108" w:type="dxa"/>
            </w:tcMar>
            <w:vAlign w:val="center"/>
          </w:tcPr>
          <w:p w14:paraId="689A60A1" w14:textId="20891A7D" w:rsidR="00C60A83" w:rsidRDefault="00B110C9" w:rsidP="002232F3">
            <w:pPr>
              <w:keepNext/>
              <w:spacing w:after="200" w:line="276" w:lineRule="auto"/>
            </w:pPr>
            <w:r>
              <w:t>The State Attorney</w:t>
            </w:r>
            <w:r w:rsidR="00E51A27">
              <w:t xml:space="preserve">, </w:t>
            </w:r>
            <w:r>
              <w:t>Pretoria</w:t>
            </w:r>
          </w:p>
        </w:tc>
      </w:tr>
    </w:tbl>
    <w:p w14:paraId="33908273" w14:textId="77777777" w:rsidR="00C60A83" w:rsidRDefault="00C60A83" w:rsidP="00272C38">
      <w:pPr>
        <w:pBdr>
          <w:bottom w:val="single" w:sz="6" w:space="1" w:color="auto"/>
        </w:pBdr>
        <w:spacing w:after="120" w:line="360" w:lineRule="auto"/>
        <w:rPr>
          <w:rFonts w:cs="Arial"/>
          <w:i/>
        </w:rPr>
      </w:pPr>
    </w:p>
    <w:sectPr w:rsidR="00C60A83" w:rsidSect="000B6B22">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9CFC" w14:textId="77777777" w:rsidR="000B6B22" w:rsidRDefault="000B6B22">
      <w:pPr>
        <w:spacing w:line="20" w:lineRule="exact"/>
      </w:pPr>
    </w:p>
  </w:endnote>
  <w:endnote w:type="continuationSeparator" w:id="0">
    <w:p w14:paraId="70E44365" w14:textId="77777777" w:rsidR="000B6B22" w:rsidRDefault="000B6B22">
      <w:r>
        <w:t xml:space="preserve"> </w:t>
      </w:r>
    </w:p>
  </w:endnote>
  <w:endnote w:type="continuationNotice" w:id="1">
    <w:p w14:paraId="4687DEEC" w14:textId="77777777" w:rsidR="000B6B22" w:rsidRDefault="000B6B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85A9" w14:textId="77777777" w:rsidR="000B6B22" w:rsidRDefault="000B6B22">
      <w:r>
        <w:separator/>
      </w:r>
    </w:p>
  </w:footnote>
  <w:footnote w:type="continuationSeparator" w:id="0">
    <w:p w14:paraId="5E0EB79C" w14:textId="77777777" w:rsidR="000B6B22" w:rsidRDefault="000B6B22">
      <w:r>
        <w:continuationSeparator/>
      </w:r>
    </w:p>
  </w:footnote>
  <w:footnote w:id="1">
    <w:p w14:paraId="5AF8E66C" w14:textId="6E3AC374" w:rsidR="00790985" w:rsidRPr="00790985" w:rsidRDefault="00790985">
      <w:pPr>
        <w:pStyle w:val="FootnoteText"/>
        <w:rPr>
          <w:lang w:val="en-ZA"/>
        </w:rPr>
      </w:pPr>
      <w:r>
        <w:rPr>
          <w:rStyle w:val="FootnoteReference"/>
        </w:rPr>
        <w:footnoteRef/>
      </w:r>
      <w:r>
        <w:t xml:space="preserve"> </w:t>
      </w:r>
      <w:r w:rsidRPr="00790985">
        <w:rPr>
          <w:lang w:val="en-ZA"/>
        </w:rPr>
        <w:t>Income Tax Act</w:t>
      </w:r>
      <w:r>
        <w:rPr>
          <w:lang w:val="en-ZA"/>
        </w:rPr>
        <w:t xml:space="preserve">, </w:t>
      </w:r>
      <w:r w:rsidRPr="00790985">
        <w:rPr>
          <w:lang w:val="en-ZA"/>
        </w:rPr>
        <w:t>Act 58 of 1962</w:t>
      </w:r>
      <w:r>
        <w:rPr>
          <w:lang w:val="en-ZA"/>
        </w:rPr>
        <w:t xml:space="preserve">; </w:t>
      </w:r>
    </w:p>
  </w:footnote>
  <w:footnote w:id="2">
    <w:p w14:paraId="779CABD2" w14:textId="529C20BD" w:rsidR="00DE78A7" w:rsidRPr="00DE78A7" w:rsidRDefault="00DE78A7">
      <w:pPr>
        <w:pStyle w:val="FootnoteText"/>
        <w:rPr>
          <w:lang w:val="en-ZA"/>
        </w:rPr>
      </w:pPr>
      <w:r>
        <w:rPr>
          <w:rStyle w:val="FootnoteReference"/>
        </w:rPr>
        <w:footnoteRef/>
      </w:r>
      <w:r>
        <w:t xml:space="preserve"> </w:t>
      </w:r>
      <w:r w:rsidRPr="00BE74B7">
        <w:rPr>
          <w:i/>
          <w:iCs/>
          <w:lang w:val="en-ZA"/>
        </w:rPr>
        <w:t>Commissioner, South African Revenue Service v Tiger Oats Ltd</w:t>
      </w:r>
      <w:r w:rsidRPr="004301F8">
        <w:rPr>
          <w:lang w:val="en-ZA"/>
        </w:rPr>
        <w:t xml:space="preserve"> [2003] ZASCA 43, 65 SATC 281</w:t>
      </w:r>
      <w:r>
        <w:rPr>
          <w:lang w:val="en-ZA"/>
        </w:rPr>
        <w:t xml:space="preserve">; </w:t>
      </w:r>
    </w:p>
  </w:footnote>
  <w:footnote w:id="3">
    <w:p w14:paraId="25CEA1DE" w14:textId="4D0DA820" w:rsidR="00B453BB" w:rsidRPr="00B453BB" w:rsidRDefault="00B453BB">
      <w:pPr>
        <w:pStyle w:val="FootnoteText"/>
        <w:rPr>
          <w:lang w:val="en-US"/>
        </w:rPr>
      </w:pPr>
      <w:r>
        <w:rPr>
          <w:rStyle w:val="FootnoteReference"/>
        </w:rPr>
        <w:footnoteRef/>
      </w:r>
      <w:r>
        <w:t xml:space="preserve"> </w:t>
      </w:r>
      <w:r w:rsidRPr="00B453BB">
        <w:rPr>
          <w:i/>
          <w:iCs/>
          <w:lang w:val="en-ZA"/>
        </w:rPr>
        <w:t>Stone v Secretary for Inland Revenue</w:t>
      </w:r>
      <w:r w:rsidRPr="00B453BB">
        <w:rPr>
          <w:lang w:val="en-ZA"/>
        </w:rPr>
        <w:t xml:space="preserve"> 1974 (3) SA 584 (A)</w:t>
      </w:r>
      <w:r>
        <w:rPr>
          <w:lang w:val="en-ZA"/>
        </w:rPr>
        <w:t xml:space="preserve">; </w:t>
      </w:r>
    </w:p>
  </w:footnote>
  <w:footnote w:id="4">
    <w:p w14:paraId="567B2F42" w14:textId="0C5E8594" w:rsidR="008F1247" w:rsidRPr="008F1247" w:rsidRDefault="008F1247">
      <w:pPr>
        <w:pStyle w:val="FootnoteText"/>
        <w:rPr>
          <w:lang w:val="en-US"/>
        </w:rPr>
      </w:pPr>
      <w:r>
        <w:rPr>
          <w:rStyle w:val="FootnoteReference"/>
        </w:rPr>
        <w:footnoteRef/>
      </w:r>
      <w:r>
        <w:t xml:space="preserve"> </w:t>
      </w:r>
      <w:r w:rsidRPr="00472DCA">
        <w:rPr>
          <w:i/>
          <w:iCs/>
          <w:lang w:val="en-ZA"/>
        </w:rPr>
        <w:t>Solaglass Finance Company (Pty) Ltd v Commissioner for Inland Revenue</w:t>
      </w:r>
      <w:r w:rsidRPr="00472DCA">
        <w:rPr>
          <w:lang w:val="en-ZA"/>
        </w:rPr>
        <w:t xml:space="preserve"> 1991 (2) SA 257 (A)</w:t>
      </w:r>
      <w:r>
        <w:rPr>
          <w:lang w:val="en-ZA"/>
        </w:rPr>
        <w:t xml:space="preserve">; </w:t>
      </w:r>
    </w:p>
  </w:footnote>
  <w:footnote w:id="5">
    <w:p w14:paraId="1E970F9F" w14:textId="6E9A3852" w:rsidR="00805FA7" w:rsidRPr="00805FA7" w:rsidRDefault="00805FA7">
      <w:pPr>
        <w:pStyle w:val="FootnoteText"/>
        <w:rPr>
          <w:lang w:val="en-ZA"/>
        </w:rPr>
      </w:pPr>
      <w:r>
        <w:rPr>
          <w:rStyle w:val="FootnoteReference"/>
        </w:rPr>
        <w:footnoteRef/>
      </w:r>
      <w:r>
        <w:t xml:space="preserve"> </w:t>
      </w:r>
      <w:r>
        <w:rPr>
          <w:lang w:val="en-ZA"/>
        </w:rPr>
        <w:t xml:space="preserve">The </w:t>
      </w:r>
      <w:r w:rsidRPr="00805FA7">
        <w:rPr>
          <w:i/>
          <w:iCs/>
          <w:lang w:val="en-ZA"/>
        </w:rPr>
        <w:t>Tiger Oats</w:t>
      </w:r>
      <w:r>
        <w:rPr>
          <w:lang w:val="en-ZA"/>
        </w:rPr>
        <w:t xml:space="preserve"> case referred to supra; </w:t>
      </w:r>
    </w:p>
  </w:footnote>
  <w:footnote w:id="6">
    <w:p w14:paraId="5945ED03" w14:textId="0580F627" w:rsidR="00986065" w:rsidRPr="00986065" w:rsidRDefault="00986065">
      <w:pPr>
        <w:pStyle w:val="FootnoteText"/>
        <w:rPr>
          <w:lang w:val="en-ZA"/>
        </w:rPr>
      </w:pPr>
      <w:r>
        <w:rPr>
          <w:rStyle w:val="FootnoteReference"/>
        </w:rPr>
        <w:footnoteRef/>
      </w:r>
      <w:r>
        <w:t xml:space="preserve"> </w:t>
      </w:r>
      <w:r w:rsidRPr="00986065">
        <w:rPr>
          <w:i/>
          <w:iCs/>
          <w:lang w:val="en-ZA"/>
        </w:rPr>
        <w:t>Producer v Commissioner of Taxes</w:t>
      </w:r>
      <w:r w:rsidRPr="00986065">
        <w:rPr>
          <w:lang w:val="en-ZA"/>
        </w:rPr>
        <w:t xml:space="preserve"> 1948 (4) SA 230 (SR)</w:t>
      </w:r>
      <w:r>
        <w:rPr>
          <w:lang w:val="en-ZA"/>
        </w:rPr>
        <w:t xml:space="preserve">; </w:t>
      </w:r>
    </w:p>
  </w:footnote>
  <w:footnote w:id="7">
    <w:p w14:paraId="28C98106" w14:textId="3E34411A" w:rsidR="00845021" w:rsidRPr="00845021" w:rsidRDefault="00845021">
      <w:pPr>
        <w:pStyle w:val="FootnoteText"/>
        <w:rPr>
          <w:lang w:val="en-ZA"/>
        </w:rPr>
      </w:pPr>
      <w:r>
        <w:rPr>
          <w:rStyle w:val="FootnoteReference"/>
        </w:rPr>
        <w:footnoteRef/>
      </w:r>
      <w:r>
        <w:t xml:space="preserve"> </w:t>
      </w:r>
      <w:r w:rsidRPr="00845021">
        <w:rPr>
          <w:i/>
          <w:iCs/>
          <w:lang w:val="en-ZA"/>
        </w:rPr>
        <w:t>The Commissioner for the South African Revenue Service v Spur Group (Pty) Ltd</w:t>
      </w:r>
      <w:r w:rsidRPr="00845021">
        <w:rPr>
          <w:lang w:val="en-ZA"/>
        </w:rPr>
        <w:t xml:space="preserve"> 2021 JDR 2530 (SCA)</w:t>
      </w:r>
      <w:r>
        <w:rPr>
          <w:lang w:val="en-ZA"/>
        </w:rPr>
        <w:t xml:space="preserve">; </w:t>
      </w:r>
    </w:p>
  </w:footnote>
  <w:footnote w:id="8">
    <w:p w14:paraId="083DEAC7" w14:textId="02A9A4AF" w:rsidR="00673A43" w:rsidRPr="00673A43" w:rsidRDefault="00673A43">
      <w:pPr>
        <w:pStyle w:val="FootnoteText"/>
        <w:rPr>
          <w:lang w:val="en-ZA"/>
        </w:rPr>
      </w:pPr>
      <w:r>
        <w:rPr>
          <w:rStyle w:val="FootnoteReference"/>
        </w:rPr>
        <w:footnoteRef/>
      </w:r>
      <w:r>
        <w:t xml:space="preserve"> </w:t>
      </w:r>
      <w:r>
        <w:rPr>
          <w:lang w:val="en-ZA"/>
        </w:rPr>
        <w:t xml:space="preserve">Tax Administration Act, Act </w:t>
      </w:r>
      <w:r w:rsidRPr="00673A43">
        <w:rPr>
          <w:lang w:val="en-ZA"/>
        </w:rPr>
        <w:t xml:space="preserve">28 </w:t>
      </w:r>
      <w:r>
        <w:rPr>
          <w:lang w:val="en-ZA"/>
        </w:rPr>
        <w:t>of</w:t>
      </w:r>
      <w:r w:rsidRPr="00673A43">
        <w:rPr>
          <w:lang w:val="en-ZA"/>
        </w:rPr>
        <w:t xml:space="preserve"> 2011</w:t>
      </w:r>
      <w:r>
        <w:rPr>
          <w:lang w:val="en-Z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EDF1" w14:textId="77777777" w:rsidR="00CD78D6" w:rsidRDefault="00CD78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52BE3" w14:textId="77777777" w:rsidR="00CD78D6" w:rsidRDefault="00CD7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282669"/>
      <w:docPartObj>
        <w:docPartGallery w:val="Page Numbers (Top of Page)"/>
        <w:docPartUnique/>
      </w:docPartObj>
    </w:sdtPr>
    <w:sdtEndPr>
      <w:rPr>
        <w:noProof/>
      </w:rPr>
    </w:sdtEndPr>
    <w:sdtContent>
      <w:p w14:paraId="37CBCD01" w14:textId="14F995EF" w:rsidR="00CD78D6" w:rsidRDefault="00CD78D6">
        <w:pPr>
          <w:pStyle w:val="Header"/>
          <w:jc w:val="right"/>
        </w:pPr>
        <w:r>
          <w:fldChar w:fldCharType="begin"/>
        </w:r>
        <w:r>
          <w:instrText xml:space="preserve"> PAGE   \* MERGEFORMAT </w:instrText>
        </w:r>
        <w:r>
          <w:fldChar w:fldCharType="separate"/>
        </w:r>
        <w:r w:rsidR="00257321">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59D"/>
    <w:multiLevelType w:val="hybridMultilevel"/>
    <w:tmpl w:val="A31A86A2"/>
    <w:lvl w:ilvl="0" w:tplc="DD42E3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0836DB"/>
    <w:multiLevelType w:val="hybridMultilevel"/>
    <w:tmpl w:val="88B63B0E"/>
    <w:lvl w:ilvl="0" w:tplc="EA0A2B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0955CC"/>
    <w:multiLevelType w:val="hybridMultilevel"/>
    <w:tmpl w:val="65A4C43C"/>
    <w:lvl w:ilvl="0" w:tplc="A5E260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131C14"/>
    <w:multiLevelType w:val="hybridMultilevel"/>
    <w:tmpl w:val="6A8873A0"/>
    <w:lvl w:ilvl="0" w:tplc="836890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C602FE"/>
    <w:multiLevelType w:val="hybridMultilevel"/>
    <w:tmpl w:val="9956F306"/>
    <w:lvl w:ilvl="0" w:tplc="E6D0741A">
      <w:start w:val="1"/>
      <w:numFmt w:val="decimal"/>
      <w:lvlText w:val="%1"/>
      <w:lvlJc w:val="left"/>
      <w:pPr>
        <w:ind w:left="1120" w:hanging="7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8F0A85"/>
    <w:multiLevelType w:val="hybridMultilevel"/>
    <w:tmpl w:val="6EAC4CBE"/>
    <w:lvl w:ilvl="0" w:tplc="5DC273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C76AE8"/>
    <w:multiLevelType w:val="hybridMultilevel"/>
    <w:tmpl w:val="4F34DD10"/>
    <w:lvl w:ilvl="0" w:tplc="8B8C062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B8503B"/>
    <w:multiLevelType w:val="hybridMultilevel"/>
    <w:tmpl w:val="53C084D8"/>
    <w:lvl w:ilvl="0" w:tplc="2278AAEA">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25959F0"/>
    <w:multiLevelType w:val="hybridMultilevel"/>
    <w:tmpl w:val="3404EEA0"/>
    <w:lvl w:ilvl="0" w:tplc="11E4B2E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3F22D2"/>
    <w:multiLevelType w:val="hybridMultilevel"/>
    <w:tmpl w:val="382C6D96"/>
    <w:lvl w:ilvl="0" w:tplc="D9DC641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8814CB"/>
    <w:multiLevelType w:val="hybridMultilevel"/>
    <w:tmpl w:val="B7223C36"/>
    <w:lvl w:ilvl="0" w:tplc="45925F3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6B0C43"/>
    <w:multiLevelType w:val="hybridMultilevel"/>
    <w:tmpl w:val="AFA02C6C"/>
    <w:lvl w:ilvl="0" w:tplc="859E9736">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2D7110DD"/>
    <w:multiLevelType w:val="hybridMultilevel"/>
    <w:tmpl w:val="403834D2"/>
    <w:lvl w:ilvl="0" w:tplc="41D285E0">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E04105C"/>
    <w:multiLevelType w:val="hybridMultilevel"/>
    <w:tmpl w:val="87786BFA"/>
    <w:lvl w:ilvl="0" w:tplc="A4FAB9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93352"/>
    <w:multiLevelType w:val="hybridMultilevel"/>
    <w:tmpl w:val="6478A4EE"/>
    <w:lvl w:ilvl="0" w:tplc="3E0239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18268B"/>
    <w:multiLevelType w:val="hybridMultilevel"/>
    <w:tmpl w:val="D1A8B292"/>
    <w:lvl w:ilvl="0" w:tplc="C138299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AD4767"/>
    <w:multiLevelType w:val="hybridMultilevel"/>
    <w:tmpl w:val="09E63BF8"/>
    <w:lvl w:ilvl="0" w:tplc="8C24A6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D5535D0"/>
    <w:multiLevelType w:val="hybridMultilevel"/>
    <w:tmpl w:val="FFE6A77C"/>
    <w:lvl w:ilvl="0" w:tplc="5F90A3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2F448B6"/>
    <w:multiLevelType w:val="hybridMultilevel"/>
    <w:tmpl w:val="4F34DD10"/>
    <w:lvl w:ilvl="0" w:tplc="8B8C062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7F1291E"/>
    <w:multiLevelType w:val="hybridMultilevel"/>
    <w:tmpl w:val="CD3AA6B6"/>
    <w:lvl w:ilvl="0" w:tplc="B89E3A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DD08D2"/>
    <w:multiLevelType w:val="hybridMultilevel"/>
    <w:tmpl w:val="12547D5E"/>
    <w:lvl w:ilvl="0" w:tplc="F4F4BB28">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C466B98"/>
    <w:multiLevelType w:val="hybridMultilevel"/>
    <w:tmpl w:val="DB48E50A"/>
    <w:lvl w:ilvl="0" w:tplc="A45275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15F663C"/>
    <w:multiLevelType w:val="hybridMultilevel"/>
    <w:tmpl w:val="FF3C542E"/>
    <w:lvl w:ilvl="0" w:tplc="7CBE1D0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7E0003"/>
    <w:multiLevelType w:val="hybridMultilevel"/>
    <w:tmpl w:val="4072D496"/>
    <w:lvl w:ilvl="0" w:tplc="5A42318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1E0275"/>
    <w:multiLevelType w:val="hybridMultilevel"/>
    <w:tmpl w:val="6EAC3532"/>
    <w:lvl w:ilvl="0" w:tplc="147889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C50566"/>
    <w:multiLevelType w:val="hybridMultilevel"/>
    <w:tmpl w:val="34C00778"/>
    <w:lvl w:ilvl="0" w:tplc="95B26A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BD251E3"/>
    <w:multiLevelType w:val="hybridMultilevel"/>
    <w:tmpl w:val="74F67F2A"/>
    <w:lvl w:ilvl="0" w:tplc="C138299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6853FE"/>
    <w:multiLevelType w:val="hybridMultilevel"/>
    <w:tmpl w:val="98F47430"/>
    <w:lvl w:ilvl="0" w:tplc="00948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24E0517"/>
    <w:multiLevelType w:val="hybridMultilevel"/>
    <w:tmpl w:val="416AFE50"/>
    <w:lvl w:ilvl="0" w:tplc="5AC01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350D6F"/>
    <w:multiLevelType w:val="hybridMultilevel"/>
    <w:tmpl w:val="3E04713C"/>
    <w:lvl w:ilvl="0" w:tplc="3B94EC4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6243822"/>
    <w:multiLevelType w:val="hybridMultilevel"/>
    <w:tmpl w:val="A80EC226"/>
    <w:lvl w:ilvl="0" w:tplc="911C67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B5455CC"/>
    <w:multiLevelType w:val="hybridMultilevel"/>
    <w:tmpl w:val="C9C05560"/>
    <w:lvl w:ilvl="0" w:tplc="33547D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BF7A3F"/>
    <w:multiLevelType w:val="hybridMultilevel"/>
    <w:tmpl w:val="B7AE319A"/>
    <w:lvl w:ilvl="0" w:tplc="5F9E9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8C7E33"/>
    <w:multiLevelType w:val="hybridMultilevel"/>
    <w:tmpl w:val="E6B69614"/>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77B77502"/>
    <w:multiLevelType w:val="hybridMultilevel"/>
    <w:tmpl w:val="512692BE"/>
    <w:lvl w:ilvl="0" w:tplc="A6360AB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D852B3F"/>
    <w:multiLevelType w:val="hybridMultilevel"/>
    <w:tmpl w:val="8A8E0FC2"/>
    <w:lvl w:ilvl="0" w:tplc="D844480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44755329">
    <w:abstractNumId w:val="8"/>
  </w:num>
  <w:num w:numId="2" w16cid:durableId="390083986">
    <w:abstractNumId w:val="23"/>
  </w:num>
  <w:num w:numId="3" w16cid:durableId="1788348431">
    <w:abstractNumId w:val="35"/>
  </w:num>
  <w:num w:numId="4" w16cid:durableId="1598446031">
    <w:abstractNumId w:val="4"/>
    <w:lvlOverride w:ilvl="0">
      <w:startOverride w:val="1"/>
    </w:lvlOverride>
  </w:num>
  <w:num w:numId="5" w16cid:durableId="880287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634258">
    <w:abstractNumId w:val="14"/>
  </w:num>
  <w:num w:numId="7" w16cid:durableId="477309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261230">
    <w:abstractNumId w:val="20"/>
  </w:num>
  <w:num w:numId="9" w16cid:durableId="26301907">
    <w:abstractNumId w:val="37"/>
  </w:num>
  <w:num w:numId="10" w16cid:durableId="742487615">
    <w:abstractNumId w:val="16"/>
  </w:num>
  <w:num w:numId="11" w16cid:durableId="452214437">
    <w:abstractNumId w:val="24"/>
  </w:num>
  <w:num w:numId="12" w16cid:durableId="932204057">
    <w:abstractNumId w:val="38"/>
  </w:num>
  <w:num w:numId="13" w16cid:durableId="734855435">
    <w:abstractNumId w:val="0"/>
  </w:num>
  <w:num w:numId="14" w16cid:durableId="2019772024">
    <w:abstractNumId w:val="15"/>
  </w:num>
  <w:num w:numId="15" w16cid:durableId="859396370">
    <w:abstractNumId w:val="32"/>
  </w:num>
  <w:num w:numId="16" w16cid:durableId="1465001525">
    <w:abstractNumId w:val="19"/>
  </w:num>
  <w:num w:numId="17" w16cid:durableId="322860912">
    <w:abstractNumId w:val="27"/>
  </w:num>
  <w:num w:numId="18" w16cid:durableId="503086455">
    <w:abstractNumId w:val="3"/>
  </w:num>
  <w:num w:numId="19" w16cid:durableId="685836440">
    <w:abstractNumId w:val="22"/>
  </w:num>
  <w:num w:numId="20" w16cid:durableId="508761403">
    <w:abstractNumId w:val="12"/>
  </w:num>
  <w:num w:numId="21" w16cid:durableId="1542404821">
    <w:abstractNumId w:val="9"/>
  </w:num>
  <w:num w:numId="22" w16cid:durableId="144587445">
    <w:abstractNumId w:val="41"/>
  </w:num>
  <w:num w:numId="23" w16cid:durableId="1427454875">
    <w:abstractNumId w:val="5"/>
  </w:num>
  <w:num w:numId="24" w16cid:durableId="879167642">
    <w:abstractNumId w:val="25"/>
  </w:num>
  <w:num w:numId="25" w16cid:durableId="812016404">
    <w:abstractNumId w:val="33"/>
  </w:num>
  <w:num w:numId="26" w16cid:durableId="876048889">
    <w:abstractNumId w:val="1"/>
  </w:num>
  <w:num w:numId="27" w16cid:durableId="1879119702">
    <w:abstractNumId w:val="18"/>
  </w:num>
  <w:num w:numId="28" w16cid:durableId="12457296">
    <w:abstractNumId w:val="2"/>
  </w:num>
  <w:num w:numId="29" w16cid:durableId="629091912">
    <w:abstractNumId w:val="31"/>
  </w:num>
  <w:num w:numId="30" w16cid:durableId="1760519329">
    <w:abstractNumId w:val="40"/>
  </w:num>
  <w:num w:numId="31" w16cid:durableId="1294822971">
    <w:abstractNumId w:val="6"/>
  </w:num>
  <w:num w:numId="32" w16cid:durableId="1619726560">
    <w:abstractNumId w:val="30"/>
  </w:num>
  <w:num w:numId="33" w16cid:durableId="31197731">
    <w:abstractNumId w:val="17"/>
  </w:num>
  <w:num w:numId="34" w16cid:durableId="1723670927">
    <w:abstractNumId w:val="29"/>
  </w:num>
  <w:num w:numId="35" w16cid:durableId="2052879315">
    <w:abstractNumId w:val="7"/>
  </w:num>
  <w:num w:numId="36" w16cid:durableId="1231622805">
    <w:abstractNumId w:val="13"/>
  </w:num>
  <w:num w:numId="37" w16cid:durableId="655650208">
    <w:abstractNumId w:val="10"/>
  </w:num>
  <w:num w:numId="38" w16cid:durableId="732121392">
    <w:abstractNumId w:val="34"/>
  </w:num>
  <w:num w:numId="39" w16cid:durableId="195773700">
    <w:abstractNumId w:val="21"/>
  </w:num>
  <w:num w:numId="40" w16cid:durableId="789280099">
    <w:abstractNumId w:val="11"/>
  </w:num>
  <w:num w:numId="41" w16cid:durableId="260264628">
    <w:abstractNumId w:val="26"/>
  </w:num>
  <w:num w:numId="42" w16cid:durableId="1358314745">
    <w:abstractNumId w:val="28"/>
  </w:num>
  <w:num w:numId="43" w16cid:durableId="67214676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1NDczNzEyNjMwMDFQ0lEKTi0uzszPAykwrAUA2HHqUywAAAA="/>
  </w:docVars>
  <w:rsids>
    <w:rsidRoot w:val="00A84826"/>
    <w:rsid w:val="00001543"/>
    <w:rsid w:val="00002147"/>
    <w:rsid w:val="0000258C"/>
    <w:rsid w:val="00002BA6"/>
    <w:rsid w:val="000032E3"/>
    <w:rsid w:val="00010177"/>
    <w:rsid w:val="000111D7"/>
    <w:rsid w:val="000117DD"/>
    <w:rsid w:val="00012066"/>
    <w:rsid w:val="00012B55"/>
    <w:rsid w:val="000141C1"/>
    <w:rsid w:val="00016AA6"/>
    <w:rsid w:val="00016ECF"/>
    <w:rsid w:val="00017488"/>
    <w:rsid w:val="00017C1B"/>
    <w:rsid w:val="00017CC9"/>
    <w:rsid w:val="00020E9A"/>
    <w:rsid w:val="0002785A"/>
    <w:rsid w:val="00030D23"/>
    <w:rsid w:val="0003241F"/>
    <w:rsid w:val="00033FDD"/>
    <w:rsid w:val="00034BB6"/>
    <w:rsid w:val="00035DB9"/>
    <w:rsid w:val="000361F0"/>
    <w:rsid w:val="00037C56"/>
    <w:rsid w:val="00041A63"/>
    <w:rsid w:val="000423C6"/>
    <w:rsid w:val="0004334A"/>
    <w:rsid w:val="000445C8"/>
    <w:rsid w:val="000454E4"/>
    <w:rsid w:val="00045A41"/>
    <w:rsid w:val="00050D2E"/>
    <w:rsid w:val="00052B1D"/>
    <w:rsid w:val="00053BA5"/>
    <w:rsid w:val="0005613B"/>
    <w:rsid w:val="00056255"/>
    <w:rsid w:val="00057785"/>
    <w:rsid w:val="00057A71"/>
    <w:rsid w:val="000616AB"/>
    <w:rsid w:val="00061D3E"/>
    <w:rsid w:val="00063AF3"/>
    <w:rsid w:val="000642F4"/>
    <w:rsid w:val="00064626"/>
    <w:rsid w:val="000647F0"/>
    <w:rsid w:val="00065E50"/>
    <w:rsid w:val="000668FF"/>
    <w:rsid w:val="00066EE9"/>
    <w:rsid w:val="00067743"/>
    <w:rsid w:val="0006781F"/>
    <w:rsid w:val="000712CD"/>
    <w:rsid w:val="000715D3"/>
    <w:rsid w:val="000718BB"/>
    <w:rsid w:val="00071CAF"/>
    <w:rsid w:val="00072960"/>
    <w:rsid w:val="000730EE"/>
    <w:rsid w:val="00074B69"/>
    <w:rsid w:val="00074FBC"/>
    <w:rsid w:val="000757B9"/>
    <w:rsid w:val="00076BD3"/>
    <w:rsid w:val="0007784D"/>
    <w:rsid w:val="000806DF"/>
    <w:rsid w:val="00080FCB"/>
    <w:rsid w:val="00081434"/>
    <w:rsid w:val="000814F0"/>
    <w:rsid w:val="00081733"/>
    <w:rsid w:val="00081AC0"/>
    <w:rsid w:val="0008319D"/>
    <w:rsid w:val="00085059"/>
    <w:rsid w:val="0008704A"/>
    <w:rsid w:val="00090F50"/>
    <w:rsid w:val="00091025"/>
    <w:rsid w:val="00091083"/>
    <w:rsid w:val="0009398C"/>
    <w:rsid w:val="00094CAB"/>
    <w:rsid w:val="0009782E"/>
    <w:rsid w:val="000A000E"/>
    <w:rsid w:val="000A26F6"/>
    <w:rsid w:val="000A3700"/>
    <w:rsid w:val="000A4BB6"/>
    <w:rsid w:val="000A4D4F"/>
    <w:rsid w:val="000A5A70"/>
    <w:rsid w:val="000A5A85"/>
    <w:rsid w:val="000A779C"/>
    <w:rsid w:val="000B096A"/>
    <w:rsid w:val="000B0A89"/>
    <w:rsid w:val="000B0E41"/>
    <w:rsid w:val="000B1283"/>
    <w:rsid w:val="000B14E0"/>
    <w:rsid w:val="000B15F1"/>
    <w:rsid w:val="000B3344"/>
    <w:rsid w:val="000B3829"/>
    <w:rsid w:val="000B3A1E"/>
    <w:rsid w:val="000B4072"/>
    <w:rsid w:val="000B4C6B"/>
    <w:rsid w:val="000B64EF"/>
    <w:rsid w:val="000B6B22"/>
    <w:rsid w:val="000C11D4"/>
    <w:rsid w:val="000C24D7"/>
    <w:rsid w:val="000C3608"/>
    <w:rsid w:val="000C43F3"/>
    <w:rsid w:val="000C63F9"/>
    <w:rsid w:val="000C65F1"/>
    <w:rsid w:val="000C6AE3"/>
    <w:rsid w:val="000C6BD2"/>
    <w:rsid w:val="000C6E89"/>
    <w:rsid w:val="000C7340"/>
    <w:rsid w:val="000D0AF6"/>
    <w:rsid w:val="000D0C09"/>
    <w:rsid w:val="000D0C9C"/>
    <w:rsid w:val="000D1266"/>
    <w:rsid w:val="000D1A36"/>
    <w:rsid w:val="000D4B78"/>
    <w:rsid w:val="000D5019"/>
    <w:rsid w:val="000D5597"/>
    <w:rsid w:val="000D6100"/>
    <w:rsid w:val="000D6B06"/>
    <w:rsid w:val="000D6F3A"/>
    <w:rsid w:val="000D7A25"/>
    <w:rsid w:val="000E0CFF"/>
    <w:rsid w:val="000E1BA0"/>
    <w:rsid w:val="000E3F92"/>
    <w:rsid w:val="000E4159"/>
    <w:rsid w:val="000E4697"/>
    <w:rsid w:val="000E5455"/>
    <w:rsid w:val="000E7194"/>
    <w:rsid w:val="000F1C74"/>
    <w:rsid w:val="000F4792"/>
    <w:rsid w:val="000F50EA"/>
    <w:rsid w:val="000F6C7D"/>
    <w:rsid w:val="000F6DBB"/>
    <w:rsid w:val="000F725E"/>
    <w:rsid w:val="00101118"/>
    <w:rsid w:val="00101198"/>
    <w:rsid w:val="0010128C"/>
    <w:rsid w:val="001019CD"/>
    <w:rsid w:val="0010349F"/>
    <w:rsid w:val="00103B52"/>
    <w:rsid w:val="00103E18"/>
    <w:rsid w:val="00105636"/>
    <w:rsid w:val="001056FF"/>
    <w:rsid w:val="0010634D"/>
    <w:rsid w:val="001069D0"/>
    <w:rsid w:val="00106C97"/>
    <w:rsid w:val="0011040F"/>
    <w:rsid w:val="00110843"/>
    <w:rsid w:val="00110BCA"/>
    <w:rsid w:val="00112C84"/>
    <w:rsid w:val="00115595"/>
    <w:rsid w:val="00120F02"/>
    <w:rsid w:val="001218BA"/>
    <w:rsid w:val="00121CA9"/>
    <w:rsid w:val="00122247"/>
    <w:rsid w:val="0012260D"/>
    <w:rsid w:val="00122F25"/>
    <w:rsid w:val="00123B09"/>
    <w:rsid w:val="00123FBA"/>
    <w:rsid w:val="00124185"/>
    <w:rsid w:val="00125041"/>
    <w:rsid w:val="00126CF9"/>
    <w:rsid w:val="00126F8F"/>
    <w:rsid w:val="0012746D"/>
    <w:rsid w:val="0013154B"/>
    <w:rsid w:val="0013390C"/>
    <w:rsid w:val="001371F9"/>
    <w:rsid w:val="001374A5"/>
    <w:rsid w:val="00137B8E"/>
    <w:rsid w:val="00140558"/>
    <w:rsid w:val="00142930"/>
    <w:rsid w:val="001432BE"/>
    <w:rsid w:val="00143453"/>
    <w:rsid w:val="001442C9"/>
    <w:rsid w:val="00144C1F"/>
    <w:rsid w:val="00144CB8"/>
    <w:rsid w:val="00145295"/>
    <w:rsid w:val="001464CC"/>
    <w:rsid w:val="001469C0"/>
    <w:rsid w:val="00146EF3"/>
    <w:rsid w:val="00151A63"/>
    <w:rsid w:val="001526C8"/>
    <w:rsid w:val="00155CC5"/>
    <w:rsid w:val="00160E8B"/>
    <w:rsid w:val="00166FF6"/>
    <w:rsid w:val="00171326"/>
    <w:rsid w:val="001730A8"/>
    <w:rsid w:val="00173613"/>
    <w:rsid w:val="001736BF"/>
    <w:rsid w:val="00173FDB"/>
    <w:rsid w:val="001748B0"/>
    <w:rsid w:val="00175190"/>
    <w:rsid w:val="00177AEA"/>
    <w:rsid w:val="00177C74"/>
    <w:rsid w:val="00180CFB"/>
    <w:rsid w:val="00182478"/>
    <w:rsid w:val="00182F4B"/>
    <w:rsid w:val="00183743"/>
    <w:rsid w:val="00184A60"/>
    <w:rsid w:val="00184DC3"/>
    <w:rsid w:val="001861A7"/>
    <w:rsid w:val="00186578"/>
    <w:rsid w:val="00193A10"/>
    <w:rsid w:val="0019403A"/>
    <w:rsid w:val="00195504"/>
    <w:rsid w:val="0019694E"/>
    <w:rsid w:val="0019747D"/>
    <w:rsid w:val="00197A19"/>
    <w:rsid w:val="001A007C"/>
    <w:rsid w:val="001A091C"/>
    <w:rsid w:val="001A23A4"/>
    <w:rsid w:val="001A37E5"/>
    <w:rsid w:val="001A38E6"/>
    <w:rsid w:val="001A3DC0"/>
    <w:rsid w:val="001A42AD"/>
    <w:rsid w:val="001A4A19"/>
    <w:rsid w:val="001A4DA3"/>
    <w:rsid w:val="001A5D7D"/>
    <w:rsid w:val="001A749D"/>
    <w:rsid w:val="001A76B3"/>
    <w:rsid w:val="001A7C04"/>
    <w:rsid w:val="001B0F56"/>
    <w:rsid w:val="001B179A"/>
    <w:rsid w:val="001B4E1E"/>
    <w:rsid w:val="001B5BBB"/>
    <w:rsid w:val="001B621D"/>
    <w:rsid w:val="001B68D5"/>
    <w:rsid w:val="001B729D"/>
    <w:rsid w:val="001B7BC1"/>
    <w:rsid w:val="001C019B"/>
    <w:rsid w:val="001C0A0D"/>
    <w:rsid w:val="001C1AFE"/>
    <w:rsid w:val="001C2344"/>
    <w:rsid w:val="001C306F"/>
    <w:rsid w:val="001C316F"/>
    <w:rsid w:val="001C52E1"/>
    <w:rsid w:val="001C5CD6"/>
    <w:rsid w:val="001D013F"/>
    <w:rsid w:val="001D4AF2"/>
    <w:rsid w:val="001D5D9C"/>
    <w:rsid w:val="001D5E32"/>
    <w:rsid w:val="001D69B0"/>
    <w:rsid w:val="001E0063"/>
    <w:rsid w:val="001E06D5"/>
    <w:rsid w:val="001E34C2"/>
    <w:rsid w:val="001E362B"/>
    <w:rsid w:val="001E36E0"/>
    <w:rsid w:val="001E6292"/>
    <w:rsid w:val="001E669A"/>
    <w:rsid w:val="001E6F6C"/>
    <w:rsid w:val="001E7137"/>
    <w:rsid w:val="001E7214"/>
    <w:rsid w:val="001F068F"/>
    <w:rsid w:val="001F2020"/>
    <w:rsid w:val="001F21FF"/>
    <w:rsid w:val="001F2352"/>
    <w:rsid w:val="001F2647"/>
    <w:rsid w:val="001F33B1"/>
    <w:rsid w:val="001F48CC"/>
    <w:rsid w:val="001F5488"/>
    <w:rsid w:val="001F5688"/>
    <w:rsid w:val="001F57B4"/>
    <w:rsid w:val="001F5B5F"/>
    <w:rsid w:val="001F7427"/>
    <w:rsid w:val="001F757A"/>
    <w:rsid w:val="001F78C4"/>
    <w:rsid w:val="002007D4"/>
    <w:rsid w:val="00200CF2"/>
    <w:rsid w:val="00201369"/>
    <w:rsid w:val="00201E7E"/>
    <w:rsid w:val="002027EC"/>
    <w:rsid w:val="002028B1"/>
    <w:rsid w:val="00203325"/>
    <w:rsid w:val="00205925"/>
    <w:rsid w:val="00205CF7"/>
    <w:rsid w:val="00206174"/>
    <w:rsid w:val="00207503"/>
    <w:rsid w:val="0021167B"/>
    <w:rsid w:val="0021229F"/>
    <w:rsid w:val="002123AA"/>
    <w:rsid w:val="00212A8A"/>
    <w:rsid w:val="00212C39"/>
    <w:rsid w:val="00212F9C"/>
    <w:rsid w:val="00213B9F"/>
    <w:rsid w:val="0021487F"/>
    <w:rsid w:val="0021531D"/>
    <w:rsid w:val="002158FA"/>
    <w:rsid w:val="00215AFA"/>
    <w:rsid w:val="0022018A"/>
    <w:rsid w:val="00220BEB"/>
    <w:rsid w:val="002210A9"/>
    <w:rsid w:val="00223009"/>
    <w:rsid w:val="002232F3"/>
    <w:rsid w:val="00223B6B"/>
    <w:rsid w:val="00223F61"/>
    <w:rsid w:val="00224EDB"/>
    <w:rsid w:val="00226677"/>
    <w:rsid w:val="00227108"/>
    <w:rsid w:val="00230431"/>
    <w:rsid w:val="00230797"/>
    <w:rsid w:val="00230DF6"/>
    <w:rsid w:val="002316C0"/>
    <w:rsid w:val="00233DEB"/>
    <w:rsid w:val="00235047"/>
    <w:rsid w:val="00235058"/>
    <w:rsid w:val="002354C0"/>
    <w:rsid w:val="00235983"/>
    <w:rsid w:val="00235C00"/>
    <w:rsid w:val="00236FAF"/>
    <w:rsid w:val="00237903"/>
    <w:rsid w:val="00242D44"/>
    <w:rsid w:val="00244053"/>
    <w:rsid w:val="00244284"/>
    <w:rsid w:val="00246642"/>
    <w:rsid w:val="00246800"/>
    <w:rsid w:val="0024691B"/>
    <w:rsid w:val="00252D5F"/>
    <w:rsid w:val="0025316C"/>
    <w:rsid w:val="00253C4C"/>
    <w:rsid w:val="002549A4"/>
    <w:rsid w:val="002572C9"/>
    <w:rsid w:val="00257321"/>
    <w:rsid w:val="00257DCC"/>
    <w:rsid w:val="002618E5"/>
    <w:rsid w:val="002619EF"/>
    <w:rsid w:val="00261C5A"/>
    <w:rsid w:val="0026224C"/>
    <w:rsid w:val="002634C7"/>
    <w:rsid w:val="002647E0"/>
    <w:rsid w:val="00264D1C"/>
    <w:rsid w:val="002673D4"/>
    <w:rsid w:val="00267E25"/>
    <w:rsid w:val="00271071"/>
    <w:rsid w:val="00271B8B"/>
    <w:rsid w:val="00272260"/>
    <w:rsid w:val="00272B92"/>
    <w:rsid w:val="00272C38"/>
    <w:rsid w:val="00277BBF"/>
    <w:rsid w:val="00277BD9"/>
    <w:rsid w:val="00277C95"/>
    <w:rsid w:val="002805F5"/>
    <w:rsid w:val="002811FF"/>
    <w:rsid w:val="00281804"/>
    <w:rsid w:val="002820ED"/>
    <w:rsid w:val="00282310"/>
    <w:rsid w:val="002825E8"/>
    <w:rsid w:val="00282DD4"/>
    <w:rsid w:val="0028394F"/>
    <w:rsid w:val="00286D28"/>
    <w:rsid w:val="00287487"/>
    <w:rsid w:val="002878D3"/>
    <w:rsid w:val="0029167A"/>
    <w:rsid w:val="002920DC"/>
    <w:rsid w:val="00292CBC"/>
    <w:rsid w:val="00294598"/>
    <w:rsid w:val="00294648"/>
    <w:rsid w:val="00294F94"/>
    <w:rsid w:val="002960FE"/>
    <w:rsid w:val="0029673C"/>
    <w:rsid w:val="00296916"/>
    <w:rsid w:val="002A0081"/>
    <w:rsid w:val="002A1440"/>
    <w:rsid w:val="002A1BBB"/>
    <w:rsid w:val="002A4350"/>
    <w:rsid w:val="002A4559"/>
    <w:rsid w:val="002A5BD5"/>
    <w:rsid w:val="002A61CE"/>
    <w:rsid w:val="002A6268"/>
    <w:rsid w:val="002A633E"/>
    <w:rsid w:val="002A6E2C"/>
    <w:rsid w:val="002A7434"/>
    <w:rsid w:val="002A7536"/>
    <w:rsid w:val="002A7FE3"/>
    <w:rsid w:val="002B00BF"/>
    <w:rsid w:val="002B0157"/>
    <w:rsid w:val="002B0D3C"/>
    <w:rsid w:val="002B1519"/>
    <w:rsid w:val="002B1ABA"/>
    <w:rsid w:val="002B5433"/>
    <w:rsid w:val="002B57D3"/>
    <w:rsid w:val="002B6344"/>
    <w:rsid w:val="002B6568"/>
    <w:rsid w:val="002B6B65"/>
    <w:rsid w:val="002C0FDD"/>
    <w:rsid w:val="002C1A02"/>
    <w:rsid w:val="002C26EF"/>
    <w:rsid w:val="002C3F8B"/>
    <w:rsid w:val="002C4424"/>
    <w:rsid w:val="002C44C1"/>
    <w:rsid w:val="002D1020"/>
    <w:rsid w:val="002D1A3E"/>
    <w:rsid w:val="002D1E6F"/>
    <w:rsid w:val="002D29E1"/>
    <w:rsid w:val="002D4810"/>
    <w:rsid w:val="002D4904"/>
    <w:rsid w:val="002D5482"/>
    <w:rsid w:val="002D59A9"/>
    <w:rsid w:val="002D693C"/>
    <w:rsid w:val="002D7318"/>
    <w:rsid w:val="002D7639"/>
    <w:rsid w:val="002D7762"/>
    <w:rsid w:val="002E06AE"/>
    <w:rsid w:val="002E0905"/>
    <w:rsid w:val="002E17BB"/>
    <w:rsid w:val="002E1F95"/>
    <w:rsid w:val="002E261F"/>
    <w:rsid w:val="002E2BD7"/>
    <w:rsid w:val="002E495D"/>
    <w:rsid w:val="002E49A9"/>
    <w:rsid w:val="002E4AB8"/>
    <w:rsid w:val="002E4BF3"/>
    <w:rsid w:val="002E5EB9"/>
    <w:rsid w:val="002E62A9"/>
    <w:rsid w:val="002E654A"/>
    <w:rsid w:val="002E6DA7"/>
    <w:rsid w:val="002E70CF"/>
    <w:rsid w:val="002E773F"/>
    <w:rsid w:val="002F031C"/>
    <w:rsid w:val="002F0507"/>
    <w:rsid w:val="002F0A68"/>
    <w:rsid w:val="002F0A8C"/>
    <w:rsid w:val="002F0D6E"/>
    <w:rsid w:val="002F1252"/>
    <w:rsid w:val="002F1E79"/>
    <w:rsid w:val="002F24A8"/>
    <w:rsid w:val="002F32AE"/>
    <w:rsid w:val="002F3954"/>
    <w:rsid w:val="002F5040"/>
    <w:rsid w:val="0030014F"/>
    <w:rsid w:val="00301C62"/>
    <w:rsid w:val="0030249B"/>
    <w:rsid w:val="0030271F"/>
    <w:rsid w:val="00303A60"/>
    <w:rsid w:val="003041E5"/>
    <w:rsid w:val="00304E72"/>
    <w:rsid w:val="00305678"/>
    <w:rsid w:val="00306323"/>
    <w:rsid w:val="00306746"/>
    <w:rsid w:val="00306833"/>
    <w:rsid w:val="00310C25"/>
    <w:rsid w:val="003118B6"/>
    <w:rsid w:val="00312CDC"/>
    <w:rsid w:val="00312CEA"/>
    <w:rsid w:val="00312DE5"/>
    <w:rsid w:val="00313971"/>
    <w:rsid w:val="00314682"/>
    <w:rsid w:val="0031508C"/>
    <w:rsid w:val="00316678"/>
    <w:rsid w:val="0031674A"/>
    <w:rsid w:val="00316EB1"/>
    <w:rsid w:val="00317219"/>
    <w:rsid w:val="00317532"/>
    <w:rsid w:val="0032142F"/>
    <w:rsid w:val="00321F03"/>
    <w:rsid w:val="003232B0"/>
    <w:rsid w:val="003243F8"/>
    <w:rsid w:val="003263BE"/>
    <w:rsid w:val="003266F7"/>
    <w:rsid w:val="00327C56"/>
    <w:rsid w:val="00327F3D"/>
    <w:rsid w:val="00330DFA"/>
    <w:rsid w:val="00330EDA"/>
    <w:rsid w:val="0033196F"/>
    <w:rsid w:val="00331BB8"/>
    <w:rsid w:val="003320FA"/>
    <w:rsid w:val="003321FE"/>
    <w:rsid w:val="0033374E"/>
    <w:rsid w:val="00334767"/>
    <w:rsid w:val="00335F18"/>
    <w:rsid w:val="00336D2E"/>
    <w:rsid w:val="00336F12"/>
    <w:rsid w:val="003406F2"/>
    <w:rsid w:val="003414D6"/>
    <w:rsid w:val="0034332B"/>
    <w:rsid w:val="0034383E"/>
    <w:rsid w:val="0034552D"/>
    <w:rsid w:val="003472E7"/>
    <w:rsid w:val="00347DBB"/>
    <w:rsid w:val="003515DF"/>
    <w:rsid w:val="003550ED"/>
    <w:rsid w:val="003555FF"/>
    <w:rsid w:val="003575C6"/>
    <w:rsid w:val="0036366E"/>
    <w:rsid w:val="00363701"/>
    <w:rsid w:val="003638D4"/>
    <w:rsid w:val="00363C46"/>
    <w:rsid w:val="00364F91"/>
    <w:rsid w:val="0036554E"/>
    <w:rsid w:val="00366470"/>
    <w:rsid w:val="0036670F"/>
    <w:rsid w:val="003670BC"/>
    <w:rsid w:val="003677B1"/>
    <w:rsid w:val="00367D95"/>
    <w:rsid w:val="00370C93"/>
    <w:rsid w:val="00371D9E"/>
    <w:rsid w:val="00372478"/>
    <w:rsid w:val="00373086"/>
    <w:rsid w:val="0037324F"/>
    <w:rsid w:val="00374176"/>
    <w:rsid w:val="00376F81"/>
    <w:rsid w:val="00377DCD"/>
    <w:rsid w:val="00380439"/>
    <w:rsid w:val="003808EC"/>
    <w:rsid w:val="00380CAE"/>
    <w:rsid w:val="00381B82"/>
    <w:rsid w:val="00381C71"/>
    <w:rsid w:val="003823A3"/>
    <w:rsid w:val="003833C3"/>
    <w:rsid w:val="00384255"/>
    <w:rsid w:val="00385505"/>
    <w:rsid w:val="003856E2"/>
    <w:rsid w:val="003863D0"/>
    <w:rsid w:val="00390E82"/>
    <w:rsid w:val="003919EE"/>
    <w:rsid w:val="003945F4"/>
    <w:rsid w:val="00394EFC"/>
    <w:rsid w:val="0039626D"/>
    <w:rsid w:val="00396A82"/>
    <w:rsid w:val="00396A88"/>
    <w:rsid w:val="003A0B48"/>
    <w:rsid w:val="003A1FE4"/>
    <w:rsid w:val="003A200A"/>
    <w:rsid w:val="003A2810"/>
    <w:rsid w:val="003A3567"/>
    <w:rsid w:val="003A3FF1"/>
    <w:rsid w:val="003A43A9"/>
    <w:rsid w:val="003A57C8"/>
    <w:rsid w:val="003A6611"/>
    <w:rsid w:val="003A7971"/>
    <w:rsid w:val="003B210D"/>
    <w:rsid w:val="003B27C2"/>
    <w:rsid w:val="003B3270"/>
    <w:rsid w:val="003B3569"/>
    <w:rsid w:val="003B3CDE"/>
    <w:rsid w:val="003B66C6"/>
    <w:rsid w:val="003B759B"/>
    <w:rsid w:val="003B7974"/>
    <w:rsid w:val="003C0ED2"/>
    <w:rsid w:val="003C12E5"/>
    <w:rsid w:val="003C1B4F"/>
    <w:rsid w:val="003C1D7C"/>
    <w:rsid w:val="003C1DA7"/>
    <w:rsid w:val="003C2F73"/>
    <w:rsid w:val="003C328C"/>
    <w:rsid w:val="003C4331"/>
    <w:rsid w:val="003C44EE"/>
    <w:rsid w:val="003C477B"/>
    <w:rsid w:val="003C7BD0"/>
    <w:rsid w:val="003D18E5"/>
    <w:rsid w:val="003D2BC6"/>
    <w:rsid w:val="003D30CC"/>
    <w:rsid w:val="003D3F20"/>
    <w:rsid w:val="003D46C1"/>
    <w:rsid w:val="003D6D39"/>
    <w:rsid w:val="003D72EC"/>
    <w:rsid w:val="003D79A4"/>
    <w:rsid w:val="003D7B4F"/>
    <w:rsid w:val="003E2856"/>
    <w:rsid w:val="003E41B5"/>
    <w:rsid w:val="003E4964"/>
    <w:rsid w:val="003E4C9E"/>
    <w:rsid w:val="003E4D7D"/>
    <w:rsid w:val="003E4DEC"/>
    <w:rsid w:val="003E7397"/>
    <w:rsid w:val="003F0384"/>
    <w:rsid w:val="003F2339"/>
    <w:rsid w:val="003F29BB"/>
    <w:rsid w:val="003F4414"/>
    <w:rsid w:val="003F6966"/>
    <w:rsid w:val="003F7774"/>
    <w:rsid w:val="003F79D1"/>
    <w:rsid w:val="00400008"/>
    <w:rsid w:val="004012AE"/>
    <w:rsid w:val="00401644"/>
    <w:rsid w:val="00402A11"/>
    <w:rsid w:val="00402AD1"/>
    <w:rsid w:val="00402F9C"/>
    <w:rsid w:val="00403BD5"/>
    <w:rsid w:val="004048AE"/>
    <w:rsid w:val="004074B9"/>
    <w:rsid w:val="004079E4"/>
    <w:rsid w:val="00407F9F"/>
    <w:rsid w:val="00410D37"/>
    <w:rsid w:val="0041157A"/>
    <w:rsid w:val="004116BD"/>
    <w:rsid w:val="00411CED"/>
    <w:rsid w:val="004123BF"/>
    <w:rsid w:val="00412548"/>
    <w:rsid w:val="00413602"/>
    <w:rsid w:val="0041389E"/>
    <w:rsid w:val="004146A1"/>
    <w:rsid w:val="004157A7"/>
    <w:rsid w:val="00416176"/>
    <w:rsid w:val="0041695D"/>
    <w:rsid w:val="00417C26"/>
    <w:rsid w:val="004210A7"/>
    <w:rsid w:val="00421D3E"/>
    <w:rsid w:val="00422733"/>
    <w:rsid w:val="004234E1"/>
    <w:rsid w:val="00423930"/>
    <w:rsid w:val="00423B3B"/>
    <w:rsid w:val="00423D56"/>
    <w:rsid w:val="00425955"/>
    <w:rsid w:val="004271FA"/>
    <w:rsid w:val="00427D7F"/>
    <w:rsid w:val="004301F8"/>
    <w:rsid w:val="00430D1F"/>
    <w:rsid w:val="004311CA"/>
    <w:rsid w:val="00431B19"/>
    <w:rsid w:val="004325F2"/>
    <w:rsid w:val="0043381C"/>
    <w:rsid w:val="00433C24"/>
    <w:rsid w:val="00437B75"/>
    <w:rsid w:val="00437B97"/>
    <w:rsid w:val="00440EDA"/>
    <w:rsid w:val="004415D7"/>
    <w:rsid w:val="00441836"/>
    <w:rsid w:val="004420CB"/>
    <w:rsid w:val="004445BD"/>
    <w:rsid w:val="00444911"/>
    <w:rsid w:val="004458F3"/>
    <w:rsid w:val="004460B7"/>
    <w:rsid w:val="004464D2"/>
    <w:rsid w:val="00446842"/>
    <w:rsid w:val="00446BA0"/>
    <w:rsid w:val="00446DED"/>
    <w:rsid w:val="0045111F"/>
    <w:rsid w:val="00451F69"/>
    <w:rsid w:val="004532A2"/>
    <w:rsid w:val="004532DC"/>
    <w:rsid w:val="00453BA7"/>
    <w:rsid w:val="00454AFC"/>
    <w:rsid w:val="00456C7F"/>
    <w:rsid w:val="00460C6C"/>
    <w:rsid w:val="00460D08"/>
    <w:rsid w:val="00462491"/>
    <w:rsid w:val="00464053"/>
    <w:rsid w:val="004644DB"/>
    <w:rsid w:val="0046465E"/>
    <w:rsid w:val="004646CA"/>
    <w:rsid w:val="00465A23"/>
    <w:rsid w:val="004678AE"/>
    <w:rsid w:val="00470106"/>
    <w:rsid w:val="004710F1"/>
    <w:rsid w:val="0047131B"/>
    <w:rsid w:val="00472DCA"/>
    <w:rsid w:val="004737A6"/>
    <w:rsid w:val="00474852"/>
    <w:rsid w:val="00475769"/>
    <w:rsid w:val="00475788"/>
    <w:rsid w:val="004760DD"/>
    <w:rsid w:val="00476463"/>
    <w:rsid w:val="00476F92"/>
    <w:rsid w:val="0047728D"/>
    <w:rsid w:val="00480075"/>
    <w:rsid w:val="004813E9"/>
    <w:rsid w:val="0048153B"/>
    <w:rsid w:val="004816F7"/>
    <w:rsid w:val="00481A03"/>
    <w:rsid w:val="004830D2"/>
    <w:rsid w:val="004833F6"/>
    <w:rsid w:val="00483BDB"/>
    <w:rsid w:val="0048456E"/>
    <w:rsid w:val="00484C58"/>
    <w:rsid w:val="004858E7"/>
    <w:rsid w:val="00485CA4"/>
    <w:rsid w:val="0048654F"/>
    <w:rsid w:val="00486B07"/>
    <w:rsid w:val="00486C3D"/>
    <w:rsid w:val="0049050C"/>
    <w:rsid w:val="00490F10"/>
    <w:rsid w:val="0049144C"/>
    <w:rsid w:val="004915C2"/>
    <w:rsid w:val="0049321E"/>
    <w:rsid w:val="00493994"/>
    <w:rsid w:val="00494C6D"/>
    <w:rsid w:val="00496129"/>
    <w:rsid w:val="00496BAC"/>
    <w:rsid w:val="00496D7A"/>
    <w:rsid w:val="00497591"/>
    <w:rsid w:val="00497823"/>
    <w:rsid w:val="004A1B67"/>
    <w:rsid w:val="004A2152"/>
    <w:rsid w:val="004A381B"/>
    <w:rsid w:val="004A5FC3"/>
    <w:rsid w:val="004A69D3"/>
    <w:rsid w:val="004A6CDC"/>
    <w:rsid w:val="004A7548"/>
    <w:rsid w:val="004B0786"/>
    <w:rsid w:val="004B1430"/>
    <w:rsid w:val="004B30FF"/>
    <w:rsid w:val="004B4367"/>
    <w:rsid w:val="004B4386"/>
    <w:rsid w:val="004B4EFC"/>
    <w:rsid w:val="004B5EC2"/>
    <w:rsid w:val="004C036F"/>
    <w:rsid w:val="004C0926"/>
    <w:rsid w:val="004C0EBD"/>
    <w:rsid w:val="004D06F0"/>
    <w:rsid w:val="004D195B"/>
    <w:rsid w:val="004D1FE3"/>
    <w:rsid w:val="004D3379"/>
    <w:rsid w:val="004D433B"/>
    <w:rsid w:val="004D63BC"/>
    <w:rsid w:val="004D714D"/>
    <w:rsid w:val="004D79F9"/>
    <w:rsid w:val="004E0B27"/>
    <w:rsid w:val="004E3399"/>
    <w:rsid w:val="004E48A7"/>
    <w:rsid w:val="004E4F86"/>
    <w:rsid w:val="004E500F"/>
    <w:rsid w:val="004E5064"/>
    <w:rsid w:val="004E577A"/>
    <w:rsid w:val="004E61C0"/>
    <w:rsid w:val="004E73AD"/>
    <w:rsid w:val="004F017E"/>
    <w:rsid w:val="004F0350"/>
    <w:rsid w:val="004F0804"/>
    <w:rsid w:val="004F091F"/>
    <w:rsid w:val="004F1B04"/>
    <w:rsid w:val="004F1BF1"/>
    <w:rsid w:val="004F376C"/>
    <w:rsid w:val="004F3A4E"/>
    <w:rsid w:val="004F529F"/>
    <w:rsid w:val="004F6B85"/>
    <w:rsid w:val="0050127E"/>
    <w:rsid w:val="005024AD"/>
    <w:rsid w:val="0050491B"/>
    <w:rsid w:val="00504B95"/>
    <w:rsid w:val="00504D8E"/>
    <w:rsid w:val="0050677C"/>
    <w:rsid w:val="00506A60"/>
    <w:rsid w:val="00506BCA"/>
    <w:rsid w:val="005075C6"/>
    <w:rsid w:val="00507C2A"/>
    <w:rsid w:val="005118A6"/>
    <w:rsid w:val="00512916"/>
    <w:rsid w:val="00513A5E"/>
    <w:rsid w:val="005142A3"/>
    <w:rsid w:val="00515353"/>
    <w:rsid w:val="00515AE0"/>
    <w:rsid w:val="005166EC"/>
    <w:rsid w:val="00516DDF"/>
    <w:rsid w:val="00517F7C"/>
    <w:rsid w:val="00520591"/>
    <w:rsid w:val="0052105F"/>
    <w:rsid w:val="0052124C"/>
    <w:rsid w:val="005222BA"/>
    <w:rsid w:val="00524873"/>
    <w:rsid w:val="00526CD8"/>
    <w:rsid w:val="005303A8"/>
    <w:rsid w:val="00531E97"/>
    <w:rsid w:val="0053283B"/>
    <w:rsid w:val="00532C7E"/>
    <w:rsid w:val="005334AD"/>
    <w:rsid w:val="00533C08"/>
    <w:rsid w:val="00534CC1"/>
    <w:rsid w:val="00535429"/>
    <w:rsid w:val="0053645A"/>
    <w:rsid w:val="005364B5"/>
    <w:rsid w:val="00536FEA"/>
    <w:rsid w:val="0053701A"/>
    <w:rsid w:val="00540B89"/>
    <w:rsid w:val="00540D08"/>
    <w:rsid w:val="00540FC4"/>
    <w:rsid w:val="005423B6"/>
    <w:rsid w:val="00542B67"/>
    <w:rsid w:val="00545C60"/>
    <w:rsid w:val="00546BE5"/>
    <w:rsid w:val="0055068F"/>
    <w:rsid w:val="00551815"/>
    <w:rsid w:val="0055279C"/>
    <w:rsid w:val="0055617A"/>
    <w:rsid w:val="0055625D"/>
    <w:rsid w:val="00557027"/>
    <w:rsid w:val="00560587"/>
    <w:rsid w:val="00561C36"/>
    <w:rsid w:val="00561C82"/>
    <w:rsid w:val="00562390"/>
    <w:rsid w:val="00562D7E"/>
    <w:rsid w:val="00563954"/>
    <w:rsid w:val="005642BB"/>
    <w:rsid w:val="0056589D"/>
    <w:rsid w:val="00565FE7"/>
    <w:rsid w:val="005665D4"/>
    <w:rsid w:val="00566EF5"/>
    <w:rsid w:val="005675F3"/>
    <w:rsid w:val="00570AFA"/>
    <w:rsid w:val="005713BA"/>
    <w:rsid w:val="0057189F"/>
    <w:rsid w:val="00571AF4"/>
    <w:rsid w:val="00573AED"/>
    <w:rsid w:val="00574C64"/>
    <w:rsid w:val="005751C7"/>
    <w:rsid w:val="0057596A"/>
    <w:rsid w:val="005768F8"/>
    <w:rsid w:val="00581FAE"/>
    <w:rsid w:val="00582259"/>
    <w:rsid w:val="00582D91"/>
    <w:rsid w:val="00583ACA"/>
    <w:rsid w:val="00583C62"/>
    <w:rsid w:val="00583EF7"/>
    <w:rsid w:val="005870E2"/>
    <w:rsid w:val="00590163"/>
    <w:rsid w:val="00591A94"/>
    <w:rsid w:val="005928CE"/>
    <w:rsid w:val="00595335"/>
    <w:rsid w:val="005958D4"/>
    <w:rsid w:val="00595B74"/>
    <w:rsid w:val="00595CC2"/>
    <w:rsid w:val="00597FB4"/>
    <w:rsid w:val="005A0564"/>
    <w:rsid w:val="005A1B09"/>
    <w:rsid w:val="005A3996"/>
    <w:rsid w:val="005A3DA8"/>
    <w:rsid w:val="005A4625"/>
    <w:rsid w:val="005A4D18"/>
    <w:rsid w:val="005A500F"/>
    <w:rsid w:val="005A71B6"/>
    <w:rsid w:val="005B059D"/>
    <w:rsid w:val="005B2963"/>
    <w:rsid w:val="005B2F4F"/>
    <w:rsid w:val="005B333F"/>
    <w:rsid w:val="005B45D2"/>
    <w:rsid w:val="005B45D6"/>
    <w:rsid w:val="005B4F30"/>
    <w:rsid w:val="005B67F4"/>
    <w:rsid w:val="005B6CDC"/>
    <w:rsid w:val="005B7994"/>
    <w:rsid w:val="005C09F4"/>
    <w:rsid w:val="005C1377"/>
    <w:rsid w:val="005C2126"/>
    <w:rsid w:val="005C5220"/>
    <w:rsid w:val="005C5C91"/>
    <w:rsid w:val="005C5D5C"/>
    <w:rsid w:val="005C6C29"/>
    <w:rsid w:val="005C7456"/>
    <w:rsid w:val="005C7DC3"/>
    <w:rsid w:val="005D0827"/>
    <w:rsid w:val="005D0DFD"/>
    <w:rsid w:val="005D100A"/>
    <w:rsid w:val="005D164E"/>
    <w:rsid w:val="005D26A6"/>
    <w:rsid w:val="005D2831"/>
    <w:rsid w:val="005D32F7"/>
    <w:rsid w:val="005D3C99"/>
    <w:rsid w:val="005D4B38"/>
    <w:rsid w:val="005D5942"/>
    <w:rsid w:val="005D600F"/>
    <w:rsid w:val="005D68B4"/>
    <w:rsid w:val="005D7458"/>
    <w:rsid w:val="005D76A2"/>
    <w:rsid w:val="005D774A"/>
    <w:rsid w:val="005E0208"/>
    <w:rsid w:val="005E239E"/>
    <w:rsid w:val="005E3601"/>
    <w:rsid w:val="005E3630"/>
    <w:rsid w:val="005E38E8"/>
    <w:rsid w:val="005E4BED"/>
    <w:rsid w:val="005E4DF8"/>
    <w:rsid w:val="005E5030"/>
    <w:rsid w:val="005E54A4"/>
    <w:rsid w:val="005E558B"/>
    <w:rsid w:val="005E5610"/>
    <w:rsid w:val="005F0360"/>
    <w:rsid w:val="005F0406"/>
    <w:rsid w:val="005F1A50"/>
    <w:rsid w:val="005F2DB6"/>
    <w:rsid w:val="005F3C66"/>
    <w:rsid w:val="005F42F2"/>
    <w:rsid w:val="005F443F"/>
    <w:rsid w:val="005F50BF"/>
    <w:rsid w:val="005F6C03"/>
    <w:rsid w:val="006008DF"/>
    <w:rsid w:val="00600E49"/>
    <w:rsid w:val="00600F23"/>
    <w:rsid w:val="00602129"/>
    <w:rsid w:val="006022B2"/>
    <w:rsid w:val="00606243"/>
    <w:rsid w:val="00607B5E"/>
    <w:rsid w:val="0061038A"/>
    <w:rsid w:val="006105C5"/>
    <w:rsid w:val="00610842"/>
    <w:rsid w:val="00610FA0"/>
    <w:rsid w:val="0061135C"/>
    <w:rsid w:val="006115AA"/>
    <w:rsid w:val="00612745"/>
    <w:rsid w:val="00613EB5"/>
    <w:rsid w:val="00615B5F"/>
    <w:rsid w:val="00615E29"/>
    <w:rsid w:val="006175E4"/>
    <w:rsid w:val="006201AC"/>
    <w:rsid w:val="00620D53"/>
    <w:rsid w:val="00623FF2"/>
    <w:rsid w:val="0062474F"/>
    <w:rsid w:val="00626303"/>
    <w:rsid w:val="00626E1F"/>
    <w:rsid w:val="0062725A"/>
    <w:rsid w:val="0063035A"/>
    <w:rsid w:val="00630A5E"/>
    <w:rsid w:val="00631212"/>
    <w:rsid w:val="00631911"/>
    <w:rsid w:val="0063647F"/>
    <w:rsid w:val="00636A69"/>
    <w:rsid w:val="00642F71"/>
    <w:rsid w:val="00644B11"/>
    <w:rsid w:val="0064531F"/>
    <w:rsid w:val="006467B5"/>
    <w:rsid w:val="006478BF"/>
    <w:rsid w:val="00647A22"/>
    <w:rsid w:val="00651705"/>
    <w:rsid w:val="00651913"/>
    <w:rsid w:val="00653646"/>
    <w:rsid w:val="006543F4"/>
    <w:rsid w:val="00654C5F"/>
    <w:rsid w:val="00654DF1"/>
    <w:rsid w:val="00657AF1"/>
    <w:rsid w:val="006625F0"/>
    <w:rsid w:val="0066306C"/>
    <w:rsid w:val="0066612A"/>
    <w:rsid w:val="006677B0"/>
    <w:rsid w:val="00667ACF"/>
    <w:rsid w:val="00670062"/>
    <w:rsid w:val="006702FC"/>
    <w:rsid w:val="00671AF8"/>
    <w:rsid w:val="0067256E"/>
    <w:rsid w:val="006726D1"/>
    <w:rsid w:val="00673A43"/>
    <w:rsid w:val="00674064"/>
    <w:rsid w:val="006764B0"/>
    <w:rsid w:val="006764F9"/>
    <w:rsid w:val="0068137D"/>
    <w:rsid w:val="00681EE0"/>
    <w:rsid w:val="00682B4C"/>
    <w:rsid w:val="00683DC0"/>
    <w:rsid w:val="00685CE6"/>
    <w:rsid w:val="00686614"/>
    <w:rsid w:val="00691A87"/>
    <w:rsid w:val="00694A83"/>
    <w:rsid w:val="006953A5"/>
    <w:rsid w:val="00695F1A"/>
    <w:rsid w:val="00696357"/>
    <w:rsid w:val="00696DF1"/>
    <w:rsid w:val="006A0FCA"/>
    <w:rsid w:val="006A1D98"/>
    <w:rsid w:val="006A3072"/>
    <w:rsid w:val="006A33EF"/>
    <w:rsid w:val="006A3D8E"/>
    <w:rsid w:val="006A4E49"/>
    <w:rsid w:val="006A7187"/>
    <w:rsid w:val="006A7560"/>
    <w:rsid w:val="006B186D"/>
    <w:rsid w:val="006B1DFC"/>
    <w:rsid w:val="006B23AE"/>
    <w:rsid w:val="006B2D9A"/>
    <w:rsid w:val="006B3527"/>
    <w:rsid w:val="006B48F9"/>
    <w:rsid w:val="006B535D"/>
    <w:rsid w:val="006B65D1"/>
    <w:rsid w:val="006B6B74"/>
    <w:rsid w:val="006B6C6B"/>
    <w:rsid w:val="006B6D3A"/>
    <w:rsid w:val="006B7627"/>
    <w:rsid w:val="006B7B94"/>
    <w:rsid w:val="006C0083"/>
    <w:rsid w:val="006C06CB"/>
    <w:rsid w:val="006C2D10"/>
    <w:rsid w:val="006C3C0D"/>
    <w:rsid w:val="006C5441"/>
    <w:rsid w:val="006C5C98"/>
    <w:rsid w:val="006C6BF8"/>
    <w:rsid w:val="006C75AB"/>
    <w:rsid w:val="006D27B0"/>
    <w:rsid w:val="006D4572"/>
    <w:rsid w:val="006D45D0"/>
    <w:rsid w:val="006D5D26"/>
    <w:rsid w:val="006D6DD4"/>
    <w:rsid w:val="006D719D"/>
    <w:rsid w:val="006E0A0D"/>
    <w:rsid w:val="006E2081"/>
    <w:rsid w:val="006E21B3"/>
    <w:rsid w:val="006E232C"/>
    <w:rsid w:val="006E26C1"/>
    <w:rsid w:val="006E287B"/>
    <w:rsid w:val="006E2E5C"/>
    <w:rsid w:val="006E3A41"/>
    <w:rsid w:val="006E50C0"/>
    <w:rsid w:val="006E7D1C"/>
    <w:rsid w:val="006F1904"/>
    <w:rsid w:val="006F3177"/>
    <w:rsid w:val="006F3861"/>
    <w:rsid w:val="006F4440"/>
    <w:rsid w:val="006F5079"/>
    <w:rsid w:val="006F668C"/>
    <w:rsid w:val="006F6774"/>
    <w:rsid w:val="006F6B94"/>
    <w:rsid w:val="00700254"/>
    <w:rsid w:val="00701FF7"/>
    <w:rsid w:val="00704F02"/>
    <w:rsid w:val="00706D83"/>
    <w:rsid w:val="00707D3D"/>
    <w:rsid w:val="00710881"/>
    <w:rsid w:val="007108A0"/>
    <w:rsid w:val="00711DE7"/>
    <w:rsid w:val="00712F52"/>
    <w:rsid w:val="00713551"/>
    <w:rsid w:val="00714ACB"/>
    <w:rsid w:val="00717161"/>
    <w:rsid w:val="007204C5"/>
    <w:rsid w:val="00720FB5"/>
    <w:rsid w:val="0072116B"/>
    <w:rsid w:val="00721E06"/>
    <w:rsid w:val="007253C6"/>
    <w:rsid w:val="00726C25"/>
    <w:rsid w:val="007270CE"/>
    <w:rsid w:val="00727A3C"/>
    <w:rsid w:val="007313F6"/>
    <w:rsid w:val="007322A0"/>
    <w:rsid w:val="00732859"/>
    <w:rsid w:val="007329C4"/>
    <w:rsid w:val="007337DC"/>
    <w:rsid w:val="007338D1"/>
    <w:rsid w:val="00734086"/>
    <w:rsid w:val="00735B4B"/>
    <w:rsid w:val="00735DCA"/>
    <w:rsid w:val="00736EDF"/>
    <w:rsid w:val="0073727C"/>
    <w:rsid w:val="007375CF"/>
    <w:rsid w:val="00741C4B"/>
    <w:rsid w:val="00743FEE"/>
    <w:rsid w:val="00744312"/>
    <w:rsid w:val="007449FE"/>
    <w:rsid w:val="00745021"/>
    <w:rsid w:val="00745352"/>
    <w:rsid w:val="007458A7"/>
    <w:rsid w:val="0074597F"/>
    <w:rsid w:val="00745CDD"/>
    <w:rsid w:val="00745EB0"/>
    <w:rsid w:val="00746DCC"/>
    <w:rsid w:val="00746FD7"/>
    <w:rsid w:val="00750030"/>
    <w:rsid w:val="007506EE"/>
    <w:rsid w:val="0075145D"/>
    <w:rsid w:val="00751DEB"/>
    <w:rsid w:val="00751F41"/>
    <w:rsid w:val="00751FA6"/>
    <w:rsid w:val="00753E2D"/>
    <w:rsid w:val="00754454"/>
    <w:rsid w:val="00754B1E"/>
    <w:rsid w:val="0076063C"/>
    <w:rsid w:val="0076063F"/>
    <w:rsid w:val="00761F79"/>
    <w:rsid w:val="0076430A"/>
    <w:rsid w:val="007653F7"/>
    <w:rsid w:val="00766778"/>
    <w:rsid w:val="00772C24"/>
    <w:rsid w:val="007732B7"/>
    <w:rsid w:val="0077388E"/>
    <w:rsid w:val="007776EA"/>
    <w:rsid w:val="007812F4"/>
    <w:rsid w:val="007817B2"/>
    <w:rsid w:val="00781D14"/>
    <w:rsid w:val="00782070"/>
    <w:rsid w:val="007824E0"/>
    <w:rsid w:val="00783D16"/>
    <w:rsid w:val="00785A8B"/>
    <w:rsid w:val="00785CB7"/>
    <w:rsid w:val="007869EF"/>
    <w:rsid w:val="00786DFD"/>
    <w:rsid w:val="00787134"/>
    <w:rsid w:val="00790985"/>
    <w:rsid w:val="00795211"/>
    <w:rsid w:val="007954F2"/>
    <w:rsid w:val="0079585B"/>
    <w:rsid w:val="0079636B"/>
    <w:rsid w:val="007965F1"/>
    <w:rsid w:val="00796CC8"/>
    <w:rsid w:val="00796E2C"/>
    <w:rsid w:val="007A0563"/>
    <w:rsid w:val="007A1721"/>
    <w:rsid w:val="007A1A67"/>
    <w:rsid w:val="007A4229"/>
    <w:rsid w:val="007A54F7"/>
    <w:rsid w:val="007A6B4E"/>
    <w:rsid w:val="007B06B9"/>
    <w:rsid w:val="007B22F9"/>
    <w:rsid w:val="007B2D7B"/>
    <w:rsid w:val="007B2DBE"/>
    <w:rsid w:val="007B2F0B"/>
    <w:rsid w:val="007B3A9E"/>
    <w:rsid w:val="007C1DC9"/>
    <w:rsid w:val="007C2A79"/>
    <w:rsid w:val="007C3A5E"/>
    <w:rsid w:val="007C48D6"/>
    <w:rsid w:val="007C493C"/>
    <w:rsid w:val="007C5083"/>
    <w:rsid w:val="007C7EA3"/>
    <w:rsid w:val="007D0838"/>
    <w:rsid w:val="007D08D1"/>
    <w:rsid w:val="007D1FDE"/>
    <w:rsid w:val="007D21BC"/>
    <w:rsid w:val="007D2E09"/>
    <w:rsid w:val="007D2E68"/>
    <w:rsid w:val="007D3435"/>
    <w:rsid w:val="007D3679"/>
    <w:rsid w:val="007D3873"/>
    <w:rsid w:val="007D3AC7"/>
    <w:rsid w:val="007D4E8E"/>
    <w:rsid w:val="007D51C2"/>
    <w:rsid w:val="007D600C"/>
    <w:rsid w:val="007D66A3"/>
    <w:rsid w:val="007E0C17"/>
    <w:rsid w:val="007E17BC"/>
    <w:rsid w:val="007E2C20"/>
    <w:rsid w:val="007E3BF1"/>
    <w:rsid w:val="007E5934"/>
    <w:rsid w:val="007E5E2B"/>
    <w:rsid w:val="007E5F6C"/>
    <w:rsid w:val="007E66CE"/>
    <w:rsid w:val="007E727F"/>
    <w:rsid w:val="007E733E"/>
    <w:rsid w:val="007F1C4B"/>
    <w:rsid w:val="007F24C1"/>
    <w:rsid w:val="007F26EB"/>
    <w:rsid w:val="007F29D4"/>
    <w:rsid w:val="007F2B52"/>
    <w:rsid w:val="007F3DB4"/>
    <w:rsid w:val="007F44E6"/>
    <w:rsid w:val="007F4AEB"/>
    <w:rsid w:val="007F5AF9"/>
    <w:rsid w:val="007F6252"/>
    <w:rsid w:val="007F6EDD"/>
    <w:rsid w:val="007F6EE9"/>
    <w:rsid w:val="007F7AE1"/>
    <w:rsid w:val="00800230"/>
    <w:rsid w:val="0080126D"/>
    <w:rsid w:val="00801CF4"/>
    <w:rsid w:val="00805FA7"/>
    <w:rsid w:val="00807577"/>
    <w:rsid w:val="008079AD"/>
    <w:rsid w:val="00812BA7"/>
    <w:rsid w:val="00813C9E"/>
    <w:rsid w:val="00813DC5"/>
    <w:rsid w:val="00814800"/>
    <w:rsid w:val="008156CF"/>
    <w:rsid w:val="00816249"/>
    <w:rsid w:val="00817F0A"/>
    <w:rsid w:val="008209FA"/>
    <w:rsid w:val="00821BAF"/>
    <w:rsid w:val="008221F7"/>
    <w:rsid w:val="00822A6D"/>
    <w:rsid w:val="008230FC"/>
    <w:rsid w:val="00824062"/>
    <w:rsid w:val="008242B0"/>
    <w:rsid w:val="0082447A"/>
    <w:rsid w:val="0082455D"/>
    <w:rsid w:val="00825082"/>
    <w:rsid w:val="00825545"/>
    <w:rsid w:val="0082626B"/>
    <w:rsid w:val="00826E2B"/>
    <w:rsid w:val="00827772"/>
    <w:rsid w:val="00827FB4"/>
    <w:rsid w:val="00830F0B"/>
    <w:rsid w:val="00832818"/>
    <w:rsid w:val="00834B98"/>
    <w:rsid w:val="00836B8F"/>
    <w:rsid w:val="00836C74"/>
    <w:rsid w:val="00836D6B"/>
    <w:rsid w:val="0084138E"/>
    <w:rsid w:val="0084152F"/>
    <w:rsid w:val="008419AF"/>
    <w:rsid w:val="00844669"/>
    <w:rsid w:val="00844729"/>
    <w:rsid w:val="00845021"/>
    <w:rsid w:val="008454C4"/>
    <w:rsid w:val="00845B1C"/>
    <w:rsid w:val="00845C66"/>
    <w:rsid w:val="00846056"/>
    <w:rsid w:val="0084671C"/>
    <w:rsid w:val="008510AD"/>
    <w:rsid w:val="00852085"/>
    <w:rsid w:val="008524A5"/>
    <w:rsid w:val="0085478E"/>
    <w:rsid w:val="00854896"/>
    <w:rsid w:val="0085560F"/>
    <w:rsid w:val="00856386"/>
    <w:rsid w:val="00856A49"/>
    <w:rsid w:val="00857851"/>
    <w:rsid w:val="00857B46"/>
    <w:rsid w:val="0086121B"/>
    <w:rsid w:val="00862AA0"/>
    <w:rsid w:val="0086579C"/>
    <w:rsid w:val="00866371"/>
    <w:rsid w:val="00867361"/>
    <w:rsid w:val="008677CE"/>
    <w:rsid w:val="00872C29"/>
    <w:rsid w:val="0087305F"/>
    <w:rsid w:val="00873391"/>
    <w:rsid w:val="00874281"/>
    <w:rsid w:val="008742A7"/>
    <w:rsid w:val="00876001"/>
    <w:rsid w:val="008768D9"/>
    <w:rsid w:val="008769FE"/>
    <w:rsid w:val="0088145E"/>
    <w:rsid w:val="00883096"/>
    <w:rsid w:val="00883197"/>
    <w:rsid w:val="0088494E"/>
    <w:rsid w:val="0088792F"/>
    <w:rsid w:val="00890BA8"/>
    <w:rsid w:val="00894D8B"/>
    <w:rsid w:val="008950F5"/>
    <w:rsid w:val="00895791"/>
    <w:rsid w:val="00895914"/>
    <w:rsid w:val="0089613F"/>
    <w:rsid w:val="00896A4A"/>
    <w:rsid w:val="008975A7"/>
    <w:rsid w:val="008A34E1"/>
    <w:rsid w:val="008A472E"/>
    <w:rsid w:val="008A60A8"/>
    <w:rsid w:val="008A7148"/>
    <w:rsid w:val="008A78FA"/>
    <w:rsid w:val="008A7DA4"/>
    <w:rsid w:val="008B04E0"/>
    <w:rsid w:val="008B0832"/>
    <w:rsid w:val="008B1D8A"/>
    <w:rsid w:val="008B2430"/>
    <w:rsid w:val="008B3407"/>
    <w:rsid w:val="008B3FFD"/>
    <w:rsid w:val="008B4CBF"/>
    <w:rsid w:val="008B4FDA"/>
    <w:rsid w:val="008B618E"/>
    <w:rsid w:val="008B6308"/>
    <w:rsid w:val="008C1A4B"/>
    <w:rsid w:val="008C3057"/>
    <w:rsid w:val="008C308C"/>
    <w:rsid w:val="008C3457"/>
    <w:rsid w:val="008C67FB"/>
    <w:rsid w:val="008C68F9"/>
    <w:rsid w:val="008C75FE"/>
    <w:rsid w:val="008C7F34"/>
    <w:rsid w:val="008D1E23"/>
    <w:rsid w:val="008D3E31"/>
    <w:rsid w:val="008D4B01"/>
    <w:rsid w:val="008D6A65"/>
    <w:rsid w:val="008D734F"/>
    <w:rsid w:val="008E1FE6"/>
    <w:rsid w:val="008E46EE"/>
    <w:rsid w:val="008E5825"/>
    <w:rsid w:val="008E7608"/>
    <w:rsid w:val="008E77BA"/>
    <w:rsid w:val="008F0DF3"/>
    <w:rsid w:val="008F0E64"/>
    <w:rsid w:val="008F1247"/>
    <w:rsid w:val="008F1BF9"/>
    <w:rsid w:val="008F29F4"/>
    <w:rsid w:val="008F3849"/>
    <w:rsid w:val="008F4562"/>
    <w:rsid w:val="008F49B5"/>
    <w:rsid w:val="008F4B61"/>
    <w:rsid w:val="008F545D"/>
    <w:rsid w:val="008F58BD"/>
    <w:rsid w:val="008F5DF3"/>
    <w:rsid w:val="008F5E6B"/>
    <w:rsid w:val="008F5F48"/>
    <w:rsid w:val="008F651F"/>
    <w:rsid w:val="008F6F14"/>
    <w:rsid w:val="008F74FE"/>
    <w:rsid w:val="008F75F6"/>
    <w:rsid w:val="009023D2"/>
    <w:rsid w:val="00902E8E"/>
    <w:rsid w:val="00903E85"/>
    <w:rsid w:val="00904594"/>
    <w:rsid w:val="00906690"/>
    <w:rsid w:val="00906A25"/>
    <w:rsid w:val="00907C27"/>
    <w:rsid w:val="00912BE8"/>
    <w:rsid w:val="00915507"/>
    <w:rsid w:val="009155C5"/>
    <w:rsid w:val="00917F30"/>
    <w:rsid w:val="00921119"/>
    <w:rsid w:val="00923229"/>
    <w:rsid w:val="009236DD"/>
    <w:rsid w:val="00923CB6"/>
    <w:rsid w:val="00923DEC"/>
    <w:rsid w:val="00924174"/>
    <w:rsid w:val="0092600E"/>
    <w:rsid w:val="0092673E"/>
    <w:rsid w:val="00927C0C"/>
    <w:rsid w:val="009304E3"/>
    <w:rsid w:val="009314F3"/>
    <w:rsid w:val="009325D8"/>
    <w:rsid w:val="00932F7E"/>
    <w:rsid w:val="009338E4"/>
    <w:rsid w:val="0093403D"/>
    <w:rsid w:val="0093520B"/>
    <w:rsid w:val="00935A1F"/>
    <w:rsid w:val="0093631E"/>
    <w:rsid w:val="00936BC8"/>
    <w:rsid w:val="00942A68"/>
    <w:rsid w:val="00943FBC"/>
    <w:rsid w:val="00944252"/>
    <w:rsid w:val="00944C73"/>
    <w:rsid w:val="00945C1A"/>
    <w:rsid w:val="0094679D"/>
    <w:rsid w:val="009478C4"/>
    <w:rsid w:val="0095028F"/>
    <w:rsid w:val="00950A78"/>
    <w:rsid w:val="009515DE"/>
    <w:rsid w:val="00952064"/>
    <w:rsid w:val="009522E9"/>
    <w:rsid w:val="00952E8C"/>
    <w:rsid w:val="0095376B"/>
    <w:rsid w:val="00953A0B"/>
    <w:rsid w:val="009547DE"/>
    <w:rsid w:val="00955DE5"/>
    <w:rsid w:val="009568F2"/>
    <w:rsid w:val="009603BB"/>
    <w:rsid w:val="009615E6"/>
    <w:rsid w:val="009626F7"/>
    <w:rsid w:val="00962B38"/>
    <w:rsid w:val="0096512A"/>
    <w:rsid w:val="00966833"/>
    <w:rsid w:val="00966D7B"/>
    <w:rsid w:val="009704CC"/>
    <w:rsid w:val="009712AD"/>
    <w:rsid w:val="00972016"/>
    <w:rsid w:val="00972033"/>
    <w:rsid w:val="00973B52"/>
    <w:rsid w:val="00975131"/>
    <w:rsid w:val="00975AA9"/>
    <w:rsid w:val="00975C7D"/>
    <w:rsid w:val="00976478"/>
    <w:rsid w:val="00976996"/>
    <w:rsid w:val="00976FA9"/>
    <w:rsid w:val="009776A4"/>
    <w:rsid w:val="00977B79"/>
    <w:rsid w:val="00980229"/>
    <w:rsid w:val="00983801"/>
    <w:rsid w:val="00983D31"/>
    <w:rsid w:val="00985939"/>
    <w:rsid w:val="00986065"/>
    <w:rsid w:val="00987A19"/>
    <w:rsid w:val="009914D9"/>
    <w:rsid w:val="00993494"/>
    <w:rsid w:val="00994C84"/>
    <w:rsid w:val="00995565"/>
    <w:rsid w:val="0099617A"/>
    <w:rsid w:val="00997803"/>
    <w:rsid w:val="009A0242"/>
    <w:rsid w:val="009A3E79"/>
    <w:rsid w:val="009A5024"/>
    <w:rsid w:val="009A5E01"/>
    <w:rsid w:val="009A6106"/>
    <w:rsid w:val="009A6228"/>
    <w:rsid w:val="009A6E57"/>
    <w:rsid w:val="009A7A5F"/>
    <w:rsid w:val="009A7CAB"/>
    <w:rsid w:val="009B11CE"/>
    <w:rsid w:val="009B12F7"/>
    <w:rsid w:val="009B1951"/>
    <w:rsid w:val="009B2E80"/>
    <w:rsid w:val="009B334B"/>
    <w:rsid w:val="009B3694"/>
    <w:rsid w:val="009B40BA"/>
    <w:rsid w:val="009B5348"/>
    <w:rsid w:val="009B587E"/>
    <w:rsid w:val="009B6FDE"/>
    <w:rsid w:val="009C0D1C"/>
    <w:rsid w:val="009C2B7D"/>
    <w:rsid w:val="009C2D0A"/>
    <w:rsid w:val="009C3B52"/>
    <w:rsid w:val="009C4325"/>
    <w:rsid w:val="009C4707"/>
    <w:rsid w:val="009C5509"/>
    <w:rsid w:val="009C5C4C"/>
    <w:rsid w:val="009C6044"/>
    <w:rsid w:val="009C63B4"/>
    <w:rsid w:val="009C6DDE"/>
    <w:rsid w:val="009C6E92"/>
    <w:rsid w:val="009D18F0"/>
    <w:rsid w:val="009D2BE0"/>
    <w:rsid w:val="009D3590"/>
    <w:rsid w:val="009D3BCC"/>
    <w:rsid w:val="009E4167"/>
    <w:rsid w:val="009E580F"/>
    <w:rsid w:val="009E7EDE"/>
    <w:rsid w:val="009F28C6"/>
    <w:rsid w:val="009F36B0"/>
    <w:rsid w:val="009F446F"/>
    <w:rsid w:val="009F5D6E"/>
    <w:rsid w:val="009F5DD1"/>
    <w:rsid w:val="009F61A8"/>
    <w:rsid w:val="009F7AB6"/>
    <w:rsid w:val="00A00066"/>
    <w:rsid w:val="00A00A5F"/>
    <w:rsid w:val="00A037E3"/>
    <w:rsid w:val="00A062A5"/>
    <w:rsid w:val="00A077BA"/>
    <w:rsid w:val="00A109C9"/>
    <w:rsid w:val="00A117E5"/>
    <w:rsid w:val="00A12B29"/>
    <w:rsid w:val="00A13D22"/>
    <w:rsid w:val="00A146F8"/>
    <w:rsid w:val="00A15818"/>
    <w:rsid w:val="00A17120"/>
    <w:rsid w:val="00A2210E"/>
    <w:rsid w:val="00A2232E"/>
    <w:rsid w:val="00A2271E"/>
    <w:rsid w:val="00A22E48"/>
    <w:rsid w:val="00A2311E"/>
    <w:rsid w:val="00A24C9E"/>
    <w:rsid w:val="00A26D19"/>
    <w:rsid w:val="00A26FD7"/>
    <w:rsid w:val="00A30FD3"/>
    <w:rsid w:val="00A34FB3"/>
    <w:rsid w:val="00A351D9"/>
    <w:rsid w:val="00A35C62"/>
    <w:rsid w:val="00A35D73"/>
    <w:rsid w:val="00A36FF0"/>
    <w:rsid w:val="00A370E4"/>
    <w:rsid w:val="00A37946"/>
    <w:rsid w:val="00A37F88"/>
    <w:rsid w:val="00A37F9A"/>
    <w:rsid w:val="00A401B5"/>
    <w:rsid w:val="00A410E3"/>
    <w:rsid w:val="00A424FC"/>
    <w:rsid w:val="00A4284C"/>
    <w:rsid w:val="00A42BBE"/>
    <w:rsid w:val="00A44A4F"/>
    <w:rsid w:val="00A44E8D"/>
    <w:rsid w:val="00A44F3E"/>
    <w:rsid w:val="00A46E38"/>
    <w:rsid w:val="00A46EE6"/>
    <w:rsid w:val="00A504D4"/>
    <w:rsid w:val="00A52F0F"/>
    <w:rsid w:val="00A54B71"/>
    <w:rsid w:val="00A55736"/>
    <w:rsid w:val="00A5682F"/>
    <w:rsid w:val="00A56FBC"/>
    <w:rsid w:val="00A57C8A"/>
    <w:rsid w:val="00A60B7A"/>
    <w:rsid w:val="00A611D6"/>
    <w:rsid w:val="00A61975"/>
    <w:rsid w:val="00A620AF"/>
    <w:rsid w:val="00A623A9"/>
    <w:rsid w:val="00A632F7"/>
    <w:rsid w:val="00A65109"/>
    <w:rsid w:val="00A678E0"/>
    <w:rsid w:val="00A67E64"/>
    <w:rsid w:val="00A7108D"/>
    <w:rsid w:val="00A71749"/>
    <w:rsid w:val="00A71BBA"/>
    <w:rsid w:val="00A72035"/>
    <w:rsid w:val="00A7418A"/>
    <w:rsid w:val="00A757F4"/>
    <w:rsid w:val="00A75CB3"/>
    <w:rsid w:val="00A76678"/>
    <w:rsid w:val="00A7680A"/>
    <w:rsid w:val="00A76875"/>
    <w:rsid w:val="00A7730D"/>
    <w:rsid w:val="00A80D38"/>
    <w:rsid w:val="00A82407"/>
    <w:rsid w:val="00A825EA"/>
    <w:rsid w:val="00A8327C"/>
    <w:rsid w:val="00A837D3"/>
    <w:rsid w:val="00A84826"/>
    <w:rsid w:val="00A850CE"/>
    <w:rsid w:val="00A906A1"/>
    <w:rsid w:val="00A90904"/>
    <w:rsid w:val="00A92065"/>
    <w:rsid w:val="00A95A09"/>
    <w:rsid w:val="00A95CF8"/>
    <w:rsid w:val="00A9711D"/>
    <w:rsid w:val="00A97739"/>
    <w:rsid w:val="00AA0293"/>
    <w:rsid w:val="00AA16F5"/>
    <w:rsid w:val="00AA180F"/>
    <w:rsid w:val="00AA373B"/>
    <w:rsid w:val="00AA392E"/>
    <w:rsid w:val="00AA630F"/>
    <w:rsid w:val="00AB108E"/>
    <w:rsid w:val="00AB1BD1"/>
    <w:rsid w:val="00AB1EFE"/>
    <w:rsid w:val="00AB2637"/>
    <w:rsid w:val="00AB39D1"/>
    <w:rsid w:val="00AB40E3"/>
    <w:rsid w:val="00AB481A"/>
    <w:rsid w:val="00AB5A42"/>
    <w:rsid w:val="00AB603D"/>
    <w:rsid w:val="00AB6388"/>
    <w:rsid w:val="00AB6C65"/>
    <w:rsid w:val="00AB70D9"/>
    <w:rsid w:val="00AC05BC"/>
    <w:rsid w:val="00AC09A1"/>
    <w:rsid w:val="00AC2A16"/>
    <w:rsid w:val="00AC5CEC"/>
    <w:rsid w:val="00AC5F7D"/>
    <w:rsid w:val="00AC681B"/>
    <w:rsid w:val="00AC6ED9"/>
    <w:rsid w:val="00AD06A7"/>
    <w:rsid w:val="00AD0AC0"/>
    <w:rsid w:val="00AD0BF0"/>
    <w:rsid w:val="00AD0C84"/>
    <w:rsid w:val="00AD0E48"/>
    <w:rsid w:val="00AD1217"/>
    <w:rsid w:val="00AD1331"/>
    <w:rsid w:val="00AD1574"/>
    <w:rsid w:val="00AD2034"/>
    <w:rsid w:val="00AD35AF"/>
    <w:rsid w:val="00AD5637"/>
    <w:rsid w:val="00AD5809"/>
    <w:rsid w:val="00AE017C"/>
    <w:rsid w:val="00AE1898"/>
    <w:rsid w:val="00AE6B5D"/>
    <w:rsid w:val="00AE70A8"/>
    <w:rsid w:val="00AE7437"/>
    <w:rsid w:val="00AE7DC6"/>
    <w:rsid w:val="00AF13FA"/>
    <w:rsid w:val="00AF1C53"/>
    <w:rsid w:val="00AF1EF4"/>
    <w:rsid w:val="00AF4942"/>
    <w:rsid w:val="00AF50C3"/>
    <w:rsid w:val="00B014D7"/>
    <w:rsid w:val="00B01637"/>
    <w:rsid w:val="00B021FC"/>
    <w:rsid w:val="00B04F41"/>
    <w:rsid w:val="00B05E39"/>
    <w:rsid w:val="00B062E4"/>
    <w:rsid w:val="00B07561"/>
    <w:rsid w:val="00B10650"/>
    <w:rsid w:val="00B110C9"/>
    <w:rsid w:val="00B124EB"/>
    <w:rsid w:val="00B135EB"/>
    <w:rsid w:val="00B13AFF"/>
    <w:rsid w:val="00B15E34"/>
    <w:rsid w:val="00B15F5D"/>
    <w:rsid w:val="00B1636A"/>
    <w:rsid w:val="00B1661F"/>
    <w:rsid w:val="00B17416"/>
    <w:rsid w:val="00B174CC"/>
    <w:rsid w:val="00B177A0"/>
    <w:rsid w:val="00B21103"/>
    <w:rsid w:val="00B21E3E"/>
    <w:rsid w:val="00B22AAF"/>
    <w:rsid w:val="00B231D0"/>
    <w:rsid w:val="00B2462E"/>
    <w:rsid w:val="00B252CF"/>
    <w:rsid w:val="00B268DE"/>
    <w:rsid w:val="00B26EB6"/>
    <w:rsid w:val="00B2704C"/>
    <w:rsid w:val="00B30389"/>
    <w:rsid w:val="00B342DE"/>
    <w:rsid w:val="00B3536E"/>
    <w:rsid w:val="00B358B2"/>
    <w:rsid w:val="00B35AE0"/>
    <w:rsid w:val="00B36024"/>
    <w:rsid w:val="00B3701C"/>
    <w:rsid w:val="00B3742F"/>
    <w:rsid w:val="00B377CA"/>
    <w:rsid w:val="00B37A94"/>
    <w:rsid w:val="00B37B71"/>
    <w:rsid w:val="00B40137"/>
    <w:rsid w:val="00B40779"/>
    <w:rsid w:val="00B40A38"/>
    <w:rsid w:val="00B41B6A"/>
    <w:rsid w:val="00B4254B"/>
    <w:rsid w:val="00B44698"/>
    <w:rsid w:val="00B453BB"/>
    <w:rsid w:val="00B45518"/>
    <w:rsid w:val="00B50213"/>
    <w:rsid w:val="00B503CD"/>
    <w:rsid w:val="00B50796"/>
    <w:rsid w:val="00B517FA"/>
    <w:rsid w:val="00B539CD"/>
    <w:rsid w:val="00B54420"/>
    <w:rsid w:val="00B55A49"/>
    <w:rsid w:val="00B56C58"/>
    <w:rsid w:val="00B57BD9"/>
    <w:rsid w:val="00B617ED"/>
    <w:rsid w:val="00B62246"/>
    <w:rsid w:val="00B646E1"/>
    <w:rsid w:val="00B65B74"/>
    <w:rsid w:val="00B673A3"/>
    <w:rsid w:val="00B67A96"/>
    <w:rsid w:val="00B7018E"/>
    <w:rsid w:val="00B7333F"/>
    <w:rsid w:val="00B73F07"/>
    <w:rsid w:val="00B7493D"/>
    <w:rsid w:val="00B74B43"/>
    <w:rsid w:val="00B74DAE"/>
    <w:rsid w:val="00B75B45"/>
    <w:rsid w:val="00B75CEB"/>
    <w:rsid w:val="00B75F8E"/>
    <w:rsid w:val="00B801D5"/>
    <w:rsid w:val="00B807C9"/>
    <w:rsid w:val="00B82051"/>
    <w:rsid w:val="00B85096"/>
    <w:rsid w:val="00B860DF"/>
    <w:rsid w:val="00B86D7B"/>
    <w:rsid w:val="00B87F59"/>
    <w:rsid w:val="00B90432"/>
    <w:rsid w:val="00B91F7B"/>
    <w:rsid w:val="00B9267E"/>
    <w:rsid w:val="00B93E4B"/>
    <w:rsid w:val="00B942D3"/>
    <w:rsid w:val="00B95E1F"/>
    <w:rsid w:val="00B96E6F"/>
    <w:rsid w:val="00B973A2"/>
    <w:rsid w:val="00B977A5"/>
    <w:rsid w:val="00BA0BEA"/>
    <w:rsid w:val="00BA19FA"/>
    <w:rsid w:val="00BA1AA2"/>
    <w:rsid w:val="00BA1EE0"/>
    <w:rsid w:val="00BA2304"/>
    <w:rsid w:val="00BA4970"/>
    <w:rsid w:val="00BA5242"/>
    <w:rsid w:val="00BA70D5"/>
    <w:rsid w:val="00BB0921"/>
    <w:rsid w:val="00BB1901"/>
    <w:rsid w:val="00BB2187"/>
    <w:rsid w:val="00BB30D1"/>
    <w:rsid w:val="00BB3BCD"/>
    <w:rsid w:val="00BB416F"/>
    <w:rsid w:val="00BB4F68"/>
    <w:rsid w:val="00BB4FBB"/>
    <w:rsid w:val="00BB593E"/>
    <w:rsid w:val="00BB5CEE"/>
    <w:rsid w:val="00BB7920"/>
    <w:rsid w:val="00BC03BE"/>
    <w:rsid w:val="00BC125B"/>
    <w:rsid w:val="00BC27E5"/>
    <w:rsid w:val="00BC2CEF"/>
    <w:rsid w:val="00BC53BB"/>
    <w:rsid w:val="00BC5C56"/>
    <w:rsid w:val="00BC5E75"/>
    <w:rsid w:val="00BD00C8"/>
    <w:rsid w:val="00BD03A0"/>
    <w:rsid w:val="00BD0BB9"/>
    <w:rsid w:val="00BD1C7A"/>
    <w:rsid w:val="00BD2131"/>
    <w:rsid w:val="00BD279E"/>
    <w:rsid w:val="00BD3F25"/>
    <w:rsid w:val="00BD421A"/>
    <w:rsid w:val="00BD6357"/>
    <w:rsid w:val="00BD6EB5"/>
    <w:rsid w:val="00BD768B"/>
    <w:rsid w:val="00BE0B23"/>
    <w:rsid w:val="00BE4580"/>
    <w:rsid w:val="00BE591B"/>
    <w:rsid w:val="00BE644A"/>
    <w:rsid w:val="00BE6A49"/>
    <w:rsid w:val="00BE6CF1"/>
    <w:rsid w:val="00BE7464"/>
    <w:rsid w:val="00BE74B7"/>
    <w:rsid w:val="00BE7760"/>
    <w:rsid w:val="00BF0774"/>
    <w:rsid w:val="00BF26BF"/>
    <w:rsid w:val="00BF2A1D"/>
    <w:rsid w:val="00BF2B64"/>
    <w:rsid w:val="00BF4237"/>
    <w:rsid w:val="00BF5858"/>
    <w:rsid w:val="00BF6185"/>
    <w:rsid w:val="00BF65FA"/>
    <w:rsid w:val="00BF7792"/>
    <w:rsid w:val="00BF7987"/>
    <w:rsid w:val="00BF7A4E"/>
    <w:rsid w:val="00BF7DEA"/>
    <w:rsid w:val="00C011B2"/>
    <w:rsid w:val="00C03933"/>
    <w:rsid w:val="00C054FC"/>
    <w:rsid w:val="00C059C2"/>
    <w:rsid w:val="00C068E7"/>
    <w:rsid w:val="00C0763D"/>
    <w:rsid w:val="00C07E4A"/>
    <w:rsid w:val="00C11776"/>
    <w:rsid w:val="00C12D20"/>
    <w:rsid w:val="00C15592"/>
    <w:rsid w:val="00C1785F"/>
    <w:rsid w:val="00C22426"/>
    <w:rsid w:val="00C235CF"/>
    <w:rsid w:val="00C24116"/>
    <w:rsid w:val="00C24788"/>
    <w:rsid w:val="00C24F27"/>
    <w:rsid w:val="00C275DA"/>
    <w:rsid w:val="00C31797"/>
    <w:rsid w:val="00C32456"/>
    <w:rsid w:val="00C3322F"/>
    <w:rsid w:val="00C3419D"/>
    <w:rsid w:val="00C34403"/>
    <w:rsid w:val="00C353F5"/>
    <w:rsid w:val="00C36F25"/>
    <w:rsid w:val="00C36F41"/>
    <w:rsid w:val="00C4022C"/>
    <w:rsid w:val="00C4237B"/>
    <w:rsid w:val="00C4239E"/>
    <w:rsid w:val="00C437FB"/>
    <w:rsid w:val="00C43C63"/>
    <w:rsid w:val="00C45B68"/>
    <w:rsid w:val="00C47BA3"/>
    <w:rsid w:val="00C50582"/>
    <w:rsid w:val="00C50E84"/>
    <w:rsid w:val="00C51AA8"/>
    <w:rsid w:val="00C52F1F"/>
    <w:rsid w:val="00C536FE"/>
    <w:rsid w:val="00C541E0"/>
    <w:rsid w:val="00C54A66"/>
    <w:rsid w:val="00C54A70"/>
    <w:rsid w:val="00C5504B"/>
    <w:rsid w:val="00C55492"/>
    <w:rsid w:val="00C55F54"/>
    <w:rsid w:val="00C56540"/>
    <w:rsid w:val="00C57457"/>
    <w:rsid w:val="00C60A83"/>
    <w:rsid w:val="00C60B92"/>
    <w:rsid w:val="00C61E06"/>
    <w:rsid w:val="00C62C4F"/>
    <w:rsid w:val="00C63660"/>
    <w:rsid w:val="00C63A22"/>
    <w:rsid w:val="00C63A94"/>
    <w:rsid w:val="00C64D74"/>
    <w:rsid w:val="00C64F55"/>
    <w:rsid w:val="00C65B9A"/>
    <w:rsid w:val="00C65FC7"/>
    <w:rsid w:val="00C6625C"/>
    <w:rsid w:val="00C71B0E"/>
    <w:rsid w:val="00C7267B"/>
    <w:rsid w:val="00C735F2"/>
    <w:rsid w:val="00C74B79"/>
    <w:rsid w:val="00C77527"/>
    <w:rsid w:val="00C778E5"/>
    <w:rsid w:val="00C802DD"/>
    <w:rsid w:val="00C81502"/>
    <w:rsid w:val="00C815D7"/>
    <w:rsid w:val="00C826C8"/>
    <w:rsid w:val="00C849D9"/>
    <w:rsid w:val="00C85B92"/>
    <w:rsid w:val="00C87138"/>
    <w:rsid w:val="00C878A4"/>
    <w:rsid w:val="00C879AE"/>
    <w:rsid w:val="00C87C3F"/>
    <w:rsid w:val="00C955F2"/>
    <w:rsid w:val="00C97CBC"/>
    <w:rsid w:val="00CA061B"/>
    <w:rsid w:val="00CA1242"/>
    <w:rsid w:val="00CA137A"/>
    <w:rsid w:val="00CA17AB"/>
    <w:rsid w:val="00CA2132"/>
    <w:rsid w:val="00CA3676"/>
    <w:rsid w:val="00CA3698"/>
    <w:rsid w:val="00CA43D4"/>
    <w:rsid w:val="00CA4424"/>
    <w:rsid w:val="00CA6594"/>
    <w:rsid w:val="00CB494C"/>
    <w:rsid w:val="00CB4FD9"/>
    <w:rsid w:val="00CB518A"/>
    <w:rsid w:val="00CB5636"/>
    <w:rsid w:val="00CB62CC"/>
    <w:rsid w:val="00CB6720"/>
    <w:rsid w:val="00CB7687"/>
    <w:rsid w:val="00CB7863"/>
    <w:rsid w:val="00CC05A2"/>
    <w:rsid w:val="00CC2077"/>
    <w:rsid w:val="00CC3973"/>
    <w:rsid w:val="00CC46A9"/>
    <w:rsid w:val="00CC4BE8"/>
    <w:rsid w:val="00CC66F1"/>
    <w:rsid w:val="00CD3179"/>
    <w:rsid w:val="00CD3E8C"/>
    <w:rsid w:val="00CD4F68"/>
    <w:rsid w:val="00CD5818"/>
    <w:rsid w:val="00CD70B2"/>
    <w:rsid w:val="00CD78D6"/>
    <w:rsid w:val="00CD7F89"/>
    <w:rsid w:val="00CE3785"/>
    <w:rsid w:val="00CE5669"/>
    <w:rsid w:val="00CE595B"/>
    <w:rsid w:val="00CE5BD1"/>
    <w:rsid w:val="00CE6C64"/>
    <w:rsid w:val="00CE71AF"/>
    <w:rsid w:val="00CF065B"/>
    <w:rsid w:val="00CF2834"/>
    <w:rsid w:val="00CF433E"/>
    <w:rsid w:val="00CF5322"/>
    <w:rsid w:val="00CF53C1"/>
    <w:rsid w:val="00CF72F5"/>
    <w:rsid w:val="00CF79E3"/>
    <w:rsid w:val="00D00122"/>
    <w:rsid w:val="00D004BE"/>
    <w:rsid w:val="00D0065A"/>
    <w:rsid w:val="00D0071D"/>
    <w:rsid w:val="00D01AA2"/>
    <w:rsid w:val="00D037A5"/>
    <w:rsid w:val="00D060D7"/>
    <w:rsid w:val="00D0617A"/>
    <w:rsid w:val="00D06F87"/>
    <w:rsid w:val="00D157EA"/>
    <w:rsid w:val="00D15B19"/>
    <w:rsid w:val="00D1718F"/>
    <w:rsid w:val="00D177E3"/>
    <w:rsid w:val="00D20952"/>
    <w:rsid w:val="00D23038"/>
    <w:rsid w:val="00D25435"/>
    <w:rsid w:val="00D26093"/>
    <w:rsid w:val="00D26CB1"/>
    <w:rsid w:val="00D31D26"/>
    <w:rsid w:val="00D31DB4"/>
    <w:rsid w:val="00D31DD5"/>
    <w:rsid w:val="00D32377"/>
    <w:rsid w:val="00D3272F"/>
    <w:rsid w:val="00D335EE"/>
    <w:rsid w:val="00D3361F"/>
    <w:rsid w:val="00D33B16"/>
    <w:rsid w:val="00D33C53"/>
    <w:rsid w:val="00D33CE7"/>
    <w:rsid w:val="00D356AF"/>
    <w:rsid w:val="00D35EB3"/>
    <w:rsid w:val="00D3646B"/>
    <w:rsid w:val="00D36C6D"/>
    <w:rsid w:val="00D37C97"/>
    <w:rsid w:val="00D41CF2"/>
    <w:rsid w:val="00D42513"/>
    <w:rsid w:val="00D46CAA"/>
    <w:rsid w:val="00D4749C"/>
    <w:rsid w:val="00D4772C"/>
    <w:rsid w:val="00D50450"/>
    <w:rsid w:val="00D52AC2"/>
    <w:rsid w:val="00D55165"/>
    <w:rsid w:val="00D572DB"/>
    <w:rsid w:val="00D57E87"/>
    <w:rsid w:val="00D6101F"/>
    <w:rsid w:val="00D611AB"/>
    <w:rsid w:val="00D6120B"/>
    <w:rsid w:val="00D6164F"/>
    <w:rsid w:val="00D617F5"/>
    <w:rsid w:val="00D6194D"/>
    <w:rsid w:val="00D62C97"/>
    <w:rsid w:val="00D63351"/>
    <w:rsid w:val="00D63578"/>
    <w:rsid w:val="00D63801"/>
    <w:rsid w:val="00D65566"/>
    <w:rsid w:val="00D66175"/>
    <w:rsid w:val="00D7070B"/>
    <w:rsid w:val="00D7184D"/>
    <w:rsid w:val="00D736BA"/>
    <w:rsid w:val="00D73ACB"/>
    <w:rsid w:val="00D745B6"/>
    <w:rsid w:val="00D75813"/>
    <w:rsid w:val="00D760BA"/>
    <w:rsid w:val="00D761BA"/>
    <w:rsid w:val="00D764FB"/>
    <w:rsid w:val="00D76B7D"/>
    <w:rsid w:val="00D807A1"/>
    <w:rsid w:val="00D817D4"/>
    <w:rsid w:val="00D84859"/>
    <w:rsid w:val="00D84BFB"/>
    <w:rsid w:val="00D84E91"/>
    <w:rsid w:val="00D860C4"/>
    <w:rsid w:val="00D86FD6"/>
    <w:rsid w:val="00D903EA"/>
    <w:rsid w:val="00D90C3B"/>
    <w:rsid w:val="00D90E5E"/>
    <w:rsid w:val="00D92506"/>
    <w:rsid w:val="00D9319F"/>
    <w:rsid w:val="00D9330B"/>
    <w:rsid w:val="00D9486B"/>
    <w:rsid w:val="00D96D5A"/>
    <w:rsid w:val="00D97F61"/>
    <w:rsid w:val="00DA0769"/>
    <w:rsid w:val="00DA11E6"/>
    <w:rsid w:val="00DA1C9E"/>
    <w:rsid w:val="00DA2C0F"/>
    <w:rsid w:val="00DA314A"/>
    <w:rsid w:val="00DA38D0"/>
    <w:rsid w:val="00DA6028"/>
    <w:rsid w:val="00DA6B1C"/>
    <w:rsid w:val="00DA71E0"/>
    <w:rsid w:val="00DB0259"/>
    <w:rsid w:val="00DB03E4"/>
    <w:rsid w:val="00DB14A0"/>
    <w:rsid w:val="00DB24DB"/>
    <w:rsid w:val="00DB4305"/>
    <w:rsid w:val="00DB6284"/>
    <w:rsid w:val="00DB64B0"/>
    <w:rsid w:val="00DB6E7D"/>
    <w:rsid w:val="00DB70F2"/>
    <w:rsid w:val="00DB7FE3"/>
    <w:rsid w:val="00DC0133"/>
    <w:rsid w:val="00DC0FDB"/>
    <w:rsid w:val="00DC100B"/>
    <w:rsid w:val="00DC2C50"/>
    <w:rsid w:val="00DC2E69"/>
    <w:rsid w:val="00DC3E47"/>
    <w:rsid w:val="00DC4C5F"/>
    <w:rsid w:val="00DC647F"/>
    <w:rsid w:val="00DD13C4"/>
    <w:rsid w:val="00DD1C42"/>
    <w:rsid w:val="00DD1CD8"/>
    <w:rsid w:val="00DD2B5D"/>
    <w:rsid w:val="00DD6B84"/>
    <w:rsid w:val="00DD712F"/>
    <w:rsid w:val="00DD7372"/>
    <w:rsid w:val="00DD7B2C"/>
    <w:rsid w:val="00DE2012"/>
    <w:rsid w:val="00DE2085"/>
    <w:rsid w:val="00DE2524"/>
    <w:rsid w:val="00DE3568"/>
    <w:rsid w:val="00DE54E9"/>
    <w:rsid w:val="00DE56A7"/>
    <w:rsid w:val="00DE64DD"/>
    <w:rsid w:val="00DE654E"/>
    <w:rsid w:val="00DE78A7"/>
    <w:rsid w:val="00DF07D7"/>
    <w:rsid w:val="00DF0A47"/>
    <w:rsid w:val="00DF0CA7"/>
    <w:rsid w:val="00DF1ADD"/>
    <w:rsid w:val="00DF253C"/>
    <w:rsid w:val="00DF29CD"/>
    <w:rsid w:val="00DF3F68"/>
    <w:rsid w:val="00DF4016"/>
    <w:rsid w:val="00DF678E"/>
    <w:rsid w:val="00E00AF5"/>
    <w:rsid w:val="00E0134E"/>
    <w:rsid w:val="00E032E6"/>
    <w:rsid w:val="00E03B3B"/>
    <w:rsid w:val="00E04F09"/>
    <w:rsid w:val="00E05472"/>
    <w:rsid w:val="00E0761A"/>
    <w:rsid w:val="00E10D75"/>
    <w:rsid w:val="00E11226"/>
    <w:rsid w:val="00E12E8B"/>
    <w:rsid w:val="00E13CB3"/>
    <w:rsid w:val="00E1460F"/>
    <w:rsid w:val="00E149ED"/>
    <w:rsid w:val="00E15680"/>
    <w:rsid w:val="00E1634B"/>
    <w:rsid w:val="00E16EB3"/>
    <w:rsid w:val="00E20811"/>
    <w:rsid w:val="00E20ECD"/>
    <w:rsid w:val="00E211D7"/>
    <w:rsid w:val="00E213DC"/>
    <w:rsid w:val="00E21DE8"/>
    <w:rsid w:val="00E24914"/>
    <w:rsid w:val="00E24A3D"/>
    <w:rsid w:val="00E25338"/>
    <w:rsid w:val="00E254E8"/>
    <w:rsid w:val="00E2582A"/>
    <w:rsid w:val="00E26F14"/>
    <w:rsid w:val="00E307BC"/>
    <w:rsid w:val="00E31D0B"/>
    <w:rsid w:val="00E3272D"/>
    <w:rsid w:val="00E32A23"/>
    <w:rsid w:val="00E35445"/>
    <w:rsid w:val="00E35E31"/>
    <w:rsid w:val="00E406BA"/>
    <w:rsid w:val="00E40B20"/>
    <w:rsid w:val="00E42E62"/>
    <w:rsid w:val="00E44CB4"/>
    <w:rsid w:val="00E4537D"/>
    <w:rsid w:val="00E455FD"/>
    <w:rsid w:val="00E46FC6"/>
    <w:rsid w:val="00E4708D"/>
    <w:rsid w:val="00E50364"/>
    <w:rsid w:val="00E50BF9"/>
    <w:rsid w:val="00E50CBC"/>
    <w:rsid w:val="00E51672"/>
    <w:rsid w:val="00E51A27"/>
    <w:rsid w:val="00E541D3"/>
    <w:rsid w:val="00E54D3C"/>
    <w:rsid w:val="00E553E3"/>
    <w:rsid w:val="00E5733C"/>
    <w:rsid w:val="00E60F2F"/>
    <w:rsid w:val="00E61646"/>
    <w:rsid w:val="00E62B64"/>
    <w:rsid w:val="00E63D4D"/>
    <w:rsid w:val="00E63F0A"/>
    <w:rsid w:val="00E6430E"/>
    <w:rsid w:val="00E678AC"/>
    <w:rsid w:val="00E71018"/>
    <w:rsid w:val="00E71372"/>
    <w:rsid w:val="00E726B7"/>
    <w:rsid w:val="00E73886"/>
    <w:rsid w:val="00E73CEC"/>
    <w:rsid w:val="00E74116"/>
    <w:rsid w:val="00E75DF3"/>
    <w:rsid w:val="00E761D9"/>
    <w:rsid w:val="00E7651F"/>
    <w:rsid w:val="00E77018"/>
    <w:rsid w:val="00E818AF"/>
    <w:rsid w:val="00E81A7A"/>
    <w:rsid w:val="00E82AA9"/>
    <w:rsid w:val="00E83ACD"/>
    <w:rsid w:val="00E83DA3"/>
    <w:rsid w:val="00E84557"/>
    <w:rsid w:val="00E8506D"/>
    <w:rsid w:val="00E86EC5"/>
    <w:rsid w:val="00E8789F"/>
    <w:rsid w:val="00E879D6"/>
    <w:rsid w:val="00E90634"/>
    <w:rsid w:val="00E911E8"/>
    <w:rsid w:val="00E94465"/>
    <w:rsid w:val="00E95676"/>
    <w:rsid w:val="00E959B2"/>
    <w:rsid w:val="00E959C3"/>
    <w:rsid w:val="00E97896"/>
    <w:rsid w:val="00EA0087"/>
    <w:rsid w:val="00EA0701"/>
    <w:rsid w:val="00EA13C8"/>
    <w:rsid w:val="00EA1F21"/>
    <w:rsid w:val="00EA221B"/>
    <w:rsid w:val="00EA285E"/>
    <w:rsid w:val="00EA2BD7"/>
    <w:rsid w:val="00EA3501"/>
    <w:rsid w:val="00EA4A87"/>
    <w:rsid w:val="00EA5FBB"/>
    <w:rsid w:val="00EA5FF6"/>
    <w:rsid w:val="00EB0FD8"/>
    <w:rsid w:val="00EB3F5D"/>
    <w:rsid w:val="00EB41CC"/>
    <w:rsid w:val="00EB4A0C"/>
    <w:rsid w:val="00EB4AF1"/>
    <w:rsid w:val="00EB5D7E"/>
    <w:rsid w:val="00EB61AA"/>
    <w:rsid w:val="00EB6693"/>
    <w:rsid w:val="00EB6C06"/>
    <w:rsid w:val="00EB7DBB"/>
    <w:rsid w:val="00EC035B"/>
    <w:rsid w:val="00EC10C1"/>
    <w:rsid w:val="00EC3634"/>
    <w:rsid w:val="00EC59D3"/>
    <w:rsid w:val="00EC75FF"/>
    <w:rsid w:val="00EC76DB"/>
    <w:rsid w:val="00ED0D2F"/>
    <w:rsid w:val="00ED21D8"/>
    <w:rsid w:val="00ED3583"/>
    <w:rsid w:val="00ED421E"/>
    <w:rsid w:val="00ED4FEF"/>
    <w:rsid w:val="00ED5105"/>
    <w:rsid w:val="00ED51DA"/>
    <w:rsid w:val="00ED51DC"/>
    <w:rsid w:val="00ED5A09"/>
    <w:rsid w:val="00ED671E"/>
    <w:rsid w:val="00EE071D"/>
    <w:rsid w:val="00EE34CA"/>
    <w:rsid w:val="00EE3889"/>
    <w:rsid w:val="00EE5E06"/>
    <w:rsid w:val="00EE646B"/>
    <w:rsid w:val="00EE6A43"/>
    <w:rsid w:val="00EE6C20"/>
    <w:rsid w:val="00EF187A"/>
    <w:rsid w:val="00EF1D8C"/>
    <w:rsid w:val="00EF38F6"/>
    <w:rsid w:val="00EF4230"/>
    <w:rsid w:val="00EF6DFB"/>
    <w:rsid w:val="00EF7414"/>
    <w:rsid w:val="00EF7700"/>
    <w:rsid w:val="00F012E6"/>
    <w:rsid w:val="00F01973"/>
    <w:rsid w:val="00F100BE"/>
    <w:rsid w:val="00F10BBA"/>
    <w:rsid w:val="00F111D7"/>
    <w:rsid w:val="00F11DD2"/>
    <w:rsid w:val="00F11E23"/>
    <w:rsid w:val="00F12D44"/>
    <w:rsid w:val="00F14AAC"/>
    <w:rsid w:val="00F14F07"/>
    <w:rsid w:val="00F15361"/>
    <w:rsid w:val="00F16CF6"/>
    <w:rsid w:val="00F173C7"/>
    <w:rsid w:val="00F17623"/>
    <w:rsid w:val="00F209D1"/>
    <w:rsid w:val="00F20D5D"/>
    <w:rsid w:val="00F20F95"/>
    <w:rsid w:val="00F24A91"/>
    <w:rsid w:val="00F260E2"/>
    <w:rsid w:val="00F2625C"/>
    <w:rsid w:val="00F2641C"/>
    <w:rsid w:val="00F27DA3"/>
    <w:rsid w:val="00F30879"/>
    <w:rsid w:val="00F31CF2"/>
    <w:rsid w:val="00F32519"/>
    <w:rsid w:val="00F3371B"/>
    <w:rsid w:val="00F3402A"/>
    <w:rsid w:val="00F340E2"/>
    <w:rsid w:val="00F34C80"/>
    <w:rsid w:val="00F34E17"/>
    <w:rsid w:val="00F356D7"/>
    <w:rsid w:val="00F35F53"/>
    <w:rsid w:val="00F36C53"/>
    <w:rsid w:val="00F36F65"/>
    <w:rsid w:val="00F375C8"/>
    <w:rsid w:val="00F40C67"/>
    <w:rsid w:val="00F42257"/>
    <w:rsid w:val="00F467B1"/>
    <w:rsid w:val="00F4689F"/>
    <w:rsid w:val="00F5085E"/>
    <w:rsid w:val="00F51491"/>
    <w:rsid w:val="00F515B4"/>
    <w:rsid w:val="00F52BB2"/>
    <w:rsid w:val="00F5313F"/>
    <w:rsid w:val="00F536C8"/>
    <w:rsid w:val="00F53D28"/>
    <w:rsid w:val="00F53F03"/>
    <w:rsid w:val="00F544A6"/>
    <w:rsid w:val="00F578D2"/>
    <w:rsid w:val="00F57EB0"/>
    <w:rsid w:val="00F61FE4"/>
    <w:rsid w:val="00F620F1"/>
    <w:rsid w:val="00F640C6"/>
    <w:rsid w:val="00F647AC"/>
    <w:rsid w:val="00F71212"/>
    <w:rsid w:val="00F72A0F"/>
    <w:rsid w:val="00F73E76"/>
    <w:rsid w:val="00F747C7"/>
    <w:rsid w:val="00F7581A"/>
    <w:rsid w:val="00F75B1F"/>
    <w:rsid w:val="00F76392"/>
    <w:rsid w:val="00F801C7"/>
    <w:rsid w:val="00F80609"/>
    <w:rsid w:val="00F81585"/>
    <w:rsid w:val="00F81DFE"/>
    <w:rsid w:val="00F82AD0"/>
    <w:rsid w:val="00F861B7"/>
    <w:rsid w:val="00F86558"/>
    <w:rsid w:val="00F86670"/>
    <w:rsid w:val="00F90257"/>
    <w:rsid w:val="00F907B6"/>
    <w:rsid w:val="00F9081F"/>
    <w:rsid w:val="00F91795"/>
    <w:rsid w:val="00F91A49"/>
    <w:rsid w:val="00F922DD"/>
    <w:rsid w:val="00F92365"/>
    <w:rsid w:val="00F93956"/>
    <w:rsid w:val="00F96ECB"/>
    <w:rsid w:val="00F97236"/>
    <w:rsid w:val="00FA11D9"/>
    <w:rsid w:val="00FA1936"/>
    <w:rsid w:val="00FA28DD"/>
    <w:rsid w:val="00FA5BB3"/>
    <w:rsid w:val="00FA6D74"/>
    <w:rsid w:val="00FB2564"/>
    <w:rsid w:val="00FB2D88"/>
    <w:rsid w:val="00FB5426"/>
    <w:rsid w:val="00FB6DEF"/>
    <w:rsid w:val="00FC0A17"/>
    <w:rsid w:val="00FC0BCD"/>
    <w:rsid w:val="00FC1A6E"/>
    <w:rsid w:val="00FC1BD4"/>
    <w:rsid w:val="00FC2867"/>
    <w:rsid w:val="00FC4D19"/>
    <w:rsid w:val="00FC58F7"/>
    <w:rsid w:val="00FC65CA"/>
    <w:rsid w:val="00FC7798"/>
    <w:rsid w:val="00FD0326"/>
    <w:rsid w:val="00FD308B"/>
    <w:rsid w:val="00FD33DC"/>
    <w:rsid w:val="00FD3EBF"/>
    <w:rsid w:val="00FD7282"/>
    <w:rsid w:val="00FE028F"/>
    <w:rsid w:val="00FE22ED"/>
    <w:rsid w:val="00FE40EE"/>
    <w:rsid w:val="00FE449F"/>
    <w:rsid w:val="00FE5552"/>
    <w:rsid w:val="00FF02C3"/>
    <w:rsid w:val="00FF112E"/>
    <w:rsid w:val="00FF1AED"/>
    <w:rsid w:val="00FF1CCB"/>
    <w:rsid w:val="00FF2A77"/>
    <w:rsid w:val="00FF38B6"/>
    <w:rsid w:val="00FF3DE9"/>
    <w:rsid w:val="00FF469A"/>
    <w:rsid w:val="00FF4772"/>
    <w:rsid w:val="00FF5490"/>
    <w:rsid w:val="00FF5CF6"/>
    <w:rsid w:val="00FF6E1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4766B"/>
  <w15:docId w15:val="{8E9F74AE-53D0-442F-8A42-D39BFED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uiPriority w:val="59"/>
    <w:rsid w:val="0080126D"/>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4438">
      <w:bodyDiv w:val="1"/>
      <w:marLeft w:val="0"/>
      <w:marRight w:val="0"/>
      <w:marTop w:val="0"/>
      <w:marBottom w:val="0"/>
      <w:divBdr>
        <w:top w:val="none" w:sz="0" w:space="0" w:color="auto"/>
        <w:left w:val="none" w:sz="0" w:space="0" w:color="auto"/>
        <w:bottom w:val="none" w:sz="0" w:space="0" w:color="auto"/>
        <w:right w:val="none" w:sz="0" w:space="0" w:color="auto"/>
      </w:divBdr>
    </w:div>
    <w:div w:id="130758272">
      <w:bodyDiv w:val="1"/>
      <w:marLeft w:val="0"/>
      <w:marRight w:val="0"/>
      <w:marTop w:val="0"/>
      <w:marBottom w:val="0"/>
      <w:divBdr>
        <w:top w:val="none" w:sz="0" w:space="0" w:color="auto"/>
        <w:left w:val="none" w:sz="0" w:space="0" w:color="auto"/>
        <w:bottom w:val="none" w:sz="0" w:space="0" w:color="auto"/>
        <w:right w:val="none" w:sz="0" w:space="0" w:color="auto"/>
      </w:divBdr>
    </w:div>
    <w:div w:id="175192614">
      <w:bodyDiv w:val="1"/>
      <w:marLeft w:val="0"/>
      <w:marRight w:val="0"/>
      <w:marTop w:val="0"/>
      <w:marBottom w:val="0"/>
      <w:divBdr>
        <w:top w:val="none" w:sz="0" w:space="0" w:color="auto"/>
        <w:left w:val="none" w:sz="0" w:space="0" w:color="auto"/>
        <w:bottom w:val="none" w:sz="0" w:space="0" w:color="auto"/>
        <w:right w:val="none" w:sz="0" w:space="0" w:color="auto"/>
      </w:divBdr>
    </w:div>
    <w:div w:id="208692326">
      <w:bodyDiv w:val="1"/>
      <w:marLeft w:val="0"/>
      <w:marRight w:val="0"/>
      <w:marTop w:val="0"/>
      <w:marBottom w:val="0"/>
      <w:divBdr>
        <w:top w:val="none" w:sz="0" w:space="0" w:color="auto"/>
        <w:left w:val="none" w:sz="0" w:space="0" w:color="auto"/>
        <w:bottom w:val="none" w:sz="0" w:space="0" w:color="auto"/>
        <w:right w:val="none" w:sz="0" w:space="0" w:color="auto"/>
      </w:divBdr>
      <w:divsChild>
        <w:div w:id="742872607">
          <w:marLeft w:val="0"/>
          <w:marRight w:val="0"/>
          <w:marTop w:val="120"/>
          <w:marBottom w:val="0"/>
          <w:divBdr>
            <w:top w:val="none" w:sz="0" w:space="0" w:color="auto"/>
            <w:left w:val="none" w:sz="0" w:space="0" w:color="auto"/>
            <w:bottom w:val="none" w:sz="0" w:space="0" w:color="auto"/>
            <w:right w:val="none" w:sz="0" w:space="0" w:color="auto"/>
          </w:divBdr>
        </w:div>
        <w:div w:id="73476637">
          <w:marLeft w:val="0"/>
          <w:marRight w:val="0"/>
          <w:marTop w:val="120"/>
          <w:marBottom w:val="0"/>
          <w:divBdr>
            <w:top w:val="none" w:sz="0" w:space="0" w:color="auto"/>
            <w:left w:val="none" w:sz="0" w:space="0" w:color="auto"/>
            <w:bottom w:val="none" w:sz="0" w:space="0" w:color="auto"/>
            <w:right w:val="none" w:sz="0" w:space="0" w:color="auto"/>
          </w:divBdr>
        </w:div>
        <w:div w:id="715739776">
          <w:marLeft w:val="1134"/>
          <w:marRight w:val="0"/>
          <w:marTop w:val="60"/>
          <w:marBottom w:val="0"/>
          <w:divBdr>
            <w:top w:val="none" w:sz="0" w:space="0" w:color="auto"/>
            <w:left w:val="none" w:sz="0" w:space="0" w:color="auto"/>
            <w:bottom w:val="none" w:sz="0" w:space="0" w:color="auto"/>
            <w:right w:val="none" w:sz="0" w:space="0" w:color="auto"/>
          </w:divBdr>
        </w:div>
      </w:divsChild>
    </w:div>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861627719">
      <w:bodyDiv w:val="1"/>
      <w:marLeft w:val="0"/>
      <w:marRight w:val="0"/>
      <w:marTop w:val="0"/>
      <w:marBottom w:val="0"/>
      <w:divBdr>
        <w:top w:val="none" w:sz="0" w:space="0" w:color="auto"/>
        <w:left w:val="none" w:sz="0" w:space="0" w:color="auto"/>
        <w:bottom w:val="none" w:sz="0" w:space="0" w:color="auto"/>
        <w:right w:val="none" w:sz="0" w:space="0" w:color="auto"/>
      </w:divBdr>
    </w:div>
    <w:div w:id="869953735">
      <w:bodyDiv w:val="1"/>
      <w:marLeft w:val="0"/>
      <w:marRight w:val="0"/>
      <w:marTop w:val="0"/>
      <w:marBottom w:val="0"/>
      <w:divBdr>
        <w:top w:val="none" w:sz="0" w:space="0" w:color="auto"/>
        <w:left w:val="none" w:sz="0" w:space="0" w:color="auto"/>
        <w:bottom w:val="none" w:sz="0" w:space="0" w:color="auto"/>
        <w:right w:val="none" w:sz="0" w:space="0" w:color="auto"/>
      </w:divBdr>
    </w:div>
    <w:div w:id="953558801">
      <w:bodyDiv w:val="1"/>
      <w:marLeft w:val="0"/>
      <w:marRight w:val="0"/>
      <w:marTop w:val="0"/>
      <w:marBottom w:val="0"/>
      <w:divBdr>
        <w:top w:val="none" w:sz="0" w:space="0" w:color="auto"/>
        <w:left w:val="none" w:sz="0" w:space="0" w:color="auto"/>
        <w:bottom w:val="none" w:sz="0" w:space="0" w:color="auto"/>
        <w:right w:val="none" w:sz="0" w:space="0" w:color="auto"/>
      </w:divBdr>
    </w:div>
    <w:div w:id="1128013688">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471365912">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08AE9-5BBA-45D6-83C8-F6DE8551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3</TotalTime>
  <Pages>21</Pages>
  <Words>6485</Words>
  <Characters>36966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43365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Lilitha Mdleleni</cp:lastModifiedBy>
  <cp:revision>3</cp:revision>
  <cp:lastPrinted>2019-09-17T07:25:00Z</cp:lastPrinted>
  <dcterms:created xsi:type="dcterms:W3CDTF">2024-01-12T07:28:00Z</dcterms:created>
  <dcterms:modified xsi:type="dcterms:W3CDTF">2024-01-14T16:53:00Z</dcterms:modified>
</cp:coreProperties>
</file>