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8ED0" w14:textId="77777777" w:rsidR="00ED2FC5" w:rsidRPr="00841A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r w:rsidRPr="00841A95">
        <w:rPr>
          <w:rFonts w:ascii="Arial" w:eastAsia="Times New Roman" w:hAnsi="Arial" w:cs="Arial"/>
          <w:sz w:val="28"/>
          <w:szCs w:val="28"/>
          <w:lang w:eastAsia="en-GB"/>
        </w:rPr>
        <w:t>REPUBLIC OF SOUTH AFRICA</w:t>
      </w:r>
    </w:p>
    <w:p w14:paraId="4436A0DF" w14:textId="77777777" w:rsidR="00ED2FC5" w:rsidRPr="00841A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841A95">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841A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841A95">
        <w:rPr>
          <w:rFonts w:ascii="Arial" w:eastAsia="Times New Roman" w:hAnsi="Arial" w:cs="Arial"/>
          <w:sz w:val="28"/>
          <w:szCs w:val="28"/>
          <w:lang w:eastAsia="en-GB"/>
        </w:rPr>
        <w:t>IN THE HIGH COURT OF SOUTH AFRICA</w:t>
      </w:r>
    </w:p>
    <w:p w14:paraId="1C5CCDC4" w14:textId="77777777" w:rsidR="00ED2FC5" w:rsidRPr="00841A9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841A95">
        <w:rPr>
          <w:rFonts w:ascii="Arial" w:eastAsia="Times New Roman" w:hAnsi="Arial" w:cs="Arial"/>
          <w:sz w:val="28"/>
          <w:szCs w:val="28"/>
          <w:lang w:eastAsia="en-GB"/>
        </w:rPr>
        <w:t>GAUTENG DIVISION, PRETORIA</w:t>
      </w:r>
    </w:p>
    <w:p w14:paraId="2F4E9B91" w14:textId="655570D1" w:rsidR="00665539" w:rsidRPr="00841A95" w:rsidRDefault="003F64B3" w:rsidP="00FC3DC3">
      <w:pPr>
        <w:spacing w:after="0" w:line="240" w:lineRule="auto"/>
        <w:ind w:left="661" w:hangingChars="236" w:hanging="661"/>
        <w:jc w:val="right"/>
        <w:rPr>
          <w:rFonts w:ascii="Arial" w:eastAsia="Times New Roman" w:hAnsi="Arial" w:cs="Arial"/>
          <w:sz w:val="28"/>
          <w:szCs w:val="28"/>
          <w:lang w:eastAsia="en-GB"/>
        </w:rPr>
      </w:pPr>
      <w:r w:rsidRPr="00841A95">
        <w:rPr>
          <w:rFonts w:ascii="Arial" w:eastAsia="Times New Roman" w:hAnsi="Arial" w:cs="Arial"/>
          <w:sz w:val="28"/>
          <w:szCs w:val="28"/>
          <w:lang w:eastAsia="en-GB"/>
        </w:rPr>
        <w:t>CASE NO:</w:t>
      </w:r>
      <w:r w:rsidR="00940EF5" w:rsidRPr="00841A95">
        <w:rPr>
          <w:rFonts w:ascii="Arial" w:eastAsia="Times New Roman" w:hAnsi="Arial" w:cs="Arial"/>
          <w:sz w:val="28"/>
          <w:szCs w:val="28"/>
          <w:lang w:eastAsia="en-GB"/>
        </w:rPr>
        <w:t xml:space="preserve"> </w:t>
      </w:r>
      <w:r w:rsidR="00B277DE" w:rsidRPr="00841A95">
        <w:rPr>
          <w:rFonts w:ascii="Arial" w:eastAsia="Times New Roman" w:hAnsi="Arial" w:cs="Arial"/>
          <w:sz w:val="28"/>
          <w:szCs w:val="28"/>
          <w:lang w:eastAsia="en-GB"/>
        </w:rPr>
        <w:t>A175/2021</w:t>
      </w:r>
    </w:p>
    <w:p w14:paraId="633CC936" w14:textId="5D66C20F" w:rsidR="002033C4" w:rsidRPr="00841A95"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841A95" w:rsidRDefault="003A6E81" w:rsidP="00C160A1">
      <w:pPr>
        <w:spacing w:before="120" w:after="120" w:line="360" w:lineRule="auto"/>
        <w:jc w:val="center"/>
        <w:rPr>
          <w:rFonts w:ascii="Arial" w:hAnsi="Arial" w:cs="Arial"/>
          <w:sz w:val="24"/>
          <w:szCs w:val="24"/>
        </w:rPr>
      </w:pPr>
      <w:r w:rsidRPr="00841A95">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3C8E17A"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97760C9"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7D6E0B5"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682FDA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C34FF">
                              <w:rPr>
                                <w:rFonts w:ascii="Century Gothic" w:hAnsi="Century Gothic"/>
                                <w:sz w:val="20"/>
                                <w:szCs w:val="20"/>
                              </w:rPr>
                              <w:t xml:space="preserve">5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33C8E17A"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397760C9"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7D6E0B5" w:rsidR="00494B3B" w:rsidRDefault="007C2C00" w:rsidP="007C2C0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6682FDA8"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EC34FF">
                        <w:rPr>
                          <w:rFonts w:ascii="Century Gothic" w:hAnsi="Century Gothic"/>
                          <w:sz w:val="20"/>
                          <w:szCs w:val="20"/>
                        </w:rPr>
                        <w:t xml:space="preserve">5 February </w:t>
                      </w:r>
                      <w:r w:rsidR="000309A0">
                        <w:rPr>
                          <w:rFonts w:ascii="Century Gothic" w:hAnsi="Century Gothic"/>
                          <w:sz w:val="20"/>
                          <w:szCs w:val="20"/>
                        </w:rPr>
                        <w:t>202</w:t>
                      </w:r>
                      <w:r w:rsidR="00742C16">
                        <w:rPr>
                          <w:rFonts w:ascii="Century Gothic" w:hAnsi="Century Gothic"/>
                          <w:sz w:val="20"/>
                          <w:szCs w:val="20"/>
                        </w:rPr>
                        <w:t>4</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841A95"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841A95"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841A9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841A95"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Pr="00841A95" w:rsidRDefault="009C6780" w:rsidP="009C6780">
      <w:pPr>
        <w:tabs>
          <w:tab w:val="left" w:pos="4917"/>
        </w:tabs>
        <w:spacing w:before="120" w:after="120" w:line="360" w:lineRule="auto"/>
        <w:rPr>
          <w:rFonts w:ascii="Arial" w:hAnsi="Arial" w:cs="Arial"/>
          <w:sz w:val="24"/>
          <w:szCs w:val="24"/>
        </w:rPr>
      </w:pPr>
      <w:r w:rsidRPr="00841A95">
        <w:rPr>
          <w:rFonts w:ascii="Arial" w:hAnsi="Arial" w:cs="Arial"/>
          <w:sz w:val="24"/>
          <w:szCs w:val="24"/>
        </w:rPr>
        <w:t>In the matter between:</w:t>
      </w:r>
    </w:p>
    <w:p w14:paraId="6EA6844F" w14:textId="42BB453C" w:rsidR="000309A0" w:rsidRPr="00841A95" w:rsidRDefault="00D50CC0" w:rsidP="009C6780">
      <w:pPr>
        <w:tabs>
          <w:tab w:val="left" w:pos="4917"/>
        </w:tabs>
        <w:spacing w:before="120" w:after="120" w:line="360" w:lineRule="auto"/>
        <w:rPr>
          <w:rFonts w:ascii="Arial" w:hAnsi="Arial" w:cs="Arial"/>
          <w:sz w:val="24"/>
          <w:szCs w:val="24"/>
        </w:rPr>
      </w:pPr>
      <w:r w:rsidRPr="00841A95">
        <w:rPr>
          <w:rFonts w:ascii="Arial" w:hAnsi="Arial" w:cs="Arial"/>
          <w:sz w:val="24"/>
          <w:szCs w:val="24"/>
        </w:rPr>
        <w:t>JEREMIA ZOLANI MASANGO</w:t>
      </w:r>
      <w:r w:rsidR="006D2931" w:rsidRPr="00841A95">
        <w:rPr>
          <w:rFonts w:ascii="Arial" w:hAnsi="Arial" w:cs="Arial"/>
          <w:sz w:val="24"/>
          <w:szCs w:val="24"/>
        </w:rPr>
        <w:tab/>
      </w:r>
      <w:r w:rsidR="000309A0" w:rsidRPr="00841A95">
        <w:rPr>
          <w:rFonts w:ascii="Arial" w:hAnsi="Arial" w:cs="Arial"/>
          <w:sz w:val="24"/>
          <w:szCs w:val="24"/>
        </w:rPr>
        <w:t xml:space="preserve"> AP</w:t>
      </w:r>
      <w:r w:rsidRPr="00841A95">
        <w:rPr>
          <w:rFonts w:ascii="Arial" w:hAnsi="Arial" w:cs="Arial"/>
          <w:sz w:val="24"/>
          <w:szCs w:val="24"/>
        </w:rPr>
        <w:t>PELLANT</w:t>
      </w:r>
    </w:p>
    <w:p w14:paraId="65C2426F" w14:textId="5BC793C5" w:rsidR="00BD164A" w:rsidRPr="00841A95" w:rsidRDefault="00BD164A" w:rsidP="009C6780">
      <w:pPr>
        <w:tabs>
          <w:tab w:val="left" w:pos="4917"/>
        </w:tabs>
        <w:spacing w:before="120" w:after="120" w:line="360" w:lineRule="auto"/>
        <w:rPr>
          <w:rFonts w:ascii="Arial" w:hAnsi="Arial" w:cs="Arial"/>
          <w:sz w:val="24"/>
          <w:szCs w:val="24"/>
        </w:rPr>
      </w:pPr>
      <w:r w:rsidRPr="00841A95">
        <w:rPr>
          <w:rFonts w:ascii="Arial" w:hAnsi="Arial" w:cs="Arial"/>
          <w:sz w:val="24"/>
          <w:szCs w:val="24"/>
        </w:rPr>
        <w:t>and</w:t>
      </w:r>
    </w:p>
    <w:p w14:paraId="5ED81CF3" w14:textId="766580A0" w:rsidR="00BD164A" w:rsidRPr="00841A95" w:rsidRDefault="00D50CC0" w:rsidP="002B6500">
      <w:pPr>
        <w:tabs>
          <w:tab w:val="left" w:pos="4917"/>
        </w:tabs>
        <w:spacing w:before="120" w:after="0" w:line="240" w:lineRule="auto"/>
        <w:rPr>
          <w:rFonts w:ascii="Arial" w:hAnsi="Arial" w:cs="Arial"/>
          <w:sz w:val="24"/>
          <w:szCs w:val="24"/>
        </w:rPr>
      </w:pPr>
      <w:r w:rsidRPr="00841A95">
        <w:rPr>
          <w:rFonts w:ascii="Arial" w:hAnsi="Arial" w:cs="Arial"/>
          <w:sz w:val="24"/>
          <w:szCs w:val="24"/>
        </w:rPr>
        <w:t>THE STATE</w:t>
      </w:r>
      <w:r w:rsidR="0057492E" w:rsidRPr="00841A95">
        <w:rPr>
          <w:rFonts w:ascii="Arial" w:hAnsi="Arial" w:cs="Arial"/>
          <w:sz w:val="24"/>
          <w:szCs w:val="24"/>
        </w:rPr>
        <w:tab/>
        <w:t>RESPONDENT</w:t>
      </w:r>
    </w:p>
    <w:p w14:paraId="0AB7FE4E" w14:textId="44096768" w:rsidR="0057492E" w:rsidRPr="00841A95" w:rsidRDefault="00CC1BD5" w:rsidP="009C6780">
      <w:pPr>
        <w:tabs>
          <w:tab w:val="left" w:pos="4917"/>
        </w:tabs>
        <w:spacing w:before="120" w:after="120" w:line="360" w:lineRule="auto"/>
        <w:rPr>
          <w:rFonts w:ascii="Arial" w:hAnsi="Arial" w:cs="Arial"/>
          <w:sz w:val="24"/>
          <w:szCs w:val="24"/>
        </w:rPr>
      </w:pPr>
      <w:r w:rsidRPr="00841A95">
        <w:rPr>
          <w:rFonts w:ascii="Arial" w:hAnsi="Arial" w:cs="Arial"/>
          <w:sz w:val="24"/>
          <w:szCs w:val="24"/>
        </w:rPr>
        <w:t xml:space="preserve"> </w:t>
      </w:r>
    </w:p>
    <w:p w14:paraId="163B4780" w14:textId="34E7D4FF" w:rsidR="004F10C9" w:rsidRPr="00841A95"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841A95">
        <w:rPr>
          <w:rFonts w:ascii="Arial" w:hAnsi="Arial" w:cs="Arial"/>
          <w:sz w:val="24"/>
          <w:szCs w:val="24"/>
        </w:rPr>
        <w:t>JUDGMENT</w:t>
      </w:r>
    </w:p>
    <w:p w14:paraId="0D3F50F0" w14:textId="2F046EA4" w:rsidR="00537115" w:rsidRPr="00841A95" w:rsidRDefault="00D852E9" w:rsidP="00D852E9">
      <w:pPr>
        <w:pStyle w:val="ListParagraph"/>
        <w:tabs>
          <w:tab w:val="left" w:pos="4917"/>
        </w:tabs>
        <w:spacing w:before="120" w:after="120" w:line="360" w:lineRule="auto"/>
        <w:ind w:left="0"/>
        <w:jc w:val="both"/>
        <w:rPr>
          <w:rFonts w:ascii="Arial" w:hAnsi="Arial" w:cs="Arial"/>
          <w:sz w:val="24"/>
          <w:szCs w:val="24"/>
        </w:rPr>
      </w:pPr>
      <w:r w:rsidRPr="00841A95">
        <w:rPr>
          <w:rFonts w:ascii="Arial" w:hAnsi="Arial" w:cs="Arial"/>
          <w:sz w:val="24"/>
          <w:szCs w:val="24"/>
        </w:rPr>
        <w:t>Van der Schyff J</w:t>
      </w:r>
      <w:r w:rsidR="00EA4756" w:rsidRPr="00841A95">
        <w:rPr>
          <w:rFonts w:ascii="Arial" w:hAnsi="Arial" w:cs="Arial"/>
          <w:sz w:val="24"/>
          <w:szCs w:val="24"/>
        </w:rPr>
        <w:t xml:space="preserve"> </w:t>
      </w:r>
    </w:p>
    <w:p w14:paraId="58154E70" w14:textId="446EF5C1" w:rsidR="00D50CC0" w:rsidRPr="00841A95" w:rsidRDefault="00D50CC0" w:rsidP="00D852E9">
      <w:pPr>
        <w:pStyle w:val="ListParagraph"/>
        <w:tabs>
          <w:tab w:val="left" w:pos="4917"/>
        </w:tabs>
        <w:spacing w:before="120" w:after="120" w:line="360" w:lineRule="auto"/>
        <w:ind w:left="0"/>
        <w:jc w:val="both"/>
        <w:rPr>
          <w:rFonts w:ascii="Arial" w:hAnsi="Arial" w:cs="Arial"/>
          <w:sz w:val="24"/>
          <w:szCs w:val="24"/>
        </w:rPr>
      </w:pPr>
    </w:p>
    <w:p w14:paraId="6FD6C97F" w14:textId="390300D7" w:rsidR="00D50CC0" w:rsidRPr="00841A95" w:rsidRDefault="00D50CC0" w:rsidP="00D852E9">
      <w:pPr>
        <w:pStyle w:val="ListParagraph"/>
        <w:tabs>
          <w:tab w:val="left" w:pos="4917"/>
        </w:tabs>
        <w:spacing w:before="120" w:after="120" w:line="360" w:lineRule="auto"/>
        <w:ind w:left="0"/>
        <w:jc w:val="both"/>
        <w:rPr>
          <w:rFonts w:ascii="Arial" w:hAnsi="Arial" w:cs="Arial"/>
          <w:sz w:val="24"/>
          <w:szCs w:val="24"/>
        </w:rPr>
      </w:pPr>
      <w:r w:rsidRPr="00841A95">
        <w:rPr>
          <w:rFonts w:ascii="Arial" w:hAnsi="Arial" w:cs="Arial"/>
          <w:sz w:val="24"/>
          <w:szCs w:val="24"/>
        </w:rPr>
        <w:t>Introduction</w:t>
      </w:r>
    </w:p>
    <w:p w14:paraId="360FE3CA" w14:textId="0A804D77" w:rsidR="004D2EE0" w:rsidRPr="00841A95"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6DD036E5" w:rsidR="006D2931"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w:t>
      </w:r>
      <w:r w:rsidRPr="00841A95">
        <w:rPr>
          <w:rFonts w:ascii="Arial" w:hAnsi="Arial" w:cs="Arial"/>
          <w:sz w:val="24"/>
          <w:szCs w:val="24"/>
          <w:lang w:val="en-US"/>
        </w:rPr>
        <w:tab/>
      </w:r>
      <w:r w:rsidR="00D50CC0" w:rsidRPr="007C2C00">
        <w:rPr>
          <w:rFonts w:ascii="Arial" w:hAnsi="Arial" w:cs="Arial"/>
          <w:sz w:val="24"/>
          <w:szCs w:val="24"/>
          <w:lang w:val="en-US"/>
        </w:rPr>
        <w:t xml:space="preserve">The appellant was convicted on a charge of rape in contravention of section 3 of the Criminal Law (Sexual Offences and </w:t>
      </w:r>
      <w:r w:rsidR="00940EF5" w:rsidRPr="007C2C00">
        <w:rPr>
          <w:rFonts w:ascii="Arial" w:hAnsi="Arial" w:cs="Arial"/>
          <w:sz w:val="24"/>
          <w:szCs w:val="24"/>
          <w:lang w:val="en-US"/>
        </w:rPr>
        <w:t>Related</w:t>
      </w:r>
      <w:r w:rsidR="00D50CC0" w:rsidRPr="007C2C00">
        <w:rPr>
          <w:rFonts w:ascii="Arial" w:hAnsi="Arial" w:cs="Arial"/>
          <w:sz w:val="24"/>
          <w:szCs w:val="24"/>
          <w:lang w:val="en-US"/>
        </w:rPr>
        <w:t xml:space="preserve"> Matters) Amendment Act, 32 of 2007 </w:t>
      </w:r>
      <w:r w:rsidR="00D50CC0" w:rsidRPr="007C2C00">
        <w:rPr>
          <w:rFonts w:ascii="Arial" w:hAnsi="Arial" w:cs="Arial"/>
          <w:sz w:val="24"/>
          <w:szCs w:val="24"/>
          <w:lang w:val="en-US"/>
        </w:rPr>
        <w:lastRenderedPageBreak/>
        <w:t>(the Act). He was sentenced to life imprisonment. This appeal is against the</w:t>
      </w:r>
      <w:r w:rsidR="007E32D3" w:rsidRPr="007C2C00">
        <w:rPr>
          <w:rFonts w:ascii="Arial" w:hAnsi="Arial" w:cs="Arial"/>
          <w:sz w:val="24"/>
          <w:szCs w:val="24"/>
          <w:lang w:val="en-US"/>
        </w:rPr>
        <w:t xml:space="preserve"> conviction and sentence imposed.</w:t>
      </w:r>
    </w:p>
    <w:p w14:paraId="15DDCEDC" w14:textId="6308A114" w:rsidR="006D2931" w:rsidRPr="00841A95"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202BB9E7" w14:textId="343DB940" w:rsidR="006D2931"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w:t>
      </w:r>
      <w:r w:rsidRPr="00841A95">
        <w:rPr>
          <w:rFonts w:ascii="Arial" w:hAnsi="Arial" w:cs="Arial"/>
          <w:sz w:val="24"/>
          <w:szCs w:val="24"/>
          <w:lang w:val="en-US"/>
        </w:rPr>
        <w:tab/>
      </w:r>
      <w:r w:rsidR="007E32D3" w:rsidRPr="007C2C00">
        <w:rPr>
          <w:rFonts w:ascii="Arial" w:hAnsi="Arial" w:cs="Arial"/>
          <w:sz w:val="24"/>
          <w:szCs w:val="24"/>
          <w:lang w:val="en-US"/>
        </w:rPr>
        <w:t xml:space="preserve">The appellant submits that the trial court misdirected itself in relying on the complainant’s single evidence and </w:t>
      </w:r>
      <w:r w:rsidR="0094240E" w:rsidRPr="007C2C00">
        <w:rPr>
          <w:rFonts w:ascii="Arial" w:hAnsi="Arial" w:cs="Arial"/>
          <w:sz w:val="24"/>
          <w:szCs w:val="24"/>
          <w:lang w:val="en-US"/>
        </w:rPr>
        <w:t xml:space="preserve">claims </w:t>
      </w:r>
      <w:r w:rsidR="007E32D3" w:rsidRPr="007C2C00">
        <w:rPr>
          <w:rFonts w:ascii="Arial" w:hAnsi="Arial" w:cs="Arial"/>
          <w:sz w:val="24"/>
          <w:szCs w:val="24"/>
          <w:lang w:val="en-US"/>
        </w:rPr>
        <w:t xml:space="preserve">that there is little reliable corroboration regarding the </w:t>
      </w:r>
      <w:r w:rsidR="00940EF5" w:rsidRPr="007C2C00">
        <w:rPr>
          <w:rFonts w:ascii="Arial" w:hAnsi="Arial" w:cs="Arial"/>
          <w:sz w:val="24"/>
          <w:szCs w:val="24"/>
          <w:lang w:val="en-US"/>
        </w:rPr>
        <w:t>perpetrator's identity</w:t>
      </w:r>
      <w:r w:rsidR="007E32D3" w:rsidRPr="007C2C00">
        <w:rPr>
          <w:rFonts w:ascii="Arial" w:hAnsi="Arial" w:cs="Arial"/>
          <w:sz w:val="24"/>
          <w:szCs w:val="24"/>
          <w:lang w:val="en-US"/>
        </w:rPr>
        <w:t>. He contends that the trial court misdirected itself in finding that his version could not be reasonably possibly true. As for the sentence imposed, the appellant contends that the trial court misdirected itself in not finding that substantial and compelling circumstances exist that justify a lesser sentence.</w:t>
      </w:r>
    </w:p>
    <w:p w14:paraId="754A5C30" w14:textId="77777777" w:rsidR="006D2931" w:rsidRPr="00841A95" w:rsidRDefault="006D2931" w:rsidP="006D2931">
      <w:pPr>
        <w:pStyle w:val="ListParagraph"/>
        <w:rPr>
          <w:rFonts w:ascii="Arial" w:hAnsi="Arial" w:cs="Arial"/>
          <w:sz w:val="24"/>
          <w:szCs w:val="24"/>
          <w:lang w:val="en-US"/>
        </w:rPr>
      </w:pPr>
    </w:p>
    <w:p w14:paraId="770C5C13" w14:textId="502605BB" w:rsidR="006D2931" w:rsidRPr="00841A95" w:rsidRDefault="00953A46" w:rsidP="007E32D3">
      <w:pPr>
        <w:tabs>
          <w:tab w:val="left" w:pos="4917"/>
        </w:tabs>
        <w:spacing w:before="120" w:after="120" w:line="360" w:lineRule="auto"/>
        <w:jc w:val="both"/>
        <w:rPr>
          <w:rFonts w:ascii="Arial" w:hAnsi="Arial" w:cs="Arial"/>
          <w:b/>
          <w:sz w:val="24"/>
          <w:szCs w:val="24"/>
          <w:lang w:val="en-US"/>
        </w:rPr>
      </w:pPr>
      <w:r w:rsidRPr="00841A95">
        <w:rPr>
          <w:rFonts w:ascii="Arial" w:hAnsi="Arial" w:cs="Arial"/>
          <w:b/>
          <w:sz w:val="24"/>
          <w:szCs w:val="24"/>
          <w:lang w:val="en-US"/>
        </w:rPr>
        <w:t>The approach to be taken on appeal</w:t>
      </w:r>
    </w:p>
    <w:p w14:paraId="532C7FB8" w14:textId="77777777" w:rsidR="006D2931" w:rsidRPr="00841A95" w:rsidRDefault="006D2931" w:rsidP="006D2931">
      <w:pPr>
        <w:pStyle w:val="ListParagraph"/>
        <w:rPr>
          <w:rFonts w:ascii="Arial" w:hAnsi="Arial" w:cs="Arial"/>
          <w:sz w:val="24"/>
          <w:szCs w:val="24"/>
          <w:lang w:val="en-US"/>
        </w:rPr>
      </w:pPr>
    </w:p>
    <w:p w14:paraId="717FC76C" w14:textId="78061003" w:rsidR="006D2931"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[3]</w:t>
      </w:r>
      <w:r w:rsidRPr="00841A95">
        <w:rPr>
          <w:rFonts w:ascii="Arial" w:hAnsi="Arial" w:cs="Arial"/>
          <w:sz w:val="24"/>
          <w:szCs w:val="24"/>
          <w:lang w:val="en-US"/>
        </w:rPr>
        <w:tab/>
      </w:r>
      <w:r w:rsidR="00953A46" w:rsidRPr="007C2C00">
        <w:rPr>
          <w:rFonts w:ascii="Arial" w:hAnsi="Arial" w:cs="Arial"/>
          <w:sz w:val="24"/>
          <w:szCs w:val="24"/>
          <w:lang w:val="en-US"/>
        </w:rPr>
        <w:t>Well-established principles govern the hearing of appeals against findings of fact.</w:t>
      </w:r>
      <w:r w:rsidR="00AA56C2" w:rsidRPr="00841A95">
        <w:rPr>
          <w:rStyle w:val="FootnoteReference"/>
          <w:rFonts w:ascii="Arial" w:hAnsi="Arial" w:cs="Arial"/>
          <w:sz w:val="24"/>
          <w:szCs w:val="24"/>
          <w:lang w:val="en-US"/>
        </w:rPr>
        <w:footnoteReference w:id="1"/>
      </w:r>
      <w:r w:rsidR="00953A46" w:rsidRPr="007C2C00">
        <w:rPr>
          <w:rFonts w:ascii="Arial" w:hAnsi="Arial" w:cs="Arial"/>
          <w:sz w:val="24"/>
          <w:szCs w:val="24"/>
          <w:lang w:val="en-US"/>
        </w:rPr>
        <w:t xml:space="preserve"> </w:t>
      </w:r>
      <w:r w:rsidR="00AA56C2" w:rsidRPr="007C2C00">
        <w:rPr>
          <w:rFonts w:ascii="Arial" w:hAnsi="Arial" w:cs="Arial"/>
          <w:sz w:val="24"/>
          <w:szCs w:val="24"/>
          <w:lang w:val="en-US"/>
        </w:rPr>
        <w:t xml:space="preserve">An appeal court’s powers to interfere with the findings of fact by the court </w:t>
      </w:r>
      <w:r w:rsidR="00AA56C2" w:rsidRPr="007C2C00">
        <w:rPr>
          <w:rFonts w:ascii="Arial" w:hAnsi="Arial" w:cs="Arial"/>
          <w:i/>
          <w:sz w:val="24"/>
          <w:szCs w:val="24"/>
          <w:lang w:val="en-US"/>
        </w:rPr>
        <w:t xml:space="preserve">a </w:t>
      </w:r>
      <w:r w:rsidR="00AA56C2" w:rsidRPr="007C2C00">
        <w:rPr>
          <w:rFonts w:ascii="Arial" w:hAnsi="Arial" w:cs="Arial"/>
          <w:sz w:val="24"/>
          <w:szCs w:val="24"/>
          <w:lang w:val="en-US"/>
        </w:rPr>
        <w:t xml:space="preserve">quo </w:t>
      </w:r>
      <w:r w:rsidR="006C3884" w:rsidRPr="007C2C00">
        <w:rPr>
          <w:rFonts w:ascii="Arial" w:hAnsi="Arial" w:cs="Arial"/>
          <w:sz w:val="24"/>
          <w:szCs w:val="24"/>
          <w:lang w:val="en-US"/>
        </w:rPr>
        <w:t>is</w:t>
      </w:r>
      <w:r w:rsidR="00AA56C2" w:rsidRPr="007C2C00">
        <w:rPr>
          <w:rFonts w:ascii="Arial" w:hAnsi="Arial" w:cs="Arial"/>
          <w:sz w:val="24"/>
          <w:szCs w:val="24"/>
          <w:lang w:val="en-US"/>
        </w:rPr>
        <w:t xml:space="preserve"> limited.</w:t>
      </w:r>
      <w:r w:rsidR="00AA56C2" w:rsidRPr="00841A95">
        <w:rPr>
          <w:rStyle w:val="FootnoteReference"/>
          <w:rFonts w:ascii="Arial" w:hAnsi="Arial" w:cs="Arial"/>
          <w:sz w:val="24"/>
          <w:szCs w:val="24"/>
          <w:lang w:val="en-US"/>
        </w:rPr>
        <w:footnoteReference w:id="2"/>
      </w:r>
      <w:r w:rsidR="00AA56C2" w:rsidRPr="007C2C00">
        <w:rPr>
          <w:rFonts w:ascii="Arial" w:hAnsi="Arial" w:cs="Arial"/>
          <w:sz w:val="24"/>
          <w:szCs w:val="24"/>
          <w:lang w:val="en-US"/>
        </w:rPr>
        <w:t xml:space="preserve"> In the absence of demonstrable and material misdirection by the trial court, its findings of facts are presumed to be correct. Such findings will only be disregarded if the record shows them to be clearly wrong</w:t>
      </w:r>
      <w:r w:rsidR="006C3884" w:rsidRPr="007C2C00">
        <w:rPr>
          <w:rFonts w:ascii="Arial" w:hAnsi="Arial" w:cs="Arial"/>
          <w:sz w:val="24"/>
          <w:szCs w:val="24"/>
          <w:lang w:val="en-US"/>
        </w:rPr>
        <w:t>:</w:t>
      </w:r>
      <w:r w:rsidR="006C3884" w:rsidRPr="00841A95">
        <w:rPr>
          <w:rStyle w:val="FootnoteReference"/>
          <w:rFonts w:ascii="Arial" w:hAnsi="Arial" w:cs="Arial"/>
          <w:sz w:val="24"/>
          <w:szCs w:val="24"/>
          <w:lang w:val="en-US"/>
        </w:rPr>
        <w:footnoteReference w:id="3"/>
      </w:r>
      <w:r w:rsidR="006C3884" w:rsidRPr="007C2C00">
        <w:rPr>
          <w:rFonts w:ascii="Arial" w:hAnsi="Arial" w:cs="Arial"/>
          <w:sz w:val="24"/>
          <w:szCs w:val="24"/>
          <w:lang w:val="en-US"/>
        </w:rPr>
        <w:t xml:space="preserve"> </w:t>
      </w:r>
    </w:p>
    <w:p w14:paraId="2923F7D1" w14:textId="63E6E890" w:rsidR="006C3884" w:rsidRPr="00841A95" w:rsidRDefault="006C3884" w:rsidP="006C3884">
      <w:pPr>
        <w:pStyle w:val="ListParagraph"/>
        <w:tabs>
          <w:tab w:val="left" w:pos="4917"/>
        </w:tabs>
        <w:spacing w:before="120" w:after="120" w:line="360" w:lineRule="auto"/>
        <w:jc w:val="both"/>
        <w:rPr>
          <w:rFonts w:ascii="Arial" w:hAnsi="Arial" w:cs="Arial"/>
          <w:sz w:val="24"/>
          <w:szCs w:val="24"/>
          <w:lang w:val="en-US"/>
        </w:rPr>
      </w:pPr>
    </w:p>
    <w:p w14:paraId="2C74BBC6" w14:textId="3F15FB0E" w:rsidR="006C3884" w:rsidRPr="00841A95" w:rsidRDefault="006C3884" w:rsidP="006C3884">
      <w:pPr>
        <w:pStyle w:val="ListParagraph"/>
        <w:tabs>
          <w:tab w:val="left" w:pos="4917"/>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w:t>
      </w:r>
      <w:r w:rsidRPr="00841A95">
        <w:rPr>
          <w:rFonts w:ascii="Arial" w:hAnsi="Arial" w:cs="Arial"/>
          <w:color w:val="242121"/>
          <w:sz w:val="24"/>
          <w:szCs w:val="24"/>
          <w:shd w:val="clear" w:color="auto" w:fill="FFFFFF"/>
        </w:rPr>
        <w:t>In the absence of any misdirection</w:t>
      </w:r>
      <w:r w:rsidR="00940EF5" w:rsidRPr="00841A95">
        <w:rPr>
          <w:rFonts w:ascii="Arial" w:hAnsi="Arial" w:cs="Arial"/>
          <w:color w:val="242121"/>
          <w:sz w:val="24"/>
          <w:szCs w:val="24"/>
          <w:shd w:val="clear" w:color="auto" w:fill="FFFFFF"/>
        </w:rPr>
        <w:t>, the trial Court’s conclusion, including its acceptance of a witness’s</w:t>
      </w:r>
      <w:r w:rsidRPr="00841A95">
        <w:rPr>
          <w:rFonts w:ascii="Arial" w:hAnsi="Arial" w:cs="Arial"/>
          <w:color w:val="242121"/>
          <w:sz w:val="24"/>
          <w:szCs w:val="24"/>
          <w:shd w:val="clear" w:color="auto" w:fill="FFFFFF"/>
        </w:rPr>
        <w:t xml:space="preserve"> evidence, is presumed to be correct. In order to succeed on appeal, the appellant must therefore convince the Court of appeal on adequate grounds that the trial Court was wrong in accepting the witness’ evidence- a reasonable doubt will not suffice to justify interference with its findings. Bearing in mind the advantage which a trial Court has of seeing, hearing and appraising a witness, it is only in exceptional </w:t>
      </w:r>
      <w:r w:rsidRPr="00841A95">
        <w:rPr>
          <w:rFonts w:ascii="Arial" w:hAnsi="Arial" w:cs="Arial"/>
          <w:color w:val="242121"/>
          <w:sz w:val="24"/>
          <w:szCs w:val="24"/>
          <w:shd w:val="clear" w:color="auto" w:fill="FFFFFF"/>
        </w:rPr>
        <w:lastRenderedPageBreak/>
        <w:t>cases that the Court of appeal will be entitled to interfere with a trial Court’s evaluation of oral testimony.’</w:t>
      </w:r>
    </w:p>
    <w:p w14:paraId="36D9FB36" w14:textId="77777777" w:rsidR="006D2931" w:rsidRPr="00841A95" w:rsidRDefault="006D2931" w:rsidP="006D2931">
      <w:pPr>
        <w:pStyle w:val="ListParagraph"/>
        <w:rPr>
          <w:rFonts w:ascii="Arial" w:hAnsi="Arial" w:cs="Arial"/>
          <w:sz w:val="24"/>
          <w:szCs w:val="24"/>
          <w:lang w:val="en-US"/>
        </w:rPr>
      </w:pPr>
    </w:p>
    <w:p w14:paraId="4F6CEAA9" w14:textId="23EBBAEF" w:rsidR="006D2931"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[4]</w:t>
      </w:r>
      <w:r w:rsidRPr="00841A95">
        <w:rPr>
          <w:rFonts w:ascii="Arial" w:hAnsi="Arial" w:cs="Arial"/>
          <w:sz w:val="24"/>
          <w:szCs w:val="24"/>
          <w:lang w:val="en-US"/>
        </w:rPr>
        <w:tab/>
      </w:r>
      <w:r w:rsidR="006C3884" w:rsidRPr="007C2C00">
        <w:rPr>
          <w:rFonts w:ascii="Arial" w:hAnsi="Arial" w:cs="Arial"/>
          <w:sz w:val="24"/>
          <w:szCs w:val="24"/>
          <w:lang w:val="en-US"/>
        </w:rPr>
        <w:t>In order to determine whether the trial court materially and demonstrably misdirected itself</w:t>
      </w:r>
      <w:r w:rsidR="006A581F" w:rsidRPr="007C2C00">
        <w:rPr>
          <w:rFonts w:ascii="Arial" w:hAnsi="Arial" w:cs="Arial"/>
          <w:sz w:val="24"/>
          <w:szCs w:val="24"/>
          <w:lang w:val="en-US"/>
        </w:rPr>
        <w:t>,</w:t>
      </w:r>
      <w:r w:rsidR="006C3884" w:rsidRPr="007C2C00">
        <w:rPr>
          <w:rFonts w:ascii="Arial" w:hAnsi="Arial" w:cs="Arial"/>
          <w:sz w:val="24"/>
          <w:szCs w:val="24"/>
          <w:lang w:val="en-US"/>
        </w:rPr>
        <w:t xml:space="preserve"> it is necessary to </w:t>
      </w:r>
      <w:r w:rsidR="006A581F" w:rsidRPr="007C2C00">
        <w:rPr>
          <w:rFonts w:ascii="Arial" w:hAnsi="Arial" w:cs="Arial"/>
          <w:sz w:val="24"/>
          <w:szCs w:val="24"/>
          <w:lang w:val="en-US"/>
        </w:rPr>
        <w:t>evaluate</w:t>
      </w:r>
      <w:r w:rsidR="006C3884" w:rsidRPr="007C2C00">
        <w:rPr>
          <w:rFonts w:ascii="Arial" w:hAnsi="Arial" w:cs="Arial"/>
          <w:sz w:val="24"/>
          <w:szCs w:val="24"/>
          <w:lang w:val="en-US"/>
        </w:rPr>
        <w:t xml:space="preserve"> the evidence as reflected in the typed record of the proceedings</w:t>
      </w:r>
      <w:r w:rsidR="006A581F" w:rsidRPr="007C2C00">
        <w:rPr>
          <w:rFonts w:ascii="Arial" w:hAnsi="Arial" w:cs="Arial"/>
          <w:sz w:val="24"/>
          <w:szCs w:val="24"/>
          <w:lang w:val="en-US"/>
        </w:rPr>
        <w:t xml:space="preserve"> against the trial court’s findings.</w:t>
      </w:r>
    </w:p>
    <w:p w14:paraId="185CBE16" w14:textId="77777777" w:rsidR="006D2931" w:rsidRPr="00841A95" w:rsidRDefault="006D2931" w:rsidP="006D2931">
      <w:pPr>
        <w:pStyle w:val="ListParagraph"/>
        <w:rPr>
          <w:rFonts w:ascii="Arial" w:hAnsi="Arial" w:cs="Arial"/>
          <w:sz w:val="24"/>
          <w:szCs w:val="24"/>
          <w:lang w:val="en-US"/>
        </w:rPr>
      </w:pPr>
    </w:p>
    <w:p w14:paraId="4E125218" w14:textId="1A48D64D" w:rsidR="006D2931" w:rsidRPr="00841A95" w:rsidRDefault="00270E03" w:rsidP="006A581F">
      <w:pPr>
        <w:tabs>
          <w:tab w:val="left" w:pos="4917"/>
        </w:tabs>
        <w:spacing w:before="120" w:after="120" w:line="360" w:lineRule="auto"/>
        <w:jc w:val="both"/>
        <w:rPr>
          <w:rFonts w:ascii="Arial" w:hAnsi="Arial" w:cs="Arial"/>
          <w:b/>
          <w:sz w:val="24"/>
          <w:szCs w:val="24"/>
          <w:lang w:val="en-US"/>
        </w:rPr>
      </w:pPr>
      <w:r w:rsidRPr="00841A95">
        <w:rPr>
          <w:rFonts w:ascii="Arial" w:hAnsi="Arial" w:cs="Arial"/>
          <w:b/>
          <w:sz w:val="24"/>
          <w:szCs w:val="24"/>
          <w:lang w:val="en-US"/>
        </w:rPr>
        <w:t>T</w:t>
      </w:r>
      <w:r w:rsidR="00250AD6" w:rsidRPr="00841A95">
        <w:rPr>
          <w:rFonts w:ascii="Arial" w:hAnsi="Arial" w:cs="Arial"/>
          <w:b/>
          <w:sz w:val="24"/>
          <w:szCs w:val="24"/>
          <w:lang w:val="en-US"/>
        </w:rPr>
        <w:t xml:space="preserve">he presiding officer’s </w:t>
      </w:r>
      <w:r w:rsidRPr="00841A95">
        <w:rPr>
          <w:rFonts w:ascii="Arial" w:hAnsi="Arial" w:cs="Arial"/>
          <w:b/>
          <w:sz w:val="24"/>
          <w:szCs w:val="24"/>
          <w:lang w:val="en-US"/>
        </w:rPr>
        <w:t>analysis of the evidence</w:t>
      </w:r>
    </w:p>
    <w:p w14:paraId="77521106" w14:textId="26FDFF3D" w:rsidR="005153DD" w:rsidRPr="00841A95" w:rsidRDefault="004170FD" w:rsidP="006A581F">
      <w:pPr>
        <w:tabs>
          <w:tab w:val="left" w:pos="4917"/>
        </w:tabs>
        <w:spacing w:before="120" w:after="120" w:line="360" w:lineRule="auto"/>
        <w:jc w:val="both"/>
        <w:rPr>
          <w:rFonts w:ascii="Arial" w:hAnsi="Arial" w:cs="Arial"/>
          <w:b/>
          <w:sz w:val="24"/>
          <w:szCs w:val="24"/>
          <w:lang w:val="en-US"/>
        </w:rPr>
      </w:pPr>
      <w:r w:rsidRPr="00841A95">
        <w:rPr>
          <w:rFonts w:ascii="Arial" w:hAnsi="Arial" w:cs="Arial"/>
          <w:b/>
          <w:i/>
          <w:sz w:val="24"/>
          <w:szCs w:val="24"/>
          <w:lang w:val="en-US"/>
        </w:rPr>
        <w:t>Ad</w:t>
      </w:r>
      <w:r w:rsidRPr="00841A95">
        <w:rPr>
          <w:rFonts w:ascii="Arial" w:hAnsi="Arial" w:cs="Arial"/>
          <w:b/>
          <w:sz w:val="24"/>
          <w:szCs w:val="24"/>
          <w:lang w:val="en-US"/>
        </w:rPr>
        <w:t xml:space="preserve"> conviction</w:t>
      </w:r>
    </w:p>
    <w:p w14:paraId="31550497" w14:textId="77777777" w:rsidR="006D2931" w:rsidRPr="00841A95" w:rsidRDefault="006D2931" w:rsidP="006D2931">
      <w:pPr>
        <w:pStyle w:val="ListParagraph"/>
        <w:rPr>
          <w:rFonts w:ascii="Arial" w:hAnsi="Arial" w:cs="Arial"/>
          <w:sz w:val="24"/>
          <w:szCs w:val="24"/>
          <w:lang w:val="en-US"/>
        </w:rPr>
      </w:pPr>
    </w:p>
    <w:p w14:paraId="766D3E9C" w14:textId="6DFD34E6"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[5]</w:t>
      </w:r>
      <w:r w:rsidRPr="00841A95">
        <w:rPr>
          <w:rFonts w:ascii="Arial" w:hAnsi="Arial" w:cs="Arial"/>
          <w:sz w:val="24"/>
          <w:szCs w:val="24"/>
          <w:lang w:val="en-US"/>
        </w:rPr>
        <w:tab/>
      </w:r>
      <w:r w:rsidR="00AC4CBF" w:rsidRPr="007C2C00">
        <w:rPr>
          <w:rFonts w:ascii="Arial" w:hAnsi="Arial" w:cs="Arial"/>
          <w:sz w:val="24"/>
          <w:szCs w:val="24"/>
          <w:lang w:val="en-US"/>
        </w:rPr>
        <w:t>The State presented the evidence of five witnesses, to wit, the complainant, her mother, the investigating officer, the police officer in charge of the police exhibit store, and the medical doctor who examined the complainant.</w:t>
      </w:r>
      <w:r w:rsidR="00270E03" w:rsidRPr="007C2C00">
        <w:rPr>
          <w:rFonts w:ascii="Arial" w:hAnsi="Arial" w:cs="Arial"/>
          <w:sz w:val="24"/>
          <w:szCs w:val="24"/>
          <w:lang w:val="en-US"/>
        </w:rPr>
        <w:t xml:space="preserve"> Two witnesses testified on behalf of the defendant, himself, and the police officer who took the complainant’s statement.</w:t>
      </w:r>
      <w:r w:rsidR="00D64034" w:rsidRPr="007C2C00">
        <w:rPr>
          <w:rFonts w:ascii="Arial" w:hAnsi="Arial" w:cs="Arial"/>
          <w:sz w:val="24"/>
          <w:szCs w:val="24"/>
          <w:lang w:val="en-US"/>
        </w:rPr>
        <w:t xml:space="preserve"> </w:t>
      </w:r>
    </w:p>
    <w:p w14:paraId="05B2420A" w14:textId="77777777" w:rsidR="00D64034" w:rsidRPr="00841A95" w:rsidRDefault="00D64034" w:rsidP="00D64034">
      <w:pPr>
        <w:pStyle w:val="ListParagraph"/>
        <w:rPr>
          <w:rFonts w:ascii="Arial" w:hAnsi="Arial" w:cs="Arial"/>
          <w:sz w:val="24"/>
          <w:szCs w:val="24"/>
          <w:lang w:val="en-US"/>
        </w:rPr>
      </w:pPr>
    </w:p>
    <w:p w14:paraId="04536712" w14:textId="0BF8F8F0"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[6]</w:t>
      </w:r>
      <w:r w:rsidRPr="00841A95">
        <w:rPr>
          <w:rFonts w:ascii="Arial" w:hAnsi="Arial" w:cs="Arial"/>
          <w:sz w:val="24"/>
          <w:szCs w:val="24"/>
          <w:lang w:val="en-US"/>
        </w:rPr>
        <w:tab/>
      </w:r>
      <w:r w:rsidR="00270E03" w:rsidRPr="007C2C00">
        <w:rPr>
          <w:rFonts w:ascii="Arial" w:hAnsi="Arial" w:cs="Arial"/>
          <w:sz w:val="24"/>
          <w:szCs w:val="24"/>
          <w:lang w:val="en-US"/>
        </w:rPr>
        <w:t xml:space="preserve">Although the appellant chose not to provide a plea explanation, the only disputed issue </w:t>
      </w:r>
      <w:r w:rsidR="00ED47F8" w:rsidRPr="007C2C00">
        <w:rPr>
          <w:rFonts w:ascii="Arial" w:hAnsi="Arial" w:cs="Arial"/>
          <w:sz w:val="24"/>
          <w:szCs w:val="24"/>
          <w:lang w:val="en-US"/>
        </w:rPr>
        <w:t>was</w:t>
      </w:r>
      <w:r w:rsidR="00270E03" w:rsidRPr="007C2C00">
        <w:rPr>
          <w:rFonts w:ascii="Arial" w:hAnsi="Arial" w:cs="Arial"/>
          <w:sz w:val="24"/>
          <w:szCs w:val="24"/>
          <w:lang w:val="en-US"/>
        </w:rPr>
        <w:t xml:space="preserve"> the question as to whether the appellant </w:t>
      </w:r>
      <w:r w:rsidR="00940EF5" w:rsidRPr="007C2C00">
        <w:rPr>
          <w:rFonts w:ascii="Arial" w:hAnsi="Arial" w:cs="Arial"/>
          <w:sz w:val="24"/>
          <w:szCs w:val="24"/>
          <w:lang w:val="en-US"/>
        </w:rPr>
        <w:t>was</w:t>
      </w:r>
      <w:r w:rsidR="00270E03" w:rsidRPr="007C2C00">
        <w:rPr>
          <w:rFonts w:ascii="Arial" w:hAnsi="Arial" w:cs="Arial"/>
          <w:sz w:val="24"/>
          <w:szCs w:val="24"/>
          <w:lang w:val="en-US"/>
        </w:rPr>
        <w:t xml:space="preserve"> the person who raped the complainant.</w:t>
      </w:r>
      <w:r w:rsidR="008624F3" w:rsidRPr="007C2C00">
        <w:rPr>
          <w:rFonts w:ascii="Arial" w:hAnsi="Arial" w:cs="Arial"/>
          <w:sz w:val="24"/>
          <w:szCs w:val="24"/>
          <w:lang w:val="en-US"/>
        </w:rPr>
        <w:t xml:space="preserve"> </w:t>
      </w:r>
      <w:r w:rsidR="00D64034" w:rsidRPr="007C2C00">
        <w:rPr>
          <w:rFonts w:ascii="Arial" w:hAnsi="Arial" w:cs="Arial"/>
          <w:sz w:val="24"/>
          <w:szCs w:val="24"/>
          <w:lang w:val="en-US"/>
        </w:rPr>
        <w:t>The appeal against the conviction is thus, in essence, an appeal on fact</w:t>
      </w:r>
      <w:r w:rsidR="00E23F86" w:rsidRPr="007C2C00">
        <w:rPr>
          <w:rFonts w:ascii="Arial" w:hAnsi="Arial" w:cs="Arial"/>
          <w:sz w:val="24"/>
          <w:szCs w:val="24"/>
          <w:lang w:val="en-US"/>
        </w:rPr>
        <w:t>s</w:t>
      </w:r>
      <w:r w:rsidR="00D64034" w:rsidRPr="007C2C00">
        <w:rPr>
          <w:rFonts w:ascii="Arial" w:hAnsi="Arial" w:cs="Arial"/>
          <w:sz w:val="24"/>
          <w:szCs w:val="24"/>
          <w:lang w:val="en-US"/>
        </w:rPr>
        <w:t>. The sole issue is whether the appellant had sexual intercourse with the complainant.</w:t>
      </w:r>
    </w:p>
    <w:p w14:paraId="57761AE6" w14:textId="77777777" w:rsidR="00ED47F8" w:rsidRPr="00841A95" w:rsidRDefault="00ED47F8" w:rsidP="00ED47F8">
      <w:pPr>
        <w:pStyle w:val="ListParagraph"/>
        <w:rPr>
          <w:rFonts w:ascii="Arial" w:hAnsi="Arial" w:cs="Arial"/>
          <w:sz w:val="24"/>
          <w:szCs w:val="24"/>
          <w:lang w:val="en-US"/>
        </w:rPr>
      </w:pPr>
    </w:p>
    <w:p w14:paraId="339281F0" w14:textId="1F122B1E"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[7]</w:t>
      </w:r>
      <w:r w:rsidRPr="00841A95">
        <w:rPr>
          <w:rFonts w:ascii="Arial" w:hAnsi="Arial" w:cs="Arial"/>
          <w:sz w:val="24"/>
          <w:szCs w:val="24"/>
          <w:lang w:val="en-US"/>
        </w:rPr>
        <w:tab/>
      </w:r>
      <w:r w:rsidR="00ED47F8" w:rsidRPr="007C2C00">
        <w:rPr>
          <w:rFonts w:ascii="Arial" w:hAnsi="Arial" w:cs="Arial"/>
          <w:sz w:val="24"/>
          <w:szCs w:val="24"/>
          <w:lang w:val="en-US"/>
        </w:rPr>
        <w:t xml:space="preserve">The complainant’s evidence that she was raped is corroborated by the doctor, who confirms not only that she had sexual intercourse that caused bruising, but also that her jersey was torn. The complainant’s evidence of the events that preceded her abduction is corroborated by her mother. Her testimony that </w:t>
      </w:r>
      <w:r w:rsidR="00940EF5" w:rsidRPr="007C2C00">
        <w:rPr>
          <w:rFonts w:ascii="Arial" w:hAnsi="Arial" w:cs="Arial"/>
          <w:sz w:val="24"/>
          <w:szCs w:val="24"/>
          <w:lang w:val="en-US"/>
        </w:rPr>
        <w:t>the appellant raped her</w:t>
      </w:r>
      <w:r w:rsidR="00ED47F8" w:rsidRPr="007C2C00">
        <w:rPr>
          <w:rFonts w:ascii="Arial" w:hAnsi="Arial" w:cs="Arial"/>
          <w:sz w:val="24"/>
          <w:szCs w:val="24"/>
          <w:lang w:val="en-US"/>
        </w:rPr>
        <w:t xml:space="preserve"> is corroborated by her mother</w:t>
      </w:r>
      <w:r w:rsidR="000C72CE" w:rsidRPr="007C2C00">
        <w:rPr>
          <w:rFonts w:ascii="Arial" w:hAnsi="Arial" w:cs="Arial"/>
          <w:sz w:val="24"/>
          <w:szCs w:val="24"/>
          <w:lang w:val="en-US"/>
        </w:rPr>
        <w:t>, who testified that she approached not only the appellant’s mother</w:t>
      </w:r>
      <w:r w:rsidR="00ED47F8" w:rsidRPr="007C2C00">
        <w:rPr>
          <w:rFonts w:ascii="Arial" w:hAnsi="Arial" w:cs="Arial"/>
          <w:sz w:val="24"/>
          <w:szCs w:val="24"/>
          <w:lang w:val="en-US"/>
        </w:rPr>
        <w:t xml:space="preserve"> but </w:t>
      </w:r>
      <w:r w:rsidR="00940EF5" w:rsidRPr="007C2C00">
        <w:rPr>
          <w:rFonts w:ascii="Arial" w:hAnsi="Arial" w:cs="Arial"/>
          <w:sz w:val="24"/>
          <w:szCs w:val="24"/>
          <w:lang w:val="en-US"/>
        </w:rPr>
        <w:t xml:space="preserve">also </w:t>
      </w:r>
      <w:r w:rsidR="00ED47F8" w:rsidRPr="007C2C00">
        <w:rPr>
          <w:rFonts w:ascii="Arial" w:hAnsi="Arial" w:cs="Arial"/>
          <w:sz w:val="24"/>
          <w:szCs w:val="24"/>
          <w:lang w:val="en-US"/>
        </w:rPr>
        <w:t xml:space="preserve">the appellant the next morning and confronted the appellant. The complainant’s </w:t>
      </w:r>
      <w:r w:rsidR="000C72CE" w:rsidRPr="007C2C00">
        <w:rPr>
          <w:rFonts w:ascii="Arial" w:hAnsi="Arial" w:cs="Arial"/>
          <w:sz w:val="24"/>
          <w:szCs w:val="24"/>
          <w:lang w:val="en-US"/>
        </w:rPr>
        <w:t>mother's</w:t>
      </w:r>
      <w:r w:rsidR="00ED47F8" w:rsidRPr="007C2C00">
        <w:rPr>
          <w:rFonts w:ascii="Arial" w:hAnsi="Arial" w:cs="Arial"/>
          <w:sz w:val="24"/>
          <w:szCs w:val="24"/>
          <w:lang w:val="en-US"/>
        </w:rPr>
        <w:t xml:space="preserve"> evidence that she </w:t>
      </w:r>
      <w:r w:rsidR="000C72CE" w:rsidRPr="007C2C00">
        <w:rPr>
          <w:rFonts w:ascii="Arial" w:hAnsi="Arial" w:cs="Arial"/>
          <w:sz w:val="24"/>
          <w:szCs w:val="24"/>
          <w:lang w:val="en-US"/>
        </w:rPr>
        <w:t xml:space="preserve">visited the accused’s home the morning following the event, that she had sight of the knife, empty alcohol bottles, and handcuffs in his room, and confronted </w:t>
      </w:r>
      <w:r w:rsidR="00D64034" w:rsidRPr="007C2C00">
        <w:rPr>
          <w:rFonts w:ascii="Arial" w:hAnsi="Arial" w:cs="Arial"/>
          <w:sz w:val="24"/>
          <w:szCs w:val="24"/>
          <w:lang w:val="en-US"/>
        </w:rPr>
        <w:t>the accused</w:t>
      </w:r>
      <w:r w:rsidR="000C72CE" w:rsidRPr="007C2C00">
        <w:rPr>
          <w:rFonts w:ascii="Arial" w:hAnsi="Arial" w:cs="Arial"/>
          <w:sz w:val="24"/>
          <w:szCs w:val="24"/>
          <w:lang w:val="en-US"/>
        </w:rPr>
        <w:t xml:space="preserve">, whereafter he apologised </w:t>
      </w:r>
      <w:r w:rsidR="000C72CE" w:rsidRPr="007C2C00">
        <w:rPr>
          <w:rFonts w:ascii="Arial" w:hAnsi="Arial" w:cs="Arial"/>
          <w:sz w:val="24"/>
          <w:szCs w:val="24"/>
          <w:lang w:val="en-US"/>
        </w:rPr>
        <w:lastRenderedPageBreak/>
        <w:t>and said that he is sorry for the incident but that he was drunk, was never disputed when this witness was cross-examined.</w:t>
      </w:r>
      <w:r w:rsidR="004170FD" w:rsidRPr="007C2C00">
        <w:rPr>
          <w:rFonts w:ascii="Arial" w:hAnsi="Arial" w:cs="Arial"/>
          <w:sz w:val="24"/>
          <w:szCs w:val="24"/>
          <w:lang w:val="en-US"/>
        </w:rPr>
        <w:t xml:space="preserve"> </w:t>
      </w:r>
      <w:r w:rsidR="00D64034" w:rsidRPr="007C2C00">
        <w:rPr>
          <w:rFonts w:ascii="Arial" w:hAnsi="Arial" w:cs="Arial"/>
          <w:sz w:val="24"/>
          <w:szCs w:val="24"/>
          <w:lang w:val="en-US"/>
        </w:rPr>
        <w:t>The accused confirmed in his evidence in chief that the complainant’s mother visited his homestead, although he then said that she only came to the gate.</w:t>
      </w:r>
      <w:r w:rsidR="000D3D41" w:rsidRPr="007C2C00">
        <w:rPr>
          <w:rFonts w:ascii="Arial" w:hAnsi="Arial" w:cs="Arial"/>
          <w:sz w:val="24"/>
          <w:szCs w:val="24"/>
          <w:lang w:val="en-US"/>
        </w:rPr>
        <w:t xml:space="preserve"> In these circumstances, the failure to challenge the evidence that she spoke to him and that he acknowledged the incident and apologised in cross-examination, holds consequences. It is trite that a failure to challenge the evidence of a witness on a particular issue in cross-examination may affect the findings of the court on that issue.</w:t>
      </w:r>
      <w:r w:rsidR="000D3D41" w:rsidRPr="00841A95">
        <w:rPr>
          <w:rStyle w:val="FootnoteReference"/>
          <w:rFonts w:ascii="Arial" w:hAnsi="Arial" w:cs="Arial"/>
          <w:sz w:val="24"/>
          <w:szCs w:val="24"/>
          <w:lang w:val="en-US"/>
        </w:rPr>
        <w:footnoteReference w:id="4"/>
      </w:r>
    </w:p>
    <w:p w14:paraId="168F9F1E" w14:textId="77777777" w:rsidR="00D64034" w:rsidRPr="00841A95" w:rsidRDefault="00D64034" w:rsidP="00D64034">
      <w:pPr>
        <w:pStyle w:val="ListParagraph"/>
        <w:rPr>
          <w:rFonts w:ascii="Arial" w:hAnsi="Arial" w:cs="Arial"/>
          <w:sz w:val="24"/>
          <w:szCs w:val="24"/>
          <w:lang w:val="en-US"/>
        </w:rPr>
      </w:pPr>
    </w:p>
    <w:p w14:paraId="2247B63E" w14:textId="17ED3253"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[8]</w:t>
      </w:r>
      <w:r w:rsidRPr="00841A95">
        <w:rPr>
          <w:rFonts w:ascii="Arial" w:hAnsi="Arial" w:cs="Arial"/>
          <w:sz w:val="24"/>
          <w:szCs w:val="24"/>
          <w:lang w:val="en-US"/>
        </w:rPr>
        <w:tab/>
      </w:r>
      <w:r w:rsidR="004170FD" w:rsidRPr="007C2C00">
        <w:rPr>
          <w:rFonts w:ascii="Arial" w:hAnsi="Arial" w:cs="Arial"/>
          <w:sz w:val="24"/>
          <w:szCs w:val="24"/>
          <w:lang w:val="en-US"/>
        </w:rPr>
        <w:t xml:space="preserve">The discrepancy between the complainant’s statement and her </w:t>
      </w:r>
      <w:r w:rsidR="004170FD" w:rsidRPr="007C2C00">
        <w:rPr>
          <w:rFonts w:ascii="Arial" w:hAnsi="Arial" w:cs="Arial"/>
          <w:i/>
          <w:sz w:val="24"/>
          <w:szCs w:val="24"/>
          <w:lang w:val="en-US"/>
        </w:rPr>
        <w:t>viva voce</w:t>
      </w:r>
      <w:r w:rsidR="004170FD" w:rsidRPr="007C2C00">
        <w:rPr>
          <w:rFonts w:ascii="Arial" w:hAnsi="Arial" w:cs="Arial"/>
          <w:sz w:val="24"/>
          <w:szCs w:val="24"/>
          <w:lang w:val="en-US"/>
        </w:rPr>
        <w:t xml:space="preserve"> evidence does not go to the substance of her testimony. It must be considered that she was still </w:t>
      </w:r>
      <w:r w:rsidR="00940EF5" w:rsidRPr="007C2C00">
        <w:rPr>
          <w:rFonts w:ascii="Arial" w:hAnsi="Arial" w:cs="Arial"/>
          <w:sz w:val="24"/>
          <w:szCs w:val="24"/>
          <w:lang w:val="en-US"/>
        </w:rPr>
        <w:t>severely</w:t>
      </w:r>
      <w:r w:rsidR="004170FD" w:rsidRPr="007C2C00">
        <w:rPr>
          <w:rFonts w:ascii="Arial" w:hAnsi="Arial" w:cs="Arial"/>
          <w:sz w:val="24"/>
          <w:szCs w:val="24"/>
          <w:lang w:val="en-US"/>
        </w:rPr>
        <w:t xml:space="preserve"> traumatised when she made the statement. A witness is not required to provide a minutely detailed statement </w:t>
      </w:r>
      <w:r w:rsidR="00940EF5" w:rsidRPr="007C2C00">
        <w:rPr>
          <w:rFonts w:ascii="Arial" w:hAnsi="Arial" w:cs="Arial"/>
          <w:sz w:val="24"/>
          <w:szCs w:val="24"/>
          <w:lang w:val="en-US"/>
        </w:rPr>
        <w:t>to the police when making the statement</w:t>
      </w:r>
      <w:r w:rsidR="004170FD" w:rsidRPr="007C2C00">
        <w:rPr>
          <w:rFonts w:ascii="Arial" w:hAnsi="Arial" w:cs="Arial"/>
          <w:sz w:val="24"/>
          <w:szCs w:val="24"/>
          <w:lang w:val="en-US"/>
        </w:rPr>
        <w:t>.</w:t>
      </w:r>
      <w:r w:rsidR="00D64034" w:rsidRPr="007C2C00">
        <w:rPr>
          <w:rFonts w:ascii="Arial" w:hAnsi="Arial" w:cs="Arial"/>
          <w:sz w:val="24"/>
          <w:szCs w:val="24"/>
          <w:lang w:val="en-US"/>
        </w:rPr>
        <w:t xml:space="preserve"> The few inconsistencies in the state’s case do not boil down to the substance of the state’s case but are rather indicative of the respective witnesses’ imperfect recollection. The contradictions in the complainant’s evidence are likewise not material. </w:t>
      </w:r>
    </w:p>
    <w:p w14:paraId="73A68CD7" w14:textId="25F4254D" w:rsidR="00ED47F8" w:rsidRPr="00841A95" w:rsidRDefault="00ED47F8" w:rsidP="00D64034">
      <w:pPr>
        <w:pStyle w:val="ListParagraph"/>
        <w:tabs>
          <w:tab w:val="left" w:pos="4917"/>
        </w:tabs>
        <w:spacing w:before="120" w:after="120" w:line="360" w:lineRule="auto"/>
        <w:jc w:val="both"/>
        <w:rPr>
          <w:rFonts w:ascii="Arial" w:hAnsi="Arial" w:cs="Arial"/>
          <w:sz w:val="24"/>
          <w:szCs w:val="24"/>
          <w:lang w:val="en-US"/>
        </w:rPr>
      </w:pPr>
    </w:p>
    <w:p w14:paraId="5CF5D4A7" w14:textId="39CA1DB1" w:rsidR="00270E03"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[9]</w:t>
      </w:r>
      <w:r w:rsidRPr="00841A95">
        <w:rPr>
          <w:rFonts w:ascii="Arial" w:hAnsi="Arial" w:cs="Arial"/>
          <w:sz w:val="24"/>
          <w:szCs w:val="24"/>
          <w:lang w:val="en-US"/>
        </w:rPr>
        <w:tab/>
      </w:r>
      <w:r w:rsidR="00270E03" w:rsidRPr="007C2C00">
        <w:rPr>
          <w:rFonts w:ascii="Arial" w:hAnsi="Arial" w:cs="Arial"/>
          <w:sz w:val="24"/>
          <w:szCs w:val="24"/>
          <w:lang w:val="en-US"/>
        </w:rPr>
        <w:t>After considering the evidence and the trial court’s analysis thereof, it is clear that the trial court did not materially and demonstrably misdirect itself</w:t>
      </w:r>
      <w:r w:rsidR="000C72CE" w:rsidRPr="007C2C00">
        <w:rPr>
          <w:rFonts w:ascii="Arial" w:hAnsi="Arial" w:cs="Arial"/>
          <w:sz w:val="24"/>
          <w:szCs w:val="24"/>
          <w:lang w:val="en-US"/>
        </w:rPr>
        <w:t xml:space="preserve"> when the evidence </w:t>
      </w:r>
      <w:r w:rsidR="00940EF5" w:rsidRPr="007C2C00">
        <w:rPr>
          <w:rFonts w:ascii="Arial" w:hAnsi="Arial" w:cs="Arial"/>
          <w:sz w:val="24"/>
          <w:szCs w:val="24"/>
          <w:lang w:val="en-US"/>
        </w:rPr>
        <w:t>was</w:t>
      </w:r>
      <w:r w:rsidR="000C72CE" w:rsidRPr="007C2C00">
        <w:rPr>
          <w:rFonts w:ascii="Arial" w:hAnsi="Arial" w:cs="Arial"/>
          <w:sz w:val="24"/>
          <w:szCs w:val="24"/>
          <w:lang w:val="en-US"/>
        </w:rPr>
        <w:t xml:space="preserve"> considered</w:t>
      </w:r>
      <w:r w:rsidR="00270E03" w:rsidRPr="007C2C00">
        <w:rPr>
          <w:rFonts w:ascii="Arial" w:hAnsi="Arial" w:cs="Arial"/>
          <w:sz w:val="24"/>
          <w:szCs w:val="24"/>
          <w:lang w:val="en-US"/>
        </w:rPr>
        <w:t xml:space="preserve">. </w:t>
      </w:r>
    </w:p>
    <w:p w14:paraId="7B6D7C99" w14:textId="77777777" w:rsidR="00E13109" w:rsidRPr="00841A95" w:rsidRDefault="00E13109" w:rsidP="00E13109">
      <w:pPr>
        <w:pStyle w:val="ListParagraph"/>
        <w:rPr>
          <w:rFonts w:ascii="Arial" w:hAnsi="Arial" w:cs="Arial"/>
          <w:sz w:val="24"/>
          <w:szCs w:val="24"/>
          <w:lang w:val="en-US"/>
        </w:rPr>
      </w:pPr>
    </w:p>
    <w:p w14:paraId="763F74B7" w14:textId="4DBBD131" w:rsidR="00E13109" w:rsidRPr="00841A95" w:rsidRDefault="00E13109" w:rsidP="00E13109">
      <w:pPr>
        <w:tabs>
          <w:tab w:val="left" w:pos="4917"/>
        </w:tabs>
        <w:spacing w:before="120" w:after="120" w:line="360" w:lineRule="auto"/>
        <w:jc w:val="both"/>
        <w:rPr>
          <w:rFonts w:ascii="Arial" w:hAnsi="Arial" w:cs="Arial"/>
          <w:i/>
          <w:sz w:val="24"/>
          <w:szCs w:val="24"/>
          <w:lang w:val="en-US"/>
        </w:rPr>
      </w:pPr>
      <w:r w:rsidRPr="00841A95">
        <w:rPr>
          <w:rFonts w:ascii="Arial" w:hAnsi="Arial" w:cs="Arial"/>
          <w:i/>
          <w:sz w:val="24"/>
          <w:szCs w:val="24"/>
          <w:lang w:val="en-US"/>
        </w:rPr>
        <w:t>Admissibility of the complainant’s evidence</w:t>
      </w:r>
    </w:p>
    <w:p w14:paraId="61F5F6B7" w14:textId="77777777" w:rsidR="000C72CE" w:rsidRPr="00841A95" w:rsidRDefault="000C72CE" w:rsidP="000C72CE">
      <w:pPr>
        <w:pStyle w:val="ListParagraph"/>
        <w:rPr>
          <w:rFonts w:ascii="Arial" w:hAnsi="Arial" w:cs="Arial"/>
          <w:sz w:val="24"/>
          <w:szCs w:val="24"/>
          <w:lang w:val="en-US"/>
        </w:rPr>
      </w:pPr>
    </w:p>
    <w:p w14:paraId="0D54FC7F" w14:textId="037EBBFD" w:rsidR="001122FD"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[10]</w:t>
      </w:r>
      <w:r w:rsidRPr="00841A95">
        <w:rPr>
          <w:rFonts w:ascii="Arial" w:hAnsi="Arial" w:cs="Arial"/>
          <w:sz w:val="24"/>
          <w:szCs w:val="24"/>
          <w:lang w:val="en-US"/>
        </w:rPr>
        <w:tab/>
      </w:r>
      <w:r w:rsidR="000C72CE" w:rsidRPr="007C2C00">
        <w:rPr>
          <w:rFonts w:ascii="Arial" w:hAnsi="Arial" w:cs="Arial"/>
          <w:sz w:val="24"/>
          <w:szCs w:val="24"/>
          <w:lang w:val="en-US"/>
        </w:rPr>
        <w:t xml:space="preserve">This is not the end of the matter. </w:t>
      </w:r>
      <w:r w:rsidR="00E13109" w:rsidRPr="007C2C00">
        <w:rPr>
          <w:rFonts w:ascii="Arial" w:hAnsi="Arial" w:cs="Arial"/>
          <w:sz w:val="24"/>
          <w:szCs w:val="24"/>
          <w:lang w:val="en-US"/>
        </w:rPr>
        <w:t xml:space="preserve">A question that arose when I read the record </w:t>
      </w:r>
      <w:r w:rsidR="000C72CE" w:rsidRPr="007C2C00">
        <w:rPr>
          <w:rFonts w:ascii="Arial" w:hAnsi="Arial" w:cs="Arial"/>
          <w:sz w:val="24"/>
          <w:szCs w:val="24"/>
          <w:lang w:val="en-US"/>
        </w:rPr>
        <w:t xml:space="preserve">is whether the complainant’s evidence is admissible. </w:t>
      </w:r>
      <w:r w:rsidR="006A581F" w:rsidRPr="007C2C00">
        <w:rPr>
          <w:rFonts w:ascii="Arial" w:hAnsi="Arial" w:cs="Arial"/>
          <w:sz w:val="24"/>
          <w:szCs w:val="24"/>
          <w:lang w:val="en-US"/>
        </w:rPr>
        <w:t xml:space="preserve">The complainant’s evidence was led with the assistance of an </w:t>
      </w:r>
      <w:r w:rsidR="000105E0" w:rsidRPr="007C2C00">
        <w:rPr>
          <w:rFonts w:ascii="Arial" w:hAnsi="Arial" w:cs="Arial"/>
          <w:sz w:val="24"/>
          <w:szCs w:val="24"/>
          <w:lang w:val="en-US"/>
        </w:rPr>
        <w:t>intermediary</w:t>
      </w:r>
      <w:r w:rsidR="006A581F" w:rsidRPr="007C2C00">
        <w:rPr>
          <w:rFonts w:ascii="Arial" w:hAnsi="Arial" w:cs="Arial"/>
          <w:sz w:val="24"/>
          <w:szCs w:val="24"/>
          <w:lang w:val="en-US"/>
        </w:rPr>
        <w:t>.</w:t>
      </w:r>
      <w:r w:rsidR="00FF1CF7" w:rsidRPr="00841A95">
        <w:rPr>
          <w:rStyle w:val="FootnoteReference"/>
          <w:rFonts w:ascii="Arial" w:hAnsi="Arial" w:cs="Arial"/>
          <w:sz w:val="24"/>
          <w:szCs w:val="24"/>
          <w:lang w:val="en-US"/>
        </w:rPr>
        <w:footnoteReference w:id="5"/>
      </w:r>
      <w:r w:rsidR="000105E0" w:rsidRPr="007C2C00">
        <w:rPr>
          <w:rFonts w:ascii="Arial" w:hAnsi="Arial" w:cs="Arial"/>
          <w:sz w:val="24"/>
          <w:szCs w:val="24"/>
          <w:lang w:val="en-US"/>
        </w:rPr>
        <w:t xml:space="preserve"> The complainant turned 15 the day </w:t>
      </w:r>
      <w:r w:rsidR="000105E0" w:rsidRPr="007C2C00">
        <w:rPr>
          <w:rFonts w:ascii="Arial" w:hAnsi="Arial" w:cs="Arial"/>
          <w:sz w:val="24"/>
          <w:szCs w:val="24"/>
          <w:lang w:val="en-US"/>
        </w:rPr>
        <w:lastRenderedPageBreak/>
        <w:t>before the trial commenced.</w:t>
      </w:r>
      <w:r w:rsidR="003561A4" w:rsidRPr="007C2C00">
        <w:rPr>
          <w:rFonts w:ascii="Arial" w:hAnsi="Arial" w:cs="Arial"/>
          <w:sz w:val="24"/>
          <w:szCs w:val="24"/>
          <w:lang w:val="en-US"/>
        </w:rPr>
        <w:t xml:space="preserve"> </w:t>
      </w:r>
      <w:r w:rsidR="00EB0A35" w:rsidRPr="007C2C00">
        <w:rPr>
          <w:rFonts w:ascii="Arial" w:hAnsi="Arial" w:cs="Arial"/>
          <w:sz w:val="24"/>
          <w:szCs w:val="24"/>
          <w:lang w:val="en-US"/>
        </w:rPr>
        <w:t xml:space="preserve">The complainant’s competency to testify was not an issue raised before the trial court. </w:t>
      </w:r>
      <w:r w:rsidR="00CD5579" w:rsidRPr="007C2C00">
        <w:rPr>
          <w:rFonts w:ascii="Arial" w:hAnsi="Arial" w:cs="Arial"/>
          <w:sz w:val="24"/>
          <w:szCs w:val="24"/>
          <w:lang w:val="en-US"/>
        </w:rPr>
        <w:t xml:space="preserve"> </w:t>
      </w:r>
    </w:p>
    <w:p w14:paraId="6316BC05" w14:textId="77777777" w:rsidR="001122FD" w:rsidRPr="00841A95" w:rsidRDefault="001122FD" w:rsidP="001122FD">
      <w:pPr>
        <w:pStyle w:val="ListParagraph"/>
        <w:tabs>
          <w:tab w:val="left" w:pos="4917"/>
        </w:tabs>
        <w:spacing w:before="120" w:after="120" w:line="360" w:lineRule="auto"/>
        <w:jc w:val="both"/>
        <w:rPr>
          <w:rFonts w:ascii="Arial" w:hAnsi="Arial" w:cs="Arial"/>
          <w:sz w:val="24"/>
          <w:szCs w:val="24"/>
          <w:lang w:val="en-US"/>
        </w:rPr>
      </w:pPr>
    </w:p>
    <w:p w14:paraId="5D6E2EF7" w14:textId="28F55548" w:rsidR="000C72CE"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[11]</w:t>
      </w:r>
      <w:r w:rsidRPr="00841A95">
        <w:rPr>
          <w:rFonts w:ascii="Arial" w:hAnsi="Arial" w:cs="Arial"/>
          <w:sz w:val="24"/>
          <w:szCs w:val="24"/>
          <w:lang w:val="en-US"/>
        </w:rPr>
        <w:tab/>
      </w:r>
      <w:r w:rsidR="00CD5579" w:rsidRPr="007C2C00">
        <w:rPr>
          <w:rFonts w:ascii="Arial" w:hAnsi="Arial" w:cs="Arial"/>
          <w:sz w:val="24"/>
          <w:szCs w:val="24"/>
          <w:lang w:val="en-US"/>
        </w:rPr>
        <w:t xml:space="preserve">However, </w:t>
      </w:r>
      <w:r w:rsidR="001122FD" w:rsidRPr="007C2C00">
        <w:rPr>
          <w:rFonts w:ascii="Arial" w:hAnsi="Arial" w:cs="Arial"/>
          <w:sz w:val="24"/>
          <w:szCs w:val="24"/>
          <w:lang w:val="en-US"/>
        </w:rPr>
        <w:t xml:space="preserve">after perusing </w:t>
      </w:r>
      <w:r w:rsidR="00CD5579" w:rsidRPr="007C2C00">
        <w:rPr>
          <w:rFonts w:ascii="Arial" w:hAnsi="Arial" w:cs="Arial"/>
          <w:sz w:val="24"/>
          <w:szCs w:val="24"/>
          <w:lang w:val="en-US"/>
        </w:rPr>
        <w:t>the record</w:t>
      </w:r>
      <w:r w:rsidR="001122FD" w:rsidRPr="007C2C00">
        <w:rPr>
          <w:rFonts w:ascii="Arial" w:hAnsi="Arial" w:cs="Arial"/>
          <w:sz w:val="24"/>
          <w:szCs w:val="24"/>
          <w:lang w:val="en-US"/>
        </w:rPr>
        <w:t>, I requested counsel to prepare submissions on the question of whether the trial court</w:t>
      </w:r>
      <w:r w:rsidR="00CD5579" w:rsidRPr="007C2C00">
        <w:rPr>
          <w:rFonts w:ascii="Arial" w:hAnsi="Arial" w:cs="Arial"/>
          <w:sz w:val="24"/>
          <w:szCs w:val="24"/>
          <w:lang w:val="en-US"/>
        </w:rPr>
        <w:t xml:space="preserve"> established that the witness </w:t>
      </w:r>
      <w:r w:rsidR="00940EF5" w:rsidRPr="007C2C00">
        <w:rPr>
          <w:rFonts w:ascii="Arial" w:hAnsi="Arial" w:cs="Arial"/>
          <w:sz w:val="24"/>
          <w:szCs w:val="24"/>
          <w:lang w:val="en-US"/>
        </w:rPr>
        <w:t>could</w:t>
      </w:r>
      <w:r w:rsidR="00CD5579" w:rsidRPr="007C2C00">
        <w:rPr>
          <w:rFonts w:ascii="Arial" w:hAnsi="Arial" w:cs="Arial"/>
          <w:sz w:val="24"/>
          <w:szCs w:val="24"/>
          <w:lang w:val="en-US"/>
        </w:rPr>
        <w:t xml:space="preserve"> distinguish between truth and falsehood</w:t>
      </w:r>
      <w:r w:rsidR="00940EF5" w:rsidRPr="007C2C00">
        <w:rPr>
          <w:rFonts w:ascii="Arial" w:hAnsi="Arial" w:cs="Arial"/>
          <w:sz w:val="24"/>
          <w:szCs w:val="24"/>
          <w:lang w:val="en-US"/>
        </w:rPr>
        <w:t xml:space="preserve"> and understood the nature and import of the oath</w:t>
      </w:r>
      <w:r w:rsidR="00CD5579" w:rsidRPr="007C2C00">
        <w:rPr>
          <w:rFonts w:ascii="Arial" w:hAnsi="Arial" w:cs="Arial"/>
          <w:sz w:val="24"/>
          <w:szCs w:val="24"/>
          <w:lang w:val="en-US"/>
        </w:rPr>
        <w:t xml:space="preserve"> </w:t>
      </w:r>
      <w:r w:rsidR="000C72CE" w:rsidRPr="007C2C00">
        <w:rPr>
          <w:rFonts w:ascii="Arial" w:hAnsi="Arial" w:cs="Arial"/>
          <w:sz w:val="24"/>
          <w:szCs w:val="24"/>
          <w:lang w:val="en-US"/>
        </w:rPr>
        <w:t>before the oath was administered</w:t>
      </w:r>
      <w:r w:rsidR="00CD5579" w:rsidRPr="007C2C00">
        <w:rPr>
          <w:rFonts w:ascii="Arial" w:hAnsi="Arial" w:cs="Arial"/>
          <w:sz w:val="24"/>
          <w:szCs w:val="24"/>
          <w:lang w:val="en-US"/>
        </w:rPr>
        <w:t xml:space="preserve">. </w:t>
      </w:r>
      <w:r w:rsidR="007F0025" w:rsidRPr="007C2C00">
        <w:rPr>
          <w:rFonts w:ascii="Arial" w:hAnsi="Arial" w:cs="Arial"/>
          <w:sz w:val="24"/>
          <w:szCs w:val="24"/>
          <w:lang w:val="en-US"/>
        </w:rPr>
        <w:t xml:space="preserve">The record reflects that the presiding officer did not </w:t>
      </w:r>
      <w:r w:rsidR="00FF1CF7" w:rsidRPr="007C2C00">
        <w:rPr>
          <w:rFonts w:ascii="Arial" w:hAnsi="Arial" w:cs="Arial"/>
          <w:sz w:val="24"/>
          <w:szCs w:val="24"/>
          <w:lang w:val="en-US"/>
        </w:rPr>
        <w:t>conduct an extensive formal enquiry</w:t>
      </w:r>
      <w:r w:rsidR="00940EF5" w:rsidRPr="007C2C00">
        <w:rPr>
          <w:rFonts w:ascii="Arial" w:hAnsi="Arial" w:cs="Arial"/>
          <w:sz w:val="24"/>
          <w:szCs w:val="24"/>
          <w:lang w:val="en-US"/>
        </w:rPr>
        <w:t>,</w:t>
      </w:r>
      <w:r w:rsidR="007F0025" w:rsidRPr="007C2C00">
        <w:rPr>
          <w:rFonts w:ascii="Arial" w:hAnsi="Arial" w:cs="Arial"/>
          <w:sz w:val="24"/>
          <w:szCs w:val="24"/>
          <w:lang w:val="en-US"/>
        </w:rPr>
        <w:t xml:space="preserve"> on the basis of which it can be said that </w:t>
      </w:r>
      <w:r w:rsidR="0094240E" w:rsidRPr="007C2C00">
        <w:rPr>
          <w:rFonts w:ascii="Arial" w:hAnsi="Arial" w:cs="Arial"/>
          <w:sz w:val="24"/>
          <w:szCs w:val="24"/>
          <w:lang w:val="en-US"/>
        </w:rPr>
        <w:t>the complainant’s</w:t>
      </w:r>
      <w:r w:rsidR="007F0025" w:rsidRPr="007C2C00">
        <w:rPr>
          <w:rFonts w:ascii="Arial" w:hAnsi="Arial" w:cs="Arial"/>
          <w:sz w:val="24"/>
          <w:szCs w:val="24"/>
          <w:lang w:val="en-US"/>
        </w:rPr>
        <w:t xml:space="preserve"> competency to testify was determined. </w:t>
      </w:r>
      <w:r w:rsidR="00AA5654" w:rsidRPr="007C2C00">
        <w:rPr>
          <w:rFonts w:ascii="Arial" w:hAnsi="Arial" w:cs="Arial"/>
          <w:sz w:val="24"/>
          <w:szCs w:val="24"/>
          <w:lang w:val="en-US"/>
        </w:rPr>
        <w:t>During argument, c</w:t>
      </w:r>
      <w:r w:rsidR="000C72CE" w:rsidRPr="007C2C00">
        <w:rPr>
          <w:rFonts w:ascii="Arial" w:hAnsi="Arial" w:cs="Arial"/>
          <w:sz w:val="24"/>
          <w:szCs w:val="24"/>
          <w:lang w:val="en-US"/>
        </w:rPr>
        <w:t xml:space="preserve">ounsel for both the state and the appellant submitted that </w:t>
      </w:r>
      <w:r w:rsidR="007F0025" w:rsidRPr="007C2C00">
        <w:rPr>
          <w:rFonts w:ascii="Arial" w:hAnsi="Arial" w:cs="Arial"/>
          <w:sz w:val="24"/>
          <w:szCs w:val="24"/>
          <w:lang w:val="en-US"/>
        </w:rPr>
        <w:t xml:space="preserve">this </w:t>
      </w:r>
      <w:r w:rsidR="0094240E" w:rsidRPr="007C2C00">
        <w:rPr>
          <w:rFonts w:ascii="Arial" w:hAnsi="Arial" w:cs="Arial"/>
          <w:sz w:val="24"/>
          <w:szCs w:val="24"/>
          <w:lang w:val="en-US"/>
        </w:rPr>
        <w:t xml:space="preserve">apparent </w:t>
      </w:r>
      <w:r w:rsidR="007F0025" w:rsidRPr="007C2C00">
        <w:rPr>
          <w:rFonts w:ascii="Arial" w:hAnsi="Arial" w:cs="Arial"/>
          <w:sz w:val="24"/>
          <w:szCs w:val="24"/>
          <w:lang w:val="en-US"/>
        </w:rPr>
        <w:t xml:space="preserve">lack-of-investigation or enquiry </w:t>
      </w:r>
      <w:r w:rsidR="00940EF5" w:rsidRPr="007C2C00">
        <w:rPr>
          <w:rFonts w:ascii="Arial" w:hAnsi="Arial" w:cs="Arial"/>
          <w:sz w:val="24"/>
          <w:szCs w:val="24"/>
          <w:lang w:val="en-US"/>
        </w:rPr>
        <w:t>constituted an irregularity</w:t>
      </w:r>
      <w:r w:rsidR="000C72CE" w:rsidRPr="007C2C00">
        <w:rPr>
          <w:rFonts w:ascii="Arial" w:hAnsi="Arial" w:cs="Arial"/>
          <w:sz w:val="24"/>
          <w:szCs w:val="24"/>
          <w:lang w:val="en-US"/>
        </w:rPr>
        <w:t xml:space="preserve"> that rendered the complainant’s evidence inadmissible.</w:t>
      </w:r>
    </w:p>
    <w:p w14:paraId="6FD35DF5" w14:textId="1844FF53" w:rsidR="006C3884" w:rsidRPr="00841A95" w:rsidRDefault="003561A4" w:rsidP="006C3884">
      <w:pPr>
        <w:pStyle w:val="ListParagraph"/>
        <w:rPr>
          <w:rFonts w:ascii="Arial" w:hAnsi="Arial" w:cs="Arial"/>
          <w:sz w:val="24"/>
          <w:szCs w:val="24"/>
          <w:lang w:val="en-US"/>
        </w:rPr>
      </w:pPr>
      <w:r w:rsidRPr="00841A95">
        <w:rPr>
          <w:rFonts w:ascii="Arial" w:hAnsi="Arial" w:cs="Arial"/>
          <w:sz w:val="24"/>
          <w:szCs w:val="24"/>
          <w:lang w:val="en-US"/>
        </w:rPr>
        <w:t xml:space="preserve"> </w:t>
      </w:r>
    </w:p>
    <w:p w14:paraId="315CCC11" w14:textId="56DB750C"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[12]</w:t>
      </w:r>
      <w:r w:rsidRPr="00841A95">
        <w:rPr>
          <w:rFonts w:ascii="Arial" w:hAnsi="Arial" w:cs="Arial"/>
          <w:sz w:val="24"/>
          <w:szCs w:val="24"/>
          <w:lang w:val="en-US"/>
        </w:rPr>
        <w:tab/>
      </w:r>
      <w:r w:rsidR="001122FD" w:rsidRPr="007C2C00">
        <w:rPr>
          <w:rFonts w:ascii="Arial" w:hAnsi="Arial" w:cs="Arial"/>
          <w:sz w:val="24"/>
          <w:szCs w:val="24"/>
          <w:lang w:val="en-US"/>
        </w:rPr>
        <w:t>Both counsel submitted that it is trite that a trial court is obliged to assess the competence of a child witness and establish whether the witness is capable of distinguishing between truth and lies. Appellant’s counsel referred the court</w:t>
      </w:r>
      <w:r w:rsidR="00157A89" w:rsidRPr="007C2C00">
        <w:rPr>
          <w:rFonts w:ascii="Arial" w:hAnsi="Arial" w:cs="Arial"/>
          <w:sz w:val="24"/>
          <w:szCs w:val="24"/>
          <w:lang w:val="en-US"/>
        </w:rPr>
        <w:t>, amongst others,</w:t>
      </w:r>
      <w:r w:rsidR="001122FD" w:rsidRPr="007C2C00">
        <w:rPr>
          <w:rFonts w:ascii="Arial" w:hAnsi="Arial" w:cs="Arial"/>
          <w:sz w:val="24"/>
          <w:szCs w:val="24"/>
          <w:lang w:val="en-US"/>
        </w:rPr>
        <w:t xml:space="preserve"> to </w:t>
      </w:r>
      <w:r w:rsidR="001122FD" w:rsidRPr="007C2C00">
        <w:rPr>
          <w:rFonts w:ascii="Arial" w:hAnsi="Arial" w:cs="Arial"/>
          <w:i/>
          <w:sz w:val="24"/>
          <w:szCs w:val="24"/>
          <w:lang w:val="en-US"/>
        </w:rPr>
        <w:t>Director of Public Prosecutions, Transvaal v Minister of Justice and Constitutional Development and Other</w:t>
      </w:r>
      <w:r w:rsidR="00CD5913" w:rsidRPr="007C2C00">
        <w:rPr>
          <w:rFonts w:ascii="Arial" w:hAnsi="Arial" w:cs="Arial"/>
          <w:sz w:val="24"/>
          <w:szCs w:val="24"/>
          <w:lang w:val="en-US"/>
        </w:rPr>
        <w:t>,</w:t>
      </w:r>
      <w:r w:rsidR="00CD5913" w:rsidRPr="00841A95">
        <w:rPr>
          <w:rStyle w:val="FootnoteReference"/>
          <w:rFonts w:ascii="Arial" w:hAnsi="Arial" w:cs="Arial"/>
          <w:sz w:val="24"/>
          <w:szCs w:val="24"/>
          <w:lang w:val="en-US"/>
        </w:rPr>
        <w:footnoteReference w:id="6"/>
      </w:r>
      <w:r w:rsidR="00CD5913" w:rsidRPr="007C2C00">
        <w:rPr>
          <w:rFonts w:ascii="Arial" w:hAnsi="Arial" w:cs="Arial"/>
          <w:sz w:val="24"/>
          <w:szCs w:val="24"/>
          <w:lang w:val="en-US"/>
        </w:rPr>
        <w:t xml:space="preserve"> and </w:t>
      </w:r>
      <w:r w:rsidR="00CD5913" w:rsidRPr="007C2C00">
        <w:rPr>
          <w:rFonts w:ascii="Arial" w:hAnsi="Arial" w:cs="Arial"/>
          <w:i/>
          <w:sz w:val="24"/>
          <w:szCs w:val="24"/>
          <w:lang w:val="en-US"/>
        </w:rPr>
        <w:t>S v Nedzamba.</w:t>
      </w:r>
      <w:r w:rsidR="00CD5913" w:rsidRPr="00841A95">
        <w:rPr>
          <w:rStyle w:val="FootnoteReference"/>
          <w:rFonts w:ascii="Arial" w:hAnsi="Arial" w:cs="Arial"/>
          <w:i/>
          <w:sz w:val="24"/>
          <w:szCs w:val="24"/>
          <w:lang w:val="en-US"/>
        </w:rPr>
        <w:footnoteReference w:id="7"/>
      </w:r>
      <w:r w:rsidR="00FF1CF7" w:rsidRPr="007C2C00">
        <w:rPr>
          <w:rFonts w:ascii="Arial" w:hAnsi="Arial" w:cs="Arial"/>
          <w:i/>
          <w:sz w:val="24"/>
          <w:szCs w:val="24"/>
          <w:lang w:val="en-US"/>
        </w:rPr>
        <w:t xml:space="preserve"> </w:t>
      </w:r>
      <w:r w:rsidR="00647C47" w:rsidRPr="007C2C00">
        <w:rPr>
          <w:rFonts w:ascii="Arial" w:hAnsi="Arial" w:cs="Arial"/>
          <w:sz w:val="24"/>
          <w:szCs w:val="24"/>
          <w:lang w:val="en-US"/>
        </w:rPr>
        <w:t xml:space="preserve">A court is not bound to submissions made by counsel. Even where concessions are made, </w:t>
      </w:r>
      <w:r w:rsidR="00940EF5" w:rsidRPr="007C2C00">
        <w:rPr>
          <w:rFonts w:ascii="Arial" w:hAnsi="Arial" w:cs="Arial"/>
          <w:sz w:val="24"/>
          <w:szCs w:val="24"/>
          <w:lang w:val="en-US"/>
        </w:rPr>
        <w:t>the court should weigh these concessions</w:t>
      </w:r>
      <w:r w:rsidR="007F0025" w:rsidRPr="007C2C00">
        <w:rPr>
          <w:rFonts w:ascii="Arial" w:hAnsi="Arial" w:cs="Arial"/>
          <w:sz w:val="24"/>
          <w:szCs w:val="24"/>
          <w:lang w:val="en-US"/>
        </w:rPr>
        <w:t xml:space="preserve"> </w:t>
      </w:r>
      <w:r w:rsidR="00647C47" w:rsidRPr="007C2C00">
        <w:rPr>
          <w:rFonts w:ascii="Arial" w:hAnsi="Arial" w:cs="Arial"/>
          <w:sz w:val="24"/>
          <w:szCs w:val="24"/>
          <w:lang w:val="en-US"/>
        </w:rPr>
        <w:t xml:space="preserve">in light of prevailing principles of law as the court sees it. </w:t>
      </w:r>
    </w:p>
    <w:p w14:paraId="6EF1BE76" w14:textId="77777777" w:rsidR="00D64034" w:rsidRPr="00841A95" w:rsidRDefault="00D64034" w:rsidP="00D64034">
      <w:pPr>
        <w:pStyle w:val="ListParagraph"/>
        <w:rPr>
          <w:rFonts w:ascii="Arial" w:hAnsi="Arial" w:cs="Arial"/>
          <w:sz w:val="24"/>
          <w:szCs w:val="24"/>
          <w:lang w:val="en-US"/>
        </w:rPr>
      </w:pPr>
    </w:p>
    <w:p w14:paraId="00A96673" w14:textId="178E276D" w:rsidR="00D6403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[13]</w:t>
      </w:r>
      <w:r w:rsidRPr="00841A95">
        <w:rPr>
          <w:rFonts w:ascii="Arial" w:hAnsi="Arial" w:cs="Arial"/>
          <w:sz w:val="24"/>
          <w:szCs w:val="24"/>
          <w:lang w:val="en-US"/>
        </w:rPr>
        <w:tab/>
      </w:r>
      <w:r w:rsidR="00D64034" w:rsidRPr="007C2C00">
        <w:rPr>
          <w:rFonts w:ascii="Arial" w:hAnsi="Arial" w:cs="Arial"/>
          <w:i/>
          <w:sz w:val="24"/>
          <w:szCs w:val="24"/>
          <w:lang w:val="en-US"/>
        </w:rPr>
        <w:t>In casu</w:t>
      </w:r>
      <w:r w:rsidR="00D64034" w:rsidRPr="007C2C00">
        <w:rPr>
          <w:rFonts w:ascii="Arial" w:hAnsi="Arial" w:cs="Arial"/>
          <w:sz w:val="24"/>
          <w:szCs w:val="24"/>
          <w:lang w:val="en-US"/>
        </w:rPr>
        <w:t>, the exchange between the presiding officer and the witness proceeded as follows:</w:t>
      </w:r>
    </w:p>
    <w:p w14:paraId="7DCC021F" w14:textId="77777777" w:rsidR="00D64034" w:rsidRPr="00841A95" w:rsidRDefault="00D64034" w:rsidP="00D64034">
      <w:pPr>
        <w:pStyle w:val="ListParagraph"/>
        <w:rPr>
          <w:rFonts w:ascii="Arial" w:hAnsi="Arial" w:cs="Arial"/>
          <w:sz w:val="24"/>
          <w:szCs w:val="24"/>
          <w:lang w:val="en-US"/>
        </w:rPr>
      </w:pPr>
    </w:p>
    <w:p w14:paraId="167A4FE2"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‘Court:</w:t>
      </w:r>
      <w:r w:rsidRPr="00841A95">
        <w:rPr>
          <w:rFonts w:ascii="Arial" w:hAnsi="Arial" w:cs="Arial"/>
          <w:sz w:val="24"/>
          <w:szCs w:val="24"/>
          <w:lang w:val="en-US"/>
        </w:rPr>
        <w:tab/>
      </w:r>
      <w:r w:rsidRPr="00841A95">
        <w:rPr>
          <w:rFonts w:ascii="Arial" w:hAnsi="Arial" w:cs="Arial"/>
          <w:sz w:val="24"/>
          <w:szCs w:val="24"/>
          <w:lang w:val="en-US"/>
        </w:rPr>
        <w:tab/>
        <w:t>Can I have the full names of the witness?</w:t>
      </w:r>
    </w:p>
    <w:p w14:paraId="6D57506A"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Witness:</w:t>
      </w:r>
      <w:r w:rsidRPr="00841A95">
        <w:rPr>
          <w:rFonts w:ascii="Arial" w:hAnsi="Arial" w:cs="Arial"/>
          <w:sz w:val="24"/>
          <w:szCs w:val="24"/>
          <w:lang w:val="en-US"/>
        </w:rPr>
        <w:tab/>
        <w:t>Refilwe Sister Moeng</w:t>
      </w:r>
    </w:p>
    <w:p w14:paraId="49B4DF01"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 xml:space="preserve">Court: </w:t>
      </w:r>
      <w:r w:rsidRPr="00841A95">
        <w:rPr>
          <w:rFonts w:ascii="Arial" w:hAnsi="Arial" w:cs="Arial"/>
          <w:sz w:val="24"/>
          <w:szCs w:val="24"/>
          <w:lang w:val="en-US"/>
        </w:rPr>
        <w:tab/>
      </w:r>
      <w:r w:rsidRPr="00841A95">
        <w:rPr>
          <w:rFonts w:ascii="Arial" w:hAnsi="Arial" w:cs="Arial"/>
          <w:sz w:val="24"/>
          <w:szCs w:val="24"/>
          <w:lang w:val="en-US"/>
        </w:rPr>
        <w:tab/>
        <w:t>How old are you?</w:t>
      </w:r>
    </w:p>
    <w:p w14:paraId="3ADC03CD"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Witness:</w:t>
      </w:r>
      <w:r w:rsidRPr="00841A95">
        <w:rPr>
          <w:rFonts w:ascii="Arial" w:hAnsi="Arial" w:cs="Arial"/>
          <w:sz w:val="24"/>
          <w:szCs w:val="24"/>
          <w:lang w:val="en-US"/>
        </w:rPr>
        <w:tab/>
        <w:t>15 years, Your Worship</w:t>
      </w:r>
    </w:p>
    <w:p w14:paraId="258AB288"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lastRenderedPageBreak/>
        <w:t>Court:</w:t>
      </w:r>
      <w:r w:rsidRPr="00841A95">
        <w:rPr>
          <w:rFonts w:ascii="Arial" w:hAnsi="Arial" w:cs="Arial"/>
          <w:sz w:val="24"/>
          <w:szCs w:val="24"/>
          <w:lang w:val="en-US"/>
        </w:rPr>
        <w:tab/>
      </w:r>
      <w:r w:rsidRPr="00841A95">
        <w:rPr>
          <w:rFonts w:ascii="Arial" w:hAnsi="Arial" w:cs="Arial"/>
          <w:sz w:val="24"/>
          <w:szCs w:val="24"/>
          <w:lang w:val="en-US"/>
        </w:rPr>
        <w:tab/>
        <w:t>Do you understand what it is to take the oath?</w:t>
      </w:r>
    </w:p>
    <w:p w14:paraId="54EFC3D4" w14:textId="77777777" w:rsidR="00D64034" w:rsidRPr="00841A95" w:rsidRDefault="00D64034" w:rsidP="00D64034">
      <w:pPr>
        <w:pStyle w:val="ListParagraph"/>
        <w:tabs>
          <w:tab w:val="left" w:pos="2160"/>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Witness:</w:t>
      </w:r>
      <w:r w:rsidRPr="00841A95">
        <w:rPr>
          <w:rFonts w:ascii="Arial" w:hAnsi="Arial" w:cs="Arial"/>
          <w:sz w:val="24"/>
          <w:szCs w:val="24"/>
          <w:lang w:val="en-US"/>
        </w:rPr>
        <w:tab/>
        <w:t>(No audible reply)</w:t>
      </w:r>
    </w:p>
    <w:p w14:paraId="0D386D3E" w14:textId="77777777" w:rsidR="00D64034" w:rsidRPr="00841A95" w:rsidRDefault="00D64034" w:rsidP="00D64034">
      <w:pPr>
        <w:pStyle w:val="ListParagraph"/>
        <w:tabs>
          <w:tab w:val="left" w:pos="2160"/>
        </w:tabs>
        <w:spacing w:before="120" w:after="120" w:line="360" w:lineRule="auto"/>
        <w:ind w:left="2880" w:right="1296" w:hanging="1620"/>
        <w:jc w:val="both"/>
        <w:rPr>
          <w:rFonts w:ascii="Arial" w:hAnsi="Arial" w:cs="Arial"/>
          <w:sz w:val="24"/>
          <w:szCs w:val="24"/>
          <w:lang w:val="en-US"/>
        </w:rPr>
      </w:pPr>
      <w:r w:rsidRPr="00841A95">
        <w:rPr>
          <w:rFonts w:ascii="Arial" w:hAnsi="Arial" w:cs="Arial"/>
          <w:sz w:val="24"/>
          <w:szCs w:val="24"/>
          <w:lang w:val="en-US"/>
        </w:rPr>
        <w:t>Court:</w:t>
      </w:r>
      <w:r w:rsidRPr="00841A95">
        <w:rPr>
          <w:rFonts w:ascii="Arial" w:hAnsi="Arial" w:cs="Arial"/>
          <w:sz w:val="24"/>
          <w:szCs w:val="24"/>
          <w:lang w:val="en-US"/>
        </w:rPr>
        <w:tab/>
      </w:r>
      <w:r w:rsidRPr="00841A95">
        <w:rPr>
          <w:rFonts w:ascii="Arial" w:hAnsi="Arial" w:cs="Arial"/>
          <w:sz w:val="24"/>
          <w:szCs w:val="24"/>
          <w:lang w:val="en-US"/>
        </w:rPr>
        <w:tab/>
        <w:t>Let me explain to you: If a person wants to testify in Court that he has got a religion, it is usually expected from that person to take the oath. The oath means you swear before God that you will tell the truth and nothing but the truth. And what then happens, is that you went to the police and complain about something, they usually take a statement under oath from you, where you must swear under oath that you will tell the truth, that if you come to court and swear again that you’re going to tell the truth and it is different – what you tell the Court, is different from what you said in the statement, you’ve got trouble; you may then be sentenced because you did not tell the truth if the two statements are not the same. And they call that perjury. Do you understand?</w:t>
      </w:r>
    </w:p>
    <w:p w14:paraId="48C3931A" w14:textId="77777777" w:rsidR="00D64034" w:rsidRPr="00841A95" w:rsidRDefault="00D64034" w:rsidP="00D64034">
      <w:pPr>
        <w:pStyle w:val="ListParagraph"/>
        <w:tabs>
          <w:tab w:val="left" w:pos="2160"/>
        </w:tabs>
        <w:spacing w:before="120" w:after="120" w:line="360" w:lineRule="auto"/>
        <w:ind w:left="1296" w:right="1296" w:hanging="126"/>
        <w:jc w:val="both"/>
        <w:rPr>
          <w:rFonts w:ascii="Arial" w:hAnsi="Arial" w:cs="Arial"/>
          <w:sz w:val="24"/>
          <w:szCs w:val="24"/>
          <w:lang w:val="en-US"/>
        </w:rPr>
      </w:pPr>
      <w:r w:rsidRPr="00841A95">
        <w:rPr>
          <w:rFonts w:ascii="Arial" w:hAnsi="Arial" w:cs="Arial"/>
          <w:sz w:val="24"/>
          <w:szCs w:val="24"/>
          <w:lang w:val="en-US"/>
        </w:rPr>
        <w:tab/>
        <w:t xml:space="preserve">Witness: </w:t>
      </w:r>
      <w:r w:rsidRPr="00841A95">
        <w:rPr>
          <w:rFonts w:ascii="Arial" w:hAnsi="Arial" w:cs="Arial"/>
          <w:sz w:val="24"/>
          <w:szCs w:val="24"/>
          <w:lang w:val="en-US"/>
        </w:rPr>
        <w:tab/>
        <w:t>Yes I understand, Your worship.</w:t>
      </w:r>
    </w:p>
    <w:p w14:paraId="11EF3366" w14:textId="77777777" w:rsidR="00D64034" w:rsidRPr="00841A95" w:rsidRDefault="00D64034" w:rsidP="00D64034">
      <w:pPr>
        <w:pStyle w:val="ListParagraph"/>
        <w:tabs>
          <w:tab w:val="left" w:pos="1260"/>
          <w:tab w:val="left" w:pos="1440"/>
        </w:tabs>
        <w:spacing w:before="120" w:after="120" w:line="360" w:lineRule="auto"/>
        <w:ind w:left="2880" w:right="1296" w:hanging="2070"/>
        <w:jc w:val="both"/>
        <w:rPr>
          <w:rFonts w:ascii="Arial" w:hAnsi="Arial" w:cs="Arial"/>
          <w:sz w:val="24"/>
          <w:szCs w:val="24"/>
          <w:lang w:val="en-US"/>
        </w:rPr>
      </w:pPr>
      <w:r w:rsidRPr="00841A95">
        <w:rPr>
          <w:rFonts w:ascii="Arial" w:hAnsi="Arial" w:cs="Arial"/>
          <w:sz w:val="24"/>
          <w:szCs w:val="24"/>
          <w:lang w:val="en-US"/>
        </w:rPr>
        <w:tab/>
        <w:t>Court:</w:t>
      </w:r>
      <w:r w:rsidRPr="00841A95">
        <w:rPr>
          <w:rFonts w:ascii="Arial" w:hAnsi="Arial" w:cs="Arial"/>
          <w:sz w:val="24"/>
          <w:szCs w:val="24"/>
          <w:lang w:val="en-US"/>
        </w:rPr>
        <w:tab/>
        <w:t xml:space="preserve">Okay, I also want to explain to you that because you are still very young – you are 15 years old – you are sitting in that room with that lady and not inside the Court, because we want you to feel at ease, to speak openly about what happened to you. This is a very serious charge against the Accused, but all what is expected from you, is to tell the truth, to tell the Court what really happened to you. If you can’t remember, just say you can’t remember. Don’t feel forced to think about an answer, if you can’t remember, but you must really try to answer all the questions. You must also take note of the fact that, except for the people who must be in court, there’s no-one else in court. The Court </w:t>
      </w:r>
      <w:r w:rsidRPr="00841A95">
        <w:rPr>
          <w:rFonts w:ascii="Arial" w:hAnsi="Arial" w:cs="Arial"/>
          <w:sz w:val="24"/>
          <w:szCs w:val="24"/>
          <w:lang w:val="en-US"/>
        </w:rPr>
        <w:lastRenderedPageBreak/>
        <w:t xml:space="preserve">is sitting </w:t>
      </w:r>
      <w:r w:rsidRPr="00841A95">
        <w:rPr>
          <w:rFonts w:ascii="Arial" w:hAnsi="Arial" w:cs="Arial"/>
          <w:i/>
          <w:sz w:val="24"/>
          <w:szCs w:val="24"/>
          <w:lang w:val="en-US"/>
        </w:rPr>
        <w:t>in camera</w:t>
      </w:r>
      <w:r w:rsidRPr="00841A95">
        <w:rPr>
          <w:rFonts w:ascii="Arial" w:hAnsi="Arial" w:cs="Arial"/>
          <w:sz w:val="24"/>
          <w:szCs w:val="24"/>
          <w:lang w:val="en-US"/>
        </w:rPr>
        <w:t>. There’s no part of the public sitting in court, who will listen to the case. It’s only the people working here and the Accused and his attorney. So you must feel free to speak openly.</w:t>
      </w:r>
    </w:p>
    <w:p w14:paraId="20939990" w14:textId="77777777" w:rsidR="00D64034" w:rsidRPr="00841A95" w:rsidRDefault="00D64034" w:rsidP="00D64034">
      <w:pPr>
        <w:pStyle w:val="ListParagraph"/>
        <w:tabs>
          <w:tab w:val="left" w:pos="2160"/>
        </w:tabs>
        <w:spacing w:before="120" w:after="120" w:line="360" w:lineRule="auto"/>
        <w:ind w:left="1296" w:right="1296" w:firstLine="54"/>
        <w:jc w:val="both"/>
        <w:rPr>
          <w:rFonts w:ascii="Arial" w:hAnsi="Arial" w:cs="Arial"/>
          <w:sz w:val="24"/>
          <w:szCs w:val="24"/>
          <w:lang w:val="en-US"/>
        </w:rPr>
      </w:pPr>
      <w:r w:rsidRPr="00841A95">
        <w:rPr>
          <w:rFonts w:ascii="Arial" w:hAnsi="Arial" w:cs="Arial"/>
          <w:sz w:val="24"/>
          <w:szCs w:val="24"/>
          <w:lang w:val="en-US"/>
        </w:rPr>
        <w:t>Witness:</w:t>
      </w:r>
      <w:r w:rsidRPr="00841A95">
        <w:rPr>
          <w:rFonts w:ascii="Arial" w:hAnsi="Arial" w:cs="Arial"/>
          <w:sz w:val="24"/>
          <w:szCs w:val="24"/>
          <w:lang w:val="en-US"/>
        </w:rPr>
        <w:tab/>
        <w:t>Yes, Your Worship</w:t>
      </w:r>
    </w:p>
    <w:p w14:paraId="5976E40E" w14:textId="77777777" w:rsidR="00D64034" w:rsidRPr="00841A95" w:rsidRDefault="00D64034" w:rsidP="00D64034">
      <w:pPr>
        <w:pStyle w:val="ListParagraph"/>
        <w:tabs>
          <w:tab w:val="left" w:pos="2160"/>
        </w:tabs>
        <w:spacing w:before="120" w:after="120" w:line="360" w:lineRule="auto"/>
        <w:ind w:left="1296" w:right="1296" w:firstLine="54"/>
        <w:jc w:val="both"/>
        <w:rPr>
          <w:rFonts w:ascii="Arial" w:hAnsi="Arial" w:cs="Arial"/>
          <w:sz w:val="24"/>
          <w:szCs w:val="24"/>
          <w:lang w:val="en-US"/>
        </w:rPr>
      </w:pPr>
      <w:r w:rsidRPr="00841A95">
        <w:rPr>
          <w:rFonts w:ascii="Arial" w:hAnsi="Arial" w:cs="Arial"/>
          <w:sz w:val="24"/>
          <w:szCs w:val="24"/>
          <w:lang w:val="en-US"/>
        </w:rPr>
        <w:t>Court:</w:t>
      </w:r>
      <w:r w:rsidRPr="00841A95">
        <w:rPr>
          <w:rFonts w:ascii="Arial" w:hAnsi="Arial" w:cs="Arial"/>
          <w:sz w:val="24"/>
          <w:szCs w:val="24"/>
          <w:lang w:val="en-US"/>
        </w:rPr>
        <w:tab/>
      </w:r>
      <w:r w:rsidRPr="00841A95">
        <w:rPr>
          <w:rFonts w:ascii="Arial" w:hAnsi="Arial" w:cs="Arial"/>
          <w:sz w:val="24"/>
          <w:szCs w:val="24"/>
          <w:lang w:val="en-US"/>
        </w:rPr>
        <w:tab/>
        <w:t>Okay, are you prepared to take the oath?</w:t>
      </w:r>
    </w:p>
    <w:p w14:paraId="4117D683" w14:textId="77777777" w:rsidR="00D64034" w:rsidRPr="00841A95" w:rsidRDefault="00D64034" w:rsidP="00D64034">
      <w:pPr>
        <w:pStyle w:val="ListParagraph"/>
        <w:tabs>
          <w:tab w:val="left" w:pos="2160"/>
        </w:tabs>
        <w:spacing w:before="120" w:after="120" w:line="360" w:lineRule="auto"/>
        <w:ind w:left="1296" w:right="1296" w:firstLine="54"/>
        <w:jc w:val="both"/>
        <w:rPr>
          <w:rFonts w:ascii="Arial" w:hAnsi="Arial" w:cs="Arial"/>
          <w:sz w:val="24"/>
          <w:szCs w:val="24"/>
          <w:lang w:val="en-US"/>
        </w:rPr>
      </w:pPr>
      <w:r w:rsidRPr="00841A95">
        <w:rPr>
          <w:rFonts w:ascii="Arial" w:hAnsi="Arial" w:cs="Arial"/>
          <w:sz w:val="24"/>
          <w:szCs w:val="24"/>
          <w:lang w:val="en-US"/>
        </w:rPr>
        <w:t>Witness:</w:t>
      </w:r>
      <w:r w:rsidRPr="00841A95">
        <w:rPr>
          <w:rFonts w:ascii="Arial" w:hAnsi="Arial" w:cs="Arial"/>
          <w:sz w:val="24"/>
          <w:szCs w:val="24"/>
          <w:lang w:val="en-US"/>
        </w:rPr>
        <w:tab/>
        <w:t>Yes, Your Worship</w:t>
      </w:r>
    </w:p>
    <w:p w14:paraId="4A8D28DF" w14:textId="77777777" w:rsidR="00D64034" w:rsidRPr="00841A95" w:rsidRDefault="00D64034" w:rsidP="00D64034">
      <w:pPr>
        <w:pStyle w:val="ListParagraph"/>
        <w:tabs>
          <w:tab w:val="left" w:pos="2160"/>
        </w:tabs>
        <w:spacing w:before="120" w:after="120" w:line="360" w:lineRule="auto"/>
        <w:ind w:left="2880" w:right="1296" w:hanging="1530"/>
        <w:jc w:val="both"/>
        <w:rPr>
          <w:rFonts w:ascii="Arial" w:hAnsi="Arial" w:cs="Arial"/>
          <w:sz w:val="24"/>
          <w:szCs w:val="24"/>
          <w:lang w:val="en-US"/>
        </w:rPr>
      </w:pPr>
      <w:r w:rsidRPr="00841A95">
        <w:rPr>
          <w:rFonts w:ascii="Arial" w:hAnsi="Arial" w:cs="Arial"/>
          <w:sz w:val="24"/>
          <w:szCs w:val="24"/>
          <w:lang w:val="en-US"/>
        </w:rPr>
        <w:t>Court:</w:t>
      </w:r>
      <w:r w:rsidRPr="00841A95">
        <w:rPr>
          <w:rFonts w:ascii="Arial" w:hAnsi="Arial" w:cs="Arial"/>
          <w:sz w:val="24"/>
          <w:szCs w:val="24"/>
          <w:lang w:val="en-US"/>
        </w:rPr>
        <w:tab/>
      </w:r>
      <w:r w:rsidRPr="00841A95">
        <w:rPr>
          <w:rFonts w:ascii="Arial" w:hAnsi="Arial" w:cs="Arial"/>
          <w:sz w:val="24"/>
          <w:szCs w:val="24"/>
          <w:lang w:val="en-US"/>
        </w:rPr>
        <w:tab/>
        <w:t>Okay, you swear that the evidence you’re about to give, will be the truth, the whole truth and nothing but the truth. Say so help me God.</w:t>
      </w:r>
    </w:p>
    <w:p w14:paraId="2465BF37" w14:textId="77777777" w:rsidR="00D64034" w:rsidRPr="00841A95" w:rsidRDefault="00D64034" w:rsidP="00D64034">
      <w:pPr>
        <w:pStyle w:val="ListParagraph"/>
        <w:tabs>
          <w:tab w:val="left" w:pos="2160"/>
        </w:tabs>
        <w:spacing w:before="120" w:after="120" w:line="360" w:lineRule="auto"/>
        <w:ind w:left="1296" w:right="1296" w:firstLine="54"/>
        <w:jc w:val="both"/>
        <w:rPr>
          <w:rFonts w:ascii="Arial" w:hAnsi="Arial" w:cs="Arial"/>
          <w:sz w:val="24"/>
          <w:szCs w:val="24"/>
          <w:lang w:val="en-US"/>
        </w:rPr>
      </w:pPr>
      <w:r w:rsidRPr="00841A95">
        <w:rPr>
          <w:rFonts w:ascii="Arial" w:hAnsi="Arial" w:cs="Arial"/>
          <w:sz w:val="24"/>
          <w:szCs w:val="24"/>
          <w:lang w:val="en-US"/>
        </w:rPr>
        <w:t>Interpreter:</w:t>
      </w:r>
      <w:r w:rsidRPr="00841A95">
        <w:rPr>
          <w:rFonts w:ascii="Arial" w:hAnsi="Arial" w:cs="Arial"/>
          <w:sz w:val="24"/>
          <w:szCs w:val="24"/>
          <w:lang w:val="en-US"/>
        </w:rPr>
        <w:tab/>
        <w:t xml:space="preserve">Sworn in Your Worship.’ </w:t>
      </w:r>
    </w:p>
    <w:p w14:paraId="05AD931F" w14:textId="77777777" w:rsidR="00D64034" w:rsidRPr="00841A95" w:rsidRDefault="00D64034" w:rsidP="00D64034">
      <w:pPr>
        <w:pStyle w:val="ListParagraph"/>
        <w:tabs>
          <w:tab w:val="left" w:pos="4917"/>
        </w:tabs>
        <w:spacing w:before="120" w:after="120" w:line="360" w:lineRule="auto"/>
        <w:jc w:val="both"/>
        <w:rPr>
          <w:rFonts w:ascii="Arial" w:hAnsi="Arial" w:cs="Arial"/>
          <w:sz w:val="24"/>
          <w:szCs w:val="24"/>
          <w:lang w:val="en-US"/>
        </w:rPr>
      </w:pPr>
    </w:p>
    <w:p w14:paraId="1BA4DD51" w14:textId="1CFAC392" w:rsidR="006C388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[14]</w:t>
      </w:r>
      <w:r w:rsidRPr="00841A95">
        <w:rPr>
          <w:rFonts w:ascii="Arial" w:hAnsi="Arial" w:cs="Arial"/>
          <w:sz w:val="24"/>
          <w:szCs w:val="24"/>
          <w:lang w:val="en-US"/>
        </w:rPr>
        <w:tab/>
      </w:r>
      <w:r w:rsidR="00CD5913" w:rsidRPr="007C2C00">
        <w:rPr>
          <w:rFonts w:ascii="Arial" w:hAnsi="Arial" w:cs="Arial"/>
          <w:sz w:val="24"/>
          <w:szCs w:val="24"/>
          <w:lang w:val="en-US"/>
        </w:rPr>
        <w:t xml:space="preserve">For </w:t>
      </w:r>
      <w:r w:rsidR="00940EF5" w:rsidRPr="007C2C00">
        <w:rPr>
          <w:rFonts w:ascii="Arial" w:hAnsi="Arial" w:cs="Arial"/>
          <w:sz w:val="24"/>
          <w:szCs w:val="24"/>
          <w:lang w:val="en-US"/>
        </w:rPr>
        <w:t>the discussion</w:t>
      </w:r>
      <w:r w:rsidR="00D64034" w:rsidRPr="007C2C00">
        <w:rPr>
          <w:rFonts w:ascii="Arial" w:hAnsi="Arial" w:cs="Arial"/>
          <w:sz w:val="24"/>
          <w:szCs w:val="24"/>
          <w:lang w:val="en-US"/>
        </w:rPr>
        <w:t xml:space="preserve"> that follows</w:t>
      </w:r>
      <w:r w:rsidR="00CD5913" w:rsidRPr="007C2C00">
        <w:rPr>
          <w:rFonts w:ascii="Arial" w:hAnsi="Arial" w:cs="Arial"/>
          <w:sz w:val="24"/>
          <w:szCs w:val="24"/>
          <w:lang w:val="en-US"/>
        </w:rPr>
        <w:t xml:space="preserve">, it is </w:t>
      </w:r>
      <w:r w:rsidR="00940EF5" w:rsidRPr="007C2C00">
        <w:rPr>
          <w:rFonts w:ascii="Arial" w:hAnsi="Arial" w:cs="Arial"/>
          <w:sz w:val="24"/>
          <w:szCs w:val="24"/>
          <w:lang w:val="en-US"/>
        </w:rPr>
        <w:t>essential</w:t>
      </w:r>
      <w:r w:rsidR="00CD5913" w:rsidRPr="007C2C00">
        <w:rPr>
          <w:rFonts w:ascii="Arial" w:hAnsi="Arial" w:cs="Arial"/>
          <w:sz w:val="24"/>
          <w:szCs w:val="24"/>
          <w:lang w:val="en-US"/>
        </w:rPr>
        <w:t xml:space="preserve"> to note that the discussion in </w:t>
      </w:r>
      <w:r w:rsidR="00CD5913" w:rsidRPr="007C2C00">
        <w:rPr>
          <w:rFonts w:ascii="Arial" w:hAnsi="Arial" w:cs="Arial"/>
          <w:i/>
          <w:sz w:val="24"/>
          <w:szCs w:val="24"/>
          <w:lang w:val="en-US"/>
        </w:rPr>
        <w:t>Director of Public Prosecutions, Transvaal v Minister of Justice and Constitutional Development and Other</w:t>
      </w:r>
      <w:r w:rsidR="00CD5913" w:rsidRPr="007C2C00">
        <w:rPr>
          <w:rFonts w:ascii="Arial" w:hAnsi="Arial" w:cs="Arial"/>
          <w:sz w:val="24"/>
          <w:szCs w:val="24"/>
          <w:lang w:val="en-US"/>
        </w:rPr>
        <w:t xml:space="preserve"> dealt with s 164(1) of the Criminal Procedure Act 55 of 1977. The Constitutional Court affirmed the statutory position that s 164(1) allows a court to allow a person who does not understand the nature or importance of the oath to give evidence without taking an oath. </w:t>
      </w:r>
      <w:r w:rsidR="00940EF5" w:rsidRPr="007C2C00">
        <w:rPr>
          <w:rFonts w:ascii="Arial" w:hAnsi="Arial" w:cs="Arial"/>
          <w:sz w:val="24"/>
          <w:szCs w:val="24"/>
          <w:lang w:val="en-US"/>
        </w:rPr>
        <w:t>When the court perceives a child witness not to understand the nature and importance of the oath, the presiding officer admonishes</w:t>
      </w:r>
      <w:r w:rsidR="00CD5913" w:rsidRPr="007C2C00">
        <w:rPr>
          <w:rFonts w:ascii="Arial" w:hAnsi="Arial" w:cs="Arial"/>
          <w:sz w:val="24"/>
          <w:szCs w:val="24"/>
          <w:lang w:val="en-US"/>
        </w:rPr>
        <w:t xml:space="preserve"> the person to speak the truth. </w:t>
      </w:r>
      <w:r w:rsidR="007F0025" w:rsidRPr="007C2C00">
        <w:rPr>
          <w:rFonts w:ascii="Arial" w:hAnsi="Arial" w:cs="Arial"/>
          <w:sz w:val="24"/>
          <w:szCs w:val="24"/>
          <w:lang w:val="en-US"/>
        </w:rPr>
        <w:t xml:space="preserve">The court must, however, determine whether such </w:t>
      </w:r>
      <w:r w:rsidR="00940EF5" w:rsidRPr="007C2C00">
        <w:rPr>
          <w:rFonts w:ascii="Arial" w:hAnsi="Arial" w:cs="Arial"/>
          <w:sz w:val="24"/>
          <w:szCs w:val="24"/>
          <w:lang w:val="en-US"/>
        </w:rPr>
        <w:t xml:space="preserve">a </w:t>
      </w:r>
      <w:r w:rsidR="007F0025" w:rsidRPr="007C2C00">
        <w:rPr>
          <w:rFonts w:ascii="Arial" w:hAnsi="Arial" w:cs="Arial"/>
          <w:sz w:val="24"/>
          <w:szCs w:val="24"/>
          <w:lang w:val="en-US"/>
        </w:rPr>
        <w:t xml:space="preserve">witness is able to distinguish between the truth and falsehood. </w:t>
      </w:r>
      <w:r w:rsidR="00CD5913" w:rsidRPr="007C2C00">
        <w:rPr>
          <w:rFonts w:ascii="Arial" w:hAnsi="Arial" w:cs="Arial"/>
          <w:sz w:val="24"/>
          <w:szCs w:val="24"/>
          <w:lang w:val="en-US"/>
        </w:rPr>
        <w:t xml:space="preserve">It is implicit, if not explicit, in the provision that the person must understand what it means to speak the truth. </w:t>
      </w:r>
    </w:p>
    <w:p w14:paraId="16454FFF" w14:textId="6589A141" w:rsidR="006C3884" w:rsidRPr="00841A95" w:rsidRDefault="006C3884" w:rsidP="006C3884">
      <w:pPr>
        <w:pStyle w:val="ListParagraph"/>
        <w:rPr>
          <w:rFonts w:ascii="Arial" w:hAnsi="Arial" w:cs="Arial"/>
          <w:sz w:val="24"/>
          <w:szCs w:val="24"/>
          <w:lang w:val="en-US"/>
        </w:rPr>
      </w:pPr>
    </w:p>
    <w:p w14:paraId="3DDACD8E" w14:textId="18262261" w:rsidR="006C388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[15]</w:t>
      </w:r>
      <w:r w:rsidRPr="00841A95">
        <w:rPr>
          <w:rFonts w:ascii="Arial" w:hAnsi="Arial" w:cs="Arial"/>
          <w:sz w:val="24"/>
          <w:szCs w:val="24"/>
          <w:lang w:val="en-US"/>
        </w:rPr>
        <w:tab/>
      </w:r>
      <w:r w:rsidR="00801F44" w:rsidRPr="007C2C00">
        <w:rPr>
          <w:rFonts w:ascii="Arial" w:hAnsi="Arial" w:cs="Arial"/>
          <w:sz w:val="24"/>
          <w:szCs w:val="24"/>
          <w:lang w:val="en-US"/>
        </w:rPr>
        <w:t xml:space="preserve">In </w:t>
      </w:r>
      <w:r w:rsidR="00801F44" w:rsidRPr="007C2C00">
        <w:rPr>
          <w:rFonts w:ascii="Arial" w:hAnsi="Arial" w:cs="Arial"/>
          <w:i/>
          <w:sz w:val="24"/>
          <w:szCs w:val="24"/>
          <w:lang w:val="en-US"/>
        </w:rPr>
        <w:t>S v Nedzamba</w:t>
      </w:r>
      <w:r w:rsidR="00940EF5" w:rsidRPr="007C2C00">
        <w:rPr>
          <w:rFonts w:ascii="Arial" w:hAnsi="Arial" w:cs="Arial"/>
          <w:i/>
          <w:sz w:val="24"/>
          <w:szCs w:val="24"/>
          <w:lang w:val="en-US"/>
        </w:rPr>
        <w:t>,</w:t>
      </w:r>
      <w:r w:rsidR="00801F44" w:rsidRPr="007C2C00">
        <w:rPr>
          <w:rFonts w:ascii="Arial" w:hAnsi="Arial" w:cs="Arial"/>
          <w:sz w:val="24"/>
          <w:szCs w:val="24"/>
          <w:lang w:val="en-US"/>
        </w:rPr>
        <w:t xml:space="preserve"> the Supreme Court of Appeal essentially </w:t>
      </w:r>
      <w:r w:rsidR="00083CE3" w:rsidRPr="007C2C00">
        <w:rPr>
          <w:rFonts w:ascii="Arial" w:hAnsi="Arial" w:cs="Arial"/>
          <w:sz w:val="24"/>
          <w:szCs w:val="24"/>
          <w:lang w:val="en-US"/>
        </w:rPr>
        <w:t>confirmed</w:t>
      </w:r>
      <w:r w:rsidR="00801F44" w:rsidRPr="007C2C00">
        <w:rPr>
          <w:rFonts w:ascii="Arial" w:hAnsi="Arial" w:cs="Arial"/>
          <w:sz w:val="24"/>
          <w:szCs w:val="24"/>
          <w:lang w:val="en-US"/>
        </w:rPr>
        <w:t xml:space="preserve"> that the same principles apply where a child testifies under oath. The court said:</w:t>
      </w:r>
    </w:p>
    <w:p w14:paraId="503A8C92" w14:textId="77777777" w:rsidR="00801F44" w:rsidRPr="00841A95" w:rsidRDefault="00801F44" w:rsidP="00801F44">
      <w:pPr>
        <w:pStyle w:val="ListParagraph"/>
        <w:rPr>
          <w:rFonts w:ascii="Arial" w:hAnsi="Arial" w:cs="Arial"/>
          <w:sz w:val="24"/>
          <w:szCs w:val="24"/>
          <w:lang w:val="en-US"/>
        </w:rPr>
      </w:pPr>
    </w:p>
    <w:p w14:paraId="56CB4C4A" w14:textId="542C7D26" w:rsidR="00801F44" w:rsidRPr="00841A95" w:rsidRDefault="00801F44" w:rsidP="00801F44">
      <w:pPr>
        <w:pStyle w:val="ListParagraph"/>
        <w:tabs>
          <w:tab w:val="left" w:pos="4917"/>
        </w:tabs>
        <w:spacing w:before="120" w:after="120" w:line="360" w:lineRule="auto"/>
        <w:ind w:left="1296" w:right="1296"/>
        <w:jc w:val="both"/>
        <w:rPr>
          <w:rFonts w:ascii="Arial" w:hAnsi="Arial" w:cs="Arial"/>
          <w:sz w:val="24"/>
          <w:szCs w:val="24"/>
          <w:lang w:val="en-US"/>
        </w:rPr>
      </w:pPr>
      <w:r w:rsidRPr="00841A95">
        <w:rPr>
          <w:rFonts w:ascii="Arial" w:hAnsi="Arial" w:cs="Arial"/>
          <w:sz w:val="24"/>
          <w:szCs w:val="24"/>
          <w:lang w:val="en-US"/>
        </w:rPr>
        <w:t>‘</w:t>
      </w:r>
      <w:r w:rsidRPr="00841A95">
        <w:rPr>
          <w:rFonts w:ascii="Arial" w:hAnsi="Arial" w:cs="Arial"/>
          <w:color w:val="000000"/>
          <w:sz w:val="24"/>
          <w:szCs w:val="24"/>
        </w:rPr>
        <w:t xml:space="preserve">First, the complainant was 14 years old at the time of the trial. She was a child witness with whom care should have been taken at the outset. No thought was given to whether the child understood the nature and import of the oath. It was not determined at the outset whether the child knew what it meant to </w:t>
      </w:r>
      <w:r w:rsidRPr="00841A95">
        <w:rPr>
          <w:rFonts w:ascii="Arial" w:hAnsi="Arial" w:cs="Arial"/>
          <w:color w:val="000000"/>
          <w:sz w:val="24"/>
          <w:szCs w:val="24"/>
        </w:rPr>
        <w:lastRenderedPageBreak/>
        <w:t>speak the truth. … To admit evidence of a child who does not understand what it means to tell the truth undermines the accused's right to a fair trial. The court below did not even begin to address any of these concerns.’</w:t>
      </w:r>
    </w:p>
    <w:p w14:paraId="58564B4E" w14:textId="77777777" w:rsidR="006C3884" w:rsidRPr="00841A95" w:rsidRDefault="006C3884" w:rsidP="006C3884">
      <w:pPr>
        <w:pStyle w:val="ListParagraph"/>
        <w:rPr>
          <w:rFonts w:ascii="Arial" w:hAnsi="Arial" w:cs="Arial"/>
          <w:sz w:val="24"/>
          <w:szCs w:val="24"/>
          <w:lang w:val="en-US"/>
        </w:rPr>
      </w:pPr>
    </w:p>
    <w:p w14:paraId="21C1E405" w14:textId="2A4AEC38" w:rsidR="00083CE3"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[16]</w:t>
      </w:r>
      <w:r w:rsidRPr="00841A95">
        <w:rPr>
          <w:rFonts w:ascii="Arial" w:hAnsi="Arial" w:cs="Arial"/>
          <w:sz w:val="24"/>
          <w:szCs w:val="24"/>
          <w:lang w:val="en-US"/>
        </w:rPr>
        <w:tab/>
      </w:r>
      <w:r w:rsidR="00083CE3" w:rsidRPr="007C2C00">
        <w:rPr>
          <w:rFonts w:ascii="Arial" w:hAnsi="Arial" w:cs="Arial"/>
          <w:sz w:val="24"/>
          <w:szCs w:val="24"/>
          <w:lang w:val="en-US"/>
        </w:rPr>
        <w:t xml:space="preserve">The Supreme Court of Appeal’s ruling in </w:t>
      </w:r>
      <w:r w:rsidR="00083CE3" w:rsidRPr="007C2C00">
        <w:rPr>
          <w:rFonts w:ascii="Arial" w:hAnsi="Arial" w:cs="Arial"/>
          <w:i/>
          <w:sz w:val="24"/>
          <w:szCs w:val="24"/>
          <w:lang w:val="en-US"/>
        </w:rPr>
        <w:t>Nedzamba</w:t>
      </w:r>
      <w:r w:rsidR="00083CE3" w:rsidRPr="007C2C00">
        <w:rPr>
          <w:rFonts w:ascii="Arial" w:hAnsi="Arial" w:cs="Arial"/>
          <w:sz w:val="24"/>
          <w:szCs w:val="24"/>
          <w:lang w:val="en-US"/>
        </w:rPr>
        <w:t xml:space="preserve"> confirmed the position as stated, amongst others, in </w:t>
      </w:r>
      <w:r w:rsidR="00083CE3" w:rsidRPr="007C2C00">
        <w:rPr>
          <w:rFonts w:ascii="Arial" w:hAnsi="Arial" w:cs="Arial"/>
          <w:i/>
          <w:sz w:val="24"/>
          <w:szCs w:val="24"/>
          <w:lang w:val="en-US"/>
        </w:rPr>
        <w:t>S v V</w:t>
      </w:r>
      <w:r w:rsidR="004B068E" w:rsidRPr="007C2C00">
        <w:rPr>
          <w:rFonts w:ascii="Arial" w:hAnsi="Arial" w:cs="Arial"/>
          <w:i/>
          <w:sz w:val="24"/>
          <w:szCs w:val="24"/>
          <w:lang w:val="en-US"/>
        </w:rPr>
        <w:t xml:space="preserve"> by Rose Innes J,</w:t>
      </w:r>
      <w:r w:rsidR="001563A4" w:rsidRPr="007C2C00">
        <w:rPr>
          <w:rStyle w:val="FootnoteReference"/>
          <w:rFonts w:ascii="Arial" w:hAnsi="Arial" w:cs="Arial"/>
          <w:sz w:val="24"/>
          <w:szCs w:val="24"/>
          <w:lang w:val="en-US"/>
        </w:rPr>
        <w:t xml:space="preserve"> </w:t>
      </w:r>
      <w:r w:rsidR="001563A4" w:rsidRPr="00841A95">
        <w:rPr>
          <w:rStyle w:val="FootnoteReference"/>
          <w:rFonts w:ascii="Arial" w:hAnsi="Arial" w:cs="Arial"/>
          <w:sz w:val="24"/>
          <w:szCs w:val="24"/>
          <w:lang w:val="en-US"/>
        </w:rPr>
        <w:footnoteReference w:id="8"/>
      </w:r>
      <w:r w:rsidR="004B068E" w:rsidRPr="007C2C00">
        <w:rPr>
          <w:rFonts w:ascii="Arial" w:hAnsi="Arial" w:cs="Arial"/>
          <w:i/>
          <w:sz w:val="24"/>
          <w:szCs w:val="24"/>
          <w:lang w:val="en-US"/>
        </w:rPr>
        <w:t xml:space="preserve"> </w:t>
      </w:r>
      <w:r w:rsidR="004B068E" w:rsidRPr="007C2C00">
        <w:rPr>
          <w:rFonts w:ascii="Arial" w:hAnsi="Arial" w:cs="Arial"/>
          <w:sz w:val="24"/>
          <w:szCs w:val="24"/>
          <w:lang w:val="en-US"/>
        </w:rPr>
        <w:t>as he then was</w:t>
      </w:r>
      <w:r w:rsidR="007F0025" w:rsidRPr="007C2C00">
        <w:rPr>
          <w:rFonts w:ascii="Arial" w:hAnsi="Arial" w:cs="Arial"/>
          <w:sz w:val="24"/>
          <w:szCs w:val="24"/>
          <w:lang w:val="en-US"/>
        </w:rPr>
        <w:t>. He held</w:t>
      </w:r>
      <w:r w:rsidR="004B068E" w:rsidRPr="007C2C00">
        <w:rPr>
          <w:rFonts w:ascii="Arial" w:hAnsi="Arial" w:cs="Arial"/>
          <w:sz w:val="24"/>
          <w:szCs w:val="24"/>
          <w:lang w:val="en-US"/>
        </w:rPr>
        <w:t xml:space="preserve"> that the capacity to understand the difference between truth and </w:t>
      </w:r>
      <w:r w:rsidR="00083CE3" w:rsidRPr="007C2C00">
        <w:rPr>
          <w:rFonts w:ascii="Arial" w:hAnsi="Arial" w:cs="Arial"/>
          <w:sz w:val="24"/>
          <w:szCs w:val="24"/>
          <w:lang w:val="en-US"/>
        </w:rPr>
        <w:t>falsehood is a prerequisite for the oath.</w:t>
      </w:r>
      <w:r w:rsidR="004B068E" w:rsidRPr="007C2C00">
        <w:rPr>
          <w:rFonts w:ascii="Arial" w:hAnsi="Arial" w:cs="Arial"/>
          <w:sz w:val="24"/>
          <w:szCs w:val="24"/>
          <w:lang w:val="en-US"/>
        </w:rPr>
        <w:t xml:space="preserve"> </w:t>
      </w:r>
      <w:r w:rsidR="00FF682B" w:rsidRPr="007C2C00">
        <w:rPr>
          <w:rFonts w:ascii="Arial" w:hAnsi="Arial" w:cs="Arial"/>
          <w:sz w:val="24"/>
          <w:szCs w:val="24"/>
          <w:lang w:val="en-US"/>
        </w:rPr>
        <w:t xml:space="preserve">In </w:t>
      </w:r>
      <w:r w:rsidR="00FF682B" w:rsidRPr="007C2C00">
        <w:rPr>
          <w:rFonts w:ascii="Arial" w:hAnsi="Arial" w:cs="Arial"/>
          <w:i/>
          <w:sz w:val="24"/>
          <w:szCs w:val="24"/>
          <w:lang w:val="en-US"/>
        </w:rPr>
        <w:t>S v B</w:t>
      </w:r>
      <w:r w:rsidR="004F423C" w:rsidRPr="00841A95">
        <w:rPr>
          <w:rStyle w:val="FootnoteReference"/>
          <w:rFonts w:ascii="Arial" w:hAnsi="Arial" w:cs="Arial"/>
          <w:i/>
          <w:sz w:val="24"/>
          <w:szCs w:val="24"/>
          <w:lang w:val="en-US"/>
        </w:rPr>
        <w:footnoteReference w:id="9"/>
      </w:r>
      <w:r w:rsidR="004B068E" w:rsidRPr="007C2C00">
        <w:rPr>
          <w:rFonts w:ascii="Arial" w:hAnsi="Arial" w:cs="Arial"/>
          <w:i/>
          <w:sz w:val="24"/>
          <w:szCs w:val="24"/>
          <w:lang w:val="en-US"/>
        </w:rPr>
        <w:t xml:space="preserve"> and Director of Public Prosecution, KwaZulu-Natal v Mekka,</w:t>
      </w:r>
      <w:r w:rsidR="004F423C" w:rsidRPr="00841A95">
        <w:rPr>
          <w:rStyle w:val="FootnoteReference"/>
          <w:rFonts w:ascii="Arial" w:hAnsi="Arial" w:cs="Arial"/>
          <w:i/>
          <w:sz w:val="24"/>
          <w:szCs w:val="24"/>
          <w:lang w:val="en-US"/>
        </w:rPr>
        <w:footnoteReference w:id="10"/>
      </w:r>
      <w:r w:rsidR="004B068E" w:rsidRPr="007C2C00">
        <w:rPr>
          <w:rFonts w:ascii="Arial" w:hAnsi="Arial" w:cs="Arial"/>
          <w:i/>
          <w:sz w:val="24"/>
          <w:szCs w:val="24"/>
          <w:lang w:val="en-US"/>
        </w:rPr>
        <w:t xml:space="preserve"> </w:t>
      </w:r>
      <w:r w:rsidR="007F0025" w:rsidRPr="007C2C00">
        <w:rPr>
          <w:rFonts w:ascii="Arial" w:hAnsi="Arial" w:cs="Arial"/>
          <w:sz w:val="24"/>
          <w:szCs w:val="24"/>
          <w:lang w:val="en-US"/>
        </w:rPr>
        <w:t xml:space="preserve">it was established </w:t>
      </w:r>
      <w:r w:rsidR="004B068E" w:rsidRPr="007C2C00">
        <w:rPr>
          <w:rFonts w:ascii="Arial" w:hAnsi="Arial" w:cs="Arial"/>
          <w:sz w:val="24"/>
          <w:szCs w:val="24"/>
          <w:lang w:val="en-US"/>
        </w:rPr>
        <w:t>that a formal inquiry</w:t>
      </w:r>
      <w:r w:rsidR="00FF682B" w:rsidRPr="007C2C00">
        <w:rPr>
          <w:rFonts w:ascii="Arial" w:hAnsi="Arial" w:cs="Arial"/>
          <w:sz w:val="24"/>
          <w:szCs w:val="24"/>
          <w:lang w:val="en-US"/>
        </w:rPr>
        <w:t xml:space="preserve"> </w:t>
      </w:r>
      <w:r w:rsidR="007F0025" w:rsidRPr="007C2C00">
        <w:rPr>
          <w:rFonts w:ascii="Arial" w:hAnsi="Arial" w:cs="Arial"/>
          <w:sz w:val="24"/>
          <w:szCs w:val="24"/>
          <w:lang w:val="en-US"/>
        </w:rPr>
        <w:t>to</w:t>
      </w:r>
      <w:r w:rsidR="00FF682B" w:rsidRPr="007C2C00">
        <w:rPr>
          <w:rFonts w:ascii="Arial" w:hAnsi="Arial" w:cs="Arial"/>
          <w:sz w:val="24"/>
          <w:szCs w:val="24"/>
          <w:lang w:val="en-US"/>
        </w:rPr>
        <w:t xml:space="preserve"> determin</w:t>
      </w:r>
      <w:r w:rsidR="007F0025" w:rsidRPr="007C2C00">
        <w:rPr>
          <w:rFonts w:ascii="Arial" w:hAnsi="Arial" w:cs="Arial"/>
          <w:sz w:val="24"/>
          <w:szCs w:val="24"/>
          <w:lang w:val="en-US"/>
        </w:rPr>
        <w:t>e</w:t>
      </w:r>
      <w:r w:rsidR="00FF682B" w:rsidRPr="007C2C00">
        <w:rPr>
          <w:rFonts w:ascii="Arial" w:hAnsi="Arial" w:cs="Arial"/>
          <w:sz w:val="24"/>
          <w:szCs w:val="24"/>
          <w:lang w:val="en-US"/>
        </w:rPr>
        <w:t xml:space="preserve"> whether a child witness understand</w:t>
      </w:r>
      <w:r w:rsidR="004B068E" w:rsidRPr="007C2C00">
        <w:rPr>
          <w:rFonts w:ascii="Arial" w:hAnsi="Arial" w:cs="Arial"/>
          <w:sz w:val="24"/>
          <w:szCs w:val="24"/>
          <w:lang w:val="en-US"/>
        </w:rPr>
        <w:t>s</w:t>
      </w:r>
      <w:r w:rsidR="00FF682B" w:rsidRPr="007C2C00">
        <w:rPr>
          <w:rFonts w:ascii="Arial" w:hAnsi="Arial" w:cs="Arial"/>
          <w:sz w:val="24"/>
          <w:szCs w:val="24"/>
          <w:lang w:val="en-US"/>
        </w:rPr>
        <w:t xml:space="preserve"> the oath</w:t>
      </w:r>
      <w:r w:rsidR="007F0025" w:rsidRPr="007C2C00">
        <w:rPr>
          <w:rFonts w:ascii="Arial" w:hAnsi="Arial" w:cs="Arial"/>
          <w:sz w:val="24"/>
          <w:szCs w:val="24"/>
          <w:lang w:val="en-US"/>
        </w:rPr>
        <w:t>, need not be undertaken</w:t>
      </w:r>
      <w:r w:rsidR="00FF682B" w:rsidRPr="007C2C00">
        <w:rPr>
          <w:rFonts w:ascii="Arial" w:hAnsi="Arial" w:cs="Arial"/>
          <w:sz w:val="24"/>
          <w:szCs w:val="24"/>
          <w:lang w:val="en-US"/>
        </w:rPr>
        <w:t>.</w:t>
      </w:r>
      <w:r w:rsidR="0090529A" w:rsidRPr="00841A95">
        <w:rPr>
          <w:rStyle w:val="FootnoteReference"/>
          <w:rFonts w:ascii="Arial" w:hAnsi="Arial" w:cs="Arial"/>
          <w:sz w:val="24"/>
          <w:szCs w:val="24"/>
          <w:lang w:val="en-US"/>
        </w:rPr>
        <w:footnoteReference w:id="11"/>
      </w:r>
      <w:r w:rsidR="00FF682B" w:rsidRPr="007C2C00">
        <w:rPr>
          <w:rFonts w:ascii="Arial" w:hAnsi="Arial" w:cs="Arial"/>
          <w:sz w:val="24"/>
          <w:szCs w:val="24"/>
          <w:lang w:val="en-US"/>
        </w:rPr>
        <w:t xml:space="preserve"> In these cases, the Supreme Court of Appeal </w:t>
      </w:r>
      <w:r w:rsidR="00940EF5" w:rsidRPr="007C2C00">
        <w:rPr>
          <w:rFonts w:ascii="Arial" w:hAnsi="Arial" w:cs="Arial"/>
          <w:sz w:val="24"/>
          <w:szCs w:val="24"/>
          <w:lang w:val="en-US"/>
        </w:rPr>
        <w:t>clarified</w:t>
      </w:r>
      <w:r w:rsidR="00FF682B" w:rsidRPr="007C2C00">
        <w:rPr>
          <w:rFonts w:ascii="Arial" w:hAnsi="Arial" w:cs="Arial"/>
          <w:sz w:val="24"/>
          <w:szCs w:val="24"/>
          <w:lang w:val="en-US"/>
        </w:rPr>
        <w:t xml:space="preserve"> that a presiding officer may conclude that a child will not understand the oath based on their youthfulness. In </w:t>
      </w:r>
      <w:r w:rsidR="00FF682B" w:rsidRPr="007C2C00">
        <w:rPr>
          <w:rFonts w:ascii="Arial" w:hAnsi="Arial" w:cs="Arial"/>
          <w:i/>
          <w:sz w:val="24"/>
          <w:szCs w:val="24"/>
          <w:lang w:val="en-US"/>
        </w:rPr>
        <w:t>Mekka</w:t>
      </w:r>
      <w:r w:rsidR="004B068E" w:rsidRPr="007C2C00">
        <w:rPr>
          <w:rFonts w:ascii="Arial" w:hAnsi="Arial" w:cs="Arial"/>
          <w:sz w:val="24"/>
          <w:szCs w:val="24"/>
          <w:lang w:val="en-US"/>
        </w:rPr>
        <w:t>,</w:t>
      </w:r>
      <w:r w:rsidR="00EA327E" w:rsidRPr="007C2C00">
        <w:rPr>
          <w:rFonts w:ascii="Arial" w:hAnsi="Arial" w:cs="Arial"/>
          <w:sz w:val="24"/>
          <w:szCs w:val="24"/>
          <w:lang w:val="en-US"/>
        </w:rPr>
        <w:t xml:space="preserve"> </w:t>
      </w:r>
      <w:r w:rsidR="004F423C" w:rsidRPr="007C2C00">
        <w:rPr>
          <w:rFonts w:ascii="Arial" w:hAnsi="Arial" w:cs="Arial"/>
          <w:i/>
          <w:sz w:val="24"/>
          <w:szCs w:val="24"/>
          <w:lang w:val="en-US"/>
        </w:rPr>
        <w:t>supra,</w:t>
      </w:r>
      <w:r w:rsidR="004B068E" w:rsidRPr="007C2C00">
        <w:rPr>
          <w:rFonts w:ascii="Arial" w:hAnsi="Arial" w:cs="Arial"/>
          <w:sz w:val="24"/>
          <w:szCs w:val="24"/>
          <w:lang w:val="en-US"/>
        </w:rPr>
        <w:t xml:space="preserve"> the court found it appropriate for the trial court to assume that a nine-year-old</w:t>
      </w:r>
      <w:r w:rsidR="00FF682B" w:rsidRPr="007C2C00">
        <w:rPr>
          <w:rFonts w:ascii="Arial" w:hAnsi="Arial" w:cs="Arial"/>
          <w:sz w:val="24"/>
          <w:szCs w:val="24"/>
          <w:lang w:val="en-US"/>
        </w:rPr>
        <w:t xml:space="preserve"> did not understand the nature and import of the oath.</w:t>
      </w:r>
    </w:p>
    <w:p w14:paraId="0177F77B" w14:textId="77777777" w:rsidR="00FF682B" w:rsidRPr="00841A95" w:rsidRDefault="00FF682B" w:rsidP="00FF682B">
      <w:pPr>
        <w:pStyle w:val="ListParagraph"/>
        <w:rPr>
          <w:rFonts w:ascii="Arial" w:hAnsi="Arial" w:cs="Arial"/>
          <w:i/>
          <w:sz w:val="24"/>
          <w:szCs w:val="24"/>
          <w:lang w:val="en-US"/>
        </w:rPr>
      </w:pPr>
    </w:p>
    <w:p w14:paraId="1342B720" w14:textId="0CE1C7EE" w:rsidR="00FF682B" w:rsidRPr="007C2C00" w:rsidRDefault="007C2C00" w:rsidP="007C2C00">
      <w:pPr>
        <w:tabs>
          <w:tab w:val="left" w:pos="4917"/>
        </w:tabs>
        <w:spacing w:before="120" w:after="120" w:line="360" w:lineRule="auto"/>
        <w:ind w:left="720" w:hanging="720"/>
        <w:jc w:val="both"/>
        <w:rPr>
          <w:rFonts w:ascii="Arial" w:hAnsi="Arial" w:cs="Arial"/>
          <w:i/>
          <w:sz w:val="24"/>
          <w:szCs w:val="24"/>
          <w:lang w:val="en-US"/>
        </w:rPr>
      </w:pPr>
      <w:r w:rsidRPr="00841A95">
        <w:rPr>
          <w:rFonts w:ascii="Arial" w:hAnsi="Arial" w:cs="Arial"/>
          <w:i/>
          <w:sz w:val="24"/>
          <w:szCs w:val="24"/>
          <w:lang w:val="en-US"/>
        </w:rPr>
        <w:t>[17]</w:t>
      </w:r>
      <w:r w:rsidRPr="00841A95">
        <w:rPr>
          <w:rFonts w:ascii="Arial" w:hAnsi="Arial" w:cs="Arial"/>
          <w:i/>
          <w:sz w:val="24"/>
          <w:szCs w:val="24"/>
          <w:lang w:val="en-US"/>
        </w:rPr>
        <w:tab/>
      </w:r>
      <w:r w:rsidR="00FF682B" w:rsidRPr="007C2C00">
        <w:rPr>
          <w:rFonts w:ascii="Arial" w:hAnsi="Arial" w:cs="Arial"/>
          <w:sz w:val="24"/>
          <w:szCs w:val="24"/>
          <w:lang w:val="en-US"/>
        </w:rPr>
        <w:t xml:space="preserve">In </w:t>
      </w:r>
      <w:r w:rsidR="00FF682B" w:rsidRPr="007C2C00">
        <w:rPr>
          <w:rFonts w:ascii="Arial" w:hAnsi="Arial" w:cs="Arial"/>
          <w:i/>
          <w:sz w:val="24"/>
          <w:szCs w:val="24"/>
          <w:lang w:val="en-US"/>
        </w:rPr>
        <w:t>S v Gallant,</w:t>
      </w:r>
      <w:r w:rsidR="00FF682B" w:rsidRPr="00841A95">
        <w:rPr>
          <w:rStyle w:val="FootnoteReference"/>
          <w:rFonts w:ascii="Arial" w:hAnsi="Arial" w:cs="Arial"/>
          <w:i/>
          <w:sz w:val="24"/>
          <w:szCs w:val="24"/>
          <w:lang w:val="en-US"/>
        </w:rPr>
        <w:footnoteReference w:id="12"/>
      </w:r>
      <w:r w:rsidR="00FF682B" w:rsidRPr="007C2C00">
        <w:rPr>
          <w:rFonts w:ascii="Arial" w:hAnsi="Arial" w:cs="Arial"/>
          <w:sz w:val="24"/>
          <w:szCs w:val="24"/>
          <w:lang w:val="en-US"/>
        </w:rPr>
        <w:t xml:space="preserve"> </w:t>
      </w:r>
      <w:r w:rsidR="007F0025" w:rsidRPr="007C2C00">
        <w:rPr>
          <w:rFonts w:ascii="Arial" w:hAnsi="Arial" w:cs="Arial"/>
          <w:sz w:val="24"/>
          <w:szCs w:val="24"/>
          <w:lang w:val="en-US"/>
        </w:rPr>
        <w:t xml:space="preserve">where the witness was 11 years old, </w:t>
      </w:r>
      <w:r w:rsidR="00FF682B" w:rsidRPr="007C2C00">
        <w:rPr>
          <w:rFonts w:ascii="Arial" w:hAnsi="Arial" w:cs="Arial"/>
          <w:sz w:val="24"/>
          <w:szCs w:val="24"/>
          <w:lang w:val="en-US"/>
        </w:rPr>
        <w:t>a full bench of the Eastern Cape Division held that there had been no reason for a departure from administering the</w:t>
      </w:r>
      <w:r w:rsidR="00A0256D" w:rsidRPr="007C2C00">
        <w:rPr>
          <w:rFonts w:ascii="Arial" w:hAnsi="Arial" w:cs="Arial"/>
          <w:sz w:val="24"/>
          <w:szCs w:val="24"/>
          <w:lang w:val="en-US"/>
        </w:rPr>
        <w:t xml:space="preserve"> prescribed oath and resorting to an admonition in terms of s 164 of the CPA, even in the case of relatively young complainant. </w:t>
      </w:r>
      <w:r w:rsidR="000172F2" w:rsidRPr="007C2C00">
        <w:rPr>
          <w:rFonts w:ascii="Arial" w:hAnsi="Arial" w:cs="Arial"/>
          <w:sz w:val="24"/>
          <w:szCs w:val="24"/>
          <w:lang w:val="en-US"/>
        </w:rPr>
        <w:t xml:space="preserve">In </w:t>
      </w:r>
      <w:r w:rsidR="000172F2" w:rsidRPr="007C2C00">
        <w:rPr>
          <w:rFonts w:ascii="Arial" w:hAnsi="Arial" w:cs="Arial"/>
          <w:i/>
          <w:sz w:val="24"/>
          <w:szCs w:val="24"/>
          <w:lang w:val="en-US"/>
        </w:rPr>
        <w:t>S v Sikhipha</w:t>
      </w:r>
      <w:r w:rsidR="000172F2" w:rsidRPr="007C2C00">
        <w:rPr>
          <w:rFonts w:ascii="Arial" w:hAnsi="Arial" w:cs="Arial"/>
          <w:sz w:val="24"/>
          <w:szCs w:val="24"/>
          <w:lang w:val="en-US"/>
        </w:rPr>
        <w:t>,</w:t>
      </w:r>
      <w:r w:rsidR="000172F2" w:rsidRPr="00841A95">
        <w:rPr>
          <w:rStyle w:val="FootnoteReference"/>
          <w:rFonts w:ascii="Arial" w:hAnsi="Arial" w:cs="Arial"/>
          <w:sz w:val="24"/>
          <w:szCs w:val="24"/>
          <w:lang w:val="en-US"/>
        </w:rPr>
        <w:footnoteReference w:id="13"/>
      </w:r>
      <w:r w:rsidR="000172F2" w:rsidRPr="007C2C00">
        <w:rPr>
          <w:rFonts w:ascii="Arial" w:hAnsi="Arial" w:cs="Arial"/>
          <w:sz w:val="24"/>
          <w:szCs w:val="24"/>
          <w:lang w:val="en-US"/>
        </w:rPr>
        <w:t xml:space="preserve"> the Supreme Court of Appeal held that 14 years was regarded as sufficiently old to presume an understanding of the oath, and an inquiry was not deemed necessary. The court explained:</w:t>
      </w:r>
      <w:r w:rsidR="000172F2" w:rsidRPr="00841A95">
        <w:rPr>
          <w:rStyle w:val="FootnoteReference"/>
          <w:rFonts w:ascii="Arial" w:hAnsi="Arial" w:cs="Arial"/>
          <w:sz w:val="24"/>
          <w:szCs w:val="24"/>
          <w:lang w:val="en-US"/>
        </w:rPr>
        <w:footnoteReference w:id="14"/>
      </w:r>
    </w:p>
    <w:p w14:paraId="4E76312F" w14:textId="77777777" w:rsidR="000172F2" w:rsidRPr="00841A95" w:rsidRDefault="000172F2" w:rsidP="000172F2">
      <w:pPr>
        <w:pStyle w:val="ListParagraph"/>
        <w:rPr>
          <w:rFonts w:ascii="Arial" w:hAnsi="Arial" w:cs="Arial"/>
          <w:i/>
          <w:sz w:val="24"/>
          <w:szCs w:val="24"/>
          <w:lang w:val="en-US"/>
        </w:rPr>
      </w:pPr>
    </w:p>
    <w:p w14:paraId="388EDC98" w14:textId="6F8043B7" w:rsidR="000172F2" w:rsidRPr="00841A95" w:rsidRDefault="000172F2" w:rsidP="000172F2">
      <w:pPr>
        <w:spacing w:before="120" w:after="120" w:line="360" w:lineRule="auto"/>
        <w:ind w:left="1296" w:right="1296"/>
        <w:jc w:val="both"/>
        <w:rPr>
          <w:rFonts w:ascii="Arial" w:hAnsi="Arial" w:cs="Arial"/>
          <w:color w:val="000000"/>
          <w:sz w:val="24"/>
          <w:szCs w:val="24"/>
        </w:rPr>
      </w:pPr>
      <w:r w:rsidRPr="00841A95">
        <w:rPr>
          <w:rFonts w:ascii="Arial" w:hAnsi="Arial" w:cs="Arial"/>
          <w:sz w:val="24"/>
          <w:szCs w:val="24"/>
          <w:lang w:val="en-US"/>
        </w:rPr>
        <w:lastRenderedPageBreak/>
        <w:t>‘S</w:t>
      </w:r>
      <w:r w:rsidRPr="00841A95">
        <w:rPr>
          <w:rFonts w:ascii="Arial" w:hAnsi="Arial" w:cs="Arial"/>
          <w:color w:val="000000"/>
          <w:sz w:val="24"/>
          <w:szCs w:val="24"/>
        </w:rPr>
        <w:t>ection 164 of the Criminal Procedure Act permits a presiding officer to dispense with the taking of an oath where it appears that a child does not understand the nature and import of the oath. In such circumstances an enquiry should be held as to the level of understanding of the witness, and the presiding officer must admonish the child to tell the truth. But a formal enquiry is not necessary, as long as the presiding officer has formed an opinion that the witness does not understand the meaning of the oath</w:t>
      </w:r>
      <w:bookmarkStart w:id="1" w:name="0-0-0-117067"/>
      <w:bookmarkEnd w:id="1"/>
      <w:r w:rsidRPr="00841A95">
        <w:rPr>
          <w:rFonts w:ascii="Arial" w:hAnsi="Arial" w:cs="Arial"/>
          <w:color w:val="000000"/>
          <w:sz w:val="24"/>
          <w:szCs w:val="24"/>
        </w:rPr>
        <w:t>. In this case, however, the oath was administered to both the complainant, who was 14 at the time of the trial, and her brother, whose age does not appear from the record. The situation is different. There is no requirement that the trial court must formally enquire whether a witness understands the oath nor that the presiding officer must record that fact.</w:t>
      </w:r>
      <w:bookmarkStart w:id="2" w:name="0-0-0-117071"/>
      <w:bookmarkEnd w:id="2"/>
      <w:r w:rsidRPr="00841A95">
        <w:rPr>
          <w:rFonts w:ascii="Arial" w:hAnsi="Arial" w:cs="Arial"/>
          <w:color w:val="000000"/>
          <w:sz w:val="24"/>
          <w:szCs w:val="24"/>
        </w:rPr>
        <w:t xml:space="preserve"> Of course</w:t>
      </w:r>
      <w:r w:rsidR="001A5157" w:rsidRPr="00841A95">
        <w:rPr>
          <w:rFonts w:ascii="Arial" w:hAnsi="Arial" w:cs="Arial"/>
          <w:color w:val="000000"/>
          <w:sz w:val="24"/>
          <w:szCs w:val="24"/>
        </w:rPr>
        <w:t>,</w:t>
      </w:r>
      <w:r w:rsidRPr="00841A95">
        <w:rPr>
          <w:rFonts w:ascii="Arial" w:hAnsi="Arial" w:cs="Arial"/>
          <w:color w:val="000000"/>
          <w:sz w:val="24"/>
          <w:szCs w:val="24"/>
        </w:rPr>
        <w:t xml:space="preserve"> a presiding officer must be satisfied that a witness does understand the oath, but he or she may form a view in this regard without formally making an enquiry or recording his or her view. There is nothing in the evidence to suggest that either the complainant or her brother was ignorant of the import of the oath.’ (Footnotes omitted).</w:t>
      </w:r>
    </w:p>
    <w:p w14:paraId="767CF78B" w14:textId="77777777" w:rsidR="00083CE3" w:rsidRPr="00841A95" w:rsidRDefault="00083CE3" w:rsidP="00083CE3">
      <w:pPr>
        <w:pStyle w:val="ListParagraph"/>
        <w:rPr>
          <w:rFonts w:ascii="Arial" w:hAnsi="Arial" w:cs="Arial"/>
          <w:sz w:val="24"/>
          <w:szCs w:val="24"/>
          <w:lang w:val="en-US"/>
        </w:rPr>
      </w:pPr>
    </w:p>
    <w:p w14:paraId="40D1B512" w14:textId="7B6F69EE" w:rsidR="00202E19"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[18]</w:t>
      </w:r>
      <w:r w:rsidRPr="00841A95">
        <w:rPr>
          <w:rFonts w:ascii="Arial" w:hAnsi="Arial" w:cs="Arial"/>
          <w:sz w:val="24"/>
          <w:szCs w:val="24"/>
          <w:lang w:val="en-US"/>
        </w:rPr>
        <w:tab/>
      </w:r>
      <w:r w:rsidR="004B068E" w:rsidRPr="007C2C00">
        <w:rPr>
          <w:rFonts w:ascii="Arial" w:hAnsi="Arial" w:cs="Arial"/>
          <w:sz w:val="24"/>
          <w:szCs w:val="24"/>
          <w:lang w:val="en-US"/>
        </w:rPr>
        <w:t xml:space="preserve">An understanding of the oath presupposes the following components: (1) </w:t>
      </w:r>
      <w:r w:rsidR="00940EF5" w:rsidRPr="007C2C00">
        <w:rPr>
          <w:rFonts w:ascii="Arial" w:hAnsi="Arial" w:cs="Arial"/>
          <w:sz w:val="24"/>
          <w:szCs w:val="24"/>
          <w:lang w:val="en-US"/>
        </w:rPr>
        <w:t>an understanding of the religious obligation of the oath; (2) the meaning of the truth,</w:t>
      </w:r>
      <w:r w:rsidR="004B068E" w:rsidRPr="007C2C00">
        <w:rPr>
          <w:rFonts w:ascii="Arial" w:hAnsi="Arial" w:cs="Arial"/>
          <w:sz w:val="24"/>
          <w:szCs w:val="24"/>
          <w:lang w:val="en-US"/>
        </w:rPr>
        <w:t xml:space="preserve"> and (3) the difference between truth and falsehood.</w:t>
      </w:r>
      <w:r w:rsidR="00FF1CF7" w:rsidRPr="007C2C00">
        <w:rPr>
          <w:rFonts w:ascii="Arial" w:hAnsi="Arial" w:cs="Arial"/>
          <w:sz w:val="24"/>
          <w:szCs w:val="24"/>
          <w:lang w:val="en-US"/>
        </w:rPr>
        <w:t xml:space="preserve"> </w:t>
      </w:r>
      <w:r w:rsidR="004B068E" w:rsidRPr="007C2C00">
        <w:rPr>
          <w:rFonts w:ascii="Arial" w:hAnsi="Arial" w:cs="Arial"/>
          <w:sz w:val="24"/>
          <w:szCs w:val="24"/>
          <w:lang w:val="en-US"/>
        </w:rPr>
        <w:t xml:space="preserve">The evidence before the court was that the complainant, a 15-year-old girl, was enrolled in grade 8. She did not lack formal education. If it is considered that </w:t>
      </w:r>
      <w:r w:rsidR="00D87B75" w:rsidRPr="007C2C00">
        <w:rPr>
          <w:rFonts w:ascii="Arial" w:hAnsi="Arial" w:cs="Arial"/>
          <w:sz w:val="24"/>
          <w:szCs w:val="24"/>
          <w:lang w:val="en-US"/>
        </w:rPr>
        <w:t xml:space="preserve">children older than 14 are regarded as </w:t>
      </w:r>
      <w:r w:rsidR="00D87B75" w:rsidRPr="007C2C00">
        <w:rPr>
          <w:rFonts w:ascii="Arial" w:hAnsi="Arial" w:cs="Arial"/>
          <w:i/>
          <w:sz w:val="24"/>
          <w:szCs w:val="24"/>
          <w:lang w:val="en-US"/>
        </w:rPr>
        <w:t>doli capax</w:t>
      </w:r>
      <w:r w:rsidR="00D87B75" w:rsidRPr="007C2C00">
        <w:rPr>
          <w:rFonts w:ascii="Arial" w:hAnsi="Arial" w:cs="Arial"/>
          <w:sz w:val="24"/>
          <w:szCs w:val="24"/>
          <w:lang w:val="en-US"/>
        </w:rPr>
        <w:t xml:space="preserve">, </w:t>
      </w:r>
      <w:r w:rsidR="007F0025" w:rsidRPr="007C2C00">
        <w:rPr>
          <w:rFonts w:ascii="Arial" w:hAnsi="Arial" w:cs="Arial"/>
          <w:sz w:val="24"/>
          <w:szCs w:val="24"/>
          <w:lang w:val="en-US"/>
        </w:rPr>
        <w:t xml:space="preserve">and in line with the decision in </w:t>
      </w:r>
      <w:r w:rsidR="007F0025" w:rsidRPr="007C2C00">
        <w:rPr>
          <w:rFonts w:ascii="Arial" w:hAnsi="Arial" w:cs="Arial"/>
          <w:i/>
          <w:sz w:val="24"/>
          <w:szCs w:val="24"/>
          <w:lang w:val="en-US"/>
        </w:rPr>
        <w:t>Sikhipha,</w:t>
      </w:r>
      <w:r w:rsidR="007F0025" w:rsidRPr="007C2C00">
        <w:rPr>
          <w:rFonts w:ascii="Arial" w:hAnsi="Arial" w:cs="Arial"/>
          <w:sz w:val="24"/>
          <w:szCs w:val="24"/>
          <w:lang w:val="en-US"/>
        </w:rPr>
        <w:t xml:space="preserve"> </w:t>
      </w:r>
      <w:r w:rsidR="00D87B75" w:rsidRPr="007C2C00">
        <w:rPr>
          <w:rFonts w:ascii="Arial" w:hAnsi="Arial" w:cs="Arial"/>
          <w:sz w:val="24"/>
          <w:szCs w:val="24"/>
          <w:lang w:val="en-US"/>
        </w:rPr>
        <w:t xml:space="preserve">it follows that a child older than 14 </w:t>
      </w:r>
      <w:r w:rsidR="007F0025" w:rsidRPr="007C2C00">
        <w:rPr>
          <w:rFonts w:ascii="Arial" w:hAnsi="Arial" w:cs="Arial"/>
          <w:sz w:val="24"/>
          <w:szCs w:val="24"/>
          <w:lang w:val="en-US"/>
        </w:rPr>
        <w:t>can be</w:t>
      </w:r>
      <w:r w:rsidR="00D87B75" w:rsidRPr="007C2C00">
        <w:rPr>
          <w:rFonts w:ascii="Arial" w:hAnsi="Arial" w:cs="Arial"/>
          <w:sz w:val="24"/>
          <w:szCs w:val="24"/>
          <w:lang w:val="en-US"/>
        </w:rPr>
        <w:t xml:space="preserve"> presumed to be able to distinguish between right and wrong and, concomitantly, between truth and falsehood. </w:t>
      </w:r>
    </w:p>
    <w:p w14:paraId="481C3B05" w14:textId="77777777" w:rsidR="00202E19" w:rsidRPr="00841A95" w:rsidRDefault="00202E19" w:rsidP="00202E19">
      <w:pPr>
        <w:pStyle w:val="ListParagraph"/>
        <w:rPr>
          <w:rFonts w:ascii="Arial" w:hAnsi="Arial" w:cs="Arial"/>
          <w:sz w:val="24"/>
          <w:szCs w:val="24"/>
          <w:lang w:val="en-US"/>
        </w:rPr>
      </w:pPr>
    </w:p>
    <w:p w14:paraId="7E59C972" w14:textId="4EF64727" w:rsidR="00FF1CF7"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[19]</w:t>
      </w:r>
      <w:r w:rsidRPr="00841A95">
        <w:rPr>
          <w:rFonts w:ascii="Arial" w:hAnsi="Arial" w:cs="Arial"/>
          <w:sz w:val="24"/>
          <w:szCs w:val="24"/>
          <w:lang w:val="en-US"/>
        </w:rPr>
        <w:tab/>
      </w:r>
      <w:r w:rsidR="004170FD" w:rsidRPr="007C2C00">
        <w:rPr>
          <w:rFonts w:ascii="Arial" w:hAnsi="Arial" w:cs="Arial"/>
          <w:sz w:val="24"/>
          <w:szCs w:val="24"/>
          <w:lang w:val="en-US"/>
        </w:rPr>
        <w:t xml:space="preserve">A child of fifteen years is an adolescent. Such a child is often described as a ‘young person’ and is in the process of developing from a child into an adult. The complainant might be regarded as </w:t>
      </w:r>
      <w:r w:rsidR="00940EF5" w:rsidRPr="007C2C00">
        <w:rPr>
          <w:rFonts w:ascii="Arial" w:hAnsi="Arial" w:cs="Arial"/>
          <w:sz w:val="24"/>
          <w:szCs w:val="24"/>
          <w:lang w:val="en-US"/>
        </w:rPr>
        <w:t xml:space="preserve">a </w:t>
      </w:r>
      <w:r w:rsidR="004170FD" w:rsidRPr="007C2C00">
        <w:rPr>
          <w:rFonts w:ascii="Arial" w:hAnsi="Arial" w:cs="Arial"/>
          <w:sz w:val="24"/>
          <w:szCs w:val="24"/>
          <w:lang w:val="en-US"/>
        </w:rPr>
        <w:t xml:space="preserve">young person but cannot be described as a </w:t>
      </w:r>
      <w:r w:rsidR="004170FD" w:rsidRPr="007C2C00">
        <w:rPr>
          <w:rFonts w:ascii="Arial" w:hAnsi="Arial" w:cs="Arial"/>
          <w:sz w:val="24"/>
          <w:szCs w:val="24"/>
          <w:lang w:val="en-US"/>
        </w:rPr>
        <w:lastRenderedPageBreak/>
        <w:t xml:space="preserve">‘child of tender years’. </w:t>
      </w:r>
      <w:r w:rsidR="00202E19" w:rsidRPr="007C2C00">
        <w:rPr>
          <w:rFonts w:ascii="Arial" w:hAnsi="Arial" w:cs="Arial"/>
          <w:sz w:val="24"/>
          <w:szCs w:val="24"/>
          <w:lang w:val="en-US"/>
        </w:rPr>
        <w:t xml:space="preserve">To treat </w:t>
      </w:r>
      <w:r w:rsidR="003B48EC" w:rsidRPr="007C2C00">
        <w:rPr>
          <w:rFonts w:ascii="Arial" w:hAnsi="Arial" w:cs="Arial"/>
          <w:sz w:val="24"/>
          <w:szCs w:val="24"/>
          <w:lang w:val="en-US"/>
        </w:rPr>
        <w:t xml:space="preserve">an adolescent who is </w:t>
      </w:r>
      <w:r w:rsidR="003B48EC" w:rsidRPr="007C2C00">
        <w:rPr>
          <w:rFonts w:ascii="Arial" w:hAnsi="Arial" w:cs="Arial"/>
          <w:i/>
          <w:sz w:val="24"/>
          <w:szCs w:val="24"/>
          <w:lang w:val="en-US"/>
        </w:rPr>
        <w:t>doli capax</w:t>
      </w:r>
      <w:r w:rsidR="003B48EC" w:rsidRPr="007C2C00">
        <w:rPr>
          <w:rFonts w:ascii="Arial" w:hAnsi="Arial" w:cs="Arial"/>
          <w:sz w:val="24"/>
          <w:szCs w:val="24"/>
          <w:lang w:val="en-US"/>
        </w:rPr>
        <w:t xml:space="preserve"> the same as a toddler and summarily regard the adolescent’s evidence as inadmissible </w:t>
      </w:r>
      <w:r w:rsidR="00FF1CF7" w:rsidRPr="007C2C00">
        <w:rPr>
          <w:rFonts w:ascii="Arial" w:hAnsi="Arial" w:cs="Arial"/>
          <w:sz w:val="24"/>
          <w:szCs w:val="24"/>
          <w:lang w:val="en-US"/>
        </w:rPr>
        <w:t xml:space="preserve">on the basis of youthfulness </w:t>
      </w:r>
      <w:r w:rsidR="003B48EC" w:rsidRPr="007C2C00">
        <w:rPr>
          <w:rFonts w:ascii="Arial" w:hAnsi="Arial" w:cs="Arial"/>
          <w:sz w:val="24"/>
          <w:szCs w:val="24"/>
          <w:lang w:val="en-US"/>
        </w:rPr>
        <w:t>because the trial court did not conduct a formal inquiry as to whether the child is able to differentiate between truth and a lie</w:t>
      </w:r>
      <w:r w:rsidR="00202E19" w:rsidRPr="007C2C00">
        <w:rPr>
          <w:rFonts w:ascii="Arial" w:hAnsi="Arial" w:cs="Arial"/>
          <w:sz w:val="24"/>
          <w:szCs w:val="24"/>
          <w:lang w:val="en-US"/>
        </w:rPr>
        <w:t xml:space="preserve"> is devoid of logic.</w:t>
      </w:r>
      <w:r w:rsidR="00D0331F" w:rsidRPr="007C2C00">
        <w:rPr>
          <w:rFonts w:ascii="Arial" w:hAnsi="Arial" w:cs="Arial"/>
          <w:sz w:val="24"/>
          <w:szCs w:val="24"/>
          <w:lang w:val="en-US"/>
        </w:rPr>
        <w:t xml:space="preserve"> Where there is no </w:t>
      </w:r>
      <w:r w:rsidR="00CE5969" w:rsidRPr="007C2C00">
        <w:rPr>
          <w:rFonts w:ascii="Arial" w:hAnsi="Arial" w:cs="Arial"/>
          <w:sz w:val="24"/>
          <w:szCs w:val="24"/>
          <w:lang w:val="en-US"/>
        </w:rPr>
        <w:t>other factor</w:t>
      </w:r>
      <w:r w:rsidR="00D0331F" w:rsidRPr="007C2C00">
        <w:rPr>
          <w:rFonts w:ascii="Arial" w:hAnsi="Arial" w:cs="Arial"/>
          <w:sz w:val="24"/>
          <w:szCs w:val="24"/>
          <w:lang w:val="en-US"/>
        </w:rPr>
        <w:t xml:space="preserve"> indicating that an adolescent </w:t>
      </w:r>
      <w:r w:rsidR="004170FD" w:rsidRPr="007C2C00">
        <w:rPr>
          <w:rFonts w:ascii="Arial" w:hAnsi="Arial" w:cs="Arial"/>
          <w:sz w:val="24"/>
          <w:szCs w:val="24"/>
          <w:lang w:val="en-US"/>
        </w:rPr>
        <w:t>who is in</w:t>
      </w:r>
      <w:r w:rsidR="002B1508" w:rsidRPr="007C2C00">
        <w:rPr>
          <w:rFonts w:ascii="Arial" w:hAnsi="Arial" w:cs="Arial"/>
          <w:sz w:val="24"/>
          <w:szCs w:val="24"/>
          <w:lang w:val="en-US"/>
        </w:rPr>
        <w:t xml:space="preserve"> the age-appropriate grade in</w:t>
      </w:r>
      <w:r w:rsidR="004170FD" w:rsidRPr="007C2C00">
        <w:rPr>
          <w:rFonts w:ascii="Arial" w:hAnsi="Arial" w:cs="Arial"/>
          <w:sz w:val="24"/>
          <w:szCs w:val="24"/>
          <w:lang w:val="en-US"/>
        </w:rPr>
        <w:t xml:space="preserve"> high school </w:t>
      </w:r>
      <w:r w:rsidR="00D0331F" w:rsidRPr="007C2C00">
        <w:rPr>
          <w:rFonts w:ascii="Arial" w:hAnsi="Arial" w:cs="Arial"/>
          <w:sz w:val="24"/>
          <w:szCs w:val="24"/>
          <w:lang w:val="en-US"/>
        </w:rPr>
        <w:t>does not understand the nature and import of the oath</w:t>
      </w:r>
      <w:r w:rsidR="00CE5969" w:rsidRPr="007C2C00">
        <w:rPr>
          <w:rFonts w:ascii="Arial" w:hAnsi="Arial" w:cs="Arial"/>
          <w:sz w:val="24"/>
          <w:szCs w:val="24"/>
          <w:lang w:val="en-US"/>
        </w:rPr>
        <w:t xml:space="preserve"> and is unable to discern between truth and a lie,</w:t>
      </w:r>
      <w:r w:rsidR="00D0331F" w:rsidRPr="007C2C00">
        <w:rPr>
          <w:rFonts w:ascii="Arial" w:hAnsi="Arial" w:cs="Arial"/>
          <w:sz w:val="24"/>
          <w:szCs w:val="24"/>
          <w:lang w:val="en-US"/>
        </w:rPr>
        <w:t xml:space="preserve"> the presiding officer </w:t>
      </w:r>
      <w:r w:rsidR="002B1508" w:rsidRPr="007C2C00">
        <w:rPr>
          <w:rFonts w:ascii="Arial" w:hAnsi="Arial" w:cs="Arial"/>
          <w:sz w:val="24"/>
          <w:szCs w:val="24"/>
          <w:lang w:val="en-US"/>
        </w:rPr>
        <w:t xml:space="preserve">cannot be faulted for implicitly </w:t>
      </w:r>
      <w:r w:rsidR="00D0331F" w:rsidRPr="007C2C00">
        <w:rPr>
          <w:rFonts w:ascii="Arial" w:hAnsi="Arial" w:cs="Arial"/>
          <w:sz w:val="24"/>
          <w:szCs w:val="24"/>
          <w:lang w:val="en-US"/>
        </w:rPr>
        <w:t>form</w:t>
      </w:r>
      <w:r w:rsidR="002B1508" w:rsidRPr="007C2C00">
        <w:rPr>
          <w:rFonts w:ascii="Arial" w:hAnsi="Arial" w:cs="Arial"/>
          <w:sz w:val="24"/>
          <w:szCs w:val="24"/>
          <w:lang w:val="en-US"/>
        </w:rPr>
        <w:t>ing the</w:t>
      </w:r>
      <w:r w:rsidR="00D0331F" w:rsidRPr="007C2C00">
        <w:rPr>
          <w:rFonts w:ascii="Arial" w:hAnsi="Arial" w:cs="Arial"/>
          <w:sz w:val="24"/>
          <w:szCs w:val="24"/>
          <w:lang w:val="en-US"/>
        </w:rPr>
        <w:t xml:space="preserve"> opinion that the witness </w:t>
      </w:r>
      <w:r w:rsidR="00CE5969" w:rsidRPr="007C2C00">
        <w:rPr>
          <w:rFonts w:ascii="Arial" w:hAnsi="Arial" w:cs="Arial"/>
          <w:sz w:val="24"/>
          <w:szCs w:val="24"/>
          <w:lang w:val="en-US"/>
        </w:rPr>
        <w:t xml:space="preserve">is competent to testify </w:t>
      </w:r>
      <w:r w:rsidR="00D0331F" w:rsidRPr="007C2C00">
        <w:rPr>
          <w:rFonts w:ascii="Arial" w:hAnsi="Arial" w:cs="Arial"/>
          <w:sz w:val="24"/>
          <w:szCs w:val="24"/>
          <w:lang w:val="en-US"/>
        </w:rPr>
        <w:t>understands the nature and import of the oath</w:t>
      </w:r>
      <w:r w:rsidR="002B1508" w:rsidRPr="007C2C00">
        <w:rPr>
          <w:rFonts w:ascii="Arial" w:hAnsi="Arial" w:cs="Arial"/>
          <w:sz w:val="24"/>
          <w:szCs w:val="24"/>
          <w:lang w:val="en-US"/>
        </w:rPr>
        <w:t>, and asks her if she is prepared to take the oath after explaining that it requires the telling of the truth.</w:t>
      </w:r>
    </w:p>
    <w:p w14:paraId="55920BA1" w14:textId="77777777" w:rsidR="00FF1CF7" w:rsidRPr="00841A95" w:rsidRDefault="00FF1CF7" w:rsidP="00FF1CF7">
      <w:pPr>
        <w:pStyle w:val="ListParagraph"/>
        <w:rPr>
          <w:rFonts w:ascii="Arial" w:hAnsi="Arial" w:cs="Arial"/>
          <w:sz w:val="24"/>
          <w:szCs w:val="24"/>
          <w:lang w:val="en-US"/>
        </w:rPr>
      </w:pPr>
    </w:p>
    <w:p w14:paraId="2806D2A2" w14:textId="2D52A370" w:rsidR="00D62860"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[20]</w:t>
      </w:r>
      <w:r w:rsidRPr="00841A95">
        <w:rPr>
          <w:rFonts w:ascii="Arial" w:hAnsi="Arial" w:cs="Arial"/>
          <w:sz w:val="24"/>
          <w:szCs w:val="24"/>
          <w:lang w:val="en-US"/>
        </w:rPr>
        <w:tab/>
      </w:r>
      <w:r w:rsidR="00D62860" w:rsidRPr="007C2C00">
        <w:rPr>
          <w:rFonts w:ascii="Arial" w:hAnsi="Arial" w:cs="Arial"/>
          <w:sz w:val="24"/>
          <w:szCs w:val="24"/>
          <w:lang w:val="en-US"/>
        </w:rPr>
        <w:t>If th</w:t>
      </w:r>
      <w:r w:rsidR="00FF1CF7" w:rsidRPr="007C2C00">
        <w:rPr>
          <w:rFonts w:ascii="Arial" w:hAnsi="Arial" w:cs="Arial"/>
          <w:sz w:val="24"/>
          <w:szCs w:val="24"/>
          <w:lang w:val="en-US"/>
        </w:rPr>
        <w:t>e</w:t>
      </w:r>
      <w:r w:rsidR="00D62860" w:rsidRPr="007C2C00">
        <w:rPr>
          <w:rFonts w:ascii="Arial" w:hAnsi="Arial" w:cs="Arial"/>
          <w:sz w:val="24"/>
          <w:szCs w:val="24"/>
          <w:lang w:val="en-US"/>
        </w:rPr>
        <w:t xml:space="preserve"> exchange </w:t>
      </w:r>
      <w:r w:rsidR="00FF1CF7" w:rsidRPr="007C2C00">
        <w:rPr>
          <w:rFonts w:ascii="Arial" w:hAnsi="Arial" w:cs="Arial"/>
          <w:sz w:val="24"/>
          <w:szCs w:val="24"/>
          <w:lang w:val="en-US"/>
        </w:rPr>
        <w:t xml:space="preserve">between the presiding officer and the child witness </w:t>
      </w:r>
      <w:r w:rsidR="00D62860" w:rsidRPr="007C2C00">
        <w:rPr>
          <w:rFonts w:ascii="Arial" w:hAnsi="Arial" w:cs="Arial"/>
          <w:sz w:val="24"/>
          <w:szCs w:val="24"/>
          <w:lang w:val="en-US"/>
        </w:rPr>
        <w:t>is analysed</w:t>
      </w:r>
      <w:r w:rsidR="003773F3" w:rsidRPr="007C2C00">
        <w:rPr>
          <w:rFonts w:ascii="Arial" w:hAnsi="Arial" w:cs="Arial"/>
          <w:sz w:val="24"/>
          <w:szCs w:val="24"/>
          <w:lang w:val="en-US"/>
        </w:rPr>
        <w:t>,</w:t>
      </w:r>
      <w:r w:rsidR="00D62860" w:rsidRPr="007C2C00">
        <w:rPr>
          <w:rFonts w:ascii="Arial" w:hAnsi="Arial" w:cs="Arial"/>
          <w:sz w:val="24"/>
          <w:szCs w:val="24"/>
          <w:lang w:val="en-US"/>
        </w:rPr>
        <w:t xml:space="preserve"> it is evident that the court explained to the witness that it is expected of people who has a religion to take an oath, and to tell only the truth. </w:t>
      </w:r>
      <w:r w:rsidR="007F0A15" w:rsidRPr="007C2C00">
        <w:rPr>
          <w:rFonts w:ascii="Arial" w:hAnsi="Arial" w:cs="Arial"/>
          <w:sz w:val="24"/>
          <w:szCs w:val="24"/>
          <w:lang w:val="en-US"/>
        </w:rPr>
        <w:t xml:space="preserve">The presiding officer also explained the potential </w:t>
      </w:r>
      <w:r w:rsidR="00EA327E" w:rsidRPr="007C2C00">
        <w:rPr>
          <w:rFonts w:ascii="Arial" w:hAnsi="Arial" w:cs="Arial"/>
          <w:sz w:val="24"/>
          <w:szCs w:val="24"/>
          <w:lang w:val="en-US"/>
        </w:rPr>
        <w:t xml:space="preserve">adverse </w:t>
      </w:r>
      <w:r w:rsidR="007F0A15" w:rsidRPr="007C2C00">
        <w:rPr>
          <w:rFonts w:ascii="Arial" w:hAnsi="Arial" w:cs="Arial"/>
          <w:sz w:val="24"/>
          <w:szCs w:val="24"/>
          <w:lang w:val="en-US"/>
        </w:rPr>
        <w:t xml:space="preserve">consequence of lying. </w:t>
      </w:r>
      <w:r w:rsidR="00D62860" w:rsidRPr="007C2C00">
        <w:rPr>
          <w:rFonts w:ascii="Arial" w:hAnsi="Arial" w:cs="Arial"/>
          <w:sz w:val="24"/>
          <w:szCs w:val="24"/>
          <w:lang w:val="en-US"/>
        </w:rPr>
        <w:t>By indicating that she does not have an objection to taking the oath</w:t>
      </w:r>
      <w:r w:rsidR="003773F3" w:rsidRPr="007C2C00">
        <w:rPr>
          <w:rFonts w:ascii="Arial" w:hAnsi="Arial" w:cs="Arial"/>
          <w:sz w:val="24"/>
          <w:szCs w:val="24"/>
          <w:lang w:val="en-US"/>
        </w:rPr>
        <w:t xml:space="preserve"> after </w:t>
      </w:r>
      <w:r w:rsidR="00940EF5" w:rsidRPr="007C2C00">
        <w:rPr>
          <w:rFonts w:ascii="Arial" w:hAnsi="Arial" w:cs="Arial"/>
          <w:sz w:val="24"/>
          <w:szCs w:val="24"/>
          <w:lang w:val="en-US"/>
        </w:rPr>
        <w:t xml:space="preserve">hearing this explanation, the fifteen-year-old complainant indicated that she has a religion and </w:t>
      </w:r>
      <w:r w:rsidR="00D62860" w:rsidRPr="007C2C00">
        <w:rPr>
          <w:rFonts w:ascii="Arial" w:hAnsi="Arial" w:cs="Arial"/>
          <w:sz w:val="24"/>
          <w:szCs w:val="24"/>
          <w:lang w:val="en-US"/>
        </w:rPr>
        <w:t>is bound to tell only the truth. A sane, educated fifteen-year-old can be presumed</w:t>
      </w:r>
      <w:r w:rsidR="00B80493" w:rsidRPr="007C2C00">
        <w:rPr>
          <w:rFonts w:ascii="Arial" w:hAnsi="Arial" w:cs="Arial"/>
          <w:sz w:val="24"/>
          <w:szCs w:val="24"/>
          <w:lang w:val="en-US"/>
        </w:rPr>
        <w:t xml:space="preserve"> to know and understand</w:t>
      </w:r>
      <w:r w:rsidR="00D62860" w:rsidRPr="007C2C00">
        <w:rPr>
          <w:rFonts w:ascii="Arial" w:hAnsi="Arial" w:cs="Arial"/>
          <w:sz w:val="24"/>
          <w:szCs w:val="24"/>
          <w:lang w:val="en-US"/>
        </w:rPr>
        <w:t xml:space="preserve"> what the concept of ‘the truth’ entails</w:t>
      </w:r>
      <w:r w:rsidR="00FE25B5" w:rsidRPr="007C2C00">
        <w:rPr>
          <w:rFonts w:ascii="Arial" w:hAnsi="Arial" w:cs="Arial"/>
          <w:sz w:val="24"/>
          <w:szCs w:val="24"/>
          <w:lang w:val="en-US"/>
        </w:rPr>
        <w:t>.</w:t>
      </w:r>
      <w:r w:rsidR="006F4AB1" w:rsidRPr="007C2C00">
        <w:rPr>
          <w:rFonts w:ascii="Arial" w:hAnsi="Arial" w:cs="Arial"/>
          <w:sz w:val="24"/>
          <w:szCs w:val="24"/>
          <w:lang w:val="en-US"/>
        </w:rPr>
        <w:t xml:space="preserve"> If the exchange between the regional court magistrate and the complainant is considered, it is evident that the presiding officer was satisfied that the witness appreciated the duty to speak the truth, had sufficient intelligence</w:t>
      </w:r>
      <w:r w:rsidR="00940EF5" w:rsidRPr="007C2C00">
        <w:rPr>
          <w:rFonts w:ascii="Arial" w:hAnsi="Arial" w:cs="Arial"/>
          <w:sz w:val="24"/>
          <w:szCs w:val="24"/>
          <w:lang w:val="en-US"/>
        </w:rPr>
        <w:t>,</w:t>
      </w:r>
      <w:r w:rsidR="006F4AB1" w:rsidRPr="007C2C00">
        <w:rPr>
          <w:rFonts w:ascii="Arial" w:hAnsi="Arial" w:cs="Arial"/>
          <w:sz w:val="24"/>
          <w:szCs w:val="24"/>
          <w:lang w:val="en-US"/>
        </w:rPr>
        <w:t xml:space="preserve"> and could communicate effectively. She was entitled to administer the oath.</w:t>
      </w:r>
    </w:p>
    <w:p w14:paraId="5BB7FCC0" w14:textId="77777777" w:rsidR="00D62860" w:rsidRPr="00841A95" w:rsidRDefault="00D62860" w:rsidP="00D62860">
      <w:pPr>
        <w:pStyle w:val="ListParagraph"/>
        <w:tabs>
          <w:tab w:val="left" w:pos="4917"/>
        </w:tabs>
        <w:spacing w:before="120" w:after="120" w:line="360" w:lineRule="auto"/>
        <w:jc w:val="both"/>
        <w:rPr>
          <w:rFonts w:ascii="Arial" w:hAnsi="Arial" w:cs="Arial"/>
          <w:sz w:val="24"/>
          <w:szCs w:val="24"/>
          <w:lang w:val="en-US"/>
        </w:rPr>
      </w:pPr>
    </w:p>
    <w:p w14:paraId="5510EBDA" w14:textId="5DDA913C" w:rsidR="00D87B75"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[21]</w:t>
      </w:r>
      <w:r w:rsidRPr="00841A95">
        <w:rPr>
          <w:rFonts w:ascii="Arial" w:hAnsi="Arial" w:cs="Arial"/>
          <w:sz w:val="24"/>
          <w:szCs w:val="24"/>
          <w:lang w:val="en-US"/>
        </w:rPr>
        <w:tab/>
      </w:r>
      <w:r w:rsidR="00D0331F" w:rsidRPr="007C2C00">
        <w:rPr>
          <w:rFonts w:ascii="Arial" w:hAnsi="Arial" w:cs="Arial"/>
          <w:sz w:val="24"/>
          <w:szCs w:val="24"/>
          <w:lang w:val="en-US"/>
        </w:rPr>
        <w:t>T</w:t>
      </w:r>
      <w:r w:rsidR="00202E19" w:rsidRPr="007C2C00">
        <w:rPr>
          <w:rFonts w:ascii="Arial" w:hAnsi="Arial" w:cs="Arial"/>
          <w:sz w:val="24"/>
          <w:szCs w:val="24"/>
          <w:lang w:val="en-US"/>
        </w:rPr>
        <w:t xml:space="preserve">he trial court </w:t>
      </w:r>
      <w:r w:rsidR="002B1508" w:rsidRPr="007C2C00">
        <w:rPr>
          <w:rFonts w:ascii="Arial" w:hAnsi="Arial" w:cs="Arial"/>
          <w:sz w:val="24"/>
          <w:szCs w:val="24"/>
          <w:lang w:val="en-US"/>
        </w:rPr>
        <w:t xml:space="preserve">then </w:t>
      </w:r>
      <w:r w:rsidR="00202E19" w:rsidRPr="007C2C00">
        <w:rPr>
          <w:rFonts w:ascii="Arial" w:hAnsi="Arial" w:cs="Arial"/>
          <w:sz w:val="24"/>
          <w:szCs w:val="24"/>
          <w:lang w:val="en-US"/>
        </w:rPr>
        <w:t xml:space="preserve">carefully considered the complainant’s evidence </w:t>
      </w:r>
      <w:r w:rsidR="002B1508" w:rsidRPr="007C2C00">
        <w:rPr>
          <w:rFonts w:ascii="Arial" w:hAnsi="Arial" w:cs="Arial"/>
          <w:sz w:val="24"/>
          <w:szCs w:val="24"/>
          <w:lang w:val="en-US"/>
        </w:rPr>
        <w:t xml:space="preserve">within the body of evidence before the court </w:t>
      </w:r>
      <w:r w:rsidR="00202E19" w:rsidRPr="007C2C00">
        <w:rPr>
          <w:rFonts w:ascii="Arial" w:hAnsi="Arial" w:cs="Arial"/>
          <w:sz w:val="24"/>
          <w:szCs w:val="24"/>
          <w:lang w:val="en-US"/>
        </w:rPr>
        <w:t>and found substantiation and corroboration for it in the evidence of her mother, the investigating officer</w:t>
      </w:r>
      <w:r w:rsidR="003B48EC" w:rsidRPr="007C2C00">
        <w:rPr>
          <w:rFonts w:ascii="Arial" w:hAnsi="Arial" w:cs="Arial"/>
          <w:sz w:val="24"/>
          <w:szCs w:val="24"/>
          <w:lang w:val="en-US"/>
        </w:rPr>
        <w:t>, and the doctor</w:t>
      </w:r>
      <w:r w:rsidR="00202E19" w:rsidRPr="007C2C00">
        <w:rPr>
          <w:rFonts w:ascii="Arial" w:hAnsi="Arial" w:cs="Arial"/>
          <w:sz w:val="24"/>
          <w:szCs w:val="24"/>
          <w:lang w:val="en-US"/>
        </w:rPr>
        <w:t>.</w:t>
      </w:r>
      <w:r w:rsidR="003B48EC" w:rsidRPr="007C2C00">
        <w:rPr>
          <w:rFonts w:ascii="Arial" w:hAnsi="Arial" w:cs="Arial"/>
          <w:sz w:val="24"/>
          <w:szCs w:val="24"/>
          <w:lang w:val="en-US"/>
        </w:rPr>
        <w:t xml:space="preserve"> If the evidence before the court is considered in totality, it cannot be said that an irregularity in the administration of the oath occurred that resulted in a failure of justice.</w:t>
      </w:r>
      <w:r w:rsidR="001155D4" w:rsidRPr="007C2C00">
        <w:rPr>
          <w:rFonts w:ascii="Arial" w:hAnsi="Arial" w:cs="Arial"/>
          <w:sz w:val="24"/>
          <w:szCs w:val="24"/>
          <w:lang w:val="en-US"/>
        </w:rPr>
        <w:t xml:space="preserve"> </w:t>
      </w:r>
      <w:r w:rsidR="003773F3" w:rsidRPr="007C2C00">
        <w:rPr>
          <w:rFonts w:ascii="Arial" w:hAnsi="Arial" w:cs="Arial"/>
          <w:sz w:val="24"/>
          <w:szCs w:val="24"/>
          <w:lang w:val="en-US"/>
        </w:rPr>
        <w:t xml:space="preserve">The </w:t>
      </w:r>
      <w:r w:rsidR="003773F3" w:rsidRPr="007C2C00">
        <w:rPr>
          <w:rFonts w:ascii="Arial" w:hAnsi="Arial" w:cs="Arial"/>
          <w:sz w:val="24"/>
          <w:szCs w:val="24"/>
          <w:lang w:val="en-US"/>
        </w:rPr>
        <w:lastRenderedPageBreak/>
        <w:t>complainant’s</w:t>
      </w:r>
      <w:r w:rsidR="00D0331F" w:rsidRPr="007C2C00">
        <w:rPr>
          <w:rFonts w:ascii="Arial" w:hAnsi="Arial" w:cs="Arial"/>
          <w:sz w:val="24"/>
          <w:szCs w:val="24"/>
          <w:lang w:val="en-US"/>
        </w:rPr>
        <w:t xml:space="preserve"> competence to </w:t>
      </w:r>
      <w:r w:rsidR="00FE25B5" w:rsidRPr="007C2C00">
        <w:rPr>
          <w:rFonts w:ascii="Arial" w:hAnsi="Arial" w:cs="Arial"/>
          <w:sz w:val="24"/>
          <w:szCs w:val="24"/>
          <w:lang w:val="en-US"/>
        </w:rPr>
        <w:t>testify</w:t>
      </w:r>
      <w:r w:rsidR="00D0331F" w:rsidRPr="007C2C00">
        <w:rPr>
          <w:rFonts w:ascii="Arial" w:hAnsi="Arial" w:cs="Arial"/>
          <w:sz w:val="24"/>
          <w:szCs w:val="24"/>
          <w:lang w:val="en-US"/>
        </w:rPr>
        <w:t xml:space="preserve"> was reinforced </w:t>
      </w:r>
      <w:r w:rsidR="002B1508" w:rsidRPr="007C2C00">
        <w:rPr>
          <w:rFonts w:ascii="Arial" w:hAnsi="Arial" w:cs="Arial"/>
          <w:sz w:val="24"/>
          <w:szCs w:val="24"/>
          <w:lang w:val="en-US"/>
        </w:rPr>
        <w:t xml:space="preserve">and substantiated </w:t>
      </w:r>
      <w:r w:rsidR="00D0331F" w:rsidRPr="007C2C00">
        <w:rPr>
          <w:rFonts w:ascii="Arial" w:hAnsi="Arial" w:cs="Arial"/>
          <w:sz w:val="24"/>
          <w:szCs w:val="24"/>
          <w:lang w:val="en-US"/>
        </w:rPr>
        <w:t>by the manner in which she gave evidence.</w:t>
      </w:r>
      <w:r w:rsidR="006F4AB1" w:rsidRPr="00841A95">
        <w:rPr>
          <w:rStyle w:val="FootnoteReference"/>
          <w:rFonts w:ascii="Arial" w:hAnsi="Arial" w:cs="Arial"/>
          <w:sz w:val="24"/>
          <w:szCs w:val="24"/>
          <w:lang w:val="en-US"/>
        </w:rPr>
        <w:footnoteReference w:id="15"/>
      </w:r>
    </w:p>
    <w:p w14:paraId="03574A1D" w14:textId="77777777" w:rsidR="00083CE3" w:rsidRPr="00841A95" w:rsidRDefault="00083CE3" w:rsidP="00083CE3">
      <w:pPr>
        <w:pStyle w:val="ListParagraph"/>
        <w:rPr>
          <w:rFonts w:ascii="Arial" w:hAnsi="Arial" w:cs="Arial"/>
          <w:sz w:val="24"/>
          <w:szCs w:val="24"/>
          <w:lang w:val="en-US"/>
        </w:rPr>
      </w:pPr>
    </w:p>
    <w:p w14:paraId="2D61567A" w14:textId="55E6B7E4" w:rsidR="00FE25B5"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[22]</w:t>
      </w:r>
      <w:r w:rsidRPr="00841A95">
        <w:rPr>
          <w:rFonts w:ascii="Arial" w:hAnsi="Arial" w:cs="Arial"/>
          <w:sz w:val="24"/>
          <w:szCs w:val="24"/>
          <w:lang w:val="en-US"/>
        </w:rPr>
        <w:tab/>
      </w:r>
      <w:r w:rsidR="00FE25B5" w:rsidRPr="007C2C00">
        <w:rPr>
          <w:rFonts w:ascii="Arial" w:hAnsi="Arial" w:cs="Arial"/>
          <w:sz w:val="24"/>
          <w:szCs w:val="24"/>
          <w:lang w:val="en-US"/>
        </w:rPr>
        <w:t>The manner in which the presiding court dealt with the child witness is open for criti</w:t>
      </w:r>
      <w:r w:rsidR="002B1508" w:rsidRPr="007C2C00">
        <w:rPr>
          <w:rFonts w:ascii="Arial" w:hAnsi="Arial" w:cs="Arial"/>
          <w:sz w:val="24"/>
          <w:szCs w:val="24"/>
          <w:lang w:val="en-US"/>
        </w:rPr>
        <w:t>sism</w:t>
      </w:r>
      <w:r w:rsidR="00FE25B5" w:rsidRPr="007C2C00">
        <w:rPr>
          <w:rFonts w:ascii="Arial" w:hAnsi="Arial" w:cs="Arial"/>
          <w:sz w:val="24"/>
          <w:szCs w:val="24"/>
          <w:lang w:val="en-US"/>
        </w:rPr>
        <w:t>. I am, however, of the view that in light of the witness’s age and level of education</w:t>
      </w:r>
      <w:r w:rsidR="002B1508" w:rsidRPr="007C2C00">
        <w:rPr>
          <w:rFonts w:ascii="Arial" w:hAnsi="Arial" w:cs="Arial"/>
          <w:sz w:val="24"/>
          <w:szCs w:val="24"/>
          <w:lang w:val="en-US"/>
        </w:rPr>
        <w:t>,</w:t>
      </w:r>
      <w:r w:rsidR="00FE25B5" w:rsidRPr="007C2C00">
        <w:rPr>
          <w:rFonts w:ascii="Arial" w:hAnsi="Arial" w:cs="Arial"/>
          <w:sz w:val="24"/>
          <w:szCs w:val="24"/>
          <w:lang w:val="en-US"/>
        </w:rPr>
        <w:t xml:space="preserve"> the explanation given by the presiding officer that preceded the question as to whether the witness was prepared to take the oath, sufficiently explained the nature and purport of the oath, and emphasi</w:t>
      </w:r>
      <w:r w:rsidR="002B1508" w:rsidRPr="007C2C00">
        <w:rPr>
          <w:rFonts w:ascii="Arial" w:hAnsi="Arial" w:cs="Arial"/>
          <w:sz w:val="24"/>
          <w:szCs w:val="24"/>
          <w:lang w:val="en-US"/>
        </w:rPr>
        <w:t>s</w:t>
      </w:r>
      <w:r w:rsidR="00FE25B5" w:rsidRPr="007C2C00">
        <w:rPr>
          <w:rFonts w:ascii="Arial" w:hAnsi="Arial" w:cs="Arial"/>
          <w:sz w:val="24"/>
          <w:szCs w:val="24"/>
          <w:lang w:val="en-US"/>
        </w:rPr>
        <w:t xml:space="preserve">ed the need to tell the truth. </w:t>
      </w:r>
      <w:r w:rsidR="002B1508" w:rsidRPr="007C2C00">
        <w:rPr>
          <w:rFonts w:ascii="Arial" w:hAnsi="Arial" w:cs="Arial"/>
          <w:sz w:val="24"/>
          <w:szCs w:val="24"/>
          <w:lang w:val="en-US"/>
        </w:rPr>
        <w:t>In the circumstances of this case, there was no need to doubt the complainant’s capacity to provide reliable evidence</w:t>
      </w:r>
      <w:r w:rsidR="003773F3" w:rsidRPr="007C2C00">
        <w:rPr>
          <w:rFonts w:ascii="Arial" w:hAnsi="Arial" w:cs="Arial"/>
          <w:sz w:val="24"/>
          <w:szCs w:val="24"/>
          <w:lang w:val="en-US"/>
        </w:rPr>
        <w:t xml:space="preserve"> an opinion could be formed from the circumstances.</w:t>
      </w:r>
    </w:p>
    <w:p w14:paraId="74C3FEBD" w14:textId="77777777" w:rsidR="006F4AB1" w:rsidRPr="00841A95" w:rsidRDefault="006F4AB1" w:rsidP="006F4AB1">
      <w:pPr>
        <w:pStyle w:val="ListParagraph"/>
        <w:rPr>
          <w:rFonts w:ascii="Arial" w:hAnsi="Arial" w:cs="Arial"/>
          <w:sz w:val="24"/>
          <w:szCs w:val="24"/>
          <w:lang w:val="en-US"/>
        </w:rPr>
      </w:pPr>
    </w:p>
    <w:p w14:paraId="019EAB93" w14:textId="0590C060" w:rsidR="00841A95"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[23]</w:t>
      </w:r>
      <w:r w:rsidRPr="00841A95">
        <w:rPr>
          <w:rFonts w:ascii="Arial" w:hAnsi="Arial" w:cs="Arial"/>
          <w:sz w:val="24"/>
          <w:szCs w:val="24"/>
          <w:lang w:val="en-US"/>
        </w:rPr>
        <w:tab/>
      </w:r>
      <w:r w:rsidR="00D64034" w:rsidRPr="007C2C00">
        <w:rPr>
          <w:rFonts w:ascii="Arial" w:hAnsi="Arial" w:cs="Arial"/>
          <w:sz w:val="24"/>
          <w:szCs w:val="24"/>
          <w:lang w:val="en-US"/>
        </w:rPr>
        <w:t xml:space="preserve">The Constitutional Court confirmed in </w:t>
      </w:r>
      <w:r w:rsidR="00D64034" w:rsidRPr="007C2C00">
        <w:rPr>
          <w:rFonts w:ascii="Arial" w:hAnsi="Arial" w:cs="Arial"/>
          <w:i/>
          <w:sz w:val="24"/>
          <w:szCs w:val="24"/>
          <w:lang w:val="en-US"/>
        </w:rPr>
        <w:t>S v Zuma</w:t>
      </w:r>
      <w:r w:rsidR="00D64034" w:rsidRPr="00841A95">
        <w:rPr>
          <w:rStyle w:val="FootnoteReference"/>
          <w:rFonts w:ascii="Arial" w:hAnsi="Arial" w:cs="Arial"/>
          <w:sz w:val="24"/>
          <w:szCs w:val="24"/>
          <w:lang w:val="en-US"/>
        </w:rPr>
        <w:footnoteReference w:id="16"/>
      </w:r>
      <w:r w:rsidR="00D64034" w:rsidRPr="007C2C00">
        <w:rPr>
          <w:rFonts w:ascii="Arial" w:hAnsi="Arial" w:cs="Arial"/>
          <w:sz w:val="24"/>
          <w:szCs w:val="24"/>
          <w:lang w:val="en-US"/>
        </w:rPr>
        <w:t xml:space="preserve"> that the Constitution ‘embraced a concept of substantive justice.’ The ideal of substantive justice is not restricted to the accused. </w:t>
      </w:r>
      <w:r w:rsidR="00841A95" w:rsidRPr="007C2C00">
        <w:rPr>
          <w:rFonts w:ascii="Arial" w:hAnsi="Arial" w:cs="Arial"/>
          <w:sz w:val="24"/>
          <w:szCs w:val="24"/>
          <w:lang w:val="en-US"/>
        </w:rPr>
        <w:t xml:space="preserve">The Supreme Court of Appeal explained in </w:t>
      </w:r>
      <w:r w:rsidR="00841A95" w:rsidRPr="007C2C00">
        <w:rPr>
          <w:rFonts w:ascii="Arial" w:hAnsi="Arial" w:cs="Arial"/>
          <w:i/>
          <w:sz w:val="24"/>
          <w:szCs w:val="24"/>
          <w:lang w:val="en-US"/>
        </w:rPr>
        <w:t>Rodrigues v The National Director of Public Prosecution and Others</w:t>
      </w:r>
      <w:r w:rsidR="00841A95" w:rsidRPr="007C2C00">
        <w:rPr>
          <w:rFonts w:ascii="Arial" w:hAnsi="Arial" w:cs="Arial"/>
          <w:sz w:val="24"/>
          <w:szCs w:val="24"/>
          <w:lang w:val="en-US"/>
        </w:rPr>
        <w:t>,</w:t>
      </w:r>
      <w:r w:rsidR="00841A95" w:rsidRPr="00841A95">
        <w:rPr>
          <w:rStyle w:val="FootnoteReference"/>
          <w:rFonts w:ascii="Arial" w:hAnsi="Arial" w:cs="Arial"/>
          <w:sz w:val="24"/>
          <w:szCs w:val="24"/>
          <w:lang w:val="en-US"/>
        </w:rPr>
        <w:footnoteReference w:id="17"/>
      </w:r>
      <w:r w:rsidR="00841A95" w:rsidRPr="007C2C00">
        <w:rPr>
          <w:rFonts w:ascii="Arial" w:hAnsi="Arial" w:cs="Arial"/>
          <w:sz w:val="24"/>
          <w:szCs w:val="24"/>
          <w:lang w:val="en-US"/>
        </w:rPr>
        <w:t xml:space="preserve"> that the right of an accused to a fair trial requires fairness not only to him, but fairness to the public as represented by the State as well.</w:t>
      </w:r>
    </w:p>
    <w:p w14:paraId="3F28E3EB" w14:textId="77777777" w:rsidR="00841A95" w:rsidRPr="00841A95" w:rsidRDefault="00841A95" w:rsidP="00841A95">
      <w:pPr>
        <w:pStyle w:val="ListParagraph"/>
        <w:rPr>
          <w:rFonts w:ascii="Arial" w:hAnsi="Arial" w:cs="Arial"/>
          <w:sz w:val="24"/>
          <w:szCs w:val="24"/>
          <w:lang w:val="en-US"/>
        </w:rPr>
      </w:pPr>
    </w:p>
    <w:p w14:paraId="3A03585A" w14:textId="5AD569DD" w:rsidR="00FE25B5"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[24]</w:t>
      </w:r>
      <w:r w:rsidRPr="00841A95">
        <w:rPr>
          <w:rFonts w:ascii="Arial" w:hAnsi="Arial" w:cs="Arial"/>
          <w:sz w:val="24"/>
          <w:szCs w:val="24"/>
          <w:lang w:val="en-US"/>
        </w:rPr>
        <w:tab/>
      </w:r>
      <w:r w:rsidR="00C6004B" w:rsidRPr="007C2C00">
        <w:rPr>
          <w:rFonts w:ascii="Arial" w:hAnsi="Arial" w:cs="Arial"/>
          <w:sz w:val="24"/>
          <w:szCs w:val="24"/>
          <w:lang w:val="en-US"/>
        </w:rPr>
        <w:t xml:space="preserve"> Rape is undeniably a degrading, humiliating and brutal invasion of security of the person. </w:t>
      </w:r>
      <w:r w:rsidR="00FE25B5" w:rsidRPr="007C2C00">
        <w:rPr>
          <w:rFonts w:ascii="Arial" w:hAnsi="Arial" w:cs="Arial"/>
          <w:sz w:val="24"/>
          <w:szCs w:val="24"/>
          <w:lang w:val="en-US"/>
        </w:rPr>
        <w:t xml:space="preserve">In cases of sexual abuse, the minor witness is more often than not a single witness to the offence. Minors should not be let down by the judicial system because presiding officers fail to conduct </w:t>
      </w:r>
      <w:r w:rsidR="00157A89" w:rsidRPr="007C2C00">
        <w:rPr>
          <w:rFonts w:ascii="Arial" w:hAnsi="Arial" w:cs="Arial"/>
          <w:sz w:val="24"/>
          <w:szCs w:val="24"/>
          <w:lang w:val="en-US"/>
        </w:rPr>
        <w:t xml:space="preserve">extensive </w:t>
      </w:r>
      <w:r w:rsidR="003773F3" w:rsidRPr="007C2C00">
        <w:rPr>
          <w:rFonts w:ascii="Arial" w:hAnsi="Arial" w:cs="Arial"/>
          <w:sz w:val="24"/>
          <w:szCs w:val="24"/>
          <w:lang w:val="en-US"/>
        </w:rPr>
        <w:t>formal</w:t>
      </w:r>
      <w:r w:rsidR="00FE25B5" w:rsidRPr="007C2C00">
        <w:rPr>
          <w:rFonts w:ascii="Arial" w:hAnsi="Arial" w:cs="Arial"/>
          <w:sz w:val="24"/>
          <w:szCs w:val="24"/>
          <w:lang w:val="en-US"/>
        </w:rPr>
        <w:t xml:space="preserve"> investigation</w:t>
      </w:r>
      <w:r w:rsidR="005153DD" w:rsidRPr="007C2C00">
        <w:rPr>
          <w:rFonts w:ascii="Arial" w:hAnsi="Arial" w:cs="Arial"/>
          <w:sz w:val="24"/>
          <w:szCs w:val="24"/>
          <w:lang w:val="en-US"/>
        </w:rPr>
        <w:t>s</w:t>
      </w:r>
      <w:r w:rsidR="00FE25B5" w:rsidRPr="007C2C00">
        <w:rPr>
          <w:rFonts w:ascii="Arial" w:hAnsi="Arial" w:cs="Arial"/>
          <w:sz w:val="24"/>
          <w:szCs w:val="24"/>
          <w:lang w:val="en-US"/>
        </w:rPr>
        <w:t xml:space="preserve"> regarding witness</w:t>
      </w:r>
      <w:r w:rsidR="00157A89" w:rsidRPr="007C2C00">
        <w:rPr>
          <w:rFonts w:ascii="Arial" w:hAnsi="Arial" w:cs="Arial"/>
          <w:sz w:val="24"/>
          <w:szCs w:val="24"/>
          <w:lang w:val="en-US"/>
        </w:rPr>
        <w:t>e</w:t>
      </w:r>
      <w:r w:rsidR="003773F3" w:rsidRPr="007C2C00">
        <w:rPr>
          <w:rFonts w:ascii="Arial" w:hAnsi="Arial" w:cs="Arial"/>
          <w:sz w:val="24"/>
          <w:szCs w:val="24"/>
          <w:lang w:val="en-US"/>
        </w:rPr>
        <w:t>s</w:t>
      </w:r>
      <w:r w:rsidR="00157A89" w:rsidRPr="007C2C00">
        <w:rPr>
          <w:rFonts w:ascii="Arial" w:hAnsi="Arial" w:cs="Arial"/>
          <w:sz w:val="24"/>
          <w:szCs w:val="24"/>
          <w:lang w:val="en-US"/>
        </w:rPr>
        <w:t>’</w:t>
      </w:r>
      <w:r w:rsidR="003773F3" w:rsidRPr="007C2C00">
        <w:rPr>
          <w:rFonts w:ascii="Arial" w:hAnsi="Arial" w:cs="Arial"/>
          <w:sz w:val="24"/>
          <w:szCs w:val="24"/>
          <w:lang w:val="en-US"/>
        </w:rPr>
        <w:t xml:space="preserve"> competence to testify</w:t>
      </w:r>
      <w:r w:rsidR="00FE25B5" w:rsidRPr="007C2C00">
        <w:rPr>
          <w:rFonts w:ascii="Arial" w:hAnsi="Arial" w:cs="Arial"/>
          <w:sz w:val="24"/>
          <w:szCs w:val="24"/>
          <w:lang w:val="en-US"/>
        </w:rPr>
        <w:t xml:space="preserve">, and </w:t>
      </w:r>
      <w:r w:rsidR="00D64034" w:rsidRPr="007C2C00">
        <w:rPr>
          <w:rFonts w:ascii="Arial" w:hAnsi="Arial" w:cs="Arial"/>
          <w:sz w:val="24"/>
          <w:szCs w:val="24"/>
          <w:lang w:val="en-US"/>
        </w:rPr>
        <w:t>their</w:t>
      </w:r>
      <w:r w:rsidR="003773F3" w:rsidRPr="007C2C00">
        <w:rPr>
          <w:rFonts w:ascii="Arial" w:hAnsi="Arial" w:cs="Arial"/>
          <w:sz w:val="24"/>
          <w:szCs w:val="24"/>
          <w:lang w:val="en-US"/>
        </w:rPr>
        <w:t xml:space="preserve"> </w:t>
      </w:r>
      <w:r w:rsidR="00FE25B5" w:rsidRPr="007C2C00">
        <w:rPr>
          <w:rFonts w:ascii="Arial" w:hAnsi="Arial" w:cs="Arial"/>
          <w:sz w:val="24"/>
          <w:szCs w:val="24"/>
          <w:lang w:val="en-US"/>
        </w:rPr>
        <w:t>understand</w:t>
      </w:r>
      <w:r w:rsidR="003773F3" w:rsidRPr="007C2C00">
        <w:rPr>
          <w:rFonts w:ascii="Arial" w:hAnsi="Arial" w:cs="Arial"/>
          <w:sz w:val="24"/>
          <w:szCs w:val="24"/>
          <w:lang w:val="en-US"/>
        </w:rPr>
        <w:t>ing of</w:t>
      </w:r>
      <w:r w:rsidR="00FE25B5" w:rsidRPr="007C2C00">
        <w:rPr>
          <w:rFonts w:ascii="Arial" w:hAnsi="Arial" w:cs="Arial"/>
          <w:sz w:val="24"/>
          <w:szCs w:val="24"/>
          <w:lang w:val="en-US"/>
        </w:rPr>
        <w:t xml:space="preserve"> the nature and import of the oath. </w:t>
      </w:r>
      <w:r w:rsidR="00D64034" w:rsidRPr="007C2C00">
        <w:rPr>
          <w:rFonts w:ascii="Arial" w:hAnsi="Arial" w:cs="Arial"/>
          <w:sz w:val="24"/>
          <w:szCs w:val="24"/>
          <w:lang w:val="en-US"/>
        </w:rPr>
        <w:t xml:space="preserve">The principle that judicial officers can form an opinion regarding a child witness’s competence to testify based on circumstances goes both ways. </w:t>
      </w:r>
      <w:r w:rsidR="00FE25B5" w:rsidRPr="007C2C00">
        <w:rPr>
          <w:rFonts w:ascii="Arial" w:hAnsi="Arial" w:cs="Arial"/>
          <w:sz w:val="24"/>
          <w:szCs w:val="24"/>
          <w:lang w:val="en-US"/>
        </w:rPr>
        <w:t>Although it is not obligatory, it is preferable for presiding officer</w:t>
      </w:r>
      <w:r w:rsidR="005153DD" w:rsidRPr="007C2C00">
        <w:rPr>
          <w:rFonts w:ascii="Arial" w:hAnsi="Arial" w:cs="Arial"/>
          <w:sz w:val="24"/>
          <w:szCs w:val="24"/>
          <w:lang w:val="en-US"/>
        </w:rPr>
        <w:t>s</w:t>
      </w:r>
      <w:r w:rsidR="00FE25B5" w:rsidRPr="007C2C00">
        <w:rPr>
          <w:rFonts w:ascii="Arial" w:hAnsi="Arial" w:cs="Arial"/>
          <w:sz w:val="24"/>
          <w:szCs w:val="24"/>
          <w:lang w:val="en-US"/>
        </w:rPr>
        <w:t xml:space="preserve"> to record findings regarding these aspects and note the reasons substantiating the findings.</w:t>
      </w:r>
      <w:r w:rsidR="003773F3" w:rsidRPr="007C2C00">
        <w:rPr>
          <w:rFonts w:ascii="Arial" w:hAnsi="Arial" w:cs="Arial"/>
          <w:sz w:val="24"/>
          <w:szCs w:val="24"/>
          <w:lang w:val="en-US"/>
        </w:rPr>
        <w:t xml:space="preserve"> A failure to record such </w:t>
      </w:r>
      <w:r w:rsidR="00940EF5" w:rsidRPr="007C2C00">
        <w:rPr>
          <w:rFonts w:ascii="Arial" w:hAnsi="Arial" w:cs="Arial"/>
          <w:sz w:val="24"/>
          <w:szCs w:val="24"/>
          <w:lang w:val="en-US"/>
        </w:rPr>
        <w:t>a finding should not,</w:t>
      </w:r>
      <w:r w:rsidR="003773F3" w:rsidRPr="007C2C00">
        <w:rPr>
          <w:rFonts w:ascii="Arial" w:hAnsi="Arial" w:cs="Arial"/>
          <w:sz w:val="24"/>
          <w:szCs w:val="24"/>
          <w:lang w:val="en-US"/>
        </w:rPr>
        <w:t xml:space="preserve"> without more, in the absence of an indication that the evidence </w:t>
      </w:r>
      <w:r w:rsidR="00157A89" w:rsidRPr="007C2C00">
        <w:rPr>
          <w:rFonts w:ascii="Arial" w:hAnsi="Arial" w:cs="Arial"/>
          <w:sz w:val="24"/>
          <w:szCs w:val="24"/>
          <w:lang w:val="en-US"/>
        </w:rPr>
        <w:lastRenderedPageBreak/>
        <w:t>might</w:t>
      </w:r>
      <w:r w:rsidR="003773F3" w:rsidRPr="007C2C00">
        <w:rPr>
          <w:rFonts w:ascii="Arial" w:hAnsi="Arial" w:cs="Arial"/>
          <w:sz w:val="24"/>
          <w:szCs w:val="24"/>
          <w:lang w:val="en-US"/>
        </w:rPr>
        <w:t xml:space="preserve"> not </w:t>
      </w:r>
      <w:r w:rsidR="00157A89" w:rsidRPr="007C2C00">
        <w:rPr>
          <w:rFonts w:ascii="Arial" w:hAnsi="Arial" w:cs="Arial"/>
          <w:sz w:val="24"/>
          <w:szCs w:val="24"/>
          <w:lang w:val="en-US"/>
        </w:rPr>
        <w:t xml:space="preserve">be </w:t>
      </w:r>
      <w:r w:rsidR="003773F3" w:rsidRPr="007C2C00">
        <w:rPr>
          <w:rFonts w:ascii="Arial" w:hAnsi="Arial" w:cs="Arial"/>
          <w:sz w:val="24"/>
          <w:szCs w:val="24"/>
          <w:lang w:val="en-US"/>
        </w:rPr>
        <w:t xml:space="preserve">reliable, render the </w:t>
      </w:r>
      <w:r w:rsidR="00157A89" w:rsidRPr="007C2C00">
        <w:rPr>
          <w:rFonts w:ascii="Arial" w:hAnsi="Arial" w:cs="Arial"/>
          <w:sz w:val="24"/>
          <w:szCs w:val="24"/>
          <w:lang w:val="en-US"/>
        </w:rPr>
        <w:t>child witness’</w:t>
      </w:r>
      <w:r w:rsidR="003773F3" w:rsidRPr="007C2C00">
        <w:rPr>
          <w:rFonts w:ascii="Arial" w:hAnsi="Arial" w:cs="Arial"/>
          <w:sz w:val="24"/>
          <w:szCs w:val="24"/>
          <w:lang w:val="en-US"/>
        </w:rPr>
        <w:t xml:space="preserve"> evidence inadmissible.</w:t>
      </w:r>
      <w:r w:rsidR="00C6004B" w:rsidRPr="007C2C00">
        <w:rPr>
          <w:rFonts w:ascii="Arial" w:hAnsi="Arial" w:cs="Arial"/>
          <w:sz w:val="24"/>
          <w:szCs w:val="24"/>
          <w:lang w:val="en-US"/>
        </w:rPr>
        <w:t xml:space="preserve"> </w:t>
      </w:r>
      <w:r w:rsidR="00157A89" w:rsidRPr="007C2C00">
        <w:rPr>
          <w:rFonts w:ascii="Arial" w:hAnsi="Arial" w:cs="Arial"/>
          <w:sz w:val="24"/>
          <w:szCs w:val="24"/>
          <w:lang w:val="en-US"/>
        </w:rPr>
        <w:t xml:space="preserve">The age of fifteen in itself should not be regarded as an exclusionary factor. The fifteen-year-old child is a mere three years from </w:t>
      </w:r>
      <w:r w:rsidR="00CE5969" w:rsidRPr="007C2C00">
        <w:rPr>
          <w:rFonts w:ascii="Arial" w:hAnsi="Arial" w:cs="Arial"/>
          <w:sz w:val="24"/>
          <w:szCs w:val="24"/>
          <w:lang w:val="en-US"/>
        </w:rPr>
        <w:t>attaining majority</w:t>
      </w:r>
      <w:r w:rsidR="00157A89" w:rsidRPr="007C2C00">
        <w:rPr>
          <w:rFonts w:ascii="Arial" w:hAnsi="Arial" w:cs="Arial"/>
          <w:sz w:val="24"/>
          <w:szCs w:val="24"/>
          <w:lang w:val="en-US"/>
        </w:rPr>
        <w:t xml:space="preserve"> and in this context, the witness’s age alone cannot cause any doubt as to whether he or she understands the difference between truth and falsehood. Where the adolescent is educated, her</w:t>
      </w:r>
      <w:r w:rsidR="00C6004B" w:rsidRPr="007C2C00">
        <w:rPr>
          <w:rFonts w:ascii="Arial" w:hAnsi="Arial" w:cs="Arial"/>
          <w:sz w:val="24"/>
          <w:szCs w:val="24"/>
          <w:lang w:val="en-US"/>
        </w:rPr>
        <w:t xml:space="preserve"> evidence </w:t>
      </w:r>
      <w:r w:rsidR="00157A89" w:rsidRPr="007C2C00">
        <w:rPr>
          <w:rFonts w:ascii="Arial" w:hAnsi="Arial" w:cs="Arial"/>
          <w:sz w:val="24"/>
          <w:szCs w:val="24"/>
          <w:lang w:val="en-US"/>
        </w:rPr>
        <w:t>needs to be considered in the context of the totality of evidence led during the trial</w:t>
      </w:r>
      <w:r w:rsidR="00C6004B" w:rsidRPr="007C2C00">
        <w:rPr>
          <w:rFonts w:ascii="Arial" w:hAnsi="Arial" w:cs="Arial"/>
          <w:sz w:val="24"/>
          <w:szCs w:val="24"/>
          <w:lang w:val="en-US"/>
        </w:rPr>
        <w:t xml:space="preserve"> to determine whether the </w:t>
      </w:r>
      <w:r w:rsidR="001A5157" w:rsidRPr="007C2C00">
        <w:rPr>
          <w:rFonts w:ascii="Arial" w:hAnsi="Arial" w:cs="Arial"/>
          <w:sz w:val="24"/>
          <w:szCs w:val="24"/>
          <w:lang w:val="en-US"/>
        </w:rPr>
        <w:t>S</w:t>
      </w:r>
      <w:r w:rsidR="00C6004B" w:rsidRPr="007C2C00">
        <w:rPr>
          <w:rFonts w:ascii="Arial" w:hAnsi="Arial" w:cs="Arial"/>
          <w:sz w:val="24"/>
          <w:szCs w:val="24"/>
          <w:lang w:val="en-US"/>
        </w:rPr>
        <w:t xml:space="preserve">tate made out its case beyond a reasonable doubt. </w:t>
      </w:r>
    </w:p>
    <w:p w14:paraId="5FECCC4B" w14:textId="77777777" w:rsidR="005153DD" w:rsidRPr="00841A95" w:rsidRDefault="005153DD" w:rsidP="005153DD">
      <w:pPr>
        <w:pStyle w:val="ListParagraph"/>
        <w:rPr>
          <w:rFonts w:ascii="Arial" w:hAnsi="Arial" w:cs="Arial"/>
          <w:sz w:val="24"/>
          <w:szCs w:val="24"/>
          <w:lang w:val="en-US"/>
        </w:rPr>
      </w:pPr>
    </w:p>
    <w:p w14:paraId="47D20A95" w14:textId="787AAC00" w:rsidR="005153DD"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[25]</w:t>
      </w:r>
      <w:r w:rsidRPr="00841A95">
        <w:rPr>
          <w:rFonts w:ascii="Arial" w:hAnsi="Arial" w:cs="Arial"/>
          <w:sz w:val="24"/>
          <w:szCs w:val="24"/>
          <w:lang w:val="en-US"/>
        </w:rPr>
        <w:tab/>
      </w:r>
      <w:r w:rsidR="005153DD" w:rsidRPr="007C2C00">
        <w:rPr>
          <w:rFonts w:ascii="Arial" w:hAnsi="Arial" w:cs="Arial"/>
          <w:sz w:val="24"/>
          <w:szCs w:val="24"/>
          <w:lang w:val="en-US"/>
        </w:rPr>
        <w:t xml:space="preserve">As a result, I </w:t>
      </w:r>
      <w:r w:rsidR="00940EF5" w:rsidRPr="007C2C00">
        <w:rPr>
          <w:rFonts w:ascii="Arial" w:hAnsi="Arial" w:cs="Arial"/>
          <w:sz w:val="24"/>
          <w:szCs w:val="24"/>
          <w:lang w:val="en-US"/>
        </w:rPr>
        <w:t>believe</w:t>
      </w:r>
      <w:r w:rsidR="005153DD" w:rsidRPr="007C2C00">
        <w:rPr>
          <w:rFonts w:ascii="Arial" w:hAnsi="Arial" w:cs="Arial"/>
          <w:sz w:val="24"/>
          <w:szCs w:val="24"/>
          <w:lang w:val="en-US"/>
        </w:rPr>
        <w:t xml:space="preserve"> that no reasons exist to interfere with the conviction.</w:t>
      </w:r>
    </w:p>
    <w:p w14:paraId="40EF5EC7" w14:textId="77777777" w:rsidR="00083CE3" w:rsidRPr="00841A95" w:rsidRDefault="00083CE3" w:rsidP="00083CE3">
      <w:pPr>
        <w:pStyle w:val="ListParagraph"/>
        <w:tabs>
          <w:tab w:val="left" w:pos="4917"/>
        </w:tabs>
        <w:spacing w:before="120" w:after="120" w:line="360" w:lineRule="auto"/>
        <w:jc w:val="both"/>
        <w:rPr>
          <w:rFonts w:ascii="Arial" w:hAnsi="Arial" w:cs="Arial"/>
          <w:sz w:val="24"/>
          <w:szCs w:val="24"/>
          <w:lang w:val="en-US"/>
        </w:rPr>
      </w:pPr>
    </w:p>
    <w:p w14:paraId="0A4ABB5F" w14:textId="116AE68A" w:rsidR="00CF7EE5" w:rsidRPr="00841A95" w:rsidRDefault="003773F3" w:rsidP="003773F3">
      <w:pPr>
        <w:tabs>
          <w:tab w:val="left" w:pos="4917"/>
        </w:tabs>
        <w:spacing w:before="120" w:after="120" w:line="360" w:lineRule="auto"/>
        <w:jc w:val="both"/>
        <w:rPr>
          <w:rFonts w:ascii="Arial" w:hAnsi="Arial" w:cs="Arial"/>
          <w:sz w:val="24"/>
          <w:szCs w:val="24"/>
          <w:lang w:val="en-US"/>
        </w:rPr>
      </w:pPr>
      <w:r w:rsidRPr="00841A95">
        <w:rPr>
          <w:rFonts w:ascii="Arial" w:hAnsi="Arial" w:cs="Arial"/>
          <w:i/>
          <w:sz w:val="24"/>
          <w:szCs w:val="24"/>
          <w:lang w:val="en-US"/>
        </w:rPr>
        <w:t>Ad sentence</w:t>
      </w:r>
      <w:r w:rsidR="00CF7EE5" w:rsidRPr="00841A95">
        <w:rPr>
          <w:rFonts w:ascii="Arial" w:hAnsi="Arial" w:cs="Arial"/>
          <w:sz w:val="24"/>
          <w:szCs w:val="24"/>
          <w:lang w:val="en-US"/>
        </w:rPr>
        <w:t xml:space="preserve"> </w:t>
      </w:r>
    </w:p>
    <w:p w14:paraId="715ABAA9" w14:textId="77777777" w:rsidR="006C3884" w:rsidRPr="00841A95" w:rsidRDefault="006C3884" w:rsidP="006C3884">
      <w:pPr>
        <w:pStyle w:val="ListParagraph"/>
        <w:rPr>
          <w:rFonts w:ascii="Arial" w:hAnsi="Arial" w:cs="Arial"/>
          <w:sz w:val="24"/>
          <w:szCs w:val="24"/>
          <w:lang w:val="en-US"/>
        </w:rPr>
      </w:pPr>
    </w:p>
    <w:p w14:paraId="473E4D3D" w14:textId="6B675EC1" w:rsidR="006C3884"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[26]</w:t>
      </w:r>
      <w:r w:rsidRPr="00841A95">
        <w:rPr>
          <w:rFonts w:ascii="Arial" w:hAnsi="Arial" w:cs="Arial"/>
          <w:sz w:val="24"/>
          <w:szCs w:val="24"/>
          <w:lang w:val="en-US"/>
        </w:rPr>
        <w:tab/>
      </w:r>
      <w:r w:rsidR="003773F3" w:rsidRPr="007C2C00">
        <w:rPr>
          <w:rFonts w:ascii="Arial" w:hAnsi="Arial" w:cs="Arial"/>
          <w:sz w:val="24"/>
          <w:szCs w:val="24"/>
          <w:lang w:val="en-US"/>
        </w:rPr>
        <w:t xml:space="preserve">The presiding officer imposed a sentence of life imprisonment. She found that no compelling circumstances existed that allowed leniency. </w:t>
      </w:r>
      <w:r w:rsidR="00D85CCF" w:rsidRPr="007C2C00">
        <w:rPr>
          <w:rFonts w:ascii="Arial" w:hAnsi="Arial" w:cs="Arial"/>
          <w:sz w:val="24"/>
          <w:szCs w:val="24"/>
          <w:lang w:val="en-US"/>
        </w:rPr>
        <w:t xml:space="preserve"> The Supreme Court of </w:t>
      </w:r>
      <w:r w:rsidR="00940EF5" w:rsidRPr="007C2C00">
        <w:rPr>
          <w:rFonts w:ascii="Arial" w:hAnsi="Arial" w:cs="Arial"/>
          <w:sz w:val="24"/>
          <w:szCs w:val="24"/>
          <w:lang w:val="en-US"/>
        </w:rPr>
        <w:t>Appeal</w:t>
      </w:r>
      <w:r w:rsidR="00D85CCF" w:rsidRPr="007C2C00">
        <w:rPr>
          <w:rFonts w:ascii="Arial" w:hAnsi="Arial" w:cs="Arial"/>
          <w:sz w:val="24"/>
          <w:szCs w:val="24"/>
          <w:lang w:val="en-US"/>
        </w:rPr>
        <w:t xml:space="preserve"> in </w:t>
      </w:r>
      <w:r w:rsidR="00D85CCF" w:rsidRPr="007C2C00">
        <w:rPr>
          <w:rFonts w:ascii="Arial" w:hAnsi="Arial" w:cs="Arial"/>
          <w:i/>
          <w:sz w:val="24"/>
          <w:szCs w:val="24"/>
          <w:lang w:val="en-US"/>
        </w:rPr>
        <w:t>S v Malgas</w:t>
      </w:r>
      <w:r w:rsidR="00D85CCF" w:rsidRPr="00841A95">
        <w:rPr>
          <w:rStyle w:val="FootnoteReference"/>
          <w:rFonts w:ascii="Arial" w:hAnsi="Arial" w:cs="Arial"/>
          <w:i/>
          <w:sz w:val="24"/>
          <w:szCs w:val="24"/>
          <w:lang w:val="en-US"/>
        </w:rPr>
        <w:footnoteReference w:id="18"/>
      </w:r>
      <w:r w:rsidR="00D85CCF" w:rsidRPr="007C2C00">
        <w:rPr>
          <w:rFonts w:ascii="Arial" w:hAnsi="Arial" w:cs="Arial"/>
          <w:sz w:val="24"/>
          <w:szCs w:val="24"/>
          <w:lang w:val="en-US"/>
        </w:rPr>
        <w:t xml:space="preserve"> held that in determining whether there are substantial and compelling circumstances, a court must be conscious that the Legislature determined that a sentence should ordinarily be imposed for the crime specified. There should be truly convincing reasons to impose a lesser sentence. In </w:t>
      </w:r>
      <w:r w:rsidR="00D85CCF" w:rsidRPr="007C2C00">
        <w:rPr>
          <w:rFonts w:ascii="Arial" w:hAnsi="Arial" w:cs="Arial"/>
          <w:i/>
          <w:sz w:val="24"/>
          <w:szCs w:val="24"/>
          <w:lang w:val="en-US"/>
        </w:rPr>
        <w:t>Sikhipha</w:t>
      </w:r>
      <w:r w:rsidR="00D85CCF" w:rsidRPr="007C2C00">
        <w:rPr>
          <w:rStyle w:val="FootnoteReference"/>
          <w:rFonts w:ascii="Arial" w:hAnsi="Arial" w:cs="Arial"/>
          <w:i/>
          <w:sz w:val="24"/>
          <w:szCs w:val="24"/>
          <w:lang w:val="en-US"/>
        </w:rPr>
        <w:t xml:space="preserve">, </w:t>
      </w:r>
      <w:r w:rsidR="00D85CCF" w:rsidRPr="007C2C00">
        <w:rPr>
          <w:rStyle w:val="FootnoteReference"/>
          <w:rFonts w:ascii="Arial" w:hAnsi="Arial" w:cs="Arial"/>
          <w:sz w:val="24"/>
          <w:szCs w:val="24"/>
          <w:vertAlign w:val="baseline"/>
          <w:lang w:val="en-US"/>
        </w:rPr>
        <w:t>the Supreme Court of Appeal stated that the circumstances that might justify imposing a lesser sentence</w:t>
      </w:r>
      <w:r w:rsidR="00D85CCF" w:rsidRPr="007C2C00">
        <w:rPr>
          <w:rFonts w:ascii="Arial" w:hAnsi="Arial" w:cs="Arial"/>
          <w:sz w:val="24"/>
          <w:szCs w:val="24"/>
          <w:lang w:val="en-US"/>
        </w:rPr>
        <w:t xml:space="preserve"> include the mitigating factors traditionally taken into account in sentencing. These must then be weighed together with aggravating </w:t>
      </w:r>
      <w:r w:rsidR="00AC2736" w:rsidRPr="007C2C00">
        <w:rPr>
          <w:rFonts w:ascii="Arial" w:hAnsi="Arial" w:cs="Arial"/>
          <w:sz w:val="24"/>
          <w:szCs w:val="24"/>
          <w:lang w:val="en-US"/>
        </w:rPr>
        <w:t>circumstances but</w:t>
      </w:r>
      <w:r w:rsidR="00D85CCF" w:rsidRPr="007C2C00">
        <w:rPr>
          <w:rFonts w:ascii="Arial" w:hAnsi="Arial" w:cs="Arial"/>
          <w:sz w:val="24"/>
          <w:szCs w:val="24"/>
          <w:lang w:val="en-US"/>
        </w:rPr>
        <w:t xml:space="preserve"> need not be ‘exceptional.’</w:t>
      </w:r>
    </w:p>
    <w:p w14:paraId="7ADD0E13" w14:textId="77777777" w:rsidR="00D85CCF" w:rsidRPr="00841A95" w:rsidRDefault="00D85CCF" w:rsidP="00D85CCF">
      <w:pPr>
        <w:pStyle w:val="ListParagraph"/>
        <w:tabs>
          <w:tab w:val="left" w:pos="4917"/>
        </w:tabs>
        <w:spacing w:before="120" w:after="120" w:line="360" w:lineRule="auto"/>
        <w:jc w:val="both"/>
        <w:rPr>
          <w:rFonts w:ascii="Arial" w:hAnsi="Arial" w:cs="Arial"/>
          <w:sz w:val="24"/>
          <w:szCs w:val="24"/>
          <w:lang w:val="en-US"/>
        </w:rPr>
      </w:pPr>
    </w:p>
    <w:p w14:paraId="62696162" w14:textId="698BB0DB" w:rsidR="00D85CCF"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[27]</w:t>
      </w:r>
      <w:r w:rsidRPr="00841A95">
        <w:rPr>
          <w:rFonts w:ascii="Arial" w:hAnsi="Arial" w:cs="Arial"/>
          <w:sz w:val="24"/>
          <w:szCs w:val="24"/>
          <w:lang w:val="en-US"/>
        </w:rPr>
        <w:tab/>
      </w:r>
      <w:r w:rsidR="00D85CCF" w:rsidRPr="007C2C00">
        <w:rPr>
          <w:rFonts w:ascii="Arial" w:hAnsi="Arial" w:cs="Arial"/>
          <w:sz w:val="24"/>
          <w:szCs w:val="24"/>
          <w:lang w:val="en-US"/>
        </w:rPr>
        <w:t>In my view, the presiding officer committed a serious misdirection in failing to have regard to the following mitigating factors, the appellant, although a major, was not advanced in years</w:t>
      </w:r>
      <w:r w:rsidR="00841A95" w:rsidRPr="007C2C00">
        <w:rPr>
          <w:rFonts w:ascii="Arial" w:hAnsi="Arial" w:cs="Arial"/>
          <w:sz w:val="24"/>
          <w:szCs w:val="24"/>
          <w:lang w:val="en-US"/>
        </w:rPr>
        <w:t>. By accepting the evidence of the complainant’s mother, the court accepts that</w:t>
      </w:r>
      <w:r w:rsidR="00D85CCF" w:rsidRPr="007C2C00">
        <w:rPr>
          <w:rFonts w:ascii="Arial" w:hAnsi="Arial" w:cs="Arial"/>
          <w:sz w:val="24"/>
          <w:szCs w:val="24"/>
          <w:lang w:val="en-US"/>
        </w:rPr>
        <w:t xml:space="preserve"> alcohol played a role in the commissioning of the crime</w:t>
      </w:r>
      <w:r w:rsidR="00841A95" w:rsidRPr="007C2C00">
        <w:rPr>
          <w:rFonts w:ascii="Arial" w:hAnsi="Arial" w:cs="Arial"/>
          <w:sz w:val="24"/>
          <w:szCs w:val="24"/>
          <w:lang w:val="en-US"/>
        </w:rPr>
        <w:t>. T</w:t>
      </w:r>
      <w:r w:rsidR="00D85CCF" w:rsidRPr="007C2C00">
        <w:rPr>
          <w:rFonts w:ascii="Arial" w:hAnsi="Arial" w:cs="Arial"/>
          <w:sz w:val="24"/>
          <w:szCs w:val="24"/>
          <w:lang w:val="en-US"/>
        </w:rPr>
        <w:t xml:space="preserve">he appellant was a first offender who was his family’s </w:t>
      </w:r>
      <w:r w:rsidR="00617293" w:rsidRPr="007C2C00">
        <w:rPr>
          <w:rFonts w:ascii="Arial" w:hAnsi="Arial" w:cs="Arial"/>
          <w:sz w:val="24"/>
          <w:szCs w:val="24"/>
          <w:lang w:val="en-US"/>
        </w:rPr>
        <w:t>primary</w:t>
      </w:r>
      <w:r w:rsidR="00D85CCF" w:rsidRPr="007C2C00">
        <w:rPr>
          <w:rFonts w:ascii="Arial" w:hAnsi="Arial" w:cs="Arial"/>
          <w:sz w:val="24"/>
          <w:szCs w:val="24"/>
          <w:lang w:val="en-US"/>
        </w:rPr>
        <w:t xml:space="preserve"> breadwinner. </w:t>
      </w:r>
      <w:r w:rsidR="00697FE1" w:rsidRPr="007C2C00">
        <w:rPr>
          <w:rFonts w:ascii="Arial" w:hAnsi="Arial" w:cs="Arial"/>
          <w:sz w:val="24"/>
          <w:szCs w:val="24"/>
          <w:lang w:val="en-US"/>
        </w:rPr>
        <w:t xml:space="preserve">He has attained only </w:t>
      </w:r>
      <w:r w:rsidR="00697FE1" w:rsidRPr="007C2C00">
        <w:rPr>
          <w:rFonts w:ascii="Arial" w:hAnsi="Arial" w:cs="Arial"/>
          <w:sz w:val="24"/>
          <w:szCs w:val="24"/>
          <w:lang w:val="en-US"/>
        </w:rPr>
        <w:lastRenderedPageBreak/>
        <w:t>a low level of education</w:t>
      </w:r>
      <w:r w:rsidR="009D7753" w:rsidRPr="007C2C00">
        <w:rPr>
          <w:rFonts w:ascii="Arial" w:hAnsi="Arial" w:cs="Arial"/>
          <w:sz w:val="24"/>
          <w:szCs w:val="24"/>
          <w:lang w:val="en-US"/>
        </w:rPr>
        <w:t>,</w:t>
      </w:r>
      <w:r w:rsidR="00697FE1" w:rsidRPr="007C2C00">
        <w:rPr>
          <w:rFonts w:ascii="Arial" w:hAnsi="Arial" w:cs="Arial"/>
          <w:sz w:val="24"/>
          <w:szCs w:val="24"/>
          <w:lang w:val="en-US"/>
        </w:rPr>
        <w:t xml:space="preserve"> leaving school after having completed grade 7. Before the incident occurred, he was actively involved in the Apostolic Faith Mission Church and served as the church’s secretary. </w:t>
      </w:r>
      <w:r w:rsidR="00841A95" w:rsidRPr="007C2C00">
        <w:rPr>
          <w:rFonts w:ascii="Arial" w:hAnsi="Arial" w:cs="Arial"/>
          <w:sz w:val="24"/>
          <w:szCs w:val="24"/>
          <w:lang w:val="en-US"/>
        </w:rPr>
        <w:t xml:space="preserve">He </w:t>
      </w:r>
      <w:r w:rsidR="00617293" w:rsidRPr="007C2C00">
        <w:rPr>
          <w:rFonts w:ascii="Arial" w:hAnsi="Arial" w:cs="Arial"/>
          <w:sz w:val="24"/>
          <w:szCs w:val="24"/>
          <w:lang w:val="en-US"/>
        </w:rPr>
        <w:t xml:space="preserve">spent more than a year in custody awaiting trial. </w:t>
      </w:r>
      <w:r w:rsidR="0080353C" w:rsidRPr="007C2C00">
        <w:rPr>
          <w:rFonts w:ascii="Arial" w:hAnsi="Arial" w:cs="Arial"/>
          <w:sz w:val="24"/>
          <w:szCs w:val="24"/>
          <w:lang w:val="en-US"/>
        </w:rPr>
        <w:t>After considering the pre-sentence report, I</w:t>
      </w:r>
      <w:r w:rsidR="00D85CCF" w:rsidRPr="007C2C00">
        <w:rPr>
          <w:rFonts w:ascii="Arial" w:hAnsi="Arial" w:cs="Arial"/>
          <w:sz w:val="24"/>
          <w:szCs w:val="24"/>
          <w:lang w:val="en-US"/>
        </w:rPr>
        <w:t xml:space="preserve"> am of the view that the appellant’s personal circumstances indicate that he </w:t>
      </w:r>
      <w:r w:rsidR="009D7753" w:rsidRPr="007C2C00">
        <w:rPr>
          <w:rFonts w:ascii="Arial" w:hAnsi="Arial" w:cs="Arial"/>
          <w:sz w:val="24"/>
          <w:szCs w:val="24"/>
          <w:lang w:val="en-US"/>
        </w:rPr>
        <w:t>i</w:t>
      </w:r>
      <w:r w:rsidR="00D85CCF" w:rsidRPr="007C2C00">
        <w:rPr>
          <w:rFonts w:ascii="Arial" w:hAnsi="Arial" w:cs="Arial"/>
          <w:sz w:val="24"/>
          <w:szCs w:val="24"/>
          <w:lang w:val="en-US"/>
        </w:rPr>
        <w:t>s capable of rehabilitation. The sentence of life imprisonment must therefore be set aside</w:t>
      </w:r>
      <w:r w:rsidR="00565285" w:rsidRPr="007C2C00">
        <w:rPr>
          <w:rFonts w:ascii="Arial" w:hAnsi="Arial" w:cs="Arial"/>
          <w:sz w:val="24"/>
          <w:szCs w:val="24"/>
          <w:lang w:val="en-US"/>
        </w:rPr>
        <w:t>, and this Court must consider an appropriate sentence mindful of the prescribed minimum sentence the Legislature deemed appropriate for the rape of a child under 16 – life imprisonment.</w:t>
      </w:r>
    </w:p>
    <w:p w14:paraId="55E55FCD" w14:textId="77777777" w:rsidR="00565285" w:rsidRPr="00841A95" w:rsidRDefault="00565285" w:rsidP="00565285">
      <w:pPr>
        <w:pStyle w:val="ListParagraph"/>
        <w:rPr>
          <w:rFonts w:ascii="Arial" w:hAnsi="Arial" w:cs="Arial"/>
          <w:sz w:val="24"/>
          <w:szCs w:val="24"/>
          <w:lang w:val="en-US"/>
        </w:rPr>
      </w:pPr>
    </w:p>
    <w:p w14:paraId="1993272D" w14:textId="460A7F93" w:rsidR="00617293" w:rsidRPr="007C2C00" w:rsidRDefault="007C2C00" w:rsidP="007C2C00">
      <w:pPr>
        <w:tabs>
          <w:tab w:val="left" w:pos="4917"/>
        </w:tabs>
        <w:spacing w:before="120" w:after="120" w:line="360" w:lineRule="auto"/>
        <w:ind w:left="720" w:hanging="720"/>
        <w:jc w:val="both"/>
        <w:rPr>
          <w:rFonts w:ascii="Arial" w:hAnsi="Arial" w:cs="Arial"/>
          <w:sz w:val="24"/>
          <w:szCs w:val="24"/>
          <w:lang w:val="en-US"/>
        </w:rPr>
      </w:pPr>
      <w:r w:rsidRPr="00841A95">
        <w:rPr>
          <w:rFonts w:ascii="Arial" w:hAnsi="Arial" w:cs="Arial"/>
          <w:sz w:val="24"/>
          <w:szCs w:val="24"/>
          <w:lang w:val="en-US"/>
        </w:rPr>
        <w:t>[28]</w:t>
      </w:r>
      <w:r w:rsidRPr="00841A95">
        <w:rPr>
          <w:rFonts w:ascii="Arial" w:hAnsi="Arial" w:cs="Arial"/>
          <w:sz w:val="24"/>
          <w:szCs w:val="24"/>
          <w:lang w:val="en-US"/>
        </w:rPr>
        <w:tab/>
      </w:r>
      <w:r w:rsidR="00565285" w:rsidRPr="007C2C00">
        <w:rPr>
          <w:rFonts w:ascii="Arial" w:hAnsi="Arial" w:cs="Arial"/>
          <w:sz w:val="24"/>
          <w:szCs w:val="24"/>
          <w:lang w:val="en-US"/>
        </w:rPr>
        <w:t xml:space="preserve">Considering the nature of the offence, the interest of society, the impact of the crime on the victim but also the personal circumstances of the accused, and the objectives of sentencing, I am of the view that a lengthy sentence of imprisonment is warranted. I consider that a period of </w:t>
      </w:r>
      <w:r w:rsidR="0080353C" w:rsidRPr="007C2C00">
        <w:rPr>
          <w:rFonts w:ascii="Arial" w:hAnsi="Arial" w:cs="Arial"/>
          <w:sz w:val="24"/>
          <w:szCs w:val="24"/>
          <w:lang w:val="en-US"/>
        </w:rPr>
        <w:t>20</w:t>
      </w:r>
      <w:r w:rsidR="00565285" w:rsidRPr="007C2C00">
        <w:rPr>
          <w:rFonts w:ascii="Arial" w:hAnsi="Arial" w:cs="Arial"/>
          <w:sz w:val="24"/>
          <w:szCs w:val="24"/>
          <w:lang w:val="en-US"/>
        </w:rPr>
        <w:t xml:space="preserve"> year’s imprisonment will send a message to the community that rape will be visited with </w:t>
      </w:r>
      <w:r w:rsidR="00940EF5" w:rsidRPr="007C2C00">
        <w:rPr>
          <w:rFonts w:ascii="Arial" w:hAnsi="Arial" w:cs="Arial"/>
          <w:sz w:val="24"/>
          <w:szCs w:val="24"/>
          <w:lang w:val="en-US"/>
        </w:rPr>
        <w:t>severe</w:t>
      </w:r>
      <w:r w:rsidR="00565285" w:rsidRPr="007C2C00">
        <w:rPr>
          <w:rFonts w:ascii="Arial" w:hAnsi="Arial" w:cs="Arial"/>
          <w:sz w:val="24"/>
          <w:szCs w:val="24"/>
          <w:lang w:val="en-US"/>
        </w:rPr>
        <w:t xml:space="preserve"> punishment. Such a sentence will have a strong deterrent effect</w:t>
      </w:r>
      <w:r w:rsidR="00CE5969" w:rsidRPr="007C2C00">
        <w:rPr>
          <w:rFonts w:ascii="Arial" w:hAnsi="Arial" w:cs="Arial"/>
          <w:sz w:val="24"/>
          <w:szCs w:val="24"/>
          <w:lang w:val="en-US"/>
        </w:rPr>
        <w:t>, whilst accounting for the period the accused was already incarcerated.</w:t>
      </w:r>
      <w:r w:rsidR="0080353C" w:rsidRPr="007C2C00">
        <w:rPr>
          <w:rFonts w:ascii="Arial" w:hAnsi="Arial" w:cs="Arial"/>
          <w:sz w:val="24"/>
          <w:szCs w:val="24"/>
          <w:lang w:val="en-US"/>
        </w:rPr>
        <w:t xml:space="preserve"> I am, however, also of the view that the appellant must attend</w:t>
      </w:r>
      <w:r w:rsidR="009D7753" w:rsidRPr="007C2C00">
        <w:rPr>
          <w:rFonts w:ascii="Arial" w:hAnsi="Arial" w:cs="Arial"/>
          <w:sz w:val="24"/>
          <w:szCs w:val="24"/>
          <w:lang w:val="en-US"/>
        </w:rPr>
        <w:t xml:space="preserve"> </w:t>
      </w:r>
      <w:r w:rsidR="0080353C" w:rsidRPr="007C2C00">
        <w:rPr>
          <w:rFonts w:ascii="Arial" w:hAnsi="Arial" w:cs="Arial"/>
          <w:sz w:val="24"/>
          <w:szCs w:val="24"/>
          <w:lang w:val="en-US"/>
        </w:rPr>
        <w:t xml:space="preserve">a rehabilitation </w:t>
      </w:r>
      <w:r w:rsidR="009D7753" w:rsidRPr="007C2C00">
        <w:rPr>
          <w:rFonts w:ascii="Arial" w:hAnsi="Arial" w:cs="Arial"/>
          <w:sz w:val="24"/>
          <w:szCs w:val="24"/>
          <w:lang w:val="en-US"/>
        </w:rPr>
        <w:t>program for sexual offenders and that a portion of his sentence can be suspended if he successfully completes a program</w:t>
      </w:r>
      <w:r w:rsidR="0080353C" w:rsidRPr="007C2C00">
        <w:rPr>
          <w:rFonts w:ascii="Arial" w:hAnsi="Arial" w:cs="Arial"/>
          <w:sz w:val="24"/>
          <w:szCs w:val="24"/>
          <w:lang w:val="en-US"/>
        </w:rPr>
        <w:t xml:space="preserve"> for sexual offenders.</w:t>
      </w:r>
      <w:r w:rsidR="001178FA" w:rsidRPr="007C2C00">
        <w:rPr>
          <w:rFonts w:ascii="Arial" w:hAnsi="Arial" w:cs="Arial"/>
          <w:sz w:val="24"/>
          <w:szCs w:val="24"/>
          <w:lang w:val="en-US"/>
        </w:rPr>
        <w:t xml:space="preserve"> Suspending a portion of the sentence</w:t>
      </w:r>
      <w:r w:rsidR="009A7B28" w:rsidRPr="007C2C00">
        <w:rPr>
          <w:rFonts w:ascii="Arial" w:hAnsi="Arial" w:cs="Arial"/>
          <w:sz w:val="24"/>
          <w:szCs w:val="24"/>
          <w:lang w:val="en-US"/>
        </w:rPr>
        <w:t xml:space="preserve"> subject to the imposed conditions</w:t>
      </w:r>
      <w:r w:rsidR="001178FA" w:rsidRPr="007C2C00">
        <w:rPr>
          <w:rFonts w:ascii="Arial" w:hAnsi="Arial" w:cs="Arial"/>
          <w:sz w:val="24"/>
          <w:szCs w:val="24"/>
          <w:lang w:val="en-US"/>
        </w:rPr>
        <w:t xml:space="preserve"> will have a rehabilitative and deterrent effect.</w:t>
      </w:r>
    </w:p>
    <w:p w14:paraId="04B8904E" w14:textId="77777777" w:rsidR="006F4AB1" w:rsidRPr="00841A95" w:rsidRDefault="006F4AB1" w:rsidP="006F4AB1">
      <w:pPr>
        <w:pStyle w:val="ListParagraph"/>
        <w:rPr>
          <w:rFonts w:ascii="Arial" w:hAnsi="Arial" w:cs="Arial"/>
          <w:sz w:val="24"/>
          <w:szCs w:val="24"/>
          <w:lang w:val="en-US"/>
        </w:rPr>
      </w:pPr>
    </w:p>
    <w:p w14:paraId="3C89FD3F" w14:textId="75285249" w:rsidR="00CF7942" w:rsidRPr="00841A95" w:rsidRDefault="00CF7942" w:rsidP="00377FDC">
      <w:pPr>
        <w:tabs>
          <w:tab w:val="left" w:pos="4917"/>
        </w:tabs>
        <w:spacing w:before="120" w:after="120" w:line="360" w:lineRule="auto"/>
        <w:jc w:val="both"/>
        <w:rPr>
          <w:rFonts w:ascii="Arial" w:hAnsi="Arial" w:cs="Arial"/>
          <w:b/>
          <w:sz w:val="24"/>
          <w:szCs w:val="24"/>
        </w:rPr>
      </w:pPr>
      <w:r w:rsidRPr="00841A95">
        <w:rPr>
          <w:rFonts w:ascii="Arial" w:hAnsi="Arial" w:cs="Arial"/>
          <w:b/>
          <w:sz w:val="24"/>
          <w:szCs w:val="24"/>
        </w:rPr>
        <w:t>ORDER</w:t>
      </w:r>
    </w:p>
    <w:p w14:paraId="2A15CA90" w14:textId="29B85E96" w:rsidR="00CF7942" w:rsidRPr="00841A95" w:rsidRDefault="00CF7942" w:rsidP="00CF7942">
      <w:pPr>
        <w:tabs>
          <w:tab w:val="left" w:pos="4917"/>
        </w:tabs>
        <w:spacing w:before="120" w:after="120" w:line="360" w:lineRule="auto"/>
        <w:jc w:val="both"/>
        <w:rPr>
          <w:rFonts w:ascii="Arial" w:hAnsi="Arial" w:cs="Arial"/>
          <w:b/>
          <w:sz w:val="24"/>
          <w:szCs w:val="24"/>
        </w:rPr>
      </w:pPr>
      <w:r w:rsidRPr="00841A95">
        <w:rPr>
          <w:rFonts w:ascii="Arial" w:hAnsi="Arial" w:cs="Arial"/>
          <w:b/>
          <w:sz w:val="24"/>
          <w:szCs w:val="24"/>
        </w:rPr>
        <w:t>In the result, the following order is granted:</w:t>
      </w:r>
    </w:p>
    <w:p w14:paraId="2111741D" w14:textId="55D7F7A4" w:rsidR="006F4AB1" w:rsidRPr="007C2C00" w:rsidRDefault="007C2C00" w:rsidP="007C2C00">
      <w:pPr>
        <w:tabs>
          <w:tab w:val="left" w:pos="4917"/>
        </w:tabs>
        <w:spacing w:before="120" w:after="120" w:line="360" w:lineRule="auto"/>
        <w:ind w:left="360" w:hanging="360"/>
        <w:jc w:val="both"/>
        <w:rPr>
          <w:rFonts w:ascii="Arial" w:hAnsi="Arial" w:cs="Arial"/>
          <w:b/>
          <w:sz w:val="24"/>
          <w:szCs w:val="24"/>
        </w:rPr>
      </w:pPr>
      <w:r w:rsidRPr="00841A95">
        <w:rPr>
          <w:rFonts w:ascii="Arial" w:hAnsi="Arial" w:cs="Arial"/>
          <w:b/>
          <w:sz w:val="24"/>
          <w:szCs w:val="24"/>
        </w:rPr>
        <w:t>1.</w:t>
      </w:r>
      <w:r w:rsidRPr="00841A95">
        <w:rPr>
          <w:rFonts w:ascii="Arial" w:hAnsi="Arial" w:cs="Arial"/>
          <w:b/>
          <w:sz w:val="24"/>
          <w:szCs w:val="24"/>
        </w:rPr>
        <w:tab/>
      </w:r>
      <w:r w:rsidR="006F4AB1" w:rsidRPr="007C2C00">
        <w:rPr>
          <w:rFonts w:ascii="Arial" w:hAnsi="Arial" w:cs="Arial"/>
          <w:b/>
          <w:sz w:val="24"/>
          <w:szCs w:val="24"/>
        </w:rPr>
        <w:t>The appeal against the conviction is dismissed.</w:t>
      </w:r>
    </w:p>
    <w:p w14:paraId="2C034072" w14:textId="429571C0" w:rsidR="006F4AB1" w:rsidRPr="007C2C00" w:rsidRDefault="007C2C00" w:rsidP="007C2C00">
      <w:pPr>
        <w:tabs>
          <w:tab w:val="left" w:pos="4917"/>
        </w:tabs>
        <w:spacing w:before="120" w:after="120" w:line="360" w:lineRule="auto"/>
        <w:ind w:left="360" w:hanging="360"/>
        <w:jc w:val="both"/>
        <w:rPr>
          <w:rFonts w:ascii="Arial" w:hAnsi="Arial" w:cs="Arial"/>
          <w:b/>
          <w:sz w:val="24"/>
          <w:szCs w:val="24"/>
        </w:rPr>
      </w:pPr>
      <w:r w:rsidRPr="00841A95">
        <w:rPr>
          <w:rFonts w:ascii="Arial" w:hAnsi="Arial" w:cs="Arial"/>
          <w:b/>
          <w:sz w:val="24"/>
          <w:szCs w:val="24"/>
        </w:rPr>
        <w:t>2.</w:t>
      </w:r>
      <w:r w:rsidRPr="00841A95">
        <w:rPr>
          <w:rFonts w:ascii="Arial" w:hAnsi="Arial" w:cs="Arial"/>
          <w:b/>
          <w:sz w:val="24"/>
          <w:szCs w:val="24"/>
        </w:rPr>
        <w:tab/>
      </w:r>
      <w:r w:rsidR="006F4AB1" w:rsidRPr="007C2C00">
        <w:rPr>
          <w:rFonts w:ascii="Arial" w:hAnsi="Arial" w:cs="Arial"/>
          <w:b/>
          <w:sz w:val="24"/>
          <w:szCs w:val="24"/>
        </w:rPr>
        <w:t>The appeal against the sentence is upheld.</w:t>
      </w:r>
    </w:p>
    <w:p w14:paraId="207AC602" w14:textId="5F62B371" w:rsidR="009D7753" w:rsidRPr="007C2C00" w:rsidRDefault="007C2C00" w:rsidP="007C2C00">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6F4AB1" w:rsidRPr="007C2C00">
        <w:rPr>
          <w:rFonts w:ascii="Arial" w:hAnsi="Arial" w:cs="Arial"/>
          <w:b/>
          <w:sz w:val="24"/>
          <w:szCs w:val="24"/>
        </w:rPr>
        <w:t>The sentence imposed by the Court below is set aside and replaced by the following:</w:t>
      </w:r>
    </w:p>
    <w:p w14:paraId="054B1D24" w14:textId="4FA25DAA" w:rsidR="0080353C" w:rsidRDefault="0080353C" w:rsidP="009D7753">
      <w:pPr>
        <w:pStyle w:val="ListParagraph"/>
        <w:tabs>
          <w:tab w:val="left" w:pos="4917"/>
        </w:tabs>
        <w:spacing w:before="120" w:after="120" w:line="360" w:lineRule="auto"/>
        <w:ind w:left="360"/>
        <w:jc w:val="both"/>
        <w:rPr>
          <w:rFonts w:ascii="Arial" w:hAnsi="Arial" w:cs="Arial"/>
          <w:b/>
          <w:sz w:val="24"/>
          <w:szCs w:val="24"/>
        </w:rPr>
      </w:pPr>
      <w:r>
        <w:rPr>
          <w:rFonts w:ascii="Arial" w:hAnsi="Arial" w:cs="Arial"/>
          <w:b/>
          <w:sz w:val="24"/>
          <w:szCs w:val="24"/>
        </w:rPr>
        <w:t>‘</w:t>
      </w:r>
      <w:r w:rsidR="00617293" w:rsidRPr="0080353C">
        <w:rPr>
          <w:rFonts w:ascii="Arial" w:hAnsi="Arial" w:cs="Arial"/>
          <w:b/>
          <w:sz w:val="24"/>
          <w:szCs w:val="24"/>
        </w:rPr>
        <w:t xml:space="preserve">The accused is sentenced to </w:t>
      </w:r>
      <w:r w:rsidRPr="0080353C">
        <w:rPr>
          <w:rFonts w:ascii="Arial" w:hAnsi="Arial" w:cs="Arial"/>
          <w:b/>
          <w:sz w:val="24"/>
          <w:szCs w:val="24"/>
        </w:rPr>
        <w:t>twenty</w:t>
      </w:r>
      <w:r w:rsidR="00617293" w:rsidRPr="0080353C">
        <w:rPr>
          <w:rFonts w:ascii="Arial" w:hAnsi="Arial" w:cs="Arial"/>
          <w:b/>
          <w:sz w:val="24"/>
          <w:szCs w:val="24"/>
        </w:rPr>
        <w:t xml:space="preserve"> years’ imprisonment</w:t>
      </w:r>
      <w:r w:rsidRPr="0080353C">
        <w:rPr>
          <w:rFonts w:ascii="Arial" w:hAnsi="Arial" w:cs="Arial"/>
          <w:b/>
          <w:sz w:val="24"/>
          <w:szCs w:val="24"/>
        </w:rPr>
        <w:t xml:space="preserve">, of which </w:t>
      </w:r>
      <w:r w:rsidR="001178FA">
        <w:rPr>
          <w:rFonts w:ascii="Arial" w:hAnsi="Arial" w:cs="Arial"/>
          <w:b/>
          <w:sz w:val="24"/>
          <w:szCs w:val="24"/>
        </w:rPr>
        <w:t>five</w:t>
      </w:r>
      <w:r w:rsidRPr="0080353C">
        <w:rPr>
          <w:rFonts w:ascii="Arial" w:hAnsi="Arial" w:cs="Arial"/>
          <w:b/>
          <w:sz w:val="24"/>
          <w:szCs w:val="24"/>
        </w:rPr>
        <w:t xml:space="preserve"> years are suspended for a period of </w:t>
      </w:r>
      <w:r w:rsidR="001178FA">
        <w:rPr>
          <w:rFonts w:ascii="Arial" w:hAnsi="Arial" w:cs="Arial"/>
          <w:b/>
          <w:sz w:val="24"/>
          <w:szCs w:val="24"/>
        </w:rPr>
        <w:t>five</w:t>
      </w:r>
      <w:r w:rsidRPr="0080353C">
        <w:rPr>
          <w:rFonts w:ascii="Arial" w:hAnsi="Arial" w:cs="Arial"/>
          <w:b/>
          <w:sz w:val="24"/>
          <w:szCs w:val="24"/>
        </w:rPr>
        <w:t xml:space="preserve"> years, subject thereto that:</w:t>
      </w:r>
    </w:p>
    <w:p w14:paraId="3E021CF5" w14:textId="341EFADC" w:rsidR="005B79E2" w:rsidRPr="007C2C00" w:rsidRDefault="007C2C00" w:rsidP="007C2C00">
      <w:pPr>
        <w:tabs>
          <w:tab w:val="left" w:pos="4917"/>
        </w:tabs>
        <w:spacing w:before="120" w:after="120" w:line="360" w:lineRule="auto"/>
        <w:ind w:left="792" w:hanging="432"/>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r>
      <w:r w:rsidR="0080353C" w:rsidRPr="007C2C00">
        <w:rPr>
          <w:rFonts w:ascii="Arial" w:hAnsi="Arial" w:cs="Arial"/>
          <w:b/>
          <w:sz w:val="24"/>
          <w:szCs w:val="24"/>
        </w:rPr>
        <w:t xml:space="preserve">The accused </w:t>
      </w:r>
      <w:r w:rsidR="009D7753" w:rsidRPr="007C2C00">
        <w:rPr>
          <w:rFonts w:ascii="Arial" w:hAnsi="Arial" w:cs="Arial"/>
          <w:b/>
          <w:sz w:val="24"/>
          <w:szCs w:val="24"/>
        </w:rPr>
        <w:t>participates and completes</w:t>
      </w:r>
      <w:r w:rsidR="0080353C" w:rsidRPr="007C2C00">
        <w:rPr>
          <w:rFonts w:ascii="Arial" w:hAnsi="Arial" w:cs="Arial"/>
          <w:b/>
          <w:sz w:val="24"/>
          <w:szCs w:val="24"/>
        </w:rPr>
        <w:t xml:space="preserve"> a </w:t>
      </w:r>
      <w:r w:rsidR="009D7753" w:rsidRPr="007C2C00">
        <w:rPr>
          <w:rFonts w:ascii="Arial" w:hAnsi="Arial" w:cs="Arial"/>
          <w:b/>
          <w:sz w:val="24"/>
          <w:szCs w:val="24"/>
        </w:rPr>
        <w:t>program</w:t>
      </w:r>
      <w:r w:rsidR="0080353C" w:rsidRPr="007C2C00">
        <w:rPr>
          <w:rFonts w:ascii="Arial" w:hAnsi="Arial" w:cs="Arial"/>
          <w:b/>
          <w:sz w:val="24"/>
          <w:szCs w:val="24"/>
        </w:rPr>
        <w:t xml:space="preserve"> for sexual offenders presented at the facility where he is serving his sentence</w:t>
      </w:r>
      <w:r w:rsidR="005B79E2" w:rsidRPr="007C2C00">
        <w:rPr>
          <w:rFonts w:ascii="Arial" w:hAnsi="Arial" w:cs="Arial"/>
          <w:b/>
          <w:sz w:val="24"/>
          <w:szCs w:val="24"/>
        </w:rPr>
        <w:t>; and</w:t>
      </w:r>
    </w:p>
    <w:p w14:paraId="46F40B6D" w14:textId="5A6F0B7C" w:rsidR="00617293" w:rsidRPr="007C2C00" w:rsidRDefault="007C2C00" w:rsidP="007C2C00">
      <w:pPr>
        <w:tabs>
          <w:tab w:val="left" w:pos="4917"/>
        </w:tabs>
        <w:spacing w:before="120" w:after="120" w:line="360" w:lineRule="auto"/>
        <w:ind w:left="792" w:hanging="432"/>
        <w:jc w:val="both"/>
        <w:rPr>
          <w:rFonts w:ascii="Arial" w:hAnsi="Arial" w:cs="Arial"/>
          <w:b/>
          <w:sz w:val="24"/>
          <w:szCs w:val="24"/>
        </w:rPr>
      </w:pPr>
      <w:r w:rsidRPr="0080353C">
        <w:rPr>
          <w:rFonts w:ascii="Arial" w:hAnsi="Arial" w:cs="Arial"/>
          <w:b/>
          <w:sz w:val="24"/>
          <w:szCs w:val="24"/>
        </w:rPr>
        <w:t>(ii)</w:t>
      </w:r>
      <w:r w:rsidRPr="0080353C">
        <w:rPr>
          <w:rFonts w:ascii="Arial" w:hAnsi="Arial" w:cs="Arial"/>
          <w:b/>
          <w:sz w:val="24"/>
          <w:szCs w:val="24"/>
        </w:rPr>
        <w:tab/>
      </w:r>
      <w:r w:rsidR="005B79E2" w:rsidRPr="007C2C00">
        <w:rPr>
          <w:rFonts w:ascii="Arial" w:hAnsi="Arial" w:cs="Arial"/>
          <w:b/>
          <w:sz w:val="24"/>
          <w:szCs w:val="24"/>
        </w:rPr>
        <w:t>The accused is not convicted of any crime involving elements of violence or sexual misconduct during the period of suspension;</w:t>
      </w:r>
      <w:r w:rsidR="00617293" w:rsidRPr="007C2C00">
        <w:rPr>
          <w:rFonts w:ascii="Arial" w:hAnsi="Arial" w:cs="Arial"/>
          <w:b/>
          <w:sz w:val="24"/>
          <w:szCs w:val="24"/>
        </w:rPr>
        <w:t>’</w:t>
      </w:r>
    </w:p>
    <w:p w14:paraId="1F170243" w14:textId="68FB0F00" w:rsidR="00617293" w:rsidRPr="007C2C00" w:rsidRDefault="007C2C00" w:rsidP="007C2C00">
      <w:pPr>
        <w:tabs>
          <w:tab w:val="left" w:pos="4917"/>
        </w:tabs>
        <w:spacing w:before="120" w:after="120" w:line="360" w:lineRule="auto"/>
        <w:ind w:left="360" w:hanging="360"/>
        <w:jc w:val="both"/>
        <w:rPr>
          <w:rFonts w:ascii="Arial" w:hAnsi="Arial" w:cs="Arial"/>
          <w:b/>
          <w:sz w:val="24"/>
          <w:szCs w:val="24"/>
        </w:rPr>
      </w:pPr>
      <w:r w:rsidRPr="00841A95">
        <w:rPr>
          <w:rFonts w:ascii="Arial" w:hAnsi="Arial" w:cs="Arial"/>
          <w:b/>
          <w:sz w:val="24"/>
          <w:szCs w:val="24"/>
        </w:rPr>
        <w:t>4.</w:t>
      </w:r>
      <w:r w:rsidRPr="00841A95">
        <w:rPr>
          <w:rFonts w:ascii="Arial" w:hAnsi="Arial" w:cs="Arial"/>
          <w:b/>
          <w:sz w:val="24"/>
          <w:szCs w:val="24"/>
        </w:rPr>
        <w:tab/>
      </w:r>
      <w:r w:rsidR="00617293" w:rsidRPr="007C2C00">
        <w:rPr>
          <w:rFonts w:ascii="Arial" w:hAnsi="Arial" w:cs="Arial"/>
          <w:b/>
          <w:sz w:val="24"/>
          <w:szCs w:val="24"/>
        </w:rPr>
        <w:t>The sentence is antedated to 2 February 2015.</w:t>
      </w:r>
    </w:p>
    <w:p w14:paraId="7AA616A9" w14:textId="77777777" w:rsidR="002049D9" w:rsidRPr="00841A95"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841A95"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1951A367" w:rsidR="004F3075" w:rsidRPr="00841A95" w:rsidRDefault="004F3075" w:rsidP="002F1742">
      <w:pPr>
        <w:pStyle w:val="ListParagraph"/>
        <w:tabs>
          <w:tab w:val="left" w:pos="4917"/>
        </w:tabs>
        <w:spacing w:before="120" w:after="120" w:line="240" w:lineRule="auto"/>
        <w:ind w:left="907"/>
        <w:jc w:val="right"/>
        <w:rPr>
          <w:rFonts w:ascii="Arial" w:hAnsi="Arial" w:cs="Arial"/>
          <w:sz w:val="24"/>
          <w:szCs w:val="24"/>
        </w:rPr>
      </w:pPr>
      <w:r w:rsidRPr="00841A95">
        <w:rPr>
          <w:rFonts w:ascii="Arial" w:hAnsi="Arial" w:cs="Arial"/>
          <w:sz w:val="24"/>
          <w:szCs w:val="24"/>
        </w:rPr>
        <w:t>___________________________</w:t>
      </w:r>
    </w:p>
    <w:p w14:paraId="316A0066" w14:textId="75E8E03E" w:rsidR="009C6441" w:rsidRPr="00841A95" w:rsidRDefault="009C6441" w:rsidP="002F1742">
      <w:pPr>
        <w:pStyle w:val="ListParagraph"/>
        <w:tabs>
          <w:tab w:val="left" w:pos="4917"/>
        </w:tabs>
        <w:spacing w:before="120" w:after="120" w:line="240" w:lineRule="auto"/>
        <w:ind w:left="907"/>
        <w:jc w:val="right"/>
        <w:rPr>
          <w:rFonts w:ascii="Arial" w:hAnsi="Arial" w:cs="Arial"/>
          <w:sz w:val="24"/>
          <w:szCs w:val="24"/>
        </w:rPr>
      </w:pPr>
      <w:r w:rsidRPr="00841A95">
        <w:rPr>
          <w:rFonts w:ascii="Arial" w:hAnsi="Arial" w:cs="Arial"/>
          <w:sz w:val="24"/>
          <w:szCs w:val="24"/>
        </w:rPr>
        <w:t>E van der Sc</w:t>
      </w:r>
      <w:r w:rsidR="00C85FE2" w:rsidRPr="00841A95">
        <w:rPr>
          <w:rFonts w:ascii="Arial" w:hAnsi="Arial" w:cs="Arial"/>
          <w:sz w:val="24"/>
          <w:szCs w:val="24"/>
        </w:rPr>
        <w:t>hyff</w:t>
      </w:r>
    </w:p>
    <w:p w14:paraId="6661EF95" w14:textId="4CECF79F" w:rsidR="009C6441" w:rsidRPr="00841A95" w:rsidRDefault="009C6441" w:rsidP="002F1742">
      <w:pPr>
        <w:tabs>
          <w:tab w:val="left" w:pos="4917"/>
        </w:tabs>
        <w:spacing w:before="120" w:after="120" w:line="240" w:lineRule="auto"/>
        <w:ind w:left="357"/>
        <w:jc w:val="right"/>
        <w:rPr>
          <w:rFonts w:ascii="Arial" w:hAnsi="Arial" w:cs="Arial"/>
          <w:sz w:val="24"/>
          <w:szCs w:val="24"/>
        </w:rPr>
      </w:pPr>
      <w:r w:rsidRPr="00841A95">
        <w:rPr>
          <w:rFonts w:ascii="Arial" w:hAnsi="Arial" w:cs="Arial"/>
          <w:sz w:val="24"/>
          <w:szCs w:val="24"/>
        </w:rPr>
        <w:t>Judge of t</w:t>
      </w:r>
      <w:r w:rsidR="00B7783F" w:rsidRPr="00841A95">
        <w:rPr>
          <w:rFonts w:ascii="Arial" w:hAnsi="Arial" w:cs="Arial"/>
          <w:sz w:val="24"/>
          <w:szCs w:val="24"/>
        </w:rPr>
        <w:t>he High Court</w:t>
      </w:r>
    </w:p>
    <w:p w14:paraId="39E46022" w14:textId="0948DC3C" w:rsidR="006F4AB1" w:rsidRPr="00841A95" w:rsidRDefault="006F4AB1" w:rsidP="002F1742">
      <w:pPr>
        <w:tabs>
          <w:tab w:val="left" w:pos="4917"/>
        </w:tabs>
        <w:spacing w:before="120" w:after="120" w:line="240" w:lineRule="auto"/>
        <w:ind w:left="357"/>
        <w:jc w:val="right"/>
        <w:rPr>
          <w:rFonts w:ascii="Arial" w:hAnsi="Arial" w:cs="Arial"/>
          <w:sz w:val="24"/>
          <w:szCs w:val="24"/>
        </w:rPr>
      </w:pPr>
    </w:p>
    <w:p w14:paraId="4B35A225" w14:textId="4E67D60C" w:rsidR="006F4AB1" w:rsidRPr="00841A95" w:rsidRDefault="006F4AB1" w:rsidP="006F4AB1">
      <w:pPr>
        <w:tabs>
          <w:tab w:val="left" w:pos="4917"/>
        </w:tabs>
        <w:spacing w:before="120" w:after="120" w:line="240" w:lineRule="auto"/>
        <w:ind w:left="357"/>
        <w:rPr>
          <w:rFonts w:ascii="Arial" w:hAnsi="Arial" w:cs="Arial"/>
          <w:sz w:val="24"/>
          <w:szCs w:val="24"/>
        </w:rPr>
      </w:pPr>
      <w:r w:rsidRPr="00841A95">
        <w:rPr>
          <w:rFonts w:ascii="Arial" w:hAnsi="Arial" w:cs="Arial"/>
          <w:sz w:val="24"/>
          <w:szCs w:val="24"/>
        </w:rPr>
        <w:t>I agree</w:t>
      </w:r>
    </w:p>
    <w:p w14:paraId="008B6EB1" w14:textId="00223819" w:rsidR="006F4AB1" w:rsidRPr="00841A95" w:rsidRDefault="006F4AB1" w:rsidP="006F4AB1">
      <w:pPr>
        <w:tabs>
          <w:tab w:val="left" w:pos="4917"/>
        </w:tabs>
        <w:spacing w:before="120" w:after="120" w:line="240" w:lineRule="auto"/>
        <w:ind w:left="357"/>
        <w:rPr>
          <w:rFonts w:ascii="Arial" w:hAnsi="Arial" w:cs="Arial"/>
          <w:sz w:val="24"/>
          <w:szCs w:val="24"/>
        </w:rPr>
      </w:pPr>
    </w:p>
    <w:p w14:paraId="06F2F07D" w14:textId="77777777" w:rsidR="006F4AB1" w:rsidRPr="00841A95" w:rsidRDefault="006F4AB1" w:rsidP="006F4AB1">
      <w:pPr>
        <w:pStyle w:val="ListParagraph"/>
        <w:tabs>
          <w:tab w:val="left" w:pos="4917"/>
        </w:tabs>
        <w:spacing w:before="120" w:after="120" w:line="240" w:lineRule="auto"/>
        <w:ind w:left="907"/>
        <w:jc w:val="right"/>
        <w:rPr>
          <w:rFonts w:ascii="Arial" w:hAnsi="Arial" w:cs="Arial"/>
          <w:sz w:val="24"/>
          <w:szCs w:val="24"/>
        </w:rPr>
      </w:pPr>
      <w:r w:rsidRPr="00841A95">
        <w:rPr>
          <w:rFonts w:ascii="Arial" w:hAnsi="Arial" w:cs="Arial"/>
          <w:sz w:val="24"/>
          <w:szCs w:val="24"/>
        </w:rPr>
        <w:t>___________________________</w:t>
      </w:r>
    </w:p>
    <w:p w14:paraId="31009107" w14:textId="12197423" w:rsidR="006F4AB1" w:rsidRPr="00841A95" w:rsidRDefault="00DF54B8" w:rsidP="006F4AB1">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J </w:t>
      </w:r>
      <w:r w:rsidR="006F4AB1" w:rsidRPr="00841A95">
        <w:rPr>
          <w:rFonts w:ascii="Arial" w:hAnsi="Arial" w:cs="Arial"/>
          <w:sz w:val="24"/>
          <w:szCs w:val="24"/>
        </w:rPr>
        <w:t>A Kok</w:t>
      </w:r>
    </w:p>
    <w:p w14:paraId="7DC8740F" w14:textId="6AE588CF" w:rsidR="006F4AB1" w:rsidRPr="00841A95" w:rsidRDefault="006F4AB1" w:rsidP="006F4AB1">
      <w:pPr>
        <w:tabs>
          <w:tab w:val="left" w:pos="4917"/>
        </w:tabs>
        <w:spacing w:before="120" w:after="120" w:line="240" w:lineRule="auto"/>
        <w:ind w:left="357"/>
        <w:jc w:val="right"/>
        <w:rPr>
          <w:rFonts w:ascii="Arial" w:hAnsi="Arial" w:cs="Arial"/>
          <w:sz w:val="24"/>
          <w:szCs w:val="24"/>
        </w:rPr>
      </w:pPr>
      <w:r w:rsidRPr="00841A95">
        <w:rPr>
          <w:rFonts w:ascii="Arial" w:hAnsi="Arial" w:cs="Arial"/>
          <w:sz w:val="24"/>
          <w:szCs w:val="24"/>
        </w:rPr>
        <w:t>Acting Judge of the High Court</w:t>
      </w:r>
    </w:p>
    <w:p w14:paraId="3BCEC89D" w14:textId="77777777" w:rsidR="006F4AB1" w:rsidRPr="00841A95" w:rsidRDefault="006F4AB1" w:rsidP="006F4AB1">
      <w:pPr>
        <w:tabs>
          <w:tab w:val="left" w:pos="4917"/>
        </w:tabs>
        <w:spacing w:before="120" w:after="120" w:line="240" w:lineRule="auto"/>
        <w:ind w:left="357"/>
        <w:rPr>
          <w:rFonts w:ascii="Arial" w:hAnsi="Arial" w:cs="Arial"/>
          <w:sz w:val="24"/>
          <w:szCs w:val="24"/>
        </w:rPr>
      </w:pPr>
    </w:p>
    <w:p w14:paraId="7C3020C9" w14:textId="77777777" w:rsidR="00A42BDA" w:rsidRPr="00841A95" w:rsidRDefault="00A42BDA" w:rsidP="003649CD">
      <w:pPr>
        <w:tabs>
          <w:tab w:val="left" w:pos="4917"/>
        </w:tabs>
        <w:spacing w:after="0" w:line="360" w:lineRule="auto"/>
        <w:ind w:left="357"/>
        <w:rPr>
          <w:rFonts w:ascii="Arial" w:hAnsi="Arial" w:cs="Arial"/>
          <w:sz w:val="24"/>
          <w:szCs w:val="24"/>
        </w:rPr>
      </w:pPr>
    </w:p>
    <w:p w14:paraId="33317977" w14:textId="787CC318" w:rsidR="002B0D1E" w:rsidRPr="00841A95" w:rsidRDefault="002B0D1E" w:rsidP="002B0D1E">
      <w:pPr>
        <w:tabs>
          <w:tab w:val="left" w:pos="4917"/>
        </w:tabs>
        <w:spacing w:after="0" w:line="360" w:lineRule="auto"/>
        <w:ind w:left="357"/>
        <w:jc w:val="both"/>
        <w:rPr>
          <w:rFonts w:ascii="Arial" w:hAnsi="Arial" w:cs="Arial"/>
          <w:sz w:val="24"/>
          <w:szCs w:val="24"/>
        </w:rPr>
      </w:pPr>
      <w:r w:rsidRPr="00841A95">
        <w:rPr>
          <w:rFonts w:ascii="Arial" w:eastAsia="Arial Unicode MS" w:hAnsi="Arial" w:cs="Arial"/>
          <w:bCs/>
        </w:rPr>
        <w:t xml:space="preserve">Delivered:  This judgement is handed down electronically by uploading it to the electronic file of this matter on CaseLines. </w:t>
      </w:r>
      <w:r w:rsidR="00940EF5" w:rsidRPr="00841A95">
        <w:rPr>
          <w:rFonts w:ascii="Arial" w:eastAsia="Arial Unicode MS" w:hAnsi="Arial" w:cs="Arial"/>
          <w:bCs/>
        </w:rPr>
        <w:t>It will be emailed to the parties/their legal representatives as a courtesy gesture</w:t>
      </w:r>
      <w:r w:rsidR="00BD696A" w:rsidRPr="00841A95">
        <w:rPr>
          <w:rFonts w:ascii="Arial" w:eastAsia="Arial Unicode MS" w:hAnsi="Arial" w:cs="Arial"/>
          <w:bCs/>
        </w:rPr>
        <w:t xml:space="preserve">. </w:t>
      </w:r>
    </w:p>
    <w:p w14:paraId="13B2B5F7" w14:textId="77777777" w:rsidR="00A42BDA" w:rsidRPr="00841A95" w:rsidRDefault="00A42BDA" w:rsidP="003649CD">
      <w:pPr>
        <w:tabs>
          <w:tab w:val="left" w:pos="4917"/>
        </w:tabs>
        <w:spacing w:after="0" w:line="360" w:lineRule="auto"/>
        <w:ind w:left="357"/>
        <w:rPr>
          <w:rFonts w:ascii="Arial" w:hAnsi="Arial" w:cs="Arial"/>
          <w:sz w:val="24"/>
          <w:szCs w:val="24"/>
        </w:rPr>
      </w:pPr>
    </w:p>
    <w:p w14:paraId="7A195AD0" w14:textId="38FEBA4F" w:rsidR="00A931CC" w:rsidRPr="00841A95" w:rsidRDefault="002C7989" w:rsidP="00CE3E3F">
      <w:pPr>
        <w:tabs>
          <w:tab w:val="left" w:pos="4917"/>
        </w:tabs>
        <w:spacing w:after="0" w:line="360" w:lineRule="auto"/>
        <w:ind w:left="357"/>
        <w:rPr>
          <w:rFonts w:ascii="Arial" w:hAnsi="Arial" w:cs="Arial"/>
          <w:sz w:val="24"/>
          <w:szCs w:val="24"/>
        </w:rPr>
      </w:pPr>
      <w:r w:rsidRPr="00841A95">
        <w:rPr>
          <w:rFonts w:ascii="Arial" w:hAnsi="Arial" w:cs="Arial"/>
          <w:sz w:val="24"/>
          <w:szCs w:val="24"/>
        </w:rPr>
        <w:t>F</w:t>
      </w:r>
      <w:r w:rsidR="00E66A18" w:rsidRPr="00841A95">
        <w:rPr>
          <w:rFonts w:ascii="Arial" w:hAnsi="Arial" w:cs="Arial"/>
          <w:sz w:val="24"/>
          <w:szCs w:val="24"/>
        </w:rPr>
        <w:t>o</w:t>
      </w:r>
      <w:r w:rsidR="00377FDC" w:rsidRPr="00841A95">
        <w:rPr>
          <w:rFonts w:ascii="Arial" w:hAnsi="Arial" w:cs="Arial"/>
          <w:sz w:val="24"/>
          <w:szCs w:val="24"/>
        </w:rPr>
        <w:t>r the</w:t>
      </w:r>
      <w:r w:rsidR="002E4900" w:rsidRPr="00841A95">
        <w:rPr>
          <w:rFonts w:ascii="Arial" w:hAnsi="Arial" w:cs="Arial"/>
          <w:sz w:val="24"/>
          <w:szCs w:val="24"/>
        </w:rPr>
        <w:t xml:space="preserve"> app</w:t>
      </w:r>
      <w:r w:rsidR="00617293" w:rsidRPr="00841A95">
        <w:rPr>
          <w:rFonts w:ascii="Arial" w:hAnsi="Arial" w:cs="Arial"/>
          <w:sz w:val="24"/>
          <w:szCs w:val="24"/>
        </w:rPr>
        <w:t>ellant</w:t>
      </w:r>
      <w:r w:rsidR="003F1580" w:rsidRPr="00841A95">
        <w:rPr>
          <w:rFonts w:ascii="Arial" w:hAnsi="Arial" w:cs="Arial"/>
          <w:sz w:val="24"/>
          <w:szCs w:val="24"/>
        </w:rPr>
        <w:t>:</w:t>
      </w:r>
      <w:r w:rsidR="00EC34FF" w:rsidRPr="00841A95">
        <w:rPr>
          <w:rFonts w:ascii="Arial" w:hAnsi="Arial" w:cs="Arial"/>
          <w:sz w:val="24"/>
          <w:szCs w:val="24"/>
        </w:rPr>
        <w:tab/>
        <w:t>Adv. H. Alberts</w:t>
      </w:r>
    </w:p>
    <w:p w14:paraId="554CB456" w14:textId="556D1E8D" w:rsidR="00E20004" w:rsidRPr="00841A95" w:rsidRDefault="00940EF5" w:rsidP="00CE3E3F">
      <w:pPr>
        <w:tabs>
          <w:tab w:val="left" w:pos="4917"/>
        </w:tabs>
        <w:spacing w:after="0" w:line="360" w:lineRule="auto"/>
        <w:ind w:left="357"/>
        <w:rPr>
          <w:rFonts w:ascii="Arial" w:hAnsi="Arial" w:cs="Arial"/>
          <w:sz w:val="24"/>
          <w:szCs w:val="24"/>
        </w:rPr>
      </w:pPr>
      <w:r w:rsidRPr="00841A95">
        <w:rPr>
          <w:rFonts w:ascii="Arial" w:hAnsi="Arial" w:cs="Arial"/>
          <w:sz w:val="24"/>
          <w:szCs w:val="24"/>
        </w:rPr>
        <w:t>Instructed by</w:t>
      </w:r>
      <w:r w:rsidR="00A931CC" w:rsidRPr="00841A95">
        <w:rPr>
          <w:rFonts w:ascii="Arial" w:hAnsi="Arial" w:cs="Arial"/>
          <w:sz w:val="24"/>
          <w:szCs w:val="24"/>
        </w:rPr>
        <w:t>:</w:t>
      </w:r>
      <w:r w:rsidR="00EC34FF" w:rsidRPr="00841A95">
        <w:rPr>
          <w:rFonts w:ascii="Arial" w:hAnsi="Arial" w:cs="Arial"/>
          <w:sz w:val="24"/>
          <w:szCs w:val="24"/>
        </w:rPr>
        <w:tab/>
        <w:t>Legal Aid South Africa</w:t>
      </w:r>
      <w:r w:rsidR="002E4900" w:rsidRPr="00841A95">
        <w:rPr>
          <w:rFonts w:ascii="Arial" w:hAnsi="Arial" w:cs="Arial"/>
          <w:sz w:val="24"/>
          <w:szCs w:val="24"/>
        </w:rPr>
        <w:tab/>
      </w:r>
      <w:r w:rsidR="00E20004" w:rsidRPr="00841A95">
        <w:rPr>
          <w:rFonts w:ascii="Arial" w:hAnsi="Arial" w:cs="Arial"/>
          <w:sz w:val="24"/>
          <w:szCs w:val="24"/>
        </w:rPr>
        <w:tab/>
      </w:r>
    </w:p>
    <w:p w14:paraId="44D1AFCD" w14:textId="0D43584D" w:rsidR="00377FDC" w:rsidRPr="00841A95" w:rsidRDefault="00B7783F" w:rsidP="00BE500B">
      <w:pPr>
        <w:tabs>
          <w:tab w:val="left" w:pos="4917"/>
        </w:tabs>
        <w:spacing w:after="0" w:line="360" w:lineRule="auto"/>
        <w:ind w:left="4917" w:hanging="4557"/>
        <w:rPr>
          <w:rFonts w:ascii="Arial" w:hAnsi="Arial" w:cs="Arial"/>
          <w:sz w:val="24"/>
          <w:szCs w:val="24"/>
        </w:rPr>
      </w:pPr>
      <w:r w:rsidRPr="00841A95">
        <w:rPr>
          <w:rFonts w:ascii="Arial" w:hAnsi="Arial" w:cs="Arial"/>
          <w:sz w:val="24"/>
          <w:szCs w:val="24"/>
        </w:rPr>
        <w:t>F</w:t>
      </w:r>
      <w:r w:rsidR="00F9064E" w:rsidRPr="00841A95">
        <w:rPr>
          <w:rFonts w:ascii="Arial" w:hAnsi="Arial" w:cs="Arial"/>
          <w:sz w:val="24"/>
          <w:szCs w:val="24"/>
        </w:rPr>
        <w:t>or</w:t>
      </w:r>
      <w:r w:rsidR="00BA1728" w:rsidRPr="00841A95">
        <w:rPr>
          <w:rFonts w:ascii="Arial" w:hAnsi="Arial" w:cs="Arial"/>
          <w:sz w:val="24"/>
          <w:szCs w:val="24"/>
        </w:rPr>
        <w:t xml:space="preserve"> the</w:t>
      </w:r>
      <w:r w:rsidR="009A3DD5" w:rsidRPr="00841A95">
        <w:rPr>
          <w:rFonts w:ascii="Arial" w:hAnsi="Arial" w:cs="Arial"/>
          <w:sz w:val="24"/>
          <w:szCs w:val="24"/>
        </w:rPr>
        <w:t xml:space="preserve"> </w:t>
      </w:r>
      <w:r w:rsidR="002E4900" w:rsidRPr="00841A95">
        <w:rPr>
          <w:rFonts w:ascii="Arial" w:hAnsi="Arial" w:cs="Arial"/>
          <w:sz w:val="24"/>
          <w:szCs w:val="24"/>
        </w:rPr>
        <w:t>respondent:</w:t>
      </w:r>
      <w:r w:rsidR="00EC34FF" w:rsidRPr="00841A95">
        <w:rPr>
          <w:rFonts w:ascii="Arial" w:hAnsi="Arial" w:cs="Arial"/>
          <w:sz w:val="24"/>
          <w:szCs w:val="24"/>
        </w:rPr>
        <w:tab/>
        <w:t>Adv. J. Cronje</w:t>
      </w:r>
      <w:r w:rsidR="002E4900" w:rsidRPr="00841A95">
        <w:rPr>
          <w:rFonts w:ascii="Arial" w:hAnsi="Arial" w:cs="Arial"/>
          <w:sz w:val="24"/>
          <w:szCs w:val="24"/>
        </w:rPr>
        <w:tab/>
      </w:r>
    </w:p>
    <w:p w14:paraId="67876EBF" w14:textId="663E5FBD" w:rsidR="003649CD" w:rsidRPr="00841A95" w:rsidRDefault="00F03EE2" w:rsidP="00B36472">
      <w:pPr>
        <w:tabs>
          <w:tab w:val="left" w:pos="4917"/>
        </w:tabs>
        <w:spacing w:after="0" w:line="360" w:lineRule="auto"/>
        <w:ind w:left="4917" w:hanging="4557"/>
        <w:rPr>
          <w:rFonts w:ascii="Arial" w:hAnsi="Arial" w:cs="Arial"/>
          <w:sz w:val="24"/>
          <w:szCs w:val="24"/>
        </w:rPr>
      </w:pPr>
      <w:r w:rsidRPr="00841A95">
        <w:rPr>
          <w:rFonts w:ascii="Arial" w:hAnsi="Arial" w:cs="Arial"/>
          <w:sz w:val="24"/>
          <w:szCs w:val="24"/>
        </w:rPr>
        <w:t>Instructed by:</w:t>
      </w:r>
      <w:r w:rsidR="00EC34FF" w:rsidRPr="00841A95">
        <w:rPr>
          <w:rFonts w:ascii="Arial" w:hAnsi="Arial" w:cs="Arial"/>
          <w:sz w:val="24"/>
          <w:szCs w:val="24"/>
        </w:rPr>
        <w:tab/>
        <w:t>Director of Public Prosecutions</w:t>
      </w:r>
    </w:p>
    <w:p w14:paraId="60737477" w14:textId="263BFBFA" w:rsidR="004F3075" w:rsidRPr="00841A95" w:rsidRDefault="00C46D9C" w:rsidP="003649CD">
      <w:pPr>
        <w:tabs>
          <w:tab w:val="left" w:pos="4917"/>
        </w:tabs>
        <w:spacing w:after="0" w:line="360" w:lineRule="auto"/>
        <w:ind w:left="360"/>
        <w:rPr>
          <w:rFonts w:ascii="Arial" w:hAnsi="Arial" w:cs="Arial"/>
          <w:sz w:val="24"/>
          <w:szCs w:val="24"/>
        </w:rPr>
      </w:pPr>
      <w:r w:rsidRPr="00841A95">
        <w:rPr>
          <w:rFonts w:ascii="Arial" w:hAnsi="Arial" w:cs="Arial"/>
          <w:sz w:val="24"/>
          <w:szCs w:val="24"/>
        </w:rPr>
        <w:t>D</w:t>
      </w:r>
      <w:r w:rsidR="002F1742" w:rsidRPr="00841A95">
        <w:rPr>
          <w:rFonts w:ascii="Arial" w:hAnsi="Arial" w:cs="Arial"/>
          <w:sz w:val="24"/>
          <w:szCs w:val="24"/>
        </w:rPr>
        <w:t>ate of the hearing:</w:t>
      </w:r>
      <w:r w:rsidR="00940EF5" w:rsidRPr="00841A95">
        <w:rPr>
          <w:rFonts w:ascii="Arial" w:hAnsi="Arial" w:cs="Arial"/>
          <w:sz w:val="24"/>
          <w:szCs w:val="24"/>
        </w:rPr>
        <w:tab/>
      </w:r>
      <w:r w:rsidR="00EC34FF" w:rsidRPr="00841A95">
        <w:rPr>
          <w:rFonts w:ascii="Arial" w:hAnsi="Arial" w:cs="Arial"/>
          <w:sz w:val="24"/>
          <w:szCs w:val="24"/>
        </w:rPr>
        <w:t>24 January 2024</w:t>
      </w:r>
      <w:r w:rsidR="00CF7942" w:rsidRPr="00841A95">
        <w:rPr>
          <w:rFonts w:ascii="Arial" w:hAnsi="Arial" w:cs="Arial"/>
          <w:sz w:val="24"/>
          <w:szCs w:val="24"/>
        </w:rPr>
        <w:tab/>
      </w:r>
      <w:r w:rsidR="00CF7942" w:rsidRPr="00841A95">
        <w:rPr>
          <w:rFonts w:ascii="Arial" w:hAnsi="Arial" w:cs="Arial"/>
          <w:sz w:val="24"/>
          <w:szCs w:val="24"/>
        </w:rPr>
        <w:tab/>
      </w:r>
      <w:r w:rsidR="002F1742" w:rsidRPr="00841A95">
        <w:rPr>
          <w:rFonts w:ascii="Arial" w:hAnsi="Arial" w:cs="Arial"/>
          <w:sz w:val="24"/>
          <w:szCs w:val="24"/>
        </w:rPr>
        <w:tab/>
      </w:r>
    </w:p>
    <w:p w14:paraId="7AD85C85" w14:textId="1E0AE04B" w:rsidR="003649CD" w:rsidRDefault="00EA61D2" w:rsidP="003649CD">
      <w:pPr>
        <w:tabs>
          <w:tab w:val="left" w:pos="4917"/>
        </w:tabs>
        <w:spacing w:after="0" w:line="360" w:lineRule="auto"/>
        <w:ind w:left="360"/>
        <w:rPr>
          <w:rFonts w:ascii="Arial" w:hAnsi="Arial" w:cs="Arial"/>
          <w:sz w:val="24"/>
          <w:szCs w:val="24"/>
        </w:rPr>
      </w:pPr>
      <w:r w:rsidRPr="00841A95">
        <w:rPr>
          <w:rFonts w:ascii="Arial" w:hAnsi="Arial" w:cs="Arial"/>
          <w:sz w:val="24"/>
          <w:szCs w:val="24"/>
        </w:rPr>
        <w:t>Da</w:t>
      </w:r>
      <w:r w:rsidR="004F3075" w:rsidRPr="00841A95">
        <w:rPr>
          <w:rFonts w:ascii="Arial" w:hAnsi="Arial" w:cs="Arial"/>
          <w:sz w:val="24"/>
          <w:szCs w:val="24"/>
        </w:rPr>
        <w:t>te of judgment:</w:t>
      </w:r>
      <w:r w:rsidR="00EC34FF" w:rsidRPr="00841A95">
        <w:rPr>
          <w:rFonts w:ascii="Arial" w:hAnsi="Arial" w:cs="Arial"/>
          <w:sz w:val="24"/>
          <w:szCs w:val="24"/>
        </w:rPr>
        <w:tab/>
        <w:t>5 February 2024</w:t>
      </w:r>
      <w:r w:rsidR="00BE029D">
        <w:rPr>
          <w:rFonts w:ascii="Arial" w:hAnsi="Arial" w:cs="Arial"/>
          <w:sz w:val="24"/>
          <w:szCs w:val="24"/>
        </w:rPr>
        <w:tab/>
      </w:r>
    </w:p>
    <w:bookmarkEnd w:id="0"/>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B91C4E">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3F44" w14:textId="77777777" w:rsidR="009150C7" w:rsidRDefault="009150C7">
      <w:pPr>
        <w:spacing w:after="0" w:line="240" w:lineRule="auto"/>
      </w:pPr>
      <w:r>
        <w:separator/>
      </w:r>
    </w:p>
  </w:endnote>
  <w:endnote w:type="continuationSeparator" w:id="0">
    <w:p w14:paraId="596D98D4" w14:textId="77777777" w:rsidR="009150C7" w:rsidRDefault="0091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7CA31276" w:rsidR="00494B3B" w:rsidRDefault="00494B3B">
        <w:pPr>
          <w:pStyle w:val="Footer"/>
          <w:jc w:val="center"/>
        </w:pPr>
        <w:r>
          <w:fldChar w:fldCharType="begin"/>
        </w:r>
        <w:r>
          <w:instrText xml:space="preserve"> PAGE   \* MERGEFORMAT </w:instrText>
        </w:r>
        <w:r>
          <w:fldChar w:fldCharType="separate"/>
        </w:r>
        <w:r w:rsidR="007C2C00">
          <w:rPr>
            <w:noProof/>
          </w:rPr>
          <w:t>3</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F319" w14:textId="77777777" w:rsidR="009150C7" w:rsidRDefault="009150C7">
      <w:pPr>
        <w:spacing w:after="0" w:line="240" w:lineRule="auto"/>
      </w:pPr>
      <w:r>
        <w:separator/>
      </w:r>
    </w:p>
  </w:footnote>
  <w:footnote w:type="continuationSeparator" w:id="0">
    <w:p w14:paraId="0148AFD3" w14:textId="77777777" w:rsidR="009150C7" w:rsidRDefault="009150C7">
      <w:pPr>
        <w:spacing w:after="0" w:line="240" w:lineRule="auto"/>
      </w:pPr>
      <w:r>
        <w:continuationSeparator/>
      </w:r>
    </w:p>
  </w:footnote>
  <w:footnote w:id="1">
    <w:p w14:paraId="214C2441" w14:textId="42E3C1DD" w:rsidR="00AA56C2" w:rsidRPr="00841A95" w:rsidRDefault="00AA56C2"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i/>
          <w:lang w:val="en-GB"/>
        </w:rPr>
        <w:t xml:space="preserve">R v Dhlumayo and Another </w:t>
      </w:r>
      <w:r w:rsidRPr="00841A95">
        <w:rPr>
          <w:rFonts w:ascii="Arial" w:hAnsi="Arial" w:cs="Arial"/>
          <w:lang w:val="en-GB"/>
        </w:rPr>
        <w:t xml:space="preserve">1948 (2) SA 677 (A); </w:t>
      </w:r>
      <w:r w:rsidRPr="00841A95">
        <w:rPr>
          <w:rFonts w:ascii="Arial" w:hAnsi="Arial" w:cs="Arial"/>
          <w:i/>
          <w:lang w:val="en-GB"/>
        </w:rPr>
        <w:t>S v Hadebe and Others</w:t>
      </w:r>
      <w:r w:rsidRPr="00841A95">
        <w:rPr>
          <w:rFonts w:ascii="Arial" w:hAnsi="Arial" w:cs="Arial"/>
          <w:lang w:val="en-GB"/>
        </w:rPr>
        <w:t xml:space="preserve"> 1997 (2) SACR 641 (SCA) 645E-F.</w:t>
      </w:r>
    </w:p>
  </w:footnote>
  <w:footnote w:id="2">
    <w:p w14:paraId="40230EA0" w14:textId="1C774902" w:rsidR="00AA56C2" w:rsidRPr="00841A95" w:rsidRDefault="00AA56C2"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i/>
          <w:lang w:val="en-GB"/>
        </w:rPr>
        <w:t>S v Francis</w:t>
      </w:r>
      <w:r w:rsidRPr="00841A95">
        <w:rPr>
          <w:rFonts w:ascii="Arial" w:hAnsi="Arial" w:cs="Arial"/>
          <w:lang w:val="en-GB"/>
        </w:rPr>
        <w:t xml:space="preserve"> 1991 (1) SACR 198 (A) 198I-199A.</w:t>
      </w:r>
    </w:p>
  </w:footnote>
  <w:footnote w:id="3">
    <w:p w14:paraId="23489880" w14:textId="4332E4F1" w:rsidR="006C3884" w:rsidRPr="00841A95" w:rsidRDefault="006C3884"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Ibid.</w:t>
      </w:r>
    </w:p>
  </w:footnote>
  <w:footnote w:id="4">
    <w:p w14:paraId="17EC2A15" w14:textId="6F6567F8" w:rsidR="000D3D41" w:rsidRPr="00841A95" w:rsidRDefault="000D3D41"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i/>
          <w:lang w:val="en-GB"/>
        </w:rPr>
        <w:t>President of the RSA</w:t>
      </w:r>
      <w:r w:rsidR="00562680">
        <w:rPr>
          <w:rFonts w:ascii="Arial" w:hAnsi="Arial" w:cs="Arial"/>
          <w:i/>
          <w:lang w:val="en-GB"/>
        </w:rPr>
        <w:t xml:space="preserve"> and OTHERS </w:t>
      </w:r>
      <w:r w:rsidR="00562680" w:rsidRPr="00841A95">
        <w:rPr>
          <w:rFonts w:ascii="Arial" w:hAnsi="Arial" w:cs="Arial"/>
          <w:i/>
          <w:lang w:val="en-GB"/>
        </w:rPr>
        <w:t>v</w:t>
      </w:r>
      <w:r w:rsidRPr="00841A95">
        <w:rPr>
          <w:rFonts w:ascii="Arial" w:hAnsi="Arial" w:cs="Arial"/>
          <w:i/>
          <w:lang w:val="en-GB"/>
        </w:rPr>
        <w:t xml:space="preserve"> South African Rugby Football Union</w:t>
      </w:r>
      <w:r w:rsidR="00562680">
        <w:rPr>
          <w:rFonts w:ascii="Arial" w:hAnsi="Arial" w:cs="Arial"/>
          <w:i/>
          <w:lang w:val="en-GB"/>
        </w:rPr>
        <w:t xml:space="preserve"> and OTHERS </w:t>
      </w:r>
      <w:r w:rsidRPr="00841A95">
        <w:rPr>
          <w:rFonts w:ascii="Arial" w:hAnsi="Arial" w:cs="Arial"/>
          <w:lang w:val="en-GB"/>
        </w:rPr>
        <w:t xml:space="preserve"> 2000 (1) SA 1 (CC) para [61].</w:t>
      </w:r>
    </w:p>
  </w:footnote>
  <w:footnote w:id="5">
    <w:p w14:paraId="1B41C616" w14:textId="4278D010" w:rsidR="00FF1CF7" w:rsidRPr="00841A95" w:rsidRDefault="00FF1CF7"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On a reading of the report filed in support of the appointment of an intermediary I noted that the report contains patent errors</w:t>
      </w:r>
      <w:r w:rsidR="00157A89" w:rsidRPr="00841A95">
        <w:rPr>
          <w:rFonts w:ascii="Arial" w:hAnsi="Arial" w:cs="Arial"/>
          <w:lang w:val="en-GB"/>
        </w:rPr>
        <w:t>.</w:t>
      </w:r>
      <w:r w:rsidRPr="00841A95">
        <w:rPr>
          <w:rFonts w:ascii="Arial" w:hAnsi="Arial" w:cs="Arial"/>
          <w:lang w:val="en-GB"/>
        </w:rPr>
        <w:t xml:space="preserve"> Since neither party took issue with this information,</w:t>
      </w:r>
      <w:r w:rsidR="00157A89" w:rsidRPr="00841A95">
        <w:rPr>
          <w:rFonts w:ascii="Arial" w:hAnsi="Arial" w:cs="Arial"/>
          <w:lang w:val="en-GB"/>
        </w:rPr>
        <w:t xml:space="preserve"> </w:t>
      </w:r>
      <w:r w:rsidRPr="00841A95">
        <w:rPr>
          <w:rFonts w:ascii="Arial" w:hAnsi="Arial" w:cs="Arial"/>
          <w:lang w:val="en-GB"/>
        </w:rPr>
        <w:t>I am not dealing with it in this judgment.</w:t>
      </w:r>
    </w:p>
  </w:footnote>
  <w:footnote w:id="6">
    <w:p w14:paraId="364992D6" w14:textId="469DC618" w:rsidR="00CD5913" w:rsidRPr="00841A95" w:rsidRDefault="00CD5913"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2009 (2) SACR 130 (CC) paras [163-169].</w:t>
      </w:r>
    </w:p>
  </w:footnote>
  <w:footnote w:id="7">
    <w:p w14:paraId="7CA7BAC4" w14:textId="5FF98518" w:rsidR="00CD5913" w:rsidRPr="00841A95" w:rsidRDefault="00CD5913"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2013 (2) SACR 333 (SCA) para [2</w:t>
      </w:r>
      <w:r w:rsidR="00801F44" w:rsidRPr="00841A95">
        <w:rPr>
          <w:rFonts w:ascii="Arial" w:hAnsi="Arial" w:cs="Arial"/>
          <w:lang w:val="en-GB"/>
        </w:rPr>
        <w:t>6</w:t>
      </w:r>
      <w:r w:rsidRPr="00841A95">
        <w:rPr>
          <w:rFonts w:ascii="Arial" w:hAnsi="Arial" w:cs="Arial"/>
          <w:lang w:val="en-GB"/>
        </w:rPr>
        <w:t>].</w:t>
      </w:r>
    </w:p>
  </w:footnote>
  <w:footnote w:id="8">
    <w:p w14:paraId="7FDEE5FB" w14:textId="1020B226" w:rsidR="001563A4" w:rsidRPr="00841A95" w:rsidRDefault="001563A4"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1998 (2) SACR 651 (CPD) 652H-I.</w:t>
      </w:r>
    </w:p>
  </w:footnote>
  <w:footnote w:id="9">
    <w:p w14:paraId="2E809C01" w14:textId="399BFBF0" w:rsidR="004F423C" w:rsidRPr="00841A95" w:rsidRDefault="004F423C"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2003 (1) SACR 52 (SCA).</w:t>
      </w:r>
    </w:p>
  </w:footnote>
  <w:footnote w:id="10">
    <w:p w14:paraId="46AF50D6" w14:textId="4EE0FB8A" w:rsidR="004F423C" w:rsidRPr="00841A95" w:rsidRDefault="004F423C"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0090529A" w:rsidRPr="00841A95">
        <w:rPr>
          <w:rFonts w:ascii="Arial" w:hAnsi="Arial" w:cs="Arial"/>
        </w:rPr>
        <w:t>2003 (2) SACR 1 (SCA)</w:t>
      </w:r>
    </w:p>
  </w:footnote>
  <w:footnote w:id="11">
    <w:p w14:paraId="3D5B6042" w14:textId="77BCB6C3" w:rsidR="0090529A" w:rsidRPr="00841A95" w:rsidRDefault="0090529A"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See also, </w:t>
      </w:r>
      <w:r w:rsidRPr="00841A95">
        <w:rPr>
          <w:rFonts w:ascii="Arial" w:hAnsi="Arial" w:cs="Arial"/>
          <w:i/>
        </w:rPr>
        <w:t>S v Baadjies</w:t>
      </w:r>
      <w:r w:rsidRPr="00841A95">
        <w:rPr>
          <w:rFonts w:ascii="Arial" w:hAnsi="Arial" w:cs="Arial"/>
        </w:rPr>
        <w:t xml:space="preserve"> 2017 (2) SACR 366 (WCC).</w:t>
      </w:r>
    </w:p>
  </w:footnote>
  <w:footnote w:id="12">
    <w:p w14:paraId="6232D866" w14:textId="373245BE" w:rsidR="00FF682B" w:rsidRPr="00841A95" w:rsidRDefault="00FF682B"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2008 (1) SACR 196 (E).</w:t>
      </w:r>
    </w:p>
  </w:footnote>
  <w:footnote w:id="13">
    <w:p w14:paraId="52DF693D" w14:textId="7B36D5E7" w:rsidR="000172F2" w:rsidRPr="00841A95" w:rsidRDefault="000172F2"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2006 (2) SACR 439 (SCA).</w:t>
      </w:r>
    </w:p>
  </w:footnote>
  <w:footnote w:id="14">
    <w:p w14:paraId="4657C04B" w14:textId="11765C69" w:rsidR="000172F2" w:rsidRPr="00841A95" w:rsidRDefault="000172F2"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i/>
          <w:lang w:val="en-GB"/>
        </w:rPr>
        <w:t>Supra</w:t>
      </w:r>
      <w:r w:rsidRPr="00841A95">
        <w:rPr>
          <w:rFonts w:ascii="Arial" w:hAnsi="Arial" w:cs="Arial"/>
          <w:lang w:val="en-GB"/>
        </w:rPr>
        <w:t>, at para [13].</w:t>
      </w:r>
    </w:p>
  </w:footnote>
  <w:footnote w:id="15">
    <w:p w14:paraId="7B4A6CDA" w14:textId="7B2A1AC3" w:rsidR="006F4AB1" w:rsidRPr="00841A95" w:rsidRDefault="006F4AB1"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 xml:space="preserve">See </w:t>
      </w:r>
      <w:r w:rsidRPr="00841A95">
        <w:rPr>
          <w:rFonts w:ascii="Arial" w:hAnsi="Arial" w:cs="Arial"/>
          <w:i/>
          <w:lang w:val="en-GB"/>
        </w:rPr>
        <w:t>Tyatyeka v S</w:t>
      </w:r>
      <w:r w:rsidRPr="00841A95">
        <w:rPr>
          <w:rFonts w:ascii="Arial" w:hAnsi="Arial" w:cs="Arial"/>
          <w:lang w:val="en-GB"/>
        </w:rPr>
        <w:t xml:space="preserve"> 2023 (1) SACR 193 (ECB) (8 November 2022).</w:t>
      </w:r>
    </w:p>
  </w:footnote>
  <w:footnote w:id="16">
    <w:p w14:paraId="0FD1CDBE" w14:textId="1DEE8A7C" w:rsidR="00D64034" w:rsidRPr="00841A95" w:rsidRDefault="00D64034"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00841A95" w:rsidRPr="00841A95">
        <w:rPr>
          <w:rFonts w:ascii="Arial" w:hAnsi="Arial" w:cs="Arial"/>
        </w:rPr>
        <w:t xml:space="preserve">1995 (1) SACR 568 (CC) para [16]. See also </w:t>
      </w:r>
      <w:r w:rsidR="00841A95" w:rsidRPr="00841A95">
        <w:rPr>
          <w:rFonts w:ascii="Arial" w:hAnsi="Arial" w:cs="Arial"/>
          <w:i/>
        </w:rPr>
        <w:t>S v Dzukuda; S v Tshilo</w:t>
      </w:r>
      <w:r w:rsidR="00841A95" w:rsidRPr="00841A95">
        <w:rPr>
          <w:rFonts w:ascii="Arial" w:hAnsi="Arial" w:cs="Arial"/>
        </w:rPr>
        <w:t xml:space="preserve"> 2000 (2) SACR 443 para [9].</w:t>
      </w:r>
    </w:p>
  </w:footnote>
  <w:footnote w:id="17">
    <w:p w14:paraId="232436D1" w14:textId="38328BBC" w:rsidR="00841A95" w:rsidRPr="00841A95" w:rsidRDefault="00841A95"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Pr="00841A95">
        <w:rPr>
          <w:rFonts w:ascii="Arial" w:hAnsi="Arial" w:cs="Arial"/>
          <w:lang w:val="en-GB"/>
        </w:rPr>
        <w:t xml:space="preserve">(1186/2019) [2021 ZASCA 87 (21 June 2021) para [34] whilst quoting from </w:t>
      </w:r>
      <w:r w:rsidRPr="00841A95">
        <w:rPr>
          <w:rFonts w:ascii="Arial" w:hAnsi="Arial" w:cs="Arial"/>
          <w:i/>
          <w:lang w:val="en-GB"/>
        </w:rPr>
        <w:t>Zanner v Director of Public Prosecutions Johannesburg</w:t>
      </w:r>
      <w:r w:rsidRPr="00841A95">
        <w:rPr>
          <w:rFonts w:ascii="Arial" w:hAnsi="Arial" w:cs="Arial"/>
          <w:lang w:val="en-GB"/>
        </w:rPr>
        <w:t xml:space="preserve"> 2006 (2) SACR 45 (SCA) para [21].</w:t>
      </w:r>
    </w:p>
  </w:footnote>
  <w:footnote w:id="18">
    <w:p w14:paraId="35577851" w14:textId="533542F4" w:rsidR="00D85CCF" w:rsidRPr="00841A95" w:rsidRDefault="00D85CCF" w:rsidP="00841A95">
      <w:pPr>
        <w:pStyle w:val="FootnoteText"/>
        <w:spacing w:after="120"/>
        <w:jc w:val="both"/>
        <w:rPr>
          <w:rFonts w:ascii="Arial" w:hAnsi="Arial" w:cs="Arial"/>
          <w:lang w:val="en-GB"/>
        </w:rPr>
      </w:pPr>
      <w:r w:rsidRPr="00841A95">
        <w:rPr>
          <w:rStyle w:val="FootnoteReference"/>
          <w:rFonts w:ascii="Arial" w:hAnsi="Arial" w:cs="Arial"/>
        </w:rPr>
        <w:footnoteRef/>
      </w:r>
      <w:r w:rsidRPr="00841A95">
        <w:rPr>
          <w:rFonts w:ascii="Arial" w:hAnsi="Arial" w:cs="Arial"/>
        </w:rPr>
        <w:t xml:space="preserve"> </w:t>
      </w:r>
      <w:r w:rsidR="00617293" w:rsidRPr="00841A95">
        <w:rPr>
          <w:rFonts w:ascii="Arial" w:hAnsi="Arial" w:cs="Arial"/>
        </w:rPr>
        <w:t>2001 (1) SACR 469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462850A1" w:rsidR="00494B3B" w:rsidRDefault="00494B3B">
        <w:pPr>
          <w:pStyle w:val="Header"/>
          <w:jc w:val="center"/>
        </w:pPr>
        <w:r>
          <w:fldChar w:fldCharType="begin"/>
        </w:r>
        <w:r>
          <w:instrText xml:space="preserve"> PAGE   \* MERGEFORMAT </w:instrText>
        </w:r>
        <w:r>
          <w:fldChar w:fldCharType="separate"/>
        </w:r>
        <w:r w:rsidR="007C2C00">
          <w:rPr>
            <w:noProof/>
          </w:rPr>
          <w:t>3</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FE7C5A"/>
    <w:multiLevelType w:val="multilevel"/>
    <w:tmpl w:val="8E887474"/>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9"/>
  </w:num>
  <w:num w:numId="13">
    <w:abstractNumId w:val="17"/>
  </w:num>
  <w:num w:numId="14">
    <w:abstractNumId w:val="39"/>
  </w:num>
  <w:num w:numId="15">
    <w:abstractNumId w:val="35"/>
  </w:num>
  <w:num w:numId="16">
    <w:abstractNumId w:val="8"/>
  </w:num>
  <w:num w:numId="17">
    <w:abstractNumId w:val="37"/>
  </w:num>
  <w:num w:numId="18">
    <w:abstractNumId w:val="18"/>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4"/>
  </w:num>
  <w:num w:numId="33">
    <w:abstractNumId w:val="16"/>
  </w:num>
  <w:num w:numId="34">
    <w:abstractNumId w:val="32"/>
  </w:num>
  <w:num w:numId="35">
    <w:abstractNumId w:val="23"/>
  </w:num>
  <w:num w:numId="36">
    <w:abstractNumId w:val="15"/>
  </w:num>
  <w:num w:numId="37">
    <w:abstractNumId w:val="41"/>
  </w:num>
  <w:num w:numId="38">
    <w:abstractNumId w:val="6"/>
  </w:num>
  <w:num w:numId="39">
    <w:abstractNumId w:val="1"/>
  </w:num>
  <w:num w:numId="40">
    <w:abstractNumId w:val="13"/>
  </w:num>
  <w:num w:numId="41">
    <w:abstractNumId w:val="2"/>
  </w:num>
  <w:num w:numId="42">
    <w:abstractNumId w:val="0"/>
  </w:num>
  <w:num w:numId="43">
    <w:abstractNumId w:val="31"/>
  </w:num>
  <w:num w:numId="44">
    <w:abstractNumId w:val="20"/>
  </w:num>
  <w:num w:numId="45">
    <w:abstractNumId w:val="21"/>
  </w:num>
  <w:num w:numId="46">
    <w:abstractNumId w:val="2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05E0"/>
    <w:rsid w:val="0001114D"/>
    <w:rsid w:val="00012309"/>
    <w:rsid w:val="00015828"/>
    <w:rsid w:val="000171DB"/>
    <w:rsid w:val="000172F2"/>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3CE3"/>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2CE"/>
    <w:rsid w:val="000C7ED3"/>
    <w:rsid w:val="000D205D"/>
    <w:rsid w:val="000D3D41"/>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22FD"/>
    <w:rsid w:val="00113617"/>
    <w:rsid w:val="00113E28"/>
    <w:rsid w:val="00113E97"/>
    <w:rsid w:val="001155D4"/>
    <w:rsid w:val="001167B4"/>
    <w:rsid w:val="001176BA"/>
    <w:rsid w:val="001178F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3A4"/>
    <w:rsid w:val="001564DC"/>
    <w:rsid w:val="001564E3"/>
    <w:rsid w:val="0015765D"/>
    <w:rsid w:val="00157A89"/>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5157"/>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4B90"/>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85B"/>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2E19"/>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0AD6"/>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0E03"/>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50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1A4"/>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3F3"/>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48EC"/>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170FD"/>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4002"/>
    <w:rsid w:val="004A5E9D"/>
    <w:rsid w:val="004A634E"/>
    <w:rsid w:val="004A7F43"/>
    <w:rsid w:val="004B054A"/>
    <w:rsid w:val="004B068E"/>
    <w:rsid w:val="004B0D22"/>
    <w:rsid w:val="004B0F3C"/>
    <w:rsid w:val="004B12BC"/>
    <w:rsid w:val="004B13C7"/>
    <w:rsid w:val="004B2DBB"/>
    <w:rsid w:val="004B31DE"/>
    <w:rsid w:val="004B3D6E"/>
    <w:rsid w:val="004B4367"/>
    <w:rsid w:val="004B4CF5"/>
    <w:rsid w:val="004B53DF"/>
    <w:rsid w:val="004B6D1A"/>
    <w:rsid w:val="004B72ED"/>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23C"/>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21D"/>
    <w:rsid w:val="00511F5F"/>
    <w:rsid w:val="00512839"/>
    <w:rsid w:val="005130A7"/>
    <w:rsid w:val="00514362"/>
    <w:rsid w:val="00514EC9"/>
    <w:rsid w:val="005153DD"/>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2680"/>
    <w:rsid w:val="00565011"/>
    <w:rsid w:val="0056506E"/>
    <w:rsid w:val="00565285"/>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B79E2"/>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17293"/>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47C47"/>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97FE1"/>
    <w:rsid w:val="006A18D4"/>
    <w:rsid w:val="006A1D1A"/>
    <w:rsid w:val="006A2C53"/>
    <w:rsid w:val="006A3036"/>
    <w:rsid w:val="006A3698"/>
    <w:rsid w:val="006A37CF"/>
    <w:rsid w:val="006A51AF"/>
    <w:rsid w:val="006A581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884"/>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AB1"/>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3FF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2C16"/>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2C00"/>
    <w:rsid w:val="007C356E"/>
    <w:rsid w:val="007C4C2B"/>
    <w:rsid w:val="007C5F71"/>
    <w:rsid w:val="007C71AF"/>
    <w:rsid w:val="007D0436"/>
    <w:rsid w:val="007D161F"/>
    <w:rsid w:val="007D26B3"/>
    <w:rsid w:val="007D3525"/>
    <w:rsid w:val="007D469E"/>
    <w:rsid w:val="007D55EE"/>
    <w:rsid w:val="007D5E6A"/>
    <w:rsid w:val="007D6403"/>
    <w:rsid w:val="007D6C59"/>
    <w:rsid w:val="007D6C89"/>
    <w:rsid w:val="007D786E"/>
    <w:rsid w:val="007D7902"/>
    <w:rsid w:val="007E07A4"/>
    <w:rsid w:val="007E32D3"/>
    <w:rsid w:val="007E359C"/>
    <w:rsid w:val="007E4E2F"/>
    <w:rsid w:val="007E6830"/>
    <w:rsid w:val="007E715A"/>
    <w:rsid w:val="007F0025"/>
    <w:rsid w:val="007F0A15"/>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1F44"/>
    <w:rsid w:val="00802AA0"/>
    <w:rsid w:val="0080353C"/>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1A95"/>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4F3"/>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A40"/>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29A"/>
    <w:rsid w:val="00905530"/>
    <w:rsid w:val="009058B9"/>
    <w:rsid w:val="009062EA"/>
    <w:rsid w:val="00907526"/>
    <w:rsid w:val="00911306"/>
    <w:rsid w:val="00911B6F"/>
    <w:rsid w:val="009131DD"/>
    <w:rsid w:val="00914645"/>
    <w:rsid w:val="009147AD"/>
    <w:rsid w:val="009149B9"/>
    <w:rsid w:val="009150C7"/>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0EF5"/>
    <w:rsid w:val="009412D8"/>
    <w:rsid w:val="009418FA"/>
    <w:rsid w:val="0094228C"/>
    <w:rsid w:val="0094240E"/>
    <w:rsid w:val="009425D4"/>
    <w:rsid w:val="009429F2"/>
    <w:rsid w:val="00943F2A"/>
    <w:rsid w:val="00943F63"/>
    <w:rsid w:val="0094626B"/>
    <w:rsid w:val="009468F8"/>
    <w:rsid w:val="00946A7B"/>
    <w:rsid w:val="00950554"/>
    <w:rsid w:val="009509B0"/>
    <w:rsid w:val="009515DF"/>
    <w:rsid w:val="00951F54"/>
    <w:rsid w:val="009538C7"/>
    <w:rsid w:val="00953A46"/>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A7B28"/>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53"/>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9EE"/>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56D"/>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5654"/>
    <w:rsid w:val="00AA56C2"/>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2736"/>
    <w:rsid w:val="00AC3CBD"/>
    <w:rsid w:val="00AC4105"/>
    <w:rsid w:val="00AC4573"/>
    <w:rsid w:val="00AC4CBF"/>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2739E"/>
    <w:rsid w:val="00B277DE"/>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493"/>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C4E"/>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04B"/>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D5579"/>
    <w:rsid w:val="00CD5913"/>
    <w:rsid w:val="00CE3E3F"/>
    <w:rsid w:val="00CE3E81"/>
    <w:rsid w:val="00CE4B0A"/>
    <w:rsid w:val="00CE4D8F"/>
    <w:rsid w:val="00CE5969"/>
    <w:rsid w:val="00CE5D0C"/>
    <w:rsid w:val="00CE7762"/>
    <w:rsid w:val="00CE7D3E"/>
    <w:rsid w:val="00CF05A8"/>
    <w:rsid w:val="00CF27CE"/>
    <w:rsid w:val="00CF303D"/>
    <w:rsid w:val="00CF3DD0"/>
    <w:rsid w:val="00CF45B0"/>
    <w:rsid w:val="00CF46EA"/>
    <w:rsid w:val="00CF4E1A"/>
    <w:rsid w:val="00CF518C"/>
    <w:rsid w:val="00CF5A3E"/>
    <w:rsid w:val="00CF7942"/>
    <w:rsid w:val="00CF7EE5"/>
    <w:rsid w:val="00D000EC"/>
    <w:rsid w:val="00D00991"/>
    <w:rsid w:val="00D0169E"/>
    <w:rsid w:val="00D02478"/>
    <w:rsid w:val="00D0331F"/>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CC0"/>
    <w:rsid w:val="00D50F2C"/>
    <w:rsid w:val="00D528EA"/>
    <w:rsid w:val="00D54258"/>
    <w:rsid w:val="00D54D85"/>
    <w:rsid w:val="00D550A0"/>
    <w:rsid w:val="00D55179"/>
    <w:rsid w:val="00D551BC"/>
    <w:rsid w:val="00D55446"/>
    <w:rsid w:val="00D57DB8"/>
    <w:rsid w:val="00D615C1"/>
    <w:rsid w:val="00D620E7"/>
    <w:rsid w:val="00D62860"/>
    <w:rsid w:val="00D62A3A"/>
    <w:rsid w:val="00D63502"/>
    <w:rsid w:val="00D63996"/>
    <w:rsid w:val="00D63EA9"/>
    <w:rsid w:val="00D64034"/>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CCF"/>
    <w:rsid w:val="00D85DC2"/>
    <w:rsid w:val="00D85FDB"/>
    <w:rsid w:val="00D8689E"/>
    <w:rsid w:val="00D872E6"/>
    <w:rsid w:val="00D87561"/>
    <w:rsid w:val="00D87B75"/>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54B8"/>
    <w:rsid w:val="00DF7DFD"/>
    <w:rsid w:val="00E00518"/>
    <w:rsid w:val="00E025AB"/>
    <w:rsid w:val="00E03FA1"/>
    <w:rsid w:val="00E04F26"/>
    <w:rsid w:val="00E056A1"/>
    <w:rsid w:val="00E05843"/>
    <w:rsid w:val="00E05D25"/>
    <w:rsid w:val="00E0620A"/>
    <w:rsid w:val="00E1056F"/>
    <w:rsid w:val="00E10F1F"/>
    <w:rsid w:val="00E11039"/>
    <w:rsid w:val="00E12670"/>
    <w:rsid w:val="00E13109"/>
    <w:rsid w:val="00E13AD9"/>
    <w:rsid w:val="00E1629A"/>
    <w:rsid w:val="00E17312"/>
    <w:rsid w:val="00E175D2"/>
    <w:rsid w:val="00E1782D"/>
    <w:rsid w:val="00E17A0A"/>
    <w:rsid w:val="00E17D51"/>
    <w:rsid w:val="00E20004"/>
    <w:rsid w:val="00E21091"/>
    <w:rsid w:val="00E2136C"/>
    <w:rsid w:val="00E23F86"/>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27E"/>
    <w:rsid w:val="00EA3C96"/>
    <w:rsid w:val="00EA3F85"/>
    <w:rsid w:val="00EA4276"/>
    <w:rsid w:val="00EA46E0"/>
    <w:rsid w:val="00EA4756"/>
    <w:rsid w:val="00EA4E6F"/>
    <w:rsid w:val="00EA4EE7"/>
    <w:rsid w:val="00EA6120"/>
    <w:rsid w:val="00EA61D2"/>
    <w:rsid w:val="00EA7511"/>
    <w:rsid w:val="00EB0A35"/>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4FF"/>
    <w:rsid w:val="00EC3A42"/>
    <w:rsid w:val="00EC4333"/>
    <w:rsid w:val="00EC4716"/>
    <w:rsid w:val="00EC63F4"/>
    <w:rsid w:val="00EC6966"/>
    <w:rsid w:val="00EC6C90"/>
    <w:rsid w:val="00EC6FC7"/>
    <w:rsid w:val="00ED01AF"/>
    <w:rsid w:val="00ED2AF3"/>
    <w:rsid w:val="00ED2E3E"/>
    <w:rsid w:val="00ED2F7A"/>
    <w:rsid w:val="00ED2FC5"/>
    <w:rsid w:val="00ED43AA"/>
    <w:rsid w:val="00ED47F8"/>
    <w:rsid w:val="00ED4DB5"/>
    <w:rsid w:val="00ED57BB"/>
    <w:rsid w:val="00ED7742"/>
    <w:rsid w:val="00ED7A40"/>
    <w:rsid w:val="00EE0395"/>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25B5"/>
    <w:rsid w:val="00FE3378"/>
    <w:rsid w:val="00FE34F3"/>
    <w:rsid w:val="00FE6044"/>
    <w:rsid w:val="00FE6C56"/>
    <w:rsid w:val="00FE7FC3"/>
    <w:rsid w:val="00FF034F"/>
    <w:rsid w:val="00FF19C7"/>
    <w:rsid w:val="00FF1CF7"/>
    <w:rsid w:val="00FF29D9"/>
    <w:rsid w:val="00FF3150"/>
    <w:rsid w:val="00FF3F77"/>
    <w:rsid w:val="00FF44D8"/>
    <w:rsid w:val="00FF4954"/>
    <w:rsid w:val="00FF4C65"/>
    <w:rsid w:val="00FF55F1"/>
    <w:rsid w:val="00FF682B"/>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character" w:customStyle="1" w:styleId="mc">
    <w:name w:val="mc"/>
    <w:basedOn w:val="DefaultParagraphFont"/>
    <w:rsid w:val="00801F44"/>
  </w:style>
  <w:style w:type="character" w:customStyle="1" w:styleId="g1">
    <w:name w:val="g1"/>
    <w:basedOn w:val="DefaultParagraphFont"/>
    <w:rsid w:val="0001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23592491">
      <w:bodyDiv w:val="1"/>
      <w:marLeft w:val="0"/>
      <w:marRight w:val="0"/>
      <w:marTop w:val="0"/>
      <w:marBottom w:val="0"/>
      <w:divBdr>
        <w:top w:val="none" w:sz="0" w:space="0" w:color="auto"/>
        <w:left w:val="none" w:sz="0" w:space="0" w:color="auto"/>
        <w:bottom w:val="none" w:sz="0" w:space="0" w:color="auto"/>
        <w:right w:val="none" w:sz="0" w:space="0" w:color="auto"/>
      </w:divBdr>
      <w:divsChild>
        <w:div w:id="2099518427">
          <w:marLeft w:val="0"/>
          <w:marRight w:val="0"/>
          <w:marTop w:val="120"/>
          <w:marBottom w:val="0"/>
          <w:divBdr>
            <w:top w:val="none" w:sz="0" w:space="0" w:color="auto"/>
            <w:left w:val="none" w:sz="0" w:space="0" w:color="auto"/>
            <w:bottom w:val="none" w:sz="0" w:space="0" w:color="auto"/>
            <w:right w:val="none" w:sz="0" w:space="0" w:color="auto"/>
          </w:divBdr>
        </w:div>
        <w:div w:id="908929666">
          <w:marLeft w:val="0"/>
          <w:marRight w:val="0"/>
          <w:marTop w:val="240"/>
          <w:marBottom w:val="24"/>
          <w:divBdr>
            <w:top w:val="single" w:sz="8" w:space="2" w:color="808080"/>
            <w:left w:val="none" w:sz="0" w:space="0" w:color="auto"/>
            <w:bottom w:val="none" w:sz="0" w:space="0" w:color="auto"/>
            <w:right w:val="none" w:sz="0" w:space="0" w:color="auto"/>
          </w:divBdr>
        </w:div>
        <w:div w:id="1431391601">
          <w:marLeft w:val="0"/>
          <w:marRight w:val="0"/>
          <w:marTop w:val="120"/>
          <w:marBottom w:val="0"/>
          <w:divBdr>
            <w:top w:val="none" w:sz="0" w:space="0" w:color="auto"/>
            <w:left w:val="none" w:sz="0" w:space="0" w:color="auto"/>
            <w:bottom w:val="none" w:sz="0" w:space="0" w:color="auto"/>
            <w:right w:val="none" w:sz="0" w:space="0" w:color="auto"/>
          </w:divBdr>
        </w:div>
        <w:div w:id="276834024">
          <w:marLeft w:val="0"/>
          <w:marRight w:val="0"/>
          <w:marTop w:val="120"/>
          <w:marBottom w:val="0"/>
          <w:divBdr>
            <w:top w:val="none" w:sz="0" w:space="0" w:color="auto"/>
            <w:left w:val="none" w:sz="0" w:space="0" w:color="auto"/>
            <w:bottom w:val="none" w:sz="0" w:space="0" w:color="auto"/>
            <w:right w:val="none" w:sz="0" w:space="0" w:color="auto"/>
          </w:divBdr>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AE97-AFCB-47F9-9A72-E11ABAF8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Sathish</cp:lastModifiedBy>
  <cp:revision>3</cp:revision>
  <cp:lastPrinted>2024-02-01T13:58:00Z</cp:lastPrinted>
  <dcterms:created xsi:type="dcterms:W3CDTF">2024-02-05T07:27:00Z</dcterms:created>
  <dcterms:modified xsi:type="dcterms:W3CDTF">2024-02-06T20:34:00Z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