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74576" w14:textId="77777777" w:rsidR="00C55A45" w:rsidRPr="001362A8" w:rsidRDefault="00C55A45" w:rsidP="00C55A45">
      <w:pPr>
        <w:jc w:val="center"/>
        <w:rPr>
          <w:rFonts w:ascii="Arial" w:hAnsi="Arial" w:cs="Arial"/>
          <w:b/>
          <w:bCs/>
        </w:rPr>
      </w:pPr>
      <w:bookmarkStart w:id="0" w:name="_GoBack"/>
      <w:r w:rsidRPr="001362A8">
        <w:rPr>
          <w:rFonts w:ascii="Arial" w:hAnsi="Arial" w:cs="Arial"/>
          <w:b/>
          <w:bCs/>
        </w:rPr>
        <w:t>IN THE HIGH COURT OF SOUTH AFRICA</w:t>
      </w:r>
    </w:p>
    <w:p w14:paraId="5220BA73" w14:textId="77777777" w:rsidR="00C55A45" w:rsidRPr="001362A8" w:rsidRDefault="00C55A45" w:rsidP="00C55A45">
      <w:pPr>
        <w:jc w:val="center"/>
        <w:rPr>
          <w:rFonts w:ascii="Arial" w:hAnsi="Arial" w:cs="Arial"/>
          <w:b/>
          <w:bCs/>
        </w:rPr>
      </w:pPr>
      <w:r w:rsidRPr="001362A8">
        <w:rPr>
          <w:rFonts w:ascii="Arial" w:hAnsi="Arial" w:cs="Arial"/>
          <w:b/>
          <w:bCs/>
        </w:rPr>
        <w:t xml:space="preserve">GAUTENG DIVISION, </w:t>
      </w:r>
      <w:r w:rsidR="00E92753" w:rsidRPr="001362A8">
        <w:rPr>
          <w:rFonts w:ascii="Arial" w:hAnsi="Arial" w:cs="Arial"/>
          <w:b/>
          <w:bCs/>
        </w:rPr>
        <w:t>JOHANNESBURG</w:t>
      </w:r>
    </w:p>
    <w:p w14:paraId="4C9DADE9" w14:textId="77777777" w:rsidR="00C55A45" w:rsidRPr="001362A8" w:rsidRDefault="00C55A45" w:rsidP="00C55A45">
      <w:pPr>
        <w:jc w:val="center"/>
        <w:rPr>
          <w:rFonts w:ascii="Arial" w:hAnsi="Arial" w:cs="Arial"/>
          <w:b/>
          <w:bCs/>
        </w:rPr>
      </w:pPr>
    </w:p>
    <w:p w14:paraId="58259F35" w14:textId="77777777" w:rsidR="00C55A45" w:rsidRPr="001362A8" w:rsidRDefault="00C55A45" w:rsidP="00C55A45">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1461"/>
        <w:gridCol w:w="2753"/>
        <w:gridCol w:w="236"/>
        <w:gridCol w:w="2994"/>
      </w:tblGrid>
      <w:tr w:rsidR="00C55A45" w:rsidRPr="001362A8" w14:paraId="1F4DD3A7" w14:textId="77777777" w:rsidTr="00B23B1C">
        <w:tc>
          <w:tcPr>
            <w:tcW w:w="2991" w:type="dxa"/>
            <w:gridSpan w:val="2"/>
          </w:tcPr>
          <w:p w14:paraId="36598CBF" w14:textId="45949119" w:rsidR="00C55A45" w:rsidRPr="001362A8" w:rsidRDefault="00C55A45" w:rsidP="0004522C">
            <w:pPr>
              <w:rPr>
                <w:rFonts w:ascii="Arial" w:hAnsi="Arial" w:cs="Arial"/>
              </w:rPr>
            </w:pPr>
          </w:p>
        </w:tc>
        <w:tc>
          <w:tcPr>
            <w:tcW w:w="2989" w:type="dxa"/>
            <w:gridSpan w:val="2"/>
          </w:tcPr>
          <w:p w14:paraId="247942B8" w14:textId="77777777" w:rsidR="00C55A45" w:rsidRPr="001362A8" w:rsidRDefault="00C55A45" w:rsidP="0004522C">
            <w:pPr>
              <w:rPr>
                <w:rFonts w:ascii="Arial" w:hAnsi="Arial" w:cs="Arial"/>
              </w:rPr>
            </w:pPr>
          </w:p>
        </w:tc>
        <w:tc>
          <w:tcPr>
            <w:tcW w:w="2994" w:type="dxa"/>
          </w:tcPr>
          <w:p w14:paraId="5B0163AF" w14:textId="77777777" w:rsidR="00C55A45" w:rsidRPr="001362A8" w:rsidRDefault="00C55A45" w:rsidP="0075092C">
            <w:pPr>
              <w:jc w:val="right"/>
              <w:rPr>
                <w:rFonts w:ascii="Arial" w:hAnsi="Arial" w:cs="Arial"/>
              </w:rPr>
            </w:pPr>
            <w:r w:rsidRPr="001362A8">
              <w:rPr>
                <w:rFonts w:ascii="Arial" w:hAnsi="Arial" w:cs="Arial"/>
              </w:rPr>
              <w:t>Case No.:</w:t>
            </w:r>
            <w:r w:rsidR="00E92753" w:rsidRPr="001362A8">
              <w:rPr>
                <w:rFonts w:ascii="Arial" w:hAnsi="Arial" w:cs="Arial"/>
              </w:rPr>
              <w:t xml:space="preserve"> 2022-021528</w:t>
            </w:r>
          </w:p>
          <w:p w14:paraId="5F5A1E6B" w14:textId="77777777" w:rsidR="00C55A45" w:rsidRPr="001362A8" w:rsidRDefault="00C55A45" w:rsidP="0075092C">
            <w:pPr>
              <w:jc w:val="right"/>
              <w:rPr>
                <w:rFonts w:ascii="Arial" w:hAnsi="Arial" w:cs="Arial"/>
              </w:rPr>
            </w:pPr>
          </w:p>
        </w:tc>
      </w:tr>
      <w:tr w:rsidR="00891CDB" w:rsidRPr="001362A8" w14:paraId="5C3A5B2E" w14:textId="77777777" w:rsidTr="00891CDB">
        <w:tc>
          <w:tcPr>
            <w:tcW w:w="1530" w:type="dxa"/>
          </w:tcPr>
          <w:p w14:paraId="61BFACD9" w14:textId="5802606D" w:rsidR="00891CDB" w:rsidRDefault="00891CDB" w:rsidP="00891CDB">
            <w:pPr>
              <w:rPr>
                <w:b/>
                <w:bCs/>
                <w:sz w:val="22"/>
                <w:szCs w:val="22"/>
                <w:lang w:val="en-GB"/>
              </w:rPr>
            </w:pPr>
            <w:r w:rsidRPr="007B7F59">
              <w:rPr>
                <w:rFonts w:cs="Arial"/>
                <w:noProof/>
                <w:lang w:val="en-US" w:eastAsia="en-US"/>
              </w:rPr>
              <mc:AlternateContent>
                <mc:Choice Requires="wps">
                  <w:drawing>
                    <wp:anchor distT="0" distB="0" distL="114300" distR="114300" simplePos="0" relativeHeight="251659264" behindDoc="0" locked="0" layoutInCell="1" allowOverlap="1" wp14:anchorId="4D717140" wp14:editId="6ED26063">
                      <wp:simplePos x="0" y="0"/>
                      <wp:positionH relativeFrom="margin">
                        <wp:posOffset>1270</wp:posOffset>
                      </wp:positionH>
                      <wp:positionV relativeFrom="page">
                        <wp:posOffset>-289560</wp:posOffset>
                      </wp:positionV>
                      <wp:extent cx="3230880" cy="129540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230880" cy="1295400"/>
                              </a:xfrm>
                              <a:prstGeom prst="rect">
                                <a:avLst/>
                              </a:prstGeom>
                              <a:solidFill>
                                <a:srgbClr val="FFFFFF"/>
                              </a:solidFill>
                              <a:ln w="9525">
                                <a:solidFill>
                                  <a:srgbClr val="000000"/>
                                </a:solidFill>
                                <a:miter lim="800000"/>
                                <a:headEnd/>
                                <a:tailEnd/>
                              </a:ln>
                            </wps:spPr>
                            <wps:txbx>
                              <w:txbxContent>
                                <w:p w14:paraId="16B7ADC6" w14:textId="3C331D04" w:rsidR="00891CDB" w:rsidRPr="009433D9" w:rsidRDefault="00DC21C9" w:rsidP="00DC21C9">
                                  <w:pPr>
                                    <w:tabs>
                                      <w:tab w:val="left" w:pos="900"/>
                                    </w:tabs>
                                    <w:ind w:left="900" w:hanging="720"/>
                                    <w:rPr>
                                      <w:rFonts w:cs="Arial"/>
                                      <w:sz w:val="18"/>
                                      <w:szCs w:val="20"/>
                                    </w:rPr>
                                  </w:pPr>
                                  <w:r w:rsidRPr="009433D9">
                                    <w:rPr>
                                      <w:rFonts w:cs="Arial"/>
                                      <w:sz w:val="18"/>
                                      <w:szCs w:val="20"/>
                                    </w:rPr>
                                    <w:t>(1)</w:t>
                                  </w:r>
                                  <w:r w:rsidRPr="009433D9">
                                    <w:rPr>
                                      <w:rFonts w:cs="Arial"/>
                                      <w:sz w:val="18"/>
                                      <w:szCs w:val="20"/>
                                    </w:rPr>
                                    <w:tab/>
                                  </w:r>
                                  <w:r w:rsidR="00891CDB" w:rsidRPr="003B746C">
                                    <w:rPr>
                                      <w:rFonts w:cs="Arial"/>
                                      <w:sz w:val="18"/>
                                      <w:szCs w:val="20"/>
                                    </w:rPr>
                                    <w:t>REPORTABLE</w:t>
                                  </w:r>
                                  <w:r w:rsidR="00891CDB" w:rsidRPr="009433D9">
                                    <w:rPr>
                                      <w:rFonts w:cs="Arial"/>
                                      <w:sz w:val="18"/>
                                      <w:szCs w:val="20"/>
                                    </w:rPr>
                                    <w:t>: NO</w:t>
                                  </w:r>
                                </w:p>
                                <w:p w14:paraId="1F9244C5" w14:textId="1E18E5C3" w:rsidR="00891CDB" w:rsidRPr="009433D9" w:rsidRDefault="00DC21C9" w:rsidP="00DC21C9">
                                  <w:pPr>
                                    <w:tabs>
                                      <w:tab w:val="left" w:pos="900"/>
                                    </w:tabs>
                                    <w:ind w:left="900" w:hanging="720"/>
                                    <w:rPr>
                                      <w:rFonts w:cs="Arial"/>
                                      <w:sz w:val="18"/>
                                      <w:szCs w:val="20"/>
                                    </w:rPr>
                                  </w:pPr>
                                  <w:r w:rsidRPr="009433D9">
                                    <w:rPr>
                                      <w:rFonts w:cs="Arial"/>
                                      <w:sz w:val="18"/>
                                      <w:szCs w:val="20"/>
                                    </w:rPr>
                                    <w:t>(2)</w:t>
                                  </w:r>
                                  <w:r w:rsidRPr="009433D9">
                                    <w:rPr>
                                      <w:rFonts w:cs="Arial"/>
                                      <w:sz w:val="18"/>
                                      <w:szCs w:val="20"/>
                                    </w:rPr>
                                    <w:tab/>
                                  </w:r>
                                  <w:r w:rsidR="00891CDB" w:rsidRPr="009433D9">
                                    <w:rPr>
                                      <w:rFonts w:cs="Arial"/>
                                      <w:sz w:val="18"/>
                                      <w:szCs w:val="20"/>
                                    </w:rPr>
                                    <w:t>OF INTEREST TO OTHER JUDGES: NO</w:t>
                                  </w:r>
                                </w:p>
                                <w:p w14:paraId="49650A1D" w14:textId="679018EB" w:rsidR="00891CDB" w:rsidRDefault="00DC21C9" w:rsidP="00DC21C9">
                                  <w:pPr>
                                    <w:tabs>
                                      <w:tab w:val="left" w:pos="900"/>
                                    </w:tabs>
                                    <w:ind w:left="900" w:hanging="720"/>
                                    <w:rPr>
                                      <w:rFonts w:cs="Arial"/>
                                      <w:sz w:val="18"/>
                                      <w:szCs w:val="20"/>
                                    </w:rPr>
                                  </w:pPr>
                                  <w:r>
                                    <w:rPr>
                                      <w:rFonts w:cs="Arial"/>
                                      <w:sz w:val="18"/>
                                      <w:szCs w:val="20"/>
                                    </w:rPr>
                                    <w:t>(3)</w:t>
                                  </w:r>
                                  <w:r>
                                    <w:rPr>
                                      <w:rFonts w:cs="Arial"/>
                                      <w:sz w:val="18"/>
                                      <w:szCs w:val="20"/>
                                    </w:rPr>
                                    <w:tab/>
                                  </w:r>
                                  <w:r w:rsidR="00891CDB" w:rsidRPr="009433D9">
                                    <w:rPr>
                                      <w:rFonts w:cs="Arial"/>
                                      <w:sz w:val="18"/>
                                      <w:szCs w:val="20"/>
                                    </w:rPr>
                                    <w:t>REVISED: NO</w:t>
                                  </w:r>
                                </w:p>
                                <w:p w14:paraId="4441DE7D" w14:textId="77777777" w:rsidR="00891CDB" w:rsidRPr="00B660BD" w:rsidRDefault="00891CDB" w:rsidP="00891CDB">
                                  <w:pPr>
                                    <w:pStyle w:val="JudgmentNumbered"/>
                                    <w:numPr>
                                      <w:ilvl w:val="0"/>
                                      <w:numId w:val="0"/>
                                    </w:numPr>
                                    <w:ind w:left="567"/>
                                  </w:pPr>
                                </w:p>
                                <w:p w14:paraId="2E014717" w14:textId="77777777" w:rsidR="00891CDB" w:rsidRPr="003B746C" w:rsidRDefault="00891CDB" w:rsidP="00891CDB">
                                  <w:pPr>
                                    <w:spacing w:before="240"/>
                                    <w:rPr>
                                      <w:rFonts w:cs="Arial"/>
                                      <w:b/>
                                      <w:sz w:val="18"/>
                                      <w:szCs w:val="20"/>
                                    </w:rPr>
                                  </w:pPr>
                                  <w:r>
                                    <w:rPr>
                                      <w:b/>
                                      <w:sz w:val="18"/>
                                      <w:szCs w:val="20"/>
                                      <w:u w:val="single"/>
                                    </w:rPr>
                                    <w:t xml:space="preserve">   </w:t>
                                  </w:r>
                                  <w:r w:rsidRPr="004522BA">
                                    <w:rPr>
                                      <w:b/>
                                      <w:sz w:val="18"/>
                                      <w:szCs w:val="20"/>
                                      <w:u w:val="single"/>
                                    </w:rPr>
                                    <w:t>05</w:t>
                                  </w:r>
                                  <w:r w:rsidRPr="004522BA">
                                    <w:rPr>
                                      <w:rFonts w:cs="Arial"/>
                                      <w:b/>
                                      <w:sz w:val="18"/>
                                      <w:szCs w:val="20"/>
                                      <w:u w:val="single"/>
                                    </w:rPr>
                                    <w:t>/</w:t>
                                  </w:r>
                                  <w:r w:rsidRPr="004522BA">
                                    <w:rPr>
                                      <w:b/>
                                      <w:sz w:val="18"/>
                                      <w:szCs w:val="20"/>
                                      <w:u w:val="single"/>
                                    </w:rPr>
                                    <w:t>2</w:t>
                                  </w:r>
                                  <w:r w:rsidRPr="004522BA">
                                    <w:rPr>
                                      <w:rFonts w:cs="Arial"/>
                                      <w:b/>
                                      <w:sz w:val="18"/>
                                      <w:szCs w:val="20"/>
                                      <w:u w:val="single"/>
                                    </w:rPr>
                                    <w:t>/202</w:t>
                                  </w:r>
                                  <w:r w:rsidRPr="004522BA">
                                    <w:rPr>
                                      <w:b/>
                                      <w:sz w:val="18"/>
                                      <w:szCs w:val="20"/>
                                      <w:u w:val="single"/>
                                    </w:rPr>
                                    <w:t>4</w:t>
                                  </w:r>
                                  <w:r w:rsidRPr="009433D9">
                                    <w:rPr>
                                      <w:rFonts w:cs="Arial"/>
                                      <w:b/>
                                      <w:sz w:val="18"/>
                                      <w:szCs w:val="20"/>
                                    </w:rPr>
                                    <w:tab/>
                                    <w:t>_________________________</w:t>
                                  </w:r>
                                </w:p>
                                <w:p w14:paraId="0211037E" w14:textId="77777777" w:rsidR="00891CDB" w:rsidRPr="003B746C" w:rsidRDefault="00891CDB" w:rsidP="00891CDB">
                                  <w:pPr>
                                    <w:rPr>
                                      <w:rFonts w:cs="Arial"/>
                                      <w:sz w:val="18"/>
                                      <w:szCs w:val="20"/>
                                    </w:rPr>
                                  </w:pPr>
                                  <w:r>
                                    <w:rPr>
                                      <w:sz w:val="18"/>
                                      <w:szCs w:val="20"/>
                                    </w:rPr>
                                    <w:t xml:space="preserve">      </w:t>
                                  </w: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17140" id="_x0000_t202" coordsize="21600,21600" o:spt="202" path="m,l,21600r21600,l21600,xe">
                      <v:stroke joinstyle="miter"/>
                      <v:path gradientshapeok="t" o:connecttype="rect"/>
                    </v:shapetype>
                    <v:shape id="Text Box 2" o:spid="_x0000_s1026" type="#_x0000_t202" style="position:absolute;margin-left:.1pt;margin-top:-22.8pt;width:254.4pt;height:102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">
                      <v:textbox>
                        <w:txbxContent>
                          <w:p w14:paraId="16B7ADC6" w14:textId="3C331D04" w:rsidR="00891CDB" w:rsidRPr="009433D9" w:rsidRDefault="00DC21C9" w:rsidP="00DC21C9">
                            <w:pPr>
                              <w:tabs>
                                <w:tab w:val="left" w:pos="900"/>
                              </w:tabs>
                              <w:ind w:left="900" w:hanging="720"/>
                              <w:rPr>
                                <w:rFonts w:cs="Arial"/>
                                <w:sz w:val="18"/>
                                <w:szCs w:val="20"/>
                              </w:rPr>
                            </w:pPr>
                            <w:r w:rsidRPr="009433D9">
                              <w:rPr>
                                <w:rFonts w:cs="Arial"/>
                                <w:sz w:val="18"/>
                                <w:szCs w:val="20"/>
                              </w:rPr>
                              <w:t>(1)</w:t>
                            </w:r>
                            <w:r w:rsidRPr="009433D9">
                              <w:rPr>
                                <w:rFonts w:cs="Arial"/>
                                <w:sz w:val="18"/>
                                <w:szCs w:val="20"/>
                              </w:rPr>
                              <w:tab/>
                            </w:r>
                            <w:r w:rsidR="00891CDB" w:rsidRPr="003B746C">
                              <w:rPr>
                                <w:rFonts w:cs="Arial"/>
                                <w:sz w:val="18"/>
                                <w:szCs w:val="20"/>
                              </w:rPr>
                              <w:t>REPORTABLE</w:t>
                            </w:r>
                            <w:r w:rsidR="00891CDB" w:rsidRPr="009433D9">
                              <w:rPr>
                                <w:rFonts w:cs="Arial"/>
                                <w:sz w:val="18"/>
                                <w:szCs w:val="20"/>
                              </w:rPr>
                              <w:t>: NO</w:t>
                            </w:r>
                          </w:p>
                          <w:p w14:paraId="1F9244C5" w14:textId="1E18E5C3" w:rsidR="00891CDB" w:rsidRPr="009433D9" w:rsidRDefault="00DC21C9" w:rsidP="00DC21C9">
                            <w:pPr>
                              <w:tabs>
                                <w:tab w:val="left" w:pos="900"/>
                              </w:tabs>
                              <w:ind w:left="900" w:hanging="720"/>
                              <w:rPr>
                                <w:rFonts w:cs="Arial"/>
                                <w:sz w:val="18"/>
                                <w:szCs w:val="20"/>
                              </w:rPr>
                            </w:pPr>
                            <w:r w:rsidRPr="009433D9">
                              <w:rPr>
                                <w:rFonts w:cs="Arial"/>
                                <w:sz w:val="18"/>
                                <w:szCs w:val="20"/>
                              </w:rPr>
                              <w:t>(2)</w:t>
                            </w:r>
                            <w:r w:rsidRPr="009433D9">
                              <w:rPr>
                                <w:rFonts w:cs="Arial"/>
                                <w:sz w:val="18"/>
                                <w:szCs w:val="20"/>
                              </w:rPr>
                              <w:tab/>
                            </w:r>
                            <w:r w:rsidR="00891CDB" w:rsidRPr="009433D9">
                              <w:rPr>
                                <w:rFonts w:cs="Arial"/>
                                <w:sz w:val="18"/>
                                <w:szCs w:val="20"/>
                              </w:rPr>
                              <w:t>OF INTEREST TO OTHER JUDGES: NO</w:t>
                            </w:r>
                          </w:p>
                          <w:p w14:paraId="49650A1D" w14:textId="679018EB" w:rsidR="00891CDB" w:rsidRDefault="00DC21C9" w:rsidP="00DC21C9">
                            <w:pPr>
                              <w:tabs>
                                <w:tab w:val="left" w:pos="900"/>
                              </w:tabs>
                              <w:ind w:left="900" w:hanging="720"/>
                              <w:rPr>
                                <w:rFonts w:cs="Arial"/>
                                <w:sz w:val="18"/>
                                <w:szCs w:val="20"/>
                              </w:rPr>
                            </w:pPr>
                            <w:r>
                              <w:rPr>
                                <w:rFonts w:cs="Arial"/>
                                <w:sz w:val="18"/>
                                <w:szCs w:val="20"/>
                              </w:rPr>
                              <w:t>(3)</w:t>
                            </w:r>
                            <w:r>
                              <w:rPr>
                                <w:rFonts w:cs="Arial"/>
                                <w:sz w:val="18"/>
                                <w:szCs w:val="20"/>
                              </w:rPr>
                              <w:tab/>
                            </w:r>
                            <w:r w:rsidR="00891CDB" w:rsidRPr="009433D9">
                              <w:rPr>
                                <w:rFonts w:cs="Arial"/>
                                <w:sz w:val="18"/>
                                <w:szCs w:val="20"/>
                              </w:rPr>
                              <w:t>REVISED: NO</w:t>
                            </w:r>
                          </w:p>
                          <w:p w14:paraId="4441DE7D" w14:textId="77777777" w:rsidR="00891CDB" w:rsidRPr="00B660BD" w:rsidRDefault="00891CDB" w:rsidP="00891CDB">
                            <w:pPr>
                              <w:pStyle w:val="JudgmentNumbered"/>
                              <w:numPr>
                                <w:ilvl w:val="0"/>
                                <w:numId w:val="0"/>
                              </w:numPr>
                              <w:ind w:left="567"/>
                            </w:pPr>
                          </w:p>
                          <w:p w14:paraId="2E014717" w14:textId="77777777" w:rsidR="00891CDB" w:rsidRPr="003B746C" w:rsidRDefault="00891CDB" w:rsidP="00891CDB">
                            <w:pPr>
                              <w:spacing w:before="240"/>
                              <w:rPr>
                                <w:rFonts w:cs="Arial"/>
                                <w:b/>
                                <w:sz w:val="18"/>
                                <w:szCs w:val="20"/>
                              </w:rPr>
                            </w:pPr>
                            <w:r>
                              <w:rPr>
                                <w:b/>
                                <w:sz w:val="18"/>
                                <w:szCs w:val="20"/>
                                <w:u w:val="single"/>
                              </w:rPr>
                              <w:t xml:space="preserve">   </w:t>
                            </w:r>
                            <w:r w:rsidRPr="004522BA">
                              <w:rPr>
                                <w:b/>
                                <w:sz w:val="18"/>
                                <w:szCs w:val="20"/>
                                <w:u w:val="single"/>
                              </w:rPr>
                              <w:t>05</w:t>
                            </w:r>
                            <w:r w:rsidRPr="004522BA">
                              <w:rPr>
                                <w:rFonts w:cs="Arial"/>
                                <w:b/>
                                <w:sz w:val="18"/>
                                <w:szCs w:val="20"/>
                                <w:u w:val="single"/>
                              </w:rPr>
                              <w:t>/</w:t>
                            </w:r>
                            <w:r w:rsidRPr="004522BA">
                              <w:rPr>
                                <w:b/>
                                <w:sz w:val="18"/>
                                <w:szCs w:val="20"/>
                                <w:u w:val="single"/>
                              </w:rPr>
                              <w:t>2</w:t>
                            </w:r>
                            <w:r w:rsidRPr="004522BA">
                              <w:rPr>
                                <w:rFonts w:cs="Arial"/>
                                <w:b/>
                                <w:sz w:val="18"/>
                                <w:szCs w:val="20"/>
                                <w:u w:val="single"/>
                              </w:rPr>
                              <w:t>/202</w:t>
                            </w:r>
                            <w:r w:rsidRPr="004522BA">
                              <w:rPr>
                                <w:b/>
                                <w:sz w:val="18"/>
                                <w:szCs w:val="20"/>
                                <w:u w:val="single"/>
                              </w:rPr>
                              <w:t>4</w:t>
                            </w:r>
                            <w:r w:rsidRPr="009433D9">
                              <w:rPr>
                                <w:rFonts w:cs="Arial"/>
                                <w:b/>
                                <w:sz w:val="18"/>
                                <w:szCs w:val="20"/>
                              </w:rPr>
                              <w:tab/>
                              <w:t>_________________________</w:t>
                            </w:r>
                          </w:p>
                          <w:p w14:paraId="0211037E" w14:textId="77777777" w:rsidR="00891CDB" w:rsidRPr="003B746C" w:rsidRDefault="00891CDB" w:rsidP="00891CDB">
                            <w:pPr>
                              <w:rPr>
                                <w:rFonts w:cs="Arial"/>
                                <w:sz w:val="18"/>
                                <w:szCs w:val="20"/>
                              </w:rPr>
                            </w:pPr>
                            <w:r>
                              <w:rPr>
                                <w:sz w:val="18"/>
                                <w:szCs w:val="20"/>
                              </w:rPr>
                              <w:t xml:space="preserve">      </w:t>
                            </w: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anchorx="margin" anchory="page"/>
                    </v:shape>
                  </w:pict>
                </mc:Fallback>
              </mc:AlternateContent>
            </w:r>
          </w:p>
          <w:p w14:paraId="1156E3E5" w14:textId="1D0EB354" w:rsidR="00891CDB" w:rsidRPr="007B7F59" w:rsidRDefault="00891CDB" w:rsidP="00891CDB">
            <w:pPr>
              <w:rPr>
                <w:rFonts w:cs="Arial"/>
              </w:rPr>
            </w:pPr>
          </w:p>
          <w:p w14:paraId="6CBA0483" w14:textId="77777777" w:rsidR="00891CDB" w:rsidRDefault="00891CDB" w:rsidP="0004522C">
            <w:pPr>
              <w:rPr>
                <w:rFonts w:ascii="Arial" w:hAnsi="Arial" w:cs="Arial"/>
              </w:rPr>
            </w:pPr>
          </w:p>
          <w:p w14:paraId="23EE801D" w14:textId="2395A037" w:rsidR="00891CDB" w:rsidRDefault="00891CDB" w:rsidP="0004522C">
            <w:pPr>
              <w:rPr>
                <w:rFonts w:ascii="Arial" w:hAnsi="Arial" w:cs="Arial"/>
              </w:rPr>
            </w:pPr>
          </w:p>
          <w:p w14:paraId="481E8355" w14:textId="67303C14" w:rsidR="00891CDB" w:rsidRDefault="00891CDB" w:rsidP="0004522C">
            <w:pPr>
              <w:rPr>
                <w:rFonts w:ascii="Arial" w:hAnsi="Arial" w:cs="Arial"/>
              </w:rPr>
            </w:pPr>
          </w:p>
          <w:p w14:paraId="232D1FFA" w14:textId="1CD04815" w:rsidR="00891CDB" w:rsidRDefault="00891CDB" w:rsidP="0004522C">
            <w:pPr>
              <w:rPr>
                <w:rFonts w:ascii="Arial" w:hAnsi="Arial" w:cs="Arial"/>
              </w:rPr>
            </w:pPr>
          </w:p>
          <w:p w14:paraId="5CFD4CB3" w14:textId="77777777" w:rsidR="00891CDB" w:rsidRDefault="00891CDB" w:rsidP="0004522C">
            <w:pPr>
              <w:rPr>
                <w:rFonts w:ascii="Arial" w:hAnsi="Arial" w:cs="Arial"/>
              </w:rPr>
            </w:pPr>
          </w:p>
          <w:p w14:paraId="311DF366" w14:textId="77777777" w:rsidR="00891CDB" w:rsidRPr="001362A8" w:rsidRDefault="00891CDB" w:rsidP="0004522C">
            <w:pPr>
              <w:rPr>
                <w:rFonts w:ascii="Arial" w:hAnsi="Arial" w:cs="Arial"/>
              </w:rPr>
            </w:pPr>
          </w:p>
        </w:tc>
        <w:tc>
          <w:tcPr>
            <w:tcW w:w="4450" w:type="dxa"/>
            <w:gridSpan w:val="3"/>
          </w:tcPr>
          <w:p w14:paraId="650F54FD" w14:textId="16751297" w:rsidR="00891CDB" w:rsidRPr="001362A8" w:rsidRDefault="00891CDB" w:rsidP="0004522C">
            <w:pPr>
              <w:rPr>
                <w:rFonts w:ascii="Arial" w:hAnsi="Arial" w:cs="Arial"/>
              </w:rPr>
            </w:pPr>
          </w:p>
        </w:tc>
        <w:tc>
          <w:tcPr>
            <w:tcW w:w="2994" w:type="dxa"/>
          </w:tcPr>
          <w:p w14:paraId="183C4BF3" w14:textId="77777777" w:rsidR="00891CDB" w:rsidRPr="001362A8" w:rsidRDefault="00891CDB" w:rsidP="0075092C">
            <w:pPr>
              <w:jc w:val="right"/>
              <w:rPr>
                <w:rFonts w:ascii="Arial" w:hAnsi="Arial" w:cs="Arial"/>
              </w:rPr>
            </w:pPr>
          </w:p>
        </w:tc>
      </w:tr>
      <w:tr w:rsidR="00C55A45" w:rsidRPr="001362A8" w14:paraId="63CA95D6" w14:textId="77777777" w:rsidTr="00B23B1C">
        <w:tc>
          <w:tcPr>
            <w:tcW w:w="2991" w:type="dxa"/>
            <w:gridSpan w:val="2"/>
          </w:tcPr>
          <w:p w14:paraId="07BD6CE9" w14:textId="77777777" w:rsidR="00C55A45" w:rsidRPr="001362A8" w:rsidRDefault="00C55A45" w:rsidP="0004522C">
            <w:pPr>
              <w:rPr>
                <w:rFonts w:ascii="Arial" w:hAnsi="Arial" w:cs="Arial"/>
              </w:rPr>
            </w:pPr>
            <w:r w:rsidRPr="001362A8">
              <w:rPr>
                <w:rFonts w:ascii="Arial" w:hAnsi="Arial" w:cs="Arial"/>
              </w:rPr>
              <w:t>In the matter between:</w:t>
            </w:r>
          </w:p>
          <w:p w14:paraId="0907E5D0" w14:textId="77777777" w:rsidR="00C55A45" w:rsidRPr="001362A8" w:rsidRDefault="00C55A45" w:rsidP="0004522C">
            <w:pPr>
              <w:rPr>
                <w:rFonts w:ascii="Arial" w:hAnsi="Arial" w:cs="Arial"/>
              </w:rPr>
            </w:pPr>
          </w:p>
        </w:tc>
        <w:tc>
          <w:tcPr>
            <w:tcW w:w="2989" w:type="dxa"/>
            <w:gridSpan w:val="2"/>
          </w:tcPr>
          <w:p w14:paraId="0F0814C3" w14:textId="77777777" w:rsidR="00C55A45" w:rsidRPr="001362A8" w:rsidRDefault="00C55A45" w:rsidP="0004522C">
            <w:pPr>
              <w:rPr>
                <w:rFonts w:ascii="Arial" w:hAnsi="Arial" w:cs="Arial"/>
              </w:rPr>
            </w:pPr>
          </w:p>
        </w:tc>
        <w:tc>
          <w:tcPr>
            <w:tcW w:w="2994" w:type="dxa"/>
          </w:tcPr>
          <w:p w14:paraId="44113928" w14:textId="77777777" w:rsidR="00C55A45" w:rsidRPr="001362A8" w:rsidRDefault="00C55A45" w:rsidP="0004522C">
            <w:pPr>
              <w:rPr>
                <w:rFonts w:ascii="Arial" w:hAnsi="Arial" w:cs="Arial"/>
              </w:rPr>
            </w:pPr>
          </w:p>
        </w:tc>
      </w:tr>
      <w:tr w:rsidR="00C55A45" w:rsidRPr="001362A8" w14:paraId="06F4F651" w14:textId="77777777" w:rsidTr="00B23B1C">
        <w:tc>
          <w:tcPr>
            <w:tcW w:w="5744" w:type="dxa"/>
            <w:gridSpan w:val="3"/>
          </w:tcPr>
          <w:p w14:paraId="6DE31891" w14:textId="77777777" w:rsidR="00C55A45" w:rsidRPr="001362A8" w:rsidRDefault="00E92753" w:rsidP="0004522C">
            <w:pPr>
              <w:rPr>
                <w:rFonts w:ascii="Arial" w:hAnsi="Arial" w:cs="Arial"/>
                <w:b/>
                <w:bCs/>
              </w:rPr>
            </w:pPr>
            <w:r w:rsidRPr="001362A8">
              <w:rPr>
                <w:rFonts w:ascii="Arial" w:hAnsi="Arial" w:cs="Arial"/>
                <w:b/>
                <w:bCs/>
              </w:rPr>
              <w:t>RHENUS LOGISTICS PROPRIETARY LIMITED (formerly WORLD NET LOGISTICS PROPRIETARY LIMITED)</w:t>
            </w:r>
          </w:p>
        </w:tc>
        <w:tc>
          <w:tcPr>
            <w:tcW w:w="236" w:type="dxa"/>
          </w:tcPr>
          <w:p w14:paraId="3C326D1C" w14:textId="77777777" w:rsidR="00C55A45" w:rsidRPr="001362A8" w:rsidRDefault="00C55A45" w:rsidP="0004522C">
            <w:pPr>
              <w:rPr>
                <w:rFonts w:ascii="Arial" w:hAnsi="Arial" w:cs="Arial"/>
              </w:rPr>
            </w:pPr>
          </w:p>
        </w:tc>
        <w:tc>
          <w:tcPr>
            <w:tcW w:w="2994" w:type="dxa"/>
          </w:tcPr>
          <w:p w14:paraId="75909D84" w14:textId="77777777" w:rsidR="00C55A45" w:rsidRPr="001362A8" w:rsidRDefault="00AA6D87" w:rsidP="0004522C">
            <w:pPr>
              <w:jc w:val="right"/>
              <w:rPr>
                <w:rFonts w:ascii="Arial" w:hAnsi="Arial" w:cs="Arial"/>
              </w:rPr>
            </w:pPr>
            <w:r>
              <w:rPr>
                <w:rFonts w:ascii="Arial" w:hAnsi="Arial" w:cs="Arial"/>
              </w:rPr>
              <w:t>Plaintiff</w:t>
            </w:r>
            <w:r w:rsidR="00090D8F">
              <w:rPr>
                <w:rFonts w:ascii="Arial" w:hAnsi="Arial" w:cs="Arial"/>
              </w:rPr>
              <w:t>/</w:t>
            </w:r>
            <w:r w:rsidR="006E147E">
              <w:rPr>
                <w:rFonts w:ascii="Arial" w:hAnsi="Arial" w:cs="Arial"/>
              </w:rPr>
              <w:t>Plaintiff</w:t>
            </w:r>
          </w:p>
          <w:p w14:paraId="47F7C2B2" w14:textId="77777777" w:rsidR="00C55A45" w:rsidRPr="001362A8" w:rsidRDefault="00C55A45" w:rsidP="0004522C">
            <w:pPr>
              <w:jc w:val="right"/>
              <w:rPr>
                <w:rFonts w:ascii="Arial" w:hAnsi="Arial" w:cs="Arial"/>
              </w:rPr>
            </w:pPr>
          </w:p>
        </w:tc>
      </w:tr>
      <w:tr w:rsidR="00C55A45" w:rsidRPr="001362A8" w14:paraId="07BA89EF" w14:textId="77777777" w:rsidTr="00B23B1C">
        <w:tc>
          <w:tcPr>
            <w:tcW w:w="2991" w:type="dxa"/>
            <w:gridSpan w:val="2"/>
          </w:tcPr>
          <w:p w14:paraId="7E9A381F" w14:textId="77777777" w:rsidR="00C55A45" w:rsidRPr="001362A8" w:rsidRDefault="00C55A45" w:rsidP="0004522C">
            <w:pPr>
              <w:rPr>
                <w:rFonts w:ascii="Arial" w:hAnsi="Arial" w:cs="Arial"/>
              </w:rPr>
            </w:pPr>
          </w:p>
          <w:p w14:paraId="7D67EE06" w14:textId="77777777" w:rsidR="00C55A45" w:rsidRPr="001362A8" w:rsidRDefault="00C55A45" w:rsidP="0004522C">
            <w:pPr>
              <w:rPr>
                <w:rFonts w:ascii="Arial" w:hAnsi="Arial" w:cs="Arial"/>
              </w:rPr>
            </w:pPr>
            <w:r w:rsidRPr="001362A8">
              <w:rPr>
                <w:rFonts w:ascii="Arial" w:hAnsi="Arial" w:cs="Arial"/>
              </w:rPr>
              <w:t>and</w:t>
            </w:r>
          </w:p>
          <w:p w14:paraId="17236A9F" w14:textId="77777777" w:rsidR="00C55A45" w:rsidRPr="001362A8" w:rsidRDefault="00C55A45" w:rsidP="0004522C">
            <w:pPr>
              <w:rPr>
                <w:rFonts w:ascii="Arial" w:hAnsi="Arial" w:cs="Arial"/>
              </w:rPr>
            </w:pPr>
          </w:p>
        </w:tc>
        <w:tc>
          <w:tcPr>
            <w:tcW w:w="2989" w:type="dxa"/>
            <w:gridSpan w:val="2"/>
          </w:tcPr>
          <w:p w14:paraId="44BE14C7" w14:textId="77777777" w:rsidR="00C55A45" w:rsidRPr="001362A8" w:rsidRDefault="00C55A45" w:rsidP="0004522C">
            <w:pPr>
              <w:rPr>
                <w:rFonts w:ascii="Arial" w:hAnsi="Arial" w:cs="Arial"/>
              </w:rPr>
            </w:pPr>
          </w:p>
        </w:tc>
        <w:tc>
          <w:tcPr>
            <w:tcW w:w="2994" w:type="dxa"/>
          </w:tcPr>
          <w:p w14:paraId="4B2FE6EA" w14:textId="77777777" w:rsidR="00C55A45" w:rsidRPr="001362A8" w:rsidRDefault="00C55A45" w:rsidP="0004522C">
            <w:pPr>
              <w:jc w:val="right"/>
              <w:rPr>
                <w:rFonts w:ascii="Arial" w:hAnsi="Arial" w:cs="Arial"/>
              </w:rPr>
            </w:pPr>
          </w:p>
        </w:tc>
      </w:tr>
      <w:tr w:rsidR="00C55A45" w:rsidRPr="001362A8" w14:paraId="3D1016FD" w14:textId="77777777" w:rsidTr="00B23B1C">
        <w:tc>
          <w:tcPr>
            <w:tcW w:w="5744" w:type="dxa"/>
            <w:gridSpan w:val="3"/>
          </w:tcPr>
          <w:p w14:paraId="1A4A5105" w14:textId="77777777" w:rsidR="00C55A45" w:rsidRPr="001362A8" w:rsidRDefault="00E92753" w:rsidP="0004522C">
            <w:pPr>
              <w:rPr>
                <w:rFonts w:ascii="Arial" w:hAnsi="Arial" w:cs="Arial"/>
                <w:b/>
                <w:bCs/>
              </w:rPr>
            </w:pPr>
            <w:r w:rsidRPr="001362A8">
              <w:rPr>
                <w:rFonts w:ascii="Arial" w:hAnsi="Arial" w:cs="Arial"/>
                <w:b/>
                <w:bCs/>
              </w:rPr>
              <w:t>GOOD TO GO TRADING CC</w:t>
            </w:r>
          </w:p>
        </w:tc>
        <w:tc>
          <w:tcPr>
            <w:tcW w:w="236" w:type="dxa"/>
          </w:tcPr>
          <w:p w14:paraId="3012F353" w14:textId="77777777" w:rsidR="00C55A45" w:rsidRPr="001362A8" w:rsidRDefault="00C55A45" w:rsidP="0004522C">
            <w:pPr>
              <w:rPr>
                <w:rFonts w:ascii="Arial" w:hAnsi="Arial" w:cs="Arial"/>
              </w:rPr>
            </w:pPr>
          </w:p>
        </w:tc>
        <w:tc>
          <w:tcPr>
            <w:tcW w:w="2994" w:type="dxa"/>
          </w:tcPr>
          <w:p w14:paraId="620D8E11" w14:textId="77777777" w:rsidR="00C55A45" w:rsidRPr="001362A8" w:rsidRDefault="00AA6D87" w:rsidP="0004522C">
            <w:pPr>
              <w:jc w:val="right"/>
              <w:rPr>
                <w:rFonts w:ascii="Arial" w:hAnsi="Arial" w:cs="Arial"/>
              </w:rPr>
            </w:pPr>
            <w:r>
              <w:rPr>
                <w:rFonts w:ascii="Arial" w:hAnsi="Arial" w:cs="Arial"/>
              </w:rPr>
              <w:t>Defendant</w:t>
            </w:r>
            <w:r w:rsidR="00090D8F">
              <w:rPr>
                <w:rFonts w:ascii="Arial" w:hAnsi="Arial" w:cs="Arial"/>
              </w:rPr>
              <w:t>/</w:t>
            </w:r>
            <w:r w:rsidR="006E147E">
              <w:rPr>
                <w:rFonts w:ascii="Arial" w:hAnsi="Arial" w:cs="Arial"/>
              </w:rPr>
              <w:t>Defendant</w:t>
            </w:r>
          </w:p>
        </w:tc>
      </w:tr>
      <w:tr w:rsidR="00B23B1C" w:rsidRPr="001362A8" w14:paraId="1D7586CE" w14:textId="77777777" w:rsidTr="00B23B1C">
        <w:tc>
          <w:tcPr>
            <w:tcW w:w="5744" w:type="dxa"/>
            <w:gridSpan w:val="3"/>
          </w:tcPr>
          <w:p w14:paraId="2D4EC892" w14:textId="77777777" w:rsidR="00B23B1C" w:rsidRPr="001362A8" w:rsidRDefault="00B23B1C" w:rsidP="0004522C">
            <w:pPr>
              <w:rPr>
                <w:rFonts w:ascii="Arial" w:hAnsi="Arial" w:cs="Arial"/>
                <w:b/>
                <w:bCs/>
              </w:rPr>
            </w:pPr>
          </w:p>
        </w:tc>
        <w:tc>
          <w:tcPr>
            <w:tcW w:w="236" w:type="dxa"/>
          </w:tcPr>
          <w:p w14:paraId="427148A7" w14:textId="77777777" w:rsidR="00B23B1C" w:rsidRPr="001362A8" w:rsidRDefault="00B23B1C" w:rsidP="0004522C">
            <w:pPr>
              <w:rPr>
                <w:rFonts w:ascii="Arial" w:hAnsi="Arial" w:cs="Arial"/>
              </w:rPr>
            </w:pPr>
          </w:p>
        </w:tc>
        <w:tc>
          <w:tcPr>
            <w:tcW w:w="2994" w:type="dxa"/>
          </w:tcPr>
          <w:p w14:paraId="0EFD10AD" w14:textId="77777777" w:rsidR="00B23B1C" w:rsidRPr="001362A8" w:rsidRDefault="00B23B1C" w:rsidP="0004522C">
            <w:pPr>
              <w:jc w:val="right"/>
              <w:rPr>
                <w:rFonts w:ascii="Arial" w:hAnsi="Arial" w:cs="Arial"/>
              </w:rPr>
            </w:pPr>
          </w:p>
        </w:tc>
      </w:tr>
    </w:tbl>
    <w:p w14:paraId="40C14B07" w14:textId="77777777" w:rsidR="00B23B1C" w:rsidRPr="001362A8" w:rsidRDefault="00B23B1C">
      <w:pPr>
        <w:rPr>
          <w:rFonts w:ascii="Arial" w:hAnsi="Arial" w:cs="Arial"/>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8974"/>
      </w:tblGrid>
      <w:tr w:rsidR="00C55A45" w:rsidRPr="001362A8" w14:paraId="5B611009" w14:textId="77777777" w:rsidTr="00B23B1C">
        <w:tc>
          <w:tcPr>
            <w:tcW w:w="8974" w:type="dxa"/>
          </w:tcPr>
          <w:p w14:paraId="52681C3D" w14:textId="77777777" w:rsidR="00C55A45" w:rsidRPr="001362A8" w:rsidRDefault="00C55A45" w:rsidP="0004522C">
            <w:pPr>
              <w:jc w:val="center"/>
              <w:rPr>
                <w:rFonts w:ascii="Arial" w:hAnsi="Arial" w:cs="Arial"/>
              </w:rPr>
            </w:pPr>
          </w:p>
          <w:p w14:paraId="7F10420C" w14:textId="77777777" w:rsidR="00C55A45" w:rsidRPr="001362A8" w:rsidRDefault="00C55A45" w:rsidP="0004522C">
            <w:pPr>
              <w:jc w:val="center"/>
              <w:rPr>
                <w:rFonts w:ascii="Arial" w:hAnsi="Arial" w:cs="Arial"/>
                <w:b/>
                <w:bCs/>
              </w:rPr>
            </w:pPr>
          </w:p>
          <w:p w14:paraId="2DC2CA29" w14:textId="77777777" w:rsidR="00C55A45" w:rsidRPr="001362A8" w:rsidRDefault="006E147E" w:rsidP="0004522C">
            <w:pPr>
              <w:jc w:val="center"/>
              <w:rPr>
                <w:rFonts w:ascii="Arial" w:hAnsi="Arial" w:cs="Arial"/>
                <w:b/>
                <w:bCs/>
              </w:rPr>
            </w:pPr>
            <w:r>
              <w:rPr>
                <w:rFonts w:ascii="Arial" w:hAnsi="Arial" w:cs="Arial"/>
                <w:b/>
                <w:bCs/>
              </w:rPr>
              <w:t>JUDGMENT</w:t>
            </w:r>
          </w:p>
          <w:p w14:paraId="24D24DDB" w14:textId="77777777" w:rsidR="00C55A45" w:rsidRPr="001362A8" w:rsidRDefault="00C55A45" w:rsidP="0004522C">
            <w:pPr>
              <w:jc w:val="center"/>
              <w:rPr>
                <w:rFonts w:ascii="Arial" w:hAnsi="Arial" w:cs="Arial"/>
                <w:b/>
                <w:bCs/>
              </w:rPr>
            </w:pPr>
          </w:p>
          <w:p w14:paraId="33017E8F" w14:textId="77777777" w:rsidR="00C55A45" w:rsidRPr="001362A8" w:rsidRDefault="00C55A45" w:rsidP="0004522C">
            <w:pPr>
              <w:jc w:val="center"/>
              <w:rPr>
                <w:rFonts w:ascii="Arial" w:hAnsi="Arial" w:cs="Arial"/>
              </w:rPr>
            </w:pPr>
          </w:p>
        </w:tc>
      </w:tr>
    </w:tbl>
    <w:p w14:paraId="35B10C2D" w14:textId="77777777" w:rsidR="008F7006" w:rsidRPr="001362A8" w:rsidRDefault="006E147E" w:rsidP="00014957">
      <w:pPr>
        <w:pStyle w:val="LFLMainHeading"/>
        <w:rPr>
          <w:rFonts w:ascii="Arial" w:hAnsi="Arial" w:cs="Arial"/>
          <w:sz w:val="24"/>
          <w:szCs w:val="24"/>
        </w:rPr>
      </w:pPr>
      <w:r>
        <w:rPr>
          <w:rFonts w:ascii="Arial" w:hAnsi="Arial" w:cs="Arial"/>
          <w:sz w:val="24"/>
          <w:szCs w:val="24"/>
        </w:rPr>
        <w:t>CORAM: NOWITZ AJ</w:t>
      </w:r>
    </w:p>
    <w:p w14:paraId="642CEB32" w14:textId="77777777" w:rsidR="00C55A45" w:rsidRPr="006E147E" w:rsidRDefault="00075E63" w:rsidP="006E147E">
      <w:pPr>
        <w:pStyle w:val="LFLMainHeading"/>
        <w:spacing w:line="360" w:lineRule="auto"/>
        <w:rPr>
          <w:rFonts w:ascii="Arial" w:hAnsi="Arial" w:cs="Arial"/>
          <w:szCs w:val="23"/>
          <w:u w:val="single"/>
        </w:rPr>
      </w:pPr>
      <w:r w:rsidRPr="006E147E">
        <w:rPr>
          <w:rFonts w:ascii="Arial" w:hAnsi="Arial" w:cs="Arial"/>
          <w:szCs w:val="23"/>
          <w:u w:val="single"/>
        </w:rPr>
        <w:t>INTRODUCTION</w:t>
      </w:r>
    </w:p>
    <w:p w14:paraId="2A47B6A1" w14:textId="41EACB90" w:rsidR="00075E63" w:rsidRPr="00AA6D87" w:rsidRDefault="00DC21C9" w:rsidP="00DC21C9">
      <w:pPr>
        <w:pStyle w:val="LFLMainPara"/>
        <w:numPr>
          <w:ilvl w:val="0"/>
          <w:numId w:val="0"/>
        </w:numPr>
        <w:tabs>
          <w:tab w:val="left" w:pos="737"/>
        </w:tabs>
        <w:spacing w:line="360" w:lineRule="auto"/>
        <w:ind w:left="737" w:hanging="737"/>
        <w:rPr>
          <w:sz w:val="24"/>
          <w:szCs w:val="24"/>
        </w:rPr>
      </w:pPr>
      <w:r w:rsidRPr="00AA6D87">
        <w:rPr>
          <w:sz w:val="24"/>
          <w:szCs w:val="24"/>
        </w:rPr>
        <w:t>1.</w:t>
      </w:r>
      <w:r w:rsidRPr="00AA6D87">
        <w:rPr>
          <w:sz w:val="24"/>
          <w:szCs w:val="24"/>
        </w:rPr>
        <w:tab/>
      </w:r>
      <w:r w:rsidR="00B13C1F" w:rsidRPr="00AA6D87">
        <w:rPr>
          <w:sz w:val="24"/>
          <w:szCs w:val="24"/>
        </w:rPr>
        <w:t>Th</w:t>
      </w:r>
      <w:r w:rsidR="006E147E" w:rsidRPr="00AA6D87">
        <w:rPr>
          <w:sz w:val="24"/>
          <w:szCs w:val="24"/>
        </w:rPr>
        <w:t>is is an Application for Summary Judgment, where the Plaintiff</w:t>
      </w:r>
      <w:r w:rsidR="00B13C1F" w:rsidRPr="00AA6D87">
        <w:rPr>
          <w:sz w:val="24"/>
          <w:szCs w:val="24"/>
        </w:rPr>
        <w:t xml:space="preserve">’s cause of action is based on an </w:t>
      </w:r>
      <w:r w:rsidR="006E147E" w:rsidRPr="00AA6D87">
        <w:rPr>
          <w:sz w:val="24"/>
          <w:szCs w:val="24"/>
        </w:rPr>
        <w:t>A</w:t>
      </w:r>
      <w:r w:rsidR="00B13C1F" w:rsidRPr="00AA6D87">
        <w:rPr>
          <w:sz w:val="24"/>
          <w:szCs w:val="24"/>
        </w:rPr>
        <w:t xml:space="preserve">cknowledgement of </w:t>
      </w:r>
      <w:r w:rsidR="006E147E" w:rsidRPr="00AA6D87">
        <w:rPr>
          <w:sz w:val="24"/>
          <w:szCs w:val="24"/>
        </w:rPr>
        <w:t>D</w:t>
      </w:r>
      <w:r w:rsidR="00B13C1F" w:rsidRPr="00AA6D87">
        <w:rPr>
          <w:sz w:val="24"/>
          <w:szCs w:val="24"/>
        </w:rPr>
        <w:t xml:space="preserve">ebt entered into between the </w:t>
      </w:r>
      <w:r w:rsidR="006E147E" w:rsidRPr="00AA6D87">
        <w:rPr>
          <w:sz w:val="24"/>
          <w:szCs w:val="24"/>
        </w:rPr>
        <w:t>Plaintiff</w:t>
      </w:r>
      <w:r w:rsidR="00B13C1F" w:rsidRPr="00AA6D87">
        <w:rPr>
          <w:sz w:val="24"/>
          <w:szCs w:val="24"/>
        </w:rPr>
        <w:t xml:space="preserve"> and the </w:t>
      </w:r>
      <w:r w:rsidR="006E147E" w:rsidRPr="00AA6D87">
        <w:rPr>
          <w:sz w:val="24"/>
          <w:szCs w:val="24"/>
        </w:rPr>
        <w:t>Defendant</w:t>
      </w:r>
      <w:r w:rsidR="00B13C1F" w:rsidRPr="00AA6D87">
        <w:rPr>
          <w:sz w:val="24"/>
          <w:szCs w:val="24"/>
        </w:rPr>
        <w:t xml:space="preserve"> on </w:t>
      </w:r>
      <w:r w:rsidR="00B13C1F" w:rsidRPr="00AA6D87">
        <w:rPr>
          <w:b/>
          <w:sz w:val="24"/>
          <w:szCs w:val="24"/>
        </w:rPr>
        <w:t>21 June 2018</w:t>
      </w:r>
      <w:r w:rsidR="00B13C1F" w:rsidRPr="00AA6D87">
        <w:rPr>
          <w:sz w:val="24"/>
          <w:szCs w:val="24"/>
        </w:rPr>
        <w:t xml:space="preserve"> (</w:t>
      </w:r>
      <w:r w:rsidR="00F11535" w:rsidRPr="00AA6D87">
        <w:rPr>
          <w:sz w:val="24"/>
          <w:szCs w:val="24"/>
        </w:rPr>
        <w:t>“</w:t>
      </w:r>
      <w:r w:rsidR="00B13C1F" w:rsidRPr="00AA6D87">
        <w:rPr>
          <w:sz w:val="24"/>
          <w:szCs w:val="24"/>
        </w:rPr>
        <w:t>the AOD”)</w:t>
      </w:r>
      <w:r w:rsidR="00525B46" w:rsidRPr="00AA6D87">
        <w:rPr>
          <w:sz w:val="24"/>
          <w:szCs w:val="24"/>
        </w:rPr>
        <w:t>.</w:t>
      </w:r>
      <w:r w:rsidR="00525B46" w:rsidRPr="00AA6D87">
        <w:rPr>
          <w:rStyle w:val="FootnoteReference"/>
          <w:sz w:val="24"/>
          <w:szCs w:val="24"/>
        </w:rPr>
        <w:footnoteReference w:id="1"/>
      </w:r>
    </w:p>
    <w:p w14:paraId="1C3613AF" w14:textId="7A2393D2" w:rsidR="00525B46" w:rsidRPr="00AA6D87" w:rsidRDefault="00DC21C9" w:rsidP="00DC21C9">
      <w:pPr>
        <w:pStyle w:val="LFLMainPara"/>
        <w:numPr>
          <w:ilvl w:val="0"/>
          <w:numId w:val="0"/>
        </w:numPr>
        <w:tabs>
          <w:tab w:val="left" w:pos="737"/>
        </w:tabs>
        <w:spacing w:line="360" w:lineRule="auto"/>
        <w:ind w:left="737" w:hanging="737"/>
        <w:rPr>
          <w:sz w:val="24"/>
          <w:szCs w:val="24"/>
        </w:rPr>
      </w:pPr>
      <w:r w:rsidRPr="00AA6D87">
        <w:rPr>
          <w:sz w:val="24"/>
          <w:szCs w:val="24"/>
        </w:rPr>
        <w:t>2.</w:t>
      </w:r>
      <w:r w:rsidRPr="00AA6D87">
        <w:rPr>
          <w:sz w:val="24"/>
          <w:szCs w:val="24"/>
        </w:rPr>
        <w:tab/>
      </w:r>
      <w:r w:rsidR="00525B46" w:rsidRPr="00AA6D87">
        <w:rPr>
          <w:sz w:val="24"/>
          <w:szCs w:val="24"/>
        </w:rPr>
        <w:t>The salient terms of the AOD are summarised below:</w:t>
      </w:r>
    </w:p>
    <w:p w14:paraId="619DE834" w14:textId="3911C79D" w:rsidR="00525B46" w:rsidRPr="00AA6D87" w:rsidRDefault="00DC21C9" w:rsidP="00DC21C9">
      <w:pPr>
        <w:pStyle w:val="LFLMainPara"/>
        <w:numPr>
          <w:ilvl w:val="0"/>
          <w:numId w:val="0"/>
        </w:numPr>
        <w:spacing w:line="360" w:lineRule="auto"/>
        <w:ind w:left="1457" w:hanging="720"/>
        <w:rPr>
          <w:sz w:val="24"/>
          <w:szCs w:val="24"/>
        </w:rPr>
      </w:pPr>
      <w:r w:rsidRPr="00AA6D87">
        <w:rPr>
          <w:sz w:val="24"/>
          <w:szCs w:val="24"/>
        </w:rPr>
        <w:t>2.1.</w:t>
      </w:r>
      <w:r w:rsidRPr="00AA6D87">
        <w:rPr>
          <w:sz w:val="24"/>
          <w:szCs w:val="24"/>
        </w:rPr>
        <w:tab/>
      </w:r>
      <w:r w:rsidR="00646C0F" w:rsidRPr="00AA6D87">
        <w:rPr>
          <w:sz w:val="24"/>
          <w:szCs w:val="24"/>
        </w:rPr>
        <w:t xml:space="preserve">The </w:t>
      </w:r>
      <w:r w:rsidR="006E147E" w:rsidRPr="00AA6D87">
        <w:rPr>
          <w:sz w:val="24"/>
          <w:szCs w:val="24"/>
        </w:rPr>
        <w:t>Defendant</w:t>
      </w:r>
      <w:r w:rsidR="00646C0F" w:rsidRPr="00AA6D87">
        <w:rPr>
          <w:sz w:val="24"/>
          <w:szCs w:val="24"/>
        </w:rPr>
        <w:t xml:space="preserve"> acknowledged that it is indebted to the </w:t>
      </w:r>
      <w:r w:rsidR="006E147E" w:rsidRPr="00AA6D87">
        <w:rPr>
          <w:sz w:val="24"/>
          <w:szCs w:val="24"/>
        </w:rPr>
        <w:t>Plaintiff</w:t>
      </w:r>
      <w:r w:rsidR="00646C0F" w:rsidRPr="00AA6D87">
        <w:rPr>
          <w:sz w:val="24"/>
          <w:szCs w:val="24"/>
        </w:rPr>
        <w:t xml:space="preserve"> in an amount of </w:t>
      </w:r>
      <w:r w:rsidR="00646C0F" w:rsidRPr="00AA0053">
        <w:rPr>
          <w:b/>
          <w:sz w:val="24"/>
          <w:szCs w:val="24"/>
        </w:rPr>
        <w:t>R1, 237, 912.88</w:t>
      </w:r>
      <w:r w:rsidR="00646C0F" w:rsidRPr="00AA6D87">
        <w:rPr>
          <w:sz w:val="24"/>
          <w:szCs w:val="24"/>
        </w:rPr>
        <w:t xml:space="preserve"> (“the Capital Sum”), plus interest calculated </w:t>
      </w:r>
      <w:r w:rsidR="00646C0F" w:rsidRPr="00AA6D87">
        <w:rPr>
          <w:sz w:val="24"/>
          <w:szCs w:val="24"/>
        </w:rPr>
        <w:lastRenderedPageBreak/>
        <w:t xml:space="preserve">at 2% above the prime lending rate of the </w:t>
      </w:r>
      <w:r w:rsidR="006E147E" w:rsidRPr="00AA6D87">
        <w:rPr>
          <w:sz w:val="24"/>
          <w:szCs w:val="24"/>
        </w:rPr>
        <w:t>Plaintiff</w:t>
      </w:r>
      <w:r w:rsidR="00646C0F" w:rsidRPr="00AA6D87">
        <w:rPr>
          <w:sz w:val="24"/>
          <w:szCs w:val="24"/>
        </w:rPr>
        <w:t>’s bankers, from time to time</w:t>
      </w:r>
      <w:r w:rsidR="00276B5B" w:rsidRPr="00AA6D87">
        <w:rPr>
          <w:sz w:val="24"/>
          <w:szCs w:val="24"/>
        </w:rPr>
        <w:t>;</w:t>
      </w:r>
    </w:p>
    <w:p w14:paraId="01E2059C" w14:textId="0A45F697" w:rsidR="00646C0F" w:rsidRPr="00AA6D87" w:rsidRDefault="00DC21C9" w:rsidP="00DC21C9">
      <w:pPr>
        <w:pStyle w:val="LFLMainPara"/>
        <w:numPr>
          <w:ilvl w:val="0"/>
          <w:numId w:val="0"/>
        </w:numPr>
        <w:spacing w:line="360" w:lineRule="auto"/>
        <w:ind w:left="1457" w:hanging="720"/>
        <w:rPr>
          <w:sz w:val="24"/>
          <w:szCs w:val="24"/>
        </w:rPr>
      </w:pPr>
      <w:r w:rsidRPr="00AA6D87">
        <w:rPr>
          <w:sz w:val="24"/>
          <w:szCs w:val="24"/>
        </w:rPr>
        <w:t>2.2.</w:t>
      </w:r>
      <w:r w:rsidRPr="00AA6D87">
        <w:rPr>
          <w:sz w:val="24"/>
          <w:szCs w:val="24"/>
        </w:rPr>
        <w:tab/>
      </w:r>
      <w:r w:rsidR="00276B5B" w:rsidRPr="00AA6D87">
        <w:rPr>
          <w:sz w:val="24"/>
          <w:szCs w:val="24"/>
        </w:rPr>
        <w:t xml:space="preserve">the </w:t>
      </w:r>
      <w:r w:rsidR="006E147E" w:rsidRPr="00AA6D87">
        <w:rPr>
          <w:sz w:val="24"/>
          <w:szCs w:val="24"/>
        </w:rPr>
        <w:t>Defendant</w:t>
      </w:r>
      <w:r w:rsidR="00276B5B" w:rsidRPr="00AA6D87">
        <w:rPr>
          <w:sz w:val="24"/>
          <w:szCs w:val="24"/>
        </w:rPr>
        <w:t xml:space="preserve"> undertook to </w:t>
      </w:r>
      <w:r w:rsidR="00601CE8" w:rsidRPr="00AA6D87">
        <w:rPr>
          <w:sz w:val="24"/>
          <w:szCs w:val="24"/>
        </w:rPr>
        <w:t xml:space="preserve">make </w:t>
      </w:r>
      <w:r w:rsidR="00276B5B" w:rsidRPr="00AA6D87">
        <w:rPr>
          <w:sz w:val="24"/>
          <w:szCs w:val="24"/>
        </w:rPr>
        <w:t>pay</w:t>
      </w:r>
      <w:r w:rsidR="00601CE8" w:rsidRPr="00AA6D87">
        <w:rPr>
          <w:sz w:val="24"/>
          <w:szCs w:val="24"/>
        </w:rPr>
        <w:t xml:space="preserve">ment to the </w:t>
      </w:r>
      <w:r w:rsidR="006E147E" w:rsidRPr="00AA6D87">
        <w:rPr>
          <w:sz w:val="24"/>
          <w:szCs w:val="24"/>
        </w:rPr>
        <w:t>Plaintiff</w:t>
      </w:r>
      <w:r w:rsidR="00601CE8" w:rsidRPr="00AA6D87">
        <w:rPr>
          <w:sz w:val="24"/>
          <w:szCs w:val="24"/>
        </w:rPr>
        <w:t xml:space="preserve"> on the following </w:t>
      </w:r>
      <w:r w:rsidR="006E147E" w:rsidRPr="00AA6D87">
        <w:rPr>
          <w:sz w:val="24"/>
          <w:szCs w:val="24"/>
        </w:rPr>
        <w:t>bases</w:t>
      </w:r>
      <w:r w:rsidR="00601CE8" w:rsidRPr="00AA6D87">
        <w:rPr>
          <w:sz w:val="24"/>
          <w:szCs w:val="24"/>
        </w:rPr>
        <w:t>:</w:t>
      </w:r>
    </w:p>
    <w:p w14:paraId="56FDE8AB" w14:textId="6BBB44A9" w:rsidR="00601CE8" w:rsidRPr="00AA6D87" w:rsidRDefault="00DC21C9" w:rsidP="00DC21C9">
      <w:pPr>
        <w:pStyle w:val="LFLMainPara"/>
        <w:numPr>
          <w:ilvl w:val="0"/>
          <w:numId w:val="0"/>
        </w:numPr>
        <w:spacing w:line="360" w:lineRule="auto"/>
        <w:ind w:left="2194" w:hanging="720"/>
        <w:rPr>
          <w:sz w:val="24"/>
          <w:szCs w:val="24"/>
        </w:rPr>
      </w:pPr>
      <w:r w:rsidRPr="00AA6D87">
        <w:rPr>
          <w:sz w:val="24"/>
          <w:szCs w:val="24"/>
        </w:rPr>
        <w:t>2.2.1.</w:t>
      </w:r>
      <w:r w:rsidRPr="00AA6D87">
        <w:rPr>
          <w:sz w:val="24"/>
          <w:szCs w:val="24"/>
        </w:rPr>
        <w:tab/>
      </w:r>
      <w:r w:rsidR="00601CE8" w:rsidRPr="00AA6D87">
        <w:rPr>
          <w:sz w:val="24"/>
          <w:szCs w:val="24"/>
        </w:rPr>
        <w:t xml:space="preserve">equal monthly instalments of an amount of R25, 000.00, with the first payment to be made on or before </w:t>
      </w:r>
      <w:r w:rsidR="00601CE8" w:rsidRPr="00AA6D87">
        <w:rPr>
          <w:b/>
          <w:sz w:val="24"/>
          <w:szCs w:val="24"/>
        </w:rPr>
        <w:t>10 May 2018</w:t>
      </w:r>
      <w:r w:rsidR="00601CE8" w:rsidRPr="00AA6D87">
        <w:rPr>
          <w:sz w:val="24"/>
          <w:szCs w:val="24"/>
        </w:rPr>
        <w:t>, and thereafter each instalment is to be paid on the 10</w:t>
      </w:r>
      <w:r w:rsidR="00601CE8" w:rsidRPr="00AA6D87">
        <w:rPr>
          <w:sz w:val="24"/>
          <w:szCs w:val="24"/>
          <w:vertAlign w:val="superscript"/>
        </w:rPr>
        <w:t>th</w:t>
      </w:r>
      <w:r w:rsidR="00601CE8" w:rsidRPr="00AA6D87">
        <w:rPr>
          <w:sz w:val="24"/>
          <w:szCs w:val="24"/>
        </w:rPr>
        <w:t xml:space="preserve"> of each month until the full outstanding amount is repaid to the </w:t>
      </w:r>
      <w:r w:rsidR="006E147E" w:rsidRPr="00AA6D87">
        <w:rPr>
          <w:sz w:val="24"/>
          <w:szCs w:val="24"/>
        </w:rPr>
        <w:t>Plaintiff</w:t>
      </w:r>
      <w:r w:rsidR="00601CE8" w:rsidRPr="00AA6D87">
        <w:rPr>
          <w:sz w:val="24"/>
          <w:szCs w:val="24"/>
        </w:rPr>
        <w:t>;</w:t>
      </w:r>
      <w:r w:rsidR="00003734" w:rsidRPr="00AA6D87">
        <w:rPr>
          <w:rStyle w:val="FootnoteReference"/>
          <w:sz w:val="24"/>
          <w:szCs w:val="24"/>
        </w:rPr>
        <w:footnoteReference w:id="2"/>
      </w:r>
    </w:p>
    <w:p w14:paraId="65D3CE66" w14:textId="604254C7" w:rsidR="00601CE8" w:rsidRPr="00AA6D87" w:rsidRDefault="00DC21C9" w:rsidP="00DC21C9">
      <w:pPr>
        <w:pStyle w:val="LFLMainPara"/>
        <w:numPr>
          <w:ilvl w:val="0"/>
          <w:numId w:val="0"/>
        </w:numPr>
        <w:spacing w:line="360" w:lineRule="auto"/>
        <w:ind w:left="2194" w:hanging="720"/>
        <w:rPr>
          <w:sz w:val="24"/>
          <w:szCs w:val="24"/>
        </w:rPr>
      </w:pPr>
      <w:r w:rsidRPr="00AA6D87">
        <w:rPr>
          <w:sz w:val="24"/>
          <w:szCs w:val="24"/>
        </w:rPr>
        <w:t>2.2.2.</w:t>
      </w:r>
      <w:r w:rsidRPr="00AA6D87">
        <w:rPr>
          <w:sz w:val="24"/>
          <w:szCs w:val="24"/>
        </w:rPr>
        <w:tab/>
      </w:r>
      <w:r w:rsidR="00601CE8" w:rsidRPr="00AA6D87">
        <w:rPr>
          <w:sz w:val="24"/>
          <w:szCs w:val="24"/>
        </w:rPr>
        <w:t>interest w</w:t>
      </w:r>
      <w:r w:rsidR="00824A08" w:rsidRPr="00AA6D87">
        <w:rPr>
          <w:sz w:val="24"/>
          <w:szCs w:val="24"/>
        </w:rPr>
        <w:t>ould</w:t>
      </w:r>
      <w:r w:rsidR="00601CE8" w:rsidRPr="00AA6D87">
        <w:rPr>
          <w:sz w:val="24"/>
          <w:szCs w:val="24"/>
        </w:rPr>
        <w:t xml:space="preserve"> be paid as follows:</w:t>
      </w:r>
    </w:p>
    <w:p w14:paraId="09A20D94" w14:textId="5FFF4D38" w:rsidR="00601CE8" w:rsidRPr="00AA6D87" w:rsidRDefault="00DC21C9" w:rsidP="00DC21C9">
      <w:pPr>
        <w:pStyle w:val="LFLMainPara"/>
        <w:numPr>
          <w:ilvl w:val="0"/>
          <w:numId w:val="0"/>
        </w:numPr>
        <w:spacing w:line="360" w:lineRule="auto"/>
        <w:ind w:left="3544" w:hanging="1304"/>
        <w:rPr>
          <w:sz w:val="24"/>
          <w:szCs w:val="24"/>
        </w:rPr>
      </w:pPr>
      <w:r w:rsidRPr="00AA6D87">
        <w:rPr>
          <w:sz w:val="24"/>
          <w:szCs w:val="24"/>
        </w:rPr>
        <w:t>2.2.2.1.</w:t>
      </w:r>
      <w:r w:rsidRPr="00AA6D87">
        <w:rPr>
          <w:sz w:val="24"/>
          <w:szCs w:val="24"/>
        </w:rPr>
        <w:tab/>
      </w:r>
      <w:r w:rsidR="00824A08" w:rsidRPr="00AA6D87">
        <w:rPr>
          <w:sz w:val="24"/>
          <w:szCs w:val="24"/>
        </w:rPr>
        <w:t>no interest for the first 6 months;</w:t>
      </w:r>
      <w:r w:rsidR="00003734" w:rsidRPr="00AA6D87">
        <w:rPr>
          <w:rStyle w:val="FootnoteReference"/>
          <w:sz w:val="24"/>
          <w:szCs w:val="24"/>
        </w:rPr>
        <w:footnoteReference w:id="3"/>
      </w:r>
    </w:p>
    <w:p w14:paraId="28EF972C" w14:textId="5F767F52" w:rsidR="00824A08" w:rsidRPr="00AA6D87" w:rsidRDefault="00DC21C9" w:rsidP="00DC21C9">
      <w:pPr>
        <w:pStyle w:val="LFLMainPara"/>
        <w:numPr>
          <w:ilvl w:val="0"/>
          <w:numId w:val="0"/>
        </w:numPr>
        <w:spacing w:line="360" w:lineRule="auto"/>
        <w:ind w:left="3544" w:hanging="1304"/>
        <w:rPr>
          <w:sz w:val="24"/>
          <w:szCs w:val="24"/>
        </w:rPr>
      </w:pPr>
      <w:r w:rsidRPr="00AA6D87">
        <w:rPr>
          <w:sz w:val="24"/>
          <w:szCs w:val="24"/>
        </w:rPr>
        <w:t>2.2.2.2.</w:t>
      </w:r>
      <w:r w:rsidRPr="00AA6D87">
        <w:rPr>
          <w:sz w:val="24"/>
          <w:szCs w:val="24"/>
        </w:rPr>
        <w:tab/>
      </w:r>
      <w:r w:rsidR="00824A08" w:rsidRPr="00AA6D87">
        <w:rPr>
          <w:sz w:val="24"/>
          <w:szCs w:val="24"/>
        </w:rPr>
        <w:t>thereafter, for the following 6 months, interest would be payable at a rate of 6% per annum;</w:t>
      </w:r>
      <w:r w:rsidR="00003734" w:rsidRPr="00AA6D87">
        <w:rPr>
          <w:sz w:val="24"/>
          <w:szCs w:val="24"/>
        </w:rPr>
        <w:footnoteReference w:id="4"/>
      </w:r>
    </w:p>
    <w:p w14:paraId="0A873380" w14:textId="0E57F59F" w:rsidR="00824A08" w:rsidRPr="00AA6D87" w:rsidRDefault="00DC21C9" w:rsidP="00DC21C9">
      <w:pPr>
        <w:pStyle w:val="LFLMainPara"/>
        <w:numPr>
          <w:ilvl w:val="0"/>
          <w:numId w:val="0"/>
        </w:numPr>
        <w:spacing w:line="360" w:lineRule="auto"/>
        <w:ind w:left="3544" w:hanging="1304"/>
        <w:rPr>
          <w:sz w:val="24"/>
          <w:szCs w:val="24"/>
        </w:rPr>
      </w:pPr>
      <w:r w:rsidRPr="00AA6D87">
        <w:rPr>
          <w:sz w:val="24"/>
          <w:szCs w:val="24"/>
        </w:rPr>
        <w:t>2.2.2.3.</w:t>
      </w:r>
      <w:r w:rsidRPr="00AA6D87">
        <w:rPr>
          <w:sz w:val="24"/>
          <w:szCs w:val="24"/>
        </w:rPr>
        <w:tab/>
      </w:r>
      <w:r w:rsidR="00824A08" w:rsidRPr="00AA6D87">
        <w:rPr>
          <w:sz w:val="24"/>
          <w:szCs w:val="24"/>
        </w:rPr>
        <w:t xml:space="preserve">thereafter interest would be payable at a rate of 2% above the prime lending rate of the </w:t>
      </w:r>
      <w:r w:rsidR="006E147E" w:rsidRPr="00AA6D87">
        <w:rPr>
          <w:sz w:val="24"/>
          <w:szCs w:val="24"/>
        </w:rPr>
        <w:t>Plaintiff</w:t>
      </w:r>
      <w:r w:rsidR="00824A08" w:rsidRPr="00AA6D87">
        <w:rPr>
          <w:sz w:val="24"/>
          <w:szCs w:val="24"/>
        </w:rPr>
        <w:t>’s bankers</w:t>
      </w:r>
      <w:r w:rsidR="00003734" w:rsidRPr="00AA6D87">
        <w:rPr>
          <w:sz w:val="24"/>
          <w:szCs w:val="24"/>
        </w:rPr>
        <w:t>;</w:t>
      </w:r>
      <w:r w:rsidR="00003734" w:rsidRPr="00AA6D87">
        <w:rPr>
          <w:rStyle w:val="FootnoteReference"/>
          <w:sz w:val="24"/>
          <w:szCs w:val="24"/>
        </w:rPr>
        <w:footnoteReference w:id="5"/>
      </w:r>
    </w:p>
    <w:p w14:paraId="7FCF7808" w14:textId="3D1FF71D" w:rsidR="00003734" w:rsidRPr="00AA6D87" w:rsidRDefault="00DC21C9" w:rsidP="00DC21C9">
      <w:pPr>
        <w:pStyle w:val="LFLMainPara"/>
        <w:numPr>
          <w:ilvl w:val="0"/>
          <w:numId w:val="0"/>
        </w:numPr>
        <w:spacing w:line="360" w:lineRule="auto"/>
        <w:ind w:left="2194" w:hanging="720"/>
        <w:rPr>
          <w:sz w:val="24"/>
          <w:szCs w:val="24"/>
        </w:rPr>
      </w:pPr>
      <w:r w:rsidRPr="00AA6D87">
        <w:rPr>
          <w:sz w:val="24"/>
          <w:szCs w:val="24"/>
        </w:rPr>
        <w:t>2.2.3.</w:t>
      </w:r>
      <w:r w:rsidRPr="00AA6D87">
        <w:rPr>
          <w:sz w:val="24"/>
          <w:szCs w:val="24"/>
        </w:rPr>
        <w:tab/>
      </w:r>
      <w:r w:rsidR="00003734" w:rsidRPr="00AA6D87">
        <w:rPr>
          <w:sz w:val="24"/>
          <w:szCs w:val="24"/>
        </w:rPr>
        <w:t xml:space="preserve">If the </w:t>
      </w:r>
      <w:r w:rsidR="006E147E" w:rsidRPr="00AA6D87">
        <w:rPr>
          <w:sz w:val="24"/>
          <w:szCs w:val="24"/>
        </w:rPr>
        <w:t>Defendant</w:t>
      </w:r>
      <w:r w:rsidR="00003734" w:rsidRPr="00AA6D87">
        <w:rPr>
          <w:sz w:val="24"/>
          <w:szCs w:val="24"/>
        </w:rPr>
        <w:t xml:space="preserve"> defaulted on any of its obligations under the AOD the full outstanding balance would immediately become due, owing and payable to the </w:t>
      </w:r>
      <w:r w:rsidR="006E147E" w:rsidRPr="00AA6D87">
        <w:rPr>
          <w:sz w:val="24"/>
          <w:szCs w:val="24"/>
        </w:rPr>
        <w:t>Plaintiff</w:t>
      </w:r>
      <w:r w:rsidR="00003734" w:rsidRPr="00AA6D87">
        <w:rPr>
          <w:sz w:val="24"/>
          <w:szCs w:val="24"/>
        </w:rPr>
        <w:t>;</w:t>
      </w:r>
      <w:r w:rsidR="00003734" w:rsidRPr="00AA6D87">
        <w:rPr>
          <w:sz w:val="16"/>
          <w:szCs w:val="16"/>
        </w:rPr>
        <w:footnoteReference w:id="6"/>
      </w:r>
    </w:p>
    <w:p w14:paraId="553CD67F" w14:textId="1DF78E6F" w:rsidR="00003734" w:rsidRPr="00AA6D87" w:rsidRDefault="00DC21C9" w:rsidP="00DC21C9">
      <w:pPr>
        <w:pStyle w:val="LFLMainPara"/>
        <w:numPr>
          <w:ilvl w:val="0"/>
          <w:numId w:val="0"/>
        </w:numPr>
        <w:spacing w:line="360" w:lineRule="auto"/>
        <w:ind w:left="2194" w:hanging="720"/>
        <w:rPr>
          <w:sz w:val="24"/>
          <w:szCs w:val="24"/>
        </w:rPr>
      </w:pPr>
      <w:r w:rsidRPr="00AA6D87">
        <w:rPr>
          <w:sz w:val="24"/>
          <w:szCs w:val="24"/>
        </w:rPr>
        <w:t>2.2.4.</w:t>
      </w:r>
      <w:r w:rsidRPr="00AA6D87">
        <w:rPr>
          <w:sz w:val="24"/>
          <w:szCs w:val="24"/>
        </w:rPr>
        <w:tab/>
      </w:r>
      <w:r w:rsidR="00003734" w:rsidRPr="00AA6D87">
        <w:rPr>
          <w:sz w:val="24"/>
          <w:szCs w:val="24"/>
        </w:rPr>
        <w:t xml:space="preserve">The </w:t>
      </w:r>
      <w:r w:rsidR="006E147E" w:rsidRPr="00AA6D87">
        <w:rPr>
          <w:sz w:val="24"/>
          <w:szCs w:val="24"/>
        </w:rPr>
        <w:t>Defendant</w:t>
      </w:r>
      <w:r w:rsidR="00003734" w:rsidRPr="00AA6D87">
        <w:rPr>
          <w:sz w:val="24"/>
          <w:szCs w:val="24"/>
        </w:rPr>
        <w:t xml:space="preserve"> warranted that</w:t>
      </w:r>
      <w:r w:rsidR="00C651E2" w:rsidRPr="00AA6D87">
        <w:rPr>
          <w:sz w:val="24"/>
          <w:szCs w:val="24"/>
        </w:rPr>
        <w:t>, at the date of signing the AOD,</w:t>
      </w:r>
      <w:r w:rsidR="00003734" w:rsidRPr="00AA6D87">
        <w:rPr>
          <w:sz w:val="24"/>
          <w:szCs w:val="24"/>
        </w:rPr>
        <w:t xml:space="preserve"> its annual turnover and/or asset value exceeded the threshold </w:t>
      </w:r>
      <w:r w:rsidR="00147835" w:rsidRPr="00AA6D87">
        <w:rPr>
          <w:sz w:val="24"/>
          <w:szCs w:val="24"/>
        </w:rPr>
        <w:lastRenderedPageBreak/>
        <w:t>contemplated in section 4 of the National Credit Act, 34 of 2005</w:t>
      </w:r>
      <w:r w:rsidR="00AD5261" w:rsidRPr="00AA6D87">
        <w:rPr>
          <w:sz w:val="24"/>
          <w:szCs w:val="24"/>
        </w:rPr>
        <w:t xml:space="preserve"> (“the NCA”)</w:t>
      </w:r>
      <w:r w:rsidR="00147835" w:rsidRPr="00AA6D87">
        <w:rPr>
          <w:sz w:val="24"/>
          <w:szCs w:val="24"/>
        </w:rPr>
        <w:t>;</w:t>
      </w:r>
      <w:r w:rsidR="00147835" w:rsidRPr="00AA6D87">
        <w:rPr>
          <w:sz w:val="16"/>
          <w:szCs w:val="16"/>
        </w:rPr>
        <w:footnoteReference w:id="7"/>
      </w:r>
    </w:p>
    <w:p w14:paraId="19FDAF44" w14:textId="4CD4E239" w:rsidR="00147835" w:rsidRPr="00AA6D87" w:rsidRDefault="00DC21C9" w:rsidP="00DC21C9">
      <w:pPr>
        <w:pStyle w:val="LFLMainPara"/>
        <w:numPr>
          <w:ilvl w:val="0"/>
          <w:numId w:val="0"/>
        </w:numPr>
        <w:spacing w:line="360" w:lineRule="auto"/>
        <w:ind w:left="2194" w:hanging="720"/>
        <w:rPr>
          <w:sz w:val="24"/>
          <w:szCs w:val="24"/>
        </w:rPr>
      </w:pPr>
      <w:r w:rsidRPr="00AA6D87">
        <w:rPr>
          <w:sz w:val="24"/>
          <w:szCs w:val="24"/>
        </w:rPr>
        <w:t>2.2.5.</w:t>
      </w:r>
      <w:r w:rsidRPr="00AA6D87">
        <w:rPr>
          <w:sz w:val="24"/>
          <w:szCs w:val="24"/>
        </w:rPr>
        <w:tab/>
      </w:r>
      <w:r w:rsidR="00663303" w:rsidRPr="00AA6D87">
        <w:rPr>
          <w:sz w:val="24"/>
          <w:szCs w:val="24"/>
        </w:rPr>
        <w:t>The AOD is the whole agreement between the parties;</w:t>
      </w:r>
      <w:r w:rsidR="00663303" w:rsidRPr="00AA6D87">
        <w:rPr>
          <w:sz w:val="16"/>
          <w:szCs w:val="16"/>
        </w:rPr>
        <w:footnoteReference w:id="8"/>
      </w:r>
    </w:p>
    <w:p w14:paraId="3439711C" w14:textId="0F65BB73" w:rsidR="00663303" w:rsidRPr="00AA6D87" w:rsidRDefault="00DC21C9" w:rsidP="00DC21C9">
      <w:pPr>
        <w:pStyle w:val="LFLMainPara"/>
        <w:numPr>
          <w:ilvl w:val="0"/>
          <w:numId w:val="0"/>
        </w:numPr>
        <w:spacing w:line="360" w:lineRule="auto"/>
        <w:ind w:left="2194" w:hanging="720"/>
        <w:rPr>
          <w:sz w:val="24"/>
          <w:szCs w:val="24"/>
        </w:rPr>
      </w:pPr>
      <w:r w:rsidRPr="00AA6D87">
        <w:rPr>
          <w:sz w:val="24"/>
          <w:szCs w:val="24"/>
        </w:rPr>
        <w:t>2.2.6.</w:t>
      </w:r>
      <w:r w:rsidRPr="00AA6D87">
        <w:rPr>
          <w:sz w:val="24"/>
          <w:szCs w:val="24"/>
        </w:rPr>
        <w:tab/>
      </w:r>
      <w:r w:rsidR="00663303" w:rsidRPr="00AA6D87">
        <w:rPr>
          <w:sz w:val="24"/>
          <w:szCs w:val="24"/>
        </w:rPr>
        <w:t>No variation of the AOD will be binding on the parties unless agreed in writing and signed by both parties;</w:t>
      </w:r>
      <w:r w:rsidR="00663303" w:rsidRPr="00AA6D87">
        <w:rPr>
          <w:sz w:val="16"/>
          <w:szCs w:val="16"/>
        </w:rPr>
        <w:footnoteReference w:id="9"/>
      </w:r>
    </w:p>
    <w:p w14:paraId="1AB51BDC" w14:textId="5E982F91" w:rsidR="00663303" w:rsidRPr="00AA6D87" w:rsidRDefault="00DC21C9" w:rsidP="00DC21C9">
      <w:pPr>
        <w:pStyle w:val="LFLMainPara"/>
        <w:numPr>
          <w:ilvl w:val="0"/>
          <w:numId w:val="0"/>
        </w:numPr>
        <w:spacing w:line="360" w:lineRule="auto"/>
        <w:ind w:left="2194" w:hanging="720"/>
        <w:rPr>
          <w:sz w:val="24"/>
          <w:szCs w:val="24"/>
        </w:rPr>
      </w:pPr>
      <w:r w:rsidRPr="00AA6D87">
        <w:rPr>
          <w:sz w:val="24"/>
          <w:szCs w:val="24"/>
        </w:rPr>
        <w:t>2.2.7.</w:t>
      </w:r>
      <w:r w:rsidRPr="00AA6D87">
        <w:rPr>
          <w:sz w:val="24"/>
          <w:szCs w:val="24"/>
        </w:rPr>
        <w:tab/>
      </w:r>
      <w:r w:rsidR="00663303" w:rsidRPr="00AA6D87">
        <w:rPr>
          <w:sz w:val="24"/>
          <w:szCs w:val="24"/>
        </w:rPr>
        <w:t xml:space="preserve">The </w:t>
      </w:r>
      <w:r w:rsidR="006E147E" w:rsidRPr="00AA6D87">
        <w:rPr>
          <w:sz w:val="24"/>
          <w:szCs w:val="24"/>
        </w:rPr>
        <w:t>Defendant</w:t>
      </w:r>
      <w:r w:rsidR="00663303" w:rsidRPr="00AA6D87">
        <w:rPr>
          <w:sz w:val="24"/>
          <w:szCs w:val="24"/>
        </w:rPr>
        <w:t xml:space="preserve"> shall pay the </w:t>
      </w:r>
      <w:r w:rsidR="006E147E" w:rsidRPr="00AA6D87">
        <w:rPr>
          <w:sz w:val="24"/>
          <w:szCs w:val="24"/>
        </w:rPr>
        <w:t>Plaintiff</w:t>
      </w:r>
      <w:r w:rsidR="00663303" w:rsidRPr="00AA6D87">
        <w:rPr>
          <w:sz w:val="24"/>
          <w:szCs w:val="24"/>
        </w:rPr>
        <w:t>’s costs of litigation on a scale as between attorney and client</w:t>
      </w:r>
      <w:r w:rsidR="0087728E" w:rsidRPr="00AA6D87">
        <w:rPr>
          <w:sz w:val="24"/>
          <w:szCs w:val="24"/>
        </w:rPr>
        <w:t>.</w:t>
      </w:r>
      <w:r w:rsidR="00663303" w:rsidRPr="00AA6D87">
        <w:rPr>
          <w:rStyle w:val="FootnoteReference"/>
          <w:sz w:val="24"/>
          <w:szCs w:val="24"/>
        </w:rPr>
        <w:footnoteReference w:id="10"/>
      </w:r>
    </w:p>
    <w:p w14:paraId="30FA94D9" w14:textId="731A9A23" w:rsidR="0087728E" w:rsidRPr="00AA6D87" w:rsidRDefault="00DC21C9" w:rsidP="00DC21C9">
      <w:pPr>
        <w:pStyle w:val="LFLMainPara"/>
        <w:numPr>
          <w:ilvl w:val="0"/>
          <w:numId w:val="0"/>
        </w:numPr>
        <w:spacing w:line="360" w:lineRule="auto"/>
        <w:ind w:left="737" w:hanging="390"/>
        <w:rPr>
          <w:sz w:val="24"/>
          <w:szCs w:val="24"/>
        </w:rPr>
      </w:pPr>
      <w:r w:rsidRPr="00AA6D87">
        <w:rPr>
          <w:sz w:val="24"/>
          <w:szCs w:val="24"/>
        </w:rPr>
        <w:t>3.</w:t>
      </w:r>
      <w:r w:rsidRPr="00AA6D87">
        <w:rPr>
          <w:sz w:val="24"/>
          <w:szCs w:val="24"/>
        </w:rPr>
        <w:tab/>
      </w:r>
      <w:r w:rsidR="0087728E" w:rsidRPr="00AA6D87">
        <w:rPr>
          <w:sz w:val="24"/>
          <w:szCs w:val="24"/>
        </w:rPr>
        <w:t xml:space="preserve">The </w:t>
      </w:r>
      <w:r w:rsidR="006E147E" w:rsidRPr="00AA6D87">
        <w:rPr>
          <w:sz w:val="24"/>
          <w:szCs w:val="24"/>
        </w:rPr>
        <w:t>Defendant</w:t>
      </w:r>
      <w:r w:rsidR="0087728E" w:rsidRPr="00AA6D87">
        <w:rPr>
          <w:sz w:val="24"/>
          <w:szCs w:val="24"/>
        </w:rPr>
        <w:t xml:space="preserve"> made payment of a total amount of </w:t>
      </w:r>
      <w:r w:rsidR="0087728E" w:rsidRPr="00AA0053">
        <w:rPr>
          <w:b/>
          <w:sz w:val="24"/>
          <w:szCs w:val="24"/>
        </w:rPr>
        <w:t>R555, 000.00</w:t>
      </w:r>
      <w:r w:rsidR="0087728E" w:rsidRPr="00AA6D87">
        <w:rPr>
          <w:sz w:val="24"/>
          <w:szCs w:val="24"/>
        </w:rPr>
        <w:t xml:space="preserve"> to the </w:t>
      </w:r>
      <w:r w:rsidR="006E147E" w:rsidRPr="00AA6D87">
        <w:rPr>
          <w:sz w:val="24"/>
          <w:szCs w:val="24"/>
        </w:rPr>
        <w:t>Plaintiff</w:t>
      </w:r>
      <w:r w:rsidR="0087728E" w:rsidRPr="00AA6D87">
        <w:rPr>
          <w:sz w:val="24"/>
          <w:szCs w:val="24"/>
        </w:rPr>
        <w:t xml:space="preserve"> and thereafter, from </w:t>
      </w:r>
      <w:r w:rsidR="0087728E" w:rsidRPr="00AA6D87">
        <w:rPr>
          <w:b/>
          <w:sz w:val="24"/>
          <w:szCs w:val="24"/>
        </w:rPr>
        <w:t>September 2018</w:t>
      </w:r>
      <w:r w:rsidR="009A1A81" w:rsidRPr="00AA6D87">
        <w:rPr>
          <w:sz w:val="24"/>
          <w:szCs w:val="24"/>
        </w:rPr>
        <w:t xml:space="preserve"> to </w:t>
      </w:r>
      <w:r w:rsidR="009A1A81" w:rsidRPr="00AA6D87">
        <w:rPr>
          <w:b/>
          <w:sz w:val="24"/>
          <w:szCs w:val="24"/>
        </w:rPr>
        <w:t>June 2022</w:t>
      </w:r>
      <w:r w:rsidR="009A1A81" w:rsidRPr="00AA6D87">
        <w:rPr>
          <w:rStyle w:val="FootnoteReference"/>
          <w:sz w:val="24"/>
          <w:szCs w:val="24"/>
        </w:rPr>
        <w:footnoteReference w:id="11"/>
      </w:r>
      <w:r w:rsidR="0087728E" w:rsidRPr="00AA6D87">
        <w:rPr>
          <w:sz w:val="24"/>
          <w:szCs w:val="24"/>
        </w:rPr>
        <w:t>, failed to make payment in accordance with its obligations in the AOD</w:t>
      </w:r>
      <w:r w:rsidR="009A1A81" w:rsidRPr="00AA6D87">
        <w:rPr>
          <w:sz w:val="24"/>
          <w:szCs w:val="24"/>
        </w:rPr>
        <w:t>.</w:t>
      </w:r>
    </w:p>
    <w:p w14:paraId="182D1F14" w14:textId="7B9736B4" w:rsidR="009A1A81" w:rsidRPr="00AA6D87" w:rsidRDefault="00DC21C9" w:rsidP="00DC21C9">
      <w:pPr>
        <w:pStyle w:val="LFLMainPara"/>
        <w:numPr>
          <w:ilvl w:val="0"/>
          <w:numId w:val="0"/>
        </w:numPr>
        <w:spacing w:line="360" w:lineRule="auto"/>
        <w:ind w:left="737" w:hanging="390"/>
        <w:rPr>
          <w:sz w:val="24"/>
          <w:szCs w:val="24"/>
        </w:rPr>
      </w:pPr>
      <w:r w:rsidRPr="00AA6D87">
        <w:rPr>
          <w:sz w:val="24"/>
          <w:szCs w:val="24"/>
        </w:rPr>
        <w:t>4.</w:t>
      </w:r>
      <w:r w:rsidRPr="00AA6D87">
        <w:rPr>
          <w:sz w:val="24"/>
          <w:szCs w:val="24"/>
        </w:rPr>
        <w:tab/>
      </w:r>
      <w:r w:rsidR="009A1A81" w:rsidRPr="00AA6D87">
        <w:rPr>
          <w:sz w:val="24"/>
          <w:szCs w:val="24"/>
        </w:rPr>
        <w:t xml:space="preserve">The full outstanding amount </w:t>
      </w:r>
      <w:r w:rsidR="006E147E" w:rsidRPr="00AA6D87">
        <w:rPr>
          <w:sz w:val="24"/>
          <w:szCs w:val="24"/>
        </w:rPr>
        <w:t>claimed by the Plaint</w:t>
      </w:r>
      <w:r w:rsidR="00AF164D" w:rsidRPr="00AA6D87">
        <w:rPr>
          <w:sz w:val="24"/>
          <w:szCs w:val="24"/>
        </w:rPr>
        <w:t>i</w:t>
      </w:r>
      <w:r w:rsidR="006E147E" w:rsidRPr="00AA6D87">
        <w:rPr>
          <w:sz w:val="24"/>
          <w:szCs w:val="24"/>
        </w:rPr>
        <w:t>ff in these Summary Judgment proceedings is thus</w:t>
      </w:r>
      <w:r w:rsidR="009A1A81" w:rsidRPr="00AA6D87">
        <w:rPr>
          <w:sz w:val="24"/>
          <w:szCs w:val="24"/>
        </w:rPr>
        <w:t xml:space="preserve"> </w:t>
      </w:r>
      <w:r w:rsidR="009A1A81" w:rsidRPr="00AA0053">
        <w:rPr>
          <w:b/>
          <w:sz w:val="24"/>
          <w:szCs w:val="24"/>
        </w:rPr>
        <w:t>R682, 912.88</w:t>
      </w:r>
      <w:r w:rsidR="009A1A81" w:rsidRPr="00AA6D87">
        <w:rPr>
          <w:sz w:val="24"/>
          <w:szCs w:val="24"/>
        </w:rPr>
        <w:t>,</w:t>
      </w:r>
      <w:r w:rsidR="00902F3E" w:rsidRPr="00AA6D87">
        <w:rPr>
          <w:rStyle w:val="FootnoteReference"/>
          <w:sz w:val="24"/>
          <w:szCs w:val="24"/>
        </w:rPr>
        <w:footnoteReference w:id="12"/>
      </w:r>
      <w:r w:rsidR="009A1A81" w:rsidRPr="00AA6D87">
        <w:rPr>
          <w:sz w:val="24"/>
          <w:szCs w:val="24"/>
        </w:rPr>
        <w:t xml:space="preserve"> plus interest calculated a</w:t>
      </w:r>
      <w:r w:rsidR="00902F3E" w:rsidRPr="00AA6D87">
        <w:rPr>
          <w:sz w:val="24"/>
          <w:szCs w:val="24"/>
        </w:rPr>
        <w:t>s per the AOD.</w:t>
      </w:r>
    </w:p>
    <w:p w14:paraId="160DF85E" w14:textId="77777777" w:rsidR="00AF164D" w:rsidRPr="00AA6D87" w:rsidRDefault="00AF164D" w:rsidP="00AF164D">
      <w:pPr>
        <w:pStyle w:val="LFLMainPara"/>
        <w:numPr>
          <w:ilvl w:val="0"/>
          <w:numId w:val="0"/>
        </w:numPr>
        <w:spacing w:line="360" w:lineRule="auto"/>
        <w:rPr>
          <w:b/>
          <w:sz w:val="24"/>
          <w:szCs w:val="24"/>
          <w:u w:val="single"/>
        </w:rPr>
      </w:pPr>
      <w:r w:rsidRPr="00AA6D87">
        <w:rPr>
          <w:b/>
          <w:sz w:val="24"/>
          <w:szCs w:val="24"/>
          <w:u w:val="single"/>
        </w:rPr>
        <w:t>THE DEFENCE</w:t>
      </w:r>
    </w:p>
    <w:p w14:paraId="30FDE72C" w14:textId="70F82B04" w:rsidR="00AF164D" w:rsidRPr="00AA6D87" w:rsidRDefault="00DC21C9" w:rsidP="00DC21C9">
      <w:pPr>
        <w:pStyle w:val="LFLMainPara"/>
        <w:numPr>
          <w:ilvl w:val="0"/>
          <w:numId w:val="0"/>
        </w:numPr>
        <w:ind w:left="737" w:hanging="390"/>
        <w:rPr>
          <w:sz w:val="24"/>
          <w:szCs w:val="24"/>
          <w:u w:val="single"/>
          <w:lang w:val="en-GB"/>
        </w:rPr>
      </w:pPr>
      <w:r w:rsidRPr="00AA6D87">
        <w:rPr>
          <w:sz w:val="24"/>
          <w:szCs w:val="24"/>
          <w:lang w:val="en-GB"/>
        </w:rPr>
        <w:t>5.</w:t>
      </w:r>
      <w:r w:rsidRPr="00AA6D87">
        <w:rPr>
          <w:sz w:val="24"/>
          <w:szCs w:val="24"/>
          <w:lang w:val="en-GB"/>
        </w:rPr>
        <w:tab/>
      </w:r>
      <w:r w:rsidR="00AF164D" w:rsidRPr="00AA6D87">
        <w:rPr>
          <w:sz w:val="24"/>
          <w:szCs w:val="24"/>
          <w:lang w:val="en-GB"/>
        </w:rPr>
        <w:t xml:space="preserve">The Defendant alleges that it has a </w:t>
      </w:r>
      <w:r w:rsidR="00AF164D" w:rsidRPr="00AA6D87">
        <w:rPr>
          <w:i/>
          <w:sz w:val="24"/>
          <w:szCs w:val="24"/>
          <w:lang w:val="en-GB"/>
        </w:rPr>
        <w:t>bona fide</w:t>
      </w:r>
      <w:r w:rsidR="00AF164D" w:rsidRPr="00AA6D87">
        <w:rPr>
          <w:sz w:val="24"/>
          <w:szCs w:val="24"/>
          <w:lang w:val="en-GB"/>
        </w:rPr>
        <w:t xml:space="preserve"> defence, which may be </w:t>
      </w:r>
      <w:r w:rsidR="007301D7" w:rsidRPr="00AA6D87">
        <w:rPr>
          <w:sz w:val="24"/>
          <w:szCs w:val="24"/>
          <w:lang w:val="en-GB"/>
        </w:rPr>
        <w:t>summarised</w:t>
      </w:r>
      <w:r w:rsidR="00AF164D" w:rsidRPr="00AA6D87">
        <w:rPr>
          <w:sz w:val="24"/>
          <w:szCs w:val="24"/>
          <w:lang w:val="en-GB"/>
        </w:rPr>
        <w:t xml:space="preserve"> as follows:</w:t>
      </w:r>
    </w:p>
    <w:p w14:paraId="179A3F3B" w14:textId="09508482" w:rsidR="00AF164D" w:rsidRPr="00DC21C9" w:rsidRDefault="00DC21C9" w:rsidP="00DC21C9">
      <w:pPr>
        <w:snapToGrid w:val="0"/>
        <w:spacing w:line="360" w:lineRule="auto"/>
        <w:ind w:left="1457" w:hanging="720"/>
        <w:jc w:val="both"/>
        <w:rPr>
          <w:rFonts w:ascii="Arial" w:hAnsi="Arial" w:cs="Arial"/>
          <w:u w:val="single"/>
          <w:lang w:val="en-GB"/>
        </w:rPr>
      </w:pPr>
      <w:r w:rsidRPr="00AA6D87">
        <w:rPr>
          <w:rFonts w:ascii="Arial" w:eastAsiaTheme="minorHAnsi" w:hAnsi="Arial" w:cs="Arial"/>
          <w:lang w:val="en-GB" w:eastAsia="en-US"/>
        </w:rPr>
        <w:t>5.1.</w:t>
      </w:r>
      <w:r w:rsidRPr="00AA6D87">
        <w:rPr>
          <w:rFonts w:ascii="Arial" w:eastAsiaTheme="minorHAnsi" w:hAnsi="Arial" w:cs="Arial"/>
          <w:lang w:val="en-GB" w:eastAsia="en-US"/>
        </w:rPr>
        <w:tab/>
      </w:r>
      <w:r w:rsidR="005A56F1" w:rsidRPr="00DC21C9">
        <w:rPr>
          <w:rFonts w:ascii="Arial" w:hAnsi="Arial" w:cs="Arial"/>
          <w:lang w:val="en-GB"/>
        </w:rPr>
        <w:t>t</w:t>
      </w:r>
      <w:r w:rsidR="00AF164D" w:rsidRPr="00DC21C9">
        <w:rPr>
          <w:rFonts w:ascii="Arial" w:hAnsi="Arial" w:cs="Arial"/>
          <w:lang w:val="en-GB"/>
        </w:rPr>
        <w:t xml:space="preserve">he </w:t>
      </w:r>
      <w:r w:rsidR="00AA6D87" w:rsidRPr="00DC21C9">
        <w:rPr>
          <w:rFonts w:ascii="Arial" w:hAnsi="Arial" w:cs="Arial"/>
          <w:lang w:val="en-GB"/>
        </w:rPr>
        <w:t>Defendant</w:t>
      </w:r>
      <w:r w:rsidR="00AF164D" w:rsidRPr="00DC21C9">
        <w:rPr>
          <w:rFonts w:ascii="Arial" w:hAnsi="Arial" w:cs="Arial"/>
          <w:lang w:val="en-GB"/>
        </w:rPr>
        <w:t xml:space="preserve">’s defence is set out in the </w:t>
      </w:r>
      <w:r w:rsidR="005A56F1" w:rsidRPr="00DC21C9">
        <w:rPr>
          <w:rFonts w:ascii="Arial" w:hAnsi="Arial" w:cs="Arial"/>
          <w:lang w:val="en-GB"/>
        </w:rPr>
        <w:t>P</w:t>
      </w:r>
      <w:r w:rsidR="00AF164D" w:rsidRPr="00DC21C9">
        <w:rPr>
          <w:rFonts w:ascii="Arial" w:hAnsi="Arial" w:cs="Arial"/>
          <w:lang w:val="en-GB"/>
        </w:rPr>
        <w:t>lea</w:t>
      </w:r>
      <w:r w:rsidR="00AF164D" w:rsidRPr="00AA6D87">
        <w:rPr>
          <w:rStyle w:val="FootnoteReference"/>
          <w:rFonts w:ascii="Arial" w:hAnsi="Arial" w:cs="Arial"/>
          <w:lang w:val="en-GB"/>
        </w:rPr>
        <w:footnoteReference w:id="13"/>
      </w:r>
      <w:r w:rsidR="00AF164D" w:rsidRPr="00DC21C9">
        <w:rPr>
          <w:rFonts w:ascii="Arial" w:hAnsi="Arial" w:cs="Arial"/>
          <w:lang w:val="en-GB"/>
        </w:rPr>
        <w:t xml:space="preserve"> as is amplified in the </w:t>
      </w:r>
      <w:r w:rsidR="00AA6D87" w:rsidRPr="00DC21C9">
        <w:rPr>
          <w:rFonts w:ascii="Arial" w:hAnsi="Arial" w:cs="Arial"/>
          <w:lang w:val="en-GB"/>
        </w:rPr>
        <w:t>O</w:t>
      </w:r>
      <w:r w:rsidR="00AF164D" w:rsidRPr="00DC21C9">
        <w:rPr>
          <w:rFonts w:ascii="Arial" w:hAnsi="Arial" w:cs="Arial"/>
          <w:lang w:val="en-GB"/>
        </w:rPr>
        <w:t xml:space="preserve">pposing </w:t>
      </w:r>
      <w:r w:rsidR="00AA6D87" w:rsidRPr="00DC21C9">
        <w:rPr>
          <w:rFonts w:ascii="Arial" w:hAnsi="Arial" w:cs="Arial"/>
          <w:lang w:val="en-GB"/>
        </w:rPr>
        <w:t>A</w:t>
      </w:r>
      <w:r w:rsidR="00AF164D" w:rsidRPr="00DC21C9">
        <w:rPr>
          <w:rFonts w:ascii="Arial" w:hAnsi="Arial" w:cs="Arial"/>
          <w:lang w:val="en-GB"/>
        </w:rPr>
        <w:t>ffidavit</w:t>
      </w:r>
      <w:r w:rsidR="005A56F1" w:rsidRPr="00DC21C9">
        <w:rPr>
          <w:rFonts w:ascii="Arial" w:hAnsi="Arial" w:cs="Arial"/>
          <w:lang w:val="en-GB"/>
        </w:rPr>
        <w:t>;</w:t>
      </w:r>
    </w:p>
    <w:p w14:paraId="13786F69" w14:textId="77777777" w:rsidR="00AA6D87" w:rsidRPr="00AA6D87" w:rsidRDefault="00AA6D87" w:rsidP="00AA6D87">
      <w:pPr>
        <w:snapToGrid w:val="0"/>
        <w:spacing w:line="360" w:lineRule="auto"/>
        <w:ind w:left="737"/>
        <w:jc w:val="both"/>
        <w:rPr>
          <w:rFonts w:ascii="Arial" w:hAnsi="Arial" w:cs="Arial"/>
          <w:u w:val="single"/>
          <w:lang w:val="en-GB"/>
        </w:rPr>
      </w:pPr>
    </w:p>
    <w:p w14:paraId="0E56D2BC" w14:textId="4B694121" w:rsidR="00AF164D" w:rsidRPr="00DC21C9" w:rsidRDefault="00DC21C9" w:rsidP="00DC21C9">
      <w:pPr>
        <w:snapToGrid w:val="0"/>
        <w:spacing w:line="360" w:lineRule="auto"/>
        <w:ind w:left="1457" w:hanging="720"/>
        <w:jc w:val="both"/>
        <w:rPr>
          <w:rFonts w:ascii="Arial" w:hAnsi="Arial" w:cs="Arial"/>
          <w:u w:val="single"/>
          <w:lang w:val="en-GB"/>
        </w:rPr>
      </w:pPr>
      <w:r w:rsidRPr="00AA6D87">
        <w:rPr>
          <w:rFonts w:ascii="Arial" w:eastAsiaTheme="minorHAnsi" w:hAnsi="Arial" w:cs="Arial"/>
          <w:lang w:val="en-GB" w:eastAsia="en-US"/>
        </w:rPr>
        <w:t>5.2.</w:t>
      </w:r>
      <w:r w:rsidRPr="00AA6D87">
        <w:rPr>
          <w:rFonts w:ascii="Arial" w:eastAsiaTheme="minorHAnsi" w:hAnsi="Arial" w:cs="Arial"/>
          <w:lang w:val="en-GB" w:eastAsia="en-US"/>
        </w:rPr>
        <w:tab/>
      </w:r>
      <w:r w:rsidR="005A56F1" w:rsidRPr="00DC21C9">
        <w:rPr>
          <w:rFonts w:ascii="Arial" w:hAnsi="Arial" w:cs="Arial"/>
        </w:rPr>
        <w:t>t</w:t>
      </w:r>
      <w:r w:rsidR="00AF164D" w:rsidRPr="00DC21C9">
        <w:rPr>
          <w:rFonts w:ascii="Arial" w:hAnsi="Arial" w:cs="Arial"/>
        </w:rPr>
        <w:t xml:space="preserve">he AOD was proposed by the </w:t>
      </w:r>
      <w:r w:rsidR="00AA6D87" w:rsidRPr="00DC21C9">
        <w:rPr>
          <w:rFonts w:ascii="Arial" w:hAnsi="Arial" w:cs="Arial"/>
        </w:rPr>
        <w:t>Plaintiff</w:t>
      </w:r>
      <w:r w:rsidR="00AF164D" w:rsidRPr="00DC21C9">
        <w:rPr>
          <w:rFonts w:ascii="Arial" w:hAnsi="Arial" w:cs="Arial"/>
        </w:rPr>
        <w:t xml:space="preserve"> due to services rendered by the </w:t>
      </w:r>
      <w:r w:rsidR="00AA6D87" w:rsidRPr="00DC21C9">
        <w:rPr>
          <w:rFonts w:ascii="Arial" w:hAnsi="Arial" w:cs="Arial"/>
        </w:rPr>
        <w:t>Plaintiff</w:t>
      </w:r>
      <w:r w:rsidR="00AF164D" w:rsidRPr="00DC21C9">
        <w:rPr>
          <w:rFonts w:ascii="Arial" w:hAnsi="Arial" w:cs="Arial"/>
        </w:rPr>
        <w:t xml:space="preserve"> to the </w:t>
      </w:r>
      <w:r w:rsidR="00AA6D87" w:rsidRPr="00DC21C9">
        <w:rPr>
          <w:rFonts w:ascii="Arial" w:hAnsi="Arial" w:cs="Arial"/>
        </w:rPr>
        <w:t>Defendant</w:t>
      </w:r>
      <w:r w:rsidR="00AF164D" w:rsidRPr="00DC21C9">
        <w:rPr>
          <w:rFonts w:ascii="Arial" w:hAnsi="Arial" w:cs="Arial"/>
        </w:rPr>
        <w:t xml:space="preserve"> in terms of a </w:t>
      </w:r>
      <w:r w:rsidR="005A7B63" w:rsidRPr="00DC21C9">
        <w:rPr>
          <w:rFonts w:ascii="Arial" w:hAnsi="Arial" w:cs="Arial"/>
        </w:rPr>
        <w:t>“</w:t>
      </w:r>
      <w:r w:rsidR="00AF164D" w:rsidRPr="00DC21C9">
        <w:rPr>
          <w:rFonts w:ascii="Arial" w:hAnsi="Arial" w:cs="Arial"/>
        </w:rPr>
        <w:t>business application form</w:t>
      </w:r>
      <w:r w:rsidR="005A7B63" w:rsidRPr="00DC21C9">
        <w:rPr>
          <w:rFonts w:ascii="Arial" w:hAnsi="Arial" w:cs="Arial"/>
        </w:rPr>
        <w:t>”</w:t>
      </w:r>
      <w:r w:rsidR="00AF164D" w:rsidRPr="00DC21C9">
        <w:rPr>
          <w:rFonts w:ascii="Arial" w:hAnsi="Arial" w:cs="Arial"/>
        </w:rPr>
        <w:t xml:space="preserve"> and </w:t>
      </w:r>
      <w:r w:rsidR="00AF164D" w:rsidRPr="00DC21C9">
        <w:rPr>
          <w:rFonts w:ascii="Arial" w:hAnsi="Arial" w:cs="Arial"/>
        </w:rPr>
        <w:lastRenderedPageBreak/>
        <w:t xml:space="preserve">agreement reached between the parties on </w:t>
      </w:r>
      <w:r w:rsidR="00AF164D" w:rsidRPr="00DC21C9">
        <w:rPr>
          <w:rFonts w:ascii="Arial" w:hAnsi="Arial" w:cs="Arial"/>
          <w:b/>
        </w:rPr>
        <w:t>29 January 2015</w:t>
      </w:r>
      <w:r w:rsidR="00AF164D" w:rsidRPr="00AA6D87">
        <w:rPr>
          <w:rStyle w:val="FootnoteReference"/>
          <w:rFonts w:ascii="Arial" w:hAnsi="Arial" w:cs="Arial"/>
        </w:rPr>
        <w:footnoteReference w:id="14"/>
      </w:r>
      <w:r w:rsidR="00AF164D" w:rsidRPr="00DC21C9">
        <w:rPr>
          <w:rFonts w:ascii="Arial" w:hAnsi="Arial" w:cs="Arial"/>
        </w:rPr>
        <w:t xml:space="preserve">. A copy of this agreement is attached to the </w:t>
      </w:r>
      <w:r w:rsidR="00AA6D87" w:rsidRPr="00DC21C9">
        <w:rPr>
          <w:rFonts w:ascii="Arial" w:hAnsi="Arial" w:cs="Arial"/>
        </w:rPr>
        <w:t>P</w:t>
      </w:r>
      <w:r w:rsidR="00AF164D" w:rsidRPr="00DC21C9">
        <w:rPr>
          <w:rFonts w:ascii="Arial" w:hAnsi="Arial" w:cs="Arial"/>
        </w:rPr>
        <w:t>lea marked "</w:t>
      </w:r>
      <w:r w:rsidR="00AF164D" w:rsidRPr="00DC21C9">
        <w:rPr>
          <w:rFonts w:ascii="Arial" w:hAnsi="Arial" w:cs="Arial"/>
          <w:b/>
        </w:rPr>
        <w:t>GTG 1</w:t>
      </w:r>
      <w:r w:rsidR="00AF164D" w:rsidRPr="00DC21C9">
        <w:rPr>
          <w:rFonts w:ascii="Arial" w:hAnsi="Arial" w:cs="Arial"/>
        </w:rPr>
        <w:t>'</w:t>
      </w:r>
      <w:r w:rsidR="00AF164D" w:rsidRPr="00AA6D87">
        <w:rPr>
          <w:rStyle w:val="FootnoteReference"/>
          <w:rFonts w:ascii="Arial" w:hAnsi="Arial" w:cs="Arial"/>
        </w:rPr>
        <w:footnoteReference w:id="15"/>
      </w:r>
      <w:r w:rsidR="005A56F1" w:rsidRPr="00DC21C9">
        <w:rPr>
          <w:rFonts w:ascii="Arial" w:hAnsi="Arial" w:cs="Arial"/>
        </w:rPr>
        <w:t>;</w:t>
      </w:r>
    </w:p>
    <w:p w14:paraId="33DF23A1" w14:textId="77777777" w:rsidR="00AA6D87" w:rsidRPr="00AA6D87" w:rsidRDefault="00AA6D87" w:rsidP="00AA6D87">
      <w:pPr>
        <w:pStyle w:val="ListParagraph"/>
        <w:rPr>
          <w:rFonts w:ascii="Arial" w:hAnsi="Arial" w:cs="Arial"/>
          <w:u w:val="single"/>
          <w:lang w:val="en-GB"/>
        </w:rPr>
      </w:pPr>
    </w:p>
    <w:p w14:paraId="1266AD36" w14:textId="4EDEE7B1" w:rsidR="00AF164D" w:rsidRPr="00DC21C9" w:rsidRDefault="00DC21C9" w:rsidP="00DC21C9">
      <w:pPr>
        <w:snapToGrid w:val="0"/>
        <w:spacing w:line="360" w:lineRule="auto"/>
        <w:ind w:left="1457" w:hanging="720"/>
        <w:jc w:val="both"/>
        <w:rPr>
          <w:rFonts w:ascii="Arial" w:hAnsi="Arial" w:cs="Arial"/>
          <w:lang w:val="en-GB"/>
        </w:rPr>
      </w:pPr>
      <w:r>
        <w:rPr>
          <w:rFonts w:ascii="Arial" w:eastAsiaTheme="minorHAnsi" w:hAnsi="Arial" w:cs="Arial"/>
          <w:lang w:val="en-GB" w:eastAsia="en-US"/>
        </w:rPr>
        <w:t>5.3.</w:t>
      </w:r>
      <w:r>
        <w:rPr>
          <w:rFonts w:ascii="Arial" w:eastAsiaTheme="minorHAnsi" w:hAnsi="Arial" w:cs="Arial"/>
          <w:lang w:val="en-GB" w:eastAsia="en-US"/>
        </w:rPr>
        <w:tab/>
      </w:r>
      <w:r w:rsidR="005A56F1" w:rsidRPr="00DC21C9">
        <w:rPr>
          <w:rFonts w:ascii="Arial" w:hAnsi="Arial" w:cs="Arial"/>
          <w:lang w:val="en-GB"/>
        </w:rPr>
        <w:t>t</w:t>
      </w:r>
      <w:r w:rsidR="00AF164D" w:rsidRPr="00DC21C9">
        <w:rPr>
          <w:rFonts w:ascii="Arial" w:hAnsi="Arial" w:cs="Arial"/>
          <w:lang w:val="en-GB"/>
        </w:rPr>
        <w:t xml:space="preserve">he business application form is the underlying </w:t>
      </w:r>
      <w:r w:rsidR="00AF164D" w:rsidRPr="00DC21C9">
        <w:rPr>
          <w:rFonts w:ascii="Arial" w:hAnsi="Arial" w:cs="Arial"/>
          <w:i/>
          <w:lang w:val="en-GB"/>
        </w:rPr>
        <w:t>causa</w:t>
      </w:r>
      <w:r w:rsidR="00AF164D" w:rsidRPr="00DC21C9">
        <w:rPr>
          <w:rFonts w:ascii="Arial" w:hAnsi="Arial" w:cs="Arial"/>
          <w:lang w:val="en-GB"/>
        </w:rPr>
        <w:t xml:space="preserve"> of the AOD and is a credit agreement as is envisaged by the National Credit Act, Act 34 of 2005 (the NCA), the following provisions of which are relevant</w:t>
      </w:r>
      <w:r w:rsidR="00AF164D" w:rsidRPr="00AA6D87">
        <w:rPr>
          <w:rStyle w:val="FootnoteReference"/>
          <w:rFonts w:ascii="Arial" w:hAnsi="Arial" w:cs="Arial"/>
          <w:lang w:val="en-GB"/>
        </w:rPr>
        <w:footnoteReference w:id="16"/>
      </w:r>
      <w:r w:rsidR="00AF164D" w:rsidRPr="00DC21C9">
        <w:rPr>
          <w:rFonts w:ascii="Arial" w:hAnsi="Arial" w:cs="Arial"/>
          <w:lang w:val="en-GB"/>
        </w:rPr>
        <w:t>:</w:t>
      </w:r>
    </w:p>
    <w:p w14:paraId="080F9C4E" w14:textId="77777777" w:rsidR="005A7B63" w:rsidRPr="005A7B63" w:rsidRDefault="005A7B63" w:rsidP="005A7B63">
      <w:pPr>
        <w:pStyle w:val="ListParagraph"/>
        <w:rPr>
          <w:rFonts w:ascii="Arial" w:hAnsi="Arial" w:cs="Arial"/>
          <w:lang w:val="en-GB"/>
        </w:rPr>
      </w:pPr>
    </w:p>
    <w:p w14:paraId="59EC0BD7" w14:textId="77777777" w:rsidR="005A7B63" w:rsidRPr="005A7B63" w:rsidRDefault="005A7B63" w:rsidP="005A7B63">
      <w:pPr>
        <w:snapToGrid w:val="0"/>
        <w:spacing w:line="360" w:lineRule="auto"/>
        <w:ind w:left="737"/>
        <w:jc w:val="both"/>
        <w:rPr>
          <w:rFonts w:ascii="Arial" w:hAnsi="Arial" w:cs="Arial"/>
          <w:lang w:val="en-GB"/>
        </w:rPr>
      </w:pPr>
    </w:p>
    <w:p w14:paraId="4F8F1717" w14:textId="488B57CB" w:rsidR="00AF164D" w:rsidRPr="00DC21C9" w:rsidRDefault="00DC21C9" w:rsidP="00DC21C9">
      <w:pPr>
        <w:snapToGrid w:val="0"/>
        <w:spacing w:line="360" w:lineRule="auto"/>
        <w:ind w:left="2194" w:hanging="720"/>
        <w:jc w:val="both"/>
        <w:rPr>
          <w:rFonts w:ascii="Arial" w:hAnsi="Arial" w:cs="Arial"/>
          <w:lang w:val="en-GB"/>
        </w:rPr>
      </w:pPr>
      <w:r w:rsidRPr="00AA6D87">
        <w:rPr>
          <w:rFonts w:ascii="Arial" w:eastAsiaTheme="minorHAnsi" w:hAnsi="Arial" w:cs="Arial"/>
          <w:lang w:val="en-GB" w:eastAsia="en-US"/>
        </w:rPr>
        <w:t>5.3.1.</w:t>
      </w:r>
      <w:r w:rsidRPr="00AA6D87">
        <w:rPr>
          <w:rFonts w:ascii="Arial" w:eastAsiaTheme="minorHAnsi" w:hAnsi="Arial" w:cs="Arial"/>
          <w:lang w:val="en-GB" w:eastAsia="en-US"/>
        </w:rPr>
        <w:tab/>
      </w:r>
      <w:r w:rsidR="00AF164D" w:rsidRPr="00DC21C9">
        <w:rPr>
          <w:rFonts w:ascii="Arial" w:hAnsi="Arial" w:cs="Arial"/>
          <w:lang w:val="en-GB"/>
        </w:rPr>
        <w:t>Credit limit requested in Rands: R 300 000-00.</w:t>
      </w:r>
    </w:p>
    <w:p w14:paraId="3F759AFB" w14:textId="1F11EF2F" w:rsidR="00AF164D" w:rsidRPr="00DC21C9" w:rsidRDefault="00DC21C9" w:rsidP="00DC21C9">
      <w:pPr>
        <w:snapToGrid w:val="0"/>
        <w:spacing w:line="360" w:lineRule="auto"/>
        <w:ind w:left="2194" w:hanging="720"/>
        <w:jc w:val="both"/>
        <w:rPr>
          <w:rFonts w:ascii="Arial" w:hAnsi="Arial" w:cs="Arial"/>
          <w:lang w:val="en-GB"/>
        </w:rPr>
      </w:pPr>
      <w:r w:rsidRPr="00AA6D87">
        <w:rPr>
          <w:rFonts w:ascii="Arial" w:eastAsiaTheme="minorHAnsi" w:hAnsi="Arial" w:cs="Arial"/>
          <w:lang w:val="en-GB" w:eastAsia="en-US"/>
        </w:rPr>
        <w:t>5.3.2.</w:t>
      </w:r>
      <w:r w:rsidRPr="00AA6D87">
        <w:rPr>
          <w:rFonts w:ascii="Arial" w:eastAsiaTheme="minorHAnsi" w:hAnsi="Arial" w:cs="Arial"/>
          <w:lang w:val="en-GB" w:eastAsia="en-US"/>
        </w:rPr>
        <w:tab/>
      </w:r>
      <w:r w:rsidR="00AF164D" w:rsidRPr="00DC21C9">
        <w:rPr>
          <w:rFonts w:ascii="Arial" w:hAnsi="Arial" w:cs="Arial"/>
          <w:lang w:val="en-GB"/>
        </w:rPr>
        <w:t>Gross asset value more than R 2 million: No.</w:t>
      </w:r>
    </w:p>
    <w:p w14:paraId="1DC76FEB" w14:textId="1DEBAA21" w:rsidR="00AF164D" w:rsidRPr="00DC21C9" w:rsidRDefault="00DC21C9" w:rsidP="00DC21C9">
      <w:pPr>
        <w:snapToGrid w:val="0"/>
        <w:spacing w:line="360" w:lineRule="auto"/>
        <w:ind w:left="2194" w:hanging="720"/>
        <w:jc w:val="both"/>
        <w:rPr>
          <w:rFonts w:ascii="Arial" w:hAnsi="Arial" w:cs="Arial"/>
          <w:lang w:val="en-GB"/>
        </w:rPr>
      </w:pPr>
      <w:r>
        <w:rPr>
          <w:rFonts w:ascii="Arial" w:eastAsiaTheme="minorHAnsi" w:hAnsi="Arial" w:cs="Arial"/>
          <w:lang w:val="en-GB" w:eastAsia="en-US"/>
        </w:rPr>
        <w:t>5.3.3.</w:t>
      </w:r>
      <w:r>
        <w:rPr>
          <w:rFonts w:ascii="Arial" w:eastAsiaTheme="minorHAnsi" w:hAnsi="Arial" w:cs="Arial"/>
          <w:lang w:val="en-GB" w:eastAsia="en-US"/>
        </w:rPr>
        <w:tab/>
      </w:r>
      <w:r w:rsidR="00AF164D" w:rsidRPr="00DC21C9">
        <w:rPr>
          <w:rFonts w:ascii="Arial" w:hAnsi="Arial" w:cs="Arial"/>
          <w:lang w:val="en-GB"/>
        </w:rPr>
        <w:t>Annual turnover more than R 2 million: No</w:t>
      </w:r>
      <w:r w:rsidR="005A56F1" w:rsidRPr="00DC21C9">
        <w:rPr>
          <w:rFonts w:ascii="Arial" w:hAnsi="Arial" w:cs="Arial"/>
          <w:lang w:val="en-GB"/>
        </w:rPr>
        <w:t>;</w:t>
      </w:r>
    </w:p>
    <w:p w14:paraId="071D50F5" w14:textId="77777777" w:rsidR="00AA6D87" w:rsidRPr="00AA6D87" w:rsidRDefault="00AA6D87" w:rsidP="00AA6D87">
      <w:pPr>
        <w:snapToGrid w:val="0"/>
        <w:spacing w:line="360" w:lineRule="auto"/>
        <w:ind w:left="1474"/>
        <w:jc w:val="both"/>
        <w:rPr>
          <w:rFonts w:ascii="Arial" w:hAnsi="Arial" w:cs="Arial"/>
          <w:lang w:val="en-GB"/>
        </w:rPr>
      </w:pPr>
    </w:p>
    <w:p w14:paraId="0AB77E88" w14:textId="72BC6160" w:rsidR="00AF164D" w:rsidRPr="00DC21C9" w:rsidRDefault="00DC21C9" w:rsidP="00DC21C9">
      <w:pPr>
        <w:snapToGrid w:val="0"/>
        <w:spacing w:line="360" w:lineRule="auto"/>
        <w:ind w:left="1457" w:hanging="720"/>
        <w:jc w:val="both"/>
        <w:rPr>
          <w:rFonts w:ascii="Arial" w:hAnsi="Arial" w:cs="Arial"/>
          <w:lang w:val="en-GB"/>
        </w:rPr>
      </w:pPr>
      <w:r>
        <w:rPr>
          <w:rFonts w:ascii="Arial" w:eastAsiaTheme="minorHAnsi" w:hAnsi="Arial" w:cs="Arial"/>
          <w:lang w:val="en-GB" w:eastAsia="en-US"/>
        </w:rPr>
        <w:t>5.4.</w:t>
      </w:r>
      <w:r>
        <w:rPr>
          <w:rFonts w:ascii="Arial" w:eastAsiaTheme="minorHAnsi" w:hAnsi="Arial" w:cs="Arial"/>
          <w:lang w:val="en-GB" w:eastAsia="en-US"/>
        </w:rPr>
        <w:tab/>
      </w:r>
      <w:r w:rsidR="005A56F1" w:rsidRPr="00DC21C9">
        <w:rPr>
          <w:rFonts w:ascii="Arial" w:hAnsi="Arial" w:cs="Arial"/>
          <w:lang w:val="en-GB"/>
        </w:rPr>
        <w:t>t</w:t>
      </w:r>
      <w:r w:rsidR="00AF164D" w:rsidRPr="00DC21C9">
        <w:rPr>
          <w:rFonts w:ascii="Arial" w:hAnsi="Arial" w:cs="Arial"/>
          <w:lang w:val="en-GB"/>
        </w:rPr>
        <w:t xml:space="preserve">o allow the </w:t>
      </w:r>
      <w:r w:rsidR="00AA6D87" w:rsidRPr="00DC21C9">
        <w:rPr>
          <w:rFonts w:ascii="Arial" w:hAnsi="Arial" w:cs="Arial"/>
          <w:lang w:val="en-GB"/>
        </w:rPr>
        <w:t>Defendant</w:t>
      </w:r>
      <w:r w:rsidR="00AF164D" w:rsidRPr="00DC21C9">
        <w:rPr>
          <w:rFonts w:ascii="Arial" w:hAnsi="Arial" w:cs="Arial"/>
          <w:lang w:val="en-GB"/>
        </w:rPr>
        <w:t xml:space="preserve"> to become indebted to the </w:t>
      </w:r>
      <w:r w:rsidR="00AA6D87" w:rsidRPr="00DC21C9">
        <w:rPr>
          <w:rFonts w:ascii="Arial" w:hAnsi="Arial" w:cs="Arial"/>
          <w:lang w:val="en-GB"/>
        </w:rPr>
        <w:t>Plaintiff</w:t>
      </w:r>
      <w:r w:rsidR="00AF164D" w:rsidRPr="00DC21C9">
        <w:rPr>
          <w:rFonts w:ascii="Arial" w:hAnsi="Arial" w:cs="Arial"/>
          <w:lang w:val="en-GB"/>
        </w:rPr>
        <w:t xml:space="preserve"> in the amount of R 1 237 912-88 (the capital sum in the AOD) or R 682 912-88 (the amount claimed in the summons), is over the credit limit requested by the </w:t>
      </w:r>
      <w:r w:rsidR="00AA6D87" w:rsidRPr="00DC21C9">
        <w:rPr>
          <w:rFonts w:ascii="Arial" w:hAnsi="Arial" w:cs="Arial"/>
          <w:lang w:val="en-GB"/>
        </w:rPr>
        <w:t>Defendant</w:t>
      </w:r>
      <w:r w:rsidR="00AF164D" w:rsidRPr="00DC21C9">
        <w:rPr>
          <w:rFonts w:ascii="Arial" w:hAnsi="Arial" w:cs="Arial"/>
          <w:lang w:val="en-GB"/>
        </w:rPr>
        <w:t xml:space="preserve"> and constitutes reckless lending in terms of the NCA</w:t>
      </w:r>
      <w:r w:rsidR="005A56F1" w:rsidRPr="00DC21C9">
        <w:rPr>
          <w:rFonts w:ascii="Arial" w:hAnsi="Arial" w:cs="Arial"/>
          <w:lang w:val="en-GB"/>
        </w:rPr>
        <w:t>;</w:t>
      </w:r>
    </w:p>
    <w:p w14:paraId="3C7DCB5F" w14:textId="77777777" w:rsidR="00AA6D87" w:rsidRPr="00AA6D87" w:rsidRDefault="00AA6D87" w:rsidP="00AA6D87">
      <w:pPr>
        <w:snapToGrid w:val="0"/>
        <w:spacing w:line="360" w:lineRule="auto"/>
        <w:ind w:left="737"/>
        <w:jc w:val="both"/>
        <w:rPr>
          <w:rFonts w:ascii="Arial" w:hAnsi="Arial" w:cs="Arial"/>
          <w:lang w:val="en-GB"/>
        </w:rPr>
      </w:pPr>
    </w:p>
    <w:p w14:paraId="40EFDC8B" w14:textId="2538239D" w:rsidR="00AF164D" w:rsidRPr="00DC21C9" w:rsidRDefault="00DC21C9" w:rsidP="00DC21C9">
      <w:pPr>
        <w:snapToGrid w:val="0"/>
        <w:spacing w:line="360" w:lineRule="auto"/>
        <w:ind w:left="1457" w:hanging="720"/>
        <w:jc w:val="both"/>
        <w:rPr>
          <w:rFonts w:ascii="Arial" w:hAnsi="Arial" w:cs="Arial"/>
          <w:lang w:val="en-GB"/>
        </w:rPr>
      </w:pPr>
      <w:r w:rsidRPr="00AA6D87">
        <w:rPr>
          <w:rFonts w:ascii="Arial" w:eastAsiaTheme="minorHAnsi" w:hAnsi="Arial" w:cs="Arial"/>
          <w:lang w:val="en-GB" w:eastAsia="en-US"/>
        </w:rPr>
        <w:t>5.5.</w:t>
      </w:r>
      <w:r w:rsidRPr="00AA6D87">
        <w:rPr>
          <w:rFonts w:ascii="Arial" w:eastAsiaTheme="minorHAnsi" w:hAnsi="Arial" w:cs="Arial"/>
          <w:lang w:val="en-GB" w:eastAsia="en-US"/>
        </w:rPr>
        <w:tab/>
      </w:r>
      <w:r w:rsidR="00AF164D" w:rsidRPr="00DC21C9">
        <w:rPr>
          <w:rFonts w:ascii="Arial" w:hAnsi="Arial" w:cs="Arial"/>
        </w:rPr>
        <w:t xml:space="preserve">Section 8(1) of the NCA provides that an agreement constitutes a ‘credit agreement’ if it is, </w:t>
      </w:r>
      <w:r w:rsidR="00AF164D" w:rsidRPr="00DC21C9">
        <w:rPr>
          <w:rFonts w:ascii="Arial" w:hAnsi="Arial" w:cs="Arial"/>
          <w:i/>
        </w:rPr>
        <w:t>inter alia</w:t>
      </w:r>
      <w:r w:rsidR="00AF164D" w:rsidRPr="00DC21C9">
        <w:rPr>
          <w:rFonts w:ascii="Arial" w:hAnsi="Arial" w:cs="Arial"/>
        </w:rPr>
        <w:t>, a ‘</w:t>
      </w:r>
      <w:r w:rsidR="00AF164D" w:rsidRPr="00DC21C9">
        <w:rPr>
          <w:rFonts w:ascii="Arial" w:hAnsi="Arial" w:cs="Arial"/>
          <w:i/>
        </w:rPr>
        <w:t>credit transaction</w:t>
      </w:r>
      <w:r w:rsidR="00AF164D" w:rsidRPr="00DC21C9">
        <w:rPr>
          <w:rFonts w:ascii="Arial" w:hAnsi="Arial" w:cs="Arial"/>
        </w:rPr>
        <w:t>’. A ‘</w:t>
      </w:r>
      <w:r w:rsidR="00AF164D" w:rsidRPr="00DC21C9">
        <w:rPr>
          <w:rFonts w:ascii="Arial" w:hAnsi="Arial" w:cs="Arial"/>
          <w:i/>
        </w:rPr>
        <w:t>credit transaction</w:t>
      </w:r>
      <w:r w:rsidR="00AF164D" w:rsidRPr="00DC21C9">
        <w:rPr>
          <w:rFonts w:ascii="Arial" w:hAnsi="Arial" w:cs="Arial"/>
        </w:rPr>
        <w:t xml:space="preserve">’ includes an agreement in terms of which payment of an amount owed by one person to another is deferred and any charge, fee or interest is payable to the credit provider in respect of the agreement, or the amount that has been deferred (s 8(4)(f)). As was stated in the </w:t>
      </w:r>
      <w:r w:rsidR="00AA6D87" w:rsidRPr="00DC21C9">
        <w:rPr>
          <w:rFonts w:ascii="Arial" w:hAnsi="Arial" w:cs="Arial"/>
        </w:rPr>
        <w:t>P</w:t>
      </w:r>
      <w:r w:rsidR="00AF164D" w:rsidRPr="00DC21C9">
        <w:rPr>
          <w:rFonts w:ascii="Arial" w:hAnsi="Arial" w:cs="Arial"/>
        </w:rPr>
        <w:t xml:space="preserve">lea, the costs of drawing up the AOD was borne by the </w:t>
      </w:r>
      <w:r w:rsidR="00AA6D87" w:rsidRPr="00DC21C9">
        <w:rPr>
          <w:rFonts w:ascii="Arial" w:hAnsi="Arial" w:cs="Arial"/>
        </w:rPr>
        <w:t>Defendant</w:t>
      </w:r>
      <w:r w:rsidR="00AF164D" w:rsidRPr="00AA6D87">
        <w:rPr>
          <w:rStyle w:val="FootnoteReference"/>
          <w:rFonts w:ascii="Arial" w:hAnsi="Arial" w:cs="Arial"/>
        </w:rPr>
        <w:footnoteReference w:id="17"/>
      </w:r>
      <w:r w:rsidR="00AF164D" w:rsidRPr="00DC21C9">
        <w:rPr>
          <w:rFonts w:ascii="Arial" w:hAnsi="Arial" w:cs="Arial"/>
        </w:rPr>
        <w:t>. The AOD is per definition a credit agreement in terms of s8(4)(f)</w:t>
      </w:r>
      <w:r w:rsidR="007B58B7" w:rsidRPr="00DC21C9">
        <w:rPr>
          <w:rFonts w:ascii="Arial" w:hAnsi="Arial" w:cs="Arial"/>
        </w:rPr>
        <w:t>;</w:t>
      </w:r>
    </w:p>
    <w:p w14:paraId="4CECA2F4" w14:textId="77777777" w:rsidR="00AA6D87" w:rsidRPr="00AA6D87" w:rsidRDefault="00AA6D87" w:rsidP="00AA6D87">
      <w:pPr>
        <w:pStyle w:val="ListParagraph"/>
        <w:rPr>
          <w:rFonts w:ascii="Arial" w:hAnsi="Arial" w:cs="Arial"/>
          <w:lang w:val="en-GB"/>
        </w:rPr>
      </w:pPr>
    </w:p>
    <w:p w14:paraId="2D34380B" w14:textId="457660E1" w:rsidR="00AF164D" w:rsidRPr="00DC21C9" w:rsidRDefault="00DC21C9" w:rsidP="00DC21C9">
      <w:pPr>
        <w:snapToGrid w:val="0"/>
        <w:spacing w:line="360" w:lineRule="auto"/>
        <w:ind w:left="1457" w:hanging="720"/>
        <w:jc w:val="both"/>
        <w:rPr>
          <w:rFonts w:ascii="Arial" w:hAnsi="Arial" w:cs="Arial"/>
          <w:lang w:val="en-GB"/>
        </w:rPr>
      </w:pPr>
      <w:r w:rsidRPr="00AA6D87">
        <w:rPr>
          <w:rFonts w:ascii="Arial" w:eastAsiaTheme="minorHAnsi" w:hAnsi="Arial" w:cs="Arial"/>
          <w:lang w:val="en-GB" w:eastAsia="en-US"/>
        </w:rPr>
        <w:t>5.6.</w:t>
      </w:r>
      <w:r w:rsidRPr="00AA6D87">
        <w:rPr>
          <w:rFonts w:ascii="Arial" w:eastAsiaTheme="minorHAnsi" w:hAnsi="Arial" w:cs="Arial"/>
          <w:lang w:val="en-GB" w:eastAsia="en-US"/>
        </w:rPr>
        <w:tab/>
      </w:r>
      <w:r w:rsidR="007B58B7" w:rsidRPr="00DC21C9">
        <w:rPr>
          <w:rFonts w:ascii="Arial" w:hAnsi="Arial" w:cs="Arial"/>
        </w:rPr>
        <w:t>t</w:t>
      </w:r>
      <w:r w:rsidR="00AF164D" w:rsidRPr="00DC21C9">
        <w:rPr>
          <w:rFonts w:ascii="Arial" w:hAnsi="Arial" w:cs="Arial"/>
        </w:rPr>
        <w:t>he AOD ought to be declared to be a reckless credit agreement as envisaged in Section 83 of the NCA for the following reasons:</w:t>
      </w:r>
    </w:p>
    <w:p w14:paraId="4756C9D3" w14:textId="77777777" w:rsidR="00AA6D87" w:rsidRPr="00AA6D87" w:rsidRDefault="00AA6D87" w:rsidP="00AA6D87">
      <w:pPr>
        <w:pStyle w:val="ListParagraph"/>
        <w:rPr>
          <w:rFonts w:ascii="Arial" w:hAnsi="Arial" w:cs="Arial"/>
          <w:lang w:val="en-GB"/>
        </w:rPr>
      </w:pPr>
    </w:p>
    <w:p w14:paraId="67897699" w14:textId="144E1D1E" w:rsidR="00AF164D" w:rsidRPr="00DC21C9" w:rsidRDefault="00DC21C9" w:rsidP="00DC21C9">
      <w:pPr>
        <w:snapToGrid w:val="0"/>
        <w:spacing w:line="360" w:lineRule="auto"/>
        <w:ind w:left="2194" w:hanging="720"/>
        <w:jc w:val="both"/>
        <w:rPr>
          <w:rFonts w:ascii="Arial" w:hAnsi="Arial" w:cs="Arial"/>
          <w:lang w:val="en-GB"/>
        </w:rPr>
      </w:pPr>
      <w:r w:rsidRPr="00AA6D87">
        <w:rPr>
          <w:rFonts w:ascii="Arial" w:eastAsiaTheme="minorHAnsi" w:hAnsi="Arial" w:cs="Arial"/>
          <w:lang w:val="en-GB" w:eastAsia="en-US"/>
        </w:rPr>
        <w:t>5.6.1.</w:t>
      </w:r>
      <w:r w:rsidRPr="00AA6D87">
        <w:rPr>
          <w:rFonts w:ascii="Arial" w:eastAsiaTheme="minorHAnsi" w:hAnsi="Arial" w:cs="Arial"/>
          <w:lang w:val="en-GB" w:eastAsia="en-US"/>
        </w:rPr>
        <w:tab/>
      </w:r>
      <w:r w:rsidR="00AA6D87" w:rsidRPr="00DC21C9">
        <w:rPr>
          <w:rFonts w:ascii="Arial" w:hAnsi="Arial" w:cs="Arial"/>
        </w:rPr>
        <w:t>t</w:t>
      </w:r>
      <w:r w:rsidR="00AF164D" w:rsidRPr="00DC21C9">
        <w:rPr>
          <w:rFonts w:ascii="Arial" w:hAnsi="Arial" w:cs="Arial"/>
        </w:rPr>
        <w:t xml:space="preserve">he </w:t>
      </w:r>
      <w:r w:rsidR="00AA6D87" w:rsidRPr="00DC21C9">
        <w:rPr>
          <w:rFonts w:ascii="Arial" w:hAnsi="Arial" w:cs="Arial"/>
        </w:rPr>
        <w:t>Plaintiff</w:t>
      </w:r>
      <w:r w:rsidR="00AF164D" w:rsidRPr="00DC21C9">
        <w:rPr>
          <w:rFonts w:ascii="Arial" w:hAnsi="Arial" w:cs="Arial"/>
        </w:rPr>
        <w:t xml:space="preserve"> failed to conduct an assessment as required by section 81 (2) of the NCA; alternatively</w:t>
      </w:r>
      <w:r w:rsidR="00AA6D87" w:rsidRPr="00DC21C9">
        <w:rPr>
          <w:rFonts w:ascii="Arial" w:hAnsi="Arial" w:cs="Arial"/>
        </w:rPr>
        <w:t>,</w:t>
      </w:r>
    </w:p>
    <w:p w14:paraId="1F97A858" w14:textId="77777777" w:rsidR="00AA6D87" w:rsidRPr="00AA6D87" w:rsidRDefault="00AA6D87" w:rsidP="00AA6D87">
      <w:pPr>
        <w:snapToGrid w:val="0"/>
        <w:spacing w:line="360" w:lineRule="auto"/>
        <w:ind w:left="1474"/>
        <w:jc w:val="both"/>
        <w:rPr>
          <w:rFonts w:ascii="Arial" w:hAnsi="Arial" w:cs="Arial"/>
          <w:lang w:val="en-GB"/>
        </w:rPr>
      </w:pPr>
    </w:p>
    <w:p w14:paraId="18220CDE" w14:textId="028DE559" w:rsidR="00AF164D" w:rsidRPr="00DC21C9" w:rsidRDefault="00DC21C9" w:rsidP="00DC21C9">
      <w:pPr>
        <w:snapToGrid w:val="0"/>
        <w:spacing w:line="360" w:lineRule="auto"/>
        <w:ind w:left="2194" w:hanging="720"/>
        <w:jc w:val="both"/>
        <w:rPr>
          <w:rFonts w:ascii="Arial" w:hAnsi="Arial" w:cs="Arial"/>
          <w:lang w:val="en-GB"/>
        </w:rPr>
      </w:pPr>
      <w:r w:rsidRPr="00AA6D87">
        <w:rPr>
          <w:rFonts w:ascii="Arial" w:eastAsiaTheme="minorHAnsi" w:hAnsi="Arial" w:cs="Arial"/>
          <w:lang w:val="en-GB" w:eastAsia="en-US"/>
        </w:rPr>
        <w:lastRenderedPageBreak/>
        <w:t>5.6.2.</w:t>
      </w:r>
      <w:r w:rsidRPr="00AA6D87">
        <w:rPr>
          <w:rFonts w:ascii="Arial" w:eastAsiaTheme="minorHAnsi" w:hAnsi="Arial" w:cs="Arial"/>
          <w:lang w:val="en-GB" w:eastAsia="en-US"/>
        </w:rPr>
        <w:tab/>
      </w:r>
      <w:r w:rsidR="00AA6D87" w:rsidRPr="00DC21C9">
        <w:rPr>
          <w:rFonts w:ascii="Arial" w:hAnsi="Arial" w:cs="Arial"/>
        </w:rPr>
        <w:t>t</w:t>
      </w:r>
      <w:r w:rsidR="00AF164D" w:rsidRPr="00DC21C9">
        <w:rPr>
          <w:rFonts w:ascii="Arial" w:hAnsi="Arial" w:cs="Arial"/>
        </w:rPr>
        <w:t xml:space="preserve">he </w:t>
      </w:r>
      <w:r w:rsidR="00AA6D87" w:rsidRPr="00DC21C9">
        <w:rPr>
          <w:rFonts w:ascii="Arial" w:hAnsi="Arial" w:cs="Arial"/>
        </w:rPr>
        <w:t>Plaintiff</w:t>
      </w:r>
      <w:r w:rsidR="00AF164D" w:rsidRPr="00DC21C9">
        <w:rPr>
          <w:rFonts w:ascii="Arial" w:hAnsi="Arial" w:cs="Arial"/>
        </w:rPr>
        <w:t xml:space="preserve">, having conducted an assessment as required by section 81 (2), entered into the credit agreement with the </w:t>
      </w:r>
      <w:r w:rsidR="00AA6D87" w:rsidRPr="00DC21C9">
        <w:rPr>
          <w:rFonts w:ascii="Arial" w:hAnsi="Arial" w:cs="Arial"/>
        </w:rPr>
        <w:t>Defendant</w:t>
      </w:r>
      <w:r w:rsidR="00AF164D" w:rsidRPr="00DC21C9">
        <w:rPr>
          <w:rFonts w:ascii="Arial" w:hAnsi="Arial" w:cs="Arial"/>
        </w:rPr>
        <w:t xml:space="preserve"> despite the fact that the preponderance of information available to the </w:t>
      </w:r>
      <w:r w:rsidR="00AA6D87" w:rsidRPr="00DC21C9">
        <w:rPr>
          <w:rFonts w:ascii="Arial" w:hAnsi="Arial" w:cs="Arial"/>
        </w:rPr>
        <w:t>Plaintiff</w:t>
      </w:r>
      <w:r w:rsidR="00AF164D" w:rsidRPr="00DC21C9">
        <w:rPr>
          <w:rFonts w:ascii="Arial" w:hAnsi="Arial" w:cs="Arial"/>
        </w:rPr>
        <w:t xml:space="preserve"> indicated that:</w:t>
      </w:r>
    </w:p>
    <w:p w14:paraId="6D544C67" w14:textId="77777777" w:rsidR="00AA6D87" w:rsidRDefault="00AA6D87" w:rsidP="00AA6D87">
      <w:pPr>
        <w:pStyle w:val="ListParagraph"/>
        <w:rPr>
          <w:rFonts w:ascii="Arial" w:hAnsi="Arial" w:cs="Arial"/>
          <w:lang w:val="en-GB"/>
        </w:rPr>
      </w:pPr>
    </w:p>
    <w:p w14:paraId="56040E9E" w14:textId="77777777" w:rsidR="005A7B63" w:rsidRDefault="005A7B63" w:rsidP="00AA6D87">
      <w:pPr>
        <w:pStyle w:val="ListParagraph"/>
        <w:rPr>
          <w:rFonts w:ascii="Arial" w:hAnsi="Arial" w:cs="Arial"/>
          <w:lang w:val="en-GB"/>
        </w:rPr>
      </w:pPr>
    </w:p>
    <w:p w14:paraId="74B19F55" w14:textId="77777777" w:rsidR="005A7B63" w:rsidRDefault="005A7B63" w:rsidP="00AA6D87">
      <w:pPr>
        <w:pStyle w:val="ListParagraph"/>
        <w:rPr>
          <w:rFonts w:ascii="Arial" w:hAnsi="Arial" w:cs="Arial"/>
          <w:lang w:val="en-GB"/>
        </w:rPr>
      </w:pPr>
    </w:p>
    <w:p w14:paraId="5D3A7B36" w14:textId="77777777" w:rsidR="005A7B63" w:rsidRPr="00AA6D87" w:rsidRDefault="005A7B63" w:rsidP="00AA6D87">
      <w:pPr>
        <w:pStyle w:val="ListParagraph"/>
        <w:rPr>
          <w:rFonts w:ascii="Arial" w:hAnsi="Arial" w:cs="Arial"/>
          <w:lang w:val="en-GB"/>
        </w:rPr>
      </w:pPr>
    </w:p>
    <w:p w14:paraId="27959FDC" w14:textId="6E62F2F7" w:rsidR="00AA6D87" w:rsidRPr="00DC21C9" w:rsidRDefault="00DC21C9" w:rsidP="00DC21C9">
      <w:pPr>
        <w:snapToGrid w:val="0"/>
        <w:spacing w:line="360" w:lineRule="auto"/>
        <w:ind w:left="3291" w:hanging="1080"/>
        <w:jc w:val="both"/>
        <w:rPr>
          <w:rFonts w:ascii="Arial" w:hAnsi="Arial" w:cs="Arial"/>
          <w:lang w:val="en-GB"/>
        </w:rPr>
      </w:pPr>
      <w:r w:rsidRPr="00AA6D87">
        <w:rPr>
          <w:rFonts w:ascii="Arial" w:eastAsiaTheme="minorHAnsi" w:hAnsi="Arial" w:cs="Arial"/>
          <w:lang w:val="en-GB" w:eastAsia="en-US"/>
        </w:rPr>
        <w:t>5.6.2.1.</w:t>
      </w:r>
      <w:r w:rsidRPr="00AA6D87">
        <w:rPr>
          <w:rFonts w:ascii="Arial" w:eastAsiaTheme="minorHAnsi" w:hAnsi="Arial" w:cs="Arial"/>
          <w:lang w:val="en-GB" w:eastAsia="en-US"/>
        </w:rPr>
        <w:tab/>
      </w:r>
      <w:r w:rsidR="005A7B63" w:rsidRPr="00DC21C9">
        <w:rPr>
          <w:rFonts w:ascii="Arial" w:hAnsi="Arial" w:cs="Arial"/>
        </w:rPr>
        <w:t xml:space="preserve">    </w:t>
      </w:r>
      <w:r w:rsidR="00AA6D87" w:rsidRPr="00DC21C9">
        <w:rPr>
          <w:rFonts w:ascii="Arial" w:hAnsi="Arial" w:cs="Arial"/>
        </w:rPr>
        <w:t>t</w:t>
      </w:r>
      <w:r w:rsidR="00AF164D" w:rsidRPr="00DC21C9">
        <w:rPr>
          <w:rFonts w:ascii="Arial" w:hAnsi="Arial" w:cs="Arial"/>
        </w:rPr>
        <w:t xml:space="preserve">he </w:t>
      </w:r>
      <w:r w:rsidR="00AA6D87" w:rsidRPr="00DC21C9">
        <w:rPr>
          <w:rFonts w:ascii="Arial" w:hAnsi="Arial" w:cs="Arial"/>
        </w:rPr>
        <w:t>Defendant</w:t>
      </w:r>
      <w:r w:rsidR="00AF164D" w:rsidRPr="00DC21C9">
        <w:rPr>
          <w:rFonts w:ascii="Arial" w:hAnsi="Arial" w:cs="Arial"/>
        </w:rPr>
        <w:t xml:space="preserve"> was already, at the time of entering</w:t>
      </w:r>
    </w:p>
    <w:p w14:paraId="32227B36" w14:textId="77777777" w:rsidR="005A7B63" w:rsidRDefault="00AF164D" w:rsidP="00AA6D87">
      <w:pPr>
        <w:snapToGrid w:val="0"/>
        <w:spacing w:line="360" w:lineRule="auto"/>
        <w:ind w:left="3549"/>
        <w:jc w:val="both"/>
        <w:rPr>
          <w:rFonts w:ascii="Arial" w:hAnsi="Arial" w:cs="Arial"/>
        </w:rPr>
      </w:pPr>
      <w:r w:rsidRPr="00AA6D87">
        <w:rPr>
          <w:rFonts w:ascii="Arial" w:hAnsi="Arial" w:cs="Arial"/>
        </w:rPr>
        <w:t xml:space="preserve">the AOD, indebted to the </w:t>
      </w:r>
      <w:r w:rsidR="00AA6D87" w:rsidRPr="00AA6D87">
        <w:rPr>
          <w:rFonts w:ascii="Arial" w:hAnsi="Arial" w:cs="Arial"/>
        </w:rPr>
        <w:t>Plaintiff</w:t>
      </w:r>
      <w:r w:rsidRPr="00AA6D87">
        <w:rPr>
          <w:rFonts w:ascii="Arial" w:hAnsi="Arial" w:cs="Arial"/>
        </w:rPr>
        <w:t xml:space="preserve"> for an amount exceeding the credit facility granted on 29 January 2015; alternatively</w:t>
      </w:r>
      <w:r w:rsidR="00AA6D87">
        <w:rPr>
          <w:rFonts w:ascii="Arial" w:hAnsi="Arial" w:cs="Arial"/>
        </w:rPr>
        <w:t>,</w:t>
      </w:r>
    </w:p>
    <w:p w14:paraId="6FDD9A9C" w14:textId="77777777" w:rsidR="00AF164D" w:rsidRPr="00AA6D87" w:rsidRDefault="00AF164D" w:rsidP="00AA6D87">
      <w:pPr>
        <w:snapToGrid w:val="0"/>
        <w:spacing w:line="360" w:lineRule="auto"/>
        <w:ind w:left="3549"/>
        <w:jc w:val="both"/>
        <w:rPr>
          <w:rFonts w:ascii="Arial" w:hAnsi="Arial" w:cs="Arial"/>
          <w:lang w:val="en-GB"/>
        </w:rPr>
      </w:pPr>
      <w:r w:rsidRPr="00AA6D87">
        <w:rPr>
          <w:rFonts w:ascii="Arial" w:hAnsi="Arial" w:cs="Arial"/>
        </w:rPr>
        <w:t xml:space="preserve"> </w:t>
      </w:r>
    </w:p>
    <w:p w14:paraId="23814444" w14:textId="4485BCC0" w:rsidR="005A7B63" w:rsidRPr="00DC21C9" w:rsidRDefault="00DC21C9" w:rsidP="00DC21C9">
      <w:pPr>
        <w:snapToGrid w:val="0"/>
        <w:spacing w:line="360" w:lineRule="auto"/>
        <w:ind w:left="3291" w:hanging="1080"/>
        <w:jc w:val="both"/>
        <w:rPr>
          <w:rFonts w:ascii="Arial" w:hAnsi="Arial" w:cs="Arial"/>
          <w:lang w:val="en-GB"/>
        </w:rPr>
      </w:pPr>
      <w:r w:rsidRPr="00AA0053">
        <w:rPr>
          <w:rFonts w:ascii="Arial" w:eastAsiaTheme="minorHAnsi" w:hAnsi="Arial" w:cs="Arial"/>
          <w:lang w:val="en-GB" w:eastAsia="en-US"/>
        </w:rPr>
        <w:t>5.6.2.2.</w:t>
      </w:r>
      <w:r w:rsidRPr="00AA0053">
        <w:rPr>
          <w:rFonts w:ascii="Arial" w:eastAsiaTheme="minorHAnsi" w:hAnsi="Arial" w:cs="Arial"/>
          <w:lang w:val="en-GB" w:eastAsia="en-US"/>
        </w:rPr>
        <w:tab/>
      </w:r>
      <w:r w:rsidR="005A7B63" w:rsidRPr="00DC21C9">
        <w:rPr>
          <w:rFonts w:ascii="Arial" w:hAnsi="Arial" w:cs="Arial"/>
        </w:rPr>
        <w:t xml:space="preserve">     </w:t>
      </w:r>
      <w:r w:rsidR="00AA0053" w:rsidRPr="00DC21C9">
        <w:rPr>
          <w:rFonts w:ascii="Arial" w:hAnsi="Arial" w:cs="Arial"/>
        </w:rPr>
        <w:t>e</w:t>
      </w:r>
      <w:r w:rsidR="00AF164D" w:rsidRPr="00DC21C9">
        <w:rPr>
          <w:rFonts w:ascii="Arial" w:hAnsi="Arial" w:cs="Arial"/>
        </w:rPr>
        <w:t>ntering into that credit agreement would make</w:t>
      </w:r>
    </w:p>
    <w:p w14:paraId="3124A644" w14:textId="77777777" w:rsidR="00AF164D" w:rsidRPr="00AA6D87" w:rsidRDefault="00AF164D" w:rsidP="00AA6D87">
      <w:pPr>
        <w:snapToGrid w:val="0"/>
        <w:spacing w:line="360" w:lineRule="auto"/>
        <w:ind w:left="2931" w:firstLine="669"/>
        <w:jc w:val="both"/>
        <w:rPr>
          <w:rFonts w:ascii="Arial" w:hAnsi="Arial" w:cs="Arial"/>
          <w:lang w:val="en-GB"/>
        </w:rPr>
      </w:pPr>
      <w:r w:rsidRPr="005A7B63">
        <w:rPr>
          <w:rFonts w:ascii="Arial" w:hAnsi="Arial" w:cs="Arial"/>
        </w:rPr>
        <w:t>the</w:t>
      </w:r>
      <w:r w:rsidR="005A7B63">
        <w:rPr>
          <w:rFonts w:ascii="Arial" w:hAnsi="Arial" w:cs="Arial"/>
        </w:rPr>
        <w:t xml:space="preserve"> </w:t>
      </w:r>
      <w:r w:rsidR="00AA6D87" w:rsidRPr="00AA6D87">
        <w:rPr>
          <w:rFonts w:ascii="Arial" w:hAnsi="Arial" w:cs="Arial"/>
        </w:rPr>
        <w:t>Defendant</w:t>
      </w:r>
      <w:r w:rsidRPr="00AA6D87">
        <w:rPr>
          <w:rFonts w:ascii="Arial" w:hAnsi="Arial" w:cs="Arial"/>
        </w:rPr>
        <w:t xml:space="preserve"> over-indebted</w:t>
      </w:r>
      <w:r w:rsidRPr="00AA6D87">
        <w:rPr>
          <w:rStyle w:val="FootnoteReference"/>
          <w:rFonts w:ascii="Arial" w:eastAsiaTheme="majorEastAsia" w:hAnsi="Arial" w:cs="Arial"/>
        </w:rPr>
        <w:footnoteReference w:id="18"/>
      </w:r>
      <w:r w:rsidRPr="00AA6D87">
        <w:rPr>
          <w:rFonts w:ascii="Arial" w:hAnsi="Arial" w:cs="Arial"/>
        </w:rPr>
        <w:t>.</w:t>
      </w:r>
    </w:p>
    <w:p w14:paraId="660B5611" w14:textId="77777777" w:rsidR="00902F3E" w:rsidRPr="00CF3FA4" w:rsidRDefault="00902F3E" w:rsidP="006E147E">
      <w:pPr>
        <w:pStyle w:val="LFLMainHeading"/>
        <w:spacing w:line="360" w:lineRule="auto"/>
        <w:rPr>
          <w:rFonts w:ascii="Arial" w:hAnsi="Arial" w:cs="Arial"/>
          <w:sz w:val="24"/>
          <w:szCs w:val="24"/>
          <w:u w:val="single"/>
        </w:rPr>
      </w:pPr>
      <w:r w:rsidRPr="00CF3FA4">
        <w:rPr>
          <w:rFonts w:ascii="Arial" w:hAnsi="Arial" w:cs="Arial"/>
          <w:sz w:val="24"/>
          <w:szCs w:val="24"/>
          <w:u w:val="single"/>
        </w:rPr>
        <w:t>THE LAW ON SUMMARY JUDGMENT</w:t>
      </w:r>
    </w:p>
    <w:p w14:paraId="5BF1C26F" w14:textId="04536F78" w:rsidR="00902F3E" w:rsidRPr="00AA6D87" w:rsidRDefault="00DC21C9" w:rsidP="00DC21C9">
      <w:pPr>
        <w:pStyle w:val="LFLMainPara"/>
        <w:numPr>
          <w:ilvl w:val="0"/>
          <w:numId w:val="0"/>
        </w:numPr>
        <w:spacing w:before="0" w:after="0" w:line="360" w:lineRule="auto"/>
        <w:ind w:left="737" w:hanging="390"/>
        <w:rPr>
          <w:sz w:val="24"/>
          <w:szCs w:val="24"/>
        </w:rPr>
      </w:pPr>
      <w:r w:rsidRPr="00AA6D87">
        <w:rPr>
          <w:sz w:val="24"/>
          <w:szCs w:val="24"/>
        </w:rPr>
        <w:t>6.</w:t>
      </w:r>
      <w:r w:rsidRPr="00AA6D87">
        <w:rPr>
          <w:sz w:val="24"/>
          <w:szCs w:val="24"/>
        </w:rPr>
        <w:tab/>
      </w:r>
      <w:r w:rsidR="00902F3E" w:rsidRPr="00AA6D87">
        <w:rPr>
          <w:sz w:val="24"/>
          <w:szCs w:val="24"/>
        </w:rPr>
        <w:t>Rule 32</w:t>
      </w:r>
      <w:r w:rsidR="001260E9" w:rsidRPr="00AA6D87">
        <w:rPr>
          <w:sz w:val="24"/>
          <w:szCs w:val="24"/>
        </w:rPr>
        <w:t>(1)(a)</w:t>
      </w:r>
      <w:r w:rsidR="00902F3E" w:rsidRPr="00AA6D87">
        <w:rPr>
          <w:sz w:val="24"/>
          <w:szCs w:val="24"/>
        </w:rPr>
        <w:t xml:space="preserve"> provides</w:t>
      </w:r>
      <w:r w:rsidR="001260E9" w:rsidRPr="00AA6D87">
        <w:rPr>
          <w:sz w:val="24"/>
          <w:szCs w:val="24"/>
        </w:rPr>
        <w:t xml:space="preserve"> that the</w:t>
      </w:r>
      <w:r w:rsidR="001260E9" w:rsidRPr="00AA6D87">
        <w:rPr>
          <w:color w:val="000000"/>
          <w:sz w:val="24"/>
          <w:szCs w:val="24"/>
        </w:rPr>
        <w:t xml:space="preserve"> </w:t>
      </w:r>
      <w:r w:rsidR="006E147E" w:rsidRPr="00AA6D87">
        <w:rPr>
          <w:color w:val="000000"/>
          <w:sz w:val="24"/>
          <w:szCs w:val="24"/>
        </w:rPr>
        <w:t>Plaintiff</w:t>
      </w:r>
      <w:r w:rsidR="001260E9" w:rsidRPr="00AA6D87">
        <w:rPr>
          <w:color w:val="000000"/>
          <w:sz w:val="24"/>
          <w:szCs w:val="24"/>
        </w:rPr>
        <w:t xml:space="preserve"> may, after the </w:t>
      </w:r>
      <w:r w:rsidR="006E147E" w:rsidRPr="00AA6D87">
        <w:rPr>
          <w:color w:val="000000"/>
          <w:sz w:val="24"/>
          <w:szCs w:val="24"/>
        </w:rPr>
        <w:t>Defendant</w:t>
      </w:r>
      <w:r w:rsidR="001260E9" w:rsidRPr="00AA6D87">
        <w:rPr>
          <w:color w:val="000000"/>
          <w:sz w:val="24"/>
          <w:szCs w:val="24"/>
        </w:rPr>
        <w:t xml:space="preserve"> has delivered a </w:t>
      </w:r>
      <w:r w:rsidR="007B58B7">
        <w:rPr>
          <w:color w:val="000000"/>
          <w:sz w:val="24"/>
          <w:szCs w:val="24"/>
        </w:rPr>
        <w:t>P</w:t>
      </w:r>
      <w:r w:rsidR="001260E9" w:rsidRPr="00AA6D87">
        <w:rPr>
          <w:color w:val="000000"/>
          <w:sz w:val="24"/>
          <w:szCs w:val="24"/>
        </w:rPr>
        <w:t xml:space="preserve">lea, apply to court for </w:t>
      </w:r>
      <w:r w:rsidR="00CF3FA4">
        <w:rPr>
          <w:color w:val="000000"/>
          <w:sz w:val="24"/>
          <w:szCs w:val="24"/>
        </w:rPr>
        <w:t>S</w:t>
      </w:r>
      <w:r w:rsidR="001260E9" w:rsidRPr="00AA6D87">
        <w:rPr>
          <w:color w:val="000000"/>
          <w:sz w:val="24"/>
          <w:szCs w:val="24"/>
        </w:rPr>
        <w:t xml:space="preserve">ummary </w:t>
      </w:r>
      <w:r w:rsidR="00CF3FA4">
        <w:rPr>
          <w:color w:val="000000"/>
          <w:sz w:val="24"/>
          <w:szCs w:val="24"/>
        </w:rPr>
        <w:t>J</w:t>
      </w:r>
      <w:r w:rsidR="001260E9" w:rsidRPr="00AA6D87">
        <w:rPr>
          <w:color w:val="000000"/>
          <w:sz w:val="24"/>
          <w:szCs w:val="24"/>
        </w:rPr>
        <w:t xml:space="preserve">udgment on each of such claims in the </w:t>
      </w:r>
      <w:r w:rsidR="007B58B7">
        <w:rPr>
          <w:color w:val="000000"/>
          <w:sz w:val="24"/>
          <w:szCs w:val="24"/>
        </w:rPr>
        <w:t>S</w:t>
      </w:r>
      <w:r w:rsidR="001260E9" w:rsidRPr="00AA6D87">
        <w:rPr>
          <w:color w:val="000000"/>
          <w:sz w:val="24"/>
          <w:szCs w:val="24"/>
        </w:rPr>
        <w:t>ummons as is on a liquid document, together with any claim for interest and costs.</w:t>
      </w:r>
    </w:p>
    <w:p w14:paraId="64BD0A9E" w14:textId="77777777" w:rsidR="00336890" w:rsidRPr="00AA0053" w:rsidRDefault="00336890" w:rsidP="00336890">
      <w:pPr>
        <w:pStyle w:val="ListParagraph"/>
        <w:rPr>
          <w:lang w:val="en-GB"/>
        </w:rPr>
      </w:pPr>
    </w:p>
    <w:p w14:paraId="434D37A0" w14:textId="184E0646" w:rsidR="00336890" w:rsidRPr="00AA0053" w:rsidRDefault="00DC21C9" w:rsidP="00DC21C9">
      <w:pPr>
        <w:pStyle w:val="LFLMainPara"/>
        <w:numPr>
          <w:ilvl w:val="0"/>
          <w:numId w:val="0"/>
        </w:numPr>
        <w:spacing w:before="0" w:after="0" w:line="360" w:lineRule="auto"/>
        <w:ind w:left="737" w:hanging="390"/>
        <w:rPr>
          <w:sz w:val="24"/>
          <w:szCs w:val="24"/>
          <w:lang w:val="en-GB"/>
        </w:rPr>
      </w:pPr>
      <w:r w:rsidRPr="00AA0053">
        <w:rPr>
          <w:sz w:val="24"/>
          <w:szCs w:val="24"/>
          <w:lang w:val="en-GB"/>
        </w:rPr>
        <w:t>7.</w:t>
      </w:r>
      <w:r w:rsidRPr="00AA0053">
        <w:rPr>
          <w:sz w:val="24"/>
          <w:szCs w:val="24"/>
          <w:lang w:val="en-GB"/>
        </w:rPr>
        <w:tab/>
      </w:r>
      <w:r w:rsidR="00336890" w:rsidRPr="00AA0053">
        <w:rPr>
          <w:sz w:val="24"/>
          <w:szCs w:val="24"/>
          <w:lang w:val="en-GB"/>
        </w:rPr>
        <w:t xml:space="preserve">Rule 32(3)(b) requires a defendant to “satisfy the Court by affidavit … that he has a bona fide defence to the action; such affidavit … shall disclose </w:t>
      </w:r>
      <w:r w:rsidR="00336890" w:rsidRPr="00AA0053">
        <w:rPr>
          <w:sz w:val="24"/>
          <w:szCs w:val="24"/>
          <w:u w:val="single"/>
          <w:lang w:val="en-GB"/>
        </w:rPr>
        <w:t>fully the nature and grounds of the defence and the material facts relied upon therefor</w:t>
      </w:r>
      <w:r w:rsidR="00336890" w:rsidRPr="00AA0053">
        <w:rPr>
          <w:sz w:val="24"/>
          <w:szCs w:val="24"/>
          <w:lang w:val="en-GB"/>
        </w:rPr>
        <w:t>.” The statement of material facts must “</w:t>
      </w:r>
      <w:r w:rsidR="00336890" w:rsidRPr="00AA0053">
        <w:rPr>
          <w:sz w:val="24"/>
          <w:szCs w:val="24"/>
          <w:u w:val="single"/>
          <w:lang w:val="en-GB"/>
        </w:rPr>
        <w:t xml:space="preserve">be sufficiently full to persuade the court that what the defendant has alleged, if it is proved at the trial, </w:t>
      </w:r>
      <w:r w:rsidR="00336890" w:rsidRPr="00AA0053">
        <w:rPr>
          <w:b/>
          <w:bCs/>
          <w:sz w:val="24"/>
          <w:szCs w:val="24"/>
          <w:u w:val="single"/>
          <w:lang w:val="en-GB"/>
        </w:rPr>
        <w:t>will constitute a defence to the plaintiff’s claim.</w:t>
      </w:r>
      <w:r w:rsidR="00336890" w:rsidRPr="00AA0053">
        <w:rPr>
          <w:sz w:val="24"/>
          <w:szCs w:val="24"/>
          <w:lang w:val="en-GB"/>
        </w:rPr>
        <w:t>”</w:t>
      </w:r>
      <w:r w:rsidR="00336890" w:rsidRPr="00AA0053">
        <w:rPr>
          <w:rStyle w:val="FootnoteReference"/>
          <w:i/>
          <w:iCs/>
          <w:sz w:val="24"/>
          <w:szCs w:val="24"/>
          <w:lang w:val="en-GB"/>
        </w:rPr>
        <w:footnoteReference w:id="19"/>
      </w:r>
    </w:p>
    <w:p w14:paraId="045BC201" w14:textId="77777777" w:rsidR="00336890" w:rsidRPr="00AA0053" w:rsidRDefault="00336890" w:rsidP="00336890">
      <w:pPr>
        <w:pStyle w:val="ListParagraph"/>
        <w:spacing w:line="360" w:lineRule="auto"/>
        <w:rPr>
          <w:lang w:val="en-GB"/>
        </w:rPr>
      </w:pPr>
    </w:p>
    <w:p w14:paraId="4F2E61C6" w14:textId="2D790F55" w:rsidR="00336890" w:rsidRPr="00AA0053" w:rsidRDefault="00DC21C9" w:rsidP="00DC21C9">
      <w:pPr>
        <w:pStyle w:val="LFLMainPara"/>
        <w:numPr>
          <w:ilvl w:val="0"/>
          <w:numId w:val="0"/>
        </w:numPr>
        <w:spacing w:before="0" w:after="0" w:line="360" w:lineRule="auto"/>
        <w:ind w:left="737" w:hanging="390"/>
        <w:rPr>
          <w:sz w:val="24"/>
          <w:szCs w:val="24"/>
          <w:lang w:val="en-GB"/>
        </w:rPr>
      </w:pPr>
      <w:r w:rsidRPr="00AA0053">
        <w:rPr>
          <w:sz w:val="24"/>
          <w:szCs w:val="24"/>
          <w:lang w:val="en-GB"/>
        </w:rPr>
        <w:t>8.</w:t>
      </w:r>
      <w:r w:rsidRPr="00AA0053">
        <w:rPr>
          <w:sz w:val="24"/>
          <w:szCs w:val="24"/>
          <w:lang w:val="en-GB"/>
        </w:rPr>
        <w:tab/>
      </w:r>
      <w:r w:rsidR="00336890" w:rsidRPr="00AA0053">
        <w:rPr>
          <w:sz w:val="24"/>
          <w:szCs w:val="24"/>
          <w:lang w:val="en-GB"/>
        </w:rPr>
        <w:t xml:space="preserve">It is incumbent upon a defendant to formulate his opposition to the Summary Judgment Application and to do so (a) with a sufficient degree of clarity to enable the Court to ascertain whether he has deposed to a defence which, if </w:t>
      </w:r>
      <w:r w:rsidR="00336890" w:rsidRPr="00AA0053">
        <w:rPr>
          <w:sz w:val="24"/>
          <w:szCs w:val="24"/>
          <w:lang w:val="en-GB"/>
        </w:rPr>
        <w:lastRenderedPageBreak/>
        <w:t>proved at trial, would constitute a good defence to the action;</w:t>
      </w:r>
      <w:r w:rsidR="00336890" w:rsidRPr="00AA0053">
        <w:rPr>
          <w:rStyle w:val="FootnoteReference"/>
          <w:sz w:val="24"/>
          <w:szCs w:val="24"/>
          <w:lang w:val="en-GB"/>
        </w:rPr>
        <w:footnoteReference w:id="20"/>
      </w:r>
      <w:r w:rsidR="00336890" w:rsidRPr="00AA0053">
        <w:rPr>
          <w:sz w:val="24"/>
          <w:szCs w:val="24"/>
          <w:lang w:val="en-GB"/>
        </w:rPr>
        <w:t xml:space="preserve"> and (b) with reference to the Plea that was delivered. In this regard a defendant must engage meaningfully with the material in the plaintiff’s affidavit supporting the Application for Summary Judgment.</w:t>
      </w:r>
      <w:r w:rsidR="00336890" w:rsidRPr="00AA0053">
        <w:rPr>
          <w:rStyle w:val="FootnoteReference"/>
          <w:sz w:val="24"/>
          <w:szCs w:val="24"/>
          <w:lang w:val="en-GB"/>
        </w:rPr>
        <w:footnoteReference w:id="21"/>
      </w:r>
      <w:r w:rsidR="00336890" w:rsidRPr="00AA0053">
        <w:rPr>
          <w:sz w:val="24"/>
          <w:szCs w:val="24"/>
          <w:lang w:val="en-GB"/>
        </w:rPr>
        <w:t xml:space="preserve"> </w:t>
      </w:r>
    </w:p>
    <w:p w14:paraId="4169D8B9" w14:textId="77777777" w:rsidR="00336890" w:rsidRPr="008B2A7A" w:rsidRDefault="00336890" w:rsidP="00336890">
      <w:pPr>
        <w:pStyle w:val="ListParagraph"/>
        <w:spacing w:line="360" w:lineRule="auto"/>
        <w:rPr>
          <w:sz w:val="22"/>
          <w:szCs w:val="22"/>
          <w:lang w:val="en-GB"/>
        </w:rPr>
      </w:pPr>
    </w:p>
    <w:p w14:paraId="14AC0B59" w14:textId="6DA35176" w:rsidR="00336890" w:rsidRPr="00AA0053" w:rsidRDefault="00DC21C9" w:rsidP="00DC21C9">
      <w:pPr>
        <w:pStyle w:val="LFLMainPara"/>
        <w:numPr>
          <w:ilvl w:val="0"/>
          <w:numId w:val="0"/>
        </w:numPr>
        <w:spacing w:before="0" w:after="0" w:line="360" w:lineRule="auto"/>
        <w:ind w:left="737" w:hanging="390"/>
        <w:rPr>
          <w:sz w:val="24"/>
          <w:szCs w:val="24"/>
          <w:lang w:val="en-GB"/>
        </w:rPr>
      </w:pPr>
      <w:r w:rsidRPr="00AA0053">
        <w:rPr>
          <w:sz w:val="24"/>
          <w:szCs w:val="24"/>
          <w:lang w:val="en-GB"/>
        </w:rPr>
        <w:t>9.</w:t>
      </w:r>
      <w:r w:rsidRPr="00AA0053">
        <w:rPr>
          <w:sz w:val="24"/>
          <w:szCs w:val="24"/>
          <w:lang w:val="en-GB"/>
        </w:rPr>
        <w:tab/>
      </w:r>
      <w:r w:rsidR="00336890" w:rsidRPr="00AA0053">
        <w:rPr>
          <w:sz w:val="24"/>
          <w:szCs w:val="24"/>
          <w:lang w:val="en-GB"/>
        </w:rPr>
        <w:t>Thus, a defendant will fail if it is clear from his Affidavit that he is advancing a defence simply to delay the obtaining a judgment to which the defendant well knows that the plaintiff is justly entitled.</w:t>
      </w:r>
      <w:r w:rsidR="00336890" w:rsidRPr="00AA0053">
        <w:rPr>
          <w:rStyle w:val="FootnoteReference"/>
          <w:sz w:val="24"/>
          <w:szCs w:val="24"/>
          <w:lang w:val="en-GB"/>
        </w:rPr>
        <w:footnoteReference w:id="22"/>
      </w:r>
    </w:p>
    <w:p w14:paraId="273C1C84" w14:textId="77777777" w:rsidR="00336890" w:rsidRPr="008B2A7A" w:rsidRDefault="00336890" w:rsidP="00336890">
      <w:pPr>
        <w:pStyle w:val="ListParagraph"/>
        <w:spacing w:line="360" w:lineRule="auto"/>
        <w:jc w:val="both"/>
        <w:rPr>
          <w:sz w:val="22"/>
          <w:szCs w:val="22"/>
          <w:lang w:val="en-GB"/>
        </w:rPr>
      </w:pPr>
    </w:p>
    <w:p w14:paraId="481EBCDC" w14:textId="6EBD423F" w:rsidR="00336890" w:rsidRPr="00336890" w:rsidRDefault="00DC21C9" w:rsidP="00DC21C9">
      <w:pPr>
        <w:pStyle w:val="LFLMainPara"/>
        <w:numPr>
          <w:ilvl w:val="0"/>
          <w:numId w:val="0"/>
        </w:numPr>
        <w:spacing w:line="360" w:lineRule="auto"/>
        <w:ind w:left="737" w:hanging="390"/>
        <w:rPr>
          <w:lang w:val="en-GB"/>
        </w:rPr>
      </w:pPr>
      <w:r w:rsidRPr="00336890">
        <w:rPr>
          <w:lang w:val="en-GB"/>
        </w:rPr>
        <w:t>10.</w:t>
      </w:r>
      <w:r w:rsidRPr="00336890">
        <w:rPr>
          <w:lang w:val="en-GB"/>
        </w:rPr>
        <w:tab/>
      </w:r>
      <w:r w:rsidR="00336890" w:rsidRPr="00336890">
        <w:rPr>
          <w:lang w:val="en-GB"/>
        </w:rPr>
        <w:t xml:space="preserve">In </w:t>
      </w:r>
      <w:r w:rsidR="00336890" w:rsidRPr="001C061A">
        <w:rPr>
          <w:b/>
          <w:i/>
          <w:iCs/>
          <w:lang w:val="en-GB"/>
        </w:rPr>
        <w:t>NPGS Protection and Security Services CC &amp; another v FirstRand Bank Ltd</w:t>
      </w:r>
      <w:r w:rsidR="00336890" w:rsidRPr="008B2A7A">
        <w:rPr>
          <w:rStyle w:val="FootnoteReference"/>
          <w:i/>
          <w:iCs/>
          <w:sz w:val="22"/>
          <w:szCs w:val="22"/>
          <w:lang w:val="en-GB"/>
        </w:rPr>
        <w:footnoteReference w:id="23"/>
      </w:r>
      <w:r w:rsidR="00336890" w:rsidRPr="00336890">
        <w:rPr>
          <w:lang w:val="en-GB"/>
        </w:rPr>
        <w:t xml:space="preserve"> the Supreme Court of Appeal held as follows: </w:t>
      </w:r>
    </w:p>
    <w:p w14:paraId="5E4013A5" w14:textId="77777777" w:rsidR="00336890" w:rsidRPr="008B2A7A" w:rsidRDefault="00336890" w:rsidP="00336890">
      <w:pPr>
        <w:pStyle w:val="ListParagraph"/>
        <w:widowControl w:val="0"/>
        <w:spacing w:line="360" w:lineRule="auto"/>
        <w:jc w:val="both"/>
        <w:rPr>
          <w:sz w:val="22"/>
          <w:szCs w:val="22"/>
          <w:lang w:val="en-GB"/>
        </w:rPr>
      </w:pPr>
      <w:r w:rsidRPr="008B2A7A">
        <w:rPr>
          <w:i/>
          <w:iCs/>
          <w:sz w:val="22"/>
          <w:szCs w:val="22"/>
          <w:lang w:val="en-GB"/>
        </w:rPr>
        <w:t>“Rule 32(3) of the uniform rules requires an opposing affidavit to disclose fully the nature and grounds of the defence and the material facts relied upon therefor. To stave off summary judgment</w:t>
      </w:r>
      <w:r w:rsidRPr="008B2A7A">
        <w:rPr>
          <w:b/>
          <w:bCs/>
          <w:i/>
          <w:iCs/>
          <w:sz w:val="22"/>
          <w:szCs w:val="22"/>
          <w:lang w:val="en-GB"/>
        </w:rPr>
        <w:t>, a defendant cannot content him or himself with bald denials, for example, that it is not clear how the amount claimed was made up</w:t>
      </w:r>
      <w:r w:rsidRPr="008B2A7A">
        <w:rPr>
          <w:i/>
          <w:iCs/>
          <w:sz w:val="22"/>
          <w:szCs w:val="22"/>
          <w:lang w:val="en-GB"/>
        </w:rPr>
        <w:t xml:space="preserve">. Something more is required. If a defendant disputes the </w:t>
      </w:r>
      <w:r w:rsidRPr="008B2A7A">
        <w:rPr>
          <w:b/>
          <w:bCs/>
          <w:i/>
          <w:iCs/>
          <w:sz w:val="22"/>
          <w:szCs w:val="22"/>
          <w:lang w:val="en-GB"/>
        </w:rPr>
        <w:t>amount claimed, he or she should say so and set out a factual basis for such denial</w:t>
      </w:r>
      <w:r w:rsidRPr="008B2A7A">
        <w:rPr>
          <w:i/>
          <w:iCs/>
          <w:sz w:val="22"/>
          <w:szCs w:val="22"/>
          <w:lang w:val="en-GB"/>
        </w:rPr>
        <w:t>. This could be done by giving examples of payments made by them which have not been credited to their account.”</w:t>
      </w:r>
    </w:p>
    <w:p w14:paraId="5B3E84F8" w14:textId="301347FB" w:rsidR="00FA12F0" w:rsidRPr="00AA6D87" w:rsidRDefault="00DC21C9" w:rsidP="00DC21C9">
      <w:pPr>
        <w:pStyle w:val="LFLMainPara"/>
        <w:numPr>
          <w:ilvl w:val="0"/>
          <w:numId w:val="0"/>
        </w:numPr>
        <w:spacing w:line="360" w:lineRule="auto"/>
        <w:ind w:left="737" w:hanging="390"/>
        <w:rPr>
          <w:sz w:val="24"/>
          <w:szCs w:val="24"/>
        </w:rPr>
      </w:pPr>
      <w:r w:rsidRPr="00AA6D87">
        <w:rPr>
          <w:sz w:val="24"/>
          <w:szCs w:val="24"/>
        </w:rPr>
        <w:t>11.</w:t>
      </w:r>
      <w:r w:rsidRPr="00AA6D87">
        <w:rPr>
          <w:sz w:val="24"/>
          <w:szCs w:val="24"/>
        </w:rPr>
        <w:tab/>
      </w:r>
      <w:r w:rsidR="00FA12F0" w:rsidRPr="00AA6D87">
        <w:rPr>
          <w:sz w:val="24"/>
          <w:szCs w:val="24"/>
        </w:rPr>
        <w:t xml:space="preserve">The </w:t>
      </w:r>
      <w:r w:rsidR="006E147E" w:rsidRPr="00AA6D87">
        <w:rPr>
          <w:sz w:val="24"/>
          <w:szCs w:val="24"/>
        </w:rPr>
        <w:t>Defendant</w:t>
      </w:r>
      <w:r w:rsidR="00FA12F0" w:rsidRPr="00AA6D87">
        <w:rPr>
          <w:sz w:val="24"/>
          <w:szCs w:val="24"/>
        </w:rPr>
        <w:t xml:space="preserve"> is therefore required to disclose fully the nature and grounds of its </w:t>
      </w:r>
      <w:r w:rsidR="00FA12F0" w:rsidRPr="00AA6D87">
        <w:rPr>
          <w:i/>
          <w:iCs/>
          <w:sz w:val="24"/>
          <w:szCs w:val="24"/>
        </w:rPr>
        <w:t>bona fide</w:t>
      </w:r>
      <w:r w:rsidR="00FA12F0" w:rsidRPr="00AA6D87">
        <w:rPr>
          <w:sz w:val="24"/>
          <w:szCs w:val="24"/>
        </w:rPr>
        <w:t xml:space="preserve"> defence to the action, and the material facts relied upon therefor.</w:t>
      </w:r>
    </w:p>
    <w:p w14:paraId="08800ABE" w14:textId="77777777" w:rsidR="00391CBC" w:rsidRPr="00336890" w:rsidRDefault="00391CBC" w:rsidP="006E147E">
      <w:pPr>
        <w:pStyle w:val="LFLMainHeading"/>
        <w:spacing w:line="360" w:lineRule="auto"/>
        <w:rPr>
          <w:rFonts w:ascii="Arial" w:hAnsi="Arial" w:cs="Arial"/>
          <w:sz w:val="24"/>
          <w:szCs w:val="24"/>
          <w:u w:val="single"/>
        </w:rPr>
      </w:pPr>
      <w:r w:rsidRPr="00336890">
        <w:rPr>
          <w:rFonts w:ascii="Arial" w:hAnsi="Arial" w:cs="Arial"/>
          <w:sz w:val="24"/>
          <w:szCs w:val="24"/>
          <w:u w:val="single"/>
        </w:rPr>
        <w:t xml:space="preserve">THE DEFENCES RAISED BY THE </w:t>
      </w:r>
      <w:r w:rsidR="006E147E" w:rsidRPr="00336890">
        <w:rPr>
          <w:rFonts w:ascii="Arial" w:hAnsi="Arial" w:cs="Arial"/>
          <w:sz w:val="24"/>
          <w:szCs w:val="24"/>
          <w:u w:val="single"/>
        </w:rPr>
        <w:t>DEFENDANT</w:t>
      </w:r>
    </w:p>
    <w:p w14:paraId="3328DD09" w14:textId="0839E503" w:rsidR="00F11535" w:rsidRPr="00AA6D87" w:rsidRDefault="00DC21C9" w:rsidP="00DC21C9">
      <w:pPr>
        <w:pStyle w:val="LFLMainPara"/>
        <w:numPr>
          <w:ilvl w:val="0"/>
          <w:numId w:val="0"/>
        </w:numPr>
        <w:spacing w:line="360" w:lineRule="auto"/>
        <w:ind w:left="737" w:hanging="390"/>
        <w:rPr>
          <w:sz w:val="24"/>
          <w:szCs w:val="24"/>
        </w:rPr>
      </w:pPr>
      <w:r w:rsidRPr="00AA6D87">
        <w:rPr>
          <w:sz w:val="24"/>
          <w:szCs w:val="24"/>
        </w:rPr>
        <w:t>12.</w:t>
      </w:r>
      <w:r w:rsidRPr="00AA6D87">
        <w:rPr>
          <w:sz w:val="24"/>
          <w:szCs w:val="24"/>
        </w:rPr>
        <w:tab/>
      </w:r>
      <w:r w:rsidR="003D2C3E" w:rsidRPr="00AA6D87">
        <w:rPr>
          <w:color w:val="000000"/>
          <w:sz w:val="24"/>
          <w:szCs w:val="24"/>
        </w:rPr>
        <w:t xml:space="preserve">The </w:t>
      </w:r>
      <w:r w:rsidR="006E147E" w:rsidRPr="00AA6D87">
        <w:rPr>
          <w:color w:val="000000"/>
          <w:sz w:val="24"/>
          <w:szCs w:val="24"/>
        </w:rPr>
        <w:t>Defendant</w:t>
      </w:r>
      <w:r w:rsidR="00630D2C" w:rsidRPr="00AA6D87">
        <w:rPr>
          <w:color w:val="000000"/>
          <w:sz w:val="24"/>
          <w:szCs w:val="24"/>
        </w:rPr>
        <w:t xml:space="preserve">’s </w:t>
      </w:r>
      <w:r w:rsidR="00336890">
        <w:rPr>
          <w:color w:val="000000"/>
          <w:sz w:val="24"/>
          <w:szCs w:val="24"/>
        </w:rPr>
        <w:t>A</w:t>
      </w:r>
      <w:r w:rsidR="00630D2C" w:rsidRPr="00AA6D87">
        <w:rPr>
          <w:color w:val="000000"/>
          <w:sz w:val="24"/>
          <w:szCs w:val="24"/>
        </w:rPr>
        <w:t xml:space="preserve">ffidavit </w:t>
      </w:r>
      <w:r w:rsidR="00336890">
        <w:rPr>
          <w:color w:val="000000"/>
          <w:sz w:val="24"/>
          <w:szCs w:val="24"/>
        </w:rPr>
        <w:t>R</w:t>
      </w:r>
      <w:r w:rsidR="00630D2C" w:rsidRPr="00AA6D87">
        <w:rPr>
          <w:color w:val="000000"/>
          <w:sz w:val="24"/>
          <w:szCs w:val="24"/>
        </w:rPr>
        <w:t xml:space="preserve">esisting </w:t>
      </w:r>
      <w:r w:rsidR="00336890">
        <w:rPr>
          <w:color w:val="000000"/>
          <w:sz w:val="24"/>
          <w:szCs w:val="24"/>
        </w:rPr>
        <w:t>S</w:t>
      </w:r>
      <w:r w:rsidR="00630D2C" w:rsidRPr="00AA6D87">
        <w:rPr>
          <w:color w:val="000000"/>
          <w:sz w:val="24"/>
          <w:szCs w:val="24"/>
        </w:rPr>
        <w:t xml:space="preserve">ummary </w:t>
      </w:r>
      <w:r w:rsidR="00336890">
        <w:rPr>
          <w:color w:val="000000"/>
          <w:sz w:val="24"/>
          <w:szCs w:val="24"/>
        </w:rPr>
        <w:t>J</w:t>
      </w:r>
      <w:r w:rsidR="00630D2C" w:rsidRPr="00AA6D87">
        <w:rPr>
          <w:color w:val="000000"/>
          <w:sz w:val="24"/>
          <w:szCs w:val="24"/>
        </w:rPr>
        <w:t xml:space="preserve">udgment </w:t>
      </w:r>
      <w:r w:rsidR="008E3A53">
        <w:rPr>
          <w:color w:val="000000"/>
          <w:sz w:val="24"/>
          <w:szCs w:val="24"/>
        </w:rPr>
        <w:t xml:space="preserve">thus raises </w:t>
      </w:r>
      <w:r w:rsidR="00630D2C" w:rsidRPr="00AA6D87">
        <w:rPr>
          <w:color w:val="000000"/>
          <w:sz w:val="24"/>
          <w:szCs w:val="24"/>
        </w:rPr>
        <w:t xml:space="preserve">the </w:t>
      </w:r>
      <w:r w:rsidR="003D2C3E" w:rsidRPr="00AA6D87">
        <w:rPr>
          <w:color w:val="000000"/>
          <w:sz w:val="24"/>
          <w:szCs w:val="24"/>
        </w:rPr>
        <w:t>following defences to the action:</w:t>
      </w:r>
    </w:p>
    <w:p w14:paraId="41B47D15" w14:textId="0752A2BD" w:rsidR="008E3A53" w:rsidRPr="00AA6D87" w:rsidRDefault="00DC21C9" w:rsidP="00DC21C9">
      <w:pPr>
        <w:pStyle w:val="LFLMainPara"/>
        <w:numPr>
          <w:ilvl w:val="0"/>
          <w:numId w:val="0"/>
        </w:numPr>
        <w:spacing w:line="360" w:lineRule="auto"/>
        <w:ind w:left="1457" w:hanging="720"/>
        <w:rPr>
          <w:sz w:val="24"/>
          <w:szCs w:val="24"/>
        </w:rPr>
      </w:pPr>
      <w:r w:rsidRPr="00AA6D87">
        <w:rPr>
          <w:sz w:val="24"/>
          <w:szCs w:val="24"/>
        </w:rPr>
        <w:t>12.1.</w:t>
      </w:r>
      <w:r w:rsidRPr="00AA6D87">
        <w:rPr>
          <w:sz w:val="24"/>
          <w:szCs w:val="24"/>
        </w:rPr>
        <w:tab/>
      </w:r>
      <w:r w:rsidR="008E3A53">
        <w:rPr>
          <w:sz w:val="24"/>
          <w:szCs w:val="24"/>
        </w:rPr>
        <w:t>t</w:t>
      </w:r>
      <w:r w:rsidR="008E3A53" w:rsidRPr="00AA6D87">
        <w:rPr>
          <w:sz w:val="24"/>
          <w:szCs w:val="24"/>
        </w:rPr>
        <w:t>he</w:t>
      </w:r>
      <w:r w:rsidR="008E3A53" w:rsidRPr="00AA6D87">
        <w:rPr>
          <w:color w:val="000000"/>
          <w:sz w:val="24"/>
          <w:szCs w:val="24"/>
        </w:rPr>
        <w:t xml:space="preserve"> Plaintiff did not comply with Rule 18(6) of the Uniform Rules of Court as one page is missing from the AOD which is attached to the POC.</w:t>
      </w:r>
      <w:r w:rsidR="008E3A53" w:rsidRPr="00AA6D87">
        <w:rPr>
          <w:rStyle w:val="FootnoteReference"/>
          <w:color w:val="000000"/>
          <w:sz w:val="24"/>
          <w:szCs w:val="24"/>
        </w:rPr>
        <w:footnoteReference w:id="24"/>
      </w:r>
    </w:p>
    <w:p w14:paraId="442F6E2A" w14:textId="13FDB698" w:rsidR="003D2C3E" w:rsidRPr="00AA6D87" w:rsidRDefault="00DC21C9" w:rsidP="00DC21C9">
      <w:pPr>
        <w:pStyle w:val="LFLMainPara"/>
        <w:numPr>
          <w:ilvl w:val="0"/>
          <w:numId w:val="0"/>
        </w:numPr>
        <w:spacing w:line="360" w:lineRule="auto"/>
        <w:ind w:left="1457" w:hanging="720"/>
        <w:rPr>
          <w:sz w:val="24"/>
          <w:szCs w:val="24"/>
        </w:rPr>
      </w:pPr>
      <w:r w:rsidRPr="00AA6D87">
        <w:rPr>
          <w:sz w:val="24"/>
          <w:szCs w:val="24"/>
        </w:rPr>
        <w:lastRenderedPageBreak/>
        <w:t>12.2.</w:t>
      </w:r>
      <w:r w:rsidRPr="00AA6D87">
        <w:rPr>
          <w:sz w:val="24"/>
          <w:szCs w:val="24"/>
        </w:rPr>
        <w:tab/>
      </w:r>
      <w:r w:rsidR="007B58B7">
        <w:rPr>
          <w:sz w:val="24"/>
          <w:szCs w:val="24"/>
        </w:rPr>
        <w:t>t</w:t>
      </w:r>
      <w:r w:rsidR="003D2C3E" w:rsidRPr="00AA6D87">
        <w:rPr>
          <w:sz w:val="24"/>
          <w:szCs w:val="24"/>
        </w:rPr>
        <w:t>he</w:t>
      </w:r>
      <w:r w:rsidR="003D2C3E" w:rsidRPr="00AA6D87">
        <w:rPr>
          <w:color w:val="000000"/>
          <w:sz w:val="24"/>
          <w:szCs w:val="24"/>
        </w:rPr>
        <w:t xml:space="preserve"> </w:t>
      </w:r>
      <w:r w:rsidR="00AD5261" w:rsidRPr="00AA6D87">
        <w:rPr>
          <w:color w:val="000000"/>
          <w:sz w:val="24"/>
          <w:szCs w:val="24"/>
        </w:rPr>
        <w:t>NCA does apply to the AOD;</w:t>
      </w:r>
      <w:r w:rsidR="00AD5261" w:rsidRPr="00AA6D87">
        <w:rPr>
          <w:rStyle w:val="FootnoteReference"/>
          <w:color w:val="000000"/>
          <w:sz w:val="24"/>
          <w:szCs w:val="24"/>
        </w:rPr>
        <w:footnoteReference w:id="25"/>
      </w:r>
    </w:p>
    <w:p w14:paraId="6AA20B6F" w14:textId="77777777" w:rsidR="008E3A53" w:rsidRPr="00336890" w:rsidRDefault="008E3A53" w:rsidP="008E3A53">
      <w:pPr>
        <w:pStyle w:val="LFLSubHeading"/>
        <w:spacing w:line="360" w:lineRule="auto"/>
        <w:rPr>
          <w:rFonts w:cs="Arial"/>
          <w:sz w:val="24"/>
          <w:szCs w:val="24"/>
          <w:u w:val="single"/>
        </w:rPr>
      </w:pPr>
      <w:r w:rsidRPr="00336890">
        <w:rPr>
          <w:rFonts w:cs="Arial"/>
          <w:sz w:val="24"/>
          <w:szCs w:val="24"/>
          <w:u w:val="single"/>
        </w:rPr>
        <w:t>Rule 18(6) of the Uniform Rules of Court</w:t>
      </w:r>
    </w:p>
    <w:p w14:paraId="659D9AC8" w14:textId="52A4B698" w:rsidR="008E3A53" w:rsidRPr="00AA6D87" w:rsidRDefault="00DC21C9" w:rsidP="00DC21C9">
      <w:pPr>
        <w:pStyle w:val="LFLMainPara"/>
        <w:numPr>
          <w:ilvl w:val="0"/>
          <w:numId w:val="0"/>
        </w:numPr>
        <w:spacing w:line="360" w:lineRule="auto"/>
        <w:ind w:left="737" w:hanging="390"/>
        <w:rPr>
          <w:sz w:val="24"/>
          <w:szCs w:val="24"/>
        </w:rPr>
      </w:pPr>
      <w:r w:rsidRPr="00AA6D87">
        <w:rPr>
          <w:sz w:val="24"/>
          <w:szCs w:val="24"/>
        </w:rPr>
        <w:t>13.</w:t>
      </w:r>
      <w:r w:rsidRPr="00AA6D87">
        <w:rPr>
          <w:sz w:val="24"/>
          <w:szCs w:val="24"/>
        </w:rPr>
        <w:tab/>
      </w:r>
      <w:r w:rsidR="008E3A53" w:rsidRPr="00AA6D87">
        <w:rPr>
          <w:sz w:val="24"/>
          <w:szCs w:val="24"/>
        </w:rPr>
        <w:t>If there is a material defect in any of the formalities required by the</w:t>
      </w:r>
      <w:r w:rsidR="008E3A53" w:rsidRPr="00AA6D87">
        <w:rPr>
          <w:rStyle w:val="apple-converted-space"/>
          <w:color w:val="000000"/>
          <w:sz w:val="24"/>
          <w:szCs w:val="24"/>
        </w:rPr>
        <w:t> </w:t>
      </w:r>
      <w:r w:rsidR="008E3A53" w:rsidRPr="00AA6D87">
        <w:rPr>
          <w:sz w:val="24"/>
          <w:szCs w:val="24"/>
        </w:rPr>
        <w:t xml:space="preserve">Rules of Court, the </w:t>
      </w:r>
      <w:r w:rsidR="008E3A53">
        <w:rPr>
          <w:sz w:val="24"/>
          <w:szCs w:val="24"/>
        </w:rPr>
        <w:t>C</w:t>
      </w:r>
      <w:r w:rsidR="008E3A53" w:rsidRPr="00AA6D87">
        <w:rPr>
          <w:sz w:val="24"/>
          <w:szCs w:val="24"/>
        </w:rPr>
        <w:t xml:space="preserve">ourt should not readily grant </w:t>
      </w:r>
      <w:r w:rsidR="008E3A53">
        <w:rPr>
          <w:sz w:val="24"/>
          <w:szCs w:val="24"/>
        </w:rPr>
        <w:t>S</w:t>
      </w:r>
      <w:r w:rsidR="008E3A53" w:rsidRPr="00AA6D87">
        <w:rPr>
          <w:sz w:val="24"/>
          <w:szCs w:val="24"/>
        </w:rPr>
        <w:t xml:space="preserve">ummary </w:t>
      </w:r>
      <w:r w:rsidR="008E3A53">
        <w:rPr>
          <w:sz w:val="24"/>
          <w:szCs w:val="24"/>
        </w:rPr>
        <w:t>J</w:t>
      </w:r>
      <w:r w:rsidR="008E3A53" w:rsidRPr="00AA6D87">
        <w:rPr>
          <w:sz w:val="24"/>
          <w:szCs w:val="24"/>
        </w:rPr>
        <w:t xml:space="preserve">udgment. On the other hand, where it is clear that the Rules have substantially been complied with and there is no prejudice to the Defendant, the </w:t>
      </w:r>
      <w:r w:rsidR="008E3A53">
        <w:rPr>
          <w:sz w:val="24"/>
          <w:szCs w:val="24"/>
        </w:rPr>
        <w:t>C</w:t>
      </w:r>
      <w:r w:rsidR="008E3A53" w:rsidRPr="00AA6D87">
        <w:rPr>
          <w:sz w:val="24"/>
          <w:szCs w:val="24"/>
        </w:rPr>
        <w:t>ourt should condone a failure to comply with a technical requirement of the Rules.</w:t>
      </w:r>
      <w:r w:rsidR="008E3A53" w:rsidRPr="00AA6D87">
        <w:rPr>
          <w:rStyle w:val="FootnoteReference"/>
          <w:sz w:val="24"/>
          <w:szCs w:val="24"/>
        </w:rPr>
        <w:footnoteReference w:id="26"/>
      </w:r>
    </w:p>
    <w:p w14:paraId="6A47D55A" w14:textId="59E21DF9" w:rsidR="008E3A53" w:rsidRPr="00AA6D87" w:rsidRDefault="00DC21C9" w:rsidP="00DC21C9">
      <w:pPr>
        <w:pStyle w:val="LFLMainPara"/>
        <w:numPr>
          <w:ilvl w:val="0"/>
          <w:numId w:val="0"/>
        </w:numPr>
        <w:spacing w:line="360" w:lineRule="auto"/>
        <w:ind w:left="737" w:hanging="390"/>
        <w:rPr>
          <w:sz w:val="24"/>
          <w:szCs w:val="24"/>
        </w:rPr>
      </w:pPr>
      <w:r w:rsidRPr="00AA6D87">
        <w:rPr>
          <w:sz w:val="24"/>
          <w:szCs w:val="24"/>
        </w:rPr>
        <w:t>14.</w:t>
      </w:r>
      <w:r w:rsidRPr="00AA6D87">
        <w:rPr>
          <w:sz w:val="24"/>
          <w:szCs w:val="24"/>
        </w:rPr>
        <w:tab/>
      </w:r>
      <w:r w:rsidR="008E3A53" w:rsidRPr="00AA6D87">
        <w:rPr>
          <w:sz w:val="24"/>
          <w:szCs w:val="24"/>
        </w:rPr>
        <w:t>Technical objections to less than perfect procedural steps</w:t>
      </w:r>
      <w:r w:rsidR="008E3A53" w:rsidRPr="00AA6D87">
        <w:rPr>
          <w:rStyle w:val="apple-converted-space"/>
          <w:color w:val="000000"/>
          <w:sz w:val="24"/>
          <w:szCs w:val="24"/>
        </w:rPr>
        <w:t> </w:t>
      </w:r>
      <w:r w:rsidR="008E3A53" w:rsidRPr="00AA6D87">
        <w:rPr>
          <w:sz w:val="24"/>
          <w:szCs w:val="24"/>
        </w:rPr>
        <w:t>should not be permitted, in the absence of prejudice, to interfere with the expeditious and, if possible, inexpensive decision of cases on their real merits.'</w:t>
      </w:r>
      <w:r w:rsidR="008E3A53" w:rsidRPr="00AA6D87">
        <w:rPr>
          <w:rStyle w:val="FootnoteReference"/>
          <w:sz w:val="24"/>
          <w:szCs w:val="24"/>
        </w:rPr>
        <w:footnoteReference w:id="27"/>
      </w:r>
    </w:p>
    <w:p w14:paraId="60D0D0B5" w14:textId="29DE8D5E" w:rsidR="008E3A53" w:rsidRPr="00AA6D87" w:rsidRDefault="00DC21C9" w:rsidP="00DC21C9">
      <w:pPr>
        <w:pStyle w:val="LFLMainPara"/>
        <w:numPr>
          <w:ilvl w:val="0"/>
          <w:numId w:val="0"/>
        </w:numPr>
        <w:spacing w:line="360" w:lineRule="auto"/>
        <w:ind w:left="737" w:hanging="390"/>
        <w:rPr>
          <w:sz w:val="24"/>
          <w:szCs w:val="24"/>
        </w:rPr>
      </w:pPr>
      <w:r w:rsidRPr="00AA6D87">
        <w:rPr>
          <w:sz w:val="24"/>
          <w:szCs w:val="24"/>
        </w:rPr>
        <w:t>15.</w:t>
      </w:r>
      <w:r w:rsidRPr="00AA6D87">
        <w:rPr>
          <w:sz w:val="24"/>
          <w:szCs w:val="24"/>
        </w:rPr>
        <w:tab/>
      </w:r>
      <w:r w:rsidR="008E3A53" w:rsidRPr="00AA6D87">
        <w:rPr>
          <w:sz w:val="24"/>
          <w:szCs w:val="24"/>
        </w:rPr>
        <w:t xml:space="preserve">The Defendant </w:t>
      </w:r>
      <w:r w:rsidR="008E3A53">
        <w:rPr>
          <w:sz w:val="24"/>
          <w:szCs w:val="24"/>
        </w:rPr>
        <w:t xml:space="preserve">has </w:t>
      </w:r>
      <w:r w:rsidR="008E3A53" w:rsidRPr="00AA6D87">
        <w:rPr>
          <w:sz w:val="24"/>
          <w:szCs w:val="24"/>
        </w:rPr>
        <w:t>suffered no prejudice that could not be cured by the provisions of rule 35(12)</w:t>
      </w:r>
      <w:r w:rsidR="008E3A53" w:rsidRPr="00AA6D87">
        <w:rPr>
          <w:rStyle w:val="apple-converted-space"/>
          <w:color w:val="000000"/>
          <w:sz w:val="24"/>
          <w:szCs w:val="24"/>
        </w:rPr>
        <w:t> </w:t>
      </w:r>
      <w:r w:rsidR="008E3A53" w:rsidRPr="00AA6D87">
        <w:rPr>
          <w:sz w:val="24"/>
          <w:szCs w:val="24"/>
        </w:rPr>
        <w:t>and rule 35(14), both of which entitle a litigant to call for such documents, as may be referred to in a pleading, before pleading.</w:t>
      </w:r>
      <w:r w:rsidR="008E3A53" w:rsidRPr="00AA6D87">
        <w:rPr>
          <w:rStyle w:val="FootnoteReference"/>
          <w:sz w:val="24"/>
          <w:szCs w:val="24"/>
        </w:rPr>
        <w:footnoteReference w:id="28"/>
      </w:r>
      <w:r w:rsidR="008E3A53">
        <w:rPr>
          <w:sz w:val="24"/>
          <w:szCs w:val="24"/>
        </w:rPr>
        <w:t xml:space="preserve"> IN casu, neither subrule was invoked by the Defendant.</w:t>
      </w:r>
    </w:p>
    <w:p w14:paraId="45E3A8FD" w14:textId="0D1997BB" w:rsidR="008E3A53" w:rsidRDefault="00DC21C9" w:rsidP="00DC21C9">
      <w:pPr>
        <w:pStyle w:val="LFLMainPara"/>
        <w:numPr>
          <w:ilvl w:val="0"/>
          <w:numId w:val="0"/>
        </w:numPr>
        <w:spacing w:line="360" w:lineRule="auto"/>
        <w:ind w:left="737" w:hanging="390"/>
        <w:rPr>
          <w:sz w:val="24"/>
          <w:szCs w:val="24"/>
        </w:rPr>
      </w:pPr>
      <w:r>
        <w:rPr>
          <w:sz w:val="24"/>
          <w:szCs w:val="24"/>
        </w:rPr>
        <w:t>16.</w:t>
      </w:r>
      <w:r>
        <w:rPr>
          <w:sz w:val="24"/>
          <w:szCs w:val="24"/>
        </w:rPr>
        <w:tab/>
      </w:r>
      <w:r w:rsidR="008E3A53" w:rsidRPr="00AA6D87">
        <w:rPr>
          <w:sz w:val="24"/>
          <w:szCs w:val="24"/>
        </w:rPr>
        <w:t>The Defendant has not shown that it has suffered any prejudice by the non-compliance, and accordingly the Plaintiff’s non-compliance with rule 18(6) ought to be condoned.</w:t>
      </w:r>
      <w:r w:rsidR="008E3A53" w:rsidRPr="00AA6D87">
        <w:rPr>
          <w:rStyle w:val="FootnoteReference"/>
          <w:sz w:val="24"/>
          <w:szCs w:val="24"/>
        </w:rPr>
        <w:footnoteReference w:id="29"/>
      </w:r>
    </w:p>
    <w:p w14:paraId="49D6C7B4" w14:textId="3316CF40" w:rsidR="008E3A53" w:rsidRPr="008E3A53" w:rsidRDefault="00DC21C9" w:rsidP="00DC21C9">
      <w:pPr>
        <w:pStyle w:val="LFLMainPara"/>
        <w:numPr>
          <w:ilvl w:val="0"/>
          <w:numId w:val="0"/>
        </w:numPr>
        <w:spacing w:line="360" w:lineRule="auto"/>
        <w:ind w:left="737" w:hanging="390"/>
        <w:rPr>
          <w:sz w:val="24"/>
          <w:szCs w:val="24"/>
        </w:rPr>
      </w:pPr>
      <w:r w:rsidRPr="008E3A53">
        <w:rPr>
          <w:sz w:val="24"/>
          <w:szCs w:val="24"/>
        </w:rPr>
        <w:t>17.</w:t>
      </w:r>
      <w:r w:rsidRPr="008E3A53">
        <w:rPr>
          <w:sz w:val="24"/>
          <w:szCs w:val="24"/>
        </w:rPr>
        <w:tab/>
      </w:r>
      <w:r w:rsidR="008E3A53" w:rsidRPr="008E3A53">
        <w:rPr>
          <w:sz w:val="24"/>
          <w:szCs w:val="24"/>
        </w:rPr>
        <w:t>During the course of argument, this defence was to all intents and purposes abandoned by the Defendant.</w:t>
      </w:r>
      <w:r w:rsidR="008E3A53">
        <w:rPr>
          <w:sz w:val="24"/>
          <w:szCs w:val="24"/>
        </w:rPr>
        <w:t xml:space="preserve"> </w:t>
      </w:r>
      <w:r w:rsidR="008E3A53" w:rsidRPr="008E3A53">
        <w:rPr>
          <w:sz w:val="24"/>
          <w:szCs w:val="24"/>
        </w:rPr>
        <w:t>In the premises, the Plaintiff’s non-compliance can be condoned.</w:t>
      </w:r>
    </w:p>
    <w:p w14:paraId="4FB81D68" w14:textId="77777777" w:rsidR="00F72905" w:rsidRPr="00336890" w:rsidRDefault="00F72905" w:rsidP="008E3A53">
      <w:pPr>
        <w:pStyle w:val="LFLSubHeading"/>
        <w:spacing w:line="360" w:lineRule="auto"/>
        <w:rPr>
          <w:rFonts w:cs="Arial"/>
          <w:sz w:val="24"/>
          <w:szCs w:val="24"/>
          <w:u w:val="single"/>
        </w:rPr>
      </w:pPr>
      <w:r w:rsidRPr="00336890">
        <w:rPr>
          <w:rFonts w:cs="Arial"/>
          <w:sz w:val="24"/>
          <w:szCs w:val="24"/>
          <w:u w:val="single"/>
        </w:rPr>
        <w:t>The National Credit Act, 34 of 2005</w:t>
      </w:r>
    </w:p>
    <w:p w14:paraId="654CF087" w14:textId="257FCE37" w:rsidR="00F72905" w:rsidRPr="00AA6D87" w:rsidRDefault="00DC21C9" w:rsidP="00DC21C9">
      <w:pPr>
        <w:pStyle w:val="LFLMainPara"/>
        <w:numPr>
          <w:ilvl w:val="0"/>
          <w:numId w:val="0"/>
        </w:numPr>
        <w:spacing w:line="360" w:lineRule="auto"/>
        <w:ind w:left="737" w:hanging="390"/>
        <w:rPr>
          <w:sz w:val="24"/>
          <w:szCs w:val="24"/>
        </w:rPr>
      </w:pPr>
      <w:r w:rsidRPr="00AA6D87">
        <w:rPr>
          <w:sz w:val="24"/>
          <w:szCs w:val="24"/>
        </w:rPr>
        <w:t>18.</w:t>
      </w:r>
      <w:r w:rsidRPr="00AA6D87">
        <w:rPr>
          <w:sz w:val="24"/>
          <w:szCs w:val="24"/>
        </w:rPr>
        <w:tab/>
      </w:r>
      <w:r w:rsidR="00784824" w:rsidRPr="00AA6D87">
        <w:rPr>
          <w:sz w:val="24"/>
          <w:szCs w:val="24"/>
        </w:rPr>
        <w:t>Section 4(1)(a)(i) of the NCA provides:</w:t>
      </w:r>
    </w:p>
    <w:p w14:paraId="53B44B66" w14:textId="77777777" w:rsidR="00784824" w:rsidRPr="00AA6D87" w:rsidRDefault="00784824" w:rsidP="00882D2D">
      <w:pPr>
        <w:pStyle w:val="LFLMainPara"/>
        <w:numPr>
          <w:ilvl w:val="0"/>
          <w:numId w:val="0"/>
        </w:numPr>
        <w:spacing w:line="276" w:lineRule="auto"/>
        <w:ind w:left="1440"/>
        <w:rPr>
          <w:i/>
          <w:iCs/>
          <w:color w:val="000000"/>
          <w:sz w:val="24"/>
          <w:szCs w:val="24"/>
        </w:rPr>
      </w:pPr>
      <w:r w:rsidRPr="00AA6D87">
        <w:rPr>
          <w:i/>
          <w:iCs/>
          <w:color w:val="000000"/>
          <w:sz w:val="24"/>
          <w:szCs w:val="24"/>
        </w:rPr>
        <w:lastRenderedPageBreak/>
        <w:t xml:space="preserve">Subject to sections 5 and 6, this Act </w:t>
      </w:r>
      <w:r w:rsidRPr="00AA6D87">
        <w:rPr>
          <w:i/>
          <w:iCs/>
          <w:color w:val="000000"/>
          <w:sz w:val="24"/>
          <w:szCs w:val="24"/>
          <w:u w:val="single"/>
        </w:rPr>
        <w:t>applies to every credit agreement</w:t>
      </w:r>
      <w:r w:rsidRPr="00AA6D87">
        <w:rPr>
          <w:i/>
          <w:iCs/>
          <w:color w:val="000000"/>
          <w:sz w:val="24"/>
          <w:szCs w:val="24"/>
        </w:rPr>
        <w:t xml:space="preserve"> between parties dealing at arm's length and made within, or having an effect within, the Republic, </w:t>
      </w:r>
      <w:r w:rsidRPr="00AA6D87">
        <w:rPr>
          <w:i/>
          <w:iCs/>
          <w:color w:val="000000"/>
          <w:sz w:val="24"/>
          <w:szCs w:val="24"/>
          <w:u w:val="single"/>
        </w:rPr>
        <w:t>except a credit agreement</w:t>
      </w:r>
      <w:r w:rsidRPr="00AA6D87">
        <w:rPr>
          <w:i/>
          <w:iCs/>
          <w:color w:val="000000"/>
          <w:sz w:val="24"/>
          <w:szCs w:val="24"/>
        </w:rPr>
        <w:t xml:space="preserve"> in terms of which the </w:t>
      </w:r>
      <w:r w:rsidRPr="00AA6D87">
        <w:rPr>
          <w:i/>
          <w:iCs/>
          <w:color w:val="000000"/>
          <w:sz w:val="24"/>
          <w:szCs w:val="24"/>
          <w:u w:val="single"/>
        </w:rPr>
        <w:t>consumer is a juristic person whose asset value or annual turnover,</w:t>
      </w:r>
      <w:r w:rsidRPr="00AA6D87">
        <w:rPr>
          <w:i/>
          <w:iCs/>
          <w:color w:val="000000"/>
          <w:sz w:val="24"/>
          <w:szCs w:val="24"/>
        </w:rPr>
        <w:t xml:space="preserve"> together with the combined asset value or annual turnover of all related juristic persons</w:t>
      </w:r>
      <w:r w:rsidRPr="00AA6D87">
        <w:rPr>
          <w:i/>
          <w:iCs/>
          <w:color w:val="000000"/>
          <w:sz w:val="24"/>
          <w:szCs w:val="24"/>
          <w:u w:val="single"/>
        </w:rPr>
        <w:t>, at the time the agreement is made, equals or exceeds the threshold value</w:t>
      </w:r>
      <w:r w:rsidRPr="00AA6D87">
        <w:rPr>
          <w:i/>
          <w:iCs/>
          <w:color w:val="000000"/>
          <w:sz w:val="24"/>
          <w:szCs w:val="24"/>
        </w:rPr>
        <w:t xml:space="preserve"> determined by the Minister in terms of section 7 (1)”</w:t>
      </w:r>
    </w:p>
    <w:p w14:paraId="46BD7886" w14:textId="77777777" w:rsidR="00784824" w:rsidRPr="00AA6D87" w:rsidRDefault="00784824" w:rsidP="00882D2D">
      <w:pPr>
        <w:pStyle w:val="LFLMainPara"/>
        <w:numPr>
          <w:ilvl w:val="0"/>
          <w:numId w:val="0"/>
        </w:numPr>
        <w:spacing w:line="276" w:lineRule="auto"/>
        <w:ind w:left="1440"/>
        <w:rPr>
          <w:i/>
          <w:iCs/>
          <w:color w:val="000000"/>
          <w:sz w:val="24"/>
          <w:szCs w:val="24"/>
        </w:rPr>
      </w:pPr>
      <w:r w:rsidRPr="00AA6D87">
        <w:rPr>
          <w:i/>
          <w:iCs/>
          <w:color w:val="000000"/>
          <w:sz w:val="24"/>
          <w:szCs w:val="24"/>
        </w:rPr>
        <w:tab/>
      </w:r>
      <w:r w:rsidRPr="00AA6D87">
        <w:rPr>
          <w:i/>
          <w:iCs/>
          <w:color w:val="000000"/>
          <w:sz w:val="24"/>
          <w:szCs w:val="24"/>
        </w:rPr>
        <w:tab/>
      </w:r>
      <w:r w:rsidRPr="00AA6D87">
        <w:rPr>
          <w:i/>
          <w:iCs/>
          <w:color w:val="000000"/>
          <w:sz w:val="24"/>
          <w:szCs w:val="24"/>
        </w:rPr>
        <w:tab/>
      </w:r>
      <w:r w:rsidRPr="00AA6D87">
        <w:rPr>
          <w:i/>
          <w:iCs/>
          <w:color w:val="000000"/>
          <w:sz w:val="24"/>
          <w:szCs w:val="24"/>
        </w:rPr>
        <w:tab/>
        <w:t>(own emphasis)</w:t>
      </w:r>
    </w:p>
    <w:p w14:paraId="6DC578CE" w14:textId="703467D2" w:rsidR="00D26298" w:rsidRPr="00AA6D87" w:rsidRDefault="00DC21C9" w:rsidP="00DC21C9">
      <w:pPr>
        <w:pStyle w:val="LFLMainPara"/>
        <w:numPr>
          <w:ilvl w:val="0"/>
          <w:numId w:val="0"/>
        </w:numPr>
        <w:spacing w:line="276" w:lineRule="auto"/>
        <w:ind w:left="737" w:hanging="390"/>
        <w:rPr>
          <w:sz w:val="24"/>
          <w:szCs w:val="24"/>
        </w:rPr>
      </w:pPr>
      <w:r w:rsidRPr="00AA6D87">
        <w:rPr>
          <w:sz w:val="24"/>
          <w:szCs w:val="24"/>
        </w:rPr>
        <w:t>19.</w:t>
      </w:r>
      <w:r w:rsidRPr="00AA6D87">
        <w:rPr>
          <w:sz w:val="24"/>
          <w:szCs w:val="24"/>
        </w:rPr>
        <w:tab/>
      </w:r>
      <w:r w:rsidR="00D26298" w:rsidRPr="00AA6D87">
        <w:rPr>
          <w:sz w:val="24"/>
          <w:szCs w:val="24"/>
        </w:rPr>
        <w:t>Section 4(</w:t>
      </w:r>
      <w:r w:rsidR="000C4205" w:rsidRPr="00AA6D87">
        <w:rPr>
          <w:sz w:val="24"/>
          <w:szCs w:val="24"/>
        </w:rPr>
        <w:t>2)(a) of the NCA provides:</w:t>
      </w:r>
    </w:p>
    <w:p w14:paraId="4BB865A8" w14:textId="77777777" w:rsidR="000C4205" w:rsidRPr="00AA6D87" w:rsidRDefault="000C4205" w:rsidP="00882D2D">
      <w:pPr>
        <w:pStyle w:val="LFLMainPara"/>
        <w:numPr>
          <w:ilvl w:val="0"/>
          <w:numId w:val="0"/>
        </w:numPr>
        <w:spacing w:line="276" w:lineRule="auto"/>
        <w:ind w:left="1440"/>
        <w:rPr>
          <w:i/>
          <w:iCs/>
          <w:color w:val="000000"/>
          <w:sz w:val="24"/>
          <w:szCs w:val="24"/>
        </w:rPr>
      </w:pPr>
      <w:r w:rsidRPr="00AA6D87">
        <w:rPr>
          <w:i/>
          <w:iCs/>
          <w:color w:val="000000"/>
          <w:sz w:val="24"/>
          <w:szCs w:val="24"/>
        </w:rPr>
        <w:t xml:space="preserve">“the asset value or annual turnover of a juristic person at the time a credit agreement is made, is </w:t>
      </w:r>
      <w:r w:rsidRPr="00AA6D87">
        <w:rPr>
          <w:i/>
          <w:iCs/>
          <w:color w:val="000000"/>
          <w:sz w:val="24"/>
          <w:szCs w:val="24"/>
          <w:u w:val="single"/>
        </w:rPr>
        <w:t>the value stated as such by that juristic person</w:t>
      </w:r>
      <w:r w:rsidRPr="00AA6D87">
        <w:rPr>
          <w:i/>
          <w:iCs/>
          <w:color w:val="000000"/>
          <w:sz w:val="24"/>
          <w:szCs w:val="24"/>
        </w:rPr>
        <w:t xml:space="preserve"> at the time it applies for or enters into that agreement”</w:t>
      </w:r>
    </w:p>
    <w:p w14:paraId="7C20AA61" w14:textId="7613C9DF" w:rsidR="00B7520A" w:rsidRDefault="00DC21C9" w:rsidP="00DC21C9">
      <w:pPr>
        <w:pStyle w:val="LFLMainPara"/>
        <w:numPr>
          <w:ilvl w:val="0"/>
          <w:numId w:val="0"/>
        </w:numPr>
        <w:spacing w:line="360" w:lineRule="auto"/>
        <w:ind w:left="737" w:hanging="390"/>
        <w:rPr>
          <w:sz w:val="24"/>
          <w:szCs w:val="24"/>
        </w:rPr>
      </w:pPr>
      <w:r>
        <w:rPr>
          <w:sz w:val="24"/>
          <w:szCs w:val="24"/>
        </w:rPr>
        <w:t>20.</w:t>
      </w:r>
      <w:r>
        <w:rPr>
          <w:sz w:val="24"/>
          <w:szCs w:val="24"/>
        </w:rPr>
        <w:tab/>
      </w:r>
      <w:r w:rsidR="00B7520A">
        <w:rPr>
          <w:sz w:val="24"/>
          <w:szCs w:val="24"/>
        </w:rPr>
        <w:t>Section 5(1)(d) of the NCA provides that Chapter 4, Part D applies with respect to an incidental credit agreement, save to the extent that it deals with reckless credit.</w:t>
      </w:r>
    </w:p>
    <w:p w14:paraId="0C354EF7" w14:textId="711CB9E0" w:rsidR="00887D0E" w:rsidRDefault="00DC21C9" w:rsidP="00DC21C9">
      <w:pPr>
        <w:pStyle w:val="LFLMainPara"/>
        <w:numPr>
          <w:ilvl w:val="0"/>
          <w:numId w:val="0"/>
        </w:numPr>
        <w:spacing w:line="360" w:lineRule="auto"/>
        <w:ind w:left="737" w:hanging="390"/>
        <w:rPr>
          <w:sz w:val="24"/>
          <w:szCs w:val="24"/>
        </w:rPr>
      </w:pPr>
      <w:r>
        <w:rPr>
          <w:sz w:val="24"/>
          <w:szCs w:val="24"/>
        </w:rPr>
        <w:t>21.</w:t>
      </w:r>
      <w:r>
        <w:rPr>
          <w:sz w:val="24"/>
          <w:szCs w:val="24"/>
        </w:rPr>
        <w:tab/>
      </w:r>
      <w:r w:rsidR="00B7520A">
        <w:rPr>
          <w:sz w:val="24"/>
          <w:szCs w:val="24"/>
        </w:rPr>
        <w:t>An “</w:t>
      </w:r>
      <w:r w:rsidR="00B7520A" w:rsidRPr="00887D0E">
        <w:rPr>
          <w:i/>
          <w:sz w:val="24"/>
          <w:szCs w:val="24"/>
        </w:rPr>
        <w:t>incidental credit agreement</w:t>
      </w:r>
      <w:r w:rsidR="00B7520A">
        <w:rPr>
          <w:sz w:val="24"/>
          <w:szCs w:val="24"/>
        </w:rPr>
        <w:t xml:space="preserve">” is defined </w:t>
      </w:r>
      <w:r w:rsidR="00B7520A" w:rsidRPr="00B7520A">
        <w:rPr>
          <w:i/>
          <w:sz w:val="24"/>
          <w:szCs w:val="24"/>
        </w:rPr>
        <w:t>inter alia</w:t>
      </w:r>
      <w:r w:rsidR="00B7520A">
        <w:rPr>
          <w:sz w:val="24"/>
          <w:szCs w:val="24"/>
        </w:rPr>
        <w:t xml:space="preserve"> as “</w:t>
      </w:r>
      <w:r w:rsidR="00B7520A" w:rsidRPr="00887D0E">
        <w:rPr>
          <w:i/>
          <w:sz w:val="24"/>
          <w:szCs w:val="24"/>
        </w:rPr>
        <w:t xml:space="preserve">an agreement, irrespective of its form, in terms of which... goods or services are to be provided to a consumer over a period of time and ... a fee or charge of interest became payable when payment of an amount charged in terms of that account </w:t>
      </w:r>
      <w:r w:rsidR="00887D0E" w:rsidRPr="00887D0E">
        <w:rPr>
          <w:i/>
          <w:sz w:val="24"/>
          <w:szCs w:val="24"/>
        </w:rPr>
        <w:t>was not made on or before a determined period or date</w:t>
      </w:r>
      <w:r w:rsidR="00887D0E">
        <w:rPr>
          <w:sz w:val="24"/>
          <w:szCs w:val="24"/>
        </w:rPr>
        <w:t>”.</w:t>
      </w:r>
    </w:p>
    <w:p w14:paraId="742319CB" w14:textId="3C750A66" w:rsidR="008E3A53" w:rsidRDefault="00DC21C9" w:rsidP="00DC21C9">
      <w:pPr>
        <w:pStyle w:val="LFLMainPara"/>
        <w:numPr>
          <w:ilvl w:val="0"/>
          <w:numId w:val="0"/>
        </w:numPr>
        <w:spacing w:line="360" w:lineRule="auto"/>
        <w:ind w:left="737" w:hanging="390"/>
        <w:rPr>
          <w:sz w:val="24"/>
          <w:szCs w:val="24"/>
        </w:rPr>
      </w:pPr>
      <w:r>
        <w:rPr>
          <w:sz w:val="24"/>
          <w:szCs w:val="24"/>
        </w:rPr>
        <w:t>22.</w:t>
      </w:r>
      <w:r>
        <w:rPr>
          <w:sz w:val="24"/>
          <w:szCs w:val="24"/>
        </w:rPr>
        <w:tab/>
      </w:r>
      <w:r w:rsidR="00887D0E" w:rsidRPr="00887D0E">
        <w:rPr>
          <w:i/>
          <w:sz w:val="24"/>
          <w:szCs w:val="24"/>
        </w:rPr>
        <w:t>In casu</w:t>
      </w:r>
      <w:r w:rsidR="00887D0E">
        <w:rPr>
          <w:sz w:val="24"/>
          <w:szCs w:val="24"/>
        </w:rPr>
        <w:t>, Clause 3 of the Terms and Conditions agreed to by the Defendant (</w:t>
      </w:r>
      <w:r w:rsidR="00887D0E" w:rsidRPr="005A7B63">
        <w:rPr>
          <w:b/>
          <w:sz w:val="24"/>
          <w:szCs w:val="24"/>
        </w:rPr>
        <w:t>Caselines 001-37</w:t>
      </w:r>
      <w:r w:rsidR="00887D0E">
        <w:rPr>
          <w:sz w:val="24"/>
          <w:szCs w:val="24"/>
        </w:rPr>
        <w:t>) provided for interest to be charged on amounts not paid on due date, at 2% above the prime rate charged by the Plaintiff’s</w:t>
      </w:r>
      <w:r w:rsidR="00B7520A">
        <w:rPr>
          <w:sz w:val="24"/>
          <w:szCs w:val="24"/>
        </w:rPr>
        <w:t xml:space="preserve"> </w:t>
      </w:r>
      <w:r w:rsidR="00887D0E">
        <w:rPr>
          <w:sz w:val="24"/>
          <w:szCs w:val="24"/>
        </w:rPr>
        <w:t>Bankers.</w:t>
      </w:r>
    </w:p>
    <w:p w14:paraId="01A16634" w14:textId="3D172862" w:rsidR="00887D0E" w:rsidRPr="00882D2D" w:rsidRDefault="00DC21C9" w:rsidP="00DC21C9">
      <w:pPr>
        <w:pStyle w:val="LFLMainPara"/>
        <w:numPr>
          <w:ilvl w:val="0"/>
          <w:numId w:val="0"/>
        </w:numPr>
        <w:spacing w:line="360" w:lineRule="auto"/>
        <w:ind w:left="737" w:hanging="390"/>
      </w:pPr>
      <w:r w:rsidRPr="00882D2D">
        <w:t>23.</w:t>
      </w:r>
      <w:r w:rsidRPr="00882D2D">
        <w:tab/>
      </w:r>
      <w:r w:rsidR="00887D0E" w:rsidRPr="00882D2D">
        <w:t xml:space="preserve">In </w:t>
      </w:r>
      <w:r w:rsidR="00887D0E" w:rsidRPr="001C061A">
        <w:rPr>
          <w:b/>
          <w:bCs/>
          <w:i/>
          <w:iCs/>
        </w:rPr>
        <w:t>Ratlou v Man Financial Services SA (Pty) Ltd</w:t>
      </w:r>
      <w:r w:rsidR="00887D0E" w:rsidRPr="00882D2D">
        <w:t xml:space="preserve"> (1309/17) [2019] ZASCA 49; 2019 (5) SA 117 (SCA), the </w:t>
      </w:r>
      <w:r w:rsidR="00887D0E">
        <w:t>C</w:t>
      </w:r>
      <w:r w:rsidR="00887D0E" w:rsidRPr="00882D2D">
        <w:t>ourt found that the purposive approach in determining whether the NCA was applicable to settlement agreements, is the correct approach:</w:t>
      </w:r>
    </w:p>
    <w:p w14:paraId="27DA8A45" w14:textId="77777777" w:rsidR="00887D0E" w:rsidRPr="00AA6D87" w:rsidRDefault="00887D0E" w:rsidP="00887D0E">
      <w:pPr>
        <w:pStyle w:val="ListParagraph"/>
        <w:snapToGrid w:val="0"/>
        <w:ind w:left="1474"/>
        <w:jc w:val="both"/>
        <w:rPr>
          <w:rFonts w:ascii="Arial" w:hAnsi="Arial" w:cs="Arial"/>
          <w:i/>
          <w:iCs/>
        </w:rPr>
      </w:pPr>
      <w:r w:rsidRPr="00AA6D87">
        <w:rPr>
          <w:rFonts w:ascii="Arial" w:hAnsi="Arial" w:cs="Arial"/>
          <w:i/>
          <w:iCs/>
        </w:rPr>
        <w:t xml:space="preserve">“[24] MAN’s reliance on three cases in which our courts have used the purposive approach in determining whether the NCA was applicable to settlement agreements, is well placed. In </w:t>
      </w:r>
      <w:r w:rsidRPr="00AA6D87">
        <w:rPr>
          <w:rFonts w:ascii="Arial" w:hAnsi="Arial" w:cs="Arial"/>
          <w:b/>
          <w:bCs/>
          <w:i/>
          <w:iCs/>
        </w:rPr>
        <w:t>Grainco (Pty) Ltd v Broodryk NO &amp; others</w:t>
      </w:r>
      <w:r w:rsidRPr="00AA6D87">
        <w:rPr>
          <w:rFonts w:ascii="Arial" w:hAnsi="Arial" w:cs="Arial"/>
          <w:i/>
          <w:iCs/>
        </w:rPr>
        <w:t xml:space="preserve">[5] the court found that although the settlement agreement </w:t>
      </w:r>
      <w:r w:rsidRPr="00AA6D87">
        <w:rPr>
          <w:rFonts w:ascii="Arial" w:hAnsi="Arial" w:cs="Arial"/>
          <w:i/>
          <w:iCs/>
        </w:rPr>
        <w:lastRenderedPageBreak/>
        <w:t>referred to deferral of payment and interest the agreement did not constitute a credit transaction because the underlying transaction was a damages claim in respect of which the Plaintiff, by agreement, afforded the first, second, and third Defendants deferment of payment. It was held that the transaction did not fall within the business of moneylending and the furnishing of credit, in the ordinary sense of the word. The NCA was not intended to encompass an underlying causa of the postponement of payment of damages.</w:t>
      </w:r>
    </w:p>
    <w:p w14:paraId="05F74772" w14:textId="77777777" w:rsidR="00887D0E" w:rsidRPr="00AA6D87" w:rsidRDefault="00887D0E" w:rsidP="00887D0E">
      <w:pPr>
        <w:pStyle w:val="ListParagraph"/>
        <w:snapToGrid w:val="0"/>
        <w:ind w:left="1474"/>
        <w:jc w:val="both"/>
        <w:rPr>
          <w:rFonts w:ascii="Arial" w:hAnsi="Arial" w:cs="Arial"/>
          <w:i/>
          <w:iCs/>
        </w:rPr>
      </w:pPr>
    </w:p>
    <w:p w14:paraId="7A7C9F3D" w14:textId="77777777" w:rsidR="008E3A53" w:rsidRDefault="008E3A53" w:rsidP="00887D0E">
      <w:pPr>
        <w:pStyle w:val="ListParagraph"/>
        <w:snapToGrid w:val="0"/>
        <w:ind w:left="1474"/>
        <w:jc w:val="both"/>
        <w:rPr>
          <w:rFonts w:ascii="Arial" w:hAnsi="Arial" w:cs="Arial"/>
          <w:i/>
          <w:iCs/>
        </w:rPr>
      </w:pPr>
    </w:p>
    <w:p w14:paraId="19F5DFE9" w14:textId="77777777" w:rsidR="00887D0E" w:rsidRPr="00AA6D87" w:rsidRDefault="00887D0E" w:rsidP="00887D0E">
      <w:pPr>
        <w:pStyle w:val="ListParagraph"/>
        <w:snapToGrid w:val="0"/>
        <w:ind w:left="1474"/>
        <w:jc w:val="both"/>
        <w:rPr>
          <w:rFonts w:ascii="Arial" w:hAnsi="Arial" w:cs="Arial"/>
          <w:i/>
          <w:iCs/>
        </w:rPr>
      </w:pPr>
      <w:r w:rsidRPr="00AA6D87">
        <w:rPr>
          <w:rFonts w:ascii="Arial" w:hAnsi="Arial" w:cs="Arial"/>
          <w:i/>
          <w:iCs/>
        </w:rPr>
        <w:t xml:space="preserve">[25] In </w:t>
      </w:r>
      <w:r w:rsidRPr="00AA6D87">
        <w:rPr>
          <w:rFonts w:ascii="Arial" w:hAnsi="Arial" w:cs="Arial"/>
          <w:b/>
          <w:bCs/>
          <w:i/>
          <w:iCs/>
        </w:rPr>
        <w:t>Hattingh v Hattingh</w:t>
      </w:r>
      <w:r w:rsidRPr="00AA6D87">
        <w:rPr>
          <w:rFonts w:ascii="Arial" w:hAnsi="Arial" w:cs="Arial"/>
          <w:i/>
          <w:iCs/>
        </w:rPr>
        <w:t>[6] a settlement agreement in which two brothers terminated their business relationship and provided for payment of R6,6 million in annual instalments of R734 000,00 together with interest on the capital was found not to fall within the ambit of the NCA. The court found specifically that there had been no credit provider-consumer relationship. This and the parties’ intention viewed against the background of the objects of the NCA showed that it could not have been the intention of the Legislature that an agreement such as the impugned agreement should be regarded as a credit agreement. Although the one brother, prima facie, fell within the definition of a credit provider as intended in the NCA it could not – given the purpose and the context of the NCA – have been the intention of the Legislature that the brother would be regarded as a credit provider subject to the obligations imposed by the NCA.</w:t>
      </w:r>
    </w:p>
    <w:p w14:paraId="089BA95E" w14:textId="77777777" w:rsidR="00887D0E" w:rsidRPr="00AA6D87" w:rsidRDefault="00887D0E" w:rsidP="00887D0E">
      <w:pPr>
        <w:pStyle w:val="ListParagraph"/>
        <w:snapToGrid w:val="0"/>
        <w:ind w:left="1474"/>
        <w:jc w:val="both"/>
        <w:rPr>
          <w:rFonts w:ascii="Arial" w:hAnsi="Arial" w:cs="Arial"/>
          <w:i/>
          <w:iCs/>
        </w:rPr>
      </w:pPr>
    </w:p>
    <w:p w14:paraId="56BD25B5" w14:textId="77777777" w:rsidR="00887D0E" w:rsidRDefault="00887D0E" w:rsidP="00887D0E">
      <w:pPr>
        <w:pStyle w:val="ListParagraph"/>
        <w:snapToGrid w:val="0"/>
        <w:ind w:left="1474"/>
        <w:jc w:val="both"/>
        <w:rPr>
          <w:rFonts w:ascii="Arial" w:hAnsi="Arial" w:cs="Arial"/>
          <w:i/>
          <w:iCs/>
        </w:rPr>
      </w:pPr>
      <w:r w:rsidRPr="00AA6D87">
        <w:rPr>
          <w:rFonts w:ascii="Arial" w:hAnsi="Arial" w:cs="Arial"/>
          <w:i/>
          <w:iCs/>
        </w:rPr>
        <w:t xml:space="preserve">[26] In </w:t>
      </w:r>
      <w:r w:rsidRPr="00AA6D87">
        <w:rPr>
          <w:rFonts w:ascii="Arial" w:hAnsi="Arial" w:cs="Arial"/>
          <w:b/>
          <w:bCs/>
          <w:i/>
          <w:iCs/>
        </w:rPr>
        <w:t>Ribeiro &amp; another v Slip Knot Investments</w:t>
      </w:r>
      <w:r w:rsidRPr="00AA6D87">
        <w:rPr>
          <w:rFonts w:ascii="Arial" w:hAnsi="Arial" w:cs="Arial"/>
          <w:i/>
          <w:iCs/>
        </w:rPr>
        <w:t xml:space="preserve"> 777 (Pty) Ltd[7] it is found that the underlying causa remained extant despite settlement and that the two agreements were interdependent. In this case the underlying agreement was a damages claim pursuant to the repossession and re-sale of the vehicles. There was also no credit provider – consumer relationship and the settlement agreement and the underlying agreements were interdependent. There can only be one conclusion, that the NCA was not designed to regulate settlement agreements where the underlying agreements or cause, would not have been considered by the Act.”</w:t>
      </w:r>
    </w:p>
    <w:p w14:paraId="315C7130" w14:textId="77777777" w:rsidR="00AA6D87" w:rsidRDefault="00DB71F4" w:rsidP="00DB71F4">
      <w:pPr>
        <w:pStyle w:val="LFLMainPara"/>
        <w:numPr>
          <w:ilvl w:val="0"/>
          <w:numId w:val="0"/>
        </w:numPr>
        <w:rPr>
          <w:b/>
          <w:sz w:val="24"/>
          <w:szCs w:val="24"/>
          <w:u w:val="single"/>
          <w:lang w:val="en-GB"/>
        </w:rPr>
      </w:pPr>
      <w:r w:rsidRPr="00DB71F4">
        <w:rPr>
          <w:b/>
          <w:sz w:val="24"/>
          <w:szCs w:val="24"/>
          <w:u w:val="single"/>
          <w:lang w:val="en-GB"/>
        </w:rPr>
        <w:t>ANALYSIS</w:t>
      </w:r>
    </w:p>
    <w:p w14:paraId="426F0F83" w14:textId="7F215718" w:rsidR="00405E69" w:rsidRPr="000E57F0" w:rsidRDefault="00DC21C9" w:rsidP="00DC21C9">
      <w:pPr>
        <w:pStyle w:val="LFLMainPara"/>
        <w:numPr>
          <w:ilvl w:val="0"/>
          <w:numId w:val="0"/>
        </w:numPr>
        <w:spacing w:before="0" w:after="0" w:line="360" w:lineRule="auto"/>
        <w:ind w:left="737" w:hanging="390"/>
        <w:rPr>
          <w:sz w:val="24"/>
          <w:szCs w:val="24"/>
          <w:lang w:val="en-GB"/>
        </w:rPr>
      </w:pPr>
      <w:r w:rsidRPr="000E57F0">
        <w:rPr>
          <w:sz w:val="24"/>
          <w:szCs w:val="24"/>
          <w:lang w:val="en-GB"/>
        </w:rPr>
        <w:t>24.</w:t>
      </w:r>
      <w:r w:rsidRPr="000E57F0">
        <w:rPr>
          <w:sz w:val="24"/>
          <w:szCs w:val="24"/>
          <w:lang w:val="en-GB"/>
        </w:rPr>
        <w:tab/>
      </w:r>
      <w:r w:rsidR="00DB71F4" w:rsidRPr="000E57F0">
        <w:rPr>
          <w:sz w:val="24"/>
          <w:szCs w:val="24"/>
          <w:lang w:val="en-GB"/>
        </w:rPr>
        <w:t>There is no doubt that the Defendant is fully aware of the entire contents of the AOD. It does not deny its signature thereof and its partial performance in terms thereof is common cause.</w:t>
      </w:r>
      <w:r w:rsidR="00405E69" w:rsidRPr="000E57F0">
        <w:rPr>
          <w:sz w:val="24"/>
          <w:szCs w:val="24"/>
          <w:lang w:val="en-GB"/>
        </w:rPr>
        <w:t xml:space="preserve"> Further:</w:t>
      </w:r>
    </w:p>
    <w:p w14:paraId="39B2DC99" w14:textId="77777777" w:rsidR="00405E69" w:rsidRPr="000E57F0" w:rsidRDefault="00405E69" w:rsidP="005A7B63">
      <w:pPr>
        <w:pStyle w:val="LFLMainPara"/>
        <w:numPr>
          <w:ilvl w:val="0"/>
          <w:numId w:val="0"/>
        </w:numPr>
        <w:spacing w:before="0" w:after="0" w:line="360" w:lineRule="auto"/>
        <w:ind w:left="142"/>
        <w:rPr>
          <w:sz w:val="24"/>
          <w:szCs w:val="24"/>
          <w:lang w:val="en-GB"/>
        </w:rPr>
      </w:pPr>
    </w:p>
    <w:p w14:paraId="1DC5A26A" w14:textId="46608028" w:rsidR="00405E69" w:rsidRPr="000E57F0" w:rsidRDefault="00DC21C9" w:rsidP="00DC21C9">
      <w:pPr>
        <w:pStyle w:val="LFLMainPara"/>
        <w:numPr>
          <w:ilvl w:val="0"/>
          <w:numId w:val="0"/>
        </w:numPr>
        <w:spacing w:before="0" w:after="0" w:line="360" w:lineRule="auto"/>
        <w:ind w:left="1457" w:hanging="720"/>
        <w:rPr>
          <w:sz w:val="24"/>
          <w:szCs w:val="24"/>
          <w:lang w:val="en-GB"/>
        </w:rPr>
      </w:pPr>
      <w:r w:rsidRPr="000E57F0">
        <w:rPr>
          <w:sz w:val="24"/>
          <w:szCs w:val="24"/>
          <w:lang w:val="en-GB"/>
        </w:rPr>
        <w:t>24.1.</w:t>
      </w:r>
      <w:r w:rsidRPr="000E57F0">
        <w:rPr>
          <w:sz w:val="24"/>
          <w:szCs w:val="24"/>
          <w:lang w:val="en-GB"/>
        </w:rPr>
        <w:tab/>
      </w:r>
      <w:r w:rsidR="00405E69" w:rsidRPr="000E57F0">
        <w:rPr>
          <w:sz w:val="24"/>
          <w:szCs w:val="24"/>
        </w:rPr>
        <w:t xml:space="preserve">the Defendant made </w:t>
      </w:r>
      <w:r w:rsidR="00405E69" w:rsidRPr="000E57F0">
        <w:rPr>
          <w:b/>
          <w:sz w:val="24"/>
          <w:szCs w:val="24"/>
        </w:rPr>
        <w:t xml:space="preserve">17 </w:t>
      </w:r>
      <w:r w:rsidR="00405E69" w:rsidRPr="000E57F0">
        <w:rPr>
          <w:sz w:val="24"/>
          <w:szCs w:val="24"/>
        </w:rPr>
        <w:t xml:space="preserve">payments between </w:t>
      </w:r>
      <w:r w:rsidR="00405E69" w:rsidRPr="000E57F0">
        <w:rPr>
          <w:b/>
          <w:sz w:val="24"/>
          <w:szCs w:val="24"/>
        </w:rPr>
        <w:t>September 2018</w:t>
      </w:r>
      <w:r w:rsidR="00405E69" w:rsidRPr="000E57F0">
        <w:rPr>
          <w:sz w:val="24"/>
          <w:szCs w:val="24"/>
        </w:rPr>
        <w:t xml:space="preserve"> and </w:t>
      </w:r>
      <w:r w:rsidR="00405E69" w:rsidRPr="000E57F0">
        <w:rPr>
          <w:b/>
          <w:sz w:val="24"/>
          <w:szCs w:val="24"/>
        </w:rPr>
        <w:t>June 2022</w:t>
      </w:r>
      <w:r w:rsidR="00405E69" w:rsidRPr="000E57F0">
        <w:rPr>
          <w:sz w:val="24"/>
          <w:szCs w:val="24"/>
        </w:rPr>
        <w:t xml:space="preserve"> and never once raised the NCA defence until sued for breach of and </w:t>
      </w:r>
      <w:r w:rsidR="00183C5D" w:rsidRPr="000E57F0">
        <w:rPr>
          <w:sz w:val="24"/>
          <w:szCs w:val="24"/>
        </w:rPr>
        <w:t>non-compliance</w:t>
      </w:r>
      <w:r w:rsidR="00405E69" w:rsidRPr="000E57F0">
        <w:rPr>
          <w:sz w:val="24"/>
          <w:szCs w:val="24"/>
        </w:rPr>
        <w:t xml:space="preserve"> with the provisions of the AOD;</w:t>
      </w:r>
    </w:p>
    <w:p w14:paraId="41F48543" w14:textId="77777777" w:rsidR="00405E69" w:rsidRPr="000E57F0" w:rsidRDefault="00405E69" w:rsidP="005A7B63">
      <w:pPr>
        <w:pStyle w:val="LFLMainPara"/>
        <w:numPr>
          <w:ilvl w:val="0"/>
          <w:numId w:val="0"/>
        </w:numPr>
        <w:spacing w:before="0" w:after="0" w:line="360" w:lineRule="auto"/>
        <w:ind w:left="737"/>
        <w:rPr>
          <w:sz w:val="24"/>
          <w:szCs w:val="24"/>
          <w:lang w:val="en-GB"/>
        </w:rPr>
      </w:pPr>
    </w:p>
    <w:p w14:paraId="5CA9437D" w14:textId="77777777" w:rsidR="005A7B63" w:rsidRPr="000E57F0" w:rsidRDefault="005A7B63" w:rsidP="005A7B63">
      <w:pPr>
        <w:pStyle w:val="LFLMainPara"/>
        <w:numPr>
          <w:ilvl w:val="0"/>
          <w:numId w:val="0"/>
        </w:numPr>
        <w:spacing w:before="0" w:after="0" w:line="360" w:lineRule="auto"/>
        <w:ind w:left="737"/>
        <w:rPr>
          <w:sz w:val="24"/>
          <w:szCs w:val="24"/>
          <w:lang w:val="en-GB"/>
        </w:rPr>
      </w:pPr>
    </w:p>
    <w:p w14:paraId="648EFEAE" w14:textId="40E5AE67" w:rsidR="00405E69" w:rsidRPr="000E57F0" w:rsidRDefault="00DC21C9" w:rsidP="00DC21C9">
      <w:pPr>
        <w:pStyle w:val="LFLMainPara"/>
        <w:numPr>
          <w:ilvl w:val="0"/>
          <w:numId w:val="0"/>
        </w:numPr>
        <w:spacing w:before="0" w:after="0" w:line="360" w:lineRule="auto"/>
        <w:ind w:left="1457" w:hanging="720"/>
        <w:rPr>
          <w:sz w:val="24"/>
          <w:szCs w:val="24"/>
          <w:lang w:val="en-GB"/>
        </w:rPr>
      </w:pPr>
      <w:r w:rsidRPr="000E57F0">
        <w:rPr>
          <w:sz w:val="24"/>
          <w:szCs w:val="24"/>
          <w:lang w:val="en-GB"/>
        </w:rPr>
        <w:t>24.2.</w:t>
      </w:r>
      <w:r w:rsidRPr="000E57F0">
        <w:rPr>
          <w:sz w:val="24"/>
          <w:szCs w:val="24"/>
          <w:lang w:val="en-GB"/>
        </w:rPr>
        <w:tab/>
      </w:r>
      <w:r w:rsidR="00405E69" w:rsidRPr="000E57F0">
        <w:rPr>
          <w:sz w:val="24"/>
          <w:szCs w:val="24"/>
        </w:rPr>
        <w:t xml:space="preserve">the Defendant specifically warranted in Clause 6.1 of the AOD (Caselines 001-18) that the NCA was not of application. Even if the Credit Application form was relevant and interdependent (which I find is not the case), then this constituted a novation, alternatively, a variation of this specific provision. Moreover, Clause 6.4 of the AOD  reflects that the contents of the AOD, which was signed 3 years after the Credit Application form was completed, records that same constitutes the entire contract. </w:t>
      </w:r>
    </w:p>
    <w:p w14:paraId="5CCD451B" w14:textId="77777777" w:rsidR="00DB71F4" w:rsidRPr="000E57F0" w:rsidRDefault="00DB71F4" w:rsidP="00DB71F4">
      <w:pPr>
        <w:pStyle w:val="LFLMainPara"/>
        <w:numPr>
          <w:ilvl w:val="0"/>
          <w:numId w:val="0"/>
        </w:numPr>
        <w:spacing w:before="0" w:after="0"/>
        <w:rPr>
          <w:sz w:val="24"/>
          <w:szCs w:val="24"/>
          <w:lang w:val="en-GB"/>
        </w:rPr>
      </w:pPr>
    </w:p>
    <w:p w14:paraId="49E10C3A" w14:textId="09669EC5" w:rsidR="00DB74A4" w:rsidRPr="000E57F0" w:rsidRDefault="00DC21C9" w:rsidP="00DC21C9">
      <w:pPr>
        <w:pStyle w:val="LFLMainPara"/>
        <w:numPr>
          <w:ilvl w:val="0"/>
          <w:numId w:val="0"/>
        </w:numPr>
        <w:spacing w:before="0" w:after="0"/>
        <w:ind w:left="737" w:hanging="480"/>
        <w:rPr>
          <w:sz w:val="24"/>
          <w:szCs w:val="24"/>
          <w:lang w:val="en-GB"/>
        </w:rPr>
      </w:pPr>
      <w:r w:rsidRPr="000E57F0">
        <w:rPr>
          <w:sz w:val="24"/>
          <w:szCs w:val="24"/>
          <w:lang w:val="en-GB"/>
        </w:rPr>
        <w:t>25.</w:t>
      </w:r>
      <w:r w:rsidRPr="000E57F0">
        <w:rPr>
          <w:sz w:val="24"/>
          <w:szCs w:val="24"/>
          <w:lang w:val="en-GB"/>
        </w:rPr>
        <w:tab/>
      </w:r>
      <w:r w:rsidR="00DB71F4" w:rsidRPr="000E57F0">
        <w:rPr>
          <w:sz w:val="24"/>
          <w:szCs w:val="24"/>
          <w:lang w:val="en-GB"/>
        </w:rPr>
        <w:t xml:space="preserve">I am of the view that </w:t>
      </w:r>
      <w:r w:rsidR="00DB71F4" w:rsidRPr="001C061A">
        <w:rPr>
          <w:b/>
          <w:bCs/>
          <w:i/>
          <w:iCs/>
          <w:sz w:val="24"/>
          <w:szCs w:val="24"/>
        </w:rPr>
        <w:t>Ratlou v Man Financial Services SA (Pty) Ltd</w:t>
      </w:r>
      <w:r w:rsidR="00DB71F4" w:rsidRPr="000E57F0">
        <w:rPr>
          <w:b/>
          <w:bCs/>
          <w:sz w:val="24"/>
          <w:szCs w:val="24"/>
        </w:rPr>
        <w:t xml:space="preserve"> </w:t>
      </w:r>
      <w:r w:rsidR="00DB71F4" w:rsidRPr="000E57F0">
        <w:rPr>
          <w:bCs/>
          <w:sz w:val="24"/>
          <w:szCs w:val="24"/>
        </w:rPr>
        <w:t>is the correct reflection of our law as it currently stands and that</w:t>
      </w:r>
      <w:r w:rsidR="00DB71F4" w:rsidRPr="000E57F0">
        <w:rPr>
          <w:b/>
          <w:bCs/>
          <w:sz w:val="24"/>
          <w:szCs w:val="24"/>
        </w:rPr>
        <w:t xml:space="preserve"> </w:t>
      </w:r>
      <w:r w:rsidR="00DB71F4" w:rsidRPr="000E57F0">
        <w:rPr>
          <w:sz w:val="24"/>
          <w:szCs w:val="24"/>
        </w:rPr>
        <w:t>NCA is not applicable to settlement agreements</w:t>
      </w:r>
      <w:r w:rsidR="005A7B63" w:rsidRPr="000E57F0">
        <w:rPr>
          <w:sz w:val="24"/>
          <w:szCs w:val="24"/>
        </w:rPr>
        <w:t xml:space="preserve"> or compromises</w:t>
      </w:r>
      <w:r w:rsidR="00A20B29" w:rsidRPr="000E57F0">
        <w:rPr>
          <w:sz w:val="24"/>
          <w:szCs w:val="24"/>
        </w:rPr>
        <w:t>, which is what the present AOD</w:t>
      </w:r>
      <w:r w:rsidR="00DB74A4" w:rsidRPr="000E57F0">
        <w:rPr>
          <w:sz w:val="24"/>
          <w:szCs w:val="24"/>
        </w:rPr>
        <w:t xml:space="preserve"> is</w:t>
      </w:r>
      <w:r w:rsidR="00DB71F4" w:rsidRPr="000E57F0">
        <w:rPr>
          <w:sz w:val="24"/>
          <w:szCs w:val="24"/>
        </w:rPr>
        <w:t>.</w:t>
      </w:r>
    </w:p>
    <w:p w14:paraId="599EEABB" w14:textId="27A894F1" w:rsidR="00405E69" w:rsidRPr="000E57F0" w:rsidRDefault="00DC21C9" w:rsidP="00DC21C9">
      <w:pPr>
        <w:pStyle w:val="LFLMainPara"/>
        <w:numPr>
          <w:ilvl w:val="0"/>
          <w:numId w:val="0"/>
        </w:numPr>
        <w:spacing w:line="360" w:lineRule="auto"/>
        <w:ind w:left="737" w:hanging="480"/>
        <w:rPr>
          <w:sz w:val="24"/>
          <w:szCs w:val="24"/>
          <w:lang w:val="en-GB"/>
        </w:rPr>
      </w:pPr>
      <w:r w:rsidRPr="000E57F0">
        <w:rPr>
          <w:sz w:val="24"/>
          <w:szCs w:val="24"/>
          <w:lang w:val="en-GB"/>
        </w:rPr>
        <w:t>26.</w:t>
      </w:r>
      <w:r w:rsidRPr="000E57F0">
        <w:rPr>
          <w:sz w:val="24"/>
          <w:szCs w:val="24"/>
          <w:lang w:val="en-GB"/>
        </w:rPr>
        <w:tab/>
      </w:r>
      <w:r w:rsidR="00405E69" w:rsidRPr="000E57F0">
        <w:rPr>
          <w:sz w:val="24"/>
          <w:szCs w:val="24"/>
          <w:lang w:val="en-GB"/>
        </w:rPr>
        <w:t>It is the Plaintiff’s contention that the cause of action is based on the AOD, that the Defendant is bound by the terms of same and cannot rely on the prior agreement.</w:t>
      </w:r>
      <w:r w:rsidR="00405E69" w:rsidRPr="000E57F0">
        <w:rPr>
          <w:rStyle w:val="FootnoteReference"/>
          <w:sz w:val="24"/>
          <w:szCs w:val="24"/>
          <w:lang w:val="en-GB"/>
        </w:rPr>
        <w:footnoteReference w:id="30"/>
      </w:r>
      <w:r w:rsidR="00405E69" w:rsidRPr="000E57F0">
        <w:rPr>
          <w:sz w:val="24"/>
          <w:szCs w:val="24"/>
          <w:lang w:val="en-GB"/>
        </w:rPr>
        <w:t xml:space="preserve"> The Defendant submits that the agreements do not exist independently from each other and avers that “(20)…</w:t>
      </w:r>
      <w:r w:rsidR="00405E69" w:rsidRPr="000E57F0">
        <w:rPr>
          <w:i/>
          <w:iCs/>
          <w:sz w:val="24"/>
          <w:szCs w:val="24"/>
        </w:rPr>
        <w:t>The compromise therefore remained linked to the underlying causa, ... The artificiality of ignoring them is self-evident.”</w:t>
      </w:r>
    </w:p>
    <w:p w14:paraId="409FE3B9" w14:textId="6D6D558E" w:rsidR="00405E69" w:rsidRPr="000E57F0" w:rsidRDefault="00DC21C9" w:rsidP="00DC21C9">
      <w:pPr>
        <w:pStyle w:val="LFLMainPara"/>
        <w:numPr>
          <w:ilvl w:val="0"/>
          <w:numId w:val="0"/>
        </w:numPr>
        <w:spacing w:line="360" w:lineRule="auto"/>
        <w:ind w:left="737" w:hanging="480"/>
        <w:rPr>
          <w:sz w:val="24"/>
          <w:szCs w:val="24"/>
        </w:rPr>
      </w:pPr>
      <w:r w:rsidRPr="000E57F0">
        <w:rPr>
          <w:sz w:val="24"/>
          <w:szCs w:val="24"/>
        </w:rPr>
        <w:t>27.</w:t>
      </w:r>
      <w:r w:rsidRPr="000E57F0">
        <w:rPr>
          <w:sz w:val="24"/>
          <w:szCs w:val="24"/>
        </w:rPr>
        <w:tab/>
      </w:r>
      <w:r w:rsidR="00405E69" w:rsidRPr="000E57F0">
        <w:rPr>
          <w:sz w:val="24"/>
          <w:szCs w:val="24"/>
        </w:rPr>
        <w:t xml:space="preserve">In my view, </w:t>
      </w:r>
      <w:r w:rsidR="00405E69" w:rsidRPr="001C061A">
        <w:rPr>
          <w:i/>
          <w:iCs/>
          <w:sz w:val="24"/>
          <w:szCs w:val="24"/>
        </w:rPr>
        <w:t>Ratlou</w:t>
      </w:r>
      <w:r w:rsidR="00405E69" w:rsidRPr="000E57F0">
        <w:rPr>
          <w:sz w:val="24"/>
          <w:szCs w:val="24"/>
        </w:rPr>
        <w:t xml:space="preserve"> makes it clear that the agreements do not exist independently and underlying </w:t>
      </w:r>
      <w:r w:rsidR="00405E69" w:rsidRPr="000E57F0">
        <w:rPr>
          <w:i/>
          <w:sz w:val="24"/>
          <w:szCs w:val="24"/>
        </w:rPr>
        <w:t>causa</w:t>
      </w:r>
      <w:r w:rsidR="00405E69" w:rsidRPr="000E57F0">
        <w:rPr>
          <w:sz w:val="24"/>
          <w:szCs w:val="24"/>
        </w:rPr>
        <w:t xml:space="preserve"> cannot be ignored. However, having said that, I find:</w:t>
      </w:r>
    </w:p>
    <w:p w14:paraId="50EFF73D" w14:textId="51B37A72" w:rsidR="00405E69" w:rsidRDefault="00DC21C9" w:rsidP="00DC21C9">
      <w:pPr>
        <w:pStyle w:val="LFLMainPara"/>
        <w:numPr>
          <w:ilvl w:val="0"/>
          <w:numId w:val="0"/>
        </w:numPr>
        <w:spacing w:line="360" w:lineRule="auto"/>
        <w:ind w:left="1457" w:hanging="720"/>
        <w:rPr>
          <w:sz w:val="24"/>
          <w:szCs w:val="24"/>
        </w:rPr>
      </w:pPr>
      <w:r>
        <w:rPr>
          <w:sz w:val="24"/>
          <w:szCs w:val="24"/>
        </w:rPr>
        <w:t>27.1.</w:t>
      </w:r>
      <w:r>
        <w:rPr>
          <w:sz w:val="24"/>
          <w:szCs w:val="24"/>
        </w:rPr>
        <w:tab/>
      </w:r>
      <w:r w:rsidR="00405E69" w:rsidRPr="000E57F0">
        <w:rPr>
          <w:sz w:val="24"/>
          <w:szCs w:val="24"/>
        </w:rPr>
        <w:t xml:space="preserve">that the underlying </w:t>
      </w:r>
      <w:r w:rsidR="00405E69" w:rsidRPr="000E57F0">
        <w:rPr>
          <w:i/>
          <w:sz w:val="24"/>
          <w:szCs w:val="24"/>
        </w:rPr>
        <w:t>causa</w:t>
      </w:r>
      <w:r w:rsidR="00405E69" w:rsidRPr="000E57F0">
        <w:rPr>
          <w:sz w:val="24"/>
          <w:szCs w:val="24"/>
        </w:rPr>
        <w:t xml:space="preserve">, ie the 2015 </w:t>
      </w:r>
      <w:r w:rsidR="005A7B63" w:rsidRPr="000E57F0">
        <w:rPr>
          <w:sz w:val="24"/>
          <w:szCs w:val="24"/>
        </w:rPr>
        <w:t>business a</w:t>
      </w:r>
      <w:r w:rsidR="00405E69" w:rsidRPr="000E57F0">
        <w:rPr>
          <w:sz w:val="24"/>
          <w:szCs w:val="24"/>
        </w:rPr>
        <w:t xml:space="preserve">pplication </w:t>
      </w:r>
      <w:r w:rsidR="005A7B63" w:rsidRPr="000E57F0">
        <w:rPr>
          <w:sz w:val="24"/>
          <w:szCs w:val="24"/>
        </w:rPr>
        <w:t xml:space="preserve">form </w:t>
      </w:r>
      <w:r w:rsidR="00405E69" w:rsidRPr="000E57F0">
        <w:rPr>
          <w:sz w:val="24"/>
          <w:szCs w:val="24"/>
        </w:rPr>
        <w:t xml:space="preserve">does constitute an </w:t>
      </w:r>
      <w:r w:rsidR="00405E69" w:rsidRPr="000E57F0">
        <w:rPr>
          <w:i/>
          <w:sz w:val="24"/>
          <w:szCs w:val="24"/>
        </w:rPr>
        <w:t>incidental credit agreement</w:t>
      </w:r>
      <w:r w:rsidR="00405E69" w:rsidRPr="000E57F0">
        <w:rPr>
          <w:sz w:val="24"/>
          <w:szCs w:val="24"/>
        </w:rPr>
        <w:t xml:space="preserve"> and accordingly, the Defendant’s reliance on reckless lending as a defence cannot succeed;</w:t>
      </w:r>
    </w:p>
    <w:p w14:paraId="1DE2F70D" w14:textId="77777777" w:rsidR="003F5E1A" w:rsidRDefault="003F5E1A" w:rsidP="003F5E1A">
      <w:pPr>
        <w:pStyle w:val="LFLMainPara"/>
        <w:numPr>
          <w:ilvl w:val="0"/>
          <w:numId w:val="0"/>
        </w:numPr>
        <w:spacing w:line="360" w:lineRule="auto"/>
        <w:ind w:left="737" w:hanging="737"/>
        <w:rPr>
          <w:sz w:val="24"/>
          <w:szCs w:val="24"/>
        </w:rPr>
      </w:pPr>
    </w:p>
    <w:p w14:paraId="3F2CC532" w14:textId="77777777" w:rsidR="003F5E1A" w:rsidRPr="000E57F0" w:rsidRDefault="003F5E1A" w:rsidP="003F5E1A">
      <w:pPr>
        <w:pStyle w:val="LFLMainPara"/>
        <w:numPr>
          <w:ilvl w:val="0"/>
          <w:numId w:val="0"/>
        </w:numPr>
        <w:spacing w:line="360" w:lineRule="auto"/>
        <w:ind w:left="737" w:hanging="737"/>
        <w:rPr>
          <w:sz w:val="24"/>
          <w:szCs w:val="24"/>
        </w:rPr>
      </w:pPr>
    </w:p>
    <w:p w14:paraId="20ECC07F" w14:textId="419A2613" w:rsidR="00405E69" w:rsidRPr="000E57F0" w:rsidRDefault="00DC21C9" w:rsidP="00DC21C9">
      <w:pPr>
        <w:pStyle w:val="LFLMainPara"/>
        <w:numPr>
          <w:ilvl w:val="0"/>
          <w:numId w:val="0"/>
        </w:numPr>
        <w:spacing w:line="360" w:lineRule="auto"/>
        <w:ind w:left="1457" w:hanging="720"/>
        <w:rPr>
          <w:sz w:val="24"/>
          <w:szCs w:val="24"/>
        </w:rPr>
      </w:pPr>
      <w:r w:rsidRPr="000E57F0">
        <w:rPr>
          <w:sz w:val="24"/>
          <w:szCs w:val="24"/>
        </w:rPr>
        <w:t>27.2.</w:t>
      </w:r>
      <w:r w:rsidRPr="000E57F0">
        <w:rPr>
          <w:sz w:val="24"/>
          <w:szCs w:val="24"/>
        </w:rPr>
        <w:tab/>
      </w:r>
      <w:r w:rsidR="00405E69" w:rsidRPr="000E57F0">
        <w:rPr>
          <w:sz w:val="24"/>
          <w:szCs w:val="24"/>
        </w:rPr>
        <w:t xml:space="preserve">that if the </w:t>
      </w:r>
      <w:r w:rsidR="005A7B63" w:rsidRPr="000E57F0">
        <w:rPr>
          <w:sz w:val="24"/>
          <w:szCs w:val="24"/>
        </w:rPr>
        <w:t>business a</w:t>
      </w:r>
      <w:r w:rsidR="00405E69" w:rsidRPr="000E57F0">
        <w:rPr>
          <w:sz w:val="24"/>
          <w:szCs w:val="24"/>
        </w:rPr>
        <w:t xml:space="preserve">pplication </w:t>
      </w:r>
      <w:r w:rsidR="005A7B63" w:rsidRPr="000E57F0">
        <w:rPr>
          <w:sz w:val="24"/>
          <w:szCs w:val="24"/>
        </w:rPr>
        <w:t xml:space="preserve">form </w:t>
      </w:r>
      <w:r w:rsidR="00405E69" w:rsidRPr="000E57F0">
        <w:rPr>
          <w:sz w:val="24"/>
          <w:szCs w:val="24"/>
        </w:rPr>
        <w:t xml:space="preserve">and the AOD are to be read together, then the AOD varied or novated the </w:t>
      </w:r>
      <w:r w:rsidR="005A7B63" w:rsidRPr="000E57F0">
        <w:rPr>
          <w:sz w:val="24"/>
          <w:szCs w:val="24"/>
        </w:rPr>
        <w:t>business</w:t>
      </w:r>
      <w:r w:rsidR="00405E69" w:rsidRPr="000E57F0">
        <w:rPr>
          <w:sz w:val="24"/>
          <w:szCs w:val="24"/>
        </w:rPr>
        <w:t xml:space="preserve"> </w:t>
      </w:r>
      <w:r w:rsidR="005A7B63" w:rsidRPr="000E57F0">
        <w:rPr>
          <w:sz w:val="24"/>
          <w:szCs w:val="24"/>
        </w:rPr>
        <w:t>a</w:t>
      </w:r>
      <w:r w:rsidR="00405E69" w:rsidRPr="000E57F0">
        <w:rPr>
          <w:sz w:val="24"/>
          <w:szCs w:val="24"/>
        </w:rPr>
        <w:t xml:space="preserve">pplication </w:t>
      </w:r>
      <w:r w:rsidR="005A7B63" w:rsidRPr="000E57F0">
        <w:rPr>
          <w:sz w:val="24"/>
          <w:szCs w:val="24"/>
        </w:rPr>
        <w:t>f</w:t>
      </w:r>
      <w:r w:rsidR="00405E69" w:rsidRPr="000E57F0">
        <w:rPr>
          <w:sz w:val="24"/>
          <w:szCs w:val="24"/>
        </w:rPr>
        <w:t xml:space="preserve">orm </w:t>
      </w:r>
      <w:r w:rsidR="00405E69" w:rsidRPr="000E57F0">
        <w:rPr>
          <w:i/>
          <w:sz w:val="24"/>
          <w:szCs w:val="24"/>
        </w:rPr>
        <w:t>inter alia</w:t>
      </w:r>
      <w:r w:rsidR="00405E69" w:rsidRPr="000E57F0">
        <w:rPr>
          <w:sz w:val="24"/>
          <w:szCs w:val="24"/>
        </w:rPr>
        <w:t xml:space="preserve"> insofar as the </w:t>
      </w:r>
      <w:r w:rsidR="005A7B63" w:rsidRPr="000E57F0">
        <w:rPr>
          <w:sz w:val="24"/>
          <w:szCs w:val="24"/>
        </w:rPr>
        <w:t xml:space="preserve">Defendant’s </w:t>
      </w:r>
      <w:r w:rsidR="00405E69" w:rsidRPr="000E57F0">
        <w:rPr>
          <w:sz w:val="24"/>
          <w:szCs w:val="24"/>
        </w:rPr>
        <w:t xml:space="preserve">asset value </w:t>
      </w:r>
      <w:r w:rsidR="001A0359" w:rsidRPr="000E57F0">
        <w:rPr>
          <w:sz w:val="24"/>
          <w:szCs w:val="24"/>
        </w:rPr>
        <w:t>is concerned</w:t>
      </w:r>
      <w:r w:rsidR="00405E69" w:rsidRPr="000E57F0">
        <w:rPr>
          <w:sz w:val="24"/>
          <w:szCs w:val="24"/>
        </w:rPr>
        <w:t xml:space="preserve">. </w:t>
      </w:r>
      <w:r w:rsidR="001A0359" w:rsidRPr="000E57F0">
        <w:rPr>
          <w:sz w:val="24"/>
          <w:szCs w:val="24"/>
        </w:rPr>
        <w:t xml:space="preserve">Even if </w:t>
      </w:r>
      <w:r w:rsidR="0081418E">
        <w:rPr>
          <w:sz w:val="24"/>
          <w:szCs w:val="24"/>
        </w:rPr>
        <w:t>there has been no variation, or novation</w:t>
      </w:r>
      <w:r w:rsidR="001A0359" w:rsidRPr="000E57F0">
        <w:rPr>
          <w:sz w:val="24"/>
          <w:szCs w:val="24"/>
        </w:rPr>
        <w:t xml:space="preserve">, the impediment highlighted in </w:t>
      </w:r>
      <w:r w:rsidR="001A0359" w:rsidRPr="000E57F0">
        <w:rPr>
          <w:b/>
          <w:sz w:val="24"/>
          <w:szCs w:val="24"/>
        </w:rPr>
        <w:t>27.1</w:t>
      </w:r>
      <w:r w:rsidR="001A0359" w:rsidRPr="000E57F0">
        <w:rPr>
          <w:sz w:val="24"/>
          <w:szCs w:val="24"/>
        </w:rPr>
        <w:t xml:space="preserve"> above remains. </w:t>
      </w:r>
    </w:p>
    <w:p w14:paraId="35A179BD" w14:textId="43DE48C2" w:rsidR="00DB71F4" w:rsidRPr="000E57F0" w:rsidRDefault="00DC21C9" w:rsidP="00DC21C9">
      <w:pPr>
        <w:pStyle w:val="LFLMainPara"/>
        <w:numPr>
          <w:ilvl w:val="0"/>
          <w:numId w:val="0"/>
        </w:numPr>
        <w:spacing w:line="360" w:lineRule="auto"/>
        <w:ind w:left="737" w:hanging="480"/>
        <w:rPr>
          <w:sz w:val="24"/>
          <w:szCs w:val="24"/>
          <w:lang w:val="en-GB"/>
        </w:rPr>
      </w:pPr>
      <w:r w:rsidRPr="000E57F0">
        <w:rPr>
          <w:sz w:val="24"/>
          <w:szCs w:val="24"/>
          <w:lang w:val="en-GB"/>
        </w:rPr>
        <w:t>28.</w:t>
      </w:r>
      <w:r w:rsidRPr="000E57F0">
        <w:rPr>
          <w:sz w:val="24"/>
          <w:szCs w:val="24"/>
          <w:lang w:val="en-GB"/>
        </w:rPr>
        <w:tab/>
      </w:r>
      <w:r w:rsidR="00DB71F4" w:rsidRPr="000E57F0">
        <w:rPr>
          <w:sz w:val="24"/>
          <w:szCs w:val="24"/>
        </w:rPr>
        <w:t xml:space="preserve">Accordingly, </w:t>
      </w:r>
      <w:r w:rsidR="00C95A67" w:rsidRPr="000E57F0">
        <w:rPr>
          <w:sz w:val="24"/>
          <w:szCs w:val="24"/>
        </w:rPr>
        <w:t>for these reasons, I find that the NCA, including its provisions relating to reckless lending are not of application and that this defence must fail as well.</w:t>
      </w:r>
    </w:p>
    <w:p w14:paraId="0EC82AF2" w14:textId="77777777" w:rsidR="00C95A67" w:rsidRDefault="00C95A67" w:rsidP="00FE57B9">
      <w:pPr>
        <w:pStyle w:val="LFLMainPara"/>
        <w:numPr>
          <w:ilvl w:val="0"/>
          <w:numId w:val="0"/>
        </w:numPr>
        <w:spacing w:line="360" w:lineRule="auto"/>
        <w:rPr>
          <w:b/>
          <w:u w:val="single"/>
          <w:lang w:val="en-GB"/>
        </w:rPr>
      </w:pPr>
      <w:r w:rsidRPr="000E57F0">
        <w:rPr>
          <w:b/>
          <w:sz w:val="24"/>
          <w:szCs w:val="24"/>
          <w:u w:val="single"/>
          <w:lang w:val="en-GB"/>
        </w:rPr>
        <w:t>O</w:t>
      </w:r>
      <w:r w:rsidRPr="00C95A67">
        <w:rPr>
          <w:b/>
          <w:u w:val="single"/>
          <w:lang w:val="en-GB"/>
        </w:rPr>
        <w:t>RDER</w:t>
      </w:r>
    </w:p>
    <w:p w14:paraId="30242CE1" w14:textId="116AA8E6" w:rsidR="00C95A67" w:rsidRDefault="00DC21C9" w:rsidP="00DC21C9">
      <w:pPr>
        <w:pStyle w:val="LFLMainPara"/>
        <w:numPr>
          <w:ilvl w:val="0"/>
          <w:numId w:val="0"/>
        </w:numPr>
        <w:spacing w:line="360" w:lineRule="auto"/>
        <w:ind w:left="737" w:hanging="480"/>
        <w:rPr>
          <w:lang w:val="en-GB"/>
        </w:rPr>
      </w:pPr>
      <w:r>
        <w:rPr>
          <w:lang w:val="en-GB"/>
        </w:rPr>
        <w:t>29.</w:t>
      </w:r>
      <w:r>
        <w:rPr>
          <w:lang w:val="en-GB"/>
        </w:rPr>
        <w:tab/>
      </w:r>
      <w:r w:rsidR="00C95A67">
        <w:rPr>
          <w:lang w:val="en-GB"/>
        </w:rPr>
        <w:t>In the circumstances, I make the following Order:</w:t>
      </w:r>
    </w:p>
    <w:p w14:paraId="76DA7898" w14:textId="77777777" w:rsidR="00C95A67" w:rsidRDefault="009E3110" w:rsidP="00FE57B9">
      <w:pPr>
        <w:pStyle w:val="LFLMainPara"/>
        <w:numPr>
          <w:ilvl w:val="0"/>
          <w:numId w:val="0"/>
        </w:numPr>
        <w:spacing w:line="360" w:lineRule="auto"/>
        <w:ind w:left="720"/>
        <w:rPr>
          <w:lang w:val="en-GB"/>
        </w:rPr>
      </w:pPr>
      <w:r>
        <w:rPr>
          <w:lang w:val="en-GB"/>
        </w:rPr>
        <w:t>Summary Judgment is granted in favour of the Plaintiff against the Defendant as follows:</w:t>
      </w:r>
    </w:p>
    <w:p w14:paraId="36515CA6" w14:textId="7408D1EF" w:rsidR="009E3110" w:rsidRDefault="00DC21C9" w:rsidP="00DC21C9">
      <w:pPr>
        <w:pStyle w:val="LFLMainPara"/>
        <w:numPr>
          <w:ilvl w:val="0"/>
          <w:numId w:val="0"/>
        </w:numPr>
        <w:spacing w:line="360" w:lineRule="auto"/>
        <w:ind w:left="1457" w:hanging="720"/>
        <w:rPr>
          <w:lang w:val="en-GB"/>
        </w:rPr>
      </w:pPr>
      <w:r>
        <w:rPr>
          <w:lang w:val="en-GB"/>
        </w:rPr>
        <w:t>29.1.</w:t>
      </w:r>
      <w:r>
        <w:rPr>
          <w:lang w:val="en-GB"/>
        </w:rPr>
        <w:tab/>
      </w:r>
      <w:r w:rsidR="009E3110">
        <w:rPr>
          <w:lang w:val="en-GB"/>
        </w:rPr>
        <w:t>Payment of the sum of R682 912.88;</w:t>
      </w:r>
    </w:p>
    <w:p w14:paraId="6A5C28D7" w14:textId="13F3336E" w:rsidR="009E3110" w:rsidRDefault="00DC21C9" w:rsidP="00DC21C9">
      <w:pPr>
        <w:pStyle w:val="LFLMainPara"/>
        <w:numPr>
          <w:ilvl w:val="0"/>
          <w:numId w:val="0"/>
        </w:numPr>
        <w:spacing w:line="360" w:lineRule="auto"/>
        <w:ind w:left="1457" w:hanging="720"/>
        <w:rPr>
          <w:lang w:val="en-GB"/>
        </w:rPr>
      </w:pPr>
      <w:r>
        <w:rPr>
          <w:lang w:val="en-GB"/>
        </w:rPr>
        <w:t>29.2.</w:t>
      </w:r>
      <w:r>
        <w:rPr>
          <w:lang w:val="en-GB"/>
        </w:rPr>
        <w:tab/>
      </w:r>
      <w:r w:rsidR="009E3110">
        <w:rPr>
          <w:lang w:val="en-GB"/>
        </w:rPr>
        <w:t>Interest on the outstanding balance as at 11 November 2018, at the rate of 6% per annum for 6 months; and thereafter, interest on the outstanding balance as at 11 May 2019 at the rate of 2% above the prime lending rate of the Plaintiff’s bankers, until the entire balance outstanding is paid in full;</w:t>
      </w:r>
    </w:p>
    <w:p w14:paraId="6C97A675" w14:textId="509C36E8" w:rsidR="0047623B" w:rsidRDefault="00DC21C9" w:rsidP="00DC21C9">
      <w:pPr>
        <w:pStyle w:val="LFLMainPara"/>
        <w:numPr>
          <w:ilvl w:val="0"/>
          <w:numId w:val="0"/>
        </w:numPr>
        <w:spacing w:line="360" w:lineRule="auto"/>
        <w:ind w:left="1457" w:hanging="720"/>
        <w:rPr>
          <w:lang w:val="en-GB"/>
        </w:rPr>
      </w:pPr>
      <w:r>
        <w:rPr>
          <w:lang w:val="en-GB"/>
        </w:rPr>
        <w:t>29.3.</w:t>
      </w:r>
      <w:r>
        <w:rPr>
          <w:lang w:val="en-GB"/>
        </w:rPr>
        <w:tab/>
      </w:r>
      <w:r w:rsidR="009E3110">
        <w:rPr>
          <w:lang w:val="en-GB"/>
        </w:rPr>
        <w:t xml:space="preserve"> Costs of suit on the Attorney and client scale.</w:t>
      </w:r>
    </w:p>
    <w:p w14:paraId="6A7DE6B8" w14:textId="77777777" w:rsidR="00713339" w:rsidRDefault="00713339" w:rsidP="00713339">
      <w:pPr>
        <w:pStyle w:val="LFLMainPara"/>
        <w:numPr>
          <w:ilvl w:val="0"/>
          <w:numId w:val="0"/>
        </w:numPr>
        <w:spacing w:line="360" w:lineRule="auto"/>
        <w:ind w:left="480"/>
        <w:rPr>
          <w:lang w:val="en-GB"/>
        </w:rPr>
      </w:pPr>
    </w:p>
    <w:p w14:paraId="70B778CC" w14:textId="77777777" w:rsidR="00713339" w:rsidRDefault="00713339" w:rsidP="00713339">
      <w:pPr>
        <w:pStyle w:val="LFLMainPara"/>
        <w:numPr>
          <w:ilvl w:val="0"/>
          <w:numId w:val="0"/>
        </w:numPr>
        <w:spacing w:line="360" w:lineRule="auto"/>
        <w:ind w:left="480"/>
        <w:rPr>
          <w:lang w:val="en-GB"/>
        </w:rPr>
      </w:pPr>
    </w:p>
    <w:p w14:paraId="69EB3716" w14:textId="77777777" w:rsidR="00713339" w:rsidRDefault="00713339" w:rsidP="00713339">
      <w:pPr>
        <w:pStyle w:val="LFLMainPara"/>
        <w:numPr>
          <w:ilvl w:val="0"/>
          <w:numId w:val="0"/>
        </w:numPr>
        <w:spacing w:line="360" w:lineRule="auto"/>
        <w:ind w:left="480"/>
        <w:rPr>
          <w:lang w:val="en-GB"/>
        </w:rPr>
      </w:pPr>
    </w:p>
    <w:p w14:paraId="10D9B4FE" w14:textId="77777777" w:rsidR="0047623B" w:rsidRDefault="0047623B" w:rsidP="00FE57B9">
      <w:pPr>
        <w:pStyle w:val="LFLMainPara"/>
        <w:numPr>
          <w:ilvl w:val="0"/>
          <w:numId w:val="0"/>
        </w:numPr>
        <w:spacing w:line="360" w:lineRule="auto"/>
        <w:rPr>
          <w:lang w:val="en-GB"/>
        </w:rPr>
      </w:pPr>
    </w:p>
    <w:p w14:paraId="0B0129B3" w14:textId="77777777" w:rsidR="0047623B" w:rsidRDefault="0047623B" w:rsidP="0047623B">
      <w:pPr>
        <w:pStyle w:val="LFLMainPara"/>
        <w:numPr>
          <w:ilvl w:val="0"/>
          <w:numId w:val="0"/>
        </w:numPr>
        <w:spacing w:line="240" w:lineRule="auto"/>
        <w:ind w:left="3600" w:firstLine="720"/>
        <w:rPr>
          <w:lang w:val="en-GB"/>
        </w:rPr>
      </w:pPr>
      <w:r>
        <w:rPr>
          <w:lang w:val="en-GB"/>
        </w:rPr>
        <w:lastRenderedPageBreak/>
        <w:t>_____________________________</w:t>
      </w:r>
    </w:p>
    <w:p w14:paraId="46A97F0F" w14:textId="77777777" w:rsidR="0047623B" w:rsidRPr="00CE7915" w:rsidRDefault="0047623B" w:rsidP="0047623B">
      <w:pPr>
        <w:pStyle w:val="LFLMainPara"/>
        <w:numPr>
          <w:ilvl w:val="0"/>
          <w:numId w:val="0"/>
        </w:numPr>
        <w:spacing w:before="0" w:after="0" w:line="240" w:lineRule="auto"/>
        <w:ind w:left="3600" w:firstLine="720"/>
        <w:rPr>
          <w:lang w:val="en-GB"/>
        </w:rPr>
      </w:pPr>
      <w:r w:rsidRPr="00CE7915">
        <w:rPr>
          <w:lang w:val="en-GB"/>
        </w:rPr>
        <w:t>M NOWITZ</w:t>
      </w:r>
    </w:p>
    <w:p w14:paraId="6F7C43C7" w14:textId="77777777" w:rsidR="0047623B" w:rsidRDefault="0047623B" w:rsidP="0047623B">
      <w:pPr>
        <w:pStyle w:val="LFLMainPara"/>
        <w:numPr>
          <w:ilvl w:val="0"/>
          <w:numId w:val="0"/>
        </w:numPr>
        <w:spacing w:before="0" w:after="0" w:line="240" w:lineRule="auto"/>
        <w:ind w:left="3600" w:firstLine="720"/>
        <w:rPr>
          <w:lang w:val="en-GB"/>
        </w:rPr>
      </w:pPr>
      <w:r w:rsidRPr="00CE7915">
        <w:rPr>
          <w:lang w:val="en-GB"/>
        </w:rPr>
        <w:t>ACTING JUDGE OF THE HIGH COURT</w:t>
      </w:r>
    </w:p>
    <w:p w14:paraId="0D4127A0" w14:textId="77777777" w:rsidR="0047623B" w:rsidRPr="00CE7915" w:rsidRDefault="0047623B" w:rsidP="0047623B">
      <w:pPr>
        <w:pStyle w:val="LFLMainPara"/>
        <w:numPr>
          <w:ilvl w:val="0"/>
          <w:numId w:val="0"/>
        </w:numPr>
        <w:spacing w:before="0" w:after="0" w:line="240" w:lineRule="auto"/>
        <w:ind w:left="4320"/>
        <w:rPr>
          <w:lang w:val="en-GB"/>
        </w:rPr>
      </w:pPr>
      <w:r>
        <w:rPr>
          <w:lang w:val="en-GB"/>
        </w:rPr>
        <w:t>OF SOUTH AFRICA GAUTENG DIVISION, JOHANNESBURG</w:t>
      </w:r>
    </w:p>
    <w:p w14:paraId="1799E232" w14:textId="77777777" w:rsidR="0047623B" w:rsidRPr="00CE7915" w:rsidRDefault="001A0359" w:rsidP="0047623B">
      <w:pPr>
        <w:pStyle w:val="LFLMainPara"/>
        <w:numPr>
          <w:ilvl w:val="0"/>
          <w:numId w:val="0"/>
        </w:numPr>
        <w:ind w:left="3742" w:firstLine="578"/>
        <w:rPr>
          <w:lang w:val="en-GB"/>
        </w:rPr>
      </w:pPr>
      <w:r>
        <w:rPr>
          <w:lang w:val="en-GB"/>
        </w:rPr>
        <w:t xml:space="preserve">5 February </w:t>
      </w:r>
      <w:r w:rsidR="0047623B" w:rsidRPr="00CE7915">
        <w:rPr>
          <w:lang w:val="en-GB"/>
        </w:rPr>
        <w:t>2024</w:t>
      </w:r>
    </w:p>
    <w:p w14:paraId="645A5867" w14:textId="77777777" w:rsidR="001C061A" w:rsidRDefault="001C061A" w:rsidP="00FE57B9">
      <w:pPr>
        <w:pStyle w:val="LFLMainPara"/>
        <w:numPr>
          <w:ilvl w:val="0"/>
          <w:numId w:val="0"/>
        </w:numPr>
        <w:spacing w:line="240" w:lineRule="auto"/>
        <w:ind w:left="142"/>
        <w:rPr>
          <w:lang w:val="en-GB"/>
        </w:rPr>
      </w:pPr>
    </w:p>
    <w:p w14:paraId="4F8736B7" w14:textId="77777777" w:rsidR="001C061A" w:rsidRDefault="001C061A" w:rsidP="00FE57B9">
      <w:pPr>
        <w:pStyle w:val="LFLMainPara"/>
        <w:numPr>
          <w:ilvl w:val="0"/>
          <w:numId w:val="0"/>
        </w:numPr>
        <w:spacing w:line="240" w:lineRule="auto"/>
        <w:ind w:left="142"/>
        <w:rPr>
          <w:lang w:val="en-GB"/>
        </w:rPr>
      </w:pPr>
    </w:p>
    <w:p w14:paraId="05874D11" w14:textId="78FE5170" w:rsidR="0047623B" w:rsidRDefault="0047623B" w:rsidP="00FE57B9">
      <w:pPr>
        <w:pStyle w:val="LFLMainPara"/>
        <w:numPr>
          <w:ilvl w:val="0"/>
          <w:numId w:val="0"/>
        </w:numPr>
        <w:spacing w:line="240" w:lineRule="auto"/>
        <w:ind w:left="142"/>
        <w:rPr>
          <w:lang w:val="en-GB"/>
        </w:rPr>
      </w:pPr>
      <w:r>
        <w:rPr>
          <w:lang w:val="en-GB"/>
        </w:rPr>
        <w:t>APPEARANCES</w:t>
      </w:r>
    </w:p>
    <w:p w14:paraId="32A441CB" w14:textId="77777777" w:rsidR="0047623B" w:rsidRDefault="0047623B" w:rsidP="00FE57B9">
      <w:pPr>
        <w:pStyle w:val="LFLMainPara"/>
        <w:numPr>
          <w:ilvl w:val="0"/>
          <w:numId w:val="0"/>
        </w:numPr>
        <w:spacing w:line="240" w:lineRule="auto"/>
        <w:ind w:left="142"/>
        <w:rPr>
          <w:lang w:val="en-GB"/>
        </w:rPr>
      </w:pPr>
      <w:r>
        <w:rPr>
          <w:lang w:val="en-GB"/>
        </w:rPr>
        <w:t>FOR PLAINTIFF:</w:t>
      </w:r>
    </w:p>
    <w:p w14:paraId="627CE08F" w14:textId="77777777" w:rsidR="0047623B" w:rsidRDefault="0047623B" w:rsidP="00FE57B9">
      <w:pPr>
        <w:pStyle w:val="LFLMainPara"/>
        <w:numPr>
          <w:ilvl w:val="0"/>
          <w:numId w:val="0"/>
        </w:numPr>
        <w:spacing w:line="240" w:lineRule="auto"/>
        <w:ind w:left="142"/>
        <w:rPr>
          <w:lang w:val="en-GB"/>
        </w:rPr>
      </w:pPr>
      <w:r>
        <w:rPr>
          <w:lang w:val="en-GB"/>
        </w:rPr>
        <w:t xml:space="preserve">Adv </w:t>
      </w:r>
      <w:r w:rsidR="006957CA">
        <w:rPr>
          <w:lang w:val="en-GB"/>
        </w:rPr>
        <w:t>L F Laughland</w:t>
      </w:r>
    </w:p>
    <w:p w14:paraId="6BBFC9A7" w14:textId="77777777" w:rsidR="006957CA" w:rsidRDefault="006957CA" w:rsidP="00FE57B9">
      <w:pPr>
        <w:pStyle w:val="LFLMainPara"/>
        <w:numPr>
          <w:ilvl w:val="0"/>
          <w:numId w:val="0"/>
        </w:numPr>
        <w:spacing w:line="240" w:lineRule="auto"/>
        <w:ind w:left="142"/>
        <w:rPr>
          <w:lang w:val="en-GB"/>
        </w:rPr>
      </w:pPr>
      <w:r>
        <w:rPr>
          <w:lang w:val="en-GB"/>
        </w:rPr>
        <w:t>Instructed by Harris Billings Attorneys</w:t>
      </w:r>
    </w:p>
    <w:p w14:paraId="37A8079A" w14:textId="77777777" w:rsidR="0047623B" w:rsidRDefault="0047623B" w:rsidP="00FE57B9">
      <w:pPr>
        <w:pStyle w:val="LFLMainPara"/>
        <w:numPr>
          <w:ilvl w:val="0"/>
          <w:numId w:val="0"/>
        </w:numPr>
        <w:spacing w:line="240" w:lineRule="auto"/>
        <w:ind w:left="142"/>
        <w:rPr>
          <w:lang w:val="en-GB"/>
        </w:rPr>
      </w:pPr>
      <w:r>
        <w:rPr>
          <w:lang w:val="en-GB"/>
        </w:rPr>
        <w:t>FOR DEFENDANT:</w:t>
      </w:r>
    </w:p>
    <w:p w14:paraId="44386334" w14:textId="77777777" w:rsidR="0047623B" w:rsidRDefault="0047623B" w:rsidP="00FE57B9">
      <w:pPr>
        <w:pStyle w:val="LFLMainPara"/>
        <w:numPr>
          <w:ilvl w:val="0"/>
          <w:numId w:val="0"/>
        </w:numPr>
        <w:spacing w:line="240" w:lineRule="auto"/>
        <w:ind w:left="142"/>
        <w:rPr>
          <w:lang w:val="en-GB"/>
        </w:rPr>
      </w:pPr>
      <w:r>
        <w:rPr>
          <w:lang w:val="en-GB"/>
        </w:rPr>
        <w:t xml:space="preserve">Adv </w:t>
      </w:r>
      <w:r w:rsidR="006957CA">
        <w:rPr>
          <w:lang w:val="en-GB"/>
        </w:rPr>
        <w:t>Carmen Botha</w:t>
      </w:r>
    </w:p>
    <w:p w14:paraId="4242ADF0" w14:textId="77777777" w:rsidR="006957CA" w:rsidRPr="00CE7915" w:rsidRDefault="006957CA" w:rsidP="00FE57B9">
      <w:pPr>
        <w:pStyle w:val="LFLMainPara"/>
        <w:numPr>
          <w:ilvl w:val="0"/>
          <w:numId w:val="0"/>
        </w:numPr>
        <w:spacing w:line="240" w:lineRule="auto"/>
        <w:ind w:left="142"/>
        <w:rPr>
          <w:lang w:val="en-GB"/>
        </w:rPr>
      </w:pPr>
      <w:r>
        <w:rPr>
          <w:lang w:val="en-GB"/>
        </w:rPr>
        <w:t>Instructed by Gerhard Botha Attorneys</w:t>
      </w:r>
    </w:p>
    <w:p w14:paraId="1317A72F" w14:textId="77777777" w:rsidR="00882D2D" w:rsidRPr="00AA6D87" w:rsidRDefault="009E3110" w:rsidP="00FE57B9">
      <w:pPr>
        <w:pStyle w:val="LFLMainPara"/>
        <w:numPr>
          <w:ilvl w:val="0"/>
          <w:numId w:val="0"/>
        </w:numPr>
        <w:spacing w:line="240" w:lineRule="auto"/>
        <w:ind w:left="737"/>
        <w:rPr>
          <w:sz w:val="24"/>
          <w:szCs w:val="24"/>
        </w:rPr>
      </w:pPr>
      <w:r>
        <w:rPr>
          <w:lang w:val="en-GB"/>
        </w:rPr>
        <w:t xml:space="preserve"> </w:t>
      </w:r>
    </w:p>
    <w:bookmarkEnd w:id="0"/>
    <w:p w14:paraId="0D756522" w14:textId="77777777" w:rsidR="00600096" w:rsidRPr="00AA6D87" w:rsidRDefault="00600096" w:rsidP="00FE57B9">
      <w:pPr>
        <w:pStyle w:val="LFLMainPara"/>
        <w:numPr>
          <w:ilvl w:val="0"/>
          <w:numId w:val="0"/>
        </w:numPr>
        <w:spacing w:line="240" w:lineRule="auto"/>
        <w:ind w:left="624" w:hanging="624"/>
        <w:contextualSpacing/>
        <w:rPr>
          <w:b/>
          <w:bCs/>
          <w:sz w:val="24"/>
          <w:szCs w:val="24"/>
        </w:rPr>
      </w:pPr>
    </w:p>
    <w:sectPr w:rsidR="00600096" w:rsidRPr="00AA6D87" w:rsidSect="00823FBD">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7A2FF" w14:textId="77777777" w:rsidR="0087310B" w:rsidRDefault="0087310B" w:rsidP="0036702F">
      <w:r>
        <w:separator/>
      </w:r>
    </w:p>
  </w:endnote>
  <w:endnote w:type="continuationSeparator" w:id="0">
    <w:p w14:paraId="1BBB16B5" w14:textId="77777777" w:rsidR="0087310B" w:rsidRDefault="0087310B" w:rsidP="00367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Times New Roman (Headings C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909956"/>
      <w:docPartObj>
        <w:docPartGallery w:val="Page Numbers (Bottom of Page)"/>
        <w:docPartUnique/>
      </w:docPartObj>
    </w:sdtPr>
    <w:sdtEndPr>
      <w:rPr>
        <w:noProof/>
      </w:rPr>
    </w:sdtEndPr>
    <w:sdtContent>
      <w:p w14:paraId="691D953A" w14:textId="54033B38" w:rsidR="006501BD" w:rsidRDefault="006501BD">
        <w:pPr>
          <w:pStyle w:val="Footer"/>
          <w:jc w:val="right"/>
        </w:pPr>
        <w:r>
          <w:fldChar w:fldCharType="begin"/>
        </w:r>
        <w:r>
          <w:instrText xml:space="preserve"> PAGE   \* MERGEFORMAT </w:instrText>
        </w:r>
        <w:r>
          <w:fldChar w:fldCharType="separate"/>
        </w:r>
        <w:r w:rsidR="00DC21C9">
          <w:rPr>
            <w:noProof/>
          </w:rPr>
          <w:t>11</w:t>
        </w:r>
        <w:r>
          <w:rPr>
            <w:noProof/>
          </w:rPr>
          <w:fldChar w:fldCharType="end"/>
        </w:r>
      </w:p>
    </w:sdtContent>
  </w:sdt>
  <w:p w14:paraId="762AC934" w14:textId="77777777" w:rsidR="00962345" w:rsidRDefault="009623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A6EBC" w14:textId="77777777" w:rsidR="0087310B" w:rsidRDefault="0087310B" w:rsidP="0036702F">
      <w:r>
        <w:separator/>
      </w:r>
    </w:p>
  </w:footnote>
  <w:footnote w:type="continuationSeparator" w:id="0">
    <w:p w14:paraId="40364218" w14:textId="77777777" w:rsidR="0087310B" w:rsidRDefault="0087310B" w:rsidP="0036702F">
      <w:r>
        <w:continuationSeparator/>
      </w:r>
    </w:p>
  </w:footnote>
  <w:footnote w:id="1">
    <w:p w14:paraId="2D63099C" w14:textId="77777777" w:rsidR="00525B46" w:rsidRPr="005534A8" w:rsidRDefault="00525B46">
      <w:pPr>
        <w:pStyle w:val="FootnoteText"/>
        <w:rPr>
          <w:rFonts w:ascii="Times New Roman" w:hAnsi="Times New Roman" w:cs="Times New Roman"/>
          <w:lang w:val="en-US"/>
        </w:rPr>
      </w:pPr>
      <w:r w:rsidRPr="005534A8">
        <w:rPr>
          <w:rStyle w:val="FootnoteReference"/>
          <w:rFonts w:ascii="Times New Roman" w:hAnsi="Times New Roman" w:cs="Times New Roman"/>
        </w:rPr>
        <w:footnoteRef/>
      </w:r>
      <w:r w:rsidRPr="005534A8">
        <w:rPr>
          <w:rFonts w:ascii="Times New Roman" w:hAnsi="Times New Roman" w:cs="Times New Roman"/>
        </w:rPr>
        <w:t xml:space="preserve"> Annexure </w:t>
      </w:r>
      <w:r w:rsidRPr="005534A8">
        <w:rPr>
          <w:rFonts w:ascii="Times New Roman" w:hAnsi="Times New Roman" w:cs="Times New Roman"/>
          <w:lang w:val="en-US"/>
        </w:rPr>
        <w:t>“A” to the POC, pp 01-13 to 01-22</w:t>
      </w:r>
    </w:p>
  </w:footnote>
  <w:footnote w:id="2">
    <w:p w14:paraId="4B74625D" w14:textId="77777777" w:rsidR="00003734" w:rsidRPr="005534A8" w:rsidRDefault="00003734">
      <w:pPr>
        <w:pStyle w:val="FootnoteText"/>
        <w:rPr>
          <w:rFonts w:ascii="Times New Roman" w:hAnsi="Times New Roman" w:cs="Times New Roman"/>
          <w:lang w:val="en-US"/>
        </w:rPr>
      </w:pPr>
      <w:r w:rsidRPr="005534A8">
        <w:rPr>
          <w:rStyle w:val="FootnoteReference"/>
          <w:rFonts w:ascii="Times New Roman" w:hAnsi="Times New Roman" w:cs="Times New Roman"/>
        </w:rPr>
        <w:footnoteRef/>
      </w:r>
      <w:r w:rsidRPr="005534A8">
        <w:rPr>
          <w:rFonts w:ascii="Times New Roman" w:hAnsi="Times New Roman" w:cs="Times New Roman"/>
        </w:rPr>
        <w:t xml:space="preserve"> </w:t>
      </w:r>
      <w:r w:rsidR="00183BD2" w:rsidRPr="005534A8">
        <w:rPr>
          <w:rFonts w:ascii="Times New Roman" w:hAnsi="Times New Roman" w:cs="Times New Roman"/>
        </w:rPr>
        <w:t>AOD, clause 4.1.1</w:t>
      </w:r>
    </w:p>
  </w:footnote>
  <w:footnote w:id="3">
    <w:p w14:paraId="4AEE6892" w14:textId="77777777" w:rsidR="00003734" w:rsidRPr="005534A8" w:rsidRDefault="00003734">
      <w:pPr>
        <w:pStyle w:val="FootnoteText"/>
        <w:rPr>
          <w:rFonts w:ascii="Times New Roman" w:hAnsi="Times New Roman" w:cs="Times New Roman"/>
          <w:lang w:val="en-US"/>
        </w:rPr>
      </w:pPr>
      <w:r w:rsidRPr="005534A8">
        <w:rPr>
          <w:rStyle w:val="FootnoteReference"/>
          <w:rFonts w:ascii="Times New Roman" w:hAnsi="Times New Roman" w:cs="Times New Roman"/>
        </w:rPr>
        <w:footnoteRef/>
      </w:r>
      <w:r w:rsidRPr="005534A8">
        <w:rPr>
          <w:rFonts w:ascii="Times New Roman" w:hAnsi="Times New Roman" w:cs="Times New Roman"/>
        </w:rPr>
        <w:t xml:space="preserve"> </w:t>
      </w:r>
      <w:r w:rsidR="00183BD2" w:rsidRPr="005534A8">
        <w:rPr>
          <w:rFonts w:ascii="Times New Roman" w:hAnsi="Times New Roman" w:cs="Times New Roman"/>
        </w:rPr>
        <w:t>AOD, clause 4.1.2.1</w:t>
      </w:r>
    </w:p>
  </w:footnote>
  <w:footnote w:id="4">
    <w:p w14:paraId="372E7A43" w14:textId="77777777" w:rsidR="00003734" w:rsidRPr="005534A8" w:rsidRDefault="00003734">
      <w:pPr>
        <w:pStyle w:val="FootnoteText"/>
        <w:rPr>
          <w:rFonts w:ascii="Times New Roman" w:hAnsi="Times New Roman" w:cs="Times New Roman"/>
          <w:lang w:val="en-US"/>
        </w:rPr>
      </w:pPr>
      <w:r w:rsidRPr="005534A8">
        <w:rPr>
          <w:rStyle w:val="FootnoteReference"/>
          <w:rFonts w:ascii="Times New Roman" w:hAnsi="Times New Roman" w:cs="Times New Roman"/>
        </w:rPr>
        <w:footnoteRef/>
      </w:r>
      <w:r w:rsidRPr="005534A8">
        <w:rPr>
          <w:rFonts w:ascii="Times New Roman" w:hAnsi="Times New Roman" w:cs="Times New Roman"/>
        </w:rPr>
        <w:t xml:space="preserve"> </w:t>
      </w:r>
      <w:r w:rsidR="00183BD2" w:rsidRPr="005534A8">
        <w:rPr>
          <w:rFonts w:ascii="Times New Roman" w:hAnsi="Times New Roman" w:cs="Times New Roman"/>
        </w:rPr>
        <w:t>AOD, clause 4.1.2.2</w:t>
      </w:r>
    </w:p>
  </w:footnote>
  <w:footnote w:id="5">
    <w:p w14:paraId="0D153249" w14:textId="77777777" w:rsidR="00003734" w:rsidRPr="005534A8" w:rsidRDefault="00003734">
      <w:pPr>
        <w:pStyle w:val="FootnoteText"/>
        <w:rPr>
          <w:rFonts w:ascii="Times New Roman" w:hAnsi="Times New Roman" w:cs="Times New Roman"/>
          <w:lang w:val="en-US"/>
        </w:rPr>
      </w:pPr>
      <w:r w:rsidRPr="005534A8">
        <w:rPr>
          <w:rStyle w:val="FootnoteReference"/>
          <w:rFonts w:ascii="Times New Roman" w:hAnsi="Times New Roman" w:cs="Times New Roman"/>
        </w:rPr>
        <w:footnoteRef/>
      </w:r>
      <w:r w:rsidRPr="005534A8">
        <w:rPr>
          <w:rFonts w:ascii="Times New Roman" w:hAnsi="Times New Roman" w:cs="Times New Roman"/>
        </w:rPr>
        <w:t xml:space="preserve"> </w:t>
      </w:r>
      <w:r w:rsidR="00183BD2" w:rsidRPr="005534A8">
        <w:rPr>
          <w:rFonts w:ascii="Times New Roman" w:hAnsi="Times New Roman" w:cs="Times New Roman"/>
        </w:rPr>
        <w:t>AOD, clause 4.1.2.3</w:t>
      </w:r>
    </w:p>
  </w:footnote>
  <w:footnote w:id="6">
    <w:p w14:paraId="0136DB1D" w14:textId="77777777" w:rsidR="00003734" w:rsidRPr="005534A8" w:rsidRDefault="00003734">
      <w:pPr>
        <w:pStyle w:val="FootnoteText"/>
        <w:rPr>
          <w:rFonts w:ascii="Times New Roman" w:hAnsi="Times New Roman" w:cs="Times New Roman"/>
          <w:lang w:val="en-US"/>
        </w:rPr>
      </w:pPr>
      <w:r w:rsidRPr="005534A8">
        <w:rPr>
          <w:rStyle w:val="FootnoteReference"/>
          <w:rFonts w:ascii="Times New Roman" w:hAnsi="Times New Roman" w:cs="Times New Roman"/>
        </w:rPr>
        <w:footnoteRef/>
      </w:r>
      <w:r w:rsidRPr="005534A8">
        <w:rPr>
          <w:rFonts w:ascii="Times New Roman" w:hAnsi="Times New Roman" w:cs="Times New Roman"/>
        </w:rPr>
        <w:t xml:space="preserve"> </w:t>
      </w:r>
      <w:r w:rsidR="00C651E2" w:rsidRPr="005534A8">
        <w:rPr>
          <w:rFonts w:ascii="Times New Roman" w:hAnsi="Times New Roman" w:cs="Times New Roman"/>
        </w:rPr>
        <w:t>AOD, clauses 5.1.2 and 5.1.3</w:t>
      </w:r>
    </w:p>
  </w:footnote>
  <w:footnote w:id="7">
    <w:p w14:paraId="30808AAE" w14:textId="77777777" w:rsidR="00147835" w:rsidRPr="005534A8" w:rsidRDefault="00147835">
      <w:pPr>
        <w:pStyle w:val="FootnoteText"/>
        <w:rPr>
          <w:rFonts w:ascii="Times New Roman" w:hAnsi="Times New Roman" w:cs="Times New Roman"/>
          <w:lang w:val="en-US"/>
        </w:rPr>
      </w:pPr>
      <w:r w:rsidRPr="005534A8">
        <w:rPr>
          <w:rStyle w:val="FootnoteReference"/>
          <w:rFonts w:ascii="Times New Roman" w:hAnsi="Times New Roman" w:cs="Times New Roman"/>
        </w:rPr>
        <w:footnoteRef/>
      </w:r>
      <w:r w:rsidRPr="005534A8">
        <w:rPr>
          <w:rFonts w:ascii="Times New Roman" w:hAnsi="Times New Roman" w:cs="Times New Roman"/>
        </w:rPr>
        <w:t xml:space="preserve"> </w:t>
      </w:r>
      <w:r w:rsidR="00C651E2" w:rsidRPr="005534A8">
        <w:rPr>
          <w:rFonts w:ascii="Times New Roman" w:hAnsi="Times New Roman" w:cs="Times New Roman"/>
        </w:rPr>
        <w:t>AOD, clause 6.1</w:t>
      </w:r>
    </w:p>
  </w:footnote>
  <w:footnote w:id="8">
    <w:p w14:paraId="4E54EFF5" w14:textId="77777777" w:rsidR="00663303" w:rsidRPr="005534A8" w:rsidRDefault="00663303">
      <w:pPr>
        <w:pStyle w:val="FootnoteText"/>
        <w:rPr>
          <w:rFonts w:ascii="Times New Roman" w:hAnsi="Times New Roman" w:cs="Times New Roman"/>
        </w:rPr>
      </w:pPr>
      <w:r w:rsidRPr="005534A8">
        <w:rPr>
          <w:rStyle w:val="FootnoteReference"/>
          <w:rFonts w:ascii="Times New Roman" w:hAnsi="Times New Roman" w:cs="Times New Roman"/>
        </w:rPr>
        <w:footnoteRef/>
      </w:r>
      <w:r w:rsidRPr="005534A8">
        <w:rPr>
          <w:rFonts w:ascii="Times New Roman" w:hAnsi="Times New Roman" w:cs="Times New Roman"/>
        </w:rPr>
        <w:t xml:space="preserve"> AOD, clause 6.4</w:t>
      </w:r>
    </w:p>
  </w:footnote>
  <w:footnote w:id="9">
    <w:p w14:paraId="2B865891" w14:textId="77777777" w:rsidR="00663303" w:rsidRPr="005534A8" w:rsidRDefault="00663303">
      <w:pPr>
        <w:pStyle w:val="FootnoteText"/>
        <w:rPr>
          <w:rFonts w:ascii="Times New Roman" w:hAnsi="Times New Roman" w:cs="Times New Roman"/>
          <w:lang w:val="en-US"/>
        </w:rPr>
      </w:pPr>
      <w:r w:rsidRPr="005534A8">
        <w:rPr>
          <w:rStyle w:val="FootnoteReference"/>
          <w:rFonts w:ascii="Times New Roman" w:hAnsi="Times New Roman" w:cs="Times New Roman"/>
        </w:rPr>
        <w:footnoteRef/>
      </w:r>
      <w:r w:rsidRPr="005534A8">
        <w:rPr>
          <w:rFonts w:ascii="Times New Roman" w:hAnsi="Times New Roman" w:cs="Times New Roman"/>
        </w:rPr>
        <w:t xml:space="preserve"> AOD, clause 6.5</w:t>
      </w:r>
    </w:p>
  </w:footnote>
  <w:footnote w:id="10">
    <w:p w14:paraId="5C008AA4" w14:textId="77777777" w:rsidR="00663303" w:rsidRPr="005534A8" w:rsidRDefault="00663303">
      <w:pPr>
        <w:pStyle w:val="FootnoteText"/>
        <w:rPr>
          <w:rFonts w:ascii="Times New Roman" w:hAnsi="Times New Roman" w:cs="Times New Roman"/>
          <w:lang w:val="en-US"/>
        </w:rPr>
      </w:pPr>
      <w:r w:rsidRPr="005534A8">
        <w:rPr>
          <w:rStyle w:val="FootnoteReference"/>
          <w:rFonts w:ascii="Times New Roman" w:hAnsi="Times New Roman" w:cs="Times New Roman"/>
        </w:rPr>
        <w:footnoteRef/>
      </w:r>
      <w:r w:rsidRPr="005534A8">
        <w:rPr>
          <w:rFonts w:ascii="Times New Roman" w:hAnsi="Times New Roman" w:cs="Times New Roman"/>
        </w:rPr>
        <w:t xml:space="preserve"> AOD, clause 6.10.2</w:t>
      </w:r>
    </w:p>
  </w:footnote>
  <w:footnote w:id="11">
    <w:p w14:paraId="1BD398DC" w14:textId="77777777" w:rsidR="009A1A81" w:rsidRPr="005534A8" w:rsidRDefault="009A1A81">
      <w:pPr>
        <w:pStyle w:val="FootnoteText"/>
        <w:rPr>
          <w:rFonts w:ascii="Times New Roman" w:hAnsi="Times New Roman" w:cs="Times New Roman"/>
          <w:lang w:val="en-US"/>
        </w:rPr>
      </w:pPr>
      <w:r w:rsidRPr="005534A8">
        <w:rPr>
          <w:rStyle w:val="FootnoteReference"/>
          <w:rFonts w:ascii="Times New Roman" w:hAnsi="Times New Roman" w:cs="Times New Roman"/>
        </w:rPr>
        <w:footnoteRef/>
      </w:r>
      <w:r w:rsidRPr="005534A8">
        <w:rPr>
          <w:rFonts w:ascii="Times New Roman" w:hAnsi="Times New Roman" w:cs="Times New Roman"/>
        </w:rPr>
        <w:t xml:space="preserve"> </w:t>
      </w:r>
      <w:r w:rsidRPr="005534A8">
        <w:rPr>
          <w:rFonts w:ascii="Times New Roman" w:hAnsi="Times New Roman" w:cs="Times New Roman"/>
          <w:lang w:val="en-US"/>
        </w:rPr>
        <w:t>P</w:t>
      </w:r>
      <w:r w:rsidR="00902F3E" w:rsidRPr="005534A8">
        <w:rPr>
          <w:rFonts w:ascii="Times New Roman" w:hAnsi="Times New Roman" w:cs="Times New Roman"/>
          <w:lang w:val="en-US"/>
        </w:rPr>
        <w:t>OC</w:t>
      </w:r>
      <w:r w:rsidRPr="005534A8">
        <w:rPr>
          <w:rFonts w:ascii="Times New Roman" w:hAnsi="Times New Roman" w:cs="Times New Roman"/>
          <w:lang w:val="en-US"/>
        </w:rPr>
        <w:t>, para 7, pp 01-10 to 01-11</w:t>
      </w:r>
    </w:p>
  </w:footnote>
  <w:footnote w:id="12">
    <w:p w14:paraId="1F9BFD40" w14:textId="77777777" w:rsidR="00902F3E" w:rsidRPr="005534A8" w:rsidRDefault="00902F3E">
      <w:pPr>
        <w:pStyle w:val="FootnoteText"/>
        <w:rPr>
          <w:rFonts w:ascii="Times New Roman" w:hAnsi="Times New Roman" w:cs="Times New Roman"/>
          <w:lang w:val="en-US"/>
        </w:rPr>
      </w:pPr>
      <w:r w:rsidRPr="005534A8">
        <w:rPr>
          <w:rStyle w:val="FootnoteReference"/>
          <w:rFonts w:ascii="Times New Roman" w:hAnsi="Times New Roman" w:cs="Times New Roman"/>
        </w:rPr>
        <w:footnoteRef/>
      </w:r>
      <w:r w:rsidRPr="005534A8">
        <w:rPr>
          <w:rFonts w:ascii="Times New Roman" w:hAnsi="Times New Roman" w:cs="Times New Roman"/>
        </w:rPr>
        <w:t xml:space="preserve"> </w:t>
      </w:r>
      <w:r w:rsidRPr="005534A8">
        <w:rPr>
          <w:rFonts w:ascii="Times New Roman" w:hAnsi="Times New Roman" w:cs="Times New Roman"/>
          <w:lang w:val="en-US"/>
        </w:rPr>
        <w:t>POC, para 9, p 01-11</w:t>
      </w:r>
    </w:p>
  </w:footnote>
  <w:footnote w:id="13">
    <w:p w14:paraId="3E4F451C" w14:textId="77777777" w:rsidR="00AF164D" w:rsidRDefault="00AF164D" w:rsidP="00AF164D">
      <w:pPr>
        <w:pStyle w:val="FootnoteText"/>
      </w:pPr>
      <w:r>
        <w:rPr>
          <w:rStyle w:val="FootnoteReference"/>
        </w:rPr>
        <w:footnoteRef/>
      </w:r>
      <w:r>
        <w:t xml:space="preserve"> Caselines 01/2, p 01-27 to 01-37</w:t>
      </w:r>
    </w:p>
  </w:footnote>
  <w:footnote w:id="14">
    <w:p w14:paraId="021B1A3E" w14:textId="77777777" w:rsidR="00AF164D" w:rsidRDefault="00AF164D" w:rsidP="00AF164D">
      <w:pPr>
        <w:pStyle w:val="FootnoteText"/>
      </w:pPr>
      <w:r>
        <w:rPr>
          <w:rStyle w:val="FootnoteReference"/>
        </w:rPr>
        <w:footnoteRef/>
      </w:r>
      <w:r>
        <w:t xml:space="preserve"> Plea, paragraph 6, p 01-29</w:t>
      </w:r>
    </w:p>
  </w:footnote>
  <w:footnote w:id="15">
    <w:p w14:paraId="64CA728B" w14:textId="77777777" w:rsidR="00AF164D" w:rsidRDefault="00AF164D" w:rsidP="00AF164D">
      <w:pPr>
        <w:pStyle w:val="FootnoteText"/>
      </w:pPr>
      <w:r>
        <w:rPr>
          <w:rStyle w:val="FootnoteReference"/>
        </w:rPr>
        <w:footnoteRef/>
      </w:r>
      <w:r>
        <w:t xml:space="preserve"> Caselines, p 01-36 to 01-37</w:t>
      </w:r>
    </w:p>
  </w:footnote>
  <w:footnote w:id="16">
    <w:p w14:paraId="45993D47" w14:textId="77777777" w:rsidR="00AF164D" w:rsidRDefault="00AF164D" w:rsidP="00AF164D">
      <w:pPr>
        <w:pStyle w:val="FootnoteText"/>
      </w:pPr>
      <w:r>
        <w:rPr>
          <w:rStyle w:val="FootnoteReference"/>
        </w:rPr>
        <w:footnoteRef/>
      </w:r>
      <w:r>
        <w:t xml:space="preserve"> Caselines, p 01-36</w:t>
      </w:r>
    </w:p>
  </w:footnote>
  <w:footnote w:id="17">
    <w:p w14:paraId="22D0A429" w14:textId="77777777" w:rsidR="00AF164D" w:rsidRDefault="00AF164D" w:rsidP="00AF164D">
      <w:pPr>
        <w:pStyle w:val="FootnoteText"/>
      </w:pPr>
      <w:r>
        <w:rPr>
          <w:rStyle w:val="FootnoteReference"/>
        </w:rPr>
        <w:footnoteRef/>
      </w:r>
      <w:r>
        <w:t xml:space="preserve"> Plea, Paragraph 26, p 01-32</w:t>
      </w:r>
    </w:p>
  </w:footnote>
  <w:footnote w:id="18">
    <w:p w14:paraId="39368ACB" w14:textId="77777777" w:rsidR="00AF164D" w:rsidRDefault="00AF164D" w:rsidP="00AF164D">
      <w:pPr>
        <w:pStyle w:val="FootnoteText"/>
      </w:pPr>
      <w:r>
        <w:rPr>
          <w:rStyle w:val="FootnoteReference"/>
        </w:rPr>
        <w:footnoteRef/>
      </w:r>
      <w:r>
        <w:t xml:space="preserve"> Plea, paragraph 36, p 01-33</w:t>
      </w:r>
    </w:p>
  </w:footnote>
  <w:footnote w:id="19">
    <w:p w14:paraId="7C7755AD" w14:textId="77777777" w:rsidR="00336890" w:rsidRPr="00384800" w:rsidRDefault="00336890" w:rsidP="00336890">
      <w:pPr>
        <w:pStyle w:val="FootnoteText"/>
      </w:pPr>
      <w:r>
        <w:rPr>
          <w:rStyle w:val="FootnoteReference"/>
        </w:rPr>
        <w:footnoteRef/>
      </w:r>
      <w:r>
        <w:t xml:space="preserve"> </w:t>
      </w:r>
      <w:r>
        <w:rPr>
          <w:i/>
          <w:iCs/>
        </w:rPr>
        <w:t xml:space="preserve">Breitenbach v Fiat SA (Edms) Bpk </w:t>
      </w:r>
      <w:r>
        <w:t xml:space="preserve">1976 (2) SA 266 (T). </w:t>
      </w:r>
    </w:p>
  </w:footnote>
  <w:footnote w:id="20">
    <w:p w14:paraId="091EB614" w14:textId="77777777" w:rsidR="00336890" w:rsidRPr="00AE6715" w:rsidRDefault="00336890" w:rsidP="00336890">
      <w:pPr>
        <w:pStyle w:val="FootnoteText"/>
        <w:jc w:val="both"/>
      </w:pPr>
      <w:r>
        <w:rPr>
          <w:rStyle w:val="FootnoteReference"/>
        </w:rPr>
        <w:footnoteRef/>
      </w:r>
      <w:r>
        <w:t xml:space="preserve"> See </w:t>
      </w:r>
      <w:r>
        <w:rPr>
          <w:i/>
          <w:iCs/>
        </w:rPr>
        <w:t xml:space="preserve">District Bank v Hoosain </w:t>
      </w:r>
      <w:r>
        <w:t xml:space="preserve">1984 (4) SA 544 (C). </w:t>
      </w:r>
    </w:p>
  </w:footnote>
  <w:footnote w:id="21">
    <w:p w14:paraId="7A3BC3DA" w14:textId="77777777" w:rsidR="00336890" w:rsidRPr="007B3294" w:rsidRDefault="00336890" w:rsidP="00336890">
      <w:pPr>
        <w:pStyle w:val="FootnoteText"/>
        <w:jc w:val="both"/>
      </w:pPr>
      <w:r>
        <w:rPr>
          <w:rStyle w:val="FootnoteReference"/>
        </w:rPr>
        <w:footnoteRef/>
      </w:r>
      <w:r>
        <w:t xml:space="preserve"> </w:t>
      </w:r>
      <w:r>
        <w:rPr>
          <w:i/>
          <w:iCs/>
        </w:rPr>
        <w:t xml:space="preserve">Saglo Auto (Pty) ltd v Black Shades Investments (Pty) Ltd </w:t>
      </w:r>
      <w:r>
        <w:t xml:space="preserve">2021 (2) SA 587 (GP) at paragraph [55]. </w:t>
      </w:r>
    </w:p>
  </w:footnote>
  <w:footnote w:id="22">
    <w:p w14:paraId="61D570F0" w14:textId="77777777" w:rsidR="00336890" w:rsidRPr="008E0704" w:rsidRDefault="00336890" w:rsidP="00336890">
      <w:pPr>
        <w:pStyle w:val="FootnoteText"/>
        <w:jc w:val="both"/>
      </w:pPr>
      <w:r>
        <w:rPr>
          <w:rStyle w:val="FootnoteReference"/>
        </w:rPr>
        <w:footnoteRef/>
      </w:r>
      <w:r>
        <w:t xml:space="preserve"> </w:t>
      </w:r>
      <w:r>
        <w:rPr>
          <w:i/>
          <w:iCs/>
        </w:rPr>
        <w:t xml:space="preserve">Skead v Swanepoel </w:t>
      </w:r>
      <w:r>
        <w:t xml:space="preserve">1949 (4) SA 763 (T) at 766 - 7. </w:t>
      </w:r>
    </w:p>
  </w:footnote>
  <w:footnote w:id="23">
    <w:p w14:paraId="545A9302" w14:textId="77777777" w:rsidR="00336890" w:rsidRPr="00BB11E0" w:rsidRDefault="00336890" w:rsidP="00336890">
      <w:pPr>
        <w:pStyle w:val="FootnoteText"/>
        <w:jc w:val="both"/>
      </w:pPr>
      <w:r w:rsidRPr="00BB11E0">
        <w:rPr>
          <w:rStyle w:val="FootnoteReference"/>
        </w:rPr>
        <w:footnoteRef/>
      </w:r>
      <w:r w:rsidRPr="00BB11E0">
        <w:t xml:space="preserve"> (314/2019) [2019] ZASCA 94 (6 June 2019</w:t>
      </w:r>
      <w:r>
        <w:t>)</w:t>
      </w:r>
      <w:r w:rsidRPr="00BB11E0">
        <w:t xml:space="preserve">. </w:t>
      </w:r>
    </w:p>
  </w:footnote>
  <w:footnote w:id="24">
    <w:p w14:paraId="31C69C2E" w14:textId="77777777" w:rsidR="008E3A53" w:rsidRPr="005534A8" w:rsidRDefault="008E3A53" w:rsidP="008E3A53">
      <w:pPr>
        <w:pStyle w:val="FootnoteText"/>
        <w:rPr>
          <w:rFonts w:ascii="Times New Roman" w:hAnsi="Times New Roman" w:cs="Times New Roman"/>
          <w:lang w:val="en-US"/>
        </w:rPr>
      </w:pPr>
      <w:r w:rsidRPr="005534A8">
        <w:rPr>
          <w:rStyle w:val="FootnoteReference"/>
          <w:rFonts w:ascii="Times New Roman" w:hAnsi="Times New Roman" w:cs="Times New Roman"/>
        </w:rPr>
        <w:footnoteRef/>
      </w:r>
      <w:r w:rsidRPr="005534A8">
        <w:rPr>
          <w:rFonts w:ascii="Times New Roman" w:hAnsi="Times New Roman" w:cs="Times New Roman"/>
        </w:rPr>
        <w:t xml:space="preserve"> </w:t>
      </w:r>
      <w:r>
        <w:rPr>
          <w:rFonts w:ascii="Times New Roman" w:hAnsi="Times New Roman" w:cs="Times New Roman"/>
          <w:lang w:val="en-US"/>
        </w:rPr>
        <w:t>Defendant</w:t>
      </w:r>
      <w:r w:rsidRPr="005534A8">
        <w:rPr>
          <w:rFonts w:ascii="Times New Roman" w:hAnsi="Times New Roman" w:cs="Times New Roman"/>
          <w:lang w:val="en-US"/>
        </w:rPr>
        <w:t>’s affidavit, para 12, p 02-9</w:t>
      </w:r>
    </w:p>
  </w:footnote>
  <w:footnote w:id="25">
    <w:p w14:paraId="2B624C21" w14:textId="77777777" w:rsidR="00AD5261" w:rsidRPr="005534A8" w:rsidRDefault="00AD5261">
      <w:pPr>
        <w:pStyle w:val="FootnoteText"/>
        <w:rPr>
          <w:rFonts w:ascii="Times New Roman" w:hAnsi="Times New Roman" w:cs="Times New Roman"/>
          <w:lang w:val="en-US"/>
        </w:rPr>
      </w:pPr>
      <w:r w:rsidRPr="005534A8">
        <w:rPr>
          <w:rStyle w:val="FootnoteReference"/>
          <w:rFonts w:ascii="Times New Roman" w:hAnsi="Times New Roman" w:cs="Times New Roman"/>
        </w:rPr>
        <w:footnoteRef/>
      </w:r>
      <w:r w:rsidRPr="005534A8">
        <w:rPr>
          <w:rFonts w:ascii="Times New Roman" w:hAnsi="Times New Roman" w:cs="Times New Roman"/>
        </w:rPr>
        <w:t xml:space="preserve"> </w:t>
      </w:r>
      <w:r w:rsidR="006E147E">
        <w:rPr>
          <w:rFonts w:ascii="Times New Roman" w:hAnsi="Times New Roman" w:cs="Times New Roman"/>
          <w:lang w:val="en-US"/>
        </w:rPr>
        <w:t>Defendant</w:t>
      </w:r>
      <w:r w:rsidRPr="005534A8">
        <w:rPr>
          <w:rFonts w:ascii="Times New Roman" w:hAnsi="Times New Roman" w:cs="Times New Roman"/>
          <w:lang w:val="en-US"/>
        </w:rPr>
        <w:t>’s affidavit, paras 5 to 9, pp 02-8 to 02-9</w:t>
      </w:r>
    </w:p>
  </w:footnote>
  <w:footnote w:id="26">
    <w:p w14:paraId="750F6966" w14:textId="77777777" w:rsidR="008E3A53" w:rsidRPr="005534A8" w:rsidRDefault="008E3A53" w:rsidP="008E3A53">
      <w:pPr>
        <w:pStyle w:val="FootnoteText"/>
        <w:rPr>
          <w:rFonts w:ascii="Times New Roman" w:hAnsi="Times New Roman" w:cs="Times New Roman"/>
          <w:lang w:val="en-US"/>
        </w:rPr>
      </w:pPr>
      <w:r w:rsidRPr="005534A8">
        <w:rPr>
          <w:rStyle w:val="FootnoteReference"/>
          <w:rFonts w:ascii="Times New Roman" w:hAnsi="Times New Roman" w:cs="Times New Roman"/>
        </w:rPr>
        <w:footnoteRef/>
      </w:r>
      <w:r w:rsidRPr="005534A8">
        <w:rPr>
          <w:rFonts w:ascii="Times New Roman" w:hAnsi="Times New Roman" w:cs="Times New Roman"/>
        </w:rPr>
        <w:t xml:space="preserve"> </w:t>
      </w:r>
      <w:r w:rsidRPr="005534A8">
        <w:rPr>
          <w:rFonts w:ascii="Times New Roman" w:hAnsi="Times New Roman" w:cs="Times New Roman"/>
          <w:i/>
          <w:iCs/>
        </w:rPr>
        <w:t>Charsley v Avbob (Begrafnisdiens) Bpk</w:t>
      </w:r>
      <w:r w:rsidRPr="005534A8">
        <w:rPr>
          <w:rStyle w:val="apple-converted-space"/>
          <w:rFonts w:ascii="Times New Roman" w:hAnsi="Times New Roman" w:cs="Times New Roman"/>
          <w:color w:val="000000"/>
        </w:rPr>
        <w:t> </w:t>
      </w:r>
      <w:r w:rsidRPr="005534A8">
        <w:rPr>
          <w:rFonts w:ascii="Times New Roman" w:hAnsi="Times New Roman" w:cs="Times New Roman"/>
        </w:rPr>
        <w:t>1975 (1) SA 891 (E) at 893C-D</w:t>
      </w:r>
    </w:p>
  </w:footnote>
  <w:footnote w:id="27">
    <w:p w14:paraId="6B4B5EF8" w14:textId="77777777" w:rsidR="008E3A53" w:rsidRPr="005534A8" w:rsidRDefault="008E3A53" w:rsidP="008E3A53">
      <w:pPr>
        <w:pStyle w:val="FootnoteText"/>
        <w:rPr>
          <w:rFonts w:ascii="Times New Roman" w:hAnsi="Times New Roman" w:cs="Times New Roman"/>
          <w:lang w:val="en-US"/>
        </w:rPr>
      </w:pPr>
      <w:r w:rsidRPr="005534A8">
        <w:rPr>
          <w:rStyle w:val="FootnoteReference"/>
          <w:rFonts w:ascii="Times New Roman" w:hAnsi="Times New Roman" w:cs="Times New Roman"/>
        </w:rPr>
        <w:footnoteRef/>
      </w:r>
      <w:r w:rsidRPr="005534A8">
        <w:rPr>
          <w:rFonts w:ascii="Times New Roman" w:hAnsi="Times New Roman" w:cs="Times New Roman"/>
        </w:rPr>
        <w:t xml:space="preserve"> </w:t>
      </w:r>
      <w:r w:rsidRPr="005534A8">
        <w:rPr>
          <w:rFonts w:ascii="Times New Roman" w:hAnsi="Times New Roman" w:cs="Times New Roman"/>
          <w:i/>
          <w:iCs/>
        </w:rPr>
        <w:t>Trans-African Insurance Co Ltd v Maluleka</w:t>
      </w:r>
      <w:r w:rsidRPr="005534A8">
        <w:rPr>
          <w:rStyle w:val="apple-converted-space"/>
          <w:rFonts w:ascii="Times New Roman" w:hAnsi="Times New Roman" w:cs="Times New Roman"/>
          <w:color w:val="000000"/>
        </w:rPr>
        <w:t> </w:t>
      </w:r>
      <w:r w:rsidRPr="005534A8">
        <w:rPr>
          <w:rFonts w:ascii="Times New Roman" w:hAnsi="Times New Roman" w:cs="Times New Roman"/>
        </w:rPr>
        <w:t>1956 (2) SA 273 (A), at 278F-G</w:t>
      </w:r>
    </w:p>
  </w:footnote>
  <w:footnote w:id="28">
    <w:p w14:paraId="4587461B" w14:textId="77777777" w:rsidR="008E3A53" w:rsidRPr="005534A8" w:rsidRDefault="008E3A53" w:rsidP="008E3A53">
      <w:pPr>
        <w:pStyle w:val="FootnoteText"/>
        <w:rPr>
          <w:rFonts w:ascii="Times New Roman" w:hAnsi="Times New Roman" w:cs="Times New Roman"/>
          <w:lang w:val="en-US"/>
        </w:rPr>
      </w:pPr>
      <w:r w:rsidRPr="005534A8">
        <w:rPr>
          <w:rStyle w:val="FootnoteReference"/>
          <w:rFonts w:ascii="Times New Roman" w:hAnsi="Times New Roman" w:cs="Times New Roman"/>
        </w:rPr>
        <w:footnoteRef/>
      </w:r>
      <w:r w:rsidRPr="005534A8">
        <w:rPr>
          <w:rFonts w:ascii="Times New Roman" w:hAnsi="Times New Roman" w:cs="Times New Roman"/>
        </w:rPr>
        <w:t xml:space="preserve"> </w:t>
      </w:r>
      <w:r w:rsidRPr="005534A8">
        <w:rPr>
          <w:rFonts w:ascii="Times New Roman" w:hAnsi="Times New Roman" w:cs="Times New Roman"/>
          <w:i/>
          <w:iCs/>
        </w:rPr>
        <w:t>Nxumalo v First Link Insurance Brokers (Pty) Ltd</w:t>
      </w:r>
      <w:r w:rsidRPr="005534A8">
        <w:rPr>
          <w:rStyle w:val="apple-converted-space"/>
          <w:rFonts w:ascii="Times New Roman" w:hAnsi="Times New Roman" w:cs="Times New Roman"/>
          <w:color w:val="000000"/>
        </w:rPr>
        <w:t> </w:t>
      </w:r>
      <w:r w:rsidRPr="005534A8">
        <w:rPr>
          <w:rFonts w:ascii="Times New Roman" w:hAnsi="Times New Roman" w:cs="Times New Roman"/>
        </w:rPr>
        <w:t>2003 (2) SA 620 (T) para [9]</w:t>
      </w:r>
    </w:p>
  </w:footnote>
  <w:footnote w:id="29">
    <w:p w14:paraId="719956F1" w14:textId="77777777" w:rsidR="008E3A53" w:rsidRPr="008E3D31" w:rsidRDefault="008E3A53" w:rsidP="008E3A53">
      <w:pPr>
        <w:pStyle w:val="FootnoteText"/>
        <w:rPr>
          <w:lang w:val="en-US"/>
        </w:rPr>
      </w:pPr>
      <w:r w:rsidRPr="005534A8">
        <w:rPr>
          <w:rStyle w:val="FootnoteReference"/>
          <w:rFonts w:ascii="Times New Roman" w:hAnsi="Times New Roman" w:cs="Times New Roman"/>
        </w:rPr>
        <w:footnoteRef/>
      </w:r>
      <w:r w:rsidRPr="005534A8">
        <w:rPr>
          <w:rFonts w:ascii="Times New Roman" w:hAnsi="Times New Roman" w:cs="Times New Roman"/>
        </w:rPr>
        <w:t xml:space="preserve"> </w:t>
      </w:r>
      <w:r w:rsidRPr="005534A8">
        <w:rPr>
          <w:rFonts w:ascii="Times New Roman" w:hAnsi="Times New Roman" w:cs="Times New Roman"/>
          <w:i/>
          <w:iCs/>
          <w:color w:val="000000"/>
        </w:rPr>
        <w:t xml:space="preserve">Dass and Others NNO v Lowewest Trading (Pty) Ltd </w:t>
      </w:r>
      <w:r w:rsidRPr="005534A8">
        <w:rPr>
          <w:rFonts w:ascii="Times New Roman" w:hAnsi="Times New Roman" w:cs="Times New Roman"/>
        </w:rPr>
        <w:t>2011 (1) SA 48 (KZD)</w:t>
      </w:r>
      <w:r w:rsidRPr="005534A8">
        <w:rPr>
          <w:rFonts w:ascii="Times New Roman" w:hAnsi="Times New Roman" w:cs="Times New Roman"/>
          <w:color w:val="000000"/>
        </w:rPr>
        <w:t> at para [16]</w:t>
      </w:r>
    </w:p>
  </w:footnote>
  <w:footnote w:id="30">
    <w:p w14:paraId="22A9534A" w14:textId="77777777" w:rsidR="00405E69" w:rsidRDefault="00405E69" w:rsidP="00405E69">
      <w:pPr>
        <w:pStyle w:val="FootnoteText"/>
      </w:pPr>
      <w:r>
        <w:rPr>
          <w:rStyle w:val="FootnoteReference"/>
        </w:rPr>
        <w:footnoteRef/>
      </w:r>
      <w:r>
        <w:t xml:space="preserve"> Founding affidavit paragraph 9.1, p 02-31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2FF6ADE"/>
    <w:multiLevelType w:val="multilevel"/>
    <w:tmpl w:val="3A02A63A"/>
    <w:lvl w:ilvl="0">
      <w:start w:val="24"/>
      <w:numFmt w:val="decimal"/>
      <w:lvlText w:val="%1."/>
      <w:lvlJc w:val="left"/>
      <w:pPr>
        <w:ind w:left="480" w:hanging="480"/>
      </w:pPr>
      <w:rPr>
        <w:rFonts w:hint="default"/>
      </w:rPr>
    </w:lvl>
    <w:lvl w:ilvl="1">
      <w:start w:val="1"/>
      <w:numFmt w:val="decimal"/>
      <w:lvlText w:val="%1.%2."/>
      <w:lvlJc w:val="left"/>
      <w:pPr>
        <w:ind w:left="1457" w:hanging="72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3291" w:hanging="108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7696" w:hanging="1800"/>
      </w:pPr>
      <w:rPr>
        <w:rFonts w:hint="default"/>
      </w:rPr>
    </w:lvl>
  </w:abstractNum>
  <w:abstractNum w:abstractNumId="2" w15:restartNumberingAfterBreak="0">
    <w:nsid w:val="15726737"/>
    <w:multiLevelType w:val="multilevel"/>
    <w:tmpl w:val="71DA5540"/>
    <w:numStyleLink w:val="111111"/>
  </w:abstractNum>
  <w:abstractNum w:abstractNumId="3" w15:restartNumberingAfterBreak="0">
    <w:nsid w:val="1F45473B"/>
    <w:multiLevelType w:val="multilevel"/>
    <w:tmpl w:val="A14C5AE8"/>
    <w:lvl w:ilvl="0">
      <w:start w:val="1"/>
      <w:numFmt w:val="decimal"/>
      <w:pStyle w:val="JudgmentNumbered"/>
      <w:lvlText w:val="[%1]"/>
      <w:lvlJc w:val="left"/>
      <w:pPr>
        <w:ind w:left="567" w:hanging="567"/>
      </w:pPr>
      <w:rPr>
        <w:rFonts w:hint="default"/>
        <w:i w:val="0"/>
        <w:iCs w:val="0"/>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4" w15:restartNumberingAfterBreak="0">
    <w:nsid w:val="21847018"/>
    <w:multiLevelType w:val="multilevel"/>
    <w:tmpl w:val="131EEB9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770C36"/>
    <w:multiLevelType w:val="multilevel"/>
    <w:tmpl w:val="3A1CA5CC"/>
    <w:lvl w:ilvl="0">
      <w:start w:val="24"/>
      <w:numFmt w:val="decimal"/>
      <w:lvlText w:val="%1."/>
      <w:lvlJc w:val="left"/>
      <w:pPr>
        <w:ind w:left="480" w:hanging="480"/>
      </w:pPr>
      <w:rPr>
        <w:rFonts w:hint="default"/>
      </w:rPr>
    </w:lvl>
    <w:lvl w:ilvl="1">
      <w:start w:val="1"/>
      <w:numFmt w:val="decimal"/>
      <w:lvlText w:val="%1.%2."/>
      <w:lvlJc w:val="left"/>
      <w:pPr>
        <w:ind w:left="1457" w:hanging="72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3291" w:hanging="108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7696" w:hanging="1800"/>
      </w:pPr>
      <w:rPr>
        <w:rFonts w:hint="default"/>
      </w:rPr>
    </w:lvl>
  </w:abstractNum>
  <w:abstractNum w:abstractNumId="6" w15:restartNumberingAfterBreak="0">
    <w:nsid w:val="4C4B2D4F"/>
    <w:multiLevelType w:val="multilevel"/>
    <w:tmpl w:val="97CC069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F815E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83208C"/>
    <w:multiLevelType w:val="multilevel"/>
    <w:tmpl w:val="71DA5540"/>
    <w:styleLink w:val="111111"/>
    <w:lvl w:ilvl="0">
      <w:start w:val="1"/>
      <w:numFmt w:val="decimal"/>
      <w:pStyle w:val="LFLMainPara"/>
      <w:lvlText w:val="%1."/>
      <w:lvlJc w:val="left"/>
      <w:pPr>
        <w:tabs>
          <w:tab w:val="num" w:pos="879"/>
        </w:tabs>
        <w:ind w:left="879" w:hanging="737"/>
      </w:pPr>
      <w:rPr>
        <w:rFonts w:hint="default"/>
        <w:color w:val="auto"/>
      </w:rPr>
    </w:lvl>
    <w:lvl w:ilvl="1">
      <w:start w:val="1"/>
      <w:numFmt w:val="decimal"/>
      <w:lvlText w:val="%2."/>
      <w:lvlJc w:val="left"/>
      <w:pPr>
        <w:tabs>
          <w:tab w:val="num" w:pos="1474"/>
        </w:tabs>
        <w:ind w:left="1474" w:hanging="737"/>
      </w:pPr>
      <w:rPr>
        <w:rFonts w:ascii="Arial" w:eastAsiaTheme="minorHAnsi" w:hAnsi="Arial" w:cs="Arial"/>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2948"/>
        </w:tabs>
        <w:ind w:left="2948" w:hanging="737"/>
      </w:pPr>
      <w:rPr>
        <w:rFonts w:hint="default"/>
      </w:rPr>
    </w:lvl>
    <w:lvl w:ilvl="4">
      <w:start w:val="1"/>
      <w:numFmt w:val="decimal"/>
      <w:lvlText w:val="%1.%2.%3.%4.%5."/>
      <w:lvlJc w:val="left"/>
      <w:pPr>
        <w:tabs>
          <w:tab w:val="num" w:pos="3686"/>
        </w:tabs>
        <w:ind w:left="3686" w:hanging="738"/>
      </w:pPr>
      <w:rPr>
        <w:rFonts w:hint="default"/>
      </w:rPr>
    </w:lvl>
    <w:lvl w:ilvl="5">
      <w:start w:val="1"/>
      <w:numFmt w:val="decimal"/>
      <w:lvlText w:val="%1.%2.%3.%4.%5.%6."/>
      <w:lvlJc w:val="left"/>
      <w:pPr>
        <w:tabs>
          <w:tab w:val="num" w:pos="4423"/>
        </w:tabs>
        <w:ind w:left="4423" w:hanging="737"/>
      </w:pPr>
      <w:rPr>
        <w:rFonts w:hint="default"/>
      </w:rPr>
    </w:lvl>
    <w:lvl w:ilvl="6">
      <w:start w:val="1"/>
      <w:numFmt w:val="decimal"/>
      <w:lvlText w:val="%1.%2.%3.%4.%5.%6.%7."/>
      <w:lvlJc w:val="left"/>
      <w:pPr>
        <w:tabs>
          <w:tab w:val="num" w:pos="5160"/>
        </w:tabs>
        <w:ind w:left="5160" w:hanging="737"/>
      </w:pPr>
      <w:rPr>
        <w:rFonts w:hint="default"/>
      </w:rPr>
    </w:lvl>
    <w:lvl w:ilvl="7">
      <w:start w:val="1"/>
      <w:numFmt w:val="decimal"/>
      <w:lvlText w:val="%1.%2.%3.%4.%5.%6.%7.%8."/>
      <w:lvlJc w:val="left"/>
      <w:pPr>
        <w:tabs>
          <w:tab w:val="num" w:pos="5897"/>
        </w:tabs>
        <w:ind w:left="5897" w:hanging="737"/>
      </w:pPr>
      <w:rPr>
        <w:rFonts w:hint="default"/>
      </w:rPr>
    </w:lvl>
    <w:lvl w:ilvl="8">
      <w:start w:val="1"/>
      <w:numFmt w:val="decimal"/>
      <w:lvlText w:val="%1.%2.%3.%4.%5.%6.%7.%8.%9."/>
      <w:lvlJc w:val="left"/>
      <w:pPr>
        <w:ind w:left="4680" w:hanging="1440"/>
      </w:pPr>
      <w:rPr>
        <w:rFonts w:hint="default"/>
      </w:rPr>
    </w:lvl>
  </w:abstractNum>
  <w:abstractNum w:abstractNumId="9" w15:restartNumberingAfterBreak="0">
    <w:nsid w:val="5F10322A"/>
    <w:multiLevelType w:val="multilevel"/>
    <w:tmpl w:val="71DA5540"/>
    <w:numStyleLink w:val="111111"/>
  </w:abstractNum>
  <w:abstractNum w:abstractNumId="10" w15:restartNumberingAfterBreak="0">
    <w:nsid w:val="671D1307"/>
    <w:multiLevelType w:val="multilevel"/>
    <w:tmpl w:val="6CD6C3D2"/>
    <w:lvl w:ilvl="0">
      <w:start w:val="2"/>
      <w:numFmt w:val="decimal"/>
      <w:lvlText w:val="%1."/>
      <w:lvlJc w:val="left"/>
      <w:pPr>
        <w:ind w:left="390" w:hanging="390"/>
      </w:pPr>
      <w:rPr>
        <w:rFonts w:hint="default"/>
      </w:rPr>
    </w:lvl>
    <w:lvl w:ilvl="1">
      <w:start w:val="1"/>
      <w:numFmt w:val="decimal"/>
      <w:lvlText w:val="%1.%2."/>
      <w:lvlJc w:val="left"/>
      <w:pPr>
        <w:ind w:left="1457" w:hanging="72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3291" w:hanging="108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11" w15:restartNumberingAfterBreak="0">
    <w:nsid w:val="67A858F3"/>
    <w:multiLevelType w:val="multilevel"/>
    <w:tmpl w:val="71DA5540"/>
    <w:numStyleLink w:val="111111"/>
  </w:abstractNum>
  <w:abstractNum w:abstractNumId="12" w15:restartNumberingAfterBreak="0">
    <w:nsid w:val="7AAB3F06"/>
    <w:multiLevelType w:val="multilevel"/>
    <w:tmpl w:val="C9683336"/>
    <w:lvl w:ilvl="0">
      <w:start w:val="1"/>
      <w:numFmt w:val="decimal"/>
      <w:lvlText w:val="%1."/>
      <w:lvlJc w:val="left"/>
      <w:pPr>
        <w:tabs>
          <w:tab w:val="num" w:pos="680"/>
        </w:tabs>
        <w:ind w:left="680" w:hanging="680"/>
      </w:pPr>
      <w:rPr>
        <w:rFonts w:ascii="Arial" w:hAnsi="Arial" w:cs="Times New Roman" w:hint="default"/>
        <w:b w:val="0"/>
        <w:bCs w:val="0"/>
        <w:i w:val="0"/>
        <w:iCs w:val="0"/>
        <w:sz w:val="24"/>
        <w:szCs w:val="28"/>
      </w:rPr>
    </w:lvl>
    <w:lvl w:ilvl="1">
      <w:start w:val="1"/>
      <w:numFmt w:val="decimal"/>
      <w:lvlText w:val="%1.%2."/>
      <w:lvlJc w:val="left"/>
      <w:pPr>
        <w:tabs>
          <w:tab w:val="num" w:pos="1474"/>
        </w:tabs>
        <w:ind w:left="1474" w:hanging="794"/>
      </w:pPr>
      <w:rPr>
        <w:rFonts w:ascii="Arial" w:hAnsi="Arial" w:cs="Times New Roman" w:hint="default"/>
        <w:b w:val="0"/>
        <w:bCs w:val="0"/>
        <w:i w:val="0"/>
        <w:iCs w:val="0"/>
        <w:sz w:val="24"/>
        <w:szCs w:val="28"/>
      </w:rPr>
    </w:lvl>
    <w:lvl w:ilvl="2">
      <w:start w:val="1"/>
      <w:numFmt w:val="decimal"/>
      <w:lvlText w:val="%1.%2.%3."/>
      <w:lvlJc w:val="left"/>
      <w:pPr>
        <w:tabs>
          <w:tab w:val="num" w:pos="2552"/>
        </w:tabs>
        <w:ind w:left="2552" w:hanging="1078"/>
      </w:pPr>
      <w:rPr>
        <w:rFonts w:ascii="Arial" w:hAnsi="Arial" w:cs="Times New Roman" w:hint="default"/>
        <w:b w:val="0"/>
        <w:bCs w:val="0"/>
        <w:i w:val="0"/>
        <w:iCs w:val="0"/>
        <w:sz w:val="24"/>
        <w:szCs w:val="28"/>
      </w:rPr>
    </w:lvl>
    <w:lvl w:ilvl="3">
      <w:start w:val="1"/>
      <w:numFmt w:val="decimal"/>
      <w:lvlText w:val="%1.%2.%3.%4."/>
      <w:lvlJc w:val="left"/>
      <w:pPr>
        <w:tabs>
          <w:tab w:val="num" w:pos="4082"/>
        </w:tabs>
        <w:ind w:left="4082" w:hanging="1530"/>
      </w:pPr>
      <w:rPr>
        <w:rFonts w:ascii="Arial" w:hAnsi="Arial" w:cs="Times New Roman" w:hint="default"/>
        <w:b w:val="0"/>
        <w:bCs w:val="0"/>
        <w:i w:val="0"/>
        <w:iCs w:val="0"/>
        <w:sz w:val="24"/>
        <w:szCs w:val="28"/>
      </w:rPr>
    </w:lvl>
    <w:lvl w:ilvl="4">
      <w:start w:val="1"/>
      <w:numFmt w:val="decimal"/>
      <w:lvlText w:val="%1.%2.%3.%4.%5."/>
      <w:lvlJc w:val="left"/>
      <w:pPr>
        <w:ind w:left="5670" w:hanging="1588"/>
      </w:pPr>
      <w:rPr>
        <w:rFonts w:ascii="Arial" w:hAnsi="Arial" w:cs="Times New Roman" w:hint="default"/>
        <w:b w:val="0"/>
        <w:bCs w:val="0"/>
        <w:i w:val="0"/>
        <w:iCs w:val="0"/>
        <w:sz w:val="24"/>
        <w:szCs w:val="28"/>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8"/>
  </w:num>
  <w:num w:numId="3">
    <w:abstractNumId w:val="8"/>
  </w:num>
  <w:num w:numId="4">
    <w:abstractNumId w:val="11"/>
    <w:lvlOverride w:ilvl="0">
      <w:lvl w:ilvl="0">
        <w:numFmt w:val="decimal"/>
        <w:lvlText w:val=""/>
        <w:lvlJc w:val="left"/>
      </w:lvl>
    </w:lvlOverride>
    <w:lvlOverride w:ilvl="1">
      <w:lvl w:ilvl="1">
        <w:start w:val="1"/>
        <w:numFmt w:val="decimal"/>
        <w:lvlText w:val="%1.%2."/>
        <w:lvlJc w:val="left"/>
        <w:pPr>
          <w:tabs>
            <w:tab w:val="num" w:pos="1474"/>
          </w:tabs>
          <w:ind w:left="1474" w:hanging="737"/>
        </w:pPr>
        <w:rPr>
          <w:rFonts w:hint="default"/>
        </w:rPr>
      </w:lvl>
    </w:lvlOverride>
  </w:num>
  <w:num w:numId="5">
    <w:abstractNumId w:val="9"/>
  </w:num>
  <w:num w:numId="6">
    <w:abstractNumId w:val="11"/>
    <w:lvlOverride w:ilvl="0">
      <w:lvl w:ilvl="0">
        <w:numFmt w:val="decimal"/>
        <w:lvlText w:val=""/>
        <w:lvlJc w:val="left"/>
      </w:lvl>
    </w:lvlOverride>
    <w:lvlOverride w:ilvl="1">
      <w:lvl w:ilvl="1">
        <w:start w:val="1"/>
        <w:numFmt w:val="decimal"/>
        <w:lvlText w:val="%1.%2."/>
        <w:lvlJc w:val="left"/>
        <w:pPr>
          <w:tabs>
            <w:tab w:val="num" w:pos="1474"/>
          </w:tabs>
          <w:ind w:left="1474" w:hanging="737"/>
        </w:pPr>
        <w:rPr>
          <w:rFonts w:hint="default"/>
        </w:rPr>
      </w:lvl>
    </w:lvlOverride>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12"/>
  </w:num>
  <w:num w:numId="23">
    <w:abstractNumId w:val="6"/>
  </w:num>
  <w:num w:numId="24">
    <w:abstractNumId w:val="4"/>
  </w:num>
  <w:num w:numId="25">
    <w:abstractNumId w:val="5"/>
  </w:num>
  <w:num w:numId="26">
    <w:abstractNumId w:val="1"/>
  </w:num>
  <w:num w:numId="27">
    <w:abstractNumId w:val="10"/>
  </w:num>
  <w:num w:numId="28">
    <w:abstractNumId w:val="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I2MDU3NTawtDAyNDFW0lEKTi0uzszPAykwrAUAIpOJzSwAAAA="/>
  </w:docVars>
  <w:rsids>
    <w:rsidRoot w:val="00C55A45"/>
    <w:rsid w:val="00003734"/>
    <w:rsid w:val="00014957"/>
    <w:rsid w:val="00075E63"/>
    <w:rsid w:val="00090D8F"/>
    <w:rsid w:val="000B00A9"/>
    <w:rsid w:val="000B393D"/>
    <w:rsid w:val="000C4205"/>
    <w:rsid w:val="000E57F0"/>
    <w:rsid w:val="00101C42"/>
    <w:rsid w:val="001226FA"/>
    <w:rsid w:val="001260E9"/>
    <w:rsid w:val="00130504"/>
    <w:rsid w:val="00132B33"/>
    <w:rsid w:val="001362A8"/>
    <w:rsid w:val="00147835"/>
    <w:rsid w:val="00183BD2"/>
    <w:rsid w:val="00183C5D"/>
    <w:rsid w:val="001A0359"/>
    <w:rsid w:val="001C061A"/>
    <w:rsid w:val="001D2E48"/>
    <w:rsid w:val="001F7200"/>
    <w:rsid w:val="00265B8F"/>
    <w:rsid w:val="00276B5B"/>
    <w:rsid w:val="00336890"/>
    <w:rsid w:val="00364851"/>
    <w:rsid w:val="0036702F"/>
    <w:rsid w:val="003879EF"/>
    <w:rsid w:val="00391CBC"/>
    <w:rsid w:val="003C31DB"/>
    <w:rsid w:val="003D2C3E"/>
    <w:rsid w:val="003E15CD"/>
    <w:rsid w:val="003F5E1A"/>
    <w:rsid w:val="00405E69"/>
    <w:rsid w:val="004126C9"/>
    <w:rsid w:val="0047623B"/>
    <w:rsid w:val="00523E0C"/>
    <w:rsid w:val="00525B46"/>
    <w:rsid w:val="005534A8"/>
    <w:rsid w:val="005A56F1"/>
    <w:rsid w:val="005A7B63"/>
    <w:rsid w:val="00600096"/>
    <w:rsid w:val="00601CE8"/>
    <w:rsid w:val="00630D2C"/>
    <w:rsid w:val="00646C0F"/>
    <w:rsid w:val="006501BD"/>
    <w:rsid w:val="00663303"/>
    <w:rsid w:val="006957CA"/>
    <w:rsid w:val="006A1F51"/>
    <w:rsid w:val="006A2496"/>
    <w:rsid w:val="006E147E"/>
    <w:rsid w:val="006E41B1"/>
    <w:rsid w:val="00713339"/>
    <w:rsid w:val="007301D7"/>
    <w:rsid w:val="0075092C"/>
    <w:rsid w:val="00784824"/>
    <w:rsid w:val="007B58B7"/>
    <w:rsid w:val="00801C39"/>
    <w:rsid w:val="0081418E"/>
    <w:rsid w:val="00823FBD"/>
    <w:rsid w:val="00824A08"/>
    <w:rsid w:val="0087144E"/>
    <w:rsid w:val="0087310B"/>
    <w:rsid w:val="0087728E"/>
    <w:rsid w:val="00882D2D"/>
    <w:rsid w:val="00887D0E"/>
    <w:rsid w:val="00891CDB"/>
    <w:rsid w:val="008E3A53"/>
    <w:rsid w:val="008E3D31"/>
    <w:rsid w:val="008F7006"/>
    <w:rsid w:val="00902F3E"/>
    <w:rsid w:val="00962345"/>
    <w:rsid w:val="009A1A81"/>
    <w:rsid w:val="009E3110"/>
    <w:rsid w:val="00A050EE"/>
    <w:rsid w:val="00A05C55"/>
    <w:rsid w:val="00A20B29"/>
    <w:rsid w:val="00AA0053"/>
    <w:rsid w:val="00AA6D87"/>
    <w:rsid w:val="00AD5261"/>
    <w:rsid w:val="00AE3FEA"/>
    <w:rsid w:val="00AF164D"/>
    <w:rsid w:val="00B13C1F"/>
    <w:rsid w:val="00B23B1C"/>
    <w:rsid w:val="00B30907"/>
    <w:rsid w:val="00B44596"/>
    <w:rsid w:val="00B7520A"/>
    <w:rsid w:val="00B823B1"/>
    <w:rsid w:val="00BB36DF"/>
    <w:rsid w:val="00BC1A8C"/>
    <w:rsid w:val="00C4369F"/>
    <w:rsid w:val="00C55A45"/>
    <w:rsid w:val="00C56C73"/>
    <w:rsid w:val="00C651E2"/>
    <w:rsid w:val="00C95A67"/>
    <w:rsid w:val="00CD5797"/>
    <w:rsid w:val="00CF3FA4"/>
    <w:rsid w:val="00CF4E84"/>
    <w:rsid w:val="00D25005"/>
    <w:rsid w:val="00D26298"/>
    <w:rsid w:val="00D36BE6"/>
    <w:rsid w:val="00DB71F4"/>
    <w:rsid w:val="00DB74A4"/>
    <w:rsid w:val="00DB75ED"/>
    <w:rsid w:val="00DC21C9"/>
    <w:rsid w:val="00E92753"/>
    <w:rsid w:val="00EE3245"/>
    <w:rsid w:val="00EF536B"/>
    <w:rsid w:val="00EF7D5D"/>
    <w:rsid w:val="00F11535"/>
    <w:rsid w:val="00F311A5"/>
    <w:rsid w:val="00F72905"/>
    <w:rsid w:val="00F8528D"/>
    <w:rsid w:val="00FA12F0"/>
    <w:rsid w:val="00FD05D9"/>
    <w:rsid w:val="00FE490D"/>
    <w:rsid w:val="00FE57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B3B3D"/>
  <w15:docId w15:val="{CCE0B392-78FF-4AA3-8EAD-659BCC11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3"/>
        <w:szCs w:val="23"/>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44E"/>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C55A45"/>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semiHidden/>
    <w:unhideWhenUsed/>
    <w:qFormat/>
    <w:rsid w:val="00C55A45"/>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8F7006"/>
    <w:pPr>
      <w:numPr>
        <w:numId w:val="2"/>
      </w:numPr>
    </w:pPr>
  </w:style>
  <w:style w:type="paragraph" w:customStyle="1" w:styleId="LFLMainHeading">
    <w:name w:val="LFL Main Heading"/>
    <w:basedOn w:val="Heading1"/>
    <w:next w:val="LFLMainPara"/>
    <w:qFormat/>
    <w:rsid w:val="00C55A45"/>
    <w:pPr>
      <w:spacing w:after="360" w:line="480" w:lineRule="auto"/>
      <w:jc w:val="both"/>
    </w:pPr>
    <w:rPr>
      <w:rFonts w:ascii="Arial Bold" w:hAnsi="Arial Bold" w:cs="Times New Roman (Headings CS)"/>
      <w:b/>
      <w:caps/>
      <w:color w:val="auto"/>
      <w:sz w:val="23"/>
    </w:rPr>
  </w:style>
  <w:style w:type="paragraph" w:customStyle="1" w:styleId="LFLSubHeading">
    <w:name w:val="LFL Sub Heading"/>
    <w:basedOn w:val="Heading2"/>
    <w:next w:val="Normal"/>
    <w:qFormat/>
    <w:rsid w:val="00C55A45"/>
    <w:pPr>
      <w:spacing w:before="240" w:after="360" w:line="480" w:lineRule="auto"/>
      <w:jc w:val="both"/>
    </w:pPr>
    <w:rPr>
      <w:rFonts w:ascii="Arial" w:hAnsi="Arial"/>
      <w:b/>
      <w:color w:val="auto"/>
      <w:sz w:val="23"/>
    </w:rPr>
  </w:style>
  <w:style w:type="paragraph" w:customStyle="1" w:styleId="LFLMainPara">
    <w:name w:val="LFL Main Para"/>
    <w:basedOn w:val="Normal"/>
    <w:qFormat/>
    <w:rsid w:val="00C55A45"/>
    <w:pPr>
      <w:numPr>
        <w:numId w:val="7"/>
      </w:numPr>
      <w:tabs>
        <w:tab w:val="clear" w:pos="879"/>
        <w:tab w:val="num" w:pos="737"/>
      </w:tabs>
      <w:spacing w:before="240" w:after="360" w:line="480" w:lineRule="auto"/>
      <w:ind w:left="737"/>
      <w:jc w:val="both"/>
    </w:pPr>
    <w:rPr>
      <w:rFonts w:ascii="Arial" w:eastAsiaTheme="minorHAnsi" w:hAnsi="Arial" w:cs="Arial"/>
      <w:sz w:val="23"/>
      <w:szCs w:val="23"/>
      <w:lang w:eastAsia="en-US"/>
    </w:rPr>
  </w:style>
  <w:style w:type="character" w:customStyle="1" w:styleId="Heading1Char">
    <w:name w:val="Heading 1 Char"/>
    <w:basedOn w:val="DefaultParagraphFont"/>
    <w:link w:val="Heading1"/>
    <w:uiPriority w:val="9"/>
    <w:rsid w:val="00C55A4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55A45"/>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C55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6702F"/>
    <w:rPr>
      <w:rFonts w:ascii="Arial" w:eastAsiaTheme="minorHAnsi" w:hAnsi="Arial" w:cs="Arial"/>
      <w:sz w:val="20"/>
      <w:szCs w:val="20"/>
      <w:lang w:eastAsia="en-US"/>
    </w:rPr>
  </w:style>
  <w:style w:type="character" w:customStyle="1" w:styleId="FootnoteTextChar">
    <w:name w:val="Footnote Text Char"/>
    <w:basedOn w:val="DefaultParagraphFont"/>
    <w:link w:val="FootnoteText"/>
    <w:uiPriority w:val="99"/>
    <w:semiHidden/>
    <w:rsid w:val="0036702F"/>
    <w:rPr>
      <w:sz w:val="20"/>
      <w:szCs w:val="20"/>
    </w:rPr>
  </w:style>
  <w:style w:type="character" w:styleId="FootnoteReference">
    <w:name w:val="footnote reference"/>
    <w:basedOn w:val="DefaultParagraphFont"/>
    <w:uiPriority w:val="99"/>
    <w:semiHidden/>
    <w:unhideWhenUsed/>
    <w:rsid w:val="0036702F"/>
    <w:rPr>
      <w:vertAlign w:val="superscript"/>
    </w:rPr>
  </w:style>
  <w:style w:type="character" w:styleId="CommentReference">
    <w:name w:val="annotation reference"/>
    <w:basedOn w:val="DefaultParagraphFont"/>
    <w:uiPriority w:val="99"/>
    <w:semiHidden/>
    <w:unhideWhenUsed/>
    <w:rsid w:val="00147835"/>
    <w:rPr>
      <w:sz w:val="16"/>
      <w:szCs w:val="16"/>
    </w:rPr>
  </w:style>
  <w:style w:type="paragraph" w:styleId="CommentText">
    <w:name w:val="annotation text"/>
    <w:basedOn w:val="Normal"/>
    <w:link w:val="CommentTextChar"/>
    <w:uiPriority w:val="99"/>
    <w:semiHidden/>
    <w:unhideWhenUsed/>
    <w:rsid w:val="00147835"/>
    <w:rPr>
      <w:rFonts w:ascii="Arial" w:eastAsiaTheme="minorHAnsi" w:hAnsi="Arial" w:cs="Arial"/>
      <w:sz w:val="20"/>
      <w:szCs w:val="20"/>
      <w:lang w:eastAsia="en-US"/>
    </w:rPr>
  </w:style>
  <w:style w:type="character" w:customStyle="1" w:styleId="CommentTextChar">
    <w:name w:val="Comment Text Char"/>
    <w:basedOn w:val="DefaultParagraphFont"/>
    <w:link w:val="CommentText"/>
    <w:uiPriority w:val="99"/>
    <w:semiHidden/>
    <w:rsid w:val="00147835"/>
    <w:rPr>
      <w:sz w:val="20"/>
      <w:szCs w:val="20"/>
    </w:rPr>
  </w:style>
  <w:style w:type="paragraph" w:styleId="CommentSubject">
    <w:name w:val="annotation subject"/>
    <w:basedOn w:val="CommentText"/>
    <w:next w:val="CommentText"/>
    <w:link w:val="CommentSubjectChar"/>
    <w:uiPriority w:val="99"/>
    <w:semiHidden/>
    <w:unhideWhenUsed/>
    <w:rsid w:val="00147835"/>
    <w:rPr>
      <w:b/>
      <w:bCs/>
    </w:rPr>
  </w:style>
  <w:style w:type="character" w:customStyle="1" w:styleId="CommentSubjectChar">
    <w:name w:val="Comment Subject Char"/>
    <w:basedOn w:val="CommentTextChar"/>
    <w:link w:val="CommentSubject"/>
    <w:uiPriority w:val="99"/>
    <w:semiHidden/>
    <w:rsid w:val="00147835"/>
    <w:rPr>
      <w:b/>
      <w:bCs/>
      <w:sz w:val="20"/>
      <w:szCs w:val="20"/>
    </w:rPr>
  </w:style>
  <w:style w:type="character" w:customStyle="1" w:styleId="apple-converted-space">
    <w:name w:val="apple-converted-space"/>
    <w:basedOn w:val="DefaultParagraphFont"/>
    <w:rsid w:val="00FA12F0"/>
  </w:style>
  <w:style w:type="character" w:styleId="Hyperlink">
    <w:name w:val="Hyperlink"/>
    <w:basedOn w:val="DefaultParagraphFont"/>
    <w:uiPriority w:val="99"/>
    <w:semiHidden/>
    <w:unhideWhenUsed/>
    <w:rsid w:val="00EE3245"/>
    <w:rPr>
      <w:color w:val="0000FF"/>
      <w:u w:val="single"/>
    </w:rPr>
  </w:style>
  <w:style w:type="character" w:customStyle="1" w:styleId="mc">
    <w:name w:val="mc"/>
    <w:basedOn w:val="DefaultParagraphFont"/>
    <w:rsid w:val="0087144E"/>
  </w:style>
  <w:style w:type="paragraph" w:styleId="BalloonText">
    <w:name w:val="Balloon Text"/>
    <w:basedOn w:val="Normal"/>
    <w:link w:val="BalloonTextChar"/>
    <w:uiPriority w:val="99"/>
    <w:semiHidden/>
    <w:unhideWhenUsed/>
    <w:rsid w:val="006E147E"/>
    <w:rPr>
      <w:rFonts w:ascii="Tahoma" w:hAnsi="Tahoma" w:cs="Tahoma"/>
      <w:sz w:val="16"/>
      <w:szCs w:val="16"/>
    </w:rPr>
  </w:style>
  <w:style w:type="character" w:customStyle="1" w:styleId="BalloonTextChar">
    <w:name w:val="Balloon Text Char"/>
    <w:basedOn w:val="DefaultParagraphFont"/>
    <w:link w:val="BalloonText"/>
    <w:uiPriority w:val="99"/>
    <w:semiHidden/>
    <w:rsid w:val="006E147E"/>
    <w:rPr>
      <w:rFonts w:ascii="Tahoma" w:eastAsia="Times New Roman" w:hAnsi="Tahoma" w:cs="Tahoma"/>
      <w:sz w:val="16"/>
      <w:szCs w:val="16"/>
      <w:lang w:eastAsia="en-GB"/>
    </w:rPr>
  </w:style>
  <w:style w:type="paragraph" w:styleId="ListParagraph">
    <w:name w:val="List Paragraph"/>
    <w:basedOn w:val="Normal"/>
    <w:uiPriority w:val="34"/>
    <w:qFormat/>
    <w:rsid w:val="006E147E"/>
    <w:pPr>
      <w:ind w:left="720"/>
      <w:contextualSpacing/>
    </w:pPr>
    <w:rPr>
      <w:rFonts w:asciiTheme="minorHAnsi" w:eastAsiaTheme="minorHAnsi" w:hAnsiTheme="minorHAnsi" w:cstheme="minorBidi"/>
      <w:lang w:val="en-US" w:eastAsia="en-US"/>
    </w:rPr>
  </w:style>
  <w:style w:type="paragraph" w:styleId="Revision">
    <w:name w:val="Revision"/>
    <w:hidden/>
    <w:uiPriority w:val="99"/>
    <w:semiHidden/>
    <w:rsid w:val="007301D7"/>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62345"/>
    <w:pPr>
      <w:tabs>
        <w:tab w:val="center" w:pos="4680"/>
        <w:tab w:val="right" w:pos="9360"/>
      </w:tabs>
    </w:pPr>
  </w:style>
  <w:style w:type="character" w:customStyle="1" w:styleId="HeaderChar">
    <w:name w:val="Header Char"/>
    <w:basedOn w:val="DefaultParagraphFont"/>
    <w:link w:val="Header"/>
    <w:uiPriority w:val="99"/>
    <w:rsid w:val="0096234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62345"/>
    <w:pPr>
      <w:tabs>
        <w:tab w:val="center" w:pos="4680"/>
        <w:tab w:val="right" w:pos="9360"/>
      </w:tabs>
    </w:pPr>
  </w:style>
  <w:style w:type="character" w:customStyle="1" w:styleId="FooterChar">
    <w:name w:val="Footer Char"/>
    <w:basedOn w:val="DefaultParagraphFont"/>
    <w:link w:val="Footer"/>
    <w:uiPriority w:val="99"/>
    <w:rsid w:val="00962345"/>
    <w:rPr>
      <w:rFonts w:ascii="Times New Roman" w:eastAsia="Times New Roman" w:hAnsi="Times New Roman" w:cs="Times New Roman"/>
      <w:sz w:val="24"/>
      <w:szCs w:val="24"/>
      <w:lang w:eastAsia="en-GB"/>
    </w:rPr>
  </w:style>
  <w:style w:type="paragraph" w:customStyle="1" w:styleId="JudgmentNumbered">
    <w:name w:val="Judgment Numbered"/>
    <w:basedOn w:val="Normal"/>
    <w:link w:val="JudgmentNumberedChar"/>
    <w:qFormat/>
    <w:rsid w:val="00891CDB"/>
    <w:pPr>
      <w:numPr>
        <w:numId w:val="29"/>
      </w:numPr>
      <w:spacing w:after="240" w:line="360" w:lineRule="auto"/>
      <w:jc w:val="both"/>
    </w:pPr>
    <w:rPr>
      <w:rFonts w:ascii="Arial" w:eastAsiaTheme="minorHAnsi" w:hAnsi="Arial" w:cs="Arial"/>
      <w:szCs w:val="22"/>
      <w:lang w:val="en-GB" w:eastAsia="en-US"/>
    </w:rPr>
  </w:style>
  <w:style w:type="character" w:customStyle="1" w:styleId="JudgmentNumberedChar">
    <w:name w:val="Judgment Numbered Char"/>
    <w:basedOn w:val="DefaultParagraphFont"/>
    <w:link w:val="JudgmentNumbered"/>
    <w:rsid w:val="00891CDB"/>
    <w:rPr>
      <w:sz w:val="24"/>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074967">
      <w:bodyDiv w:val="1"/>
      <w:marLeft w:val="0"/>
      <w:marRight w:val="0"/>
      <w:marTop w:val="0"/>
      <w:marBottom w:val="0"/>
      <w:divBdr>
        <w:top w:val="none" w:sz="0" w:space="0" w:color="auto"/>
        <w:left w:val="none" w:sz="0" w:space="0" w:color="auto"/>
        <w:bottom w:val="none" w:sz="0" w:space="0" w:color="auto"/>
        <w:right w:val="none" w:sz="0" w:space="0" w:color="auto"/>
      </w:divBdr>
      <w:divsChild>
        <w:div w:id="1559508354">
          <w:marLeft w:val="0"/>
          <w:marRight w:val="0"/>
          <w:marTop w:val="120"/>
          <w:marBottom w:val="0"/>
          <w:divBdr>
            <w:top w:val="none" w:sz="0" w:space="0" w:color="auto"/>
            <w:left w:val="none" w:sz="0" w:space="0" w:color="auto"/>
            <w:bottom w:val="none" w:sz="0" w:space="0" w:color="auto"/>
            <w:right w:val="none" w:sz="0" w:space="0" w:color="auto"/>
          </w:divBdr>
        </w:div>
        <w:div w:id="1500774876">
          <w:marLeft w:val="567"/>
          <w:marRight w:val="0"/>
          <w:marTop w:val="120"/>
          <w:marBottom w:val="0"/>
          <w:divBdr>
            <w:top w:val="none" w:sz="0" w:space="0" w:color="auto"/>
            <w:left w:val="none" w:sz="0" w:space="0" w:color="auto"/>
            <w:bottom w:val="none" w:sz="0" w:space="0" w:color="auto"/>
            <w:right w:val="none" w:sz="0" w:space="0" w:color="auto"/>
          </w:divBdr>
        </w:div>
        <w:div w:id="1855265060">
          <w:marLeft w:val="0"/>
          <w:marRight w:val="0"/>
          <w:marTop w:val="120"/>
          <w:marBottom w:val="0"/>
          <w:divBdr>
            <w:top w:val="none" w:sz="0" w:space="0" w:color="auto"/>
            <w:left w:val="none" w:sz="0" w:space="0" w:color="auto"/>
            <w:bottom w:val="none" w:sz="0" w:space="0" w:color="auto"/>
            <w:right w:val="none" w:sz="0" w:space="0" w:color="auto"/>
          </w:divBdr>
        </w:div>
        <w:div w:id="2086489002">
          <w:marLeft w:val="567"/>
          <w:marRight w:val="0"/>
          <w:marTop w:val="120"/>
          <w:marBottom w:val="0"/>
          <w:divBdr>
            <w:top w:val="none" w:sz="0" w:space="0" w:color="auto"/>
            <w:left w:val="none" w:sz="0" w:space="0" w:color="auto"/>
            <w:bottom w:val="none" w:sz="0" w:space="0" w:color="auto"/>
            <w:right w:val="none" w:sz="0" w:space="0" w:color="auto"/>
          </w:divBdr>
        </w:div>
        <w:div w:id="143589917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70EF4-0FD8-49DF-A886-190F12396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2442</Words>
  <Characters>13922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Sathish</cp:lastModifiedBy>
  <cp:revision>3</cp:revision>
  <cp:lastPrinted>2024-02-13T07:41:00Z</cp:lastPrinted>
  <dcterms:created xsi:type="dcterms:W3CDTF">2024-02-13T13:52:00Z</dcterms:created>
  <dcterms:modified xsi:type="dcterms:W3CDTF">2024-02-13T14:44:00Z</dcterms:modified>
</cp:coreProperties>
</file>