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AA173" w14:textId="38B90271" w:rsidR="00800C58" w:rsidRDefault="0099596F" w:rsidP="00800C58">
      <w:pPr>
        <w:spacing w:after="120" w:line="360" w:lineRule="auto"/>
        <w:rPr>
          <w:rFonts w:cs="Arial"/>
          <w:b/>
          <w:bCs/>
          <w:noProof/>
          <w:sz w:val="22"/>
          <w:lang w:val="en-US"/>
        </w:rPr>
      </w:pPr>
      <w:bookmarkStart w:id="0" w:name="_GoBack"/>
      <w:r>
        <w:rPr>
          <w:rFonts w:cs="Arial"/>
          <w:b/>
          <w:bCs/>
          <w:sz w:val="22"/>
        </w:rPr>
        <w:pict w14:anchorId="2ED08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8" o:title="Editorial note - Word"/>
          </v:shape>
        </w:pict>
      </w:r>
    </w:p>
    <w:p w14:paraId="3F70FCD8" w14:textId="5C14FF7F" w:rsidR="00A81108" w:rsidRPr="00A81108" w:rsidRDefault="00A81108" w:rsidP="00800C58">
      <w:pPr>
        <w:spacing w:after="120" w:line="360" w:lineRule="auto"/>
        <w:jc w:val="center"/>
        <w:rPr>
          <w:rFonts w:cs="Arial"/>
          <w:b/>
          <w:bCs/>
          <w:sz w:val="22"/>
        </w:rPr>
      </w:pPr>
      <w:r w:rsidRPr="00A81108">
        <w:rPr>
          <w:rFonts w:cs="Arial"/>
          <w:b/>
          <w:bCs/>
          <w:noProof/>
          <w:sz w:val="22"/>
          <w:lang w:val="en-US"/>
        </w:rPr>
        <w:drawing>
          <wp:inline distT="0" distB="0" distL="0" distR="0" wp14:anchorId="50AA6E5B" wp14:editId="35588AE0">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6CA0C0EF" w14:textId="77777777" w:rsidR="00A81108" w:rsidRPr="00A81108" w:rsidRDefault="00A81108" w:rsidP="00A81108">
      <w:pPr>
        <w:jc w:val="center"/>
        <w:rPr>
          <w:b/>
          <w:sz w:val="22"/>
        </w:rPr>
      </w:pPr>
      <w:r w:rsidRPr="00A81108">
        <w:rPr>
          <w:b/>
          <w:sz w:val="22"/>
        </w:rPr>
        <w:t xml:space="preserve">IN THE HIGH COURT OF SOUTH AFRICA, </w:t>
      </w:r>
    </w:p>
    <w:p w14:paraId="6E168230" w14:textId="77777777" w:rsidR="00A81108" w:rsidRPr="00A81108" w:rsidRDefault="00A81108" w:rsidP="00A81108">
      <w:pPr>
        <w:jc w:val="center"/>
        <w:rPr>
          <w:b/>
          <w:sz w:val="22"/>
        </w:rPr>
      </w:pPr>
      <w:r w:rsidRPr="00A81108">
        <w:rPr>
          <w:b/>
          <w:sz w:val="22"/>
        </w:rPr>
        <w:t>GAUTENG DIVISION, JOHANNESBURG</w:t>
      </w:r>
    </w:p>
    <w:p w14:paraId="708D64E5" w14:textId="77777777" w:rsidR="00A81108" w:rsidRPr="00A81108" w:rsidRDefault="00A81108" w:rsidP="00A81108">
      <w:pPr>
        <w:jc w:val="both"/>
        <w:rPr>
          <w:b/>
          <w:sz w:val="22"/>
        </w:rPr>
      </w:pPr>
    </w:p>
    <w:p w14:paraId="7B648FF6" w14:textId="2466FA2A" w:rsidR="00A81108" w:rsidRDefault="00A81108" w:rsidP="00A81108">
      <w:pPr>
        <w:spacing w:line="360" w:lineRule="auto"/>
        <w:jc w:val="right"/>
        <w:rPr>
          <w:b/>
          <w:sz w:val="22"/>
        </w:rPr>
      </w:pPr>
      <w:r w:rsidRPr="00A81108">
        <w:rPr>
          <w:b/>
          <w:sz w:val="22"/>
        </w:rPr>
        <w:t xml:space="preserve">CASE NO: </w:t>
      </w:r>
      <w:r w:rsidR="008D7307">
        <w:rPr>
          <w:b/>
          <w:sz w:val="22"/>
        </w:rPr>
        <w:t>2022-018954</w:t>
      </w:r>
      <w:r w:rsidRPr="00A81108">
        <w:rPr>
          <w:b/>
          <w:sz w:val="22"/>
        </w:rPr>
        <w:t xml:space="preserve"> </w:t>
      </w:r>
    </w:p>
    <w:p w14:paraId="5BF3CA6D" w14:textId="77777777" w:rsidR="00A81108" w:rsidRPr="00A81108" w:rsidRDefault="00A81108" w:rsidP="00A81108">
      <w:pPr>
        <w:spacing w:line="360" w:lineRule="auto"/>
        <w:jc w:val="right"/>
        <w:rPr>
          <w:sz w:val="22"/>
        </w:rPr>
      </w:pPr>
      <w:r w:rsidRPr="00A81108">
        <w:rPr>
          <w:noProof/>
          <w:sz w:val="22"/>
          <w:lang w:val="en-US"/>
        </w:rPr>
        <mc:AlternateContent>
          <mc:Choice Requires="wps">
            <w:drawing>
              <wp:anchor distT="0" distB="0" distL="114300" distR="114300" simplePos="0" relativeHeight="251659264" behindDoc="0" locked="0" layoutInCell="1" allowOverlap="1" wp14:anchorId="20D489D8" wp14:editId="14B8EE7A">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35CFF8C9" w14:textId="77777777" w:rsidR="003A32CE" w:rsidRPr="00913F95" w:rsidRDefault="003A32CE" w:rsidP="00A81108">
                            <w:pPr>
                              <w:jc w:val="center"/>
                              <w:rPr>
                                <w:rFonts w:ascii="Century Gothic" w:hAnsi="Century Gothic"/>
                                <w:b/>
                                <w:sz w:val="20"/>
                                <w:szCs w:val="20"/>
                              </w:rPr>
                            </w:pPr>
                          </w:p>
                          <w:p w14:paraId="0687FDAE" w14:textId="7B65804C" w:rsidR="003A32CE" w:rsidRDefault="000D3ECF" w:rsidP="000D3EC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A32CE">
                              <w:rPr>
                                <w:rFonts w:ascii="Century Gothic" w:hAnsi="Century Gothic"/>
                                <w:sz w:val="20"/>
                                <w:szCs w:val="20"/>
                              </w:rPr>
                              <w:t>REPORTABLE: NO</w:t>
                            </w:r>
                          </w:p>
                          <w:p w14:paraId="2A1BBAB4" w14:textId="2603D094" w:rsidR="003A32CE" w:rsidRPr="00913F95" w:rsidRDefault="000D3ECF" w:rsidP="000D3ECF">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3A32CE" w:rsidRPr="00913F95">
                              <w:rPr>
                                <w:rFonts w:ascii="Century Gothic" w:hAnsi="Century Gothic"/>
                                <w:sz w:val="20"/>
                                <w:szCs w:val="20"/>
                              </w:rPr>
                              <w:t>OF INTEREST TO OTHER JUDGES</w:t>
                            </w:r>
                            <w:r w:rsidR="003A32CE">
                              <w:rPr>
                                <w:rFonts w:ascii="Century Gothic" w:hAnsi="Century Gothic"/>
                                <w:sz w:val="20"/>
                                <w:szCs w:val="20"/>
                              </w:rPr>
                              <w:t xml:space="preserve">: </w:t>
                            </w:r>
                            <w:r w:rsidR="003A32CE" w:rsidRPr="00913F95">
                              <w:rPr>
                                <w:rFonts w:ascii="Century Gothic" w:hAnsi="Century Gothic"/>
                                <w:sz w:val="20"/>
                                <w:szCs w:val="20"/>
                              </w:rPr>
                              <w:t>NO</w:t>
                            </w:r>
                          </w:p>
                          <w:p w14:paraId="04D6519A" w14:textId="15602F50" w:rsidR="003A32CE" w:rsidRPr="00913F95" w:rsidRDefault="000D3ECF" w:rsidP="000D3ECF">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3A32CE" w:rsidRPr="00913F95">
                              <w:rPr>
                                <w:rFonts w:ascii="Century Gothic" w:hAnsi="Century Gothic"/>
                                <w:sz w:val="20"/>
                                <w:szCs w:val="20"/>
                              </w:rPr>
                              <w:t>REVISED</w:t>
                            </w:r>
                            <w:r w:rsidR="003A32CE">
                              <w:rPr>
                                <w:rFonts w:ascii="Century Gothic" w:hAnsi="Century Gothic"/>
                                <w:sz w:val="20"/>
                                <w:szCs w:val="20"/>
                              </w:rPr>
                              <w:t xml:space="preserve">. </w:t>
                            </w:r>
                          </w:p>
                          <w:p w14:paraId="2D053BFE" w14:textId="77777777" w:rsidR="003A32CE" w:rsidRDefault="003A32CE" w:rsidP="00A81108">
                            <w:pPr>
                              <w:rPr>
                                <w:rFonts w:ascii="Century Gothic" w:hAnsi="Century Gothic"/>
                                <w:b/>
                                <w:sz w:val="18"/>
                                <w:szCs w:val="18"/>
                              </w:rPr>
                            </w:pPr>
                          </w:p>
                          <w:p w14:paraId="3CDB37D8" w14:textId="4BB56231" w:rsidR="003A32CE" w:rsidRPr="00084341" w:rsidRDefault="003A32CE" w:rsidP="00A81108">
                            <w:pPr>
                              <w:rPr>
                                <w:rFonts w:ascii="Century Gothic" w:hAnsi="Century Gothic"/>
                                <w:b/>
                                <w:sz w:val="18"/>
                                <w:szCs w:val="18"/>
                              </w:rPr>
                            </w:pPr>
                            <w:r w:rsidRPr="00084341">
                              <w:rPr>
                                <w:rFonts w:ascii="Century Gothic" w:hAnsi="Century Gothic"/>
                                <w:b/>
                                <w:sz w:val="18"/>
                                <w:szCs w:val="18"/>
                              </w:rPr>
                              <w:t xml:space="preserve">         </w:t>
                            </w:r>
                            <w:r w:rsidR="008D7307" w:rsidRPr="008D7307">
                              <w:rPr>
                                <w:rFonts w:ascii="Century Gothic" w:hAnsi="Century Gothic"/>
                                <w:bCs/>
                                <w:sz w:val="18"/>
                                <w:szCs w:val="18"/>
                              </w:rPr>
                              <w:t>29 January 2024</w:t>
                            </w:r>
                            <w:r w:rsidRPr="008D7307">
                              <w:rPr>
                                <w:rFonts w:ascii="Century Gothic" w:hAnsi="Century Gothic"/>
                                <w:bCs/>
                                <w:sz w:val="18"/>
                                <w:szCs w:val="18"/>
                              </w:rPr>
                              <w:tab/>
                            </w:r>
                            <w:r w:rsidRPr="00084341">
                              <w:rPr>
                                <w:rFonts w:ascii="Century Gothic" w:hAnsi="Century Gothic"/>
                                <w:b/>
                                <w:sz w:val="18"/>
                                <w:szCs w:val="18"/>
                              </w:rPr>
                              <w:tab/>
                              <w:t>………………………...</w:t>
                            </w:r>
                          </w:p>
                          <w:p w14:paraId="40FA38A1" w14:textId="77777777" w:rsidR="003A32CE" w:rsidRPr="00084341" w:rsidRDefault="003A32CE" w:rsidP="00A8110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489D8"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e0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Esgz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d0cBPN4AAAAHAQAADwAAAGRycy9kb3ducmV2&#10;LnhtbEyOwU7DMBBE70j8g7VIXFDrNAlNCXEqhASiN2gruLrxNomw18F20/D3mBMcRzN686r1ZDQb&#10;0fnekoDFPAGG1FjVUytgv3uarYD5IElJbQkFfKOHdX15UclS2TO94bgNLYsQ8qUU0IUwlJz7pkMj&#10;/dwOSLE7WmdkiNG1XDl5jnCjeZokS25kT/GhkwM+dth8bk9GwCp/GT/8Jnt9b5ZHfRduivH5ywlx&#10;fTU93AMLOIW/MfzqR3Woo9PBnkh5pgXMijgUUOTAYnubLjJgBwFpmuXA64r/969/AAAA//8DAFBL&#10;AQItABQABgAIAAAAIQC2gziS/gAAAOEBAAATAAAAAAAAAAAAAAAAAAAAAABbQ29udGVudF9UeXBl&#10;c10ueG1sUEsBAi0AFAAGAAgAAAAhADj9If/WAAAAlAEAAAsAAAAAAAAAAAAAAAAALwEAAF9yZWxz&#10;Ly5yZWxzUEsBAi0AFAAGAAgAAAAhALzSB7QqAgAAUQQAAA4AAAAAAAAAAAAAAAAALgIAAGRycy9l&#10;Mm9Eb2MueG1sUEsBAi0AFAAGAAgAAAAhAHdHATzeAAAABwEAAA8AAAAAAAAAAAAAAAAAhAQAAGRy&#10;cy9kb3ducmV2LnhtbFBLBQYAAAAABAAEAPMAAACPBQAAAAA=&#10;">
                <v:textbox>
                  <w:txbxContent>
                    <w:p w14:paraId="35CFF8C9" w14:textId="77777777" w:rsidR="003A32CE" w:rsidRPr="00913F95" w:rsidRDefault="003A32CE" w:rsidP="00A81108">
                      <w:pPr>
                        <w:jc w:val="center"/>
                        <w:rPr>
                          <w:rFonts w:ascii="Century Gothic" w:hAnsi="Century Gothic"/>
                          <w:b/>
                          <w:sz w:val="20"/>
                          <w:szCs w:val="20"/>
                        </w:rPr>
                      </w:pPr>
                    </w:p>
                    <w:p w14:paraId="0687FDAE" w14:textId="7B65804C" w:rsidR="003A32CE" w:rsidRDefault="000D3ECF" w:rsidP="000D3EC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A32CE">
                        <w:rPr>
                          <w:rFonts w:ascii="Century Gothic" w:hAnsi="Century Gothic"/>
                          <w:sz w:val="20"/>
                          <w:szCs w:val="20"/>
                        </w:rPr>
                        <w:t>REPORTABLE: NO</w:t>
                      </w:r>
                    </w:p>
                    <w:p w14:paraId="2A1BBAB4" w14:textId="2603D094" w:rsidR="003A32CE" w:rsidRPr="00913F95" w:rsidRDefault="000D3ECF" w:rsidP="000D3ECF">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3A32CE" w:rsidRPr="00913F95">
                        <w:rPr>
                          <w:rFonts w:ascii="Century Gothic" w:hAnsi="Century Gothic"/>
                          <w:sz w:val="20"/>
                          <w:szCs w:val="20"/>
                        </w:rPr>
                        <w:t>OF INTEREST TO OTHER JUDGES</w:t>
                      </w:r>
                      <w:r w:rsidR="003A32CE">
                        <w:rPr>
                          <w:rFonts w:ascii="Century Gothic" w:hAnsi="Century Gothic"/>
                          <w:sz w:val="20"/>
                          <w:szCs w:val="20"/>
                        </w:rPr>
                        <w:t xml:space="preserve">: </w:t>
                      </w:r>
                      <w:r w:rsidR="003A32CE" w:rsidRPr="00913F95">
                        <w:rPr>
                          <w:rFonts w:ascii="Century Gothic" w:hAnsi="Century Gothic"/>
                          <w:sz w:val="20"/>
                          <w:szCs w:val="20"/>
                        </w:rPr>
                        <w:t>NO</w:t>
                      </w:r>
                    </w:p>
                    <w:p w14:paraId="04D6519A" w14:textId="15602F50" w:rsidR="003A32CE" w:rsidRPr="00913F95" w:rsidRDefault="000D3ECF" w:rsidP="000D3ECF">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3A32CE" w:rsidRPr="00913F95">
                        <w:rPr>
                          <w:rFonts w:ascii="Century Gothic" w:hAnsi="Century Gothic"/>
                          <w:sz w:val="20"/>
                          <w:szCs w:val="20"/>
                        </w:rPr>
                        <w:t>REVISED</w:t>
                      </w:r>
                      <w:r w:rsidR="003A32CE">
                        <w:rPr>
                          <w:rFonts w:ascii="Century Gothic" w:hAnsi="Century Gothic"/>
                          <w:sz w:val="20"/>
                          <w:szCs w:val="20"/>
                        </w:rPr>
                        <w:t xml:space="preserve">. </w:t>
                      </w:r>
                    </w:p>
                    <w:p w14:paraId="2D053BFE" w14:textId="77777777" w:rsidR="003A32CE" w:rsidRDefault="003A32CE" w:rsidP="00A81108">
                      <w:pPr>
                        <w:rPr>
                          <w:rFonts w:ascii="Century Gothic" w:hAnsi="Century Gothic"/>
                          <w:b/>
                          <w:sz w:val="18"/>
                          <w:szCs w:val="18"/>
                        </w:rPr>
                      </w:pPr>
                    </w:p>
                    <w:p w14:paraId="3CDB37D8" w14:textId="4BB56231" w:rsidR="003A32CE" w:rsidRPr="00084341" w:rsidRDefault="003A32CE" w:rsidP="00A81108">
                      <w:pPr>
                        <w:rPr>
                          <w:rFonts w:ascii="Century Gothic" w:hAnsi="Century Gothic"/>
                          <w:b/>
                          <w:sz w:val="18"/>
                          <w:szCs w:val="18"/>
                        </w:rPr>
                      </w:pPr>
                      <w:r w:rsidRPr="00084341">
                        <w:rPr>
                          <w:rFonts w:ascii="Century Gothic" w:hAnsi="Century Gothic"/>
                          <w:b/>
                          <w:sz w:val="18"/>
                          <w:szCs w:val="18"/>
                        </w:rPr>
                        <w:t xml:space="preserve">         </w:t>
                      </w:r>
                      <w:r w:rsidR="008D7307" w:rsidRPr="008D7307">
                        <w:rPr>
                          <w:rFonts w:ascii="Century Gothic" w:hAnsi="Century Gothic"/>
                          <w:bCs/>
                          <w:sz w:val="18"/>
                          <w:szCs w:val="18"/>
                        </w:rPr>
                        <w:t>29 January 2024</w:t>
                      </w:r>
                      <w:r w:rsidRPr="008D7307">
                        <w:rPr>
                          <w:rFonts w:ascii="Century Gothic" w:hAnsi="Century Gothic"/>
                          <w:bCs/>
                          <w:sz w:val="18"/>
                          <w:szCs w:val="18"/>
                        </w:rPr>
                        <w:tab/>
                      </w:r>
                      <w:r w:rsidRPr="00084341">
                        <w:rPr>
                          <w:rFonts w:ascii="Century Gothic" w:hAnsi="Century Gothic"/>
                          <w:b/>
                          <w:sz w:val="18"/>
                          <w:szCs w:val="18"/>
                        </w:rPr>
                        <w:tab/>
                        <w:t>………………………...</w:t>
                      </w:r>
                    </w:p>
                    <w:p w14:paraId="40FA38A1" w14:textId="77777777" w:rsidR="003A32CE" w:rsidRPr="00084341" w:rsidRDefault="003A32CE" w:rsidP="00A8110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32A98D64" w14:textId="77777777" w:rsidR="00A81108" w:rsidRPr="00A81108" w:rsidRDefault="00A81108" w:rsidP="00A81108">
      <w:pPr>
        <w:spacing w:line="360" w:lineRule="auto"/>
        <w:jc w:val="both"/>
        <w:rPr>
          <w:sz w:val="22"/>
        </w:rPr>
      </w:pPr>
    </w:p>
    <w:p w14:paraId="2DA20E58" w14:textId="77777777" w:rsidR="00A81108" w:rsidRPr="00A81108" w:rsidRDefault="00A81108" w:rsidP="00A81108">
      <w:pPr>
        <w:spacing w:line="360" w:lineRule="auto"/>
        <w:jc w:val="both"/>
        <w:rPr>
          <w:sz w:val="22"/>
        </w:rPr>
      </w:pPr>
    </w:p>
    <w:p w14:paraId="3D0D17B7" w14:textId="77777777" w:rsidR="00A81108" w:rsidRPr="00A81108" w:rsidRDefault="00A81108" w:rsidP="00A81108">
      <w:pPr>
        <w:spacing w:line="360" w:lineRule="auto"/>
        <w:jc w:val="both"/>
        <w:rPr>
          <w:sz w:val="22"/>
        </w:rPr>
      </w:pPr>
    </w:p>
    <w:p w14:paraId="3A53A7D7" w14:textId="77777777" w:rsidR="00A81108" w:rsidRPr="00A81108" w:rsidRDefault="00A81108" w:rsidP="00A81108">
      <w:pPr>
        <w:spacing w:line="480" w:lineRule="auto"/>
        <w:jc w:val="both"/>
        <w:rPr>
          <w:sz w:val="22"/>
        </w:rPr>
      </w:pPr>
    </w:p>
    <w:p w14:paraId="365AAD36" w14:textId="77777777" w:rsidR="00A81108" w:rsidRPr="00A81108" w:rsidRDefault="00A81108" w:rsidP="00A81108">
      <w:pPr>
        <w:spacing w:line="480" w:lineRule="auto"/>
        <w:jc w:val="both"/>
        <w:rPr>
          <w:sz w:val="22"/>
        </w:rPr>
      </w:pPr>
    </w:p>
    <w:p w14:paraId="4FB3BCBE" w14:textId="77777777" w:rsidR="00A81108" w:rsidRPr="00A81108" w:rsidRDefault="00A81108" w:rsidP="00A81108">
      <w:pPr>
        <w:spacing w:line="480" w:lineRule="auto"/>
        <w:jc w:val="both"/>
        <w:rPr>
          <w:rFonts w:cs="Arial"/>
          <w:sz w:val="22"/>
          <w:szCs w:val="22"/>
        </w:rPr>
      </w:pPr>
      <w:r w:rsidRPr="00A81108">
        <w:rPr>
          <w:rFonts w:cs="Arial"/>
          <w:sz w:val="22"/>
          <w:szCs w:val="22"/>
        </w:rPr>
        <w:t>In the matter between:</w:t>
      </w:r>
    </w:p>
    <w:p w14:paraId="3D5CB3D8" w14:textId="77777777" w:rsidR="00A81108" w:rsidRPr="00A81108" w:rsidRDefault="00A81108" w:rsidP="00A81108">
      <w:pPr>
        <w:spacing w:line="480" w:lineRule="auto"/>
        <w:jc w:val="both"/>
        <w:rPr>
          <w:rFonts w:cs="Arial"/>
          <w:sz w:val="22"/>
          <w:szCs w:val="22"/>
        </w:rPr>
      </w:pPr>
    </w:p>
    <w:tbl>
      <w:tblPr>
        <w:tblW w:w="0" w:type="auto"/>
        <w:tblLook w:val="0000" w:firstRow="0" w:lastRow="0" w:firstColumn="0" w:lastColumn="0" w:noHBand="0" w:noVBand="0"/>
      </w:tblPr>
      <w:tblGrid>
        <w:gridCol w:w="6313"/>
        <w:gridCol w:w="2238"/>
      </w:tblGrid>
      <w:tr w:rsidR="00A81108" w:rsidRPr="00A81108" w14:paraId="4CB7B6B1" w14:textId="77777777" w:rsidTr="0043566E">
        <w:tc>
          <w:tcPr>
            <w:tcW w:w="6487" w:type="dxa"/>
          </w:tcPr>
          <w:p w14:paraId="286C31BF" w14:textId="77777777" w:rsidR="00A81108" w:rsidRPr="00A81108" w:rsidRDefault="0020664E" w:rsidP="00AD19A0">
            <w:pPr>
              <w:rPr>
                <w:rFonts w:cs="Arial"/>
                <w:b/>
                <w:bCs/>
                <w:sz w:val="22"/>
                <w:szCs w:val="22"/>
              </w:rPr>
            </w:pPr>
            <w:r>
              <w:rPr>
                <w:rFonts w:cs="Arial"/>
                <w:b/>
                <w:bCs/>
                <w:sz w:val="22"/>
                <w:szCs w:val="22"/>
              </w:rPr>
              <w:t>FIRSTRAND BANK LIMITED</w:t>
            </w:r>
          </w:p>
        </w:tc>
        <w:tc>
          <w:tcPr>
            <w:tcW w:w="2268" w:type="dxa"/>
          </w:tcPr>
          <w:p w14:paraId="59BD42C7" w14:textId="77777777" w:rsidR="00A81108" w:rsidRPr="00A81108" w:rsidRDefault="00890647" w:rsidP="00B30362">
            <w:pPr>
              <w:jc w:val="right"/>
              <w:rPr>
                <w:rFonts w:cs="Arial"/>
                <w:sz w:val="22"/>
                <w:szCs w:val="22"/>
              </w:rPr>
            </w:pPr>
            <w:r>
              <w:rPr>
                <w:rFonts w:cs="Arial"/>
                <w:sz w:val="22"/>
                <w:szCs w:val="22"/>
              </w:rPr>
              <w:t>Applicant</w:t>
            </w:r>
          </w:p>
        </w:tc>
      </w:tr>
      <w:tr w:rsidR="00A81108" w:rsidRPr="00A81108" w14:paraId="64348B14" w14:textId="77777777" w:rsidTr="0043566E">
        <w:tc>
          <w:tcPr>
            <w:tcW w:w="6487" w:type="dxa"/>
          </w:tcPr>
          <w:p w14:paraId="3EE87B71" w14:textId="77777777" w:rsidR="00A81108" w:rsidRPr="00A81108" w:rsidRDefault="00A81108" w:rsidP="00A81108">
            <w:pPr>
              <w:rPr>
                <w:sz w:val="22"/>
                <w:szCs w:val="22"/>
              </w:rPr>
            </w:pPr>
          </w:p>
          <w:p w14:paraId="77D48167" w14:textId="77777777" w:rsidR="00A81108" w:rsidRPr="00A81108" w:rsidRDefault="00A81108" w:rsidP="00A81108">
            <w:pPr>
              <w:rPr>
                <w:sz w:val="22"/>
                <w:szCs w:val="22"/>
              </w:rPr>
            </w:pPr>
          </w:p>
        </w:tc>
        <w:tc>
          <w:tcPr>
            <w:tcW w:w="2268" w:type="dxa"/>
          </w:tcPr>
          <w:p w14:paraId="2E754714" w14:textId="77777777" w:rsidR="00A81108" w:rsidRPr="00A81108" w:rsidRDefault="00A81108" w:rsidP="00A81108">
            <w:pPr>
              <w:jc w:val="right"/>
              <w:rPr>
                <w:rFonts w:cs="Arial"/>
                <w:sz w:val="22"/>
                <w:szCs w:val="22"/>
              </w:rPr>
            </w:pPr>
          </w:p>
        </w:tc>
      </w:tr>
      <w:tr w:rsidR="00A81108" w:rsidRPr="00A81108" w14:paraId="2419E468" w14:textId="77777777" w:rsidTr="0043566E">
        <w:tc>
          <w:tcPr>
            <w:tcW w:w="6487" w:type="dxa"/>
          </w:tcPr>
          <w:p w14:paraId="4EC85CAD" w14:textId="77777777" w:rsidR="00A81108" w:rsidRPr="00A81108" w:rsidRDefault="00A81108" w:rsidP="00A81108">
            <w:pPr>
              <w:rPr>
                <w:sz w:val="22"/>
                <w:szCs w:val="22"/>
              </w:rPr>
            </w:pPr>
            <w:r w:rsidRPr="00A81108">
              <w:rPr>
                <w:sz w:val="22"/>
                <w:szCs w:val="22"/>
              </w:rPr>
              <w:t xml:space="preserve">and  </w:t>
            </w:r>
          </w:p>
        </w:tc>
        <w:tc>
          <w:tcPr>
            <w:tcW w:w="2268" w:type="dxa"/>
          </w:tcPr>
          <w:p w14:paraId="77982D97" w14:textId="77777777" w:rsidR="00A81108" w:rsidRPr="00A81108" w:rsidRDefault="00A81108" w:rsidP="00A81108">
            <w:pPr>
              <w:jc w:val="right"/>
              <w:rPr>
                <w:rFonts w:cs="Arial"/>
                <w:sz w:val="22"/>
                <w:szCs w:val="22"/>
              </w:rPr>
            </w:pPr>
          </w:p>
        </w:tc>
      </w:tr>
      <w:tr w:rsidR="00A81108" w:rsidRPr="00A81108" w14:paraId="498AFCB6" w14:textId="77777777" w:rsidTr="0043566E">
        <w:tc>
          <w:tcPr>
            <w:tcW w:w="6487" w:type="dxa"/>
          </w:tcPr>
          <w:p w14:paraId="105C28A6" w14:textId="77777777" w:rsidR="00A81108" w:rsidRPr="00A81108" w:rsidRDefault="00A81108" w:rsidP="00A81108">
            <w:pPr>
              <w:rPr>
                <w:sz w:val="22"/>
                <w:szCs w:val="22"/>
              </w:rPr>
            </w:pPr>
          </w:p>
          <w:p w14:paraId="3A902AFE" w14:textId="77777777" w:rsidR="00A81108" w:rsidRPr="00A81108" w:rsidRDefault="00A81108" w:rsidP="00A81108">
            <w:pPr>
              <w:rPr>
                <w:sz w:val="22"/>
                <w:szCs w:val="22"/>
              </w:rPr>
            </w:pPr>
          </w:p>
        </w:tc>
        <w:tc>
          <w:tcPr>
            <w:tcW w:w="2268" w:type="dxa"/>
          </w:tcPr>
          <w:p w14:paraId="47CE1F13" w14:textId="77777777" w:rsidR="00A81108" w:rsidRPr="00A81108" w:rsidRDefault="00A81108" w:rsidP="00A81108">
            <w:pPr>
              <w:jc w:val="right"/>
              <w:rPr>
                <w:rFonts w:cs="Arial"/>
                <w:sz w:val="22"/>
                <w:szCs w:val="22"/>
              </w:rPr>
            </w:pPr>
          </w:p>
        </w:tc>
      </w:tr>
      <w:tr w:rsidR="00A81108" w:rsidRPr="00A81108" w14:paraId="7C339B51" w14:textId="77777777" w:rsidTr="0043566E">
        <w:tc>
          <w:tcPr>
            <w:tcW w:w="6487" w:type="dxa"/>
          </w:tcPr>
          <w:p w14:paraId="740D9FAA" w14:textId="77777777" w:rsidR="005D23B4" w:rsidRPr="0043566E" w:rsidRDefault="000A1ABB" w:rsidP="0020664E">
            <w:pPr>
              <w:rPr>
                <w:sz w:val="22"/>
                <w:szCs w:val="22"/>
              </w:rPr>
            </w:pPr>
            <w:r w:rsidRPr="0020664E">
              <w:rPr>
                <w:b/>
                <w:sz w:val="22"/>
                <w:szCs w:val="22"/>
              </w:rPr>
              <w:t>MICHAEL GEORGE KOMANE</w:t>
            </w:r>
          </w:p>
        </w:tc>
        <w:tc>
          <w:tcPr>
            <w:tcW w:w="2268" w:type="dxa"/>
          </w:tcPr>
          <w:p w14:paraId="49B33CE3" w14:textId="77777777" w:rsidR="00A81108" w:rsidRPr="00A81108" w:rsidRDefault="0020664E" w:rsidP="00B30362">
            <w:pPr>
              <w:jc w:val="right"/>
              <w:rPr>
                <w:rFonts w:cs="Arial"/>
                <w:sz w:val="22"/>
                <w:szCs w:val="22"/>
              </w:rPr>
            </w:pPr>
            <w:r>
              <w:rPr>
                <w:rFonts w:cs="Arial"/>
                <w:sz w:val="22"/>
                <w:szCs w:val="22"/>
              </w:rPr>
              <w:t xml:space="preserve">First </w:t>
            </w:r>
            <w:r w:rsidR="00890647">
              <w:rPr>
                <w:rFonts w:cs="Arial"/>
                <w:sz w:val="22"/>
                <w:szCs w:val="22"/>
              </w:rPr>
              <w:t>Respondent</w:t>
            </w:r>
          </w:p>
        </w:tc>
      </w:tr>
      <w:tr w:rsidR="0020664E" w:rsidRPr="00A81108" w14:paraId="12ED9651" w14:textId="77777777" w:rsidTr="0043566E">
        <w:tc>
          <w:tcPr>
            <w:tcW w:w="6487" w:type="dxa"/>
          </w:tcPr>
          <w:p w14:paraId="62DA5DDF" w14:textId="77777777" w:rsidR="0020664E" w:rsidRPr="0020664E" w:rsidRDefault="0020664E" w:rsidP="00A81108">
            <w:pPr>
              <w:rPr>
                <w:b/>
                <w:sz w:val="22"/>
                <w:szCs w:val="22"/>
              </w:rPr>
            </w:pPr>
          </w:p>
        </w:tc>
        <w:tc>
          <w:tcPr>
            <w:tcW w:w="2268" w:type="dxa"/>
          </w:tcPr>
          <w:p w14:paraId="6E502021" w14:textId="77777777" w:rsidR="0020664E" w:rsidRDefault="0020664E" w:rsidP="00B30362">
            <w:pPr>
              <w:jc w:val="right"/>
              <w:rPr>
                <w:rFonts w:cs="Arial"/>
                <w:sz w:val="22"/>
                <w:szCs w:val="22"/>
              </w:rPr>
            </w:pPr>
          </w:p>
        </w:tc>
      </w:tr>
      <w:tr w:rsidR="0020664E" w:rsidRPr="00A81108" w14:paraId="2B5C6D7E" w14:textId="77777777" w:rsidTr="0043566E">
        <w:tc>
          <w:tcPr>
            <w:tcW w:w="6487" w:type="dxa"/>
          </w:tcPr>
          <w:p w14:paraId="3FAC4C83" w14:textId="77777777" w:rsidR="0020664E" w:rsidRPr="0020664E" w:rsidRDefault="000A1ABB" w:rsidP="00A81108">
            <w:pPr>
              <w:rPr>
                <w:b/>
                <w:sz w:val="22"/>
                <w:szCs w:val="22"/>
              </w:rPr>
            </w:pPr>
            <w:r w:rsidRPr="0020664E">
              <w:rPr>
                <w:b/>
                <w:sz w:val="22"/>
                <w:szCs w:val="22"/>
              </w:rPr>
              <w:t>PERTUNIA NELISILE KOMANE</w:t>
            </w:r>
          </w:p>
        </w:tc>
        <w:tc>
          <w:tcPr>
            <w:tcW w:w="2268" w:type="dxa"/>
          </w:tcPr>
          <w:p w14:paraId="50000213" w14:textId="77777777" w:rsidR="0020664E" w:rsidRDefault="0020664E" w:rsidP="00B30362">
            <w:pPr>
              <w:jc w:val="right"/>
              <w:rPr>
                <w:rFonts w:cs="Arial"/>
                <w:sz w:val="22"/>
                <w:szCs w:val="22"/>
              </w:rPr>
            </w:pPr>
            <w:r>
              <w:rPr>
                <w:rFonts w:cs="Arial"/>
                <w:sz w:val="22"/>
                <w:szCs w:val="22"/>
              </w:rPr>
              <w:t>Second Respondent</w:t>
            </w:r>
          </w:p>
        </w:tc>
      </w:tr>
    </w:tbl>
    <w:p w14:paraId="13E14568" w14:textId="77777777" w:rsidR="00A81108" w:rsidRPr="00A81108" w:rsidRDefault="00A81108" w:rsidP="00A81108">
      <w:pPr>
        <w:spacing w:line="360" w:lineRule="auto"/>
        <w:jc w:val="both"/>
        <w:rPr>
          <w:rFonts w:cs="Arial"/>
          <w:sz w:val="22"/>
          <w:szCs w:val="22"/>
        </w:rPr>
      </w:pPr>
    </w:p>
    <w:p w14:paraId="443056F6" w14:textId="77777777" w:rsidR="00A81108" w:rsidRPr="00A81108" w:rsidRDefault="00A81108" w:rsidP="00A81108">
      <w:pPr>
        <w:pBdr>
          <w:bottom w:val="single" w:sz="4" w:space="1" w:color="auto"/>
        </w:pBdr>
        <w:spacing w:line="360" w:lineRule="auto"/>
        <w:jc w:val="both"/>
        <w:rPr>
          <w:rFonts w:cs="Arial"/>
          <w:sz w:val="22"/>
          <w:szCs w:val="22"/>
        </w:rPr>
      </w:pPr>
    </w:p>
    <w:p w14:paraId="0D84ED58" w14:textId="77777777" w:rsidR="00A81108" w:rsidRPr="00A81108" w:rsidRDefault="00A81108" w:rsidP="00A81108">
      <w:pPr>
        <w:spacing w:line="276" w:lineRule="auto"/>
        <w:jc w:val="both"/>
        <w:rPr>
          <w:rFonts w:cs="Arial"/>
          <w:sz w:val="22"/>
          <w:szCs w:val="22"/>
        </w:rPr>
      </w:pPr>
    </w:p>
    <w:p w14:paraId="3F91F181" w14:textId="77777777" w:rsidR="00A81108" w:rsidRPr="00A81108" w:rsidRDefault="00A81108" w:rsidP="00A81108">
      <w:pPr>
        <w:keepNext/>
        <w:spacing w:line="276" w:lineRule="auto"/>
        <w:jc w:val="center"/>
        <w:outlineLvl w:val="1"/>
        <w:rPr>
          <w:rFonts w:cs="Arial"/>
          <w:b/>
          <w:bCs/>
          <w:sz w:val="22"/>
          <w:szCs w:val="22"/>
        </w:rPr>
      </w:pPr>
      <w:r w:rsidRPr="00A81108">
        <w:rPr>
          <w:rFonts w:cs="Arial"/>
          <w:b/>
          <w:bCs/>
          <w:sz w:val="22"/>
          <w:szCs w:val="22"/>
        </w:rPr>
        <w:t>JUDGMENT</w:t>
      </w:r>
    </w:p>
    <w:p w14:paraId="5CEAC5F7" w14:textId="77777777" w:rsidR="00A81108" w:rsidRPr="00A81108" w:rsidRDefault="00A81108" w:rsidP="00A81108">
      <w:pPr>
        <w:pBdr>
          <w:bottom w:val="single" w:sz="4" w:space="1" w:color="auto"/>
        </w:pBdr>
        <w:jc w:val="both"/>
        <w:rPr>
          <w:rFonts w:cs="Arial"/>
          <w:sz w:val="22"/>
          <w:szCs w:val="22"/>
        </w:rPr>
      </w:pPr>
    </w:p>
    <w:p w14:paraId="35B98859" w14:textId="77777777" w:rsidR="00A81108" w:rsidRPr="00A81108" w:rsidRDefault="00A81108" w:rsidP="00A81108">
      <w:pPr>
        <w:spacing w:after="480" w:line="480" w:lineRule="auto"/>
        <w:jc w:val="both"/>
        <w:rPr>
          <w:rFonts w:cs="Arial"/>
          <w:sz w:val="22"/>
          <w:szCs w:val="22"/>
        </w:rPr>
      </w:pPr>
    </w:p>
    <w:p w14:paraId="29B07C39" w14:textId="77777777" w:rsidR="00A81108" w:rsidRPr="00A81108" w:rsidRDefault="00A81108" w:rsidP="00A81108">
      <w:pPr>
        <w:spacing w:after="480" w:line="480" w:lineRule="auto"/>
        <w:jc w:val="both"/>
        <w:rPr>
          <w:rFonts w:cs="Arial"/>
          <w:b/>
          <w:sz w:val="22"/>
          <w:szCs w:val="22"/>
        </w:rPr>
      </w:pPr>
      <w:r w:rsidRPr="00A81108">
        <w:rPr>
          <w:rFonts w:cs="Arial"/>
          <w:b/>
          <w:sz w:val="22"/>
          <w:szCs w:val="22"/>
        </w:rPr>
        <w:t>CRUTCHFIELD J:</w:t>
      </w:r>
    </w:p>
    <w:p w14:paraId="729A71E4" w14:textId="685EBC06" w:rsidR="00BD6083" w:rsidRDefault="000D3ECF" w:rsidP="000D3ECF">
      <w:pPr>
        <w:tabs>
          <w:tab w:val="left" w:pos="680"/>
        </w:tabs>
        <w:spacing w:after="480" w:line="480" w:lineRule="auto"/>
        <w:jc w:val="both"/>
        <w:rPr>
          <w:rFonts w:cs="Arial"/>
          <w:bCs/>
          <w:sz w:val="22"/>
          <w:szCs w:val="22"/>
        </w:rPr>
      </w:pPr>
      <w:r>
        <w:rPr>
          <w:rFonts w:cs="Arial"/>
          <w:bCs/>
          <w:sz w:val="21"/>
          <w:szCs w:val="21"/>
        </w:rPr>
        <w:lastRenderedPageBreak/>
        <w:t>[1]</w:t>
      </w:r>
      <w:r>
        <w:rPr>
          <w:rFonts w:cs="Arial"/>
          <w:bCs/>
          <w:sz w:val="21"/>
          <w:szCs w:val="21"/>
        </w:rPr>
        <w:tab/>
      </w:r>
      <w:r w:rsidR="0020664E">
        <w:rPr>
          <w:rFonts w:cs="Arial"/>
          <w:bCs/>
          <w:sz w:val="22"/>
          <w:szCs w:val="22"/>
        </w:rPr>
        <w:t xml:space="preserve">The applicant, Firstrand Bank Limited, the plaintiff in the action proceedings, instituted summary judgment proceedings against the first and second respondents Pertunia Nelisile Komane and </w:t>
      </w:r>
      <w:bookmarkStart w:id="1" w:name="_Hlk158035760"/>
      <w:r w:rsidR="0020664E">
        <w:rPr>
          <w:rFonts w:cs="Arial"/>
          <w:bCs/>
          <w:sz w:val="22"/>
          <w:szCs w:val="22"/>
        </w:rPr>
        <w:t>Michael George Komane</w:t>
      </w:r>
      <w:bookmarkEnd w:id="1"/>
      <w:r w:rsidR="008D7307">
        <w:rPr>
          <w:rFonts w:cs="Arial"/>
          <w:bCs/>
          <w:sz w:val="22"/>
          <w:szCs w:val="22"/>
        </w:rPr>
        <w:t>, jointly and severally</w:t>
      </w:r>
      <w:r w:rsidR="0020664E">
        <w:rPr>
          <w:rFonts w:cs="Arial"/>
          <w:bCs/>
          <w:sz w:val="22"/>
          <w:szCs w:val="22"/>
        </w:rPr>
        <w:t>.</w:t>
      </w:r>
      <w:r w:rsidR="000A1ABB">
        <w:rPr>
          <w:rFonts w:cs="Arial"/>
          <w:bCs/>
          <w:sz w:val="22"/>
          <w:szCs w:val="22"/>
        </w:rPr>
        <w:t xml:space="preserve"> </w:t>
      </w:r>
      <w:r w:rsidR="008D7307">
        <w:rPr>
          <w:rFonts w:cs="Arial"/>
          <w:bCs/>
          <w:sz w:val="22"/>
          <w:szCs w:val="22"/>
        </w:rPr>
        <w:t xml:space="preserve">The </w:t>
      </w:r>
      <w:r w:rsidR="00FF6542">
        <w:rPr>
          <w:rFonts w:cs="Arial"/>
          <w:bCs/>
          <w:sz w:val="22"/>
          <w:szCs w:val="22"/>
        </w:rPr>
        <w:t xml:space="preserve">second </w:t>
      </w:r>
      <w:r w:rsidR="000A1ABB">
        <w:rPr>
          <w:rFonts w:cs="Arial"/>
          <w:bCs/>
          <w:sz w:val="22"/>
          <w:szCs w:val="22"/>
        </w:rPr>
        <w:t>respondent</w:t>
      </w:r>
      <w:r w:rsidR="008738D1">
        <w:rPr>
          <w:rFonts w:cs="Arial"/>
          <w:bCs/>
          <w:sz w:val="22"/>
          <w:szCs w:val="22"/>
        </w:rPr>
        <w:t>,</w:t>
      </w:r>
      <w:r w:rsidR="00FF6542" w:rsidRPr="00FF6542">
        <w:rPr>
          <w:rFonts w:cs="Arial"/>
          <w:bCs/>
          <w:sz w:val="22"/>
          <w:szCs w:val="22"/>
        </w:rPr>
        <w:t xml:space="preserve"> </w:t>
      </w:r>
      <w:r w:rsidR="00FF6542">
        <w:rPr>
          <w:rFonts w:cs="Arial"/>
          <w:bCs/>
          <w:sz w:val="22"/>
          <w:szCs w:val="22"/>
        </w:rPr>
        <w:t>Michael George Komane</w:t>
      </w:r>
      <w:r w:rsidR="000A1ABB">
        <w:rPr>
          <w:rFonts w:cs="Arial"/>
          <w:bCs/>
          <w:sz w:val="22"/>
          <w:szCs w:val="22"/>
        </w:rPr>
        <w:t xml:space="preserve">, </w:t>
      </w:r>
      <w:r w:rsidR="008738D1">
        <w:rPr>
          <w:rFonts w:cs="Arial"/>
          <w:bCs/>
          <w:sz w:val="22"/>
          <w:szCs w:val="22"/>
        </w:rPr>
        <w:t xml:space="preserve">only </w:t>
      </w:r>
      <w:r w:rsidR="000A1ABB">
        <w:rPr>
          <w:rFonts w:cs="Arial"/>
          <w:bCs/>
          <w:sz w:val="22"/>
          <w:szCs w:val="22"/>
        </w:rPr>
        <w:t>opposed the summary judgment application.</w:t>
      </w:r>
    </w:p>
    <w:p w14:paraId="2A103A34" w14:textId="62F4E76A" w:rsidR="000A1ABB" w:rsidRDefault="000D3ECF" w:rsidP="000D3ECF">
      <w:pPr>
        <w:tabs>
          <w:tab w:val="left" w:pos="680"/>
        </w:tabs>
        <w:spacing w:after="480" w:line="480" w:lineRule="auto"/>
        <w:jc w:val="both"/>
        <w:rPr>
          <w:rFonts w:cs="Arial"/>
          <w:bCs/>
          <w:sz w:val="22"/>
          <w:szCs w:val="22"/>
        </w:rPr>
      </w:pPr>
      <w:r>
        <w:rPr>
          <w:rFonts w:cs="Arial"/>
          <w:bCs/>
          <w:sz w:val="21"/>
          <w:szCs w:val="21"/>
        </w:rPr>
        <w:t>[2]</w:t>
      </w:r>
      <w:r>
        <w:rPr>
          <w:rFonts w:cs="Arial"/>
          <w:bCs/>
          <w:sz w:val="21"/>
          <w:szCs w:val="21"/>
        </w:rPr>
        <w:tab/>
      </w:r>
      <w:r w:rsidR="000A1ABB">
        <w:rPr>
          <w:rFonts w:cs="Arial"/>
          <w:bCs/>
          <w:sz w:val="22"/>
          <w:szCs w:val="22"/>
        </w:rPr>
        <w:t>The applicant claimed summary judgment for payment of the sum of R276 906.21 together with interest at the rate of 9.57% per annum with effect from 1 August 2022 to date of payment, both dates inclusive, an order declari</w:t>
      </w:r>
      <w:r w:rsidR="001436A2">
        <w:rPr>
          <w:rFonts w:cs="Arial"/>
          <w:bCs/>
          <w:sz w:val="22"/>
          <w:szCs w:val="22"/>
        </w:rPr>
        <w:t>ng the immovable property, Erf […]</w:t>
      </w:r>
      <w:r w:rsidR="000A1ABB">
        <w:rPr>
          <w:rFonts w:cs="Arial"/>
          <w:bCs/>
          <w:sz w:val="22"/>
          <w:szCs w:val="22"/>
        </w:rPr>
        <w:t xml:space="preserve"> M</w:t>
      </w:r>
      <w:r w:rsidR="001436A2">
        <w:rPr>
          <w:rFonts w:cs="Arial"/>
          <w:bCs/>
          <w:sz w:val="22"/>
          <w:szCs w:val="22"/>
        </w:rPr>
        <w:t>[…]</w:t>
      </w:r>
      <w:r w:rsidR="000A1ABB">
        <w:rPr>
          <w:rFonts w:cs="Arial"/>
          <w:bCs/>
          <w:sz w:val="22"/>
          <w:szCs w:val="22"/>
        </w:rPr>
        <w:t xml:space="preserve"> Ext 11 Township (“the immovable property”), the authorisation of a writ of execution and that a reserve price be set</w:t>
      </w:r>
      <w:r w:rsidR="008738D1">
        <w:rPr>
          <w:rFonts w:cs="Arial"/>
          <w:bCs/>
          <w:sz w:val="22"/>
          <w:szCs w:val="22"/>
        </w:rPr>
        <w:t xml:space="preserve"> for</w:t>
      </w:r>
      <w:r w:rsidR="000A1ABB">
        <w:rPr>
          <w:rFonts w:cs="Arial"/>
          <w:bCs/>
          <w:sz w:val="22"/>
          <w:szCs w:val="22"/>
        </w:rPr>
        <w:t xml:space="preserve"> the sale of the immovable property. The proceedings are based on a loan agreement concluded between the applicant and the respondents, the debt being secured by a mortgage bond registered in favour of the applicant over the immovable property. The respondents are the registered co-owners of the immovable property and </w:t>
      </w:r>
      <w:r w:rsidR="00FF6542">
        <w:rPr>
          <w:rFonts w:cs="Arial"/>
          <w:bCs/>
          <w:sz w:val="22"/>
          <w:szCs w:val="22"/>
        </w:rPr>
        <w:t>d</w:t>
      </w:r>
      <w:r w:rsidR="000A1ABB">
        <w:rPr>
          <w:rFonts w:cs="Arial"/>
          <w:bCs/>
          <w:sz w:val="22"/>
          <w:szCs w:val="22"/>
        </w:rPr>
        <w:t>ebtors under the mortgage bond.</w:t>
      </w:r>
    </w:p>
    <w:p w14:paraId="4B95B8D4" w14:textId="7AE94B26" w:rsidR="000A1ABB" w:rsidRDefault="000D3ECF" w:rsidP="000D3ECF">
      <w:pPr>
        <w:tabs>
          <w:tab w:val="left" w:pos="680"/>
        </w:tabs>
        <w:spacing w:after="480" w:line="480" w:lineRule="auto"/>
        <w:jc w:val="both"/>
        <w:rPr>
          <w:rFonts w:cs="Arial"/>
          <w:bCs/>
          <w:sz w:val="22"/>
          <w:szCs w:val="22"/>
        </w:rPr>
      </w:pPr>
      <w:r>
        <w:rPr>
          <w:rFonts w:cs="Arial"/>
          <w:bCs/>
          <w:sz w:val="21"/>
          <w:szCs w:val="21"/>
        </w:rPr>
        <w:t>[3]</w:t>
      </w:r>
      <w:r>
        <w:rPr>
          <w:rFonts w:cs="Arial"/>
          <w:bCs/>
          <w:sz w:val="21"/>
          <w:szCs w:val="21"/>
        </w:rPr>
        <w:tab/>
      </w:r>
      <w:r w:rsidR="000A1ABB">
        <w:rPr>
          <w:rFonts w:cs="Arial"/>
          <w:bCs/>
          <w:sz w:val="22"/>
          <w:szCs w:val="22"/>
        </w:rPr>
        <w:t>The</w:t>
      </w:r>
      <w:bookmarkStart w:id="2" w:name="_Hlk158035527"/>
      <w:r w:rsidR="00FF6542">
        <w:rPr>
          <w:rFonts w:cs="Arial"/>
          <w:bCs/>
          <w:sz w:val="22"/>
          <w:szCs w:val="22"/>
        </w:rPr>
        <w:t xml:space="preserve"> second</w:t>
      </w:r>
      <w:r w:rsidR="008738D1">
        <w:rPr>
          <w:rFonts w:cs="Arial"/>
          <w:bCs/>
          <w:sz w:val="22"/>
          <w:szCs w:val="22"/>
        </w:rPr>
        <w:t xml:space="preserve"> </w:t>
      </w:r>
      <w:bookmarkEnd w:id="2"/>
      <w:r w:rsidR="000A1ABB">
        <w:rPr>
          <w:rFonts w:cs="Arial"/>
          <w:bCs/>
          <w:sz w:val="22"/>
          <w:szCs w:val="22"/>
        </w:rPr>
        <w:t>respondent raised various defences to the summary judgment application. I deal with each defence in turn.</w:t>
      </w:r>
    </w:p>
    <w:p w14:paraId="49E071FC" w14:textId="76FD9FD3" w:rsidR="000A1ABB" w:rsidRDefault="000D3ECF" w:rsidP="000D3ECF">
      <w:pPr>
        <w:tabs>
          <w:tab w:val="left" w:pos="680"/>
        </w:tabs>
        <w:spacing w:after="480" w:line="480" w:lineRule="auto"/>
        <w:jc w:val="both"/>
        <w:rPr>
          <w:rFonts w:cs="Arial"/>
          <w:bCs/>
          <w:sz w:val="22"/>
          <w:szCs w:val="22"/>
        </w:rPr>
      </w:pPr>
      <w:r>
        <w:rPr>
          <w:rFonts w:cs="Arial"/>
          <w:bCs/>
          <w:sz w:val="21"/>
          <w:szCs w:val="21"/>
        </w:rPr>
        <w:t>[4]</w:t>
      </w:r>
      <w:r>
        <w:rPr>
          <w:rFonts w:cs="Arial"/>
          <w:bCs/>
          <w:sz w:val="21"/>
          <w:szCs w:val="21"/>
        </w:rPr>
        <w:tab/>
      </w:r>
      <w:r w:rsidR="000A1ABB">
        <w:rPr>
          <w:rFonts w:cs="Arial"/>
          <w:bCs/>
          <w:sz w:val="22"/>
          <w:szCs w:val="22"/>
        </w:rPr>
        <w:t xml:space="preserve">The </w:t>
      </w:r>
      <w:r w:rsidR="00FF6542">
        <w:rPr>
          <w:rFonts w:cs="Arial"/>
          <w:bCs/>
          <w:sz w:val="22"/>
          <w:szCs w:val="22"/>
        </w:rPr>
        <w:t>second</w:t>
      </w:r>
      <w:r w:rsidR="008738D1">
        <w:rPr>
          <w:rFonts w:cs="Arial"/>
          <w:bCs/>
          <w:sz w:val="22"/>
          <w:szCs w:val="22"/>
        </w:rPr>
        <w:t xml:space="preserve"> </w:t>
      </w:r>
      <w:r w:rsidR="000A1ABB">
        <w:rPr>
          <w:rFonts w:cs="Arial"/>
          <w:bCs/>
          <w:sz w:val="22"/>
          <w:szCs w:val="22"/>
        </w:rPr>
        <w:t>respondent argued that th</w:t>
      </w:r>
      <w:r w:rsidR="00FF6542">
        <w:rPr>
          <w:rFonts w:cs="Arial"/>
          <w:bCs/>
          <w:sz w:val="22"/>
          <w:szCs w:val="22"/>
        </w:rPr>
        <w:t>e first</w:t>
      </w:r>
      <w:r w:rsidR="008738D1">
        <w:rPr>
          <w:rFonts w:cs="Arial"/>
          <w:bCs/>
          <w:sz w:val="22"/>
          <w:szCs w:val="22"/>
        </w:rPr>
        <w:t xml:space="preserve"> </w:t>
      </w:r>
      <w:r w:rsidR="000A1ABB">
        <w:rPr>
          <w:rFonts w:cs="Arial"/>
          <w:bCs/>
          <w:sz w:val="22"/>
          <w:szCs w:val="22"/>
        </w:rPr>
        <w:t>respondent had a material interest in the proceedings and that the</w:t>
      </w:r>
      <w:r w:rsidR="008738D1">
        <w:rPr>
          <w:rFonts w:cs="Arial"/>
          <w:bCs/>
          <w:sz w:val="22"/>
          <w:szCs w:val="22"/>
        </w:rPr>
        <w:t xml:space="preserve"> latter</w:t>
      </w:r>
      <w:r w:rsidR="000A1ABB">
        <w:rPr>
          <w:rFonts w:cs="Arial"/>
          <w:bCs/>
          <w:sz w:val="22"/>
          <w:szCs w:val="22"/>
        </w:rPr>
        <w:t xml:space="preserve"> had no knowledge of the proceedings. The</w:t>
      </w:r>
      <w:r w:rsidR="00FF6542">
        <w:rPr>
          <w:rFonts w:cs="Arial"/>
          <w:bCs/>
          <w:sz w:val="22"/>
          <w:szCs w:val="22"/>
        </w:rPr>
        <w:t xml:space="preserve"> second</w:t>
      </w:r>
      <w:r w:rsidR="008738D1">
        <w:rPr>
          <w:rFonts w:cs="Arial"/>
          <w:bCs/>
          <w:sz w:val="22"/>
          <w:szCs w:val="22"/>
        </w:rPr>
        <w:t xml:space="preserve"> </w:t>
      </w:r>
      <w:r w:rsidR="00FF6542">
        <w:rPr>
          <w:rFonts w:cs="Arial"/>
          <w:bCs/>
          <w:sz w:val="22"/>
          <w:szCs w:val="22"/>
        </w:rPr>
        <w:t xml:space="preserve"> </w:t>
      </w:r>
      <w:r w:rsidR="000A1ABB">
        <w:rPr>
          <w:rFonts w:cs="Arial"/>
          <w:bCs/>
          <w:sz w:val="22"/>
          <w:szCs w:val="22"/>
        </w:rPr>
        <w:t>respondent’s counsel at the hearing pertinently failed to consider the order for substituted service on the</w:t>
      </w:r>
      <w:r w:rsidR="00FF6542">
        <w:rPr>
          <w:rFonts w:cs="Arial"/>
          <w:bCs/>
          <w:sz w:val="22"/>
          <w:szCs w:val="22"/>
        </w:rPr>
        <w:t xml:space="preserve"> first </w:t>
      </w:r>
      <w:r w:rsidR="000A1ABB">
        <w:rPr>
          <w:rFonts w:cs="Arial"/>
          <w:bCs/>
          <w:sz w:val="22"/>
          <w:szCs w:val="22"/>
        </w:rPr>
        <w:t xml:space="preserve">respondent and the delivery by registered post of </w:t>
      </w:r>
      <w:r w:rsidR="008738D1">
        <w:rPr>
          <w:rFonts w:cs="Arial"/>
          <w:bCs/>
          <w:sz w:val="22"/>
          <w:szCs w:val="22"/>
        </w:rPr>
        <w:t xml:space="preserve">the </w:t>
      </w:r>
      <w:r w:rsidR="000A1ABB">
        <w:rPr>
          <w:rFonts w:cs="Arial"/>
          <w:bCs/>
          <w:sz w:val="22"/>
          <w:szCs w:val="22"/>
        </w:rPr>
        <w:t xml:space="preserve">notice in terms of </w:t>
      </w:r>
      <w:r w:rsidR="008738D1">
        <w:rPr>
          <w:rFonts w:cs="Arial"/>
          <w:bCs/>
          <w:sz w:val="22"/>
          <w:szCs w:val="22"/>
        </w:rPr>
        <w:t xml:space="preserve">s </w:t>
      </w:r>
      <w:r w:rsidR="000A1ABB">
        <w:rPr>
          <w:rFonts w:cs="Arial"/>
          <w:bCs/>
          <w:sz w:val="22"/>
          <w:szCs w:val="22"/>
        </w:rPr>
        <w:t>129 of the National Credit Act, 34 of 2005 (“the Act”) upon the respondents as well as service of the application for summary judgment</w:t>
      </w:r>
      <w:r w:rsidR="008738D1">
        <w:rPr>
          <w:rFonts w:cs="Arial"/>
          <w:bCs/>
          <w:sz w:val="22"/>
          <w:szCs w:val="22"/>
        </w:rPr>
        <w:t xml:space="preserve"> and</w:t>
      </w:r>
      <w:r w:rsidR="000A1ABB">
        <w:rPr>
          <w:rFonts w:cs="Arial"/>
          <w:bCs/>
          <w:sz w:val="22"/>
          <w:szCs w:val="22"/>
        </w:rPr>
        <w:t xml:space="preserve"> the notice of set down of the hearing before me upon the</w:t>
      </w:r>
      <w:r w:rsidR="00FF6542">
        <w:rPr>
          <w:rFonts w:cs="Arial"/>
          <w:bCs/>
          <w:sz w:val="22"/>
          <w:szCs w:val="22"/>
        </w:rPr>
        <w:t xml:space="preserve"> first</w:t>
      </w:r>
      <w:r w:rsidR="008738D1">
        <w:rPr>
          <w:rFonts w:cs="Arial"/>
          <w:bCs/>
          <w:sz w:val="22"/>
          <w:szCs w:val="22"/>
        </w:rPr>
        <w:t xml:space="preserve"> </w:t>
      </w:r>
      <w:r w:rsidR="000A1ABB">
        <w:rPr>
          <w:rFonts w:cs="Arial"/>
          <w:bCs/>
          <w:sz w:val="22"/>
          <w:szCs w:val="22"/>
        </w:rPr>
        <w:t>respondent in terms of the order for substituted service.</w:t>
      </w:r>
    </w:p>
    <w:p w14:paraId="4281A9A3" w14:textId="3CED4F07" w:rsidR="00F40996" w:rsidRDefault="000D3ECF" w:rsidP="000D3ECF">
      <w:pPr>
        <w:tabs>
          <w:tab w:val="left" w:pos="680"/>
        </w:tabs>
        <w:spacing w:after="480" w:line="480" w:lineRule="auto"/>
        <w:jc w:val="both"/>
        <w:rPr>
          <w:rFonts w:cs="Arial"/>
          <w:bCs/>
          <w:sz w:val="22"/>
          <w:szCs w:val="22"/>
        </w:rPr>
      </w:pPr>
      <w:r>
        <w:rPr>
          <w:rFonts w:cs="Arial"/>
          <w:bCs/>
          <w:sz w:val="21"/>
          <w:szCs w:val="21"/>
        </w:rPr>
        <w:t>[5]</w:t>
      </w:r>
      <w:r>
        <w:rPr>
          <w:rFonts w:cs="Arial"/>
          <w:bCs/>
          <w:sz w:val="21"/>
          <w:szCs w:val="21"/>
        </w:rPr>
        <w:tab/>
      </w:r>
      <w:r w:rsidR="000A1ABB" w:rsidRPr="00F40996">
        <w:rPr>
          <w:rFonts w:cs="Arial"/>
          <w:bCs/>
          <w:sz w:val="22"/>
          <w:szCs w:val="22"/>
        </w:rPr>
        <w:t>The applicant demonstrated however that the notice in terms of</w:t>
      </w:r>
      <w:r w:rsidR="00FF6542">
        <w:rPr>
          <w:rFonts w:cs="Arial"/>
          <w:bCs/>
          <w:sz w:val="22"/>
          <w:szCs w:val="22"/>
        </w:rPr>
        <w:t xml:space="preserve"> s</w:t>
      </w:r>
      <w:r w:rsidR="00101B29">
        <w:rPr>
          <w:rFonts w:cs="Arial"/>
          <w:bCs/>
          <w:sz w:val="22"/>
          <w:szCs w:val="22"/>
        </w:rPr>
        <w:t> </w:t>
      </w:r>
      <w:r w:rsidR="000A1ABB" w:rsidRPr="00F40996">
        <w:rPr>
          <w:rFonts w:cs="Arial"/>
          <w:bCs/>
          <w:sz w:val="22"/>
          <w:szCs w:val="22"/>
        </w:rPr>
        <w:t>129 and</w:t>
      </w:r>
      <w:r w:rsidR="00FF6542">
        <w:rPr>
          <w:rFonts w:cs="Arial"/>
          <w:bCs/>
          <w:sz w:val="22"/>
          <w:szCs w:val="22"/>
        </w:rPr>
        <w:t xml:space="preserve"> s</w:t>
      </w:r>
      <w:r w:rsidR="00101B29">
        <w:rPr>
          <w:rFonts w:cs="Arial"/>
          <w:bCs/>
          <w:sz w:val="22"/>
          <w:szCs w:val="22"/>
        </w:rPr>
        <w:t> </w:t>
      </w:r>
      <w:r w:rsidR="000A1ABB" w:rsidRPr="00F40996">
        <w:rPr>
          <w:rFonts w:cs="Arial"/>
          <w:bCs/>
          <w:sz w:val="22"/>
          <w:szCs w:val="22"/>
        </w:rPr>
        <w:t xml:space="preserve">130 of the Act was delivered to the respondents’ chosen address, being the </w:t>
      </w:r>
      <w:r w:rsidR="00F40996" w:rsidRPr="00F40996">
        <w:rPr>
          <w:rFonts w:cs="Arial"/>
          <w:bCs/>
          <w:sz w:val="22"/>
          <w:szCs w:val="22"/>
        </w:rPr>
        <w:t xml:space="preserve">first respondent’s </w:t>
      </w:r>
      <w:r w:rsidR="00F40996" w:rsidRPr="00F40996">
        <w:rPr>
          <w:rFonts w:cs="Arial"/>
          <w:bCs/>
          <w:sz w:val="22"/>
          <w:szCs w:val="22"/>
        </w:rPr>
        <w:lastRenderedPageBreak/>
        <w:t>email address chosen in terms of the respondents’ home loan agreement. In addition, the applicant show</w:t>
      </w:r>
      <w:r w:rsidR="00F40996">
        <w:rPr>
          <w:rFonts w:cs="Arial"/>
          <w:bCs/>
          <w:sz w:val="22"/>
          <w:szCs w:val="22"/>
        </w:rPr>
        <w:t>ed</w:t>
      </w:r>
      <w:r w:rsidR="00F40996" w:rsidRPr="00F40996">
        <w:rPr>
          <w:rFonts w:cs="Arial"/>
          <w:bCs/>
          <w:sz w:val="22"/>
          <w:szCs w:val="22"/>
        </w:rPr>
        <w:t xml:space="preserve"> that </w:t>
      </w:r>
      <w:r w:rsidR="00FF6542">
        <w:rPr>
          <w:rFonts w:cs="Arial"/>
          <w:bCs/>
          <w:sz w:val="22"/>
          <w:szCs w:val="22"/>
        </w:rPr>
        <w:t>a</w:t>
      </w:r>
      <w:r w:rsidR="00F40996" w:rsidRPr="00F40996">
        <w:rPr>
          <w:rFonts w:cs="Arial"/>
          <w:bCs/>
          <w:sz w:val="22"/>
          <w:szCs w:val="22"/>
        </w:rPr>
        <w:t>n order for substituted service on the first respondent was granted by this Court on 28</w:t>
      </w:r>
      <w:r w:rsidR="00101B29">
        <w:rPr>
          <w:rFonts w:cs="Arial"/>
          <w:bCs/>
          <w:sz w:val="22"/>
          <w:szCs w:val="22"/>
        </w:rPr>
        <w:t> </w:t>
      </w:r>
      <w:r w:rsidR="00F40996" w:rsidRPr="00F40996">
        <w:rPr>
          <w:rFonts w:cs="Arial"/>
          <w:bCs/>
          <w:sz w:val="22"/>
          <w:szCs w:val="22"/>
        </w:rPr>
        <w:t>November 2022 and that the applicant complied with the order in respect of the application for summary judgment and the notice of set down in respect of the hearing before me, upon the first respondent. As regards</w:t>
      </w:r>
      <w:r w:rsidR="00F40996">
        <w:rPr>
          <w:rFonts w:cs="Arial"/>
          <w:bCs/>
          <w:sz w:val="22"/>
          <w:szCs w:val="22"/>
        </w:rPr>
        <w:t xml:space="preserve"> the notice in terms of </w:t>
      </w:r>
      <w:r w:rsidR="00FF6542">
        <w:rPr>
          <w:rFonts w:cs="Arial"/>
          <w:bCs/>
          <w:sz w:val="22"/>
          <w:szCs w:val="22"/>
        </w:rPr>
        <w:t xml:space="preserve"> s </w:t>
      </w:r>
      <w:r w:rsidR="00F40996">
        <w:rPr>
          <w:rFonts w:cs="Arial"/>
          <w:bCs/>
          <w:sz w:val="22"/>
          <w:szCs w:val="22"/>
        </w:rPr>
        <w:t xml:space="preserve">129 of the Act, service took place by registered on both the first and second respondents at Stand </w:t>
      </w:r>
      <w:r w:rsidR="001436A2">
        <w:rPr>
          <w:rFonts w:cs="Arial"/>
          <w:bCs/>
          <w:sz w:val="22"/>
          <w:szCs w:val="22"/>
        </w:rPr>
        <w:t>[…]</w:t>
      </w:r>
      <w:r w:rsidR="00F40996">
        <w:rPr>
          <w:rFonts w:cs="Arial"/>
          <w:bCs/>
          <w:sz w:val="22"/>
          <w:szCs w:val="22"/>
        </w:rPr>
        <w:t xml:space="preserve"> M</w:t>
      </w:r>
      <w:r w:rsidR="001436A2">
        <w:rPr>
          <w:rFonts w:cs="Arial"/>
          <w:bCs/>
          <w:sz w:val="22"/>
          <w:szCs w:val="22"/>
        </w:rPr>
        <w:t>[…]</w:t>
      </w:r>
      <w:r w:rsidR="00F40996">
        <w:rPr>
          <w:rFonts w:cs="Arial"/>
          <w:bCs/>
          <w:sz w:val="22"/>
          <w:szCs w:val="22"/>
        </w:rPr>
        <w:t xml:space="preserve"> Ext 11 Zone 91852, being the immovable property and the respondents’ chosen </w:t>
      </w:r>
      <w:r w:rsidR="00F40996" w:rsidRPr="00FF6542">
        <w:rPr>
          <w:rFonts w:cs="Arial"/>
          <w:bCs/>
          <w:i/>
          <w:iCs/>
          <w:sz w:val="22"/>
          <w:szCs w:val="22"/>
        </w:rPr>
        <w:t>domicilium</w:t>
      </w:r>
      <w:r w:rsidR="00F40996">
        <w:rPr>
          <w:rFonts w:cs="Arial"/>
          <w:bCs/>
          <w:sz w:val="22"/>
          <w:szCs w:val="22"/>
        </w:rPr>
        <w:t xml:space="preserve"> address. The applicant showed that the </w:t>
      </w:r>
      <w:r w:rsidR="006578EB">
        <w:rPr>
          <w:rFonts w:cs="Arial"/>
          <w:bCs/>
          <w:sz w:val="22"/>
          <w:szCs w:val="22"/>
        </w:rPr>
        <w:t xml:space="preserve">notices arrived at the Meadowlands Post Office being the correct post office, which post office duly dispatched to the respondents notice of receipt of the registered item and to which the respondents did not react. </w:t>
      </w:r>
    </w:p>
    <w:p w14:paraId="0355AAEF" w14:textId="091D1CFA" w:rsidR="006578EB" w:rsidRDefault="000D3ECF" w:rsidP="000D3ECF">
      <w:pPr>
        <w:tabs>
          <w:tab w:val="left" w:pos="680"/>
        </w:tabs>
        <w:spacing w:after="480" w:line="480" w:lineRule="auto"/>
        <w:jc w:val="both"/>
        <w:rPr>
          <w:rFonts w:cs="Arial"/>
          <w:bCs/>
          <w:sz w:val="22"/>
          <w:szCs w:val="22"/>
        </w:rPr>
      </w:pPr>
      <w:r>
        <w:rPr>
          <w:rFonts w:cs="Arial"/>
          <w:bCs/>
          <w:sz w:val="21"/>
          <w:szCs w:val="21"/>
        </w:rPr>
        <w:t>[6]</w:t>
      </w:r>
      <w:r>
        <w:rPr>
          <w:rFonts w:cs="Arial"/>
          <w:bCs/>
          <w:sz w:val="21"/>
          <w:szCs w:val="21"/>
        </w:rPr>
        <w:tab/>
      </w:r>
      <w:r w:rsidR="006578EB">
        <w:rPr>
          <w:rFonts w:cs="Arial"/>
          <w:bCs/>
          <w:sz w:val="22"/>
          <w:szCs w:val="22"/>
        </w:rPr>
        <w:t xml:space="preserve">The Constitutional Court in </w:t>
      </w:r>
      <w:r w:rsidR="006578EB">
        <w:rPr>
          <w:rFonts w:cs="Arial"/>
          <w:bCs/>
          <w:i/>
          <w:sz w:val="22"/>
          <w:szCs w:val="22"/>
        </w:rPr>
        <w:t>Kubyana v Standard Bank of South Africa Ltd</w:t>
      </w:r>
      <w:r w:rsidR="006578EB">
        <w:rPr>
          <w:rStyle w:val="FootnoteReference"/>
          <w:rFonts w:cs="Arial"/>
          <w:bCs/>
          <w:i/>
          <w:sz w:val="22"/>
          <w:szCs w:val="22"/>
        </w:rPr>
        <w:footnoteReference w:id="1"/>
      </w:r>
      <w:r w:rsidR="006578EB">
        <w:rPr>
          <w:rFonts w:cs="Arial"/>
          <w:bCs/>
          <w:sz w:val="22"/>
          <w:szCs w:val="22"/>
        </w:rPr>
        <w:t xml:space="preserve"> made it clear that a creditor is not obliged to ensure subjective knowledge or personal receipt by a debtor of a notice in terms of </w:t>
      </w:r>
      <w:r w:rsidR="00FF6542">
        <w:rPr>
          <w:rFonts w:cs="Arial"/>
          <w:bCs/>
          <w:sz w:val="22"/>
          <w:szCs w:val="22"/>
        </w:rPr>
        <w:t xml:space="preserve">s </w:t>
      </w:r>
      <w:r w:rsidR="006578EB">
        <w:rPr>
          <w:rFonts w:cs="Arial"/>
          <w:bCs/>
          <w:sz w:val="22"/>
          <w:szCs w:val="22"/>
        </w:rPr>
        <w:t xml:space="preserve">129 of the Act. Furthermore, </w:t>
      </w:r>
      <w:r w:rsidR="00FF6542">
        <w:rPr>
          <w:rFonts w:cs="Arial"/>
          <w:bCs/>
          <w:sz w:val="22"/>
          <w:szCs w:val="22"/>
        </w:rPr>
        <w:t xml:space="preserve">the </w:t>
      </w:r>
      <w:r w:rsidR="006578EB">
        <w:rPr>
          <w:rFonts w:cs="Arial"/>
          <w:bCs/>
          <w:sz w:val="22"/>
          <w:szCs w:val="22"/>
        </w:rPr>
        <w:t xml:space="preserve">procedure utilised by the applicant to deliver the </w:t>
      </w:r>
      <w:r w:rsidR="00FF6542">
        <w:rPr>
          <w:rFonts w:cs="Arial"/>
          <w:bCs/>
          <w:sz w:val="22"/>
          <w:szCs w:val="22"/>
        </w:rPr>
        <w:t>s</w:t>
      </w:r>
      <w:r w:rsidR="00101B29">
        <w:rPr>
          <w:rFonts w:cs="Arial"/>
          <w:bCs/>
          <w:sz w:val="22"/>
          <w:szCs w:val="22"/>
        </w:rPr>
        <w:t> </w:t>
      </w:r>
      <w:r w:rsidR="006578EB">
        <w:rPr>
          <w:rFonts w:cs="Arial"/>
          <w:bCs/>
          <w:sz w:val="22"/>
          <w:szCs w:val="22"/>
        </w:rPr>
        <w:t xml:space="preserve">129 notice to the respondents complies with the requirements set out by the Constitutional Court in </w:t>
      </w:r>
      <w:r w:rsidR="006578EB">
        <w:rPr>
          <w:rFonts w:cs="Arial"/>
          <w:bCs/>
          <w:i/>
          <w:sz w:val="22"/>
          <w:szCs w:val="22"/>
        </w:rPr>
        <w:t>Kubyana</w:t>
      </w:r>
      <w:r w:rsidR="006578EB">
        <w:rPr>
          <w:rFonts w:cs="Arial"/>
          <w:bCs/>
          <w:sz w:val="22"/>
          <w:szCs w:val="22"/>
        </w:rPr>
        <w:t xml:space="preserve"> and is sufficient given the absence o</w:t>
      </w:r>
      <w:r w:rsidR="00FF6542">
        <w:rPr>
          <w:rFonts w:cs="Arial"/>
          <w:bCs/>
          <w:sz w:val="22"/>
          <w:szCs w:val="22"/>
        </w:rPr>
        <w:t>f</w:t>
      </w:r>
      <w:r w:rsidR="006578EB">
        <w:rPr>
          <w:rFonts w:cs="Arial"/>
          <w:bCs/>
          <w:sz w:val="22"/>
          <w:szCs w:val="22"/>
        </w:rPr>
        <w:t xml:space="preserve"> any special circumstances alleged by the respondents as to why the second respondent did not retrieve the notice from the post office. No such special circumstances were alleged by the second respondent.</w:t>
      </w:r>
    </w:p>
    <w:p w14:paraId="088B48B4" w14:textId="0C5DE4BF" w:rsidR="006578EB" w:rsidRDefault="000D3ECF" w:rsidP="000D3ECF">
      <w:pPr>
        <w:tabs>
          <w:tab w:val="left" w:pos="680"/>
        </w:tabs>
        <w:spacing w:after="480" w:line="480" w:lineRule="auto"/>
        <w:jc w:val="both"/>
        <w:rPr>
          <w:rFonts w:cs="Arial"/>
          <w:bCs/>
          <w:sz w:val="22"/>
          <w:szCs w:val="22"/>
        </w:rPr>
      </w:pPr>
      <w:r>
        <w:rPr>
          <w:rFonts w:cs="Arial"/>
          <w:bCs/>
          <w:sz w:val="21"/>
          <w:szCs w:val="21"/>
        </w:rPr>
        <w:t>[7]</w:t>
      </w:r>
      <w:r>
        <w:rPr>
          <w:rFonts w:cs="Arial"/>
          <w:bCs/>
          <w:sz w:val="21"/>
          <w:szCs w:val="21"/>
        </w:rPr>
        <w:tab/>
      </w:r>
      <w:r w:rsidR="006578EB">
        <w:rPr>
          <w:rFonts w:cs="Arial"/>
          <w:bCs/>
          <w:sz w:val="22"/>
          <w:szCs w:val="22"/>
        </w:rPr>
        <w:t xml:space="preserve">Furthermore, the applicant referred to </w:t>
      </w:r>
      <w:r w:rsidR="006578EB">
        <w:rPr>
          <w:rFonts w:cs="Arial"/>
          <w:bCs/>
          <w:i/>
          <w:sz w:val="22"/>
          <w:szCs w:val="22"/>
        </w:rPr>
        <w:t>Amcoal Collieries Ltd v Truter</w:t>
      </w:r>
      <w:r w:rsidR="006578EB">
        <w:rPr>
          <w:rStyle w:val="FootnoteReference"/>
          <w:rFonts w:cs="Arial"/>
          <w:bCs/>
          <w:i/>
          <w:sz w:val="22"/>
          <w:szCs w:val="22"/>
        </w:rPr>
        <w:footnoteReference w:id="2"/>
      </w:r>
      <w:r w:rsidR="00101B29">
        <w:rPr>
          <w:rFonts w:cs="Arial"/>
          <w:bCs/>
          <w:sz w:val="22"/>
          <w:szCs w:val="22"/>
        </w:rPr>
        <w:t xml:space="preserve"> in which the SCA held that parties may nominate an address for service of notices in contracts and compliance therewith, being service </w:t>
      </w:r>
      <w:r w:rsidR="00FF6542">
        <w:rPr>
          <w:rFonts w:cs="Arial"/>
          <w:bCs/>
          <w:sz w:val="22"/>
          <w:szCs w:val="22"/>
        </w:rPr>
        <w:t xml:space="preserve">at the chosen </w:t>
      </w:r>
      <w:r w:rsidR="00101B29">
        <w:rPr>
          <w:rFonts w:cs="Arial"/>
          <w:bCs/>
          <w:sz w:val="22"/>
          <w:szCs w:val="22"/>
        </w:rPr>
        <w:t xml:space="preserve">address, is good service, equivalent </w:t>
      </w:r>
      <w:r w:rsidR="00101B29">
        <w:rPr>
          <w:rFonts w:cs="Arial"/>
          <w:bCs/>
          <w:sz w:val="22"/>
          <w:szCs w:val="22"/>
        </w:rPr>
        <w:lastRenderedPageBreak/>
        <w:t>to service on a domicilium address</w:t>
      </w:r>
      <w:r w:rsidR="00FF6542">
        <w:rPr>
          <w:rFonts w:cs="Arial"/>
          <w:bCs/>
          <w:sz w:val="22"/>
          <w:szCs w:val="22"/>
        </w:rPr>
        <w:t>,</w:t>
      </w:r>
      <w:r w:rsidR="00101B29">
        <w:rPr>
          <w:rFonts w:cs="Arial"/>
          <w:bCs/>
          <w:sz w:val="22"/>
          <w:szCs w:val="22"/>
        </w:rPr>
        <w:t xml:space="preserve"> whether or not the addressee is present at the relevant time.</w:t>
      </w:r>
    </w:p>
    <w:p w14:paraId="6270C581" w14:textId="73E752BC" w:rsidR="00101B29" w:rsidRDefault="000D3ECF" w:rsidP="000D3ECF">
      <w:pPr>
        <w:tabs>
          <w:tab w:val="left" w:pos="680"/>
        </w:tabs>
        <w:spacing w:after="480" w:line="480" w:lineRule="auto"/>
        <w:jc w:val="both"/>
        <w:rPr>
          <w:rFonts w:cs="Arial"/>
          <w:bCs/>
          <w:sz w:val="22"/>
          <w:szCs w:val="22"/>
        </w:rPr>
      </w:pPr>
      <w:r>
        <w:rPr>
          <w:rFonts w:cs="Arial"/>
          <w:bCs/>
          <w:sz w:val="21"/>
          <w:szCs w:val="21"/>
        </w:rPr>
        <w:t>[8]</w:t>
      </w:r>
      <w:r>
        <w:rPr>
          <w:rFonts w:cs="Arial"/>
          <w:bCs/>
          <w:sz w:val="21"/>
          <w:szCs w:val="21"/>
        </w:rPr>
        <w:tab/>
      </w:r>
      <w:r w:rsidR="00101B29">
        <w:rPr>
          <w:rFonts w:cs="Arial"/>
          <w:bCs/>
          <w:sz w:val="22"/>
          <w:szCs w:val="22"/>
        </w:rPr>
        <w:t xml:space="preserve">Accordingly, the applicant discharged its obligations in terms of </w:t>
      </w:r>
      <w:r w:rsidR="00FF6542">
        <w:rPr>
          <w:rFonts w:cs="Arial"/>
          <w:bCs/>
          <w:sz w:val="22"/>
          <w:szCs w:val="22"/>
        </w:rPr>
        <w:t xml:space="preserve">s </w:t>
      </w:r>
      <w:r w:rsidR="00101B29">
        <w:rPr>
          <w:rFonts w:cs="Arial"/>
          <w:bCs/>
          <w:sz w:val="22"/>
          <w:szCs w:val="22"/>
        </w:rPr>
        <w:t xml:space="preserve">129 of the Act and the applicant is entitled to enforce the credit agreement. </w:t>
      </w:r>
    </w:p>
    <w:p w14:paraId="1B55D4D6" w14:textId="62A1CAA0" w:rsidR="00101B29" w:rsidRDefault="000D3ECF" w:rsidP="000D3ECF">
      <w:pPr>
        <w:tabs>
          <w:tab w:val="left" w:pos="680"/>
        </w:tabs>
        <w:spacing w:after="480" w:line="480" w:lineRule="auto"/>
        <w:jc w:val="both"/>
        <w:rPr>
          <w:rFonts w:cs="Arial"/>
          <w:bCs/>
          <w:sz w:val="22"/>
          <w:szCs w:val="22"/>
        </w:rPr>
      </w:pPr>
      <w:r>
        <w:rPr>
          <w:rFonts w:cs="Arial"/>
          <w:bCs/>
          <w:sz w:val="21"/>
          <w:szCs w:val="21"/>
        </w:rPr>
        <w:t>[9]</w:t>
      </w:r>
      <w:r>
        <w:rPr>
          <w:rFonts w:cs="Arial"/>
          <w:bCs/>
          <w:sz w:val="21"/>
          <w:szCs w:val="21"/>
        </w:rPr>
        <w:tab/>
      </w:r>
      <w:r w:rsidR="00101B29">
        <w:rPr>
          <w:rFonts w:cs="Arial"/>
          <w:bCs/>
          <w:sz w:val="22"/>
          <w:szCs w:val="22"/>
        </w:rPr>
        <w:t xml:space="preserve">Furthermore, this being an application that invokes Rule 46A, the applicant served the papers </w:t>
      </w:r>
      <w:r w:rsidR="00FF6542">
        <w:rPr>
          <w:rFonts w:cs="Arial"/>
          <w:bCs/>
          <w:sz w:val="22"/>
          <w:szCs w:val="22"/>
        </w:rPr>
        <w:t>in the</w:t>
      </w:r>
      <w:r w:rsidR="00101B29">
        <w:rPr>
          <w:rFonts w:cs="Arial"/>
          <w:bCs/>
          <w:sz w:val="22"/>
          <w:szCs w:val="22"/>
        </w:rPr>
        <w:t xml:space="preserve"> application for default judgment upon the City of Johannesburg Metropolitan Municipality. It must be stated, however, that the application for default judgment was abandoned by the applicant wh</w:t>
      </w:r>
      <w:r w:rsidR="00FF6542">
        <w:rPr>
          <w:rFonts w:cs="Arial"/>
          <w:bCs/>
          <w:sz w:val="22"/>
          <w:szCs w:val="22"/>
        </w:rPr>
        <w:t>ich</w:t>
      </w:r>
      <w:r w:rsidR="00101B29">
        <w:rPr>
          <w:rFonts w:cs="Arial"/>
          <w:bCs/>
          <w:sz w:val="22"/>
          <w:szCs w:val="22"/>
        </w:rPr>
        <w:t xml:space="preserve"> subsequent invoked the procedure for summary judgment. </w:t>
      </w:r>
    </w:p>
    <w:p w14:paraId="46D2C998" w14:textId="75AC00A6" w:rsidR="00101B29" w:rsidRDefault="000D3ECF" w:rsidP="000D3ECF">
      <w:pPr>
        <w:tabs>
          <w:tab w:val="left" w:pos="680"/>
        </w:tabs>
        <w:spacing w:after="480" w:line="480" w:lineRule="auto"/>
        <w:jc w:val="both"/>
        <w:rPr>
          <w:rFonts w:cs="Arial"/>
          <w:bCs/>
          <w:sz w:val="22"/>
          <w:szCs w:val="22"/>
        </w:rPr>
      </w:pPr>
      <w:r>
        <w:rPr>
          <w:rFonts w:cs="Arial"/>
          <w:bCs/>
          <w:sz w:val="21"/>
          <w:szCs w:val="21"/>
        </w:rPr>
        <w:t>[10]</w:t>
      </w:r>
      <w:r>
        <w:rPr>
          <w:rFonts w:cs="Arial"/>
          <w:bCs/>
          <w:sz w:val="21"/>
          <w:szCs w:val="21"/>
        </w:rPr>
        <w:tab/>
      </w:r>
      <w:r w:rsidR="00101B29">
        <w:rPr>
          <w:rFonts w:cs="Arial"/>
          <w:bCs/>
          <w:sz w:val="22"/>
          <w:szCs w:val="22"/>
        </w:rPr>
        <w:t xml:space="preserve">Moreover, the application for summary judgment </w:t>
      </w:r>
      <w:r w:rsidR="00FF6542">
        <w:rPr>
          <w:rFonts w:cs="Arial"/>
          <w:bCs/>
          <w:sz w:val="22"/>
          <w:szCs w:val="22"/>
        </w:rPr>
        <w:t>a</w:t>
      </w:r>
      <w:r w:rsidR="00101B29">
        <w:rPr>
          <w:rFonts w:cs="Arial"/>
          <w:bCs/>
          <w:sz w:val="22"/>
          <w:szCs w:val="22"/>
        </w:rPr>
        <w:t>n</w:t>
      </w:r>
      <w:r w:rsidR="00FF6542">
        <w:rPr>
          <w:rFonts w:cs="Arial"/>
          <w:bCs/>
          <w:sz w:val="22"/>
          <w:szCs w:val="22"/>
        </w:rPr>
        <w:t>d</w:t>
      </w:r>
      <w:r w:rsidR="00101B29">
        <w:rPr>
          <w:rFonts w:cs="Arial"/>
          <w:bCs/>
          <w:sz w:val="22"/>
          <w:szCs w:val="22"/>
        </w:rPr>
        <w:t xml:space="preserve"> the notice of set down for this hearing were both served on the respondents in terms of paragraph 1.3 of the order for substituted service on 3 November 2023.</w:t>
      </w:r>
    </w:p>
    <w:p w14:paraId="1F8C9A5F" w14:textId="08A67A3C" w:rsidR="00101B29" w:rsidRDefault="000D3ECF" w:rsidP="000D3ECF">
      <w:pPr>
        <w:tabs>
          <w:tab w:val="left" w:pos="680"/>
        </w:tabs>
        <w:spacing w:after="480" w:line="480" w:lineRule="auto"/>
        <w:jc w:val="both"/>
        <w:rPr>
          <w:rFonts w:cs="Arial"/>
          <w:bCs/>
          <w:sz w:val="22"/>
          <w:szCs w:val="22"/>
        </w:rPr>
      </w:pPr>
      <w:r>
        <w:rPr>
          <w:rFonts w:cs="Arial"/>
          <w:bCs/>
          <w:sz w:val="21"/>
          <w:szCs w:val="21"/>
        </w:rPr>
        <w:t>[11]</w:t>
      </w:r>
      <w:r>
        <w:rPr>
          <w:rFonts w:cs="Arial"/>
          <w:bCs/>
          <w:sz w:val="21"/>
          <w:szCs w:val="21"/>
        </w:rPr>
        <w:tab/>
      </w:r>
      <w:r w:rsidR="00101B29">
        <w:rPr>
          <w:rFonts w:cs="Arial"/>
          <w:bCs/>
          <w:sz w:val="22"/>
          <w:szCs w:val="22"/>
        </w:rPr>
        <w:t xml:space="preserve">The second respondent argued that the applicant’s claims for the immovable property to be declared specially executable and </w:t>
      </w:r>
      <w:r w:rsidR="00FF6542">
        <w:rPr>
          <w:rFonts w:cs="Arial"/>
          <w:bCs/>
          <w:sz w:val="22"/>
          <w:szCs w:val="22"/>
        </w:rPr>
        <w:t xml:space="preserve">for </w:t>
      </w:r>
      <w:r w:rsidR="00101B29">
        <w:rPr>
          <w:rFonts w:cs="Arial"/>
          <w:bCs/>
          <w:sz w:val="22"/>
          <w:szCs w:val="22"/>
        </w:rPr>
        <w:t>a reserve price to be set in terms of Rule 46A were not competent in terms of Rule 32, in summary judgment proceedings, as they did not meet the requirements of the rule.</w:t>
      </w:r>
    </w:p>
    <w:p w14:paraId="700AF34B" w14:textId="118078C9" w:rsidR="00101B29" w:rsidRDefault="000D3ECF" w:rsidP="000D3ECF">
      <w:pPr>
        <w:tabs>
          <w:tab w:val="left" w:pos="680"/>
        </w:tabs>
        <w:spacing w:after="480" w:line="480" w:lineRule="auto"/>
        <w:jc w:val="both"/>
        <w:rPr>
          <w:rFonts w:cs="Arial"/>
          <w:bCs/>
          <w:sz w:val="22"/>
          <w:szCs w:val="22"/>
        </w:rPr>
      </w:pPr>
      <w:r>
        <w:rPr>
          <w:rFonts w:cs="Arial"/>
          <w:bCs/>
          <w:sz w:val="21"/>
          <w:szCs w:val="21"/>
        </w:rPr>
        <w:t>[12]</w:t>
      </w:r>
      <w:r>
        <w:rPr>
          <w:rFonts w:cs="Arial"/>
          <w:bCs/>
          <w:sz w:val="21"/>
          <w:szCs w:val="21"/>
        </w:rPr>
        <w:tab/>
      </w:r>
      <w:r w:rsidR="00FF6542">
        <w:rPr>
          <w:rFonts w:cs="Arial"/>
          <w:bCs/>
          <w:sz w:val="22"/>
          <w:szCs w:val="22"/>
        </w:rPr>
        <w:t>T</w:t>
      </w:r>
      <w:r w:rsidR="00101B29">
        <w:rPr>
          <w:rFonts w:cs="Arial"/>
          <w:bCs/>
          <w:sz w:val="22"/>
          <w:szCs w:val="22"/>
        </w:rPr>
        <w:t>he second respondent’s argument in this regard</w:t>
      </w:r>
      <w:r w:rsidR="00FF6542">
        <w:rPr>
          <w:rFonts w:cs="Arial"/>
          <w:bCs/>
          <w:sz w:val="22"/>
          <w:szCs w:val="22"/>
        </w:rPr>
        <w:t xml:space="preserve">, however, </w:t>
      </w:r>
      <w:r w:rsidR="00101B29">
        <w:rPr>
          <w:rFonts w:cs="Arial"/>
          <w:bCs/>
          <w:sz w:val="22"/>
          <w:szCs w:val="22"/>
        </w:rPr>
        <w:t xml:space="preserve"> is without merit in that the applicant’s claim is for payment of</w:t>
      </w:r>
      <w:r w:rsidR="00FF6542">
        <w:rPr>
          <w:rFonts w:cs="Arial"/>
          <w:bCs/>
          <w:sz w:val="22"/>
          <w:szCs w:val="22"/>
        </w:rPr>
        <w:t xml:space="preserve"> a</w:t>
      </w:r>
      <w:r w:rsidR="00101B29">
        <w:rPr>
          <w:rFonts w:cs="Arial"/>
          <w:bCs/>
          <w:sz w:val="22"/>
          <w:szCs w:val="22"/>
        </w:rPr>
        <w:t xml:space="preserve"> liquidated amount of R276 906.21 and the claim for special executability arises from the mortgage bond</w:t>
      </w:r>
      <w:r w:rsidR="00FF6542">
        <w:rPr>
          <w:rFonts w:cs="Arial"/>
          <w:bCs/>
          <w:sz w:val="22"/>
          <w:szCs w:val="22"/>
        </w:rPr>
        <w:t xml:space="preserve"> that</w:t>
      </w:r>
      <w:r w:rsidR="00101B29">
        <w:rPr>
          <w:rFonts w:cs="Arial"/>
          <w:bCs/>
          <w:sz w:val="22"/>
          <w:szCs w:val="22"/>
        </w:rPr>
        <w:t xml:space="preserve"> is itself a liquid document. Thus</w:t>
      </w:r>
      <w:r w:rsidR="00FF6542">
        <w:rPr>
          <w:rFonts w:cs="Arial"/>
          <w:bCs/>
          <w:sz w:val="22"/>
          <w:szCs w:val="22"/>
        </w:rPr>
        <w:t>,</w:t>
      </w:r>
      <w:r w:rsidR="00101B29">
        <w:rPr>
          <w:rFonts w:cs="Arial"/>
          <w:bCs/>
          <w:sz w:val="22"/>
          <w:szCs w:val="22"/>
        </w:rPr>
        <w:t xml:space="preserve"> the claim for special executability qualifies in terms of summary judgment proceedings under Rule 32(1)(a). The setting of a reserve price in terms of Rule 46A together with the granting of</w:t>
      </w:r>
      <w:r w:rsidR="00F900D7">
        <w:rPr>
          <w:rFonts w:cs="Arial"/>
          <w:bCs/>
          <w:sz w:val="22"/>
          <w:szCs w:val="22"/>
        </w:rPr>
        <w:t xml:space="preserve"> an order for special executability in terms of </w:t>
      </w:r>
      <w:r w:rsidR="00F900D7">
        <w:rPr>
          <w:rFonts w:cs="Arial"/>
          <w:bCs/>
          <w:sz w:val="22"/>
          <w:szCs w:val="22"/>
        </w:rPr>
        <w:lastRenderedPageBreak/>
        <w:t>Rule 32</w:t>
      </w:r>
      <w:r w:rsidR="00EA7160">
        <w:rPr>
          <w:rFonts w:cs="Arial"/>
          <w:bCs/>
          <w:sz w:val="22"/>
          <w:szCs w:val="22"/>
        </w:rPr>
        <w:t>,</w:t>
      </w:r>
      <w:r w:rsidR="00F900D7">
        <w:rPr>
          <w:rFonts w:cs="Arial"/>
          <w:bCs/>
          <w:sz w:val="22"/>
          <w:szCs w:val="22"/>
        </w:rPr>
        <w:t xml:space="preserve"> were considered by this </w:t>
      </w:r>
      <w:r w:rsidR="00EA7160">
        <w:rPr>
          <w:rFonts w:cs="Arial"/>
          <w:bCs/>
          <w:sz w:val="22"/>
          <w:szCs w:val="22"/>
        </w:rPr>
        <w:t>c</w:t>
      </w:r>
      <w:r w:rsidR="00F900D7">
        <w:rPr>
          <w:rFonts w:cs="Arial"/>
          <w:bCs/>
          <w:sz w:val="22"/>
          <w:szCs w:val="22"/>
        </w:rPr>
        <w:t xml:space="preserve">ourt in </w:t>
      </w:r>
      <w:r w:rsidR="00F900D7">
        <w:rPr>
          <w:rFonts w:cs="Arial"/>
          <w:bCs/>
          <w:i/>
          <w:sz w:val="22"/>
          <w:szCs w:val="22"/>
        </w:rPr>
        <w:t>Absa Bank Ltd v Sawyer</w:t>
      </w:r>
      <w:r w:rsidR="00EA7160">
        <w:rPr>
          <w:rFonts w:cs="Arial"/>
          <w:bCs/>
          <w:i/>
          <w:sz w:val="22"/>
          <w:szCs w:val="22"/>
        </w:rPr>
        <w:t>,</w:t>
      </w:r>
      <w:r w:rsidR="00F900D7">
        <w:rPr>
          <w:rStyle w:val="FootnoteReference"/>
          <w:rFonts w:cs="Arial"/>
          <w:bCs/>
          <w:i/>
          <w:sz w:val="22"/>
          <w:szCs w:val="22"/>
        </w:rPr>
        <w:footnoteReference w:id="3"/>
      </w:r>
      <w:r w:rsidR="00F900D7">
        <w:rPr>
          <w:rFonts w:cs="Arial"/>
          <w:bCs/>
          <w:sz w:val="22"/>
          <w:szCs w:val="22"/>
        </w:rPr>
        <w:t xml:space="preserve"> in which the </w:t>
      </w:r>
      <w:r w:rsidR="00EA7160">
        <w:rPr>
          <w:rFonts w:cs="Arial"/>
          <w:bCs/>
          <w:sz w:val="22"/>
          <w:szCs w:val="22"/>
        </w:rPr>
        <w:t>c</w:t>
      </w:r>
      <w:r w:rsidR="00F900D7">
        <w:rPr>
          <w:rFonts w:cs="Arial"/>
          <w:bCs/>
          <w:sz w:val="22"/>
          <w:szCs w:val="22"/>
        </w:rPr>
        <w:t>ourt considered that the order for special executability is ancillary to the claim for the money judgment and is an integral part of the cause of action relied upon. Accordingly, the applicant’s claim for a declaration of special executability and the setting of a reserve price</w:t>
      </w:r>
      <w:r w:rsidR="00EA7160">
        <w:rPr>
          <w:rFonts w:cs="Arial"/>
          <w:bCs/>
          <w:sz w:val="22"/>
          <w:szCs w:val="22"/>
        </w:rPr>
        <w:t>,</w:t>
      </w:r>
      <w:r w:rsidR="00F900D7">
        <w:rPr>
          <w:rFonts w:cs="Arial"/>
          <w:bCs/>
          <w:sz w:val="22"/>
          <w:szCs w:val="22"/>
        </w:rPr>
        <w:t xml:space="preserve"> which is ancillary thereto in terms of Rule 46A, meet the requirement</w:t>
      </w:r>
      <w:r w:rsidR="00EA7160">
        <w:rPr>
          <w:rFonts w:cs="Arial"/>
          <w:bCs/>
          <w:sz w:val="22"/>
          <w:szCs w:val="22"/>
        </w:rPr>
        <w:t>s</w:t>
      </w:r>
      <w:r w:rsidR="00F900D7">
        <w:rPr>
          <w:rFonts w:cs="Arial"/>
          <w:bCs/>
          <w:sz w:val="22"/>
          <w:szCs w:val="22"/>
        </w:rPr>
        <w:t xml:space="preserve"> of Rule 32 and are competent in terms thereof. </w:t>
      </w:r>
    </w:p>
    <w:p w14:paraId="6F247AB5" w14:textId="52F1636F" w:rsidR="00F900D7" w:rsidRDefault="000D3ECF" w:rsidP="000D3ECF">
      <w:pPr>
        <w:tabs>
          <w:tab w:val="left" w:pos="680"/>
        </w:tabs>
        <w:spacing w:after="480" w:line="480" w:lineRule="auto"/>
        <w:jc w:val="both"/>
        <w:rPr>
          <w:rFonts w:cs="Arial"/>
          <w:bCs/>
          <w:sz w:val="22"/>
          <w:szCs w:val="22"/>
        </w:rPr>
      </w:pPr>
      <w:r>
        <w:rPr>
          <w:rFonts w:cs="Arial"/>
          <w:bCs/>
          <w:sz w:val="21"/>
          <w:szCs w:val="21"/>
        </w:rPr>
        <w:t>[13]</w:t>
      </w:r>
      <w:r>
        <w:rPr>
          <w:rFonts w:cs="Arial"/>
          <w:bCs/>
          <w:sz w:val="21"/>
          <w:szCs w:val="21"/>
        </w:rPr>
        <w:tab/>
      </w:r>
      <w:r w:rsidR="00F900D7">
        <w:rPr>
          <w:rFonts w:cs="Arial"/>
          <w:bCs/>
          <w:sz w:val="22"/>
          <w:szCs w:val="22"/>
        </w:rPr>
        <w:t xml:space="preserve">Furthermore, claims for money judgments and orders for special executability are determined in this </w:t>
      </w:r>
      <w:r w:rsidR="00EA7160">
        <w:rPr>
          <w:rFonts w:cs="Arial"/>
          <w:bCs/>
          <w:sz w:val="22"/>
          <w:szCs w:val="22"/>
        </w:rPr>
        <w:t>c</w:t>
      </w:r>
      <w:r w:rsidR="00F900D7">
        <w:rPr>
          <w:rFonts w:cs="Arial"/>
          <w:bCs/>
          <w:sz w:val="22"/>
          <w:szCs w:val="22"/>
        </w:rPr>
        <w:t>ourt simultaneously and not separately.</w:t>
      </w:r>
      <w:r w:rsidR="00F900D7">
        <w:rPr>
          <w:rStyle w:val="FootnoteReference"/>
          <w:rFonts w:cs="Arial"/>
          <w:bCs/>
          <w:i/>
          <w:sz w:val="22"/>
          <w:szCs w:val="22"/>
        </w:rPr>
        <w:footnoteReference w:id="4"/>
      </w:r>
    </w:p>
    <w:p w14:paraId="65845256" w14:textId="453D123C" w:rsidR="00F900D7" w:rsidRDefault="000D3ECF" w:rsidP="000D3ECF">
      <w:pPr>
        <w:tabs>
          <w:tab w:val="left" w:pos="680"/>
        </w:tabs>
        <w:spacing w:after="480" w:line="480" w:lineRule="auto"/>
        <w:jc w:val="both"/>
        <w:rPr>
          <w:rFonts w:cs="Arial"/>
          <w:bCs/>
          <w:sz w:val="22"/>
          <w:szCs w:val="22"/>
        </w:rPr>
      </w:pPr>
      <w:r>
        <w:rPr>
          <w:rFonts w:cs="Arial"/>
          <w:bCs/>
          <w:sz w:val="21"/>
          <w:szCs w:val="21"/>
        </w:rPr>
        <w:t>[14]</w:t>
      </w:r>
      <w:r>
        <w:rPr>
          <w:rFonts w:cs="Arial"/>
          <w:bCs/>
          <w:sz w:val="21"/>
          <w:szCs w:val="21"/>
        </w:rPr>
        <w:tab/>
      </w:r>
      <w:r w:rsidR="00F900D7">
        <w:rPr>
          <w:rFonts w:cs="Arial"/>
          <w:bCs/>
          <w:sz w:val="22"/>
          <w:szCs w:val="22"/>
        </w:rPr>
        <w:t>As to the second respondent’s argument that the deponent to the applicant’s affidavit in support of summary judgment d</w:t>
      </w:r>
      <w:r w:rsidR="00EA7160">
        <w:rPr>
          <w:rFonts w:cs="Arial"/>
          <w:bCs/>
          <w:sz w:val="22"/>
          <w:szCs w:val="22"/>
        </w:rPr>
        <w:t xml:space="preserve">id </w:t>
      </w:r>
      <w:r w:rsidR="00F900D7">
        <w:rPr>
          <w:rFonts w:cs="Arial"/>
          <w:bCs/>
          <w:sz w:val="22"/>
          <w:szCs w:val="22"/>
        </w:rPr>
        <w:t>not himself ha</w:t>
      </w:r>
      <w:r w:rsidR="00EA7160">
        <w:rPr>
          <w:rFonts w:cs="Arial"/>
          <w:bCs/>
          <w:sz w:val="22"/>
          <w:szCs w:val="22"/>
        </w:rPr>
        <w:t>ve</w:t>
      </w:r>
      <w:r w:rsidR="00F900D7">
        <w:rPr>
          <w:rFonts w:cs="Arial"/>
          <w:bCs/>
          <w:sz w:val="22"/>
          <w:szCs w:val="22"/>
        </w:rPr>
        <w:t xml:space="preserve"> personal knowledge of </w:t>
      </w:r>
      <w:r w:rsidR="00EA7160">
        <w:rPr>
          <w:rFonts w:cs="Arial"/>
          <w:bCs/>
          <w:sz w:val="22"/>
          <w:szCs w:val="22"/>
        </w:rPr>
        <w:t xml:space="preserve">the </w:t>
      </w:r>
      <w:r w:rsidR="00F900D7">
        <w:rPr>
          <w:rFonts w:cs="Arial"/>
          <w:bCs/>
          <w:sz w:val="22"/>
          <w:szCs w:val="22"/>
        </w:rPr>
        <w:t xml:space="preserve">various allegations made in the affidavit, our </w:t>
      </w:r>
      <w:r w:rsidR="00EA7160">
        <w:rPr>
          <w:rFonts w:cs="Arial"/>
          <w:bCs/>
          <w:sz w:val="22"/>
          <w:szCs w:val="22"/>
        </w:rPr>
        <w:t>c</w:t>
      </w:r>
      <w:r w:rsidR="00F900D7">
        <w:rPr>
          <w:rFonts w:cs="Arial"/>
          <w:bCs/>
          <w:sz w:val="22"/>
          <w:szCs w:val="22"/>
        </w:rPr>
        <w:t xml:space="preserve">ourts have long since adopted a practical approach </w:t>
      </w:r>
      <w:r w:rsidR="00EA7160">
        <w:rPr>
          <w:rFonts w:cs="Arial"/>
          <w:bCs/>
          <w:sz w:val="22"/>
          <w:szCs w:val="22"/>
        </w:rPr>
        <w:t>by per</w:t>
      </w:r>
      <w:r w:rsidR="00F900D7">
        <w:rPr>
          <w:rFonts w:cs="Arial"/>
          <w:bCs/>
          <w:sz w:val="22"/>
          <w:szCs w:val="22"/>
        </w:rPr>
        <w:t>mitting deponents on behalf of corporate litigants and financial institutions such as the present applicant, to rely on documents and records relevant to the particular matter for their personal knowledge of at least certain of the relevant facts</w:t>
      </w:r>
      <w:r w:rsidR="00EA7160">
        <w:rPr>
          <w:rFonts w:cs="Arial"/>
          <w:bCs/>
          <w:sz w:val="22"/>
          <w:szCs w:val="22"/>
        </w:rPr>
        <w:t>,</w:t>
      </w:r>
      <w:r w:rsidR="00F900D7">
        <w:rPr>
          <w:rFonts w:cs="Arial"/>
          <w:bCs/>
          <w:sz w:val="22"/>
          <w:szCs w:val="22"/>
        </w:rPr>
        <w:t xml:space="preserve"> and the deponent’s ability to swear positively to such facts</w:t>
      </w:r>
      <w:r w:rsidR="00EA7160">
        <w:rPr>
          <w:rFonts w:cs="Arial"/>
          <w:bCs/>
          <w:sz w:val="22"/>
          <w:szCs w:val="22"/>
        </w:rPr>
        <w:t>.</w:t>
      </w:r>
      <w:r w:rsidR="00F900D7">
        <w:rPr>
          <w:rStyle w:val="FootnoteReference"/>
          <w:rFonts w:cs="Arial"/>
          <w:bCs/>
          <w:i/>
          <w:sz w:val="22"/>
          <w:szCs w:val="22"/>
        </w:rPr>
        <w:footnoteReference w:id="5"/>
      </w:r>
    </w:p>
    <w:p w14:paraId="20578C54" w14:textId="156455D2" w:rsidR="00F900D7" w:rsidRDefault="000D3ECF" w:rsidP="000D3ECF">
      <w:pPr>
        <w:tabs>
          <w:tab w:val="left" w:pos="680"/>
        </w:tabs>
        <w:spacing w:after="480" w:line="480" w:lineRule="auto"/>
        <w:jc w:val="both"/>
        <w:rPr>
          <w:rFonts w:cs="Arial"/>
          <w:bCs/>
          <w:sz w:val="22"/>
          <w:szCs w:val="22"/>
        </w:rPr>
      </w:pPr>
      <w:r>
        <w:rPr>
          <w:rFonts w:cs="Arial"/>
          <w:bCs/>
          <w:sz w:val="21"/>
          <w:szCs w:val="21"/>
        </w:rPr>
        <w:t>[15]</w:t>
      </w:r>
      <w:r>
        <w:rPr>
          <w:rFonts w:cs="Arial"/>
          <w:bCs/>
          <w:sz w:val="21"/>
          <w:szCs w:val="21"/>
        </w:rPr>
        <w:tab/>
      </w:r>
      <w:r w:rsidR="00F900D7">
        <w:rPr>
          <w:rFonts w:cs="Arial"/>
          <w:bCs/>
          <w:sz w:val="22"/>
          <w:szCs w:val="22"/>
        </w:rPr>
        <w:t xml:space="preserve">The point raised by the second respondent that the deponent </w:t>
      </w:r>
      <w:r w:rsidR="00EA7160">
        <w:rPr>
          <w:rFonts w:cs="Arial"/>
          <w:bCs/>
          <w:sz w:val="22"/>
          <w:szCs w:val="22"/>
        </w:rPr>
        <w:t xml:space="preserve">to the applicant’s affidavit </w:t>
      </w:r>
      <w:r w:rsidR="00F900D7">
        <w:rPr>
          <w:rFonts w:cs="Arial"/>
          <w:bCs/>
          <w:sz w:val="22"/>
          <w:szCs w:val="22"/>
        </w:rPr>
        <w:t>relies on a certificate of balance for knowledge of the amount claimed and that the certificate of balance was signed by another employee of the applicant</w:t>
      </w:r>
      <w:r w:rsidR="00EA7160">
        <w:rPr>
          <w:rFonts w:cs="Arial"/>
          <w:bCs/>
          <w:sz w:val="22"/>
          <w:szCs w:val="22"/>
        </w:rPr>
        <w:t xml:space="preserve">, </w:t>
      </w:r>
      <w:r w:rsidR="00F900D7">
        <w:rPr>
          <w:rFonts w:cs="Arial"/>
          <w:bCs/>
          <w:sz w:val="22"/>
          <w:szCs w:val="22"/>
        </w:rPr>
        <w:t>is irrelevant</w:t>
      </w:r>
      <w:r w:rsidR="00EA7160">
        <w:rPr>
          <w:rFonts w:cs="Arial"/>
          <w:bCs/>
          <w:sz w:val="22"/>
          <w:szCs w:val="22"/>
        </w:rPr>
        <w:t xml:space="preserve">. This is because </w:t>
      </w:r>
      <w:r w:rsidR="00F900D7">
        <w:rPr>
          <w:rFonts w:cs="Arial"/>
          <w:bCs/>
          <w:sz w:val="22"/>
          <w:szCs w:val="22"/>
        </w:rPr>
        <w:t>first-hand knowledge of every fact should not be required of</w:t>
      </w:r>
      <w:r w:rsidR="00EA7160">
        <w:rPr>
          <w:rFonts w:cs="Arial"/>
          <w:bCs/>
          <w:sz w:val="22"/>
          <w:szCs w:val="22"/>
        </w:rPr>
        <w:t xml:space="preserve"> a</w:t>
      </w:r>
      <w:r w:rsidR="00F900D7">
        <w:rPr>
          <w:rFonts w:cs="Arial"/>
          <w:bCs/>
          <w:sz w:val="22"/>
          <w:szCs w:val="22"/>
        </w:rPr>
        <w:t xml:space="preserve"> deponent on behalf of a financial institution. See in this regard</w:t>
      </w:r>
      <w:r w:rsidR="00EA7160">
        <w:rPr>
          <w:rFonts w:cs="Arial"/>
          <w:bCs/>
          <w:sz w:val="22"/>
          <w:szCs w:val="22"/>
        </w:rPr>
        <w:t>.</w:t>
      </w:r>
      <w:r w:rsidR="00F900D7">
        <w:rPr>
          <w:rStyle w:val="FootnoteReference"/>
          <w:rFonts w:cs="Arial"/>
          <w:bCs/>
          <w:i/>
          <w:sz w:val="22"/>
          <w:szCs w:val="22"/>
        </w:rPr>
        <w:footnoteReference w:id="6"/>
      </w:r>
    </w:p>
    <w:p w14:paraId="59AF393F" w14:textId="204BC229" w:rsidR="00F900D7" w:rsidRDefault="000D3ECF" w:rsidP="000D3ECF">
      <w:pPr>
        <w:tabs>
          <w:tab w:val="left" w:pos="680"/>
        </w:tabs>
        <w:spacing w:after="480" w:line="480" w:lineRule="auto"/>
        <w:jc w:val="both"/>
        <w:rPr>
          <w:rFonts w:cs="Arial"/>
          <w:bCs/>
          <w:sz w:val="22"/>
          <w:szCs w:val="22"/>
        </w:rPr>
      </w:pPr>
      <w:r>
        <w:rPr>
          <w:rFonts w:cs="Arial"/>
          <w:bCs/>
          <w:sz w:val="21"/>
          <w:szCs w:val="21"/>
        </w:rPr>
        <w:lastRenderedPageBreak/>
        <w:t>[16]</w:t>
      </w:r>
      <w:r>
        <w:rPr>
          <w:rFonts w:cs="Arial"/>
          <w:bCs/>
          <w:sz w:val="21"/>
          <w:szCs w:val="21"/>
        </w:rPr>
        <w:tab/>
      </w:r>
      <w:r w:rsidR="00F900D7">
        <w:rPr>
          <w:rFonts w:cs="Arial"/>
          <w:bCs/>
          <w:sz w:val="22"/>
          <w:szCs w:val="22"/>
        </w:rPr>
        <w:t>Furthermore,</w:t>
      </w:r>
      <w:r w:rsidR="00EA7160">
        <w:rPr>
          <w:rFonts w:cs="Arial"/>
          <w:bCs/>
          <w:sz w:val="22"/>
          <w:szCs w:val="22"/>
        </w:rPr>
        <w:t xml:space="preserve"> contrary to</w:t>
      </w:r>
      <w:r w:rsidR="00F900D7">
        <w:rPr>
          <w:rFonts w:cs="Arial"/>
          <w:bCs/>
          <w:sz w:val="22"/>
          <w:szCs w:val="22"/>
        </w:rPr>
        <w:t xml:space="preserve"> the second respondent’s allegations, the </w:t>
      </w:r>
      <w:r w:rsidR="00EA7160">
        <w:rPr>
          <w:rFonts w:cs="Arial"/>
          <w:bCs/>
          <w:sz w:val="22"/>
          <w:szCs w:val="22"/>
        </w:rPr>
        <w:t xml:space="preserve">applicant’s </w:t>
      </w:r>
      <w:r w:rsidR="00F900D7">
        <w:rPr>
          <w:rFonts w:cs="Arial"/>
          <w:bCs/>
          <w:sz w:val="22"/>
          <w:szCs w:val="22"/>
        </w:rPr>
        <w:t>deponent does</w:t>
      </w:r>
      <w:r w:rsidR="00EA7160">
        <w:rPr>
          <w:rFonts w:cs="Arial"/>
          <w:bCs/>
          <w:sz w:val="22"/>
          <w:szCs w:val="22"/>
        </w:rPr>
        <w:t xml:space="preserve"> allege</w:t>
      </w:r>
      <w:r w:rsidR="00F900D7">
        <w:rPr>
          <w:rFonts w:cs="Arial"/>
          <w:bCs/>
          <w:sz w:val="22"/>
          <w:szCs w:val="22"/>
        </w:rPr>
        <w:t xml:space="preserve"> that he perused the various documents. Accordingly, the absence of first-hand knowledge on the part of the deponent to the applicant’s </w:t>
      </w:r>
      <w:r w:rsidR="00D540FC">
        <w:rPr>
          <w:rFonts w:cs="Arial"/>
          <w:bCs/>
          <w:sz w:val="22"/>
          <w:szCs w:val="22"/>
        </w:rPr>
        <w:t xml:space="preserve">verifying affidavit in respect of certain allegations, is not determinative of the applicant’s claim. </w:t>
      </w:r>
    </w:p>
    <w:p w14:paraId="323411B6" w14:textId="6D2E3247" w:rsidR="00D540FC" w:rsidRDefault="000D3ECF" w:rsidP="000D3ECF">
      <w:pPr>
        <w:tabs>
          <w:tab w:val="left" w:pos="680"/>
        </w:tabs>
        <w:spacing w:after="480" w:line="480" w:lineRule="auto"/>
        <w:jc w:val="both"/>
        <w:rPr>
          <w:rFonts w:cs="Arial"/>
          <w:bCs/>
          <w:sz w:val="22"/>
          <w:szCs w:val="22"/>
        </w:rPr>
      </w:pPr>
      <w:r>
        <w:rPr>
          <w:rFonts w:cs="Arial"/>
          <w:bCs/>
          <w:sz w:val="21"/>
          <w:szCs w:val="21"/>
        </w:rPr>
        <w:t>[17]</w:t>
      </w:r>
      <w:r>
        <w:rPr>
          <w:rFonts w:cs="Arial"/>
          <w:bCs/>
          <w:sz w:val="21"/>
          <w:szCs w:val="21"/>
        </w:rPr>
        <w:tab/>
      </w:r>
      <w:r w:rsidR="00D540FC">
        <w:rPr>
          <w:rFonts w:cs="Arial"/>
          <w:bCs/>
          <w:sz w:val="22"/>
          <w:szCs w:val="22"/>
        </w:rPr>
        <w:t xml:space="preserve">In respect of the second respondent’s complaint that the applicant debited its account with legal costs, the applicant complied with the requirements set out in </w:t>
      </w:r>
      <w:r w:rsidR="00D540FC">
        <w:rPr>
          <w:rFonts w:cs="Arial"/>
          <w:bCs/>
          <w:i/>
          <w:sz w:val="22"/>
          <w:szCs w:val="22"/>
        </w:rPr>
        <w:t>Nkatha v Firstrand Bank Ltd</w:t>
      </w:r>
      <w:r w:rsidR="00EA7160">
        <w:rPr>
          <w:rFonts w:cs="Arial"/>
          <w:bCs/>
          <w:i/>
          <w:sz w:val="22"/>
          <w:szCs w:val="22"/>
        </w:rPr>
        <w:t>.</w:t>
      </w:r>
      <w:r w:rsidR="00D540FC">
        <w:rPr>
          <w:rStyle w:val="FootnoteReference"/>
          <w:rFonts w:cs="Arial"/>
          <w:bCs/>
          <w:i/>
          <w:sz w:val="22"/>
          <w:szCs w:val="22"/>
        </w:rPr>
        <w:footnoteReference w:id="7"/>
      </w:r>
    </w:p>
    <w:p w14:paraId="12983535" w14:textId="068D1368" w:rsidR="00D540FC" w:rsidRDefault="000D3ECF" w:rsidP="000D3ECF">
      <w:pPr>
        <w:tabs>
          <w:tab w:val="left" w:pos="680"/>
        </w:tabs>
        <w:spacing w:after="480" w:line="480" w:lineRule="auto"/>
        <w:jc w:val="both"/>
        <w:rPr>
          <w:rFonts w:cs="Arial"/>
          <w:bCs/>
          <w:sz w:val="22"/>
          <w:szCs w:val="22"/>
        </w:rPr>
      </w:pPr>
      <w:r>
        <w:rPr>
          <w:rFonts w:cs="Arial"/>
          <w:bCs/>
          <w:sz w:val="21"/>
          <w:szCs w:val="21"/>
        </w:rPr>
        <w:t>[18]</w:t>
      </w:r>
      <w:r>
        <w:rPr>
          <w:rFonts w:cs="Arial"/>
          <w:bCs/>
          <w:sz w:val="21"/>
          <w:szCs w:val="21"/>
        </w:rPr>
        <w:tab/>
      </w:r>
      <w:r w:rsidR="00D540FC">
        <w:rPr>
          <w:rFonts w:cs="Arial"/>
          <w:bCs/>
          <w:sz w:val="22"/>
          <w:szCs w:val="22"/>
        </w:rPr>
        <w:t xml:space="preserve">The home loan agreement between the parties permits collection costs on the scale as between attorney and client in the event of enforcement of the home loan agreement by the applicant, such enforcement having indeed occurred. Furthermore, the applicant, in compliance with </w:t>
      </w:r>
      <w:r w:rsidR="00D540FC">
        <w:rPr>
          <w:rFonts w:cs="Arial"/>
          <w:bCs/>
          <w:i/>
          <w:sz w:val="22"/>
          <w:szCs w:val="22"/>
        </w:rPr>
        <w:t>Nkatha</w:t>
      </w:r>
      <w:r w:rsidR="00D540FC">
        <w:rPr>
          <w:rFonts w:cs="Arial"/>
          <w:bCs/>
          <w:sz w:val="22"/>
          <w:szCs w:val="22"/>
        </w:rPr>
        <w:t>, drew the cost to the second respondent’s attention in terms of a separate demand for payment of the legal costs, dated 22 September 2022 and 6 October 2022, giving the</w:t>
      </w:r>
      <w:r w:rsidR="00EA7160">
        <w:rPr>
          <w:rFonts w:cs="Arial"/>
          <w:bCs/>
          <w:sz w:val="22"/>
          <w:szCs w:val="22"/>
        </w:rPr>
        <w:t xml:space="preserve"> </w:t>
      </w:r>
      <w:r w:rsidR="00D540FC">
        <w:rPr>
          <w:rFonts w:cs="Arial"/>
          <w:bCs/>
          <w:sz w:val="22"/>
          <w:szCs w:val="22"/>
        </w:rPr>
        <w:t>respondent</w:t>
      </w:r>
      <w:r w:rsidR="00EA7160">
        <w:rPr>
          <w:rFonts w:cs="Arial"/>
          <w:bCs/>
          <w:sz w:val="22"/>
          <w:szCs w:val="22"/>
        </w:rPr>
        <w:t>s</w:t>
      </w:r>
      <w:r w:rsidR="00D540FC">
        <w:rPr>
          <w:rFonts w:cs="Arial"/>
          <w:bCs/>
          <w:sz w:val="22"/>
          <w:szCs w:val="22"/>
        </w:rPr>
        <w:t xml:space="preserve"> seven days to make payment of the legal costs, failing which the respondents would be deemed to have accepted the costs being debited to the respondents’ home loan account, as duly transpired. </w:t>
      </w:r>
      <w:r w:rsidR="00952789">
        <w:rPr>
          <w:rFonts w:cs="Arial"/>
          <w:bCs/>
          <w:sz w:val="22"/>
          <w:szCs w:val="22"/>
        </w:rPr>
        <w:t>The respondents failed to make payment and the legal costs were debited accordingly to the respondents’ home loan account. In any event</w:t>
      </w:r>
      <w:r w:rsidR="00EA7160">
        <w:rPr>
          <w:rFonts w:cs="Arial"/>
          <w:bCs/>
          <w:sz w:val="22"/>
          <w:szCs w:val="22"/>
        </w:rPr>
        <w:t>,</w:t>
      </w:r>
      <w:r w:rsidR="00952789">
        <w:rPr>
          <w:rFonts w:cs="Arial"/>
          <w:bCs/>
          <w:sz w:val="22"/>
          <w:szCs w:val="22"/>
        </w:rPr>
        <w:t xml:space="preserve"> having looked at the documentary evidence of the respondents’ home loan account, the legal costs amount to approximately R7 000.00 to R8 000.00 and do not constitute a triable defence to the applicant’s claim for summary judgment.</w:t>
      </w:r>
    </w:p>
    <w:p w14:paraId="743DEDAB" w14:textId="094065C6" w:rsidR="00952789" w:rsidRDefault="000D3ECF" w:rsidP="000D3ECF">
      <w:pPr>
        <w:tabs>
          <w:tab w:val="left" w:pos="680"/>
        </w:tabs>
        <w:spacing w:after="480" w:line="480" w:lineRule="auto"/>
        <w:jc w:val="both"/>
        <w:rPr>
          <w:rFonts w:cs="Arial"/>
          <w:bCs/>
          <w:sz w:val="22"/>
          <w:szCs w:val="22"/>
        </w:rPr>
      </w:pPr>
      <w:r>
        <w:rPr>
          <w:rFonts w:cs="Arial"/>
          <w:bCs/>
          <w:sz w:val="21"/>
          <w:szCs w:val="21"/>
        </w:rPr>
        <w:t>[19]</w:t>
      </w:r>
      <w:r>
        <w:rPr>
          <w:rFonts w:cs="Arial"/>
          <w:bCs/>
          <w:sz w:val="21"/>
          <w:szCs w:val="21"/>
        </w:rPr>
        <w:tab/>
      </w:r>
      <w:r w:rsidR="00952789">
        <w:rPr>
          <w:rFonts w:cs="Arial"/>
          <w:bCs/>
          <w:sz w:val="22"/>
          <w:szCs w:val="22"/>
        </w:rPr>
        <w:t>The second respondent argued that the first respondent possessed various movables capable of being sold and the proceeds utilised to liquidate the arrears on the respondents’ mortgage bond a</w:t>
      </w:r>
      <w:r w:rsidR="00EA7160">
        <w:rPr>
          <w:rFonts w:cs="Arial"/>
          <w:bCs/>
          <w:sz w:val="22"/>
          <w:szCs w:val="22"/>
        </w:rPr>
        <w:t>nd</w:t>
      </w:r>
      <w:r w:rsidR="00952789">
        <w:rPr>
          <w:rFonts w:cs="Arial"/>
          <w:bCs/>
          <w:sz w:val="22"/>
          <w:szCs w:val="22"/>
        </w:rPr>
        <w:t xml:space="preserve"> the outstanding balance o</w:t>
      </w:r>
      <w:r w:rsidR="001660C7">
        <w:rPr>
          <w:rFonts w:cs="Arial"/>
          <w:bCs/>
          <w:sz w:val="22"/>
          <w:szCs w:val="22"/>
        </w:rPr>
        <w:t>n</w:t>
      </w:r>
      <w:r w:rsidR="00952789">
        <w:rPr>
          <w:rFonts w:cs="Arial"/>
          <w:bCs/>
          <w:sz w:val="22"/>
          <w:szCs w:val="22"/>
        </w:rPr>
        <w:t xml:space="preserve"> the loan. The movables </w:t>
      </w:r>
      <w:r w:rsidR="00952789">
        <w:rPr>
          <w:rFonts w:cs="Arial"/>
          <w:bCs/>
          <w:sz w:val="22"/>
          <w:szCs w:val="22"/>
        </w:rPr>
        <w:lastRenderedPageBreak/>
        <w:t xml:space="preserve">comprised of a Toyota Corolla vehicle with registration number WNY253GP and </w:t>
      </w:r>
      <w:r w:rsidR="001660C7">
        <w:rPr>
          <w:rFonts w:cs="Arial"/>
          <w:bCs/>
          <w:sz w:val="22"/>
          <w:szCs w:val="22"/>
        </w:rPr>
        <w:t xml:space="preserve">a </w:t>
      </w:r>
      <w:r w:rsidR="00952789">
        <w:rPr>
          <w:rFonts w:cs="Arial"/>
          <w:bCs/>
          <w:sz w:val="22"/>
          <w:szCs w:val="22"/>
        </w:rPr>
        <w:t xml:space="preserve">Mercedes Benz with registration BK63TNGP. </w:t>
      </w:r>
    </w:p>
    <w:p w14:paraId="06D3BAE7" w14:textId="718EAAEE" w:rsidR="00952789" w:rsidRDefault="000D3ECF" w:rsidP="000D3ECF">
      <w:pPr>
        <w:tabs>
          <w:tab w:val="left" w:pos="680"/>
        </w:tabs>
        <w:spacing w:after="480" w:line="480" w:lineRule="auto"/>
        <w:jc w:val="both"/>
        <w:rPr>
          <w:rFonts w:cs="Arial"/>
          <w:bCs/>
          <w:sz w:val="22"/>
          <w:szCs w:val="22"/>
        </w:rPr>
      </w:pPr>
      <w:r>
        <w:rPr>
          <w:rFonts w:cs="Arial"/>
          <w:bCs/>
          <w:sz w:val="21"/>
          <w:szCs w:val="21"/>
        </w:rPr>
        <w:t>[20]</w:t>
      </w:r>
      <w:r>
        <w:rPr>
          <w:rFonts w:cs="Arial"/>
          <w:bCs/>
          <w:sz w:val="21"/>
          <w:szCs w:val="21"/>
        </w:rPr>
        <w:tab/>
      </w:r>
      <w:r w:rsidR="00952789">
        <w:rPr>
          <w:rFonts w:cs="Arial"/>
          <w:bCs/>
          <w:sz w:val="22"/>
          <w:szCs w:val="22"/>
        </w:rPr>
        <w:t>The second respondent alleged that the vehicles were not subject to finance agreements but the value of the vehicles was not furnished</w:t>
      </w:r>
      <w:r w:rsidR="001660C7" w:rsidRPr="001660C7">
        <w:rPr>
          <w:rFonts w:cs="Arial"/>
          <w:bCs/>
          <w:sz w:val="22"/>
          <w:szCs w:val="22"/>
        </w:rPr>
        <w:t xml:space="preserve"> </w:t>
      </w:r>
      <w:r w:rsidR="001660C7">
        <w:rPr>
          <w:rFonts w:cs="Arial"/>
          <w:bCs/>
          <w:sz w:val="22"/>
          <w:szCs w:val="22"/>
        </w:rPr>
        <w:t xml:space="preserve">by the second respondent. </w:t>
      </w:r>
      <w:r w:rsidR="00952789">
        <w:rPr>
          <w:rFonts w:cs="Arial"/>
          <w:bCs/>
          <w:sz w:val="22"/>
          <w:szCs w:val="22"/>
        </w:rPr>
        <w:t xml:space="preserve"> and nor was the year of the vehicles’ make or the respective mileage of the vehicle</w:t>
      </w:r>
      <w:r w:rsidR="001660C7">
        <w:rPr>
          <w:rFonts w:cs="Arial"/>
          <w:bCs/>
          <w:sz w:val="22"/>
          <w:szCs w:val="22"/>
        </w:rPr>
        <w:t>s.</w:t>
      </w:r>
      <w:r w:rsidR="00952789">
        <w:rPr>
          <w:rFonts w:cs="Arial"/>
          <w:bCs/>
          <w:sz w:val="22"/>
          <w:szCs w:val="22"/>
        </w:rPr>
        <w:t xml:space="preserve"> Furthermore, the second respondent alleged that the first respondent was in possession of the vehicles whilst the second respondent had no knowledge of the first respondent’s whereabouts and thus, no knowledge of the whereabouts of the vehicles. </w:t>
      </w:r>
    </w:p>
    <w:p w14:paraId="03B5D41D" w14:textId="794BF1F8" w:rsidR="00952789" w:rsidRPr="003A32CE" w:rsidRDefault="000D3ECF" w:rsidP="000D3ECF">
      <w:pPr>
        <w:tabs>
          <w:tab w:val="left" w:pos="680"/>
        </w:tabs>
        <w:spacing w:after="480" w:line="480" w:lineRule="auto"/>
        <w:jc w:val="both"/>
        <w:rPr>
          <w:rFonts w:cs="Arial"/>
          <w:bCs/>
          <w:sz w:val="22"/>
          <w:szCs w:val="22"/>
        </w:rPr>
      </w:pPr>
      <w:r w:rsidRPr="003A32CE">
        <w:rPr>
          <w:rFonts w:cs="Arial"/>
          <w:bCs/>
          <w:sz w:val="21"/>
          <w:szCs w:val="21"/>
        </w:rPr>
        <w:t>[21]</w:t>
      </w:r>
      <w:r w:rsidRPr="003A32CE">
        <w:rPr>
          <w:rFonts w:cs="Arial"/>
          <w:bCs/>
          <w:sz w:val="21"/>
          <w:szCs w:val="21"/>
        </w:rPr>
        <w:tab/>
      </w:r>
      <w:r w:rsidR="00952789">
        <w:rPr>
          <w:rFonts w:cs="Arial"/>
          <w:bCs/>
          <w:sz w:val="22"/>
          <w:szCs w:val="22"/>
        </w:rPr>
        <w:t>In any event, the applicant is possessed of a contractual right to execute upon its security comprised of the immovable property, hypothecated in favour of the applicant in respect of monies loaned to the respondents at their special instance and request</w:t>
      </w:r>
      <w:r w:rsidR="001660C7">
        <w:rPr>
          <w:rFonts w:cs="Arial"/>
          <w:bCs/>
          <w:sz w:val="22"/>
          <w:szCs w:val="22"/>
        </w:rPr>
        <w:t>.</w:t>
      </w:r>
      <w:r w:rsidR="00952789">
        <w:rPr>
          <w:rStyle w:val="FootnoteReference"/>
          <w:rFonts w:cs="Arial"/>
          <w:bCs/>
          <w:i/>
          <w:sz w:val="22"/>
          <w:szCs w:val="22"/>
        </w:rPr>
        <w:footnoteReference w:id="8"/>
      </w:r>
    </w:p>
    <w:p w14:paraId="719705BE" w14:textId="34ECBE43" w:rsidR="003A32CE" w:rsidRDefault="000D3ECF" w:rsidP="000D3ECF">
      <w:pPr>
        <w:tabs>
          <w:tab w:val="left" w:pos="680"/>
        </w:tabs>
        <w:spacing w:after="480" w:line="480" w:lineRule="auto"/>
        <w:jc w:val="both"/>
        <w:rPr>
          <w:rFonts w:cs="Arial"/>
          <w:bCs/>
          <w:sz w:val="22"/>
          <w:szCs w:val="22"/>
        </w:rPr>
      </w:pPr>
      <w:r>
        <w:rPr>
          <w:rFonts w:cs="Arial"/>
          <w:bCs/>
          <w:sz w:val="21"/>
          <w:szCs w:val="21"/>
        </w:rPr>
        <w:t>[22]</w:t>
      </w:r>
      <w:r>
        <w:rPr>
          <w:rFonts w:cs="Arial"/>
          <w:bCs/>
          <w:sz w:val="21"/>
          <w:szCs w:val="21"/>
        </w:rPr>
        <w:tab/>
      </w:r>
      <w:r w:rsidR="003A32CE">
        <w:rPr>
          <w:rFonts w:cs="Arial"/>
          <w:bCs/>
          <w:sz w:val="22"/>
          <w:szCs w:val="22"/>
        </w:rPr>
        <w:t>The second respondent objected to the applicant’s reference to and reliance upon the certificate of balance</w:t>
      </w:r>
      <w:r w:rsidR="001660C7">
        <w:rPr>
          <w:rFonts w:cs="Arial"/>
          <w:bCs/>
          <w:sz w:val="22"/>
          <w:szCs w:val="22"/>
        </w:rPr>
        <w:t xml:space="preserve">. The second respondent </w:t>
      </w:r>
      <w:r w:rsidR="003A32CE">
        <w:rPr>
          <w:rFonts w:cs="Arial"/>
          <w:bCs/>
          <w:sz w:val="22"/>
          <w:szCs w:val="22"/>
        </w:rPr>
        <w:t xml:space="preserve">argued that it was not apparent that payments made by the second respondent from August 2022 had been taken into account </w:t>
      </w:r>
      <w:r w:rsidR="001660C7">
        <w:rPr>
          <w:rFonts w:cs="Arial"/>
          <w:bCs/>
          <w:sz w:val="22"/>
          <w:szCs w:val="22"/>
        </w:rPr>
        <w:t xml:space="preserve">as </w:t>
      </w:r>
      <w:r w:rsidR="003A32CE">
        <w:rPr>
          <w:rFonts w:cs="Arial"/>
          <w:bCs/>
          <w:sz w:val="22"/>
          <w:szCs w:val="22"/>
        </w:rPr>
        <w:t xml:space="preserve">the respondents’ arrears on the home loan account had increased since the mortgage bond was called up by the applicant. </w:t>
      </w:r>
    </w:p>
    <w:p w14:paraId="49C4467B" w14:textId="14484E33" w:rsidR="003A32CE" w:rsidRPr="001660C7" w:rsidRDefault="000D3ECF" w:rsidP="000D3ECF">
      <w:pPr>
        <w:tabs>
          <w:tab w:val="left" w:pos="680"/>
        </w:tabs>
        <w:spacing w:after="480" w:line="480" w:lineRule="auto"/>
        <w:jc w:val="both"/>
        <w:rPr>
          <w:rFonts w:cs="Arial"/>
          <w:bCs/>
          <w:sz w:val="22"/>
          <w:szCs w:val="22"/>
        </w:rPr>
      </w:pPr>
      <w:r w:rsidRPr="001660C7">
        <w:rPr>
          <w:rFonts w:cs="Arial"/>
          <w:bCs/>
          <w:sz w:val="21"/>
          <w:szCs w:val="21"/>
        </w:rPr>
        <w:t>[23]</w:t>
      </w:r>
      <w:r w:rsidRPr="001660C7">
        <w:rPr>
          <w:rFonts w:cs="Arial"/>
          <w:bCs/>
          <w:sz w:val="21"/>
          <w:szCs w:val="21"/>
        </w:rPr>
        <w:tab/>
      </w:r>
      <w:r w:rsidR="003A32CE" w:rsidRPr="001660C7">
        <w:rPr>
          <w:rFonts w:cs="Arial"/>
          <w:bCs/>
          <w:sz w:val="22"/>
          <w:szCs w:val="22"/>
        </w:rPr>
        <w:t xml:space="preserve">The use of a certificate of balance as an evidentiary tool to facilitate proof of an indebtedness has long been accepted by our </w:t>
      </w:r>
      <w:r w:rsidR="001660C7" w:rsidRPr="001660C7">
        <w:rPr>
          <w:rFonts w:cs="Arial"/>
          <w:bCs/>
          <w:sz w:val="22"/>
          <w:szCs w:val="22"/>
        </w:rPr>
        <w:t>c</w:t>
      </w:r>
      <w:r w:rsidR="003A32CE" w:rsidRPr="001660C7">
        <w:rPr>
          <w:rFonts w:cs="Arial"/>
          <w:bCs/>
          <w:sz w:val="22"/>
          <w:szCs w:val="22"/>
        </w:rPr>
        <w:t>ourts.</w:t>
      </w:r>
      <w:r w:rsidR="003A32CE" w:rsidRPr="001660C7">
        <w:rPr>
          <w:rStyle w:val="FootnoteReference"/>
          <w:rFonts w:cs="Arial"/>
          <w:bCs/>
          <w:i/>
          <w:sz w:val="22"/>
          <w:szCs w:val="22"/>
        </w:rPr>
        <w:footnoteReference w:id="9"/>
      </w:r>
    </w:p>
    <w:p w14:paraId="09D0AB49" w14:textId="65BCBA69" w:rsidR="003A32CE" w:rsidRDefault="000D3ECF" w:rsidP="000D3ECF">
      <w:pPr>
        <w:tabs>
          <w:tab w:val="left" w:pos="680"/>
        </w:tabs>
        <w:spacing w:after="480" w:line="480" w:lineRule="auto"/>
        <w:jc w:val="both"/>
        <w:rPr>
          <w:rFonts w:cs="Arial"/>
          <w:bCs/>
          <w:sz w:val="22"/>
          <w:szCs w:val="22"/>
        </w:rPr>
      </w:pPr>
      <w:r>
        <w:rPr>
          <w:rFonts w:cs="Arial"/>
          <w:bCs/>
          <w:sz w:val="21"/>
          <w:szCs w:val="21"/>
        </w:rPr>
        <w:t>[24]</w:t>
      </w:r>
      <w:r>
        <w:rPr>
          <w:rFonts w:cs="Arial"/>
          <w:bCs/>
          <w:sz w:val="21"/>
          <w:szCs w:val="21"/>
        </w:rPr>
        <w:tab/>
      </w:r>
      <w:r w:rsidR="003A32CE">
        <w:rPr>
          <w:rFonts w:cs="Arial"/>
          <w:bCs/>
          <w:sz w:val="22"/>
          <w:szCs w:val="22"/>
        </w:rPr>
        <w:t xml:space="preserve">Furthermore, the parties’ loan agreement provides that a certificate of balance signed by any authorised employee of the bank shall constitute evidence of the </w:t>
      </w:r>
      <w:r w:rsidR="003A32CE">
        <w:rPr>
          <w:rFonts w:cs="Arial"/>
          <w:bCs/>
          <w:sz w:val="22"/>
          <w:szCs w:val="22"/>
        </w:rPr>
        <w:lastRenderedPageBreak/>
        <w:t>outstanding amount as at the date specified therein, the rate of interest and any other amount due and payable by the consumer under the loan agreement. Accordingly, the applicant is contractually entitled to refer to a certificate of balance</w:t>
      </w:r>
      <w:r w:rsidR="001660C7">
        <w:rPr>
          <w:rFonts w:cs="Arial"/>
          <w:bCs/>
          <w:sz w:val="22"/>
          <w:szCs w:val="22"/>
        </w:rPr>
        <w:t>,</w:t>
      </w:r>
      <w:r w:rsidR="003A32CE">
        <w:rPr>
          <w:rFonts w:cs="Arial"/>
          <w:bCs/>
          <w:sz w:val="22"/>
          <w:szCs w:val="22"/>
        </w:rPr>
        <w:t xml:space="preserve"> duly signed</w:t>
      </w:r>
      <w:r w:rsidR="001660C7">
        <w:rPr>
          <w:rFonts w:cs="Arial"/>
          <w:bCs/>
          <w:sz w:val="22"/>
          <w:szCs w:val="22"/>
        </w:rPr>
        <w:t>,</w:t>
      </w:r>
      <w:r w:rsidR="003A32CE">
        <w:rPr>
          <w:rFonts w:cs="Arial"/>
          <w:bCs/>
          <w:sz w:val="22"/>
          <w:szCs w:val="22"/>
        </w:rPr>
        <w:t xml:space="preserve"> as a method of proof of the indebtedness of the respondents. </w:t>
      </w:r>
    </w:p>
    <w:p w14:paraId="2547D7C1" w14:textId="0BEB8793" w:rsidR="003A32CE" w:rsidRDefault="000D3ECF" w:rsidP="000D3ECF">
      <w:pPr>
        <w:tabs>
          <w:tab w:val="left" w:pos="680"/>
        </w:tabs>
        <w:spacing w:after="480" w:line="480" w:lineRule="auto"/>
        <w:jc w:val="both"/>
        <w:rPr>
          <w:rFonts w:cs="Arial"/>
          <w:bCs/>
          <w:sz w:val="22"/>
          <w:szCs w:val="22"/>
        </w:rPr>
      </w:pPr>
      <w:r>
        <w:rPr>
          <w:rFonts w:cs="Arial"/>
          <w:bCs/>
          <w:sz w:val="21"/>
          <w:szCs w:val="21"/>
        </w:rPr>
        <w:t>[25]</w:t>
      </w:r>
      <w:r>
        <w:rPr>
          <w:rFonts w:cs="Arial"/>
          <w:bCs/>
          <w:sz w:val="21"/>
          <w:szCs w:val="21"/>
        </w:rPr>
        <w:tab/>
      </w:r>
      <w:r w:rsidR="003A32CE">
        <w:rPr>
          <w:rFonts w:cs="Arial"/>
          <w:bCs/>
          <w:sz w:val="22"/>
          <w:szCs w:val="22"/>
        </w:rPr>
        <w:t xml:space="preserve">The second respondent queried the arrears claimed by the applicant as well as the full outstanding balance given payments made by the second respondent since August 2020. </w:t>
      </w:r>
      <w:r w:rsidR="00D26541">
        <w:rPr>
          <w:rFonts w:cs="Arial"/>
          <w:bCs/>
          <w:sz w:val="22"/>
          <w:szCs w:val="22"/>
        </w:rPr>
        <w:t>However,</w:t>
      </w:r>
      <w:r w:rsidR="003A32CE">
        <w:rPr>
          <w:rFonts w:cs="Arial"/>
          <w:bCs/>
          <w:sz w:val="22"/>
          <w:szCs w:val="22"/>
        </w:rPr>
        <w:t xml:space="preserve"> a perusal of the payment history of the respondents’ home loan account demonstrates sporadic and inconsistent payments in amounts less than the required monthly instalments. As a result of the respondents’ payment history and the prevailing environment of increasin</w:t>
      </w:r>
      <w:r w:rsidR="001660C7">
        <w:rPr>
          <w:rFonts w:cs="Arial"/>
          <w:bCs/>
          <w:sz w:val="22"/>
          <w:szCs w:val="22"/>
        </w:rPr>
        <w:t>g</w:t>
      </w:r>
      <w:r w:rsidR="003A32CE">
        <w:rPr>
          <w:rFonts w:cs="Arial"/>
          <w:bCs/>
          <w:sz w:val="22"/>
          <w:szCs w:val="22"/>
        </w:rPr>
        <w:t xml:space="preserve"> interest rates over recen</w:t>
      </w:r>
      <w:r w:rsidR="001660C7">
        <w:rPr>
          <w:rFonts w:cs="Arial"/>
          <w:bCs/>
          <w:sz w:val="22"/>
          <w:szCs w:val="22"/>
        </w:rPr>
        <w:t>t years,</w:t>
      </w:r>
      <w:r w:rsidR="003A32CE">
        <w:rPr>
          <w:rFonts w:cs="Arial"/>
          <w:bCs/>
          <w:sz w:val="22"/>
          <w:szCs w:val="22"/>
        </w:rPr>
        <w:t xml:space="preserve"> the respondents’ arrears have not reduced and the amount in arrears as at 17 May 2023 stood at R47 497.45 as per the applicant’s certificate of balance. Furthermore, the applicant alleged that the arears amounted to approximately 12.556 months of arrears, the last payments being R2 000.00 on 4 February 2023.</w:t>
      </w:r>
      <w:r w:rsidR="003A32CE">
        <w:rPr>
          <w:rStyle w:val="FootnoteReference"/>
          <w:rFonts w:cs="Arial"/>
          <w:bCs/>
          <w:sz w:val="22"/>
          <w:szCs w:val="22"/>
        </w:rPr>
        <w:footnoteReference w:id="10"/>
      </w:r>
      <w:r w:rsidR="003A32CE">
        <w:rPr>
          <w:rFonts w:cs="Arial"/>
          <w:bCs/>
          <w:sz w:val="22"/>
          <w:szCs w:val="22"/>
        </w:rPr>
        <w:t xml:space="preserve"> It is noteworthy that the arrears stood at R34 064.91 when the applicant called up the mortgage bond. </w:t>
      </w:r>
    </w:p>
    <w:p w14:paraId="02D56B36" w14:textId="083C49E5" w:rsidR="001660C7" w:rsidRDefault="000D3ECF" w:rsidP="000D3ECF">
      <w:pPr>
        <w:tabs>
          <w:tab w:val="left" w:pos="680"/>
        </w:tabs>
        <w:spacing w:after="480" w:line="480" w:lineRule="auto"/>
        <w:jc w:val="both"/>
        <w:rPr>
          <w:rFonts w:cs="Arial"/>
          <w:bCs/>
          <w:sz w:val="22"/>
          <w:szCs w:val="22"/>
        </w:rPr>
      </w:pPr>
      <w:r>
        <w:rPr>
          <w:rFonts w:cs="Arial"/>
          <w:bCs/>
          <w:sz w:val="21"/>
          <w:szCs w:val="21"/>
        </w:rPr>
        <w:t>[26]</w:t>
      </w:r>
      <w:r>
        <w:rPr>
          <w:rFonts w:cs="Arial"/>
          <w:bCs/>
          <w:sz w:val="21"/>
          <w:szCs w:val="21"/>
        </w:rPr>
        <w:tab/>
      </w:r>
      <w:r w:rsidR="00836D72">
        <w:rPr>
          <w:rFonts w:cs="Arial"/>
          <w:bCs/>
          <w:sz w:val="22"/>
          <w:szCs w:val="22"/>
        </w:rPr>
        <w:t xml:space="preserve">It is apparent from that set out above that the second respondent does not set out a </w:t>
      </w:r>
      <w:r w:rsidR="00836D72">
        <w:rPr>
          <w:rFonts w:cs="Arial"/>
          <w:bCs/>
          <w:i/>
          <w:sz w:val="22"/>
          <w:szCs w:val="22"/>
        </w:rPr>
        <w:t xml:space="preserve">bona fide </w:t>
      </w:r>
      <w:r w:rsidR="00836D72">
        <w:rPr>
          <w:rFonts w:cs="Arial"/>
          <w:bCs/>
          <w:sz w:val="22"/>
          <w:szCs w:val="22"/>
        </w:rPr>
        <w:t xml:space="preserve">defence or a triable issue in opposition to the applicant’s claim as required by the long standing authority of </w:t>
      </w:r>
      <w:r w:rsidR="00836D72">
        <w:rPr>
          <w:rFonts w:cs="Arial"/>
          <w:bCs/>
          <w:i/>
          <w:sz w:val="22"/>
          <w:szCs w:val="22"/>
        </w:rPr>
        <w:t>Maharaj</w:t>
      </w:r>
      <w:r w:rsidR="001660C7">
        <w:rPr>
          <w:rFonts w:cs="Arial"/>
          <w:bCs/>
          <w:i/>
          <w:sz w:val="22"/>
          <w:szCs w:val="22"/>
        </w:rPr>
        <w:t>.</w:t>
      </w:r>
      <w:r w:rsidR="00962162">
        <w:rPr>
          <w:rStyle w:val="FootnoteReference"/>
          <w:rFonts w:cs="Arial"/>
          <w:bCs/>
          <w:i/>
          <w:sz w:val="22"/>
          <w:szCs w:val="22"/>
        </w:rPr>
        <w:footnoteReference w:id="11"/>
      </w:r>
      <w:r w:rsidR="00836D72">
        <w:rPr>
          <w:rFonts w:cs="Arial"/>
          <w:bCs/>
          <w:sz w:val="22"/>
          <w:szCs w:val="22"/>
        </w:rPr>
        <w:t xml:space="preserve"> The defences upon which the second respondent places reliance are dilatory at best and the applicant meets the test and the requirements for summary judgment. </w:t>
      </w:r>
    </w:p>
    <w:p w14:paraId="502CBE7C" w14:textId="7E7FCF2F" w:rsidR="00CB1E25" w:rsidRDefault="000D3ECF" w:rsidP="000D3ECF">
      <w:pPr>
        <w:tabs>
          <w:tab w:val="left" w:pos="680"/>
        </w:tabs>
        <w:spacing w:after="480" w:line="480" w:lineRule="auto"/>
        <w:jc w:val="both"/>
        <w:rPr>
          <w:rFonts w:cs="Arial"/>
          <w:bCs/>
          <w:sz w:val="22"/>
          <w:szCs w:val="22"/>
        </w:rPr>
      </w:pPr>
      <w:r>
        <w:rPr>
          <w:rFonts w:cs="Arial"/>
          <w:bCs/>
          <w:sz w:val="21"/>
          <w:szCs w:val="21"/>
        </w:rPr>
        <w:t>[27]</w:t>
      </w:r>
      <w:r>
        <w:rPr>
          <w:rFonts w:cs="Arial"/>
          <w:bCs/>
          <w:sz w:val="21"/>
          <w:szCs w:val="21"/>
        </w:rPr>
        <w:tab/>
      </w:r>
      <w:r w:rsidR="00A64D68">
        <w:rPr>
          <w:rFonts w:cs="Arial"/>
          <w:bCs/>
          <w:sz w:val="22"/>
          <w:szCs w:val="22"/>
        </w:rPr>
        <w:t xml:space="preserve">The second respondent argued that the immovable property was his primary residence as well as the primary residence of his daughter and three minor grandchildren. The second respondent argued that execution over the immovable property would </w:t>
      </w:r>
      <w:r w:rsidR="00A64D68">
        <w:rPr>
          <w:rFonts w:cs="Arial"/>
          <w:bCs/>
          <w:sz w:val="22"/>
          <w:szCs w:val="22"/>
        </w:rPr>
        <w:lastRenderedPageBreak/>
        <w:t xml:space="preserve">deprive the family of their </w:t>
      </w:r>
      <w:r w:rsidR="001660C7">
        <w:rPr>
          <w:rFonts w:cs="Arial"/>
          <w:bCs/>
          <w:sz w:val="22"/>
          <w:szCs w:val="22"/>
        </w:rPr>
        <w:t>C</w:t>
      </w:r>
      <w:r w:rsidR="00A64D68">
        <w:rPr>
          <w:rFonts w:cs="Arial"/>
          <w:bCs/>
          <w:sz w:val="22"/>
          <w:szCs w:val="22"/>
        </w:rPr>
        <w:t>onstitutional right to adequate housing and deprive them of a home. The second respondent’s daughter is an Uber driver earning allegedly minimal income although the amounts thereof were not specified</w:t>
      </w:r>
      <w:r w:rsidR="001660C7">
        <w:rPr>
          <w:rFonts w:cs="Arial"/>
          <w:bCs/>
          <w:sz w:val="22"/>
          <w:szCs w:val="22"/>
        </w:rPr>
        <w:t>. T</w:t>
      </w:r>
      <w:r w:rsidR="00A64D68">
        <w:rPr>
          <w:rFonts w:cs="Arial"/>
          <w:bCs/>
          <w:sz w:val="22"/>
          <w:szCs w:val="22"/>
        </w:rPr>
        <w:t xml:space="preserve">he second respondent engages in informal trading from the proceeds of which he makes the payments reflected on the home loan account since August 2022. The second respondent did not provide an approximate amount of his monthly income or his daughter’s monthly income. </w:t>
      </w:r>
    </w:p>
    <w:p w14:paraId="5F947DCD" w14:textId="2C4C19A0" w:rsidR="00A64D68" w:rsidRDefault="000D3ECF" w:rsidP="000D3ECF">
      <w:pPr>
        <w:tabs>
          <w:tab w:val="left" w:pos="680"/>
        </w:tabs>
        <w:spacing w:after="480" w:line="480" w:lineRule="auto"/>
        <w:jc w:val="both"/>
        <w:rPr>
          <w:rFonts w:cs="Arial"/>
          <w:bCs/>
          <w:sz w:val="22"/>
          <w:szCs w:val="22"/>
        </w:rPr>
      </w:pPr>
      <w:r>
        <w:rPr>
          <w:rFonts w:cs="Arial"/>
          <w:bCs/>
          <w:sz w:val="21"/>
          <w:szCs w:val="21"/>
        </w:rPr>
        <w:t>[28]</w:t>
      </w:r>
      <w:r>
        <w:rPr>
          <w:rFonts w:cs="Arial"/>
          <w:bCs/>
          <w:sz w:val="21"/>
          <w:szCs w:val="21"/>
        </w:rPr>
        <w:tab/>
      </w:r>
      <w:r w:rsidR="00942409">
        <w:rPr>
          <w:rFonts w:cs="Arial"/>
          <w:bCs/>
          <w:sz w:val="22"/>
          <w:szCs w:val="22"/>
        </w:rPr>
        <w:t xml:space="preserve">The dilemma of this </w:t>
      </w:r>
      <w:r w:rsidR="001660C7">
        <w:rPr>
          <w:rFonts w:cs="Arial"/>
          <w:bCs/>
          <w:sz w:val="22"/>
          <w:szCs w:val="22"/>
        </w:rPr>
        <w:t>C</w:t>
      </w:r>
      <w:r w:rsidR="00942409">
        <w:rPr>
          <w:rFonts w:cs="Arial"/>
          <w:bCs/>
          <w:sz w:val="22"/>
          <w:szCs w:val="22"/>
        </w:rPr>
        <w:t xml:space="preserve">ourt is that the second respondent cannot afford the monthly instalments payable under the home loan agreement, the arrears are increasing and the second respondent does not have fixed or even stable employment or a stable source of income from which he can pay the monthly instalments and liquidate the arrears within a reasonable time thereof. The second respondent to date has failed to enter into an agreement with the applicant in respect of payment of the monthly instalments and liquidation of the outstanding arrears. </w:t>
      </w:r>
    </w:p>
    <w:p w14:paraId="5EAB0ABF" w14:textId="6B97740D" w:rsidR="00942409" w:rsidRDefault="000D3ECF" w:rsidP="000D3ECF">
      <w:pPr>
        <w:tabs>
          <w:tab w:val="left" w:pos="680"/>
        </w:tabs>
        <w:spacing w:after="480" w:line="480" w:lineRule="auto"/>
        <w:jc w:val="both"/>
        <w:rPr>
          <w:rFonts w:cs="Arial"/>
          <w:bCs/>
          <w:sz w:val="22"/>
          <w:szCs w:val="22"/>
        </w:rPr>
      </w:pPr>
      <w:r>
        <w:rPr>
          <w:rFonts w:cs="Arial"/>
          <w:bCs/>
          <w:sz w:val="21"/>
          <w:szCs w:val="21"/>
        </w:rPr>
        <w:t>[29]</w:t>
      </w:r>
      <w:r>
        <w:rPr>
          <w:rFonts w:cs="Arial"/>
          <w:bCs/>
          <w:sz w:val="21"/>
          <w:szCs w:val="21"/>
        </w:rPr>
        <w:tab/>
      </w:r>
      <w:r w:rsidR="00942409">
        <w:rPr>
          <w:rFonts w:cs="Arial"/>
          <w:bCs/>
          <w:sz w:val="22"/>
          <w:szCs w:val="22"/>
        </w:rPr>
        <w:t xml:space="preserve">Furthermore, the second respondent did not provide details of any assistance that his daughter might probably be able to proffer to the situation by way of rental. </w:t>
      </w:r>
    </w:p>
    <w:p w14:paraId="62C82317" w14:textId="05DF8900" w:rsidR="00942409" w:rsidRDefault="000D3ECF" w:rsidP="000D3ECF">
      <w:pPr>
        <w:tabs>
          <w:tab w:val="left" w:pos="680"/>
        </w:tabs>
        <w:spacing w:after="480" w:line="480" w:lineRule="auto"/>
        <w:jc w:val="both"/>
        <w:rPr>
          <w:rFonts w:cs="Arial"/>
          <w:bCs/>
          <w:sz w:val="22"/>
          <w:szCs w:val="22"/>
        </w:rPr>
      </w:pPr>
      <w:r>
        <w:rPr>
          <w:rFonts w:cs="Arial"/>
          <w:bCs/>
          <w:sz w:val="21"/>
          <w:szCs w:val="21"/>
        </w:rPr>
        <w:t>[30]</w:t>
      </w:r>
      <w:r>
        <w:rPr>
          <w:rFonts w:cs="Arial"/>
          <w:bCs/>
          <w:sz w:val="21"/>
          <w:szCs w:val="21"/>
        </w:rPr>
        <w:tab/>
      </w:r>
      <w:r w:rsidR="00942409">
        <w:rPr>
          <w:rFonts w:cs="Arial"/>
          <w:bCs/>
          <w:sz w:val="22"/>
          <w:szCs w:val="22"/>
        </w:rPr>
        <w:t>Whilst the</w:t>
      </w:r>
      <w:r w:rsidR="00BE2610">
        <w:rPr>
          <w:rFonts w:cs="Arial"/>
          <w:bCs/>
          <w:sz w:val="22"/>
          <w:szCs w:val="22"/>
        </w:rPr>
        <w:t xml:space="preserve"> outstanding</w:t>
      </w:r>
      <w:r w:rsidR="00942409">
        <w:rPr>
          <w:rFonts w:cs="Arial"/>
          <w:bCs/>
          <w:sz w:val="22"/>
          <w:szCs w:val="22"/>
        </w:rPr>
        <w:t xml:space="preserve"> arrears are relatively low, the applicant has a contractual right to exercise its security especially in circumstances where the respondent is without means to pay the monthly instalment and liquidate the arrears over a reasonable period of time. Notwithstanding the relatively low amount of the arrears, they are increasing and I cannot find that the applicant’s application is an abuse of this Court’s process. See in this regard </w:t>
      </w:r>
      <w:r w:rsidR="00942409">
        <w:rPr>
          <w:rFonts w:cs="Arial"/>
          <w:bCs/>
          <w:i/>
          <w:sz w:val="22"/>
          <w:szCs w:val="22"/>
        </w:rPr>
        <w:t>Firstrand Bank Ltd v Folscher &amp; Another</w:t>
      </w:r>
      <w:r w:rsidR="00962162">
        <w:rPr>
          <w:rFonts w:cs="Arial"/>
          <w:bCs/>
          <w:i/>
          <w:sz w:val="22"/>
          <w:szCs w:val="22"/>
        </w:rPr>
        <w:t xml:space="preserve"> </w:t>
      </w:r>
      <w:r w:rsidR="00962162" w:rsidRPr="00962162">
        <w:rPr>
          <w:rFonts w:cs="Arial"/>
          <w:bCs/>
          <w:i/>
          <w:sz w:val="22"/>
          <w:szCs w:val="22"/>
        </w:rPr>
        <w:t>and similar matters</w:t>
      </w:r>
      <w:r w:rsidR="00962162">
        <w:rPr>
          <w:rStyle w:val="FootnoteReference"/>
          <w:rFonts w:cs="Arial"/>
          <w:bCs/>
          <w:i/>
          <w:sz w:val="22"/>
          <w:szCs w:val="22"/>
        </w:rPr>
        <w:footnoteReference w:id="12"/>
      </w:r>
      <w:r w:rsidR="00962162">
        <w:rPr>
          <w:rFonts w:cs="Arial"/>
          <w:bCs/>
          <w:sz w:val="22"/>
          <w:szCs w:val="22"/>
        </w:rPr>
        <w:t xml:space="preserve"> and </w:t>
      </w:r>
      <w:r w:rsidR="00962162">
        <w:rPr>
          <w:rFonts w:cs="Arial"/>
          <w:bCs/>
          <w:i/>
          <w:sz w:val="22"/>
          <w:szCs w:val="22"/>
        </w:rPr>
        <w:t>Jaftha v Schoeman; Van Rooyn v Stoltz</w:t>
      </w:r>
      <w:r w:rsidR="00BE2610">
        <w:rPr>
          <w:rFonts w:cs="Arial"/>
          <w:bCs/>
          <w:i/>
          <w:sz w:val="22"/>
          <w:szCs w:val="22"/>
        </w:rPr>
        <w:t>.</w:t>
      </w:r>
      <w:r w:rsidR="00962162">
        <w:rPr>
          <w:rStyle w:val="FootnoteReference"/>
          <w:rFonts w:cs="Arial"/>
          <w:bCs/>
          <w:i/>
          <w:sz w:val="22"/>
          <w:szCs w:val="22"/>
        </w:rPr>
        <w:footnoteReference w:id="13"/>
      </w:r>
    </w:p>
    <w:p w14:paraId="32F7242A" w14:textId="653037F4" w:rsidR="00962162" w:rsidRDefault="000D3ECF" w:rsidP="000D3ECF">
      <w:pPr>
        <w:tabs>
          <w:tab w:val="left" w:pos="680"/>
        </w:tabs>
        <w:spacing w:after="480" w:line="480" w:lineRule="auto"/>
        <w:jc w:val="both"/>
        <w:rPr>
          <w:rFonts w:cs="Arial"/>
          <w:bCs/>
          <w:sz w:val="22"/>
          <w:szCs w:val="22"/>
        </w:rPr>
      </w:pPr>
      <w:r>
        <w:rPr>
          <w:rFonts w:cs="Arial"/>
          <w:bCs/>
          <w:sz w:val="21"/>
          <w:szCs w:val="21"/>
        </w:rPr>
        <w:lastRenderedPageBreak/>
        <w:t>[31]</w:t>
      </w:r>
      <w:r>
        <w:rPr>
          <w:rFonts w:cs="Arial"/>
          <w:bCs/>
          <w:sz w:val="21"/>
          <w:szCs w:val="21"/>
        </w:rPr>
        <w:tab/>
      </w:r>
      <w:r w:rsidR="00962162">
        <w:rPr>
          <w:rFonts w:cs="Arial"/>
          <w:bCs/>
          <w:sz w:val="22"/>
          <w:szCs w:val="22"/>
        </w:rPr>
        <w:t>The market value of the immovable property is R625 000.00 whilst the municipal valuation is R375 000.00. The arrear rates and taxes amount to R43 858.27. The applicant sought an order for execution and a reserve price of R306 141.73. The second respondent alleged that a reserve price of R331 141.73 was appropriate and fair to the respondents.</w:t>
      </w:r>
      <w:r w:rsidR="00BD5FBF">
        <w:rPr>
          <w:rStyle w:val="FootnoteReference"/>
          <w:rFonts w:cs="Arial"/>
          <w:bCs/>
          <w:sz w:val="22"/>
          <w:szCs w:val="22"/>
        </w:rPr>
        <w:footnoteReference w:id="14"/>
      </w:r>
      <w:r w:rsidR="00962162">
        <w:rPr>
          <w:rFonts w:cs="Arial"/>
          <w:bCs/>
          <w:sz w:val="22"/>
          <w:szCs w:val="22"/>
        </w:rPr>
        <w:t xml:space="preserve"> </w:t>
      </w:r>
    </w:p>
    <w:p w14:paraId="6848D00F" w14:textId="757338CC" w:rsidR="00BE2610" w:rsidRDefault="000D3ECF" w:rsidP="000D3ECF">
      <w:pPr>
        <w:tabs>
          <w:tab w:val="left" w:pos="680"/>
        </w:tabs>
        <w:spacing w:after="480" w:line="480" w:lineRule="auto"/>
        <w:jc w:val="both"/>
        <w:rPr>
          <w:rFonts w:cs="Arial"/>
          <w:bCs/>
          <w:sz w:val="22"/>
          <w:szCs w:val="22"/>
        </w:rPr>
      </w:pPr>
      <w:r>
        <w:rPr>
          <w:rFonts w:cs="Arial"/>
          <w:bCs/>
          <w:sz w:val="21"/>
          <w:szCs w:val="21"/>
        </w:rPr>
        <w:t>[32]</w:t>
      </w:r>
      <w:r>
        <w:rPr>
          <w:rFonts w:cs="Arial"/>
          <w:bCs/>
          <w:sz w:val="21"/>
          <w:szCs w:val="21"/>
        </w:rPr>
        <w:tab/>
      </w:r>
      <w:r w:rsidR="00962162">
        <w:rPr>
          <w:rFonts w:cs="Arial"/>
          <w:bCs/>
          <w:sz w:val="22"/>
          <w:szCs w:val="22"/>
        </w:rPr>
        <w:t>The second respondent also sought an order that execution be stayed for six months so as to enable t</w:t>
      </w:r>
      <w:r w:rsidR="00BE2610">
        <w:rPr>
          <w:rFonts w:cs="Arial"/>
          <w:bCs/>
          <w:sz w:val="22"/>
          <w:szCs w:val="22"/>
        </w:rPr>
        <w:t>he</w:t>
      </w:r>
      <w:r w:rsidR="00962162">
        <w:rPr>
          <w:rFonts w:cs="Arial"/>
          <w:bCs/>
          <w:sz w:val="22"/>
          <w:szCs w:val="22"/>
        </w:rPr>
        <w:t xml:space="preserve"> immovable property to be sold privately. </w:t>
      </w:r>
    </w:p>
    <w:p w14:paraId="4E332DEF" w14:textId="388C3252" w:rsidR="00962162" w:rsidRDefault="000D3ECF" w:rsidP="000D3ECF">
      <w:pPr>
        <w:tabs>
          <w:tab w:val="left" w:pos="680"/>
        </w:tabs>
        <w:spacing w:after="480" w:line="480" w:lineRule="auto"/>
        <w:jc w:val="both"/>
        <w:rPr>
          <w:rFonts w:cs="Arial"/>
          <w:bCs/>
          <w:sz w:val="22"/>
          <w:szCs w:val="22"/>
        </w:rPr>
      </w:pPr>
      <w:r>
        <w:rPr>
          <w:rFonts w:cs="Arial"/>
          <w:bCs/>
          <w:sz w:val="21"/>
          <w:szCs w:val="21"/>
        </w:rPr>
        <w:t>[33]</w:t>
      </w:r>
      <w:r>
        <w:rPr>
          <w:rFonts w:cs="Arial"/>
          <w:bCs/>
          <w:sz w:val="21"/>
          <w:szCs w:val="21"/>
        </w:rPr>
        <w:tab/>
      </w:r>
      <w:r w:rsidR="00962162">
        <w:rPr>
          <w:rFonts w:cs="Arial"/>
          <w:bCs/>
          <w:sz w:val="22"/>
          <w:szCs w:val="22"/>
        </w:rPr>
        <w:t>Execution of the immovable property will not serve in my view to deny the second respondent his right to adequate housing along with that of his family members as both he and his daughter have some income</w:t>
      </w:r>
      <w:r w:rsidR="00BE2610">
        <w:rPr>
          <w:rFonts w:cs="Arial"/>
          <w:bCs/>
          <w:sz w:val="22"/>
          <w:szCs w:val="22"/>
        </w:rPr>
        <w:t>. This is</w:t>
      </w:r>
      <w:r w:rsidR="00962162">
        <w:rPr>
          <w:rFonts w:cs="Arial"/>
          <w:bCs/>
          <w:sz w:val="22"/>
          <w:szCs w:val="22"/>
        </w:rPr>
        <w:t xml:space="preserve"> evidenced by the second respondent’s allegations </w:t>
      </w:r>
      <w:r w:rsidR="00BE2610">
        <w:rPr>
          <w:rFonts w:cs="Arial"/>
          <w:bCs/>
          <w:sz w:val="22"/>
          <w:szCs w:val="22"/>
        </w:rPr>
        <w:t xml:space="preserve">and </w:t>
      </w:r>
      <w:r w:rsidR="00962162">
        <w:rPr>
          <w:rFonts w:cs="Arial"/>
          <w:bCs/>
          <w:sz w:val="22"/>
          <w:szCs w:val="22"/>
        </w:rPr>
        <w:t>by the payments under the home loan</w:t>
      </w:r>
      <w:r w:rsidR="00BE2610">
        <w:rPr>
          <w:rFonts w:cs="Arial"/>
          <w:bCs/>
          <w:sz w:val="22"/>
          <w:szCs w:val="22"/>
        </w:rPr>
        <w:t>,</w:t>
      </w:r>
      <w:r w:rsidR="00962162">
        <w:rPr>
          <w:rFonts w:cs="Arial"/>
          <w:bCs/>
          <w:sz w:val="22"/>
          <w:szCs w:val="22"/>
        </w:rPr>
        <w:t xml:space="preserve"> albeit that they are inconsistent and in amount</w:t>
      </w:r>
      <w:r w:rsidR="00BE2610">
        <w:rPr>
          <w:rFonts w:cs="Arial"/>
          <w:bCs/>
          <w:sz w:val="22"/>
          <w:szCs w:val="22"/>
        </w:rPr>
        <w:t>s</w:t>
      </w:r>
      <w:r w:rsidR="00962162">
        <w:rPr>
          <w:rFonts w:cs="Arial"/>
          <w:bCs/>
          <w:sz w:val="22"/>
          <w:szCs w:val="22"/>
        </w:rPr>
        <w:t xml:space="preserve"> less than the required instalments under the mortgage bond. Notwithstanding, the second respondent together with assistance from his daughter will be in a position to pay for cheaper accommodation, albeit not a house of their own or accommodation owned by them.</w:t>
      </w:r>
      <w:r w:rsidR="006415C1">
        <w:rPr>
          <w:rFonts w:cs="Arial"/>
          <w:bCs/>
          <w:sz w:val="22"/>
          <w:szCs w:val="22"/>
        </w:rPr>
        <w:t xml:space="preserve"> </w:t>
      </w:r>
    </w:p>
    <w:p w14:paraId="695B9D3D" w14:textId="18ACCEF4" w:rsidR="00BE2610" w:rsidRDefault="000D3ECF" w:rsidP="000D3ECF">
      <w:pPr>
        <w:tabs>
          <w:tab w:val="left" w:pos="680"/>
        </w:tabs>
        <w:spacing w:after="480" w:line="480" w:lineRule="auto"/>
        <w:jc w:val="both"/>
        <w:rPr>
          <w:rFonts w:cs="Arial"/>
          <w:bCs/>
          <w:sz w:val="22"/>
          <w:szCs w:val="22"/>
        </w:rPr>
      </w:pPr>
      <w:r>
        <w:rPr>
          <w:rFonts w:cs="Arial"/>
          <w:bCs/>
          <w:sz w:val="21"/>
          <w:szCs w:val="21"/>
        </w:rPr>
        <w:t>[34]</w:t>
      </w:r>
      <w:r>
        <w:rPr>
          <w:rFonts w:cs="Arial"/>
          <w:bCs/>
          <w:sz w:val="21"/>
          <w:szCs w:val="21"/>
        </w:rPr>
        <w:tab/>
      </w:r>
      <w:r w:rsidR="00171A57">
        <w:rPr>
          <w:rFonts w:cs="Arial"/>
          <w:bCs/>
          <w:sz w:val="22"/>
          <w:szCs w:val="22"/>
        </w:rPr>
        <w:t xml:space="preserve">I am inclined in the circumstances </w:t>
      </w:r>
      <w:r w:rsidR="00BE2610">
        <w:rPr>
          <w:rFonts w:cs="Arial"/>
          <w:bCs/>
          <w:sz w:val="22"/>
          <w:szCs w:val="22"/>
        </w:rPr>
        <w:t xml:space="preserve">of this matter </w:t>
      </w:r>
      <w:r w:rsidR="00171A57">
        <w:rPr>
          <w:rFonts w:cs="Arial"/>
          <w:bCs/>
          <w:sz w:val="22"/>
          <w:szCs w:val="22"/>
        </w:rPr>
        <w:t>to permit a stay of execution for a limited period in order to assist the second respondent to obtain alternate accommodation and to attempt to sell the immovable property privately</w:t>
      </w:r>
      <w:r w:rsidR="00BE2610">
        <w:rPr>
          <w:rFonts w:cs="Arial"/>
          <w:bCs/>
          <w:sz w:val="22"/>
          <w:szCs w:val="22"/>
        </w:rPr>
        <w:t>,</w:t>
      </w:r>
      <w:r w:rsidR="00171A57">
        <w:rPr>
          <w:rFonts w:cs="Arial"/>
          <w:bCs/>
          <w:sz w:val="22"/>
          <w:szCs w:val="22"/>
        </w:rPr>
        <w:t xml:space="preserve"> if at all possible. However</w:t>
      </w:r>
      <w:r w:rsidR="00BE2610">
        <w:rPr>
          <w:rFonts w:cs="Arial"/>
          <w:bCs/>
          <w:sz w:val="22"/>
          <w:szCs w:val="22"/>
        </w:rPr>
        <w:t>,</w:t>
      </w:r>
      <w:r w:rsidR="00171A57">
        <w:rPr>
          <w:rFonts w:cs="Arial"/>
          <w:bCs/>
          <w:sz w:val="22"/>
          <w:szCs w:val="22"/>
        </w:rPr>
        <w:t xml:space="preserve"> I am not minded to stall the execution process for six months given that payment by the second respondent of the mortgage bond instalment</w:t>
      </w:r>
      <w:r w:rsidR="00BE2610">
        <w:rPr>
          <w:rFonts w:cs="Arial"/>
          <w:bCs/>
          <w:sz w:val="22"/>
          <w:szCs w:val="22"/>
        </w:rPr>
        <w:t xml:space="preserve">s </w:t>
      </w:r>
      <w:r w:rsidR="00171A57">
        <w:rPr>
          <w:rFonts w:cs="Arial"/>
          <w:bCs/>
          <w:sz w:val="22"/>
          <w:szCs w:val="22"/>
        </w:rPr>
        <w:t>is inconsistent and less than the required monthly instalment. A stay of execution for a period of four (4) months will be appropriate and ordered by me.</w:t>
      </w:r>
    </w:p>
    <w:p w14:paraId="1C75F907" w14:textId="29115313" w:rsidR="00171A57" w:rsidRDefault="000D3ECF" w:rsidP="000D3ECF">
      <w:pPr>
        <w:tabs>
          <w:tab w:val="left" w:pos="680"/>
        </w:tabs>
        <w:spacing w:after="480" w:line="480" w:lineRule="auto"/>
        <w:jc w:val="both"/>
        <w:rPr>
          <w:rFonts w:cs="Arial"/>
          <w:bCs/>
          <w:sz w:val="22"/>
          <w:szCs w:val="22"/>
        </w:rPr>
      </w:pPr>
      <w:r>
        <w:rPr>
          <w:rFonts w:cs="Arial"/>
          <w:bCs/>
          <w:sz w:val="21"/>
          <w:szCs w:val="21"/>
        </w:rPr>
        <w:lastRenderedPageBreak/>
        <w:t>[35]</w:t>
      </w:r>
      <w:r>
        <w:rPr>
          <w:rFonts w:cs="Arial"/>
          <w:bCs/>
          <w:sz w:val="21"/>
          <w:szCs w:val="21"/>
        </w:rPr>
        <w:tab/>
      </w:r>
      <w:r w:rsidR="00171A57">
        <w:rPr>
          <w:rFonts w:cs="Arial"/>
          <w:bCs/>
          <w:sz w:val="22"/>
          <w:szCs w:val="22"/>
        </w:rPr>
        <w:t>Furthermore, the reserve price for any sale in execution that does transpire in the future</w:t>
      </w:r>
      <w:r w:rsidR="00BE2610">
        <w:rPr>
          <w:rFonts w:cs="Arial"/>
          <w:bCs/>
          <w:sz w:val="22"/>
          <w:szCs w:val="22"/>
        </w:rPr>
        <w:t>,</w:t>
      </w:r>
      <w:r w:rsidR="00171A57">
        <w:rPr>
          <w:rFonts w:cs="Arial"/>
          <w:bCs/>
          <w:sz w:val="22"/>
          <w:szCs w:val="22"/>
        </w:rPr>
        <w:t xml:space="preserve"> regard being had to the stay of execution for four months</w:t>
      </w:r>
      <w:r w:rsidR="00BE2610">
        <w:rPr>
          <w:rFonts w:cs="Arial"/>
          <w:bCs/>
          <w:sz w:val="22"/>
          <w:szCs w:val="22"/>
        </w:rPr>
        <w:t>,</w:t>
      </w:r>
      <w:r w:rsidR="00171A57">
        <w:rPr>
          <w:rFonts w:cs="Arial"/>
          <w:bCs/>
          <w:sz w:val="22"/>
          <w:szCs w:val="22"/>
        </w:rPr>
        <w:t xml:space="preserve"> will be the sum of R320 000.00. </w:t>
      </w:r>
    </w:p>
    <w:p w14:paraId="74DF34CB" w14:textId="79F0E1BF" w:rsidR="00DD0763" w:rsidRPr="00562B13" w:rsidRDefault="000D3ECF" w:rsidP="000D3ECF">
      <w:pPr>
        <w:tabs>
          <w:tab w:val="left" w:pos="680"/>
        </w:tabs>
        <w:spacing w:after="480" w:line="480" w:lineRule="auto"/>
        <w:jc w:val="both"/>
        <w:rPr>
          <w:rFonts w:cs="Arial"/>
          <w:bCs/>
          <w:sz w:val="22"/>
          <w:szCs w:val="22"/>
        </w:rPr>
      </w:pPr>
      <w:r w:rsidRPr="00562B13">
        <w:rPr>
          <w:rFonts w:cs="Arial"/>
          <w:bCs/>
          <w:sz w:val="21"/>
          <w:szCs w:val="21"/>
        </w:rPr>
        <w:t>[36]</w:t>
      </w:r>
      <w:r w:rsidRPr="00562B13">
        <w:rPr>
          <w:rFonts w:cs="Arial"/>
          <w:bCs/>
          <w:sz w:val="21"/>
          <w:szCs w:val="21"/>
        </w:rPr>
        <w:tab/>
      </w:r>
      <w:r w:rsidR="00171A57">
        <w:rPr>
          <w:rFonts w:cs="Arial"/>
          <w:bCs/>
          <w:sz w:val="22"/>
          <w:szCs w:val="22"/>
        </w:rPr>
        <w:t>Accordingly,</w:t>
      </w:r>
      <w:r w:rsidR="00BD6083">
        <w:rPr>
          <w:rFonts w:cs="Arial"/>
          <w:bCs/>
          <w:sz w:val="22"/>
          <w:szCs w:val="22"/>
        </w:rPr>
        <w:t xml:space="preserve"> </w:t>
      </w:r>
      <w:r w:rsidR="00562B13">
        <w:rPr>
          <w:rFonts w:cs="Arial"/>
          <w:bCs/>
          <w:sz w:val="22"/>
          <w:szCs w:val="22"/>
        </w:rPr>
        <w:t>a</w:t>
      </w:r>
      <w:r w:rsidR="00171A57" w:rsidRPr="00562B13">
        <w:rPr>
          <w:rFonts w:cs="Arial"/>
          <w:bCs/>
          <w:sz w:val="22"/>
          <w:szCs w:val="22"/>
        </w:rPr>
        <w:t>n order is granted</w:t>
      </w:r>
      <w:r w:rsidR="00292124" w:rsidRPr="00562B13">
        <w:rPr>
          <w:rFonts w:cs="Arial"/>
          <w:bCs/>
          <w:sz w:val="22"/>
          <w:szCs w:val="22"/>
        </w:rPr>
        <w:t xml:space="preserve"> against the first and second </w:t>
      </w:r>
      <w:r w:rsidR="001B0F95">
        <w:rPr>
          <w:rFonts w:cs="Arial"/>
          <w:bCs/>
          <w:sz w:val="22"/>
          <w:szCs w:val="22"/>
        </w:rPr>
        <w:t>respondents,</w:t>
      </w:r>
      <w:r w:rsidR="00292124" w:rsidRPr="00562B13">
        <w:rPr>
          <w:rFonts w:cs="Arial"/>
          <w:bCs/>
          <w:sz w:val="22"/>
          <w:szCs w:val="22"/>
        </w:rPr>
        <w:t xml:space="preserve"> jointly </w:t>
      </w:r>
      <w:r w:rsidR="00BE2610">
        <w:rPr>
          <w:rFonts w:cs="Arial"/>
          <w:bCs/>
          <w:sz w:val="22"/>
          <w:szCs w:val="22"/>
        </w:rPr>
        <w:t xml:space="preserve">and severally the one paying the other to be absolved, </w:t>
      </w:r>
      <w:r w:rsidR="00292124" w:rsidRPr="00562B13">
        <w:rPr>
          <w:rFonts w:cs="Arial"/>
          <w:bCs/>
          <w:sz w:val="22"/>
          <w:szCs w:val="22"/>
        </w:rPr>
        <w:t>in the following terms:</w:t>
      </w:r>
    </w:p>
    <w:p w14:paraId="31F932E1" w14:textId="30E5C630" w:rsidR="00292124" w:rsidRPr="000D3ECF" w:rsidRDefault="000D3ECF" w:rsidP="000D3ECF">
      <w:pPr>
        <w:tabs>
          <w:tab w:val="left" w:pos="1701"/>
        </w:tabs>
        <w:spacing w:after="480" w:line="480" w:lineRule="auto"/>
        <w:ind w:left="1701" w:hanging="567"/>
        <w:jc w:val="both"/>
        <w:rPr>
          <w:rFonts w:cs="Arial"/>
          <w:bCs/>
          <w:sz w:val="22"/>
          <w:szCs w:val="22"/>
        </w:rPr>
      </w:pPr>
      <w:r>
        <w:rPr>
          <w:rFonts w:cs="Arial"/>
          <w:bCs/>
          <w:sz w:val="22"/>
          <w:szCs w:val="22"/>
        </w:rPr>
        <w:t>1.</w:t>
      </w:r>
      <w:r>
        <w:rPr>
          <w:rFonts w:cs="Arial"/>
          <w:bCs/>
          <w:sz w:val="22"/>
          <w:szCs w:val="22"/>
        </w:rPr>
        <w:tab/>
      </w:r>
      <w:r w:rsidR="00292124" w:rsidRPr="000D3ECF">
        <w:rPr>
          <w:rFonts w:cs="Arial"/>
          <w:bCs/>
          <w:sz w:val="22"/>
          <w:szCs w:val="22"/>
        </w:rPr>
        <w:t>Payment of the sum of R276 906.21;</w:t>
      </w:r>
    </w:p>
    <w:p w14:paraId="4021A134" w14:textId="2A7DFF14" w:rsidR="00292124" w:rsidRPr="000D3ECF" w:rsidRDefault="000D3ECF" w:rsidP="000D3ECF">
      <w:pPr>
        <w:tabs>
          <w:tab w:val="left" w:pos="1701"/>
        </w:tabs>
        <w:spacing w:after="480" w:line="480" w:lineRule="auto"/>
        <w:ind w:left="1701" w:hanging="567"/>
        <w:jc w:val="both"/>
        <w:rPr>
          <w:rFonts w:cs="Arial"/>
          <w:bCs/>
          <w:sz w:val="22"/>
          <w:szCs w:val="22"/>
        </w:rPr>
      </w:pPr>
      <w:r>
        <w:rPr>
          <w:rFonts w:cs="Arial"/>
          <w:bCs/>
          <w:sz w:val="22"/>
          <w:szCs w:val="22"/>
        </w:rPr>
        <w:t>2.</w:t>
      </w:r>
      <w:r>
        <w:rPr>
          <w:rFonts w:cs="Arial"/>
          <w:bCs/>
          <w:sz w:val="22"/>
          <w:szCs w:val="22"/>
        </w:rPr>
        <w:tab/>
      </w:r>
      <w:r w:rsidR="00292124" w:rsidRPr="000D3ECF">
        <w:rPr>
          <w:rFonts w:cs="Arial"/>
          <w:bCs/>
          <w:sz w:val="22"/>
          <w:szCs w:val="22"/>
        </w:rPr>
        <w:t>Interest thereon at the rate of 9.57% nominal per annum calculated daily and compounded monthly with effect from 1 August 2022 to date of payment, both days inclusive;</w:t>
      </w:r>
    </w:p>
    <w:p w14:paraId="65321BF5" w14:textId="338644D6" w:rsidR="00292124" w:rsidRPr="000D3ECF" w:rsidRDefault="000D3ECF" w:rsidP="000D3ECF">
      <w:pPr>
        <w:tabs>
          <w:tab w:val="left" w:pos="1701"/>
        </w:tabs>
        <w:spacing w:after="480" w:line="480" w:lineRule="auto"/>
        <w:ind w:left="1701" w:hanging="567"/>
        <w:jc w:val="both"/>
        <w:rPr>
          <w:rFonts w:cs="Arial"/>
          <w:bCs/>
          <w:sz w:val="22"/>
          <w:szCs w:val="22"/>
        </w:rPr>
      </w:pPr>
      <w:r>
        <w:rPr>
          <w:rFonts w:cs="Arial"/>
          <w:bCs/>
          <w:sz w:val="22"/>
          <w:szCs w:val="22"/>
        </w:rPr>
        <w:t>3.</w:t>
      </w:r>
      <w:r>
        <w:rPr>
          <w:rFonts w:cs="Arial"/>
          <w:bCs/>
          <w:sz w:val="22"/>
          <w:szCs w:val="22"/>
        </w:rPr>
        <w:tab/>
      </w:r>
      <w:r w:rsidR="00292124" w:rsidRPr="000D3ECF">
        <w:rPr>
          <w:rFonts w:cs="Arial"/>
          <w:bCs/>
          <w:sz w:val="22"/>
          <w:szCs w:val="22"/>
        </w:rPr>
        <w:t xml:space="preserve">Declaring the immovable property known as Erf </w:t>
      </w:r>
      <w:r w:rsidR="001436A2" w:rsidRPr="000D3ECF">
        <w:rPr>
          <w:rFonts w:cs="Arial"/>
          <w:bCs/>
          <w:sz w:val="22"/>
          <w:szCs w:val="22"/>
        </w:rPr>
        <w:t>[…]</w:t>
      </w:r>
      <w:r w:rsidR="00292124" w:rsidRPr="000D3ECF">
        <w:rPr>
          <w:rFonts w:cs="Arial"/>
          <w:bCs/>
          <w:sz w:val="22"/>
          <w:szCs w:val="22"/>
        </w:rPr>
        <w:t xml:space="preserve"> M</w:t>
      </w:r>
      <w:r w:rsidR="001436A2" w:rsidRPr="000D3ECF">
        <w:rPr>
          <w:rFonts w:cs="Arial"/>
          <w:bCs/>
          <w:sz w:val="22"/>
          <w:szCs w:val="22"/>
        </w:rPr>
        <w:t>[…]</w:t>
      </w:r>
      <w:r w:rsidR="00292124" w:rsidRPr="000D3ECF">
        <w:rPr>
          <w:rFonts w:cs="Arial"/>
          <w:bCs/>
          <w:sz w:val="22"/>
          <w:szCs w:val="22"/>
        </w:rPr>
        <w:t xml:space="preserve"> Extension 11 Township, Registration Division I.Q, the Province of Gauteng measuring 260 (two hundred and sixty) square metres held by deed of transfer T42677/2017 specially executable;</w:t>
      </w:r>
    </w:p>
    <w:p w14:paraId="4E677E90" w14:textId="7C18261A" w:rsidR="00292124" w:rsidRPr="000D3ECF" w:rsidRDefault="000D3ECF" w:rsidP="000D3ECF">
      <w:pPr>
        <w:tabs>
          <w:tab w:val="left" w:pos="1701"/>
        </w:tabs>
        <w:spacing w:after="480" w:line="480" w:lineRule="auto"/>
        <w:ind w:left="1701" w:hanging="567"/>
        <w:jc w:val="both"/>
        <w:rPr>
          <w:rFonts w:cs="Arial"/>
          <w:bCs/>
          <w:sz w:val="22"/>
          <w:szCs w:val="22"/>
        </w:rPr>
      </w:pPr>
      <w:r>
        <w:rPr>
          <w:rFonts w:cs="Arial"/>
          <w:bCs/>
          <w:sz w:val="22"/>
          <w:szCs w:val="22"/>
        </w:rPr>
        <w:t>4.</w:t>
      </w:r>
      <w:r>
        <w:rPr>
          <w:rFonts w:cs="Arial"/>
          <w:bCs/>
          <w:sz w:val="22"/>
          <w:szCs w:val="22"/>
        </w:rPr>
        <w:tab/>
      </w:r>
      <w:r w:rsidR="00292124" w:rsidRPr="000D3ECF">
        <w:rPr>
          <w:rFonts w:cs="Arial"/>
          <w:bCs/>
          <w:sz w:val="22"/>
          <w:szCs w:val="22"/>
        </w:rPr>
        <w:t>The Registrar of this Court is authorised to issue a warrant of attachment herein;</w:t>
      </w:r>
    </w:p>
    <w:p w14:paraId="736F3E1D" w14:textId="3B1351F7" w:rsidR="00292124" w:rsidRPr="000D3ECF" w:rsidRDefault="000D3ECF" w:rsidP="000D3ECF">
      <w:pPr>
        <w:tabs>
          <w:tab w:val="left" w:pos="1701"/>
        </w:tabs>
        <w:spacing w:after="480" w:line="480" w:lineRule="auto"/>
        <w:ind w:left="1701" w:hanging="567"/>
        <w:jc w:val="both"/>
        <w:rPr>
          <w:rFonts w:cs="Arial"/>
          <w:bCs/>
          <w:sz w:val="22"/>
          <w:szCs w:val="22"/>
        </w:rPr>
      </w:pPr>
      <w:r>
        <w:rPr>
          <w:rFonts w:cs="Arial"/>
          <w:bCs/>
          <w:sz w:val="22"/>
          <w:szCs w:val="22"/>
        </w:rPr>
        <w:t>5.</w:t>
      </w:r>
      <w:r>
        <w:rPr>
          <w:rFonts w:cs="Arial"/>
          <w:bCs/>
          <w:sz w:val="22"/>
          <w:szCs w:val="22"/>
        </w:rPr>
        <w:tab/>
      </w:r>
      <w:r w:rsidR="00292124" w:rsidRPr="000D3ECF">
        <w:rPr>
          <w:rFonts w:cs="Arial"/>
          <w:bCs/>
          <w:sz w:val="22"/>
          <w:szCs w:val="22"/>
        </w:rPr>
        <w:t>The Sheriff of the above Honourable Court is authorised to execute the warrant of attachment herein;</w:t>
      </w:r>
    </w:p>
    <w:p w14:paraId="0DAEDCA5" w14:textId="2070FC5D" w:rsidR="00292124" w:rsidRPr="000D3ECF" w:rsidRDefault="000D3ECF" w:rsidP="000D3ECF">
      <w:pPr>
        <w:tabs>
          <w:tab w:val="left" w:pos="1701"/>
        </w:tabs>
        <w:spacing w:after="480" w:line="480" w:lineRule="auto"/>
        <w:ind w:left="1701" w:hanging="567"/>
        <w:jc w:val="both"/>
        <w:rPr>
          <w:rFonts w:cs="Arial"/>
          <w:bCs/>
          <w:sz w:val="22"/>
          <w:szCs w:val="22"/>
        </w:rPr>
      </w:pPr>
      <w:r>
        <w:rPr>
          <w:rFonts w:cs="Arial"/>
          <w:bCs/>
          <w:sz w:val="22"/>
          <w:szCs w:val="22"/>
        </w:rPr>
        <w:t>6.</w:t>
      </w:r>
      <w:r>
        <w:rPr>
          <w:rFonts w:cs="Arial"/>
          <w:bCs/>
          <w:sz w:val="22"/>
          <w:szCs w:val="22"/>
        </w:rPr>
        <w:tab/>
      </w:r>
      <w:r w:rsidR="00292124" w:rsidRPr="000D3ECF">
        <w:rPr>
          <w:rFonts w:cs="Arial"/>
          <w:bCs/>
          <w:sz w:val="22"/>
          <w:szCs w:val="22"/>
        </w:rPr>
        <w:t>The immovable property of the</w:t>
      </w:r>
      <w:r w:rsidR="001B0F95" w:rsidRPr="000D3ECF">
        <w:rPr>
          <w:rFonts w:cs="Arial"/>
          <w:bCs/>
          <w:sz w:val="22"/>
          <w:szCs w:val="22"/>
        </w:rPr>
        <w:t>/</w:t>
      </w:r>
      <w:r w:rsidR="00292124" w:rsidRPr="000D3ECF">
        <w:rPr>
          <w:rFonts w:cs="Arial"/>
          <w:bCs/>
          <w:sz w:val="22"/>
          <w:szCs w:val="22"/>
        </w:rPr>
        <w:t xml:space="preserve"> </w:t>
      </w:r>
      <w:r w:rsidR="001B0F95" w:rsidRPr="000D3ECF">
        <w:rPr>
          <w:rFonts w:cs="Arial"/>
          <w:bCs/>
          <w:sz w:val="22"/>
          <w:szCs w:val="22"/>
        </w:rPr>
        <w:t xml:space="preserve">respondents </w:t>
      </w:r>
      <w:r w:rsidR="00292124" w:rsidRPr="000D3ECF">
        <w:rPr>
          <w:rFonts w:cs="Arial"/>
          <w:bCs/>
          <w:sz w:val="22"/>
          <w:szCs w:val="22"/>
        </w:rPr>
        <w:t>shall be sold by the Sheriff subject to reserve price of R320 000.00;</w:t>
      </w:r>
    </w:p>
    <w:p w14:paraId="08534E08" w14:textId="78AAECAD" w:rsidR="00292124" w:rsidRPr="000D3ECF" w:rsidRDefault="000D3ECF" w:rsidP="000D3ECF">
      <w:pPr>
        <w:tabs>
          <w:tab w:val="left" w:pos="1701"/>
        </w:tabs>
        <w:spacing w:after="480" w:line="480" w:lineRule="auto"/>
        <w:ind w:left="1701" w:hanging="567"/>
        <w:jc w:val="both"/>
        <w:rPr>
          <w:rFonts w:cs="Arial"/>
          <w:bCs/>
          <w:sz w:val="22"/>
          <w:szCs w:val="22"/>
        </w:rPr>
      </w:pPr>
      <w:r>
        <w:rPr>
          <w:rFonts w:cs="Arial"/>
          <w:bCs/>
          <w:sz w:val="22"/>
          <w:szCs w:val="22"/>
        </w:rPr>
        <w:lastRenderedPageBreak/>
        <w:t>7.</w:t>
      </w:r>
      <w:r>
        <w:rPr>
          <w:rFonts w:cs="Arial"/>
          <w:bCs/>
          <w:sz w:val="22"/>
          <w:szCs w:val="22"/>
        </w:rPr>
        <w:tab/>
      </w:r>
      <w:r w:rsidR="00292124" w:rsidRPr="000D3ECF">
        <w:rPr>
          <w:rFonts w:cs="Arial"/>
          <w:bCs/>
          <w:sz w:val="22"/>
          <w:szCs w:val="22"/>
        </w:rPr>
        <w:t>The effect of paragraphs 4, 5 and 6 of this order are suspended for a period of four (4) months from the date of this judgment, being 29 January 2024, in order to</w:t>
      </w:r>
      <w:r w:rsidR="00D81153" w:rsidRPr="000D3ECF">
        <w:rPr>
          <w:rFonts w:cs="Arial"/>
          <w:bCs/>
          <w:sz w:val="22"/>
          <w:szCs w:val="22"/>
        </w:rPr>
        <w:t xml:space="preserve"> permit </w:t>
      </w:r>
      <w:r w:rsidR="00292124" w:rsidRPr="000D3ECF">
        <w:rPr>
          <w:rFonts w:cs="Arial"/>
          <w:bCs/>
          <w:sz w:val="22"/>
          <w:szCs w:val="22"/>
        </w:rPr>
        <w:t xml:space="preserve">the second </w:t>
      </w:r>
      <w:r w:rsidR="00D81153" w:rsidRPr="000D3ECF">
        <w:rPr>
          <w:rFonts w:cs="Arial"/>
          <w:bCs/>
          <w:sz w:val="22"/>
          <w:szCs w:val="22"/>
        </w:rPr>
        <w:t xml:space="preserve"> respondent</w:t>
      </w:r>
      <w:r w:rsidR="00292124" w:rsidRPr="000D3ECF">
        <w:rPr>
          <w:rFonts w:cs="Arial"/>
          <w:bCs/>
          <w:sz w:val="22"/>
          <w:szCs w:val="22"/>
        </w:rPr>
        <w:t xml:space="preserve"> to locate alternate accommodation and to permit the immovable property to be sold privately by the second respondent. If no agreement of sale has been secured by the end of this four month period, the orders for execution in terms of paragraphs 4, 5 and 6 of this order will automatically take effect.</w:t>
      </w:r>
    </w:p>
    <w:p w14:paraId="7EE54332" w14:textId="3D2F8946" w:rsidR="00292124" w:rsidRPr="000D3ECF" w:rsidRDefault="000D3ECF" w:rsidP="000D3ECF">
      <w:pPr>
        <w:tabs>
          <w:tab w:val="left" w:pos="1701"/>
        </w:tabs>
        <w:spacing w:after="480" w:line="480" w:lineRule="auto"/>
        <w:ind w:left="1701" w:hanging="567"/>
        <w:jc w:val="both"/>
        <w:rPr>
          <w:rFonts w:cs="Arial"/>
          <w:bCs/>
          <w:sz w:val="22"/>
          <w:szCs w:val="22"/>
        </w:rPr>
      </w:pPr>
      <w:r>
        <w:rPr>
          <w:rFonts w:cs="Arial"/>
          <w:bCs/>
          <w:sz w:val="22"/>
          <w:szCs w:val="22"/>
        </w:rPr>
        <w:t>8.</w:t>
      </w:r>
      <w:r>
        <w:rPr>
          <w:rFonts w:cs="Arial"/>
          <w:bCs/>
          <w:sz w:val="22"/>
          <w:szCs w:val="22"/>
        </w:rPr>
        <w:tab/>
      </w:r>
      <w:r w:rsidR="00292124" w:rsidRPr="000D3ECF">
        <w:rPr>
          <w:rFonts w:cs="Arial"/>
          <w:bCs/>
          <w:sz w:val="22"/>
          <w:szCs w:val="22"/>
        </w:rPr>
        <w:t xml:space="preserve">The </w:t>
      </w:r>
      <w:r w:rsidR="00D81153" w:rsidRPr="000D3ECF">
        <w:rPr>
          <w:rFonts w:cs="Arial"/>
          <w:bCs/>
          <w:sz w:val="22"/>
          <w:szCs w:val="22"/>
        </w:rPr>
        <w:t xml:space="preserve"> </w:t>
      </w:r>
      <w:bookmarkStart w:id="3" w:name="_Hlk158038725"/>
      <w:r w:rsidR="00D81153" w:rsidRPr="000D3ECF">
        <w:rPr>
          <w:rFonts w:cs="Arial"/>
          <w:bCs/>
          <w:sz w:val="22"/>
          <w:szCs w:val="22"/>
        </w:rPr>
        <w:t>respondents</w:t>
      </w:r>
      <w:bookmarkEnd w:id="3"/>
      <w:r w:rsidR="00D81153" w:rsidRPr="000D3ECF">
        <w:rPr>
          <w:rFonts w:cs="Arial"/>
          <w:bCs/>
          <w:sz w:val="22"/>
          <w:szCs w:val="22"/>
        </w:rPr>
        <w:t xml:space="preserve"> </w:t>
      </w:r>
      <w:r w:rsidR="00292124" w:rsidRPr="000D3ECF">
        <w:rPr>
          <w:rFonts w:cs="Arial"/>
          <w:bCs/>
          <w:sz w:val="22"/>
          <w:szCs w:val="22"/>
        </w:rPr>
        <w:t xml:space="preserve">are ordered to pay the costs as between attorney and client. </w:t>
      </w:r>
    </w:p>
    <w:p w14:paraId="3C4FE181" w14:textId="1163A00D" w:rsidR="00292124" w:rsidRPr="000D3ECF" w:rsidRDefault="000D3ECF" w:rsidP="000D3ECF">
      <w:pPr>
        <w:tabs>
          <w:tab w:val="left" w:pos="1701"/>
        </w:tabs>
        <w:spacing w:after="480" w:line="480" w:lineRule="auto"/>
        <w:ind w:left="1701" w:hanging="567"/>
        <w:jc w:val="both"/>
        <w:rPr>
          <w:rFonts w:cs="Arial"/>
          <w:bCs/>
          <w:sz w:val="22"/>
          <w:szCs w:val="22"/>
        </w:rPr>
      </w:pPr>
      <w:r>
        <w:rPr>
          <w:rFonts w:cs="Arial"/>
          <w:bCs/>
          <w:sz w:val="22"/>
          <w:szCs w:val="22"/>
        </w:rPr>
        <w:t>9.</w:t>
      </w:r>
      <w:r>
        <w:rPr>
          <w:rFonts w:cs="Arial"/>
          <w:bCs/>
          <w:sz w:val="22"/>
          <w:szCs w:val="22"/>
        </w:rPr>
        <w:tab/>
      </w:r>
      <w:r w:rsidR="00292124" w:rsidRPr="000D3ECF">
        <w:rPr>
          <w:rFonts w:cs="Arial"/>
          <w:bCs/>
          <w:sz w:val="22"/>
          <w:szCs w:val="22"/>
        </w:rPr>
        <w:t>T</w:t>
      </w:r>
      <w:r w:rsidR="00562B13" w:rsidRPr="000D3ECF">
        <w:rPr>
          <w:rFonts w:cs="Arial"/>
          <w:bCs/>
          <w:sz w:val="22"/>
          <w:szCs w:val="22"/>
        </w:rPr>
        <w:t xml:space="preserve">he </w:t>
      </w:r>
      <w:r w:rsidR="00D81153" w:rsidRPr="000D3ECF">
        <w:rPr>
          <w:rFonts w:cs="Arial"/>
          <w:bCs/>
          <w:sz w:val="22"/>
          <w:szCs w:val="22"/>
        </w:rPr>
        <w:t>respondents</w:t>
      </w:r>
      <w:r w:rsidR="00292124" w:rsidRPr="000D3ECF">
        <w:rPr>
          <w:rFonts w:cs="Arial"/>
          <w:bCs/>
          <w:sz w:val="22"/>
          <w:szCs w:val="22"/>
        </w:rPr>
        <w:t xml:space="preserve"> are advised that the provisions of </w:t>
      </w:r>
      <w:r w:rsidR="00F82832" w:rsidRPr="000D3ECF">
        <w:rPr>
          <w:rFonts w:cs="Arial"/>
          <w:bCs/>
          <w:sz w:val="22"/>
          <w:szCs w:val="22"/>
        </w:rPr>
        <w:t>s</w:t>
      </w:r>
      <w:r w:rsidR="00292124" w:rsidRPr="000D3ECF">
        <w:rPr>
          <w:rFonts w:cs="Arial"/>
          <w:bCs/>
          <w:sz w:val="22"/>
          <w:szCs w:val="22"/>
        </w:rPr>
        <w:t xml:space="preserve">ection 129(3)(a) and (4) of the National Credit Act, 34 of 2004 (“the NCA”) may apply to the judgment granted in favour of the </w:t>
      </w:r>
      <w:r w:rsidR="00D81153" w:rsidRPr="000D3ECF">
        <w:rPr>
          <w:rFonts w:cs="Arial"/>
          <w:bCs/>
          <w:sz w:val="22"/>
          <w:szCs w:val="22"/>
        </w:rPr>
        <w:t>applicant</w:t>
      </w:r>
      <w:r w:rsidR="00292124" w:rsidRPr="000D3ECF">
        <w:rPr>
          <w:rFonts w:cs="Arial"/>
          <w:bCs/>
          <w:sz w:val="22"/>
          <w:szCs w:val="22"/>
        </w:rPr>
        <w:t>. The</w:t>
      </w:r>
      <w:r w:rsidR="00D81153" w:rsidRPr="000D3ECF">
        <w:rPr>
          <w:rFonts w:cs="Arial"/>
          <w:bCs/>
          <w:sz w:val="22"/>
          <w:szCs w:val="22"/>
        </w:rPr>
        <w:t xml:space="preserve"> respondents</w:t>
      </w:r>
      <w:r w:rsidR="00292124" w:rsidRPr="000D3ECF">
        <w:rPr>
          <w:rFonts w:cs="Arial"/>
          <w:bCs/>
          <w:sz w:val="22"/>
          <w:szCs w:val="22"/>
        </w:rPr>
        <w:t xml:space="preserve"> may prevent the sale of the immovable property </w:t>
      </w:r>
      <w:r w:rsidR="00562B13" w:rsidRPr="000D3ECF">
        <w:rPr>
          <w:rFonts w:cs="Arial"/>
          <w:bCs/>
          <w:sz w:val="22"/>
          <w:szCs w:val="22"/>
        </w:rPr>
        <w:t>if the</w:t>
      </w:r>
      <w:r w:rsidR="00D81153" w:rsidRPr="000D3ECF">
        <w:rPr>
          <w:rFonts w:cs="Arial"/>
          <w:bCs/>
          <w:sz w:val="22"/>
          <w:szCs w:val="22"/>
        </w:rPr>
        <w:t xml:space="preserve"> respondents</w:t>
      </w:r>
      <w:r w:rsidR="00562B13" w:rsidRPr="000D3ECF">
        <w:rPr>
          <w:rFonts w:cs="Arial"/>
          <w:bCs/>
          <w:sz w:val="22"/>
          <w:szCs w:val="22"/>
        </w:rPr>
        <w:t xml:space="preserve"> pay to the</w:t>
      </w:r>
      <w:r w:rsidR="00D81153" w:rsidRPr="000D3ECF">
        <w:rPr>
          <w:rFonts w:cs="Arial"/>
          <w:bCs/>
          <w:sz w:val="22"/>
          <w:szCs w:val="22"/>
        </w:rPr>
        <w:t xml:space="preserve"> applicant</w:t>
      </w:r>
      <w:r w:rsidR="00562B13" w:rsidRPr="000D3ECF">
        <w:rPr>
          <w:rFonts w:cs="Arial"/>
          <w:bCs/>
          <w:sz w:val="22"/>
          <w:szCs w:val="22"/>
        </w:rPr>
        <w:t xml:space="preserve"> all of the arrear amounts owing to the </w:t>
      </w:r>
      <w:r w:rsidR="00D81153" w:rsidRPr="000D3ECF">
        <w:rPr>
          <w:rFonts w:cs="Arial"/>
          <w:bCs/>
          <w:sz w:val="22"/>
          <w:szCs w:val="22"/>
        </w:rPr>
        <w:t>ap</w:t>
      </w:r>
      <w:r w:rsidR="00562B13" w:rsidRPr="000D3ECF">
        <w:rPr>
          <w:rFonts w:cs="Arial"/>
          <w:bCs/>
          <w:sz w:val="22"/>
          <w:szCs w:val="22"/>
        </w:rPr>
        <w:t>pli</w:t>
      </w:r>
      <w:r w:rsidR="00D81153" w:rsidRPr="000D3ECF">
        <w:rPr>
          <w:rFonts w:cs="Arial"/>
          <w:bCs/>
          <w:sz w:val="22"/>
          <w:szCs w:val="22"/>
        </w:rPr>
        <w:t>can</w:t>
      </w:r>
      <w:r w:rsidR="00562B13" w:rsidRPr="000D3ECF">
        <w:rPr>
          <w:rFonts w:cs="Arial"/>
          <w:bCs/>
          <w:sz w:val="22"/>
          <w:szCs w:val="22"/>
        </w:rPr>
        <w:t>t, together with the</w:t>
      </w:r>
      <w:r w:rsidR="00D81153" w:rsidRPr="000D3ECF">
        <w:rPr>
          <w:rFonts w:cs="Arial"/>
          <w:bCs/>
          <w:sz w:val="22"/>
          <w:szCs w:val="22"/>
        </w:rPr>
        <w:t xml:space="preserve"> applicant’s</w:t>
      </w:r>
      <w:r w:rsidR="00562B13" w:rsidRPr="000D3ECF">
        <w:rPr>
          <w:rFonts w:cs="Arial"/>
          <w:bCs/>
          <w:sz w:val="22"/>
          <w:szCs w:val="22"/>
        </w:rPr>
        <w:t xml:space="preserve"> permitted default charges and reasonable costs of enforcing the agreement up to the time of re-instatement, prior to the property being sold in execution. </w:t>
      </w:r>
    </w:p>
    <w:p w14:paraId="5F8AF3F1" w14:textId="18166E1F" w:rsidR="00562B13" w:rsidRPr="000D3ECF" w:rsidRDefault="000D3ECF" w:rsidP="000D3ECF">
      <w:pPr>
        <w:tabs>
          <w:tab w:val="left" w:pos="1701"/>
        </w:tabs>
        <w:spacing w:after="480" w:line="480" w:lineRule="auto"/>
        <w:ind w:left="1701" w:hanging="567"/>
        <w:jc w:val="both"/>
        <w:rPr>
          <w:rFonts w:cs="Arial"/>
          <w:bCs/>
          <w:sz w:val="22"/>
          <w:szCs w:val="22"/>
        </w:rPr>
      </w:pPr>
      <w:r w:rsidRPr="0060239D">
        <w:rPr>
          <w:rFonts w:cs="Arial"/>
          <w:bCs/>
          <w:sz w:val="22"/>
          <w:szCs w:val="22"/>
        </w:rPr>
        <w:t>10.</w:t>
      </w:r>
      <w:r w:rsidRPr="0060239D">
        <w:rPr>
          <w:rFonts w:cs="Arial"/>
          <w:bCs/>
          <w:sz w:val="22"/>
          <w:szCs w:val="22"/>
        </w:rPr>
        <w:tab/>
      </w:r>
      <w:r w:rsidR="00562B13" w:rsidRPr="000D3ECF">
        <w:rPr>
          <w:rFonts w:cs="Arial"/>
          <w:bCs/>
          <w:sz w:val="22"/>
          <w:szCs w:val="22"/>
        </w:rPr>
        <w:t xml:space="preserve">The arrear amounts and the enforcement costs referred to in paragraph 7 may be obtained from the </w:t>
      </w:r>
      <w:r w:rsidR="001B0F95" w:rsidRPr="000D3ECF">
        <w:rPr>
          <w:rFonts w:cs="Arial"/>
          <w:bCs/>
          <w:sz w:val="22"/>
          <w:szCs w:val="22"/>
        </w:rPr>
        <w:t>ap</w:t>
      </w:r>
      <w:r w:rsidR="00562B13" w:rsidRPr="000D3ECF">
        <w:rPr>
          <w:rFonts w:cs="Arial"/>
          <w:bCs/>
          <w:sz w:val="22"/>
          <w:szCs w:val="22"/>
        </w:rPr>
        <w:t>pli</w:t>
      </w:r>
      <w:r w:rsidR="001B0F95" w:rsidRPr="000D3ECF">
        <w:rPr>
          <w:rFonts w:cs="Arial"/>
          <w:bCs/>
          <w:sz w:val="22"/>
          <w:szCs w:val="22"/>
        </w:rPr>
        <w:t>ca</w:t>
      </w:r>
      <w:r w:rsidR="00562B13" w:rsidRPr="000D3ECF">
        <w:rPr>
          <w:rFonts w:cs="Arial"/>
          <w:bCs/>
          <w:sz w:val="22"/>
          <w:szCs w:val="22"/>
        </w:rPr>
        <w:t xml:space="preserve">nt. The </w:t>
      </w:r>
      <w:bookmarkStart w:id="4" w:name="_Hlk158038835"/>
      <w:r w:rsidR="001B0F95" w:rsidRPr="000D3ECF">
        <w:rPr>
          <w:rFonts w:cs="Arial"/>
          <w:bCs/>
          <w:sz w:val="22"/>
          <w:szCs w:val="22"/>
        </w:rPr>
        <w:t xml:space="preserve">respondents </w:t>
      </w:r>
      <w:bookmarkEnd w:id="4"/>
      <w:r w:rsidR="00562B13" w:rsidRPr="000D3ECF">
        <w:rPr>
          <w:rFonts w:cs="Arial"/>
          <w:bCs/>
          <w:sz w:val="22"/>
          <w:szCs w:val="22"/>
        </w:rPr>
        <w:t xml:space="preserve"> are advised that the arrear amount is not the full amount of the judgment debt that the amount owing by the </w:t>
      </w:r>
      <w:r w:rsidR="001B0F95" w:rsidRPr="000D3ECF">
        <w:rPr>
          <w:rFonts w:cs="Arial"/>
          <w:bCs/>
          <w:sz w:val="22"/>
          <w:szCs w:val="22"/>
        </w:rPr>
        <w:t xml:space="preserve">respondents </w:t>
      </w:r>
      <w:r w:rsidR="00562B13" w:rsidRPr="000D3ECF">
        <w:rPr>
          <w:rFonts w:cs="Arial"/>
          <w:bCs/>
          <w:sz w:val="22"/>
          <w:szCs w:val="22"/>
        </w:rPr>
        <w:t xml:space="preserve">to the </w:t>
      </w:r>
      <w:r w:rsidR="001B0F95" w:rsidRPr="000D3ECF">
        <w:rPr>
          <w:rFonts w:cs="Arial"/>
          <w:bCs/>
          <w:sz w:val="22"/>
          <w:szCs w:val="22"/>
        </w:rPr>
        <w:t>ap</w:t>
      </w:r>
      <w:r w:rsidR="00562B13" w:rsidRPr="000D3ECF">
        <w:rPr>
          <w:rFonts w:cs="Arial"/>
          <w:bCs/>
          <w:sz w:val="22"/>
          <w:szCs w:val="22"/>
        </w:rPr>
        <w:t>pli</w:t>
      </w:r>
      <w:r w:rsidR="001B0F95" w:rsidRPr="000D3ECF">
        <w:rPr>
          <w:rFonts w:cs="Arial"/>
          <w:bCs/>
          <w:sz w:val="22"/>
          <w:szCs w:val="22"/>
        </w:rPr>
        <w:t>ca</w:t>
      </w:r>
      <w:r w:rsidR="00562B13" w:rsidRPr="000D3ECF">
        <w:rPr>
          <w:rFonts w:cs="Arial"/>
          <w:bCs/>
          <w:sz w:val="22"/>
          <w:szCs w:val="22"/>
        </w:rPr>
        <w:t>nt, without reference to the accelerated amount.</w:t>
      </w:r>
    </w:p>
    <w:p w14:paraId="70BD5BD5" w14:textId="00D7134E" w:rsidR="00A81108" w:rsidRPr="00A81108" w:rsidRDefault="00A81108" w:rsidP="00A81108">
      <w:pPr>
        <w:spacing w:after="480" w:line="480" w:lineRule="auto"/>
        <w:jc w:val="both"/>
        <w:rPr>
          <w:rFonts w:cs="Arial"/>
          <w:bCs/>
          <w:sz w:val="22"/>
          <w:szCs w:val="22"/>
        </w:rPr>
      </w:pPr>
    </w:p>
    <w:p w14:paraId="2B79012D" w14:textId="77777777" w:rsidR="00A81108" w:rsidRPr="00A81108" w:rsidRDefault="00A81108" w:rsidP="00A81108">
      <w:pPr>
        <w:keepNext/>
        <w:tabs>
          <w:tab w:val="right" w:pos="0"/>
        </w:tabs>
        <w:spacing w:line="360" w:lineRule="auto"/>
        <w:contextualSpacing/>
        <w:jc w:val="right"/>
        <w:rPr>
          <w:rFonts w:cs="Arial"/>
        </w:rPr>
      </w:pPr>
      <w:r w:rsidRPr="00A81108">
        <w:rPr>
          <w:rFonts w:cs="Arial"/>
        </w:rPr>
        <w:lastRenderedPageBreak/>
        <w:t>_____________________________________</w:t>
      </w:r>
    </w:p>
    <w:p w14:paraId="5C2EEC7E" w14:textId="292F11C2" w:rsidR="00A81108" w:rsidRPr="00A81108" w:rsidRDefault="00A81108" w:rsidP="00A81108">
      <w:pPr>
        <w:tabs>
          <w:tab w:val="right" w:pos="0"/>
        </w:tabs>
        <w:spacing w:line="360" w:lineRule="auto"/>
        <w:contextualSpacing/>
        <w:jc w:val="right"/>
        <w:rPr>
          <w:rFonts w:cs="Arial"/>
          <w:b/>
        </w:rPr>
      </w:pPr>
      <w:r w:rsidRPr="00A81108">
        <w:rPr>
          <w:rFonts w:cs="Arial"/>
          <w:b/>
        </w:rPr>
        <w:t xml:space="preserve"> CRUTCHFIELD</w:t>
      </w:r>
      <w:r w:rsidR="00F82832">
        <w:rPr>
          <w:rFonts w:cs="Arial"/>
          <w:b/>
        </w:rPr>
        <w:t xml:space="preserve"> J</w:t>
      </w:r>
    </w:p>
    <w:p w14:paraId="0F33931D" w14:textId="77777777" w:rsidR="00A81108" w:rsidRPr="00A81108" w:rsidRDefault="00A81108" w:rsidP="00A81108">
      <w:pPr>
        <w:tabs>
          <w:tab w:val="right" w:pos="0"/>
        </w:tabs>
        <w:spacing w:line="360" w:lineRule="auto"/>
        <w:contextualSpacing/>
        <w:jc w:val="right"/>
        <w:rPr>
          <w:rFonts w:cs="Arial"/>
          <w:b/>
        </w:rPr>
      </w:pPr>
      <w:r w:rsidRPr="00A81108">
        <w:rPr>
          <w:rFonts w:cs="Arial"/>
          <w:b/>
        </w:rPr>
        <w:t>JUDGE OF THE HIGH COURT OF SOUTH AFRICA</w:t>
      </w:r>
    </w:p>
    <w:p w14:paraId="489F843F" w14:textId="77777777" w:rsidR="00A81108" w:rsidRPr="00A81108" w:rsidRDefault="00A81108" w:rsidP="00A81108">
      <w:pPr>
        <w:tabs>
          <w:tab w:val="right" w:pos="0"/>
          <w:tab w:val="left" w:pos="4253"/>
        </w:tabs>
        <w:spacing w:line="360" w:lineRule="auto"/>
        <w:contextualSpacing/>
        <w:jc w:val="right"/>
        <w:rPr>
          <w:rFonts w:cs="Arial"/>
          <w:b/>
        </w:rPr>
      </w:pPr>
      <w:r w:rsidRPr="00A81108">
        <w:rPr>
          <w:rFonts w:cs="Arial"/>
          <w:b/>
        </w:rPr>
        <w:t>GAUTENG DIVISION</w:t>
      </w:r>
    </w:p>
    <w:p w14:paraId="2AA12E05" w14:textId="77777777" w:rsidR="00A81108" w:rsidRPr="00A81108" w:rsidRDefault="00A81108" w:rsidP="00A81108">
      <w:pPr>
        <w:tabs>
          <w:tab w:val="right" w:pos="0"/>
          <w:tab w:val="left" w:pos="4253"/>
        </w:tabs>
        <w:spacing w:line="360" w:lineRule="auto"/>
        <w:contextualSpacing/>
        <w:jc w:val="right"/>
        <w:rPr>
          <w:rFonts w:cs="Arial"/>
          <w:b/>
        </w:rPr>
      </w:pPr>
      <w:r w:rsidRPr="00A81108">
        <w:rPr>
          <w:rFonts w:cs="Arial"/>
          <w:b/>
        </w:rPr>
        <w:t>JOHANNESBURG</w:t>
      </w:r>
    </w:p>
    <w:p w14:paraId="046F3416" w14:textId="77777777" w:rsidR="00A81108" w:rsidRPr="00A81108" w:rsidRDefault="00A81108" w:rsidP="00A81108">
      <w:pPr>
        <w:tabs>
          <w:tab w:val="right" w:pos="0"/>
          <w:tab w:val="left" w:pos="4253"/>
        </w:tabs>
        <w:spacing w:line="360" w:lineRule="auto"/>
        <w:contextualSpacing/>
        <w:jc w:val="center"/>
        <w:rPr>
          <w:rFonts w:cs="Arial"/>
          <w:b/>
        </w:rPr>
      </w:pPr>
    </w:p>
    <w:p w14:paraId="3028E804" w14:textId="77777777" w:rsidR="00A81108" w:rsidRPr="00A81108" w:rsidRDefault="00A81108" w:rsidP="00A81108">
      <w:pPr>
        <w:spacing w:after="200" w:line="360" w:lineRule="auto"/>
        <w:contextualSpacing/>
        <w:jc w:val="both"/>
        <w:rPr>
          <w:rFonts w:eastAsia="Arial Unicode MS" w:cs="Arial"/>
          <w:bCs/>
          <w:sz w:val="22"/>
        </w:rPr>
      </w:pPr>
    </w:p>
    <w:p w14:paraId="2C59BF44" w14:textId="77777777" w:rsidR="00A81108" w:rsidRPr="00A81108" w:rsidRDefault="00A81108" w:rsidP="00A81108">
      <w:pPr>
        <w:spacing w:after="200" w:line="360" w:lineRule="auto"/>
        <w:contextualSpacing/>
        <w:jc w:val="both"/>
        <w:rPr>
          <w:rFonts w:eastAsia="Arial Unicode MS" w:cs="Arial"/>
          <w:bCs/>
          <w:sz w:val="22"/>
        </w:rPr>
      </w:pPr>
      <w:r w:rsidRPr="00A81108">
        <w:rPr>
          <w:rFonts w:eastAsia="Arial Unicode MS" w:cs="Arial"/>
          <w:bCs/>
          <w:sz w:val="22"/>
        </w:rPr>
        <w:t xml:space="preserve">Delivered: This judgment was prepared and authored by the Judge whose name is reflected and is handed down electronically by circulation to the Parties / their legal representatives by email and by uploading it to the electronic file of this matter on CaseLines. The date of the judgment is deemed to be </w:t>
      </w:r>
      <w:r w:rsidR="00562B13">
        <w:rPr>
          <w:rFonts w:eastAsia="Arial Unicode MS" w:cs="Arial"/>
          <w:b/>
          <w:bCs/>
          <w:sz w:val="22"/>
        </w:rPr>
        <w:t>29 January</w:t>
      </w:r>
      <w:r w:rsidRPr="00A81108">
        <w:rPr>
          <w:rFonts w:eastAsia="Arial Unicode MS" w:cs="Arial"/>
          <w:b/>
          <w:bCs/>
          <w:sz w:val="22"/>
        </w:rPr>
        <w:t xml:space="preserve"> 202</w:t>
      </w:r>
      <w:r w:rsidR="0039108A">
        <w:rPr>
          <w:rFonts w:eastAsia="Arial Unicode MS" w:cs="Arial"/>
          <w:b/>
          <w:bCs/>
          <w:sz w:val="22"/>
        </w:rPr>
        <w:t>4</w:t>
      </w:r>
      <w:r w:rsidRPr="00A81108">
        <w:rPr>
          <w:rFonts w:eastAsia="Arial Unicode MS" w:cs="Arial"/>
          <w:bCs/>
          <w:sz w:val="22"/>
        </w:rPr>
        <w:t>.</w:t>
      </w:r>
    </w:p>
    <w:p w14:paraId="0A0B5711" w14:textId="77777777" w:rsidR="00A81108" w:rsidRDefault="00A81108" w:rsidP="00A81108">
      <w:pPr>
        <w:tabs>
          <w:tab w:val="right" w:pos="0"/>
          <w:tab w:val="left" w:pos="4253"/>
        </w:tabs>
        <w:spacing w:line="360" w:lineRule="auto"/>
        <w:contextualSpacing/>
        <w:jc w:val="both"/>
        <w:rPr>
          <w:rFonts w:cs="Arial"/>
        </w:rPr>
      </w:pPr>
    </w:p>
    <w:p w14:paraId="7017E5F7" w14:textId="77777777" w:rsidR="00463BED" w:rsidRPr="00A81108" w:rsidRDefault="00463BED" w:rsidP="00A81108">
      <w:pPr>
        <w:tabs>
          <w:tab w:val="right" w:pos="0"/>
          <w:tab w:val="left" w:pos="4253"/>
        </w:tabs>
        <w:spacing w:line="360" w:lineRule="auto"/>
        <w:contextualSpacing/>
        <w:jc w:val="both"/>
        <w:rPr>
          <w:rFonts w:cs="Arial"/>
        </w:rPr>
      </w:pPr>
    </w:p>
    <w:p w14:paraId="5FDE16CF" w14:textId="7838333F" w:rsidR="00A81108" w:rsidRPr="00A81108" w:rsidRDefault="00C83FB4" w:rsidP="00471B2D">
      <w:pPr>
        <w:tabs>
          <w:tab w:val="right" w:pos="8647"/>
        </w:tabs>
        <w:spacing w:line="360" w:lineRule="auto"/>
        <w:contextualSpacing/>
        <w:jc w:val="right"/>
        <w:rPr>
          <w:rFonts w:cs="Arial"/>
        </w:rPr>
      </w:pPr>
      <w:r>
        <w:rPr>
          <w:rFonts w:cs="Arial"/>
        </w:rPr>
        <w:t xml:space="preserve">COUNSEL </w:t>
      </w:r>
      <w:r w:rsidR="00A81108" w:rsidRPr="00A81108">
        <w:rPr>
          <w:rFonts w:cs="Arial"/>
        </w:rPr>
        <w:t xml:space="preserve">FOR THE </w:t>
      </w:r>
      <w:r w:rsidR="00395558">
        <w:rPr>
          <w:rFonts w:cs="Arial"/>
        </w:rPr>
        <w:t>APPLICANT</w:t>
      </w:r>
      <w:r w:rsidR="00A81108" w:rsidRPr="00A81108">
        <w:rPr>
          <w:rFonts w:cs="Arial"/>
        </w:rPr>
        <w:t xml:space="preserve">: </w:t>
      </w:r>
      <w:r w:rsidR="00471B2D">
        <w:rPr>
          <w:rFonts w:cs="Arial"/>
        </w:rPr>
        <w:t xml:space="preserve">                                             </w:t>
      </w:r>
      <w:r w:rsidR="00471B2D" w:rsidRPr="00471B2D">
        <w:rPr>
          <w:rFonts w:cs="Arial"/>
        </w:rPr>
        <w:t>ADV. H SALANI</w:t>
      </w:r>
      <w:r w:rsidR="00A81108" w:rsidRPr="00A81108">
        <w:rPr>
          <w:rFonts w:cs="Arial"/>
        </w:rPr>
        <w:tab/>
      </w:r>
    </w:p>
    <w:p w14:paraId="661DFA8F" w14:textId="77777777" w:rsidR="00A81108" w:rsidRPr="00A81108" w:rsidRDefault="00A81108" w:rsidP="00A81108">
      <w:pPr>
        <w:tabs>
          <w:tab w:val="right" w:pos="0"/>
          <w:tab w:val="right" w:pos="8647"/>
        </w:tabs>
        <w:spacing w:line="360" w:lineRule="auto"/>
        <w:contextualSpacing/>
        <w:jc w:val="both"/>
        <w:rPr>
          <w:rFonts w:cs="Arial"/>
        </w:rPr>
      </w:pPr>
    </w:p>
    <w:p w14:paraId="644C74A5" w14:textId="01351FA7" w:rsidR="00A81108" w:rsidRPr="00A81108" w:rsidRDefault="00A81108" w:rsidP="00D32725">
      <w:pPr>
        <w:tabs>
          <w:tab w:val="right" w:pos="8647"/>
        </w:tabs>
        <w:spacing w:line="360" w:lineRule="auto"/>
        <w:ind w:left="3119" w:hanging="3119"/>
        <w:contextualSpacing/>
        <w:rPr>
          <w:rFonts w:cs="Arial"/>
        </w:rPr>
      </w:pPr>
      <w:r w:rsidRPr="00A81108">
        <w:rPr>
          <w:rFonts w:cs="Arial"/>
        </w:rPr>
        <w:t xml:space="preserve">INSTRUCTED BY: </w:t>
      </w:r>
      <w:r w:rsidRPr="00A81108">
        <w:rPr>
          <w:rFonts w:cs="Arial"/>
        </w:rPr>
        <w:tab/>
      </w:r>
      <w:r w:rsidR="00471B2D">
        <w:rPr>
          <w:rFonts w:cs="Arial"/>
        </w:rPr>
        <w:t xml:space="preserve">                            VAN HULSTEYNS ATTORNEYS </w:t>
      </w:r>
      <w:r w:rsidRPr="00A81108">
        <w:rPr>
          <w:rFonts w:cs="Arial"/>
        </w:rPr>
        <w:tab/>
      </w:r>
    </w:p>
    <w:p w14:paraId="6423CCAF" w14:textId="6FD03299" w:rsidR="00A81108" w:rsidRPr="00A81108" w:rsidRDefault="00A81108" w:rsidP="00A81108">
      <w:pPr>
        <w:tabs>
          <w:tab w:val="right" w:pos="0"/>
          <w:tab w:val="right" w:pos="8647"/>
        </w:tabs>
        <w:spacing w:line="360" w:lineRule="auto"/>
        <w:contextualSpacing/>
        <w:jc w:val="both"/>
        <w:rPr>
          <w:rFonts w:cs="Arial"/>
        </w:rPr>
      </w:pPr>
      <w:r w:rsidRPr="00A81108">
        <w:rPr>
          <w:rFonts w:cs="Arial"/>
        </w:rPr>
        <w:t xml:space="preserve">COUNSEL FOR THE </w:t>
      </w:r>
      <w:r w:rsidR="00395558">
        <w:rPr>
          <w:rFonts w:cs="Arial"/>
        </w:rPr>
        <w:t>RESPONDENT</w:t>
      </w:r>
      <w:r w:rsidRPr="00A81108">
        <w:rPr>
          <w:rFonts w:cs="Arial"/>
        </w:rPr>
        <w:t>:</w:t>
      </w:r>
      <w:r w:rsidR="00D32725">
        <w:rPr>
          <w:rFonts w:cs="Arial"/>
        </w:rPr>
        <w:t xml:space="preserve">                              ADV. J LIEBENBERG </w:t>
      </w:r>
      <w:r w:rsidRPr="00A81108">
        <w:rPr>
          <w:rFonts w:cs="Arial"/>
        </w:rPr>
        <w:tab/>
      </w:r>
    </w:p>
    <w:p w14:paraId="4C70413F" w14:textId="77777777" w:rsidR="00A81108" w:rsidRPr="00A81108" w:rsidRDefault="00A81108" w:rsidP="00A81108">
      <w:pPr>
        <w:tabs>
          <w:tab w:val="right" w:pos="0"/>
          <w:tab w:val="right" w:pos="8647"/>
        </w:tabs>
        <w:spacing w:line="360" w:lineRule="auto"/>
        <w:contextualSpacing/>
        <w:jc w:val="both"/>
        <w:rPr>
          <w:rFonts w:cs="Arial"/>
        </w:rPr>
      </w:pPr>
    </w:p>
    <w:p w14:paraId="0983E867" w14:textId="5D7F72FD" w:rsidR="00A81108" w:rsidRPr="00A81108" w:rsidRDefault="00A81108" w:rsidP="00A81108">
      <w:pPr>
        <w:tabs>
          <w:tab w:val="right" w:pos="8647"/>
        </w:tabs>
        <w:spacing w:line="360" w:lineRule="auto"/>
        <w:contextualSpacing/>
        <w:jc w:val="both"/>
        <w:rPr>
          <w:rFonts w:cs="Arial"/>
        </w:rPr>
      </w:pPr>
      <w:r w:rsidRPr="00A81108">
        <w:rPr>
          <w:rFonts w:cs="Arial"/>
        </w:rPr>
        <w:t xml:space="preserve">INSTRUCTED BY: </w:t>
      </w:r>
      <w:r w:rsidR="00471B2D">
        <w:rPr>
          <w:rFonts w:cs="Arial"/>
        </w:rPr>
        <w:t xml:space="preserve">                                               </w:t>
      </w:r>
      <w:r w:rsidR="00471B2D" w:rsidRPr="00471B2D">
        <w:rPr>
          <w:rFonts w:cs="Arial"/>
        </w:rPr>
        <w:t>ALLAN LEVIN &amp; ASSOCIATES</w:t>
      </w:r>
      <w:r w:rsidRPr="00A81108">
        <w:rPr>
          <w:rFonts w:cs="Arial"/>
        </w:rPr>
        <w:tab/>
      </w:r>
    </w:p>
    <w:p w14:paraId="24777B15" w14:textId="77777777" w:rsidR="00A81108" w:rsidRPr="00A81108" w:rsidRDefault="00A81108" w:rsidP="00A81108">
      <w:pPr>
        <w:tabs>
          <w:tab w:val="right" w:pos="8647"/>
        </w:tabs>
        <w:spacing w:line="360" w:lineRule="auto"/>
        <w:contextualSpacing/>
        <w:jc w:val="both"/>
        <w:rPr>
          <w:rFonts w:cs="Arial"/>
        </w:rPr>
      </w:pPr>
    </w:p>
    <w:p w14:paraId="16B988EF" w14:textId="132449B8" w:rsidR="00A81108" w:rsidRPr="00A81108" w:rsidRDefault="00A81108" w:rsidP="00A81108">
      <w:pPr>
        <w:tabs>
          <w:tab w:val="right" w:pos="0"/>
          <w:tab w:val="right" w:pos="8647"/>
        </w:tabs>
        <w:spacing w:line="360" w:lineRule="auto"/>
        <w:contextualSpacing/>
        <w:jc w:val="both"/>
        <w:rPr>
          <w:rFonts w:cs="Arial"/>
        </w:rPr>
      </w:pPr>
      <w:r w:rsidRPr="00A81108">
        <w:rPr>
          <w:rFonts w:cs="Arial"/>
        </w:rPr>
        <w:t>DATE OF THE HEARING:</w:t>
      </w:r>
      <w:r w:rsidRPr="00A81108">
        <w:rPr>
          <w:rFonts w:cs="Arial"/>
        </w:rPr>
        <w:tab/>
      </w:r>
      <w:r w:rsidR="00D32725">
        <w:rPr>
          <w:rFonts w:cs="Arial"/>
        </w:rPr>
        <w:t>24 January 2024</w:t>
      </w:r>
    </w:p>
    <w:p w14:paraId="66C6E40E" w14:textId="77777777" w:rsidR="00A81108" w:rsidRPr="00A81108" w:rsidRDefault="00A81108" w:rsidP="00A81108">
      <w:pPr>
        <w:tabs>
          <w:tab w:val="right" w:pos="0"/>
          <w:tab w:val="right" w:pos="8647"/>
        </w:tabs>
        <w:spacing w:line="360" w:lineRule="auto"/>
        <w:contextualSpacing/>
        <w:jc w:val="both"/>
        <w:rPr>
          <w:rFonts w:cs="Arial"/>
        </w:rPr>
      </w:pPr>
    </w:p>
    <w:p w14:paraId="7727E5DE" w14:textId="77777777" w:rsidR="00AA6E8C" w:rsidRPr="00463BED" w:rsidRDefault="00A81108" w:rsidP="00463BED">
      <w:pPr>
        <w:tabs>
          <w:tab w:val="right" w:pos="0"/>
          <w:tab w:val="right" w:pos="8647"/>
        </w:tabs>
        <w:spacing w:line="360" w:lineRule="auto"/>
        <w:contextualSpacing/>
        <w:jc w:val="both"/>
        <w:rPr>
          <w:rFonts w:cs="Arial"/>
        </w:rPr>
      </w:pPr>
      <w:r w:rsidRPr="00A81108">
        <w:rPr>
          <w:rFonts w:cs="Arial"/>
        </w:rPr>
        <w:t>DATE OF JUDGMENT:</w:t>
      </w:r>
      <w:r w:rsidRPr="00A81108">
        <w:rPr>
          <w:rFonts w:cs="Arial"/>
        </w:rPr>
        <w:tab/>
      </w:r>
      <w:r w:rsidR="00562B13">
        <w:rPr>
          <w:rFonts w:cs="Arial"/>
        </w:rPr>
        <w:t>29 January</w:t>
      </w:r>
      <w:r w:rsidR="00395558">
        <w:rPr>
          <w:rFonts w:cs="Arial"/>
        </w:rPr>
        <w:t xml:space="preserve"> 202</w:t>
      </w:r>
      <w:r w:rsidR="0039108A">
        <w:rPr>
          <w:rFonts w:cs="Arial"/>
        </w:rPr>
        <w:t>4</w:t>
      </w:r>
      <w:bookmarkEnd w:id="0"/>
    </w:p>
    <w:sectPr w:rsidR="00AA6E8C" w:rsidRPr="00463BED" w:rsidSect="00E01D9A">
      <w:headerReference w:type="default" r:id="rId10"/>
      <w:pgSz w:w="11906" w:h="16838"/>
      <w:pgMar w:top="1440" w:right="155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3A8FA" w14:textId="77777777" w:rsidR="0099596F" w:rsidRDefault="0099596F">
      <w:r>
        <w:separator/>
      </w:r>
    </w:p>
  </w:endnote>
  <w:endnote w:type="continuationSeparator" w:id="0">
    <w:p w14:paraId="4EC29760" w14:textId="77777777" w:rsidR="0099596F" w:rsidRDefault="0099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8B716" w14:textId="77777777" w:rsidR="0099596F" w:rsidRDefault="0099596F">
      <w:r>
        <w:separator/>
      </w:r>
    </w:p>
  </w:footnote>
  <w:footnote w:type="continuationSeparator" w:id="0">
    <w:p w14:paraId="527C1C46" w14:textId="77777777" w:rsidR="0099596F" w:rsidRDefault="0099596F">
      <w:r>
        <w:continuationSeparator/>
      </w:r>
    </w:p>
  </w:footnote>
  <w:footnote w:id="1">
    <w:p w14:paraId="0F4F2562" w14:textId="7915E239" w:rsidR="003A32CE" w:rsidRDefault="003A32CE">
      <w:pPr>
        <w:pStyle w:val="FootnoteText"/>
      </w:pPr>
      <w:r>
        <w:rPr>
          <w:rStyle w:val="FootnoteReference"/>
        </w:rPr>
        <w:footnoteRef/>
      </w:r>
      <w:r>
        <w:t xml:space="preserve"> </w:t>
      </w:r>
      <w:r>
        <w:tab/>
      </w:r>
      <w:r w:rsidRPr="006578EB">
        <w:rPr>
          <w:i/>
        </w:rPr>
        <w:t>Kubyana v Standard Bank of South Africa Ltd</w:t>
      </w:r>
      <w:r w:rsidRPr="006578EB">
        <w:t xml:space="preserve"> </w:t>
      </w:r>
      <w:r>
        <w:t>2014 (3) SA 56 (CC)</w:t>
      </w:r>
      <w:r w:rsidR="00FF6542">
        <w:t xml:space="preserve"> (‘’</w:t>
      </w:r>
      <w:r w:rsidR="00FF6542" w:rsidRPr="00FF6542">
        <w:rPr>
          <w:i/>
          <w:iCs/>
        </w:rPr>
        <w:t>Kubyana</w:t>
      </w:r>
      <w:r w:rsidR="00FF6542">
        <w:t>”).</w:t>
      </w:r>
    </w:p>
  </w:footnote>
  <w:footnote w:id="2">
    <w:p w14:paraId="6A59D918" w14:textId="77777777" w:rsidR="003A32CE" w:rsidRPr="00101B29" w:rsidRDefault="003A32CE">
      <w:pPr>
        <w:pStyle w:val="FootnoteText"/>
      </w:pPr>
      <w:r>
        <w:rPr>
          <w:rStyle w:val="FootnoteReference"/>
        </w:rPr>
        <w:footnoteRef/>
      </w:r>
      <w:r>
        <w:t xml:space="preserve"> </w:t>
      </w:r>
      <w:r>
        <w:tab/>
      </w:r>
      <w:r w:rsidRPr="006578EB">
        <w:rPr>
          <w:bCs/>
          <w:i/>
        </w:rPr>
        <w:t>Amcoal Collieries Ltd v Truter</w:t>
      </w:r>
      <w:r>
        <w:rPr>
          <w:bCs/>
          <w:i/>
        </w:rPr>
        <w:t xml:space="preserve"> </w:t>
      </w:r>
      <w:r>
        <w:rPr>
          <w:bCs/>
        </w:rPr>
        <w:t>1990 (1) SA 1 (A).</w:t>
      </w:r>
    </w:p>
  </w:footnote>
  <w:footnote w:id="3">
    <w:p w14:paraId="13EA6C47" w14:textId="77777777" w:rsidR="003A32CE" w:rsidRPr="00F900D7" w:rsidRDefault="003A32CE">
      <w:pPr>
        <w:pStyle w:val="FootnoteText"/>
      </w:pPr>
      <w:r>
        <w:rPr>
          <w:rStyle w:val="FootnoteReference"/>
        </w:rPr>
        <w:footnoteRef/>
      </w:r>
      <w:r>
        <w:t xml:space="preserve"> </w:t>
      </w:r>
      <w:r>
        <w:tab/>
      </w:r>
      <w:r w:rsidRPr="00F900D7">
        <w:rPr>
          <w:rFonts w:cs="Arial"/>
          <w:bCs/>
          <w:i/>
          <w:szCs w:val="22"/>
        </w:rPr>
        <w:t xml:space="preserve">Absa Bank Ltd v Sawyer </w:t>
      </w:r>
      <w:r w:rsidRPr="00F900D7">
        <w:rPr>
          <w:rFonts w:cs="Arial"/>
          <w:bCs/>
          <w:szCs w:val="22"/>
        </w:rPr>
        <w:t>[2018] ZAGP 662 (14 December 2018).</w:t>
      </w:r>
    </w:p>
  </w:footnote>
  <w:footnote w:id="4">
    <w:p w14:paraId="23488B41" w14:textId="77777777" w:rsidR="003A32CE" w:rsidRPr="00F900D7" w:rsidRDefault="003A32CE">
      <w:pPr>
        <w:pStyle w:val="FootnoteText"/>
      </w:pPr>
      <w:r>
        <w:rPr>
          <w:rStyle w:val="FootnoteReference"/>
        </w:rPr>
        <w:footnoteRef/>
      </w:r>
      <w:r>
        <w:t xml:space="preserve"> </w:t>
      </w:r>
      <w:r>
        <w:tab/>
      </w:r>
      <w:r w:rsidRPr="00F900D7">
        <w:rPr>
          <w:rFonts w:cs="Arial"/>
          <w:bCs/>
          <w:i/>
          <w:szCs w:val="22"/>
        </w:rPr>
        <w:t xml:space="preserve">Absa Bank Ltd v Mokebe </w:t>
      </w:r>
      <w:r w:rsidRPr="00F900D7">
        <w:rPr>
          <w:rFonts w:cs="Arial"/>
          <w:bCs/>
          <w:szCs w:val="22"/>
        </w:rPr>
        <w:t>2018 (6) SA 3492 (GP).</w:t>
      </w:r>
    </w:p>
  </w:footnote>
  <w:footnote w:id="5">
    <w:p w14:paraId="3112FD94" w14:textId="77777777" w:rsidR="003A32CE" w:rsidRPr="00F900D7" w:rsidRDefault="003A32CE">
      <w:pPr>
        <w:pStyle w:val="FootnoteText"/>
      </w:pPr>
      <w:r>
        <w:rPr>
          <w:rStyle w:val="FootnoteReference"/>
        </w:rPr>
        <w:footnoteRef/>
      </w:r>
      <w:r>
        <w:t xml:space="preserve"> </w:t>
      </w:r>
      <w:r>
        <w:tab/>
      </w:r>
      <w:r w:rsidRPr="00F900D7">
        <w:rPr>
          <w:rFonts w:cs="Arial"/>
          <w:bCs/>
          <w:i/>
          <w:szCs w:val="22"/>
        </w:rPr>
        <w:t>Shackleton Credit Management v Microzone Trading</w:t>
      </w:r>
      <w:r>
        <w:rPr>
          <w:rFonts w:cs="Arial"/>
          <w:bCs/>
          <w:i/>
          <w:szCs w:val="22"/>
        </w:rPr>
        <w:t xml:space="preserve"> </w:t>
      </w:r>
      <w:r>
        <w:rPr>
          <w:rFonts w:cs="Arial"/>
          <w:bCs/>
          <w:szCs w:val="22"/>
        </w:rPr>
        <w:t>2010 (5) SA 112 (KZP) para 14.</w:t>
      </w:r>
    </w:p>
  </w:footnote>
  <w:footnote w:id="6">
    <w:p w14:paraId="4096DCC0" w14:textId="77777777" w:rsidR="003A32CE" w:rsidRPr="00F900D7" w:rsidRDefault="003A32CE">
      <w:pPr>
        <w:pStyle w:val="FootnoteText"/>
      </w:pPr>
      <w:r>
        <w:rPr>
          <w:rStyle w:val="FootnoteReference"/>
        </w:rPr>
        <w:footnoteRef/>
      </w:r>
      <w:r>
        <w:t xml:space="preserve"> </w:t>
      </w:r>
      <w:r>
        <w:tab/>
      </w:r>
      <w:r w:rsidRPr="00F900D7">
        <w:rPr>
          <w:i/>
        </w:rPr>
        <w:t>Rees &amp; Another v Investec Bank Ltd</w:t>
      </w:r>
      <w:r>
        <w:rPr>
          <w:i/>
        </w:rPr>
        <w:t xml:space="preserve"> </w:t>
      </w:r>
      <w:r>
        <w:t>2014 (4) SA 220 (SCA).</w:t>
      </w:r>
    </w:p>
  </w:footnote>
  <w:footnote w:id="7">
    <w:p w14:paraId="769F7E40" w14:textId="77777777" w:rsidR="003A32CE" w:rsidRPr="00D540FC" w:rsidRDefault="003A32CE">
      <w:pPr>
        <w:pStyle w:val="FootnoteText"/>
      </w:pPr>
      <w:r>
        <w:rPr>
          <w:rStyle w:val="FootnoteReference"/>
        </w:rPr>
        <w:footnoteRef/>
      </w:r>
      <w:r>
        <w:t xml:space="preserve"> </w:t>
      </w:r>
      <w:r>
        <w:tab/>
      </w:r>
      <w:r w:rsidRPr="00D540FC">
        <w:rPr>
          <w:i/>
        </w:rPr>
        <w:t>Nkatha v Firstrand Bank Ltd</w:t>
      </w:r>
      <w:r>
        <w:t xml:space="preserve"> 2016 (4) SA 257 (CC) (“</w:t>
      </w:r>
      <w:r w:rsidRPr="00EA7160">
        <w:rPr>
          <w:i/>
          <w:iCs/>
        </w:rPr>
        <w:t>Nkatha</w:t>
      </w:r>
      <w:r>
        <w:t>”).</w:t>
      </w:r>
    </w:p>
  </w:footnote>
  <w:footnote w:id="8">
    <w:p w14:paraId="5FBB488C" w14:textId="77777777" w:rsidR="003A32CE" w:rsidRPr="00952789" w:rsidRDefault="003A32CE">
      <w:pPr>
        <w:pStyle w:val="FootnoteText"/>
      </w:pPr>
      <w:r>
        <w:rPr>
          <w:rStyle w:val="FootnoteReference"/>
        </w:rPr>
        <w:footnoteRef/>
      </w:r>
      <w:r>
        <w:t xml:space="preserve"> </w:t>
      </w:r>
      <w:r>
        <w:tab/>
      </w:r>
      <w:r w:rsidRPr="00952789">
        <w:rPr>
          <w:i/>
        </w:rPr>
        <w:t>Standard Bank of South Africa v Saunderson &amp; Others</w:t>
      </w:r>
      <w:r>
        <w:t xml:space="preserve"> 2006 (2) SA 264 (SCA) para 2.</w:t>
      </w:r>
    </w:p>
  </w:footnote>
  <w:footnote w:id="9">
    <w:p w14:paraId="2EDB00E5" w14:textId="215D8FC5" w:rsidR="003A32CE" w:rsidRPr="003A32CE" w:rsidRDefault="003A32CE">
      <w:pPr>
        <w:pStyle w:val="FootnoteText"/>
      </w:pPr>
      <w:r>
        <w:rPr>
          <w:rStyle w:val="FootnoteReference"/>
        </w:rPr>
        <w:footnoteRef/>
      </w:r>
      <w:r>
        <w:t xml:space="preserve"> </w:t>
      </w:r>
      <w:r>
        <w:tab/>
      </w:r>
      <w:r w:rsidRPr="003A32CE">
        <w:rPr>
          <w:rFonts w:cs="Arial"/>
          <w:bCs/>
          <w:i/>
          <w:szCs w:val="22"/>
        </w:rPr>
        <w:t>Rossouw &amp; Another v Firstrand Bank Ltd</w:t>
      </w:r>
      <w:r>
        <w:rPr>
          <w:rFonts w:cs="Arial"/>
          <w:bCs/>
          <w:i/>
          <w:szCs w:val="22"/>
        </w:rPr>
        <w:t xml:space="preserve"> </w:t>
      </w:r>
      <w:r>
        <w:rPr>
          <w:rFonts w:cs="Arial"/>
          <w:bCs/>
          <w:szCs w:val="22"/>
        </w:rPr>
        <w:t>2010 (6) SA 439 (SCA) para 48</w:t>
      </w:r>
      <w:r w:rsidR="001660C7">
        <w:rPr>
          <w:rFonts w:cs="Arial"/>
          <w:bCs/>
          <w:szCs w:val="22"/>
        </w:rPr>
        <w:t>;</w:t>
      </w:r>
      <w:r w:rsidR="001660C7" w:rsidRPr="001660C7">
        <w:rPr>
          <w:i/>
        </w:rPr>
        <w:t xml:space="preserve"> </w:t>
      </w:r>
      <w:r w:rsidR="001660C7" w:rsidRPr="003A32CE">
        <w:rPr>
          <w:i/>
        </w:rPr>
        <w:t>Investec Bank Ltd v W.S.M</w:t>
      </w:r>
      <w:r w:rsidR="001660C7" w:rsidRPr="003A32CE">
        <w:t xml:space="preserve"> (30110/19)</w:t>
      </w:r>
      <w:r w:rsidR="001660C7">
        <w:t xml:space="preserve"> [2022] ZAGPPHC 333 (7 July 2020).</w:t>
      </w:r>
    </w:p>
  </w:footnote>
  <w:footnote w:id="10">
    <w:p w14:paraId="7449464B" w14:textId="77777777" w:rsidR="003A32CE" w:rsidRDefault="003A32CE">
      <w:pPr>
        <w:pStyle w:val="FootnoteText"/>
      </w:pPr>
      <w:r>
        <w:rPr>
          <w:rStyle w:val="FootnoteReference"/>
        </w:rPr>
        <w:footnoteRef/>
      </w:r>
      <w:r>
        <w:t xml:space="preserve"> </w:t>
      </w:r>
      <w:r>
        <w:tab/>
        <w:t>See CaseLines 14-20.</w:t>
      </w:r>
    </w:p>
  </w:footnote>
  <w:footnote w:id="11">
    <w:p w14:paraId="3A1A8E74" w14:textId="3E113426" w:rsidR="00962162" w:rsidRPr="00962162" w:rsidRDefault="00962162">
      <w:pPr>
        <w:pStyle w:val="FootnoteText"/>
      </w:pPr>
      <w:r>
        <w:rPr>
          <w:rStyle w:val="FootnoteReference"/>
        </w:rPr>
        <w:footnoteRef/>
      </w:r>
      <w:r>
        <w:t xml:space="preserve"> </w:t>
      </w:r>
      <w:r>
        <w:tab/>
      </w:r>
      <w:r>
        <w:rPr>
          <w:i/>
        </w:rPr>
        <w:t xml:space="preserve">Maharaj </w:t>
      </w:r>
      <w:r w:rsidR="00F36B7E" w:rsidRPr="00F36B7E">
        <w:rPr>
          <w:i/>
          <w:iCs/>
        </w:rPr>
        <w:t>v Barclays National Bank Limited</w:t>
      </w:r>
      <w:r w:rsidR="00F36B7E">
        <w:t xml:space="preserve"> 1976 (1) SA 418.</w:t>
      </w:r>
    </w:p>
  </w:footnote>
  <w:footnote w:id="12">
    <w:p w14:paraId="27D7BE80" w14:textId="77777777" w:rsidR="00962162" w:rsidRPr="00942409" w:rsidRDefault="00962162" w:rsidP="00962162">
      <w:pPr>
        <w:pStyle w:val="FootnoteText"/>
      </w:pPr>
      <w:r>
        <w:rPr>
          <w:rStyle w:val="FootnoteReference"/>
        </w:rPr>
        <w:footnoteRef/>
      </w:r>
      <w:r>
        <w:t xml:space="preserve"> </w:t>
      </w:r>
      <w:r>
        <w:tab/>
      </w:r>
      <w:r w:rsidRPr="00942409">
        <w:rPr>
          <w:i/>
        </w:rPr>
        <w:t>Firstrand Bank Ltd v Folscher &amp; Another</w:t>
      </w:r>
      <w:r>
        <w:rPr>
          <w:i/>
        </w:rPr>
        <w:t xml:space="preserve"> and similar matters </w:t>
      </w:r>
      <w:r>
        <w:t>2011 (4) SA 314 GMP.</w:t>
      </w:r>
    </w:p>
  </w:footnote>
  <w:footnote w:id="13">
    <w:p w14:paraId="1AB3FD7C" w14:textId="77777777" w:rsidR="00962162" w:rsidRPr="00962162" w:rsidRDefault="00962162">
      <w:pPr>
        <w:pStyle w:val="FootnoteText"/>
      </w:pPr>
      <w:r>
        <w:rPr>
          <w:rStyle w:val="FootnoteReference"/>
        </w:rPr>
        <w:footnoteRef/>
      </w:r>
      <w:r>
        <w:t xml:space="preserve"> </w:t>
      </w:r>
      <w:r>
        <w:tab/>
      </w:r>
      <w:r w:rsidRPr="00962162">
        <w:rPr>
          <w:i/>
        </w:rPr>
        <w:t>Jaftha v Schoeman; Van Rooyn v Stoltz</w:t>
      </w:r>
      <w:r>
        <w:rPr>
          <w:i/>
        </w:rPr>
        <w:t xml:space="preserve"> </w:t>
      </w:r>
      <w:r>
        <w:t>2005 (2) SA 140 (CC).</w:t>
      </w:r>
    </w:p>
  </w:footnote>
  <w:footnote w:id="14">
    <w:p w14:paraId="1B4206BE" w14:textId="641D31C1" w:rsidR="00BD5FBF" w:rsidRPr="00BD5FBF" w:rsidRDefault="00BD5FBF">
      <w:pPr>
        <w:pStyle w:val="FootnoteText"/>
        <w:rPr>
          <w:lang w:val="en-GB"/>
        </w:rPr>
      </w:pPr>
      <w:r>
        <w:rPr>
          <w:rStyle w:val="FootnoteReference"/>
        </w:rPr>
        <w:footnoteRef/>
      </w:r>
      <w:r>
        <w:t xml:space="preserve"> </w:t>
      </w:r>
      <w:r>
        <w:rPr>
          <w:lang w:val="en-GB"/>
        </w:rPr>
        <w:t xml:space="preserve"> </w:t>
      </w:r>
      <w:r w:rsidRPr="00BD5FBF">
        <w:rPr>
          <w:i/>
          <w:iCs/>
          <w:lang w:val="en-GB"/>
        </w:rPr>
        <w:t>Changing Tides 17 (Pty) Ltd v Muriritirwa and Another</w:t>
      </w:r>
      <w:r>
        <w:rPr>
          <w:lang w:val="en-GB"/>
        </w:rPr>
        <w:t xml:space="preserve"> (5290/2019)[2020] ZAGPPHC 132 (7 April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D654" w14:textId="758A6B16" w:rsidR="003A32CE" w:rsidRPr="007340F6" w:rsidRDefault="003A32CE">
    <w:pPr>
      <w:pStyle w:val="Header"/>
      <w:spacing w:line="480" w:lineRule="auto"/>
      <w:jc w:val="right"/>
      <w:rPr>
        <w:rStyle w:val="PageNumber"/>
        <w:rFonts w:cs="Arial"/>
        <w:sz w:val="20"/>
      </w:rPr>
    </w:pPr>
    <w:r w:rsidRPr="007340F6">
      <w:rPr>
        <w:rFonts w:cs="Arial"/>
        <w:sz w:val="20"/>
        <w:lang w:val="en-US"/>
      </w:rPr>
      <w:t xml:space="preserve">Page </w:t>
    </w:r>
    <w:r w:rsidRPr="007340F6">
      <w:rPr>
        <w:rStyle w:val="PageNumber"/>
        <w:rFonts w:cs="Arial"/>
        <w:sz w:val="20"/>
      </w:rPr>
      <w:fldChar w:fldCharType="begin"/>
    </w:r>
    <w:r w:rsidRPr="007340F6">
      <w:rPr>
        <w:rStyle w:val="PageNumber"/>
        <w:rFonts w:cs="Arial"/>
        <w:sz w:val="20"/>
      </w:rPr>
      <w:instrText xml:space="preserve"> PAGE </w:instrText>
    </w:r>
    <w:r w:rsidRPr="007340F6">
      <w:rPr>
        <w:rStyle w:val="PageNumber"/>
        <w:rFonts w:cs="Arial"/>
        <w:sz w:val="20"/>
      </w:rPr>
      <w:fldChar w:fldCharType="separate"/>
    </w:r>
    <w:r w:rsidR="000D3ECF">
      <w:rPr>
        <w:rStyle w:val="PageNumber"/>
        <w:rFonts w:cs="Arial"/>
        <w:noProof/>
        <w:sz w:val="20"/>
      </w:rPr>
      <w:t>2</w:t>
    </w:r>
    <w:r w:rsidRPr="007340F6">
      <w:rPr>
        <w:rStyle w:val="PageNumber"/>
        <w:rFonts w:cs="Arial"/>
        <w:sz w:val="20"/>
      </w:rPr>
      <w:fldChar w:fldCharType="end"/>
    </w:r>
  </w:p>
  <w:p w14:paraId="06DE51E0" w14:textId="77777777" w:rsidR="003A32CE" w:rsidRDefault="003A32CE">
    <w:pPr>
      <w:pStyle w:val="Header"/>
      <w:jc w:val="right"/>
      <w:rPr>
        <w:rFonts w:cs="Aria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65A1DE2"/>
    <w:multiLevelType w:val="multilevel"/>
    <w:tmpl w:val="ADA28B62"/>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FC1874"/>
    <w:multiLevelType w:val="multilevel"/>
    <w:tmpl w:val="9964028C"/>
    <w:lvl w:ilvl="0">
      <w:start w:val="1"/>
      <w:numFmt w:val="decimal"/>
      <w:lvlText w:val="[%1]"/>
      <w:lvlJc w:val="left"/>
      <w:pPr>
        <w:tabs>
          <w:tab w:val="num" w:pos="680"/>
        </w:tabs>
        <w:ind w:left="0" w:firstLine="0"/>
      </w:pPr>
      <w:rPr>
        <w:rFonts w:hint="default"/>
        <w:b w:val="0"/>
        <w:i w:val="0"/>
        <w:color w:val="auto"/>
        <w:sz w:val="21"/>
        <w:szCs w:val="21"/>
      </w:rPr>
    </w:lvl>
    <w:lvl w:ilvl="1">
      <w:start w:val="1"/>
      <w:numFmt w:val="decimal"/>
      <w:lvlText w:val="%1.%2"/>
      <w:lvlJc w:val="left"/>
      <w:pPr>
        <w:tabs>
          <w:tab w:val="num" w:pos="1531"/>
        </w:tabs>
        <w:ind w:left="1531" w:hanging="851"/>
      </w:pPr>
      <w:rPr>
        <w:rFonts w:hint="default"/>
        <w:b w:val="0"/>
        <w:i w:val="0"/>
        <w:iCs w:val="0"/>
        <w:color w:val="auto"/>
      </w:rPr>
    </w:lvl>
    <w:lvl w:ilvl="2">
      <w:start w:val="1"/>
      <w:numFmt w:val="decimal"/>
      <w:lvlText w:val="%1.%2.%3"/>
      <w:lvlJc w:val="left"/>
      <w:pPr>
        <w:tabs>
          <w:tab w:val="num" w:pos="2381"/>
        </w:tabs>
        <w:ind w:left="2381" w:hanging="850"/>
      </w:pPr>
      <w:rPr>
        <w:rFonts w:hint="default"/>
        <w:color w:val="auto"/>
      </w:rPr>
    </w:lvl>
    <w:lvl w:ilvl="3">
      <w:start w:val="1"/>
      <w:numFmt w:val="decimal"/>
      <w:lvlText w:val="%1.%2.%3.%4."/>
      <w:lvlJc w:val="left"/>
      <w:pPr>
        <w:tabs>
          <w:tab w:val="num" w:pos="3402"/>
        </w:tabs>
        <w:ind w:left="3515" w:hanging="1134"/>
      </w:pPr>
      <w:rPr>
        <w:rFonts w:hint="default"/>
      </w:rPr>
    </w:lvl>
    <w:lvl w:ilvl="4">
      <w:start w:val="1"/>
      <w:numFmt w:val="decimal"/>
      <w:lvlText w:val="%1.%2.%3.%4.%5."/>
      <w:lvlJc w:val="left"/>
      <w:pPr>
        <w:tabs>
          <w:tab w:val="num" w:pos="4933"/>
        </w:tabs>
        <w:ind w:left="4933"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BB345E5"/>
    <w:multiLevelType w:val="multilevel"/>
    <w:tmpl w:val="5E5A0D06"/>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1701"/>
        </w:tabs>
        <w:ind w:left="2552" w:hanging="851"/>
      </w:pPr>
      <w:rPr>
        <w:rFonts w:hint="default"/>
      </w:rPr>
    </w:lvl>
    <w:lvl w:ilvl="2">
      <w:start w:val="1"/>
      <w:numFmt w:val="decimal"/>
      <w:lvlText w:val="%1.%2.%3."/>
      <w:lvlJc w:val="left"/>
      <w:pPr>
        <w:ind w:left="3402"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2NzC1MDc0tDQ2MzZR0lEKTi0uzszPAykwrAUAbwUzmywAAAA="/>
  </w:docVars>
  <w:rsids>
    <w:rsidRoot w:val="00AD19A0"/>
    <w:rsid w:val="0001111B"/>
    <w:rsid w:val="0003615F"/>
    <w:rsid w:val="00041328"/>
    <w:rsid w:val="0009588A"/>
    <w:rsid w:val="000A1ABB"/>
    <w:rsid w:val="000A31F8"/>
    <w:rsid w:val="000D3ECF"/>
    <w:rsid w:val="000D452F"/>
    <w:rsid w:val="00101B29"/>
    <w:rsid w:val="001042AE"/>
    <w:rsid w:val="00112D1C"/>
    <w:rsid w:val="00117EBA"/>
    <w:rsid w:val="001436A2"/>
    <w:rsid w:val="00146871"/>
    <w:rsid w:val="001660C7"/>
    <w:rsid w:val="00171A57"/>
    <w:rsid w:val="00181E9D"/>
    <w:rsid w:val="00191E5F"/>
    <w:rsid w:val="00195631"/>
    <w:rsid w:val="001B0F95"/>
    <w:rsid w:val="001B3683"/>
    <w:rsid w:val="0020664E"/>
    <w:rsid w:val="0020675A"/>
    <w:rsid w:val="0022218D"/>
    <w:rsid w:val="00247235"/>
    <w:rsid w:val="002530AD"/>
    <w:rsid w:val="00257E5A"/>
    <w:rsid w:val="00262819"/>
    <w:rsid w:val="00271EB3"/>
    <w:rsid w:val="00275367"/>
    <w:rsid w:val="00292124"/>
    <w:rsid w:val="00293E11"/>
    <w:rsid w:val="00295EB7"/>
    <w:rsid w:val="002A5AE2"/>
    <w:rsid w:val="002A5F5C"/>
    <w:rsid w:val="002C20D3"/>
    <w:rsid w:val="00312EBC"/>
    <w:rsid w:val="00336EA7"/>
    <w:rsid w:val="00346DE6"/>
    <w:rsid w:val="00352152"/>
    <w:rsid w:val="00371C17"/>
    <w:rsid w:val="00372B7F"/>
    <w:rsid w:val="00374870"/>
    <w:rsid w:val="00384032"/>
    <w:rsid w:val="0039108A"/>
    <w:rsid w:val="00395558"/>
    <w:rsid w:val="003A32CE"/>
    <w:rsid w:val="003E4867"/>
    <w:rsid w:val="003F1977"/>
    <w:rsid w:val="003F2B68"/>
    <w:rsid w:val="00413122"/>
    <w:rsid w:val="004134F5"/>
    <w:rsid w:val="0043566E"/>
    <w:rsid w:val="00457A56"/>
    <w:rsid w:val="00463BED"/>
    <w:rsid w:val="00471B2D"/>
    <w:rsid w:val="00471FF9"/>
    <w:rsid w:val="00495858"/>
    <w:rsid w:val="004A6D06"/>
    <w:rsid w:val="004B49D7"/>
    <w:rsid w:val="00504263"/>
    <w:rsid w:val="00506FE2"/>
    <w:rsid w:val="0052527A"/>
    <w:rsid w:val="00527115"/>
    <w:rsid w:val="005408E2"/>
    <w:rsid w:val="00562B13"/>
    <w:rsid w:val="00571A43"/>
    <w:rsid w:val="00581314"/>
    <w:rsid w:val="00587227"/>
    <w:rsid w:val="005B3F78"/>
    <w:rsid w:val="005B64B0"/>
    <w:rsid w:val="005C7FC2"/>
    <w:rsid w:val="005D23B4"/>
    <w:rsid w:val="005D36A8"/>
    <w:rsid w:val="005E20AF"/>
    <w:rsid w:val="005E5142"/>
    <w:rsid w:val="0060239D"/>
    <w:rsid w:val="006270DB"/>
    <w:rsid w:val="006415C1"/>
    <w:rsid w:val="00644990"/>
    <w:rsid w:val="006578EB"/>
    <w:rsid w:val="00660C84"/>
    <w:rsid w:val="006752A2"/>
    <w:rsid w:val="006A4CCC"/>
    <w:rsid w:val="006A6363"/>
    <w:rsid w:val="006C1764"/>
    <w:rsid w:val="006C5694"/>
    <w:rsid w:val="006C5C6D"/>
    <w:rsid w:val="006E2F01"/>
    <w:rsid w:val="006E4B28"/>
    <w:rsid w:val="006F2FCE"/>
    <w:rsid w:val="007340F6"/>
    <w:rsid w:val="00735E14"/>
    <w:rsid w:val="00744228"/>
    <w:rsid w:val="00770091"/>
    <w:rsid w:val="00774599"/>
    <w:rsid w:val="007821F1"/>
    <w:rsid w:val="007B0D50"/>
    <w:rsid w:val="007F0F15"/>
    <w:rsid w:val="007F12BE"/>
    <w:rsid w:val="00800C58"/>
    <w:rsid w:val="008016B5"/>
    <w:rsid w:val="00801AB3"/>
    <w:rsid w:val="00806C8D"/>
    <w:rsid w:val="00836D72"/>
    <w:rsid w:val="008738D1"/>
    <w:rsid w:val="00874F83"/>
    <w:rsid w:val="00890647"/>
    <w:rsid w:val="008B1DA9"/>
    <w:rsid w:val="008C3353"/>
    <w:rsid w:val="008C41EB"/>
    <w:rsid w:val="008D7307"/>
    <w:rsid w:val="008F653F"/>
    <w:rsid w:val="00913048"/>
    <w:rsid w:val="00917FFD"/>
    <w:rsid w:val="009329E4"/>
    <w:rsid w:val="00942409"/>
    <w:rsid w:val="00944804"/>
    <w:rsid w:val="00947E2A"/>
    <w:rsid w:val="00952789"/>
    <w:rsid w:val="00956C01"/>
    <w:rsid w:val="00962162"/>
    <w:rsid w:val="00965A33"/>
    <w:rsid w:val="009824AB"/>
    <w:rsid w:val="0099596F"/>
    <w:rsid w:val="009B08AF"/>
    <w:rsid w:val="009B3DFC"/>
    <w:rsid w:val="009C79DD"/>
    <w:rsid w:val="009E2D00"/>
    <w:rsid w:val="00A0501A"/>
    <w:rsid w:val="00A20276"/>
    <w:rsid w:val="00A30A85"/>
    <w:rsid w:val="00A37BA4"/>
    <w:rsid w:val="00A64D68"/>
    <w:rsid w:val="00A65D82"/>
    <w:rsid w:val="00A72A15"/>
    <w:rsid w:val="00A73DEF"/>
    <w:rsid w:val="00A81108"/>
    <w:rsid w:val="00A84276"/>
    <w:rsid w:val="00A86A43"/>
    <w:rsid w:val="00AA3B1D"/>
    <w:rsid w:val="00AA6E8C"/>
    <w:rsid w:val="00AD19A0"/>
    <w:rsid w:val="00B0586E"/>
    <w:rsid w:val="00B21DAA"/>
    <w:rsid w:val="00B30362"/>
    <w:rsid w:val="00B315C5"/>
    <w:rsid w:val="00B41297"/>
    <w:rsid w:val="00B445D7"/>
    <w:rsid w:val="00B54474"/>
    <w:rsid w:val="00B609EE"/>
    <w:rsid w:val="00B664D5"/>
    <w:rsid w:val="00B72A13"/>
    <w:rsid w:val="00B81AEE"/>
    <w:rsid w:val="00B84D96"/>
    <w:rsid w:val="00B97B30"/>
    <w:rsid w:val="00BA378F"/>
    <w:rsid w:val="00BA74CD"/>
    <w:rsid w:val="00BB263C"/>
    <w:rsid w:val="00BB280F"/>
    <w:rsid w:val="00BD069D"/>
    <w:rsid w:val="00BD5C56"/>
    <w:rsid w:val="00BD5FBF"/>
    <w:rsid w:val="00BD6083"/>
    <w:rsid w:val="00BE2610"/>
    <w:rsid w:val="00C157D1"/>
    <w:rsid w:val="00C31CCE"/>
    <w:rsid w:val="00C36667"/>
    <w:rsid w:val="00C458AF"/>
    <w:rsid w:val="00C52BEF"/>
    <w:rsid w:val="00C6614F"/>
    <w:rsid w:val="00C83FB4"/>
    <w:rsid w:val="00C86DE3"/>
    <w:rsid w:val="00C9458C"/>
    <w:rsid w:val="00CB006C"/>
    <w:rsid w:val="00CB1E25"/>
    <w:rsid w:val="00CB384A"/>
    <w:rsid w:val="00CF05D0"/>
    <w:rsid w:val="00CF3A31"/>
    <w:rsid w:val="00CF40E2"/>
    <w:rsid w:val="00D152AF"/>
    <w:rsid w:val="00D26541"/>
    <w:rsid w:val="00D32725"/>
    <w:rsid w:val="00D32A95"/>
    <w:rsid w:val="00D44C97"/>
    <w:rsid w:val="00D540FC"/>
    <w:rsid w:val="00D81153"/>
    <w:rsid w:val="00D90197"/>
    <w:rsid w:val="00D93200"/>
    <w:rsid w:val="00D94745"/>
    <w:rsid w:val="00DA1D01"/>
    <w:rsid w:val="00DB1271"/>
    <w:rsid w:val="00DC6A98"/>
    <w:rsid w:val="00DC7FBA"/>
    <w:rsid w:val="00DD0763"/>
    <w:rsid w:val="00DD4E1D"/>
    <w:rsid w:val="00DE0AEF"/>
    <w:rsid w:val="00DF1B52"/>
    <w:rsid w:val="00DF3F4A"/>
    <w:rsid w:val="00E01D9A"/>
    <w:rsid w:val="00E04C17"/>
    <w:rsid w:val="00E20FC9"/>
    <w:rsid w:val="00E2420C"/>
    <w:rsid w:val="00E4108C"/>
    <w:rsid w:val="00E46E66"/>
    <w:rsid w:val="00E576BB"/>
    <w:rsid w:val="00E65565"/>
    <w:rsid w:val="00E6644B"/>
    <w:rsid w:val="00E806D3"/>
    <w:rsid w:val="00E9442A"/>
    <w:rsid w:val="00EA7160"/>
    <w:rsid w:val="00EA735D"/>
    <w:rsid w:val="00EC70BC"/>
    <w:rsid w:val="00ED3B5A"/>
    <w:rsid w:val="00EE6F11"/>
    <w:rsid w:val="00EF399C"/>
    <w:rsid w:val="00EF6DAA"/>
    <w:rsid w:val="00F14100"/>
    <w:rsid w:val="00F212EE"/>
    <w:rsid w:val="00F221FC"/>
    <w:rsid w:val="00F2350A"/>
    <w:rsid w:val="00F36B7E"/>
    <w:rsid w:val="00F40996"/>
    <w:rsid w:val="00F82337"/>
    <w:rsid w:val="00F82832"/>
    <w:rsid w:val="00F900D7"/>
    <w:rsid w:val="00F97226"/>
    <w:rsid w:val="00FA6CC0"/>
    <w:rsid w:val="00FF6542"/>
    <w:rsid w:val="00FF6E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8B678"/>
  <w15:docId w15:val="{0743B57A-9913-4CE7-A974-C876DB27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DFC"/>
    <w:rPr>
      <w:rFonts w:ascii="Arial" w:hAnsi="Arial"/>
      <w:sz w:val="24"/>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uto"/>
      <w:jc w:val="center"/>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A81108"/>
    <w:rPr>
      <w:rFonts w:ascii="Tahoma" w:hAnsi="Tahoma" w:cs="Tahoma"/>
      <w:sz w:val="16"/>
      <w:szCs w:val="16"/>
    </w:rPr>
  </w:style>
  <w:style w:type="character" w:customStyle="1" w:styleId="BalloonTextChar">
    <w:name w:val="Balloon Text Char"/>
    <w:basedOn w:val="DefaultParagraphFont"/>
    <w:link w:val="BalloonText"/>
    <w:uiPriority w:val="99"/>
    <w:semiHidden/>
    <w:rsid w:val="00A81108"/>
    <w:rPr>
      <w:rFonts w:ascii="Tahoma" w:hAnsi="Tahoma" w:cs="Tahoma"/>
      <w:sz w:val="16"/>
      <w:szCs w:val="16"/>
      <w:lang w:eastAsia="en-US"/>
    </w:rPr>
  </w:style>
  <w:style w:type="paragraph" w:styleId="FootnoteText">
    <w:name w:val="footnote text"/>
    <w:basedOn w:val="Normal"/>
    <w:link w:val="FootnoteTextChar"/>
    <w:uiPriority w:val="99"/>
    <w:unhideWhenUsed/>
    <w:rsid w:val="00457A56"/>
    <w:pPr>
      <w:ind w:left="340" w:hanging="340"/>
    </w:pPr>
    <w:rPr>
      <w:sz w:val="20"/>
      <w:szCs w:val="20"/>
    </w:rPr>
  </w:style>
  <w:style w:type="character" w:customStyle="1" w:styleId="FootnoteTextChar">
    <w:name w:val="Footnote Text Char"/>
    <w:basedOn w:val="DefaultParagraphFont"/>
    <w:link w:val="FootnoteText"/>
    <w:uiPriority w:val="99"/>
    <w:rsid w:val="00457A56"/>
    <w:rPr>
      <w:rFonts w:ascii="Arial" w:hAnsi="Arial"/>
      <w:lang w:eastAsia="en-US"/>
    </w:rPr>
  </w:style>
  <w:style w:type="character" w:styleId="FootnoteReference">
    <w:name w:val="footnote reference"/>
    <w:basedOn w:val="DefaultParagraphFont"/>
    <w:uiPriority w:val="99"/>
    <w:semiHidden/>
    <w:unhideWhenUsed/>
    <w:rsid w:val="00457A56"/>
    <w:rPr>
      <w:vertAlign w:val="superscript"/>
    </w:rPr>
  </w:style>
  <w:style w:type="paragraph" w:styleId="ListParagraph">
    <w:name w:val="List Paragraph"/>
    <w:basedOn w:val="Normal"/>
    <w:uiPriority w:val="34"/>
    <w:qFormat/>
    <w:rsid w:val="00112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R%20TYPING%20SERVICES\CRUTCHFIELD,%20ALLYSON\Judgment%20Crutchfie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DCB65-C44D-467C-951E-B15E2939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Crutchfield</Template>
  <TotalTime>7</TotalTime>
  <Pages>13</Pages>
  <Words>2898</Words>
  <Characters>16523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A A CRUTCHFIELD J</cp:keywords>
  <cp:lastModifiedBy>Sathish</cp:lastModifiedBy>
  <cp:revision>8</cp:revision>
  <cp:lastPrinted>2024-02-06T06:44:00Z</cp:lastPrinted>
  <dcterms:created xsi:type="dcterms:W3CDTF">2024-02-14T07:52:00Z</dcterms:created>
  <dcterms:modified xsi:type="dcterms:W3CDTF">2024-02-14T08:36:00Z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64cce6a8886996d2c1d1f4eff481f0656cb3e7606c362b8a3a1251ce0273be57</vt:lpwstr>
  </property>
</Properties>
</file>