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8E2A22" w:rsidRDefault="00AD3D5D" w:rsidP="006F0330">
      <w:pPr>
        <w:spacing w:after="120" w:line="360" w:lineRule="auto"/>
        <w:jc w:val="center"/>
        <w:rPr>
          <w:rFonts w:cs="Arial"/>
          <w:b/>
          <w:bCs/>
          <w:sz w:val="21"/>
          <w:szCs w:val="21"/>
        </w:rPr>
      </w:pPr>
      <w:bookmarkStart w:id="0" w:name="_GoBack"/>
      <w:r w:rsidRPr="008E2A22">
        <w:rPr>
          <w:rFonts w:cs="Arial"/>
          <w:b/>
          <w:bCs/>
          <w:sz w:val="21"/>
          <w:szCs w:val="21"/>
        </w:rPr>
        <w:t xml:space="preserve"> </w:t>
      </w:r>
      <w:r w:rsidR="006C43D7" w:rsidRPr="008E2A22">
        <w:rPr>
          <w:rFonts w:cs="Arial"/>
          <w:b/>
          <w:bCs/>
          <w:noProof/>
          <w:sz w:val="21"/>
          <w:szCs w:val="21"/>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8E2A22" w:rsidRDefault="006C43D7" w:rsidP="00C74E97">
      <w:pPr>
        <w:spacing w:line="360" w:lineRule="auto"/>
        <w:jc w:val="center"/>
        <w:rPr>
          <w:rFonts w:cs="Arial"/>
          <w:b/>
          <w:sz w:val="21"/>
          <w:szCs w:val="21"/>
        </w:rPr>
      </w:pPr>
      <w:r w:rsidRPr="008E2A22">
        <w:rPr>
          <w:rFonts w:cs="Arial"/>
          <w:b/>
          <w:sz w:val="21"/>
          <w:szCs w:val="21"/>
        </w:rPr>
        <w:t xml:space="preserve">IN THE HIGH COURT OF SOUTH AFRICA, </w:t>
      </w:r>
    </w:p>
    <w:p w14:paraId="566C4D1B" w14:textId="77777777" w:rsidR="006C43D7" w:rsidRPr="008E2A22" w:rsidRDefault="006C43D7" w:rsidP="00C74E97">
      <w:pPr>
        <w:spacing w:line="360" w:lineRule="auto"/>
        <w:jc w:val="center"/>
        <w:rPr>
          <w:rFonts w:cs="Arial"/>
          <w:b/>
          <w:sz w:val="21"/>
          <w:szCs w:val="21"/>
        </w:rPr>
      </w:pPr>
      <w:r w:rsidRPr="008E2A22">
        <w:rPr>
          <w:rFonts w:cs="Arial"/>
          <w:b/>
          <w:sz w:val="21"/>
          <w:szCs w:val="21"/>
        </w:rPr>
        <w:t>GAUTENG DIVISION, JOHANNESBURG</w:t>
      </w:r>
    </w:p>
    <w:p w14:paraId="13D6E83E" w14:textId="77777777" w:rsidR="006C43D7" w:rsidRPr="008E2A22" w:rsidRDefault="006C43D7" w:rsidP="00C74E97">
      <w:pPr>
        <w:spacing w:line="360" w:lineRule="auto"/>
        <w:jc w:val="both"/>
        <w:rPr>
          <w:rFonts w:cs="Arial"/>
          <w:b/>
          <w:sz w:val="21"/>
          <w:szCs w:val="21"/>
        </w:rPr>
      </w:pPr>
    </w:p>
    <w:p w14:paraId="0AF8DD38" w14:textId="36F3207E" w:rsidR="006C43D7" w:rsidRPr="008E2A22" w:rsidRDefault="00F913C7" w:rsidP="00C74E97">
      <w:pPr>
        <w:spacing w:line="360" w:lineRule="auto"/>
        <w:jc w:val="right"/>
        <w:rPr>
          <w:rFonts w:cs="Arial"/>
          <w:b/>
          <w:sz w:val="21"/>
          <w:szCs w:val="21"/>
        </w:rPr>
      </w:pPr>
      <w:r w:rsidRPr="008E2A22">
        <w:rPr>
          <w:rFonts w:cs="Arial"/>
          <w:b/>
          <w:sz w:val="21"/>
          <w:szCs w:val="21"/>
        </w:rPr>
        <w:t xml:space="preserve">CASE NO: </w:t>
      </w:r>
      <w:r w:rsidR="00E8598D">
        <w:rPr>
          <w:noProof/>
          <w:sz w:val="21"/>
          <w:szCs w:val="21"/>
          <w:lang w:val="en-US"/>
        </w:rPr>
        <mc:AlternateContent>
          <mc:Choice Requires="wps">
            <w:drawing>
              <wp:anchor distT="0" distB="0" distL="114300" distR="114300" simplePos="0" relativeHeight="251659264" behindDoc="0" locked="0" layoutInCell="1" allowOverlap="1" wp14:anchorId="2491E7FC" wp14:editId="18E57CD8">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41BB740A" w:rsidR="00893C08" w:rsidRPr="008E2A22" w:rsidRDefault="007728EC" w:rsidP="007728E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193E4C1" w:rsidR="00893C08" w:rsidRPr="008E2A22" w:rsidRDefault="007728EC" w:rsidP="007728E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41BB740A" w:rsidR="00893C08" w:rsidRPr="008E2A22" w:rsidRDefault="007728EC" w:rsidP="007728EC">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193E4C1" w:rsidR="00893C08" w:rsidRPr="008E2A22" w:rsidRDefault="007728EC" w:rsidP="007728EC">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8E2A22">
        <w:rPr>
          <w:rFonts w:cs="Arial"/>
          <w:b/>
          <w:sz w:val="21"/>
          <w:szCs w:val="21"/>
        </w:rPr>
        <w:t>202</w:t>
      </w:r>
      <w:r w:rsidR="008A32BD" w:rsidRPr="008E2A22">
        <w:rPr>
          <w:rFonts w:cs="Arial"/>
          <w:b/>
          <w:sz w:val="21"/>
          <w:szCs w:val="21"/>
        </w:rPr>
        <w:t>2</w:t>
      </w:r>
      <w:r w:rsidR="00515FD8" w:rsidRPr="008E2A22">
        <w:rPr>
          <w:rFonts w:cs="Arial"/>
          <w:b/>
          <w:sz w:val="21"/>
          <w:szCs w:val="21"/>
        </w:rPr>
        <w:t xml:space="preserve"> - </w:t>
      </w:r>
      <w:r w:rsidR="008A32BD" w:rsidRPr="008E2A22">
        <w:rPr>
          <w:rFonts w:cs="Arial"/>
          <w:b/>
          <w:sz w:val="21"/>
          <w:szCs w:val="21"/>
        </w:rPr>
        <w:t>12595</w:t>
      </w:r>
    </w:p>
    <w:p w14:paraId="084B5ECD" w14:textId="77777777" w:rsidR="006C43D7" w:rsidRPr="008E2A22" w:rsidRDefault="006C43D7" w:rsidP="00C74E97">
      <w:pPr>
        <w:spacing w:line="360" w:lineRule="auto"/>
        <w:jc w:val="both"/>
        <w:rPr>
          <w:rFonts w:cs="Arial"/>
          <w:sz w:val="21"/>
          <w:szCs w:val="21"/>
        </w:rPr>
      </w:pPr>
    </w:p>
    <w:p w14:paraId="4E808D74" w14:textId="77777777" w:rsidR="006C43D7" w:rsidRPr="008E2A22" w:rsidRDefault="006C43D7" w:rsidP="00C74E97">
      <w:pPr>
        <w:spacing w:line="360" w:lineRule="auto"/>
        <w:jc w:val="both"/>
        <w:rPr>
          <w:rFonts w:cs="Arial"/>
          <w:sz w:val="21"/>
          <w:szCs w:val="21"/>
        </w:rPr>
      </w:pPr>
    </w:p>
    <w:p w14:paraId="34BF70B6" w14:textId="77777777" w:rsidR="006C43D7" w:rsidRPr="008E2A22" w:rsidRDefault="006C43D7" w:rsidP="00C74E97">
      <w:pPr>
        <w:spacing w:line="360" w:lineRule="auto"/>
        <w:jc w:val="both"/>
        <w:rPr>
          <w:rFonts w:cs="Arial"/>
          <w:sz w:val="21"/>
          <w:szCs w:val="21"/>
        </w:rPr>
      </w:pPr>
    </w:p>
    <w:p w14:paraId="2F53BA3A" w14:textId="7CE26CA8" w:rsidR="006C43D7" w:rsidRPr="008E2A22" w:rsidRDefault="00C56E55" w:rsidP="00C74E97">
      <w:pPr>
        <w:spacing w:line="360" w:lineRule="auto"/>
        <w:jc w:val="both"/>
        <w:rPr>
          <w:rFonts w:cs="Arial"/>
          <w:sz w:val="21"/>
          <w:szCs w:val="21"/>
        </w:rPr>
      </w:pPr>
      <w:r w:rsidRPr="008E2A22">
        <w:rPr>
          <w:rFonts w:cs="Arial"/>
          <w:sz w:val="21"/>
          <w:szCs w:val="21"/>
        </w:rPr>
        <w:t xml:space="preserve">                        </w:t>
      </w:r>
    </w:p>
    <w:p w14:paraId="3A1C212E" w14:textId="77777777" w:rsidR="006C43D7" w:rsidRPr="008E2A22" w:rsidRDefault="006C43D7" w:rsidP="00C74E97">
      <w:pPr>
        <w:spacing w:line="360" w:lineRule="auto"/>
        <w:jc w:val="both"/>
        <w:rPr>
          <w:rFonts w:cs="Arial"/>
          <w:sz w:val="21"/>
          <w:szCs w:val="21"/>
        </w:rPr>
      </w:pPr>
    </w:p>
    <w:p w14:paraId="04919B1B" w14:textId="77777777" w:rsidR="001D3CC2" w:rsidRPr="008E2A22" w:rsidRDefault="001D3CC2" w:rsidP="00C74E97">
      <w:pPr>
        <w:spacing w:line="360" w:lineRule="auto"/>
        <w:jc w:val="both"/>
        <w:rPr>
          <w:rFonts w:cs="Arial"/>
          <w:sz w:val="21"/>
          <w:szCs w:val="21"/>
        </w:rPr>
      </w:pPr>
    </w:p>
    <w:p w14:paraId="045D3852" w14:textId="77777777" w:rsidR="00E57446" w:rsidRPr="008E2A22" w:rsidRDefault="00E57446" w:rsidP="00C74E97">
      <w:pPr>
        <w:spacing w:line="360" w:lineRule="auto"/>
        <w:jc w:val="both"/>
        <w:rPr>
          <w:rFonts w:cs="Arial"/>
          <w:sz w:val="21"/>
          <w:szCs w:val="21"/>
        </w:rPr>
      </w:pPr>
    </w:p>
    <w:p w14:paraId="2804C32A" w14:textId="6C8D50AF" w:rsidR="00E57446" w:rsidRPr="008E2A22" w:rsidRDefault="00E57446" w:rsidP="00C74E97">
      <w:pPr>
        <w:spacing w:line="360" w:lineRule="auto"/>
        <w:jc w:val="both"/>
        <w:rPr>
          <w:rFonts w:cs="Arial"/>
          <w:sz w:val="21"/>
          <w:szCs w:val="21"/>
        </w:rPr>
      </w:pPr>
      <w:r w:rsidRPr="008E2A22">
        <w:rPr>
          <w:rFonts w:cs="Arial"/>
          <w:sz w:val="21"/>
          <w:szCs w:val="21"/>
        </w:rPr>
        <w:t>In the application by</w:t>
      </w:r>
    </w:p>
    <w:p w14:paraId="4521E045" w14:textId="77777777" w:rsidR="00D33A54" w:rsidRPr="008E2A22" w:rsidRDefault="00D33A54" w:rsidP="00C74E97">
      <w:pPr>
        <w:spacing w:line="360" w:lineRule="auto"/>
        <w:jc w:val="both"/>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8E2A22" w14:paraId="4CBFF906" w14:textId="77777777" w:rsidTr="00430142">
        <w:tc>
          <w:tcPr>
            <w:tcW w:w="6223" w:type="dxa"/>
          </w:tcPr>
          <w:p w14:paraId="07466740" w14:textId="25D3A329" w:rsidR="00E57446" w:rsidRPr="008E2A22" w:rsidRDefault="008A32BD" w:rsidP="00E37B97">
            <w:pPr>
              <w:tabs>
                <w:tab w:val="right" w:pos="9070"/>
              </w:tabs>
              <w:rPr>
                <w:rFonts w:cs="Arial"/>
                <w:b/>
                <w:sz w:val="21"/>
                <w:szCs w:val="21"/>
              </w:rPr>
            </w:pPr>
            <w:r w:rsidRPr="008E2A22">
              <w:rPr>
                <w:rFonts w:cs="Arial"/>
                <w:b/>
                <w:snapToGrid w:val="0"/>
                <w:spacing w:val="-3"/>
                <w:sz w:val="21"/>
                <w:szCs w:val="21"/>
                <w:lang w:val="en-GB"/>
              </w:rPr>
              <w:t>MBALATI, DZUNISANI ALDWORTH</w:t>
            </w:r>
          </w:p>
        </w:tc>
        <w:tc>
          <w:tcPr>
            <w:tcW w:w="2318" w:type="dxa"/>
          </w:tcPr>
          <w:p w14:paraId="32F3C456" w14:textId="27CE149E" w:rsidR="00E57446" w:rsidRPr="008E2A22" w:rsidRDefault="003031A1" w:rsidP="00E37B97">
            <w:pPr>
              <w:rPr>
                <w:rFonts w:cs="Arial"/>
                <w:sz w:val="21"/>
                <w:szCs w:val="21"/>
              </w:rPr>
            </w:pPr>
            <w:r w:rsidRPr="008E2A22">
              <w:rPr>
                <w:rFonts w:cs="Arial"/>
                <w:sz w:val="21"/>
                <w:szCs w:val="21"/>
              </w:rPr>
              <w:t>Applicant</w:t>
            </w:r>
          </w:p>
        </w:tc>
      </w:tr>
      <w:tr w:rsidR="00E57446" w:rsidRPr="008E2A22" w14:paraId="582D8E94" w14:textId="77777777" w:rsidTr="00430142">
        <w:tc>
          <w:tcPr>
            <w:tcW w:w="6223" w:type="dxa"/>
          </w:tcPr>
          <w:p w14:paraId="625D2900" w14:textId="77777777" w:rsidR="00D33A54" w:rsidRPr="008E2A22" w:rsidRDefault="00D33A54" w:rsidP="00E37B97">
            <w:pPr>
              <w:tabs>
                <w:tab w:val="right" w:pos="9026"/>
              </w:tabs>
              <w:rPr>
                <w:rFonts w:cs="Arial"/>
                <w:b/>
                <w:bCs/>
                <w:sz w:val="21"/>
                <w:szCs w:val="21"/>
              </w:rPr>
            </w:pPr>
          </w:p>
          <w:p w14:paraId="02EB2173" w14:textId="181B1764" w:rsidR="00E57446" w:rsidRPr="008E2A22" w:rsidRDefault="001F361F" w:rsidP="00E37B97">
            <w:pPr>
              <w:tabs>
                <w:tab w:val="right" w:pos="9026"/>
              </w:tabs>
              <w:rPr>
                <w:rFonts w:cs="Arial"/>
                <w:b/>
                <w:bCs/>
                <w:sz w:val="21"/>
                <w:szCs w:val="21"/>
              </w:rPr>
            </w:pPr>
            <w:r w:rsidRPr="008E2A22">
              <w:rPr>
                <w:rFonts w:cs="Arial"/>
                <w:b/>
                <w:bCs/>
                <w:sz w:val="21"/>
                <w:szCs w:val="21"/>
              </w:rPr>
              <w:t>and</w:t>
            </w:r>
          </w:p>
          <w:p w14:paraId="7BC13697" w14:textId="13F5AAC0" w:rsidR="00E37B97" w:rsidRPr="008E2A22" w:rsidRDefault="00E37B97" w:rsidP="00E37B97">
            <w:pPr>
              <w:tabs>
                <w:tab w:val="right" w:pos="9026"/>
              </w:tabs>
              <w:rPr>
                <w:rFonts w:cs="Arial"/>
                <w:b/>
                <w:bCs/>
                <w:sz w:val="21"/>
                <w:szCs w:val="21"/>
              </w:rPr>
            </w:pPr>
          </w:p>
        </w:tc>
        <w:tc>
          <w:tcPr>
            <w:tcW w:w="2318" w:type="dxa"/>
          </w:tcPr>
          <w:p w14:paraId="3E582FC6" w14:textId="6D3E836F" w:rsidR="00E57446" w:rsidRPr="008E2A22" w:rsidRDefault="00E57446" w:rsidP="00E37B97">
            <w:pPr>
              <w:rPr>
                <w:rFonts w:cs="Arial"/>
                <w:sz w:val="21"/>
                <w:szCs w:val="21"/>
              </w:rPr>
            </w:pPr>
          </w:p>
        </w:tc>
      </w:tr>
      <w:tr w:rsidR="000F00EF" w:rsidRPr="008E2A22" w14:paraId="72126C43" w14:textId="77777777" w:rsidTr="00430142">
        <w:tc>
          <w:tcPr>
            <w:tcW w:w="6223" w:type="dxa"/>
          </w:tcPr>
          <w:p w14:paraId="35C8FDE9" w14:textId="1CBD5B40" w:rsidR="00E37B97" w:rsidRPr="008E2A22" w:rsidRDefault="00D33A54" w:rsidP="00E37B97">
            <w:pPr>
              <w:tabs>
                <w:tab w:val="right" w:pos="9070"/>
              </w:tabs>
              <w:rPr>
                <w:rFonts w:cs="Arial"/>
                <w:b/>
                <w:bCs/>
                <w:sz w:val="21"/>
                <w:szCs w:val="21"/>
              </w:rPr>
            </w:pPr>
            <w:r w:rsidRPr="008E2A22">
              <w:rPr>
                <w:rFonts w:cs="Arial"/>
                <w:b/>
                <w:bCs/>
                <w:sz w:val="21"/>
                <w:szCs w:val="21"/>
              </w:rPr>
              <w:t>CSG SECURITY PROJECTS (PTY) LTD</w:t>
            </w:r>
          </w:p>
        </w:tc>
        <w:tc>
          <w:tcPr>
            <w:tcW w:w="2318" w:type="dxa"/>
          </w:tcPr>
          <w:p w14:paraId="7AC1A636" w14:textId="50E404DB" w:rsidR="000F00EF" w:rsidRPr="008E2A22" w:rsidRDefault="003031A1" w:rsidP="00E37B97">
            <w:pPr>
              <w:rPr>
                <w:rFonts w:cs="Arial"/>
                <w:sz w:val="21"/>
                <w:szCs w:val="21"/>
              </w:rPr>
            </w:pPr>
            <w:r w:rsidRPr="008E2A22">
              <w:rPr>
                <w:rFonts w:cs="Arial"/>
                <w:sz w:val="21"/>
                <w:szCs w:val="21"/>
              </w:rPr>
              <w:t>Respondent</w:t>
            </w:r>
          </w:p>
        </w:tc>
      </w:tr>
      <w:tr w:rsidR="000F00EF" w:rsidRPr="008E2A22" w14:paraId="5E2E11F1" w14:textId="77777777" w:rsidTr="00430142">
        <w:tc>
          <w:tcPr>
            <w:tcW w:w="6223" w:type="dxa"/>
          </w:tcPr>
          <w:p w14:paraId="5911C2F7" w14:textId="77777777" w:rsidR="00E37B97" w:rsidRPr="008E2A22" w:rsidRDefault="00E37B97" w:rsidP="00E37B97">
            <w:pPr>
              <w:tabs>
                <w:tab w:val="right" w:pos="9070"/>
              </w:tabs>
              <w:rPr>
                <w:rFonts w:cs="Arial"/>
                <w:b/>
                <w:bCs/>
                <w:sz w:val="21"/>
                <w:szCs w:val="21"/>
              </w:rPr>
            </w:pPr>
          </w:p>
          <w:p w14:paraId="3F07C8A3" w14:textId="77777777" w:rsidR="008A32BD" w:rsidRPr="008E2A22" w:rsidRDefault="008A32BD" w:rsidP="00E37B97">
            <w:pPr>
              <w:tabs>
                <w:tab w:val="right" w:pos="9070"/>
              </w:tabs>
              <w:rPr>
                <w:rFonts w:cs="Arial"/>
                <w:i/>
                <w:iCs/>
                <w:sz w:val="21"/>
                <w:szCs w:val="21"/>
              </w:rPr>
            </w:pPr>
            <w:r w:rsidRPr="008E2A22">
              <w:rPr>
                <w:rFonts w:cs="Arial"/>
                <w:i/>
                <w:iCs/>
                <w:sz w:val="21"/>
                <w:szCs w:val="21"/>
              </w:rPr>
              <w:t>In re</w:t>
            </w:r>
          </w:p>
          <w:p w14:paraId="3E1783E7" w14:textId="02B975B6" w:rsidR="008A32BD" w:rsidRPr="008E2A22" w:rsidRDefault="008A32BD" w:rsidP="00E37B97">
            <w:pPr>
              <w:tabs>
                <w:tab w:val="right" w:pos="9070"/>
              </w:tabs>
              <w:rPr>
                <w:rFonts w:cs="Arial"/>
                <w:b/>
                <w:bCs/>
                <w:sz w:val="21"/>
                <w:szCs w:val="21"/>
              </w:rPr>
            </w:pPr>
          </w:p>
        </w:tc>
        <w:tc>
          <w:tcPr>
            <w:tcW w:w="2318" w:type="dxa"/>
          </w:tcPr>
          <w:p w14:paraId="272C00F9" w14:textId="569B34C1" w:rsidR="00430142" w:rsidRPr="008E2A22" w:rsidRDefault="00430142" w:rsidP="00E37B97">
            <w:pPr>
              <w:rPr>
                <w:rFonts w:cs="Arial"/>
                <w:sz w:val="21"/>
                <w:szCs w:val="21"/>
              </w:rPr>
            </w:pPr>
          </w:p>
        </w:tc>
      </w:tr>
      <w:tr w:rsidR="00430142" w:rsidRPr="008E2A22" w14:paraId="3EB57834" w14:textId="77777777" w:rsidTr="00430142">
        <w:tc>
          <w:tcPr>
            <w:tcW w:w="6223" w:type="dxa"/>
          </w:tcPr>
          <w:p w14:paraId="12D66C38" w14:textId="0AAA7F67" w:rsidR="00E37B97" w:rsidRPr="008E2A22" w:rsidRDefault="008A32BD" w:rsidP="00415439">
            <w:pPr>
              <w:tabs>
                <w:tab w:val="center" w:pos="3003"/>
              </w:tabs>
              <w:rPr>
                <w:rFonts w:cs="Arial"/>
                <w:b/>
                <w:snapToGrid w:val="0"/>
                <w:spacing w:val="-3"/>
                <w:sz w:val="21"/>
                <w:szCs w:val="21"/>
              </w:rPr>
            </w:pPr>
            <w:r w:rsidRPr="008E2A22">
              <w:rPr>
                <w:rFonts w:cs="Arial"/>
                <w:b/>
                <w:bCs/>
                <w:sz w:val="21"/>
                <w:szCs w:val="21"/>
              </w:rPr>
              <w:t>CSG SECURITY PROJECTS (PTY) LTD</w:t>
            </w:r>
            <w:r w:rsidR="00415439" w:rsidRPr="008E2A22">
              <w:rPr>
                <w:rFonts w:cs="Arial"/>
                <w:b/>
                <w:snapToGrid w:val="0"/>
                <w:spacing w:val="-3"/>
                <w:sz w:val="21"/>
                <w:szCs w:val="21"/>
              </w:rPr>
              <w:tab/>
            </w:r>
          </w:p>
        </w:tc>
        <w:tc>
          <w:tcPr>
            <w:tcW w:w="2318" w:type="dxa"/>
          </w:tcPr>
          <w:p w14:paraId="47024FA0" w14:textId="0E7D6075" w:rsidR="00E37B97" w:rsidRPr="008E2A22" w:rsidRDefault="008A32BD" w:rsidP="002709AE">
            <w:pPr>
              <w:rPr>
                <w:rFonts w:cs="Arial"/>
                <w:sz w:val="21"/>
                <w:szCs w:val="21"/>
              </w:rPr>
            </w:pPr>
            <w:r w:rsidRPr="008E2A22">
              <w:rPr>
                <w:rFonts w:cs="Arial"/>
                <w:sz w:val="21"/>
                <w:szCs w:val="21"/>
              </w:rPr>
              <w:t>Plaintiff</w:t>
            </w:r>
          </w:p>
        </w:tc>
      </w:tr>
      <w:tr w:rsidR="00430142" w:rsidRPr="008E2A22" w14:paraId="2EAC63E5" w14:textId="77777777" w:rsidTr="00430142">
        <w:tc>
          <w:tcPr>
            <w:tcW w:w="6223" w:type="dxa"/>
          </w:tcPr>
          <w:p w14:paraId="7066D08D" w14:textId="77777777" w:rsidR="00430142" w:rsidRPr="008E2A22" w:rsidRDefault="00430142" w:rsidP="00E37B97">
            <w:pPr>
              <w:tabs>
                <w:tab w:val="right" w:pos="9070"/>
              </w:tabs>
              <w:rPr>
                <w:rFonts w:cs="Arial"/>
                <w:b/>
                <w:snapToGrid w:val="0"/>
                <w:spacing w:val="-3"/>
                <w:sz w:val="21"/>
                <w:szCs w:val="21"/>
                <w:lang w:val="en-GB"/>
              </w:rPr>
            </w:pPr>
          </w:p>
          <w:p w14:paraId="33E12A85" w14:textId="58854931" w:rsidR="00D33A54" w:rsidRPr="008E2A22" w:rsidRDefault="00D33A54" w:rsidP="00E37B97">
            <w:pPr>
              <w:tabs>
                <w:tab w:val="right" w:pos="9070"/>
              </w:tabs>
              <w:rPr>
                <w:rFonts w:cs="Arial"/>
                <w:b/>
                <w:snapToGrid w:val="0"/>
                <w:spacing w:val="-3"/>
                <w:sz w:val="21"/>
                <w:szCs w:val="21"/>
                <w:lang w:val="en-GB"/>
              </w:rPr>
            </w:pPr>
            <w:r w:rsidRPr="008E2A22">
              <w:rPr>
                <w:rFonts w:cs="Arial"/>
                <w:b/>
                <w:snapToGrid w:val="0"/>
                <w:spacing w:val="-3"/>
                <w:sz w:val="21"/>
                <w:szCs w:val="21"/>
                <w:lang w:val="en-GB"/>
              </w:rPr>
              <w:t>and</w:t>
            </w:r>
          </w:p>
          <w:p w14:paraId="63062862" w14:textId="607070E1" w:rsidR="00D33A54" w:rsidRPr="008E2A22" w:rsidRDefault="00D33A54" w:rsidP="00E37B97">
            <w:pPr>
              <w:tabs>
                <w:tab w:val="right" w:pos="9070"/>
              </w:tabs>
              <w:rPr>
                <w:rFonts w:cs="Arial"/>
                <w:b/>
                <w:snapToGrid w:val="0"/>
                <w:spacing w:val="-3"/>
                <w:sz w:val="21"/>
                <w:szCs w:val="21"/>
                <w:lang w:val="en-GB"/>
              </w:rPr>
            </w:pPr>
          </w:p>
        </w:tc>
        <w:tc>
          <w:tcPr>
            <w:tcW w:w="2318" w:type="dxa"/>
          </w:tcPr>
          <w:p w14:paraId="7E481722" w14:textId="790058BA" w:rsidR="00430142" w:rsidRPr="008E2A22" w:rsidRDefault="00430142" w:rsidP="00E37B97">
            <w:pPr>
              <w:rPr>
                <w:rFonts w:cs="Arial"/>
                <w:sz w:val="21"/>
                <w:szCs w:val="21"/>
              </w:rPr>
            </w:pPr>
          </w:p>
        </w:tc>
      </w:tr>
      <w:tr w:rsidR="00415439" w:rsidRPr="008E2A22" w14:paraId="2567635F" w14:textId="77777777" w:rsidTr="00430142">
        <w:tc>
          <w:tcPr>
            <w:tcW w:w="6223" w:type="dxa"/>
          </w:tcPr>
          <w:p w14:paraId="154308FD" w14:textId="07BFC3F7" w:rsidR="00415439" w:rsidRPr="008E2A22" w:rsidRDefault="00D33A54" w:rsidP="00E37B97">
            <w:pPr>
              <w:tabs>
                <w:tab w:val="right" w:pos="9070"/>
              </w:tabs>
              <w:rPr>
                <w:rFonts w:cs="Arial"/>
                <w:b/>
                <w:snapToGrid w:val="0"/>
                <w:spacing w:val="-3"/>
                <w:sz w:val="21"/>
                <w:szCs w:val="21"/>
                <w:lang w:val="en-GB"/>
              </w:rPr>
            </w:pPr>
            <w:r w:rsidRPr="008E2A22">
              <w:rPr>
                <w:rFonts w:cs="Arial"/>
                <w:b/>
                <w:snapToGrid w:val="0"/>
                <w:spacing w:val="-3"/>
                <w:sz w:val="21"/>
                <w:szCs w:val="21"/>
                <w:lang w:val="en-GB"/>
              </w:rPr>
              <w:t xml:space="preserve">MBALATI, DZUNISANI ALDWORTH </w:t>
            </w:r>
          </w:p>
        </w:tc>
        <w:tc>
          <w:tcPr>
            <w:tcW w:w="2318" w:type="dxa"/>
          </w:tcPr>
          <w:p w14:paraId="47BC7F2B" w14:textId="3D2EC049" w:rsidR="00415439" w:rsidRPr="008E2A22" w:rsidRDefault="00D33A54" w:rsidP="00E37B97">
            <w:pPr>
              <w:rPr>
                <w:rFonts w:cs="Arial"/>
                <w:sz w:val="21"/>
                <w:szCs w:val="21"/>
              </w:rPr>
            </w:pPr>
            <w:r w:rsidRPr="008E2A22">
              <w:rPr>
                <w:rFonts w:cs="Arial"/>
                <w:sz w:val="21"/>
                <w:szCs w:val="21"/>
              </w:rPr>
              <w:t>Defendant</w:t>
            </w:r>
          </w:p>
        </w:tc>
      </w:tr>
    </w:tbl>
    <w:p w14:paraId="2E9E9900" w14:textId="77777777" w:rsidR="0023405C" w:rsidRPr="008E2A22" w:rsidRDefault="0023405C" w:rsidP="00C74E97">
      <w:pPr>
        <w:pBdr>
          <w:bottom w:val="single" w:sz="4" w:space="1" w:color="auto"/>
        </w:pBdr>
        <w:spacing w:line="360" w:lineRule="auto"/>
        <w:jc w:val="both"/>
        <w:rPr>
          <w:rFonts w:cs="Arial"/>
          <w:sz w:val="21"/>
          <w:szCs w:val="21"/>
        </w:rPr>
      </w:pPr>
    </w:p>
    <w:p w14:paraId="67781CE9" w14:textId="77777777" w:rsidR="0023405C" w:rsidRPr="008E2A22" w:rsidRDefault="0023405C" w:rsidP="00C74E97">
      <w:pPr>
        <w:pBdr>
          <w:bottom w:val="single" w:sz="4" w:space="1" w:color="auto"/>
        </w:pBdr>
        <w:spacing w:line="360" w:lineRule="auto"/>
        <w:jc w:val="both"/>
        <w:rPr>
          <w:rFonts w:cs="Arial"/>
          <w:sz w:val="21"/>
          <w:szCs w:val="21"/>
        </w:rPr>
      </w:pPr>
    </w:p>
    <w:p w14:paraId="58DE5549" w14:textId="77777777" w:rsidR="006C43D7" w:rsidRPr="008E2A22" w:rsidRDefault="006C43D7" w:rsidP="00C74E97">
      <w:pPr>
        <w:spacing w:line="360" w:lineRule="auto"/>
        <w:jc w:val="both"/>
        <w:rPr>
          <w:rFonts w:cs="Arial"/>
          <w:sz w:val="21"/>
          <w:szCs w:val="21"/>
        </w:rPr>
      </w:pPr>
    </w:p>
    <w:p w14:paraId="647AB70C" w14:textId="77777777" w:rsidR="006C43D7" w:rsidRPr="008E2A22" w:rsidRDefault="006C43D7" w:rsidP="00C74E97">
      <w:pPr>
        <w:keepNext/>
        <w:spacing w:line="360" w:lineRule="auto"/>
        <w:jc w:val="center"/>
        <w:outlineLvl w:val="1"/>
        <w:rPr>
          <w:rFonts w:cs="Arial"/>
          <w:b/>
          <w:bCs/>
          <w:sz w:val="21"/>
          <w:szCs w:val="21"/>
        </w:rPr>
      </w:pPr>
      <w:r w:rsidRPr="008E2A22">
        <w:rPr>
          <w:rFonts w:cs="Arial"/>
          <w:b/>
          <w:bCs/>
          <w:sz w:val="21"/>
          <w:szCs w:val="21"/>
        </w:rPr>
        <w:t>JUDGMENT</w:t>
      </w:r>
    </w:p>
    <w:p w14:paraId="52CD25EB" w14:textId="77777777" w:rsidR="006C43D7" w:rsidRPr="008E2A22" w:rsidRDefault="006C43D7" w:rsidP="00C74E97">
      <w:pPr>
        <w:pBdr>
          <w:bottom w:val="single" w:sz="4" w:space="1" w:color="auto"/>
        </w:pBdr>
        <w:spacing w:line="360" w:lineRule="auto"/>
        <w:jc w:val="both"/>
        <w:rPr>
          <w:rFonts w:cs="Arial"/>
          <w:sz w:val="21"/>
          <w:szCs w:val="21"/>
        </w:rPr>
      </w:pPr>
    </w:p>
    <w:p w14:paraId="2FFFE5A8" w14:textId="77777777" w:rsidR="0040197A" w:rsidRPr="008E2A22" w:rsidRDefault="0040197A" w:rsidP="00C74E97">
      <w:pPr>
        <w:spacing w:after="480" w:line="360" w:lineRule="auto"/>
        <w:jc w:val="both"/>
        <w:rPr>
          <w:rFonts w:cs="Arial"/>
          <w:b/>
          <w:sz w:val="21"/>
          <w:szCs w:val="21"/>
        </w:rPr>
      </w:pPr>
    </w:p>
    <w:p w14:paraId="5BD82EFE" w14:textId="147D8FBC" w:rsidR="00BE6AB8" w:rsidRPr="008E2A22" w:rsidRDefault="00C676F3" w:rsidP="00C74E97">
      <w:pPr>
        <w:spacing w:after="480" w:line="360" w:lineRule="auto"/>
        <w:jc w:val="both"/>
        <w:rPr>
          <w:rFonts w:cs="Arial"/>
          <w:b/>
          <w:sz w:val="21"/>
          <w:szCs w:val="21"/>
        </w:rPr>
      </w:pPr>
      <w:r w:rsidRPr="008E2A22">
        <w:rPr>
          <w:rFonts w:cs="Arial"/>
          <w:b/>
          <w:sz w:val="21"/>
          <w:szCs w:val="21"/>
        </w:rPr>
        <w:t>MOORCROFT</w:t>
      </w:r>
      <w:r w:rsidR="006C43D7" w:rsidRPr="008E2A22">
        <w:rPr>
          <w:rFonts w:cs="Arial"/>
          <w:b/>
          <w:sz w:val="21"/>
          <w:szCs w:val="21"/>
        </w:rPr>
        <w:t xml:space="preserve"> AJ:</w:t>
      </w:r>
    </w:p>
    <w:p w14:paraId="5B9302F1" w14:textId="576D4E4A" w:rsidR="001F361F" w:rsidRPr="008E2A22" w:rsidRDefault="00C460A0" w:rsidP="00C74E97">
      <w:pPr>
        <w:keepNext/>
        <w:spacing w:after="480" w:line="360" w:lineRule="auto"/>
        <w:jc w:val="both"/>
        <w:rPr>
          <w:rFonts w:cs="Arial"/>
          <w:bCs/>
          <w:i/>
          <w:iCs/>
          <w:sz w:val="21"/>
          <w:szCs w:val="21"/>
          <w:u w:val="single"/>
        </w:rPr>
      </w:pPr>
      <w:r w:rsidRPr="008E2A22">
        <w:rPr>
          <w:rFonts w:cs="Arial"/>
          <w:bCs/>
          <w:i/>
          <w:iCs/>
          <w:sz w:val="21"/>
          <w:szCs w:val="21"/>
          <w:u w:val="single"/>
        </w:rPr>
        <w:lastRenderedPageBreak/>
        <w:t>Summary</w:t>
      </w:r>
    </w:p>
    <w:p w14:paraId="5ABA4249" w14:textId="36893B3B" w:rsidR="00D33A54" w:rsidRPr="008E2A22" w:rsidRDefault="004A5AF5" w:rsidP="00C74E97">
      <w:pPr>
        <w:keepNext/>
        <w:spacing w:after="480" w:line="360" w:lineRule="auto"/>
        <w:jc w:val="both"/>
        <w:rPr>
          <w:rFonts w:cs="Arial"/>
          <w:bCs/>
          <w:i/>
          <w:iCs/>
          <w:sz w:val="21"/>
          <w:szCs w:val="21"/>
        </w:rPr>
      </w:pPr>
      <w:r w:rsidRPr="008E2A22">
        <w:rPr>
          <w:rFonts w:cs="Arial"/>
          <w:bCs/>
          <w:i/>
          <w:iCs/>
          <w:sz w:val="21"/>
          <w:szCs w:val="21"/>
        </w:rPr>
        <w:t xml:space="preserve">Reconsideration of order granted by Registrar in terms of rule 31(5)(d) – </w:t>
      </w:r>
      <w:r w:rsidR="0023711D" w:rsidRPr="008E2A22">
        <w:rPr>
          <w:rFonts w:cs="Arial"/>
          <w:bCs/>
          <w:i/>
          <w:iCs/>
          <w:sz w:val="21"/>
          <w:szCs w:val="21"/>
        </w:rPr>
        <w:t xml:space="preserve">condonation in terms of rule 27 - </w:t>
      </w:r>
      <w:r w:rsidRPr="008E2A22">
        <w:rPr>
          <w:rFonts w:cs="Arial"/>
          <w:bCs/>
          <w:i/>
          <w:iCs/>
          <w:sz w:val="21"/>
          <w:szCs w:val="21"/>
        </w:rPr>
        <w:t xml:space="preserve">Good cause – reasonable explanation </w:t>
      </w:r>
      <w:r w:rsidR="000C7E41" w:rsidRPr="008E2A22">
        <w:rPr>
          <w:rFonts w:cs="Arial"/>
          <w:bCs/>
          <w:i/>
          <w:iCs/>
          <w:sz w:val="21"/>
          <w:szCs w:val="21"/>
        </w:rPr>
        <w:t xml:space="preserve">for four-month delay </w:t>
      </w:r>
      <w:r w:rsidRPr="008E2A22">
        <w:rPr>
          <w:rFonts w:cs="Arial"/>
          <w:bCs/>
          <w:i/>
          <w:iCs/>
          <w:sz w:val="21"/>
          <w:szCs w:val="21"/>
        </w:rPr>
        <w:t xml:space="preserve">and bona fide defence – </w:t>
      </w:r>
      <w:r w:rsidR="000C7E41" w:rsidRPr="008E2A22">
        <w:rPr>
          <w:rFonts w:cs="Arial"/>
          <w:bCs/>
          <w:i/>
          <w:iCs/>
          <w:sz w:val="21"/>
          <w:szCs w:val="21"/>
        </w:rPr>
        <w:t xml:space="preserve">explanation not reasonable - </w:t>
      </w:r>
      <w:r w:rsidRPr="008E2A22">
        <w:rPr>
          <w:rFonts w:cs="Arial"/>
          <w:bCs/>
          <w:i/>
          <w:iCs/>
          <w:sz w:val="21"/>
          <w:szCs w:val="21"/>
        </w:rPr>
        <w:t xml:space="preserve">application </w:t>
      </w:r>
      <w:r w:rsidR="006D23FB" w:rsidRPr="008E2A22">
        <w:rPr>
          <w:rFonts w:cs="Arial"/>
          <w:bCs/>
          <w:i/>
          <w:iCs/>
          <w:sz w:val="21"/>
          <w:szCs w:val="21"/>
        </w:rPr>
        <w:t>dismissed</w:t>
      </w:r>
    </w:p>
    <w:p w14:paraId="18AFD427" w14:textId="7B3D0B7D" w:rsidR="00BE6AB8" w:rsidRPr="008E2A22" w:rsidRDefault="00BE6AB8" w:rsidP="00C74E97">
      <w:pPr>
        <w:keepNext/>
        <w:spacing w:after="480" w:line="360" w:lineRule="auto"/>
        <w:jc w:val="both"/>
        <w:rPr>
          <w:rFonts w:cs="Arial"/>
          <w:bCs/>
          <w:sz w:val="21"/>
          <w:szCs w:val="21"/>
          <w:u w:val="single"/>
        </w:rPr>
      </w:pPr>
      <w:r w:rsidRPr="008E2A22">
        <w:rPr>
          <w:rFonts w:cs="Arial"/>
          <w:bCs/>
          <w:sz w:val="21"/>
          <w:szCs w:val="21"/>
          <w:u w:val="single"/>
        </w:rPr>
        <w:t>Order</w:t>
      </w:r>
    </w:p>
    <w:p w14:paraId="63515C87" w14:textId="4148D158" w:rsidR="004E3D0E" w:rsidRPr="008E2A22" w:rsidRDefault="007728EC" w:rsidP="007728EC">
      <w:pPr>
        <w:tabs>
          <w:tab w:val="left" w:pos="567"/>
        </w:tabs>
        <w:spacing w:after="480" w:line="360" w:lineRule="auto"/>
        <w:jc w:val="both"/>
        <w:rPr>
          <w:rFonts w:cs="Arial"/>
          <w:i/>
          <w:iCs/>
          <w:sz w:val="21"/>
          <w:szCs w:val="21"/>
        </w:rPr>
      </w:pPr>
      <w:r w:rsidRPr="008E2A22">
        <w:rPr>
          <w:rFonts w:cs="Arial"/>
          <w:iCs/>
          <w:sz w:val="21"/>
          <w:szCs w:val="21"/>
        </w:rPr>
        <w:t>[1]</w:t>
      </w:r>
      <w:r w:rsidRPr="008E2A22">
        <w:rPr>
          <w:rFonts w:cs="Arial"/>
          <w:iCs/>
          <w:sz w:val="21"/>
          <w:szCs w:val="21"/>
        </w:rPr>
        <w:tab/>
      </w:r>
      <w:r w:rsidR="003B4100" w:rsidRPr="008E2A22">
        <w:rPr>
          <w:rFonts w:cs="Arial"/>
          <w:bCs/>
          <w:sz w:val="21"/>
          <w:szCs w:val="21"/>
        </w:rPr>
        <w:t xml:space="preserve">In this </w:t>
      </w:r>
      <w:r w:rsidR="00B56906" w:rsidRPr="008E2A22">
        <w:rPr>
          <w:rFonts w:cs="Arial"/>
          <w:bCs/>
          <w:sz w:val="21"/>
          <w:szCs w:val="21"/>
        </w:rPr>
        <w:t xml:space="preserve">matter </w:t>
      </w:r>
      <w:r w:rsidR="00C460A0" w:rsidRPr="008E2A22">
        <w:rPr>
          <w:rFonts w:cs="Arial"/>
          <w:bCs/>
          <w:sz w:val="21"/>
          <w:szCs w:val="21"/>
        </w:rPr>
        <w:t>I ma</w:t>
      </w:r>
      <w:r w:rsidR="000976D2" w:rsidRPr="008E2A22">
        <w:rPr>
          <w:rFonts w:cs="Arial"/>
          <w:bCs/>
          <w:sz w:val="21"/>
          <w:szCs w:val="21"/>
        </w:rPr>
        <w:t>k</w:t>
      </w:r>
      <w:r w:rsidR="00DC6EF8" w:rsidRPr="008E2A22">
        <w:rPr>
          <w:rFonts w:cs="Arial"/>
          <w:bCs/>
          <w:sz w:val="21"/>
          <w:szCs w:val="21"/>
        </w:rPr>
        <w:t>e</w:t>
      </w:r>
      <w:r w:rsidR="00C460A0" w:rsidRPr="008E2A22">
        <w:rPr>
          <w:rFonts w:cs="Arial"/>
          <w:bCs/>
          <w:sz w:val="21"/>
          <w:szCs w:val="21"/>
        </w:rPr>
        <w:t xml:space="preserve"> the following order</w:t>
      </w:r>
      <w:r w:rsidR="000976D2" w:rsidRPr="008E2A22">
        <w:rPr>
          <w:rFonts w:cs="Arial"/>
          <w:bCs/>
          <w:sz w:val="21"/>
          <w:szCs w:val="21"/>
        </w:rPr>
        <w:t>:</w:t>
      </w:r>
    </w:p>
    <w:p w14:paraId="29225DD1" w14:textId="15CF003D" w:rsidR="004A5AF5" w:rsidRPr="007728EC" w:rsidRDefault="007728EC" w:rsidP="007728EC">
      <w:pPr>
        <w:spacing w:after="480" w:line="360" w:lineRule="auto"/>
        <w:ind w:left="720" w:hanging="360"/>
        <w:jc w:val="both"/>
        <w:rPr>
          <w:rFonts w:cs="Arial"/>
          <w:i/>
          <w:iCs/>
          <w:sz w:val="21"/>
          <w:szCs w:val="21"/>
        </w:rPr>
      </w:pPr>
      <w:r w:rsidRPr="008E2A22">
        <w:rPr>
          <w:rFonts w:cs="Arial"/>
          <w:i/>
          <w:iCs/>
          <w:sz w:val="21"/>
          <w:szCs w:val="21"/>
        </w:rPr>
        <w:t>1.</w:t>
      </w:r>
      <w:r w:rsidRPr="008E2A22">
        <w:rPr>
          <w:rFonts w:cs="Arial"/>
          <w:i/>
          <w:iCs/>
          <w:sz w:val="21"/>
          <w:szCs w:val="21"/>
        </w:rPr>
        <w:tab/>
      </w:r>
      <w:r w:rsidR="0023711D" w:rsidRPr="007728EC">
        <w:rPr>
          <w:rFonts w:cs="Arial"/>
          <w:i/>
          <w:iCs/>
          <w:sz w:val="21"/>
          <w:szCs w:val="21"/>
        </w:rPr>
        <w:t>The application is dismissed;</w:t>
      </w:r>
    </w:p>
    <w:p w14:paraId="15AAAB69" w14:textId="3120844D" w:rsidR="004A5AF5" w:rsidRPr="007728EC" w:rsidRDefault="007728EC" w:rsidP="007728EC">
      <w:pPr>
        <w:spacing w:after="480" w:line="360" w:lineRule="auto"/>
        <w:ind w:left="720" w:hanging="360"/>
        <w:jc w:val="both"/>
        <w:rPr>
          <w:rFonts w:cs="Arial"/>
          <w:i/>
          <w:iCs/>
          <w:sz w:val="21"/>
          <w:szCs w:val="21"/>
        </w:rPr>
      </w:pPr>
      <w:r w:rsidRPr="008E2A22">
        <w:rPr>
          <w:rFonts w:cs="Arial"/>
          <w:i/>
          <w:iCs/>
          <w:sz w:val="21"/>
          <w:szCs w:val="21"/>
        </w:rPr>
        <w:t>2.</w:t>
      </w:r>
      <w:r w:rsidRPr="008E2A22">
        <w:rPr>
          <w:rFonts w:cs="Arial"/>
          <w:i/>
          <w:iCs/>
          <w:sz w:val="21"/>
          <w:szCs w:val="21"/>
        </w:rPr>
        <w:tab/>
      </w:r>
      <w:r w:rsidR="0023711D" w:rsidRPr="007728EC">
        <w:rPr>
          <w:rFonts w:cs="Arial"/>
          <w:i/>
          <w:iCs/>
          <w:sz w:val="21"/>
          <w:szCs w:val="21"/>
        </w:rPr>
        <w:t>The applicant is ordered to pay the costs of the application.</w:t>
      </w:r>
    </w:p>
    <w:p w14:paraId="115774C9" w14:textId="77777777" w:rsidR="0040197A" w:rsidRPr="008E2A22" w:rsidRDefault="0040197A" w:rsidP="0040197A">
      <w:pPr>
        <w:widowControl w:val="0"/>
        <w:spacing w:before="480" w:after="480" w:line="360" w:lineRule="auto"/>
        <w:jc w:val="both"/>
        <w:rPr>
          <w:rFonts w:cs="Arial"/>
          <w:bCs/>
          <w:sz w:val="21"/>
          <w:szCs w:val="22"/>
          <w:u w:val="single"/>
        </w:rPr>
      </w:pPr>
    </w:p>
    <w:p w14:paraId="08540072" w14:textId="3F4B96C2" w:rsidR="00C9310B" w:rsidRPr="007728EC" w:rsidRDefault="007728EC" w:rsidP="007728EC">
      <w:pPr>
        <w:widowControl w:val="0"/>
        <w:tabs>
          <w:tab w:val="left" w:pos="567"/>
        </w:tabs>
        <w:spacing w:before="480" w:after="480" w:line="360" w:lineRule="auto"/>
        <w:jc w:val="both"/>
        <w:rPr>
          <w:rFonts w:cs="Arial"/>
          <w:bCs/>
          <w:sz w:val="21"/>
          <w:szCs w:val="21"/>
          <w:u w:val="single"/>
        </w:rPr>
      </w:pPr>
      <w:r w:rsidRPr="008E2A22">
        <w:rPr>
          <w:rFonts w:cs="Arial"/>
          <w:bCs/>
          <w:sz w:val="21"/>
          <w:szCs w:val="21"/>
        </w:rPr>
        <w:t>[2]</w:t>
      </w:r>
      <w:r w:rsidRPr="008E2A22">
        <w:rPr>
          <w:rFonts w:cs="Arial"/>
          <w:bCs/>
          <w:sz w:val="21"/>
          <w:szCs w:val="21"/>
        </w:rPr>
        <w:tab/>
      </w:r>
      <w:r w:rsidR="004A5AF5" w:rsidRPr="007728EC">
        <w:rPr>
          <w:rFonts w:cs="Arial"/>
          <w:bCs/>
          <w:sz w:val="21"/>
          <w:szCs w:val="21"/>
        </w:rPr>
        <w:t xml:space="preserve">The </w:t>
      </w:r>
      <w:r w:rsidR="00573FF9" w:rsidRPr="007728EC">
        <w:rPr>
          <w:rFonts w:cs="Arial"/>
          <w:bCs/>
          <w:sz w:val="21"/>
          <w:szCs w:val="21"/>
        </w:rPr>
        <w:t xml:space="preserve">reasons for the order </w:t>
      </w:r>
      <w:r w:rsidR="00A63709" w:rsidRPr="007728EC">
        <w:rPr>
          <w:rFonts w:cs="Arial"/>
          <w:bCs/>
          <w:sz w:val="21"/>
          <w:szCs w:val="21"/>
        </w:rPr>
        <w:t>follow</w:t>
      </w:r>
      <w:r w:rsidR="00573FF9" w:rsidRPr="007728EC">
        <w:rPr>
          <w:rFonts w:cs="Arial"/>
          <w:bCs/>
          <w:sz w:val="21"/>
          <w:szCs w:val="21"/>
        </w:rPr>
        <w:t xml:space="preserve"> below.</w:t>
      </w:r>
    </w:p>
    <w:p w14:paraId="037F1A01" w14:textId="77777777" w:rsidR="00A444DD" w:rsidRPr="008E2A22" w:rsidRDefault="00A444DD" w:rsidP="00C74E97">
      <w:pPr>
        <w:keepNext/>
        <w:widowControl w:val="0"/>
        <w:spacing w:before="480" w:after="480" w:line="360" w:lineRule="auto"/>
        <w:jc w:val="both"/>
        <w:rPr>
          <w:rFonts w:cs="Arial"/>
          <w:bCs/>
          <w:sz w:val="21"/>
          <w:szCs w:val="21"/>
          <w:u w:val="single"/>
        </w:rPr>
      </w:pPr>
    </w:p>
    <w:p w14:paraId="3658C913" w14:textId="6056F843" w:rsidR="00573FF9" w:rsidRPr="008E2A22" w:rsidRDefault="00D9086C" w:rsidP="00C74E97">
      <w:pPr>
        <w:keepNext/>
        <w:widowControl w:val="0"/>
        <w:spacing w:before="480" w:after="480" w:line="360" w:lineRule="auto"/>
        <w:jc w:val="both"/>
        <w:rPr>
          <w:rFonts w:cs="Arial"/>
          <w:bCs/>
          <w:sz w:val="21"/>
          <w:szCs w:val="21"/>
          <w:u w:val="single"/>
        </w:rPr>
      </w:pPr>
      <w:r w:rsidRPr="008E2A22">
        <w:rPr>
          <w:rFonts w:cs="Arial"/>
          <w:bCs/>
          <w:sz w:val="21"/>
          <w:szCs w:val="21"/>
          <w:u w:val="single"/>
        </w:rPr>
        <w:t>Introduction</w:t>
      </w:r>
    </w:p>
    <w:p w14:paraId="3CFB7BB7" w14:textId="57AD13C5" w:rsidR="008442F2"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[3]</w:t>
      </w:r>
      <w:r w:rsidRPr="008E2A22">
        <w:rPr>
          <w:rFonts w:cs="Arial"/>
          <w:bCs/>
          <w:sz w:val="21"/>
          <w:szCs w:val="21"/>
        </w:rPr>
        <w:tab/>
      </w:r>
      <w:r w:rsidR="004A5AF5" w:rsidRPr="008E2A22">
        <w:rPr>
          <w:rFonts w:cs="Arial"/>
          <w:bCs/>
          <w:sz w:val="21"/>
          <w:szCs w:val="21"/>
        </w:rPr>
        <w:t xml:space="preserve">This </w:t>
      </w:r>
      <w:r w:rsidR="00D33A54" w:rsidRPr="008E2A22">
        <w:rPr>
          <w:rFonts w:cs="Arial"/>
          <w:bCs/>
          <w:sz w:val="21"/>
          <w:szCs w:val="21"/>
        </w:rPr>
        <w:t>is an application for the</w:t>
      </w:r>
      <w:r w:rsidR="004A10CD" w:rsidRPr="008E2A22">
        <w:rPr>
          <w:rFonts w:cs="Arial"/>
          <w:bCs/>
          <w:sz w:val="21"/>
          <w:szCs w:val="21"/>
        </w:rPr>
        <w:t xml:space="preserve"> rescission </w:t>
      </w:r>
      <w:r w:rsidR="00D33A54" w:rsidRPr="008E2A22">
        <w:rPr>
          <w:rFonts w:cs="Arial"/>
          <w:bCs/>
          <w:sz w:val="21"/>
          <w:szCs w:val="21"/>
        </w:rPr>
        <w:t xml:space="preserve">of </w:t>
      </w:r>
      <w:r w:rsidR="004A10CD" w:rsidRPr="008E2A22">
        <w:rPr>
          <w:rFonts w:cs="Arial"/>
          <w:bCs/>
          <w:sz w:val="21"/>
          <w:szCs w:val="21"/>
        </w:rPr>
        <w:t xml:space="preserve">a </w:t>
      </w:r>
      <w:r w:rsidR="00D33A54" w:rsidRPr="008E2A22">
        <w:rPr>
          <w:rFonts w:cs="Arial"/>
          <w:bCs/>
          <w:sz w:val="21"/>
          <w:szCs w:val="21"/>
        </w:rPr>
        <w:t>judgement</w:t>
      </w:r>
      <w:r w:rsidR="004A10CD" w:rsidRPr="008E2A22">
        <w:rPr>
          <w:rFonts w:cs="Arial"/>
          <w:bCs/>
          <w:sz w:val="21"/>
          <w:szCs w:val="21"/>
        </w:rPr>
        <w:t xml:space="preserve"> granted by the registrar of this </w:t>
      </w:r>
      <w:r w:rsidR="000C7E41" w:rsidRPr="008E2A22">
        <w:rPr>
          <w:rFonts w:cs="Arial"/>
          <w:bCs/>
          <w:sz w:val="21"/>
          <w:szCs w:val="21"/>
        </w:rPr>
        <w:t xml:space="preserve">Court </w:t>
      </w:r>
      <w:r w:rsidR="004A10CD" w:rsidRPr="008E2A22">
        <w:rPr>
          <w:rFonts w:cs="Arial"/>
          <w:bCs/>
          <w:sz w:val="21"/>
          <w:szCs w:val="21"/>
        </w:rPr>
        <w:t>on 6 July 2022. The applicant relies</w:t>
      </w:r>
      <w:r w:rsidR="008442F2" w:rsidRPr="008E2A22">
        <w:rPr>
          <w:rFonts w:cs="Arial"/>
          <w:bCs/>
          <w:sz w:val="21"/>
          <w:szCs w:val="21"/>
        </w:rPr>
        <w:t>, erroneously,</w:t>
      </w:r>
      <w:r w:rsidR="004A10CD" w:rsidRPr="008E2A22">
        <w:rPr>
          <w:rFonts w:cs="Arial"/>
          <w:bCs/>
          <w:sz w:val="21"/>
          <w:szCs w:val="21"/>
        </w:rPr>
        <w:t xml:space="preserve"> on uniform rule 31(2)(b), alternatively on rule 42, and further alternatively on the common law. </w:t>
      </w:r>
    </w:p>
    <w:p w14:paraId="27BE853B" w14:textId="2E99A71F" w:rsidR="000C7E41"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[4]</w:t>
      </w:r>
      <w:r w:rsidRPr="008E2A22">
        <w:rPr>
          <w:rFonts w:cs="Arial"/>
          <w:bCs/>
          <w:sz w:val="21"/>
          <w:szCs w:val="21"/>
        </w:rPr>
        <w:tab/>
      </w:r>
      <w:r w:rsidR="008442F2" w:rsidRPr="008E2A22">
        <w:rPr>
          <w:rFonts w:cs="Arial"/>
          <w:bCs/>
          <w:sz w:val="21"/>
          <w:szCs w:val="21"/>
        </w:rPr>
        <w:t xml:space="preserve">The judgement </w:t>
      </w:r>
      <w:r w:rsidR="006D23FB" w:rsidRPr="008E2A22">
        <w:rPr>
          <w:rFonts w:cs="Arial"/>
          <w:bCs/>
          <w:sz w:val="21"/>
          <w:szCs w:val="21"/>
        </w:rPr>
        <w:t>sought to be</w:t>
      </w:r>
      <w:r w:rsidR="00C16C1D" w:rsidRPr="008E2A22">
        <w:rPr>
          <w:rFonts w:cs="Arial"/>
          <w:bCs/>
          <w:sz w:val="21"/>
          <w:szCs w:val="21"/>
        </w:rPr>
        <w:t xml:space="preserve"> </w:t>
      </w:r>
      <w:r w:rsidR="006D23FB" w:rsidRPr="008E2A22">
        <w:rPr>
          <w:rFonts w:cs="Arial"/>
          <w:bCs/>
          <w:sz w:val="21"/>
          <w:szCs w:val="21"/>
        </w:rPr>
        <w:t>rescinded</w:t>
      </w:r>
      <w:r w:rsidR="008442F2" w:rsidRPr="008E2A22">
        <w:rPr>
          <w:rFonts w:cs="Arial"/>
          <w:bCs/>
          <w:sz w:val="21"/>
          <w:szCs w:val="21"/>
        </w:rPr>
        <w:t xml:space="preserve"> was granted by the registrar and the application</w:t>
      </w:r>
      <w:r w:rsidR="004A5AF5" w:rsidRPr="008E2A22">
        <w:rPr>
          <w:rFonts w:cs="Arial"/>
          <w:bCs/>
          <w:sz w:val="21"/>
          <w:szCs w:val="21"/>
        </w:rPr>
        <w:t xml:space="preserve"> should be made </w:t>
      </w:r>
      <w:r w:rsidR="008442F2" w:rsidRPr="008E2A22">
        <w:rPr>
          <w:rFonts w:cs="Arial"/>
          <w:bCs/>
          <w:sz w:val="21"/>
          <w:szCs w:val="21"/>
        </w:rPr>
        <w:t>under rule 31(5)(d)</w:t>
      </w:r>
      <w:r w:rsidR="000C7E41" w:rsidRPr="008E2A22">
        <w:rPr>
          <w:rFonts w:cs="Arial"/>
          <w:bCs/>
          <w:sz w:val="21"/>
          <w:szCs w:val="21"/>
        </w:rPr>
        <w:t>. The rule</w:t>
      </w:r>
      <w:r w:rsidR="008442F2" w:rsidRPr="008E2A22">
        <w:rPr>
          <w:rFonts w:cs="Arial"/>
          <w:bCs/>
          <w:sz w:val="21"/>
          <w:szCs w:val="21"/>
        </w:rPr>
        <w:t xml:space="preserve"> provides that a party dissatisfied by the judgement may set the matter down for reconsideration by the court.</w:t>
      </w:r>
      <w:r w:rsidR="00615ED4" w:rsidRPr="008E2A22">
        <w:rPr>
          <w:rFonts w:cs="Arial"/>
          <w:bCs/>
          <w:sz w:val="21"/>
          <w:szCs w:val="21"/>
        </w:rPr>
        <w:t xml:space="preserve"> Nothing turns on the reference to the incorrect rule as the requirements of good cause apply in applications under rule 31(5)(d) </w:t>
      </w:r>
      <w:r w:rsidR="000C7E41" w:rsidRPr="008E2A22">
        <w:rPr>
          <w:rFonts w:cs="Arial"/>
          <w:bCs/>
          <w:sz w:val="21"/>
          <w:szCs w:val="21"/>
        </w:rPr>
        <w:t xml:space="preserve">just </w:t>
      </w:r>
      <w:r w:rsidR="00615ED4" w:rsidRPr="008E2A22">
        <w:rPr>
          <w:rFonts w:cs="Arial"/>
          <w:bCs/>
          <w:sz w:val="21"/>
          <w:szCs w:val="21"/>
        </w:rPr>
        <w:t>as they apply in applications under rule 31(2)(b) and the common law.</w:t>
      </w:r>
      <w:r w:rsidR="00F967E1" w:rsidRPr="008E2A22">
        <w:rPr>
          <w:rFonts w:cs="Arial"/>
          <w:bCs/>
          <w:sz w:val="21"/>
          <w:szCs w:val="21"/>
        </w:rPr>
        <w:t xml:space="preserve"> </w:t>
      </w:r>
    </w:p>
    <w:p w14:paraId="457AA447" w14:textId="1682EEF9" w:rsidR="008442F2" w:rsidRPr="008E2A22" w:rsidRDefault="00F967E1" w:rsidP="000C7E41">
      <w:pPr>
        <w:widowControl w:val="0"/>
        <w:spacing w:before="480" w:after="480" w:line="360" w:lineRule="auto"/>
        <w:jc w:val="both"/>
        <w:rPr>
          <w:rFonts w:cs="Arial"/>
          <w:bCs/>
          <w:sz w:val="21"/>
          <w:szCs w:val="21"/>
        </w:rPr>
      </w:pPr>
      <w:r w:rsidRPr="008E2A22">
        <w:rPr>
          <w:rFonts w:cs="Arial"/>
          <w:bCs/>
          <w:sz w:val="21"/>
          <w:szCs w:val="21"/>
        </w:rPr>
        <w:lastRenderedPageBreak/>
        <w:t>The same twenty</w:t>
      </w:r>
      <w:r w:rsidR="00FF5A86" w:rsidRPr="008E2A22">
        <w:rPr>
          <w:rFonts w:cs="Arial"/>
          <w:bCs/>
          <w:sz w:val="21"/>
          <w:szCs w:val="21"/>
        </w:rPr>
        <w:t>-</w:t>
      </w:r>
      <w:r w:rsidRPr="008E2A22">
        <w:rPr>
          <w:rFonts w:cs="Arial"/>
          <w:bCs/>
          <w:sz w:val="21"/>
          <w:szCs w:val="21"/>
        </w:rPr>
        <w:t>day period applies</w:t>
      </w:r>
      <w:r w:rsidRPr="008E2A22">
        <w:rPr>
          <w:rStyle w:val="FootnoteReference"/>
          <w:rFonts w:cs="Arial"/>
          <w:bCs/>
          <w:sz w:val="21"/>
          <w:szCs w:val="21"/>
        </w:rPr>
        <w:footnoteReference w:id="1"/>
      </w:r>
      <w:r w:rsidR="00B1182B" w:rsidRPr="008E2A22">
        <w:rPr>
          <w:rFonts w:cs="Arial"/>
          <w:bCs/>
          <w:sz w:val="21"/>
          <w:szCs w:val="21"/>
        </w:rPr>
        <w:t xml:space="preserve"> to rule 31(2)(b) and 5(d) while under the common law the application must be brought within a reasonable time.</w:t>
      </w:r>
    </w:p>
    <w:p w14:paraId="6980E3DB" w14:textId="6E1ECC89" w:rsidR="00FF5A86"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[5]</w:t>
      </w:r>
      <w:r w:rsidRPr="008E2A22">
        <w:rPr>
          <w:rFonts w:cs="Arial"/>
          <w:bCs/>
          <w:sz w:val="21"/>
          <w:szCs w:val="21"/>
        </w:rPr>
        <w:tab/>
      </w:r>
      <w:r w:rsidR="00B1182B" w:rsidRPr="008E2A22">
        <w:rPr>
          <w:rFonts w:cs="Arial"/>
          <w:bCs/>
          <w:sz w:val="21"/>
          <w:szCs w:val="21"/>
        </w:rPr>
        <w:t>The courts have refrained from an exhaustive definition of good cause as any such definition might hamper the discretion of the court.</w:t>
      </w:r>
      <w:r w:rsidR="00B1182B" w:rsidRPr="008E2A22">
        <w:rPr>
          <w:rStyle w:val="FootnoteReference"/>
          <w:rFonts w:cs="Arial"/>
          <w:bCs/>
          <w:sz w:val="21"/>
          <w:szCs w:val="21"/>
        </w:rPr>
        <w:footnoteReference w:id="2"/>
      </w:r>
      <w:r w:rsidR="00B1182B" w:rsidRPr="008E2A22">
        <w:rPr>
          <w:rFonts w:cs="Arial"/>
          <w:bCs/>
          <w:sz w:val="21"/>
          <w:szCs w:val="21"/>
        </w:rPr>
        <w:t xml:space="preserve"> The court will </w:t>
      </w:r>
      <w:r w:rsidR="00FF5A86" w:rsidRPr="008E2A22">
        <w:rPr>
          <w:rFonts w:cs="Arial"/>
          <w:bCs/>
          <w:sz w:val="21"/>
          <w:szCs w:val="21"/>
        </w:rPr>
        <w:t xml:space="preserve">however </w:t>
      </w:r>
      <w:r w:rsidR="00B1182B" w:rsidRPr="008E2A22">
        <w:rPr>
          <w:rFonts w:cs="Arial"/>
          <w:bCs/>
          <w:sz w:val="21"/>
          <w:szCs w:val="21"/>
        </w:rPr>
        <w:t>not come to the assistance of an applicant who was in wilful default or was grossly negligent</w:t>
      </w:r>
      <w:r w:rsidR="000C7E41" w:rsidRPr="008E2A22">
        <w:rPr>
          <w:rFonts w:cs="Arial"/>
          <w:bCs/>
          <w:sz w:val="21"/>
          <w:szCs w:val="21"/>
        </w:rPr>
        <w:t>:</w:t>
      </w:r>
      <w:r w:rsidR="00B1182B" w:rsidRPr="008E2A22">
        <w:rPr>
          <w:rFonts w:cs="Arial"/>
          <w:bCs/>
          <w:sz w:val="21"/>
          <w:szCs w:val="21"/>
        </w:rPr>
        <w:t xml:space="preserve"> The </w:t>
      </w:r>
      <w:r w:rsidR="00E949F8" w:rsidRPr="008E2A22">
        <w:rPr>
          <w:rFonts w:cs="Arial"/>
          <w:bCs/>
          <w:sz w:val="21"/>
          <w:szCs w:val="21"/>
        </w:rPr>
        <w:t>a</w:t>
      </w:r>
      <w:r w:rsidR="00B1182B" w:rsidRPr="008E2A22">
        <w:rPr>
          <w:rFonts w:cs="Arial"/>
          <w:bCs/>
          <w:sz w:val="21"/>
          <w:szCs w:val="21"/>
        </w:rPr>
        <w:t>pplicant must not merely seek to delay the claim of the plaintiff but must be acting in good faith.</w:t>
      </w:r>
      <w:r w:rsidR="00E949F8" w:rsidRPr="008E2A22">
        <w:rPr>
          <w:rFonts w:cs="Arial"/>
          <w:bCs/>
          <w:sz w:val="21"/>
          <w:szCs w:val="21"/>
        </w:rPr>
        <w:t xml:space="preserve">  </w:t>
      </w:r>
    </w:p>
    <w:p w14:paraId="518E5DC9" w14:textId="7197F855" w:rsidR="00B1182B"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[6]</w:t>
      </w:r>
      <w:r w:rsidRPr="008E2A22">
        <w:rPr>
          <w:rFonts w:cs="Arial"/>
          <w:bCs/>
          <w:sz w:val="21"/>
          <w:szCs w:val="21"/>
        </w:rPr>
        <w:tab/>
      </w:r>
      <w:r w:rsidR="00FF5A86" w:rsidRPr="008E2A22">
        <w:rPr>
          <w:rFonts w:cs="Arial"/>
          <w:bCs/>
          <w:sz w:val="21"/>
          <w:szCs w:val="21"/>
        </w:rPr>
        <w:t>Good faith</w:t>
      </w:r>
      <w:r w:rsidR="00E949F8" w:rsidRPr="008E2A22">
        <w:rPr>
          <w:rFonts w:cs="Arial"/>
          <w:bCs/>
          <w:sz w:val="21"/>
          <w:szCs w:val="21"/>
        </w:rPr>
        <w:t xml:space="preserve"> requires </w:t>
      </w:r>
      <w:r w:rsidR="00B1182B" w:rsidRPr="008E2A22">
        <w:rPr>
          <w:rFonts w:cs="Arial"/>
          <w:bCs/>
          <w:sz w:val="21"/>
          <w:szCs w:val="21"/>
        </w:rPr>
        <w:t xml:space="preserve">a reasonable explanation for the delay </w:t>
      </w:r>
      <w:r w:rsidR="00C16C1D" w:rsidRPr="008E2A22">
        <w:rPr>
          <w:rFonts w:cs="Arial"/>
          <w:bCs/>
          <w:sz w:val="21"/>
          <w:szCs w:val="21"/>
        </w:rPr>
        <w:t xml:space="preserve">or the failure to respond to a summons or application, </w:t>
      </w:r>
      <w:r w:rsidR="00B1182B" w:rsidRPr="008E2A22">
        <w:rPr>
          <w:rFonts w:cs="Arial"/>
          <w:bCs/>
          <w:sz w:val="21"/>
          <w:szCs w:val="21"/>
        </w:rPr>
        <w:t xml:space="preserve">and a </w:t>
      </w:r>
      <w:r w:rsidR="00B1182B" w:rsidRPr="008E2A22">
        <w:rPr>
          <w:rFonts w:cs="Arial"/>
          <w:bCs/>
          <w:i/>
          <w:iCs/>
          <w:sz w:val="21"/>
          <w:szCs w:val="21"/>
        </w:rPr>
        <w:t>bona fide</w:t>
      </w:r>
      <w:r w:rsidR="00B1182B" w:rsidRPr="008E2A22">
        <w:rPr>
          <w:rFonts w:cs="Arial"/>
          <w:bCs/>
          <w:sz w:val="21"/>
          <w:szCs w:val="21"/>
        </w:rPr>
        <w:t xml:space="preserve"> defence. Granting a rescission when the applicant has no defence to the plaintiff’s claim would be an exercise in futility and would merely delay the claim of the plaintiff</w:t>
      </w:r>
      <w:r w:rsidR="000C7E41" w:rsidRPr="008E2A22">
        <w:rPr>
          <w:rFonts w:cs="Arial"/>
          <w:bCs/>
          <w:sz w:val="21"/>
          <w:szCs w:val="21"/>
        </w:rPr>
        <w:t xml:space="preserve"> and the application would not be</w:t>
      </w:r>
      <w:r w:rsidR="000C7E41" w:rsidRPr="008E2A22">
        <w:rPr>
          <w:rFonts w:cs="Arial"/>
          <w:bCs/>
          <w:i/>
          <w:iCs/>
          <w:sz w:val="21"/>
          <w:szCs w:val="21"/>
        </w:rPr>
        <w:t xml:space="preserve"> bona fide</w:t>
      </w:r>
      <w:r w:rsidR="00B1182B" w:rsidRPr="008E2A22">
        <w:rPr>
          <w:rFonts w:cs="Arial"/>
          <w:bCs/>
          <w:sz w:val="21"/>
          <w:szCs w:val="21"/>
        </w:rPr>
        <w:t>.</w:t>
      </w:r>
    </w:p>
    <w:p w14:paraId="1B11EE85" w14:textId="37451DE0" w:rsidR="004A5AF5"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[7]</w:t>
      </w:r>
      <w:r w:rsidRPr="008E2A22">
        <w:rPr>
          <w:rFonts w:cs="Arial"/>
          <w:bCs/>
          <w:sz w:val="21"/>
          <w:szCs w:val="21"/>
        </w:rPr>
        <w:tab/>
      </w:r>
      <w:r w:rsidR="004A5AF5" w:rsidRPr="008E2A22">
        <w:rPr>
          <w:rFonts w:cs="Arial"/>
          <w:bCs/>
          <w:sz w:val="21"/>
          <w:szCs w:val="21"/>
        </w:rPr>
        <w:t xml:space="preserve">The applicant did not file a replying affidavit in response to the respondent’s answering affidavit and </w:t>
      </w:r>
      <w:r w:rsidR="000C7E41" w:rsidRPr="008E2A22">
        <w:rPr>
          <w:rFonts w:cs="Arial"/>
          <w:bCs/>
          <w:sz w:val="21"/>
          <w:szCs w:val="21"/>
        </w:rPr>
        <w:t xml:space="preserve">the </w:t>
      </w:r>
      <w:r w:rsidR="004A5AF5" w:rsidRPr="008E2A22">
        <w:rPr>
          <w:rFonts w:cs="Arial"/>
          <w:bCs/>
          <w:sz w:val="21"/>
          <w:szCs w:val="21"/>
        </w:rPr>
        <w:t>averments made in the answering affidavit are not challenged</w:t>
      </w:r>
      <w:r w:rsidR="006D23FB" w:rsidRPr="008E2A22">
        <w:rPr>
          <w:rFonts w:cs="Arial"/>
          <w:bCs/>
          <w:sz w:val="21"/>
          <w:szCs w:val="21"/>
        </w:rPr>
        <w:t>.</w:t>
      </w:r>
    </w:p>
    <w:p w14:paraId="4840D6A3" w14:textId="77777777" w:rsidR="00F967E1" w:rsidRPr="008E2A22" w:rsidRDefault="00F967E1" w:rsidP="00F967E1">
      <w:pPr>
        <w:widowControl w:val="0"/>
        <w:spacing w:before="480" w:after="480" w:line="360" w:lineRule="auto"/>
        <w:jc w:val="both"/>
        <w:rPr>
          <w:rFonts w:cs="Arial"/>
          <w:bCs/>
          <w:sz w:val="21"/>
          <w:szCs w:val="21"/>
          <w:u w:val="single"/>
        </w:rPr>
      </w:pPr>
    </w:p>
    <w:p w14:paraId="29FF6DE5" w14:textId="3608D850" w:rsidR="00F967E1" w:rsidRPr="008E2A22" w:rsidRDefault="00F967E1" w:rsidP="00F967E1">
      <w:pPr>
        <w:widowControl w:val="0"/>
        <w:spacing w:before="480" w:after="480" w:line="360" w:lineRule="auto"/>
        <w:jc w:val="both"/>
        <w:rPr>
          <w:rFonts w:cs="Arial"/>
          <w:bCs/>
          <w:sz w:val="21"/>
          <w:szCs w:val="21"/>
          <w:u w:val="single"/>
        </w:rPr>
      </w:pPr>
      <w:r w:rsidRPr="008E2A22">
        <w:rPr>
          <w:rFonts w:cs="Arial"/>
          <w:bCs/>
          <w:sz w:val="21"/>
          <w:szCs w:val="21"/>
          <w:u w:val="single"/>
        </w:rPr>
        <w:t>The applicant’s condonation application</w:t>
      </w:r>
      <w:r w:rsidR="00C16C1D" w:rsidRPr="008E2A22">
        <w:rPr>
          <w:rFonts w:cs="Arial"/>
          <w:bCs/>
          <w:sz w:val="21"/>
          <w:szCs w:val="21"/>
          <w:u w:val="single"/>
        </w:rPr>
        <w:t>: The explanation for the delay</w:t>
      </w:r>
    </w:p>
    <w:p w14:paraId="06F89E25" w14:textId="525C3AB5" w:rsidR="000C7E41"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[8]</w:t>
      </w:r>
      <w:r w:rsidRPr="008E2A22">
        <w:rPr>
          <w:rFonts w:cs="Arial"/>
          <w:bCs/>
          <w:sz w:val="21"/>
          <w:szCs w:val="21"/>
        </w:rPr>
        <w:tab/>
      </w:r>
      <w:r w:rsidR="00F967E1" w:rsidRPr="008E2A22">
        <w:rPr>
          <w:rFonts w:cs="Arial"/>
          <w:bCs/>
          <w:sz w:val="21"/>
          <w:szCs w:val="21"/>
        </w:rPr>
        <w:t xml:space="preserve">The applicant did not file his application within 20 days </w:t>
      </w:r>
      <w:r w:rsidR="00EE50EE" w:rsidRPr="008E2A22">
        <w:rPr>
          <w:rFonts w:cs="Arial"/>
          <w:bCs/>
          <w:sz w:val="21"/>
          <w:szCs w:val="21"/>
        </w:rPr>
        <w:t xml:space="preserve">from becoming aware of the judgment </w:t>
      </w:r>
      <w:r w:rsidR="00F967E1" w:rsidRPr="008E2A22">
        <w:rPr>
          <w:rFonts w:cs="Arial"/>
          <w:bCs/>
          <w:sz w:val="21"/>
          <w:szCs w:val="21"/>
        </w:rPr>
        <w:t xml:space="preserve">and seeks condonation for the late filing. </w:t>
      </w:r>
      <w:r w:rsidR="004A5AF5" w:rsidRPr="008E2A22">
        <w:rPr>
          <w:rFonts w:cs="Arial"/>
          <w:bCs/>
          <w:sz w:val="21"/>
          <w:szCs w:val="21"/>
        </w:rPr>
        <w:t xml:space="preserve">The applicant became aware of the default judgement on 15 July 2022. </w:t>
      </w:r>
      <w:r w:rsidR="00EC00AF" w:rsidRPr="008E2A22">
        <w:rPr>
          <w:rFonts w:cs="Arial"/>
          <w:bCs/>
          <w:sz w:val="21"/>
          <w:szCs w:val="21"/>
        </w:rPr>
        <w:t xml:space="preserve">The application therefore ought to have been launched by </w:t>
      </w:r>
      <w:r w:rsidR="006D23FB" w:rsidRPr="008E2A22">
        <w:rPr>
          <w:rFonts w:cs="Arial"/>
          <w:bCs/>
          <w:sz w:val="21"/>
          <w:szCs w:val="21"/>
        </w:rPr>
        <w:t>mid-</w:t>
      </w:r>
      <w:r w:rsidR="00EC00AF" w:rsidRPr="008E2A22">
        <w:rPr>
          <w:rFonts w:cs="Arial"/>
          <w:bCs/>
          <w:sz w:val="21"/>
          <w:szCs w:val="21"/>
        </w:rPr>
        <w:t xml:space="preserve">August 2022. The application was served on 19 December 2022, four months later. </w:t>
      </w:r>
    </w:p>
    <w:p w14:paraId="0E3A98E8" w14:textId="6C60A30E" w:rsidR="000C7E41"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[9]</w:t>
      </w:r>
      <w:r w:rsidRPr="008E2A22">
        <w:rPr>
          <w:rFonts w:cs="Arial"/>
          <w:bCs/>
          <w:sz w:val="21"/>
          <w:szCs w:val="21"/>
        </w:rPr>
        <w:tab/>
      </w:r>
      <w:r w:rsidR="00F967E1" w:rsidRPr="008E2A22">
        <w:rPr>
          <w:rFonts w:cs="Arial"/>
          <w:bCs/>
          <w:sz w:val="21"/>
          <w:szCs w:val="21"/>
        </w:rPr>
        <w:t xml:space="preserve">In the founding affidavit the applicant states that after becoming aware of the </w:t>
      </w:r>
      <w:r w:rsidR="0040197A" w:rsidRPr="008E2A22">
        <w:rPr>
          <w:rFonts w:cs="Arial"/>
          <w:bCs/>
          <w:sz w:val="21"/>
          <w:szCs w:val="21"/>
        </w:rPr>
        <w:t>judgment</w:t>
      </w:r>
      <w:r w:rsidR="00F967E1" w:rsidRPr="008E2A22">
        <w:rPr>
          <w:rFonts w:cs="Arial"/>
          <w:bCs/>
          <w:sz w:val="21"/>
          <w:szCs w:val="21"/>
        </w:rPr>
        <w:t xml:space="preserve"> in July 2022</w:t>
      </w:r>
      <w:r w:rsidR="00BB1DC5" w:rsidRPr="008E2A22">
        <w:rPr>
          <w:rFonts w:cs="Arial"/>
          <w:bCs/>
          <w:sz w:val="21"/>
          <w:szCs w:val="21"/>
        </w:rPr>
        <w:t xml:space="preserve"> </w:t>
      </w:r>
      <w:r w:rsidR="00F967E1" w:rsidRPr="008E2A22">
        <w:rPr>
          <w:rFonts w:cs="Arial"/>
          <w:bCs/>
          <w:sz w:val="21"/>
          <w:szCs w:val="21"/>
        </w:rPr>
        <w:t xml:space="preserve">he tried to </w:t>
      </w:r>
      <w:r w:rsidR="00BB1DC5" w:rsidRPr="008E2A22">
        <w:rPr>
          <w:rFonts w:cs="Arial"/>
          <w:bCs/>
          <w:sz w:val="21"/>
          <w:szCs w:val="21"/>
        </w:rPr>
        <w:t xml:space="preserve">settle the dispute and for this reason he did not apply for a rescission. These negotiations broke down. </w:t>
      </w:r>
    </w:p>
    <w:p w14:paraId="0279D67C" w14:textId="36B1AB03" w:rsidR="00BB1DC5" w:rsidRPr="008E2A22" w:rsidRDefault="00BB1DC5" w:rsidP="000C7E41">
      <w:pPr>
        <w:widowControl w:val="0"/>
        <w:spacing w:before="480" w:after="480" w:line="360" w:lineRule="auto"/>
        <w:jc w:val="both"/>
        <w:rPr>
          <w:rFonts w:cs="Arial"/>
          <w:bCs/>
          <w:sz w:val="21"/>
          <w:szCs w:val="21"/>
        </w:rPr>
      </w:pPr>
      <w:r w:rsidRPr="008E2A22">
        <w:rPr>
          <w:rFonts w:cs="Arial"/>
          <w:bCs/>
          <w:sz w:val="21"/>
          <w:szCs w:val="21"/>
        </w:rPr>
        <w:t xml:space="preserve">The applicant provides no details about these negotiations and settlement attempts, and the respondent denies that there were settlement negotiations other than </w:t>
      </w:r>
      <w:r w:rsidR="00C16C1D" w:rsidRPr="008E2A22">
        <w:rPr>
          <w:rFonts w:cs="Arial"/>
          <w:bCs/>
          <w:sz w:val="21"/>
          <w:szCs w:val="21"/>
        </w:rPr>
        <w:t>a</w:t>
      </w:r>
      <w:r w:rsidRPr="008E2A22">
        <w:rPr>
          <w:rFonts w:cs="Arial"/>
          <w:bCs/>
          <w:sz w:val="21"/>
          <w:szCs w:val="21"/>
        </w:rPr>
        <w:t xml:space="preserve"> settlement offer</w:t>
      </w:r>
      <w:r w:rsidR="00FF5A86" w:rsidRPr="008E2A22">
        <w:rPr>
          <w:rFonts w:cs="Arial"/>
          <w:bCs/>
          <w:sz w:val="21"/>
          <w:szCs w:val="21"/>
        </w:rPr>
        <w:t xml:space="preserve"> and counter offer</w:t>
      </w:r>
      <w:r w:rsidRPr="008E2A22">
        <w:rPr>
          <w:rFonts w:cs="Arial"/>
          <w:bCs/>
          <w:sz w:val="21"/>
          <w:szCs w:val="21"/>
        </w:rPr>
        <w:t xml:space="preserve"> made </w:t>
      </w:r>
      <w:r w:rsidR="004B3A47" w:rsidRPr="008E2A22">
        <w:rPr>
          <w:rFonts w:cs="Arial"/>
          <w:bCs/>
          <w:sz w:val="21"/>
          <w:szCs w:val="21"/>
        </w:rPr>
        <w:t xml:space="preserve">and rejected in writing </w:t>
      </w:r>
      <w:r w:rsidRPr="008E2A22">
        <w:rPr>
          <w:rFonts w:cs="Arial"/>
          <w:bCs/>
          <w:sz w:val="21"/>
          <w:szCs w:val="21"/>
        </w:rPr>
        <w:t>on 11 August 2022</w:t>
      </w:r>
      <w:r w:rsidR="00C16C1D" w:rsidRPr="008E2A22">
        <w:rPr>
          <w:rFonts w:cs="Arial"/>
          <w:bCs/>
          <w:sz w:val="21"/>
          <w:szCs w:val="21"/>
        </w:rPr>
        <w:t>.</w:t>
      </w:r>
      <w:r w:rsidR="00C16519" w:rsidRPr="008E2A22">
        <w:rPr>
          <w:rFonts w:cs="Arial"/>
          <w:bCs/>
          <w:sz w:val="21"/>
          <w:szCs w:val="21"/>
        </w:rPr>
        <w:t xml:space="preserve"> </w:t>
      </w:r>
      <w:r w:rsidR="00FF5A86" w:rsidRPr="008E2A22">
        <w:rPr>
          <w:rFonts w:cs="Arial"/>
          <w:bCs/>
          <w:sz w:val="21"/>
          <w:szCs w:val="21"/>
        </w:rPr>
        <w:t xml:space="preserve">On the same day the applicant </w:t>
      </w:r>
      <w:r w:rsidR="00FF5A86" w:rsidRPr="008E2A22">
        <w:rPr>
          <w:rFonts w:cs="Arial"/>
          <w:bCs/>
          <w:sz w:val="21"/>
          <w:szCs w:val="21"/>
        </w:rPr>
        <w:lastRenderedPageBreak/>
        <w:t xml:space="preserve">intimated that he would apply for rescission of the default judgment. </w:t>
      </w:r>
    </w:p>
    <w:p w14:paraId="51C8A893" w14:textId="15C97380" w:rsidR="004D3FD6"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[10]</w:t>
      </w:r>
      <w:r w:rsidRPr="008E2A22">
        <w:rPr>
          <w:rFonts w:cs="Arial"/>
          <w:bCs/>
          <w:sz w:val="21"/>
          <w:szCs w:val="21"/>
        </w:rPr>
        <w:tab/>
      </w:r>
      <w:r w:rsidR="006A5A46" w:rsidRPr="008E2A22">
        <w:rPr>
          <w:rFonts w:cs="Arial"/>
          <w:bCs/>
          <w:sz w:val="21"/>
          <w:szCs w:val="21"/>
        </w:rPr>
        <w:t>A party seeking condonation for a delay</w:t>
      </w:r>
      <w:r w:rsidR="00EC00AF" w:rsidRPr="008E2A22">
        <w:rPr>
          <w:rFonts w:cs="Arial"/>
          <w:bCs/>
          <w:sz w:val="21"/>
          <w:szCs w:val="21"/>
        </w:rPr>
        <w:t xml:space="preserve"> </w:t>
      </w:r>
      <w:r w:rsidR="000C7E41" w:rsidRPr="008E2A22">
        <w:rPr>
          <w:rFonts w:cs="Arial"/>
          <w:bCs/>
          <w:sz w:val="21"/>
          <w:szCs w:val="21"/>
        </w:rPr>
        <w:t>is required to</w:t>
      </w:r>
      <w:r w:rsidR="00EC00AF" w:rsidRPr="008E2A22">
        <w:rPr>
          <w:rFonts w:cs="Arial"/>
          <w:bCs/>
          <w:sz w:val="21"/>
          <w:szCs w:val="21"/>
        </w:rPr>
        <w:t xml:space="preserve"> give a full explanation covering the whole period of the delay.</w:t>
      </w:r>
      <w:r w:rsidR="00EC00AF" w:rsidRPr="008E2A22">
        <w:rPr>
          <w:rStyle w:val="FootnoteReference"/>
          <w:rFonts w:cs="Arial"/>
          <w:bCs/>
          <w:sz w:val="21"/>
          <w:szCs w:val="21"/>
        </w:rPr>
        <w:footnoteReference w:id="3"/>
      </w:r>
      <w:r w:rsidR="00EE50EE" w:rsidRPr="008E2A22">
        <w:rPr>
          <w:rFonts w:cs="Arial"/>
          <w:bCs/>
          <w:sz w:val="21"/>
          <w:szCs w:val="21"/>
        </w:rPr>
        <w:t xml:space="preserve"> </w:t>
      </w:r>
      <w:r w:rsidR="006A5A46" w:rsidRPr="008E2A22">
        <w:rPr>
          <w:rFonts w:cs="Arial"/>
          <w:bCs/>
          <w:sz w:val="21"/>
          <w:szCs w:val="21"/>
        </w:rPr>
        <w:t>The applicant only</w:t>
      </w:r>
      <w:r w:rsidR="00EE50EE" w:rsidRPr="008E2A22">
        <w:rPr>
          <w:rFonts w:cs="Arial"/>
          <w:bCs/>
          <w:sz w:val="21"/>
          <w:szCs w:val="21"/>
        </w:rPr>
        <w:t xml:space="preserve"> gives a cursory explanation for the period 15 July to 11 August 2022, </w:t>
      </w:r>
      <w:r w:rsidR="006A5A46" w:rsidRPr="008E2A22">
        <w:rPr>
          <w:rFonts w:cs="Arial"/>
          <w:bCs/>
          <w:sz w:val="21"/>
          <w:szCs w:val="21"/>
        </w:rPr>
        <w:t>and</w:t>
      </w:r>
      <w:r w:rsidR="00EE50EE" w:rsidRPr="008E2A22">
        <w:rPr>
          <w:rFonts w:cs="Arial"/>
          <w:bCs/>
          <w:sz w:val="21"/>
          <w:szCs w:val="21"/>
        </w:rPr>
        <w:t xml:space="preserve"> no explanation</w:t>
      </w:r>
      <w:r w:rsidR="006D3D1D" w:rsidRPr="008E2A22">
        <w:rPr>
          <w:rFonts w:cs="Arial"/>
          <w:bCs/>
          <w:sz w:val="21"/>
          <w:szCs w:val="21"/>
        </w:rPr>
        <w:t xml:space="preserve"> whatsoever</w:t>
      </w:r>
      <w:r w:rsidR="00EE50EE" w:rsidRPr="008E2A22">
        <w:rPr>
          <w:rFonts w:cs="Arial"/>
          <w:bCs/>
          <w:sz w:val="21"/>
          <w:szCs w:val="21"/>
        </w:rPr>
        <w:t xml:space="preserve"> for the period August to December 2022. F</w:t>
      </w:r>
      <w:r w:rsidR="004D3FD6" w:rsidRPr="008E2A22">
        <w:rPr>
          <w:rFonts w:cs="Arial"/>
          <w:bCs/>
          <w:sz w:val="21"/>
          <w:szCs w:val="21"/>
        </w:rPr>
        <w:t xml:space="preserve">or this reason the application must fail. The application was neither brought within </w:t>
      </w:r>
      <w:r w:rsidR="004B3A47" w:rsidRPr="008E2A22">
        <w:rPr>
          <w:rFonts w:cs="Arial"/>
          <w:bCs/>
          <w:sz w:val="21"/>
          <w:szCs w:val="21"/>
        </w:rPr>
        <w:t>the</w:t>
      </w:r>
      <w:r w:rsidR="004D3FD6" w:rsidRPr="008E2A22">
        <w:rPr>
          <w:rFonts w:cs="Arial"/>
          <w:bCs/>
          <w:sz w:val="21"/>
          <w:szCs w:val="21"/>
        </w:rPr>
        <w:t xml:space="preserve"> 20</w:t>
      </w:r>
      <w:r w:rsidR="00B1182B" w:rsidRPr="008E2A22">
        <w:rPr>
          <w:rFonts w:cs="Arial"/>
          <w:bCs/>
          <w:sz w:val="21"/>
          <w:szCs w:val="21"/>
        </w:rPr>
        <w:t>-</w:t>
      </w:r>
      <w:r w:rsidR="004D3FD6" w:rsidRPr="008E2A22">
        <w:rPr>
          <w:rFonts w:cs="Arial"/>
          <w:bCs/>
          <w:sz w:val="21"/>
          <w:szCs w:val="21"/>
        </w:rPr>
        <w:t xml:space="preserve">day period </w:t>
      </w:r>
      <w:r w:rsidR="004B3A47" w:rsidRPr="008E2A22">
        <w:rPr>
          <w:rFonts w:cs="Arial"/>
          <w:bCs/>
          <w:sz w:val="21"/>
          <w:szCs w:val="21"/>
        </w:rPr>
        <w:t xml:space="preserve">referred to in rule 31 </w:t>
      </w:r>
      <w:r w:rsidR="004D3FD6" w:rsidRPr="008E2A22">
        <w:rPr>
          <w:rFonts w:cs="Arial"/>
          <w:bCs/>
          <w:sz w:val="21"/>
          <w:szCs w:val="21"/>
        </w:rPr>
        <w:t>nor within a reasonable time as required by the common law.</w:t>
      </w:r>
    </w:p>
    <w:p w14:paraId="4080A651" w14:textId="77777777" w:rsidR="00E949F8" w:rsidRPr="008E2A22" w:rsidRDefault="00E949F8" w:rsidP="00E949F8">
      <w:pPr>
        <w:widowControl w:val="0"/>
        <w:spacing w:before="480" w:after="480" w:line="360" w:lineRule="auto"/>
        <w:jc w:val="both"/>
        <w:rPr>
          <w:rFonts w:cs="Arial"/>
          <w:bCs/>
          <w:sz w:val="21"/>
          <w:szCs w:val="21"/>
          <w:u w:val="single"/>
        </w:rPr>
      </w:pPr>
    </w:p>
    <w:p w14:paraId="64A29EA4" w14:textId="240720C3" w:rsidR="00E949F8" w:rsidRPr="008E2A22" w:rsidRDefault="00E949F8" w:rsidP="00E949F8">
      <w:pPr>
        <w:widowControl w:val="0"/>
        <w:spacing w:before="480" w:after="480" w:line="360" w:lineRule="auto"/>
        <w:jc w:val="both"/>
        <w:rPr>
          <w:rFonts w:cs="Arial"/>
          <w:bCs/>
          <w:sz w:val="21"/>
          <w:szCs w:val="21"/>
          <w:u w:val="single"/>
        </w:rPr>
      </w:pPr>
      <w:r w:rsidRPr="008E2A22">
        <w:rPr>
          <w:rFonts w:cs="Arial"/>
          <w:bCs/>
          <w:sz w:val="21"/>
          <w:szCs w:val="21"/>
          <w:u w:val="single"/>
        </w:rPr>
        <w:t>Bona fide defence</w:t>
      </w:r>
    </w:p>
    <w:p w14:paraId="1D615345" w14:textId="3F6B6333" w:rsidR="00601270"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[11]</w:t>
      </w:r>
      <w:r w:rsidRPr="008E2A22">
        <w:rPr>
          <w:rFonts w:cs="Arial"/>
          <w:bCs/>
          <w:sz w:val="21"/>
          <w:szCs w:val="21"/>
        </w:rPr>
        <w:tab/>
      </w:r>
      <w:r w:rsidR="00601270" w:rsidRPr="008E2A22">
        <w:rPr>
          <w:rFonts w:cs="Arial"/>
          <w:bCs/>
          <w:sz w:val="21"/>
          <w:szCs w:val="21"/>
        </w:rPr>
        <w:t>The applicant is not required to prove his defence</w:t>
      </w:r>
      <w:r w:rsidR="001B47D8" w:rsidRPr="008E2A22">
        <w:rPr>
          <w:rFonts w:cs="Arial"/>
          <w:bCs/>
          <w:sz w:val="21"/>
          <w:szCs w:val="21"/>
        </w:rPr>
        <w:t xml:space="preserve"> (either in the sense of a full onus or an onus of rebuttal)</w:t>
      </w:r>
      <w:r w:rsidR="00601270" w:rsidRPr="008E2A22">
        <w:rPr>
          <w:rFonts w:cs="Arial"/>
          <w:bCs/>
          <w:sz w:val="21"/>
          <w:szCs w:val="21"/>
        </w:rPr>
        <w:t xml:space="preserve"> but most make averments that if established at trial would constitute a defence.</w:t>
      </w:r>
      <w:r w:rsidR="00E949F8" w:rsidRPr="008E2A22">
        <w:rPr>
          <w:rFonts w:cs="Arial"/>
          <w:bCs/>
          <w:sz w:val="21"/>
          <w:szCs w:val="21"/>
        </w:rPr>
        <w:t xml:space="preserve"> The applicant’s averments are however not</w:t>
      </w:r>
      <w:r w:rsidR="000C7E41" w:rsidRPr="008E2A22">
        <w:rPr>
          <w:rFonts w:cs="Arial"/>
          <w:bCs/>
          <w:sz w:val="21"/>
          <w:szCs w:val="21"/>
        </w:rPr>
        <w:t xml:space="preserve"> to be</w:t>
      </w:r>
      <w:r w:rsidR="00E949F8" w:rsidRPr="008E2A22">
        <w:rPr>
          <w:rFonts w:cs="Arial"/>
          <w:bCs/>
          <w:sz w:val="21"/>
          <w:szCs w:val="21"/>
        </w:rPr>
        <w:t xml:space="preserve"> read in isolation but with the averments made by the respondent.</w:t>
      </w:r>
    </w:p>
    <w:p w14:paraId="60D6E7A8" w14:textId="02ACEF77" w:rsidR="002F774A"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[12]</w:t>
      </w:r>
      <w:r w:rsidRPr="008E2A22">
        <w:rPr>
          <w:rFonts w:cs="Arial"/>
          <w:bCs/>
          <w:sz w:val="21"/>
          <w:szCs w:val="21"/>
        </w:rPr>
        <w:tab/>
      </w:r>
      <w:r w:rsidR="002F774A" w:rsidRPr="008E2A22">
        <w:rPr>
          <w:rFonts w:cs="Arial"/>
          <w:bCs/>
          <w:sz w:val="21"/>
          <w:szCs w:val="21"/>
        </w:rPr>
        <w:t>The applicant alleges that the oral agreement relied upon by the respondent was an agreement between the respondent and</w:t>
      </w:r>
      <w:r w:rsidR="00D3725D" w:rsidRPr="008E2A22">
        <w:rPr>
          <w:rFonts w:cs="Arial"/>
          <w:bCs/>
          <w:sz w:val="21"/>
          <w:szCs w:val="21"/>
        </w:rPr>
        <w:t xml:space="preserve"> DNG Energy (Pty) Ltd,</w:t>
      </w:r>
      <w:r w:rsidR="002F774A" w:rsidRPr="008E2A22">
        <w:rPr>
          <w:rFonts w:cs="Arial"/>
          <w:bCs/>
          <w:sz w:val="21"/>
          <w:szCs w:val="21"/>
        </w:rPr>
        <w:t xml:space="preserve"> the company that he is the director </w:t>
      </w:r>
      <w:r w:rsidR="00AD12F6" w:rsidRPr="008E2A22">
        <w:rPr>
          <w:rFonts w:cs="Arial"/>
          <w:bCs/>
          <w:sz w:val="21"/>
          <w:szCs w:val="21"/>
        </w:rPr>
        <w:t xml:space="preserve">and owner </w:t>
      </w:r>
      <w:r w:rsidR="002F774A" w:rsidRPr="008E2A22">
        <w:rPr>
          <w:rFonts w:cs="Arial"/>
          <w:bCs/>
          <w:sz w:val="21"/>
          <w:szCs w:val="21"/>
        </w:rPr>
        <w:t>of.</w:t>
      </w:r>
      <w:r w:rsidR="00B0321E" w:rsidRPr="008E2A22">
        <w:rPr>
          <w:rFonts w:cs="Arial"/>
          <w:bCs/>
          <w:sz w:val="21"/>
          <w:szCs w:val="21"/>
        </w:rPr>
        <w:t xml:space="preserve"> </w:t>
      </w:r>
      <w:r w:rsidR="005A0847" w:rsidRPr="008E2A22">
        <w:rPr>
          <w:rFonts w:cs="Arial"/>
          <w:bCs/>
          <w:sz w:val="21"/>
          <w:szCs w:val="21"/>
        </w:rPr>
        <w:t>The agreement was for the provision of guarding services at his home address</w:t>
      </w:r>
      <w:r w:rsidR="0040197A" w:rsidRPr="008E2A22">
        <w:rPr>
          <w:rFonts w:cs="Arial"/>
          <w:bCs/>
          <w:sz w:val="21"/>
          <w:szCs w:val="21"/>
        </w:rPr>
        <w:t xml:space="preserve"> rather than at the company’s premises</w:t>
      </w:r>
      <w:r w:rsidR="005A0847" w:rsidRPr="008E2A22">
        <w:rPr>
          <w:rFonts w:cs="Arial"/>
          <w:bCs/>
          <w:sz w:val="21"/>
          <w:szCs w:val="21"/>
        </w:rPr>
        <w:t>.</w:t>
      </w:r>
      <w:r w:rsidR="00093237" w:rsidRPr="008E2A22">
        <w:rPr>
          <w:rFonts w:cs="Arial"/>
          <w:bCs/>
          <w:sz w:val="21"/>
          <w:szCs w:val="21"/>
        </w:rPr>
        <w:t xml:space="preserve"> This defence was raised for the first time in the rescission application and was never raised during the currency of the agreement or after its cancellation. The invoices were made out to the applicant and not to the company, and were accepted as such by the applicant.</w:t>
      </w:r>
    </w:p>
    <w:p w14:paraId="3F599B43" w14:textId="21DBA746" w:rsidR="005A0847"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[13]</w:t>
      </w:r>
      <w:r w:rsidRPr="008E2A22">
        <w:rPr>
          <w:rFonts w:cs="Arial"/>
          <w:bCs/>
          <w:sz w:val="21"/>
          <w:szCs w:val="21"/>
        </w:rPr>
        <w:tab/>
      </w:r>
      <w:r w:rsidR="005A0847" w:rsidRPr="008E2A22">
        <w:rPr>
          <w:rFonts w:cs="Arial"/>
          <w:bCs/>
          <w:sz w:val="21"/>
          <w:szCs w:val="21"/>
        </w:rPr>
        <w:t xml:space="preserve">The applicant also </w:t>
      </w:r>
      <w:r w:rsidR="00E949F8" w:rsidRPr="008E2A22">
        <w:rPr>
          <w:rFonts w:cs="Arial"/>
          <w:bCs/>
          <w:sz w:val="21"/>
          <w:szCs w:val="21"/>
        </w:rPr>
        <w:t>alleged</w:t>
      </w:r>
      <w:r w:rsidR="005A0847" w:rsidRPr="008E2A22">
        <w:rPr>
          <w:rFonts w:cs="Arial"/>
          <w:bCs/>
          <w:sz w:val="21"/>
          <w:szCs w:val="21"/>
        </w:rPr>
        <w:t xml:space="preserve"> that the provisions of the National Credit Act, 34 of 2005 was not complied </w:t>
      </w:r>
      <w:r w:rsidR="00E949F8" w:rsidRPr="008E2A22">
        <w:rPr>
          <w:rFonts w:cs="Arial"/>
          <w:bCs/>
          <w:sz w:val="21"/>
          <w:szCs w:val="21"/>
        </w:rPr>
        <w:t xml:space="preserve">but this argument was abandoned during argument. This concession was properly made as the applicant did not </w:t>
      </w:r>
      <w:r w:rsidR="005A0847" w:rsidRPr="008E2A22">
        <w:rPr>
          <w:rFonts w:cs="Arial"/>
          <w:bCs/>
          <w:sz w:val="21"/>
          <w:szCs w:val="21"/>
        </w:rPr>
        <w:t xml:space="preserve">make any averments </w:t>
      </w:r>
      <w:r w:rsidR="00E949F8" w:rsidRPr="008E2A22">
        <w:rPr>
          <w:rFonts w:cs="Arial"/>
          <w:bCs/>
          <w:sz w:val="21"/>
          <w:szCs w:val="21"/>
        </w:rPr>
        <w:t xml:space="preserve">in the founding affidavit to support the argument. </w:t>
      </w:r>
    </w:p>
    <w:p w14:paraId="793C2F82" w14:textId="158EC9AD" w:rsidR="00D33A54"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[14]</w:t>
      </w:r>
      <w:r w:rsidRPr="008E2A22">
        <w:rPr>
          <w:rFonts w:cs="Arial"/>
          <w:bCs/>
          <w:sz w:val="21"/>
          <w:szCs w:val="21"/>
        </w:rPr>
        <w:tab/>
      </w:r>
      <w:r w:rsidR="00615ED4" w:rsidRPr="008E2A22">
        <w:rPr>
          <w:rFonts w:cs="Arial"/>
          <w:bCs/>
          <w:sz w:val="21"/>
          <w:szCs w:val="21"/>
        </w:rPr>
        <w:t xml:space="preserve">I am </w:t>
      </w:r>
      <w:r w:rsidR="005A0847" w:rsidRPr="008E2A22">
        <w:rPr>
          <w:rFonts w:cs="Arial"/>
          <w:bCs/>
          <w:sz w:val="21"/>
          <w:szCs w:val="21"/>
        </w:rPr>
        <w:t xml:space="preserve">not </w:t>
      </w:r>
      <w:r w:rsidR="00615ED4" w:rsidRPr="008E2A22">
        <w:rPr>
          <w:rFonts w:cs="Arial"/>
          <w:bCs/>
          <w:sz w:val="21"/>
          <w:szCs w:val="21"/>
        </w:rPr>
        <w:t>satisfied that the applicant has disclosed a</w:t>
      </w:r>
      <w:r w:rsidR="00E949F8" w:rsidRPr="008E2A22">
        <w:rPr>
          <w:rFonts w:cs="Arial"/>
          <w:bCs/>
          <w:sz w:val="21"/>
          <w:szCs w:val="21"/>
        </w:rPr>
        <w:t xml:space="preserve"> </w:t>
      </w:r>
      <w:r w:rsidR="00E949F8" w:rsidRPr="008E2A22">
        <w:rPr>
          <w:rFonts w:cs="Arial"/>
          <w:bCs/>
          <w:i/>
          <w:iCs/>
          <w:sz w:val="21"/>
          <w:szCs w:val="21"/>
        </w:rPr>
        <w:t>bona fide</w:t>
      </w:r>
      <w:r w:rsidR="00615ED4" w:rsidRPr="008E2A22">
        <w:rPr>
          <w:rFonts w:cs="Arial"/>
          <w:bCs/>
          <w:sz w:val="21"/>
          <w:szCs w:val="21"/>
        </w:rPr>
        <w:t xml:space="preserve"> defence</w:t>
      </w:r>
      <w:r w:rsidR="00E949F8" w:rsidRPr="008E2A22">
        <w:rPr>
          <w:rFonts w:cs="Arial"/>
          <w:bCs/>
          <w:sz w:val="21"/>
          <w:szCs w:val="21"/>
        </w:rPr>
        <w:t>.</w:t>
      </w:r>
    </w:p>
    <w:p w14:paraId="653A8C61" w14:textId="77777777" w:rsidR="00EE50EE" w:rsidRPr="008E2A22" w:rsidRDefault="00EE50EE" w:rsidP="00EE50EE">
      <w:pPr>
        <w:widowControl w:val="0"/>
        <w:spacing w:before="480" w:after="480" w:line="360" w:lineRule="auto"/>
        <w:jc w:val="both"/>
        <w:rPr>
          <w:rFonts w:cs="Arial"/>
          <w:bCs/>
          <w:sz w:val="21"/>
          <w:szCs w:val="21"/>
          <w:u w:val="single"/>
        </w:rPr>
      </w:pPr>
    </w:p>
    <w:p w14:paraId="0F30E821" w14:textId="0FEF2A68" w:rsidR="00EE50EE" w:rsidRPr="008E2A22" w:rsidRDefault="00EE50EE" w:rsidP="00EE50EE">
      <w:pPr>
        <w:widowControl w:val="0"/>
        <w:spacing w:before="480" w:after="480" w:line="360" w:lineRule="auto"/>
        <w:jc w:val="both"/>
        <w:rPr>
          <w:rFonts w:cs="Arial"/>
          <w:bCs/>
          <w:sz w:val="21"/>
          <w:szCs w:val="21"/>
          <w:u w:val="single"/>
        </w:rPr>
      </w:pPr>
      <w:r w:rsidRPr="008E2A22">
        <w:rPr>
          <w:rFonts w:cs="Arial"/>
          <w:bCs/>
          <w:sz w:val="21"/>
          <w:szCs w:val="21"/>
          <w:u w:val="single"/>
        </w:rPr>
        <w:t>Rule 42(1)(a)</w:t>
      </w:r>
    </w:p>
    <w:p w14:paraId="04F7BC25" w14:textId="4EB875DF" w:rsidR="00EE50EE"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[15]</w:t>
      </w:r>
      <w:r w:rsidRPr="008E2A22">
        <w:rPr>
          <w:rFonts w:cs="Arial"/>
          <w:bCs/>
          <w:sz w:val="21"/>
          <w:szCs w:val="21"/>
        </w:rPr>
        <w:tab/>
      </w:r>
      <w:r w:rsidR="00EE50EE" w:rsidRPr="008E2A22">
        <w:rPr>
          <w:rFonts w:cs="Arial"/>
          <w:bCs/>
          <w:sz w:val="21"/>
          <w:szCs w:val="21"/>
        </w:rPr>
        <w:t>The applicant also relies on an allegation that the judgement was erroneously sought or granted in terms of rule 42(1)(a).This argument can be rejected on the basis of the argument made out in the applicant’s heads of argument and the common cause facts.</w:t>
      </w:r>
    </w:p>
    <w:p w14:paraId="5F0BEA54" w14:textId="4E2DD104" w:rsidR="00EE50EE"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[16]</w:t>
      </w:r>
      <w:r w:rsidRPr="008E2A22">
        <w:rPr>
          <w:rFonts w:cs="Arial"/>
          <w:bCs/>
          <w:sz w:val="21"/>
          <w:szCs w:val="21"/>
        </w:rPr>
        <w:tab/>
      </w:r>
      <w:r w:rsidR="00EE50EE" w:rsidRPr="008E2A22">
        <w:rPr>
          <w:rFonts w:cs="Arial"/>
          <w:bCs/>
          <w:sz w:val="21"/>
          <w:szCs w:val="21"/>
        </w:rPr>
        <w:t>The summons was served on 22 April 2022 at the business address of the applicant. He</w:t>
      </w:r>
      <w:r w:rsidR="00703C49" w:rsidRPr="008E2A22">
        <w:rPr>
          <w:rFonts w:cs="Arial"/>
          <w:bCs/>
          <w:sz w:val="21"/>
          <w:szCs w:val="21"/>
        </w:rPr>
        <w:t xml:space="preserve"> is the owner of the </w:t>
      </w:r>
      <w:r w:rsidR="00AD12F6" w:rsidRPr="008E2A22">
        <w:rPr>
          <w:rFonts w:cs="Arial"/>
          <w:bCs/>
          <w:sz w:val="21"/>
          <w:szCs w:val="21"/>
        </w:rPr>
        <w:t>DNG Energy (Pty) Ltd</w:t>
      </w:r>
      <w:r w:rsidR="00703C49" w:rsidRPr="008E2A22">
        <w:rPr>
          <w:rFonts w:cs="Arial"/>
          <w:bCs/>
          <w:sz w:val="21"/>
          <w:szCs w:val="21"/>
        </w:rPr>
        <w:t xml:space="preserve"> </w:t>
      </w:r>
      <w:r w:rsidR="00EE50EE" w:rsidRPr="008E2A22">
        <w:rPr>
          <w:rFonts w:cs="Arial"/>
          <w:bCs/>
          <w:sz w:val="21"/>
          <w:szCs w:val="21"/>
        </w:rPr>
        <w:t xml:space="preserve">and </w:t>
      </w:r>
      <w:r w:rsidR="00AD12F6" w:rsidRPr="008E2A22">
        <w:rPr>
          <w:rFonts w:cs="Arial"/>
          <w:bCs/>
          <w:sz w:val="21"/>
          <w:szCs w:val="21"/>
        </w:rPr>
        <w:t>the summons</w:t>
      </w:r>
      <w:r w:rsidR="00EE50EE" w:rsidRPr="008E2A22">
        <w:rPr>
          <w:rFonts w:cs="Arial"/>
          <w:bCs/>
          <w:sz w:val="21"/>
          <w:szCs w:val="21"/>
        </w:rPr>
        <w:t xml:space="preserve"> was served on a </w:t>
      </w:r>
      <w:r w:rsidR="006D3D1D" w:rsidRPr="008E2A22">
        <w:rPr>
          <w:rFonts w:cs="Arial"/>
          <w:bCs/>
          <w:sz w:val="21"/>
          <w:szCs w:val="21"/>
        </w:rPr>
        <w:t>staff member</w:t>
      </w:r>
      <w:r w:rsidR="00EE50EE" w:rsidRPr="008E2A22">
        <w:rPr>
          <w:rFonts w:cs="Arial"/>
          <w:bCs/>
          <w:sz w:val="21"/>
          <w:szCs w:val="21"/>
        </w:rPr>
        <w:t xml:space="preserve">, being the person encountered by the sheriff when the sheriff attended at the office of the applicant to serve the papers and was then identified </w:t>
      </w:r>
      <w:r w:rsidR="008E7FB3" w:rsidRPr="008E2A22">
        <w:rPr>
          <w:rFonts w:cs="Arial"/>
          <w:bCs/>
          <w:sz w:val="21"/>
          <w:szCs w:val="21"/>
        </w:rPr>
        <w:t>by</w:t>
      </w:r>
      <w:r w:rsidR="00EE50EE" w:rsidRPr="008E2A22">
        <w:rPr>
          <w:rFonts w:cs="Arial"/>
          <w:bCs/>
          <w:sz w:val="21"/>
          <w:szCs w:val="21"/>
        </w:rPr>
        <w:t xml:space="preserve"> him as the receptionist</w:t>
      </w:r>
      <w:r w:rsidR="008E7FB3" w:rsidRPr="008E2A22">
        <w:rPr>
          <w:rFonts w:cs="Arial"/>
          <w:bCs/>
          <w:sz w:val="21"/>
          <w:szCs w:val="21"/>
        </w:rPr>
        <w:t xml:space="preserve"> and the person apparently in charge of the premises</w:t>
      </w:r>
      <w:r w:rsidR="00EE50EE" w:rsidRPr="008E2A22">
        <w:rPr>
          <w:rFonts w:cs="Arial"/>
          <w:bCs/>
          <w:sz w:val="21"/>
          <w:szCs w:val="21"/>
        </w:rPr>
        <w:t xml:space="preserve">. </w:t>
      </w:r>
      <w:r w:rsidR="008E7FB3" w:rsidRPr="008E2A22">
        <w:rPr>
          <w:rFonts w:cs="Arial"/>
          <w:bCs/>
          <w:sz w:val="21"/>
          <w:szCs w:val="21"/>
        </w:rPr>
        <w:t>The applicant</w:t>
      </w:r>
      <w:r w:rsidR="00703C49" w:rsidRPr="008E2A22">
        <w:rPr>
          <w:rFonts w:cs="Arial"/>
          <w:bCs/>
          <w:sz w:val="21"/>
          <w:szCs w:val="21"/>
        </w:rPr>
        <w:t xml:space="preserve"> was absent  from the office at the time</w:t>
      </w:r>
      <w:r w:rsidR="008E7FB3" w:rsidRPr="008E2A22">
        <w:rPr>
          <w:rFonts w:cs="Arial"/>
          <w:bCs/>
          <w:sz w:val="21"/>
          <w:szCs w:val="21"/>
        </w:rPr>
        <w:t xml:space="preserve"> and it was never brought to his notice</w:t>
      </w:r>
      <w:r w:rsidR="00703C49" w:rsidRPr="008E2A22">
        <w:rPr>
          <w:rFonts w:cs="Arial"/>
          <w:bCs/>
          <w:sz w:val="21"/>
          <w:szCs w:val="21"/>
        </w:rPr>
        <w:t xml:space="preserve">. </w:t>
      </w:r>
    </w:p>
    <w:p w14:paraId="6529859D" w14:textId="418609AC" w:rsidR="00EE50EE"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[17]</w:t>
      </w:r>
      <w:r w:rsidRPr="008E2A22">
        <w:rPr>
          <w:rFonts w:cs="Arial"/>
          <w:bCs/>
          <w:sz w:val="21"/>
          <w:szCs w:val="21"/>
        </w:rPr>
        <w:tab/>
      </w:r>
      <w:r w:rsidR="00EE50EE" w:rsidRPr="008E2A22">
        <w:rPr>
          <w:rFonts w:cs="Arial"/>
          <w:bCs/>
          <w:sz w:val="21"/>
          <w:szCs w:val="21"/>
        </w:rPr>
        <w:t>The application was properly served in terms of the rules of court</w:t>
      </w:r>
      <w:r w:rsidR="00EE50EE" w:rsidRPr="008E2A22">
        <w:rPr>
          <w:rStyle w:val="FootnoteReference"/>
          <w:rFonts w:cs="Arial"/>
          <w:bCs/>
          <w:sz w:val="21"/>
          <w:szCs w:val="21"/>
        </w:rPr>
        <w:footnoteReference w:id="4"/>
      </w:r>
      <w:r w:rsidR="00EE50EE" w:rsidRPr="008E2A22">
        <w:rPr>
          <w:rFonts w:cs="Arial"/>
          <w:bCs/>
          <w:sz w:val="21"/>
          <w:szCs w:val="21"/>
        </w:rPr>
        <w:t xml:space="preserve"> and the phrase </w:t>
      </w:r>
      <w:r w:rsidR="00EE50EE" w:rsidRPr="008E2A22">
        <w:rPr>
          <w:rFonts w:cs="Arial"/>
          <w:bCs/>
          <w:i/>
          <w:iCs/>
          <w:sz w:val="21"/>
          <w:szCs w:val="21"/>
        </w:rPr>
        <w:t>“</w:t>
      </w:r>
      <w:r w:rsidR="008E7FB3" w:rsidRPr="008E2A22">
        <w:rPr>
          <w:rFonts w:cs="Arial"/>
          <w:bCs/>
          <w:i/>
          <w:iCs/>
          <w:sz w:val="21"/>
          <w:szCs w:val="21"/>
        </w:rPr>
        <w:t xml:space="preserve">apparently </w:t>
      </w:r>
      <w:r w:rsidR="00EE50EE" w:rsidRPr="008E2A22">
        <w:rPr>
          <w:rFonts w:cs="Arial"/>
          <w:bCs/>
          <w:i/>
          <w:iCs/>
          <w:sz w:val="21"/>
          <w:szCs w:val="21"/>
        </w:rPr>
        <w:t>in charge of the premises”</w:t>
      </w:r>
      <w:r w:rsidR="00EE50EE" w:rsidRPr="008E2A22">
        <w:rPr>
          <w:rFonts w:cs="Arial"/>
          <w:bCs/>
          <w:sz w:val="21"/>
          <w:szCs w:val="21"/>
        </w:rPr>
        <w:t xml:space="preserve"> in rule 4(1)(a)(ii) does not require service on the most senior person</w:t>
      </w:r>
      <w:r w:rsidR="00703C49" w:rsidRPr="008E2A22">
        <w:rPr>
          <w:rFonts w:cs="Arial"/>
          <w:bCs/>
          <w:sz w:val="21"/>
          <w:szCs w:val="21"/>
        </w:rPr>
        <w:t xml:space="preserve"> who works at the business</w:t>
      </w:r>
      <w:r w:rsidR="00EE50EE" w:rsidRPr="008E2A22">
        <w:rPr>
          <w:rFonts w:cs="Arial"/>
          <w:bCs/>
          <w:sz w:val="21"/>
          <w:szCs w:val="21"/>
        </w:rPr>
        <w:t>, such as the chief executive officer or managing director of a company.</w:t>
      </w:r>
      <w:r w:rsidR="00703C49" w:rsidRPr="008E2A22">
        <w:rPr>
          <w:rFonts w:cs="Arial"/>
          <w:bCs/>
          <w:sz w:val="21"/>
          <w:szCs w:val="21"/>
        </w:rPr>
        <w:t xml:space="preserve"> A receptionist or clerk may be in charge </w:t>
      </w:r>
      <w:r w:rsidR="006D3D1D" w:rsidRPr="008E2A22">
        <w:rPr>
          <w:rFonts w:cs="Arial"/>
          <w:bCs/>
          <w:sz w:val="21"/>
          <w:szCs w:val="21"/>
        </w:rPr>
        <w:t xml:space="preserve">or apparently in charge </w:t>
      </w:r>
      <w:r w:rsidR="00703C49" w:rsidRPr="008E2A22">
        <w:rPr>
          <w:rFonts w:cs="Arial"/>
          <w:bCs/>
          <w:sz w:val="21"/>
          <w:szCs w:val="21"/>
        </w:rPr>
        <w:t>of the premises for the purposes of service.</w:t>
      </w:r>
      <w:r w:rsidR="00C16519" w:rsidRPr="008E2A22">
        <w:rPr>
          <w:rFonts w:cs="Arial"/>
          <w:bCs/>
          <w:sz w:val="21"/>
          <w:szCs w:val="21"/>
        </w:rPr>
        <w:t xml:space="preserve"> Process may not be served for instance on a bystander who happens to be on the premises, but service on a receptionist or other staff member is (depending on the facts of course – each case must be considered on its own merit) usually good service.</w:t>
      </w:r>
    </w:p>
    <w:p w14:paraId="44BD2860" w14:textId="2BEA2684" w:rsidR="00703C49" w:rsidRPr="008E2A22" w:rsidRDefault="007728EC" w:rsidP="007728EC">
      <w:pPr>
        <w:widowControl w:val="0"/>
        <w:tabs>
          <w:tab w:val="left" w:pos="567"/>
        </w:tabs>
        <w:spacing w:before="480" w:after="480" w:line="360" w:lineRule="auto"/>
        <w:jc w:val="both"/>
        <w:rPr>
          <w:rFonts w:cs="Arial"/>
          <w:bCs/>
          <w:sz w:val="21"/>
          <w:szCs w:val="21"/>
        </w:rPr>
      </w:pPr>
      <w:r w:rsidRPr="008E2A22">
        <w:rPr>
          <w:rFonts w:cs="Arial"/>
          <w:bCs/>
          <w:sz w:val="21"/>
          <w:szCs w:val="21"/>
        </w:rPr>
        <w:t>[18]</w:t>
      </w:r>
      <w:r w:rsidRPr="008E2A22">
        <w:rPr>
          <w:rFonts w:cs="Arial"/>
          <w:bCs/>
          <w:sz w:val="21"/>
          <w:szCs w:val="21"/>
        </w:rPr>
        <w:tab/>
      </w:r>
      <w:r w:rsidR="00703C49" w:rsidRPr="008E2A22">
        <w:rPr>
          <w:rFonts w:cs="Arial"/>
          <w:bCs/>
          <w:sz w:val="21"/>
          <w:szCs w:val="21"/>
        </w:rPr>
        <w:t>This of course does not mean that the summons necessarily came to</w:t>
      </w:r>
      <w:r w:rsidR="00A84915" w:rsidRPr="008E2A22">
        <w:rPr>
          <w:rFonts w:cs="Arial"/>
          <w:bCs/>
          <w:sz w:val="21"/>
          <w:szCs w:val="21"/>
        </w:rPr>
        <w:t xml:space="preserve"> the</w:t>
      </w:r>
      <w:r w:rsidR="00703C49" w:rsidRPr="008E2A22">
        <w:rPr>
          <w:rFonts w:cs="Arial"/>
          <w:bCs/>
          <w:sz w:val="21"/>
          <w:szCs w:val="21"/>
        </w:rPr>
        <w:t xml:space="preserve"> attention</w:t>
      </w:r>
      <w:r w:rsidR="00A84915" w:rsidRPr="008E2A22">
        <w:rPr>
          <w:rFonts w:cs="Arial"/>
          <w:bCs/>
          <w:sz w:val="21"/>
          <w:szCs w:val="21"/>
        </w:rPr>
        <w:t xml:space="preserve"> of the intended party</w:t>
      </w:r>
      <w:r w:rsidR="00703C49" w:rsidRPr="008E2A22">
        <w:rPr>
          <w:rFonts w:cs="Arial"/>
          <w:bCs/>
          <w:sz w:val="21"/>
          <w:szCs w:val="21"/>
        </w:rPr>
        <w:t xml:space="preserve">. </w:t>
      </w:r>
      <w:r w:rsidR="008E7FB3" w:rsidRPr="008E2A22">
        <w:rPr>
          <w:rFonts w:cs="Arial"/>
          <w:bCs/>
          <w:sz w:val="21"/>
          <w:szCs w:val="21"/>
        </w:rPr>
        <w:t xml:space="preserve">I accept that the summons did not come to </w:t>
      </w:r>
      <w:r w:rsidR="00A84915" w:rsidRPr="008E2A22">
        <w:rPr>
          <w:rFonts w:cs="Arial"/>
          <w:bCs/>
          <w:sz w:val="21"/>
          <w:szCs w:val="21"/>
        </w:rPr>
        <w:t>the applicant’s</w:t>
      </w:r>
      <w:r w:rsidR="008E7FB3" w:rsidRPr="008E2A22">
        <w:rPr>
          <w:rFonts w:cs="Arial"/>
          <w:bCs/>
          <w:sz w:val="21"/>
          <w:szCs w:val="21"/>
        </w:rPr>
        <w:t xml:space="preserve"> notice</w:t>
      </w:r>
      <w:r w:rsidR="0040197A" w:rsidRPr="008E2A22">
        <w:rPr>
          <w:rFonts w:cs="Arial"/>
          <w:bCs/>
          <w:sz w:val="21"/>
          <w:szCs w:val="21"/>
        </w:rPr>
        <w:t xml:space="preserve"> immediately after service</w:t>
      </w:r>
      <w:r w:rsidR="008E7FB3" w:rsidRPr="008E2A22">
        <w:rPr>
          <w:rFonts w:cs="Arial"/>
          <w:bCs/>
          <w:sz w:val="21"/>
          <w:szCs w:val="21"/>
        </w:rPr>
        <w:t xml:space="preserve"> and that he only learned of the judgment in July 2022.</w:t>
      </w:r>
    </w:p>
    <w:p w14:paraId="09FB171A" w14:textId="77777777" w:rsidR="00A84915" w:rsidRPr="008E2A22" w:rsidRDefault="00A84915" w:rsidP="008E7FB3">
      <w:pPr>
        <w:keepNext/>
        <w:widowControl w:val="0"/>
        <w:spacing w:before="480" w:after="480" w:line="360" w:lineRule="auto"/>
        <w:jc w:val="both"/>
        <w:rPr>
          <w:rFonts w:cs="Arial"/>
          <w:bCs/>
          <w:sz w:val="21"/>
          <w:szCs w:val="21"/>
          <w:u w:val="single"/>
        </w:rPr>
      </w:pPr>
    </w:p>
    <w:p w14:paraId="1E9B12B4" w14:textId="0A7A1EC5" w:rsidR="008E7FB3" w:rsidRPr="008E2A22" w:rsidRDefault="008E7FB3" w:rsidP="008E7FB3">
      <w:pPr>
        <w:keepNext/>
        <w:widowControl w:val="0"/>
        <w:spacing w:before="480" w:after="480" w:line="360" w:lineRule="auto"/>
        <w:jc w:val="both"/>
        <w:rPr>
          <w:rFonts w:cs="Arial"/>
          <w:bCs/>
          <w:sz w:val="21"/>
          <w:szCs w:val="21"/>
          <w:u w:val="single"/>
        </w:rPr>
      </w:pPr>
      <w:r w:rsidRPr="008E2A22">
        <w:rPr>
          <w:rFonts w:cs="Arial"/>
          <w:bCs/>
          <w:sz w:val="21"/>
          <w:szCs w:val="21"/>
          <w:u w:val="single"/>
        </w:rPr>
        <w:t>Conclusion</w:t>
      </w:r>
    </w:p>
    <w:p w14:paraId="6F591508" w14:textId="02CDCACF" w:rsidR="00615ED4" w:rsidRPr="008E2A22" w:rsidRDefault="007728EC" w:rsidP="007728EC">
      <w:pPr>
        <w:keepNext/>
        <w:widowControl w:val="0"/>
        <w:tabs>
          <w:tab w:val="left" w:pos="567"/>
        </w:tabs>
        <w:spacing w:before="480" w:after="480" w:line="360" w:lineRule="auto"/>
        <w:jc w:val="both"/>
        <w:rPr>
          <w:rFonts w:cs="Arial"/>
          <w:bCs/>
          <w:sz w:val="21"/>
          <w:szCs w:val="21"/>
        </w:rPr>
      </w:pPr>
      <w:r w:rsidRPr="008E2A22">
        <w:rPr>
          <w:rFonts w:cs="Arial"/>
          <w:bCs/>
          <w:sz w:val="21"/>
          <w:szCs w:val="21"/>
        </w:rPr>
        <w:t>[19]</w:t>
      </w:r>
      <w:r w:rsidRPr="008E2A22">
        <w:rPr>
          <w:rFonts w:cs="Arial"/>
          <w:bCs/>
          <w:sz w:val="21"/>
          <w:szCs w:val="21"/>
        </w:rPr>
        <w:tab/>
      </w:r>
      <w:r w:rsidR="00E949F8" w:rsidRPr="008E2A22">
        <w:rPr>
          <w:rFonts w:cs="Arial"/>
          <w:bCs/>
          <w:sz w:val="21"/>
          <w:szCs w:val="21"/>
        </w:rPr>
        <w:t xml:space="preserve">In conclusion I find that the applicant has not shown good cause </w:t>
      </w:r>
      <w:r w:rsidR="006D3D1D" w:rsidRPr="008E2A22">
        <w:rPr>
          <w:rFonts w:cs="Arial"/>
          <w:bCs/>
          <w:sz w:val="21"/>
          <w:szCs w:val="21"/>
        </w:rPr>
        <w:t xml:space="preserve">for rescission under rule 31(5)(d) or the common law, </w:t>
      </w:r>
      <w:r w:rsidR="00B664E5" w:rsidRPr="008E2A22">
        <w:rPr>
          <w:rFonts w:cs="Arial"/>
          <w:bCs/>
          <w:sz w:val="21"/>
          <w:szCs w:val="21"/>
        </w:rPr>
        <w:t>and that the application must fail. I therefore make the order in paragraph 1 above.</w:t>
      </w:r>
    </w:p>
    <w:p w14:paraId="53CD27EE" w14:textId="0B3A7FA3" w:rsidR="00AE287F" w:rsidRPr="008E2A22" w:rsidRDefault="00A649E6" w:rsidP="003A1D18">
      <w:pPr>
        <w:widowControl w:val="0"/>
        <w:tabs>
          <w:tab w:val="right" w:pos="0"/>
        </w:tabs>
        <w:spacing w:line="360" w:lineRule="auto"/>
        <w:contextualSpacing/>
        <w:jc w:val="right"/>
        <w:rPr>
          <w:rFonts w:cs="Arial"/>
          <w:b/>
          <w:sz w:val="21"/>
          <w:szCs w:val="21"/>
        </w:rPr>
      </w:pPr>
      <w:r w:rsidRPr="008E2A22">
        <w:rPr>
          <w:rFonts w:cs="Arial"/>
          <w:b/>
          <w:sz w:val="21"/>
          <w:szCs w:val="21"/>
        </w:rPr>
        <w:t>______________</w:t>
      </w:r>
    </w:p>
    <w:p w14:paraId="0CCB9BFE" w14:textId="7ABE564D" w:rsidR="006C43D7" w:rsidRPr="008E2A22" w:rsidRDefault="00C676F3" w:rsidP="003A1D18">
      <w:pPr>
        <w:widowControl w:val="0"/>
        <w:tabs>
          <w:tab w:val="right" w:pos="0"/>
        </w:tabs>
        <w:spacing w:line="360" w:lineRule="auto"/>
        <w:contextualSpacing/>
        <w:jc w:val="right"/>
        <w:rPr>
          <w:rFonts w:cs="Arial"/>
          <w:b/>
          <w:sz w:val="21"/>
          <w:szCs w:val="21"/>
        </w:rPr>
      </w:pPr>
      <w:r w:rsidRPr="008E2A22">
        <w:rPr>
          <w:rFonts w:cs="Arial"/>
          <w:b/>
          <w:sz w:val="21"/>
          <w:szCs w:val="21"/>
        </w:rPr>
        <w:t>J MOORCROFT</w:t>
      </w:r>
    </w:p>
    <w:p w14:paraId="7A2C1059" w14:textId="77777777" w:rsidR="006C43D7" w:rsidRPr="008E2A22" w:rsidRDefault="006C43D7" w:rsidP="003A1D18">
      <w:pPr>
        <w:widowControl w:val="0"/>
        <w:tabs>
          <w:tab w:val="right" w:pos="0"/>
        </w:tabs>
        <w:spacing w:line="360" w:lineRule="auto"/>
        <w:contextualSpacing/>
        <w:jc w:val="right"/>
        <w:rPr>
          <w:rFonts w:cs="Arial"/>
          <w:b/>
          <w:sz w:val="21"/>
          <w:szCs w:val="21"/>
        </w:rPr>
      </w:pPr>
      <w:r w:rsidRPr="008E2A22">
        <w:rPr>
          <w:rFonts w:cs="Arial"/>
          <w:b/>
          <w:sz w:val="21"/>
          <w:szCs w:val="21"/>
        </w:rPr>
        <w:t>ACTING JUDGE OF THE HIGH COURT OF SOUTH AFRICA</w:t>
      </w:r>
    </w:p>
    <w:p w14:paraId="077C2590" w14:textId="7452355B" w:rsidR="006C43D7" w:rsidRPr="008E2A22" w:rsidRDefault="006C43D7" w:rsidP="003A1D18">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GAUTENG DIVISION</w:t>
      </w:r>
    </w:p>
    <w:p w14:paraId="40B9C946" w14:textId="77777777" w:rsidR="006C43D7" w:rsidRPr="008E2A22" w:rsidRDefault="006C43D7" w:rsidP="0005282E">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JOHANNESBURG</w:t>
      </w:r>
    </w:p>
    <w:p w14:paraId="326B529B" w14:textId="77777777" w:rsidR="006C43D7" w:rsidRPr="008E2A22" w:rsidRDefault="006C43D7" w:rsidP="003A1D18">
      <w:pPr>
        <w:widowControl w:val="0"/>
        <w:tabs>
          <w:tab w:val="right" w:pos="0"/>
          <w:tab w:val="left" w:pos="4253"/>
        </w:tabs>
        <w:spacing w:line="360" w:lineRule="auto"/>
        <w:contextualSpacing/>
        <w:jc w:val="center"/>
        <w:rPr>
          <w:rFonts w:cs="Arial"/>
          <w:b/>
          <w:sz w:val="21"/>
          <w:szCs w:val="21"/>
        </w:rPr>
      </w:pPr>
    </w:p>
    <w:p w14:paraId="5A4CC56C" w14:textId="051C4E22" w:rsidR="006C43D7" w:rsidRPr="008E2A22" w:rsidRDefault="006C43D7" w:rsidP="003A1D18">
      <w:pPr>
        <w:widowControl w:val="0"/>
        <w:spacing w:after="200" w:line="480" w:lineRule="auto"/>
        <w:contextualSpacing/>
        <w:jc w:val="right"/>
        <w:rPr>
          <w:rFonts w:cs="Arial"/>
          <w:b/>
          <w:i/>
          <w:iCs/>
          <w:sz w:val="21"/>
          <w:szCs w:val="21"/>
        </w:rPr>
      </w:pPr>
      <w:r w:rsidRPr="008E2A22">
        <w:rPr>
          <w:rFonts w:cs="Arial"/>
          <w:b/>
          <w:i/>
          <w:iCs/>
          <w:sz w:val="21"/>
          <w:szCs w:val="21"/>
        </w:rPr>
        <w:t>Electronically submitted</w:t>
      </w:r>
    </w:p>
    <w:p w14:paraId="482DDF6E" w14:textId="7ADE3985" w:rsidR="006C43D7" w:rsidRPr="008E2A22" w:rsidRDefault="006C43D7" w:rsidP="00A84915">
      <w:pPr>
        <w:widowControl w:val="0"/>
        <w:spacing w:after="200" w:line="360" w:lineRule="auto"/>
        <w:contextualSpacing/>
        <w:jc w:val="both"/>
        <w:rPr>
          <w:rFonts w:eastAsia="Arial Unicode MS" w:cs="Arial"/>
          <w:b/>
          <w:sz w:val="21"/>
          <w:szCs w:val="21"/>
        </w:rPr>
      </w:pPr>
      <w:r w:rsidRPr="008E2A22">
        <w:rPr>
          <w:rFonts w:eastAsia="Arial Unicode MS" w:cs="Arial"/>
          <w:bCs/>
          <w:sz w:val="21"/>
          <w:szCs w:val="21"/>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8E2A22">
        <w:rPr>
          <w:rFonts w:eastAsia="Arial Unicode MS" w:cs="Arial"/>
          <w:b/>
          <w:sz w:val="21"/>
          <w:szCs w:val="21"/>
        </w:rPr>
        <w:t xml:space="preserve"> </w:t>
      </w:r>
      <w:r w:rsidR="0005282E" w:rsidRPr="008E2A22">
        <w:rPr>
          <w:rFonts w:eastAsia="Arial Unicode MS" w:cs="Arial"/>
          <w:b/>
          <w:sz w:val="21"/>
          <w:szCs w:val="21"/>
        </w:rPr>
        <w:t xml:space="preserve"> </w:t>
      </w:r>
      <w:r w:rsidR="00B664E5" w:rsidRPr="008E2A22">
        <w:rPr>
          <w:rFonts w:eastAsia="Arial Unicode MS" w:cs="Arial"/>
          <w:b/>
          <w:sz w:val="21"/>
          <w:szCs w:val="21"/>
        </w:rPr>
        <w:t>2</w:t>
      </w:r>
      <w:r w:rsidR="00140454">
        <w:rPr>
          <w:rFonts w:eastAsia="Arial Unicode MS" w:cs="Arial"/>
          <w:b/>
          <w:sz w:val="21"/>
          <w:szCs w:val="21"/>
        </w:rPr>
        <w:t>9</w:t>
      </w:r>
      <w:r w:rsidR="00B664E5" w:rsidRPr="008E2A22">
        <w:rPr>
          <w:rFonts w:eastAsia="Arial Unicode MS" w:cs="Arial"/>
          <w:b/>
          <w:sz w:val="21"/>
          <w:szCs w:val="21"/>
        </w:rPr>
        <w:t xml:space="preserve"> FEBRUARY</w:t>
      </w:r>
      <w:r w:rsidR="000976D2" w:rsidRPr="008E2A22">
        <w:rPr>
          <w:rFonts w:eastAsia="Arial Unicode MS" w:cs="Arial"/>
          <w:b/>
          <w:sz w:val="21"/>
          <w:szCs w:val="21"/>
        </w:rPr>
        <w:t xml:space="preserve"> </w:t>
      </w:r>
      <w:r w:rsidR="00D33A54" w:rsidRPr="008E2A22">
        <w:rPr>
          <w:rFonts w:eastAsia="Arial Unicode MS" w:cs="Arial"/>
          <w:b/>
          <w:sz w:val="21"/>
          <w:szCs w:val="21"/>
        </w:rPr>
        <w:t>2024</w:t>
      </w:r>
    </w:p>
    <w:p w14:paraId="74CD3952" w14:textId="77777777" w:rsidR="00A84915" w:rsidRPr="008E2A22" w:rsidRDefault="00A84915" w:rsidP="00A84915">
      <w:pPr>
        <w:widowControl w:val="0"/>
        <w:spacing w:after="200" w:line="360" w:lineRule="auto"/>
        <w:contextualSpacing/>
        <w:jc w:val="both"/>
        <w:rPr>
          <w:rFonts w:cs="Arial"/>
          <w:b/>
          <w:sz w:val="21"/>
          <w:szCs w:val="21"/>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8E2A22" w14:paraId="493AF0D7" w14:textId="77777777" w:rsidTr="00615F6B">
        <w:tc>
          <w:tcPr>
            <w:tcW w:w="4678" w:type="dxa"/>
          </w:tcPr>
          <w:p w14:paraId="6A05541A" w14:textId="26EE026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404A52" w:rsidRPr="008E2A22">
              <w:rPr>
                <w:rFonts w:cs="Arial"/>
                <w:sz w:val="21"/>
                <w:szCs w:val="21"/>
              </w:rPr>
              <w:t xml:space="preserve">THE </w:t>
            </w:r>
            <w:r w:rsidR="000976D2" w:rsidRPr="008E2A22">
              <w:rPr>
                <w:rFonts w:cs="Arial"/>
                <w:sz w:val="21"/>
                <w:szCs w:val="21"/>
              </w:rPr>
              <w:t xml:space="preserve"> </w:t>
            </w:r>
            <w:r w:rsidR="00404A52" w:rsidRPr="008E2A22">
              <w:rPr>
                <w:rFonts w:cs="Arial"/>
                <w:sz w:val="21"/>
                <w:szCs w:val="21"/>
              </w:rPr>
              <w:t>APPLICANT</w:t>
            </w:r>
            <w:r w:rsidR="00D33A54" w:rsidRPr="008E2A22">
              <w:rPr>
                <w:rFonts w:cs="Arial"/>
                <w:sz w:val="21"/>
                <w:szCs w:val="21"/>
              </w:rPr>
              <w:t>/ DEFENDANT</w:t>
            </w:r>
            <w:r w:rsidRPr="008E2A22">
              <w:rPr>
                <w:rFonts w:cs="Arial"/>
                <w:sz w:val="21"/>
                <w:szCs w:val="21"/>
              </w:rPr>
              <w:t>:</w:t>
            </w:r>
          </w:p>
        </w:tc>
        <w:tc>
          <w:tcPr>
            <w:tcW w:w="3935" w:type="dxa"/>
          </w:tcPr>
          <w:p w14:paraId="69785AA9" w14:textId="76D565B1" w:rsidR="000976D2" w:rsidRPr="008E2A22" w:rsidRDefault="00D33A54" w:rsidP="00D65571">
            <w:pPr>
              <w:tabs>
                <w:tab w:val="right" w:pos="0"/>
                <w:tab w:val="left" w:pos="567"/>
                <w:tab w:val="right" w:pos="2727"/>
                <w:tab w:val="left" w:pos="4253"/>
              </w:tabs>
              <w:spacing w:before="120" w:after="120"/>
              <w:jc w:val="right"/>
              <w:rPr>
                <w:rFonts w:cs="Arial"/>
                <w:sz w:val="21"/>
                <w:szCs w:val="21"/>
              </w:rPr>
            </w:pPr>
            <w:r w:rsidRPr="008E2A22">
              <w:rPr>
                <w:rFonts w:cs="Arial"/>
                <w:sz w:val="21"/>
                <w:szCs w:val="21"/>
              </w:rPr>
              <w:t>L A MARKS</w:t>
            </w:r>
          </w:p>
        </w:tc>
      </w:tr>
      <w:tr w:rsidR="009D35B5" w:rsidRPr="008E2A22" w14:paraId="183C176D" w14:textId="77777777" w:rsidTr="00615F6B">
        <w:tc>
          <w:tcPr>
            <w:tcW w:w="4678" w:type="dxa"/>
          </w:tcPr>
          <w:p w14:paraId="75365413" w14:textId="481747BC"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BY:</w:t>
            </w:r>
          </w:p>
        </w:tc>
        <w:tc>
          <w:tcPr>
            <w:tcW w:w="3935" w:type="dxa"/>
          </w:tcPr>
          <w:p w14:paraId="4044534A" w14:textId="5E226549" w:rsidR="00E10D04" w:rsidRPr="008E2A22" w:rsidRDefault="00B664E5" w:rsidP="00A25AB4">
            <w:pPr>
              <w:tabs>
                <w:tab w:val="right" w:pos="0"/>
                <w:tab w:val="left" w:pos="4253"/>
              </w:tabs>
              <w:spacing w:before="120" w:after="120"/>
              <w:jc w:val="right"/>
              <w:rPr>
                <w:rFonts w:cs="Arial"/>
                <w:sz w:val="21"/>
                <w:szCs w:val="21"/>
              </w:rPr>
            </w:pPr>
            <w:r w:rsidRPr="008E2A22">
              <w:rPr>
                <w:rFonts w:cs="Arial"/>
                <w:sz w:val="21"/>
                <w:szCs w:val="21"/>
              </w:rPr>
              <w:t>LARRY MARKS ATTORNEYS</w:t>
            </w:r>
          </w:p>
        </w:tc>
      </w:tr>
      <w:tr w:rsidR="009D35B5" w:rsidRPr="008E2A22" w14:paraId="6E2BF966" w14:textId="77777777" w:rsidTr="00615F6B">
        <w:tc>
          <w:tcPr>
            <w:tcW w:w="4678" w:type="dxa"/>
          </w:tcPr>
          <w:p w14:paraId="545B6665" w14:textId="030A923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027D19" w:rsidRPr="008E2A22">
              <w:rPr>
                <w:rFonts w:cs="Arial"/>
                <w:sz w:val="21"/>
                <w:szCs w:val="21"/>
              </w:rPr>
              <w:t>RESPONDENT</w:t>
            </w:r>
            <w:r w:rsidR="00D33A54" w:rsidRPr="008E2A22">
              <w:rPr>
                <w:rFonts w:cs="Arial"/>
                <w:sz w:val="21"/>
                <w:szCs w:val="21"/>
              </w:rPr>
              <w:t>/ PLAINTIFF</w:t>
            </w:r>
            <w:r w:rsidRPr="008E2A22">
              <w:rPr>
                <w:rFonts w:cs="Arial"/>
                <w:sz w:val="21"/>
                <w:szCs w:val="21"/>
              </w:rPr>
              <w:t>:</w:t>
            </w:r>
          </w:p>
        </w:tc>
        <w:tc>
          <w:tcPr>
            <w:tcW w:w="3935" w:type="dxa"/>
          </w:tcPr>
          <w:p w14:paraId="51741A90" w14:textId="68F7FB3C" w:rsidR="001966E8" w:rsidRPr="008E2A22" w:rsidRDefault="00B664E5" w:rsidP="00D65571">
            <w:pPr>
              <w:tabs>
                <w:tab w:val="right" w:pos="0"/>
                <w:tab w:val="left" w:pos="4253"/>
              </w:tabs>
              <w:spacing w:before="120" w:after="120"/>
              <w:jc w:val="right"/>
              <w:rPr>
                <w:rFonts w:cs="Arial"/>
                <w:sz w:val="21"/>
                <w:szCs w:val="21"/>
              </w:rPr>
            </w:pPr>
            <w:r w:rsidRPr="008E2A22">
              <w:rPr>
                <w:rFonts w:cs="Arial"/>
                <w:sz w:val="21"/>
                <w:szCs w:val="21"/>
              </w:rPr>
              <w:t>R DE LEEUW</w:t>
            </w:r>
          </w:p>
        </w:tc>
      </w:tr>
      <w:tr w:rsidR="009D35B5" w:rsidRPr="008E2A22" w14:paraId="1EC4105A" w14:textId="77777777" w:rsidTr="00615F6B">
        <w:tc>
          <w:tcPr>
            <w:tcW w:w="4678" w:type="dxa"/>
          </w:tcPr>
          <w:p w14:paraId="184EC2ED" w14:textId="1E42F28A"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BY:</w:t>
            </w:r>
          </w:p>
        </w:tc>
        <w:tc>
          <w:tcPr>
            <w:tcW w:w="3935" w:type="dxa"/>
          </w:tcPr>
          <w:p w14:paraId="2098BE2A" w14:textId="10B29BC0" w:rsidR="009D35B5" w:rsidRPr="008E2A22" w:rsidRDefault="00A429D5" w:rsidP="00A25AB4">
            <w:pPr>
              <w:tabs>
                <w:tab w:val="right" w:pos="0"/>
                <w:tab w:val="left" w:pos="4253"/>
              </w:tabs>
              <w:spacing w:before="120" w:after="120"/>
              <w:jc w:val="right"/>
              <w:rPr>
                <w:rFonts w:cs="Arial"/>
                <w:sz w:val="21"/>
                <w:szCs w:val="21"/>
              </w:rPr>
            </w:pPr>
            <w:r w:rsidRPr="008E2A22">
              <w:rPr>
                <w:rFonts w:cs="Arial"/>
                <w:sz w:val="21"/>
                <w:szCs w:val="21"/>
              </w:rPr>
              <w:t>HATTINGH &amp; NDZABANDZABA ATTORNEYS</w:t>
            </w:r>
          </w:p>
        </w:tc>
      </w:tr>
      <w:tr w:rsidR="009D35B5" w:rsidRPr="008E2A22" w14:paraId="2A3FE2B1" w14:textId="77777777" w:rsidTr="00615F6B">
        <w:tc>
          <w:tcPr>
            <w:tcW w:w="4678" w:type="dxa"/>
          </w:tcPr>
          <w:p w14:paraId="0767D0FE" w14:textId="61925A2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DATE </w:t>
            </w:r>
            <w:r w:rsidR="00E57446" w:rsidRPr="008E2A22">
              <w:rPr>
                <w:rFonts w:cs="Arial"/>
                <w:sz w:val="21"/>
                <w:szCs w:val="21"/>
              </w:rPr>
              <w:t>OF ARGUMENT</w:t>
            </w:r>
            <w:r w:rsidRPr="008E2A22">
              <w:rPr>
                <w:rFonts w:cs="Arial"/>
                <w:sz w:val="21"/>
                <w:szCs w:val="21"/>
              </w:rPr>
              <w:t>:</w:t>
            </w:r>
          </w:p>
        </w:tc>
        <w:tc>
          <w:tcPr>
            <w:tcW w:w="3935" w:type="dxa"/>
          </w:tcPr>
          <w:p w14:paraId="34C95147" w14:textId="3EA744D2" w:rsidR="009D35B5" w:rsidRPr="008E2A22" w:rsidRDefault="00D33A54" w:rsidP="00A25AB4">
            <w:pPr>
              <w:tabs>
                <w:tab w:val="right" w:pos="0"/>
                <w:tab w:val="left" w:pos="4253"/>
              </w:tabs>
              <w:spacing w:before="120" w:after="120"/>
              <w:jc w:val="right"/>
              <w:rPr>
                <w:rFonts w:cs="Arial"/>
                <w:sz w:val="21"/>
                <w:szCs w:val="21"/>
              </w:rPr>
            </w:pPr>
            <w:r w:rsidRPr="008E2A22">
              <w:rPr>
                <w:rFonts w:cs="Arial"/>
                <w:sz w:val="21"/>
                <w:szCs w:val="21"/>
              </w:rPr>
              <w:t>22 FEBRUARY 2024</w:t>
            </w:r>
          </w:p>
        </w:tc>
      </w:tr>
      <w:tr w:rsidR="00A25AB4" w:rsidRPr="008E2A22" w14:paraId="5ECDFF3A" w14:textId="77777777" w:rsidTr="00615F6B">
        <w:tc>
          <w:tcPr>
            <w:tcW w:w="4678" w:type="dxa"/>
          </w:tcPr>
          <w:p w14:paraId="1DF2AE9E" w14:textId="1FC539A4" w:rsidR="00A25AB4" w:rsidRPr="008E2A22" w:rsidRDefault="00A25AB4" w:rsidP="00A25AB4">
            <w:pPr>
              <w:tabs>
                <w:tab w:val="right" w:pos="0"/>
                <w:tab w:val="left" w:pos="4253"/>
              </w:tabs>
              <w:spacing w:before="120" w:after="120"/>
              <w:rPr>
                <w:rFonts w:cs="Arial"/>
                <w:sz w:val="21"/>
                <w:szCs w:val="21"/>
              </w:rPr>
            </w:pPr>
            <w:r w:rsidRPr="008E2A22">
              <w:rPr>
                <w:rFonts w:cs="Arial"/>
                <w:sz w:val="21"/>
                <w:szCs w:val="21"/>
              </w:rPr>
              <w:t>DATE OF JUDGMENT:</w:t>
            </w:r>
          </w:p>
        </w:tc>
        <w:tc>
          <w:tcPr>
            <w:tcW w:w="3935" w:type="dxa"/>
          </w:tcPr>
          <w:p w14:paraId="02219E99" w14:textId="37EC6A5E" w:rsidR="00A25AB4" w:rsidRPr="008E2A22" w:rsidRDefault="00B664E5" w:rsidP="00A25AB4">
            <w:pPr>
              <w:tabs>
                <w:tab w:val="right" w:pos="0"/>
                <w:tab w:val="left" w:pos="4253"/>
              </w:tabs>
              <w:spacing w:before="120" w:after="120"/>
              <w:jc w:val="right"/>
              <w:rPr>
                <w:rFonts w:cs="Arial"/>
                <w:sz w:val="21"/>
                <w:szCs w:val="21"/>
              </w:rPr>
            </w:pPr>
            <w:r w:rsidRPr="008E2A22">
              <w:rPr>
                <w:rFonts w:cs="Arial"/>
                <w:sz w:val="21"/>
                <w:szCs w:val="21"/>
              </w:rPr>
              <w:t>2</w:t>
            </w:r>
            <w:r w:rsidR="00140454">
              <w:rPr>
                <w:rFonts w:cs="Arial"/>
                <w:sz w:val="21"/>
                <w:szCs w:val="21"/>
              </w:rPr>
              <w:t>9</w:t>
            </w:r>
            <w:r w:rsidRPr="008E2A22">
              <w:rPr>
                <w:rFonts w:cs="Arial"/>
                <w:sz w:val="21"/>
                <w:szCs w:val="21"/>
              </w:rPr>
              <w:t xml:space="preserve"> FEBRUARY </w:t>
            </w:r>
            <w:r w:rsidR="00D33A54" w:rsidRPr="008E2A22">
              <w:rPr>
                <w:rFonts w:cs="Arial"/>
                <w:sz w:val="21"/>
                <w:szCs w:val="21"/>
              </w:rPr>
              <w:t>2024</w:t>
            </w:r>
          </w:p>
        </w:tc>
      </w:tr>
      <w:bookmarkEnd w:id="0"/>
    </w:tbl>
    <w:p w14:paraId="1BD8F4EB" w14:textId="491B3C8F" w:rsidR="00A402F6" w:rsidRPr="008E2A22" w:rsidRDefault="00A402F6" w:rsidP="008E2A22">
      <w:pPr>
        <w:widowControl w:val="0"/>
        <w:spacing w:before="480" w:after="480" w:line="360" w:lineRule="auto"/>
        <w:jc w:val="both"/>
        <w:rPr>
          <w:rFonts w:cs="Arial"/>
          <w:sz w:val="21"/>
          <w:szCs w:val="21"/>
        </w:rPr>
      </w:pPr>
    </w:p>
    <w:sectPr w:rsidR="00A402F6" w:rsidRPr="008E2A22" w:rsidSect="002E2648">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61F9" w14:textId="77777777" w:rsidR="006A7471" w:rsidRPr="008E2A22" w:rsidRDefault="006A7471">
      <w:pPr>
        <w:rPr>
          <w:sz w:val="21"/>
          <w:szCs w:val="21"/>
        </w:rPr>
      </w:pPr>
      <w:r w:rsidRPr="008E2A22">
        <w:rPr>
          <w:sz w:val="21"/>
          <w:szCs w:val="21"/>
        </w:rPr>
        <w:separator/>
      </w:r>
    </w:p>
  </w:endnote>
  <w:endnote w:type="continuationSeparator" w:id="0">
    <w:p w14:paraId="023EE5D4" w14:textId="77777777" w:rsidR="006A7471" w:rsidRPr="008E2A22" w:rsidRDefault="006A7471">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A76E9" w14:textId="77777777" w:rsidR="006A7471" w:rsidRPr="008E2A22" w:rsidRDefault="006A7471">
      <w:pPr>
        <w:rPr>
          <w:sz w:val="21"/>
          <w:szCs w:val="21"/>
        </w:rPr>
      </w:pPr>
      <w:r w:rsidRPr="008E2A22">
        <w:rPr>
          <w:sz w:val="21"/>
          <w:szCs w:val="21"/>
        </w:rPr>
        <w:separator/>
      </w:r>
    </w:p>
  </w:footnote>
  <w:footnote w:type="continuationSeparator" w:id="0">
    <w:p w14:paraId="5D66302A" w14:textId="77777777" w:rsidR="006A7471" w:rsidRPr="008E2A22" w:rsidRDefault="006A7471">
      <w:pPr>
        <w:rPr>
          <w:sz w:val="21"/>
          <w:szCs w:val="21"/>
        </w:rPr>
      </w:pPr>
      <w:r w:rsidRPr="008E2A22">
        <w:rPr>
          <w:sz w:val="21"/>
          <w:szCs w:val="21"/>
        </w:rPr>
        <w:continuationSeparator/>
      </w:r>
    </w:p>
  </w:footnote>
  <w:footnote w:id="1">
    <w:p w14:paraId="5993D829" w14:textId="38CBCEB8" w:rsidR="00F967E1" w:rsidRPr="008E2A22" w:rsidRDefault="00F967E1">
      <w:pPr>
        <w:pStyle w:val="FootnoteText"/>
        <w:rPr>
          <w:sz w:val="19"/>
          <w:szCs w:val="19"/>
        </w:rPr>
      </w:pPr>
      <w:r w:rsidRPr="008E2A22">
        <w:rPr>
          <w:rStyle w:val="FootnoteReference"/>
          <w:sz w:val="19"/>
          <w:szCs w:val="19"/>
        </w:rPr>
        <w:footnoteRef/>
      </w:r>
      <w:r w:rsidRPr="008E2A22">
        <w:rPr>
          <w:sz w:val="19"/>
          <w:szCs w:val="19"/>
        </w:rPr>
        <w:t xml:space="preserve"> </w:t>
      </w:r>
      <w:r w:rsidRPr="008E2A22">
        <w:rPr>
          <w:sz w:val="19"/>
          <w:szCs w:val="19"/>
        </w:rPr>
        <w:tab/>
      </w:r>
      <w:r w:rsidR="00C16519" w:rsidRPr="008E2A22">
        <w:rPr>
          <w:sz w:val="19"/>
          <w:szCs w:val="19"/>
        </w:rPr>
        <w:t xml:space="preserve">The subrule reads as follows: </w:t>
      </w:r>
      <w:r w:rsidRPr="008E2A22">
        <w:rPr>
          <w:i/>
          <w:iCs/>
          <w:sz w:val="19"/>
          <w:szCs w:val="19"/>
        </w:rPr>
        <w:t>“Any party dissatisfied with a judgment granted or direction given by the registrar may, within 20 days after such party has acquired knowledge of such judgment or direction, set the matter down for reconsideration by the court.”</w:t>
      </w:r>
    </w:p>
  </w:footnote>
  <w:footnote w:id="2">
    <w:p w14:paraId="5888EE4A" w14:textId="7DC62CCD" w:rsidR="00B1182B" w:rsidRPr="008E2A22" w:rsidRDefault="00B1182B" w:rsidP="00B1182B">
      <w:pPr>
        <w:pStyle w:val="FootnoteText"/>
        <w:rPr>
          <w:sz w:val="19"/>
          <w:szCs w:val="19"/>
          <w:lang w:val="en-GB"/>
        </w:rPr>
      </w:pPr>
      <w:r w:rsidRPr="008E2A22">
        <w:rPr>
          <w:rStyle w:val="FootnoteReference"/>
          <w:sz w:val="19"/>
          <w:szCs w:val="19"/>
        </w:rPr>
        <w:footnoteRef/>
      </w:r>
      <w:r w:rsidRPr="008E2A22">
        <w:rPr>
          <w:sz w:val="19"/>
          <w:szCs w:val="19"/>
        </w:rPr>
        <w:t xml:space="preserve"> </w:t>
      </w:r>
      <w:r w:rsidRPr="008E2A22">
        <w:rPr>
          <w:sz w:val="19"/>
          <w:szCs w:val="19"/>
        </w:rPr>
        <w:tab/>
        <w:t xml:space="preserve">See </w:t>
      </w:r>
      <w:r w:rsidRPr="008E2A22">
        <w:rPr>
          <w:i/>
          <w:iCs/>
          <w:sz w:val="19"/>
          <w:szCs w:val="19"/>
        </w:rPr>
        <w:t>Silber v Ozen Wholesalers (Pty) Ltd</w:t>
      </w:r>
      <w:r w:rsidRPr="008E2A22">
        <w:rPr>
          <w:sz w:val="19"/>
          <w:szCs w:val="19"/>
        </w:rPr>
        <w:t xml:space="preserve"> 1954 (2) SA 345 (A) 353A and the various cases referred to by Van Loggerenberg </w:t>
      </w:r>
      <w:r w:rsidRPr="008E2A22">
        <w:rPr>
          <w:i/>
          <w:iCs/>
          <w:sz w:val="19"/>
          <w:szCs w:val="19"/>
        </w:rPr>
        <w:t xml:space="preserve">Erasmus: Superior Court Practice </w:t>
      </w:r>
      <w:r w:rsidRPr="008E2A22">
        <w:rPr>
          <w:sz w:val="19"/>
          <w:szCs w:val="19"/>
        </w:rPr>
        <w:t>D1-365</w:t>
      </w:r>
      <w:r w:rsidRPr="008E2A22">
        <w:rPr>
          <w:i/>
          <w:iCs/>
          <w:sz w:val="19"/>
          <w:szCs w:val="19"/>
        </w:rPr>
        <w:t xml:space="preserve"> et seq.</w:t>
      </w:r>
    </w:p>
  </w:footnote>
  <w:footnote w:id="3">
    <w:p w14:paraId="1A13D1D3" w14:textId="6D15E43A" w:rsidR="00EC00AF" w:rsidRPr="008E2A22" w:rsidRDefault="00EC00AF">
      <w:pPr>
        <w:pStyle w:val="FootnoteText"/>
        <w:rPr>
          <w:sz w:val="19"/>
          <w:szCs w:val="19"/>
          <w:lang w:val="en-GB"/>
        </w:rPr>
      </w:pPr>
      <w:r w:rsidRPr="008E2A22">
        <w:rPr>
          <w:rStyle w:val="FootnoteReference"/>
          <w:sz w:val="19"/>
          <w:szCs w:val="19"/>
        </w:rPr>
        <w:footnoteRef/>
      </w:r>
      <w:r w:rsidRPr="008E2A22">
        <w:rPr>
          <w:sz w:val="19"/>
          <w:szCs w:val="19"/>
        </w:rPr>
        <w:t xml:space="preserve"> </w:t>
      </w:r>
      <w:r w:rsidRPr="008E2A22">
        <w:rPr>
          <w:sz w:val="19"/>
          <w:szCs w:val="19"/>
        </w:rPr>
        <w:tab/>
      </w:r>
      <w:r w:rsidRPr="008E2A22">
        <w:rPr>
          <w:i/>
          <w:iCs/>
          <w:sz w:val="19"/>
          <w:szCs w:val="19"/>
        </w:rPr>
        <w:t>Van Wyk v Unitas Hospital and Another (Open Democratic Advice Centre as Amicus Curiae)</w:t>
      </w:r>
      <w:r w:rsidRPr="008E2A22">
        <w:rPr>
          <w:sz w:val="19"/>
          <w:szCs w:val="19"/>
        </w:rPr>
        <w:t xml:space="preserve"> 2008 (2) SA 472 (CC) paras 20 to 22.</w:t>
      </w:r>
    </w:p>
  </w:footnote>
  <w:footnote w:id="4">
    <w:p w14:paraId="347040C5" w14:textId="71D67F76" w:rsidR="00EE50EE" w:rsidRPr="008E2A22" w:rsidRDefault="00EE50EE" w:rsidP="00EE50EE">
      <w:pPr>
        <w:pStyle w:val="FootnoteText"/>
        <w:rPr>
          <w:sz w:val="19"/>
          <w:szCs w:val="19"/>
          <w:lang w:val="en-GB"/>
        </w:rPr>
      </w:pPr>
      <w:r w:rsidRPr="008E2A22">
        <w:rPr>
          <w:rStyle w:val="FootnoteReference"/>
          <w:sz w:val="19"/>
          <w:szCs w:val="19"/>
        </w:rPr>
        <w:footnoteRef/>
      </w:r>
      <w:r w:rsidRPr="008E2A22">
        <w:rPr>
          <w:sz w:val="19"/>
          <w:szCs w:val="19"/>
        </w:rPr>
        <w:t xml:space="preserve"> </w:t>
      </w:r>
      <w:r w:rsidRPr="008E2A22">
        <w:rPr>
          <w:sz w:val="19"/>
          <w:szCs w:val="19"/>
          <w:lang w:val="en-GB"/>
        </w:rPr>
        <w:tab/>
        <w:t>Rule 4(1)(a)(ii) provides for service of process</w:t>
      </w:r>
      <w:r w:rsidR="006D3D1D" w:rsidRPr="008E2A22">
        <w:rPr>
          <w:sz w:val="19"/>
          <w:szCs w:val="19"/>
          <w:lang w:val="en-GB"/>
        </w:rPr>
        <w:t xml:space="preserve"> on a person</w:t>
      </w:r>
      <w:r w:rsidRPr="008E2A22">
        <w:rPr>
          <w:sz w:val="19"/>
          <w:szCs w:val="19"/>
          <w:lang w:val="en-GB"/>
        </w:rPr>
        <w:t xml:space="preserve"> </w:t>
      </w:r>
      <w:r w:rsidRPr="008E2A22">
        <w:rPr>
          <w:i/>
          <w:iCs/>
          <w:sz w:val="19"/>
          <w:szCs w:val="19"/>
        </w:rPr>
        <w:t>“by leaving a copy thereof at the place of residence or business of the said person, guardian, tutor, curator or the like with the person apparently in charge of the premises at the time of delivery, being a person apparently not less than sixteen years of age. For the purposes of this paragraph when a building, other than an hotel, boarding-house, hostel or similar residential building, is occupied by more than one person or family, ‘residence’ or ‘place of business’ means that portion of the building occupied by the person upon whom service is to be effected;”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2DF8A4A0"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7728EC">
      <w:rPr>
        <w:rFonts w:cs="Arial"/>
        <w:noProof/>
        <w:sz w:val="19"/>
        <w:szCs w:val="19"/>
        <w:lang w:val="en-GB"/>
      </w:rPr>
      <w:t>6</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6"/>
  </w:num>
  <w:num w:numId="4">
    <w:abstractNumId w:val="9"/>
  </w:num>
  <w:num w:numId="5">
    <w:abstractNumId w:val="15"/>
  </w:num>
  <w:num w:numId="6">
    <w:abstractNumId w:val="13"/>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4"/>
  </w:num>
  <w:num w:numId="14">
    <w:abstractNumId w:val="12"/>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s7C0NLAwNDIzN7dU0lEKTi0uzszPAykwrAUADrV8+CwAAAA="/>
    <w:docVar w:name="dgnword-docGUID" w:val="{6E31C949-5E6D-48F1-92FC-A49A0634A808}"/>
    <w:docVar w:name="dgnword-eventsink" w:val="1885143262608"/>
  </w:docVars>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40454"/>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2371"/>
    <w:rsid w:val="001C33E6"/>
    <w:rsid w:val="001C608F"/>
    <w:rsid w:val="001C7048"/>
    <w:rsid w:val="001D3CC2"/>
    <w:rsid w:val="001E0529"/>
    <w:rsid w:val="001E2EED"/>
    <w:rsid w:val="001E44D1"/>
    <w:rsid w:val="001E4691"/>
    <w:rsid w:val="001E518E"/>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C15AC"/>
    <w:rsid w:val="002C2E80"/>
    <w:rsid w:val="002C4687"/>
    <w:rsid w:val="002C48E7"/>
    <w:rsid w:val="002D2842"/>
    <w:rsid w:val="002D47B3"/>
    <w:rsid w:val="002E0E37"/>
    <w:rsid w:val="002E2648"/>
    <w:rsid w:val="002E3586"/>
    <w:rsid w:val="002E5B57"/>
    <w:rsid w:val="002E612C"/>
    <w:rsid w:val="002E6CD7"/>
    <w:rsid w:val="002F1C4D"/>
    <w:rsid w:val="002F2881"/>
    <w:rsid w:val="002F41F8"/>
    <w:rsid w:val="002F4A5D"/>
    <w:rsid w:val="002F508A"/>
    <w:rsid w:val="002F72D3"/>
    <w:rsid w:val="002F774A"/>
    <w:rsid w:val="00302290"/>
    <w:rsid w:val="003023F9"/>
    <w:rsid w:val="00302C31"/>
    <w:rsid w:val="003031A1"/>
    <w:rsid w:val="00303919"/>
    <w:rsid w:val="003047C2"/>
    <w:rsid w:val="0030653F"/>
    <w:rsid w:val="00306B41"/>
    <w:rsid w:val="003102C8"/>
    <w:rsid w:val="0031117B"/>
    <w:rsid w:val="00312EBC"/>
    <w:rsid w:val="00313056"/>
    <w:rsid w:val="00321DF8"/>
    <w:rsid w:val="00323058"/>
    <w:rsid w:val="00324EDF"/>
    <w:rsid w:val="003312BF"/>
    <w:rsid w:val="003313A2"/>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165E"/>
    <w:rsid w:val="004923A9"/>
    <w:rsid w:val="00494337"/>
    <w:rsid w:val="00495F7C"/>
    <w:rsid w:val="004976D5"/>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D1A31"/>
    <w:rsid w:val="004D1A91"/>
    <w:rsid w:val="004D2123"/>
    <w:rsid w:val="004D262A"/>
    <w:rsid w:val="004D2C6F"/>
    <w:rsid w:val="004D2E01"/>
    <w:rsid w:val="004D3237"/>
    <w:rsid w:val="004D3FD6"/>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7126"/>
    <w:rsid w:val="00537A72"/>
    <w:rsid w:val="005405F8"/>
    <w:rsid w:val="00542EAE"/>
    <w:rsid w:val="00546878"/>
    <w:rsid w:val="005509BE"/>
    <w:rsid w:val="00560E18"/>
    <w:rsid w:val="005615BB"/>
    <w:rsid w:val="005621E7"/>
    <w:rsid w:val="00562B7E"/>
    <w:rsid w:val="00563355"/>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41A4"/>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58DA"/>
    <w:rsid w:val="00686C3F"/>
    <w:rsid w:val="006902F1"/>
    <w:rsid w:val="006918E9"/>
    <w:rsid w:val="00692A13"/>
    <w:rsid w:val="006951CE"/>
    <w:rsid w:val="00695B2C"/>
    <w:rsid w:val="006A1F2C"/>
    <w:rsid w:val="006A3B6B"/>
    <w:rsid w:val="006A438B"/>
    <w:rsid w:val="006A4F20"/>
    <w:rsid w:val="006A5A46"/>
    <w:rsid w:val="006A6039"/>
    <w:rsid w:val="006A7471"/>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28EC"/>
    <w:rsid w:val="007744FD"/>
    <w:rsid w:val="00775AB7"/>
    <w:rsid w:val="00776B34"/>
    <w:rsid w:val="00781088"/>
    <w:rsid w:val="00781AA0"/>
    <w:rsid w:val="00781CF7"/>
    <w:rsid w:val="00781D24"/>
    <w:rsid w:val="00782DE8"/>
    <w:rsid w:val="00786D45"/>
    <w:rsid w:val="00787202"/>
    <w:rsid w:val="00792E10"/>
    <w:rsid w:val="0079383D"/>
    <w:rsid w:val="007A006B"/>
    <w:rsid w:val="007A1D60"/>
    <w:rsid w:val="007A34D1"/>
    <w:rsid w:val="007A5BDB"/>
    <w:rsid w:val="007A7102"/>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2BD"/>
    <w:rsid w:val="008A389B"/>
    <w:rsid w:val="008A4DF4"/>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4139"/>
    <w:rsid w:val="00C0476F"/>
    <w:rsid w:val="00C0572E"/>
    <w:rsid w:val="00C1108E"/>
    <w:rsid w:val="00C14A51"/>
    <w:rsid w:val="00C14B1A"/>
    <w:rsid w:val="00C15C65"/>
    <w:rsid w:val="00C163C1"/>
    <w:rsid w:val="00C16519"/>
    <w:rsid w:val="00C16C1D"/>
    <w:rsid w:val="00C17853"/>
    <w:rsid w:val="00C17EE4"/>
    <w:rsid w:val="00C21656"/>
    <w:rsid w:val="00C21B3D"/>
    <w:rsid w:val="00C24267"/>
    <w:rsid w:val="00C243E6"/>
    <w:rsid w:val="00C26FA6"/>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09B6"/>
    <w:rsid w:val="00D31882"/>
    <w:rsid w:val="00D31BAB"/>
    <w:rsid w:val="00D31D27"/>
    <w:rsid w:val="00D32109"/>
    <w:rsid w:val="00D330B3"/>
    <w:rsid w:val="00D336A4"/>
    <w:rsid w:val="00D33A54"/>
    <w:rsid w:val="00D34AFB"/>
    <w:rsid w:val="00D352EE"/>
    <w:rsid w:val="00D35A03"/>
    <w:rsid w:val="00D3725D"/>
    <w:rsid w:val="00D37377"/>
    <w:rsid w:val="00D41830"/>
    <w:rsid w:val="00D45B8C"/>
    <w:rsid w:val="00D56058"/>
    <w:rsid w:val="00D567E0"/>
    <w:rsid w:val="00D56A09"/>
    <w:rsid w:val="00D57976"/>
    <w:rsid w:val="00D61F2D"/>
    <w:rsid w:val="00D630DE"/>
    <w:rsid w:val="00D63DBC"/>
    <w:rsid w:val="00D645C6"/>
    <w:rsid w:val="00D6548A"/>
    <w:rsid w:val="00D65571"/>
    <w:rsid w:val="00D65905"/>
    <w:rsid w:val="00D65A71"/>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598D"/>
    <w:rsid w:val="00E862E7"/>
    <w:rsid w:val="00E86395"/>
    <w:rsid w:val="00E86DF2"/>
    <w:rsid w:val="00E879EC"/>
    <w:rsid w:val="00E949F8"/>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E04EC"/>
    <w:rsid w:val="00EE21F2"/>
    <w:rsid w:val="00EE50EE"/>
    <w:rsid w:val="00EE55F9"/>
    <w:rsid w:val="00EE62A5"/>
    <w:rsid w:val="00EE63DE"/>
    <w:rsid w:val="00EE64F9"/>
    <w:rsid w:val="00EF00EA"/>
    <w:rsid w:val="00EF0CBA"/>
    <w:rsid w:val="00EF34E1"/>
    <w:rsid w:val="00EF3688"/>
    <w:rsid w:val="00EF36A0"/>
    <w:rsid w:val="00EF524C"/>
    <w:rsid w:val="00EF6CC3"/>
    <w:rsid w:val="00F00D0F"/>
    <w:rsid w:val="00F0109E"/>
    <w:rsid w:val="00F03A0B"/>
    <w:rsid w:val="00F11454"/>
    <w:rsid w:val="00F12E5A"/>
    <w:rsid w:val="00F2125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7AFC"/>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625E"/>
    <w:rsid w:val="00FA6B1E"/>
    <w:rsid w:val="00FB4165"/>
    <w:rsid w:val="00FB48E1"/>
    <w:rsid w:val="00FB59A0"/>
    <w:rsid w:val="00FC1484"/>
    <w:rsid w:val="00FC1792"/>
    <w:rsid w:val="00FC1944"/>
    <w:rsid w:val="00FC42BD"/>
    <w:rsid w:val="00FD2E9B"/>
    <w:rsid w:val="00FD378D"/>
    <w:rsid w:val="00FD41A2"/>
    <w:rsid w:val="00FE065B"/>
    <w:rsid w:val="00FE06D8"/>
    <w:rsid w:val="00FE17D2"/>
    <w:rsid w:val="00FE2BF0"/>
    <w:rsid w:val="00FE43C6"/>
    <w:rsid w:val="00FE78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880D-B6F6-4400-9E28-4B53013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5</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cp:lastModifiedBy>
  <cp:revision>3</cp:revision>
  <cp:lastPrinted>2023-08-22T07:45:00Z</cp:lastPrinted>
  <dcterms:created xsi:type="dcterms:W3CDTF">2024-03-01T12:28:00Z</dcterms:created>
  <dcterms:modified xsi:type="dcterms:W3CDTF">2024-03-01T19:15:00Z</dcterms:modified>
</cp:coreProperties>
</file>