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81421" w14:textId="1F039A82" w:rsidR="006C43D7" w:rsidRPr="000F7813" w:rsidRDefault="00AD3D5D" w:rsidP="00C74E97">
      <w:pPr>
        <w:spacing w:after="120" w:line="360" w:lineRule="auto"/>
        <w:jc w:val="center"/>
        <w:rPr>
          <w:rFonts w:cs="Arial"/>
          <w:b/>
          <w:bCs/>
          <w:szCs w:val="22"/>
        </w:rPr>
      </w:pPr>
      <w:bookmarkStart w:id="0" w:name="_GoBack"/>
      <w:r w:rsidRPr="000F7813">
        <w:rPr>
          <w:rFonts w:cs="Arial"/>
          <w:b/>
          <w:bCs/>
          <w:szCs w:val="22"/>
        </w:rPr>
        <w:t xml:space="preserve"> </w:t>
      </w:r>
      <w:r w:rsidR="006C43D7" w:rsidRPr="000F7813">
        <w:rPr>
          <w:rFonts w:cs="Arial"/>
          <w:b/>
          <w:bCs/>
          <w:noProof/>
          <w:szCs w:val="22"/>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0F7813" w:rsidRDefault="006C43D7" w:rsidP="00C74E97">
      <w:pPr>
        <w:spacing w:line="360" w:lineRule="auto"/>
        <w:jc w:val="center"/>
        <w:rPr>
          <w:rFonts w:cs="Arial"/>
          <w:b/>
          <w:szCs w:val="22"/>
        </w:rPr>
      </w:pPr>
      <w:r w:rsidRPr="000F7813">
        <w:rPr>
          <w:rFonts w:cs="Arial"/>
          <w:b/>
          <w:szCs w:val="22"/>
        </w:rPr>
        <w:t xml:space="preserve">IN THE HIGH COURT OF SOUTH AFRICA, </w:t>
      </w:r>
    </w:p>
    <w:p w14:paraId="566C4D1B" w14:textId="77777777" w:rsidR="006C43D7" w:rsidRPr="000F7813" w:rsidRDefault="006C43D7" w:rsidP="00C74E97">
      <w:pPr>
        <w:spacing w:line="360" w:lineRule="auto"/>
        <w:jc w:val="center"/>
        <w:rPr>
          <w:rFonts w:cs="Arial"/>
          <w:b/>
          <w:szCs w:val="22"/>
        </w:rPr>
      </w:pPr>
      <w:r w:rsidRPr="000F7813">
        <w:rPr>
          <w:rFonts w:cs="Arial"/>
          <w:b/>
          <w:szCs w:val="22"/>
        </w:rPr>
        <w:t>GAUTENG DIVISION, JOHANNESBURG</w:t>
      </w:r>
    </w:p>
    <w:p w14:paraId="13D6E83E" w14:textId="77777777" w:rsidR="006C43D7" w:rsidRPr="000F7813" w:rsidRDefault="006C43D7" w:rsidP="00C74E97">
      <w:pPr>
        <w:spacing w:line="360" w:lineRule="auto"/>
        <w:jc w:val="both"/>
        <w:rPr>
          <w:rFonts w:cs="Arial"/>
          <w:b/>
          <w:szCs w:val="22"/>
        </w:rPr>
      </w:pPr>
    </w:p>
    <w:p w14:paraId="0AF8DD38" w14:textId="09515C45" w:rsidR="006C43D7" w:rsidRPr="000F7813" w:rsidRDefault="00F913C7" w:rsidP="00C74E97">
      <w:pPr>
        <w:spacing w:line="360" w:lineRule="auto"/>
        <w:jc w:val="right"/>
        <w:rPr>
          <w:rFonts w:cs="Arial"/>
          <w:b/>
          <w:szCs w:val="22"/>
        </w:rPr>
      </w:pPr>
      <w:r w:rsidRPr="000F7813">
        <w:rPr>
          <w:rFonts w:cs="Arial"/>
          <w:b/>
          <w:szCs w:val="22"/>
        </w:rPr>
        <w:t xml:space="preserve">CASE NO: </w:t>
      </w:r>
      <w:r w:rsidR="00C56E55">
        <w:rPr>
          <w:noProof/>
          <w:lang w:val="en-US"/>
        </w:rPr>
        <mc:AlternateContent>
          <mc:Choice Requires="wps">
            <w:drawing>
              <wp:anchor distT="0" distB="0" distL="114300" distR="114300" simplePos="0" relativeHeight="251659264" behindDoc="0" locked="0" layoutInCell="1" allowOverlap="1" wp14:anchorId="15401FE8" wp14:editId="56542595">
                <wp:simplePos x="0" y="0"/>
                <wp:positionH relativeFrom="margin">
                  <wp:align>left</wp:align>
                </wp:positionH>
                <wp:positionV relativeFrom="paragraph">
                  <wp:posOffset>49530</wp:posOffset>
                </wp:positionV>
                <wp:extent cx="3314700" cy="1592580"/>
                <wp:effectExtent l="0" t="0" r="0" b="7620"/>
                <wp:wrapNone/>
                <wp:docPr id="119049700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893C08" w:rsidRPr="00913F95" w:rsidRDefault="00893C08" w:rsidP="006C43D7">
                            <w:pPr>
                              <w:jc w:val="center"/>
                              <w:rPr>
                                <w:rFonts w:ascii="Century Gothic" w:hAnsi="Century Gothic"/>
                                <w:b/>
                                <w:sz w:val="20"/>
                                <w:szCs w:val="20"/>
                              </w:rPr>
                            </w:pPr>
                          </w:p>
                          <w:p w14:paraId="01FDAE28" w14:textId="0A6BCDE4" w:rsidR="00893C08" w:rsidRDefault="00DE4970" w:rsidP="00DE4970">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93C08" w:rsidRPr="001D3CC2">
                              <w:rPr>
                                <w:rFonts w:ascii="Century Gothic" w:hAnsi="Century Gothic"/>
                                <w:sz w:val="20"/>
                                <w:szCs w:val="20"/>
                              </w:rPr>
                              <w:t xml:space="preserve">REPORTABLE: </w:t>
                            </w:r>
                            <w:r w:rsidR="004F5D23">
                              <w:rPr>
                                <w:rFonts w:ascii="Century Gothic" w:hAnsi="Century Gothic"/>
                                <w:sz w:val="20"/>
                                <w:szCs w:val="20"/>
                              </w:rPr>
                              <w:t>NO</w:t>
                            </w:r>
                          </w:p>
                          <w:p w14:paraId="3A4C7296" w14:textId="6A243756" w:rsidR="00893C08" w:rsidRDefault="00DE4970" w:rsidP="00DE4970">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893C08" w:rsidRPr="001D3CC2">
                              <w:rPr>
                                <w:rFonts w:ascii="Century Gothic" w:hAnsi="Century Gothic"/>
                                <w:sz w:val="20"/>
                                <w:szCs w:val="20"/>
                              </w:rPr>
                              <w:t>OF INTEREST TO OTHER JUDGES</w:t>
                            </w:r>
                            <w:r w:rsidR="00893C08">
                              <w:rPr>
                                <w:rFonts w:ascii="Century Gothic" w:hAnsi="Century Gothic"/>
                                <w:sz w:val="20"/>
                                <w:szCs w:val="20"/>
                              </w:rPr>
                              <w:t xml:space="preserve">: </w:t>
                            </w:r>
                            <w:r w:rsidR="00F913C7">
                              <w:rPr>
                                <w:rFonts w:ascii="Century Gothic" w:hAnsi="Century Gothic"/>
                                <w:sz w:val="20"/>
                                <w:szCs w:val="20"/>
                              </w:rPr>
                              <w:t>NO</w:t>
                            </w:r>
                          </w:p>
                          <w:p w14:paraId="1545E4B8" w14:textId="74255A93" w:rsidR="00CA0F98" w:rsidRPr="001D3CC2" w:rsidRDefault="00CA0F98" w:rsidP="004479C3">
                            <w:pPr>
                              <w:rPr>
                                <w:rFonts w:ascii="Century Gothic" w:hAnsi="Century Gothic"/>
                                <w:sz w:val="20"/>
                                <w:szCs w:val="20"/>
                              </w:rPr>
                            </w:pPr>
                          </w:p>
                          <w:p w14:paraId="21D4A71B" w14:textId="5B58BFC8" w:rsidR="00893C08" w:rsidRPr="00913F95" w:rsidRDefault="00893C08" w:rsidP="001D3CC2">
                            <w:pPr>
                              <w:ind w:left="180"/>
                              <w:rPr>
                                <w:rFonts w:ascii="Century Gothic" w:hAnsi="Century Gothic"/>
                                <w:sz w:val="20"/>
                                <w:szCs w:val="20"/>
                              </w:rPr>
                            </w:pPr>
                          </w:p>
                          <w:p w14:paraId="761B7CA4" w14:textId="77777777" w:rsidR="00893C08" w:rsidRDefault="00893C08" w:rsidP="006C43D7">
                            <w:pPr>
                              <w:rPr>
                                <w:rFonts w:ascii="Century Gothic" w:hAnsi="Century Gothic"/>
                                <w:b/>
                                <w:sz w:val="18"/>
                                <w:szCs w:val="18"/>
                              </w:rPr>
                            </w:pPr>
                          </w:p>
                          <w:p w14:paraId="0EC4BA5C" w14:textId="61945B0D" w:rsidR="00893C08" w:rsidRPr="001D3CC2" w:rsidRDefault="00893C08"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893C08" w:rsidRPr="00084341" w:rsidRDefault="00893C08"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01FE8"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">
                <v:textbox>
                  <w:txbxContent>
                    <w:p w14:paraId="0EA4B470" w14:textId="77777777" w:rsidR="00893C08" w:rsidRPr="00913F95" w:rsidRDefault="00893C08" w:rsidP="006C43D7">
                      <w:pPr>
                        <w:jc w:val="center"/>
                        <w:rPr>
                          <w:rFonts w:ascii="Century Gothic" w:hAnsi="Century Gothic"/>
                          <w:b/>
                          <w:sz w:val="20"/>
                          <w:szCs w:val="20"/>
                        </w:rPr>
                      </w:pPr>
                    </w:p>
                    <w:p w14:paraId="01FDAE28" w14:textId="0A6BCDE4" w:rsidR="00893C08" w:rsidRDefault="00DE4970" w:rsidP="00DE4970">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93C08" w:rsidRPr="001D3CC2">
                        <w:rPr>
                          <w:rFonts w:ascii="Century Gothic" w:hAnsi="Century Gothic"/>
                          <w:sz w:val="20"/>
                          <w:szCs w:val="20"/>
                        </w:rPr>
                        <w:t xml:space="preserve">REPORTABLE: </w:t>
                      </w:r>
                      <w:r w:rsidR="004F5D23">
                        <w:rPr>
                          <w:rFonts w:ascii="Century Gothic" w:hAnsi="Century Gothic"/>
                          <w:sz w:val="20"/>
                          <w:szCs w:val="20"/>
                        </w:rPr>
                        <w:t>NO</w:t>
                      </w:r>
                    </w:p>
                    <w:p w14:paraId="3A4C7296" w14:textId="6A243756" w:rsidR="00893C08" w:rsidRDefault="00DE4970" w:rsidP="00DE4970">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893C08" w:rsidRPr="001D3CC2">
                        <w:rPr>
                          <w:rFonts w:ascii="Century Gothic" w:hAnsi="Century Gothic"/>
                          <w:sz w:val="20"/>
                          <w:szCs w:val="20"/>
                        </w:rPr>
                        <w:t>OF INTEREST TO OTHER JUDGES</w:t>
                      </w:r>
                      <w:r w:rsidR="00893C08">
                        <w:rPr>
                          <w:rFonts w:ascii="Century Gothic" w:hAnsi="Century Gothic"/>
                          <w:sz w:val="20"/>
                          <w:szCs w:val="20"/>
                        </w:rPr>
                        <w:t xml:space="preserve">: </w:t>
                      </w:r>
                      <w:r w:rsidR="00F913C7">
                        <w:rPr>
                          <w:rFonts w:ascii="Century Gothic" w:hAnsi="Century Gothic"/>
                          <w:sz w:val="20"/>
                          <w:szCs w:val="20"/>
                        </w:rPr>
                        <w:t>NO</w:t>
                      </w:r>
                    </w:p>
                    <w:p w14:paraId="1545E4B8" w14:textId="74255A93" w:rsidR="00CA0F98" w:rsidRPr="001D3CC2" w:rsidRDefault="00CA0F98" w:rsidP="004479C3">
                      <w:pPr>
                        <w:rPr>
                          <w:rFonts w:ascii="Century Gothic" w:hAnsi="Century Gothic"/>
                          <w:sz w:val="20"/>
                          <w:szCs w:val="20"/>
                        </w:rPr>
                      </w:pPr>
                    </w:p>
                    <w:p w14:paraId="21D4A71B" w14:textId="5B58BFC8" w:rsidR="00893C08" w:rsidRPr="00913F95" w:rsidRDefault="00893C08" w:rsidP="001D3CC2">
                      <w:pPr>
                        <w:ind w:left="180"/>
                        <w:rPr>
                          <w:rFonts w:ascii="Century Gothic" w:hAnsi="Century Gothic"/>
                          <w:sz w:val="20"/>
                          <w:szCs w:val="20"/>
                        </w:rPr>
                      </w:pPr>
                    </w:p>
                    <w:p w14:paraId="761B7CA4" w14:textId="77777777" w:rsidR="00893C08" w:rsidRDefault="00893C08" w:rsidP="006C43D7">
                      <w:pPr>
                        <w:rPr>
                          <w:rFonts w:ascii="Century Gothic" w:hAnsi="Century Gothic"/>
                          <w:b/>
                          <w:sz w:val="18"/>
                          <w:szCs w:val="18"/>
                        </w:rPr>
                      </w:pPr>
                    </w:p>
                    <w:p w14:paraId="0EC4BA5C" w14:textId="61945B0D" w:rsidR="00893C08" w:rsidRPr="001D3CC2" w:rsidRDefault="00893C08"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893C08" w:rsidRPr="00084341" w:rsidRDefault="00893C08"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r w:rsidR="00236E47">
        <w:rPr>
          <w:rFonts w:cs="Arial"/>
          <w:b/>
          <w:szCs w:val="22"/>
        </w:rPr>
        <w:t>202</w:t>
      </w:r>
      <w:r w:rsidR="00ED3F29">
        <w:rPr>
          <w:rFonts w:cs="Arial"/>
          <w:b/>
          <w:szCs w:val="22"/>
        </w:rPr>
        <w:t>2</w:t>
      </w:r>
      <w:r w:rsidR="00515FD8">
        <w:rPr>
          <w:rFonts w:cs="Arial"/>
          <w:b/>
          <w:szCs w:val="22"/>
        </w:rPr>
        <w:t xml:space="preserve"> - </w:t>
      </w:r>
      <w:r w:rsidR="00ED3F29">
        <w:rPr>
          <w:rFonts w:cs="Arial"/>
          <w:b/>
          <w:szCs w:val="22"/>
        </w:rPr>
        <w:t>033927</w:t>
      </w:r>
    </w:p>
    <w:p w14:paraId="084B5ECD" w14:textId="77777777" w:rsidR="006C43D7" w:rsidRPr="000F7813" w:rsidRDefault="006C43D7" w:rsidP="00C74E97">
      <w:pPr>
        <w:spacing w:line="360" w:lineRule="auto"/>
        <w:jc w:val="both"/>
        <w:rPr>
          <w:rFonts w:cs="Arial"/>
          <w:szCs w:val="22"/>
        </w:rPr>
      </w:pPr>
    </w:p>
    <w:p w14:paraId="4E808D74" w14:textId="77777777" w:rsidR="006C43D7" w:rsidRPr="000F7813" w:rsidRDefault="006C43D7" w:rsidP="00C74E97">
      <w:pPr>
        <w:spacing w:line="360" w:lineRule="auto"/>
        <w:jc w:val="both"/>
        <w:rPr>
          <w:rFonts w:cs="Arial"/>
          <w:szCs w:val="22"/>
        </w:rPr>
      </w:pPr>
    </w:p>
    <w:p w14:paraId="34BF70B6" w14:textId="77777777" w:rsidR="006C43D7" w:rsidRPr="000F7813" w:rsidRDefault="006C43D7" w:rsidP="00C74E97">
      <w:pPr>
        <w:spacing w:line="360" w:lineRule="auto"/>
        <w:jc w:val="both"/>
        <w:rPr>
          <w:rFonts w:cs="Arial"/>
          <w:szCs w:val="22"/>
        </w:rPr>
      </w:pPr>
    </w:p>
    <w:p w14:paraId="2F53BA3A" w14:textId="7CE26CA8" w:rsidR="006C43D7" w:rsidRPr="000F7813" w:rsidRDefault="00C56E55" w:rsidP="00C74E97">
      <w:pPr>
        <w:spacing w:line="360" w:lineRule="auto"/>
        <w:jc w:val="both"/>
        <w:rPr>
          <w:rFonts w:cs="Arial"/>
          <w:szCs w:val="22"/>
        </w:rPr>
      </w:pPr>
      <w:r>
        <w:rPr>
          <w:rFonts w:cs="Arial"/>
          <w:szCs w:val="22"/>
        </w:rPr>
        <w:t xml:space="preserve">                        </w:t>
      </w:r>
    </w:p>
    <w:p w14:paraId="3A1C212E" w14:textId="77777777" w:rsidR="006C43D7" w:rsidRPr="000F7813" w:rsidRDefault="006C43D7" w:rsidP="00C74E97">
      <w:pPr>
        <w:spacing w:line="360" w:lineRule="auto"/>
        <w:jc w:val="both"/>
        <w:rPr>
          <w:rFonts w:cs="Arial"/>
          <w:szCs w:val="22"/>
        </w:rPr>
      </w:pPr>
    </w:p>
    <w:p w14:paraId="04919B1B" w14:textId="77777777" w:rsidR="001D3CC2" w:rsidRPr="000F7813" w:rsidRDefault="001D3CC2" w:rsidP="00C74E97">
      <w:pPr>
        <w:spacing w:line="360" w:lineRule="auto"/>
        <w:jc w:val="both"/>
        <w:rPr>
          <w:rFonts w:cs="Arial"/>
          <w:szCs w:val="22"/>
        </w:rPr>
      </w:pPr>
    </w:p>
    <w:p w14:paraId="045D3852" w14:textId="77777777" w:rsidR="00E57446" w:rsidRPr="000F7813" w:rsidRDefault="00E57446" w:rsidP="00C74E97">
      <w:pPr>
        <w:spacing w:line="360" w:lineRule="auto"/>
        <w:jc w:val="both"/>
        <w:rPr>
          <w:rFonts w:cs="Arial"/>
          <w:szCs w:val="22"/>
        </w:rPr>
      </w:pPr>
    </w:p>
    <w:p w14:paraId="2804C32A" w14:textId="6C8D50AF" w:rsidR="00E57446" w:rsidRPr="000F7813" w:rsidRDefault="00E57446" w:rsidP="00C74E97">
      <w:pPr>
        <w:spacing w:line="360" w:lineRule="auto"/>
        <w:jc w:val="both"/>
        <w:rPr>
          <w:rFonts w:cs="Arial"/>
          <w:szCs w:val="22"/>
        </w:rPr>
      </w:pPr>
      <w:r w:rsidRPr="000F7813">
        <w:rPr>
          <w:rFonts w:cs="Arial"/>
          <w:szCs w:val="22"/>
        </w:rPr>
        <w:t>In the application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3"/>
        <w:gridCol w:w="2318"/>
      </w:tblGrid>
      <w:tr w:rsidR="00E57446" w:rsidRPr="000F7813" w14:paraId="4CBFF906" w14:textId="77777777" w:rsidTr="00430142">
        <w:tc>
          <w:tcPr>
            <w:tcW w:w="6223" w:type="dxa"/>
          </w:tcPr>
          <w:p w14:paraId="07466740" w14:textId="200E3243" w:rsidR="00E57446" w:rsidRPr="000F7813" w:rsidRDefault="00ED3F29" w:rsidP="009D0942">
            <w:pPr>
              <w:tabs>
                <w:tab w:val="right" w:pos="9070"/>
              </w:tabs>
              <w:spacing w:before="120" w:after="120"/>
              <w:rPr>
                <w:rFonts w:cs="Arial"/>
                <w:b/>
                <w:szCs w:val="22"/>
              </w:rPr>
            </w:pPr>
            <w:r>
              <w:rPr>
                <w:rFonts w:cs="Arial"/>
                <w:b/>
                <w:snapToGrid w:val="0"/>
                <w:spacing w:val="-3"/>
                <w:lang w:val="en-GB"/>
              </w:rPr>
              <w:t>SOUTH AFRICAN MUNICIPAL WORKERS UNION</w:t>
            </w:r>
          </w:p>
        </w:tc>
        <w:tc>
          <w:tcPr>
            <w:tcW w:w="2318" w:type="dxa"/>
          </w:tcPr>
          <w:p w14:paraId="32F3C456" w14:textId="0A9141DD" w:rsidR="00E57446" w:rsidRPr="000F7813" w:rsidRDefault="00ED3F29" w:rsidP="009D0942">
            <w:pPr>
              <w:spacing w:before="120" w:after="120"/>
              <w:rPr>
                <w:rFonts w:cs="Arial"/>
                <w:szCs w:val="22"/>
              </w:rPr>
            </w:pPr>
            <w:r>
              <w:rPr>
                <w:rFonts w:cs="Arial"/>
                <w:szCs w:val="22"/>
              </w:rPr>
              <w:t>First</w:t>
            </w:r>
            <w:r w:rsidR="002709AE">
              <w:rPr>
                <w:rFonts w:cs="Arial"/>
                <w:szCs w:val="22"/>
              </w:rPr>
              <w:t xml:space="preserve"> </w:t>
            </w:r>
            <w:r w:rsidR="003031A1" w:rsidRPr="000F7813">
              <w:rPr>
                <w:rFonts w:cs="Arial"/>
                <w:szCs w:val="22"/>
              </w:rPr>
              <w:t>Applicant</w:t>
            </w:r>
          </w:p>
        </w:tc>
      </w:tr>
      <w:tr w:rsidR="00E57446" w:rsidRPr="000F7813" w14:paraId="582D8E94" w14:textId="77777777" w:rsidTr="00430142">
        <w:tc>
          <w:tcPr>
            <w:tcW w:w="6223" w:type="dxa"/>
          </w:tcPr>
          <w:p w14:paraId="7BC13697" w14:textId="29779448" w:rsidR="00E37B97" w:rsidRPr="000F00EF" w:rsidRDefault="00ED3F29" w:rsidP="009D0942">
            <w:pPr>
              <w:tabs>
                <w:tab w:val="right" w:pos="9026"/>
              </w:tabs>
              <w:spacing w:before="120" w:after="120"/>
              <w:rPr>
                <w:rFonts w:cs="Arial"/>
                <w:b/>
                <w:bCs/>
                <w:szCs w:val="22"/>
              </w:rPr>
            </w:pPr>
            <w:r>
              <w:rPr>
                <w:rFonts w:cs="Arial"/>
                <w:b/>
                <w:bCs/>
                <w:szCs w:val="22"/>
              </w:rPr>
              <w:t>DISMISSED EMPLOYEES LISTED IN ANNEXURE “ML75”</w:t>
            </w:r>
            <w:r w:rsidR="009C7728">
              <w:rPr>
                <w:rFonts w:cs="Arial"/>
                <w:b/>
                <w:bCs/>
                <w:szCs w:val="22"/>
              </w:rPr>
              <w:t xml:space="preserve"> ANNEXED</w:t>
            </w:r>
          </w:p>
        </w:tc>
        <w:tc>
          <w:tcPr>
            <w:tcW w:w="2318" w:type="dxa"/>
          </w:tcPr>
          <w:p w14:paraId="3E582FC6" w14:textId="01B2B8D7" w:rsidR="00E57446" w:rsidRPr="000F7813" w:rsidRDefault="00ED3F29" w:rsidP="009D0942">
            <w:pPr>
              <w:spacing w:before="120" w:after="120"/>
              <w:rPr>
                <w:rFonts w:cs="Arial"/>
                <w:szCs w:val="22"/>
              </w:rPr>
            </w:pPr>
            <w:r>
              <w:rPr>
                <w:rFonts w:cs="Arial"/>
                <w:szCs w:val="22"/>
              </w:rPr>
              <w:t>Second</w:t>
            </w:r>
            <w:r w:rsidR="009D0942">
              <w:rPr>
                <w:rFonts w:cs="Arial"/>
                <w:szCs w:val="22"/>
              </w:rPr>
              <w:t xml:space="preserve"> to Seventy-Eighth</w:t>
            </w:r>
            <w:r>
              <w:rPr>
                <w:rFonts w:cs="Arial"/>
                <w:szCs w:val="22"/>
              </w:rPr>
              <w:t xml:space="preserve"> Applicant</w:t>
            </w:r>
            <w:r w:rsidR="009D0942">
              <w:rPr>
                <w:rFonts w:cs="Arial"/>
                <w:szCs w:val="22"/>
              </w:rPr>
              <w:t>s</w:t>
            </w:r>
          </w:p>
        </w:tc>
      </w:tr>
      <w:tr w:rsidR="000F00EF" w:rsidRPr="000F7813" w14:paraId="72126C43" w14:textId="77777777" w:rsidTr="00430142">
        <w:tc>
          <w:tcPr>
            <w:tcW w:w="6223" w:type="dxa"/>
          </w:tcPr>
          <w:p w14:paraId="35C8FDE9" w14:textId="195D9EF1" w:rsidR="00E37B97" w:rsidRPr="000F00EF" w:rsidRDefault="00E46128" w:rsidP="009D0942">
            <w:pPr>
              <w:tabs>
                <w:tab w:val="right" w:pos="9070"/>
              </w:tabs>
              <w:spacing w:before="120" w:after="120"/>
              <w:rPr>
                <w:rFonts w:cs="Arial"/>
                <w:b/>
                <w:bCs/>
                <w:szCs w:val="22"/>
              </w:rPr>
            </w:pPr>
            <w:r>
              <w:rPr>
                <w:rFonts w:cs="Arial"/>
                <w:b/>
                <w:bCs/>
                <w:szCs w:val="22"/>
              </w:rPr>
              <w:t>A</w:t>
            </w:r>
            <w:r w:rsidR="00ED3F29">
              <w:rPr>
                <w:rFonts w:cs="Arial"/>
                <w:b/>
                <w:bCs/>
                <w:szCs w:val="22"/>
              </w:rPr>
              <w:t>nd</w:t>
            </w:r>
          </w:p>
        </w:tc>
        <w:tc>
          <w:tcPr>
            <w:tcW w:w="2318" w:type="dxa"/>
          </w:tcPr>
          <w:p w14:paraId="7AC1A636" w14:textId="0B32EB6E" w:rsidR="000F00EF" w:rsidRPr="000F7813" w:rsidRDefault="000F00EF" w:rsidP="009D0942">
            <w:pPr>
              <w:spacing w:before="120" w:after="120"/>
              <w:rPr>
                <w:rFonts w:cs="Arial"/>
                <w:szCs w:val="22"/>
              </w:rPr>
            </w:pPr>
          </w:p>
        </w:tc>
      </w:tr>
      <w:tr w:rsidR="000F00EF" w:rsidRPr="000F7813" w14:paraId="5E2E11F1" w14:textId="77777777" w:rsidTr="00430142">
        <w:tc>
          <w:tcPr>
            <w:tcW w:w="6223" w:type="dxa"/>
          </w:tcPr>
          <w:p w14:paraId="3E1783E7" w14:textId="440D97DC" w:rsidR="00E37B97" w:rsidRPr="000F00EF" w:rsidRDefault="00ED3F29" w:rsidP="009D0942">
            <w:pPr>
              <w:tabs>
                <w:tab w:val="right" w:pos="9070"/>
              </w:tabs>
              <w:spacing w:before="120" w:after="120"/>
              <w:rPr>
                <w:rFonts w:cs="Arial"/>
                <w:b/>
                <w:bCs/>
                <w:szCs w:val="22"/>
              </w:rPr>
            </w:pPr>
            <w:r>
              <w:rPr>
                <w:rFonts w:cs="Arial"/>
                <w:b/>
                <w:bCs/>
                <w:szCs w:val="22"/>
              </w:rPr>
              <w:t>JOHANNESBURG METROPOLITAN MUNICIPALITY</w:t>
            </w:r>
          </w:p>
        </w:tc>
        <w:tc>
          <w:tcPr>
            <w:tcW w:w="2318" w:type="dxa"/>
          </w:tcPr>
          <w:p w14:paraId="272C00F9" w14:textId="52EE5892" w:rsidR="00430142" w:rsidRPr="000F7813" w:rsidRDefault="00ED3F29" w:rsidP="009D0942">
            <w:pPr>
              <w:spacing w:before="120" w:after="120"/>
              <w:rPr>
                <w:rFonts w:cs="Arial"/>
                <w:szCs w:val="22"/>
              </w:rPr>
            </w:pPr>
            <w:r>
              <w:rPr>
                <w:rFonts w:cs="Arial"/>
                <w:szCs w:val="22"/>
              </w:rPr>
              <w:t xml:space="preserve">First </w:t>
            </w:r>
            <w:r w:rsidRPr="000F7813">
              <w:rPr>
                <w:rFonts w:cs="Arial"/>
                <w:szCs w:val="22"/>
              </w:rPr>
              <w:t>Respondent</w:t>
            </w:r>
            <w:r>
              <w:rPr>
                <w:rFonts w:cs="Arial"/>
                <w:szCs w:val="22"/>
              </w:rPr>
              <w:t xml:space="preserve"> </w:t>
            </w:r>
          </w:p>
        </w:tc>
      </w:tr>
      <w:tr w:rsidR="00430142" w:rsidRPr="000F7813" w14:paraId="3EB57834" w14:textId="77777777" w:rsidTr="00430142">
        <w:tc>
          <w:tcPr>
            <w:tcW w:w="6223" w:type="dxa"/>
          </w:tcPr>
          <w:p w14:paraId="12D66C38" w14:textId="53570C43" w:rsidR="00E37B97" w:rsidRDefault="00ED3F29" w:rsidP="009D0942">
            <w:pPr>
              <w:tabs>
                <w:tab w:val="center" w:pos="3003"/>
              </w:tabs>
              <w:spacing w:before="120" w:after="120"/>
              <w:rPr>
                <w:rFonts w:cs="Arial"/>
                <w:b/>
                <w:snapToGrid w:val="0"/>
                <w:spacing w:val="-3"/>
              </w:rPr>
            </w:pPr>
            <w:r>
              <w:rPr>
                <w:rFonts w:cs="Arial"/>
                <w:b/>
                <w:snapToGrid w:val="0"/>
                <w:spacing w:val="-3"/>
              </w:rPr>
              <w:t xml:space="preserve">MUNICIPAL MANAGER: </w:t>
            </w:r>
            <w:r>
              <w:rPr>
                <w:rFonts w:cs="Arial"/>
                <w:b/>
                <w:bCs/>
                <w:szCs w:val="22"/>
              </w:rPr>
              <w:t xml:space="preserve">JOHANNESBURG METROPOLITAN MUNICIPALITY </w:t>
            </w:r>
          </w:p>
        </w:tc>
        <w:tc>
          <w:tcPr>
            <w:tcW w:w="2318" w:type="dxa"/>
          </w:tcPr>
          <w:p w14:paraId="47024FA0" w14:textId="0B970870" w:rsidR="00E37B97" w:rsidRDefault="00ED3F29" w:rsidP="009D0942">
            <w:pPr>
              <w:spacing w:before="120" w:after="120"/>
              <w:rPr>
                <w:rFonts w:cs="Arial"/>
                <w:szCs w:val="22"/>
              </w:rPr>
            </w:pPr>
            <w:r>
              <w:rPr>
                <w:rFonts w:cs="Arial"/>
                <w:szCs w:val="22"/>
              </w:rPr>
              <w:t>Second</w:t>
            </w:r>
            <w:r w:rsidR="003031A1">
              <w:rPr>
                <w:rFonts w:cs="Arial"/>
                <w:szCs w:val="22"/>
              </w:rPr>
              <w:t xml:space="preserve"> Respondent</w:t>
            </w:r>
          </w:p>
        </w:tc>
      </w:tr>
      <w:tr w:rsidR="00430142" w:rsidRPr="000F7813" w14:paraId="2EAC63E5" w14:textId="77777777" w:rsidTr="00430142">
        <w:tc>
          <w:tcPr>
            <w:tcW w:w="6223" w:type="dxa"/>
          </w:tcPr>
          <w:p w14:paraId="63062862" w14:textId="4C37798C" w:rsidR="00430142" w:rsidRDefault="00ED3F29" w:rsidP="009D0942">
            <w:pPr>
              <w:tabs>
                <w:tab w:val="right" w:pos="9070"/>
              </w:tabs>
              <w:spacing w:before="120" w:after="120"/>
              <w:rPr>
                <w:rFonts w:cs="Arial"/>
                <w:b/>
                <w:snapToGrid w:val="0"/>
                <w:spacing w:val="-3"/>
                <w:lang w:val="en-GB"/>
              </w:rPr>
            </w:pPr>
            <w:r>
              <w:rPr>
                <w:rFonts w:cs="Arial"/>
                <w:b/>
                <w:snapToGrid w:val="0"/>
                <w:spacing w:val="-3"/>
                <w:lang w:val="en-GB"/>
              </w:rPr>
              <w:t xml:space="preserve">EXECUTIVE MAYOR: </w:t>
            </w:r>
            <w:r>
              <w:rPr>
                <w:rFonts w:cs="Arial"/>
                <w:b/>
                <w:bCs/>
                <w:szCs w:val="22"/>
              </w:rPr>
              <w:t>JOHANNESBURG METROPOLITAN MUNICIPALITY</w:t>
            </w:r>
          </w:p>
        </w:tc>
        <w:tc>
          <w:tcPr>
            <w:tcW w:w="2318" w:type="dxa"/>
          </w:tcPr>
          <w:p w14:paraId="7E481722" w14:textId="3B1D5F68" w:rsidR="00430142" w:rsidRDefault="00ED3F29" w:rsidP="009D0942">
            <w:pPr>
              <w:spacing w:before="120" w:after="120"/>
              <w:rPr>
                <w:rFonts w:cs="Arial"/>
                <w:szCs w:val="22"/>
              </w:rPr>
            </w:pPr>
            <w:r>
              <w:rPr>
                <w:rFonts w:cs="Arial"/>
                <w:szCs w:val="22"/>
              </w:rPr>
              <w:t>Third</w:t>
            </w:r>
            <w:r w:rsidR="003031A1">
              <w:rPr>
                <w:rFonts w:cs="Arial"/>
                <w:szCs w:val="22"/>
              </w:rPr>
              <w:t xml:space="preserve"> Respondent</w:t>
            </w:r>
          </w:p>
        </w:tc>
      </w:tr>
      <w:tr w:rsidR="00415439" w:rsidRPr="000F7813" w14:paraId="2567635F" w14:textId="77777777" w:rsidTr="00430142">
        <w:tc>
          <w:tcPr>
            <w:tcW w:w="6223" w:type="dxa"/>
          </w:tcPr>
          <w:p w14:paraId="154308FD" w14:textId="064B5444" w:rsidR="00415439" w:rsidRDefault="00415439" w:rsidP="00E37B97">
            <w:pPr>
              <w:tabs>
                <w:tab w:val="right" w:pos="9070"/>
              </w:tabs>
              <w:rPr>
                <w:rFonts w:cs="Arial"/>
                <w:b/>
                <w:snapToGrid w:val="0"/>
                <w:spacing w:val="-3"/>
                <w:lang w:val="en-GB"/>
              </w:rPr>
            </w:pPr>
          </w:p>
        </w:tc>
        <w:tc>
          <w:tcPr>
            <w:tcW w:w="2318" w:type="dxa"/>
          </w:tcPr>
          <w:p w14:paraId="47BC7F2B" w14:textId="073ED205" w:rsidR="00415439" w:rsidRDefault="00415439" w:rsidP="00E37B97">
            <w:pPr>
              <w:rPr>
                <w:rFonts w:cs="Arial"/>
                <w:szCs w:val="22"/>
              </w:rPr>
            </w:pPr>
          </w:p>
        </w:tc>
      </w:tr>
    </w:tbl>
    <w:p w14:paraId="67781CE9" w14:textId="77777777" w:rsidR="0023405C" w:rsidRPr="000F7813" w:rsidRDefault="0023405C" w:rsidP="00C74E97">
      <w:pPr>
        <w:pBdr>
          <w:bottom w:val="single" w:sz="4" w:space="1" w:color="auto"/>
        </w:pBdr>
        <w:spacing w:line="360" w:lineRule="auto"/>
        <w:jc w:val="both"/>
        <w:rPr>
          <w:rFonts w:cs="Arial"/>
          <w:szCs w:val="22"/>
        </w:rPr>
      </w:pPr>
    </w:p>
    <w:p w14:paraId="58DE5549" w14:textId="77777777" w:rsidR="006C43D7" w:rsidRPr="000F7813" w:rsidRDefault="006C43D7" w:rsidP="00C74E97">
      <w:pPr>
        <w:spacing w:line="360" w:lineRule="auto"/>
        <w:jc w:val="both"/>
        <w:rPr>
          <w:rFonts w:cs="Arial"/>
          <w:szCs w:val="22"/>
        </w:rPr>
      </w:pPr>
    </w:p>
    <w:p w14:paraId="647AB70C" w14:textId="77777777" w:rsidR="006C43D7" w:rsidRPr="000F7813" w:rsidRDefault="006C43D7" w:rsidP="00C74E97">
      <w:pPr>
        <w:keepNext/>
        <w:spacing w:line="360" w:lineRule="auto"/>
        <w:jc w:val="center"/>
        <w:outlineLvl w:val="1"/>
        <w:rPr>
          <w:rFonts w:cs="Arial"/>
          <w:b/>
          <w:bCs/>
          <w:szCs w:val="22"/>
        </w:rPr>
      </w:pPr>
      <w:r w:rsidRPr="000F7813">
        <w:rPr>
          <w:rFonts w:cs="Arial"/>
          <w:b/>
          <w:bCs/>
          <w:szCs w:val="22"/>
        </w:rPr>
        <w:t>JUDGMENT</w:t>
      </w:r>
    </w:p>
    <w:p w14:paraId="52CD25EB" w14:textId="77777777" w:rsidR="006C43D7" w:rsidRPr="000F7813" w:rsidRDefault="006C43D7" w:rsidP="00C74E97">
      <w:pPr>
        <w:pBdr>
          <w:bottom w:val="single" w:sz="4" w:space="1" w:color="auto"/>
        </w:pBdr>
        <w:spacing w:line="360" w:lineRule="auto"/>
        <w:jc w:val="both"/>
        <w:rPr>
          <w:rFonts w:cs="Arial"/>
          <w:szCs w:val="22"/>
        </w:rPr>
      </w:pPr>
    </w:p>
    <w:p w14:paraId="0CA76DA1" w14:textId="77777777" w:rsidR="00DC621D" w:rsidRPr="000F7813" w:rsidRDefault="00DC621D" w:rsidP="00C74E97">
      <w:pPr>
        <w:spacing w:line="360" w:lineRule="auto"/>
        <w:jc w:val="both"/>
        <w:rPr>
          <w:rFonts w:cs="Arial"/>
          <w:b/>
          <w:szCs w:val="22"/>
        </w:rPr>
      </w:pPr>
    </w:p>
    <w:p w14:paraId="5BD82EFE" w14:textId="0F8FBF70" w:rsidR="00BE6AB8" w:rsidRPr="000F7813" w:rsidRDefault="00C676F3" w:rsidP="00C74E97">
      <w:pPr>
        <w:spacing w:after="480" w:line="360" w:lineRule="auto"/>
        <w:jc w:val="both"/>
        <w:rPr>
          <w:rFonts w:cs="Arial"/>
          <w:b/>
          <w:szCs w:val="22"/>
        </w:rPr>
      </w:pPr>
      <w:r w:rsidRPr="000F7813">
        <w:rPr>
          <w:rFonts w:cs="Arial"/>
          <w:b/>
          <w:szCs w:val="22"/>
        </w:rPr>
        <w:t>MOORCROFT</w:t>
      </w:r>
      <w:r w:rsidR="006C43D7" w:rsidRPr="000F7813">
        <w:rPr>
          <w:rFonts w:cs="Arial"/>
          <w:b/>
          <w:szCs w:val="22"/>
        </w:rPr>
        <w:t xml:space="preserve"> AJ:</w:t>
      </w:r>
    </w:p>
    <w:p w14:paraId="09239A78" w14:textId="205827F2" w:rsidR="00C460A0" w:rsidRDefault="00C460A0" w:rsidP="00C74E97">
      <w:pPr>
        <w:keepNext/>
        <w:spacing w:after="480" w:line="360" w:lineRule="auto"/>
        <w:jc w:val="both"/>
        <w:rPr>
          <w:rFonts w:cs="Arial"/>
          <w:bCs/>
          <w:i/>
          <w:iCs/>
          <w:szCs w:val="22"/>
          <w:u w:val="single"/>
        </w:rPr>
      </w:pPr>
      <w:r w:rsidRPr="000F7813">
        <w:rPr>
          <w:rFonts w:cs="Arial"/>
          <w:bCs/>
          <w:i/>
          <w:iCs/>
          <w:szCs w:val="22"/>
          <w:u w:val="single"/>
        </w:rPr>
        <w:lastRenderedPageBreak/>
        <w:t>Summary</w:t>
      </w:r>
    </w:p>
    <w:p w14:paraId="624E2DFB" w14:textId="1A27CB04" w:rsidR="0002763E" w:rsidRDefault="0002763E" w:rsidP="00C74E97">
      <w:pPr>
        <w:keepNext/>
        <w:spacing w:after="480" w:line="360" w:lineRule="auto"/>
        <w:jc w:val="both"/>
        <w:rPr>
          <w:rFonts w:cs="Arial"/>
          <w:bCs/>
          <w:i/>
          <w:iCs/>
          <w:szCs w:val="22"/>
        </w:rPr>
      </w:pPr>
      <w:r w:rsidRPr="0002763E">
        <w:rPr>
          <w:rFonts w:cs="Arial"/>
          <w:bCs/>
          <w:i/>
          <w:iCs/>
          <w:szCs w:val="22"/>
        </w:rPr>
        <w:t xml:space="preserve">Municipality </w:t>
      </w:r>
      <w:r>
        <w:rPr>
          <w:rFonts w:cs="Arial"/>
          <w:bCs/>
          <w:i/>
          <w:iCs/>
          <w:szCs w:val="22"/>
        </w:rPr>
        <w:t xml:space="preserve">– powers of – unilateral rescission of </w:t>
      </w:r>
      <w:r w:rsidR="007533DF">
        <w:rPr>
          <w:rFonts w:cs="Arial"/>
          <w:bCs/>
          <w:i/>
          <w:iCs/>
          <w:szCs w:val="22"/>
        </w:rPr>
        <w:t>contracts</w:t>
      </w:r>
      <w:r>
        <w:rPr>
          <w:rFonts w:cs="Arial"/>
          <w:bCs/>
          <w:i/>
          <w:iCs/>
          <w:szCs w:val="22"/>
        </w:rPr>
        <w:t xml:space="preserve"> – not permissible without  court order or agreement</w:t>
      </w:r>
    </w:p>
    <w:p w14:paraId="1B8E2D56" w14:textId="4136F432" w:rsidR="0002763E" w:rsidRDefault="0002763E" w:rsidP="00C74E97">
      <w:pPr>
        <w:keepNext/>
        <w:spacing w:after="480" w:line="360" w:lineRule="auto"/>
        <w:jc w:val="both"/>
        <w:rPr>
          <w:rFonts w:cs="Arial"/>
          <w:bCs/>
          <w:i/>
          <w:iCs/>
          <w:szCs w:val="22"/>
        </w:rPr>
      </w:pPr>
      <w:r>
        <w:rPr>
          <w:rFonts w:cs="Arial"/>
          <w:bCs/>
          <w:i/>
          <w:iCs/>
          <w:szCs w:val="22"/>
        </w:rPr>
        <w:t>Legality review of decision of municipality</w:t>
      </w:r>
    </w:p>
    <w:p w14:paraId="45DC45CA" w14:textId="77777777" w:rsidR="0002763E" w:rsidRPr="0002763E" w:rsidRDefault="0002763E" w:rsidP="00C74E97">
      <w:pPr>
        <w:keepNext/>
        <w:spacing w:after="480" w:line="360" w:lineRule="auto"/>
        <w:jc w:val="both"/>
        <w:rPr>
          <w:rFonts w:cs="Arial"/>
          <w:bCs/>
          <w:i/>
          <w:iCs/>
          <w:szCs w:val="22"/>
        </w:rPr>
      </w:pPr>
    </w:p>
    <w:p w14:paraId="18AFD427" w14:textId="7B3D0B7D" w:rsidR="00BE6AB8" w:rsidRPr="000F7813" w:rsidRDefault="00BE6AB8" w:rsidP="00C74E97">
      <w:pPr>
        <w:keepNext/>
        <w:spacing w:after="480" w:line="360" w:lineRule="auto"/>
        <w:jc w:val="both"/>
        <w:rPr>
          <w:rFonts w:cs="Arial"/>
          <w:bCs/>
          <w:szCs w:val="22"/>
          <w:u w:val="single"/>
        </w:rPr>
      </w:pPr>
      <w:r w:rsidRPr="000F7813">
        <w:rPr>
          <w:rFonts w:cs="Arial"/>
          <w:bCs/>
          <w:szCs w:val="22"/>
          <w:u w:val="single"/>
        </w:rPr>
        <w:t>Order</w:t>
      </w:r>
    </w:p>
    <w:p w14:paraId="63515C87" w14:textId="283A92F3" w:rsidR="004E3D0E" w:rsidRPr="00E37B97" w:rsidRDefault="00DE4970" w:rsidP="00DE4970">
      <w:pPr>
        <w:tabs>
          <w:tab w:val="left" w:pos="567"/>
        </w:tabs>
        <w:spacing w:after="480" w:line="360" w:lineRule="auto"/>
        <w:jc w:val="both"/>
        <w:rPr>
          <w:rFonts w:cs="Arial"/>
          <w:i/>
          <w:iCs/>
          <w:szCs w:val="22"/>
        </w:rPr>
      </w:pPr>
      <w:r w:rsidRPr="00E37B97">
        <w:rPr>
          <w:rFonts w:cs="Arial"/>
          <w:iCs/>
          <w:szCs w:val="22"/>
        </w:rPr>
        <w:t>[1]</w:t>
      </w:r>
      <w:r w:rsidRPr="00E37B97">
        <w:rPr>
          <w:rFonts w:cs="Arial"/>
          <w:iCs/>
          <w:szCs w:val="22"/>
        </w:rPr>
        <w:tab/>
      </w:r>
      <w:r w:rsidR="003B4100" w:rsidRPr="000F7813">
        <w:rPr>
          <w:rFonts w:cs="Arial"/>
          <w:bCs/>
          <w:szCs w:val="22"/>
        </w:rPr>
        <w:t xml:space="preserve">In this </w:t>
      </w:r>
      <w:r w:rsidR="00B56906" w:rsidRPr="000F7813">
        <w:rPr>
          <w:rFonts w:cs="Arial"/>
          <w:bCs/>
          <w:szCs w:val="22"/>
        </w:rPr>
        <w:t xml:space="preserve">matter </w:t>
      </w:r>
      <w:r w:rsidR="00C460A0" w:rsidRPr="000F7813">
        <w:rPr>
          <w:rFonts w:cs="Arial"/>
          <w:bCs/>
          <w:szCs w:val="22"/>
        </w:rPr>
        <w:t>I ma</w:t>
      </w:r>
      <w:r w:rsidR="000976D2">
        <w:rPr>
          <w:rFonts w:cs="Arial"/>
          <w:bCs/>
          <w:szCs w:val="22"/>
        </w:rPr>
        <w:t>k</w:t>
      </w:r>
      <w:r w:rsidR="00DC6EF8" w:rsidRPr="000F7813">
        <w:rPr>
          <w:rFonts w:cs="Arial"/>
          <w:bCs/>
          <w:szCs w:val="22"/>
        </w:rPr>
        <w:t>e</w:t>
      </w:r>
      <w:r w:rsidR="00C460A0" w:rsidRPr="000F7813">
        <w:rPr>
          <w:rFonts w:cs="Arial"/>
          <w:bCs/>
          <w:szCs w:val="22"/>
        </w:rPr>
        <w:t xml:space="preserve"> the following order</w:t>
      </w:r>
      <w:r w:rsidR="000976D2">
        <w:rPr>
          <w:rFonts w:cs="Arial"/>
          <w:bCs/>
          <w:szCs w:val="22"/>
        </w:rPr>
        <w:t>:</w:t>
      </w:r>
    </w:p>
    <w:p w14:paraId="7EA2F0C7" w14:textId="6F0EDCD4" w:rsidR="000976D2" w:rsidRPr="00DE4970" w:rsidRDefault="00DE4970" w:rsidP="00DE4970">
      <w:pPr>
        <w:spacing w:after="480" w:line="360" w:lineRule="auto"/>
        <w:ind w:left="720" w:hanging="360"/>
        <w:jc w:val="both"/>
        <w:rPr>
          <w:i/>
          <w:iCs/>
        </w:rPr>
      </w:pPr>
      <w:r>
        <w:rPr>
          <w:i/>
          <w:iCs/>
        </w:rPr>
        <w:t>1.</w:t>
      </w:r>
      <w:r>
        <w:rPr>
          <w:i/>
          <w:iCs/>
        </w:rPr>
        <w:tab/>
      </w:r>
      <w:r w:rsidR="00C62026" w:rsidRPr="00DE4970">
        <w:rPr>
          <w:i/>
          <w:iCs/>
        </w:rPr>
        <w:t xml:space="preserve">Declaring that the second to seventy-eighth </w:t>
      </w:r>
      <w:r w:rsidR="000A1A53" w:rsidRPr="00DE4970">
        <w:rPr>
          <w:i/>
          <w:iCs/>
        </w:rPr>
        <w:t>applicants</w:t>
      </w:r>
      <w:r w:rsidR="00C62026" w:rsidRPr="00DE4970">
        <w:rPr>
          <w:i/>
          <w:iCs/>
        </w:rPr>
        <w:t xml:space="preserve"> are permanent employees of the first respondent;</w:t>
      </w:r>
    </w:p>
    <w:p w14:paraId="1FE41DD9" w14:textId="5CA42EDD" w:rsidR="000976D2" w:rsidRPr="00DE4970" w:rsidRDefault="00DE4970" w:rsidP="00DE4970">
      <w:pPr>
        <w:spacing w:after="480" w:line="360" w:lineRule="auto"/>
        <w:ind w:left="720" w:hanging="360"/>
        <w:jc w:val="both"/>
        <w:rPr>
          <w:i/>
          <w:iCs/>
        </w:rPr>
      </w:pPr>
      <w:r>
        <w:rPr>
          <w:i/>
          <w:iCs/>
        </w:rPr>
        <w:t>2.</w:t>
      </w:r>
      <w:r>
        <w:rPr>
          <w:i/>
          <w:iCs/>
        </w:rPr>
        <w:tab/>
      </w:r>
      <w:r w:rsidR="00C62026" w:rsidRPr="00DE4970">
        <w:rPr>
          <w:i/>
          <w:iCs/>
        </w:rPr>
        <w:t>Declaring that the first respondent is obliged to consult with the second to seventy-eighth respondents before amending their employment contracts;</w:t>
      </w:r>
    </w:p>
    <w:p w14:paraId="4DE65A16" w14:textId="4E9301BF" w:rsidR="00C62026" w:rsidRPr="00DE4970" w:rsidRDefault="00DE4970" w:rsidP="00DE4970">
      <w:pPr>
        <w:spacing w:after="480" w:line="360" w:lineRule="auto"/>
        <w:ind w:left="720" w:hanging="360"/>
        <w:jc w:val="both"/>
        <w:rPr>
          <w:i/>
          <w:iCs/>
        </w:rPr>
      </w:pPr>
      <w:r>
        <w:rPr>
          <w:i/>
          <w:iCs/>
        </w:rPr>
        <w:t>3.</w:t>
      </w:r>
      <w:r>
        <w:rPr>
          <w:i/>
          <w:iCs/>
        </w:rPr>
        <w:tab/>
      </w:r>
      <w:r w:rsidR="00C62026" w:rsidRPr="00DE4970">
        <w:rPr>
          <w:i/>
          <w:iCs/>
        </w:rPr>
        <w:t>Ordering the first respondent to pay the costs of the applicatio</w:t>
      </w:r>
      <w:r w:rsidR="00CA55C4" w:rsidRPr="00DE4970">
        <w:rPr>
          <w:i/>
          <w:iCs/>
        </w:rPr>
        <w:t>n, such costs to include the costs of two counsel.</w:t>
      </w:r>
    </w:p>
    <w:p w14:paraId="41B4AF18" w14:textId="77777777" w:rsidR="00E37B97" w:rsidRPr="00E37B97" w:rsidRDefault="00E37B97" w:rsidP="00E37B97">
      <w:pPr>
        <w:spacing w:after="480" w:line="360" w:lineRule="auto"/>
        <w:ind w:left="360"/>
        <w:jc w:val="both"/>
        <w:rPr>
          <w:rFonts w:cs="Arial"/>
          <w:i/>
          <w:iCs/>
          <w:szCs w:val="22"/>
        </w:rPr>
      </w:pPr>
    </w:p>
    <w:p w14:paraId="08540072" w14:textId="2D85103E" w:rsidR="00C9310B" w:rsidRPr="00DE4970" w:rsidRDefault="00DE4970" w:rsidP="00DE4970">
      <w:pPr>
        <w:widowControl w:val="0"/>
        <w:tabs>
          <w:tab w:val="left" w:pos="567"/>
        </w:tabs>
        <w:spacing w:before="480" w:after="480" w:line="360" w:lineRule="auto"/>
        <w:jc w:val="both"/>
        <w:rPr>
          <w:rFonts w:cs="Arial"/>
          <w:bCs/>
          <w:szCs w:val="22"/>
          <w:u w:val="single"/>
        </w:rPr>
      </w:pPr>
      <w:r w:rsidRPr="000F7813">
        <w:rPr>
          <w:rFonts w:cs="Arial"/>
          <w:bCs/>
          <w:szCs w:val="22"/>
        </w:rPr>
        <w:t>[2]</w:t>
      </w:r>
      <w:r w:rsidRPr="000F7813">
        <w:rPr>
          <w:rFonts w:cs="Arial"/>
          <w:bCs/>
          <w:szCs w:val="22"/>
        </w:rPr>
        <w:tab/>
      </w:r>
      <w:r w:rsidR="00573FF9" w:rsidRPr="00DE4970">
        <w:rPr>
          <w:rFonts w:cs="Arial"/>
          <w:bCs/>
          <w:szCs w:val="22"/>
        </w:rPr>
        <w:t xml:space="preserve">The reasons for the order </w:t>
      </w:r>
      <w:r w:rsidR="00A63709" w:rsidRPr="00DE4970">
        <w:rPr>
          <w:rFonts w:cs="Arial"/>
          <w:bCs/>
          <w:szCs w:val="22"/>
        </w:rPr>
        <w:t>follow</w:t>
      </w:r>
      <w:r w:rsidR="00573FF9" w:rsidRPr="00DE4970">
        <w:rPr>
          <w:rFonts w:cs="Arial"/>
          <w:bCs/>
          <w:szCs w:val="22"/>
        </w:rPr>
        <w:t xml:space="preserve"> below.</w:t>
      </w:r>
    </w:p>
    <w:p w14:paraId="037F1A01" w14:textId="77777777" w:rsidR="00A444DD" w:rsidRPr="000F7813" w:rsidRDefault="00A444DD" w:rsidP="00C74E97">
      <w:pPr>
        <w:keepNext/>
        <w:widowControl w:val="0"/>
        <w:spacing w:before="480" w:after="480" w:line="360" w:lineRule="auto"/>
        <w:jc w:val="both"/>
        <w:rPr>
          <w:rFonts w:cs="Arial"/>
          <w:bCs/>
          <w:szCs w:val="22"/>
          <w:u w:val="single"/>
        </w:rPr>
      </w:pPr>
    </w:p>
    <w:p w14:paraId="3658C913" w14:textId="6056F843" w:rsidR="00573FF9" w:rsidRPr="000F7813" w:rsidRDefault="00D9086C" w:rsidP="00B2476E">
      <w:pPr>
        <w:keepNext/>
        <w:widowControl w:val="0"/>
        <w:spacing w:before="480" w:after="480" w:line="360" w:lineRule="auto"/>
        <w:jc w:val="both"/>
        <w:rPr>
          <w:rFonts w:cs="Arial"/>
          <w:bCs/>
          <w:szCs w:val="22"/>
          <w:u w:val="single"/>
        </w:rPr>
      </w:pPr>
      <w:r w:rsidRPr="000F7813">
        <w:rPr>
          <w:rFonts w:cs="Arial"/>
          <w:bCs/>
          <w:szCs w:val="22"/>
          <w:u w:val="single"/>
        </w:rPr>
        <w:t>Introduction</w:t>
      </w:r>
    </w:p>
    <w:p w14:paraId="3205AED6" w14:textId="10F6C874" w:rsidR="000A1A53" w:rsidRDefault="00DE4970" w:rsidP="00DE4970">
      <w:pPr>
        <w:keepNext/>
        <w:widowControl w:val="0"/>
        <w:tabs>
          <w:tab w:val="left" w:pos="567"/>
        </w:tabs>
        <w:spacing w:before="480" w:after="480" w:line="360" w:lineRule="auto"/>
        <w:jc w:val="both"/>
        <w:rPr>
          <w:rFonts w:cs="Arial"/>
          <w:bCs/>
          <w:szCs w:val="22"/>
        </w:rPr>
      </w:pPr>
      <w:r>
        <w:rPr>
          <w:rFonts w:cs="Arial"/>
          <w:bCs/>
          <w:szCs w:val="22"/>
        </w:rPr>
        <w:t>[3]</w:t>
      </w:r>
      <w:r>
        <w:rPr>
          <w:rFonts w:cs="Arial"/>
          <w:bCs/>
          <w:szCs w:val="22"/>
        </w:rPr>
        <w:tab/>
      </w:r>
      <w:r w:rsidR="003A491F">
        <w:rPr>
          <w:rFonts w:cs="Arial"/>
          <w:bCs/>
          <w:szCs w:val="22"/>
        </w:rPr>
        <w:t>The</w:t>
      </w:r>
      <w:r w:rsidR="003B370C">
        <w:rPr>
          <w:rFonts w:cs="Arial"/>
          <w:bCs/>
          <w:szCs w:val="22"/>
        </w:rPr>
        <w:t xml:space="preserve"> application is </w:t>
      </w:r>
      <w:r w:rsidR="00C62026">
        <w:rPr>
          <w:rFonts w:cs="Arial"/>
          <w:bCs/>
          <w:szCs w:val="22"/>
        </w:rPr>
        <w:t>brought</w:t>
      </w:r>
      <w:r w:rsidR="003B370C">
        <w:rPr>
          <w:rFonts w:cs="Arial"/>
          <w:bCs/>
          <w:szCs w:val="22"/>
        </w:rPr>
        <w:t xml:space="preserve"> by a </w:t>
      </w:r>
      <w:r w:rsidR="003A491F">
        <w:rPr>
          <w:rFonts w:cs="Arial"/>
          <w:bCs/>
          <w:szCs w:val="22"/>
        </w:rPr>
        <w:t xml:space="preserve">trade union and seventy-eight of its members whose employment by the first respondent is the subject of a dispute. The first respondent is a </w:t>
      </w:r>
      <w:r w:rsidR="003A491F">
        <w:rPr>
          <w:rFonts w:cs="Arial"/>
          <w:bCs/>
          <w:szCs w:val="22"/>
        </w:rPr>
        <w:lastRenderedPageBreak/>
        <w:t>municipality and the second and third respondents are the municipal manager</w:t>
      </w:r>
      <w:r w:rsidR="00285F4A">
        <w:rPr>
          <w:rStyle w:val="FootnoteReference"/>
          <w:rFonts w:cs="Arial"/>
          <w:bCs/>
          <w:szCs w:val="22"/>
        </w:rPr>
        <w:footnoteReference w:id="1"/>
      </w:r>
      <w:r w:rsidR="003A491F">
        <w:rPr>
          <w:rFonts w:cs="Arial"/>
          <w:bCs/>
          <w:szCs w:val="22"/>
        </w:rPr>
        <w:t xml:space="preserve"> and executive mayor of the municipality cited </w:t>
      </w:r>
      <w:r w:rsidR="003A491F" w:rsidRPr="003A491F">
        <w:rPr>
          <w:rFonts w:cs="Arial"/>
          <w:bCs/>
          <w:i/>
          <w:iCs/>
          <w:szCs w:val="22"/>
        </w:rPr>
        <w:t>nomine officio</w:t>
      </w:r>
      <w:r w:rsidR="003A491F">
        <w:rPr>
          <w:rFonts w:cs="Arial"/>
          <w:bCs/>
          <w:szCs w:val="22"/>
        </w:rPr>
        <w:t xml:space="preserve">. </w:t>
      </w:r>
    </w:p>
    <w:p w14:paraId="5BD8ED70" w14:textId="2D96568E" w:rsidR="009D0942" w:rsidRDefault="00C62026" w:rsidP="000A1A53">
      <w:pPr>
        <w:keepNext/>
        <w:widowControl w:val="0"/>
        <w:spacing w:before="480" w:after="480" w:line="360" w:lineRule="auto"/>
        <w:jc w:val="both"/>
        <w:rPr>
          <w:rFonts w:cs="Arial"/>
          <w:bCs/>
          <w:szCs w:val="22"/>
        </w:rPr>
      </w:pPr>
      <w:r>
        <w:rPr>
          <w:rFonts w:cs="Arial"/>
          <w:bCs/>
          <w:szCs w:val="22"/>
        </w:rPr>
        <w:t xml:space="preserve">The second and third respondents are officials of the first respondent and need not be cited separately. I refer in this judgment to the first respondent as </w:t>
      </w:r>
      <w:r w:rsidRPr="0002763E">
        <w:rPr>
          <w:rFonts w:cs="Arial"/>
          <w:bCs/>
          <w:i/>
          <w:iCs/>
          <w:szCs w:val="22"/>
        </w:rPr>
        <w:t>“the respondent”</w:t>
      </w:r>
      <w:r>
        <w:rPr>
          <w:rFonts w:cs="Arial"/>
          <w:bCs/>
          <w:szCs w:val="22"/>
        </w:rPr>
        <w:t xml:space="preserve"> and to the second and third respondent by their titles.</w:t>
      </w:r>
      <w:r w:rsidR="003A491F">
        <w:rPr>
          <w:rFonts w:cs="Arial"/>
          <w:bCs/>
          <w:szCs w:val="22"/>
        </w:rPr>
        <w:t xml:space="preserve"> The applicants are referred to as the </w:t>
      </w:r>
      <w:r w:rsidR="0002763E" w:rsidRPr="0002763E">
        <w:rPr>
          <w:rFonts w:cs="Arial"/>
          <w:bCs/>
          <w:i/>
          <w:iCs/>
          <w:szCs w:val="22"/>
        </w:rPr>
        <w:t>“</w:t>
      </w:r>
      <w:r w:rsidR="009164FB" w:rsidRPr="0002763E">
        <w:rPr>
          <w:rFonts w:cs="Arial"/>
          <w:bCs/>
          <w:i/>
          <w:iCs/>
          <w:szCs w:val="22"/>
        </w:rPr>
        <w:t>union</w:t>
      </w:r>
      <w:r w:rsidR="0002763E" w:rsidRPr="0002763E">
        <w:rPr>
          <w:rFonts w:cs="Arial"/>
          <w:bCs/>
          <w:i/>
          <w:iCs/>
          <w:szCs w:val="22"/>
        </w:rPr>
        <w:t>”</w:t>
      </w:r>
      <w:r w:rsidR="009164FB">
        <w:rPr>
          <w:rFonts w:cs="Arial"/>
          <w:bCs/>
          <w:szCs w:val="22"/>
        </w:rPr>
        <w:t xml:space="preserve"> </w:t>
      </w:r>
      <w:r w:rsidR="003A491F">
        <w:rPr>
          <w:rFonts w:cs="Arial"/>
          <w:bCs/>
          <w:szCs w:val="22"/>
        </w:rPr>
        <w:t xml:space="preserve">and the </w:t>
      </w:r>
      <w:r w:rsidR="0002763E">
        <w:rPr>
          <w:rFonts w:cs="Arial"/>
          <w:bCs/>
          <w:szCs w:val="22"/>
        </w:rPr>
        <w:t>“</w:t>
      </w:r>
      <w:r w:rsidR="003A491F" w:rsidRPr="0002763E">
        <w:rPr>
          <w:rFonts w:cs="Arial"/>
          <w:bCs/>
          <w:i/>
          <w:iCs/>
          <w:szCs w:val="22"/>
        </w:rPr>
        <w:t>employees</w:t>
      </w:r>
      <w:r w:rsidR="0002763E" w:rsidRPr="0002763E">
        <w:rPr>
          <w:rFonts w:cs="Arial"/>
          <w:bCs/>
          <w:i/>
          <w:iCs/>
          <w:szCs w:val="22"/>
        </w:rPr>
        <w:t>”</w:t>
      </w:r>
      <w:r w:rsidR="003A491F">
        <w:rPr>
          <w:rFonts w:cs="Arial"/>
          <w:bCs/>
          <w:szCs w:val="22"/>
        </w:rPr>
        <w:t xml:space="preserve"> respectively.</w:t>
      </w:r>
      <w:r w:rsidR="000A1A53">
        <w:rPr>
          <w:rStyle w:val="FootnoteReference"/>
          <w:rFonts w:cs="Arial"/>
          <w:bCs/>
          <w:szCs w:val="22"/>
        </w:rPr>
        <w:footnoteReference w:id="2"/>
      </w:r>
    </w:p>
    <w:p w14:paraId="7FF5E684" w14:textId="422E9AD6" w:rsidR="003A491F" w:rsidRDefault="00DE4970" w:rsidP="00DE4970">
      <w:pPr>
        <w:widowControl w:val="0"/>
        <w:tabs>
          <w:tab w:val="left" w:pos="567"/>
        </w:tabs>
        <w:spacing w:before="480" w:after="480" w:line="360" w:lineRule="auto"/>
        <w:jc w:val="both"/>
        <w:rPr>
          <w:rFonts w:cs="Arial"/>
          <w:bCs/>
          <w:szCs w:val="22"/>
        </w:rPr>
      </w:pPr>
      <w:r>
        <w:rPr>
          <w:rFonts w:cs="Arial"/>
          <w:bCs/>
          <w:szCs w:val="22"/>
        </w:rPr>
        <w:t>[4]</w:t>
      </w:r>
      <w:r>
        <w:rPr>
          <w:rFonts w:cs="Arial"/>
          <w:bCs/>
          <w:szCs w:val="22"/>
        </w:rPr>
        <w:tab/>
      </w:r>
      <w:r w:rsidR="003A491F">
        <w:rPr>
          <w:rFonts w:cs="Arial"/>
          <w:bCs/>
          <w:szCs w:val="22"/>
        </w:rPr>
        <w:t>The applicants seek a declaratory order that the employees are permanent employees of the respondent, and that the respondent</w:t>
      </w:r>
      <w:r w:rsidR="0002763E">
        <w:rPr>
          <w:rFonts w:cs="Arial"/>
          <w:bCs/>
          <w:szCs w:val="22"/>
        </w:rPr>
        <w:t xml:space="preserve"> was and is</w:t>
      </w:r>
      <w:r w:rsidR="000F25B3">
        <w:rPr>
          <w:rFonts w:cs="Arial"/>
          <w:bCs/>
          <w:szCs w:val="22"/>
        </w:rPr>
        <w:t xml:space="preserve"> contractually bound to consult with the applicants before amending</w:t>
      </w:r>
      <w:r w:rsidR="00CA55C4">
        <w:rPr>
          <w:rFonts w:cs="Arial"/>
          <w:bCs/>
          <w:szCs w:val="22"/>
        </w:rPr>
        <w:t xml:space="preserve"> or rescinding</w:t>
      </w:r>
      <w:r w:rsidR="000F25B3">
        <w:rPr>
          <w:rFonts w:cs="Arial"/>
          <w:bCs/>
          <w:szCs w:val="22"/>
        </w:rPr>
        <w:t xml:space="preserve"> their employment contracts. </w:t>
      </w:r>
      <w:r w:rsidR="000B3B78">
        <w:rPr>
          <w:rFonts w:cs="Arial"/>
          <w:bCs/>
          <w:szCs w:val="22"/>
        </w:rPr>
        <w:t>In doing so they seek a legality review of the decision of the respondent</w:t>
      </w:r>
      <w:r w:rsidR="000B3B78">
        <w:rPr>
          <w:rStyle w:val="FootnoteReference"/>
          <w:rFonts w:cs="Arial"/>
          <w:bCs/>
          <w:szCs w:val="22"/>
        </w:rPr>
        <w:footnoteReference w:id="3"/>
      </w:r>
      <w:r w:rsidR="009164FB">
        <w:rPr>
          <w:rFonts w:cs="Arial"/>
          <w:bCs/>
          <w:szCs w:val="22"/>
        </w:rPr>
        <w:t xml:space="preserve"> in terms of which the employment status of the employees as permanent employees was rescinded and they reverted to being fixed term employees.</w:t>
      </w:r>
      <w:r w:rsidR="0002763E">
        <w:rPr>
          <w:rFonts w:cs="Arial"/>
          <w:bCs/>
          <w:szCs w:val="22"/>
        </w:rPr>
        <w:t xml:space="preserve"> The fixed terms have lapsed.</w:t>
      </w:r>
    </w:p>
    <w:p w14:paraId="54650A91" w14:textId="7D87149C" w:rsidR="0002763E" w:rsidRDefault="00DE4970" w:rsidP="00DE4970">
      <w:pPr>
        <w:widowControl w:val="0"/>
        <w:tabs>
          <w:tab w:val="left" w:pos="567"/>
        </w:tabs>
        <w:spacing w:before="480" w:after="480" w:line="360" w:lineRule="auto"/>
        <w:jc w:val="both"/>
        <w:rPr>
          <w:rFonts w:cs="Arial"/>
          <w:bCs/>
          <w:szCs w:val="22"/>
        </w:rPr>
      </w:pPr>
      <w:r>
        <w:rPr>
          <w:rFonts w:cs="Arial"/>
          <w:bCs/>
          <w:szCs w:val="22"/>
        </w:rPr>
        <w:t>[5]</w:t>
      </w:r>
      <w:r>
        <w:rPr>
          <w:rFonts w:cs="Arial"/>
          <w:bCs/>
          <w:szCs w:val="22"/>
        </w:rPr>
        <w:tab/>
      </w:r>
      <w:r w:rsidR="0002763E">
        <w:rPr>
          <w:rFonts w:cs="Arial"/>
          <w:bCs/>
          <w:szCs w:val="22"/>
        </w:rPr>
        <w:t>I deal with the aspects raised under different headings below.</w:t>
      </w:r>
    </w:p>
    <w:p w14:paraId="719F7831" w14:textId="77777777" w:rsidR="00CA55C4" w:rsidRDefault="00CA55C4" w:rsidP="00CA55C4">
      <w:pPr>
        <w:widowControl w:val="0"/>
        <w:spacing w:before="480" w:after="480" w:line="360" w:lineRule="auto"/>
        <w:jc w:val="both"/>
        <w:rPr>
          <w:rFonts w:cs="Arial"/>
          <w:bCs/>
          <w:szCs w:val="22"/>
          <w:u w:val="single"/>
          <w:lang w:val="en-GB"/>
        </w:rPr>
      </w:pPr>
    </w:p>
    <w:p w14:paraId="5EDA1681" w14:textId="467E2D5F" w:rsidR="00CA55C4" w:rsidRPr="007D1154" w:rsidRDefault="00CA55C4" w:rsidP="00CA55C4">
      <w:pPr>
        <w:keepNext/>
        <w:widowControl w:val="0"/>
        <w:spacing w:before="480" w:after="480" w:line="360" w:lineRule="auto"/>
        <w:jc w:val="both"/>
        <w:rPr>
          <w:rFonts w:cs="Arial"/>
          <w:bCs/>
          <w:szCs w:val="22"/>
          <w:u w:val="single"/>
        </w:rPr>
      </w:pPr>
      <w:r w:rsidRPr="007D1154">
        <w:rPr>
          <w:rFonts w:cs="Arial"/>
          <w:bCs/>
          <w:szCs w:val="22"/>
          <w:u w:val="single"/>
          <w:lang w:val="en-GB"/>
        </w:rPr>
        <w:t>Condonation</w:t>
      </w:r>
    </w:p>
    <w:p w14:paraId="6F9E4CD8" w14:textId="2EA4A628" w:rsidR="00CA55C4" w:rsidRDefault="00DE4970" w:rsidP="00DE4970">
      <w:pPr>
        <w:keepNext/>
        <w:widowControl w:val="0"/>
        <w:tabs>
          <w:tab w:val="left" w:pos="567"/>
        </w:tabs>
        <w:spacing w:before="480" w:after="480" w:line="360" w:lineRule="auto"/>
        <w:jc w:val="both"/>
        <w:rPr>
          <w:rFonts w:cs="Arial"/>
          <w:bCs/>
          <w:szCs w:val="22"/>
        </w:rPr>
      </w:pPr>
      <w:r>
        <w:rPr>
          <w:rFonts w:cs="Arial"/>
          <w:bCs/>
          <w:szCs w:val="22"/>
        </w:rPr>
        <w:t>[6]</w:t>
      </w:r>
      <w:r>
        <w:rPr>
          <w:rFonts w:cs="Arial"/>
          <w:bCs/>
          <w:szCs w:val="22"/>
        </w:rPr>
        <w:tab/>
      </w:r>
      <w:r w:rsidR="00CA55C4">
        <w:rPr>
          <w:rFonts w:cs="Arial"/>
          <w:bCs/>
          <w:szCs w:val="22"/>
        </w:rPr>
        <w:t>The applicants’ attorneys addressed a letter to the second respondent on 13 March 2022 seeking the restoration of the employment contracts. The respondent’s attorneys advised on 15 March 2022 that the respondent rejected the demand and that it would oppose any court application.</w:t>
      </w:r>
    </w:p>
    <w:p w14:paraId="565C0988" w14:textId="0CE0FF09" w:rsidR="0002763E" w:rsidRDefault="00DE4970" w:rsidP="00DE4970">
      <w:pPr>
        <w:widowControl w:val="0"/>
        <w:tabs>
          <w:tab w:val="left" w:pos="567"/>
        </w:tabs>
        <w:spacing w:before="480" w:after="480" w:line="360" w:lineRule="auto"/>
        <w:jc w:val="both"/>
        <w:rPr>
          <w:rFonts w:cs="Arial"/>
          <w:bCs/>
          <w:szCs w:val="22"/>
        </w:rPr>
      </w:pPr>
      <w:r>
        <w:rPr>
          <w:rFonts w:cs="Arial"/>
          <w:bCs/>
          <w:szCs w:val="22"/>
        </w:rPr>
        <w:t>[7]</w:t>
      </w:r>
      <w:r>
        <w:rPr>
          <w:rFonts w:cs="Arial"/>
          <w:bCs/>
          <w:szCs w:val="22"/>
        </w:rPr>
        <w:tab/>
      </w:r>
      <w:r w:rsidR="00CA55C4" w:rsidRPr="00C25562">
        <w:rPr>
          <w:rFonts w:cs="Arial"/>
          <w:bCs/>
          <w:szCs w:val="22"/>
        </w:rPr>
        <w:t xml:space="preserve">The applicants then instituted review proceedings in the Labour Court and judgment was handed down on 3 May 2022. </w:t>
      </w:r>
      <w:r w:rsidR="0002763E">
        <w:rPr>
          <w:rFonts w:cs="Arial"/>
          <w:bCs/>
          <w:szCs w:val="22"/>
        </w:rPr>
        <w:t xml:space="preserve">The application was dismissed on the ground that the Labour Court did not have jurisdiction. </w:t>
      </w:r>
      <w:r w:rsidR="00CA55C4" w:rsidRPr="00C25562">
        <w:rPr>
          <w:rFonts w:cs="Arial"/>
          <w:bCs/>
          <w:szCs w:val="22"/>
        </w:rPr>
        <w:t xml:space="preserve">An application for leave to appeal was dismissed on 28 July 2022. </w:t>
      </w:r>
    </w:p>
    <w:p w14:paraId="26F6EF95" w14:textId="70F3FF56" w:rsidR="00CA55C4" w:rsidRDefault="00CA55C4" w:rsidP="0002763E">
      <w:pPr>
        <w:widowControl w:val="0"/>
        <w:spacing w:before="480" w:after="480" w:line="360" w:lineRule="auto"/>
        <w:jc w:val="both"/>
        <w:rPr>
          <w:rFonts w:cs="Arial"/>
          <w:bCs/>
          <w:szCs w:val="22"/>
        </w:rPr>
      </w:pPr>
      <w:r w:rsidRPr="00C25562">
        <w:rPr>
          <w:rFonts w:cs="Arial"/>
          <w:bCs/>
          <w:szCs w:val="22"/>
        </w:rPr>
        <w:lastRenderedPageBreak/>
        <w:t xml:space="preserve">The applicants then proceeded to consider their position and in consultation with counsel in August and September 2022 they elected to bring the present application as an alternative to petitioning the Labour Appeal Court for leave to appeal. The present application was then prepared and powers of attorney were obtained from the </w:t>
      </w:r>
      <w:r w:rsidR="0002763E">
        <w:rPr>
          <w:rFonts w:cs="Arial"/>
          <w:bCs/>
          <w:szCs w:val="22"/>
        </w:rPr>
        <w:t>employees</w:t>
      </w:r>
      <w:r w:rsidRPr="00C25562">
        <w:rPr>
          <w:rFonts w:cs="Arial"/>
          <w:bCs/>
          <w:szCs w:val="22"/>
        </w:rPr>
        <w:t>. The application was launched in October 2022</w:t>
      </w:r>
      <w:r>
        <w:rPr>
          <w:rFonts w:cs="Arial"/>
          <w:bCs/>
          <w:szCs w:val="22"/>
        </w:rPr>
        <w:t>.</w:t>
      </w:r>
    </w:p>
    <w:p w14:paraId="6A51FD5E" w14:textId="0B170329" w:rsidR="00CA55C4" w:rsidRDefault="00DE4970" w:rsidP="00DE4970">
      <w:pPr>
        <w:widowControl w:val="0"/>
        <w:tabs>
          <w:tab w:val="left" w:pos="567"/>
        </w:tabs>
        <w:spacing w:before="480" w:after="480" w:line="360" w:lineRule="auto"/>
        <w:jc w:val="both"/>
        <w:rPr>
          <w:rFonts w:cs="Arial"/>
          <w:bCs/>
          <w:szCs w:val="22"/>
        </w:rPr>
      </w:pPr>
      <w:r>
        <w:rPr>
          <w:rFonts w:cs="Arial"/>
          <w:bCs/>
          <w:szCs w:val="22"/>
        </w:rPr>
        <w:t>[8]</w:t>
      </w:r>
      <w:r>
        <w:rPr>
          <w:rFonts w:cs="Arial"/>
          <w:bCs/>
          <w:szCs w:val="22"/>
        </w:rPr>
        <w:tab/>
      </w:r>
      <w:r w:rsidR="00CA55C4">
        <w:rPr>
          <w:rFonts w:cs="Arial"/>
          <w:bCs/>
          <w:szCs w:val="22"/>
        </w:rPr>
        <w:t>I am satisfied that the applicants were not dilatory in their prosecution of what is a matter of some complexity</w:t>
      </w:r>
      <w:r w:rsidR="0002763E">
        <w:rPr>
          <w:rFonts w:cs="Arial"/>
          <w:bCs/>
          <w:szCs w:val="22"/>
        </w:rPr>
        <w:t xml:space="preserve"> involving a large number of applicants</w:t>
      </w:r>
      <w:r w:rsidR="00CA55C4">
        <w:rPr>
          <w:rFonts w:cs="Arial"/>
          <w:bCs/>
          <w:szCs w:val="22"/>
        </w:rPr>
        <w:t>, and that they approached this court within a reasonable time. They did so after the expiry of the 180 day period referred to in the Promotion of Administrative Justice Act, 3 of 2000 but insofar as the Act may be found to be applicable grounds exist for the extension of the 180 period. The 180 day period would have expired 180 days after 15 March 2022, in other words on  about 15 September 2023.</w:t>
      </w:r>
    </w:p>
    <w:p w14:paraId="046E6502" w14:textId="77777777" w:rsidR="002C29E3" w:rsidRDefault="002C29E3" w:rsidP="002C29E3">
      <w:pPr>
        <w:widowControl w:val="0"/>
        <w:spacing w:before="480" w:after="480" w:line="360" w:lineRule="auto"/>
        <w:jc w:val="both"/>
        <w:rPr>
          <w:rFonts w:cs="Arial"/>
          <w:bCs/>
          <w:szCs w:val="22"/>
          <w:u w:val="single"/>
        </w:rPr>
      </w:pPr>
    </w:p>
    <w:p w14:paraId="2A98FF9C" w14:textId="1AF6AD98" w:rsidR="002C29E3" w:rsidRPr="00CF7EAD" w:rsidRDefault="002C29E3" w:rsidP="002C29E3">
      <w:pPr>
        <w:keepNext/>
        <w:widowControl w:val="0"/>
        <w:spacing w:before="480" w:after="480" w:line="360" w:lineRule="auto"/>
        <w:jc w:val="both"/>
        <w:rPr>
          <w:rFonts w:cs="Arial"/>
          <w:bCs/>
          <w:szCs w:val="22"/>
          <w:u w:val="single"/>
        </w:rPr>
      </w:pPr>
      <w:r w:rsidRPr="00CF7EAD">
        <w:rPr>
          <w:rFonts w:cs="Arial"/>
          <w:bCs/>
          <w:szCs w:val="22"/>
          <w:u w:val="single"/>
        </w:rPr>
        <w:t>Hearsay</w:t>
      </w:r>
    </w:p>
    <w:p w14:paraId="31963A60" w14:textId="40AEC060" w:rsidR="002C29E3" w:rsidRDefault="00DE4970" w:rsidP="00DE4970">
      <w:pPr>
        <w:keepNext/>
        <w:widowControl w:val="0"/>
        <w:tabs>
          <w:tab w:val="left" w:pos="567"/>
        </w:tabs>
        <w:spacing w:before="480" w:after="480" w:line="360" w:lineRule="auto"/>
        <w:jc w:val="both"/>
        <w:rPr>
          <w:rFonts w:cs="Arial"/>
          <w:bCs/>
          <w:szCs w:val="22"/>
        </w:rPr>
      </w:pPr>
      <w:r>
        <w:rPr>
          <w:rFonts w:cs="Arial"/>
          <w:bCs/>
          <w:szCs w:val="22"/>
        </w:rPr>
        <w:t>[9]</w:t>
      </w:r>
      <w:r>
        <w:rPr>
          <w:rFonts w:cs="Arial"/>
          <w:bCs/>
          <w:szCs w:val="22"/>
        </w:rPr>
        <w:tab/>
      </w:r>
      <w:r w:rsidR="002C29E3">
        <w:rPr>
          <w:rFonts w:cs="Arial"/>
          <w:bCs/>
          <w:szCs w:val="22"/>
        </w:rPr>
        <w:t xml:space="preserve">It was argued on behalf of the respondent that the applicants relied on hearsay evidence by the deponent to the founding affidavit and that the employees did not sign confirmatory affidavits. The evidence must therefore be approached with some circumspection but I am satisfied that the application can be decided on the common cause facts </w:t>
      </w:r>
      <w:r w:rsidR="0002763E">
        <w:rPr>
          <w:rFonts w:cs="Arial"/>
          <w:bCs/>
          <w:szCs w:val="22"/>
        </w:rPr>
        <w:t xml:space="preserve">and by </w:t>
      </w:r>
      <w:r w:rsidR="002C29E3">
        <w:rPr>
          <w:rFonts w:cs="Arial"/>
          <w:bCs/>
          <w:szCs w:val="22"/>
        </w:rPr>
        <w:t xml:space="preserve">applying the </w:t>
      </w:r>
      <w:r w:rsidR="002C29E3" w:rsidRPr="002C6142">
        <w:rPr>
          <w:rFonts w:cs="Arial"/>
          <w:bCs/>
          <w:i/>
          <w:iCs/>
          <w:szCs w:val="22"/>
        </w:rPr>
        <w:t>Plascon-Evans</w:t>
      </w:r>
      <w:r w:rsidR="002C29E3">
        <w:rPr>
          <w:rFonts w:cs="Arial"/>
          <w:bCs/>
          <w:szCs w:val="22"/>
        </w:rPr>
        <w:t xml:space="preserve"> rule.</w:t>
      </w:r>
      <w:r w:rsidR="002C29E3">
        <w:rPr>
          <w:rStyle w:val="FootnoteReference"/>
          <w:rFonts w:cs="Arial"/>
          <w:bCs/>
          <w:szCs w:val="22"/>
        </w:rPr>
        <w:footnoteReference w:id="4"/>
      </w:r>
      <w:r w:rsidR="002C29E3">
        <w:rPr>
          <w:rFonts w:cs="Arial"/>
          <w:bCs/>
          <w:szCs w:val="22"/>
        </w:rPr>
        <w:t xml:space="preserve"> </w:t>
      </w:r>
    </w:p>
    <w:p w14:paraId="4A92CE26" w14:textId="1A516C26" w:rsidR="002C29E3" w:rsidRPr="00C25562" w:rsidRDefault="00DE4970" w:rsidP="00DE4970">
      <w:pPr>
        <w:widowControl w:val="0"/>
        <w:tabs>
          <w:tab w:val="left" w:pos="567"/>
        </w:tabs>
        <w:spacing w:before="480" w:after="480" w:line="360" w:lineRule="auto"/>
        <w:jc w:val="both"/>
        <w:rPr>
          <w:rFonts w:cs="Arial"/>
          <w:bCs/>
          <w:szCs w:val="22"/>
        </w:rPr>
      </w:pPr>
      <w:r w:rsidRPr="00C25562">
        <w:rPr>
          <w:rFonts w:cs="Arial"/>
          <w:bCs/>
          <w:szCs w:val="22"/>
        </w:rPr>
        <w:t>[10]</w:t>
      </w:r>
      <w:r w:rsidRPr="00C25562">
        <w:rPr>
          <w:rFonts w:cs="Arial"/>
          <w:bCs/>
          <w:szCs w:val="22"/>
        </w:rPr>
        <w:tab/>
      </w:r>
      <w:r w:rsidR="002C29E3">
        <w:rPr>
          <w:rFonts w:cs="Arial"/>
          <w:bCs/>
          <w:szCs w:val="22"/>
        </w:rPr>
        <w:t>The application turns on the documents emanating from the respondent that are common cause, though the parties differ on the interpretation of the documents. The probative value of the documents depends on the credibility of the respondent</w:t>
      </w:r>
      <w:r w:rsidR="002C29E3">
        <w:rPr>
          <w:rStyle w:val="FootnoteReference"/>
          <w:rFonts w:cs="Arial"/>
          <w:bCs/>
          <w:szCs w:val="22"/>
        </w:rPr>
        <w:footnoteReference w:id="5"/>
      </w:r>
      <w:r w:rsidR="002C29E3">
        <w:rPr>
          <w:rFonts w:cs="Arial"/>
          <w:bCs/>
          <w:szCs w:val="22"/>
        </w:rPr>
        <w:t xml:space="preserve"> and there is no reason to believe that any of the documents are not what they purport to be</w:t>
      </w:r>
      <w:r w:rsidR="0002763E">
        <w:rPr>
          <w:rFonts w:cs="Arial"/>
          <w:bCs/>
          <w:szCs w:val="22"/>
        </w:rPr>
        <w:t>. It is not disputed that the documents emanate from the respondent and were written or published under the hand of the officials whose names are reflected in the documents.</w:t>
      </w:r>
    </w:p>
    <w:p w14:paraId="3F25DCEB" w14:textId="77777777" w:rsidR="002C29E3" w:rsidRDefault="002C29E3" w:rsidP="002C29E3">
      <w:pPr>
        <w:widowControl w:val="0"/>
        <w:spacing w:before="480" w:after="480" w:line="360" w:lineRule="auto"/>
        <w:jc w:val="both"/>
        <w:rPr>
          <w:rFonts w:cs="Arial"/>
          <w:bCs/>
          <w:szCs w:val="22"/>
        </w:rPr>
      </w:pPr>
    </w:p>
    <w:p w14:paraId="73ACA1AC" w14:textId="3AAA18D2" w:rsidR="00C62026" w:rsidRPr="00C62026" w:rsidRDefault="00C62026" w:rsidP="00B2476E">
      <w:pPr>
        <w:keepNext/>
        <w:widowControl w:val="0"/>
        <w:spacing w:before="480" w:after="480" w:line="360" w:lineRule="auto"/>
        <w:jc w:val="both"/>
        <w:rPr>
          <w:rFonts w:cs="Arial"/>
          <w:bCs/>
          <w:szCs w:val="22"/>
          <w:u w:val="single"/>
        </w:rPr>
      </w:pPr>
      <w:r w:rsidRPr="00C62026">
        <w:rPr>
          <w:rFonts w:cs="Arial"/>
          <w:bCs/>
          <w:szCs w:val="22"/>
          <w:u w:val="single"/>
        </w:rPr>
        <w:t>The power of the Court to grant declaratory relief</w:t>
      </w:r>
    </w:p>
    <w:p w14:paraId="116278FF" w14:textId="595483CE" w:rsidR="000F25B3" w:rsidRPr="009D0942" w:rsidRDefault="00DE4970" w:rsidP="00DE4970">
      <w:pPr>
        <w:keepNext/>
        <w:widowControl w:val="0"/>
        <w:tabs>
          <w:tab w:val="left" w:pos="567"/>
        </w:tabs>
        <w:spacing w:before="480" w:after="480" w:line="360" w:lineRule="auto"/>
        <w:jc w:val="both"/>
        <w:rPr>
          <w:rFonts w:cs="Arial"/>
          <w:bCs/>
          <w:szCs w:val="22"/>
        </w:rPr>
      </w:pPr>
      <w:r w:rsidRPr="009D0942">
        <w:rPr>
          <w:rFonts w:cs="Arial"/>
          <w:bCs/>
          <w:szCs w:val="22"/>
        </w:rPr>
        <w:t>[11]</w:t>
      </w:r>
      <w:r w:rsidRPr="009D0942">
        <w:rPr>
          <w:rFonts w:cs="Arial"/>
          <w:bCs/>
          <w:szCs w:val="22"/>
        </w:rPr>
        <w:tab/>
      </w:r>
      <w:r w:rsidR="000F25B3">
        <w:rPr>
          <w:rFonts w:cs="Arial"/>
          <w:bCs/>
          <w:szCs w:val="22"/>
        </w:rPr>
        <w:t>The Court’s power to grant declaratory relief is not contentious. The right to fair labour practices is enshrined in section 23 of the Constitution of 1996 and a declaratory order may be granted when a right in the Bill of Rights is infringed or threatened.</w:t>
      </w:r>
      <w:r w:rsidR="000F25B3">
        <w:rPr>
          <w:rStyle w:val="FootnoteReference"/>
          <w:rFonts w:cs="Arial"/>
          <w:bCs/>
          <w:szCs w:val="22"/>
        </w:rPr>
        <w:footnoteReference w:id="6"/>
      </w:r>
      <w:r w:rsidR="00607232">
        <w:rPr>
          <w:rFonts w:cs="Arial"/>
          <w:bCs/>
          <w:szCs w:val="22"/>
        </w:rPr>
        <w:t xml:space="preserve"> The power to grant declaratory relief is also reflected in the Superior Courts Act.</w:t>
      </w:r>
      <w:r w:rsidR="00607232">
        <w:rPr>
          <w:rStyle w:val="FootnoteReference"/>
          <w:rFonts w:cs="Arial"/>
          <w:bCs/>
          <w:szCs w:val="22"/>
        </w:rPr>
        <w:footnoteReference w:id="7"/>
      </w:r>
      <w:r w:rsidR="00607232">
        <w:rPr>
          <w:rFonts w:cs="Arial"/>
          <w:bCs/>
          <w:szCs w:val="22"/>
        </w:rPr>
        <w:t xml:space="preserve"> The Court is required to exercise a judicial discretion.</w:t>
      </w:r>
      <w:r w:rsidR="00EC7330">
        <w:rPr>
          <w:rStyle w:val="FootnoteReference"/>
          <w:rFonts w:cs="Arial"/>
          <w:bCs/>
          <w:szCs w:val="22"/>
        </w:rPr>
        <w:footnoteReference w:id="8"/>
      </w:r>
    </w:p>
    <w:p w14:paraId="72197D44" w14:textId="1A841CE0" w:rsidR="009D0942" w:rsidRDefault="00DE4970" w:rsidP="00DE4970">
      <w:pPr>
        <w:widowControl w:val="0"/>
        <w:tabs>
          <w:tab w:val="left" w:pos="567"/>
        </w:tabs>
        <w:spacing w:before="480" w:after="480" w:line="360" w:lineRule="auto"/>
        <w:jc w:val="both"/>
        <w:rPr>
          <w:rFonts w:cs="Arial"/>
          <w:bCs/>
          <w:szCs w:val="22"/>
        </w:rPr>
      </w:pPr>
      <w:r>
        <w:rPr>
          <w:rFonts w:cs="Arial"/>
          <w:bCs/>
          <w:szCs w:val="22"/>
        </w:rPr>
        <w:t>[12]</w:t>
      </w:r>
      <w:r>
        <w:rPr>
          <w:rFonts w:cs="Arial"/>
          <w:bCs/>
          <w:szCs w:val="22"/>
        </w:rPr>
        <w:tab/>
      </w:r>
      <w:r w:rsidR="00607232">
        <w:rPr>
          <w:rFonts w:cs="Arial"/>
          <w:bCs/>
          <w:szCs w:val="22"/>
        </w:rPr>
        <w:t>The respondent disputes the applicants’ entitlement to relief but quite correctly do not dispute their standing to approach the Court or the power of the Court to grant declaratory relief.</w:t>
      </w:r>
    </w:p>
    <w:p w14:paraId="01D8D4EE" w14:textId="77777777" w:rsidR="00C62026" w:rsidRDefault="00C62026" w:rsidP="00C62026">
      <w:pPr>
        <w:widowControl w:val="0"/>
        <w:spacing w:before="480" w:after="480" w:line="360" w:lineRule="auto"/>
        <w:jc w:val="both"/>
        <w:rPr>
          <w:rFonts w:cs="Arial"/>
          <w:bCs/>
          <w:szCs w:val="22"/>
          <w:u w:val="single"/>
        </w:rPr>
      </w:pPr>
    </w:p>
    <w:p w14:paraId="72C10308" w14:textId="4C33FF60" w:rsidR="00C62026" w:rsidRPr="00C62026" w:rsidRDefault="00C62026" w:rsidP="00B2476E">
      <w:pPr>
        <w:keepNext/>
        <w:widowControl w:val="0"/>
        <w:spacing w:before="480" w:after="480" w:line="360" w:lineRule="auto"/>
        <w:jc w:val="both"/>
        <w:rPr>
          <w:rFonts w:cs="Arial"/>
          <w:bCs/>
          <w:szCs w:val="22"/>
          <w:u w:val="single"/>
        </w:rPr>
      </w:pPr>
      <w:r w:rsidRPr="00C62026">
        <w:rPr>
          <w:rFonts w:cs="Arial"/>
          <w:bCs/>
          <w:szCs w:val="22"/>
          <w:u w:val="single"/>
        </w:rPr>
        <w:t>A brief legislative overview</w:t>
      </w:r>
    </w:p>
    <w:p w14:paraId="0742C6E1" w14:textId="2D57C097" w:rsidR="005D725F" w:rsidRDefault="00DE4970" w:rsidP="00DE4970">
      <w:pPr>
        <w:keepNext/>
        <w:widowControl w:val="0"/>
        <w:tabs>
          <w:tab w:val="left" w:pos="567"/>
        </w:tabs>
        <w:spacing w:before="480" w:after="480" w:line="360" w:lineRule="auto"/>
        <w:jc w:val="both"/>
        <w:rPr>
          <w:rFonts w:cs="Arial"/>
          <w:bCs/>
          <w:szCs w:val="22"/>
        </w:rPr>
      </w:pPr>
      <w:r>
        <w:rPr>
          <w:rFonts w:cs="Arial"/>
          <w:bCs/>
          <w:szCs w:val="22"/>
        </w:rPr>
        <w:t>[13]</w:t>
      </w:r>
      <w:r>
        <w:rPr>
          <w:rFonts w:cs="Arial"/>
          <w:bCs/>
          <w:szCs w:val="22"/>
        </w:rPr>
        <w:tab/>
      </w:r>
      <w:r w:rsidR="005D725F">
        <w:rPr>
          <w:rFonts w:cs="Arial"/>
          <w:bCs/>
          <w:szCs w:val="22"/>
        </w:rPr>
        <w:t xml:space="preserve">Three </w:t>
      </w:r>
      <w:r w:rsidR="00C62026">
        <w:rPr>
          <w:rFonts w:cs="Arial"/>
          <w:bCs/>
          <w:szCs w:val="22"/>
        </w:rPr>
        <w:t>Acts</w:t>
      </w:r>
      <w:r w:rsidR="005D725F">
        <w:rPr>
          <w:rFonts w:cs="Arial"/>
          <w:bCs/>
          <w:szCs w:val="22"/>
        </w:rPr>
        <w:t xml:space="preserve"> are </w:t>
      </w:r>
      <w:r w:rsidR="0092107E">
        <w:rPr>
          <w:rFonts w:cs="Arial"/>
          <w:bCs/>
          <w:szCs w:val="22"/>
        </w:rPr>
        <w:t>important</w:t>
      </w:r>
      <w:r w:rsidR="005D725F">
        <w:rPr>
          <w:rFonts w:cs="Arial"/>
          <w:bCs/>
          <w:szCs w:val="22"/>
        </w:rPr>
        <w:t xml:space="preserve"> to this judgment and are referred to in abbreviated form. These are </w:t>
      </w:r>
      <w:r w:rsidR="0092107E">
        <w:rPr>
          <w:rFonts w:cs="Arial"/>
          <w:bCs/>
          <w:szCs w:val="22"/>
        </w:rPr>
        <w:t>-</w:t>
      </w:r>
    </w:p>
    <w:p w14:paraId="2A777A9B" w14:textId="074997F8" w:rsidR="005D725F" w:rsidRPr="005D725F" w:rsidRDefault="00DE4970" w:rsidP="00DE4970">
      <w:pPr>
        <w:widowControl w:val="0"/>
        <w:tabs>
          <w:tab w:val="left" w:pos="1418"/>
        </w:tabs>
        <w:spacing w:before="480" w:after="480" w:line="360" w:lineRule="auto"/>
        <w:ind w:left="1418" w:hanging="851"/>
        <w:jc w:val="both"/>
        <w:rPr>
          <w:rFonts w:cs="Arial"/>
          <w:bCs/>
          <w:szCs w:val="22"/>
        </w:rPr>
      </w:pPr>
      <w:r w:rsidRPr="005D725F">
        <w:rPr>
          <w:rFonts w:cs="Arial"/>
          <w:bCs/>
          <w:szCs w:val="22"/>
        </w:rPr>
        <w:t>13.1</w:t>
      </w:r>
      <w:r w:rsidRPr="005D725F">
        <w:rPr>
          <w:rFonts w:cs="Arial"/>
          <w:bCs/>
          <w:szCs w:val="22"/>
        </w:rPr>
        <w:tab/>
      </w:r>
      <w:r w:rsidR="009164FB">
        <w:rPr>
          <w:rFonts w:cs="Arial"/>
          <w:bCs/>
          <w:szCs w:val="22"/>
          <w:lang w:val="en-GB"/>
        </w:rPr>
        <w:t xml:space="preserve">The </w:t>
      </w:r>
      <w:r w:rsidR="005D725F">
        <w:rPr>
          <w:rFonts w:cs="Arial"/>
          <w:bCs/>
          <w:szCs w:val="22"/>
          <w:lang w:val="en-GB"/>
        </w:rPr>
        <w:t>Local Government: Municipal Systems Act, 32 of 200</w:t>
      </w:r>
      <w:r w:rsidR="00C62026">
        <w:rPr>
          <w:rFonts w:cs="Arial"/>
          <w:bCs/>
          <w:szCs w:val="22"/>
          <w:lang w:val="en-GB"/>
        </w:rPr>
        <w:t xml:space="preserve"> (the “Systems Act”);</w:t>
      </w:r>
    </w:p>
    <w:p w14:paraId="0E022886" w14:textId="2BC6DE44" w:rsidR="005D725F" w:rsidRPr="00CB0A2A" w:rsidRDefault="00DE4970" w:rsidP="00DE4970">
      <w:pPr>
        <w:widowControl w:val="0"/>
        <w:tabs>
          <w:tab w:val="left" w:pos="1418"/>
        </w:tabs>
        <w:spacing w:before="480" w:after="480" w:line="360" w:lineRule="auto"/>
        <w:ind w:left="1418" w:hanging="851"/>
        <w:jc w:val="both"/>
        <w:rPr>
          <w:rFonts w:cs="Arial"/>
          <w:bCs/>
          <w:szCs w:val="22"/>
        </w:rPr>
      </w:pPr>
      <w:r w:rsidRPr="00CB0A2A">
        <w:rPr>
          <w:rFonts w:cs="Arial"/>
          <w:bCs/>
          <w:szCs w:val="22"/>
        </w:rPr>
        <w:t>13.2</w:t>
      </w:r>
      <w:r w:rsidRPr="00CB0A2A">
        <w:rPr>
          <w:rFonts w:cs="Arial"/>
          <w:bCs/>
          <w:szCs w:val="22"/>
        </w:rPr>
        <w:tab/>
      </w:r>
      <w:r w:rsidR="009164FB">
        <w:t xml:space="preserve">The </w:t>
      </w:r>
      <w:r w:rsidR="005D725F">
        <w:t>Local Government: Municipal Structures Act, 117 of 1998</w:t>
      </w:r>
      <w:r w:rsidR="00CB0A2A">
        <w:t xml:space="preserve"> (</w:t>
      </w:r>
      <w:r w:rsidR="00C34C3B">
        <w:t xml:space="preserve">the </w:t>
      </w:r>
      <w:r w:rsidR="00CB0A2A">
        <w:t>“Structures Act”)</w:t>
      </w:r>
      <w:r w:rsidR="005D725F">
        <w:t>;</w:t>
      </w:r>
    </w:p>
    <w:p w14:paraId="1AF0AA66" w14:textId="77705702" w:rsidR="00CB0A2A" w:rsidRDefault="00DE4970" w:rsidP="00DE4970">
      <w:pPr>
        <w:widowControl w:val="0"/>
        <w:tabs>
          <w:tab w:val="left" w:pos="1418"/>
        </w:tabs>
        <w:spacing w:before="480" w:after="480" w:line="360" w:lineRule="auto"/>
        <w:ind w:left="1418" w:hanging="851"/>
        <w:jc w:val="both"/>
        <w:rPr>
          <w:rFonts w:cs="Arial"/>
          <w:bCs/>
          <w:szCs w:val="22"/>
        </w:rPr>
      </w:pPr>
      <w:r>
        <w:rPr>
          <w:rFonts w:cs="Arial"/>
          <w:bCs/>
          <w:szCs w:val="22"/>
        </w:rPr>
        <w:t>13.3</w:t>
      </w:r>
      <w:r>
        <w:rPr>
          <w:rFonts w:cs="Arial"/>
          <w:bCs/>
          <w:szCs w:val="22"/>
        </w:rPr>
        <w:tab/>
      </w:r>
      <w:r w:rsidR="009164FB">
        <w:rPr>
          <w:lang w:val="en-GB"/>
        </w:rPr>
        <w:t xml:space="preserve">The </w:t>
      </w:r>
      <w:r w:rsidR="00CB0A2A">
        <w:rPr>
          <w:lang w:val="en-GB"/>
        </w:rPr>
        <w:t xml:space="preserve">Local Government: </w:t>
      </w:r>
      <w:r w:rsidR="00CB0A2A">
        <w:rPr>
          <w:rFonts w:cs="Arial"/>
          <w:bCs/>
          <w:szCs w:val="22"/>
        </w:rPr>
        <w:t xml:space="preserve">Municipal Finance Management Act, 56 of 2003 </w:t>
      </w:r>
      <w:r w:rsidR="00CB0A2A">
        <w:rPr>
          <w:rFonts w:cs="Arial"/>
          <w:bCs/>
          <w:szCs w:val="22"/>
        </w:rPr>
        <w:lastRenderedPageBreak/>
        <w:t>(</w:t>
      </w:r>
      <w:r w:rsidR="00C34C3B">
        <w:rPr>
          <w:rFonts w:cs="Arial"/>
          <w:bCs/>
          <w:szCs w:val="22"/>
        </w:rPr>
        <w:t xml:space="preserve">the </w:t>
      </w:r>
      <w:r w:rsidR="00CB0A2A">
        <w:rPr>
          <w:rFonts w:cs="Arial"/>
          <w:bCs/>
          <w:szCs w:val="22"/>
        </w:rPr>
        <w:t>“Finance Act”).</w:t>
      </w:r>
    </w:p>
    <w:p w14:paraId="7A07DACE" w14:textId="56AAF470" w:rsidR="008F6F68" w:rsidRPr="008F6F68" w:rsidRDefault="00DE4970" w:rsidP="00DE4970">
      <w:pPr>
        <w:widowControl w:val="0"/>
        <w:tabs>
          <w:tab w:val="left" w:pos="567"/>
        </w:tabs>
        <w:spacing w:before="480" w:after="480" w:line="360" w:lineRule="auto"/>
        <w:jc w:val="both"/>
        <w:rPr>
          <w:rFonts w:cs="Arial"/>
          <w:bCs/>
          <w:szCs w:val="22"/>
        </w:rPr>
      </w:pPr>
      <w:r w:rsidRPr="008F6F68">
        <w:rPr>
          <w:rFonts w:cs="Arial"/>
          <w:bCs/>
          <w:szCs w:val="22"/>
        </w:rPr>
        <w:t>[14]</w:t>
      </w:r>
      <w:r w:rsidRPr="008F6F68">
        <w:rPr>
          <w:rFonts w:cs="Arial"/>
          <w:bCs/>
          <w:szCs w:val="22"/>
        </w:rPr>
        <w:tab/>
      </w:r>
      <w:r w:rsidR="00721EA5" w:rsidRPr="005E76CB">
        <w:rPr>
          <w:rFonts w:cs="Arial"/>
          <w:bCs/>
          <w:szCs w:val="22"/>
        </w:rPr>
        <w:t>The respondent is an organ of state</w:t>
      </w:r>
      <w:r w:rsidR="00721EA5">
        <w:rPr>
          <w:rStyle w:val="FootnoteReference"/>
          <w:rFonts w:cs="Arial"/>
          <w:bCs/>
          <w:szCs w:val="22"/>
        </w:rPr>
        <w:footnoteReference w:id="9"/>
      </w:r>
      <w:r w:rsidR="00721EA5" w:rsidRPr="005E76CB">
        <w:rPr>
          <w:rFonts w:cs="Arial"/>
          <w:bCs/>
          <w:szCs w:val="22"/>
        </w:rPr>
        <w:t xml:space="preserve"> recognised in the Constitution.</w:t>
      </w:r>
      <w:r w:rsidR="00721EA5">
        <w:rPr>
          <w:rStyle w:val="FootnoteReference"/>
          <w:rFonts w:cs="Arial"/>
          <w:bCs/>
          <w:szCs w:val="22"/>
        </w:rPr>
        <w:footnoteReference w:id="10"/>
      </w:r>
      <w:r w:rsidR="00721EA5" w:rsidRPr="005E76CB">
        <w:rPr>
          <w:rFonts w:cs="Arial"/>
          <w:bCs/>
          <w:szCs w:val="22"/>
        </w:rPr>
        <w:t xml:space="preserve"> It has the </w:t>
      </w:r>
      <w:r w:rsidR="00721EA5" w:rsidRPr="005E76CB">
        <w:rPr>
          <w:rFonts w:cs="Arial"/>
          <w:bCs/>
          <w:i/>
          <w:iCs/>
          <w:szCs w:val="22"/>
        </w:rPr>
        <w:t>“</w:t>
      </w:r>
      <w:r w:rsidR="00721EA5" w:rsidRPr="005E76CB">
        <w:rPr>
          <w:i/>
          <w:iCs/>
        </w:rPr>
        <w:t>right to exercise any power concerning a matter reasonably necessary for, or incidental to, the effective performance of its functions,”</w:t>
      </w:r>
      <w:r w:rsidR="00721EA5">
        <w:rPr>
          <w:rStyle w:val="FootnoteReference"/>
          <w:i/>
          <w:iCs/>
        </w:rPr>
        <w:footnoteReference w:id="11"/>
      </w:r>
      <w:r w:rsidR="00721EA5" w:rsidRPr="005E76CB">
        <w:rPr>
          <w:i/>
          <w:iCs/>
        </w:rPr>
        <w:t xml:space="preserve"> </w:t>
      </w:r>
      <w:r w:rsidR="00721EA5">
        <w:t xml:space="preserve">including the power to enter into employment contracts. </w:t>
      </w:r>
    </w:p>
    <w:p w14:paraId="0747CFE3" w14:textId="71514AAE" w:rsidR="00AA351E" w:rsidRPr="00AA351E" w:rsidRDefault="00DE4970" w:rsidP="00DE4970">
      <w:pPr>
        <w:widowControl w:val="0"/>
        <w:tabs>
          <w:tab w:val="left" w:pos="567"/>
        </w:tabs>
        <w:spacing w:before="480" w:after="480" w:line="360" w:lineRule="auto"/>
        <w:jc w:val="both"/>
        <w:rPr>
          <w:rFonts w:cs="Arial"/>
          <w:bCs/>
          <w:szCs w:val="22"/>
        </w:rPr>
      </w:pPr>
      <w:r w:rsidRPr="00AA351E">
        <w:rPr>
          <w:rFonts w:cs="Arial"/>
          <w:bCs/>
          <w:szCs w:val="22"/>
        </w:rPr>
        <w:t>[15]</w:t>
      </w:r>
      <w:r w:rsidRPr="00AA351E">
        <w:rPr>
          <w:rFonts w:cs="Arial"/>
          <w:bCs/>
          <w:szCs w:val="22"/>
        </w:rPr>
        <w:tab/>
      </w:r>
      <w:r w:rsidR="00721EA5" w:rsidRPr="00264540">
        <w:t xml:space="preserve">The executive and legislative authority of </w:t>
      </w:r>
      <w:r w:rsidR="00721EA5">
        <w:t>the respondent</w:t>
      </w:r>
      <w:r w:rsidR="00721EA5" w:rsidRPr="00264540">
        <w:t xml:space="preserve"> is vested</w:t>
      </w:r>
      <w:r w:rsidR="00170D40">
        <w:rPr>
          <w:rStyle w:val="FootnoteReference"/>
        </w:rPr>
        <w:footnoteReference w:id="12"/>
      </w:r>
      <w:r w:rsidR="00721EA5" w:rsidRPr="00264540">
        <w:t xml:space="preserve"> in its </w:t>
      </w:r>
      <w:r w:rsidR="006738DF">
        <w:t>municipal council</w:t>
      </w:r>
      <w:r w:rsidR="00721EA5" w:rsidRPr="00264540">
        <w:t>.</w:t>
      </w:r>
      <w:r w:rsidR="00170D40">
        <w:rPr>
          <w:rStyle w:val="FootnoteReference"/>
        </w:rPr>
        <w:footnoteReference w:id="13"/>
      </w:r>
      <w:r w:rsidR="00671F2F">
        <w:t xml:space="preserve"> </w:t>
      </w:r>
      <w:r w:rsidR="00735DEF">
        <w:rPr>
          <w:rFonts w:cs="Arial"/>
          <w:bCs/>
          <w:szCs w:val="22"/>
        </w:rPr>
        <w:t>T</w:t>
      </w:r>
      <w:r w:rsidR="00735DEF" w:rsidRPr="00C45E4E">
        <w:t xml:space="preserve">he </w:t>
      </w:r>
      <w:r w:rsidR="00735DEF">
        <w:t xml:space="preserve">municipal </w:t>
      </w:r>
      <w:r w:rsidR="00735DEF" w:rsidRPr="00C45E4E">
        <w:t>council takes all the decisions of the municipality sub</w:t>
      </w:r>
      <w:r w:rsidR="00735DEF" w:rsidRPr="00D46B84">
        <w:rPr>
          <w:szCs w:val="22"/>
        </w:rPr>
        <w:t xml:space="preserve">ject to section 59. Section 59 deals extensively with the delegation of powers and provides </w:t>
      </w:r>
      <w:r w:rsidR="00735DEF" w:rsidRPr="009164FB">
        <w:rPr>
          <w:i/>
          <w:iCs/>
          <w:szCs w:val="22"/>
        </w:rPr>
        <w:t>inter alia</w:t>
      </w:r>
      <w:r w:rsidR="00735DEF" w:rsidRPr="00D46B84">
        <w:rPr>
          <w:szCs w:val="22"/>
        </w:rPr>
        <w:t xml:space="preserve"> that he municipal council may review decisions taken and may then confirm, vary or revoke a decision subject to rights that may have accrued</w:t>
      </w:r>
      <w:r w:rsidR="00735DEF">
        <w:rPr>
          <w:szCs w:val="22"/>
        </w:rPr>
        <w:t>.</w:t>
      </w:r>
      <w:r w:rsidR="00735DEF">
        <w:rPr>
          <w:rStyle w:val="FootnoteReference"/>
          <w:szCs w:val="22"/>
        </w:rPr>
        <w:footnoteReference w:id="14"/>
      </w:r>
      <w:r w:rsidR="00735DEF">
        <w:rPr>
          <w:szCs w:val="22"/>
        </w:rPr>
        <w:t xml:space="preserve"> </w:t>
      </w:r>
    </w:p>
    <w:p w14:paraId="4719A342" w14:textId="7CACABCD" w:rsidR="00735DEF" w:rsidRPr="00735DEF" w:rsidRDefault="00973492" w:rsidP="00AA351E">
      <w:pPr>
        <w:widowControl w:val="0"/>
        <w:spacing w:before="480" w:after="480" w:line="360" w:lineRule="auto"/>
        <w:jc w:val="both"/>
        <w:rPr>
          <w:rFonts w:cs="Arial"/>
          <w:bCs/>
          <w:szCs w:val="22"/>
        </w:rPr>
      </w:pPr>
      <w:r w:rsidRPr="009444FC">
        <w:rPr>
          <w:szCs w:val="22"/>
        </w:rPr>
        <w:t>Delegation does not divest the council of responsibility concerning the exercise of the power or the performance of the duty that was delegated</w:t>
      </w:r>
      <w:r>
        <w:rPr>
          <w:szCs w:val="22"/>
        </w:rPr>
        <w:t>.</w:t>
      </w:r>
      <w:r>
        <w:rPr>
          <w:rStyle w:val="FootnoteReference"/>
          <w:szCs w:val="22"/>
        </w:rPr>
        <w:footnoteReference w:id="15"/>
      </w:r>
    </w:p>
    <w:p w14:paraId="2C74A17A" w14:textId="0A7CD057" w:rsidR="00671F2F" w:rsidRPr="006738DF" w:rsidRDefault="00DE4970" w:rsidP="00DE4970">
      <w:pPr>
        <w:widowControl w:val="0"/>
        <w:tabs>
          <w:tab w:val="left" w:pos="567"/>
        </w:tabs>
        <w:spacing w:before="480" w:after="480" w:line="360" w:lineRule="auto"/>
        <w:jc w:val="both"/>
        <w:rPr>
          <w:rFonts w:cs="Arial"/>
          <w:bCs/>
          <w:szCs w:val="22"/>
        </w:rPr>
      </w:pPr>
      <w:r w:rsidRPr="006738DF">
        <w:rPr>
          <w:rFonts w:cs="Arial"/>
          <w:bCs/>
          <w:szCs w:val="22"/>
        </w:rPr>
        <w:t>[16]</w:t>
      </w:r>
      <w:r w:rsidRPr="006738DF">
        <w:rPr>
          <w:rFonts w:cs="Arial"/>
          <w:bCs/>
          <w:szCs w:val="22"/>
        </w:rPr>
        <w:tab/>
      </w:r>
      <w:r w:rsidR="00671F2F" w:rsidRPr="006738DF">
        <w:rPr>
          <w:rFonts w:cs="Arial"/>
          <w:bCs/>
          <w:szCs w:val="22"/>
        </w:rPr>
        <w:t>The executive mayor as the premier political office bearer of the municipality fulfils various functions</w:t>
      </w:r>
      <w:r w:rsidR="00671F2F">
        <w:rPr>
          <w:rStyle w:val="FootnoteReference"/>
          <w:rFonts w:cs="Arial"/>
          <w:bCs/>
          <w:szCs w:val="22"/>
        </w:rPr>
        <w:footnoteReference w:id="16"/>
      </w:r>
      <w:r w:rsidR="00170D40">
        <w:rPr>
          <w:rFonts w:cs="Arial"/>
          <w:bCs/>
          <w:szCs w:val="22"/>
        </w:rPr>
        <w:t xml:space="preserve"> including when appropriate the appointment of a mayoral committee.</w:t>
      </w:r>
      <w:r w:rsidR="00170D40">
        <w:rPr>
          <w:rStyle w:val="FootnoteReference"/>
          <w:rFonts w:cs="Arial"/>
          <w:bCs/>
          <w:szCs w:val="22"/>
        </w:rPr>
        <w:footnoteReference w:id="17"/>
      </w:r>
      <w:r w:rsidR="00170D40">
        <w:rPr>
          <w:rFonts w:cs="Arial"/>
          <w:bCs/>
          <w:szCs w:val="22"/>
        </w:rPr>
        <w:t xml:space="preserve"> </w:t>
      </w:r>
      <w:r w:rsidR="00D46D05">
        <w:t xml:space="preserve">In terms of section 56(3)(f) of the Structures Act the </w:t>
      </w:r>
      <w:r w:rsidR="00D46D05">
        <w:rPr>
          <w:lang w:eastAsia="en-ZA"/>
        </w:rPr>
        <w:t>executive mayor</w:t>
      </w:r>
      <w:r w:rsidR="00D46D05" w:rsidRPr="00BB4B36">
        <w:rPr>
          <w:lang w:eastAsia="en-ZA"/>
        </w:rPr>
        <w:t xml:space="preserve"> in performing the duties of </w:t>
      </w:r>
      <w:r w:rsidR="00D46D05">
        <w:rPr>
          <w:lang w:eastAsia="en-ZA"/>
        </w:rPr>
        <w:t xml:space="preserve">his or her </w:t>
      </w:r>
      <w:r w:rsidR="00D46D05" w:rsidRPr="00BB4B36">
        <w:rPr>
          <w:lang w:eastAsia="en-ZA"/>
        </w:rPr>
        <w:t>office, must</w:t>
      </w:r>
      <w:r w:rsidR="00D46D05" w:rsidRPr="00BB4B36">
        <w:t xml:space="preserve"> </w:t>
      </w:r>
      <w:r w:rsidR="00D46D05" w:rsidRPr="000D7220">
        <w:rPr>
          <w:i/>
          <w:iCs/>
        </w:rPr>
        <w:t>inter alia</w:t>
      </w:r>
      <w:r w:rsidR="00D46D05" w:rsidRPr="00BB4B36">
        <w:rPr>
          <w:color w:val="000000" w:themeColor="text1"/>
        </w:rPr>
        <w:t xml:space="preserve"> </w:t>
      </w:r>
      <w:r w:rsidR="00D46D05" w:rsidRPr="00BB4B36">
        <w:rPr>
          <w:color w:val="000000" w:themeColor="text1"/>
          <w:lang w:eastAsia="en-ZA"/>
        </w:rPr>
        <w:t xml:space="preserve"> perform such duties and exercise such powers as the </w:t>
      </w:r>
      <w:r w:rsidR="00996F39" w:rsidRPr="00BB4B36">
        <w:rPr>
          <w:color w:val="000000" w:themeColor="text1"/>
          <w:lang w:eastAsia="en-ZA"/>
        </w:rPr>
        <w:t xml:space="preserve">council </w:t>
      </w:r>
      <w:r w:rsidR="00D46D05" w:rsidRPr="00BB4B36">
        <w:rPr>
          <w:color w:val="000000" w:themeColor="text1"/>
          <w:lang w:eastAsia="en-ZA"/>
        </w:rPr>
        <w:t xml:space="preserve">may delegate to </w:t>
      </w:r>
      <w:r w:rsidR="00D46D05">
        <w:rPr>
          <w:color w:val="000000" w:themeColor="text1"/>
          <w:lang w:eastAsia="en-ZA"/>
        </w:rPr>
        <w:t>him or her</w:t>
      </w:r>
      <w:r w:rsidR="00D46D05" w:rsidRPr="00BB4B36">
        <w:rPr>
          <w:color w:val="000000" w:themeColor="text1"/>
          <w:lang w:eastAsia="en-ZA"/>
        </w:rPr>
        <w:t xml:space="preserve"> in terms of </w:t>
      </w:r>
      <w:hyperlink r:id="rId9" w:anchor="a32y2000s59" w:history="1">
        <w:r w:rsidR="00D46D05" w:rsidRPr="00BB4B36">
          <w:rPr>
            <w:rStyle w:val="Hyperlink"/>
            <w:color w:val="000000" w:themeColor="text1"/>
            <w:u w:val="none"/>
            <w:lang w:eastAsia="en-ZA"/>
          </w:rPr>
          <w:t>section 59</w:t>
        </w:r>
      </w:hyperlink>
      <w:r w:rsidR="00D46D05" w:rsidRPr="00BB4B36">
        <w:rPr>
          <w:color w:val="000000" w:themeColor="text1"/>
          <w:lang w:eastAsia="en-ZA"/>
        </w:rPr>
        <w:t> of the</w:t>
      </w:r>
      <w:r w:rsidR="00D46D05">
        <w:rPr>
          <w:color w:val="000000" w:themeColor="text1"/>
          <w:lang w:eastAsia="en-ZA"/>
        </w:rPr>
        <w:t xml:space="preserve"> Systems Act.</w:t>
      </w:r>
      <w:r w:rsidR="00D46D05">
        <w:t xml:space="preserve"> </w:t>
      </w:r>
      <w:r w:rsidR="00170D40">
        <w:rPr>
          <w:rFonts w:cs="Arial"/>
          <w:bCs/>
          <w:szCs w:val="22"/>
        </w:rPr>
        <w:t>He or she reports to the municipal council on all decisions taken.</w:t>
      </w:r>
      <w:r w:rsidR="00170D40">
        <w:rPr>
          <w:rStyle w:val="FootnoteReference"/>
          <w:rFonts w:cs="Arial"/>
          <w:bCs/>
          <w:szCs w:val="22"/>
        </w:rPr>
        <w:footnoteReference w:id="18"/>
      </w:r>
    </w:p>
    <w:p w14:paraId="529822C5" w14:textId="6DDB208E" w:rsidR="0005217F" w:rsidRDefault="00DE4970" w:rsidP="00DE4970">
      <w:pPr>
        <w:widowControl w:val="0"/>
        <w:tabs>
          <w:tab w:val="left" w:pos="567"/>
        </w:tabs>
        <w:spacing w:before="480" w:after="480" w:line="360" w:lineRule="auto"/>
        <w:jc w:val="both"/>
        <w:rPr>
          <w:rFonts w:cs="Arial"/>
          <w:bCs/>
          <w:szCs w:val="22"/>
        </w:rPr>
      </w:pPr>
      <w:r>
        <w:rPr>
          <w:rFonts w:cs="Arial"/>
          <w:bCs/>
          <w:szCs w:val="22"/>
        </w:rPr>
        <w:t>[17]</w:t>
      </w:r>
      <w:r>
        <w:rPr>
          <w:rFonts w:cs="Arial"/>
          <w:bCs/>
          <w:szCs w:val="22"/>
        </w:rPr>
        <w:tab/>
      </w:r>
      <w:r w:rsidR="0005217F" w:rsidRPr="00D03EC2">
        <w:rPr>
          <w:rFonts w:cs="Arial"/>
          <w:color w:val="000000"/>
          <w:szCs w:val="22"/>
        </w:rPr>
        <w:t>The municipal manager is the head of the administration</w:t>
      </w:r>
      <w:r w:rsidR="0005217F">
        <w:rPr>
          <w:rStyle w:val="FootnoteReference"/>
          <w:rFonts w:cs="Arial"/>
          <w:color w:val="000000"/>
          <w:szCs w:val="22"/>
        </w:rPr>
        <w:footnoteReference w:id="19"/>
      </w:r>
      <w:r w:rsidR="0005217F" w:rsidRPr="00D03EC2">
        <w:rPr>
          <w:rFonts w:cs="Arial"/>
          <w:color w:val="000000"/>
          <w:szCs w:val="22"/>
        </w:rPr>
        <w:t xml:space="preserve"> of a municipality and is responsible and accountable for inter alia the appointment of staff,</w:t>
      </w:r>
      <w:r w:rsidR="00463D2B">
        <w:rPr>
          <w:rStyle w:val="FootnoteReference"/>
          <w:rFonts w:cs="Arial"/>
          <w:color w:val="000000"/>
          <w:szCs w:val="22"/>
        </w:rPr>
        <w:footnoteReference w:id="20"/>
      </w:r>
      <w:r w:rsidR="0005217F">
        <w:rPr>
          <w:rFonts w:cs="Arial"/>
          <w:color w:val="000000"/>
          <w:szCs w:val="22"/>
        </w:rPr>
        <w:t xml:space="preserve"> </w:t>
      </w:r>
      <w:r w:rsidR="0005217F" w:rsidRPr="00D03EC2">
        <w:rPr>
          <w:rFonts w:cs="Arial"/>
          <w:color w:val="000000"/>
          <w:szCs w:val="22"/>
        </w:rPr>
        <w:t>subject to the policy directions of the municipal council</w:t>
      </w:r>
      <w:r w:rsidR="0005217F">
        <w:rPr>
          <w:rFonts w:cs="Arial"/>
          <w:color w:val="000000"/>
          <w:szCs w:val="22"/>
        </w:rPr>
        <w:t>.</w:t>
      </w:r>
      <w:r w:rsidR="00AC3424">
        <w:rPr>
          <w:rFonts w:cs="Arial"/>
          <w:color w:val="000000"/>
          <w:szCs w:val="22"/>
        </w:rPr>
        <w:t xml:space="preserve"> He or she provides guidance and advice to the </w:t>
      </w:r>
      <w:r w:rsidR="00AC3424">
        <w:rPr>
          <w:rFonts w:cs="Arial"/>
          <w:color w:val="000000"/>
          <w:szCs w:val="22"/>
        </w:rPr>
        <w:lastRenderedPageBreak/>
        <w:t>municipality</w:t>
      </w:r>
      <w:r w:rsidR="00463D2B">
        <w:rPr>
          <w:rFonts w:cs="Arial"/>
          <w:color w:val="000000"/>
          <w:szCs w:val="22"/>
        </w:rPr>
        <w:t xml:space="preserve"> and also acts as the accounting officer.</w:t>
      </w:r>
      <w:r w:rsidR="00463D2B">
        <w:rPr>
          <w:rStyle w:val="FootnoteReference"/>
          <w:rFonts w:cs="Arial"/>
          <w:color w:val="000000"/>
          <w:szCs w:val="22"/>
        </w:rPr>
        <w:footnoteReference w:id="21"/>
      </w:r>
    </w:p>
    <w:p w14:paraId="22F38C5B" w14:textId="77777777" w:rsidR="00A634C2" w:rsidRDefault="00A634C2" w:rsidP="00A634C2">
      <w:pPr>
        <w:widowControl w:val="0"/>
        <w:spacing w:before="480" w:after="480" w:line="360" w:lineRule="auto"/>
        <w:jc w:val="both"/>
        <w:rPr>
          <w:rFonts w:cs="Arial"/>
          <w:bCs/>
          <w:szCs w:val="22"/>
          <w:u w:val="single"/>
        </w:rPr>
      </w:pPr>
    </w:p>
    <w:p w14:paraId="09E09AE2" w14:textId="18A5928B" w:rsidR="009D0942" w:rsidRPr="00A634C2" w:rsidRDefault="00A634C2" w:rsidP="00B2476E">
      <w:pPr>
        <w:keepNext/>
        <w:widowControl w:val="0"/>
        <w:spacing w:before="480" w:after="480" w:line="360" w:lineRule="auto"/>
        <w:jc w:val="both"/>
        <w:rPr>
          <w:rFonts w:cs="Arial"/>
          <w:bCs/>
          <w:szCs w:val="22"/>
          <w:u w:val="single"/>
        </w:rPr>
      </w:pPr>
      <w:r w:rsidRPr="00A634C2">
        <w:rPr>
          <w:rFonts w:cs="Arial"/>
          <w:bCs/>
          <w:szCs w:val="22"/>
          <w:u w:val="single"/>
        </w:rPr>
        <w:t>The termination of employment</w:t>
      </w:r>
    </w:p>
    <w:p w14:paraId="0F91BB18" w14:textId="1CC287A9" w:rsidR="00996F39" w:rsidRDefault="00DE4970" w:rsidP="00DE4970">
      <w:pPr>
        <w:keepNext/>
        <w:widowControl w:val="0"/>
        <w:tabs>
          <w:tab w:val="left" w:pos="567"/>
        </w:tabs>
        <w:spacing w:before="480" w:after="480" w:line="360" w:lineRule="auto"/>
        <w:jc w:val="both"/>
        <w:rPr>
          <w:rFonts w:cs="Arial"/>
          <w:bCs/>
          <w:szCs w:val="22"/>
        </w:rPr>
      </w:pPr>
      <w:r>
        <w:rPr>
          <w:rFonts w:cs="Arial"/>
          <w:bCs/>
          <w:szCs w:val="22"/>
        </w:rPr>
        <w:t>[18]</w:t>
      </w:r>
      <w:r>
        <w:rPr>
          <w:rFonts w:cs="Arial"/>
          <w:bCs/>
          <w:szCs w:val="22"/>
        </w:rPr>
        <w:tab/>
      </w:r>
      <w:r w:rsidR="00A634C2">
        <w:rPr>
          <w:rFonts w:cs="Arial"/>
          <w:bCs/>
          <w:szCs w:val="22"/>
        </w:rPr>
        <w:t>The employees were</w:t>
      </w:r>
      <w:r w:rsidR="00973492">
        <w:rPr>
          <w:rFonts w:cs="Arial"/>
          <w:bCs/>
          <w:szCs w:val="22"/>
        </w:rPr>
        <w:t xml:space="preserve"> formerly</w:t>
      </w:r>
      <w:r w:rsidR="00A634C2">
        <w:rPr>
          <w:rFonts w:cs="Arial"/>
          <w:bCs/>
          <w:szCs w:val="22"/>
        </w:rPr>
        <w:t xml:space="preserve"> employed on fixed term contracts and their status was converted to that of permanent employment </w:t>
      </w:r>
      <w:r w:rsidR="00E46128">
        <w:rPr>
          <w:rFonts w:cs="Arial"/>
          <w:bCs/>
          <w:szCs w:val="22"/>
        </w:rPr>
        <w:t xml:space="preserve">as from 1 March 2021. </w:t>
      </w:r>
      <w:r w:rsidR="00340166">
        <w:rPr>
          <w:rFonts w:cs="Arial"/>
          <w:bCs/>
          <w:szCs w:val="22"/>
        </w:rPr>
        <w:t>The conversion was effected in accordance with a decision of the mayoral committee.</w:t>
      </w:r>
      <w:r w:rsidR="00996F39" w:rsidRPr="00996F39">
        <w:rPr>
          <w:szCs w:val="22"/>
        </w:rPr>
        <w:t xml:space="preserve"> </w:t>
      </w:r>
      <w:r w:rsidR="00996F39">
        <w:rPr>
          <w:szCs w:val="22"/>
        </w:rPr>
        <w:t>The respondent itself in a letter</w:t>
      </w:r>
      <w:r w:rsidR="00996F39">
        <w:rPr>
          <w:rStyle w:val="FootnoteReference"/>
          <w:szCs w:val="22"/>
        </w:rPr>
        <w:footnoteReference w:id="22"/>
      </w:r>
      <w:r w:rsidR="00996F39">
        <w:rPr>
          <w:szCs w:val="22"/>
        </w:rPr>
        <w:t xml:space="preserve"> by the executive mayor </w:t>
      </w:r>
      <w:r w:rsidR="00AA351E">
        <w:rPr>
          <w:szCs w:val="22"/>
        </w:rPr>
        <w:t>dated</w:t>
      </w:r>
      <w:r w:rsidR="00996F39">
        <w:rPr>
          <w:szCs w:val="22"/>
        </w:rPr>
        <w:t xml:space="preserve"> 19 March 2021 adopted the attitude that the employment contracts have been lawfully converted.</w:t>
      </w:r>
    </w:p>
    <w:p w14:paraId="38F1CF11" w14:textId="6695D2BD" w:rsidR="00A634C2" w:rsidRDefault="00DE4970" w:rsidP="00DE4970">
      <w:pPr>
        <w:widowControl w:val="0"/>
        <w:tabs>
          <w:tab w:val="left" w:pos="567"/>
        </w:tabs>
        <w:spacing w:before="480" w:after="480" w:line="360" w:lineRule="auto"/>
        <w:jc w:val="both"/>
        <w:rPr>
          <w:rFonts w:cs="Arial"/>
          <w:bCs/>
          <w:szCs w:val="22"/>
        </w:rPr>
      </w:pPr>
      <w:r>
        <w:rPr>
          <w:rFonts w:cs="Arial"/>
          <w:bCs/>
          <w:szCs w:val="22"/>
        </w:rPr>
        <w:t>[19]</w:t>
      </w:r>
      <w:r>
        <w:rPr>
          <w:rFonts w:cs="Arial"/>
          <w:bCs/>
          <w:szCs w:val="22"/>
        </w:rPr>
        <w:tab/>
      </w:r>
      <w:r w:rsidR="00A634C2">
        <w:rPr>
          <w:rFonts w:cs="Arial"/>
          <w:bCs/>
          <w:szCs w:val="22"/>
        </w:rPr>
        <w:t xml:space="preserve">On 25 February 2022 the </w:t>
      </w:r>
      <w:r w:rsidR="006738DF">
        <w:rPr>
          <w:rFonts w:cs="Arial"/>
          <w:bCs/>
          <w:szCs w:val="22"/>
        </w:rPr>
        <w:t>municipal council</w:t>
      </w:r>
      <w:r w:rsidR="00A634C2">
        <w:rPr>
          <w:rFonts w:cs="Arial"/>
          <w:bCs/>
          <w:szCs w:val="22"/>
        </w:rPr>
        <w:t xml:space="preserve"> of the respondent rescinded</w:t>
      </w:r>
      <w:r w:rsidR="00350A6C">
        <w:rPr>
          <w:rStyle w:val="FootnoteReference"/>
          <w:rFonts w:cs="Arial"/>
          <w:bCs/>
          <w:szCs w:val="22"/>
        </w:rPr>
        <w:footnoteReference w:id="23"/>
      </w:r>
      <w:r w:rsidR="00A634C2">
        <w:rPr>
          <w:rFonts w:cs="Arial"/>
          <w:bCs/>
          <w:szCs w:val="22"/>
        </w:rPr>
        <w:t xml:space="preserve"> the decision of the </w:t>
      </w:r>
      <w:r w:rsidR="006738DF">
        <w:rPr>
          <w:rFonts w:cs="Arial"/>
          <w:bCs/>
          <w:szCs w:val="22"/>
        </w:rPr>
        <w:t>mayoral committee</w:t>
      </w:r>
      <w:r w:rsidR="00A634C2">
        <w:rPr>
          <w:rFonts w:cs="Arial"/>
          <w:bCs/>
          <w:szCs w:val="22"/>
        </w:rPr>
        <w:t xml:space="preserve"> on </w:t>
      </w:r>
      <w:r w:rsidR="00A608F8">
        <w:rPr>
          <w:rFonts w:cs="Arial"/>
          <w:bCs/>
          <w:szCs w:val="22"/>
        </w:rPr>
        <w:t>t</w:t>
      </w:r>
      <w:r w:rsidR="00A634C2">
        <w:rPr>
          <w:rFonts w:cs="Arial"/>
          <w:bCs/>
          <w:szCs w:val="22"/>
        </w:rPr>
        <w:t xml:space="preserve">he ground that the </w:t>
      </w:r>
      <w:r w:rsidR="006738DF">
        <w:rPr>
          <w:rFonts w:cs="Arial"/>
          <w:bCs/>
          <w:szCs w:val="22"/>
        </w:rPr>
        <w:t>mayoral committee</w:t>
      </w:r>
      <w:r w:rsidR="00A634C2">
        <w:rPr>
          <w:rFonts w:cs="Arial"/>
          <w:bCs/>
          <w:szCs w:val="22"/>
        </w:rPr>
        <w:t xml:space="preserve"> did not have the power to sanction the conversion. The employees were informed</w:t>
      </w:r>
      <w:r w:rsidR="00340166">
        <w:rPr>
          <w:rStyle w:val="FootnoteReference"/>
          <w:rFonts w:cs="Arial"/>
          <w:bCs/>
          <w:szCs w:val="22"/>
        </w:rPr>
        <w:footnoteReference w:id="24"/>
      </w:r>
      <w:r w:rsidR="00A634C2">
        <w:rPr>
          <w:rFonts w:cs="Arial"/>
          <w:bCs/>
          <w:szCs w:val="22"/>
        </w:rPr>
        <w:t xml:space="preserve"> of the decision on 2</w:t>
      </w:r>
      <w:r w:rsidR="00340166">
        <w:rPr>
          <w:rFonts w:cs="Arial"/>
          <w:bCs/>
          <w:szCs w:val="22"/>
        </w:rPr>
        <w:t>8</w:t>
      </w:r>
      <w:r w:rsidR="00A634C2">
        <w:rPr>
          <w:rFonts w:cs="Arial"/>
          <w:bCs/>
          <w:szCs w:val="22"/>
        </w:rPr>
        <w:t xml:space="preserve"> February 2022 and </w:t>
      </w:r>
      <w:r w:rsidR="00B531C8">
        <w:rPr>
          <w:rFonts w:cs="Arial"/>
          <w:bCs/>
          <w:szCs w:val="22"/>
        </w:rPr>
        <w:t>were informed</w:t>
      </w:r>
      <w:r w:rsidR="008657F4">
        <w:rPr>
          <w:rFonts w:cs="Arial"/>
          <w:bCs/>
          <w:szCs w:val="22"/>
        </w:rPr>
        <w:t xml:space="preserve"> that contraventions of the Prevention and Combating of Corrupt Activities Act 12 of 2004 and the Finance Act </w:t>
      </w:r>
      <w:r w:rsidR="004A1B95">
        <w:rPr>
          <w:rFonts w:cs="Arial"/>
          <w:bCs/>
          <w:szCs w:val="22"/>
        </w:rPr>
        <w:t xml:space="preserve">would be investigated. The </w:t>
      </w:r>
      <w:r w:rsidR="006738DF">
        <w:rPr>
          <w:rFonts w:cs="Arial"/>
          <w:bCs/>
          <w:szCs w:val="22"/>
        </w:rPr>
        <w:t>municipal council</w:t>
      </w:r>
      <w:r w:rsidR="004A1B95">
        <w:rPr>
          <w:rFonts w:cs="Arial"/>
          <w:bCs/>
          <w:szCs w:val="22"/>
        </w:rPr>
        <w:t xml:space="preserve"> invited the employees to make representations </w:t>
      </w:r>
      <w:r w:rsidR="004A1B95" w:rsidRPr="004A1B95">
        <w:rPr>
          <w:rFonts w:cs="Arial"/>
          <w:bCs/>
          <w:i/>
          <w:iCs/>
          <w:szCs w:val="22"/>
        </w:rPr>
        <w:t>“regarding how their unlawful employment should be regularised without offending the legal interests that are mentioned in section 6(2)(c) of the MSA</w:t>
      </w:r>
      <w:r w:rsidR="004A1B95" w:rsidRPr="004A1B95">
        <w:rPr>
          <w:rStyle w:val="FootnoteReference"/>
          <w:rFonts w:cs="Arial"/>
          <w:bCs/>
          <w:i/>
          <w:iCs/>
          <w:szCs w:val="22"/>
        </w:rPr>
        <w:footnoteReference w:id="25"/>
      </w:r>
      <w:r w:rsidR="004A1B95" w:rsidRPr="004A1B95">
        <w:rPr>
          <w:rFonts w:cs="Arial"/>
          <w:bCs/>
          <w:i/>
          <w:iCs/>
          <w:szCs w:val="22"/>
        </w:rPr>
        <w:t xml:space="preserve"> and section 78(1)(c) of the MFMA.”</w:t>
      </w:r>
      <w:r w:rsidR="004A1B95">
        <w:rPr>
          <w:rStyle w:val="FootnoteReference"/>
          <w:rFonts w:cs="Arial"/>
          <w:bCs/>
          <w:i/>
          <w:iCs/>
          <w:szCs w:val="22"/>
        </w:rPr>
        <w:footnoteReference w:id="26"/>
      </w:r>
      <w:r w:rsidR="00340166">
        <w:rPr>
          <w:rFonts w:cs="Arial"/>
          <w:bCs/>
          <w:i/>
          <w:iCs/>
          <w:szCs w:val="22"/>
        </w:rPr>
        <w:t xml:space="preserve"> </w:t>
      </w:r>
      <w:r w:rsidR="00340166">
        <w:rPr>
          <w:rFonts w:cs="Arial"/>
          <w:bCs/>
          <w:szCs w:val="22"/>
        </w:rPr>
        <w:t>The union responded in writing</w:t>
      </w:r>
      <w:r w:rsidR="00340166">
        <w:rPr>
          <w:rStyle w:val="FootnoteReference"/>
          <w:rFonts w:cs="Arial"/>
          <w:bCs/>
          <w:szCs w:val="22"/>
        </w:rPr>
        <w:footnoteReference w:id="27"/>
      </w:r>
      <w:r w:rsidR="00340166">
        <w:rPr>
          <w:rFonts w:cs="Arial"/>
          <w:bCs/>
          <w:szCs w:val="22"/>
        </w:rPr>
        <w:t xml:space="preserve"> on 4 March 2022 to request an extension of the deadline for submissions and stating that in its opinion only a court may pronounce on the validity of the employment contracts.</w:t>
      </w:r>
    </w:p>
    <w:p w14:paraId="5C423F76" w14:textId="4A7ADDA5" w:rsidR="008657F4" w:rsidRDefault="00DE4970" w:rsidP="00DE4970">
      <w:pPr>
        <w:widowControl w:val="0"/>
        <w:tabs>
          <w:tab w:val="left" w:pos="567"/>
        </w:tabs>
        <w:spacing w:before="480" w:after="480" w:line="360" w:lineRule="auto"/>
        <w:jc w:val="both"/>
        <w:rPr>
          <w:rFonts w:cs="Arial"/>
          <w:bCs/>
          <w:szCs w:val="22"/>
        </w:rPr>
      </w:pPr>
      <w:r>
        <w:rPr>
          <w:rFonts w:cs="Arial"/>
          <w:bCs/>
          <w:szCs w:val="22"/>
        </w:rPr>
        <w:t>[20]</w:t>
      </w:r>
      <w:r>
        <w:rPr>
          <w:rFonts w:cs="Arial"/>
          <w:bCs/>
          <w:szCs w:val="22"/>
        </w:rPr>
        <w:tab/>
      </w:r>
      <w:r w:rsidR="008657F4">
        <w:rPr>
          <w:rFonts w:cs="Arial"/>
          <w:bCs/>
          <w:szCs w:val="22"/>
        </w:rPr>
        <w:t>.</w:t>
      </w:r>
      <w:r w:rsidR="00BB5E8E">
        <w:rPr>
          <w:rFonts w:cs="Arial"/>
          <w:bCs/>
          <w:szCs w:val="22"/>
        </w:rPr>
        <w:t xml:space="preserve"> The respondent issued a directive</w:t>
      </w:r>
      <w:r w:rsidR="00350A6C">
        <w:rPr>
          <w:rStyle w:val="FootnoteReference"/>
          <w:rFonts w:cs="Arial"/>
          <w:bCs/>
          <w:szCs w:val="22"/>
        </w:rPr>
        <w:footnoteReference w:id="28"/>
      </w:r>
      <w:r w:rsidR="00BB5E8E">
        <w:rPr>
          <w:rFonts w:cs="Arial"/>
          <w:bCs/>
          <w:szCs w:val="22"/>
        </w:rPr>
        <w:t xml:space="preserve"> </w:t>
      </w:r>
      <w:r w:rsidR="00533733">
        <w:rPr>
          <w:rFonts w:cs="Arial"/>
          <w:bCs/>
          <w:szCs w:val="22"/>
        </w:rPr>
        <w:t xml:space="preserve">on 9 March 2022 </w:t>
      </w:r>
      <w:r w:rsidR="00BB5E8E">
        <w:rPr>
          <w:rFonts w:cs="Arial"/>
          <w:bCs/>
          <w:szCs w:val="22"/>
        </w:rPr>
        <w:t>referring to the irregular conversion of the fixed term contracts, pointing out that the employees had failed to successfully challenge the rescission in the twelve days since the notice of rescission, and confirming that the conversi</w:t>
      </w:r>
      <w:r w:rsidR="004A1B95">
        <w:rPr>
          <w:rFonts w:cs="Arial"/>
          <w:bCs/>
          <w:szCs w:val="22"/>
        </w:rPr>
        <w:t>o</w:t>
      </w:r>
      <w:r w:rsidR="00BB5E8E">
        <w:rPr>
          <w:rFonts w:cs="Arial"/>
          <w:bCs/>
          <w:szCs w:val="22"/>
        </w:rPr>
        <w:t xml:space="preserve">n was irregular and improper. The rescission would </w:t>
      </w:r>
      <w:r w:rsidR="00BB5E8E">
        <w:rPr>
          <w:rFonts w:cs="Arial"/>
          <w:bCs/>
          <w:szCs w:val="22"/>
        </w:rPr>
        <w:lastRenderedPageBreak/>
        <w:t>therefore be implemented.</w:t>
      </w:r>
    </w:p>
    <w:p w14:paraId="57BBD06E" w14:textId="1087F2D0" w:rsidR="00B531C8" w:rsidRDefault="00DE4970" w:rsidP="00DE4970">
      <w:pPr>
        <w:widowControl w:val="0"/>
        <w:tabs>
          <w:tab w:val="left" w:pos="567"/>
        </w:tabs>
        <w:spacing w:before="480" w:after="480" w:line="360" w:lineRule="auto"/>
        <w:jc w:val="both"/>
        <w:rPr>
          <w:rFonts w:cs="Arial"/>
          <w:bCs/>
          <w:szCs w:val="22"/>
        </w:rPr>
      </w:pPr>
      <w:r>
        <w:rPr>
          <w:rFonts w:cs="Arial"/>
          <w:bCs/>
          <w:szCs w:val="22"/>
        </w:rPr>
        <w:t>[21]</w:t>
      </w:r>
      <w:r>
        <w:rPr>
          <w:rFonts w:cs="Arial"/>
          <w:bCs/>
          <w:szCs w:val="22"/>
        </w:rPr>
        <w:tab/>
      </w:r>
      <w:r w:rsidR="00B531C8">
        <w:rPr>
          <w:rFonts w:cs="Arial"/>
          <w:bCs/>
          <w:szCs w:val="22"/>
        </w:rPr>
        <w:t>The decision to rescind the employment contracts was a unilateral decision of the respondent and there was no prior consultation.</w:t>
      </w:r>
    </w:p>
    <w:p w14:paraId="1C0DB23A" w14:textId="77777777" w:rsidR="00350A6C" w:rsidRDefault="00350A6C" w:rsidP="00B531C8">
      <w:pPr>
        <w:widowControl w:val="0"/>
        <w:spacing w:before="480" w:after="480" w:line="360" w:lineRule="auto"/>
        <w:jc w:val="both"/>
        <w:rPr>
          <w:rFonts w:cs="Arial"/>
          <w:bCs/>
          <w:szCs w:val="22"/>
          <w:u w:val="single"/>
        </w:rPr>
      </w:pPr>
    </w:p>
    <w:p w14:paraId="1EB71A14" w14:textId="0CFAFA38" w:rsidR="00B531C8" w:rsidRPr="00B531C8" w:rsidRDefault="00B531C8" w:rsidP="00B2476E">
      <w:pPr>
        <w:keepNext/>
        <w:widowControl w:val="0"/>
        <w:spacing w:before="480" w:after="480" w:line="360" w:lineRule="auto"/>
        <w:jc w:val="both"/>
        <w:rPr>
          <w:rFonts w:cs="Arial"/>
          <w:bCs/>
          <w:szCs w:val="22"/>
          <w:u w:val="single"/>
        </w:rPr>
      </w:pPr>
      <w:r>
        <w:rPr>
          <w:rFonts w:cs="Arial"/>
          <w:bCs/>
          <w:szCs w:val="22"/>
          <w:u w:val="single"/>
        </w:rPr>
        <w:t>The applicants</w:t>
      </w:r>
      <w:r w:rsidR="00350A6C">
        <w:rPr>
          <w:rFonts w:cs="Arial"/>
          <w:bCs/>
          <w:szCs w:val="22"/>
          <w:u w:val="single"/>
        </w:rPr>
        <w:t>’</w:t>
      </w:r>
      <w:r>
        <w:rPr>
          <w:rFonts w:cs="Arial"/>
          <w:bCs/>
          <w:szCs w:val="22"/>
          <w:u w:val="single"/>
        </w:rPr>
        <w:t xml:space="preserve"> response to the rescission</w:t>
      </w:r>
    </w:p>
    <w:p w14:paraId="6DCF618F" w14:textId="4C3E63D0" w:rsidR="00BB5E8E" w:rsidRDefault="00DE4970" w:rsidP="00DE4970">
      <w:pPr>
        <w:keepNext/>
        <w:widowControl w:val="0"/>
        <w:tabs>
          <w:tab w:val="left" w:pos="567"/>
        </w:tabs>
        <w:spacing w:before="480" w:after="480" w:line="360" w:lineRule="auto"/>
        <w:jc w:val="both"/>
        <w:rPr>
          <w:rFonts w:cs="Arial"/>
          <w:bCs/>
          <w:szCs w:val="22"/>
        </w:rPr>
      </w:pPr>
      <w:r>
        <w:rPr>
          <w:rFonts w:cs="Arial"/>
          <w:bCs/>
          <w:szCs w:val="22"/>
        </w:rPr>
        <w:t>[22]</w:t>
      </w:r>
      <w:r>
        <w:rPr>
          <w:rFonts w:cs="Arial"/>
          <w:bCs/>
          <w:szCs w:val="22"/>
        </w:rPr>
        <w:tab/>
      </w:r>
      <w:r w:rsidR="00BB5E8E">
        <w:rPr>
          <w:rFonts w:cs="Arial"/>
          <w:bCs/>
          <w:szCs w:val="22"/>
        </w:rPr>
        <w:t xml:space="preserve">The applicants approached the Labour Court on an urgent basis and the application was dismissed on the ground that the Labour Court </w:t>
      </w:r>
      <w:r w:rsidR="00533733">
        <w:rPr>
          <w:rFonts w:cs="Arial"/>
          <w:bCs/>
          <w:szCs w:val="22"/>
        </w:rPr>
        <w:t>did not have</w:t>
      </w:r>
      <w:r w:rsidR="00BB5E8E">
        <w:rPr>
          <w:rFonts w:cs="Arial"/>
          <w:bCs/>
          <w:szCs w:val="22"/>
        </w:rPr>
        <w:t xml:space="preserve"> jurisdiction.</w:t>
      </w:r>
      <w:r w:rsidR="00BB5E8E">
        <w:rPr>
          <w:rStyle w:val="FootnoteReference"/>
          <w:rFonts w:cs="Arial"/>
          <w:bCs/>
          <w:szCs w:val="22"/>
        </w:rPr>
        <w:footnoteReference w:id="29"/>
      </w:r>
      <w:r w:rsidR="00417F57">
        <w:rPr>
          <w:rFonts w:cs="Arial"/>
          <w:bCs/>
          <w:szCs w:val="22"/>
        </w:rPr>
        <w:t xml:space="preserve"> An application for leave to appeal was dismissed.</w:t>
      </w:r>
      <w:r w:rsidR="00350A6C">
        <w:rPr>
          <w:rStyle w:val="FootnoteReference"/>
          <w:rFonts w:cs="Arial"/>
          <w:bCs/>
          <w:szCs w:val="22"/>
        </w:rPr>
        <w:footnoteReference w:id="30"/>
      </w:r>
      <w:r w:rsidR="00417F57">
        <w:rPr>
          <w:rFonts w:cs="Arial"/>
          <w:bCs/>
          <w:szCs w:val="22"/>
        </w:rPr>
        <w:t xml:space="preserve"> Thereafter they approached this court.</w:t>
      </w:r>
    </w:p>
    <w:p w14:paraId="015E68C1" w14:textId="74ED3CB2" w:rsidR="009444FC" w:rsidRDefault="00DE4970" w:rsidP="00DE4970">
      <w:pPr>
        <w:widowControl w:val="0"/>
        <w:tabs>
          <w:tab w:val="left" w:pos="567"/>
        </w:tabs>
        <w:spacing w:before="480" w:after="480" w:line="360" w:lineRule="auto"/>
        <w:jc w:val="both"/>
        <w:rPr>
          <w:rFonts w:cs="Arial"/>
          <w:bCs/>
          <w:szCs w:val="22"/>
        </w:rPr>
      </w:pPr>
      <w:r>
        <w:rPr>
          <w:rFonts w:cs="Arial"/>
          <w:bCs/>
          <w:szCs w:val="22"/>
        </w:rPr>
        <w:t>[23]</w:t>
      </w:r>
      <w:r>
        <w:rPr>
          <w:rFonts w:cs="Arial"/>
          <w:bCs/>
          <w:szCs w:val="22"/>
        </w:rPr>
        <w:tab/>
      </w:r>
      <w:r w:rsidR="009444FC">
        <w:rPr>
          <w:rFonts w:cs="Arial"/>
          <w:bCs/>
          <w:szCs w:val="22"/>
        </w:rPr>
        <w:t>The applicants argue that –</w:t>
      </w:r>
    </w:p>
    <w:p w14:paraId="798F030E" w14:textId="5044A7FC" w:rsidR="009444FC" w:rsidRDefault="00DE4970" w:rsidP="00DE4970">
      <w:pPr>
        <w:widowControl w:val="0"/>
        <w:tabs>
          <w:tab w:val="left" w:pos="1418"/>
        </w:tabs>
        <w:spacing w:before="480" w:after="480" w:line="360" w:lineRule="auto"/>
        <w:ind w:left="1418" w:hanging="851"/>
        <w:jc w:val="both"/>
        <w:rPr>
          <w:rFonts w:cs="Arial"/>
          <w:bCs/>
          <w:szCs w:val="22"/>
        </w:rPr>
      </w:pPr>
      <w:r>
        <w:rPr>
          <w:rFonts w:cs="Arial"/>
          <w:bCs/>
          <w:szCs w:val="22"/>
        </w:rPr>
        <w:t>23.1</w:t>
      </w:r>
      <w:r>
        <w:rPr>
          <w:rFonts w:cs="Arial"/>
          <w:bCs/>
          <w:szCs w:val="22"/>
        </w:rPr>
        <w:tab/>
      </w:r>
      <w:r w:rsidR="009444FC">
        <w:rPr>
          <w:rFonts w:cs="Arial"/>
          <w:bCs/>
          <w:szCs w:val="22"/>
        </w:rPr>
        <w:t>The rights of the employees in terms of sections 22,</w:t>
      </w:r>
      <w:r w:rsidR="009444FC">
        <w:rPr>
          <w:rStyle w:val="FootnoteReference"/>
          <w:rFonts w:cs="Arial"/>
          <w:bCs/>
          <w:szCs w:val="22"/>
        </w:rPr>
        <w:footnoteReference w:id="31"/>
      </w:r>
      <w:r w:rsidR="009444FC">
        <w:rPr>
          <w:rFonts w:cs="Arial"/>
          <w:bCs/>
          <w:szCs w:val="22"/>
        </w:rPr>
        <w:t xml:space="preserve"> 23</w:t>
      </w:r>
      <w:r w:rsidR="009444FC">
        <w:rPr>
          <w:rStyle w:val="FootnoteReference"/>
          <w:rFonts w:cs="Arial"/>
          <w:bCs/>
          <w:szCs w:val="22"/>
        </w:rPr>
        <w:footnoteReference w:id="32"/>
      </w:r>
      <w:r w:rsidR="009444FC">
        <w:rPr>
          <w:rFonts w:cs="Arial"/>
          <w:bCs/>
          <w:szCs w:val="22"/>
        </w:rPr>
        <w:t xml:space="preserve"> and 33</w:t>
      </w:r>
      <w:r w:rsidR="009444FC">
        <w:rPr>
          <w:rStyle w:val="FootnoteReference"/>
          <w:rFonts w:cs="Arial"/>
          <w:bCs/>
          <w:szCs w:val="22"/>
        </w:rPr>
        <w:footnoteReference w:id="33"/>
      </w:r>
      <w:r w:rsidR="009444FC">
        <w:rPr>
          <w:rFonts w:cs="Arial"/>
          <w:bCs/>
          <w:szCs w:val="22"/>
        </w:rPr>
        <w:t xml:space="preserve"> of the Constitution have been infringed;</w:t>
      </w:r>
    </w:p>
    <w:p w14:paraId="01547F00" w14:textId="542FFE89" w:rsidR="00DA4524" w:rsidRDefault="00DE4970" w:rsidP="00DE4970">
      <w:pPr>
        <w:widowControl w:val="0"/>
        <w:tabs>
          <w:tab w:val="left" w:pos="1418"/>
        </w:tabs>
        <w:spacing w:before="480" w:after="480" w:line="360" w:lineRule="auto"/>
        <w:ind w:left="1418" w:hanging="851"/>
        <w:jc w:val="both"/>
        <w:rPr>
          <w:rFonts w:cs="Arial"/>
          <w:bCs/>
          <w:szCs w:val="22"/>
        </w:rPr>
      </w:pPr>
      <w:r>
        <w:rPr>
          <w:rFonts w:cs="Arial"/>
          <w:bCs/>
          <w:szCs w:val="22"/>
        </w:rPr>
        <w:t>23.2</w:t>
      </w:r>
      <w:r>
        <w:rPr>
          <w:rFonts w:cs="Arial"/>
          <w:bCs/>
          <w:szCs w:val="22"/>
        </w:rPr>
        <w:tab/>
      </w:r>
      <w:r w:rsidR="00DA4524">
        <w:rPr>
          <w:rFonts w:cs="Arial"/>
          <w:bCs/>
          <w:szCs w:val="22"/>
        </w:rPr>
        <w:t>They have a clear right to the relief sought, they have no alternative remedy, and they stand to suffer irreparable harm;</w:t>
      </w:r>
    </w:p>
    <w:p w14:paraId="72EA0E2F" w14:textId="246F12C6" w:rsidR="00DA4524" w:rsidRDefault="00DE4970" w:rsidP="00DE4970">
      <w:pPr>
        <w:widowControl w:val="0"/>
        <w:tabs>
          <w:tab w:val="left" w:pos="1418"/>
        </w:tabs>
        <w:spacing w:before="480" w:after="480" w:line="360" w:lineRule="auto"/>
        <w:ind w:left="1418" w:hanging="851"/>
        <w:jc w:val="both"/>
        <w:rPr>
          <w:rFonts w:cs="Arial"/>
          <w:bCs/>
          <w:szCs w:val="22"/>
        </w:rPr>
      </w:pPr>
      <w:r>
        <w:rPr>
          <w:rFonts w:cs="Arial"/>
          <w:bCs/>
          <w:szCs w:val="22"/>
        </w:rPr>
        <w:t>23.3</w:t>
      </w:r>
      <w:r>
        <w:rPr>
          <w:rFonts w:cs="Arial"/>
          <w:bCs/>
          <w:szCs w:val="22"/>
        </w:rPr>
        <w:tab/>
      </w:r>
      <w:r w:rsidR="00DA4524">
        <w:rPr>
          <w:rFonts w:cs="Arial"/>
          <w:bCs/>
          <w:szCs w:val="22"/>
        </w:rPr>
        <w:t>They were not consulted before their permanent employment rights were unilaterally rescinded;</w:t>
      </w:r>
    </w:p>
    <w:p w14:paraId="01428A6A" w14:textId="2E62EEC7" w:rsidR="00DA4524" w:rsidRDefault="00DE4970" w:rsidP="00DE4970">
      <w:pPr>
        <w:widowControl w:val="0"/>
        <w:tabs>
          <w:tab w:val="left" w:pos="1418"/>
        </w:tabs>
        <w:spacing w:before="480" w:after="480" w:line="360" w:lineRule="auto"/>
        <w:ind w:left="1418" w:hanging="851"/>
        <w:jc w:val="both"/>
        <w:rPr>
          <w:rFonts w:cs="Arial"/>
          <w:bCs/>
          <w:szCs w:val="22"/>
        </w:rPr>
      </w:pPr>
      <w:r>
        <w:rPr>
          <w:rFonts w:cs="Arial"/>
          <w:bCs/>
          <w:szCs w:val="22"/>
        </w:rPr>
        <w:t>23.4</w:t>
      </w:r>
      <w:r>
        <w:rPr>
          <w:rFonts w:cs="Arial"/>
          <w:bCs/>
          <w:szCs w:val="22"/>
        </w:rPr>
        <w:tab/>
      </w:r>
      <w:r w:rsidR="00DA4524">
        <w:rPr>
          <w:rFonts w:cs="Arial"/>
          <w:bCs/>
          <w:szCs w:val="22"/>
        </w:rPr>
        <w:t xml:space="preserve">The respondent acted in bad faith, for an ulterior purpose or motive, </w:t>
      </w:r>
      <w:r w:rsidR="00533733">
        <w:rPr>
          <w:rFonts w:cs="Arial"/>
          <w:bCs/>
          <w:szCs w:val="22"/>
        </w:rPr>
        <w:t xml:space="preserve">or </w:t>
      </w:r>
      <w:r w:rsidR="00DA4524">
        <w:rPr>
          <w:rFonts w:cs="Arial"/>
          <w:bCs/>
          <w:szCs w:val="22"/>
        </w:rPr>
        <w:t>were influenced by an error of law</w:t>
      </w:r>
      <w:r w:rsidR="00973492">
        <w:rPr>
          <w:rFonts w:cs="Arial"/>
          <w:bCs/>
          <w:szCs w:val="22"/>
        </w:rPr>
        <w:t>.</w:t>
      </w:r>
    </w:p>
    <w:p w14:paraId="7FB202CE" w14:textId="58AAE012" w:rsidR="00B2476E" w:rsidRPr="00AE0679" w:rsidRDefault="00DE4970" w:rsidP="00DE4970">
      <w:pPr>
        <w:widowControl w:val="0"/>
        <w:tabs>
          <w:tab w:val="left" w:pos="567"/>
        </w:tabs>
        <w:spacing w:before="480" w:after="480" w:line="360" w:lineRule="auto"/>
        <w:jc w:val="both"/>
        <w:rPr>
          <w:rFonts w:cs="Arial"/>
          <w:bCs/>
          <w:szCs w:val="22"/>
        </w:rPr>
      </w:pPr>
      <w:r w:rsidRPr="00AE0679">
        <w:rPr>
          <w:rFonts w:cs="Arial"/>
          <w:bCs/>
          <w:szCs w:val="22"/>
        </w:rPr>
        <w:t>[24]</w:t>
      </w:r>
      <w:r w:rsidRPr="00AE0679">
        <w:rPr>
          <w:rFonts w:cs="Arial"/>
          <w:bCs/>
          <w:szCs w:val="22"/>
        </w:rPr>
        <w:tab/>
      </w:r>
      <w:r w:rsidR="00B2476E" w:rsidRPr="00D76AAF">
        <w:rPr>
          <w:rFonts w:cs="Arial"/>
          <w:bCs/>
          <w:szCs w:val="22"/>
          <w:lang w:val="en-GB"/>
        </w:rPr>
        <w:t xml:space="preserve">The applicants argue that the conversion of the fixed term contracts to permanent </w:t>
      </w:r>
      <w:r w:rsidR="00B2476E" w:rsidRPr="00D76AAF">
        <w:rPr>
          <w:rFonts w:cs="Arial"/>
          <w:bCs/>
          <w:szCs w:val="22"/>
          <w:lang w:val="en-GB"/>
        </w:rPr>
        <w:lastRenderedPageBreak/>
        <w:t xml:space="preserve">status contracts was done lawfully and all policies and legislative requirements of the respondent were complied with. They refer to a letter of employment issued by the respondent </w:t>
      </w:r>
      <w:r w:rsidR="00B2476E">
        <w:rPr>
          <w:rFonts w:cs="Arial"/>
          <w:bCs/>
          <w:szCs w:val="22"/>
          <w:lang w:val="en-GB"/>
        </w:rPr>
        <w:t>to</w:t>
      </w:r>
      <w:r w:rsidR="00B2476E" w:rsidRPr="00D76AAF">
        <w:rPr>
          <w:rFonts w:cs="Arial"/>
          <w:bCs/>
          <w:szCs w:val="22"/>
          <w:lang w:val="en-GB"/>
        </w:rPr>
        <w:t xml:space="preserve"> one employee</w:t>
      </w:r>
      <w:r w:rsidR="00B2476E">
        <w:rPr>
          <w:rFonts w:cs="Arial"/>
          <w:bCs/>
          <w:szCs w:val="22"/>
          <w:lang w:val="en-GB"/>
        </w:rPr>
        <w:t xml:space="preserve">. </w:t>
      </w:r>
      <w:r w:rsidR="00B2476E" w:rsidRPr="00D76AAF">
        <w:rPr>
          <w:rFonts w:cs="Arial"/>
          <w:bCs/>
          <w:szCs w:val="22"/>
          <w:lang w:val="en-GB"/>
        </w:rPr>
        <w:t>The employee who received the letter is not one of the employees list</w:t>
      </w:r>
      <w:r w:rsidR="00B2476E">
        <w:rPr>
          <w:rFonts w:cs="Arial"/>
          <w:bCs/>
          <w:szCs w:val="22"/>
          <w:lang w:val="en-GB"/>
        </w:rPr>
        <w:t xml:space="preserve">ed </w:t>
      </w:r>
      <w:r w:rsidR="00B2476E" w:rsidRPr="00D76AAF">
        <w:rPr>
          <w:rFonts w:cs="Arial"/>
          <w:bCs/>
          <w:szCs w:val="22"/>
          <w:lang w:val="en-GB"/>
        </w:rPr>
        <w:t>as an applicant</w:t>
      </w:r>
      <w:r w:rsidR="00B2476E">
        <w:rPr>
          <w:rFonts w:cs="Arial"/>
          <w:bCs/>
          <w:szCs w:val="22"/>
          <w:lang w:val="en-GB"/>
        </w:rPr>
        <w:t xml:space="preserve"> </w:t>
      </w:r>
      <w:r w:rsidR="00B2476E" w:rsidRPr="00D76AAF">
        <w:rPr>
          <w:rFonts w:cs="Arial"/>
          <w:bCs/>
          <w:szCs w:val="22"/>
          <w:lang w:val="en-GB"/>
        </w:rPr>
        <w:t>b</w:t>
      </w:r>
      <w:r w:rsidR="00B2476E">
        <w:rPr>
          <w:rFonts w:cs="Arial"/>
          <w:bCs/>
          <w:szCs w:val="22"/>
          <w:lang w:val="en-GB"/>
        </w:rPr>
        <w:t>u</w:t>
      </w:r>
      <w:r w:rsidR="00B2476E" w:rsidRPr="00D76AAF">
        <w:rPr>
          <w:rFonts w:cs="Arial"/>
          <w:bCs/>
          <w:szCs w:val="22"/>
          <w:lang w:val="en-GB"/>
        </w:rPr>
        <w:t>t the later emanating from the desk of</w:t>
      </w:r>
      <w:r w:rsidR="00B2476E">
        <w:rPr>
          <w:rFonts w:cs="Arial"/>
          <w:bCs/>
          <w:szCs w:val="22"/>
          <w:lang w:val="en-GB"/>
        </w:rPr>
        <w:t xml:space="preserve"> </w:t>
      </w:r>
      <w:r w:rsidR="00B2476E" w:rsidRPr="00D76AAF">
        <w:rPr>
          <w:rFonts w:cs="Arial"/>
          <w:bCs/>
          <w:szCs w:val="22"/>
          <w:lang w:val="en-GB"/>
        </w:rPr>
        <w:t>the Group Head</w:t>
      </w:r>
      <w:r w:rsidR="00B2476E">
        <w:rPr>
          <w:rFonts w:cs="Arial"/>
          <w:bCs/>
          <w:szCs w:val="22"/>
          <w:lang w:val="en-GB"/>
        </w:rPr>
        <w:t>:</w:t>
      </w:r>
      <w:r w:rsidR="00B2476E" w:rsidRPr="00D76AAF">
        <w:rPr>
          <w:rFonts w:cs="Arial"/>
          <w:bCs/>
          <w:szCs w:val="22"/>
          <w:lang w:val="en-GB"/>
        </w:rPr>
        <w:t xml:space="preserve"> </w:t>
      </w:r>
      <w:r w:rsidR="00B2476E">
        <w:rPr>
          <w:rFonts w:cs="Arial"/>
          <w:bCs/>
          <w:szCs w:val="22"/>
          <w:lang w:val="en-GB"/>
        </w:rPr>
        <w:t xml:space="preserve">Group Human Capital Management </w:t>
      </w:r>
      <w:r w:rsidR="00B2476E" w:rsidRPr="009A7905">
        <w:rPr>
          <w:rFonts w:cs="Arial"/>
          <w:bCs/>
          <w:szCs w:val="22"/>
          <w:lang w:val="en-GB"/>
        </w:rPr>
        <w:t>of the respondent</w:t>
      </w:r>
      <w:r w:rsidR="00B2476E">
        <w:rPr>
          <w:rFonts w:cs="Arial"/>
          <w:bCs/>
          <w:szCs w:val="22"/>
          <w:lang w:val="en-GB"/>
        </w:rPr>
        <w:t xml:space="preserve"> </w:t>
      </w:r>
      <w:r w:rsidR="00B2476E" w:rsidRPr="009A7905">
        <w:rPr>
          <w:rFonts w:cs="Arial"/>
          <w:bCs/>
          <w:szCs w:val="22"/>
          <w:lang w:val="en-GB"/>
        </w:rPr>
        <w:t xml:space="preserve">informs the employee </w:t>
      </w:r>
      <w:r w:rsidR="00B2476E">
        <w:rPr>
          <w:rFonts w:cs="Arial"/>
          <w:bCs/>
          <w:szCs w:val="22"/>
          <w:lang w:val="en-GB"/>
        </w:rPr>
        <w:t>concerned</w:t>
      </w:r>
      <w:r w:rsidR="00B2476E" w:rsidRPr="009A7905">
        <w:rPr>
          <w:rFonts w:cs="Arial"/>
          <w:bCs/>
          <w:szCs w:val="22"/>
          <w:lang w:val="en-GB"/>
        </w:rPr>
        <w:t xml:space="preserve"> of the conversion of the employment status in terms of</w:t>
      </w:r>
      <w:r w:rsidR="00B2476E">
        <w:rPr>
          <w:rFonts w:cs="Arial"/>
          <w:bCs/>
          <w:szCs w:val="22"/>
          <w:lang w:val="en-GB"/>
        </w:rPr>
        <w:t xml:space="preserve"> </w:t>
      </w:r>
      <w:r w:rsidR="00B2476E" w:rsidRPr="009A7905">
        <w:rPr>
          <w:rFonts w:cs="Arial"/>
          <w:bCs/>
          <w:szCs w:val="22"/>
          <w:lang w:val="en-GB"/>
        </w:rPr>
        <w:t>a resolution</w:t>
      </w:r>
      <w:r w:rsidR="00B2476E">
        <w:rPr>
          <w:rFonts w:cs="Arial"/>
          <w:bCs/>
          <w:szCs w:val="22"/>
          <w:lang w:val="en-GB"/>
        </w:rPr>
        <w:t xml:space="preserve"> </w:t>
      </w:r>
      <w:r w:rsidR="00B2476E" w:rsidRPr="009A7905">
        <w:rPr>
          <w:rFonts w:cs="Arial"/>
          <w:bCs/>
          <w:szCs w:val="22"/>
          <w:lang w:val="en-GB"/>
        </w:rPr>
        <w:t>of the respondent</w:t>
      </w:r>
      <w:r w:rsidR="00B2476E">
        <w:rPr>
          <w:rFonts w:cs="Arial"/>
          <w:bCs/>
          <w:szCs w:val="22"/>
          <w:lang w:val="en-GB"/>
        </w:rPr>
        <w:t>. Group Human Capital Management is part of the administrative infrastructure of the respondent.</w:t>
      </w:r>
    </w:p>
    <w:p w14:paraId="5ED8971C" w14:textId="77777777" w:rsidR="00B2476E" w:rsidRDefault="00B2476E" w:rsidP="00B2476E">
      <w:pPr>
        <w:keepNext/>
        <w:widowControl w:val="0"/>
        <w:spacing w:before="480" w:after="480" w:line="360" w:lineRule="auto"/>
        <w:jc w:val="both"/>
        <w:rPr>
          <w:rFonts w:cs="Arial"/>
          <w:bCs/>
          <w:szCs w:val="22"/>
          <w:u w:val="single"/>
          <w:lang w:val="en-GB"/>
        </w:rPr>
      </w:pPr>
    </w:p>
    <w:p w14:paraId="5333A506" w14:textId="2C4B4667" w:rsidR="00B2476E" w:rsidRPr="00DE4873" w:rsidRDefault="00B2476E" w:rsidP="00B2476E">
      <w:pPr>
        <w:keepNext/>
        <w:widowControl w:val="0"/>
        <w:spacing w:before="480" w:after="480" w:line="360" w:lineRule="auto"/>
        <w:jc w:val="both"/>
        <w:rPr>
          <w:rFonts w:cs="Arial"/>
          <w:bCs/>
          <w:szCs w:val="22"/>
          <w:u w:val="single"/>
        </w:rPr>
      </w:pPr>
      <w:r w:rsidRPr="00DE4873">
        <w:rPr>
          <w:rFonts w:cs="Arial"/>
          <w:bCs/>
          <w:szCs w:val="22"/>
          <w:u w:val="single"/>
          <w:lang w:val="en-GB"/>
        </w:rPr>
        <w:t>The respondents</w:t>
      </w:r>
      <w:r>
        <w:rPr>
          <w:rFonts w:cs="Arial"/>
          <w:bCs/>
          <w:szCs w:val="22"/>
          <w:u w:val="single"/>
          <w:lang w:val="en-GB"/>
        </w:rPr>
        <w:t>’</w:t>
      </w:r>
      <w:r w:rsidRPr="00DE4873">
        <w:rPr>
          <w:rFonts w:cs="Arial"/>
          <w:bCs/>
          <w:szCs w:val="22"/>
          <w:u w:val="single"/>
          <w:lang w:val="en-GB"/>
        </w:rPr>
        <w:t xml:space="preserve"> argument</w:t>
      </w:r>
    </w:p>
    <w:p w14:paraId="4B61CF9F" w14:textId="5C919917" w:rsidR="00533733" w:rsidRDefault="00DE4970" w:rsidP="00DE4970">
      <w:pPr>
        <w:keepNext/>
        <w:widowControl w:val="0"/>
        <w:tabs>
          <w:tab w:val="left" w:pos="567"/>
        </w:tabs>
        <w:spacing w:before="480" w:after="480" w:line="360" w:lineRule="auto"/>
        <w:jc w:val="both"/>
        <w:rPr>
          <w:rFonts w:cs="Arial"/>
          <w:bCs/>
          <w:szCs w:val="22"/>
        </w:rPr>
      </w:pPr>
      <w:r>
        <w:rPr>
          <w:rFonts w:cs="Arial"/>
          <w:bCs/>
          <w:szCs w:val="22"/>
        </w:rPr>
        <w:t>[25]</w:t>
      </w:r>
      <w:r>
        <w:rPr>
          <w:rFonts w:cs="Arial"/>
          <w:bCs/>
          <w:szCs w:val="22"/>
        </w:rPr>
        <w:tab/>
      </w:r>
      <w:r w:rsidR="00B2476E">
        <w:rPr>
          <w:rFonts w:cs="Arial"/>
          <w:bCs/>
          <w:szCs w:val="22"/>
        </w:rPr>
        <w:t xml:space="preserve">The respondent argues that the executive mayor did not have the power to appoint staff; this was an administrative function that was delegated to the municipal manager. The municipal manager however did not have the power to convert employment contracts from fixed term to permanent as this would have a </w:t>
      </w:r>
      <w:r w:rsidR="00B2476E" w:rsidRPr="00F201C0">
        <w:rPr>
          <w:rFonts w:cs="Arial"/>
          <w:bCs/>
          <w:i/>
          <w:iCs/>
          <w:szCs w:val="22"/>
        </w:rPr>
        <w:t>“massive impact on the finances of”</w:t>
      </w:r>
      <w:r w:rsidR="00B2476E">
        <w:rPr>
          <w:rFonts w:cs="Arial"/>
          <w:bCs/>
          <w:szCs w:val="22"/>
        </w:rPr>
        <w:t xml:space="preserve"> the respondent – the decision would have to be taken with the approval of the council. </w:t>
      </w:r>
    </w:p>
    <w:p w14:paraId="7F4EBC41" w14:textId="39B40CF4" w:rsidR="00B2476E" w:rsidRDefault="00B2476E" w:rsidP="00533733">
      <w:pPr>
        <w:keepNext/>
        <w:widowControl w:val="0"/>
        <w:spacing w:before="480" w:after="480" w:line="360" w:lineRule="auto"/>
        <w:jc w:val="both"/>
        <w:rPr>
          <w:rFonts w:cs="Arial"/>
          <w:bCs/>
          <w:szCs w:val="22"/>
        </w:rPr>
      </w:pPr>
      <w:r>
        <w:rPr>
          <w:rFonts w:cs="Arial"/>
          <w:bCs/>
          <w:szCs w:val="22"/>
        </w:rPr>
        <w:t>The authority to approve levels 3 and below of the staff establishment developed by the municipal manager was delegated to the executive mayor, but not the authority appoint people to positions.</w:t>
      </w:r>
    </w:p>
    <w:p w14:paraId="0A990B18" w14:textId="0DCBC001" w:rsidR="00B2476E" w:rsidRDefault="00DE4970" w:rsidP="00DE4970">
      <w:pPr>
        <w:widowControl w:val="0"/>
        <w:tabs>
          <w:tab w:val="left" w:pos="567"/>
        </w:tabs>
        <w:spacing w:before="480" w:after="480" w:line="360" w:lineRule="auto"/>
        <w:jc w:val="both"/>
        <w:rPr>
          <w:rFonts w:cs="Arial"/>
          <w:bCs/>
          <w:szCs w:val="22"/>
        </w:rPr>
      </w:pPr>
      <w:r>
        <w:rPr>
          <w:rFonts w:cs="Arial"/>
          <w:bCs/>
          <w:szCs w:val="22"/>
        </w:rPr>
        <w:t>[26]</w:t>
      </w:r>
      <w:r>
        <w:rPr>
          <w:rFonts w:cs="Arial"/>
          <w:bCs/>
          <w:szCs w:val="22"/>
        </w:rPr>
        <w:tab/>
      </w:r>
      <w:r w:rsidR="00B2476E">
        <w:rPr>
          <w:rFonts w:cs="Arial"/>
          <w:bCs/>
          <w:szCs w:val="22"/>
        </w:rPr>
        <w:t>The decision was in conflict with existing council policy and was therefore not exercised within the relevant policy framework. The power to do so was beyond the power delegated to the executive mayor and the mayoral committee, and to the extent that the contracts were amended, the decision was unlawful, irrational, and therefore null and void and of no force or effect.</w:t>
      </w:r>
    </w:p>
    <w:p w14:paraId="0586B69B" w14:textId="77777777" w:rsidR="00B2476E" w:rsidRDefault="00B2476E" w:rsidP="00B2476E">
      <w:pPr>
        <w:widowControl w:val="0"/>
        <w:spacing w:before="480" w:after="480" w:line="360" w:lineRule="auto"/>
        <w:jc w:val="both"/>
        <w:rPr>
          <w:rFonts w:cs="Arial"/>
          <w:bCs/>
          <w:szCs w:val="22"/>
        </w:rPr>
      </w:pPr>
    </w:p>
    <w:p w14:paraId="587626F8" w14:textId="77777777" w:rsidR="00B2476E" w:rsidRPr="00417F57" w:rsidRDefault="00B2476E" w:rsidP="00B2476E">
      <w:pPr>
        <w:keepNext/>
        <w:widowControl w:val="0"/>
        <w:spacing w:before="480" w:after="480" w:line="360" w:lineRule="auto"/>
        <w:jc w:val="both"/>
        <w:rPr>
          <w:rFonts w:cs="Arial"/>
          <w:bCs/>
          <w:szCs w:val="22"/>
          <w:u w:val="single"/>
        </w:rPr>
      </w:pPr>
      <w:r w:rsidRPr="00417F57">
        <w:rPr>
          <w:rFonts w:cs="Arial"/>
          <w:bCs/>
          <w:szCs w:val="22"/>
          <w:u w:val="single"/>
        </w:rPr>
        <w:t>The staff establishment framework</w:t>
      </w:r>
    </w:p>
    <w:p w14:paraId="47C1E4BD" w14:textId="4BA4D6A8" w:rsidR="00B2476E" w:rsidRPr="008C0BAE" w:rsidRDefault="00DE4970" w:rsidP="00DE4970">
      <w:pPr>
        <w:keepNext/>
        <w:widowControl w:val="0"/>
        <w:tabs>
          <w:tab w:val="left" w:pos="567"/>
        </w:tabs>
        <w:autoSpaceDE w:val="0"/>
        <w:autoSpaceDN w:val="0"/>
        <w:adjustRightInd w:val="0"/>
        <w:spacing w:before="480" w:after="480" w:line="360" w:lineRule="auto"/>
        <w:jc w:val="both"/>
        <w:rPr>
          <w:rFonts w:cs="Arial"/>
          <w:bCs/>
          <w:szCs w:val="22"/>
        </w:rPr>
      </w:pPr>
      <w:r w:rsidRPr="008C0BAE">
        <w:rPr>
          <w:rFonts w:cs="Arial"/>
          <w:bCs/>
          <w:szCs w:val="22"/>
        </w:rPr>
        <w:t>[27]</w:t>
      </w:r>
      <w:r w:rsidRPr="008C0BAE">
        <w:rPr>
          <w:rFonts w:cs="Arial"/>
          <w:bCs/>
          <w:szCs w:val="22"/>
        </w:rPr>
        <w:tab/>
      </w:r>
      <w:r w:rsidR="00B2476E" w:rsidRPr="008C0BAE">
        <w:rPr>
          <w:rFonts w:cs="Arial"/>
          <w:bCs/>
          <w:szCs w:val="22"/>
        </w:rPr>
        <w:t xml:space="preserve">The respondent adopted a staff establishment policy framework with effect from 1 </w:t>
      </w:r>
      <w:r w:rsidR="00B2476E" w:rsidRPr="008C0BAE">
        <w:rPr>
          <w:rFonts w:cs="Arial"/>
          <w:bCs/>
          <w:szCs w:val="22"/>
        </w:rPr>
        <w:lastRenderedPageBreak/>
        <w:t>May 2012.</w:t>
      </w:r>
      <w:r w:rsidR="00B2476E">
        <w:rPr>
          <w:rStyle w:val="FootnoteReference"/>
          <w:rFonts w:cs="Arial"/>
          <w:bCs/>
          <w:szCs w:val="22"/>
        </w:rPr>
        <w:footnoteReference w:id="34"/>
      </w:r>
      <w:r w:rsidR="00B2476E" w:rsidRPr="008C0BAE">
        <w:rPr>
          <w:rFonts w:cs="Arial"/>
          <w:bCs/>
          <w:szCs w:val="22"/>
        </w:rPr>
        <w:t xml:space="preserve"> On 24 April 2012 the </w:t>
      </w:r>
      <w:r w:rsidR="00B2476E">
        <w:rPr>
          <w:rFonts w:cs="Arial"/>
          <w:bCs/>
          <w:szCs w:val="22"/>
        </w:rPr>
        <w:t>municipal council</w:t>
      </w:r>
      <w:r w:rsidR="00B2476E" w:rsidRPr="008C0BAE">
        <w:rPr>
          <w:rFonts w:cs="Arial"/>
          <w:bCs/>
          <w:szCs w:val="22"/>
        </w:rPr>
        <w:t xml:space="preserve"> delegated the authority in terms of section 59 to approve levels 3 and below of the staff establishment developed by the </w:t>
      </w:r>
      <w:r w:rsidR="00B2476E">
        <w:rPr>
          <w:rFonts w:cs="Arial"/>
          <w:bCs/>
          <w:szCs w:val="22"/>
        </w:rPr>
        <w:t>municipal manager</w:t>
      </w:r>
      <w:r w:rsidR="00B2476E" w:rsidRPr="008C0BAE">
        <w:rPr>
          <w:rFonts w:cs="Arial"/>
          <w:bCs/>
          <w:szCs w:val="22"/>
        </w:rPr>
        <w:t xml:space="preserve"> to the </w:t>
      </w:r>
      <w:r w:rsidR="00B2476E">
        <w:rPr>
          <w:rFonts w:cs="Arial"/>
          <w:bCs/>
          <w:szCs w:val="22"/>
        </w:rPr>
        <w:t>executive mayor</w:t>
      </w:r>
      <w:r w:rsidR="00B2476E" w:rsidRPr="008C0BAE">
        <w:rPr>
          <w:rFonts w:cs="Arial"/>
          <w:bCs/>
          <w:szCs w:val="22"/>
        </w:rPr>
        <w:t>, subject to council approval of a policy framework within which the delegation is to be exercised.</w:t>
      </w:r>
      <w:r w:rsidR="00B2476E" w:rsidRPr="008C0BAE">
        <w:rPr>
          <w:rFonts w:ascii="VerdanaRegular" w:hAnsi="VerdanaRegular" w:cs="VerdanaRegular"/>
          <w:color w:val="000000"/>
          <w:sz w:val="44"/>
          <w:szCs w:val="44"/>
        </w:rPr>
        <w:t xml:space="preserve"> </w:t>
      </w:r>
    </w:p>
    <w:p w14:paraId="74710F08" w14:textId="389BCA18" w:rsidR="00B2476E" w:rsidRDefault="00DE4970" w:rsidP="00DE4970">
      <w:pPr>
        <w:widowControl w:val="0"/>
        <w:tabs>
          <w:tab w:val="left" w:pos="567"/>
        </w:tabs>
        <w:spacing w:before="480" w:after="480" w:line="360" w:lineRule="auto"/>
        <w:jc w:val="both"/>
        <w:rPr>
          <w:rFonts w:cs="Arial"/>
          <w:bCs/>
          <w:szCs w:val="22"/>
        </w:rPr>
      </w:pPr>
      <w:r>
        <w:rPr>
          <w:rFonts w:cs="Arial"/>
          <w:bCs/>
          <w:szCs w:val="22"/>
        </w:rPr>
        <w:t>[28]</w:t>
      </w:r>
      <w:r>
        <w:rPr>
          <w:rFonts w:cs="Arial"/>
          <w:bCs/>
          <w:szCs w:val="22"/>
        </w:rPr>
        <w:tab/>
      </w:r>
      <w:r w:rsidR="00B2476E">
        <w:rPr>
          <w:rFonts w:cs="Arial"/>
          <w:bCs/>
          <w:szCs w:val="22"/>
        </w:rPr>
        <w:t xml:space="preserve">In February 2021 it was recommended </w:t>
      </w:r>
      <w:r w:rsidR="00B2476E" w:rsidRPr="007A4442">
        <w:rPr>
          <w:rFonts w:cs="Arial"/>
          <w:bCs/>
          <w:i/>
          <w:iCs/>
          <w:szCs w:val="22"/>
        </w:rPr>
        <w:t>inter alia</w:t>
      </w:r>
      <w:r w:rsidR="00B2476E">
        <w:rPr>
          <w:rFonts w:cs="Arial"/>
          <w:bCs/>
          <w:szCs w:val="22"/>
        </w:rPr>
        <w:t xml:space="preserve"> that a conversion and placement arrangement framework</w:t>
      </w:r>
      <w:r w:rsidR="00B2476E">
        <w:rPr>
          <w:rStyle w:val="FootnoteReference"/>
          <w:rFonts w:cs="Arial"/>
          <w:bCs/>
          <w:szCs w:val="22"/>
        </w:rPr>
        <w:footnoteReference w:id="35"/>
      </w:r>
      <w:r w:rsidR="00B2476E">
        <w:rPr>
          <w:rFonts w:cs="Arial"/>
          <w:bCs/>
          <w:szCs w:val="22"/>
        </w:rPr>
        <w:t xml:space="preserve"> be approved and that the fixed term employment of employees in political office on the level of Assistant Director and lower be converted to permanent employment. The submission was signed by the Group Head: Group Human Capital Management, the Acting Group Executive Director: Group Corporate and Shared Services, Member of the mayoral committee: Corporate and Shared Services, and the municipal manager. The municipal manager appended the words </w:t>
      </w:r>
      <w:r w:rsidR="00B2476E" w:rsidRPr="006374F2">
        <w:rPr>
          <w:rFonts w:cs="Arial"/>
          <w:bCs/>
          <w:i/>
          <w:iCs/>
          <w:szCs w:val="22"/>
        </w:rPr>
        <w:t>“for Mayco discussion”</w:t>
      </w:r>
      <w:r w:rsidR="00B2476E">
        <w:rPr>
          <w:rFonts w:cs="Arial"/>
          <w:bCs/>
          <w:szCs w:val="22"/>
        </w:rPr>
        <w:t xml:space="preserve"> to his signature. It is clear from the context that this is a reference to the mayoral committee.</w:t>
      </w:r>
    </w:p>
    <w:p w14:paraId="305AA715" w14:textId="7673193A" w:rsidR="00B2476E" w:rsidRDefault="00DE4970" w:rsidP="00DE4970">
      <w:pPr>
        <w:widowControl w:val="0"/>
        <w:tabs>
          <w:tab w:val="left" w:pos="567"/>
        </w:tabs>
        <w:spacing w:before="480" w:after="480" w:line="360" w:lineRule="auto"/>
        <w:jc w:val="both"/>
        <w:rPr>
          <w:rFonts w:cs="Arial"/>
          <w:bCs/>
          <w:szCs w:val="22"/>
        </w:rPr>
      </w:pPr>
      <w:r>
        <w:rPr>
          <w:rFonts w:cs="Arial"/>
          <w:bCs/>
          <w:szCs w:val="22"/>
        </w:rPr>
        <w:t>[29]</w:t>
      </w:r>
      <w:r>
        <w:rPr>
          <w:rFonts w:cs="Arial"/>
          <w:bCs/>
          <w:szCs w:val="22"/>
        </w:rPr>
        <w:tab/>
      </w:r>
      <w:r w:rsidR="00B2476E">
        <w:rPr>
          <w:rFonts w:cs="Arial"/>
          <w:bCs/>
          <w:szCs w:val="22"/>
        </w:rPr>
        <w:t>The employees argue that pursuant to these recommendations their fixed term employment was lawfully converted to permanent employment in compliance with section 66(3) of the Systems Act.</w:t>
      </w:r>
    </w:p>
    <w:p w14:paraId="20C8B02A" w14:textId="5AAE9410" w:rsidR="00B2476E" w:rsidRDefault="00DE4970" w:rsidP="00DE4970">
      <w:pPr>
        <w:widowControl w:val="0"/>
        <w:tabs>
          <w:tab w:val="left" w:pos="567"/>
        </w:tabs>
        <w:spacing w:before="480" w:after="480" w:line="360" w:lineRule="auto"/>
        <w:jc w:val="both"/>
        <w:rPr>
          <w:rFonts w:cs="Arial"/>
          <w:bCs/>
          <w:szCs w:val="22"/>
        </w:rPr>
      </w:pPr>
      <w:r>
        <w:rPr>
          <w:rFonts w:cs="Arial"/>
          <w:bCs/>
          <w:szCs w:val="22"/>
        </w:rPr>
        <w:t>[30]</w:t>
      </w:r>
      <w:r>
        <w:rPr>
          <w:rFonts w:cs="Arial"/>
          <w:bCs/>
          <w:szCs w:val="22"/>
        </w:rPr>
        <w:tab/>
      </w:r>
      <w:r w:rsidR="00B2476E">
        <w:rPr>
          <w:rFonts w:cs="Arial"/>
          <w:bCs/>
          <w:szCs w:val="22"/>
        </w:rPr>
        <w:t>Following enquiries from within the council by an opposition party the executive mayor issued a media statement</w:t>
      </w:r>
      <w:r w:rsidR="00B2476E">
        <w:rPr>
          <w:rStyle w:val="FootnoteReference"/>
          <w:rFonts w:cs="Arial"/>
          <w:bCs/>
          <w:szCs w:val="22"/>
        </w:rPr>
        <w:footnoteReference w:id="36"/>
      </w:r>
      <w:r w:rsidR="00B2476E">
        <w:rPr>
          <w:rFonts w:cs="Arial"/>
          <w:bCs/>
          <w:szCs w:val="22"/>
        </w:rPr>
        <w:t xml:space="preserve"> in March 2021, stating that the conversion had been done after a well thought out process taking into account relevant considerations. What followed was a letter on 17 March 2021 on behalf of the opposition threatening an approach to the High Court to seek interdictory relief. </w:t>
      </w:r>
    </w:p>
    <w:p w14:paraId="4D75EBEE" w14:textId="6C5A2E49" w:rsidR="00D30F1A" w:rsidRDefault="00DE4970" w:rsidP="00DE4970">
      <w:pPr>
        <w:widowControl w:val="0"/>
        <w:tabs>
          <w:tab w:val="left" w:pos="567"/>
        </w:tabs>
        <w:spacing w:before="480" w:after="480" w:line="360" w:lineRule="auto"/>
        <w:jc w:val="both"/>
        <w:rPr>
          <w:rFonts w:cs="Arial"/>
          <w:bCs/>
          <w:szCs w:val="22"/>
        </w:rPr>
      </w:pPr>
      <w:r>
        <w:rPr>
          <w:rFonts w:cs="Arial"/>
          <w:bCs/>
          <w:szCs w:val="22"/>
        </w:rPr>
        <w:t>[31]</w:t>
      </w:r>
      <w:r>
        <w:rPr>
          <w:rFonts w:cs="Arial"/>
          <w:bCs/>
          <w:szCs w:val="22"/>
        </w:rPr>
        <w:tab/>
      </w:r>
      <w:r w:rsidR="00B2476E">
        <w:rPr>
          <w:rFonts w:cs="Arial"/>
          <w:bCs/>
          <w:szCs w:val="22"/>
        </w:rPr>
        <w:t>On 19 March 2021 the executive mayor responded in writing</w:t>
      </w:r>
      <w:r w:rsidR="00B2476E">
        <w:rPr>
          <w:rStyle w:val="FootnoteReference"/>
          <w:rFonts w:cs="Arial"/>
          <w:bCs/>
          <w:szCs w:val="22"/>
        </w:rPr>
        <w:footnoteReference w:id="37"/>
      </w:r>
      <w:r w:rsidR="00B2476E">
        <w:rPr>
          <w:rFonts w:cs="Arial"/>
          <w:bCs/>
          <w:szCs w:val="22"/>
        </w:rPr>
        <w:t xml:space="preserve"> to the political opposition. He stressed that the decision to convert employment status of the employees was a decision of the executive mayor taken in terms of powers delegated to him (</w:t>
      </w:r>
      <w:r w:rsidR="00B2476E" w:rsidRPr="0046160F">
        <w:rPr>
          <w:rFonts w:cs="Arial"/>
          <w:bCs/>
          <w:i/>
          <w:iCs/>
          <w:szCs w:val="22"/>
        </w:rPr>
        <w:t>nomine officio</w:t>
      </w:r>
      <w:r w:rsidR="00B2476E">
        <w:rPr>
          <w:rFonts w:cs="Arial"/>
          <w:bCs/>
          <w:szCs w:val="22"/>
        </w:rPr>
        <w:t xml:space="preserve">) by the municipal council on 24 April 2012 and 21 June 2012. Various administrations have acted in terms of these delegations since 2012. He confirmed that the conversion had been done after considering all relevant facts and legal principles including case law, policy, and remuneration revenue ratio. The applicants say that the </w:t>
      </w:r>
      <w:r w:rsidR="00B2476E">
        <w:rPr>
          <w:rFonts w:cs="Arial"/>
          <w:bCs/>
          <w:szCs w:val="22"/>
        </w:rPr>
        <w:lastRenderedPageBreak/>
        <w:t xml:space="preserve">letter by the executive mayor satisfactorily disproved any allegations of unlawfulness of the conversions. </w:t>
      </w:r>
    </w:p>
    <w:p w14:paraId="4E1B0570" w14:textId="5F4F4B56" w:rsidR="00B2476E" w:rsidRDefault="00B2476E" w:rsidP="00D30F1A">
      <w:pPr>
        <w:widowControl w:val="0"/>
        <w:spacing w:before="480" w:after="480" w:line="360" w:lineRule="auto"/>
        <w:jc w:val="both"/>
        <w:rPr>
          <w:rFonts w:cs="Arial"/>
          <w:bCs/>
          <w:szCs w:val="22"/>
        </w:rPr>
      </w:pPr>
      <w:r>
        <w:rPr>
          <w:rFonts w:cs="Arial"/>
          <w:bCs/>
          <w:szCs w:val="22"/>
        </w:rPr>
        <w:t xml:space="preserve">The threatened </w:t>
      </w:r>
      <w:r w:rsidR="00D30F1A">
        <w:rPr>
          <w:rFonts w:cs="Arial"/>
          <w:bCs/>
          <w:szCs w:val="22"/>
        </w:rPr>
        <w:t xml:space="preserve">court </w:t>
      </w:r>
      <w:r>
        <w:rPr>
          <w:rFonts w:cs="Arial"/>
          <w:bCs/>
          <w:szCs w:val="22"/>
        </w:rPr>
        <w:t>application never materialised.</w:t>
      </w:r>
    </w:p>
    <w:p w14:paraId="7DAC6CC8" w14:textId="580C565E" w:rsidR="00B2476E" w:rsidRDefault="00DE4970" w:rsidP="00DE4970">
      <w:pPr>
        <w:widowControl w:val="0"/>
        <w:tabs>
          <w:tab w:val="left" w:pos="567"/>
        </w:tabs>
        <w:spacing w:before="480" w:after="480" w:line="360" w:lineRule="auto"/>
        <w:jc w:val="both"/>
        <w:rPr>
          <w:rFonts w:cs="Arial"/>
          <w:bCs/>
          <w:szCs w:val="22"/>
        </w:rPr>
      </w:pPr>
      <w:r>
        <w:rPr>
          <w:rFonts w:cs="Arial"/>
          <w:bCs/>
          <w:szCs w:val="22"/>
        </w:rPr>
        <w:t>[32]</w:t>
      </w:r>
      <w:r>
        <w:rPr>
          <w:rFonts w:cs="Arial"/>
          <w:bCs/>
          <w:szCs w:val="22"/>
        </w:rPr>
        <w:tab/>
      </w:r>
      <w:r w:rsidR="00B2476E" w:rsidRPr="00AE0679">
        <w:rPr>
          <w:rFonts w:cs="Arial"/>
          <w:bCs/>
          <w:szCs w:val="22"/>
        </w:rPr>
        <w:t xml:space="preserve">The documents emanating from the respondent indicate that the municipal manager recommended the conversion, that the conversion was approved, and that it was in the view of the executive mayor a decision properly taken after the respondent had applied its mind to the matter. </w:t>
      </w:r>
    </w:p>
    <w:p w14:paraId="4696205E" w14:textId="77777777" w:rsidR="003C5CB4" w:rsidRDefault="003C5CB4" w:rsidP="003C5CB4">
      <w:pPr>
        <w:keepNext/>
        <w:widowControl w:val="0"/>
        <w:spacing w:before="480" w:after="480" w:line="360" w:lineRule="auto"/>
        <w:jc w:val="both"/>
        <w:rPr>
          <w:rFonts w:cs="Arial"/>
          <w:bCs/>
          <w:szCs w:val="22"/>
          <w:u w:val="single"/>
        </w:rPr>
      </w:pPr>
    </w:p>
    <w:p w14:paraId="10E3EE8A" w14:textId="69C1B052" w:rsidR="003C5CB4" w:rsidRPr="00F201C0" w:rsidRDefault="003C5CB4" w:rsidP="003C5CB4">
      <w:pPr>
        <w:keepNext/>
        <w:widowControl w:val="0"/>
        <w:spacing w:before="480" w:after="480" w:line="360" w:lineRule="auto"/>
        <w:jc w:val="both"/>
        <w:rPr>
          <w:rFonts w:cs="Arial"/>
          <w:bCs/>
          <w:szCs w:val="22"/>
          <w:u w:val="single"/>
        </w:rPr>
      </w:pPr>
      <w:r w:rsidRPr="00F201C0">
        <w:rPr>
          <w:rFonts w:cs="Arial"/>
          <w:bCs/>
          <w:szCs w:val="22"/>
          <w:u w:val="single"/>
        </w:rPr>
        <w:t xml:space="preserve">The </w:t>
      </w:r>
      <w:r>
        <w:rPr>
          <w:rFonts w:cs="Arial"/>
          <w:bCs/>
          <w:szCs w:val="22"/>
          <w:u w:val="single"/>
        </w:rPr>
        <w:t xml:space="preserve">distinction between </w:t>
      </w:r>
      <w:r w:rsidRPr="003C5CB4">
        <w:rPr>
          <w:rFonts w:cs="Arial"/>
          <w:bCs/>
          <w:i/>
          <w:iCs/>
          <w:szCs w:val="22"/>
          <w:u w:val="single"/>
        </w:rPr>
        <w:t>ultra vires</w:t>
      </w:r>
      <w:r>
        <w:rPr>
          <w:rFonts w:cs="Arial"/>
          <w:bCs/>
          <w:szCs w:val="22"/>
          <w:u w:val="single"/>
        </w:rPr>
        <w:t xml:space="preserve"> and irregular acts</w:t>
      </w:r>
    </w:p>
    <w:p w14:paraId="1342E001" w14:textId="2C2D11B0" w:rsidR="003C5CB4" w:rsidRDefault="00DE4970" w:rsidP="00DE4970">
      <w:pPr>
        <w:keepNext/>
        <w:widowControl w:val="0"/>
        <w:tabs>
          <w:tab w:val="left" w:pos="567"/>
        </w:tabs>
        <w:spacing w:before="480" w:after="480" w:line="360" w:lineRule="auto"/>
        <w:jc w:val="both"/>
        <w:rPr>
          <w:rFonts w:cs="Arial"/>
          <w:bCs/>
          <w:szCs w:val="22"/>
        </w:rPr>
      </w:pPr>
      <w:r>
        <w:rPr>
          <w:rFonts w:cs="Arial"/>
          <w:bCs/>
          <w:szCs w:val="22"/>
        </w:rPr>
        <w:t>[33]</w:t>
      </w:r>
      <w:r>
        <w:rPr>
          <w:rFonts w:cs="Arial"/>
          <w:bCs/>
          <w:szCs w:val="22"/>
        </w:rPr>
        <w:tab/>
      </w:r>
      <w:r w:rsidR="003C5CB4">
        <w:rPr>
          <w:rFonts w:cs="Arial"/>
          <w:bCs/>
          <w:szCs w:val="22"/>
        </w:rPr>
        <w:t xml:space="preserve">There is a distinction between an act beyond or in excess of the legal powers of a public authority, and an irregular or informal exercise of a power. In </w:t>
      </w:r>
      <w:r w:rsidR="003C5CB4" w:rsidRPr="009854BD">
        <w:rPr>
          <w:i/>
          <w:iCs/>
        </w:rPr>
        <w:t>City of Tshwane Metropolitan Municipality v RPM Bricks (Pty) Ltd</w:t>
      </w:r>
      <w:r w:rsidR="003C5CB4">
        <w:rPr>
          <w:rStyle w:val="FootnoteReference"/>
          <w:rFonts w:cs="Arial"/>
          <w:bCs/>
          <w:szCs w:val="22"/>
        </w:rPr>
        <w:footnoteReference w:id="38"/>
      </w:r>
      <w:r w:rsidR="003C5CB4">
        <w:rPr>
          <w:rFonts w:cs="Arial"/>
          <w:bCs/>
          <w:szCs w:val="22"/>
        </w:rPr>
        <w:t xml:space="preserve"> Ponnan JA said::</w:t>
      </w:r>
    </w:p>
    <w:p w14:paraId="07983EDD" w14:textId="77777777" w:rsidR="003C5CB4" w:rsidRPr="003C5CB4" w:rsidRDefault="003C5CB4" w:rsidP="003C5CB4">
      <w:pPr>
        <w:widowControl w:val="0"/>
        <w:spacing w:before="480" w:after="480" w:line="360" w:lineRule="auto"/>
        <w:ind w:left="1440"/>
        <w:jc w:val="both"/>
        <w:rPr>
          <w:i/>
          <w:iCs/>
          <w:color w:val="000000" w:themeColor="text1"/>
        </w:rPr>
      </w:pPr>
      <w:r w:rsidRPr="003C5CB4">
        <w:rPr>
          <w:i/>
          <w:iCs/>
          <w:color w:val="000000" w:themeColor="text1"/>
        </w:rPr>
        <w:t>“</w:t>
      </w:r>
      <w:r w:rsidRPr="003C5CB4">
        <w:rPr>
          <w:i/>
          <w:iCs/>
        </w:rPr>
        <w:t>[11] It is important at the outset to distinguish between two separate, often interwoven, yet distinctly different 'categories' of cases. The distinction ought to be clear enough conceptually. And yet, as the present matter amply demonstrates, it is not always truly discerned. I am referring to the distinction between an act beyond or in excess of the legal powers of a public authority (the first category), on the one hand, and the irregular or informal exercise of power granted (the second category), on the other….</w:t>
      </w:r>
    </w:p>
    <w:p w14:paraId="76B0561C" w14:textId="3B806C7F" w:rsidR="003C5CB4" w:rsidRPr="005D57AE" w:rsidRDefault="003C5CB4" w:rsidP="003C5CB4">
      <w:pPr>
        <w:widowControl w:val="0"/>
        <w:spacing w:before="480" w:after="480" w:line="360" w:lineRule="auto"/>
        <w:ind w:left="1440"/>
        <w:jc w:val="both"/>
        <w:rPr>
          <w:rFonts w:cs="Arial"/>
          <w:bCs/>
          <w:color w:val="000000" w:themeColor="text1"/>
          <w:szCs w:val="22"/>
        </w:rPr>
      </w:pPr>
      <w:r w:rsidRPr="006752B6">
        <w:rPr>
          <w:i/>
          <w:iCs/>
          <w:color w:val="000000" w:themeColor="text1"/>
        </w:rPr>
        <w:t>[12] In the second category, persons contracting in good faith with a  statutory body or its agents are not bound, in the absence of knowledge to the contrary, to enquire whether the relevant internal arrangements or formalities have been satisfied, but are entitled to assume that all the necessary arrangements or formalities have indeed been complied with (see for example National and Overseas Distributors Corporation (Pty) Ltd v Potato Board </w:t>
      </w:r>
      <w:hyperlink r:id="rId10" w:history="1">
        <w:r w:rsidRPr="006752B6">
          <w:rPr>
            <w:rStyle w:val="Hyperlink"/>
            <w:i/>
            <w:iCs/>
            <w:color w:val="000000" w:themeColor="text1"/>
            <w:u w:val="none"/>
          </w:rPr>
          <w:t>1958 (2) SA 473 (A)</w:t>
        </w:r>
      </w:hyperlink>
      <w:r w:rsidRPr="006752B6">
        <w:rPr>
          <w:i/>
          <w:iCs/>
          <w:color w:val="000000" w:themeColor="text1"/>
        </w:rPr>
        <w:t xml:space="preserve">; Potchefstroom se Stadsraad v </w:t>
      </w:r>
      <w:r w:rsidRPr="006752B6">
        <w:rPr>
          <w:i/>
          <w:iCs/>
          <w:color w:val="000000" w:themeColor="text1"/>
        </w:rPr>
        <w:lastRenderedPageBreak/>
        <w:t>Kotze </w:t>
      </w:r>
      <w:hyperlink r:id="rId11" w:history="1">
        <w:r w:rsidRPr="006752B6">
          <w:rPr>
            <w:rStyle w:val="Hyperlink"/>
            <w:i/>
            <w:iCs/>
            <w:color w:val="000000" w:themeColor="text1"/>
            <w:u w:val="none"/>
          </w:rPr>
          <w:t>1960 (3) SA 616 (A)</w:t>
        </w:r>
      </w:hyperlink>
      <w:r w:rsidRPr="006752B6">
        <w:rPr>
          <w:i/>
          <w:iCs/>
          <w:color w:val="000000" w:themeColor="text1"/>
        </w:rPr>
        <w:t>). Such persons may then rely on estoppel if the defence raised is that the relevant internal arrangements or formalities were not complied with.</w:t>
      </w:r>
      <w:r>
        <w:rPr>
          <w:i/>
          <w:iCs/>
          <w:color w:val="000000" w:themeColor="text1"/>
        </w:rPr>
        <w:t>”</w:t>
      </w:r>
      <w:r w:rsidR="005D57AE">
        <w:rPr>
          <w:i/>
          <w:iCs/>
          <w:color w:val="000000" w:themeColor="text1"/>
        </w:rPr>
        <w:t xml:space="preserve"> </w:t>
      </w:r>
      <w:r w:rsidR="005D57AE">
        <w:rPr>
          <w:color w:val="000000" w:themeColor="text1"/>
        </w:rPr>
        <w:t>[footnotes omitted]</w:t>
      </w:r>
    </w:p>
    <w:p w14:paraId="65E4685B" w14:textId="08BF40FE" w:rsidR="003C5CB4" w:rsidRPr="0056752D" w:rsidRDefault="00DE4970" w:rsidP="00DE4970">
      <w:pPr>
        <w:widowControl w:val="0"/>
        <w:tabs>
          <w:tab w:val="left" w:pos="567"/>
        </w:tabs>
        <w:spacing w:before="480" w:after="480" w:line="360" w:lineRule="auto"/>
        <w:jc w:val="both"/>
        <w:rPr>
          <w:rFonts w:cs="Arial"/>
          <w:bCs/>
          <w:szCs w:val="22"/>
        </w:rPr>
      </w:pPr>
      <w:r w:rsidRPr="0056752D">
        <w:rPr>
          <w:rFonts w:cs="Arial"/>
          <w:bCs/>
          <w:szCs w:val="22"/>
        </w:rPr>
        <w:t>[34]</w:t>
      </w:r>
      <w:r w:rsidRPr="0056752D">
        <w:rPr>
          <w:rFonts w:cs="Arial"/>
          <w:bCs/>
          <w:szCs w:val="22"/>
        </w:rPr>
        <w:tab/>
      </w:r>
      <w:r w:rsidR="003C5CB4">
        <w:rPr>
          <w:rFonts w:cs="Arial"/>
          <w:bCs/>
          <w:szCs w:val="22"/>
        </w:rPr>
        <w:t>The union and the employees were entitled to assume that internal arrangements and formalities were complied with, and that the respondent is bound by the conversion.</w:t>
      </w:r>
    </w:p>
    <w:p w14:paraId="06845263" w14:textId="53373A2A" w:rsidR="003C5CB4" w:rsidRPr="005E76CB" w:rsidRDefault="00DE4970" w:rsidP="00DE4970">
      <w:pPr>
        <w:widowControl w:val="0"/>
        <w:tabs>
          <w:tab w:val="left" w:pos="567"/>
        </w:tabs>
        <w:spacing w:before="480" w:after="480" w:line="360" w:lineRule="auto"/>
        <w:jc w:val="both"/>
        <w:rPr>
          <w:rFonts w:cs="Arial"/>
          <w:bCs/>
          <w:szCs w:val="22"/>
        </w:rPr>
      </w:pPr>
      <w:r w:rsidRPr="005E76CB">
        <w:rPr>
          <w:rFonts w:cs="Arial"/>
          <w:bCs/>
          <w:szCs w:val="22"/>
        </w:rPr>
        <w:t>[35]</w:t>
      </w:r>
      <w:r w:rsidRPr="005E76CB">
        <w:rPr>
          <w:rFonts w:cs="Arial"/>
          <w:bCs/>
          <w:szCs w:val="22"/>
        </w:rPr>
        <w:tab/>
      </w:r>
      <w:r w:rsidR="003C5CB4">
        <w:t xml:space="preserve">Entering into employment contracts is not </w:t>
      </w:r>
      <w:r w:rsidR="003C5CB4" w:rsidRPr="00CB0A2A">
        <w:rPr>
          <w:i/>
          <w:iCs/>
        </w:rPr>
        <w:t>ultra vires</w:t>
      </w:r>
      <w:r w:rsidR="003C5CB4">
        <w:t xml:space="preserve"> the powers of the respondent and the requirements imposed by section 33(1) of the Finance Act do not apply to employment contracts.</w:t>
      </w:r>
      <w:r w:rsidR="003C5CB4">
        <w:rPr>
          <w:rStyle w:val="FootnoteReference"/>
        </w:rPr>
        <w:footnoteReference w:id="39"/>
      </w:r>
      <w:r w:rsidR="003C5CB4">
        <w:t xml:space="preserve"> The inference is that the conversion was not </w:t>
      </w:r>
      <w:r w:rsidR="003C5CB4" w:rsidRPr="00AE0679">
        <w:rPr>
          <w:i/>
          <w:iCs/>
        </w:rPr>
        <w:t>ultra vires</w:t>
      </w:r>
      <w:r w:rsidR="003C5CB4">
        <w:rPr>
          <w:i/>
          <w:iCs/>
        </w:rPr>
        <w:t xml:space="preserve">. </w:t>
      </w:r>
      <w:r w:rsidR="003C5CB4">
        <w:t xml:space="preserve">The respondent also regarded the conversion as irregular rather than </w:t>
      </w:r>
      <w:r w:rsidR="003C5CB4" w:rsidRPr="00350A6C">
        <w:rPr>
          <w:i/>
          <w:iCs/>
        </w:rPr>
        <w:t>ultra vires</w:t>
      </w:r>
      <w:r w:rsidR="003C5CB4">
        <w:t>.</w:t>
      </w:r>
      <w:r w:rsidR="003C5CB4">
        <w:rPr>
          <w:rStyle w:val="FootnoteReference"/>
        </w:rPr>
        <w:footnoteReference w:id="40"/>
      </w:r>
      <w:r w:rsidR="003C5CB4">
        <w:rPr>
          <w:i/>
          <w:iCs/>
        </w:rPr>
        <w:t xml:space="preserve"> </w:t>
      </w:r>
      <w:r w:rsidR="003C5CB4">
        <w:t>To my mind it is neither desirable nor necessary</w:t>
      </w:r>
      <w:r w:rsidR="003C5CB4">
        <w:rPr>
          <w:rStyle w:val="FootnoteReference"/>
        </w:rPr>
        <w:footnoteReference w:id="41"/>
      </w:r>
      <w:r w:rsidR="003C5CB4">
        <w:t xml:space="preserve"> to determine</w:t>
      </w:r>
      <w:r w:rsidR="00B85005">
        <w:t xml:space="preserve"> </w:t>
      </w:r>
      <w:r w:rsidR="003C5CB4">
        <w:t xml:space="preserve"> whether the conversion fell within the powers delegated to the executive mayor, whether the municipal manager approved the conversion (he certainly supported it), what powers were delegated to the municipal manager, and whether the respondent’s officers were clothed with actual or ostensible authority.</w:t>
      </w:r>
      <w:r w:rsidR="003C5CB4">
        <w:rPr>
          <w:rStyle w:val="FootnoteReference"/>
        </w:rPr>
        <w:footnoteReference w:id="42"/>
      </w:r>
      <w:r w:rsidR="003C5CB4">
        <w:t xml:space="preserve"> </w:t>
      </w:r>
    </w:p>
    <w:p w14:paraId="2AA3B118" w14:textId="0224A76A" w:rsidR="003C5CB4" w:rsidRPr="003C5CB4" w:rsidRDefault="00DE4970" w:rsidP="00DE4970">
      <w:pPr>
        <w:widowControl w:val="0"/>
        <w:tabs>
          <w:tab w:val="left" w:pos="567"/>
        </w:tabs>
        <w:spacing w:before="480" w:after="480" w:line="360" w:lineRule="auto"/>
        <w:jc w:val="both"/>
        <w:rPr>
          <w:rFonts w:cs="Arial"/>
          <w:bCs/>
          <w:szCs w:val="22"/>
        </w:rPr>
      </w:pPr>
      <w:r w:rsidRPr="003C5CB4">
        <w:rPr>
          <w:rFonts w:cs="Arial"/>
          <w:bCs/>
          <w:szCs w:val="22"/>
        </w:rPr>
        <w:t>[36]</w:t>
      </w:r>
      <w:r w:rsidRPr="003C5CB4">
        <w:rPr>
          <w:rFonts w:cs="Arial"/>
          <w:bCs/>
          <w:szCs w:val="22"/>
        </w:rPr>
        <w:tab/>
      </w:r>
      <w:r w:rsidR="003C5CB4" w:rsidRPr="003C5CB4">
        <w:rPr>
          <w:rFonts w:cs="Arial"/>
          <w:bCs/>
          <w:szCs w:val="22"/>
        </w:rPr>
        <w:t xml:space="preserve">Authority may be actual or ostensible. In </w:t>
      </w:r>
      <w:r w:rsidR="003C5CB4" w:rsidRPr="003C5CB4">
        <w:rPr>
          <w:rFonts w:cs="Arial"/>
          <w:bCs/>
          <w:i/>
          <w:iCs/>
          <w:szCs w:val="22"/>
        </w:rPr>
        <w:t>Makate v Vodacom Ltd</w:t>
      </w:r>
      <w:r w:rsidR="003C5CB4">
        <w:rPr>
          <w:rStyle w:val="FootnoteReference"/>
          <w:rFonts w:cs="Arial"/>
          <w:bCs/>
          <w:i/>
          <w:iCs/>
          <w:szCs w:val="22"/>
        </w:rPr>
        <w:footnoteReference w:id="43"/>
      </w:r>
      <w:r w:rsidR="003C5CB4" w:rsidRPr="003C5CB4">
        <w:rPr>
          <w:rFonts w:cs="Arial"/>
          <w:bCs/>
          <w:szCs w:val="22"/>
        </w:rPr>
        <w:t xml:space="preserve"> The majority</w:t>
      </w:r>
      <w:r w:rsidR="003C5CB4">
        <w:rPr>
          <w:rStyle w:val="FootnoteReference"/>
          <w:rFonts w:cs="Arial"/>
          <w:bCs/>
          <w:szCs w:val="22"/>
        </w:rPr>
        <w:footnoteReference w:id="44"/>
      </w:r>
      <w:r w:rsidR="003C5CB4" w:rsidRPr="003C5CB4">
        <w:rPr>
          <w:rFonts w:cs="Arial"/>
          <w:bCs/>
          <w:szCs w:val="22"/>
        </w:rPr>
        <w:t xml:space="preserve"> of the Constitutional Court endorsed the explanation of the distinction as given by Lord Denning MR in </w:t>
      </w:r>
      <w:r w:rsidR="003C5CB4" w:rsidRPr="003C5CB4">
        <w:rPr>
          <w:i/>
          <w:iCs/>
        </w:rPr>
        <w:t>Hely-Hutchinson v Brayhead Ltd and Another</w:t>
      </w:r>
      <w:r w:rsidR="003C5CB4" w:rsidRPr="003C5CB4">
        <w:rPr>
          <w:rFonts w:cs="Arial"/>
          <w:bCs/>
          <w:szCs w:val="22"/>
        </w:rPr>
        <w:t>.</w:t>
      </w:r>
      <w:r w:rsidR="003C5CB4">
        <w:rPr>
          <w:rStyle w:val="FootnoteReference"/>
          <w:rFonts w:cs="Arial"/>
          <w:bCs/>
          <w:szCs w:val="22"/>
        </w:rPr>
        <w:footnoteReference w:id="45"/>
      </w:r>
      <w:r w:rsidR="003C5CB4" w:rsidRPr="003C5CB4">
        <w:rPr>
          <w:rFonts w:cs="Arial"/>
          <w:bCs/>
          <w:szCs w:val="22"/>
        </w:rPr>
        <w:t xml:space="preserve"> In distinguishing between estoppel and ostensible authority, Jafta JA said:</w:t>
      </w:r>
    </w:p>
    <w:p w14:paraId="64CDBEA8" w14:textId="77777777" w:rsidR="003C5CB4" w:rsidRPr="000739F5" w:rsidRDefault="003C5CB4" w:rsidP="003C5CB4">
      <w:pPr>
        <w:autoSpaceDE w:val="0"/>
        <w:autoSpaceDN w:val="0"/>
        <w:adjustRightInd w:val="0"/>
        <w:spacing w:line="360" w:lineRule="auto"/>
        <w:ind w:left="1440"/>
        <w:jc w:val="both"/>
        <w:rPr>
          <w:rFonts w:cs="Arial"/>
          <w:i/>
          <w:iCs/>
          <w:color w:val="000000"/>
          <w:szCs w:val="22"/>
        </w:rPr>
      </w:pPr>
      <w:r w:rsidRPr="000739F5">
        <w:rPr>
          <w:rFonts w:cs="Arial"/>
          <w:i/>
          <w:iCs/>
          <w:color w:val="000000"/>
          <w:szCs w:val="22"/>
        </w:rPr>
        <w:t>“[45] Actual authority and ostensible or apparent authority are the opposite sides of the same coin. If an agent wishes to perform a juristic act on behalf of a principal, the agent requires authority to do so, for the act to bind the principal. If the principal had conferred the necessary authority either expressly or impliedly, the agent is taken to have actual authority.</w:t>
      </w:r>
      <w:r w:rsidRPr="000739F5">
        <w:rPr>
          <w:rFonts w:cs="Arial"/>
          <w:i/>
          <w:iCs/>
          <w:color w:val="0066FF"/>
          <w:szCs w:val="22"/>
        </w:rPr>
        <w:t xml:space="preserve"> </w:t>
      </w:r>
      <w:r w:rsidRPr="000739F5">
        <w:rPr>
          <w:rFonts w:cs="Arial"/>
          <w:i/>
          <w:iCs/>
          <w:color w:val="000000"/>
          <w:szCs w:val="22"/>
        </w:rPr>
        <w:t xml:space="preserve">But if the principal were to deny that she had conferred the authority, the third party who concluded the juristic act with the agent may plead estoppel in </w:t>
      </w:r>
      <w:r w:rsidRPr="000739F5">
        <w:rPr>
          <w:rFonts w:cs="Arial"/>
          <w:i/>
          <w:iCs/>
          <w:color w:val="000000"/>
          <w:szCs w:val="22"/>
        </w:rPr>
        <w:lastRenderedPageBreak/>
        <w:t>replication. In this context, estoppel is not a form of authority but a rule to the effect that if the principal had conducted herself in a manner that misled the third party into believing that the agent had authority, the principal is precluded from denying that the agent had authority.</w:t>
      </w:r>
    </w:p>
    <w:p w14:paraId="4418242C" w14:textId="7678CD92" w:rsidR="003C5CB4" w:rsidRPr="00B85005" w:rsidRDefault="003C5CB4" w:rsidP="003C5CB4">
      <w:pPr>
        <w:widowControl w:val="0"/>
        <w:spacing w:before="480" w:after="480" w:line="360" w:lineRule="auto"/>
        <w:ind w:left="1440"/>
        <w:jc w:val="both"/>
        <w:rPr>
          <w:rFonts w:cs="Arial"/>
          <w:bCs/>
          <w:szCs w:val="22"/>
        </w:rPr>
      </w:pPr>
      <w:r w:rsidRPr="000739F5">
        <w:rPr>
          <w:rFonts w:cs="Arial"/>
          <w:i/>
          <w:iCs/>
          <w:color w:val="000000"/>
          <w:szCs w:val="22"/>
        </w:rPr>
        <w:t>[46] The same misrepresentation may also lead to an appearance that the agent has the power to act on behalf of the principal. This is known as ostensible or apparent authority in our law. While this kind of authority may not have been conferred by the principal, it is still taken to be the authority of the agent as it appears to others. It is distinguishable from estoppel which is not authority at all. Moreover, estoppel and apparent authority have different elements, barring one that is common to both. The common element is the representation which may take the form of words or conduct.”</w:t>
      </w:r>
      <w:r w:rsidR="00B85005">
        <w:rPr>
          <w:rFonts w:cs="Arial"/>
          <w:i/>
          <w:iCs/>
          <w:color w:val="000000"/>
          <w:szCs w:val="22"/>
        </w:rPr>
        <w:t xml:space="preserve"> </w:t>
      </w:r>
      <w:r w:rsidR="00B85005">
        <w:rPr>
          <w:rFonts w:cs="Arial"/>
          <w:color w:val="000000"/>
          <w:szCs w:val="22"/>
        </w:rPr>
        <w:t>[footnotes omitted]</w:t>
      </w:r>
    </w:p>
    <w:p w14:paraId="6D326776" w14:textId="77777777" w:rsidR="00973492" w:rsidRDefault="00973492" w:rsidP="00973492">
      <w:pPr>
        <w:widowControl w:val="0"/>
        <w:spacing w:before="480" w:after="480" w:line="360" w:lineRule="auto"/>
        <w:jc w:val="both"/>
        <w:rPr>
          <w:rFonts w:cs="Arial"/>
          <w:bCs/>
          <w:szCs w:val="22"/>
          <w:u w:val="single"/>
        </w:rPr>
      </w:pPr>
    </w:p>
    <w:p w14:paraId="55D4B38C" w14:textId="79DDF526" w:rsidR="00973492" w:rsidRPr="00973492" w:rsidRDefault="00973492" w:rsidP="00973492">
      <w:pPr>
        <w:widowControl w:val="0"/>
        <w:spacing w:before="480" w:after="480" w:line="360" w:lineRule="auto"/>
        <w:jc w:val="both"/>
        <w:rPr>
          <w:rFonts w:cs="Arial"/>
          <w:bCs/>
          <w:szCs w:val="22"/>
          <w:u w:val="single"/>
        </w:rPr>
      </w:pPr>
      <w:r w:rsidRPr="00973492">
        <w:rPr>
          <w:rFonts w:cs="Arial"/>
          <w:bCs/>
          <w:szCs w:val="22"/>
          <w:u w:val="single"/>
        </w:rPr>
        <w:t>The rule of law</w:t>
      </w:r>
    </w:p>
    <w:p w14:paraId="4F3BDCA8" w14:textId="3283B788" w:rsidR="00AF2751" w:rsidRPr="00AF2751" w:rsidRDefault="00DE4970" w:rsidP="00DE4970">
      <w:pPr>
        <w:widowControl w:val="0"/>
        <w:tabs>
          <w:tab w:val="left" w:pos="567"/>
        </w:tabs>
        <w:spacing w:before="480" w:after="480" w:line="360" w:lineRule="auto"/>
        <w:jc w:val="both"/>
        <w:rPr>
          <w:rFonts w:cs="Arial"/>
        </w:rPr>
      </w:pPr>
      <w:r w:rsidRPr="00AF2751">
        <w:rPr>
          <w:rFonts w:cs="Arial"/>
        </w:rPr>
        <w:t>[37]</w:t>
      </w:r>
      <w:r w:rsidRPr="00AF2751">
        <w:rPr>
          <w:rFonts w:cs="Arial"/>
        </w:rPr>
        <w:tab/>
      </w:r>
      <w:r w:rsidR="00CF2ACF" w:rsidRPr="00AF2751">
        <w:rPr>
          <w:szCs w:val="22"/>
        </w:rPr>
        <w:t>It is common cause that the decision to resc</w:t>
      </w:r>
      <w:r w:rsidR="00851C07" w:rsidRPr="00AF2751">
        <w:rPr>
          <w:szCs w:val="22"/>
        </w:rPr>
        <w:t>ind the conversion was taken unilaterally and without any consultation.</w:t>
      </w:r>
      <w:r w:rsidR="00CF2ACF" w:rsidRPr="00AF2751">
        <w:rPr>
          <w:szCs w:val="22"/>
        </w:rPr>
        <w:t xml:space="preserve"> </w:t>
      </w:r>
    </w:p>
    <w:p w14:paraId="2FA07D4C" w14:textId="14203451" w:rsidR="00AF2751" w:rsidRPr="00034D9F" w:rsidRDefault="00DE4970" w:rsidP="00DE4970">
      <w:pPr>
        <w:widowControl w:val="0"/>
        <w:tabs>
          <w:tab w:val="left" w:pos="567"/>
        </w:tabs>
        <w:spacing w:before="480" w:after="480" w:line="360" w:lineRule="auto"/>
        <w:jc w:val="both"/>
        <w:rPr>
          <w:rFonts w:cs="Arial"/>
        </w:rPr>
      </w:pPr>
      <w:r w:rsidRPr="00034D9F">
        <w:rPr>
          <w:rFonts w:cs="Arial"/>
        </w:rPr>
        <w:t>[38]</w:t>
      </w:r>
      <w:r w:rsidRPr="00034D9F">
        <w:rPr>
          <w:rFonts w:cs="Arial"/>
        </w:rPr>
        <w:tab/>
      </w:r>
      <w:r w:rsidR="00973492" w:rsidRPr="00AF2751">
        <w:rPr>
          <w:szCs w:val="22"/>
        </w:rPr>
        <w:t xml:space="preserve">A decision erroneously taken may nevertheless have lawful consequences until set aside. </w:t>
      </w:r>
      <w:r w:rsidR="00F45AA7" w:rsidRPr="00AF2751">
        <w:rPr>
          <w:szCs w:val="22"/>
        </w:rPr>
        <w:t xml:space="preserve">Officials are not permitted to usurp the role of the </w:t>
      </w:r>
      <w:r w:rsidR="00034D9F" w:rsidRPr="00AF2751">
        <w:rPr>
          <w:szCs w:val="22"/>
        </w:rPr>
        <w:t xml:space="preserve">courts </w:t>
      </w:r>
      <w:r w:rsidR="00F45AA7" w:rsidRPr="00AF2751">
        <w:rPr>
          <w:szCs w:val="22"/>
        </w:rPr>
        <w:t>by deciding that a decision was unlawful and rescinding it unilaterally when the rescission affects accrued rights</w:t>
      </w:r>
      <w:r w:rsidR="005C14A4">
        <w:rPr>
          <w:szCs w:val="22"/>
        </w:rPr>
        <w:t>, even when those rights are disputed</w:t>
      </w:r>
      <w:r w:rsidR="00F45AA7" w:rsidRPr="00AF2751">
        <w:rPr>
          <w:szCs w:val="22"/>
        </w:rPr>
        <w:t xml:space="preserve"> – the imprimatur of the Court is a prerequisite. </w:t>
      </w:r>
      <w:r w:rsidR="00973492" w:rsidRPr="00AF2751">
        <w:rPr>
          <w:szCs w:val="22"/>
        </w:rPr>
        <w:t>The need to app</w:t>
      </w:r>
      <w:r w:rsidR="00973492" w:rsidRPr="00AF2751">
        <w:rPr>
          <w:rFonts w:cs="Arial"/>
          <w:szCs w:val="22"/>
        </w:rPr>
        <w:t>roach the Court flows from the rule of law, a cornerstone of the Constitutional dispensation in South Africa.</w:t>
      </w:r>
      <w:r w:rsidR="00622E86" w:rsidRPr="00AF2751">
        <w:rPr>
          <w:rFonts w:cs="Arial"/>
          <w:color w:val="0D0D0D"/>
          <w:shd w:val="clear" w:color="auto" w:fill="FFFFFF"/>
        </w:rPr>
        <w:t xml:space="preserve"> Until the court pronounces on an allegedly unlawful exercise of public power, the exercise of the power maintains legal authority solely due to its existence in fact.</w:t>
      </w:r>
      <w:r w:rsidR="00CF2ACF" w:rsidRPr="00AF2751">
        <w:rPr>
          <w:rStyle w:val="FootnoteReference"/>
          <w:rFonts w:cs="Arial"/>
          <w:szCs w:val="22"/>
        </w:rPr>
        <w:t xml:space="preserve"> </w:t>
      </w:r>
      <w:r w:rsidR="00AF2751" w:rsidRPr="00AF2751">
        <w:rPr>
          <w:rFonts w:cs="Arial"/>
          <w:color w:val="0D0D0D"/>
          <w:shd w:val="clear" w:color="auto" w:fill="FFFFFF"/>
        </w:rPr>
        <w:t>Administrative action retains legal validity, notwithstanding potential objective invalidity.</w:t>
      </w:r>
    </w:p>
    <w:p w14:paraId="66EDB6F0" w14:textId="1E75468C" w:rsidR="00211B71" w:rsidRPr="00211B71" w:rsidRDefault="00DE4970" w:rsidP="00DE4970">
      <w:pPr>
        <w:widowControl w:val="0"/>
        <w:tabs>
          <w:tab w:val="left" w:pos="567"/>
        </w:tabs>
        <w:spacing w:before="480" w:after="480" w:line="360" w:lineRule="auto"/>
        <w:jc w:val="both"/>
      </w:pPr>
      <w:r w:rsidRPr="00211B71">
        <w:t>[39]</w:t>
      </w:r>
      <w:r w:rsidRPr="00211B71">
        <w:tab/>
      </w:r>
      <w:r w:rsidR="00211B71" w:rsidRPr="00211B71">
        <w:rPr>
          <w:rFonts w:cs="Arial"/>
          <w:bCs/>
          <w:szCs w:val="22"/>
        </w:rPr>
        <w:t xml:space="preserve">In </w:t>
      </w:r>
      <w:r w:rsidR="00211B71" w:rsidRPr="00211B71">
        <w:rPr>
          <w:i/>
          <w:iCs/>
        </w:rPr>
        <w:t>Merafong City v AngloGold Ashanti Ltd</w:t>
      </w:r>
      <w:r w:rsidR="00211B71">
        <w:rPr>
          <w:rStyle w:val="FootnoteReference"/>
          <w:szCs w:val="22"/>
        </w:rPr>
        <w:footnoteReference w:id="46"/>
      </w:r>
      <w:r w:rsidR="00211B71" w:rsidRPr="00211B71">
        <w:t xml:space="preserve"> Cameron</w:t>
      </w:r>
      <w:r w:rsidR="005C14A4">
        <w:t xml:space="preserve"> J</w:t>
      </w:r>
      <w:r w:rsidR="00211B71" w:rsidRPr="00211B71">
        <w:rPr>
          <w:rFonts w:cs="Arial"/>
          <w:bCs/>
          <w:szCs w:val="22"/>
        </w:rPr>
        <w:t xml:space="preserve">, speaking for the majority, </w:t>
      </w:r>
      <w:r w:rsidR="00211B71" w:rsidRPr="00211B71">
        <w:rPr>
          <w:rFonts w:cs="Arial"/>
          <w:bCs/>
          <w:szCs w:val="22"/>
        </w:rPr>
        <w:lastRenderedPageBreak/>
        <w:t>said:</w:t>
      </w:r>
    </w:p>
    <w:p w14:paraId="2315C3C8" w14:textId="5F617B9C" w:rsidR="00211B71" w:rsidRPr="00211B71" w:rsidRDefault="00211B71" w:rsidP="00211B71">
      <w:pPr>
        <w:widowControl w:val="0"/>
        <w:spacing w:before="480" w:after="480" w:line="360" w:lineRule="auto"/>
        <w:ind w:left="1440"/>
        <w:jc w:val="both"/>
        <w:rPr>
          <w:i/>
          <w:iCs/>
        </w:rPr>
      </w:pPr>
      <w:r w:rsidRPr="00211B71">
        <w:rPr>
          <w:i/>
          <w:iCs/>
        </w:rPr>
        <w:t>“[41] The import of Oudekraal</w:t>
      </w:r>
      <w:r w:rsidR="005C14A4">
        <w:rPr>
          <w:rStyle w:val="FootnoteReference"/>
          <w:i/>
          <w:iCs/>
        </w:rPr>
        <w:footnoteReference w:id="47"/>
      </w:r>
      <w:r w:rsidRPr="00211B71">
        <w:rPr>
          <w:i/>
          <w:iCs/>
        </w:rPr>
        <w:t> and Kirland</w:t>
      </w:r>
      <w:r w:rsidR="005C14A4">
        <w:rPr>
          <w:rStyle w:val="FootnoteReference"/>
          <w:i/>
          <w:iCs/>
        </w:rPr>
        <w:footnoteReference w:id="48"/>
      </w:r>
      <w:r w:rsidRPr="00211B71">
        <w:rPr>
          <w:i/>
          <w:iCs/>
        </w:rPr>
        <w:t xml:space="preserve"> was that government cannot simply ignore an apparently binding ruling or decision on the basis that it is invalid. The validity of the decision has to be tested in appropriate proceedings. And the sole power to pronounce that the decision is defective, and therefore invalid, lies with the courts. Government itself has no authority to invalidate or ignore the decision. It remains legally effective until properly set aside. </w:t>
      </w:r>
    </w:p>
    <w:p w14:paraId="05B96C21" w14:textId="12FCE04A" w:rsidR="00211B71" w:rsidRPr="00211B71" w:rsidRDefault="00211B71" w:rsidP="00211B71">
      <w:pPr>
        <w:widowControl w:val="0"/>
        <w:spacing w:before="480" w:after="480" w:line="360" w:lineRule="auto"/>
        <w:ind w:left="1440"/>
        <w:jc w:val="both"/>
        <w:rPr>
          <w:i/>
          <w:iCs/>
        </w:rPr>
      </w:pPr>
      <w:r w:rsidRPr="00211B71">
        <w:rPr>
          <w:i/>
          <w:iCs/>
        </w:rPr>
        <w:t>[42] The underlying principles are that the courts' role in determining legality is pre-eminent and exclusive; government officials, or anyone else for that matter, may not usurp that role by themselves pronouncing on whether decisions are unlawful, and then ignoring them; and, unless set aside, a decision erroneously taken may well continue to have lawful consequences. Mogoeng CJ explained this forcefully, referring to Kirland, in Economic Freedom Fighters.</w:t>
      </w:r>
      <w:r w:rsidR="002C29E3">
        <w:rPr>
          <w:rStyle w:val="FootnoteReference"/>
          <w:i/>
          <w:iCs/>
        </w:rPr>
        <w:footnoteReference w:id="49"/>
      </w:r>
      <w:r w:rsidRPr="00211B71">
        <w:rPr>
          <w:i/>
          <w:iCs/>
        </w:rPr>
        <w:t xml:space="preserve"> He pointed out that our constitutional order hinges on the rule of law:</w:t>
      </w:r>
    </w:p>
    <w:p w14:paraId="3575E5A9" w14:textId="654D4BB0" w:rsidR="00211B71" w:rsidRPr="00211B71" w:rsidRDefault="00211B71" w:rsidP="006D10C2">
      <w:pPr>
        <w:spacing w:line="360" w:lineRule="auto"/>
        <w:ind w:left="2160"/>
        <w:jc w:val="both"/>
        <w:rPr>
          <w:i/>
          <w:iCs/>
        </w:rPr>
      </w:pPr>
      <w:r w:rsidRPr="00211B71">
        <w:rPr>
          <w:i/>
          <w:iCs/>
        </w:rPr>
        <w:t>'No decision grounded [in] the Constitution or law may be disregarded without recourse to a court of law. To do otherwise would ''amount to a licence to self-help''. Whether the Public Protector's decisions amount to administrative action or not, the disregard for remedial action by those adversely affected by it, amounts to taking the law into their own hands and is illegal. No binding and constitutionally or statutorily sourced decision may be disregarded willy-nilly. It has legal consequences and must be complied with or acted upon. To achieve the opposite outcome lawfully, an order of court would have to be obtained.'</w:t>
      </w:r>
    </w:p>
    <w:p w14:paraId="278A1DB4" w14:textId="6CFA28C5" w:rsidR="00211B71" w:rsidRPr="00211B71" w:rsidRDefault="00211B71" w:rsidP="00211B71">
      <w:pPr>
        <w:widowControl w:val="0"/>
        <w:spacing w:before="480" w:after="480" w:line="360" w:lineRule="auto"/>
        <w:ind w:left="1440"/>
        <w:jc w:val="both"/>
        <w:rPr>
          <w:rFonts w:cs="Arial"/>
          <w:bCs/>
          <w:i/>
          <w:iCs/>
          <w:szCs w:val="22"/>
        </w:rPr>
      </w:pPr>
      <w:r w:rsidRPr="00211B71">
        <w:rPr>
          <w:i/>
          <w:iCs/>
        </w:rPr>
        <w:t xml:space="preserve">[43] But it is important to note what Kirland did not do. It did not fossilise </w:t>
      </w:r>
      <w:r w:rsidRPr="00211B71">
        <w:rPr>
          <w:i/>
          <w:iCs/>
        </w:rPr>
        <w:lastRenderedPageBreak/>
        <w:t>possibly unlawful — and constitutionally invalid — administrative action as indefinitely effective. It expressly recognised that the Oudekraal principle puts a provisional brake on determining invalidity. The brake is imposed for rule-of-law reasons and for good administration. It does not bring the process to an irreversible halt. What it requires is that the allegedly unlawful action be challenged by the right actor in the right proceedings. Until that happens, for rule-of-law reasons, the decision stands.</w:t>
      </w:r>
      <w:r w:rsidR="002C29E3">
        <w:rPr>
          <w:i/>
          <w:iCs/>
        </w:rPr>
        <w:t>”</w:t>
      </w:r>
    </w:p>
    <w:p w14:paraId="760F16B4" w14:textId="3C442CBE" w:rsidR="006D10C2" w:rsidRDefault="00DE4970" w:rsidP="00DE4970">
      <w:pPr>
        <w:widowControl w:val="0"/>
        <w:tabs>
          <w:tab w:val="left" w:pos="567"/>
        </w:tabs>
        <w:spacing w:before="480" w:after="480" w:line="360" w:lineRule="auto"/>
        <w:jc w:val="both"/>
        <w:rPr>
          <w:rFonts w:cs="Arial"/>
          <w:bCs/>
          <w:szCs w:val="22"/>
        </w:rPr>
      </w:pPr>
      <w:r>
        <w:rPr>
          <w:rFonts w:cs="Arial"/>
          <w:bCs/>
          <w:szCs w:val="22"/>
        </w:rPr>
        <w:t>[40]</w:t>
      </w:r>
      <w:r>
        <w:rPr>
          <w:rFonts w:cs="Arial"/>
          <w:bCs/>
          <w:szCs w:val="22"/>
        </w:rPr>
        <w:tab/>
      </w:r>
      <w:r w:rsidR="006D10C2">
        <w:rPr>
          <w:rFonts w:cs="Arial"/>
          <w:bCs/>
          <w:szCs w:val="22"/>
        </w:rPr>
        <w:t>The words of Khampepe J</w:t>
      </w:r>
      <w:r w:rsidR="003C5CB4">
        <w:rPr>
          <w:rFonts w:cs="Arial"/>
          <w:bCs/>
          <w:szCs w:val="22"/>
        </w:rPr>
        <w:t xml:space="preserve"> speaking for the majority</w:t>
      </w:r>
      <w:r w:rsidR="003C5CB4">
        <w:rPr>
          <w:rStyle w:val="FootnoteReference"/>
          <w:rFonts w:cs="Arial"/>
          <w:bCs/>
          <w:szCs w:val="22"/>
        </w:rPr>
        <w:footnoteReference w:id="50"/>
      </w:r>
      <w:r w:rsidR="006D10C2">
        <w:rPr>
          <w:rFonts w:cs="Arial"/>
          <w:bCs/>
          <w:szCs w:val="22"/>
        </w:rPr>
        <w:t xml:space="preserve"> in</w:t>
      </w:r>
      <w:r w:rsidR="00996F39" w:rsidRPr="00996F39">
        <w:rPr>
          <w:i/>
          <w:iCs/>
        </w:rPr>
        <w:t xml:space="preserve"> </w:t>
      </w:r>
      <w:r w:rsidR="00996F39" w:rsidRPr="00380BCD">
        <w:rPr>
          <w:i/>
          <w:iCs/>
        </w:rPr>
        <w:t>Department of Transport and Others v Tasima (Pty) Ltd</w:t>
      </w:r>
      <w:r w:rsidR="00996F39" w:rsidRPr="00AF2751">
        <w:rPr>
          <w:rStyle w:val="FootnoteReference"/>
          <w:rFonts w:cs="Arial"/>
          <w:szCs w:val="22"/>
        </w:rPr>
        <w:t xml:space="preserve"> </w:t>
      </w:r>
      <w:r w:rsidR="006D10C2" w:rsidRPr="00AF2751">
        <w:rPr>
          <w:rStyle w:val="FootnoteReference"/>
          <w:rFonts w:cs="Arial"/>
          <w:szCs w:val="22"/>
        </w:rPr>
        <w:footnoteReference w:id="51"/>
      </w:r>
      <w:r w:rsidR="006D10C2">
        <w:rPr>
          <w:rFonts w:cs="Arial"/>
          <w:bCs/>
          <w:szCs w:val="22"/>
        </w:rPr>
        <w:t xml:space="preserve"> are particularly apposite:</w:t>
      </w:r>
    </w:p>
    <w:p w14:paraId="5E6C6F67" w14:textId="3064A748" w:rsidR="006D10C2" w:rsidRPr="006D10C2" w:rsidRDefault="006D10C2" w:rsidP="006D10C2">
      <w:pPr>
        <w:widowControl w:val="0"/>
        <w:spacing w:before="480" w:after="480" w:line="360" w:lineRule="auto"/>
        <w:ind w:left="1440"/>
        <w:jc w:val="both"/>
        <w:rPr>
          <w:rFonts w:cs="Arial"/>
          <w:bCs/>
          <w:i/>
          <w:iCs/>
          <w:szCs w:val="22"/>
        </w:rPr>
      </w:pPr>
      <w:r w:rsidRPr="006D10C2">
        <w:rPr>
          <w:i/>
          <w:iCs/>
        </w:rPr>
        <w:t>“No constitutional principle allows an unlawful administrative decision to 'morph into a valid act'. However, for the reasons developed through a long string of this court's judgments, that declaration must be made by a court. It is not open to any other party, public or private, to annex this function. Our Constitution confers on the courts the role of arbiter of legality. Therefore, until a court is appropriately approached and an allegedly unlawful exercise of public power is adjudicated upon, it has binding effect merely because of its factual existence.”</w:t>
      </w:r>
    </w:p>
    <w:p w14:paraId="38633539" w14:textId="4ACF2815" w:rsidR="00973492" w:rsidRPr="00996F39" w:rsidRDefault="00DE4970" w:rsidP="00DE4970">
      <w:pPr>
        <w:widowControl w:val="0"/>
        <w:tabs>
          <w:tab w:val="left" w:pos="567"/>
        </w:tabs>
        <w:spacing w:before="480" w:after="480" w:line="360" w:lineRule="auto"/>
        <w:jc w:val="both"/>
        <w:rPr>
          <w:rFonts w:cs="Arial"/>
          <w:bCs/>
          <w:szCs w:val="22"/>
        </w:rPr>
      </w:pPr>
      <w:r w:rsidRPr="00996F39">
        <w:rPr>
          <w:rFonts w:cs="Arial"/>
          <w:bCs/>
          <w:szCs w:val="22"/>
        </w:rPr>
        <w:t>[41]</w:t>
      </w:r>
      <w:r w:rsidRPr="00996F39">
        <w:rPr>
          <w:rFonts w:cs="Arial"/>
          <w:bCs/>
          <w:szCs w:val="22"/>
        </w:rPr>
        <w:tab/>
      </w:r>
      <w:r w:rsidR="00973492" w:rsidRPr="00996F39">
        <w:rPr>
          <w:szCs w:val="22"/>
        </w:rPr>
        <w:t xml:space="preserve">The conversion certainly had legal consequence and </w:t>
      </w:r>
      <w:r w:rsidR="00CF2ACF" w:rsidRPr="00996F39">
        <w:rPr>
          <w:szCs w:val="22"/>
        </w:rPr>
        <w:t>could</w:t>
      </w:r>
      <w:r w:rsidR="00973492" w:rsidRPr="00996F39">
        <w:rPr>
          <w:szCs w:val="22"/>
        </w:rPr>
        <w:t xml:space="preserve"> </w:t>
      </w:r>
      <w:r w:rsidR="002C29E3">
        <w:rPr>
          <w:szCs w:val="22"/>
        </w:rPr>
        <w:t xml:space="preserve">not </w:t>
      </w:r>
      <w:r w:rsidR="00973492" w:rsidRPr="00996F39">
        <w:rPr>
          <w:szCs w:val="22"/>
        </w:rPr>
        <w:t xml:space="preserve">be set aside unilaterally. </w:t>
      </w:r>
      <w:r w:rsidR="00CF2ACF" w:rsidRPr="00996F39">
        <w:rPr>
          <w:rFonts w:cs="Arial"/>
          <w:bCs/>
          <w:szCs w:val="22"/>
        </w:rPr>
        <w:t>I</w:t>
      </w:r>
      <w:r w:rsidR="00B51419" w:rsidRPr="00996F39">
        <w:rPr>
          <w:rFonts w:cs="Arial"/>
          <w:bCs/>
          <w:szCs w:val="22"/>
        </w:rPr>
        <w:t>t follows that the respondent’s decision to rescind the conversion can not stand.</w:t>
      </w:r>
      <w:r w:rsidR="00996F39">
        <w:rPr>
          <w:rFonts w:cs="Arial"/>
          <w:bCs/>
          <w:szCs w:val="22"/>
        </w:rPr>
        <w:t xml:space="preserve"> The applicants are entitled to the relief sought.</w:t>
      </w:r>
    </w:p>
    <w:p w14:paraId="3245FD2F" w14:textId="77777777" w:rsidR="00CF7EAD" w:rsidRDefault="00CF7EAD" w:rsidP="00CF7EAD">
      <w:pPr>
        <w:widowControl w:val="0"/>
        <w:spacing w:before="480" w:after="480" w:line="360" w:lineRule="auto"/>
        <w:jc w:val="both"/>
        <w:rPr>
          <w:rFonts w:cs="Arial"/>
          <w:bCs/>
          <w:szCs w:val="22"/>
          <w:u w:val="single"/>
        </w:rPr>
      </w:pPr>
    </w:p>
    <w:p w14:paraId="4B70510D" w14:textId="4E5DAB65" w:rsidR="00A634C2" w:rsidRPr="00A634C2" w:rsidRDefault="00A634C2" w:rsidP="00A634C2">
      <w:pPr>
        <w:widowControl w:val="0"/>
        <w:spacing w:before="480" w:after="480" w:line="360" w:lineRule="auto"/>
        <w:jc w:val="both"/>
        <w:rPr>
          <w:rFonts w:cs="Arial"/>
          <w:bCs/>
          <w:szCs w:val="22"/>
          <w:u w:val="single"/>
        </w:rPr>
      </w:pPr>
      <w:r w:rsidRPr="00A634C2">
        <w:rPr>
          <w:rFonts w:cs="Arial"/>
          <w:bCs/>
          <w:szCs w:val="22"/>
          <w:u w:val="single"/>
        </w:rPr>
        <w:t>Conclusion</w:t>
      </w:r>
    </w:p>
    <w:p w14:paraId="50826F15" w14:textId="7F2F0B3D" w:rsidR="00D2164A" w:rsidRPr="003F23F0" w:rsidRDefault="00DE4970" w:rsidP="00DE4970">
      <w:pPr>
        <w:widowControl w:val="0"/>
        <w:tabs>
          <w:tab w:val="left" w:pos="567"/>
        </w:tabs>
        <w:spacing w:before="480" w:after="480" w:line="360" w:lineRule="auto"/>
        <w:jc w:val="both"/>
        <w:rPr>
          <w:rFonts w:cs="Arial"/>
          <w:bCs/>
          <w:szCs w:val="22"/>
        </w:rPr>
      </w:pPr>
      <w:r w:rsidRPr="003F23F0">
        <w:rPr>
          <w:rFonts w:cs="Arial"/>
          <w:bCs/>
          <w:szCs w:val="22"/>
        </w:rPr>
        <w:t>[42]</w:t>
      </w:r>
      <w:r w:rsidRPr="003F23F0">
        <w:rPr>
          <w:rFonts w:cs="Arial"/>
          <w:bCs/>
          <w:szCs w:val="22"/>
        </w:rPr>
        <w:tab/>
      </w:r>
      <w:r w:rsidR="00D2164A" w:rsidRPr="003F23F0">
        <w:rPr>
          <w:rFonts w:cs="Arial"/>
          <w:bCs/>
          <w:szCs w:val="22"/>
          <w:lang w:val="en-US"/>
        </w:rPr>
        <w:t>For the reasons set out above I make the order in paragraph 1.</w:t>
      </w:r>
    </w:p>
    <w:p w14:paraId="5E3F3A66" w14:textId="6CAAB854" w:rsidR="00293C02" w:rsidRPr="000F7813" w:rsidRDefault="00293C02" w:rsidP="005B380D">
      <w:pPr>
        <w:widowControl w:val="0"/>
        <w:tabs>
          <w:tab w:val="right" w:pos="0"/>
        </w:tabs>
        <w:spacing w:line="360" w:lineRule="auto"/>
        <w:contextualSpacing/>
        <w:rPr>
          <w:rFonts w:cs="Arial"/>
          <w:b/>
          <w:szCs w:val="22"/>
        </w:rPr>
      </w:pPr>
    </w:p>
    <w:p w14:paraId="7B80B4CB" w14:textId="77777777" w:rsidR="00D30F1A" w:rsidRDefault="00D30F1A" w:rsidP="003A1D18">
      <w:pPr>
        <w:widowControl w:val="0"/>
        <w:tabs>
          <w:tab w:val="right" w:pos="0"/>
        </w:tabs>
        <w:spacing w:line="360" w:lineRule="auto"/>
        <w:contextualSpacing/>
        <w:jc w:val="right"/>
        <w:rPr>
          <w:rFonts w:cs="Arial"/>
          <w:b/>
          <w:szCs w:val="22"/>
        </w:rPr>
      </w:pPr>
    </w:p>
    <w:p w14:paraId="53CD27EE" w14:textId="01F6FE26" w:rsidR="00AE287F" w:rsidRPr="000F7813" w:rsidRDefault="00A649E6" w:rsidP="003A1D18">
      <w:pPr>
        <w:widowControl w:val="0"/>
        <w:tabs>
          <w:tab w:val="right" w:pos="0"/>
        </w:tabs>
        <w:spacing w:line="360" w:lineRule="auto"/>
        <w:contextualSpacing/>
        <w:jc w:val="right"/>
        <w:rPr>
          <w:rFonts w:cs="Arial"/>
          <w:b/>
          <w:szCs w:val="22"/>
        </w:rPr>
      </w:pPr>
      <w:r w:rsidRPr="000F7813">
        <w:rPr>
          <w:rFonts w:cs="Arial"/>
          <w:b/>
          <w:szCs w:val="22"/>
        </w:rPr>
        <w:lastRenderedPageBreak/>
        <w:t>______________</w:t>
      </w:r>
    </w:p>
    <w:p w14:paraId="0CCB9BFE" w14:textId="7ABE564D" w:rsidR="006C43D7" w:rsidRPr="000F7813" w:rsidRDefault="00C676F3" w:rsidP="003A1D18">
      <w:pPr>
        <w:widowControl w:val="0"/>
        <w:tabs>
          <w:tab w:val="right" w:pos="0"/>
        </w:tabs>
        <w:spacing w:line="360" w:lineRule="auto"/>
        <w:contextualSpacing/>
        <w:jc w:val="right"/>
        <w:rPr>
          <w:rFonts w:cs="Arial"/>
          <w:b/>
          <w:szCs w:val="22"/>
        </w:rPr>
      </w:pPr>
      <w:r w:rsidRPr="000F7813">
        <w:rPr>
          <w:rFonts w:cs="Arial"/>
          <w:b/>
          <w:szCs w:val="22"/>
        </w:rPr>
        <w:t>J MOORCROFT</w:t>
      </w:r>
    </w:p>
    <w:p w14:paraId="7A2C1059" w14:textId="77777777" w:rsidR="006C43D7" w:rsidRPr="000F7813" w:rsidRDefault="006C43D7" w:rsidP="003A1D18">
      <w:pPr>
        <w:widowControl w:val="0"/>
        <w:tabs>
          <w:tab w:val="right" w:pos="0"/>
        </w:tabs>
        <w:spacing w:line="360" w:lineRule="auto"/>
        <w:contextualSpacing/>
        <w:jc w:val="right"/>
        <w:rPr>
          <w:rFonts w:cs="Arial"/>
          <w:b/>
          <w:szCs w:val="22"/>
        </w:rPr>
      </w:pPr>
      <w:r w:rsidRPr="000F7813">
        <w:rPr>
          <w:rFonts w:cs="Arial"/>
          <w:b/>
          <w:szCs w:val="22"/>
        </w:rPr>
        <w:t>ACTING JUDGE OF THE HIGH COURT OF SOUTH AFRICA</w:t>
      </w:r>
    </w:p>
    <w:p w14:paraId="077C2590" w14:textId="7452355B" w:rsidR="006C43D7" w:rsidRPr="000F7813" w:rsidRDefault="006C43D7" w:rsidP="003A1D18">
      <w:pPr>
        <w:widowControl w:val="0"/>
        <w:tabs>
          <w:tab w:val="right" w:pos="0"/>
          <w:tab w:val="left" w:pos="4253"/>
        </w:tabs>
        <w:spacing w:line="360" w:lineRule="auto"/>
        <w:contextualSpacing/>
        <w:jc w:val="right"/>
        <w:rPr>
          <w:rFonts w:cs="Arial"/>
          <w:b/>
          <w:szCs w:val="22"/>
        </w:rPr>
      </w:pPr>
      <w:r w:rsidRPr="000F7813">
        <w:rPr>
          <w:rFonts w:cs="Arial"/>
          <w:b/>
          <w:szCs w:val="22"/>
        </w:rPr>
        <w:t>GAUTENG DIVISION</w:t>
      </w:r>
    </w:p>
    <w:p w14:paraId="40B9C946" w14:textId="77777777" w:rsidR="006C43D7" w:rsidRPr="000F7813" w:rsidRDefault="006C43D7" w:rsidP="0005282E">
      <w:pPr>
        <w:widowControl w:val="0"/>
        <w:tabs>
          <w:tab w:val="right" w:pos="0"/>
          <w:tab w:val="left" w:pos="4253"/>
        </w:tabs>
        <w:spacing w:line="360" w:lineRule="auto"/>
        <w:contextualSpacing/>
        <w:jc w:val="right"/>
        <w:rPr>
          <w:rFonts w:cs="Arial"/>
          <w:b/>
          <w:szCs w:val="22"/>
        </w:rPr>
      </w:pPr>
      <w:r w:rsidRPr="000F7813">
        <w:rPr>
          <w:rFonts w:cs="Arial"/>
          <w:b/>
          <w:szCs w:val="22"/>
        </w:rPr>
        <w:t>JOHANNESBURG</w:t>
      </w:r>
    </w:p>
    <w:p w14:paraId="326B529B" w14:textId="77777777" w:rsidR="006C43D7" w:rsidRPr="000F7813" w:rsidRDefault="006C43D7" w:rsidP="003A1D18">
      <w:pPr>
        <w:widowControl w:val="0"/>
        <w:tabs>
          <w:tab w:val="right" w:pos="0"/>
          <w:tab w:val="left" w:pos="4253"/>
        </w:tabs>
        <w:spacing w:line="360" w:lineRule="auto"/>
        <w:contextualSpacing/>
        <w:jc w:val="center"/>
        <w:rPr>
          <w:rFonts w:cs="Arial"/>
          <w:b/>
          <w:szCs w:val="22"/>
        </w:rPr>
      </w:pPr>
    </w:p>
    <w:p w14:paraId="5A4CC56C" w14:textId="051C4E22" w:rsidR="006C43D7" w:rsidRPr="000F7813" w:rsidRDefault="006C43D7" w:rsidP="003A1D18">
      <w:pPr>
        <w:widowControl w:val="0"/>
        <w:spacing w:after="200" w:line="480" w:lineRule="auto"/>
        <w:contextualSpacing/>
        <w:jc w:val="right"/>
        <w:rPr>
          <w:rFonts w:cs="Arial"/>
          <w:b/>
          <w:i/>
          <w:iCs/>
          <w:szCs w:val="22"/>
        </w:rPr>
      </w:pPr>
      <w:r w:rsidRPr="000F7813">
        <w:rPr>
          <w:rFonts w:cs="Arial"/>
          <w:b/>
          <w:i/>
          <w:iCs/>
          <w:szCs w:val="22"/>
        </w:rPr>
        <w:t>Electronically submitted</w:t>
      </w:r>
    </w:p>
    <w:p w14:paraId="4E3E9427" w14:textId="77777777" w:rsidR="006C43D7" w:rsidRPr="000F7813" w:rsidRDefault="006C43D7" w:rsidP="003A1D18">
      <w:pPr>
        <w:widowControl w:val="0"/>
        <w:spacing w:after="200" w:line="360" w:lineRule="auto"/>
        <w:contextualSpacing/>
        <w:jc w:val="both"/>
        <w:rPr>
          <w:rFonts w:eastAsia="Arial Unicode MS" w:cs="Arial"/>
          <w:bCs/>
          <w:szCs w:val="22"/>
        </w:rPr>
      </w:pPr>
    </w:p>
    <w:p w14:paraId="51C686CA" w14:textId="0E8DD506" w:rsidR="006C43D7" w:rsidRPr="000F7813" w:rsidRDefault="006C43D7" w:rsidP="003A1D18">
      <w:pPr>
        <w:widowControl w:val="0"/>
        <w:spacing w:after="200" w:line="360" w:lineRule="auto"/>
        <w:contextualSpacing/>
        <w:jc w:val="both"/>
        <w:rPr>
          <w:rFonts w:eastAsia="Arial Unicode MS" w:cs="Arial"/>
          <w:bCs/>
          <w:szCs w:val="22"/>
        </w:rPr>
      </w:pPr>
      <w:r w:rsidRPr="000F7813">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sidRPr="000F7813">
        <w:rPr>
          <w:rFonts w:eastAsia="Arial Unicode MS" w:cs="Arial"/>
          <w:b/>
          <w:szCs w:val="22"/>
        </w:rPr>
        <w:t xml:space="preserve"> </w:t>
      </w:r>
      <w:r w:rsidR="0005282E" w:rsidRPr="000F7813">
        <w:rPr>
          <w:rFonts w:eastAsia="Arial Unicode MS" w:cs="Arial"/>
          <w:b/>
          <w:szCs w:val="22"/>
        </w:rPr>
        <w:t xml:space="preserve"> </w:t>
      </w:r>
      <w:r w:rsidR="00D30F1A">
        <w:rPr>
          <w:rFonts w:eastAsia="Arial Unicode MS" w:cs="Arial"/>
          <w:b/>
          <w:szCs w:val="22"/>
        </w:rPr>
        <w:t>29 FEBRUARY</w:t>
      </w:r>
      <w:r w:rsidR="000976D2">
        <w:rPr>
          <w:rFonts w:eastAsia="Arial Unicode MS" w:cs="Arial"/>
          <w:b/>
          <w:szCs w:val="22"/>
        </w:rPr>
        <w:t xml:space="preserve"> </w:t>
      </w:r>
      <w:r w:rsidR="00237FF9" w:rsidRPr="000F7813">
        <w:rPr>
          <w:rFonts w:eastAsia="Arial Unicode MS" w:cs="Arial"/>
          <w:b/>
          <w:bCs/>
          <w:szCs w:val="22"/>
        </w:rPr>
        <w:t>202</w:t>
      </w:r>
      <w:r w:rsidR="009D0942">
        <w:rPr>
          <w:rFonts w:eastAsia="Arial Unicode MS" w:cs="Arial"/>
          <w:b/>
          <w:bCs/>
          <w:szCs w:val="22"/>
        </w:rPr>
        <w:t>4</w:t>
      </w:r>
    </w:p>
    <w:p w14:paraId="482DDF6E" w14:textId="77777777" w:rsidR="006C43D7" w:rsidRPr="000F7813" w:rsidRDefault="006C43D7" w:rsidP="006C43D7">
      <w:pPr>
        <w:tabs>
          <w:tab w:val="right" w:pos="0"/>
          <w:tab w:val="left" w:pos="4253"/>
        </w:tabs>
        <w:spacing w:line="360" w:lineRule="auto"/>
        <w:contextualSpacing/>
        <w:jc w:val="center"/>
        <w:rPr>
          <w:rFonts w:cs="Arial"/>
          <w:b/>
          <w:szCs w:val="22"/>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502"/>
      </w:tblGrid>
      <w:tr w:rsidR="009D35B5" w:rsidRPr="000F7813" w14:paraId="493AF0D7" w14:textId="77777777" w:rsidTr="00F350D6">
        <w:tc>
          <w:tcPr>
            <w:tcW w:w="4111" w:type="dxa"/>
          </w:tcPr>
          <w:p w14:paraId="6A05541A" w14:textId="6FE308B4" w:rsidR="009D35B5" w:rsidRPr="000F7813" w:rsidRDefault="009D35B5" w:rsidP="00A25AB4">
            <w:pPr>
              <w:tabs>
                <w:tab w:val="right" w:pos="0"/>
                <w:tab w:val="left" w:pos="4253"/>
              </w:tabs>
              <w:spacing w:before="120" w:after="120"/>
              <w:rPr>
                <w:rFonts w:cs="Arial"/>
                <w:szCs w:val="22"/>
              </w:rPr>
            </w:pPr>
            <w:r w:rsidRPr="000F7813">
              <w:rPr>
                <w:rFonts w:cs="Arial"/>
                <w:szCs w:val="22"/>
              </w:rPr>
              <w:t xml:space="preserve">COUNSEL FOR </w:t>
            </w:r>
            <w:r w:rsidR="00404A52" w:rsidRPr="000F7813">
              <w:rPr>
                <w:rFonts w:cs="Arial"/>
                <w:szCs w:val="22"/>
              </w:rPr>
              <w:t>THE APPLICANT</w:t>
            </w:r>
            <w:r w:rsidR="009D0942">
              <w:rPr>
                <w:rFonts w:cs="Arial"/>
                <w:szCs w:val="22"/>
              </w:rPr>
              <w:t>S</w:t>
            </w:r>
            <w:r w:rsidRPr="000F7813">
              <w:rPr>
                <w:rFonts w:cs="Arial"/>
                <w:szCs w:val="22"/>
              </w:rPr>
              <w:t>:</w:t>
            </w:r>
          </w:p>
        </w:tc>
        <w:tc>
          <w:tcPr>
            <w:tcW w:w="4502" w:type="dxa"/>
          </w:tcPr>
          <w:p w14:paraId="69785AA9" w14:textId="2ABFF51A" w:rsidR="000976D2" w:rsidRPr="000F7813" w:rsidRDefault="009D0942" w:rsidP="009D0942">
            <w:pPr>
              <w:tabs>
                <w:tab w:val="right" w:pos="0"/>
                <w:tab w:val="left" w:pos="567"/>
                <w:tab w:val="right" w:pos="2727"/>
                <w:tab w:val="left" w:pos="4253"/>
              </w:tabs>
              <w:spacing w:before="120" w:after="120"/>
              <w:jc w:val="right"/>
              <w:rPr>
                <w:rFonts w:cs="Arial"/>
                <w:szCs w:val="22"/>
              </w:rPr>
            </w:pPr>
            <w:r>
              <w:rPr>
                <w:rFonts w:cs="Arial"/>
                <w:szCs w:val="22"/>
              </w:rPr>
              <w:t>QC LEECH</w:t>
            </w:r>
            <w:r w:rsidR="000976D2">
              <w:rPr>
                <w:rFonts w:cs="Arial"/>
                <w:szCs w:val="22"/>
              </w:rPr>
              <w:t xml:space="preserve"> SC</w:t>
            </w:r>
          </w:p>
        </w:tc>
      </w:tr>
      <w:tr w:rsidR="009D35B5" w:rsidRPr="000F7813" w14:paraId="183C176D" w14:textId="77777777" w:rsidTr="00F350D6">
        <w:tc>
          <w:tcPr>
            <w:tcW w:w="4111" w:type="dxa"/>
          </w:tcPr>
          <w:p w14:paraId="75365413" w14:textId="481747BC" w:rsidR="009D35B5" w:rsidRPr="000F7813" w:rsidRDefault="009D35B5" w:rsidP="00A25AB4">
            <w:pPr>
              <w:tabs>
                <w:tab w:val="right" w:pos="0"/>
                <w:tab w:val="left" w:pos="4253"/>
              </w:tabs>
              <w:spacing w:before="120" w:after="120"/>
              <w:rPr>
                <w:rFonts w:cs="Arial"/>
                <w:szCs w:val="22"/>
              </w:rPr>
            </w:pPr>
            <w:r w:rsidRPr="000F7813">
              <w:rPr>
                <w:rFonts w:cs="Arial"/>
                <w:szCs w:val="22"/>
              </w:rPr>
              <w:t>INSTRUCTED BY:</w:t>
            </w:r>
          </w:p>
        </w:tc>
        <w:tc>
          <w:tcPr>
            <w:tcW w:w="4502" w:type="dxa"/>
          </w:tcPr>
          <w:p w14:paraId="4044534A" w14:textId="7CB95E7B" w:rsidR="00E10D04" w:rsidRPr="000F7813" w:rsidRDefault="000F25B3" w:rsidP="00A25AB4">
            <w:pPr>
              <w:tabs>
                <w:tab w:val="right" w:pos="0"/>
                <w:tab w:val="left" w:pos="4253"/>
              </w:tabs>
              <w:spacing w:before="120" w:after="120"/>
              <w:jc w:val="right"/>
              <w:rPr>
                <w:rFonts w:cs="Arial"/>
                <w:szCs w:val="22"/>
              </w:rPr>
            </w:pPr>
            <w:r>
              <w:rPr>
                <w:rFonts w:cs="Arial"/>
                <w:szCs w:val="22"/>
              </w:rPr>
              <w:t>MADLELA GWEBU MASHAMBA ATTORNEYS</w:t>
            </w:r>
          </w:p>
        </w:tc>
      </w:tr>
      <w:tr w:rsidR="009D35B5" w:rsidRPr="000F7813" w14:paraId="6E2BF966" w14:textId="77777777" w:rsidTr="00F350D6">
        <w:tc>
          <w:tcPr>
            <w:tcW w:w="4111" w:type="dxa"/>
          </w:tcPr>
          <w:p w14:paraId="545B6665" w14:textId="5EAC089C" w:rsidR="009D35B5" w:rsidRPr="000F7813" w:rsidRDefault="009D35B5" w:rsidP="00A25AB4">
            <w:pPr>
              <w:tabs>
                <w:tab w:val="right" w:pos="0"/>
                <w:tab w:val="left" w:pos="4253"/>
              </w:tabs>
              <w:spacing w:before="120" w:after="120"/>
              <w:rPr>
                <w:rFonts w:cs="Arial"/>
                <w:szCs w:val="22"/>
              </w:rPr>
            </w:pPr>
            <w:r w:rsidRPr="000F7813">
              <w:rPr>
                <w:rFonts w:cs="Arial"/>
                <w:szCs w:val="22"/>
              </w:rPr>
              <w:t xml:space="preserve">COUNSEL FOR </w:t>
            </w:r>
            <w:r w:rsidR="00404A52" w:rsidRPr="000F7813">
              <w:rPr>
                <w:rFonts w:cs="Arial"/>
                <w:szCs w:val="22"/>
              </w:rPr>
              <w:t xml:space="preserve">THE </w:t>
            </w:r>
            <w:r w:rsidR="00027D19" w:rsidRPr="000F7813">
              <w:rPr>
                <w:rFonts w:cs="Arial"/>
                <w:szCs w:val="22"/>
              </w:rPr>
              <w:t>RESPONDENT</w:t>
            </w:r>
            <w:r w:rsidR="001966E8">
              <w:rPr>
                <w:rFonts w:cs="Arial"/>
                <w:szCs w:val="22"/>
              </w:rPr>
              <w:t>S</w:t>
            </w:r>
            <w:r w:rsidRPr="000F7813">
              <w:rPr>
                <w:rFonts w:cs="Arial"/>
                <w:szCs w:val="22"/>
              </w:rPr>
              <w:t>:</w:t>
            </w:r>
          </w:p>
        </w:tc>
        <w:tc>
          <w:tcPr>
            <w:tcW w:w="4502" w:type="dxa"/>
          </w:tcPr>
          <w:p w14:paraId="3C4A91F8" w14:textId="12C44DBC" w:rsidR="009D35B5" w:rsidRDefault="009D0942" w:rsidP="00D65571">
            <w:pPr>
              <w:tabs>
                <w:tab w:val="right" w:pos="0"/>
                <w:tab w:val="left" w:pos="4253"/>
              </w:tabs>
              <w:spacing w:before="120" w:after="120"/>
              <w:jc w:val="right"/>
              <w:rPr>
                <w:rFonts w:cs="Arial"/>
                <w:szCs w:val="22"/>
              </w:rPr>
            </w:pPr>
            <w:r>
              <w:rPr>
                <w:rFonts w:cs="Arial"/>
                <w:szCs w:val="22"/>
              </w:rPr>
              <w:t xml:space="preserve">G HULLEY </w:t>
            </w:r>
            <w:r w:rsidR="001966E8">
              <w:rPr>
                <w:rFonts w:cs="Arial"/>
                <w:szCs w:val="22"/>
              </w:rPr>
              <w:t>SC</w:t>
            </w:r>
          </w:p>
          <w:p w14:paraId="51741A90" w14:textId="24C5F993" w:rsidR="001966E8" w:rsidRPr="000F7813" w:rsidRDefault="009D0942" w:rsidP="00D65571">
            <w:pPr>
              <w:tabs>
                <w:tab w:val="right" w:pos="0"/>
                <w:tab w:val="left" w:pos="4253"/>
              </w:tabs>
              <w:spacing w:before="120" w:after="120"/>
              <w:jc w:val="right"/>
              <w:rPr>
                <w:rFonts w:cs="Arial"/>
                <w:szCs w:val="22"/>
              </w:rPr>
            </w:pPr>
            <w:r>
              <w:rPr>
                <w:rFonts w:cs="Arial"/>
                <w:szCs w:val="22"/>
              </w:rPr>
              <w:t>X MATYOLO</w:t>
            </w:r>
          </w:p>
        </w:tc>
      </w:tr>
      <w:tr w:rsidR="009D35B5" w:rsidRPr="000F7813" w14:paraId="1EC4105A" w14:textId="77777777" w:rsidTr="00F350D6">
        <w:tc>
          <w:tcPr>
            <w:tcW w:w="4111" w:type="dxa"/>
          </w:tcPr>
          <w:p w14:paraId="184EC2ED" w14:textId="1E42F28A" w:rsidR="009D35B5" w:rsidRPr="000F7813" w:rsidRDefault="009D35B5" w:rsidP="00A25AB4">
            <w:pPr>
              <w:tabs>
                <w:tab w:val="right" w:pos="0"/>
                <w:tab w:val="left" w:pos="4253"/>
              </w:tabs>
              <w:spacing w:before="120" w:after="120"/>
              <w:rPr>
                <w:rFonts w:cs="Arial"/>
                <w:szCs w:val="22"/>
              </w:rPr>
            </w:pPr>
            <w:r w:rsidRPr="000F7813">
              <w:rPr>
                <w:rFonts w:cs="Arial"/>
                <w:szCs w:val="22"/>
              </w:rPr>
              <w:t>INSTRUCTED BY:</w:t>
            </w:r>
          </w:p>
        </w:tc>
        <w:tc>
          <w:tcPr>
            <w:tcW w:w="4502" w:type="dxa"/>
          </w:tcPr>
          <w:p w14:paraId="2098BE2A" w14:textId="22E1F0E8" w:rsidR="009D35B5" w:rsidRPr="000F7813" w:rsidRDefault="00607232" w:rsidP="00A25AB4">
            <w:pPr>
              <w:tabs>
                <w:tab w:val="right" w:pos="0"/>
                <w:tab w:val="left" w:pos="4253"/>
              </w:tabs>
              <w:spacing w:before="120" w:after="120"/>
              <w:jc w:val="right"/>
              <w:rPr>
                <w:rFonts w:cs="Arial"/>
                <w:szCs w:val="22"/>
              </w:rPr>
            </w:pPr>
            <w:r>
              <w:rPr>
                <w:rFonts w:cs="Arial"/>
                <w:szCs w:val="22"/>
              </w:rPr>
              <w:t>TSHIQI ZEBEDIELA ATTORNEYS</w:t>
            </w:r>
          </w:p>
        </w:tc>
      </w:tr>
      <w:tr w:rsidR="009D35B5" w:rsidRPr="000F7813" w14:paraId="2A3FE2B1" w14:textId="77777777" w:rsidTr="00F350D6">
        <w:tc>
          <w:tcPr>
            <w:tcW w:w="4111" w:type="dxa"/>
          </w:tcPr>
          <w:p w14:paraId="0767D0FE" w14:textId="61925A22" w:rsidR="009D35B5" w:rsidRPr="000F7813" w:rsidRDefault="009D35B5" w:rsidP="00A25AB4">
            <w:pPr>
              <w:tabs>
                <w:tab w:val="right" w:pos="0"/>
                <w:tab w:val="left" w:pos="4253"/>
              </w:tabs>
              <w:spacing w:before="120" w:after="120"/>
              <w:rPr>
                <w:rFonts w:cs="Arial"/>
                <w:szCs w:val="22"/>
              </w:rPr>
            </w:pPr>
            <w:r w:rsidRPr="000F7813">
              <w:rPr>
                <w:rFonts w:cs="Arial"/>
                <w:szCs w:val="22"/>
              </w:rPr>
              <w:t xml:space="preserve">DATE </w:t>
            </w:r>
            <w:r w:rsidR="00E57446" w:rsidRPr="000F7813">
              <w:rPr>
                <w:rFonts w:cs="Arial"/>
                <w:szCs w:val="22"/>
              </w:rPr>
              <w:t>OF ARGUMENT</w:t>
            </w:r>
            <w:r w:rsidRPr="000F7813">
              <w:rPr>
                <w:rFonts w:cs="Arial"/>
                <w:szCs w:val="22"/>
              </w:rPr>
              <w:t>:</w:t>
            </w:r>
          </w:p>
        </w:tc>
        <w:tc>
          <w:tcPr>
            <w:tcW w:w="4502" w:type="dxa"/>
          </w:tcPr>
          <w:p w14:paraId="34C95147" w14:textId="52E12183" w:rsidR="009D35B5" w:rsidRPr="000F7813" w:rsidRDefault="009D0942" w:rsidP="00A25AB4">
            <w:pPr>
              <w:tabs>
                <w:tab w:val="right" w:pos="0"/>
                <w:tab w:val="left" w:pos="4253"/>
              </w:tabs>
              <w:spacing w:before="120" w:after="120"/>
              <w:jc w:val="right"/>
              <w:rPr>
                <w:rFonts w:cs="Arial"/>
                <w:szCs w:val="22"/>
              </w:rPr>
            </w:pPr>
            <w:r>
              <w:rPr>
                <w:rFonts w:cs="Arial"/>
                <w:szCs w:val="22"/>
              </w:rPr>
              <w:t>19 FEBRUARY 2024</w:t>
            </w:r>
          </w:p>
        </w:tc>
      </w:tr>
      <w:tr w:rsidR="00A25AB4" w:rsidRPr="000F7813" w14:paraId="5ECDFF3A" w14:textId="77777777" w:rsidTr="00F350D6">
        <w:tc>
          <w:tcPr>
            <w:tcW w:w="4111" w:type="dxa"/>
          </w:tcPr>
          <w:p w14:paraId="1DF2AE9E" w14:textId="1FC539A4" w:rsidR="00A25AB4" w:rsidRPr="000F7813" w:rsidRDefault="00A25AB4" w:rsidP="00A25AB4">
            <w:pPr>
              <w:tabs>
                <w:tab w:val="right" w:pos="0"/>
                <w:tab w:val="left" w:pos="4253"/>
              </w:tabs>
              <w:spacing w:before="120" w:after="120"/>
              <w:rPr>
                <w:rFonts w:cs="Arial"/>
                <w:szCs w:val="22"/>
              </w:rPr>
            </w:pPr>
            <w:r w:rsidRPr="000F7813">
              <w:rPr>
                <w:rFonts w:cs="Arial"/>
                <w:szCs w:val="22"/>
              </w:rPr>
              <w:t>DATE OF JUDGMENT:</w:t>
            </w:r>
          </w:p>
        </w:tc>
        <w:tc>
          <w:tcPr>
            <w:tcW w:w="4502" w:type="dxa"/>
          </w:tcPr>
          <w:p w14:paraId="02219E99" w14:textId="61953279" w:rsidR="00A25AB4" w:rsidRPr="000F7813" w:rsidRDefault="00D30F1A" w:rsidP="00A25AB4">
            <w:pPr>
              <w:tabs>
                <w:tab w:val="right" w:pos="0"/>
                <w:tab w:val="left" w:pos="4253"/>
              </w:tabs>
              <w:spacing w:before="120" w:after="120"/>
              <w:jc w:val="right"/>
              <w:rPr>
                <w:rFonts w:cs="Arial"/>
                <w:szCs w:val="22"/>
              </w:rPr>
            </w:pPr>
            <w:r>
              <w:rPr>
                <w:rFonts w:cs="Arial"/>
                <w:szCs w:val="22"/>
              </w:rPr>
              <w:t>29 FEBRUARY</w:t>
            </w:r>
            <w:r w:rsidR="00751D8C">
              <w:rPr>
                <w:rFonts w:cs="Arial"/>
                <w:szCs w:val="22"/>
              </w:rPr>
              <w:t xml:space="preserve"> </w:t>
            </w:r>
            <w:r w:rsidR="00A25AB4" w:rsidRPr="000F7813">
              <w:rPr>
                <w:rFonts w:cs="Arial"/>
                <w:szCs w:val="22"/>
              </w:rPr>
              <w:t>202</w:t>
            </w:r>
            <w:r w:rsidR="009D0942">
              <w:rPr>
                <w:rFonts w:cs="Arial"/>
                <w:szCs w:val="22"/>
              </w:rPr>
              <w:t>4</w:t>
            </w:r>
          </w:p>
        </w:tc>
      </w:tr>
      <w:bookmarkEnd w:id="0"/>
    </w:tbl>
    <w:p w14:paraId="1BD8F4EB" w14:textId="52053A44" w:rsidR="00A402F6" w:rsidRPr="000F7813" w:rsidRDefault="00A402F6" w:rsidP="001966E8">
      <w:pPr>
        <w:widowControl w:val="0"/>
        <w:spacing w:before="480" w:after="480" w:line="360" w:lineRule="auto"/>
        <w:jc w:val="both"/>
        <w:rPr>
          <w:rFonts w:cs="Arial"/>
          <w:szCs w:val="22"/>
        </w:rPr>
      </w:pPr>
    </w:p>
    <w:sectPr w:rsidR="00A402F6" w:rsidRPr="000F7813" w:rsidSect="007B4A91">
      <w:headerReference w:type="default" r:id="rId12"/>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13C36" w14:textId="77777777" w:rsidR="00BE107A" w:rsidRDefault="00BE107A">
      <w:r>
        <w:separator/>
      </w:r>
    </w:p>
  </w:endnote>
  <w:endnote w:type="continuationSeparator" w:id="0">
    <w:p w14:paraId="063E0D87" w14:textId="77777777" w:rsidR="00BE107A" w:rsidRDefault="00BE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Regular">
    <w:altName w:val="Verda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A89C3" w14:textId="77777777" w:rsidR="00BE107A" w:rsidRDefault="00BE107A">
      <w:r>
        <w:separator/>
      </w:r>
    </w:p>
  </w:footnote>
  <w:footnote w:type="continuationSeparator" w:id="0">
    <w:p w14:paraId="3C08994A" w14:textId="77777777" w:rsidR="00BE107A" w:rsidRDefault="00BE107A">
      <w:r>
        <w:continuationSeparator/>
      </w:r>
    </w:p>
  </w:footnote>
  <w:footnote w:id="1">
    <w:p w14:paraId="52E4791F" w14:textId="4D760613" w:rsidR="00285F4A" w:rsidRDefault="00285F4A">
      <w:pPr>
        <w:pStyle w:val="FootnoteText"/>
      </w:pPr>
      <w:r>
        <w:rPr>
          <w:rStyle w:val="FootnoteReference"/>
        </w:rPr>
        <w:footnoteRef/>
      </w:r>
      <w:r>
        <w:t xml:space="preserve"> </w:t>
      </w:r>
      <w:r>
        <w:tab/>
        <w:t xml:space="preserve">Referred to in the papers also as the </w:t>
      </w:r>
      <w:r w:rsidR="000A1A53">
        <w:t>city manager</w:t>
      </w:r>
      <w:r>
        <w:t>.</w:t>
      </w:r>
    </w:p>
  </w:footnote>
  <w:footnote w:id="2">
    <w:p w14:paraId="2D66F723" w14:textId="77777777" w:rsidR="000A1A53" w:rsidRDefault="000A1A53" w:rsidP="000A1A53">
      <w:pPr>
        <w:pStyle w:val="FootnoteText"/>
      </w:pPr>
      <w:r>
        <w:rPr>
          <w:rStyle w:val="FootnoteReference"/>
        </w:rPr>
        <w:footnoteRef/>
      </w:r>
      <w:r>
        <w:t xml:space="preserve"> </w:t>
      </w:r>
      <w:r>
        <w:tab/>
        <w:t>Where appropriate I refer to page references on the Caselines system to facilitate the reading of the judgment.</w:t>
      </w:r>
    </w:p>
  </w:footnote>
  <w:footnote w:id="3">
    <w:p w14:paraId="473688C5" w14:textId="00423F70" w:rsidR="000B3B78" w:rsidRDefault="000B3B78">
      <w:pPr>
        <w:pStyle w:val="FootnoteText"/>
      </w:pPr>
      <w:r>
        <w:rPr>
          <w:rStyle w:val="FootnoteReference"/>
        </w:rPr>
        <w:footnoteRef/>
      </w:r>
      <w:r>
        <w:t xml:space="preserve"> </w:t>
      </w:r>
      <w:r>
        <w:tab/>
      </w:r>
      <w:r>
        <w:rPr>
          <w:rFonts w:cs="Arial"/>
          <w:bCs/>
          <w:szCs w:val="22"/>
        </w:rPr>
        <w:t>A number of other prayers were abandoned in the applicants’ heads of argument.</w:t>
      </w:r>
    </w:p>
  </w:footnote>
  <w:footnote w:id="4">
    <w:p w14:paraId="7CFB76C5" w14:textId="77777777" w:rsidR="002C29E3" w:rsidRDefault="002C29E3" w:rsidP="002C29E3">
      <w:pPr>
        <w:pStyle w:val="FootnoteText"/>
      </w:pPr>
      <w:r>
        <w:rPr>
          <w:rStyle w:val="FootnoteReference"/>
        </w:rPr>
        <w:footnoteRef/>
      </w:r>
      <w:r>
        <w:t xml:space="preserve"> </w:t>
      </w:r>
      <w:r>
        <w:tab/>
      </w:r>
      <w:r w:rsidRPr="000739F5">
        <w:rPr>
          <w:i/>
          <w:iCs/>
        </w:rPr>
        <w:t>Plascon-Evans Paints Ltd v Van Riebeeck Paints (Pty) Ltd</w:t>
      </w:r>
      <w:r>
        <w:t xml:space="preserve"> </w:t>
      </w:r>
      <w:r w:rsidRPr="002622BD">
        <w:t>1984 (3) SA 623 (A)</w:t>
      </w:r>
      <w:r>
        <w:t xml:space="preserve"> 634G.</w:t>
      </w:r>
    </w:p>
  </w:footnote>
  <w:footnote w:id="5">
    <w:p w14:paraId="56086424" w14:textId="77777777" w:rsidR="002C29E3" w:rsidRDefault="002C29E3" w:rsidP="002C29E3">
      <w:pPr>
        <w:pStyle w:val="FootnoteText"/>
      </w:pPr>
      <w:r>
        <w:rPr>
          <w:rStyle w:val="FootnoteReference"/>
        </w:rPr>
        <w:footnoteRef/>
      </w:r>
      <w:r>
        <w:t xml:space="preserve"> </w:t>
      </w:r>
      <w:r>
        <w:tab/>
        <w:t>Compare section 3(1)(b) of the Law of Evidence Amendment Act, 48 of 1988.</w:t>
      </w:r>
    </w:p>
  </w:footnote>
  <w:footnote w:id="6">
    <w:p w14:paraId="3CCD6818" w14:textId="377A8209" w:rsidR="000F25B3" w:rsidRDefault="000F25B3">
      <w:pPr>
        <w:pStyle w:val="FootnoteText"/>
      </w:pPr>
      <w:r>
        <w:rPr>
          <w:rStyle w:val="FootnoteReference"/>
        </w:rPr>
        <w:footnoteRef/>
      </w:r>
      <w:r>
        <w:t xml:space="preserve"> </w:t>
      </w:r>
      <w:r w:rsidR="00607232">
        <w:tab/>
        <w:t>S</w:t>
      </w:r>
      <w:r w:rsidR="004B50E1">
        <w:t>ection</w:t>
      </w:r>
      <w:r w:rsidR="00607232">
        <w:t xml:space="preserve"> 23 and 38 of the </w:t>
      </w:r>
      <w:r>
        <w:t>Constitution</w:t>
      </w:r>
      <w:r w:rsidR="00607232">
        <w:t>.</w:t>
      </w:r>
    </w:p>
  </w:footnote>
  <w:footnote w:id="7">
    <w:p w14:paraId="4323A3C5" w14:textId="0D5A1D59" w:rsidR="00607232" w:rsidRDefault="00607232">
      <w:pPr>
        <w:pStyle w:val="FootnoteText"/>
      </w:pPr>
      <w:r>
        <w:rPr>
          <w:rStyle w:val="FootnoteReference"/>
        </w:rPr>
        <w:footnoteRef/>
      </w:r>
      <w:r>
        <w:t xml:space="preserve"> </w:t>
      </w:r>
      <w:r>
        <w:tab/>
        <w:t>S</w:t>
      </w:r>
      <w:r w:rsidR="004B50E1">
        <w:t>ection</w:t>
      </w:r>
      <w:r>
        <w:t xml:space="preserve"> 21(1)(c)</w:t>
      </w:r>
      <w:r w:rsidR="004B50E1">
        <w:t xml:space="preserve"> of the Superior Courts Act, 10 of 2013. </w:t>
      </w:r>
    </w:p>
  </w:footnote>
  <w:footnote w:id="8">
    <w:p w14:paraId="69813E2B" w14:textId="726800B8" w:rsidR="00EC7330" w:rsidRDefault="00EC7330">
      <w:pPr>
        <w:pStyle w:val="FootnoteText"/>
      </w:pPr>
      <w:r>
        <w:rPr>
          <w:rStyle w:val="FootnoteReference"/>
        </w:rPr>
        <w:footnoteRef/>
      </w:r>
      <w:r>
        <w:t xml:space="preserve"> </w:t>
      </w:r>
      <w:r>
        <w:tab/>
        <w:t xml:space="preserve">See also </w:t>
      </w:r>
      <w:r w:rsidRPr="00EC7330">
        <w:rPr>
          <w:i/>
          <w:iCs/>
        </w:rPr>
        <w:t>Adbro Investment Co Ltd v Minister of the Interior and Others</w:t>
      </w:r>
      <w:r>
        <w:t xml:space="preserve"> 1961 (3) SA 283 (T), </w:t>
      </w:r>
      <w:r w:rsidRPr="00EC7330">
        <w:rPr>
          <w:i/>
          <w:iCs/>
        </w:rPr>
        <w:t>Reinecke v Incorporated General Insurances Ltd</w:t>
      </w:r>
      <w:r>
        <w:t xml:space="preserve"> 1974 (2) SA 84 (A), </w:t>
      </w:r>
      <w:r w:rsidRPr="00EC7330">
        <w:rPr>
          <w:i/>
          <w:iCs/>
        </w:rPr>
        <w:t>Rail Commuters Action Group and Others v Transnet Ltd t/a Metrorail and Others</w:t>
      </w:r>
      <w:r>
        <w:t xml:space="preserve"> 2005 (2) SA 359 (CC), and </w:t>
      </w:r>
      <w:r w:rsidRPr="0092107E">
        <w:rPr>
          <w:i/>
          <w:iCs/>
        </w:rPr>
        <w:t>Cordiant Trading CC v Daimler Chrysler Financial Services (Pty) Ltd</w:t>
      </w:r>
      <w:r>
        <w:t xml:space="preserve"> 2005 (6) SA 205 (SCA).</w:t>
      </w:r>
    </w:p>
  </w:footnote>
  <w:footnote w:id="9">
    <w:p w14:paraId="335508A9" w14:textId="77777777" w:rsidR="00721EA5" w:rsidRDefault="00721EA5" w:rsidP="00721EA5">
      <w:pPr>
        <w:pStyle w:val="FootnoteText"/>
      </w:pPr>
      <w:r>
        <w:rPr>
          <w:rStyle w:val="FootnoteReference"/>
        </w:rPr>
        <w:footnoteRef/>
      </w:r>
      <w:r>
        <w:t xml:space="preserve"> </w:t>
      </w:r>
      <w:r>
        <w:tab/>
        <w:t>Section 2(1)(a) and (d) of the Systems Act.</w:t>
      </w:r>
    </w:p>
  </w:footnote>
  <w:footnote w:id="10">
    <w:p w14:paraId="6039FD8E" w14:textId="77777777" w:rsidR="00721EA5" w:rsidRDefault="00721EA5" w:rsidP="00721EA5">
      <w:pPr>
        <w:pStyle w:val="FootnoteText"/>
      </w:pPr>
      <w:r>
        <w:rPr>
          <w:rStyle w:val="FootnoteReference"/>
        </w:rPr>
        <w:footnoteRef/>
      </w:r>
      <w:r>
        <w:t xml:space="preserve"> </w:t>
      </w:r>
      <w:r>
        <w:tab/>
        <w:t>Ch 7 of the Constitution.</w:t>
      </w:r>
    </w:p>
  </w:footnote>
  <w:footnote w:id="11">
    <w:p w14:paraId="2BC11956" w14:textId="07610AD5" w:rsidR="00721EA5" w:rsidRDefault="00721EA5" w:rsidP="00721EA5">
      <w:pPr>
        <w:pStyle w:val="FootnoteText"/>
      </w:pPr>
      <w:r>
        <w:rPr>
          <w:rStyle w:val="FootnoteReference"/>
        </w:rPr>
        <w:footnoteRef/>
      </w:r>
      <w:r>
        <w:t xml:space="preserve"> </w:t>
      </w:r>
      <w:r>
        <w:tab/>
        <w:t xml:space="preserve">Section 156(5) of the Constitution. See also section </w:t>
      </w:r>
      <w:r w:rsidR="00735DEF">
        <w:t xml:space="preserve">8(2) </w:t>
      </w:r>
      <w:r>
        <w:t>of the Systems Act.</w:t>
      </w:r>
    </w:p>
  </w:footnote>
  <w:footnote w:id="12">
    <w:p w14:paraId="0FD2DC4F" w14:textId="22EC00AF" w:rsidR="00170D40" w:rsidRDefault="00170D40" w:rsidP="00170D40">
      <w:pPr>
        <w:pStyle w:val="FootnoteText"/>
      </w:pPr>
      <w:r>
        <w:rPr>
          <w:rStyle w:val="FootnoteReference"/>
        </w:rPr>
        <w:footnoteRef/>
      </w:r>
      <w:r>
        <w:t xml:space="preserve"> </w:t>
      </w:r>
      <w:r>
        <w:tab/>
        <w:t>Section 151(2) of the Constitution</w:t>
      </w:r>
      <w:r w:rsidR="00735DEF">
        <w:t>, section 11(1) of the Systems Act.</w:t>
      </w:r>
    </w:p>
  </w:footnote>
  <w:footnote w:id="13">
    <w:p w14:paraId="5596C0F5" w14:textId="56831B97" w:rsidR="00170D40" w:rsidRDefault="00170D40">
      <w:pPr>
        <w:pStyle w:val="FootnoteText"/>
      </w:pPr>
      <w:r>
        <w:rPr>
          <w:rStyle w:val="FootnoteReference"/>
        </w:rPr>
        <w:footnoteRef/>
      </w:r>
      <w:r>
        <w:t xml:space="preserve"> </w:t>
      </w:r>
      <w:r>
        <w:tab/>
        <w:t>Section 157</w:t>
      </w:r>
      <w:r w:rsidR="009A0E70">
        <w:t>(1) of the Constitution, referred to in section 1 of the Systems Act.</w:t>
      </w:r>
    </w:p>
  </w:footnote>
  <w:footnote w:id="14">
    <w:p w14:paraId="37283F0F" w14:textId="77777777" w:rsidR="00735DEF" w:rsidRDefault="00735DEF" w:rsidP="00735DEF">
      <w:pPr>
        <w:pStyle w:val="FootnoteText"/>
      </w:pPr>
      <w:r>
        <w:rPr>
          <w:rStyle w:val="FootnoteReference"/>
        </w:rPr>
        <w:footnoteRef/>
      </w:r>
      <w:r>
        <w:t xml:space="preserve"> </w:t>
      </w:r>
      <w:r>
        <w:tab/>
        <w:t>Section 59(3)(a) of the Systems Act.</w:t>
      </w:r>
    </w:p>
  </w:footnote>
  <w:footnote w:id="15">
    <w:p w14:paraId="7F546791" w14:textId="77777777" w:rsidR="00973492" w:rsidRDefault="00973492" w:rsidP="00973492">
      <w:pPr>
        <w:pStyle w:val="FootnoteText"/>
      </w:pPr>
      <w:r>
        <w:rPr>
          <w:rStyle w:val="FootnoteReference"/>
        </w:rPr>
        <w:footnoteRef/>
      </w:r>
      <w:r>
        <w:t xml:space="preserve"> </w:t>
      </w:r>
      <w:r>
        <w:tab/>
        <w:t>Section 59(2)(e) of the Systems Act.</w:t>
      </w:r>
    </w:p>
  </w:footnote>
  <w:footnote w:id="16">
    <w:p w14:paraId="2D156507" w14:textId="00ABF86D" w:rsidR="00671F2F" w:rsidRDefault="00671F2F">
      <w:pPr>
        <w:pStyle w:val="FootnoteText"/>
      </w:pPr>
      <w:r>
        <w:rPr>
          <w:rStyle w:val="FootnoteReference"/>
        </w:rPr>
        <w:footnoteRef/>
      </w:r>
      <w:r>
        <w:t xml:space="preserve"> </w:t>
      </w:r>
      <w:r>
        <w:tab/>
        <w:t>See for instance sections 30, 39, 57(2)(b), 59(3)(b), 60, 62(4)(b)</w:t>
      </w:r>
      <w:r w:rsidR="00170D40">
        <w:t xml:space="preserve"> of the Systems Act and sections 56 and 60 of the Structures Act.</w:t>
      </w:r>
    </w:p>
  </w:footnote>
  <w:footnote w:id="17">
    <w:p w14:paraId="44358F40" w14:textId="0832AF32" w:rsidR="00170D40" w:rsidRDefault="00170D40">
      <w:pPr>
        <w:pStyle w:val="FootnoteText"/>
      </w:pPr>
      <w:r>
        <w:rPr>
          <w:rStyle w:val="FootnoteReference"/>
        </w:rPr>
        <w:footnoteRef/>
      </w:r>
      <w:r>
        <w:t xml:space="preserve"> </w:t>
      </w:r>
      <w:r>
        <w:tab/>
        <w:t>Section 60 of the Structures Act.</w:t>
      </w:r>
    </w:p>
  </w:footnote>
  <w:footnote w:id="18">
    <w:p w14:paraId="51870C0A" w14:textId="50BFFB95" w:rsidR="00170D40" w:rsidRDefault="00170D40">
      <w:pPr>
        <w:pStyle w:val="FootnoteText"/>
      </w:pPr>
      <w:r>
        <w:rPr>
          <w:rStyle w:val="FootnoteReference"/>
        </w:rPr>
        <w:footnoteRef/>
      </w:r>
      <w:r>
        <w:t xml:space="preserve"> </w:t>
      </w:r>
      <w:r>
        <w:tab/>
        <w:t>Section 56(5) of the Structures Act.</w:t>
      </w:r>
    </w:p>
  </w:footnote>
  <w:footnote w:id="19">
    <w:p w14:paraId="0EC77AF8" w14:textId="76F0A91C" w:rsidR="0005217F" w:rsidRDefault="0005217F" w:rsidP="0005217F">
      <w:pPr>
        <w:pStyle w:val="FootnoteText"/>
      </w:pPr>
      <w:r>
        <w:rPr>
          <w:rStyle w:val="FootnoteReference"/>
        </w:rPr>
        <w:footnoteRef/>
      </w:r>
      <w:r>
        <w:t xml:space="preserve"> </w:t>
      </w:r>
      <w:r>
        <w:tab/>
        <w:t>Section</w:t>
      </w:r>
      <w:r w:rsidR="00463D2B">
        <w:t>s</w:t>
      </w:r>
      <w:r>
        <w:t xml:space="preserve"> 54A(1)(a) </w:t>
      </w:r>
      <w:r w:rsidR="00463D2B">
        <w:t xml:space="preserve">and 55 </w:t>
      </w:r>
      <w:r>
        <w:t>of the Systems Act</w:t>
      </w:r>
      <w:r w:rsidR="00463D2B">
        <w:t>.</w:t>
      </w:r>
    </w:p>
  </w:footnote>
  <w:footnote w:id="20">
    <w:p w14:paraId="2121B66C" w14:textId="482A1BD9" w:rsidR="00463D2B" w:rsidRDefault="00463D2B">
      <w:pPr>
        <w:pStyle w:val="FootnoteText"/>
      </w:pPr>
      <w:r>
        <w:rPr>
          <w:rStyle w:val="FootnoteReference"/>
        </w:rPr>
        <w:footnoteRef/>
      </w:r>
      <w:r>
        <w:t xml:space="preserve"> </w:t>
      </w:r>
      <w:r>
        <w:tab/>
        <w:t>Section 55(1)(e) of the Systems Act.</w:t>
      </w:r>
    </w:p>
  </w:footnote>
  <w:footnote w:id="21">
    <w:p w14:paraId="0C027238" w14:textId="4575A659" w:rsidR="00463D2B" w:rsidRDefault="00463D2B">
      <w:pPr>
        <w:pStyle w:val="FootnoteText"/>
      </w:pPr>
      <w:r>
        <w:rPr>
          <w:rStyle w:val="FootnoteReference"/>
        </w:rPr>
        <w:footnoteRef/>
      </w:r>
      <w:r>
        <w:t xml:space="preserve"> </w:t>
      </w:r>
      <w:r>
        <w:tab/>
        <w:t>Section 60 of the Finance Act.</w:t>
      </w:r>
    </w:p>
  </w:footnote>
  <w:footnote w:id="22">
    <w:p w14:paraId="346EB48C" w14:textId="77777777" w:rsidR="00996F39" w:rsidRDefault="00996F39" w:rsidP="00996F39">
      <w:pPr>
        <w:pStyle w:val="FootnoteText"/>
      </w:pPr>
      <w:r>
        <w:rPr>
          <w:rStyle w:val="FootnoteReference"/>
        </w:rPr>
        <w:footnoteRef/>
      </w:r>
      <w:r>
        <w:t xml:space="preserve"> </w:t>
      </w:r>
      <w:r>
        <w:tab/>
        <w:t>03-178.</w:t>
      </w:r>
    </w:p>
  </w:footnote>
  <w:footnote w:id="23">
    <w:p w14:paraId="14B4D0E7" w14:textId="01A769B1" w:rsidR="00350A6C" w:rsidRDefault="00350A6C">
      <w:pPr>
        <w:pStyle w:val="FootnoteText"/>
      </w:pPr>
      <w:r>
        <w:rPr>
          <w:rStyle w:val="FootnoteReference"/>
        </w:rPr>
        <w:footnoteRef/>
      </w:r>
      <w:r>
        <w:t xml:space="preserve"> </w:t>
      </w:r>
      <w:r>
        <w:tab/>
        <w:t>The resolution appears in the papers at 03-91.</w:t>
      </w:r>
    </w:p>
  </w:footnote>
  <w:footnote w:id="24">
    <w:p w14:paraId="612A4A96" w14:textId="1F483F31" w:rsidR="00340166" w:rsidRDefault="00340166">
      <w:pPr>
        <w:pStyle w:val="FootnoteText"/>
      </w:pPr>
      <w:r>
        <w:rPr>
          <w:rStyle w:val="FootnoteReference"/>
        </w:rPr>
        <w:footnoteRef/>
      </w:r>
      <w:r>
        <w:t xml:space="preserve"> </w:t>
      </w:r>
      <w:r>
        <w:tab/>
        <w:t>“ML76” (03-84).</w:t>
      </w:r>
    </w:p>
  </w:footnote>
  <w:footnote w:id="25">
    <w:p w14:paraId="001E5F03" w14:textId="6B74F263" w:rsidR="004A1B95" w:rsidRPr="004A1B95" w:rsidRDefault="004A1B95">
      <w:pPr>
        <w:pStyle w:val="FootnoteText"/>
        <w:rPr>
          <w:lang w:val="en-GB"/>
        </w:rPr>
      </w:pPr>
      <w:r>
        <w:rPr>
          <w:rStyle w:val="FootnoteReference"/>
        </w:rPr>
        <w:footnoteRef/>
      </w:r>
      <w:r>
        <w:t xml:space="preserve"> </w:t>
      </w:r>
      <w:r>
        <w:rPr>
          <w:lang w:val="en-GB"/>
        </w:rPr>
        <w:tab/>
      </w:r>
      <w:r w:rsidR="005D725F">
        <w:t xml:space="preserve">The </w:t>
      </w:r>
      <w:r w:rsidR="00417F57">
        <w:t>Systems Act.</w:t>
      </w:r>
    </w:p>
  </w:footnote>
  <w:footnote w:id="26">
    <w:p w14:paraId="5783704F" w14:textId="377B48A5" w:rsidR="004A1B95" w:rsidRPr="004A1B95" w:rsidRDefault="004A1B95">
      <w:pPr>
        <w:pStyle w:val="FootnoteText"/>
        <w:rPr>
          <w:lang w:val="en-GB"/>
        </w:rPr>
      </w:pPr>
      <w:r>
        <w:rPr>
          <w:rStyle w:val="FootnoteReference"/>
        </w:rPr>
        <w:footnoteRef/>
      </w:r>
      <w:r>
        <w:t xml:space="preserve"> </w:t>
      </w:r>
      <w:r>
        <w:rPr>
          <w:lang w:val="en-GB"/>
        </w:rPr>
        <w:tab/>
      </w:r>
      <w:r w:rsidR="00CB0A2A">
        <w:rPr>
          <w:lang w:val="en-GB"/>
        </w:rPr>
        <w:t xml:space="preserve">The </w:t>
      </w:r>
      <w:r>
        <w:rPr>
          <w:rFonts w:cs="Arial"/>
          <w:bCs/>
          <w:szCs w:val="22"/>
        </w:rPr>
        <w:t>Finance Act</w:t>
      </w:r>
      <w:r w:rsidR="00CB0A2A">
        <w:rPr>
          <w:rFonts w:cs="Arial"/>
          <w:bCs/>
          <w:szCs w:val="22"/>
        </w:rPr>
        <w:t>.</w:t>
      </w:r>
    </w:p>
  </w:footnote>
  <w:footnote w:id="27">
    <w:p w14:paraId="33A4F33B" w14:textId="6108600C" w:rsidR="00340166" w:rsidRDefault="00340166">
      <w:pPr>
        <w:pStyle w:val="FootnoteText"/>
      </w:pPr>
      <w:r>
        <w:rPr>
          <w:rStyle w:val="FootnoteReference"/>
        </w:rPr>
        <w:footnoteRef/>
      </w:r>
      <w:r>
        <w:t xml:space="preserve"> </w:t>
      </w:r>
      <w:r>
        <w:tab/>
        <w:t>“ML77 (03-86)</w:t>
      </w:r>
      <w:r w:rsidR="00350A6C">
        <w:t>.</w:t>
      </w:r>
    </w:p>
  </w:footnote>
  <w:footnote w:id="28">
    <w:p w14:paraId="5410C692" w14:textId="50C9993B" w:rsidR="00350A6C" w:rsidRDefault="00350A6C">
      <w:pPr>
        <w:pStyle w:val="FootnoteText"/>
      </w:pPr>
      <w:r>
        <w:rPr>
          <w:rStyle w:val="FootnoteReference"/>
        </w:rPr>
        <w:footnoteRef/>
      </w:r>
      <w:r>
        <w:t xml:space="preserve"> </w:t>
      </w:r>
      <w:r>
        <w:tab/>
        <w:t>“ML78” (03-88).</w:t>
      </w:r>
    </w:p>
  </w:footnote>
  <w:footnote w:id="29">
    <w:p w14:paraId="3D013CB4" w14:textId="7F702B61" w:rsidR="00BB5E8E" w:rsidRDefault="00BB5E8E">
      <w:pPr>
        <w:pStyle w:val="FootnoteText"/>
      </w:pPr>
      <w:r>
        <w:rPr>
          <w:rStyle w:val="FootnoteReference"/>
        </w:rPr>
        <w:footnoteRef/>
      </w:r>
      <w:r>
        <w:t xml:space="preserve"> </w:t>
      </w:r>
      <w:r w:rsidR="004A1B95">
        <w:tab/>
      </w:r>
      <w:r w:rsidRPr="00BB5E8E">
        <w:rPr>
          <w:i/>
          <w:iCs/>
        </w:rPr>
        <w:t>SAMWU and others v Johannesburg Metropolitan Municipality and others</w:t>
      </w:r>
      <w:r>
        <w:t>, 3 May 2022.</w:t>
      </w:r>
      <w:r w:rsidR="004A1B95">
        <w:t xml:space="preserve"> The case number on the copy of the judgement that form part of the papers is not legible.</w:t>
      </w:r>
      <w:r w:rsidR="00350A6C">
        <w:t xml:space="preserve"> The judgement appears in the papers at 03-93.</w:t>
      </w:r>
    </w:p>
  </w:footnote>
  <w:footnote w:id="30">
    <w:p w14:paraId="7E1FEA8D" w14:textId="3DBCA1EE" w:rsidR="00350A6C" w:rsidRDefault="00350A6C">
      <w:pPr>
        <w:pStyle w:val="FootnoteText"/>
      </w:pPr>
      <w:r>
        <w:rPr>
          <w:rStyle w:val="FootnoteReference"/>
        </w:rPr>
        <w:footnoteRef/>
      </w:r>
      <w:r>
        <w:t xml:space="preserve"> </w:t>
      </w:r>
      <w:r>
        <w:tab/>
        <w:t>The judgement dismissing the application for leave to appeal appears in the papers at 03-105.</w:t>
      </w:r>
    </w:p>
  </w:footnote>
  <w:footnote w:id="31">
    <w:p w14:paraId="659C33E3" w14:textId="6F0526DB" w:rsidR="009444FC" w:rsidRDefault="009444FC">
      <w:pPr>
        <w:pStyle w:val="FootnoteText"/>
      </w:pPr>
      <w:r>
        <w:rPr>
          <w:rStyle w:val="FootnoteReference"/>
        </w:rPr>
        <w:footnoteRef/>
      </w:r>
      <w:r>
        <w:t xml:space="preserve"> </w:t>
      </w:r>
      <w:r>
        <w:tab/>
        <w:t>Freedom of trade, occupation or profession.</w:t>
      </w:r>
    </w:p>
  </w:footnote>
  <w:footnote w:id="32">
    <w:p w14:paraId="19443525" w14:textId="0FD2259A" w:rsidR="009444FC" w:rsidRDefault="009444FC">
      <w:pPr>
        <w:pStyle w:val="FootnoteText"/>
      </w:pPr>
      <w:r>
        <w:rPr>
          <w:rStyle w:val="FootnoteReference"/>
        </w:rPr>
        <w:footnoteRef/>
      </w:r>
      <w:r>
        <w:t xml:space="preserve"> </w:t>
      </w:r>
      <w:r>
        <w:tab/>
        <w:t>Fair labour practices.</w:t>
      </w:r>
    </w:p>
  </w:footnote>
  <w:footnote w:id="33">
    <w:p w14:paraId="74D3836F" w14:textId="1CC4ECFB" w:rsidR="009444FC" w:rsidRDefault="009444FC">
      <w:pPr>
        <w:pStyle w:val="FootnoteText"/>
      </w:pPr>
      <w:r>
        <w:rPr>
          <w:rStyle w:val="FootnoteReference"/>
        </w:rPr>
        <w:footnoteRef/>
      </w:r>
      <w:r>
        <w:t xml:space="preserve"> </w:t>
      </w:r>
      <w:r>
        <w:tab/>
      </w:r>
      <w:r w:rsidR="00DA4524">
        <w:t>Just administrative action.</w:t>
      </w:r>
    </w:p>
  </w:footnote>
  <w:footnote w:id="34">
    <w:p w14:paraId="637DB2B5" w14:textId="77777777" w:rsidR="00B2476E" w:rsidRDefault="00B2476E" w:rsidP="00B2476E">
      <w:pPr>
        <w:pStyle w:val="FootnoteText"/>
      </w:pPr>
      <w:r>
        <w:rPr>
          <w:rStyle w:val="FootnoteReference"/>
        </w:rPr>
        <w:footnoteRef/>
      </w:r>
      <w:r>
        <w:t xml:space="preserve"> </w:t>
      </w:r>
      <w:r>
        <w:tab/>
        <w:t>“ML81” (03-107).</w:t>
      </w:r>
    </w:p>
  </w:footnote>
  <w:footnote w:id="35">
    <w:p w14:paraId="683DC2FC" w14:textId="77777777" w:rsidR="00B2476E" w:rsidRPr="002E4283" w:rsidRDefault="00B2476E" w:rsidP="00B2476E">
      <w:pPr>
        <w:pStyle w:val="FootnoteText"/>
        <w:rPr>
          <w:lang w:val="en-GB"/>
        </w:rPr>
      </w:pPr>
      <w:r>
        <w:rPr>
          <w:rStyle w:val="FootnoteReference"/>
        </w:rPr>
        <w:footnoteRef/>
      </w:r>
      <w:r>
        <w:t xml:space="preserve"> </w:t>
      </w:r>
      <w:r>
        <w:rPr>
          <w:lang w:val="en-GB"/>
        </w:rPr>
        <w:tab/>
        <w:t>CPA. A report is included in the papers (03-134).</w:t>
      </w:r>
    </w:p>
  </w:footnote>
  <w:footnote w:id="36">
    <w:p w14:paraId="246E39B4" w14:textId="77777777" w:rsidR="00B2476E" w:rsidRDefault="00B2476E" w:rsidP="00B2476E">
      <w:pPr>
        <w:pStyle w:val="FootnoteText"/>
      </w:pPr>
      <w:r>
        <w:rPr>
          <w:rStyle w:val="FootnoteReference"/>
        </w:rPr>
        <w:footnoteRef/>
      </w:r>
      <w:r>
        <w:t xml:space="preserve"> </w:t>
      </w:r>
      <w:r>
        <w:tab/>
        <w:t>03-151.</w:t>
      </w:r>
    </w:p>
  </w:footnote>
  <w:footnote w:id="37">
    <w:p w14:paraId="33A88768" w14:textId="77777777" w:rsidR="00B2476E" w:rsidRDefault="00B2476E" w:rsidP="00B2476E">
      <w:pPr>
        <w:pStyle w:val="FootnoteText"/>
      </w:pPr>
      <w:r>
        <w:rPr>
          <w:rStyle w:val="FootnoteReference"/>
        </w:rPr>
        <w:footnoteRef/>
      </w:r>
      <w:r>
        <w:t xml:space="preserve"> </w:t>
      </w:r>
      <w:r>
        <w:tab/>
        <w:t>03-159.</w:t>
      </w:r>
    </w:p>
  </w:footnote>
  <w:footnote w:id="38">
    <w:p w14:paraId="7B22EEF5" w14:textId="3CA430F5" w:rsidR="003C5CB4" w:rsidRDefault="003C5CB4" w:rsidP="003C5CB4">
      <w:pPr>
        <w:pStyle w:val="FootnoteText"/>
      </w:pPr>
      <w:r>
        <w:rPr>
          <w:rStyle w:val="FootnoteReference"/>
        </w:rPr>
        <w:footnoteRef/>
      </w:r>
      <w:r>
        <w:t xml:space="preserve"> </w:t>
      </w:r>
      <w:r>
        <w:tab/>
      </w:r>
      <w:r w:rsidRPr="009854BD">
        <w:rPr>
          <w:i/>
          <w:iCs/>
        </w:rPr>
        <w:t>City of Tshwane Metropolitan Municipality v RPM Bricks (Pty) Ltd</w:t>
      </w:r>
      <w:r>
        <w:t xml:space="preserve"> </w:t>
      </w:r>
      <w:r w:rsidRPr="009854BD">
        <w:t>2008 (3) SA 1 (SCA)</w:t>
      </w:r>
      <w:r>
        <w:t>.</w:t>
      </w:r>
    </w:p>
  </w:footnote>
  <w:footnote w:id="39">
    <w:p w14:paraId="06362305" w14:textId="77777777" w:rsidR="003C5CB4" w:rsidRDefault="003C5CB4" w:rsidP="003C5CB4">
      <w:pPr>
        <w:pStyle w:val="FootnoteText"/>
      </w:pPr>
      <w:r>
        <w:rPr>
          <w:rStyle w:val="FootnoteReference"/>
        </w:rPr>
        <w:footnoteRef/>
      </w:r>
      <w:r>
        <w:t xml:space="preserve"> </w:t>
      </w:r>
      <w:r>
        <w:tab/>
        <w:t>Section 33(2)(b) of the Finance Act.</w:t>
      </w:r>
    </w:p>
  </w:footnote>
  <w:footnote w:id="40">
    <w:p w14:paraId="65EA2D96" w14:textId="77777777" w:rsidR="003C5CB4" w:rsidRDefault="003C5CB4" w:rsidP="003C5CB4">
      <w:pPr>
        <w:pStyle w:val="FootnoteText"/>
      </w:pPr>
      <w:r>
        <w:rPr>
          <w:rStyle w:val="FootnoteReference"/>
        </w:rPr>
        <w:footnoteRef/>
      </w:r>
      <w:r>
        <w:t xml:space="preserve"> </w:t>
      </w:r>
      <w:r>
        <w:tab/>
        <w:t>See para 6 of the Directive of the Acting City Manager dated 9 March 2022 (03-88).</w:t>
      </w:r>
    </w:p>
  </w:footnote>
  <w:footnote w:id="41">
    <w:p w14:paraId="265B4234" w14:textId="4D6AE4F8" w:rsidR="003C5CB4" w:rsidRDefault="003C5CB4">
      <w:pPr>
        <w:pStyle w:val="FootnoteText"/>
      </w:pPr>
      <w:r>
        <w:rPr>
          <w:rStyle w:val="FootnoteReference"/>
        </w:rPr>
        <w:footnoteRef/>
      </w:r>
      <w:r>
        <w:t xml:space="preserve"> </w:t>
      </w:r>
      <w:r>
        <w:tab/>
        <w:t>In view of the conclusion reached under the heading “The rule of law” below.</w:t>
      </w:r>
    </w:p>
  </w:footnote>
  <w:footnote w:id="42">
    <w:p w14:paraId="63E3CB3A" w14:textId="77777777" w:rsidR="003C5CB4" w:rsidRDefault="003C5CB4" w:rsidP="003C5CB4">
      <w:pPr>
        <w:pStyle w:val="FootnoteText"/>
      </w:pPr>
      <w:r>
        <w:rPr>
          <w:rStyle w:val="FootnoteReference"/>
        </w:rPr>
        <w:footnoteRef/>
      </w:r>
      <w:r>
        <w:t xml:space="preserve"> </w:t>
      </w:r>
      <w:r>
        <w:tab/>
        <w:t>The respondent’s staff establishment framework form part of the papers. See “ML81” (03-107).</w:t>
      </w:r>
    </w:p>
  </w:footnote>
  <w:footnote w:id="43">
    <w:p w14:paraId="34F853F3" w14:textId="77777777" w:rsidR="003C5CB4" w:rsidRDefault="003C5CB4" w:rsidP="003C5CB4">
      <w:pPr>
        <w:pStyle w:val="FootnoteText"/>
      </w:pPr>
      <w:r>
        <w:rPr>
          <w:rStyle w:val="FootnoteReference"/>
        </w:rPr>
        <w:footnoteRef/>
      </w:r>
      <w:r>
        <w:t xml:space="preserve"> </w:t>
      </w:r>
      <w:r>
        <w:tab/>
      </w:r>
      <w:r w:rsidRPr="00A604FC">
        <w:rPr>
          <w:i/>
          <w:iCs/>
        </w:rPr>
        <w:t>Makate v Vodacom Ltd</w:t>
      </w:r>
      <w:r>
        <w:t xml:space="preserve"> </w:t>
      </w:r>
      <w:r w:rsidRPr="00A604FC">
        <w:t>2016 (4) SA 121 (CC)</w:t>
      </w:r>
      <w:r>
        <w:t xml:space="preserve"> para 48.</w:t>
      </w:r>
    </w:p>
  </w:footnote>
  <w:footnote w:id="44">
    <w:p w14:paraId="35B96FFD" w14:textId="77777777" w:rsidR="003C5CB4" w:rsidRDefault="003C5CB4" w:rsidP="003C5CB4">
      <w:pPr>
        <w:pStyle w:val="FootnoteText"/>
      </w:pPr>
      <w:r>
        <w:rPr>
          <w:rStyle w:val="FootnoteReference"/>
        </w:rPr>
        <w:footnoteRef/>
      </w:r>
      <w:r>
        <w:t xml:space="preserve"> </w:t>
      </w:r>
      <w:r>
        <w:tab/>
      </w:r>
      <w:r w:rsidRPr="00A604FC">
        <w:t>Jafta J (Mogoeng CJ, Moseneke DCJ, Khampepe J, Matojane AJ, Nkabinde J and Zondo J concurring)</w:t>
      </w:r>
      <w:r>
        <w:t>.</w:t>
      </w:r>
    </w:p>
  </w:footnote>
  <w:footnote w:id="45">
    <w:p w14:paraId="260A072A" w14:textId="77777777" w:rsidR="003C5CB4" w:rsidRDefault="003C5CB4" w:rsidP="003C5CB4">
      <w:pPr>
        <w:pStyle w:val="FootnoteText"/>
      </w:pPr>
      <w:r>
        <w:rPr>
          <w:rStyle w:val="FootnoteReference"/>
        </w:rPr>
        <w:footnoteRef/>
      </w:r>
      <w:r>
        <w:t xml:space="preserve"> </w:t>
      </w:r>
      <w:r>
        <w:tab/>
      </w:r>
      <w:r w:rsidRPr="00CB730D">
        <w:rPr>
          <w:i/>
          <w:iCs/>
        </w:rPr>
        <w:t>Hely-Hutchinson v Brayhead Ltd and Another</w:t>
      </w:r>
      <w:r w:rsidRPr="008E05FC">
        <w:t> [1968] 1 QB 549 (CA)</w:t>
      </w:r>
      <w:r>
        <w:t xml:space="preserve"> 583A-G, also reported at </w:t>
      </w:r>
      <w:r w:rsidRPr="008E05FC">
        <w:t>[1967] 3 All ER 98</w:t>
      </w:r>
      <w:r>
        <w:t>.</w:t>
      </w:r>
    </w:p>
  </w:footnote>
  <w:footnote w:id="46">
    <w:p w14:paraId="728E7300" w14:textId="2B6A00B0" w:rsidR="00211B71" w:rsidRDefault="00211B71" w:rsidP="00211B71">
      <w:pPr>
        <w:pStyle w:val="FootnoteText"/>
      </w:pPr>
      <w:r>
        <w:rPr>
          <w:rStyle w:val="FootnoteReference"/>
        </w:rPr>
        <w:footnoteRef/>
      </w:r>
      <w:r>
        <w:t xml:space="preserve"> </w:t>
      </w:r>
      <w:r>
        <w:tab/>
      </w:r>
      <w:r w:rsidRPr="00BF38EA">
        <w:rPr>
          <w:i/>
          <w:iCs/>
        </w:rPr>
        <w:t>Merafong City v AngloGold Ashanti Ltd</w:t>
      </w:r>
      <w:r>
        <w:t xml:space="preserve"> </w:t>
      </w:r>
      <w:r w:rsidRPr="007268C8">
        <w:t>2017 (2) SA 211 (CC)</w:t>
      </w:r>
      <w:r>
        <w:t xml:space="preserve"> paras 42 to 43</w:t>
      </w:r>
      <w:r w:rsidR="002C29E3">
        <w:t>.</w:t>
      </w:r>
    </w:p>
  </w:footnote>
  <w:footnote w:id="47">
    <w:p w14:paraId="0E451AB7" w14:textId="6B872DC6" w:rsidR="005C14A4" w:rsidRDefault="005C14A4">
      <w:pPr>
        <w:pStyle w:val="FootnoteText"/>
      </w:pPr>
      <w:r>
        <w:rPr>
          <w:rStyle w:val="FootnoteReference"/>
        </w:rPr>
        <w:footnoteRef/>
      </w:r>
      <w:r>
        <w:t xml:space="preserve"> </w:t>
      </w:r>
      <w:r>
        <w:tab/>
      </w:r>
      <w:r w:rsidRPr="007B3CF4">
        <w:rPr>
          <w:i/>
          <w:iCs/>
          <w:color w:val="000000" w:themeColor="text1"/>
        </w:rPr>
        <w:t>Oudekraal Estates (Pty) Ltd v City of Cape Town and Others</w:t>
      </w:r>
      <w:r w:rsidRPr="007B3CF4">
        <w:rPr>
          <w:color w:val="000000" w:themeColor="text1"/>
        </w:rPr>
        <w:t> </w:t>
      </w:r>
      <w:hyperlink r:id="rId1" w:history="1">
        <w:r w:rsidRPr="007B3CF4">
          <w:rPr>
            <w:rStyle w:val="Hyperlink"/>
            <w:color w:val="000000" w:themeColor="text1"/>
            <w:u w:val="none"/>
          </w:rPr>
          <w:t>2004 (6) SA 222 (SCA)</w:t>
        </w:r>
      </w:hyperlink>
      <w:r>
        <w:rPr>
          <w:color w:val="000000" w:themeColor="text1"/>
        </w:rPr>
        <w:t>,</w:t>
      </w:r>
      <w:r w:rsidRPr="007B3CF4">
        <w:rPr>
          <w:color w:val="000000" w:themeColor="text1"/>
        </w:rPr>
        <w:t> [2004] 3 All SA 1 (SCA)</w:t>
      </w:r>
      <w:r>
        <w:rPr>
          <w:color w:val="000000" w:themeColor="text1"/>
        </w:rPr>
        <w:t>.</w:t>
      </w:r>
    </w:p>
  </w:footnote>
  <w:footnote w:id="48">
    <w:p w14:paraId="39CFF546" w14:textId="4CD5CFE2" w:rsidR="005C14A4" w:rsidRDefault="005C14A4">
      <w:pPr>
        <w:pStyle w:val="FootnoteText"/>
      </w:pPr>
      <w:r>
        <w:rPr>
          <w:rStyle w:val="FootnoteReference"/>
        </w:rPr>
        <w:footnoteRef/>
      </w:r>
      <w:r>
        <w:t xml:space="preserve"> </w:t>
      </w:r>
      <w:r>
        <w:tab/>
      </w:r>
      <w:r w:rsidRPr="007B3CF4">
        <w:rPr>
          <w:i/>
          <w:iCs/>
        </w:rPr>
        <w:t>MEC for Health, Eastern Cape and Another v Kirland Investments (Pty) Ltd t/a Eye &amp; Lazer Institute</w:t>
      </w:r>
      <w:r w:rsidRPr="007B3CF4">
        <w:t xml:space="preserve"> 2014 (3) SA 481</w:t>
      </w:r>
      <w:r>
        <w:t xml:space="preserve"> </w:t>
      </w:r>
      <w:r w:rsidRPr="007B3CF4">
        <w:t>(CC)</w:t>
      </w:r>
      <w:r>
        <w:t>.</w:t>
      </w:r>
    </w:p>
  </w:footnote>
  <w:footnote w:id="49">
    <w:p w14:paraId="0A3536CD" w14:textId="3F928F10" w:rsidR="002C29E3" w:rsidRDefault="002C29E3">
      <w:pPr>
        <w:pStyle w:val="FootnoteText"/>
      </w:pPr>
      <w:r>
        <w:rPr>
          <w:rStyle w:val="FootnoteReference"/>
        </w:rPr>
        <w:footnoteRef/>
      </w:r>
      <w:r>
        <w:t xml:space="preserve"> </w:t>
      </w:r>
      <w:r>
        <w:tab/>
      </w:r>
      <w:r w:rsidRPr="000E7804">
        <w:rPr>
          <w:i/>
          <w:iCs/>
          <w:color w:val="000000" w:themeColor="text1"/>
        </w:rPr>
        <w:t>Economic Freedom Fighters v Speaker, National Assembly and Others</w:t>
      </w:r>
      <w:r w:rsidRPr="000E7804">
        <w:rPr>
          <w:color w:val="000000" w:themeColor="text1"/>
        </w:rPr>
        <w:t> </w:t>
      </w:r>
      <w:hyperlink r:id="rId2" w:history="1">
        <w:r w:rsidRPr="000E7804">
          <w:rPr>
            <w:rStyle w:val="Hyperlink"/>
            <w:color w:val="000000" w:themeColor="text1"/>
            <w:u w:val="none"/>
          </w:rPr>
          <w:t>2016 (3) SA 580 (CC)</w:t>
        </w:r>
      </w:hyperlink>
      <w:r>
        <w:rPr>
          <w:rStyle w:val="Hyperlink"/>
          <w:color w:val="000000" w:themeColor="text1"/>
          <w:u w:val="none"/>
        </w:rPr>
        <w:t>.</w:t>
      </w:r>
    </w:p>
  </w:footnote>
  <w:footnote w:id="50">
    <w:p w14:paraId="75715C39" w14:textId="43C8CBDD" w:rsidR="003C5CB4" w:rsidRDefault="003C5CB4">
      <w:pPr>
        <w:pStyle w:val="FootnoteText"/>
      </w:pPr>
      <w:r>
        <w:rPr>
          <w:rStyle w:val="FootnoteReference"/>
        </w:rPr>
        <w:footnoteRef/>
      </w:r>
      <w:r>
        <w:t xml:space="preserve"> </w:t>
      </w:r>
      <w:r>
        <w:tab/>
      </w:r>
      <w:r w:rsidRPr="005E6FD7">
        <w:t>Khampepe J (Froneman J, Madlanga J, Mhlantla J and Nkabinde J concurring</w:t>
      </w:r>
      <w:r>
        <w:t>).</w:t>
      </w:r>
    </w:p>
  </w:footnote>
  <w:footnote w:id="51">
    <w:p w14:paraId="73ECDD5C" w14:textId="5DFD3113" w:rsidR="006D10C2" w:rsidRDefault="006D10C2" w:rsidP="006D10C2">
      <w:pPr>
        <w:pStyle w:val="FootnoteText"/>
      </w:pPr>
      <w:r>
        <w:rPr>
          <w:rStyle w:val="FootnoteReference"/>
        </w:rPr>
        <w:footnoteRef/>
      </w:r>
      <w:r>
        <w:t xml:space="preserve"> </w:t>
      </w:r>
      <w:r>
        <w:tab/>
      </w:r>
      <w:r w:rsidRPr="00380BCD">
        <w:rPr>
          <w:i/>
          <w:iCs/>
        </w:rPr>
        <w:t>Department of Transport and Others v Tasima (Pty) Ltd</w:t>
      </w:r>
      <w:r>
        <w:t xml:space="preserve"> 2017 (2) SA 622 (CC) para 147.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8A9B" w14:textId="3104C128" w:rsidR="00893C08" w:rsidRPr="006C43D7" w:rsidRDefault="00893C08"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DE4970">
      <w:rPr>
        <w:rFonts w:cs="Arial"/>
        <w:noProof/>
        <w:sz w:val="20"/>
        <w:szCs w:val="20"/>
        <w:lang w:val="en-GB"/>
      </w:rPr>
      <w:t>2</w:t>
    </w:r>
    <w:r w:rsidRPr="006C43D7">
      <w:rPr>
        <w:rFonts w:cs="Arial"/>
        <w:sz w:val="20"/>
        <w:szCs w:val="20"/>
        <w:lang w:val="en-GB"/>
      </w:rPr>
      <w:fldChar w:fldCharType="end"/>
    </w:r>
  </w:p>
  <w:p w14:paraId="08C008E5" w14:textId="77777777" w:rsidR="00893C08" w:rsidRPr="006C43D7" w:rsidRDefault="00893C08" w:rsidP="006C43D7">
    <w:pPr>
      <w:tabs>
        <w:tab w:val="center" w:pos="4153"/>
        <w:tab w:val="right" w:pos="8306"/>
      </w:tabs>
      <w:spacing w:line="276" w:lineRule="auto"/>
      <w:jc w:val="right"/>
      <w:rPr>
        <w:rFonts w:cs="Arial"/>
        <w:lang w:val="en-US"/>
      </w:rPr>
    </w:pPr>
  </w:p>
  <w:p w14:paraId="4A21EF97" w14:textId="77777777" w:rsidR="00893C08" w:rsidRPr="006C43D7" w:rsidRDefault="00893C08" w:rsidP="006C43D7">
    <w:pPr>
      <w:pStyle w:val="Header"/>
    </w:pPr>
  </w:p>
  <w:p w14:paraId="65DD491B" w14:textId="77777777" w:rsidR="0063284D" w:rsidRDefault="0063284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0D50CD"/>
    <w:multiLevelType w:val="hybridMultilevel"/>
    <w:tmpl w:val="9DC047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4576F93"/>
    <w:multiLevelType w:val="hybridMultilevel"/>
    <w:tmpl w:val="64068F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DE0E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12639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1"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2" w15:restartNumberingAfterBreak="0">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16"/>
  </w:num>
  <w:num w:numId="4">
    <w:abstractNumId w:val="9"/>
  </w:num>
  <w:num w:numId="5">
    <w:abstractNumId w:val="15"/>
  </w:num>
  <w:num w:numId="6">
    <w:abstractNumId w:val="13"/>
  </w:num>
  <w:num w:numId="7">
    <w:abstractNumId w:val="0"/>
  </w:num>
  <w:num w:numId="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17"/>
  </w:num>
  <w:num w:numId="12">
    <w:abstractNumId w:val="6"/>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14"/>
  </w:num>
  <w:num w:numId="14">
    <w:abstractNumId w:val="12"/>
  </w:num>
  <w:num w:numId="15">
    <w:abstractNumId w:val="5"/>
  </w:num>
  <w:num w:numId="16">
    <w:abstractNumId w:val="8"/>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3NzC2MDcwMzIzMDZQ0lEKTi0uzszPAykwrAUAxfr7qiwAAAA="/>
  </w:docVars>
  <w:rsids>
    <w:rsidRoot w:val="00C676F3"/>
    <w:rsid w:val="000004A3"/>
    <w:rsid w:val="00000AFE"/>
    <w:rsid w:val="00001138"/>
    <w:rsid w:val="000019D2"/>
    <w:rsid w:val="00005CDD"/>
    <w:rsid w:val="00006113"/>
    <w:rsid w:val="0001111B"/>
    <w:rsid w:val="0001140A"/>
    <w:rsid w:val="00011522"/>
    <w:rsid w:val="00013B7F"/>
    <w:rsid w:val="00013F00"/>
    <w:rsid w:val="0001593E"/>
    <w:rsid w:val="00015D74"/>
    <w:rsid w:val="00022ACD"/>
    <w:rsid w:val="00024A29"/>
    <w:rsid w:val="00025815"/>
    <w:rsid w:val="000262B3"/>
    <w:rsid w:val="000264AE"/>
    <w:rsid w:val="00026D9A"/>
    <w:rsid w:val="0002763E"/>
    <w:rsid w:val="00027823"/>
    <w:rsid w:val="00027D19"/>
    <w:rsid w:val="00030A89"/>
    <w:rsid w:val="000319AA"/>
    <w:rsid w:val="000325E2"/>
    <w:rsid w:val="00034D9F"/>
    <w:rsid w:val="00036508"/>
    <w:rsid w:val="00040CD3"/>
    <w:rsid w:val="000426C0"/>
    <w:rsid w:val="00042D0E"/>
    <w:rsid w:val="0004506F"/>
    <w:rsid w:val="0004508D"/>
    <w:rsid w:val="00047F26"/>
    <w:rsid w:val="00050086"/>
    <w:rsid w:val="000504F1"/>
    <w:rsid w:val="00051A2B"/>
    <w:rsid w:val="0005217F"/>
    <w:rsid w:val="0005282E"/>
    <w:rsid w:val="000528B3"/>
    <w:rsid w:val="000550EB"/>
    <w:rsid w:val="000554B8"/>
    <w:rsid w:val="0005636C"/>
    <w:rsid w:val="00060AF8"/>
    <w:rsid w:val="00063F7B"/>
    <w:rsid w:val="0006692C"/>
    <w:rsid w:val="00066971"/>
    <w:rsid w:val="00072105"/>
    <w:rsid w:val="000737E1"/>
    <w:rsid w:val="000739F5"/>
    <w:rsid w:val="00073E30"/>
    <w:rsid w:val="00075E02"/>
    <w:rsid w:val="00077D11"/>
    <w:rsid w:val="00081716"/>
    <w:rsid w:val="00082EDC"/>
    <w:rsid w:val="000833BB"/>
    <w:rsid w:val="000835BE"/>
    <w:rsid w:val="000841D1"/>
    <w:rsid w:val="00085288"/>
    <w:rsid w:val="00087AE6"/>
    <w:rsid w:val="000906B5"/>
    <w:rsid w:val="00090FFC"/>
    <w:rsid w:val="00092591"/>
    <w:rsid w:val="0009429D"/>
    <w:rsid w:val="0009488C"/>
    <w:rsid w:val="0009540B"/>
    <w:rsid w:val="000956E5"/>
    <w:rsid w:val="00096A67"/>
    <w:rsid w:val="000976D2"/>
    <w:rsid w:val="00097968"/>
    <w:rsid w:val="000A1A53"/>
    <w:rsid w:val="000A6AD8"/>
    <w:rsid w:val="000B0A70"/>
    <w:rsid w:val="000B21DA"/>
    <w:rsid w:val="000B39D7"/>
    <w:rsid w:val="000B3B78"/>
    <w:rsid w:val="000C7A3D"/>
    <w:rsid w:val="000D01E0"/>
    <w:rsid w:val="000D21E7"/>
    <w:rsid w:val="000D2265"/>
    <w:rsid w:val="000D415C"/>
    <w:rsid w:val="000D4E84"/>
    <w:rsid w:val="000D53F5"/>
    <w:rsid w:val="000D5760"/>
    <w:rsid w:val="000D6A24"/>
    <w:rsid w:val="000D71C5"/>
    <w:rsid w:val="000D7220"/>
    <w:rsid w:val="000D7D6A"/>
    <w:rsid w:val="000E1EC8"/>
    <w:rsid w:val="000E3EE8"/>
    <w:rsid w:val="000E4985"/>
    <w:rsid w:val="000E5343"/>
    <w:rsid w:val="000F00EF"/>
    <w:rsid w:val="000F25B3"/>
    <w:rsid w:val="000F430D"/>
    <w:rsid w:val="000F4E07"/>
    <w:rsid w:val="000F59F8"/>
    <w:rsid w:val="000F7813"/>
    <w:rsid w:val="00101890"/>
    <w:rsid w:val="001025B5"/>
    <w:rsid w:val="00104142"/>
    <w:rsid w:val="00105F97"/>
    <w:rsid w:val="00107D26"/>
    <w:rsid w:val="00107D90"/>
    <w:rsid w:val="001114D8"/>
    <w:rsid w:val="001142D1"/>
    <w:rsid w:val="00120C79"/>
    <w:rsid w:val="00120FB1"/>
    <w:rsid w:val="00130253"/>
    <w:rsid w:val="00130C4A"/>
    <w:rsid w:val="00133E81"/>
    <w:rsid w:val="001342B3"/>
    <w:rsid w:val="00140CED"/>
    <w:rsid w:val="00141AD1"/>
    <w:rsid w:val="0014628D"/>
    <w:rsid w:val="00147FF5"/>
    <w:rsid w:val="00151DA9"/>
    <w:rsid w:val="00152899"/>
    <w:rsid w:val="00154961"/>
    <w:rsid w:val="00155A21"/>
    <w:rsid w:val="00161057"/>
    <w:rsid w:val="0016589D"/>
    <w:rsid w:val="001671C1"/>
    <w:rsid w:val="00170D40"/>
    <w:rsid w:val="00171182"/>
    <w:rsid w:val="0017124B"/>
    <w:rsid w:val="00171D7F"/>
    <w:rsid w:val="00172763"/>
    <w:rsid w:val="00172DDF"/>
    <w:rsid w:val="00175DDD"/>
    <w:rsid w:val="001802F8"/>
    <w:rsid w:val="00180CB6"/>
    <w:rsid w:val="001838CC"/>
    <w:rsid w:val="00183EB6"/>
    <w:rsid w:val="00185ACF"/>
    <w:rsid w:val="00190579"/>
    <w:rsid w:val="00190F4E"/>
    <w:rsid w:val="001916C4"/>
    <w:rsid w:val="0019236B"/>
    <w:rsid w:val="001923E3"/>
    <w:rsid w:val="00192613"/>
    <w:rsid w:val="00192F78"/>
    <w:rsid w:val="00193DDD"/>
    <w:rsid w:val="00195810"/>
    <w:rsid w:val="001966E8"/>
    <w:rsid w:val="00196E14"/>
    <w:rsid w:val="001A2608"/>
    <w:rsid w:val="001A5145"/>
    <w:rsid w:val="001A522A"/>
    <w:rsid w:val="001A7904"/>
    <w:rsid w:val="001B1550"/>
    <w:rsid w:val="001B1D39"/>
    <w:rsid w:val="001B2DAD"/>
    <w:rsid w:val="001B35C2"/>
    <w:rsid w:val="001B4217"/>
    <w:rsid w:val="001B4812"/>
    <w:rsid w:val="001B4893"/>
    <w:rsid w:val="001B5D3E"/>
    <w:rsid w:val="001B5E58"/>
    <w:rsid w:val="001B606B"/>
    <w:rsid w:val="001B7889"/>
    <w:rsid w:val="001C0755"/>
    <w:rsid w:val="001C2371"/>
    <w:rsid w:val="001C33E6"/>
    <w:rsid w:val="001C3DAF"/>
    <w:rsid w:val="001C608F"/>
    <w:rsid w:val="001C7048"/>
    <w:rsid w:val="001D3CC2"/>
    <w:rsid w:val="001E0529"/>
    <w:rsid w:val="001E2EED"/>
    <w:rsid w:val="001E44D1"/>
    <w:rsid w:val="001E4691"/>
    <w:rsid w:val="001E518E"/>
    <w:rsid w:val="001F09D1"/>
    <w:rsid w:val="001F0A29"/>
    <w:rsid w:val="001F0CE5"/>
    <w:rsid w:val="001F361F"/>
    <w:rsid w:val="001F3DBD"/>
    <w:rsid w:val="001F648A"/>
    <w:rsid w:val="001F6F43"/>
    <w:rsid w:val="00200B96"/>
    <w:rsid w:val="00201620"/>
    <w:rsid w:val="00203DA2"/>
    <w:rsid w:val="0020474A"/>
    <w:rsid w:val="00205392"/>
    <w:rsid w:val="00205E72"/>
    <w:rsid w:val="00206919"/>
    <w:rsid w:val="002104BF"/>
    <w:rsid w:val="002108B6"/>
    <w:rsid w:val="00211217"/>
    <w:rsid w:val="00211B71"/>
    <w:rsid w:val="00211F49"/>
    <w:rsid w:val="00213738"/>
    <w:rsid w:val="00214877"/>
    <w:rsid w:val="00215824"/>
    <w:rsid w:val="00216BC8"/>
    <w:rsid w:val="002175BA"/>
    <w:rsid w:val="002200DC"/>
    <w:rsid w:val="0022218D"/>
    <w:rsid w:val="00226926"/>
    <w:rsid w:val="002302E3"/>
    <w:rsid w:val="00231D93"/>
    <w:rsid w:val="00232528"/>
    <w:rsid w:val="0023405C"/>
    <w:rsid w:val="00235D20"/>
    <w:rsid w:val="00236E47"/>
    <w:rsid w:val="00237806"/>
    <w:rsid w:val="00237FF9"/>
    <w:rsid w:val="0024012B"/>
    <w:rsid w:val="00243D2F"/>
    <w:rsid w:val="00244FB9"/>
    <w:rsid w:val="00250164"/>
    <w:rsid w:val="00251668"/>
    <w:rsid w:val="002535F0"/>
    <w:rsid w:val="00253F38"/>
    <w:rsid w:val="00253F72"/>
    <w:rsid w:val="00260B0A"/>
    <w:rsid w:val="002625C5"/>
    <w:rsid w:val="00262819"/>
    <w:rsid w:val="00263A96"/>
    <w:rsid w:val="00264C59"/>
    <w:rsid w:val="00270557"/>
    <w:rsid w:val="002709AE"/>
    <w:rsid w:val="00272B77"/>
    <w:rsid w:val="0027600C"/>
    <w:rsid w:val="00277491"/>
    <w:rsid w:val="00285040"/>
    <w:rsid w:val="00285062"/>
    <w:rsid w:val="00285F4A"/>
    <w:rsid w:val="0029196F"/>
    <w:rsid w:val="00292E3E"/>
    <w:rsid w:val="0029369B"/>
    <w:rsid w:val="00293C02"/>
    <w:rsid w:val="0029605B"/>
    <w:rsid w:val="00296DAF"/>
    <w:rsid w:val="002976B8"/>
    <w:rsid w:val="002A030C"/>
    <w:rsid w:val="002A4B7B"/>
    <w:rsid w:val="002B0355"/>
    <w:rsid w:val="002B05EA"/>
    <w:rsid w:val="002B12D6"/>
    <w:rsid w:val="002B528D"/>
    <w:rsid w:val="002C15AC"/>
    <w:rsid w:val="002C29E3"/>
    <w:rsid w:val="002C2E80"/>
    <w:rsid w:val="002C4687"/>
    <w:rsid w:val="002C48E7"/>
    <w:rsid w:val="002C6142"/>
    <w:rsid w:val="002D2842"/>
    <w:rsid w:val="002D47B3"/>
    <w:rsid w:val="002E0E37"/>
    <w:rsid w:val="002E3586"/>
    <w:rsid w:val="002E4283"/>
    <w:rsid w:val="002E5B57"/>
    <w:rsid w:val="002E612C"/>
    <w:rsid w:val="002E6CD7"/>
    <w:rsid w:val="002F1C4D"/>
    <w:rsid w:val="002F2881"/>
    <w:rsid w:val="002F41F8"/>
    <w:rsid w:val="002F4A5D"/>
    <w:rsid w:val="002F508A"/>
    <w:rsid w:val="002F72D3"/>
    <w:rsid w:val="00302290"/>
    <w:rsid w:val="003023F9"/>
    <w:rsid w:val="00302C31"/>
    <w:rsid w:val="003031A1"/>
    <w:rsid w:val="003034C6"/>
    <w:rsid w:val="00303919"/>
    <w:rsid w:val="003047C2"/>
    <w:rsid w:val="0030653F"/>
    <w:rsid w:val="00306B41"/>
    <w:rsid w:val="003102C8"/>
    <w:rsid w:val="0031117B"/>
    <w:rsid w:val="00312EBC"/>
    <w:rsid w:val="00313056"/>
    <w:rsid w:val="00321DF8"/>
    <w:rsid w:val="00323058"/>
    <w:rsid w:val="00324EDF"/>
    <w:rsid w:val="003312BF"/>
    <w:rsid w:val="003313A2"/>
    <w:rsid w:val="00334214"/>
    <w:rsid w:val="003358F5"/>
    <w:rsid w:val="00337135"/>
    <w:rsid w:val="00340166"/>
    <w:rsid w:val="0034147B"/>
    <w:rsid w:val="00341526"/>
    <w:rsid w:val="00342E02"/>
    <w:rsid w:val="003448B1"/>
    <w:rsid w:val="003463D6"/>
    <w:rsid w:val="00346D31"/>
    <w:rsid w:val="00346DE6"/>
    <w:rsid w:val="00347E19"/>
    <w:rsid w:val="00350A6C"/>
    <w:rsid w:val="0035170A"/>
    <w:rsid w:val="003541F6"/>
    <w:rsid w:val="00354395"/>
    <w:rsid w:val="003543C5"/>
    <w:rsid w:val="00354EF2"/>
    <w:rsid w:val="00355BEB"/>
    <w:rsid w:val="00357081"/>
    <w:rsid w:val="00357D35"/>
    <w:rsid w:val="0036253D"/>
    <w:rsid w:val="00363FCD"/>
    <w:rsid w:val="00364C43"/>
    <w:rsid w:val="00364E6A"/>
    <w:rsid w:val="00364E80"/>
    <w:rsid w:val="00366E5C"/>
    <w:rsid w:val="003676CF"/>
    <w:rsid w:val="00367720"/>
    <w:rsid w:val="00367778"/>
    <w:rsid w:val="0037029D"/>
    <w:rsid w:val="00371332"/>
    <w:rsid w:val="00372A48"/>
    <w:rsid w:val="00373181"/>
    <w:rsid w:val="00375E93"/>
    <w:rsid w:val="003761BD"/>
    <w:rsid w:val="00377123"/>
    <w:rsid w:val="00377CD6"/>
    <w:rsid w:val="00380919"/>
    <w:rsid w:val="00380BCD"/>
    <w:rsid w:val="00381213"/>
    <w:rsid w:val="003832F7"/>
    <w:rsid w:val="00383EAF"/>
    <w:rsid w:val="003840EC"/>
    <w:rsid w:val="00385DBA"/>
    <w:rsid w:val="00386938"/>
    <w:rsid w:val="0038715A"/>
    <w:rsid w:val="00390C3F"/>
    <w:rsid w:val="00393127"/>
    <w:rsid w:val="003940DD"/>
    <w:rsid w:val="00394A1A"/>
    <w:rsid w:val="00395873"/>
    <w:rsid w:val="003959D1"/>
    <w:rsid w:val="003A1D18"/>
    <w:rsid w:val="003A491F"/>
    <w:rsid w:val="003A62CC"/>
    <w:rsid w:val="003A649B"/>
    <w:rsid w:val="003A7864"/>
    <w:rsid w:val="003A7CA2"/>
    <w:rsid w:val="003B0845"/>
    <w:rsid w:val="003B0C56"/>
    <w:rsid w:val="003B11F4"/>
    <w:rsid w:val="003B1882"/>
    <w:rsid w:val="003B370C"/>
    <w:rsid w:val="003B4100"/>
    <w:rsid w:val="003B6C02"/>
    <w:rsid w:val="003B75AD"/>
    <w:rsid w:val="003C067B"/>
    <w:rsid w:val="003C0ED8"/>
    <w:rsid w:val="003C1488"/>
    <w:rsid w:val="003C1A16"/>
    <w:rsid w:val="003C1E91"/>
    <w:rsid w:val="003C5536"/>
    <w:rsid w:val="003C5CB4"/>
    <w:rsid w:val="003C7FCC"/>
    <w:rsid w:val="003D1202"/>
    <w:rsid w:val="003D19C3"/>
    <w:rsid w:val="003D36F9"/>
    <w:rsid w:val="003D77F1"/>
    <w:rsid w:val="003D7970"/>
    <w:rsid w:val="003E0159"/>
    <w:rsid w:val="003E449A"/>
    <w:rsid w:val="003E4A33"/>
    <w:rsid w:val="003E54E1"/>
    <w:rsid w:val="003E724B"/>
    <w:rsid w:val="003E7A60"/>
    <w:rsid w:val="003F1F49"/>
    <w:rsid w:val="003F23F0"/>
    <w:rsid w:val="003F3F53"/>
    <w:rsid w:val="003F4801"/>
    <w:rsid w:val="003F7448"/>
    <w:rsid w:val="004005E3"/>
    <w:rsid w:val="00404A52"/>
    <w:rsid w:val="004061F2"/>
    <w:rsid w:val="00407B85"/>
    <w:rsid w:val="00407F28"/>
    <w:rsid w:val="00410BA9"/>
    <w:rsid w:val="0041100A"/>
    <w:rsid w:val="004131C5"/>
    <w:rsid w:val="0041363D"/>
    <w:rsid w:val="00413D9B"/>
    <w:rsid w:val="00415439"/>
    <w:rsid w:val="00417F57"/>
    <w:rsid w:val="0042161A"/>
    <w:rsid w:val="0042423E"/>
    <w:rsid w:val="00424BA6"/>
    <w:rsid w:val="004274E7"/>
    <w:rsid w:val="00430142"/>
    <w:rsid w:val="00430B04"/>
    <w:rsid w:val="00431ABD"/>
    <w:rsid w:val="004339E6"/>
    <w:rsid w:val="00434796"/>
    <w:rsid w:val="0043683A"/>
    <w:rsid w:val="00437EB1"/>
    <w:rsid w:val="00441422"/>
    <w:rsid w:val="00444ED6"/>
    <w:rsid w:val="00445DCB"/>
    <w:rsid w:val="00447235"/>
    <w:rsid w:val="004479C3"/>
    <w:rsid w:val="0045044C"/>
    <w:rsid w:val="00460495"/>
    <w:rsid w:val="00460EEA"/>
    <w:rsid w:val="0046160F"/>
    <w:rsid w:val="004630B6"/>
    <w:rsid w:val="00463106"/>
    <w:rsid w:val="00463D2B"/>
    <w:rsid w:val="00466A30"/>
    <w:rsid w:val="00467F5B"/>
    <w:rsid w:val="00472F97"/>
    <w:rsid w:val="00474607"/>
    <w:rsid w:val="00474910"/>
    <w:rsid w:val="004749AF"/>
    <w:rsid w:val="00475410"/>
    <w:rsid w:val="00475E80"/>
    <w:rsid w:val="004774FF"/>
    <w:rsid w:val="0048285C"/>
    <w:rsid w:val="00483F21"/>
    <w:rsid w:val="00484116"/>
    <w:rsid w:val="00484163"/>
    <w:rsid w:val="0048424E"/>
    <w:rsid w:val="00484F8A"/>
    <w:rsid w:val="00486F42"/>
    <w:rsid w:val="00487D14"/>
    <w:rsid w:val="0049165E"/>
    <w:rsid w:val="004923A9"/>
    <w:rsid w:val="00494337"/>
    <w:rsid w:val="00495F7C"/>
    <w:rsid w:val="004976D5"/>
    <w:rsid w:val="004A11D9"/>
    <w:rsid w:val="004A1B95"/>
    <w:rsid w:val="004A1E3F"/>
    <w:rsid w:val="004A2C7E"/>
    <w:rsid w:val="004A5056"/>
    <w:rsid w:val="004A6625"/>
    <w:rsid w:val="004A69D6"/>
    <w:rsid w:val="004A70AB"/>
    <w:rsid w:val="004A7DFE"/>
    <w:rsid w:val="004B085D"/>
    <w:rsid w:val="004B0DBA"/>
    <w:rsid w:val="004B21D9"/>
    <w:rsid w:val="004B255A"/>
    <w:rsid w:val="004B3CA9"/>
    <w:rsid w:val="004B50E1"/>
    <w:rsid w:val="004C0CE3"/>
    <w:rsid w:val="004C368B"/>
    <w:rsid w:val="004D1A31"/>
    <w:rsid w:val="004D1A91"/>
    <w:rsid w:val="004D2123"/>
    <w:rsid w:val="004D262A"/>
    <w:rsid w:val="004D2C6F"/>
    <w:rsid w:val="004D2E01"/>
    <w:rsid w:val="004D3237"/>
    <w:rsid w:val="004D4E89"/>
    <w:rsid w:val="004D635C"/>
    <w:rsid w:val="004E0F3F"/>
    <w:rsid w:val="004E1191"/>
    <w:rsid w:val="004E1349"/>
    <w:rsid w:val="004E1AF1"/>
    <w:rsid w:val="004E3305"/>
    <w:rsid w:val="004E3D0E"/>
    <w:rsid w:val="004E568C"/>
    <w:rsid w:val="004E5AD8"/>
    <w:rsid w:val="004E61DE"/>
    <w:rsid w:val="004F0806"/>
    <w:rsid w:val="004F12D8"/>
    <w:rsid w:val="004F2189"/>
    <w:rsid w:val="004F22A6"/>
    <w:rsid w:val="004F4A37"/>
    <w:rsid w:val="004F5D23"/>
    <w:rsid w:val="005010D7"/>
    <w:rsid w:val="00504B53"/>
    <w:rsid w:val="00505FF7"/>
    <w:rsid w:val="0051015D"/>
    <w:rsid w:val="0051292D"/>
    <w:rsid w:val="00514426"/>
    <w:rsid w:val="0051442D"/>
    <w:rsid w:val="00515FD8"/>
    <w:rsid w:val="0051622D"/>
    <w:rsid w:val="00517A09"/>
    <w:rsid w:val="005207B2"/>
    <w:rsid w:val="005219EB"/>
    <w:rsid w:val="005262C2"/>
    <w:rsid w:val="005263F0"/>
    <w:rsid w:val="0052705A"/>
    <w:rsid w:val="005272E3"/>
    <w:rsid w:val="00532E26"/>
    <w:rsid w:val="00533733"/>
    <w:rsid w:val="00537126"/>
    <w:rsid w:val="00537A72"/>
    <w:rsid w:val="0054000F"/>
    <w:rsid w:val="005405F8"/>
    <w:rsid w:val="00542EAE"/>
    <w:rsid w:val="00546878"/>
    <w:rsid w:val="005509BE"/>
    <w:rsid w:val="00552AFE"/>
    <w:rsid w:val="00560E18"/>
    <w:rsid w:val="005615BB"/>
    <w:rsid w:val="005621E7"/>
    <w:rsid w:val="00562B7E"/>
    <w:rsid w:val="00563355"/>
    <w:rsid w:val="0056752D"/>
    <w:rsid w:val="00571E81"/>
    <w:rsid w:val="00573FF9"/>
    <w:rsid w:val="005743CA"/>
    <w:rsid w:val="005755B7"/>
    <w:rsid w:val="00576B16"/>
    <w:rsid w:val="00577427"/>
    <w:rsid w:val="005808E5"/>
    <w:rsid w:val="005875A9"/>
    <w:rsid w:val="00593C34"/>
    <w:rsid w:val="005949BC"/>
    <w:rsid w:val="005971D5"/>
    <w:rsid w:val="005A313A"/>
    <w:rsid w:val="005A35EB"/>
    <w:rsid w:val="005A5582"/>
    <w:rsid w:val="005A680F"/>
    <w:rsid w:val="005A70F0"/>
    <w:rsid w:val="005A747A"/>
    <w:rsid w:val="005B07CB"/>
    <w:rsid w:val="005B2FF9"/>
    <w:rsid w:val="005B380D"/>
    <w:rsid w:val="005B3F1C"/>
    <w:rsid w:val="005B5207"/>
    <w:rsid w:val="005B696E"/>
    <w:rsid w:val="005B6D81"/>
    <w:rsid w:val="005B7767"/>
    <w:rsid w:val="005B7DD3"/>
    <w:rsid w:val="005C11DA"/>
    <w:rsid w:val="005C14A4"/>
    <w:rsid w:val="005C1E41"/>
    <w:rsid w:val="005C7FC2"/>
    <w:rsid w:val="005D1F92"/>
    <w:rsid w:val="005D2137"/>
    <w:rsid w:val="005D2408"/>
    <w:rsid w:val="005D32A9"/>
    <w:rsid w:val="005D57AE"/>
    <w:rsid w:val="005D6122"/>
    <w:rsid w:val="005D6E80"/>
    <w:rsid w:val="005D725F"/>
    <w:rsid w:val="005E02FB"/>
    <w:rsid w:val="005E03B3"/>
    <w:rsid w:val="005E0B20"/>
    <w:rsid w:val="005E2936"/>
    <w:rsid w:val="005E2F7B"/>
    <w:rsid w:val="005E3C94"/>
    <w:rsid w:val="005E5C01"/>
    <w:rsid w:val="005E6A9D"/>
    <w:rsid w:val="005E7118"/>
    <w:rsid w:val="005E76CB"/>
    <w:rsid w:val="005E7B14"/>
    <w:rsid w:val="005E7E9F"/>
    <w:rsid w:val="005F1CDA"/>
    <w:rsid w:val="005F35C5"/>
    <w:rsid w:val="005F37A4"/>
    <w:rsid w:val="005F561B"/>
    <w:rsid w:val="005F7E15"/>
    <w:rsid w:val="00602403"/>
    <w:rsid w:val="006041A4"/>
    <w:rsid w:val="00607232"/>
    <w:rsid w:val="00610873"/>
    <w:rsid w:val="006109EC"/>
    <w:rsid w:val="00610F53"/>
    <w:rsid w:val="00611D8A"/>
    <w:rsid w:val="006122AB"/>
    <w:rsid w:val="0061430D"/>
    <w:rsid w:val="006150CE"/>
    <w:rsid w:val="00615F6B"/>
    <w:rsid w:val="006165F4"/>
    <w:rsid w:val="00622E86"/>
    <w:rsid w:val="006245EC"/>
    <w:rsid w:val="00626ABB"/>
    <w:rsid w:val="006309D5"/>
    <w:rsid w:val="0063284D"/>
    <w:rsid w:val="006374F2"/>
    <w:rsid w:val="006376C5"/>
    <w:rsid w:val="006407E9"/>
    <w:rsid w:val="00641F4F"/>
    <w:rsid w:val="00642664"/>
    <w:rsid w:val="00644BBE"/>
    <w:rsid w:val="006466DA"/>
    <w:rsid w:val="00646711"/>
    <w:rsid w:val="006479F9"/>
    <w:rsid w:val="00647DDD"/>
    <w:rsid w:val="00653BA4"/>
    <w:rsid w:val="006561F9"/>
    <w:rsid w:val="00656E2E"/>
    <w:rsid w:val="00657478"/>
    <w:rsid w:val="00657EDA"/>
    <w:rsid w:val="00657F9A"/>
    <w:rsid w:val="006609A2"/>
    <w:rsid w:val="00660C84"/>
    <w:rsid w:val="0066132D"/>
    <w:rsid w:val="0066194B"/>
    <w:rsid w:val="00661FC4"/>
    <w:rsid w:val="006630E1"/>
    <w:rsid w:val="00666D4D"/>
    <w:rsid w:val="00671F2F"/>
    <w:rsid w:val="00672205"/>
    <w:rsid w:val="00672E95"/>
    <w:rsid w:val="006738DF"/>
    <w:rsid w:val="006744FE"/>
    <w:rsid w:val="0067508C"/>
    <w:rsid w:val="006752B6"/>
    <w:rsid w:val="006762B3"/>
    <w:rsid w:val="00677059"/>
    <w:rsid w:val="00680072"/>
    <w:rsid w:val="00680421"/>
    <w:rsid w:val="00680868"/>
    <w:rsid w:val="00681B06"/>
    <w:rsid w:val="006858DA"/>
    <w:rsid w:val="00686C3F"/>
    <w:rsid w:val="006902F1"/>
    <w:rsid w:val="00691213"/>
    <w:rsid w:val="006918E9"/>
    <w:rsid w:val="00692A13"/>
    <w:rsid w:val="006951CE"/>
    <w:rsid w:val="00695B2C"/>
    <w:rsid w:val="006A1F2C"/>
    <w:rsid w:val="006A3B6B"/>
    <w:rsid w:val="006A438B"/>
    <w:rsid w:val="006A4F20"/>
    <w:rsid w:val="006A6039"/>
    <w:rsid w:val="006B1E87"/>
    <w:rsid w:val="006B514A"/>
    <w:rsid w:val="006C1EA3"/>
    <w:rsid w:val="006C1EDF"/>
    <w:rsid w:val="006C2AB0"/>
    <w:rsid w:val="006C2B5F"/>
    <w:rsid w:val="006C31B7"/>
    <w:rsid w:val="006C3CE1"/>
    <w:rsid w:val="006C4213"/>
    <w:rsid w:val="006C43D7"/>
    <w:rsid w:val="006C49F6"/>
    <w:rsid w:val="006C53ED"/>
    <w:rsid w:val="006C5694"/>
    <w:rsid w:val="006D10C2"/>
    <w:rsid w:val="006D11AD"/>
    <w:rsid w:val="006D17E3"/>
    <w:rsid w:val="006D193A"/>
    <w:rsid w:val="006D25DD"/>
    <w:rsid w:val="006D29AA"/>
    <w:rsid w:val="006D4128"/>
    <w:rsid w:val="006D4C1B"/>
    <w:rsid w:val="006D580C"/>
    <w:rsid w:val="006D5E45"/>
    <w:rsid w:val="006D5E57"/>
    <w:rsid w:val="006E0B4D"/>
    <w:rsid w:val="006E2083"/>
    <w:rsid w:val="006E2725"/>
    <w:rsid w:val="006E3064"/>
    <w:rsid w:val="006E405E"/>
    <w:rsid w:val="006E68E6"/>
    <w:rsid w:val="006E73D0"/>
    <w:rsid w:val="006F042A"/>
    <w:rsid w:val="006F0C74"/>
    <w:rsid w:val="006F1875"/>
    <w:rsid w:val="006F2187"/>
    <w:rsid w:val="006F25E5"/>
    <w:rsid w:val="006F2FCE"/>
    <w:rsid w:val="006F36B9"/>
    <w:rsid w:val="006F415C"/>
    <w:rsid w:val="006F489F"/>
    <w:rsid w:val="00700C86"/>
    <w:rsid w:val="0070560F"/>
    <w:rsid w:val="007112CA"/>
    <w:rsid w:val="00714728"/>
    <w:rsid w:val="007202BD"/>
    <w:rsid w:val="007205BF"/>
    <w:rsid w:val="00721AE9"/>
    <w:rsid w:val="00721EA5"/>
    <w:rsid w:val="007237D1"/>
    <w:rsid w:val="007241D4"/>
    <w:rsid w:val="00724D82"/>
    <w:rsid w:val="00730BF2"/>
    <w:rsid w:val="00732A6F"/>
    <w:rsid w:val="007351A5"/>
    <w:rsid w:val="00735DEF"/>
    <w:rsid w:val="007418EA"/>
    <w:rsid w:val="00742137"/>
    <w:rsid w:val="0074214D"/>
    <w:rsid w:val="00742764"/>
    <w:rsid w:val="00745456"/>
    <w:rsid w:val="00746E92"/>
    <w:rsid w:val="00750950"/>
    <w:rsid w:val="00751452"/>
    <w:rsid w:val="0075156A"/>
    <w:rsid w:val="00751D8C"/>
    <w:rsid w:val="00751F90"/>
    <w:rsid w:val="00752EF6"/>
    <w:rsid w:val="007533DF"/>
    <w:rsid w:val="00754BDD"/>
    <w:rsid w:val="007619C5"/>
    <w:rsid w:val="00761B26"/>
    <w:rsid w:val="00761C35"/>
    <w:rsid w:val="00762178"/>
    <w:rsid w:val="00765F62"/>
    <w:rsid w:val="00766026"/>
    <w:rsid w:val="00772025"/>
    <w:rsid w:val="007726C0"/>
    <w:rsid w:val="00775AB7"/>
    <w:rsid w:val="00776B34"/>
    <w:rsid w:val="00781088"/>
    <w:rsid w:val="00781AA0"/>
    <w:rsid w:val="00781CF7"/>
    <w:rsid w:val="00781D24"/>
    <w:rsid w:val="00782DE8"/>
    <w:rsid w:val="00786D45"/>
    <w:rsid w:val="00787202"/>
    <w:rsid w:val="00792E10"/>
    <w:rsid w:val="0079383D"/>
    <w:rsid w:val="007A006B"/>
    <w:rsid w:val="007A1D60"/>
    <w:rsid w:val="007A34D1"/>
    <w:rsid w:val="007A4442"/>
    <w:rsid w:val="007A5BDB"/>
    <w:rsid w:val="007A7102"/>
    <w:rsid w:val="007B165A"/>
    <w:rsid w:val="007B2DAD"/>
    <w:rsid w:val="007B2DF7"/>
    <w:rsid w:val="007B4A91"/>
    <w:rsid w:val="007B7246"/>
    <w:rsid w:val="007B78C2"/>
    <w:rsid w:val="007C0AFD"/>
    <w:rsid w:val="007C23FF"/>
    <w:rsid w:val="007C25B0"/>
    <w:rsid w:val="007C416B"/>
    <w:rsid w:val="007C4CB7"/>
    <w:rsid w:val="007C5008"/>
    <w:rsid w:val="007C6046"/>
    <w:rsid w:val="007C658B"/>
    <w:rsid w:val="007D1154"/>
    <w:rsid w:val="007D1E79"/>
    <w:rsid w:val="007D27CF"/>
    <w:rsid w:val="007D4DAF"/>
    <w:rsid w:val="007E1175"/>
    <w:rsid w:val="007E220A"/>
    <w:rsid w:val="007E468A"/>
    <w:rsid w:val="007E54E5"/>
    <w:rsid w:val="007E58FC"/>
    <w:rsid w:val="007E7355"/>
    <w:rsid w:val="007E7463"/>
    <w:rsid w:val="007F07D4"/>
    <w:rsid w:val="007F1517"/>
    <w:rsid w:val="007F207F"/>
    <w:rsid w:val="007F5B91"/>
    <w:rsid w:val="007F7DAA"/>
    <w:rsid w:val="00800BE5"/>
    <w:rsid w:val="008019A7"/>
    <w:rsid w:val="00803CEC"/>
    <w:rsid w:val="008040B5"/>
    <w:rsid w:val="00804B15"/>
    <w:rsid w:val="008076A4"/>
    <w:rsid w:val="00807DC2"/>
    <w:rsid w:val="0081003E"/>
    <w:rsid w:val="00810CA3"/>
    <w:rsid w:val="008112DE"/>
    <w:rsid w:val="00811776"/>
    <w:rsid w:val="008200A7"/>
    <w:rsid w:val="00822050"/>
    <w:rsid w:val="008304EC"/>
    <w:rsid w:val="00830952"/>
    <w:rsid w:val="00830F84"/>
    <w:rsid w:val="00832522"/>
    <w:rsid w:val="00833453"/>
    <w:rsid w:val="0084184E"/>
    <w:rsid w:val="00841B33"/>
    <w:rsid w:val="00841C01"/>
    <w:rsid w:val="00843EFD"/>
    <w:rsid w:val="008443A9"/>
    <w:rsid w:val="0084599C"/>
    <w:rsid w:val="008469B3"/>
    <w:rsid w:val="00847539"/>
    <w:rsid w:val="00851C07"/>
    <w:rsid w:val="008535CA"/>
    <w:rsid w:val="00856FA8"/>
    <w:rsid w:val="00856FF2"/>
    <w:rsid w:val="008578F4"/>
    <w:rsid w:val="00860576"/>
    <w:rsid w:val="00861120"/>
    <w:rsid w:val="008657F4"/>
    <w:rsid w:val="0086688C"/>
    <w:rsid w:val="008674AA"/>
    <w:rsid w:val="008675CC"/>
    <w:rsid w:val="008754C5"/>
    <w:rsid w:val="0087609B"/>
    <w:rsid w:val="00880850"/>
    <w:rsid w:val="0088094C"/>
    <w:rsid w:val="00881004"/>
    <w:rsid w:val="00882C40"/>
    <w:rsid w:val="00885973"/>
    <w:rsid w:val="0089145D"/>
    <w:rsid w:val="008919D3"/>
    <w:rsid w:val="00891DC8"/>
    <w:rsid w:val="00891F55"/>
    <w:rsid w:val="00892908"/>
    <w:rsid w:val="00893C08"/>
    <w:rsid w:val="008942FC"/>
    <w:rsid w:val="0089562F"/>
    <w:rsid w:val="008957BF"/>
    <w:rsid w:val="00895BE0"/>
    <w:rsid w:val="0089629F"/>
    <w:rsid w:val="008A082A"/>
    <w:rsid w:val="008A389B"/>
    <w:rsid w:val="008A4DF4"/>
    <w:rsid w:val="008A52A4"/>
    <w:rsid w:val="008B0950"/>
    <w:rsid w:val="008B1DA9"/>
    <w:rsid w:val="008B23D4"/>
    <w:rsid w:val="008B571D"/>
    <w:rsid w:val="008B6162"/>
    <w:rsid w:val="008C0BAE"/>
    <w:rsid w:val="008C3710"/>
    <w:rsid w:val="008C3EBC"/>
    <w:rsid w:val="008C4AE0"/>
    <w:rsid w:val="008C57F6"/>
    <w:rsid w:val="008C68A7"/>
    <w:rsid w:val="008C7019"/>
    <w:rsid w:val="008D2A7F"/>
    <w:rsid w:val="008D33A3"/>
    <w:rsid w:val="008D4715"/>
    <w:rsid w:val="008D5B23"/>
    <w:rsid w:val="008D5F09"/>
    <w:rsid w:val="008D6F1D"/>
    <w:rsid w:val="008E03A3"/>
    <w:rsid w:val="008E1B11"/>
    <w:rsid w:val="008E2ACD"/>
    <w:rsid w:val="008E2D8C"/>
    <w:rsid w:val="008E53BA"/>
    <w:rsid w:val="008E7E5E"/>
    <w:rsid w:val="008E7F87"/>
    <w:rsid w:val="008F0CC7"/>
    <w:rsid w:val="008F11CF"/>
    <w:rsid w:val="008F14EA"/>
    <w:rsid w:val="008F189C"/>
    <w:rsid w:val="008F1FE1"/>
    <w:rsid w:val="008F32FF"/>
    <w:rsid w:val="008F4486"/>
    <w:rsid w:val="008F4FC6"/>
    <w:rsid w:val="008F6436"/>
    <w:rsid w:val="008F6F68"/>
    <w:rsid w:val="008F72CD"/>
    <w:rsid w:val="009015D3"/>
    <w:rsid w:val="00901CF2"/>
    <w:rsid w:val="00902179"/>
    <w:rsid w:val="00903877"/>
    <w:rsid w:val="0090677E"/>
    <w:rsid w:val="00913A4A"/>
    <w:rsid w:val="00914A6E"/>
    <w:rsid w:val="0091544C"/>
    <w:rsid w:val="009164FB"/>
    <w:rsid w:val="0092107E"/>
    <w:rsid w:val="00921D03"/>
    <w:rsid w:val="00921DE6"/>
    <w:rsid w:val="00925CD2"/>
    <w:rsid w:val="00932559"/>
    <w:rsid w:val="00933065"/>
    <w:rsid w:val="00933569"/>
    <w:rsid w:val="009365B1"/>
    <w:rsid w:val="0093799C"/>
    <w:rsid w:val="009422A1"/>
    <w:rsid w:val="00943484"/>
    <w:rsid w:val="009444FC"/>
    <w:rsid w:val="00944804"/>
    <w:rsid w:val="009449FB"/>
    <w:rsid w:val="0094634F"/>
    <w:rsid w:val="009473D8"/>
    <w:rsid w:val="00947F51"/>
    <w:rsid w:val="00954386"/>
    <w:rsid w:val="009564B5"/>
    <w:rsid w:val="00957513"/>
    <w:rsid w:val="009608B5"/>
    <w:rsid w:val="00960ADF"/>
    <w:rsid w:val="009623DA"/>
    <w:rsid w:val="00963A0C"/>
    <w:rsid w:val="009661A4"/>
    <w:rsid w:val="009661B5"/>
    <w:rsid w:val="009725C0"/>
    <w:rsid w:val="009727D8"/>
    <w:rsid w:val="009729BD"/>
    <w:rsid w:val="00973492"/>
    <w:rsid w:val="00974A92"/>
    <w:rsid w:val="00974C91"/>
    <w:rsid w:val="00975270"/>
    <w:rsid w:val="00975BA1"/>
    <w:rsid w:val="00976F39"/>
    <w:rsid w:val="009809DD"/>
    <w:rsid w:val="009835E3"/>
    <w:rsid w:val="009837A6"/>
    <w:rsid w:val="009839B9"/>
    <w:rsid w:val="00983C64"/>
    <w:rsid w:val="009869F2"/>
    <w:rsid w:val="00987CDB"/>
    <w:rsid w:val="00996F39"/>
    <w:rsid w:val="009A087C"/>
    <w:rsid w:val="009A0E70"/>
    <w:rsid w:val="009A2613"/>
    <w:rsid w:val="009A2726"/>
    <w:rsid w:val="009A30E0"/>
    <w:rsid w:val="009A3619"/>
    <w:rsid w:val="009A57B9"/>
    <w:rsid w:val="009A66D0"/>
    <w:rsid w:val="009A739F"/>
    <w:rsid w:val="009A7905"/>
    <w:rsid w:val="009B08AF"/>
    <w:rsid w:val="009B0AC9"/>
    <w:rsid w:val="009B10F4"/>
    <w:rsid w:val="009B3DFC"/>
    <w:rsid w:val="009B53BC"/>
    <w:rsid w:val="009B59C3"/>
    <w:rsid w:val="009B793E"/>
    <w:rsid w:val="009C1EA6"/>
    <w:rsid w:val="009C37B9"/>
    <w:rsid w:val="009C38E7"/>
    <w:rsid w:val="009C7728"/>
    <w:rsid w:val="009D0942"/>
    <w:rsid w:val="009D31FA"/>
    <w:rsid w:val="009D32BD"/>
    <w:rsid w:val="009D33F1"/>
    <w:rsid w:val="009D35B5"/>
    <w:rsid w:val="009D3771"/>
    <w:rsid w:val="009D37BD"/>
    <w:rsid w:val="009D4486"/>
    <w:rsid w:val="009D7128"/>
    <w:rsid w:val="009D7613"/>
    <w:rsid w:val="009E21DE"/>
    <w:rsid w:val="009E6174"/>
    <w:rsid w:val="009F1DC7"/>
    <w:rsid w:val="009F211E"/>
    <w:rsid w:val="009F2572"/>
    <w:rsid w:val="009F294E"/>
    <w:rsid w:val="009F30F1"/>
    <w:rsid w:val="009F37C7"/>
    <w:rsid w:val="009F50AB"/>
    <w:rsid w:val="00A005F6"/>
    <w:rsid w:val="00A03986"/>
    <w:rsid w:val="00A0424F"/>
    <w:rsid w:val="00A051FB"/>
    <w:rsid w:val="00A0659C"/>
    <w:rsid w:val="00A07164"/>
    <w:rsid w:val="00A10039"/>
    <w:rsid w:val="00A100BA"/>
    <w:rsid w:val="00A103FF"/>
    <w:rsid w:val="00A121B5"/>
    <w:rsid w:val="00A16C6E"/>
    <w:rsid w:val="00A17DB2"/>
    <w:rsid w:val="00A20BF9"/>
    <w:rsid w:val="00A21DEA"/>
    <w:rsid w:val="00A22A14"/>
    <w:rsid w:val="00A23A49"/>
    <w:rsid w:val="00A2481F"/>
    <w:rsid w:val="00A25AB4"/>
    <w:rsid w:val="00A26214"/>
    <w:rsid w:val="00A26566"/>
    <w:rsid w:val="00A27A51"/>
    <w:rsid w:val="00A31837"/>
    <w:rsid w:val="00A31D70"/>
    <w:rsid w:val="00A33018"/>
    <w:rsid w:val="00A3310D"/>
    <w:rsid w:val="00A3484C"/>
    <w:rsid w:val="00A351B3"/>
    <w:rsid w:val="00A35CE6"/>
    <w:rsid w:val="00A37BA4"/>
    <w:rsid w:val="00A402F6"/>
    <w:rsid w:val="00A42167"/>
    <w:rsid w:val="00A434B9"/>
    <w:rsid w:val="00A43739"/>
    <w:rsid w:val="00A444DD"/>
    <w:rsid w:val="00A47150"/>
    <w:rsid w:val="00A471EF"/>
    <w:rsid w:val="00A47466"/>
    <w:rsid w:val="00A47815"/>
    <w:rsid w:val="00A47A18"/>
    <w:rsid w:val="00A47A3D"/>
    <w:rsid w:val="00A47CD6"/>
    <w:rsid w:val="00A5359C"/>
    <w:rsid w:val="00A539CB"/>
    <w:rsid w:val="00A57DA7"/>
    <w:rsid w:val="00A60542"/>
    <w:rsid w:val="00A608F8"/>
    <w:rsid w:val="00A634C2"/>
    <w:rsid w:val="00A63709"/>
    <w:rsid w:val="00A643AB"/>
    <w:rsid w:val="00A649E6"/>
    <w:rsid w:val="00A660AF"/>
    <w:rsid w:val="00A7021C"/>
    <w:rsid w:val="00A70814"/>
    <w:rsid w:val="00A70A95"/>
    <w:rsid w:val="00A70BDA"/>
    <w:rsid w:val="00A740B6"/>
    <w:rsid w:val="00A7621E"/>
    <w:rsid w:val="00A76BE4"/>
    <w:rsid w:val="00A817D5"/>
    <w:rsid w:val="00A841B2"/>
    <w:rsid w:val="00A84F01"/>
    <w:rsid w:val="00A9029A"/>
    <w:rsid w:val="00A91332"/>
    <w:rsid w:val="00A93351"/>
    <w:rsid w:val="00A95538"/>
    <w:rsid w:val="00AA0013"/>
    <w:rsid w:val="00AA19BA"/>
    <w:rsid w:val="00AA26FF"/>
    <w:rsid w:val="00AA351E"/>
    <w:rsid w:val="00AA43EC"/>
    <w:rsid w:val="00AA4C92"/>
    <w:rsid w:val="00AA4E77"/>
    <w:rsid w:val="00AA6E8C"/>
    <w:rsid w:val="00AA6F19"/>
    <w:rsid w:val="00AA75E6"/>
    <w:rsid w:val="00AA79A8"/>
    <w:rsid w:val="00AA7A76"/>
    <w:rsid w:val="00AA7C2E"/>
    <w:rsid w:val="00AB0286"/>
    <w:rsid w:val="00AB0DD9"/>
    <w:rsid w:val="00AB404E"/>
    <w:rsid w:val="00AB4C6D"/>
    <w:rsid w:val="00AB53F2"/>
    <w:rsid w:val="00AB55F7"/>
    <w:rsid w:val="00AB6E29"/>
    <w:rsid w:val="00AB7162"/>
    <w:rsid w:val="00AC022F"/>
    <w:rsid w:val="00AC114D"/>
    <w:rsid w:val="00AC2995"/>
    <w:rsid w:val="00AC2F6A"/>
    <w:rsid w:val="00AC3424"/>
    <w:rsid w:val="00AC38A4"/>
    <w:rsid w:val="00AC4165"/>
    <w:rsid w:val="00AC556A"/>
    <w:rsid w:val="00AC76EA"/>
    <w:rsid w:val="00AC7FB7"/>
    <w:rsid w:val="00AD0007"/>
    <w:rsid w:val="00AD23B3"/>
    <w:rsid w:val="00AD23BF"/>
    <w:rsid w:val="00AD25B6"/>
    <w:rsid w:val="00AD2631"/>
    <w:rsid w:val="00AD2C31"/>
    <w:rsid w:val="00AD3D5D"/>
    <w:rsid w:val="00AD4080"/>
    <w:rsid w:val="00AD40E8"/>
    <w:rsid w:val="00AD5A05"/>
    <w:rsid w:val="00AD662C"/>
    <w:rsid w:val="00AE0679"/>
    <w:rsid w:val="00AE1220"/>
    <w:rsid w:val="00AE287F"/>
    <w:rsid w:val="00AE39F3"/>
    <w:rsid w:val="00AE4006"/>
    <w:rsid w:val="00AE4875"/>
    <w:rsid w:val="00AE5118"/>
    <w:rsid w:val="00AE63BD"/>
    <w:rsid w:val="00AF0B2B"/>
    <w:rsid w:val="00AF20DB"/>
    <w:rsid w:val="00AF2751"/>
    <w:rsid w:val="00AF2914"/>
    <w:rsid w:val="00AF345A"/>
    <w:rsid w:val="00AF363F"/>
    <w:rsid w:val="00AF3E4F"/>
    <w:rsid w:val="00AF71E5"/>
    <w:rsid w:val="00B00DA5"/>
    <w:rsid w:val="00B0366D"/>
    <w:rsid w:val="00B071FF"/>
    <w:rsid w:val="00B110BC"/>
    <w:rsid w:val="00B11505"/>
    <w:rsid w:val="00B11DC2"/>
    <w:rsid w:val="00B15142"/>
    <w:rsid w:val="00B16F69"/>
    <w:rsid w:val="00B1789D"/>
    <w:rsid w:val="00B207DD"/>
    <w:rsid w:val="00B20DD8"/>
    <w:rsid w:val="00B21709"/>
    <w:rsid w:val="00B21CA9"/>
    <w:rsid w:val="00B223FE"/>
    <w:rsid w:val="00B2476E"/>
    <w:rsid w:val="00B3161A"/>
    <w:rsid w:val="00B3208F"/>
    <w:rsid w:val="00B3260E"/>
    <w:rsid w:val="00B36F2F"/>
    <w:rsid w:val="00B413BD"/>
    <w:rsid w:val="00B42807"/>
    <w:rsid w:val="00B428A6"/>
    <w:rsid w:val="00B43340"/>
    <w:rsid w:val="00B4461C"/>
    <w:rsid w:val="00B46D68"/>
    <w:rsid w:val="00B51419"/>
    <w:rsid w:val="00B531C8"/>
    <w:rsid w:val="00B53913"/>
    <w:rsid w:val="00B554D4"/>
    <w:rsid w:val="00B5572D"/>
    <w:rsid w:val="00B55F3A"/>
    <w:rsid w:val="00B56443"/>
    <w:rsid w:val="00B56906"/>
    <w:rsid w:val="00B569F1"/>
    <w:rsid w:val="00B6007E"/>
    <w:rsid w:val="00B61484"/>
    <w:rsid w:val="00B6179E"/>
    <w:rsid w:val="00B62B08"/>
    <w:rsid w:val="00B71CB5"/>
    <w:rsid w:val="00B71F16"/>
    <w:rsid w:val="00B72922"/>
    <w:rsid w:val="00B72A13"/>
    <w:rsid w:val="00B72ADA"/>
    <w:rsid w:val="00B7473A"/>
    <w:rsid w:val="00B74A39"/>
    <w:rsid w:val="00B75819"/>
    <w:rsid w:val="00B75CDA"/>
    <w:rsid w:val="00B81526"/>
    <w:rsid w:val="00B819E4"/>
    <w:rsid w:val="00B84042"/>
    <w:rsid w:val="00B84DD5"/>
    <w:rsid w:val="00B85005"/>
    <w:rsid w:val="00B903CC"/>
    <w:rsid w:val="00B9165A"/>
    <w:rsid w:val="00B91F7E"/>
    <w:rsid w:val="00B924B4"/>
    <w:rsid w:val="00B9487E"/>
    <w:rsid w:val="00B95910"/>
    <w:rsid w:val="00B9692A"/>
    <w:rsid w:val="00BA0848"/>
    <w:rsid w:val="00BA29E7"/>
    <w:rsid w:val="00BA33AF"/>
    <w:rsid w:val="00BA3A4C"/>
    <w:rsid w:val="00BA61FA"/>
    <w:rsid w:val="00BA67FC"/>
    <w:rsid w:val="00BB0F20"/>
    <w:rsid w:val="00BB17D2"/>
    <w:rsid w:val="00BB2328"/>
    <w:rsid w:val="00BB3264"/>
    <w:rsid w:val="00BB50D7"/>
    <w:rsid w:val="00BB5E8E"/>
    <w:rsid w:val="00BB7F08"/>
    <w:rsid w:val="00BC0623"/>
    <w:rsid w:val="00BC35CD"/>
    <w:rsid w:val="00BC3C54"/>
    <w:rsid w:val="00BC415B"/>
    <w:rsid w:val="00BC5B96"/>
    <w:rsid w:val="00BC6439"/>
    <w:rsid w:val="00BD2C66"/>
    <w:rsid w:val="00BD2CDE"/>
    <w:rsid w:val="00BD3D16"/>
    <w:rsid w:val="00BD41CF"/>
    <w:rsid w:val="00BD75F3"/>
    <w:rsid w:val="00BD7E97"/>
    <w:rsid w:val="00BE0164"/>
    <w:rsid w:val="00BE107A"/>
    <w:rsid w:val="00BE12BD"/>
    <w:rsid w:val="00BE2ED7"/>
    <w:rsid w:val="00BE3498"/>
    <w:rsid w:val="00BE5A3E"/>
    <w:rsid w:val="00BE6AB8"/>
    <w:rsid w:val="00BF040B"/>
    <w:rsid w:val="00BF086D"/>
    <w:rsid w:val="00BF1C99"/>
    <w:rsid w:val="00BF2167"/>
    <w:rsid w:val="00BF38EA"/>
    <w:rsid w:val="00BF43BC"/>
    <w:rsid w:val="00BF4DDA"/>
    <w:rsid w:val="00BF55C7"/>
    <w:rsid w:val="00BF7ED8"/>
    <w:rsid w:val="00C00A14"/>
    <w:rsid w:val="00C0222C"/>
    <w:rsid w:val="00C04139"/>
    <w:rsid w:val="00C0476F"/>
    <w:rsid w:val="00C0572E"/>
    <w:rsid w:val="00C1108E"/>
    <w:rsid w:val="00C14A51"/>
    <w:rsid w:val="00C14B1A"/>
    <w:rsid w:val="00C15C65"/>
    <w:rsid w:val="00C17853"/>
    <w:rsid w:val="00C17EE4"/>
    <w:rsid w:val="00C21656"/>
    <w:rsid w:val="00C21B3D"/>
    <w:rsid w:val="00C24267"/>
    <w:rsid w:val="00C243E6"/>
    <w:rsid w:val="00C25562"/>
    <w:rsid w:val="00C26FA6"/>
    <w:rsid w:val="00C2788D"/>
    <w:rsid w:val="00C31D37"/>
    <w:rsid w:val="00C33398"/>
    <w:rsid w:val="00C34388"/>
    <w:rsid w:val="00C34C3B"/>
    <w:rsid w:val="00C34C5B"/>
    <w:rsid w:val="00C361F6"/>
    <w:rsid w:val="00C3669A"/>
    <w:rsid w:val="00C371D5"/>
    <w:rsid w:val="00C423E3"/>
    <w:rsid w:val="00C428AB"/>
    <w:rsid w:val="00C429F2"/>
    <w:rsid w:val="00C44BAC"/>
    <w:rsid w:val="00C45626"/>
    <w:rsid w:val="00C458AF"/>
    <w:rsid w:val="00C460A0"/>
    <w:rsid w:val="00C46244"/>
    <w:rsid w:val="00C4720D"/>
    <w:rsid w:val="00C47768"/>
    <w:rsid w:val="00C50068"/>
    <w:rsid w:val="00C50180"/>
    <w:rsid w:val="00C51C4B"/>
    <w:rsid w:val="00C51EE9"/>
    <w:rsid w:val="00C539A5"/>
    <w:rsid w:val="00C53DFA"/>
    <w:rsid w:val="00C549F4"/>
    <w:rsid w:val="00C555FE"/>
    <w:rsid w:val="00C56E55"/>
    <w:rsid w:val="00C60DD4"/>
    <w:rsid w:val="00C60F27"/>
    <w:rsid w:val="00C610F2"/>
    <w:rsid w:val="00C61B5E"/>
    <w:rsid w:val="00C62026"/>
    <w:rsid w:val="00C676F3"/>
    <w:rsid w:val="00C714A1"/>
    <w:rsid w:val="00C71AB8"/>
    <w:rsid w:val="00C73E8B"/>
    <w:rsid w:val="00C74E97"/>
    <w:rsid w:val="00C75909"/>
    <w:rsid w:val="00C767D5"/>
    <w:rsid w:val="00C77219"/>
    <w:rsid w:val="00C77EFD"/>
    <w:rsid w:val="00C809AF"/>
    <w:rsid w:val="00C81A10"/>
    <w:rsid w:val="00C81F39"/>
    <w:rsid w:val="00C822C0"/>
    <w:rsid w:val="00C829DF"/>
    <w:rsid w:val="00C82F5A"/>
    <w:rsid w:val="00C84021"/>
    <w:rsid w:val="00C85B7F"/>
    <w:rsid w:val="00C86AEA"/>
    <w:rsid w:val="00C875AE"/>
    <w:rsid w:val="00C90B1C"/>
    <w:rsid w:val="00C90CE6"/>
    <w:rsid w:val="00C93030"/>
    <w:rsid w:val="00C9310B"/>
    <w:rsid w:val="00C937FB"/>
    <w:rsid w:val="00C95BB2"/>
    <w:rsid w:val="00CA0F98"/>
    <w:rsid w:val="00CA2964"/>
    <w:rsid w:val="00CA55C4"/>
    <w:rsid w:val="00CA696D"/>
    <w:rsid w:val="00CA6B5A"/>
    <w:rsid w:val="00CB0A2A"/>
    <w:rsid w:val="00CB1536"/>
    <w:rsid w:val="00CB3907"/>
    <w:rsid w:val="00CB3B51"/>
    <w:rsid w:val="00CB46F0"/>
    <w:rsid w:val="00CB5B24"/>
    <w:rsid w:val="00CB6167"/>
    <w:rsid w:val="00CB730D"/>
    <w:rsid w:val="00CC0C54"/>
    <w:rsid w:val="00CC1016"/>
    <w:rsid w:val="00CC32A0"/>
    <w:rsid w:val="00CC3829"/>
    <w:rsid w:val="00CC585C"/>
    <w:rsid w:val="00CD0D1D"/>
    <w:rsid w:val="00CD1673"/>
    <w:rsid w:val="00CD1721"/>
    <w:rsid w:val="00CD25F1"/>
    <w:rsid w:val="00CD4DDC"/>
    <w:rsid w:val="00CD6592"/>
    <w:rsid w:val="00CE0808"/>
    <w:rsid w:val="00CE2E22"/>
    <w:rsid w:val="00CE35B4"/>
    <w:rsid w:val="00CE6301"/>
    <w:rsid w:val="00CF06D4"/>
    <w:rsid w:val="00CF2008"/>
    <w:rsid w:val="00CF2496"/>
    <w:rsid w:val="00CF2ACF"/>
    <w:rsid w:val="00CF3649"/>
    <w:rsid w:val="00CF4188"/>
    <w:rsid w:val="00CF4E9E"/>
    <w:rsid w:val="00CF52CE"/>
    <w:rsid w:val="00CF7848"/>
    <w:rsid w:val="00CF7EAD"/>
    <w:rsid w:val="00D00B84"/>
    <w:rsid w:val="00D03EC2"/>
    <w:rsid w:val="00D04C55"/>
    <w:rsid w:val="00D058FC"/>
    <w:rsid w:val="00D06213"/>
    <w:rsid w:val="00D073D1"/>
    <w:rsid w:val="00D10010"/>
    <w:rsid w:val="00D11510"/>
    <w:rsid w:val="00D116EE"/>
    <w:rsid w:val="00D12BB7"/>
    <w:rsid w:val="00D159D4"/>
    <w:rsid w:val="00D15C79"/>
    <w:rsid w:val="00D1641A"/>
    <w:rsid w:val="00D20E16"/>
    <w:rsid w:val="00D212A0"/>
    <w:rsid w:val="00D21601"/>
    <w:rsid w:val="00D2164A"/>
    <w:rsid w:val="00D21AA7"/>
    <w:rsid w:val="00D22F1C"/>
    <w:rsid w:val="00D23102"/>
    <w:rsid w:val="00D23D75"/>
    <w:rsid w:val="00D256F0"/>
    <w:rsid w:val="00D26D4B"/>
    <w:rsid w:val="00D30F1A"/>
    <w:rsid w:val="00D31882"/>
    <w:rsid w:val="00D31BAB"/>
    <w:rsid w:val="00D31D27"/>
    <w:rsid w:val="00D32109"/>
    <w:rsid w:val="00D330B3"/>
    <w:rsid w:val="00D336A4"/>
    <w:rsid w:val="00D34AFB"/>
    <w:rsid w:val="00D352EE"/>
    <w:rsid w:val="00D35A03"/>
    <w:rsid w:val="00D37377"/>
    <w:rsid w:val="00D41830"/>
    <w:rsid w:val="00D45B8C"/>
    <w:rsid w:val="00D46B84"/>
    <w:rsid w:val="00D46D05"/>
    <w:rsid w:val="00D56058"/>
    <w:rsid w:val="00D567E0"/>
    <w:rsid w:val="00D56A09"/>
    <w:rsid w:val="00D57976"/>
    <w:rsid w:val="00D61F2D"/>
    <w:rsid w:val="00D630DE"/>
    <w:rsid w:val="00D63DBC"/>
    <w:rsid w:val="00D645C6"/>
    <w:rsid w:val="00D6548A"/>
    <w:rsid w:val="00D65571"/>
    <w:rsid w:val="00D65905"/>
    <w:rsid w:val="00D65A71"/>
    <w:rsid w:val="00D66C66"/>
    <w:rsid w:val="00D67355"/>
    <w:rsid w:val="00D712C3"/>
    <w:rsid w:val="00D71B03"/>
    <w:rsid w:val="00D7327A"/>
    <w:rsid w:val="00D74EC8"/>
    <w:rsid w:val="00D76AAF"/>
    <w:rsid w:val="00D76F23"/>
    <w:rsid w:val="00D81AC9"/>
    <w:rsid w:val="00D82B0B"/>
    <w:rsid w:val="00D858CC"/>
    <w:rsid w:val="00D9086C"/>
    <w:rsid w:val="00D91172"/>
    <w:rsid w:val="00D922E1"/>
    <w:rsid w:val="00D92C84"/>
    <w:rsid w:val="00D93AAA"/>
    <w:rsid w:val="00D93ECC"/>
    <w:rsid w:val="00D94745"/>
    <w:rsid w:val="00D94921"/>
    <w:rsid w:val="00D95DFF"/>
    <w:rsid w:val="00D963D5"/>
    <w:rsid w:val="00D96C96"/>
    <w:rsid w:val="00DA2201"/>
    <w:rsid w:val="00DA41B2"/>
    <w:rsid w:val="00DA4524"/>
    <w:rsid w:val="00DA5D06"/>
    <w:rsid w:val="00DA62C4"/>
    <w:rsid w:val="00DA7B20"/>
    <w:rsid w:val="00DB049D"/>
    <w:rsid w:val="00DB3059"/>
    <w:rsid w:val="00DB473D"/>
    <w:rsid w:val="00DB5727"/>
    <w:rsid w:val="00DB68CC"/>
    <w:rsid w:val="00DC2E38"/>
    <w:rsid w:val="00DC2FBF"/>
    <w:rsid w:val="00DC52BC"/>
    <w:rsid w:val="00DC60C2"/>
    <w:rsid w:val="00DC621D"/>
    <w:rsid w:val="00DC6A98"/>
    <w:rsid w:val="00DC6EF8"/>
    <w:rsid w:val="00DC7245"/>
    <w:rsid w:val="00DC730A"/>
    <w:rsid w:val="00DC7A0C"/>
    <w:rsid w:val="00DD12FC"/>
    <w:rsid w:val="00DD1ED6"/>
    <w:rsid w:val="00DD2B0D"/>
    <w:rsid w:val="00DE130A"/>
    <w:rsid w:val="00DE1F21"/>
    <w:rsid w:val="00DE3369"/>
    <w:rsid w:val="00DE33DB"/>
    <w:rsid w:val="00DE38B2"/>
    <w:rsid w:val="00DE4873"/>
    <w:rsid w:val="00DE4970"/>
    <w:rsid w:val="00DF2C9A"/>
    <w:rsid w:val="00DF32E5"/>
    <w:rsid w:val="00DF5291"/>
    <w:rsid w:val="00DF6AC1"/>
    <w:rsid w:val="00E010C4"/>
    <w:rsid w:val="00E03EBC"/>
    <w:rsid w:val="00E05572"/>
    <w:rsid w:val="00E06927"/>
    <w:rsid w:val="00E06AB6"/>
    <w:rsid w:val="00E10D04"/>
    <w:rsid w:val="00E1217F"/>
    <w:rsid w:val="00E16292"/>
    <w:rsid w:val="00E166FD"/>
    <w:rsid w:val="00E17143"/>
    <w:rsid w:val="00E20294"/>
    <w:rsid w:val="00E221E9"/>
    <w:rsid w:val="00E25706"/>
    <w:rsid w:val="00E25F47"/>
    <w:rsid w:val="00E264BB"/>
    <w:rsid w:val="00E267F5"/>
    <w:rsid w:val="00E276DF"/>
    <w:rsid w:val="00E27A89"/>
    <w:rsid w:val="00E30596"/>
    <w:rsid w:val="00E31FF9"/>
    <w:rsid w:val="00E33434"/>
    <w:rsid w:val="00E33B23"/>
    <w:rsid w:val="00E37B1B"/>
    <w:rsid w:val="00E37B97"/>
    <w:rsid w:val="00E417B9"/>
    <w:rsid w:val="00E41B67"/>
    <w:rsid w:val="00E43C23"/>
    <w:rsid w:val="00E4477A"/>
    <w:rsid w:val="00E45160"/>
    <w:rsid w:val="00E45E6A"/>
    <w:rsid w:val="00E46128"/>
    <w:rsid w:val="00E50A42"/>
    <w:rsid w:val="00E526E6"/>
    <w:rsid w:val="00E52F6E"/>
    <w:rsid w:val="00E53930"/>
    <w:rsid w:val="00E54FA5"/>
    <w:rsid w:val="00E56D64"/>
    <w:rsid w:val="00E57446"/>
    <w:rsid w:val="00E61081"/>
    <w:rsid w:val="00E61788"/>
    <w:rsid w:val="00E65B18"/>
    <w:rsid w:val="00E65B9D"/>
    <w:rsid w:val="00E704E0"/>
    <w:rsid w:val="00E71CE6"/>
    <w:rsid w:val="00E71E16"/>
    <w:rsid w:val="00E728C6"/>
    <w:rsid w:val="00E73E65"/>
    <w:rsid w:val="00E75732"/>
    <w:rsid w:val="00E76641"/>
    <w:rsid w:val="00E77AC7"/>
    <w:rsid w:val="00E83DA2"/>
    <w:rsid w:val="00E851E8"/>
    <w:rsid w:val="00E856E9"/>
    <w:rsid w:val="00E862E7"/>
    <w:rsid w:val="00E86395"/>
    <w:rsid w:val="00E86DF2"/>
    <w:rsid w:val="00E879EC"/>
    <w:rsid w:val="00E93FC3"/>
    <w:rsid w:val="00E94A64"/>
    <w:rsid w:val="00E9538B"/>
    <w:rsid w:val="00E95703"/>
    <w:rsid w:val="00E95707"/>
    <w:rsid w:val="00E95C5F"/>
    <w:rsid w:val="00E964C2"/>
    <w:rsid w:val="00EA0297"/>
    <w:rsid w:val="00EA116B"/>
    <w:rsid w:val="00EA2C29"/>
    <w:rsid w:val="00EA3F05"/>
    <w:rsid w:val="00EA5E85"/>
    <w:rsid w:val="00EB0B07"/>
    <w:rsid w:val="00EB0C6A"/>
    <w:rsid w:val="00EB144E"/>
    <w:rsid w:val="00EB1B82"/>
    <w:rsid w:val="00EB2F49"/>
    <w:rsid w:val="00EB462A"/>
    <w:rsid w:val="00EB545A"/>
    <w:rsid w:val="00EB635D"/>
    <w:rsid w:val="00EB6554"/>
    <w:rsid w:val="00EB6AA6"/>
    <w:rsid w:val="00EC0354"/>
    <w:rsid w:val="00EC5A70"/>
    <w:rsid w:val="00EC5B97"/>
    <w:rsid w:val="00EC692F"/>
    <w:rsid w:val="00EC6BED"/>
    <w:rsid w:val="00EC70BC"/>
    <w:rsid w:val="00EC7330"/>
    <w:rsid w:val="00ED0094"/>
    <w:rsid w:val="00ED018E"/>
    <w:rsid w:val="00ED044F"/>
    <w:rsid w:val="00ED07AD"/>
    <w:rsid w:val="00ED2A04"/>
    <w:rsid w:val="00ED370F"/>
    <w:rsid w:val="00ED3804"/>
    <w:rsid w:val="00ED39D5"/>
    <w:rsid w:val="00ED3B36"/>
    <w:rsid w:val="00ED3F29"/>
    <w:rsid w:val="00EE21F2"/>
    <w:rsid w:val="00EE31EF"/>
    <w:rsid w:val="00EE55F9"/>
    <w:rsid w:val="00EE62A5"/>
    <w:rsid w:val="00EE63DE"/>
    <w:rsid w:val="00EE64F9"/>
    <w:rsid w:val="00EF00EA"/>
    <w:rsid w:val="00EF0CBA"/>
    <w:rsid w:val="00EF34E1"/>
    <w:rsid w:val="00EF3688"/>
    <w:rsid w:val="00EF36A0"/>
    <w:rsid w:val="00EF69A9"/>
    <w:rsid w:val="00EF6CC3"/>
    <w:rsid w:val="00F00D0F"/>
    <w:rsid w:val="00F0109E"/>
    <w:rsid w:val="00F0384D"/>
    <w:rsid w:val="00F03A0B"/>
    <w:rsid w:val="00F10AE6"/>
    <w:rsid w:val="00F11454"/>
    <w:rsid w:val="00F12E5A"/>
    <w:rsid w:val="00F201C0"/>
    <w:rsid w:val="00F2125A"/>
    <w:rsid w:val="00F221FC"/>
    <w:rsid w:val="00F23C89"/>
    <w:rsid w:val="00F24025"/>
    <w:rsid w:val="00F260A2"/>
    <w:rsid w:val="00F3159D"/>
    <w:rsid w:val="00F322F5"/>
    <w:rsid w:val="00F35033"/>
    <w:rsid w:val="00F350D6"/>
    <w:rsid w:val="00F35CAE"/>
    <w:rsid w:val="00F36EE7"/>
    <w:rsid w:val="00F4192F"/>
    <w:rsid w:val="00F41B64"/>
    <w:rsid w:val="00F41D9D"/>
    <w:rsid w:val="00F44250"/>
    <w:rsid w:val="00F4468A"/>
    <w:rsid w:val="00F45AA7"/>
    <w:rsid w:val="00F45F57"/>
    <w:rsid w:val="00F47653"/>
    <w:rsid w:val="00F47EFB"/>
    <w:rsid w:val="00F505CE"/>
    <w:rsid w:val="00F5169E"/>
    <w:rsid w:val="00F51C0B"/>
    <w:rsid w:val="00F57AFC"/>
    <w:rsid w:val="00F627E4"/>
    <w:rsid w:val="00F6494D"/>
    <w:rsid w:val="00F65A5D"/>
    <w:rsid w:val="00F65DBD"/>
    <w:rsid w:val="00F669B9"/>
    <w:rsid w:val="00F67D80"/>
    <w:rsid w:val="00F773E6"/>
    <w:rsid w:val="00F77DEE"/>
    <w:rsid w:val="00F77F8C"/>
    <w:rsid w:val="00F80A07"/>
    <w:rsid w:val="00F80C1E"/>
    <w:rsid w:val="00F80CEE"/>
    <w:rsid w:val="00F81639"/>
    <w:rsid w:val="00F81C18"/>
    <w:rsid w:val="00F81F36"/>
    <w:rsid w:val="00F83E85"/>
    <w:rsid w:val="00F8493C"/>
    <w:rsid w:val="00F85468"/>
    <w:rsid w:val="00F86A45"/>
    <w:rsid w:val="00F86BC7"/>
    <w:rsid w:val="00F907D4"/>
    <w:rsid w:val="00F913C7"/>
    <w:rsid w:val="00F9202F"/>
    <w:rsid w:val="00F92AA4"/>
    <w:rsid w:val="00FA2519"/>
    <w:rsid w:val="00FA625E"/>
    <w:rsid w:val="00FA6B1E"/>
    <w:rsid w:val="00FB4165"/>
    <w:rsid w:val="00FB48E1"/>
    <w:rsid w:val="00FB59A0"/>
    <w:rsid w:val="00FC01D5"/>
    <w:rsid w:val="00FC1484"/>
    <w:rsid w:val="00FC1792"/>
    <w:rsid w:val="00FC1944"/>
    <w:rsid w:val="00FC42BD"/>
    <w:rsid w:val="00FD2E9B"/>
    <w:rsid w:val="00FD378D"/>
    <w:rsid w:val="00FD41A2"/>
    <w:rsid w:val="00FE065B"/>
    <w:rsid w:val="00FE06D8"/>
    <w:rsid w:val="00FE17D2"/>
    <w:rsid w:val="00FE2BF0"/>
    <w:rsid w:val="00FE43C6"/>
    <w:rsid w:val="00FE7835"/>
    <w:rsid w:val="00FF6D2A"/>
    <w:rsid w:val="00FF6F2D"/>
    <w:rsid w:val="00FF7F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57696"/>
  <w15:docId w15:val="{4C5185BA-A775-4610-B2F9-5591E17B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B20DD8"/>
  </w:style>
  <w:style w:type="character" w:styleId="Strong">
    <w:name w:val="Strong"/>
    <w:basedOn w:val="DefaultParagraphFont"/>
    <w:uiPriority w:val="22"/>
    <w:qFormat/>
    <w:rsid w:val="006D1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559486776">
          <w:marLeft w:val="0"/>
          <w:marRight w:val="0"/>
          <w:marTop w:val="120"/>
          <w:marBottom w:val="0"/>
          <w:divBdr>
            <w:top w:val="none" w:sz="0" w:space="0" w:color="auto"/>
            <w:left w:val="none" w:sz="0" w:space="0" w:color="auto"/>
            <w:bottom w:val="none" w:sz="0" w:space="0" w:color="auto"/>
            <w:right w:val="none" w:sz="0" w:space="0" w:color="auto"/>
          </w:divBdr>
        </w:div>
        <w:div w:id="1238244361">
          <w:marLeft w:val="0"/>
          <w:marRight w:val="0"/>
          <w:marTop w:val="24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543565086">
          <w:marLeft w:val="0"/>
          <w:marRight w:val="0"/>
          <w:marTop w:val="60"/>
          <w:marBottom w:val="0"/>
          <w:divBdr>
            <w:top w:val="none" w:sz="0" w:space="0" w:color="auto"/>
            <w:left w:val="none" w:sz="0" w:space="0" w:color="auto"/>
            <w:bottom w:val="none" w:sz="0" w:space="0" w:color="auto"/>
            <w:right w:val="none" w:sz="0" w:space="0" w:color="auto"/>
          </w:divBdr>
        </w:div>
        <w:div w:id="795026512">
          <w:marLeft w:val="0"/>
          <w:marRight w:val="0"/>
          <w:marTop w:val="120"/>
          <w:marBottom w:val="0"/>
          <w:divBdr>
            <w:top w:val="none" w:sz="0" w:space="0" w:color="auto"/>
            <w:left w:val="none" w:sz="0" w:space="0" w:color="auto"/>
            <w:bottom w:val="none" w:sz="0" w:space="0" w:color="auto"/>
            <w:right w:val="none" w:sz="0" w:space="0" w:color="auto"/>
          </w:divBdr>
        </w:div>
      </w:divsChild>
    </w:div>
    <w:div w:id="474031413">
      <w:bodyDiv w:val="1"/>
      <w:marLeft w:val="0"/>
      <w:marRight w:val="0"/>
      <w:marTop w:val="0"/>
      <w:marBottom w:val="0"/>
      <w:divBdr>
        <w:top w:val="none" w:sz="0" w:space="0" w:color="auto"/>
        <w:left w:val="none" w:sz="0" w:space="0" w:color="auto"/>
        <w:bottom w:val="none" w:sz="0" w:space="0" w:color="auto"/>
        <w:right w:val="none" w:sz="0" w:space="0" w:color="auto"/>
      </w:divBdr>
      <w:divsChild>
        <w:div w:id="1459495627">
          <w:marLeft w:val="0"/>
          <w:marRight w:val="0"/>
          <w:marTop w:val="120"/>
          <w:marBottom w:val="0"/>
          <w:divBdr>
            <w:top w:val="none" w:sz="0" w:space="0" w:color="auto"/>
            <w:left w:val="none" w:sz="0" w:space="0" w:color="auto"/>
            <w:bottom w:val="none" w:sz="0" w:space="0" w:color="auto"/>
            <w:right w:val="none" w:sz="0" w:space="0" w:color="auto"/>
          </w:divBdr>
        </w:div>
        <w:div w:id="1227645328">
          <w:marLeft w:val="1134"/>
          <w:marRight w:val="0"/>
          <w:marTop w:val="60"/>
          <w:marBottom w:val="0"/>
          <w:divBdr>
            <w:top w:val="none" w:sz="0" w:space="0" w:color="auto"/>
            <w:left w:val="none" w:sz="0" w:space="0" w:color="auto"/>
            <w:bottom w:val="none" w:sz="0" w:space="0" w:color="auto"/>
            <w:right w:val="none" w:sz="0" w:space="0" w:color="auto"/>
          </w:divBdr>
        </w:div>
        <w:div w:id="2100564979">
          <w:marLeft w:val="1134"/>
          <w:marRight w:val="0"/>
          <w:marTop w:val="60"/>
          <w:marBottom w:val="0"/>
          <w:divBdr>
            <w:top w:val="none" w:sz="0" w:space="0" w:color="auto"/>
            <w:left w:val="none" w:sz="0" w:space="0" w:color="auto"/>
            <w:bottom w:val="none" w:sz="0" w:space="0" w:color="auto"/>
            <w:right w:val="none" w:sz="0" w:space="0" w:color="auto"/>
          </w:divBdr>
        </w:div>
        <w:div w:id="1410270642">
          <w:marLeft w:val="1134"/>
          <w:marRight w:val="0"/>
          <w:marTop w:val="60"/>
          <w:marBottom w:val="0"/>
          <w:divBdr>
            <w:top w:val="none" w:sz="0" w:space="0" w:color="auto"/>
            <w:left w:val="none" w:sz="0" w:space="0" w:color="auto"/>
            <w:bottom w:val="none" w:sz="0" w:space="0" w:color="auto"/>
            <w:right w:val="none" w:sz="0" w:space="0" w:color="auto"/>
          </w:divBdr>
        </w:div>
        <w:div w:id="226958511">
          <w:marLeft w:val="1985"/>
          <w:marRight w:val="0"/>
          <w:marTop w:val="60"/>
          <w:marBottom w:val="0"/>
          <w:divBdr>
            <w:top w:val="none" w:sz="0" w:space="0" w:color="auto"/>
            <w:left w:val="none" w:sz="0" w:space="0" w:color="auto"/>
            <w:bottom w:val="none" w:sz="0" w:space="0" w:color="auto"/>
            <w:right w:val="none" w:sz="0" w:space="0" w:color="auto"/>
          </w:divBdr>
        </w:div>
        <w:div w:id="1676607800">
          <w:marLeft w:val="1985"/>
          <w:marRight w:val="0"/>
          <w:marTop w:val="60"/>
          <w:marBottom w:val="0"/>
          <w:divBdr>
            <w:top w:val="none" w:sz="0" w:space="0" w:color="auto"/>
            <w:left w:val="none" w:sz="0" w:space="0" w:color="auto"/>
            <w:bottom w:val="none" w:sz="0" w:space="0" w:color="auto"/>
            <w:right w:val="none" w:sz="0" w:space="0" w:color="auto"/>
          </w:divBdr>
        </w:div>
        <w:div w:id="1185367741">
          <w:marLeft w:val="1985"/>
          <w:marRight w:val="0"/>
          <w:marTop w:val="60"/>
          <w:marBottom w:val="0"/>
          <w:divBdr>
            <w:top w:val="none" w:sz="0" w:space="0" w:color="auto"/>
            <w:left w:val="none" w:sz="0" w:space="0" w:color="auto"/>
            <w:bottom w:val="none" w:sz="0" w:space="0" w:color="auto"/>
            <w:right w:val="none" w:sz="0" w:space="0" w:color="auto"/>
          </w:divBdr>
        </w:div>
        <w:div w:id="1878004830">
          <w:marLeft w:val="1134"/>
          <w:marRight w:val="0"/>
          <w:marTop w:val="60"/>
          <w:marBottom w:val="0"/>
          <w:divBdr>
            <w:top w:val="none" w:sz="0" w:space="0" w:color="auto"/>
            <w:left w:val="none" w:sz="0" w:space="0" w:color="auto"/>
            <w:bottom w:val="none" w:sz="0" w:space="0" w:color="auto"/>
            <w:right w:val="none" w:sz="0" w:space="0" w:color="auto"/>
          </w:divBdr>
        </w:div>
        <w:div w:id="1588994972">
          <w:marLeft w:val="1134"/>
          <w:marRight w:val="0"/>
          <w:marTop w:val="60"/>
          <w:marBottom w:val="0"/>
          <w:divBdr>
            <w:top w:val="none" w:sz="0" w:space="0" w:color="auto"/>
            <w:left w:val="none" w:sz="0" w:space="0" w:color="auto"/>
            <w:bottom w:val="none" w:sz="0" w:space="0" w:color="auto"/>
            <w:right w:val="none" w:sz="0" w:space="0" w:color="auto"/>
          </w:divBdr>
        </w:div>
        <w:div w:id="618220657">
          <w:marLeft w:val="1134"/>
          <w:marRight w:val="0"/>
          <w:marTop w:val="6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52427858">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78808815">
          <w:marLeft w:val="675"/>
          <w:marRight w:val="0"/>
          <w:marTop w:val="0"/>
          <w:marBottom w:val="0"/>
          <w:divBdr>
            <w:top w:val="none" w:sz="0" w:space="0" w:color="auto"/>
            <w:left w:val="none" w:sz="0" w:space="0" w:color="auto"/>
            <w:bottom w:val="none" w:sz="0" w:space="0" w:color="auto"/>
            <w:right w:val="none" w:sz="0" w:space="0" w:color="auto"/>
          </w:divBdr>
        </w:div>
        <w:div w:id="1892958996">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jutastatevolve.co.za/y1960v3SApg616" TargetMode="External"/><Relationship Id="rId5" Type="http://schemas.openxmlformats.org/officeDocument/2006/relationships/webSettings" Target="webSettings.xml"/><Relationship Id="rId10" Type="http://schemas.openxmlformats.org/officeDocument/2006/relationships/hyperlink" Target="https://app.jutastatevolve.co.za/y1958v2SApg473" TargetMode="External"/><Relationship Id="rId4" Type="http://schemas.openxmlformats.org/officeDocument/2006/relationships/settings" Target="settings.xml"/><Relationship Id="rId9" Type="http://schemas.openxmlformats.org/officeDocument/2006/relationships/hyperlink" Target="https://app.jutastatevolve.co.za/a32y200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pp.jutastatevolve.co.za/y2016v3SApg580" TargetMode="External"/><Relationship Id="rId1" Type="http://schemas.openxmlformats.org/officeDocument/2006/relationships/hyperlink" Target="https://app.jutastatevolve.co.za/y2004v6SApg2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740AC-FBFB-40C2-8BA8-9B8242FA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4</TotalTime>
  <Pages>16</Pages>
  <Words>3561</Words>
  <Characters>20302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23816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Sathish</cp:lastModifiedBy>
  <cp:revision>3</cp:revision>
  <cp:lastPrinted>2024-02-29T12:05:00Z</cp:lastPrinted>
  <dcterms:created xsi:type="dcterms:W3CDTF">2024-03-01T12:50:00Z</dcterms:created>
  <dcterms:modified xsi:type="dcterms:W3CDTF">2024-03-01T19:23:00Z</dcterms:modified>
</cp:coreProperties>
</file>