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ZA" w:eastAsia="en-ZA"/>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3F5EFF02" w:rsidR="009528D8" w:rsidRDefault="00DD6A31" w:rsidP="004E35BA">
      <w:pPr>
        <w:jc w:val="center"/>
        <w:rPr>
          <w:b/>
          <w:u w:val="none"/>
          <w:lang w:val="en-ZA"/>
        </w:rPr>
      </w:pPr>
      <w:r>
        <w:rPr>
          <w:b/>
          <w:u w:val="none"/>
          <w:lang w:val="en-ZA"/>
        </w:rPr>
        <w:t>GAUT</w:t>
      </w:r>
      <w:r w:rsidR="0019491A">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622F4B28"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t xml:space="preserve">CASE NO: </w:t>
      </w:r>
      <w:r w:rsidR="00BA0732">
        <w:rPr>
          <w:b/>
          <w:u w:val="none"/>
          <w:lang w:val="en-ZA"/>
        </w:rPr>
        <w:t>038392/2023</w:t>
      </w:r>
    </w:p>
    <w:p w14:paraId="16ADFF64" w14:textId="36F44877" w:rsidR="00DD6A31" w:rsidRDefault="002E7BA5"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00293FA9" wp14:editId="746CAA28">
                <wp:simplePos x="0" y="0"/>
                <wp:positionH relativeFrom="margin">
                  <wp:align>left</wp:align>
                </wp:positionH>
                <wp:positionV relativeFrom="paragraph">
                  <wp:posOffset>23315</wp:posOffset>
                </wp:positionV>
                <wp:extent cx="3261815" cy="1371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371600"/>
                        </a:xfrm>
                        <a:prstGeom prst="rect">
                          <a:avLst/>
                        </a:prstGeom>
                        <a:solidFill>
                          <a:srgbClr val="FFFFFF"/>
                        </a:solidFill>
                        <a:ln w="9525">
                          <a:solidFill>
                            <a:srgbClr val="000000"/>
                          </a:solidFill>
                          <a:miter lim="800000"/>
                          <a:headEnd/>
                          <a:tailEnd/>
                        </a:ln>
                      </wps:spPr>
                      <wps:txbx>
                        <w:txbxContent>
                          <w:p w14:paraId="036A7F34" w14:textId="77777777" w:rsidR="005F5824" w:rsidRDefault="005F5824" w:rsidP="00DD6A31">
                            <w:pPr>
                              <w:jc w:val="center"/>
                              <w:rPr>
                                <w:rFonts w:ascii="Century Gothic" w:hAnsi="Century Gothic"/>
                                <w:b/>
                                <w:sz w:val="20"/>
                                <w:szCs w:val="20"/>
                              </w:rPr>
                            </w:pPr>
                          </w:p>
                          <w:p w14:paraId="279EA2E7"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85pt;width:256.85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">
                <v:textbox>
                  <w:txbxContent>
                    <w:p w14:paraId="036A7F34" w14:textId="77777777" w:rsidR="005F5824" w:rsidRDefault="005F5824" w:rsidP="00DD6A31">
                      <w:pPr>
                        <w:jc w:val="center"/>
                        <w:rPr>
                          <w:rFonts w:ascii="Century Gothic" w:hAnsi="Century Gothic"/>
                          <w:b/>
                          <w:sz w:val="20"/>
                          <w:szCs w:val="20"/>
                        </w:rPr>
                      </w:pPr>
                    </w:p>
                    <w:p w14:paraId="279EA2E7"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14E4245D" w14:textId="77777777" w:rsidR="00315972" w:rsidRDefault="00315972" w:rsidP="00DB2E83">
      <w:pPr>
        <w:jc w:val="both"/>
        <w:rPr>
          <w:u w:val="none"/>
        </w:rPr>
      </w:pPr>
    </w:p>
    <w:p w14:paraId="57D26CD8" w14:textId="2200D47B"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409FAE76" w:rsidR="00DD6A31" w:rsidRPr="00DC7309" w:rsidRDefault="00BA0732" w:rsidP="00E9058E">
      <w:pPr>
        <w:jc w:val="both"/>
        <w:rPr>
          <w:b/>
          <w:u w:val="none"/>
        </w:rPr>
      </w:pPr>
      <w:r>
        <w:rPr>
          <w:b/>
          <w:u w:val="none"/>
        </w:rPr>
        <w:t>PRIMROSE NOKUTHULA MAZIBO</w:t>
      </w:r>
      <w:r w:rsidR="00DD6A31">
        <w:rPr>
          <w:u w:val="none"/>
        </w:rPr>
        <w:t xml:space="preserve">      </w:t>
      </w:r>
      <w:r w:rsidR="00427E21">
        <w:rPr>
          <w:u w:val="none"/>
        </w:rPr>
        <w:tab/>
      </w:r>
      <w:r w:rsidR="00427E21">
        <w:rPr>
          <w:u w:val="none"/>
        </w:rPr>
        <w:tab/>
      </w:r>
      <w:r w:rsidR="00DC7309">
        <w:rPr>
          <w:u w:val="none"/>
        </w:rPr>
        <w:tab/>
        <w:t xml:space="preserve">       </w:t>
      </w:r>
      <w:r w:rsidR="00927517">
        <w:rPr>
          <w:u w:val="none"/>
        </w:rPr>
        <w:tab/>
        <w:t xml:space="preserve">     Plaintiff/Respondent</w:t>
      </w:r>
    </w:p>
    <w:p w14:paraId="188BE2D2" w14:textId="77777777" w:rsidR="004E395A" w:rsidRDefault="004E395A" w:rsidP="00DB2E83">
      <w:pPr>
        <w:jc w:val="both"/>
        <w:rPr>
          <w:u w:val="none"/>
        </w:rPr>
      </w:pPr>
    </w:p>
    <w:p w14:paraId="4918442D" w14:textId="77777777" w:rsidR="004E395A" w:rsidRDefault="004E395A" w:rsidP="00DB2E83">
      <w:pPr>
        <w:jc w:val="both"/>
        <w:rPr>
          <w:u w:val="none"/>
        </w:rPr>
      </w:pPr>
    </w:p>
    <w:p w14:paraId="62D9154F" w14:textId="72DAA5D1" w:rsidR="00DD6A31" w:rsidRDefault="004E395A" w:rsidP="00DB2E83">
      <w:pPr>
        <w:jc w:val="both"/>
        <w:rPr>
          <w:u w:val="none"/>
        </w:rPr>
      </w:pPr>
      <w:r>
        <w:rPr>
          <w:u w:val="none"/>
        </w:rPr>
        <w:t>A</w:t>
      </w:r>
      <w:r w:rsidR="00DD6A31">
        <w:rPr>
          <w:u w:val="none"/>
        </w:rPr>
        <w:t>nd</w:t>
      </w:r>
      <w:bookmarkStart w:id="0" w:name="_GoBack"/>
      <w:bookmarkEnd w:id="0"/>
    </w:p>
    <w:p w14:paraId="3D1353F0" w14:textId="77777777" w:rsidR="00DD6A31" w:rsidRDefault="00DD6A31" w:rsidP="00DB2E83">
      <w:pPr>
        <w:jc w:val="both"/>
        <w:rPr>
          <w:u w:val="none"/>
        </w:rPr>
      </w:pPr>
    </w:p>
    <w:p w14:paraId="063A2C02" w14:textId="77777777" w:rsidR="005900F9" w:rsidRDefault="005900F9" w:rsidP="00DB2E83">
      <w:pPr>
        <w:jc w:val="both"/>
        <w:rPr>
          <w:b/>
          <w:u w:val="none"/>
        </w:rPr>
      </w:pPr>
    </w:p>
    <w:p w14:paraId="2987E8AB" w14:textId="3E1ABD63" w:rsidR="00DD6A31" w:rsidRDefault="00BA0732" w:rsidP="00DB2E83">
      <w:pPr>
        <w:jc w:val="both"/>
        <w:rPr>
          <w:b/>
          <w:u w:val="none"/>
        </w:rPr>
      </w:pPr>
      <w:r>
        <w:rPr>
          <w:b/>
          <w:u w:val="none"/>
        </w:rPr>
        <w:t>KHOSI MAHLANGU</w:t>
      </w:r>
      <w:r w:rsidR="005900F9">
        <w:rPr>
          <w:u w:val="none"/>
        </w:rPr>
        <w:t xml:space="preserve">  </w:t>
      </w:r>
      <w:r w:rsidR="005900F9">
        <w:rPr>
          <w:u w:val="none"/>
        </w:rPr>
        <w:tab/>
      </w:r>
      <w:r w:rsidR="005900F9">
        <w:rPr>
          <w:u w:val="none"/>
        </w:rPr>
        <w:tab/>
      </w:r>
      <w:r w:rsidR="005900F9">
        <w:rPr>
          <w:u w:val="none"/>
        </w:rPr>
        <w:tab/>
      </w:r>
      <w:r w:rsidR="005900F9">
        <w:rPr>
          <w:u w:val="none"/>
        </w:rPr>
        <w:tab/>
      </w:r>
      <w:r w:rsidR="005900F9">
        <w:rPr>
          <w:u w:val="none"/>
        </w:rPr>
        <w:tab/>
      </w:r>
      <w:r w:rsidR="00927517">
        <w:rPr>
          <w:u w:val="none"/>
        </w:rPr>
        <w:t xml:space="preserve">      </w:t>
      </w:r>
      <w:r w:rsidR="005900F9">
        <w:rPr>
          <w:u w:val="none"/>
        </w:rPr>
        <w:t>1</w:t>
      </w:r>
      <w:r w:rsidR="005900F9" w:rsidRPr="005900F9">
        <w:rPr>
          <w:u w:val="none"/>
          <w:vertAlign w:val="superscript"/>
        </w:rPr>
        <w:t>st</w:t>
      </w:r>
      <w:r w:rsidR="005900F9">
        <w:rPr>
          <w:u w:val="none"/>
        </w:rPr>
        <w:t xml:space="preserve"> </w:t>
      </w:r>
      <w:r w:rsidR="00927517">
        <w:rPr>
          <w:u w:val="none"/>
        </w:rPr>
        <w:t>Defendant/ 1</w:t>
      </w:r>
      <w:r w:rsidR="00927517" w:rsidRPr="00927517">
        <w:rPr>
          <w:u w:val="none"/>
          <w:vertAlign w:val="superscript"/>
        </w:rPr>
        <w:t>st</w:t>
      </w:r>
      <w:r w:rsidR="00927517">
        <w:rPr>
          <w:u w:val="none"/>
        </w:rPr>
        <w:t xml:space="preserve"> Excipient</w:t>
      </w:r>
    </w:p>
    <w:p w14:paraId="6EA7ED24" w14:textId="77777777" w:rsidR="005900F9" w:rsidRDefault="005900F9" w:rsidP="00DB2E83">
      <w:pPr>
        <w:jc w:val="both"/>
        <w:rPr>
          <w:b/>
          <w:u w:val="none"/>
        </w:rPr>
      </w:pPr>
    </w:p>
    <w:p w14:paraId="57D341B7" w14:textId="02C7064A" w:rsidR="005900F9" w:rsidRDefault="00BA0732" w:rsidP="00DB2E83">
      <w:pPr>
        <w:jc w:val="both"/>
        <w:rPr>
          <w:u w:val="none"/>
        </w:rPr>
      </w:pPr>
      <w:r>
        <w:rPr>
          <w:b/>
          <w:u w:val="none"/>
        </w:rPr>
        <w:t>GAUTENG DEPARTMENT OF EDUCATION</w:t>
      </w:r>
      <w:r w:rsidR="005900F9">
        <w:rPr>
          <w:u w:val="none"/>
        </w:rPr>
        <w:tab/>
      </w:r>
      <w:r w:rsidR="00927517">
        <w:rPr>
          <w:u w:val="none"/>
        </w:rPr>
        <w:tab/>
        <w:t xml:space="preserve">     </w:t>
      </w:r>
      <w:r w:rsidR="005900F9">
        <w:rPr>
          <w:u w:val="none"/>
        </w:rPr>
        <w:t>2</w:t>
      </w:r>
      <w:r w:rsidR="005900F9" w:rsidRPr="005900F9">
        <w:rPr>
          <w:u w:val="none"/>
          <w:vertAlign w:val="superscript"/>
        </w:rPr>
        <w:t>nd</w:t>
      </w:r>
      <w:r w:rsidR="005900F9">
        <w:rPr>
          <w:u w:val="none"/>
        </w:rPr>
        <w:t xml:space="preserve"> </w:t>
      </w:r>
      <w:r w:rsidR="00927517">
        <w:rPr>
          <w:u w:val="none"/>
        </w:rPr>
        <w:t>Defendant/ 2</w:t>
      </w:r>
      <w:r w:rsidR="00927517" w:rsidRPr="00927517">
        <w:rPr>
          <w:u w:val="none"/>
          <w:vertAlign w:val="superscript"/>
        </w:rPr>
        <w:t>nd</w:t>
      </w:r>
      <w:r w:rsidR="00927517">
        <w:rPr>
          <w:u w:val="none"/>
        </w:rPr>
        <w:t xml:space="preserve"> Excipient</w:t>
      </w:r>
    </w:p>
    <w:p w14:paraId="0C4023D1" w14:textId="7B38212A"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229123D0" w14:textId="5CE72BBC" w:rsidR="00166548" w:rsidRDefault="00896E6D" w:rsidP="00A83099">
      <w:pPr>
        <w:tabs>
          <w:tab w:val="right" w:pos="0"/>
        </w:tabs>
        <w:spacing w:line="480" w:lineRule="auto"/>
        <w:ind w:left="720" w:hanging="720"/>
        <w:jc w:val="both"/>
        <w:rPr>
          <w:u w:val="none"/>
          <w:lang w:val="en-ZA"/>
        </w:rPr>
      </w:pPr>
      <w:r>
        <w:rPr>
          <w:u w:val="none"/>
          <w:lang w:val="en-ZA"/>
        </w:rPr>
        <w:t>[</w:t>
      </w:r>
      <w:r w:rsidR="00DD6A31">
        <w:rPr>
          <w:u w:val="none"/>
          <w:lang w:val="en-ZA"/>
        </w:rPr>
        <w:t>1]</w:t>
      </w:r>
      <w:r w:rsidR="004E395A">
        <w:rPr>
          <w:u w:val="none"/>
          <w:lang w:val="en-ZA"/>
        </w:rPr>
        <w:tab/>
      </w:r>
      <w:r w:rsidR="00567CD7">
        <w:rPr>
          <w:u w:val="none"/>
          <w:lang w:val="en-ZA"/>
        </w:rPr>
        <w:t xml:space="preserve">This is an application by the first and second Defendants (now the Excipients) in terms of Rule 23 (1) of the Uniform Rules of Court to declare the Plaintiff’s particulars of claim as lacking the necessary averments to sustain a </w:t>
      </w:r>
      <w:r w:rsidR="00490A3A">
        <w:rPr>
          <w:u w:val="none"/>
          <w:lang w:val="en-ZA"/>
        </w:rPr>
        <w:t>cause of action alternatively that the particulars of claim are vague and embarrassing.</w:t>
      </w:r>
    </w:p>
    <w:p w14:paraId="4375C65C" w14:textId="77777777" w:rsidR="00490A3A" w:rsidRDefault="00490A3A" w:rsidP="00A83099">
      <w:pPr>
        <w:tabs>
          <w:tab w:val="right" w:pos="0"/>
        </w:tabs>
        <w:spacing w:line="480" w:lineRule="auto"/>
        <w:ind w:left="720" w:hanging="720"/>
        <w:jc w:val="both"/>
        <w:rPr>
          <w:u w:val="none"/>
          <w:lang w:val="en-ZA"/>
        </w:rPr>
      </w:pPr>
    </w:p>
    <w:p w14:paraId="1378B238" w14:textId="1025A7D9" w:rsidR="00F227C8" w:rsidRDefault="00DD6A31" w:rsidP="00A83099">
      <w:pPr>
        <w:spacing w:line="360" w:lineRule="auto"/>
        <w:ind w:left="720" w:hanging="720"/>
        <w:jc w:val="both"/>
        <w:rPr>
          <w:u w:val="none"/>
          <w:lang w:val="en-ZA"/>
        </w:rPr>
      </w:pPr>
      <w:r>
        <w:rPr>
          <w:u w:val="none"/>
          <w:lang w:val="en-ZA"/>
        </w:rPr>
        <w:lastRenderedPageBreak/>
        <w:t>[2]</w:t>
      </w:r>
      <w:r w:rsidR="00490A3A">
        <w:rPr>
          <w:u w:val="none"/>
          <w:lang w:val="en-ZA"/>
        </w:rPr>
        <w:tab/>
        <w:t>On the 11</w:t>
      </w:r>
      <w:r w:rsidR="00490A3A" w:rsidRPr="00490A3A">
        <w:rPr>
          <w:u w:val="none"/>
          <w:vertAlign w:val="superscript"/>
          <w:lang w:val="en-ZA"/>
        </w:rPr>
        <w:t>th</w:t>
      </w:r>
      <w:r w:rsidR="00490A3A">
        <w:rPr>
          <w:u w:val="none"/>
          <w:lang w:val="en-ZA"/>
        </w:rPr>
        <w:t xml:space="preserve"> July 2023 the Excipients delivered a Notice in terms of that Rule pointing out to the Respondent in what respects the Particulars of Claim do not disclose a cause of action and are thus vague and embarrassing.  In the notice the Respondent was afforded an opportunity to remove the cause of complaint within 15 (fifteen) days. </w:t>
      </w:r>
      <w:r w:rsidR="00F227C8">
        <w:rPr>
          <w:u w:val="none"/>
          <w:lang w:val="en-ZA"/>
        </w:rPr>
        <w:tab/>
      </w:r>
    </w:p>
    <w:p w14:paraId="022601A8" w14:textId="0BB40035" w:rsidR="00115735" w:rsidRDefault="00A83099" w:rsidP="00A83099">
      <w:pPr>
        <w:spacing w:line="360" w:lineRule="auto"/>
        <w:ind w:left="720" w:hanging="720"/>
        <w:jc w:val="both"/>
        <w:rPr>
          <w:u w:val="none"/>
          <w:lang w:val="en-ZA"/>
        </w:rPr>
      </w:pPr>
      <w:r>
        <w:rPr>
          <w:u w:val="none"/>
          <w:lang w:val="en-ZA"/>
        </w:rPr>
        <w:tab/>
      </w:r>
      <w:r>
        <w:rPr>
          <w:u w:val="none"/>
          <w:lang w:val="en-ZA"/>
        </w:rPr>
        <w:tab/>
      </w:r>
      <w:r w:rsidR="006E3D7E">
        <w:rPr>
          <w:u w:val="none"/>
          <w:lang w:val="en-ZA"/>
        </w:rPr>
        <w:tab/>
      </w:r>
    </w:p>
    <w:p w14:paraId="1493F775" w14:textId="178BB7B2" w:rsidR="008C6D79" w:rsidRDefault="00DD6A31" w:rsidP="001D5A62">
      <w:pPr>
        <w:spacing w:line="360" w:lineRule="auto"/>
        <w:ind w:left="720" w:hanging="720"/>
        <w:jc w:val="both"/>
        <w:rPr>
          <w:u w:val="none"/>
          <w:lang w:val="en-ZA"/>
        </w:rPr>
      </w:pPr>
      <w:r>
        <w:rPr>
          <w:u w:val="none"/>
          <w:lang w:val="en-ZA"/>
        </w:rPr>
        <w:t>[3]</w:t>
      </w:r>
      <w:r w:rsidR="00F227C8">
        <w:rPr>
          <w:u w:val="none"/>
          <w:lang w:val="en-ZA"/>
        </w:rPr>
        <w:tab/>
      </w:r>
      <w:r w:rsidR="00490A3A">
        <w:rPr>
          <w:u w:val="none"/>
          <w:lang w:val="en-ZA"/>
        </w:rPr>
        <w:t>By the 15</w:t>
      </w:r>
      <w:r w:rsidR="00490A3A" w:rsidRPr="00490A3A">
        <w:rPr>
          <w:u w:val="none"/>
          <w:vertAlign w:val="superscript"/>
          <w:lang w:val="en-ZA"/>
        </w:rPr>
        <w:t>th</w:t>
      </w:r>
      <w:r w:rsidR="00490A3A">
        <w:rPr>
          <w:u w:val="none"/>
          <w:lang w:val="en-ZA"/>
        </w:rPr>
        <w:t xml:space="preserve"> August 2023 the Respondent had not heeded the request to remove the cause of complaint instead the Respondent embarked on a futile exercise by filling a replication and a Rule 30A notice instead of amending and c</w:t>
      </w:r>
      <w:r w:rsidR="00927517">
        <w:rPr>
          <w:u w:val="none"/>
          <w:lang w:val="en-ZA"/>
        </w:rPr>
        <w:t>orrecting</w:t>
      </w:r>
      <w:r w:rsidR="00490A3A">
        <w:rPr>
          <w:u w:val="none"/>
          <w:lang w:val="en-ZA"/>
        </w:rPr>
        <w:t xml:space="preserve"> the obvious and glaring defects in the particulars of claim.</w:t>
      </w:r>
    </w:p>
    <w:p w14:paraId="23E23D01" w14:textId="77777777" w:rsidR="00490A3A" w:rsidRDefault="00490A3A" w:rsidP="001D5A62">
      <w:pPr>
        <w:spacing w:line="360" w:lineRule="auto"/>
        <w:ind w:left="720" w:hanging="720"/>
        <w:jc w:val="both"/>
        <w:rPr>
          <w:u w:val="none"/>
          <w:lang w:val="en-ZA"/>
        </w:rPr>
      </w:pPr>
    </w:p>
    <w:p w14:paraId="40A56F69" w14:textId="597F8467" w:rsidR="003D2DB8" w:rsidRDefault="00452E60" w:rsidP="001D5A62">
      <w:pPr>
        <w:spacing w:line="360" w:lineRule="auto"/>
        <w:ind w:left="720" w:hanging="720"/>
        <w:jc w:val="both"/>
        <w:rPr>
          <w:u w:val="none"/>
          <w:lang w:val="en-ZA"/>
        </w:rPr>
      </w:pPr>
      <w:r>
        <w:rPr>
          <w:u w:val="none"/>
          <w:lang w:val="en-ZA"/>
        </w:rPr>
        <w:t>[4]</w:t>
      </w:r>
      <w:r w:rsidR="00490A3A">
        <w:rPr>
          <w:u w:val="none"/>
          <w:lang w:val="en-ZA"/>
        </w:rPr>
        <w:tab/>
        <w:t xml:space="preserve">Rule 18 of the Uniform Rules of Court is headed “Rules relating to pleadings generally.” </w:t>
      </w:r>
      <w:r w:rsidR="003D2DB8">
        <w:rPr>
          <w:u w:val="none"/>
          <w:lang w:val="en-ZA"/>
        </w:rPr>
        <w:t xml:space="preserve"> The learned writer Harms in “Amler’s Prece</w:t>
      </w:r>
      <w:r w:rsidR="00764E08">
        <w:rPr>
          <w:u w:val="none"/>
          <w:lang w:val="en-ZA"/>
        </w:rPr>
        <w:t>dents</w:t>
      </w:r>
      <w:r w:rsidR="003D2DB8">
        <w:rPr>
          <w:u w:val="none"/>
          <w:lang w:val="en-ZA"/>
        </w:rPr>
        <w:t xml:space="preserve"> of Pleadings” ninth edition describes the purpose of pleadings as follows:</w:t>
      </w:r>
    </w:p>
    <w:p w14:paraId="6394790A" w14:textId="77777777" w:rsidR="003D2DB8" w:rsidRDefault="003D2DB8" w:rsidP="001D5A62">
      <w:pPr>
        <w:spacing w:line="360" w:lineRule="auto"/>
        <w:ind w:left="720" w:hanging="720"/>
        <w:jc w:val="both"/>
        <w:rPr>
          <w:u w:val="none"/>
          <w:lang w:val="en-ZA"/>
        </w:rPr>
      </w:pPr>
    </w:p>
    <w:p w14:paraId="286FBBB8" w14:textId="50C13828" w:rsidR="003D2DB8" w:rsidRDefault="003D2DB8" w:rsidP="00CD57D9">
      <w:pPr>
        <w:spacing w:line="360" w:lineRule="auto"/>
        <w:ind w:left="1440"/>
        <w:jc w:val="both"/>
        <w:rPr>
          <w:u w:val="none"/>
          <w:lang w:val="en-ZA"/>
        </w:rPr>
      </w:pPr>
      <w:r>
        <w:rPr>
          <w:u w:val="none"/>
          <w:lang w:val="en-ZA"/>
        </w:rPr>
        <w:t>“</w:t>
      </w:r>
      <w:r w:rsidR="00763319">
        <w:rPr>
          <w:u w:val="none"/>
          <w:lang w:val="en-ZA"/>
        </w:rPr>
        <w:t>A party must define its cause of action and defence in the appropriate pleadings in the Court of first instance to inform the other parties to the matter of the case they must meet and of the relief sought against them in that Court.  This is a fundamental principle of fairness in the conduct of litigation, which promotes the parties’ rights to a fair hearing guaranteed by Section 34 of the Constitution.</w:t>
      </w:r>
      <w:r w:rsidR="00CD57D9">
        <w:rPr>
          <w:u w:val="none"/>
          <w:lang w:val="en-ZA"/>
        </w:rPr>
        <w:t>”</w:t>
      </w:r>
      <w:r w:rsidR="00763319">
        <w:rPr>
          <w:u w:val="none"/>
          <w:lang w:val="en-ZA"/>
        </w:rPr>
        <w:t xml:space="preserve">  </w:t>
      </w:r>
    </w:p>
    <w:p w14:paraId="45FF3114" w14:textId="7C7C1E5A" w:rsidR="004C480C" w:rsidRPr="00890F81" w:rsidRDefault="00312A9C" w:rsidP="001D5A62">
      <w:pPr>
        <w:spacing w:line="360" w:lineRule="auto"/>
        <w:ind w:left="720" w:hanging="720"/>
        <w:jc w:val="both"/>
        <w:rPr>
          <w:sz w:val="22"/>
          <w:szCs w:val="22"/>
          <w:u w:val="none"/>
          <w:lang w:val="en-ZA"/>
        </w:rPr>
      </w:pPr>
      <w:r>
        <w:rPr>
          <w:u w:val="none"/>
          <w:lang w:val="en-ZA"/>
        </w:rPr>
        <w:tab/>
      </w:r>
    </w:p>
    <w:p w14:paraId="1FC25908" w14:textId="130871B7" w:rsidR="008A4425" w:rsidRDefault="004C480C" w:rsidP="00DB2E83">
      <w:pPr>
        <w:spacing w:line="360" w:lineRule="auto"/>
        <w:jc w:val="both"/>
        <w:rPr>
          <w:u w:val="none"/>
          <w:lang w:val="en-ZA"/>
        </w:rPr>
      </w:pPr>
      <w:r>
        <w:rPr>
          <w:u w:val="none"/>
          <w:lang w:val="en-ZA"/>
        </w:rPr>
        <w:t xml:space="preserve"> </w:t>
      </w:r>
    </w:p>
    <w:p w14:paraId="1FC03A64" w14:textId="61CE7D3F" w:rsidR="004C480C" w:rsidRDefault="0013141D" w:rsidP="004C480C">
      <w:pPr>
        <w:spacing w:line="360" w:lineRule="auto"/>
        <w:ind w:left="720" w:hanging="720"/>
        <w:jc w:val="both"/>
        <w:rPr>
          <w:u w:val="none"/>
          <w:lang w:val="en-ZA"/>
        </w:rPr>
      </w:pPr>
      <w:r>
        <w:rPr>
          <w:u w:val="none"/>
          <w:lang w:val="en-ZA"/>
        </w:rPr>
        <w:t>[5]</w:t>
      </w:r>
      <w:r w:rsidR="00DB37FE">
        <w:rPr>
          <w:u w:val="none"/>
          <w:lang w:val="en-ZA"/>
        </w:rPr>
        <w:tab/>
      </w:r>
      <w:r w:rsidR="00763319">
        <w:rPr>
          <w:u w:val="none"/>
          <w:lang w:val="en-ZA"/>
        </w:rPr>
        <w:t>It is therefore not surprising that Rule 18 (4) and Rule 18(10) have been drafted in the manner to precisely meet that requirement of clarity of cause.  Rule 18(4) reads as follows:</w:t>
      </w:r>
    </w:p>
    <w:p w14:paraId="437E2308" w14:textId="77777777" w:rsidR="00763319" w:rsidRDefault="00763319" w:rsidP="004C480C">
      <w:pPr>
        <w:spacing w:line="360" w:lineRule="auto"/>
        <w:ind w:left="720" w:hanging="720"/>
        <w:jc w:val="both"/>
        <w:rPr>
          <w:u w:val="none"/>
          <w:lang w:val="en-ZA"/>
        </w:rPr>
      </w:pPr>
    </w:p>
    <w:p w14:paraId="420E6F7D" w14:textId="317D4A54" w:rsidR="00763319" w:rsidRDefault="00763319" w:rsidP="00763319">
      <w:pPr>
        <w:spacing w:line="360" w:lineRule="auto"/>
        <w:ind w:left="1440"/>
        <w:jc w:val="both"/>
        <w:rPr>
          <w:u w:val="none"/>
          <w:lang w:val="en-ZA"/>
        </w:rPr>
      </w:pPr>
      <w:r>
        <w:rPr>
          <w:u w:val="none"/>
          <w:lang w:val="en-ZA"/>
        </w:rPr>
        <w:t>“Every pleading shall contain a clear and concise statement of the material facts upon which the plead</w:t>
      </w:r>
      <w:r w:rsidR="00927517">
        <w:rPr>
          <w:u w:val="none"/>
          <w:lang w:val="en-ZA"/>
        </w:rPr>
        <w:t>er</w:t>
      </w:r>
      <w:r>
        <w:rPr>
          <w:u w:val="none"/>
          <w:lang w:val="en-ZA"/>
        </w:rPr>
        <w:t xml:space="preserve"> relies f</w:t>
      </w:r>
      <w:r w:rsidR="00927517">
        <w:rPr>
          <w:u w:val="none"/>
          <w:lang w:val="en-ZA"/>
        </w:rPr>
        <w:t>o</w:t>
      </w:r>
      <w:r>
        <w:rPr>
          <w:u w:val="none"/>
          <w:lang w:val="en-ZA"/>
        </w:rPr>
        <w:t>r his claim defence or answer to any pleading as the case maybe with sufficient particularity to enable the opposite party to reply thereto.”</w:t>
      </w:r>
    </w:p>
    <w:p w14:paraId="2C8CDDAE" w14:textId="18254556" w:rsidR="004C480C" w:rsidRDefault="005F292F" w:rsidP="004C480C">
      <w:pPr>
        <w:spacing w:line="360" w:lineRule="auto"/>
        <w:jc w:val="both"/>
        <w:rPr>
          <w:u w:val="none"/>
          <w:lang w:val="en-ZA"/>
        </w:rPr>
      </w:pPr>
      <w:r>
        <w:rPr>
          <w:u w:val="none"/>
          <w:lang w:val="en-ZA"/>
        </w:rPr>
        <w:t xml:space="preserve"> </w:t>
      </w:r>
    </w:p>
    <w:p w14:paraId="4E4A52EC" w14:textId="47BFFBA9" w:rsidR="00793010" w:rsidRDefault="00B77EBE" w:rsidP="001D5A62">
      <w:pPr>
        <w:spacing w:line="360" w:lineRule="auto"/>
        <w:ind w:left="720" w:hanging="720"/>
        <w:jc w:val="both"/>
        <w:rPr>
          <w:u w:val="none"/>
          <w:lang w:val="en-ZA"/>
        </w:rPr>
      </w:pPr>
      <w:r>
        <w:rPr>
          <w:u w:val="none"/>
          <w:lang w:val="en-ZA"/>
        </w:rPr>
        <w:t>[</w:t>
      </w:r>
      <w:r w:rsidR="00452E60">
        <w:rPr>
          <w:u w:val="none"/>
          <w:lang w:val="en-ZA"/>
        </w:rPr>
        <w:t>6]</w:t>
      </w:r>
      <w:r>
        <w:rPr>
          <w:u w:val="none"/>
          <w:lang w:val="en-ZA"/>
        </w:rPr>
        <w:tab/>
      </w:r>
      <w:r w:rsidR="005B2725">
        <w:rPr>
          <w:u w:val="none"/>
          <w:lang w:val="en-ZA"/>
        </w:rPr>
        <w:t>Rule 18(10) reads as follows:</w:t>
      </w:r>
    </w:p>
    <w:p w14:paraId="78D2C54B" w14:textId="77777777" w:rsidR="005B2725" w:rsidRDefault="005B2725" w:rsidP="001D5A62">
      <w:pPr>
        <w:spacing w:line="360" w:lineRule="auto"/>
        <w:ind w:left="720" w:hanging="720"/>
        <w:jc w:val="both"/>
        <w:rPr>
          <w:u w:val="none"/>
          <w:lang w:val="en-ZA"/>
        </w:rPr>
      </w:pPr>
    </w:p>
    <w:p w14:paraId="00C81971" w14:textId="6E2AD54A" w:rsidR="005B2725" w:rsidRDefault="005B2725" w:rsidP="005B2725">
      <w:pPr>
        <w:spacing w:line="360" w:lineRule="auto"/>
        <w:ind w:left="1440"/>
        <w:jc w:val="both"/>
        <w:rPr>
          <w:u w:val="none"/>
          <w:lang w:val="en-ZA"/>
        </w:rPr>
      </w:pPr>
      <w:r>
        <w:rPr>
          <w:u w:val="none"/>
          <w:lang w:val="en-ZA"/>
        </w:rPr>
        <w:lastRenderedPageBreak/>
        <w:t>A Plaintiff suing for damages shall set them out in such a manner as will enable the defendant reasonably to assess the quantum thereof provided that a Plaintiff suing for damages for personal injuries shall specify his date of birth, the nature and extent of the injuries and the nature and the effects and duration of the disability alleged to give rise to such damages and shall as far as practicable state separately what amount if any is claimed for:-</w:t>
      </w:r>
    </w:p>
    <w:p w14:paraId="532699A3" w14:textId="77777777" w:rsidR="005B2725" w:rsidRDefault="005B2725" w:rsidP="005B2725">
      <w:pPr>
        <w:spacing w:line="360" w:lineRule="auto"/>
        <w:ind w:left="1440"/>
        <w:jc w:val="both"/>
        <w:rPr>
          <w:u w:val="none"/>
          <w:lang w:val="en-ZA"/>
        </w:rPr>
      </w:pPr>
    </w:p>
    <w:p w14:paraId="71FED8E1" w14:textId="49E26B46" w:rsidR="005B2725" w:rsidRDefault="00927517" w:rsidP="005B2725">
      <w:pPr>
        <w:pStyle w:val="ListParagraph"/>
        <w:numPr>
          <w:ilvl w:val="0"/>
          <w:numId w:val="22"/>
        </w:numPr>
        <w:spacing w:line="360" w:lineRule="auto"/>
        <w:jc w:val="both"/>
        <w:rPr>
          <w:u w:val="none"/>
          <w:lang w:val="en-ZA"/>
        </w:rPr>
      </w:pPr>
      <w:r>
        <w:rPr>
          <w:u w:val="none"/>
          <w:lang w:val="en-ZA"/>
        </w:rPr>
        <w:t>m</w:t>
      </w:r>
      <w:r w:rsidR="005B2725">
        <w:rPr>
          <w:u w:val="none"/>
          <w:lang w:val="en-ZA"/>
        </w:rPr>
        <w:t>edical costs and hospital and other similar expenses and how these costs and expenses are made up</w:t>
      </w:r>
      <w:r w:rsidR="009070C6">
        <w:rPr>
          <w:u w:val="none"/>
          <w:lang w:val="en-ZA"/>
        </w:rPr>
        <w:t>.</w:t>
      </w:r>
    </w:p>
    <w:p w14:paraId="56A0989F" w14:textId="77777777" w:rsidR="009070C6" w:rsidRDefault="009070C6" w:rsidP="009070C6">
      <w:pPr>
        <w:pStyle w:val="ListParagraph"/>
        <w:spacing w:line="360" w:lineRule="auto"/>
        <w:ind w:left="2520"/>
        <w:jc w:val="both"/>
        <w:rPr>
          <w:u w:val="none"/>
          <w:lang w:val="en-ZA"/>
        </w:rPr>
      </w:pPr>
    </w:p>
    <w:p w14:paraId="7C82201F" w14:textId="6C998BB5" w:rsidR="005B2725" w:rsidRDefault="00927517" w:rsidP="005B2725">
      <w:pPr>
        <w:pStyle w:val="ListParagraph"/>
        <w:numPr>
          <w:ilvl w:val="0"/>
          <w:numId w:val="22"/>
        </w:numPr>
        <w:spacing w:line="360" w:lineRule="auto"/>
        <w:jc w:val="both"/>
        <w:rPr>
          <w:u w:val="none"/>
          <w:lang w:val="en-ZA"/>
        </w:rPr>
      </w:pPr>
      <w:r>
        <w:rPr>
          <w:u w:val="none"/>
          <w:lang w:val="en-ZA"/>
        </w:rPr>
        <w:t>p</w:t>
      </w:r>
      <w:r w:rsidR="005B2725">
        <w:rPr>
          <w:u w:val="none"/>
          <w:lang w:val="en-ZA"/>
        </w:rPr>
        <w:t>ain and suffering, stating whether temporary or permanent and which injuries caused it</w:t>
      </w:r>
      <w:r w:rsidR="009070C6">
        <w:rPr>
          <w:u w:val="none"/>
          <w:lang w:val="en-ZA"/>
        </w:rPr>
        <w:t>.</w:t>
      </w:r>
    </w:p>
    <w:p w14:paraId="21455E51" w14:textId="77777777" w:rsidR="009070C6" w:rsidRPr="009070C6" w:rsidRDefault="009070C6" w:rsidP="009070C6">
      <w:pPr>
        <w:spacing w:line="360" w:lineRule="auto"/>
        <w:jc w:val="both"/>
        <w:rPr>
          <w:u w:val="none"/>
          <w:lang w:val="en-ZA"/>
        </w:rPr>
      </w:pPr>
    </w:p>
    <w:p w14:paraId="1A40749E" w14:textId="3FE2AD7A" w:rsidR="005B2725" w:rsidRDefault="00927517" w:rsidP="005B2725">
      <w:pPr>
        <w:pStyle w:val="ListParagraph"/>
        <w:numPr>
          <w:ilvl w:val="0"/>
          <w:numId w:val="22"/>
        </w:numPr>
        <w:spacing w:line="360" w:lineRule="auto"/>
        <w:jc w:val="both"/>
        <w:rPr>
          <w:u w:val="none"/>
          <w:lang w:val="en-ZA"/>
        </w:rPr>
      </w:pPr>
      <w:r>
        <w:rPr>
          <w:u w:val="none"/>
          <w:lang w:val="en-ZA"/>
        </w:rPr>
        <w:t>d</w:t>
      </w:r>
      <w:r w:rsidR="005B2725">
        <w:rPr>
          <w:u w:val="none"/>
          <w:lang w:val="en-ZA"/>
        </w:rPr>
        <w:t>isability in respect of</w:t>
      </w:r>
      <w:r w:rsidR="009070C6">
        <w:rPr>
          <w:u w:val="none"/>
          <w:lang w:val="en-ZA"/>
        </w:rPr>
        <w:t>:</w:t>
      </w:r>
    </w:p>
    <w:p w14:paraId="0FBC7E7D" w14:textId="77777777" w:rsidR="009070C6" w:rsidRPr="009070C6" w:rsidRDefault="009070C6" w:rsidP="009070C6">
      <w:pPr>
        <w:spacing w:line="360" w:lineRule="auto"/>
        <w:jc w:val="both"/>
        <w:rPr>
          <w:u w:val="none"/>
          <w:lang w:val="en-ZA"/>
        </w:rPr>
      </w:pPr>
    </w:p>
    <w:p w14:paraId="68359238" w14:textId="0BFCE5C0" w:rsidR="005B2725" w:rsidRDefault="005B2725" w:rsidP="005B2725">
      <w:pPr>
        <w:pStyle w:val="ListParagraph"/>
        <w:numPr>
          <w:ilvl w:val="0"/>
          <w:numId w:val="23"/>
        </w:numPr>
        <w:spacing w:line="360" w:lineRule="auto"/>
        <w:jc w:val="both"/>
        <w:rPr>
          <w:u w:val="none"/>
          <w:lang w:val="en-ZA"/>
        </w:rPr>
      </w:pPr>
      <w:r>
        <w:rPr>
          <w:u w:val="none"/>
          <w:lang w:val="en-ZA"/>
        </w:rPr>
        <w:t>The earning of income (stating the earnings lost to date and how the amount is made up and the estimated future loss and the nature of the work the Plaintiff will in future be able to do.</w:t>
      </w:r>
    </w:p>
    <w:p w14:paraId="07C3C504" w14:textId="77777777" w:rsidR="009070C6" w:rsidRPr="009070C6" w:rsidRDefault="009070C6" w:rsidP="009070C6">
      <w:pPr>
        <w:spacing w:line="360" w:lineRule="auto"/>
        <w:ind w:left="2520"/>
        <w:jc w:val="both"/>
        <w:rPr>
          <w:u w:val="none"/>
          <w:lang w:val="en-ZA"/>
        </w:rPr>
      </w:pPr>
    </w:p>
    <w:p w14:paraId="7F134AF8" w14:textId="519B2994" w:rsidR="005B2725" w:rsidRDefault="005B2725" w:rsidP="005B2725">
      <w:pPr>
        <w:pStyle w:val="ListParagraph"/>
        <w:numPr>
          <w:ilvl w:val="0"/>
          <w:numId w:val="23"/>
        </w:numPr>
        <w:spacing w:line="360" w:lineRule="auto"/>
        <w:jc w:val="both"/>
        <w:rPr>
          <w:u w:val="none"/>
          <w:lang w:val="en-ZA"/>
        </w:rPr>
      </w:pPr>
      <w:r>
        <w:rPr>
          <w:u w:val="none"/>
          <w:lang w:val="en-ZA"/>
        </w:rPr>
        <w:t>Enjoyment of amenities of life and stating whether the disability concern</w:t>
      </w:r>
      <w:r w:rsidR="00927517">
        <w:rPr>
          <w:u w:val="none"/>
          <w:lang w:val="en-ZA"/>
        </w:rPr>
        <w:t>ed</w:t>
      </w:r>
      <w:r>
        <w:rPr>
          <w:u w:val="none"/>
          <w:lang w:val="en-ZA"/>
        </w:rPr>
        <w:t xml:space="preserve"> is temporary or permanent</w:t>
      </w:r>
      <w:r w:rsidR="00927517">
        <w:rPr>
          <w:u w:val="none"/>
          <w:lang w:val="en-ZA"/>
        </w:rPr>
        <w:t>, a</w:t>
      </w:r>
      <w:r>
        <w:rPr>
          <w:u w:val="none"/>
          <w:lang w:val="en-ZA"/>
        </w:rPr>
        <w:t>nd</w:t>
      </w:r>
    </w:p>
    <w:p w14:paraId="44D0C9EA" w14:textId="77777777" w:rsidR="009070C6" w:rsidRPr="009070C6" w:rsidRDefault="009070C6" w:rsidP="009070C6">
      <w:pPr>
        <w:pStyle w:val="ListParagraph"/>
        <w:rPr>
          <w:u w:val="none"/>
          <w:lang w:val="en-ZA"/>
        </w:rPr>
      </w:pPr>
    </w:p>
    <w:p w14:paraId="72C9ECD5" w14:textId="77777777" w:rsidR="009070C6" w:rsidRPr="009070C6" w:rsidRDefault="009070C6" w:rsidP="009070C6">
      <w:pPr>
        <w:spacing w:line="360" w:lineRule="auto"/>
        <w:jc w:val="both"/>
        <w:rPr>
          <w:u w:val="none"/>
          <w:lang w:val="en-ZA"/>
        </w:rPr>
      </w:pPr>
    </w:p>
    <w:p w14:paraId="68D546DF" w14:textId="640DA4CD" w:rsidR="005B2725" w:rsidRPr="005B2725" w:rsidRDefault="00927517" w:rsidP="005B2725">
      <w:pPr>
        <w:pStyle w:val="ListParagraph"/>
        <w:numPr>
          <w:ilvl w:val="0"/>
          <w:numId w:val="22"/>
        </w:numPr>
        <w:spacing w:line="360" w:lineRule="auto"/>
        <w:jc w:val="both"/>
        <w:rPr>
          <w:u w:val="none"/>
          <w:lang w:val="en-ZA"/>
        </w:rPr>
      </w:pPr>
      <w:r>
        <w:rPr>
          <w:u w:val="none"/>
          <w:lang w:val="en-ZA"/>
        </w:rPr>
        <w:t>d</w:t>
      </w:r>
      <w:r w:rsidR="005B2725">
        <w:rPr>
          <w:u w:val="none"/>
          <w:lang w:val="en-ZA"/>
        </w:rPr>
        <w:t>isfigurement, with full description thereof and stating whether it is temporary or permanent.</w:t>
      </w:r>
    </w:p>
    <w:p w14:paraId="0FB947B1" w14:textId="77777777" w:rsidR="005B2725" w:rsidRDefault="005B2725" w:rsidP="001D5A62">
      <w:pPr>
        <w:spacing w:line="360" w:lineRule="auto"/>
        <w:ind w:left="720" w:hanging="720"/>
        <w:jc w:val="both"/>
        <w:rPr>
          <w:u w:val="none"/>
          <w:lang w:val="en-ZA"/>
        </w:rPr>
      </w:pPr>
    </w:p>
    <w:p w14:paraId="494645F7" w14:textId="77777777" w:rsidR="008766BF" w:rsidRDefault="00793010" w:rsidP="00A83099">
      <w:pPr>
        <w:spacing w:line="360" w:lineRule="auto"/>
        <w:ind w:left="720" w:hanging="720"/>
        <w:jc w:val="both"/>
        <w:rPr>
          <w:u w:val="none"/>
          <w:lang w:val="en-US"/>
        </w:rPr>
      </w:pPr>
      <w:r>
        <w:rPr>
          <w:u w:val="none"/>
          <w:lang w:val="en-US"/>
        </w:rPr>
        <w:t>[7]</w:t>
      </w:r>
      <w:r w:rsidR="009070C6">
        <w:rPr>
          <w:u w:val="none"/>
          <w:lang w:val="en-US"/>
        </w:rPr>
        <w:tab/>
      </w:r>
      <w:r w:rsidR="008766BF">
        <w:rPr>
          <w:u w:val="none"/>
          <w:lang w:val="en-US"/>
        </w:rPr>
        <w:t xml:space="preserve">It is trite law that pleadings must be lucid and logical and in an intelligible form the cause of action must appear clearly from the factual allegations.  Mc Creath J in </w:t>
      </w:r>
      <w:r w:rsidR="008766BF" w:rsidRPr="008766BF">
        <w:rPr>
          <w:b/>
          <w:bCs/>
          <w:u w:val="none"/>
          <w:lang w:val="en-US"/>
        </w:rPr>
        <w:t xml:space="preserve">Trope v South African Reserve Bank and Another 1992 (3) SA 208 at 211 B </w:t>
      </w:r>
      <w:r w:rsidR="008766BF">
        <w:rPr>
          <w:u w:val="none"/>
          <w:lang w:val="en-US"/>
        </w:rPr>
        <w:t>concluded as follows:</w:t>
      </w:r>
    </w:p>
    <w:p w14:paraId="467BD09A" w14:textId="77777777" w:rsidR="008766BF" w:rsidRDefault="008766BF" w:rsidP="00A83099">
      <w:pPr>
        <w:spacing w:line="360" w:lineRule="auto"/>
        <w:ind w:left="720" w:hanging="720"/>
        <w:jc w:val="both"/>
        <w:rPr>
          <w:u w:val="none"/>
          <w:lang w:val="en-US"/>
        </w:rPr>
      </w:pPr>
    </w:p>
    <w:p w14:paraId="5A9AAA18" w14:textId="598192DB" w:rsidR="00793010" w:rsidRDefault="008766BF" w:rsidP="008766BF">
      <w:pPr>
        <w:spacing w:line="360" w:lineRule="auto"/>
        <w:ind w:left="1440"/>
        <w:jc w:val="both"/>
        <w:rPr>
          <w:u w:val="none"/>
          <w:lang w:val="en-ZA"/>
        </w:rPr>
      </w:pPr>
      <w:r>
        <w:rPr>
          <w:u w:val="none"/>
          <w:lang w:val="en-US"/>
        </w:rPr>
        <w:lastRenderedPageBreak/>
        <w:t>“An exception to a pleading on the ground that it is vague and embarrassing involves a two-fold consideration.  The first is whether the pleading lacks particularity to the extent that it is vague.  The second is whether the vagueness cause</w:t>
      </w:r>
      <w:r w:rsidR="00927517">
        <w:rPr>
          <w:u w:val="none"/>
          <w:lang w:val="en-US"/>
        </w:rPr>
        <w:t>s</w:t>
      </w:r>
      <w:r>
        <w:rPr>
          <w:u w:val="none"/>
          <w:lang w:val="en-US"/>
        </w:rPr>
        <w:t xml:space="preserve"> </w:t>
      </w:r>
      <w:r w:rsidR="003E5DFC">
        <w:rPr>
          <w:u w:val="none"/>
          <w:lang w:val="en-US"/>
        </w:rPr>
        <w:t>embarrassment</w:t>
      </w:r>
      <w:r>
        <w:rPr>
          <w:u w:val="none"/>
          <w:lang w:val="en-US"/>
        </w:rPr>
        <w:t xml:space="preserve"> of such a nature that the Excipient is prejudiced.”</w:t>
      </w:r>
    </w:p>
    <w:p w14:paraId="5FAF2158" w14:textId="77777777" w:rsidR="00F3574B" w:rsidRDefault="00F3574B" w:rsidP="00DB2E83">
      <w:pPr>
        <w:spacing w:line="360" w:lineRule="auto"/>
        <w:jc w:val="both"/>
        <w:rPr>
          <w:u w:val="none"/>
          <w:lang w:val="en-ZA"/>
        </w:rPr>
      </w:pPr>
    </w:p>
    <w:p w14:paraId="26F800F6" w14:textId="1A735A07" w:rsidR="007D3E71" w:rsidRDefault="00F3574B" w:rsidP="00856CB0">
      <w:pPr>
        <w:spacing w:line="360" w:lineRule="auto"/>
        <w:ind w:left="720" w:hanging="720"/>
        <w:jc w:val="both"/>
        <w:rPr>
          <w:u w:val="none"/>
          <w:lang w:val="en-ZA"/>
        </w:rPr>
      </w:pPr>
      <w:r>
        <w:rPr>
          <w:u w:val="none"/>
          <w:lang w:val="en-ZA"/>
        </w:rPr>
        <w:t>[8]</w:t>
      </w:r>
      <w:r w:rsidR="00C133E6">
        <w:rPr>
          <w:u w:val="none"/>
          <w:lang w:val="en-ZA"/>
        </w:rPr>
        <w:tab/>
      </w:r>
      <w:r w:rsidR="008766BF">
        <w:rPr>
          <w:u w:val="none"/>
          <w:lang w:val="en-ZA"/>
        </w:rPr>
        <w:t xml:space="preserve">In the particulars of claim the Plaintiff alleges that “on the day in question” she collapsed and had a miscarriage on the school premises and that the first Defendant obstructed medical </w:t>
      </w:r>
      <w:r w:rsidR="00927517">
        <w:rPr>
          <w:u w:val="none"/>
          <w:lang w:val="en-ZA"/>
        </w:rPr>
        <w:t>personnel</w:t>
      </w:r>
      <w:r w:rsidR="008766BF">
        <w:rPr>
          <w:u w:val="none"/>
          <w:lang w:val="en-ZA"/>
        </w:rPr>
        <w:t xml:space="preserve"> by refusing entrance of the ambulance into the school premises. </w:t>
      </w:r>
    </w:p>
    <w:p w14:paraId="5E58E7E7" w14:textId="77777777" w:rsidR="00D0699A" w:rsidRDefault="00D0699A" w:rsidP="00D0699A">
      <w:pPr>
        <w:spacing w:line="360" w:lineRule="auto"/>
        <w:jc w:val="both"/>
        <w:rPr>
          <w:u w:val="none"/>
          <w:lang w:val="en-ZA"/>
        </w:rPr>
      </w:pPr>
    </w:p>
    <w:p w14:paraId="3A65F749" w14:textId="6114A996" w:rsidR="005F292F" w:rsidRDefault="00D0699A" w:rsidP="00793010">
      <w:pPr>
        <w:spacing w:line="360" w:lineRule="auto"/>
        <w:ind w:left="720" w:hanging="720"/>
        <w:jc w:val="both"/>
        <w:rPr>
          <w:u w:val="none"/>
          <w:lang w:val="en-US"/>
        </w:rPr>
      </w:pPr>
      <w:r>
        <w:rPr>
          <w:u w:val="none"/>
          <w:lang w:val="en-ZA"/>
        </w:rPr>
        <w:t>[9]</w:t>
      </w:r>
      <w:r w:rsidR="004B6237">
        <w:rPr>
          <w:u w:val="none"/>
          <w:lang w:val="en-ZA"/>
        </w:rPr>
        <w:tab/>
        <w:t xml:space="preserve"> </w:t>
      </w:r>
      <w:r w:rsidR="008766BF">
        <w:rPr>
          <w:u w:val="none"/>
          <w:lang w:val="en-ZA"/>
        </w:rPr>
        <w:t>This allegation is vague as it fails to allege the date, time and year on which the incident occurred.  This is prejudicial to the Excipient as it is unable to determine whether a claim if any has prescribed or not or some other possible defence open to a defe</w:t>
      </w:r>
      <w:r w:rsidR="00927517">
        <w:rPr>
          <w:u w:val="none"/>
          <w:lang w:val="en-ZA"/>
        </w:rPr>
        <w:t>ndant</w:t>
      </w:r>
      <w:r w:rsidR="008766BF">
        <w:rPr>
          <w:u w:val="none"/>
          <w:lang w:val="en-ZA"/>
        </w:rPr>
        <w:t xml:space="preserve">. </w:t>
      </w:r>
    </w:p>
    <w:p w14:paraId="2705A83F" w14:textId="77777777" w:rsidR="004B261D" w:rsidRDefault="004B261D" w:rsidP="004B261D">
      <w:pPr>
        <w:spacing w:line="360" w:lineRule="auto"/>
        <w:jc w:val="both"/>
        <w:rPr>
          <w:u w:val="none"/>
          <w:lang w:val="en-ZA"/>
        </w:rPr>
      </w:pPr>
    </w:p>
    <w:p w14:paraId="0B6941A7" w14:textId="4C49B279" w:rsidR="002E7BA5" w:rsidRPr="00714F8C" w:rsidRDefault="00535D73" w:rsidP="00A83099">
      <w:pPr>
        <w:spacing w:line="360" w:lineRule="auto"/>
        <w:ind w:left="720" w:hanging="720"/>
        <w:jc w:val="both"/>
        <w:rPr>
          <w:u w:val="none"/>
          <w:lang w:val="en-ZA"/>
        </w:rPr>
      </w:pPr>
      <w:r>
        <w:rPr>
          <w:u w:val="none"/>
          <w:lang w:val="en-ZA"/>
        </w:rPr>
        <w:t>[10]</w:t>
      </w:r>
      <w:r>
        <w:rPr>
          <w:u w:val="none"/>
          <w:lang w:val="en-ZA"/>
        </w:rPr>
        <w:tab/>
      </w:r>
      <w:r w:rsidR="0095434F">
        <w:rPr>
          <w:u w:val="none"/>
          <w:lang w:val="en-ZA"/>
        </w:rPr>
        <w:t xml:space="preserve">The particulars of claim which in my view are badly drawn up allege that before </w:t>
      </w:r>
      <w:r w:rsidR="003E5DFC">
        <w:rPr>
          <w:u w:val="none"/>
          <w:lang w:val="en-ZA"/>
        </w:rPr>
        <w:t>t</w:t>
      </w:r>
      <w:r w:rsidR="0095434F">
        <w:rPr>
          <w:u w:val="none"/>
          <w:lang w:val="en-ZA"/>
        </w:rPr>
        <w:t>he Plaintiff</w:t>
      </w:r>
      <w:r w:rsidR="00927517">
        <w:rPr>
          <w:u w:val="none"/>
          <w:lang w:val="en-ZA"/>
        </w:rPr>
        <w:t xml:space="preserve">’s </w:t>
      </w:r>
      <w:r w:rsidR="0095434F">
        <w:rPr>
          <w:u w:val="none"/>
          <w:lang w:val="en-ZA"/>
        </w:rPr>
        <w:t>husband could arrive at the school premises the first Defendant gave instructions that no one should attend to the Plaintiff by not giving her water.  The Plaintiff fails to indicate when did this take place and to whom the first Defendant gave such instruction</w:t>
      </w:r>
      <w:r w:rsidR="00927517">
        <w:rPr>
          <w:u w:val="none"/>
          <w:lang w:val="en-ZA"/>
        </w:rPr>
        <w:t>s</w:t>
      </w:r>
      <w:r w:rsidR="0095434F">
        <w:rPr>
          <w:u w:val="none"/>
          <w:lang w:val="en-ZA"/>
        </w:rPr>
        <w:t>.</w:t>
      </w:r>
    </w:p>
    <w:p w14:paraId="02CF99EA" w14:textId="77777777" w:rsidR="00A2665C" w:rsidRPr="007A67D1" w:rsidRDefault="00A2665C" w:rsidP="00A83099">
      <w:pPr>
        <w:spacing w:line="360" w:lineRule="auto"/>
        <w:ind w:left="720" w:hanging="720"/>
        <w:jc w:val="both"/>
        <w:rPr>
          <w:lang w:val="en-ZA"/>
        </w:rPr>
      </w:pPr>
    </w:p>
    <w:p w14:paraId="15E8C544" w14:textId="67010A99" w:rsidR="00714F8C" w:rsidRPr="004B261D" w:rsidRDefault="00FF42A6" w:rsidP="0095434F">
      <w:pPr>
        <w:spacing w:line="360" w:lineRule="auto"/>
        <w:ind w:left="720" w:hanging="720"/>
        <w:jc w:val="both"/>
        <w:rPr>
          <w:sz w:val="22"/>
          <w:szCs w:val="22"/>
          <w:u w:val="none"/>
          <w:lang w:val="en-ZA"/>
        </w:rPr>
      </w:pPr>
      <w:r>
        <w:rPr>
          <w:u w:val="none"/>
          <w:lang w:val="en-ZA"/>
        </w:rPr>
        <w:t>[11]</w:t>
      </w:r>
      <w:r w:rsidR="000220E1">
        <w:rPr>
          <w:u w:val="none"/>
          <w:lang w:val="en-ZA"/>
        </w:rPr>
        <w:tab/>
      </w:r>
      <w:r w:rsidR="0095434F">
        <w:rPr>
          <w:u w:val="none"/>
          <w:lang w:val="en-ZA"/>
        </w:rPr>
        <w:t>All these allegations set out in</w:t>
      </w:r>
      <w:r w:rsidR="003E5DFC">
        <w:rPr>
          <w:u w:val="none"/>
          <w:lang w:val="en-ZA"/>
        </w:rPr>
        <w:t xml:space="preserve"> </w:t>
      </w:r>
      <w:r w:rsidR="0095434F">
        <w:rPr>
          <w:u w:val="none"/>
          <w:lang w:val="en-ZA"/>
        </w:rPr>
        <w:t>th</w:t>
      </w:r>
      <w:r w:rsidR="003E5DFC">
        <w:rPr>
          <w:u w:val="none"/>
          <w:lang w:val="en-ZA"/>
        </w:rPr>
        <w:t>e</w:t>
      </w:r>
      <w:r w:rsidR="0095434F">
        <w:rPr>
          <w:u w:val="none"/>
          <w:lang w:val="en-ZA"/>
        </w:rPr>
        <w:t xml:space="preserve"> lumped  up particulars of claim are so vague and </w:t>
      </w:r>
      <w:r w:rsidR="003E5DFC">
        <w:rPr>
          <w:u w:val="none"/>
          <w:lang w:val="en-ZA"/>
        </w:rPr>
        <w:t>embarrassing</w:t>
      </w:r>
      <w:r w:rsidR="0095434F">
        <w:rPr>
          <w:u w:val="none"/>
          <w:lang w:val="en-ZA"/>
        </w:rPr>
        <w:t xml:space="preserve"> and do not comply with the provisions of Rule 18(4). </w:t>
      </w:r>
    </w:p>
    <w:p w14:paraId="274D4B1B" w14:textId="77777777" w:rsidR="00222875" w:rsidRDefault="00222875" w:rsidP="00DB2E83">
      <w:pPr>
        <w:spacing w:line="360" w:lineRule="auto"/>
        <w:jc w:val="both"/>
        <w:rPr>
          <w:u w:val="none"/>
          <w:lang w:val="en-ZA"/>
        </w:rPr>
      </w:pPr>
    </w:p>
    <w:p w14:paraId="0D739443" w14:textId="28CC7D95" w:rsidR="00277588" w:rsidRDefault="00222875" w:rsidP="00BF251B">
      <w:pPr>
        <w:spacing w:line="360" w:lineRule="auto"/>
        <w:ind w:left="720" w:hanging="650"/>
        <w:jc w:val="both"/>
        <w:rPr>
          <w:u w:val="none"/>
          <w:lang w:val="en-ZA"/>
        </w:rPr>
      </w:pPr>
      <w:r>
        <w:rPr>
          <w:u w:val="none"/>
          <w:lang w:val="en-ZA"/>
        </w:rPr>
        <w:t>[</w:t>
      </w:r>
      <w:r w:rsidR="00FF42A6">
        <w:rPr>
          <w:u w:val="none"/>
          <w:lang w:val="en-ZA"/>
        </w:rPr>
        <w:t>12]</w:t>
      </w:r>
      <w:r w:rsidR="00CA60C8">
        <w:rPr>
          <w:u w:val="none"/>
          <w:lang w:val="en-ZA"/>
        </w:rPr>
        <w:tab/>
      </w:r>
      <w:r w:rsidR="0095434F">
        <w:rPr>
          <w:u w:val="none"/>
          <w:lang w:val="en-ZA"/>
        </w:rPr>
        <w:t xml:space="preserve">The next aspect is Rule 18(10).  This subrule stipulates the minimum particulars to be furnished by the Plaintiff with regard to personal injuries to enable the Defendant reasonably to estimate the quantum of the Plaintiff’s damages and plead thereto.  </w:t>
      </w:r>
    </w:p>
    <w:p w14:paraId="249F4828" w14:textId="76880B7B" w:rsidR="00277588" w:rsidRDefault="00277588" w:rsidP="00DB2E83">
      <w:pPr>
        <w:spacing w:line="360" w:lineRule="auto"/>
        <w:jc w:val="both"/>
        <w:rPr>
          <w:u w:val="none"/>
          <w:lang w:val="en-ZA"/>
        </w:rPr>
      </w:pPr>
    </w:p>
    <w:p w14:paraId="6C08CB12" w14:textId="62DC7332" w:rsidR="00714F8C" w:rsidRDefault="00987F3C" w:rsidP="0095434F">
      <w:pPr>
        <w:spacing w:line="360" w:lineRule="auto"/>
        <w:ind w:left="720" w:hanging="720"/>
        <w:jc w:val="both"/>
        <w:rPr>
          <w:u w:val="none"/>
          <w:lang w:val="en-ZA"/>
        </w:rPr>
      </w:pPr>
      <w:r>
        <w:rPr>
          <w:u w:val="none"/>
          <w:lang w:val="en-ZA"/>
        </w:rPr>
        <w:t>[</w:t>
      </w:r>
      <w:r w:rsidR="00FF42A6" w:rsidRPr="00AC2568">
        <w:rPr>
          <w:u w:val="none"/>
          <w:lang w:val="en-ZA"/>
        </w:rPr>
        <w:t>13]</w:t>
      </w:r>
      <w:r w:rsidR="00CE501D">
        <w:rPr>
          <w:u w:val="none"/>
          <w:lang w:val="en-ZA"/>
        </w:rPr>
        <w:tab/>
      </w:r>
      <w:r w:rsidR="00F81E99">
        <w:rPr>
          <w:u w:val="none"/>
          <w:lang w:val="en-ZA"/>
        </w:rPr>
        <w:t xml:space="preserve"> </w:t>
      </w:r>
      <w:r w:rsidR="0095434F">
        <w:rPr>
          <w:u w:val="none"/>
          <w:lang w:val="en-ZA"/>
        </w:rPr>
        <w:t>The Plaintiff has failed to comply with the requirements of subrule 18(10) in the following respects:</w:t>
      </w:r>
    </w:p>
    <w:p w14:paraId="26BA15CB" w14:textId="77777777" w:rsidR="0095434F" w:rsidRDefault="0095434F" w:rsidP="0095434F">
      <w:pPr>
        <w:spacing w:line="360" w:lineRule="auto"/>
        <w:ind w:left="720" w:hanging="720"/>
        <w:jc w:val="both"/>
        <w:rPr>
          <w:u w:val="none"/>
          <w:lang w:val="en-ZA"/>
        </w:rPr>
      </w:pPr>
    </w:p>
    <w:p w14:paraId="553FD904" w14:textId="08A7FAF9" w:rsidR="0095434F" w:rsidRPr="0020112D" w:rsidRDefault="0095434F" w:rsidP="0095434F">
      <w:pPr>
        <w:pStyle w:val="ListParagraph"/>
        <w:numPr>
          <w:ilvl w:val="0"/>
          <w:numId w:val="24"/>
        </w:numPr>
        <w:spacing w:line="360" w:lineRule="auto"/>
        <w:jc w:val="both"/>
        <w:rPr>
          <w:u w:val="none"/>
          <w:lang w:val="en-US"/>
        </w:rPr>
      </w:pPr>
      <w:r w:rsidRPr="0020112D">
        <w:rPr>
          <w:u w:val="none"/>
          <w:lang w:val="en-US"/>
        </w:rPr>
        <w:t>Her date of birth is not indicated</w:t>
      </w:r>
      <w:r w:rsidR="0020112D">
        <w:rPr>
          <w:u w:val="none"/>
          <w:lang w:val="en-US"/>
        </w:rPr>
        <w:t>.</w:t>
      </w:r>
      <w:r w:rsidRPr="0020112D">
        <w:rPr>
          <w:u w:val="none"/>
          <w:lang w:val="en-US"/>
        </w:rPr>
        <w:t xml:space="preserve"> </w:t>
      </w:r>
    </w:p>
    <w:p w14:paraId="30DCD248" w14:textId="2F53E12C" w:rsidR="0020112D" w:rsidRPr="0020112D" w:rsidRDefault="0020112D" w:rsidP="0095434F">
      <w:pPr>
        <w:pStyle w:val="ListParagraph"/>
        <w:numPr>
          <w:ilvl w:val="0"/>
          <w:numId w:val="24"/>
        </w:numPr>
        <w:spacing w:line="360" w:lineRule="auto"/>
        <w:jc w:val="both"/>
        <w:rPr>
          <w:lang w:val="en-US"/>
        </w:rPr>
      </w:pPr>
      <w:r>
        <w:rPr>
          <w:u w:val="none"/>
          <w:lang w:val="en-US"/>
        </w:rPr>
        <w:lastRenderedPageBreak/>
        <w:t>Failed to state the nature and extent of any injury she sustained.</w:t>
      </w:r>
    </w:p>
    <w:p w14:paraId="492C0420" w14:textId="77777777" w:rsidR="0020112D" w:rsidRPr="0020112D" w:rsidRDefault="0020112D" w:rsidP="0020112D">
      <w:pPr>
        <w:pStyle w:val="ListParagraph"/>
        <w:spacing w:line="360" w:lineRule="auto"/>
        <w:ind w:left="1080"/>
        <w:jc w:val="both"/>
        <w:rPr>
          <w:lang w:val="en-US"/>
        </w:rPr>
      </w:pPr>
    </w:p>
    <w:p w14:paraId="3A8863EE" w14:textId="6015E1E9" w:rsidR="0020112D" w:rsidRPr="0095434F" w:rsidRDefault="0020112D" w:rsidP="0095434F">
      <w:pPr>
        <w:pStyle w:val="ListParagraph"/>
        <w:numPr>
          <w:ilvl w:val="0"/>
          <w:numId w:val="24"/>
        </w:numPr>
        <w:spacing w:line="360" w:lineRule="auto"/>
        <w:jc w:val="both"/>
        <w:rPr>
          <w:lang w:val="en-US"/>
        </w:rPr>
      </w:pPr>
      <w:r>
        <w:rPr>
          <w:u w:val="none"/>
          <w:lang w:val="en-US"/>
        </w:rPr>
        <w:t xml:space="preserve">The R40 million claim in paragraph 16.1 is said to be for general damages, being loss of life, wrongful death, funeral expenses, ritual expenses, damages to her good name, </w:t>
      </w:r>
      <w:r w:rsidR="00927517">
        <w:rPr>
          <w:u w:val="none"/>
          <w:lang w:val="en-US"/>
        </w:rPr>
        <w:t>loss</w:t>
      </w:r>
      <w:r>
        <w:rPr>
          <w:u w:val="none"/>
          <w:lang w:val="en-US"/>
        </w:rPr>
        <w:t xml:space="preserve"> of dignity and psychological shock. </w:t>
      </w:r>
    </w:p>
    <w:p w14:paraId="6BBA6F3F" w14:textId="77777777" w:rsidR="00217788" w:rsidRPr="004B261D" w:rsidRDefault="00217788" w:rsidP="005F292F">
      <w:pPr>
        <w:spacing w:line="360" w:lineRule="auto"/>
        <w:ind w:left="720" w:hanging="720"/>
        <w:jc w:val="both"/>
        <w:rPr>
          <w:lang w:val="en-ZA"/>
        </w:rPr>
      </w:pPr>
    </w:p>
    <w:p w14:paraId="29706546" w14:textId="4288889A" w:rsidR="002F29D6" w:rsidRPr="002E7BA5" w:rsidRDefault="0063028E" w:rsidP="003616C6">
      <w:pPr>
        <w:spacing w:line="360" w:lineRule="auto"/>
        <w:ind w:left="720" w:hanging="720"/>
        <w:jc w:val="both"/>
        <w:rPr>
          <w:sz w:val="22"/>
          <w:szCs w:val="22"/>
          <w:u w:val="none"/>
          <w:lang w:val="en-ZA"/>
        </w:rPr>
      </w:pPr>
      <w:r>
        <w:rPr>
          <w:u w:val="none"/>
          <w:lang w:val="en-ZA"/>
        </w:rPr>
        <w:t>[14]</w:t>
      </w:r>
      <w:r w:rsidR="00F81E99">
        <w:rPr>
          <w:u w:val="none"/>
          <w:lang w:val="en-ZA"/>
        </w:rPr>
        <w:tab/>
      </w:r>
      <w:r w:rsidR="0020112D">
        <w:rPr>
          <w:u w:val="none"/>
          <w:lang w:val="en-ZA"/>
        </w:rPr>
        <w:t>This prayer in paragraph 16 is so vague and embarrassing as it does not say and detail how much is to be allocated to each class of injury being claimed everything is lumped up together and this result</w:t>
      </w:r>
      <w:r w:rsidR="00927517">
        <w:rPr>
          <w:u w:val="none"/>
          <w:lang w:val="en-ZA"/>
        </w:rPr>
        <w:t>s</w:t>
      </w:r>
      <w:r w:rsidR="0020112D">
        <w:rPr>
          <w:u w:val="none"/>
          <w:lang w:val="en-ZA"/>
        </w:rPr>
        <w:t xml:space="preserve"> in the Defendant not being able to ascertain whether or not the Plaintiff’s assessment of the quantum is correct. </w:t>
      </w:r>
    </w:p>
    <w:p w14:paraId="4764CD80" w14:textId="5EA635F2" w:rsidR="00495B46" w:rsidRDefault="00E26A27" w:rsidP="00DB2E83">
      <w:pPr>
        <w:spacing w:line="360" w:lineRule="auto"/>
        <w:jc w:val="both"/>
        <w:rPr>
          <w:u w:val="none"/>
          <w:lang w:val="en-ZA"/>
        </w:rPr>
      </w:pPr>
      <w:r>
        <w:rPr>
          <w:u w:val="none"/>
          <w:lang w:val="en-ZA"/>
        </w:rPr>
        <w:tab/>
      </w:r>
    </w:p>
    <w:p w14:paraId="474A38A5" w14:textId="77777777" w:rsidR="0020112D" w:rsidRDefault="0063028E" w:rsidP="00714F8C">
      <w:pPr>
        <w:spacing w:line="360" w:lineRule="auto"/>
        <w:ind w:left="720" w:hanging="720"/>
        <w:jc w:val="both"/>
        <w:rPr>
          <w:u w:val="none"/>
          <w:lang w:val="en-ZA"/>
        </w:rPr>
      </w:pPr>
      <w:r>
        <w:rPr>
          <w:u w:val="none"/>
          <w:lang w:val="en-ZA"/>
        </w:rPr>
        <w:t>[15]</w:t>
      </w:r>
      <w:r w:rsidR="00AA7876">
        <w:rPr>
          <w:u w:val="none"/>
          <w:lang w:val="en-ZA"/>
        </w:rPr>
        <w:tab/>
      </w:r>
      <w:r w:rsidR="0020112D">
        <w:rPr>
          <w:u w:val="none"/>
          <w:lang w:val="en-ZA"/>
        </w:rPr>
        <w:t xml:space="preserve">Makgoka J as he then was in </w:t>
      </w:r>
      <w:r w:rsidR="0020112D" w:rsidRPr="00D53251">
        <w:rPr>
          <w:b/>
          <w:bCs/>
          <w:u w:val="none"/>
          <w:lang w:val="en-ZA"/>
        </w:rPr>
        <w:t>Living Hands v Ditz 2013 (2) SA 368 at 374 G</w:t>
      </w:r>
      <w:r w:rsidR="0020112D">
        <w:rPr>
          <w:u w:val="none"/>
          <w:lang w:val="en-ZA"/>
        </w:rPr>
        <w:t xml:space="preserve"> set out the general principles in exception proceedings as follows:</w:t>
      </w:r>
    </w:p>
    <w:p w14:paraId="1886263A" w14:textId="77777777" w:rsidR="0020112D" w:rsidRDefault="0020112D" w:rsidP="00714F8C">
      <w:pPr>
        <w:spacing w:line="360" w:lineRule="auto"/>
        <w:ind w:left="720" w:hanging="720"/>
        <w:jc w:val="both"/>
        <w:rPr>
          <w:u w:val="none"/>
          <w:lang w:val="en-ZA"/>
        </w:rPr>
      </w:pPr>
    </w:p>
    <w:p w14:paraId="0474CE2A" w14:textId="139FC002" w:rsidR="0020112D" w:rsidRDefault="0020112D" w:rsidP="0020112D">
      <w:pPr>
        <w:spacing w:line="360" w:lineRule="auto"/>
        <w:ind w:left="2160" w:hanging="720"/>
        <w:jc w:val="both"/>
        <w:rPr>
          <w:u w:val="none"/>
          <w:lang w:val="en-ZA"/>
        </w:rPr>
      </w:pPr>
      <w:r>
        <w:rPr>
          <w:u w:val="none"/>
          <w:lang w:val="en-ZA"/>
        </w:rPr>
        <w:t xml:space="preserve">15.1 </w:t>
      </w:r>
      <w:r>
        <w:rPr>
          <w:u w:val="none"/>
          <w:lang w:val="en-ZA"/>
        </w:rPr>
        <w:tab/>
        <w:t>In considering an exception that a pleading does not sustain a cause of action the Court will accept as true the allegations pleaded by the Plaintiff to assess whether they disclose a cause of action.</w:t>
      </w:r>
    </w:p>
    <w:p w14:paraId="4A12D74C" w14:textId="77777777" w:rsidR="0020112D" w:rsidRDefault="0020112D" w:rsidP="0020112D">
      <w:pPr>
        <w:spacing w:line="360" w:lineRule="auto"/>
        <w:ind w:left="2160" w:hanging="720"/>
        <w:jc w:val="both"/>
        <w:rPr>
          <w:u w:val="none"/>
          <w:lang w:val="en-ZA"/>
        </w:rPr>
      </w:pPr>
    </w:p>
    <w:p w14:paraId="762F1A3B" w14:textId="106178DD" w:rsidR="0020112D" w:rsidRDefault="0020112D" w:rsidP="0020112D">
      <w:pPr>
        <w:spacing w:line="360" w:lineRule="auto"/>
        <w:ind w:left="2160" w:hanging="720"/>
        <w:jc w:val="both"/>
        <w:rPr>
          <w:u w:val="none"/>
          <w:lang w:val="en-ZA"/>
        </w:rPr>
      </w:pPr>
      <w:r>
        <w:rPr>
          <w:u w:val="none"/>
          <w:lang w:val="en-ZA"/>
        </w:rPr>
        <w:t>15.2</w:t>
      </w:r>
      <w:r>
        <w:rPr>
          <w:u w:val="none"/>
          <w:lang w:val="en-ZA"/>
        </w:rPr>
        <w:tab/>
        <w:t>The object of an exception is not to embarrass one’s opponent or to take advantage of a technical flaw, but to dispose of the case or a portion thereof in an expeditious manner or to protect oneself against embarrassment which is so serious as to merit the costs.</w:t>
      </w:r>
    </w:p>
    <w:p w14:paraId="127642C5" w14:textId="77777777" w:rsidR="0020112D" w:rsidRDefault="0020112D" w:rsidP="0020112D">
      <w:pPr>
        <w:spacing w:line="360" w:lineRule="auto"/>
        <w:ind w:left="2160" w:hanging="720"/>
        <w:jc w:val="both"/>
        <w:rPr>
          <w:u w:val="none"/>
          <w:lang w:val="en-ZA"/>
        </w:rPr>
      </w:pPr>
    </w:p>
    <w:p w14:paraId="22A4A381" w14:textId="77777777" w:rsidR="0020112D" w:rsidRDefault="0020112D" w:rsidP="0020112D">
      <w:pPr>
        <w:spacing w:line="360" w:lineRule="auto"/>
        <w:ind w:left="2160" w:hanging="720"/>
        <w:jc w:val="both"/>
        <w:rPr>
          <w:u w:val="none"/>
          <w:lang w:val="en-ZA"/>
        </w:rPr>
      </w:pPr>
      <w:r>
        <w:rPr>
          <w:u w:val="none"/>
          <w:lang w:val="en-ZA"/>
        </w:rPr>
        <w:t>15.3</w:t>
      </w:r>
      <w:r>
        <w:rPr>
          <w:u w:val="none"/>
          <w:lang w:val="en-ZA"/>
        </w:rPr>
        <w:tab/>
        <w:t>The purpose of an exception is to raise a substantive question of law which may have the effect of settling the dispute between the parties if the exception is not taken for that purpose an Excipient should make out a very clear case before it would be allowed to succeed.</w:t>
      </w:r>
    </w:p>
    <w:p w14:paraId="23B64EAE" w14:textId="77777777" w:rsidR="0020112D" w:rsidRDefault="0020112D" w:rsidP="0020112D">
      <w:pPr>
        <w:spacing w:line="360" w:lineRule="auto"/>
        <w:ind w:left="2160" w:hanging="720"/>
        <w:jc w:val="both"/>
        <w:rPr>
          <w:u w:val="none"/>
          <w:lang w:val="en-ZA"/>
        </w:rPr>
      </w:pPr>
    </w:p>
    <w:p w14:paraId="085A05AC" w14:textId="77777777" w:rsidR="0020112D" w:rsidRDefault="0020112D" w:rsidP="0020112D">
      <w:pPr>
        <w:spacing w:line="360" w:lineRule="auto"/>
        <w:ind w:left="2160" w:hanging="720"/>
        <w:jc w:val="both"/>
        <w:rPr>
          <w:u w:val="none"/>
          <w:lang w:val="en-ZA"/>
        </w:rPr>
      </w:pPr>
      <w:r>
        <w:rPr>
          <w:u w:val="none"/>
          <w:lang w:val="en-ZA"/>
        </w:rPr>
        <w:t>15.4</w:t>
      </w:r>
      <w:r>
        <w:rPr>
          <w:u w:val="none"/>
          <w:lang w:val="en-ZA"/>
        </w:rPr>
        <w:tab/>
        <w:t>An Excipient who alleges that the summons does not disclose a cause of action must establish that, upon any construction of the particulars of claim no cause of action is disclosed.</w:t>
      </w:r>
    </w:p>
    <w:p w14:paraId="723CB8B1" w14:textId="77777777" w:rsidR="0020112D" w:rsidRDefault="0020112D" w:rsidP="0020112D">
      <w:pPr>
        <w:spacing w:line="360" w:lineRule="auto"/>
        <w:ind w:left="2160" w:hanging="720"/>
        <w:jc w:val="both"/>
        <w:rPr>
          <w:u w:val="none"/>
          <w:lang w:val="en-ZA"/>
        </w:rPr>
      </w:pPr>
    </w:p>
    <w:p w14:paraId="2ED8DF0C" w14:textId="4E400ED8" w:rsidR="0020112D" w:rsidRDefault="0020112D" w:rsidP="0020112D">
      <w:pPr>
        <w:spacing w:line="360" w:lineRule="auto"/>
        <w:ind w:left="2160" w:hanging="720"/>
        <w:jc w:val="both"/>
        <w:rPr>
          <w:u w:val="none"/>
          <w:lang w:val="en-ZA"/>
        </w:rPr>
      </w:pPr>
      <w:r>
        <w:rPr>
          <w:u w:val="none"/>
          <w:lang w:val="en-ZA"/>
        </w:rPr>
        <w:t>15.5</w:t>
      </w:r>
      <w:r>
        <w:rPr>
          <w:u w:val="none"/>
          <w:lang w:val="en-ZA"/>
        </w:rPr>
        <w:tab/>
        <w:t>An over technical approach should be avoided because it destroys the usefulness of the exception procedure which is to we</w:t>
      </w:r>
      <w:r w:rsidR="00927517">
        <w:rPr>
          <w:u w:val="none"/>
          <w:lang w:val="en-ZA"/>
        </w:rPr>
        <w:t>e</w:t>
      </w:r>
      <w:r>
        <w:rPr>
          <w:u w:val="none"/>
          <w:lang w:val="en-ZA"/>
        </w:rPr>
        <w:t>d out cases without legal merit</w:t>
      </w:r>
      <w:r w:rsidR="003E5DFC">
        <w:rPr>
          <w:u w:val="none"/>
          <w:lang w:val="en-ZA"/>
        </w:rPr>
        <w:t>s.</w:t>
      </w:r>
    </w:p>
    <w:p w14:paraId="53708269" w14:textId="77777777" w:rsidR="003E5DFC" w:rsidRDefault="003E5DFC" w:rsidP="0020112D">
      <w:pPr>
        <w:spacing w:line="360" w:lineRule="auto"/>
        <w:ind w:left="2160" w:hanging="720"/>
        <w:jc w:val="both"/>
        <w:rPr>
          <w:u w:val="none"/>
          <w:lang w:val="en-ZA"/>
        </w:rPr>
      </w:pPr>
    </w:p>
    <w:p w14:paraId="2BB68198" w14:textId="0E8F7B43" w:rsidR="0020112D" w:rsidRDefault="0020112D" w:rsidP="0020112D">
      <w:pPr>
        <w:spacing w:line="360" w:lineRule="auto"/>
        <w:ind w:left="2160" w:hanging="720"/>
        <w:jc w:val="both"/>
        <w:rPr>
          <w:u w:val="none"/>
          <w:lang w:val="en-ZA"/>
        </w:rPr>
      </w:pPr>
      <w:r>
        <w:rPr>
          <w:u w:val="none"/>
          <w:lang w:val="en-ZA"/>
        </w:rPr>
        <w:t>15.6</w:t>
      </w:r>
      <w:r>
        <w:rPr>
          <w:u w:val="none"/>
          <w:lang w:val="en-ZA"/>
        </w:rPr>
        <w:tab/>
        <w:t xml:space="preserve">Pleadings must be read </w:t>
      </w:r>
      <w:r w:rsidR="003E5DFC">
        <w:rPr>
          <w:u w:val="none"/>
          <w:lang w:val="en-ZA"/>
        </w:rPr>
        <w:t>as a whole,</w:t>
      </w:r>
      <w:r>
        <w:rPr>
          <w:u w:val="none"/>
          <w:lang w:val="en-ZA"/>
        </w:rPr>
        <w:t xml:space="preserve"> and an exception cannot be taken to a paragraph or a part of the pleading that is not self-contained.</w:t>
      </w:r>
    </w:p>
    <w:p w14:paraId="65041D74" w14:textId="77777777" w:rsidR="0020112D" w:rsidRDefault="0020112D" w:rsidP="0020112D">
      <w:pPr>
        <w:spacing w:line="360" w:lineRule="auto"/>
        <w:ind w:left="2160" w:hanging="720"/>
        <w:jc w:val="both"/>
        <w:rPr>
          <w:u w:val="none"/>
          <w:lang w:val="en-ZA"/>
        </w:rPr>
      </w:pPr>
    </w:p>
    <w:p w14:paraId="23A91BDB" w14:textId="01590572" w:rsidR="0020112D" w:rsidRDefault="0020112D" w:rsidP="0020112D">
      <w:pPr>
        <w:spacing w:line="360" w:lineRule="auto"/>
        <w:ind w:left="2160" w:hanging="720"/>
        <w:jc w:val="both"/>
        <w:rPr>
          <w:u w:val="none"/>
          <w:lang w:val="en-ZA"/>
        </w:rPr>
      </w:pPr>
      <w:r>
        <w:rPr>
          <w:u w:val="none"/>
          <w:lang w:val="en-ZA"/>
        </w:rPr>
        <w:t>15.7</w:t>
      </w:r>
      <w:r>
        <w:rPr>
          <w:u w:val="none"/>
          <w:lang w:val="en-ZA"/>
        </w:rPr>
        <w:tab/>
        <w:t xml:space="preserve">Minor blemishes and unradical embarrassments caused by a pleading can and should be cured by further particulars. </w:t>
      </w:r>
    </w:p>
    <w:p w14:paraId="5D5FE8A5" w14:textId="3C6832E2" w:rsidR="0023249E" w:rsidRDefault="0020112D" w:rsidP="00714F8C">
      <w:pPr>
        <w:spacing w:line="360" w:lineRule="auto"/>
        <w:ind w:left="720" w:hanging="720"/>
        <w:jc w:val="both"/>
        <w:rPr>
          <w:u w:val="none"/>
          <w:lang w:val="en-US"/>
        </w:rPr>
      </w:pPr>
      <w:r>
        <w:rPr>
          <w:u w:val="none"/>
          <w:lang w:val="en-ZA"/>
        </w:rPr>
        <w:t xml:space="preserve"> </w:t>
      </w:r>
    </w:p>
    <w:p w14:paraId="2276C42E" w14:textId="77777777" w:rsidR="00B26CD9" w:rsidRDefault="00B26CD9" w:rsidP="00714F8C">
      <w:pPr>
        <w:spacing w:line="360" w:lineRule="auto"/>
        <w:ind w:left="720" w:hanging="720"/>
        <w:jc w:val="both"/>
        <w:rPr>
          <w:u w:val="none"/>
          <w:lang w:val="en-ZA"/>
        </w:rPr>
      </w:pPr>
    </w:p>
    <w:p w14:paraId="7390C0B6" w14:textId="77777777" w:rsidR="003E5DFC" w:rsidRDefault="001C3DF4" w:rsidP="003E5DFC">
      <w:pPr>
        <w:spacing w:line="360" w:lineRule="auto"/>
        <w:ind w:left="720" w:hanging="720"/>
        <w:jc w:val="both"/>
        <w:rPr>
          <w:u w:val="none"/>
          <w:lang w:val="en-ZA"/>
        </w:rPr>
      </w:pPr>
      <w:r w:rsidRPr="001C3DF4">
        <w:rPr>
          <w:u w:val="none"/>
          <w:lang w:val="en-ZA"/>
        </w:rPr>
        <w:t>[16]</w:t>
      </w:r>
      <w:r w:rsidR="003E5DFC">
        <w:rPr>
          <w:u w:val="none"/>
          <w:lang w:val="en-ZA"/>
        </w:rPr>
        <w:tab/>
        <w:t>The particulars of claim in this matter are so badly drawn up that they will not survive amendment.  In my view upon any construction of the particulars of claim no cause of action is disclosed against any of the Defendants.  In the result I make the following order:</w:t>
      </w:r>
    </w:p>
    <w:p w14:paraId="0B03FED3" w14:textId="0BB427CE" w:rsidR="00E054A9" w:rsidRDefault="00E054A9" w:rsidP="00645E19">
      <w:pPr>
        <w:spacing w:line="360" w:lineRule="auto"/>
        <w:ind w:left="720" w:hanging="720"/>
        <w:jc w:val="both"/>
        <w:rPr>
          <w:u w:val="none"/>
          <w:lang w:val="en-ZA"/>
        </w:rPr>
      </w:pPr>
    </w:p>
    <w:p w14:paraId="68D35634" w14:textId="771A27D6" w:rsidR="00373C92" w:rsidRPr="001A39E6" w:rsidRDefault="00673FAF" w:rsidP="001A39E6">
      <w:pPr>
        <w:spacing w:line="360" w:lineRule="auto"/>
        <w:ind w:firstLine="720"/>
        <w:jc w:val="both"/>
        <w:rPr>
          <w:lang w:val="en-ZA"/>
        </w:rPr>
      </w:pPr>
      <w:r w:rsidRPr="001A39E6">
        <w:rPr>
          <w:lang w:val="en-ZA"/>
        </w:rPr>
        <w:t>ORDER</w:t>
      </w:r>
    </w:p>
    <w:p w14:paraId="4395C75A" w14:textId="00E96FE6" w:rsidR="000D47FC" w:rsidRDefault="000D47FC" w:rsidP="00DB2E83">
      <w:pPr>
        <w:spacing w:line="360" w:lineRule="auto"/>
        <w:jc w:val="both"/>
        <w:rPr>
          <w:u w:val="none"/>
          <w:lang w:val="en-ZA"/>
        </w:rPr>
      </w:pPr>
    </w:p>
    <w:p w14:paraId="0D039110" w14:textId="1833478A" w:rsidR="003E5DFC" w:rsidRDefault="00673FAF" w:rsidP="00F723BD">
      <w:pPr>
        <w:pStyle w:val="ListParagraph"/>
        <w:numPr>
          <w:ilvl w:val="0"/>
          <w:numId w:val="18"/>
        </w:numPr>
        <w:spacing w:line="360" w:lineRule="auto"/>
        <w:jc w:val="both"/>
        <w:rPr>
          <w:u w:val="none"/>
          <w:lang w:val="en-US"/>
        </w:rPr>
      </w:pPr>
      <w:r w:rsidRPr="00673FAF">
        <w:rPr>
          <w:u w:val="none"/>
          <w:lang w:val="en-US"/>
        </w:rPr>
        <w:t xml:space="preserve">The </w:t>
      </w:r>
      <w:r w:rsidR="003E5DFC">
        <w:rPr>
          <w:u w:val="none"/>
          <w:lang w:val="en-US"/>
        </w:rPr>
        <w:t>Exception Is upheld.</w:t>
      </w:r>
    </w:p>
    <w:p w14:paraId="3F1BD10F" w14:textId="77777777" w:rsidR="003E5DFC" w:rsidRDefault="003E5DFC" w:rsidP="003E5DFC">
      <w:pPr>
        <w:pStyle w:val="ListParagraph"/>
        <w:spacing w:line="360" w:lineRule="auto"/>
        <w:ind w:left="1800"/>
        <w:jc w:val="both"/>
        <w:rPr>
          <w:u w:val="none"/>
          <w:lang w:val="en-US"/>
        </w:rPr>
      </w:pPr>
    </w:p>
    <w:p w14:paraId="413B5676" w14:textId="20384B9C" w:rsidR="003E5DFC" w:rsidRDefault="003E5DFC" w:rsidP="00F723BD">
      <w:pPr>
        <w:pStyle w:val="ListParagraph"/>
        <w:numPr>
          <w:ilvl w:val="0"/>
          <w:numId w:val="18"/>
        </w:numPr>
        <w:spacing w:line="360" w:lineRule="auto"/>
        <w:jc w:val="both"/>
        <w:rPr>
          <w:u w:val="none"/>
          <w:lang w:val="en-US"/>
        </w:rPr>
      </w:pPr>
      <w:r>
        <w:rPr>
          <w:u w:val="none"/>
          <w:lang w:val="en-US"/>
        </w:rPr>
        <w:t>The Plaintiff’s particulars of claim are vague, embarrassing and do not disclose or sustain a cause of action and are accordingly struck off.</w:t>
      </w:r>
    </w:p>
    <w:p w14:paraId="225E8E7D" w14:textId="77777777" w:rsidR="003E5DFC" w:rsidRPr="003E5DFC" w:rsidRDefault="003E5DFC" w:rsidP="003E5DFC">
      <w:pPr>
        <w:spacing w:line="360" w:lineRule="auto"/>
        <w:jc w:val="both"/>
        <w:rPr>
          <w:u w:val="none"/>
          <w:lang w:val="en-US"/>
        </w:rPr>
      </w:pPr>
    </w:p>
    <w:p w14:paraId="66A4258B" w14:textId="77777777" w:rsidR="003E5DFC" w:rsidRDefault="003E5DFC" w:rsidP="00F723BD">
      <w:pPr>
        <w:pStyle w:val="ListParagraph"/>
        <w:numPr>
          <w:ilvl w:val="0"/>
          <w:numId w:val="18"/>
        </w:numPr>
        <w:spacing w:line="360" w:lineRule="auto"/>
        <w:jc w:val="both"/>
        <w:rPr>
          <w:u w:val="none"/>
          <w:lang w:val="en-US"/>
        </w:rPr>
      </w:pPr>
      <w:r>
        <w:rPr>
          <w:u w:val="none"/>
          <w:lang w:val="en-US"/>
        </w:rPr>
        <w:t>The Plaintiff/ Respondent is ordered to pay the costs of this application on a party and party scale.</w:t>
      </w:r>
    </w:p>
    <w:p w14:paraId="58224EFD" w14:textId="77777777" w:rsidR="003E5DFC" w:rsidRDefault="003E5DFC" w:rsidP="003E5DFC">
      <w:pPr>
        <w:pStyle w:val="ListParagraph"/>
        <w:spacing w:line="360" w:lineRule="auto"/>
        <w:ind w:left="1800"/>
        <w:jc w:val="both"/>
        <w:rPr>
          <w:u w:val="none"/>
          <w:lang w:val="en-US"/>
        </w:rPr>
      </w:pPr>
    </w:p>
    <w:p w14:paraId="327623D5" w14:textId="77777777" w:rsidR="009F12F8" w:rsidRDefault="009F12F8" w:rsidP="009F12F8">
      <w:pPr>
        <w:spacing w:line="360" w:lineRule="auto"/>
        <w:jc w:val="both"/>
        <w:rPr>
          <w:u w:val="none"/>
          <w:lang w:val="en-ZA"/>
        </w:rPr>
      </w:pPr>
    </w:p>
    <w:p w14:paraId="68DA6C27" w14:textId="39510D3A" w:rsidR="00F375AB" w:rsidRPr="009F12F8" w:rsidRDefault="00F72759" w:rsidP="009F12F8">
      <w:pPr>
        <w:spacing w:line="360" w:lineRule="auto"/>
        <w:jc w:val="both"/>
        <w:rPr>
          <w:u w:val="none"/>
          <w:lang w:val="en-ZA"/>
        </w:rPr>
      </w:pPr>
      <w:r>
        <w:rPr>
          <w:u w:val="none"/>
          <w:lang w:val="en-ZA"/>
        </w:rPr>
        <w:t xml:space="preserve">Dated at Johannesburg on this    </w:t>
      </w:r>
      <w:r w:rsidR="00047E9E">
        <w:rPr>
          <w:u w:val="none"/>
          <w:lang w:val="en-ZA"/>
        </w:rPr>
        <w:t xml:space="preserve"> </w:t>
      </w:r>
      <w:r w:rsidR="00F375AB" w:rsidRPr="009F12F8">
        <w:rPr>
          <w:u w:val="none"/>
          <w:lang w:val="en-ZA"/>
        </w:rPr>
        <w:t xml:space="preserve">day of </w:t>
      </w:r>
      <w:r w:rsidR="00673FAF">
        <w:rPr>
          <w:u w:val="none"/>
          <w:lang w:val="en-ZA"/>
        </w:rPr>
        <w:t>February</w:t>
      </w:r>
      <w:r w:rsidR="004F1B25" w:rsidRPr="009F12F8">
        <w:rPr>
          <w:u w:val="none"/>
          <w:lang w:val="en-ZA"/>
        </w:rPr>
        <w:t xml:space="preserve"> 202</w:t>
      </w:r>
      <w:r w:rsidR="00673FAF">
        <w:rPr>
          <w:u w:val="none"/>
          <w:lang w:val="en-ZA"/>
        </w:rPr>
        <w:t>4</w:t>
      </w:r>
      <w:r w:rsidR="00F375AB" w:rsidRPr="009F12F8">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5E81EA66" w14:textId="77777777" w:rsidR="001A4049" w:rsidRDefault="001A4049"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lastRenderedPageBreak/>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4E15763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14:paraId="6DA8E825" w14:textId="77777777" w:rsidR="001A39E6" w:rsidRDefault="001A39E6" w:rsidP="00DB2E83">
      <w:pPr>
        <w:tabs>
          <w:tab w:val="right" w:pos="0"/>
        </w:tabs>
        <w:jc w:val="both"/>
        <w:rPr>
          <w:b/>
          <w:u w:val="none"/>
          <w:lang w:val="en-ZA"/>
        </w:rPr>
      </w:pPr>
    </w:p>
    <w:p w14:paraId="14E62413" w14:textId="28961571" w:rsidR="001A39E6" w:rsidRPr="003E5DFC" w:rsidRDefault="003E5DFC" w:rsidP="00DB2E83">
      <w:pPr>
        <w:tabs>
          <w:tab w:val="right" w:pos="0"/>
        </w:tabs>
        <w:jc w:val="both"/>
        <w:rPr>
          <w:b/>
          <w:lang w:val="en-ZA"/>
        </w:rPr>
      </w:pPr>
      <w:r w:rsidRPr="003E5DFC">
        <w:rPr>
          <w:b/>
          <w:lang w:val="en-ZA"/>
        </w:rPr>
        <w:t>Appearances</w:t>
      </w:r>
    </w:p>
    <w:p w14:paraId="33424CF4" w14:textId="77777777" w:rsidR="003E5DFC" w:rsidRDefault="003E5DFC" w:rsidP="00DB2E83">
      <w:pPr>
        <w:tabs>
          <w:tab w:val="right" w:pos="0"/>
        </w:tabs>
        <w:jc w:val="both"/>
        <w:rPr>
          <w:b/>
          <w:u w:val="none"/>
          <w:lang w:val="en-ZA"/>
        </w:rPr>
      </w:pPr>
    </w:p>
    <w:p w14:paraId="377128ED" w14:textId="589CB320" w:rsidR="003E5DFC" w:rsidRPr="003E5DFC" w:rsidRDefault="003E5DFC" w:rsidP="00DB2E83">
      <w:pPr>
        <w:tabs>
          <w:tab w:val="right" w:pos="0"/>
        </w:tabs>
        <w:jc w:val="both"/>
        <w:rPr>
          <w:bCs/>
          <w:u w:val="none"/>
          <w:lang w:val="en-ZA"/>
        </w:rPr>
      </w:pPr>
      <w:r w:rsidRPr="003E5DFC">
        <w:rPr>
          <w:bCs/>
          <w:u w:val="none"/>
          <w:lang w:val="en-ZA"/>
        </w:rPr>
        <w:t xml:space="preserve">Date of hearing </w:t>
      </w:r>
      <w:r w:rsidRPr="003E5DFC">
        <w:rPr>
          <w:bCs/>
          <w:u w:val="none"/>
          <w:lang w:val="en-ZA"/>
        </w:rPr>
        <w:tab/>
      </w:r>
      <w:r w:rsidRPr="003E5DFC">
        <w:rPr>
          <w:bCs/>
          <w:u w:val="none"/>
          <w:lang w:val="en-ZA"/>
        </w:rPr>
        <w:tab/>
        <w:t>:</w:t>
      </w:r>
      <w:r w:rsidRPr="003E5DFC">
        <w:rPr>
          <w:bCs/>
          <w:u w:val="none"/>
          <w:lang w:val="en-ZA"/>
        </w:rPr>
        <w:tab/>
        <w:t xml:space="preserve"> 28 February 2024</w:t>
      </w:r>
    </w:p>
    <w:p w14:paraId="22C712D5" w14:textId="4E2E3356" w:rsidR="003E5DFC" w:rsidRDefault="003E5DFC" w:rsidP="00DB2E83">
      <w:pPr>
        <w:tabs>
          <w:tab w:val="right" w:pos="0"/>
        </w:tabs>
        <w:jc w:val="both"/>
        <w:rPr>
          <w:bCs/>
          <w:u w:val="none"/>
          <w:lang w:val="en-ZA"/>
        </w:rPr>
      </w:pPr>
      <w:r w:rsidRPr="003E5DFC">
        <w:rPr>
          <w:bCs/>
          <w:u w:val="none"/>
          <w:lang w:val="en-ZA"/>
        </w:rPr>
        <w:t>Date of Judgement</w:t>
      </w:r>
      <w:r>
        <w:rPr>
          <w:bCs/>
          <w:u w:val="none"/>
          <w:lang w:val="en-ZA"/>
        </w:rPr>
        <w:tab/>
      </w:r>
      <w:r w:rsidRPr="003E5DFC">
        <w:rPr>
          <w:bCs/>
          <w:u w:val="none"/>
          <w:lang w:val="en-ZA"/>
        </w:rPr>
        <w:tab/>
        <w:t>:</w:t>
      </w:r>
      <w:r w:rsidRPr="003E5DFC">
        <w:rPr>
          <w:bCs/>
          <w:u w:val="none"/>
          <w:lang w:val="en-ZA"/>
        </w:rPr>
        <w:tab/>
        <w:t xml:space="preserve">  February 2024</w:t>
      </w:r>
      <w:r w:rsidRPr="003E5DFC">
        <w:rPr>
          <w:bCs/>
          <w:u w:val="none"/>
          <w:lang w:val="en-ZA"/>
        </w:rPr>
        <w:tab/>
      </w:r>
    </w:p>
    <w:p w14:paraId="5208586B" w14:textId="77777777" w:rsidR="003E5DFC" w:rsidRDefault="003E5DFC" w:rsidP="00DB2E83">
      <w:pPr>
        <w:tabs>
          <w:tab w:val="right" w:pos="0"/>
        </w:tabs>
        <w:jc w:val="both"/>
        <w:rPr>
          <w:bCs/>
          <w:u w:val="none"/>
          <w:lang w:val="en-ZA"/>
        </w:rPr>
      </w:pPr>
    </w:p>
    <w:p w14:paraId="7977B59C" w14:textId="5E8CC6CA" w:rsidR="003E5DFC" w:rsidRDefault="003E5DFC" w:rsidP="00DB2E83">
      <w:pPr>
        <w:tabs>
          <w:tab w:val="right" w:pos="0"/>
        </w:tabs>
        <w:jc w:val="both"/>
        <w:rPr>
          <w:bCs/>
          <w:u w:val="none"/>
          <w:lang w:val="en-ZA"/>
        </w:rPr>
      </w:pPr>
      <w:r>
        <w:rPr>
          <w:bCs/>
          <w:u w:val="none"/>
          <w:lang w:val="en-ZA"/>
        </w:rPr>
        <w:t>For Excipient</w:t>
      </w:r>
      <w:r>
        <w:rPr>
          <w:bCs/>
          <w:u w:val="none"/>
          <w:lang w:val="en-ZA"/>
        </w:rPr>
        <w:tab/>
      </w:r>
      <w:r>
        <w:rPr>
          <w:bCs/>
          <w:u w:val="none"/>
          <w:lang w:val="en-ZA"/>
        </w:rPr>
        <w:tab/>
      </w:r>
      <w:r>
        <w:rPr>
          <w:bCs/>
          <w:u w:val="none"/>
          <w:lang w:val="en-ZA"/>
        </w:rPr>
        <w:tab/>
        <w:t>:</w:t>
      </w:r>
      <w:r>
        <w:rPr>
          <w:bCs/>
          <w:u w:val="none"/>
          <w:lang w:val="en-ZA"/>
        </w:rPr>
        <w:tab/>
        <w:t>Adv Ntshangase</w:t>
      </w:r>
    </w:p>
    <w:p w14:paraId="4A281AAA" w14:textId="36B85C39" w:rsidR="003E5DFC" w:rsidRDefault="003E5DFC" w:rsidP="00DB2E83">
      <w:pPr>
        <w:tabs>
          <w:tab w:val="right" w:pos="0"/>
        </w:tabs>
        <w:jc w:val="both"/>
        <w:rPr>
          <w:bCs/>
          <w:u w:val="none"/>
          <w:lang w:val="en-ZA"/>
        </w:rPr>
      </w:pPr>
      <w:r>
        <w:rPr>
          <w:bCs/>
          <w:u w:val="none"/>
          <w:lang w:val="en-ZA"/>
        </w:rPr>
        <w:t>Instructed by</w:t>
      </w:r>
      <w:r>
        <w:rPr>
          <w:bCs/>
          <w:u w:val="none"/>
          <w:lang w:val="en-ZA"/>
        </w:rPr>
        <w:tab/>
      </w:r>
      <w:r>
        <w:rPr>
          <w:bCs/>
          <w:u w:val="none"/>
          <w:lang w:val="en-ZA"/>
        </w:rPr>
        <w:tab/>
      </w:r>
      <w:r>
        <w:rPr>
          <w:bCs/>
          <w:u w:val="none"/>
          <w:lang w:val="en-ZA"/>
        </w:rPr>
        <w:tab/>
        <w:t>:</w:t>
      </w:r>
      <w:r>
        <w:rPr>
          <w:bCs/>
          <w:u w:val="none"/>
          <w:lang w:val="en-ZA"/>
        </w:rPr>
        <w:tab/>
        <w:t>Office of the State Attorney</w:t>
      </w:r>
    </w:p>
    <w:p w14:paraId="561D9483" w14:textId="77777777" w:rsidR="003E5DFC" w:rsidRDefault="003E5DFC" w:rsidP="00DB2E83">
      <w:pPr>
        <w:tabs>
          <w:tab w:val="right" w:pos="0"/>
        </w:tabs>
        <w:jc w:val="both"/>
        <w:rPr>
          <w:bCs/>
          <w:u w:val="none"/>
          <w:lang w:val="en-ZA"/>
        </w:rPr>
      </w:pPr>
    </w:p>
    <w:p w14:paraId="298C1AE8" w14:textId="4B2011C4" w:rsidR="003E5DFC" w:rsidRDefault="003E5DFC" w:rsidP="00DB2E83">
      <w:pPr>
        <w:tabs>
          <w:tab w:val="right" w:pos="0"/>
        </w:tabs>
        <w:jc w:val="both"/>
        <w:rPr>
          <w:bCs/>
          <w:u w:val="none"/>
          <w:lang w:val="en-ZA"/>
        </w:rPr>
      </w:pPr>
      <w:r>
        <w:rPr>
          <w:bCs/>
          <w:u w:val="none"/>
          <w:lang w:val="en-ZA"/>
        </w:rPr>
        <w:t>For Respondent</w:t>
      </w:r>
      <w:r>
        <w:rPr>
          <w:bCs/>
          <w:u w:val="none"/>
          <w:lang w:val="en-ZA"/>
        </w:rPr>
        <w:tab/>
      </w:r>
      <w:r>
        <w:rPr>
          <w:bCs/>
          <w:u w:val="none"/>
          <w:lang w:val="en-ZA"/>
        </w:rPr>
        <w:tab/>
        <w:t>:</w:t>
      </w:r>
      <w:r>
        <w:rPr>
          <w:bCs/>
          <w:u w:val="none"/>
          <w:lang w:val="en-ZA"/>
        </w:rPr>
        <w:tab/>
        <w:t>Att Hadebe</w:t>
      </w:r>
    </w:p>
    <w:p w14:paraId="6DDC1695" w14:textId="2DBF6C8A" w:rsidR="003E5DFC" w:rsidRPr="003E5DFC" w:rsidRDefault="003E5DFC" w:rsidP="00DB2E83">
      <w:pPr>
        <w:tabs>
          <w:tab w:val="right" w:pos="0"/>
        </w:tabs>
        <w:jc w:val="both"/>
        <w:rPr>
          <w:bCs/>
          <w:u w:val="none"/>
          <w:lang w:val="en-ZA"/>
        </w:rPr>
      </w:pPr>
      <w:r>
        <w:rPr>
          <w:bCs/>
          <w:u w:val="none"/>
          <w:lang w:val="en-ZA"/>
        </w:rPr>
        <w:t xml:space="preserve">Instructed by </w:t>
      </w:r>
      <w:r>
        <w:rPr>
          <w:bCs/>
          <w:u w:val="none"/>
          <w:lang w:val="en-ZA"/>
        </w:rPr>
        <w:tab/>
      </w:r>
      <w:r>
        <w:rPr>
          <w:bCs/>
          <w:u w:val="none"/>
          <w:lang w:val="en-ZA"/>
        </w:rPr>
        <w:tab/>
        <w:t>:</w:t>
      </w:r>
      <w:r>
        <w:rPr>
          <w:bCs/>
          <w:u w:val="none"/>
          <w:lang w:val="en-ZA"/>
        </w:rPr>
        <w:tab/>
        <w:t>Messrs TS Hadebe</w:t>
      </w:r>
    </w:p>
    <w:p w14:paraId="6EA0FA72" w14:textId="77777777" w:rsidR="001A39E6" w:rsidRPr="003E5DFC" w:rsidRDefault="001A39E6" w:rsidP="00DB2E83">
      <w:pPr>
        <w:tabs>
          <w:tab w:val="right" w:pos="0"/>
        </w:tabs>
        <w:jc w:val="both"/>
        <w:rPr>
          <w:bCs/>
          <w:u w:val="none"/>
          <w:lang w:val="en-ZA"/>
        </w:rPr>
      </w:pPr>
    </w:p>
    <w:p w14:paraId="6C032D0C" w14:textId="77777777" w:rsidR="001A39E6" w:rsidRPr="003E5DFC" w:rsidRDefault="001A39E6" w:rsidP="00DB2E83">
      <w:pPr>
        <w:tabs>
          <w:tab w:val="right" w:pos="0"/>
        </w:tabs>
        <w:jc w:val="both"/>
        <w:rPr>
          <w:bCs/>
          <w:u w:val="none"/>
          <w:lang w:val="en-ZA"/>
        </w:rPr>
      </w:pPr>
    </w:p>
    <w:p w14:paraId="2D351802" w14:textId="77777777" w:rsidR="00784C21" w:rsidRDefault="00784C21" w:rsidP="006B2EAE">
      <w:pPr>
        <w:spacing w:line="360" w:lineRule="auto"/>
        <w:jc w:val="both"/>
        <w:rPr>
          <w:u w:val="none"/>
        </w:rPr>
      </w:pPr>
    </w:p>
    <w:sectPr w:rsidR="00784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5159" w14:textId="77777777" w:rsidR="0021764E" w:rsidRDefault="0021764E" w:rsidP="00ED13B4">
      <w:r>
        <w:separator/>
      </w:r>
    </w:p>
  </w:endnote>
  <w:endnote w:type="continuationSeparator" w:id="0">
    <w:p w14:paraId="25161DC4" w14:textId="77777777" w:rsidR="0021764E" w:rsidRDefault="0021764E"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C015" w14:textId="77777777" w:rsidR="0021764E" w:rsidRDefault="0021764E" w:rsidP="00ED13B4">
      <w:r>
        <w:separator/>
      </w:r>
    </w:p>
  </w:footnote>
  <w:footnote w:type="continuationSeparator" w:id="0">
    <w:p w14:paraId="700E20BE" w14:textId="77777777" w:rsidR="0021764E" w:rsidRDefault="0021764E" w:rsidP="00ED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B695C6E"/>
    <w:multiLevelType w:val="hybridMultilevel"/>
    <w:tmpl w:val="70E43EBC"/>
    <w:lvl w:ilvl="0" w:tplc="5D3C49C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A23524"/>
    <w:multiLevelType w:val="hybridMultilevel"/>
    <w:tmpl w:val="305ECB30"/>
    <w:lvl w:ilvl="0" w:tplc="C53045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B200048"/>
    <w:multiLevelType w:val="hybridMultilevel"/>
    <w:tmpl w:val="2C9E38E2"/>
    <w:lvl w:ilvl="0" w:tplc="6F269FA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5" w15:restartNumberingAfterBreak="0">
    <w:nsid w:val="3E1F623D"/>
    <w:multiLevelType w:val="hybridMultilevel"/>
    <w:tmpl w:val="BE30E9BC"/>
    <w:lvl w:ilvl="0" w:tplc="7FFC827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26B4E6C"/>
    <w:multiLevelType w:val="hybridMultilevel"/>
    <w:tmpl w:val="5A3C3CBA"/>
    <w:lvl w:ilvl="0" w:tplc="22A6BD28">
      <w:start w:val="1"/>
      <w:numFmt w:val="lowerLetter"/>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1"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3"/>
  </w:num>
  <w:num w:numId="5">
    <w:abstractNumId w:val="5"/>
  </w:num>
  <w:num w:numId="6">
    <w:abstractNumId w:val="19"/>
  </w:num>
  <w:num w:numId="7">
    <w:abstractNumId w:val="16"/>
  </w:num>
  <w:num w:numId="8">
    <w:abstractNumId w:val="11"/>
  </w:num>
  <w:num w:numId="9">
    <w:abstractNumId w:val="2"/>
  </w:num>
  <w:num w:numId="10">
    <w:abstractNumId w:val="18"/>
  </w:num>
  <w:num w:numId="11">
    <w:abstractNumId w:val="9"/>
  </w:num>
  <w:num w:numId="12">
    <w:abstractNumId w:val="7"/>
  </w:num>
  <w:num w:numId="13">
    <w:abstractNumId w:val="4"/>
  </w:num>
  <w:num w:numId="14">
    <w:abstractNumId w:val="13"/>
  </w:num>
  <w:num w:numId="15">
    <w:abstractNumId w:val="21"/>
  </w:num>
  <w:num w:numId="16">
    <w:abstractNumId w:val="10"/>
  </w:num>
  <w:num w:numId="17">
    <w:abstractNumId w:val="12"/>
  </w:num>
  <w:num w:numId="18">
    <w:abstractNumId w:val="0"/>
  </w:num>
  <w:num w:numId="19">
    <w:abstractNumId w:val="20"/>
  </w:num>
  <w:num w:numId="20">
    <w:abstractNumId w:val="8"/>
  </w:num>
  <w:num w:numId="21">
    <w:abstractNumId w:val="15"/>
  </w:num>
  <w:num w:numId="22">
    <w:abstractNumId w:val="3"/>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NzQzMzUxMDa0sDBQ0lEKTi0uzszPAykwrAUAJlJQbywAAAA="/>
  </w:docVars>
  <w:rsids>
    <w:rsidRoot w:val="00DD6A31"/>
    <w:rsid w:val="00010860"/>
    <w:rsid w:val="00014622"/>
    <w:rsid w:val="000220E1"/>
    <w:rsid w:val="00022C32"/>
    <w:rsid w:val="00022EFE"/>
    <w:rsid w:val="00047E9E"/>
    <w:rsid w:val="00052AA9"/>
    <w:rsid w:val="00056C3B"/>
    <w:rsid w:val="00070BB1"/>
    <w:rsid w:val="0007175E"/>
    <w:rsid w:val="000D47FC"/>
    <w:rsid w:val="000E154B"/>
    <w:rsid w:val="000E2E08"/>
    <w:rsid w:val="000E7FAA"/>
    <w:rsid w:val="000F1B54"/>
    <w:rsid w:val="000F4F04"/>
    <w:rsid w:val="000F5440"/>
    <w:rsid w:val="00103D83"/>
    <w:rsid w:val="00115735"/>
    <w:rsid w:val="00130C7D"/>
    <w:rsid w:val="0013141D"/>
    <w:rsid w:val="001479D7"/>
    <w:rsid w:val="001559D5"/>
    <w:rsid w:val="00155E66"/>
    <w:rsid w:val="00166548"/>
    <w:rsid w:val="00183AC1"/>
    <w:rsid w:val="0019491A"/>
    <w:rsid w:val="00196B72"/>
    <w:rsid w:val="001A39E6"/>
    <w:rsid w:val="001A4049"/>
    <w:rsid w:val="001B50CC"/>
    <w:rsid w:val="001C3DF4"/>
    <w:rsid w:val="001D17B1"/>
    <w:rsid w:val="001D559E"/>
    <w:rsid w:val="001D5A62"/>
    <w:rsid w:val="001E44F2"/>
    <w:rsid w:val="001E5892"/>
    <w:rsid w:val="0020112D"/>
    <w:rsid w:val="002013CB"/>
    <w:rsid w:val="0021764E"/>
    <w:rsid w:val="00217788"/>
    <w:rsid w:val="00221FA9"/>
    <w:rsid w:val="00222875"/>
    <w:rsid w:val="0023249E"/>
    <w:rsid w:val="00265E3F"/>
    <w:rsid w:val="0027182E"/>
    <w:rsid w:val="00271AB5"/>
    <w:rsid w:val="00272FE6"/>
    <w:rsid w:val="00277588"/>
    <w:rsid w:val="002809BF"/>
    <w:rsid w:val="002859D3"/>
    <w:rsid w:val="002A5AC6"/>
    <w:rsid w:val="002B2CB5"/>
    <w:rsid w:val="002B5E06"/>
    <w:rsid w:val="002C092D"/>
    <w:rsid w:val="002C11BA"/>
    <w:rsid w:val="002C5339"/>
    <w:rsid w:val="002D3985"/>
    <w:rsid w:val="002D7934"/>
    <w:rsid w:val="002E0404"/>
    <w:rsid w:val="002E6DC7"/>
    <w:rsid w:val="002E7BA5"/>
    <w:rsid w:val="002F29D6"/>
    <w:rsid w:val="00311648"/>
    <w:rsid w:val="00312A9C"/>
    <w:rsid w:val="00315972"/>
    <w:rsid w:val="003501B5"/>
    <w:rsid w:val="00352193"/>
    <w:rsid w:val="003616C6"/>
    <w:rsid w:val="0036324C"/>
    <w:rsid w:val="003674DD"/>
    <w:rsid w:val="00373C92"/>
    <w:rsid w:val="003B60D1"/>
    <w:rsid w:val="003B6AB3"/>
    <w:rsid w:val="003C6F6C"/>
    <w:rsid w:val="003D182A"/>
    <w:rsid w:val="003D2DB8"/>
    <w:rsid w:val="003E01F6"/>
    <w:rsid w:val="003E5DFC"/>
    <w:rsid w:val="003F0528"/>
    <w:rsid w:val="00427E21"/>
    <w:rsid w:val="00434189"/>
    <w:rsid w:val="00452E60"/>
    <w:rsid w:val="00471B64"/>
    <w:rsid w:val="00490A3A"/>
    <w:rsid w:val="00495B46"/>
    <w:rsid w:val="00495C97"/>
    <w:rsid w:val="004A1A41"/>
    <w:rsid w:val="004B261D"/>
    <w:rsid w:val="004B6237"/>
    <w:rsid w:val="004C42B4"/>
    <w:rsid w:val="004C480C"/>
    <w:rsid w:val="004D6F12"/>
    <w:rsid w:val="004E35BA"/>
    <w:rsid w:val="004E395A"/>
    <w:rsid w:val="004E4DEF"/>
    <w:rsid w:val="004F1B25"/>
    <w:rsid w:val="004F61E6"/>
    <w:rsid w:val="00500F27"/>
    <w:rsid w:val="00503EB0"/>
    <w:rsid w:val="0052556B"/>
    <w:rsid w:val="005329B5"/>
    <w:rsid w:val="00534990"/>
    <w:rsid w:val="00535D73"/>
    <w:rsid w:val="00540FAA"/>
    <w:rsid w:val="00543E21"/>
    <w:rsid w:val="0055373D"/>
    <w:rsid w:val="00563968"/>
    <w:rsid w:val="00567CD7"/>
    <w:rsid w:val="005706FF"/>
    <w:rsid w:val="0057169D"/>
    <w:rsid w:val="0057239A"/>
    <w:rsid w:val="00572BF5"/>
    <w:rsid w:val="0057363D"/>
    <w:rsid w:val="005814F9"/>
    <w:rsid w:val="00582971"/>
    <w:rsid w:val="0058326B"/>
    <w:rsid w:val="0058343C"/>
    <w:rsid w:val="005900F9"/>
    <w:rsid w:val="005A0E8D"/>
    <w:rsid w:val="005A0F7C"/>
    <w:rsid w:val="005A4048"/>
    <w:rsid w:val="005A45D7"/>
    <w:rsid w:val="005A7B34"/>
    <w:rsid w:val="005B1778"/>
    <w:rsid w:val="005B2725"/>
    <w:rsid w:val="005C09F1"/>
    <w:rsid w:val="005C7339"/>
    <w:rsid w:val="005D53F8"/>
    <w:rsid w:val="005D7AC9"/>
    <w:rsid w:val="005E5F15"/>
    <w:rsid w:val="005F292F"/>
    <w:rsid w:val="005F5824"/>
    <w:rsid w:val="006001D8"/>
    <w:rsid w:val="00615099"/>
    <w:rsid w:val="0061535A"/>
    <w:rsid w:val="00627D12"/>
    <w:rsid w:val="0063028E"/>
    <w:rsid w:val="00631C8B"/>
    <w:rsid w:val="0063322E"/>
    <w:rsid w:val="00640070"/>
    <w:rsid w:val="00645E19"/>
    <w:rsid w:val="0065145F"/>
    <w:rsid w:val="0065508E"/>
    <w:rsid w:val="006700EF"/>
    <w:rsid w:val="00673FAF"/>
    <w:rsid w:val="00674B87"/>
    <w:rsid w:val="00682A70"/>
    <w:rsid w:val="00697E1B"/>
    <w:rsid w:val="006A43AD"/>
    <w:rsid w:val="006B2EAE"/>
    <w:rsid w:val="006C135F"/>
    <w:rsid w:val="006C3CEA"/>
    <w:rsid w:val="006D5C58"/>
    <w:rsid w:val="006E3D7E"/>
    <w:rsid w:val="006E5F97"/>
    <w:rsid w:val="006F1DB9"/>
    <w:rsid w:val="006F6D22"/>
    <w:rsid w:val="00710789"/>
    <w:rsid w:val="007147EB"/>
    <w:rsid w:val="00714F8C"/>
    <w:rsid w:val="00717C92"/>
    <w:rsid w:val="00722F14"/>
    <w:rsid w:val="00727609"/>
    <w:rsid w:val="007306D4"/>
    <w:rsid w:val="00746411"/>
    <w:rsid w:val="00756CD1"/>
    <w:rsid w:val="00756D6A"/>
    <w:rsid w:val="00763319"/>
    <w:rsid w:val="00764C93"/>
    <w:rsid w:val="00764E08"/>
    <w:rsid w:val="00770704"/>
    <w:rsid w:val="0077263B"/>
    <w:rsid w:val="00773BBD"/>
    <w:rsid w:val="007755FC"/>
    <w:rsid w:val="007817DE"/>
    <w:rsid w:val="007826D6"/>
    <w:rsid w:val="00784C21"/>
    <w:rsid w:val="00791812"/>
    <w:rsid w:val="00793010"/>
    <w:rsid w:val="0079513B"/>
    <w:rsid w:val="007A1A53"/>
    <w:rsid w:val="007A2B77"/>
    <w:rsid w:val="007A67D1"/>
    <w:rsid w:val="007B5C10"/>
    <w:rsid w:val="007C24B6"/>
    <w:rsid w:val="007C4A9B"/>
    <w:rsid w:val="007C51FE"/>
    <w:rsid w:val="007C6DA7"/>
    <w:rsid w:val="007D3A9E"/>
    <w:rsid w:val="007D3E71"/>
    <w:rsid w:val="007F0254"/>
    <w:rsid w:val="007F1D1D"/>
    <w:rsid w:val="008126CC"/>
    <w:rsid w:val="00833DD4"/>
    <w:rsid w:val="008409AD"/>
    <w:rsid w:val="00845557"/>
    <w:rsid w:val="008531D7"/>
    <w:rsid w:val="00856CB0"/>
    <w:rsid w:val="00861772"/>
    <w:rsid w:val="00862293"/>
    <w:rsid w:val="008735CA"/>
    <w:rsid w:val="008766BF"/>
    <w:rsid w:val="00886DF5"/>
    <w:rsid w:val="00890F81"/>
    <w:rsid w:val="00896E6D"/>
    <w:rsid w:val="008A14CA"/>
    <w:rsid w:val="008A4425"/>
    <w:rsid w:val="008A5427"/>
    <w:rsid w:val="008B58E6"/>
    <w:rsid w:val="008C0367"/>
    <w:rsid w:val="008C2365"/>
    <w:rsid w:val="008C6993"/>
    <w:rsid w:val="008C6D79"/>
    <w:rsid w:val="008E1A6D"/>
    <w:rsid w:val="008E27C7"/>
    <w:rsid w:val="008E7E0D"/>
    <w:rsid w:val="008F0FFB"/>
    <w:rsid w:val="008F1073"/>
    <w:rsid w:val="008F22FB"/>
    <w:rsid w:val="008F37B1"/>
    <w:rsid w:val="008F453A"/>
    <w:rsid w:val="009033C9"/>
    <w:rsid w:val="009054FB"/>
    <w:rsid w:val="009070C6"/>
    <w:rsid w:val="00911E0B"/>
    <w:rsid w:val="00915C45"/>
    <w:rsid w:val="00927517"/>
    <w:rsid w:val="00943752"/>
    <w:rsid w:val="00945A1B"/>
    <w:rsid w:val="00946EE3"/>
    <w:rsid w:val="009528D8"/>
    <w:rsid w:val="0095434F"/>
    <w:rsid w:val="00954AF3"/>
    <w:rsid w:val="00980DA1"/>
    <w:rsid w:val="00987F3C"/>
    <w:rsid w:val="00991E61"/>
    <w:rsid w:val="009A2429"/>
    <w:rsid w:val="009B453A"/>
    <w:rsid w:val="009C434F"/>
    <w:rsid w:val="009C5724"/>
    <w:rsid w:val="009E31C6"/>
    <w:rsid w:val="009E4FCA"/>
    <w:rsid w:val="009E517C"/>
    <w:rsid w:val="009E5D6C"/>
    <w:rsid w:val="009F12F8"/>
    <w:rsid w:val="009F6300"/>
    <w:rsid w:val="00A11FCA"/>
    <w:rsid w:val="00A140C3"/>
    <w:rsid w:val="00A20F58"/>
    <w:rsid w:val="00A25B90"/>
    <w:rsid w:val="00A2665C"/>
    <w:rsid w:val="00A307E4"/>
    <w:rsid w:val="00A33163"/>
    <w:rsid w:val="00A340CB"/>
    <w:rsid w:val="00A6799C"/>
    <w:rsid w:val="00A765D6"/>
    <w:rsid w:val="00A812E2"/>
    <w:rsid w:val="00A83099"/>
    <w:rsid w:val="00AA7476"/>
    <w:rsid w:val="00AA7876"/>
    <w:rsid w:val="00AB74B5"/>
    <w:rsid w:val="00AC2568"/>
    <w:rsid w:val="00AD0C95"/>
    <w:rsid w:val="00AE1B09"/>
    <w:rsid w:val="00AE485B"/>
    <w:rsid w:val="00AE6EA0"/>
    <w:rsid w:val="00AF07A2"/>
    <w:rsid w:val="00B05448"/>
    <w:rsid w:val="00B2069A"/>
    <w:rsid w:val="00B26819"/>
    <w:rsid w:val="00B26949"/>
    <w:rsid w:val="00B26CD9"/>
    <w:rsid w:val="00B27116"/>
    <w:rsid w:val="00B3005E"/>
    <w:rsid w:val="00B405F9"/>
    <w:rsid w:val="00B513DF"/>
    <w:rsid w:val="00B524CC"/>
    <w:rsid w:val="00B6007F"/>
    <w:rsid w:val="00B75421"/>
    <w:rsid w:val="00B77EBE"/>
    <w:rsid w:val="00B77ED0"/>
    <w:rsid w:val="00B93332"/>
    <w:rsid w:val="00BA0732"/>
    <w:rsid w:val="00BC0882"/>
    <w:rsid w:val="00BC3C07"/>
    <w:rsid w:val="00BC78FC"/>
    <w:rsid w:val="00BF251B"/>
    <w:rsid w:val="00BF534B"/>
    <w:rsid w:val="00BF7401"/>
    <w:rsid w:val="00C0156E"/>
    <w:rsid w:val="00C0275B"/>
    <w:rsid w:val="00C133E6"/>
    <w:rsid w:val="00C13BC9"/>
    <w:rsid w:val="00C1603C"/>
    <w:rsid w:val="00C2056B"/>
    <w:rsid w:val="00C21B48"/>
    <w:rsid w:val="00C56ED8"/>
    <w:rsid w:val="00C6199F"/>
    <w:rsid w:val="00C66966"/>
    <w:rsid w:val="00C67B18"/>
    <w:rsid w:val="00C71AB1"/>
    <w:rsid w:val="00C730FB"/>
    <w:rsid w:val="00C96AA7"/>
    <w:rsid w:val="00C979F4"/>
    <w:rsid w:val="00CA60C8"/>
    <w:rsid w:val="00CA7657"/>
    <w:rsid w:val="00CB7719"/>
    <w:rsid w:val="00CC2513"/>
    <w:rsid w:val="00CC35B5"/>
    <w:rsid w:val="00CD57D9"/>
    <w:rsid w:val="00CE501D"/>
    <w:rsid w:val="00CE7889"/>
    <w:rsid w:val="00CF3D2D"/>
    <w:rsid w:val="00D052CF"/>
    <w:rsid w:val="00D0699A"/>
    <w:rsid w:val="00D1731B"/>
    <w:rsid w:val="00D47FF2"/>
    <w:rsid w:val="00D53251"/>
    <w:rsid w:val="00D604A7"/>
    <w:rsid w:val="00D62427"/>
    <w:rsid w:val="00D6299A"/>
    <w:rsid w:val="00D64A54"/>
    <w:rsid w:val="00D6511F"/>
    <w:rsid w:val="00D72C69"/>
    <w:rsid w:val="00D95F9A"/>
    <w:rsid w:val="00DB2E83"/>
    <w:rsid w:val="00DB37FE"/>
    <w:rsid w:val="00DB4DCF"/>
    <w:rsid w:val="00DC7309"/>
    <w:rsid w:val="00DD6A31"/>
    <w:rsid w:val="00DE0152"/>
    <w:rsid w:val="00DF0CCE"/>
    <w:rsid w:val="00E054A9"/>
    <w:rsid w:val="00E10383"/>
    <w:rsid w:val="00E257A8"/>
    <w:rsid w:val="00E26A27"/>
    <w:rsid w:val="00E31106"/>
    <w:rsid w:val="00E42DD9"/>
    <w:rsid w:val="00E631B8"/>
    <w:rsid w:val="00E633DB"/>
    <w:rsid w:val="00E7083F"/>
    <w:rsid w:val="00E72D41"/>
    <w:rsid w:val="00E74E79"/>
    <w:rsid w:val="00E848A9"/>
    <w:rsid w:val="00E84E8E"/>
    <w:rsid w:val="00E9058E"/>
    <w:rsid w:val="00E9178F"/>
    <w:rsid w:val="00E97C0F"/>
    <w:rsid w:val="00EA02A0"/>
    <w:rsid w:val="00EA34A9"/>
    <w:rsid w:val="00EA61BA"/>
    <w:rsid w:val="00EC0F4F"/>
    <w:rsid w:val="00EC1AB5"/>
    <w:rsid w:val="00ED13B4"/>
    <w:rsid w:val="00ED397E"/>
    <w:rsid w:val="00ED60F2"/>
    <w:rsid w:val="00EE01DE"/>
    <w:rsid w:val="00EE514A"/>
    <w:rsid w:val="00EE6AE5"/>
    <w:rsid w:val="00EF343A"/>
    <w:rsid w:val="00F01CD8"/>
    <w:rsid w:val="00F11431"/>
    <w:rsid w:val="00F1169C"/>
    <w:rsid w:val="00F11952"/>
    <w:rsid w:val="00F14F41"/>
    <w:rsid w:val="00F15496"/>
    <w:rsid w:val="00F162EF"/>
    <w:rsid w:val="00F16D36"/>
    <w:rsid w:val="00F2174A"/>
    <w:rsid w:val="00F227C8"/>
    <w:rsid w:val="00F22F3D"/>
    <w:rsid w:val="00F3193C"/>
    <w:rsid w:val="00F33AA1"/>
    <w:rsid w:val="00F3574B"/>
    <w:rsid w:val="00F375AB"/>
    <w:rsid w:val="00F43B0C"/>
    <w:rsid w:val="00F55E04"/>
    <w:rsid w:val="00F60B72"/>
    <w:rsid w:val="00F64AAB"/>
    <w:rsid w:val="00F707D2"/>
    <w:rsid w:val="00F72759"/>
    <w:rsid w:val="00F739D1"/>
    <w:rsid w:val="00F81E99"/>
    <w:rsid w:val="00F9407A"/>
    <w:rsid w:val="00FA3B0A"/>
    <w:rsid w:val="00FA4756"/>
    <w:rsid w:val="00FB0C8C"/>
    <w:rsid w:val="00FB2D51"/>
    <w:rsid w:val="00FC1D1C"/>
    <w:rsid w:val="00FC1E5C"/>
    <w:rsid w:val="00FC25FF"/>
    <w:rsid w:val="00FD008D"/>
    <w:rsid w:val="00FD2553"/>
    <w:rsid w:val="00FE0936"/>
    <w:rsid w:val="00FE642F"/>
    <w:rsid w:val="00FF2D93"/>
    <w:rsid w:val="00FF42A6"/>
    <w:rsid w:val="00FF5E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783C-3B40-41CA-8E0F-95E3F69A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Tshwarelo Mabina</cp:lastModifiedBy>
  <cp:revision>2</cp:revision>
  <cp:lastPrinted>2024-02-29T09:02:00Z</cp:lastPrinted>
  <dcterms:created xsi:type="dcterms:W3CDTF">2024-03-01T13:04:00Z</dcterms:created>
  <dcterms:modified xsi:type="dcterms:W3CDTF">2024-03-01T13:04:00Z</dcterms:modified>
</cp:coreProperties>
</file>